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F9361" w14:textId="77777777" w:rsidR="00940E19" w:rsidRPr="00E97AFD" w:rsidRDefault="00940E19" w:rsidP="00966694">
      <w:pPr>
        <w:tabs>
          <w:tab w:val="left" w:pos="1890"/>
        </w:tabs>
        <w:snapToGrid w:val="0"/>
        <w:spacing w:line="360" w:lineRule="auto"/>
        <w:rPr>
          <w:rFonts w:asciiTheme="minorEastAsia" w:eastAsiaTheme="minorEastAsia" w:hAnsiTheme="minorEastAsia"/>
          <w:i/>
          <w:iCs/>
          <w:sz w:val="24"/>
        </w:rPr>
      </w:pPr>
    </w:p>
    <w:p w14:paraId="3E45D8C4" w14:textId="77777777" w:rsidR="00BA4B87" w:rsidRPr="00E97AFD" w:rsidRDefault="00BA4B87" w:rsidP="00966694">
      <w:pPr>
        <w:tabs>
          <w:tab w:val="left" w:pos="1890"/>
        </w:tabs>
        <w:snapToGrid w:val="0"/>
        <w:spacing w:line="360" w:lineRule="auto"/>
        <w:rPr>
          <w:rFonts w:asciiTheme="minorEastAsia" w:eastAsiaTheme="minorEastAsia" w:hAnsiTheme="minorEastAsia"/>
          <w:i/>
          <w:iCs/>
          <w:sz w:val="28"/>
          <w:szCs w:val="28"/>
        </w:rPr>
      </w:pPr>
    </w:p>
    <w:p w14:paraId="18999998" w14:textId="77777777" w:rsidR="00BA4B87" w:rsidRPr="00E97AFD" w:rsidRDefault="00BA4B87" w:rsidP="00966694">
      <w:pPr>
        <w:snapToGrid w:val="0"/>
        <w:spacing w:line="360" w:lineRule="auto"/>
        <w:ind w:firstLine="881"/>
        <w:jc w:val="center"/>
        <w:rPr>
          <w:rFonts w:asciiTheme="minorEastAsia" w:eastAsiaTheme="minorEastAsia" w:hAnsiTheme="minorEastAsia"/>
          <w:b/>
          <w:sz w:val="44"/>
        </w:rPr>
      </w:pPr>
    </w:p>
    <w:p w14:paraId="57A60D25" w14:textId="77777777" w:rsidR="00BA4B87" w:rsidRPr="00E97AFD" w:rsidRDefault="00BA4B87" w:rsidP="00966694">
      <w:pPr>
        <w:snapToGrid w:val="0"/>
        <w:spacing w:line="360" w:lineRule="auto"/>
        <w:ind w:firstLine="881"/>
        <w:jc w:val="center"/>
        <w:rPr>
          <w:rFonts w:asciiTheme="minorEastAsia" w:eastAsiaTheme="minorEastAsia" w:hAnsiTheme="minorEastAsia"/>
          <w:b/>
          <w:sz w:val="44"/>
        </w:rPr>
      </w:pPr>
    </w:p>
    <w:p w14:paraId="185335BC" w14:textId="77777777" w:rsidR="00BA4B87" w:rsidRPr="00E97AFD" w:rsidRDefault="00B66608" w:rsidP="00966694">
      <w:pPr>
        <w:snapToGrid w:val="0"/>
        <w:spacing w:line="360" w:lineRule="auto"/>
        <w:jc w:val="center"/>
        <w:rPr>
          <w:rFonts w:asciiTheme="minorEastAsia" w:eastAsiaTheme="minorEastAsia" w:hAnsiTheme="minorEastAsia"/>
          <w:b/>
          <w:sz w:val="44"/>
        </w:rPr>
      </w:pPr>
      <w:r w:rsidRPr="00E97AFD">
        <w:rPr>
          <w:rFonts w:asciiTheme="minorEastAsia" w:eastAsiaTheme="minorEastAsia" w:hAnsiTheme="minorEastAsia"/>
          <w:b/>
          <w:sz w:val="44"/>
        </w:rPr>
        <w:t>易方达</w:t>
      </w:r>
      <w:r w:rsidR="00196408" w:rsidRPr="00E97AFD">
        <w:rPr>
          <w:rFonts w:asciiTheme="minorEastAsia" w:eastAsiaTheme="minorEastAsia" w:hAnsiTheme="minorEastAsia" w:hint="eastAsia"/>
          <w:b/>
          <w:sz w:val="44"/>
        </w:rPr>
        <w:t>天天增利</w:t>
      </w:r>
      <w:r w:rsidRPr="00E97AFD">
        <w:rPr>
          <w:rFonts w:asciiTheme="minorEastAsia" w:eastAsiaTheme="minorEastAsia" w:hAnsiTheme="minorEastAsia"/>
          <w:b/>
          <w:sz w:val="44"/>
        </w:rPr>
        <w:t>货币市场基金</w:t>
      </w:r>
    </w:p>
    <w:p w14:paraId="4B413959" w14:textId="77777777" w:rsidR="00BA4B87" w:rsidRPr="00E97AFD" w:rsidRDefault="00EC4C1F" w:rsidP="00966694">
      <w:pPr>
        <w:snapToGrid w:val="0"/>
        <w:spacing w:line="360" w:lineRule="auto"/>
        <w:jc w:val="center"/>
        <w:rPr>
          <w:rFonts w:asciiTheme="minorEastAsia" w:eastAsiaTheme="minorEastAsia" w:hAnsiTheme="minorEastAsia"/>
          <w:b/>
          <w:sz w:val="44"/>
        </w:rPr>
      </w:pPr>
      <w:r w:rsidRPr="00E97AFD">
        <w:rPr>
          <w:rFonts w:asciiTheme="minorEastAsia" w:eastAsiaTheme="minorEastAsia" w:hAnsiTheme="minorEastAsia" w:hint="eastAsia"/>
          <w:b/>
          <w:sz w:val="44"/>
        </w:rPr>
        <w:t>更新的</w:t>
      </w:r>
      <w:r w:rsidR="00BA4B87" w:rsidRPr="00E97AFD">
        <w:rPr>
          <w:rFonts w:asciiTheme="minorEastAsia" w:eastAsiaTheme="minorEastAsia" w:hAnsiTheme="minorEastAsia"/>
          <w:b/>
          <w:sz w:val="44"/>
        </w:rPr>
        <w:t>招募说明书</w:t>
      </w:r>
    </w:p>
    <w:p w14:paraId="2041F32F" w14:textId="77777777" w:rsidR="00BA4B87" w:rsidRPr="00E97AFD" w:rsidRDefault="00BA4B87" w:rsidP="00966694">
      <w:pPr>
        <w:snapToGrid w:val="0"/>
        <w:spacing w:line="360" w:lineRule="auto"/>
        <w:ind w:leftChars="800" w:left="1680" w:firstLine="181"/>
        <w:rPr>
          <w:rFonts w:asciiTheme="minorEastAsia" w:eastAsiaTheme="minorEastAsia" w:hAnsiTheme="minorEastAsia"/>
          <w:sz w:val="30"/>
          <w:szCs w:val="30"/>
        </w:rPr>
      </w:pPr>
    </w:p>
    <w:p w14:paraId="1D1B227A" w14:textId="77777777" w:rsidR="00992FE4" w:rsidRPr="00E97AFD" w:rsidRDefault="00992FE4" w:rsidP="00966694">
      <w:pPr>
        <w:snapToGrid w:val="0"/>
        <w:spacing w:line="360" w:lineRule="auto"/>
        <w:ind w:leftChars="800" w:left="1680" w:firstLine="181"/>
        <w:rPr>
          <w:rFonts w:asciiTheme="minorEastAsia" w:eastAsiaTheme="minorEastAsia" w:hAnsiTheme="minorEastAsia"/>
          <w:sz w:val="30"/>
          <w:szCs w:val="30"/>
        </w:rPr>
      </w:pPr>
    </w:p>
    <w:p w14:paraId="350651FA" w14:textId="77777777" w:rsidR="00BA4B87" w:rsidRPr="00E97AFD" w:rsidRDefault="00BA4B87" w:rsidP="00966694">
      <w:pPr>
        <w:snapToGrid w:val="0"/>
        <w:spacing w:line="360" w:lineRule="auto"/>
        <w:ind w:leftChars="800" w:left="1680"/>
        <w:rPr>
          <w:rFonts w:asciiTheme="minorEastAsia" w:eastAsiaTheme="minorEastAsia" w:hAnsiTheme="minorEastAsia"/>
          <w:sz w:val="30"/>
          <w:szCs w:val="30"/>
        </w:rPr>
      </w:pPr>
    </w:p>
    <w:p w14:paraId="4E83AB60" w14:textId="77777777" w:rsidR="00BA4B87" w:rsidRPr="00E97AFD" w:rsidRDefault="00BA4B87" w:rsidP="00966694">
      <w:pPr>
        <w:snapToGrid w:val="0"/>
        <w:spacing w:line="360" w:lineRule="auto"/>
        <w:ind w:leftChars="800" w:left="1680"/>
        <w:rPr>
          <w:rFonts w:asciiTheme="minorEastAsia" w:eastAsiaTheme="minorEastAsia" w:hAnsiTheme="minorEastAsia"/>
          <w:sz w:val="30"/>
          <w:szCs w:val="30"/>
        </w:rPr>
      </w:pPr>
    </w:p>
    <w:p w14:paraId="2C526DA0" w14:textId="77777777" w:rsidR="00C00F5E" w:rsidRPr="00E97AFD" w:rsidRDefault="00C00F5E" w:rsidP="00966694">
      <w:pPr>
        <w:snapToGrid w:val="0"/>
        <w:spacing w:line="360" w:lineRule="auto"/>
        <w:ind w:leftChars="800" w:left="1680"/>
        <w:rPr>
          <w:rFonts w:asciiTheme="minorEastAsia" w:eastAsiaTheme="minorEastAsia" w:hAnsiTheme="minorEastAsia"/>
          <w:sz w:val="30"/>
          <w:szCs w:val="30"/>
        </w:rPr>
      </w:pPr>
    </w:p>
    <w:p w14:paraId="71444E3E" w14:textId="77777777" w:rsidR="00C00F5E" w:rsidRPr="00E97AFD" w:rsidRDefault="00C00F5E" w:rsidP="00966694">
      <w:pPr>
        <w:snapToGrid w:val="0"/>
        <w:spacing w:line="360" w:lineRule="auto"/>
        <w:ind w:leftChars="800" w:left="1680"/>
        <w:rPr>
          <w:rFonts w:asciiTheme="minorEastAsia" w:eastAsiaTheme="minorEastAsia" w:hAnsiTheme="minorEastAsia"/>
          <w:sz w:val="30"/>
          <w:szCs w:val="30"/>
        </w:rPr>
      </w:pPr>
    </w:p>
    <w:p w14:paraId="647A866D" w14:textId="77777777" w:rsidR="00C00F5E" w:rsidRPr="00E97AFD" w:rsidRDefault="00C00F5E" w:rsidP="00966694">
      <w:pPr>
        <w:snapToGrid w:val="0"/>
        <w:spacing w:line="360" w:lineRule="auto"/>
        <w:ind w:leftChars="800" w:left="1680"/>
        <w:rPr>
          <w:rFonts w:asciiTheme="minorEastAsia" w:eastAsiaTheme="minorEastAsia" w:hAnsiTheme="minorEastAsia"/>
          <w:sz w:val="30"/>
          <w:szCs w:val="30"/>
        </w:rPr>
      </w:pPr>
    </w:p>
    <w:p w14:paraId="4B83DEA3" w14:textId="77777777" w:rsidR="00C00F5E" w:rsidRPr="00E97AFD" w:rsidRDefault="00C00F5E" w:rsidP="00966694">
      <w:pPr>
        <w:snapToGrid w:val="0"/>
        <w:spacing w:line="360" w:lineRule="auto"/>
        <w:ind w:leftChars="800" w:left="1680"/>
        <w:rPr>
          <w:rFonts w:asciiTheme="minorEastAsia" w:eastAsiaTheme="minorEastAsia" w:hAnsiTheme="minorEastAsia"/>
          <w:sz w:val="30"/>
          <w:szCs w:val="30"/>
        </w:rPr>
      </w:pPr>
    </w:p>
    <w:p w14:paraId="1D00E14B" w14:textId="77777777" w:rsidR="00C00F5E" w:rsidRPr="00E97AFD" w:rsidRDefault="00C00F5E" w:rsidP="00966694">
      <w:pPr>
        <w:snapToGrid w:val="0"/>
        <w:spacing w:line="360" w:lineRule="auto"/>
        <w:ind w:leftChars="800" w:left="1680"/>
        <w:rPr>
          <w:rFonts w:asciiTheme="minorEastAsia" w:eastAsiaTheme="minorEastAsia" w:hAnsiTheme="minorEastAsia"/>
          <w:sz w:val="30"/>
          <w:szCs w:val="30"/>
        </w:rPr>
      </w:pPr>
    </w:p>
    <w:p w14:paraId="45CFB810" w14:textId="77777777" w:rsidR="00BA4B87" w:rsidRPr="00E97AFD" w:rsidRDefault="00BA4B87" w:rsidP="00966694">
      <w:pPr>
        <w:snapToGrid w:val="0"/>
        <w:spacing w:line="360" w:lineRule="auto"/>
        <w:ind w:leftChars="800" w:left="1680"/>
        <w:rPr>
          <w:rFonts w:asciiTheme="minorEastAsia" w:eastAsiaTheme="minorEastAsia" w:hAnsiTheme="minorEastAsia"/>
          <w:sz w:val="30"/>
          <w:szCs w:val="30"/>
        </w:rPr>
      </w:pPr>
    </w:p>
    <w:p w14:paraId="4CD51208" w14:textId="77777777" w:rsidR="00BA4B87" w:rsidRPr="00E97AFD" w:rsidRDefault="00BA4B87" w:rsidP="00966694">
      <w:pPr>
        <w:snapToGrid w:val="0"/>
        <w:spacing w:line="360" w:lineRule="auto"/>
        <w:ind w:leftChars="800" w:left="1680"/>
        <w:rPr>
          <w:rFonts w:asciiTheme="minorEastAsia" w:eastAsiaTheme="minorEastAsia" w:hAnsiTheme="minorEastAsia"/>
          <w:sz w:val="30"/>
          <w:szCs w:val="30"/>
        </w:rPr>
      </w:pPr>
    </w:p>
    <w:p w14:paraId="25219D0B" w14:textId="77777777" w:rsidR="00BA4B87" w:rsidRPr="00E97AFD" w:rsidRDefault="00BA4B87" w:rsidP="00966694">
      <w:pPr>
        <w:snapToGrid w:val="0"/>
        <w:spacing w:line="360" w:lineRule="auto"/>
        <w:ind w:leftChars="686" w:left="1679" w:hangingChars="74" w:hanging="238"/>
        <w:rPr>
          <w:rFonts w:asciiTheme="minorEastAsia" w:eastAsiaTheme="minorEastAsia" w:hAnsiTheme="minorEastAsia"/>
          <w:b/>
          <w:sz w:val="32"/>
          <w:szCs w:val="32"/>
        </w:rPr>
      </w:pPr>
      <w:r w:rsidRPr="00E97AFD">
        <w:rPr>
          <w:rFonts w:asciiTheme="minorEastAsia" w:eastAsiaTheme="minorEastAsia" w:hAnsiTheme="minorEastAsia"/>
          <w:b/>
          <w:sz w:val="32"/>
          <w:szCs w:val="32"/>
        </w:rPr>
        <w:t>基金管理人：易方达基金管理有限公司</w:t>
      </w:r>
    </w:p>
    <w:p w14:paraId="15926433" w14:textId="77777777" w:rsidR="00BA4B87" w:rsidRPr="00E97AFD" w:rsidRDefault="00BA4B87" w:rsidP="00966694">
      <w:pPr>
        <w:snapToGrid w:val="0"/>
        <w:spacing w:line="360" w:lineRule="auto"/>
        <w:ind w:leftChars="686" w:left="1679" w:hangingChars="74" w:hanging="238"/>
        <w:rPr>
          <w:rFonts w:asciiTheme="minorEastAsia" w:eastAsiaTheme="minorEastAsia" w:hAnsiTheme="minorEastAsia"/>
          <w:b/>
          <w:sz w:val="32"/>
          <w:szCs w:val="32"/>
        </w:rPr>
      </w:pPr>
      <w:r w:rsidRPr="00E97AFD">
        <w:rPr>
          <w:rFonts w:asciiTheme="minorEastAsia" w:eastAsiaTheme="minorEastAsia" w:hAnsiTheme="minorEastAsia"/>
          <w:b/>
          <w:sz w:val="32"/>
          <w:szCs w:val="32"/>
        </w:rPr>
        <w:t>基金托管人：</w:t>
      </w:r>
      <w:r w:rsidR="001D0E93" w:rsidRPr="00E97AFD">
        <w:rPr>
          <w:rFonts w:asciiTheme="minorEastAsia" w:eastAsiaTheme="minorEastAsia" w:hAnsiTheme="minorEastAsia" w:hint="eastAsia"/>
          <w:b/>
          <w:sz w:val="32"/>
          <w:szCs w:val="32"/>
        </w:rPr>
        <w:t>中国建设银行股份有限公司</w:t>
      </w:r>
    </w:p>
    <w:p w14:paraId="2C1AAAA8" w14:textId="77777777" w:rsidR="00BA4B87" w:rsidRPr="00E97AFD" w:rsidRDefault="00BA4B87" w:rsidP="00966694">
      <w:pPr>
        <w:snapToGrid w:val="0"/>
        <w:spacing w:line="360" w:lineRule="auto"/>
        <w:ind w:firstLine="561"/>
        <w:rPr>
          <w:rFonts w:asciiTheme="minorEastAsia" w:eastAsiaTheme="minorEastAsia" w:hAnsiTheme="minorEastAsia"/>
          <w:b/>
          <w:sz w:val="24"/>
        </w:rPr>
      </w:pPr>
    </w:p>
    <w:p w14:paraId="6EE3E21A" w14:textId="77777777" w:rsidR="0027563B" w:rsidRPr="00E97AFD" w:rsidRDefault="0027563B" w:rsidP="00966694">
      <w:pPr>
        <w:snapToGrid w:val="0"/>
        <w:spacing w:line="360" w:lineRule="auto"/>
        <w:jc w:val="center"/>
        <w:rPr>
          <w:rFonts w:asciiTheme="minorEastAsia" w:eastAsiaTheme="minorEastAsia" w:hAnsiTheme="minorEastAsia"/>
          <w:b/>
          <w:sz w:val="32"/>
          <w:szCs w:val="32"/>
        </w:rPr>
      </w:pPr>
      <w:r w:rsidRPr="00E97AFD">
        <w:rPr>
          <w:rFonts w:asciiTheme="minorEastAsia" w:eastAsiaTheme="minorEastAsia" w:hAnsiTheme="minorEastAsia" w:hint="eastAsia"/>
          <w:b/>
          <w:sz w:val="32"/>
          <w:szCs w:val="32"/>
        </w:rPr>
        <w:t>二○二○年六月</w:t>
      </w:r>
    </w:p>
    <w:p w14:paraId="408DE4A1" w14:textId="77777777" w:rsidR="00BA4B87" w:rsidRPr="00E97AFD" w:rsidRDefault="00BA4B87" w:rsidP="00966694">
      <w:pPr>
        <w:snapToGrid w:val="0"/>
        <w:spacing w:line="360" w:lineRule="auto"/>
        <w:jc w:val="center"/>
        <w:rPr>
          <w:rFonts w:asciiTheme="minorEastAsia" w:eastAsiaTheme="minorEastAsia" w:hAnsiTheme="minorEastAsia"/>
          <w:b/>
          <w:sz w:val="28"/>
          <w:szCs w:val="28"/>
        </w:rPr>
      </w:pPr>
      <w:r w:rsidRPr="00E97AFD">
        <w:rPr>
          <w:rFonts w:asciiTheme="minorEastAsia" w:eastAsiaTheme="minorEastAsia" w:hAnsiTheme="minorEastAsia"/>
          <w:b/>
          <w:sz w:val="28"/>
          <w:szCs w:val="28"/>
        </w:rPr>
        <w:lastRenderedPageBreak/>
        <w:t>重要提示</w:t>
      </w:r>
    </w:p>
    <w:p w14:paraId="1E88BBF9" w14:textId="77777777" w:rsidR="00BA4B87" w:rsidRPr="00E97AFD" w:rsidRDefault="00BA4B87" w:rsidP="00966694">
      <w:pPr>
        <w:snapToGrid w:val="0"/>
        <w:spacing w:line="360" w:lineRule="auto"/>
        <w:ind w:firstLineChars="200" w:firstLine="422"/>
        <w:rPr>
          <w:rFonts w:asciiTheme="minorEastAsia" w:eastAsiaTheme="minorEastAsia" w:hAnsiTheme="minorEastAsia"/>
          <w:b/>
          <w:szCs w:val="21"/>
        </w:rPr>
      </w:pPr>
      <w:r w:rsidRPr="00E97AFD">
        <w:rPr>
          <w:rFonts w:asciiTheme="minorEastAsia" w:eastAsiaTheme="minorEastAsia" w:hAnsiTheme="minorEastAsia"/>
          <w:b/>
          <w:szCs w:val="21"/>
        </w:rPr>
        <w:t>本基金根据</w:t>
      </w:r>
      <w:r w:rsidR="00C30DBF" w:rsidRPr="00E97AFD">
        <w:rPr>
          <w:rFonts w:asciiTheme="minorEastAsia" w:eastAsiaTheme="minorEastAsia" w:hAnsiTheme="minorEastAsia"/>
          <w:b/>
          <w:szCs w:val="21"/>
        </w:rPr>
        <w:t>201</w:t>
      </w:r>
      <w:r w:rsidR="00C30DBF" w:rsidRPr="00E97AFD">
        <w:rPr>
          <w:rFonts w:asciiTheme="minorEastAsia" w:eastAsiaTheme="minorEastAsia" w:hAnsiTheme="minorEastAsia" w:hint="eastAsia"/>
          <w:b/>
          <w:szCs w:val="21"/>
        </w:rPr>
        <w:t>4</w:t>
      </w:r>
      <w:r w:rsidR="00461ADF" w:rsidRPr="00E97AFD">
        <w:rPr>
          <w:rFonts w:asciiTheme="minorEastAsia" w:eastAsiaTheme="minorEastAsia" w:hAnsiTheme="minorEastAsia"/>
          <w:b/>
          <w:szCs w:val="21"/>
        </w:rPr>
        <w:t>年</w:t>
      </w:r>
      <w:r w:rsidR="004E4E44" w:rsidRPr="00E97AFD">
        <w:rPr>
          <w:rFonts w:asciiTheme="minorEastAsia" w:eastAsiaTheme="minorEastAsia" w:hAnsiTheme="minorEastAsia" w:hint="eastAsia"/>
          <w:b/>
          <w:szCs w:val="21"/>
        </w:rPr>
        <w:t>6</w:t>
      </w:r>
      <w:r w:rsidRPr="00E97AFD">
        <w:rPr>
          <w:rFonts w:asciiTheme="minorEastAsia" w:eastAsiaTheme="minorEastAsia" w:hAnsiTheme="minorEastAsia"/>
          <w:b/>
          <w:szCs w:val="21"/>
        </w:rPr>
        <w:t>月</w:t>
      </w:r>
      <w:r w:rsidR="004E4E44" w:rsidRPr="00E97AFD">
        <w:rPr>
          <w:rFonts w:asciiTheme="minorEastAsia" w:eastAsiaTheme="minorEastAsia" w:hAnsiTheme="minorEastAsia" w:hint="eastAsia"/>
          <w:b/>
          <w:szCs w:val="21"/>
        </w:rPr>
        <w:t>17</w:t>
      </w:r>
      <w:r w:rsidRPr="00E97AFD">
        <w:rPr>
          <w:rFonts w:asciiTheme="minorEastAsia" w:eastAsiaTheme="minorEastAsia" w:hAnsiTheme="minorEastAsia"/>
          <w:b/>
          <w:szCs w:val="21"/>
        </w:rPr>
        <w:t>日中国证券监督管理委员会《关于核准</w:t>
      </w:r>
      <w:r w:rsidR="00872236" w:rsidRPr="00E97AFD">
        <w:rPr>
          <w:rFonts w:asciiTheme="minorEastAsia" w:eastAsiaTheme="minorEastAsia" w:hAnsiTheme="minorEastAsia"/>
          <w:b/>
          <w:szCs w:val="21"/>
        </w:rPr>
        <w:t>易方达</w:t>
      </w:r>
      <w:r w:rsidR="00196408" w:rsidRPr="00E97AFD">
        <w:rPr>
          <w:rFonts w:asciiTheme="minorEastAsia" w:eastAsiaTheme="minorEastAsia" w:hAnsiTheme="minorEastAsia"/>
          <w:b/>
          <w:szCs w:val="21"/>
        </w:rPr>
        <w:t>天天增利</w:t>
      </w:r>
      <w:r w:rsidR="00B66608" w:rsidRPr="00E97AFD">
        <w:rPr>
          <w:rFonts w:asciiTheme="minorEastAsia" w:eastAsiaTheme="minorEastAsia" w:hAnsiTheme="minorEastAsia"/>
          <w:b/>
          <w:szCs w:val="21"/>
        </w:rPr>
        <w:t>货币市场基金</w:t>
      </w:r>
      <w:r w:rsidRPr="00E97AFD">
        <w:rPr>
          <w:rFonts w:asciiTheme="minorEastAsia" w:eastAsiaTheme="minorEastAsia" w:hAnsiTheme="minorEastAsia"/>
          <w:b/>
          <w:szCs w:val="21"/>
        </w:rPr>
        <w:t>募集的批复》(证监许可</w:t>
      </w:r>
      <w:r w:rsidR="00EB0832" w:rsidRPr="00E97AFD">
        <w:rPr>
          <w:rFonts w:asciiTheme="minorEastAsia" w:eastAsiaTheme="minorEastAsia" w:hAnsiTheme="minorEastAsia" w:hint="eastAsia"/>
          <w:b/>
          <w:szCs w:val="21"/>
        </w:rPr>
        <w:t>【</w:t>
      </w:r>
      <w:r w:rsidR="001D0E93" w:rsidRPr="00E97AFD">
        <w:rPr>
          <w:rFonts w:asciiTheme="minorEastAsia" w:eastAsiaTheme="minorEastAsia" w:hAnsiTheme="minorEastAsia"/>
          <w:b/>
          <w:szCs w:val="21"/>
        </w:rPr>
        <w:t>201</w:t>
      </w:r>
      <w:r w:rsidR="001D0E93" w:rsidRPr="00E97AFD">
        <w:rPr>
          <w:rFonts w:asciiTheme="minorEastAsia" w:eastAsiaTheme="minorEastAsia" w:hAnsiTheme="minorEastAsia" w:hint="eastAsia"/>
          <w:b/>
          <w:szCs w:val="21"/>
        </w:rPr>
        <w:t>4</w:t>
      </w:r>
      <w:r w:rsidR="00C30DBF" w:rsidRPr="00E97AFD">
        <w:rPr>
          <w:rFonts w:asciiTheme="minorEastAsia" w:eastAsiaTheme="minorEastAsia" w:hAnsiTheme="minorEastAsia" w:hint="eastAsia"/>
          <w:b/>
          <w:szCs w:val="21"/>
        </w:rPr>
        <w:t>】610</w:t>
      </w:r>
      <w:r w:rsidRPr="00E97AFD">
        <w:rPr>
          <w:rFonts w:asciiTheme="minorEastAsia" w:eastAsiaTheme="minorEastAsia" w:hAnsiTheme="minorEastAsia"/>
          <w:b/>
          <w:szCs w:val="21"/>
        </w:rPr>
        <w:t>号)和</w:t>
      </w:r>
      <w:r w:rsidR="001D0E93" w:rsidRPr="00E97AFD">
        <w:rPr>
          <w:rFonts w:asciiTheme="minorEastAsia" w:eastAsiaTheme="minorEastAsia" w:hAnsiTheme="minorEastAsia"/>
          <w:b/>
          <w:szCs w:val="21"/>
        </w:rPr>
        <w:t>201</w:t>
      </w:r>
      <w:r w:rsidR="001D0E93" w:rsidRPr="00E97AFD">
        <w:rPr>
          <w:rFonts w:asciiTheme="minorEastAsia" w:eastAsiaTheme="minorEastAsia" w:hAnsiTheme="minorEastAsia" w:hint="eastAsia"/>
          <w:b/>
          <w:szCs w:val="21"/>
        </w:rPr>
        <w:t>4</w:t>
      </w:r>
      <w:r w:rsidR="00461ADF" w:rsidRPr="00E97AFD">
        <w:rPr>
          <w:rFonts w:asciiTheme="minorEastAsia" w:eastAsiaTheme="minorEastAsia" w:hAnsiTheme="minorEastAsia"/>
          <w:b/>
          <w:szCs w:val="21"/>
        </w:rPr>
        <w:t>年</w:t>
      </w:r>
      <w:r w:rsidR="00F02F52" w:rsidRPr="00E97AFD">
        <w:rPr>
          <w:rFonts w:asciiTheme="minorEastAsia" w:eastAsiaTheme="minorEastAsia" w:hAnsiTheme="minorEastAsia" w:hint="eastAsia"/>
          <w:b/>
          <w:szCs w:val="21"/>
        </w:rPr>
        <w:t>6</w:t>
      </w:r>
      <w:r w:rsidRPr="00E97AFD">
        <w:rPr>
          <w:rFonts w:asciiTheme="minorEastAsia" w:eastAsiaTheme="minorEastAsia" w:hAnsiTheme="minorEastAsia"/>
          <w:b/>
          <w:szCs w:val="21"/>
        </w:rPr>
        <w:t>月</w:t>
      </w:r>
      <w:r w:rsidR="00F02F52" w:rsidRPr="00E97AFD">
        <w:rPr>
          <w:rFonts w:asciiTheme="minorEastAsia" w:eastAsiaTheme="minorEastAsia" w:hAnsiTheme="minorEastAsia" w:hint="eastAsia"/>
          <w:b/>
          <w:szCs w:val="21"/>
        </w:rPr>
        <w:t>18</w:t>
      </w:r>
      <w:r w:rsidRPr="00E97AFD">
        <w:rPr>
          <w:rFonts w:asciiTheme="minorEastAsia" w:eastAsiaTheme="minorEastAsia" w:hAnsiTheme="minorEastAsia"/>
          <w:b/>
          <w:szCs w:val="21"/>
        </w:rPr>
        <w:t>日《关于</w:t>
      </w:r>
      <w:r w:rsidR="00872236" w:rsidRPr="00E97AFD">
        <w:rPr>
          <w:rFonts w:asciiTheme="minorEastAsia" w:eastAsiaTheme="minorEastAsia" w:hAnsiTheme="minorEastAsia"/>
          <w:b/>
          <w:szCs w:val="21"/>
        </w:rPr>
        <w:t>易方达</w:t>
      </w:r>
      <w:r w:rsidR="00196408" w:rsidRPr="00E97AFD">
        <w:rPr>
          <w:rFonts w:asciiTheme="minorEastAsia" w:eastAsiaTheme="minorEastAsia" w:hAnsiTheme="minorEastAsia"/>
          <w:b/>
          <w:szCs w:val="21"/>
        </w:rPr>
        <w:t>天天增利</w:t>
      </w:r>
      <w:r w:rsidR="00B66608" w:rsidRPr="00E97AFD">
        <w:rPr>
          <w:rFonts w:asciiTheme="minorEastAsia" w:eastAsiaTheme="minorEastAsia" w:hAnsiTheme="minorEastAsia"/>
          <w:b/>
          <w:szCs w:val="21"/>
        </w:rPr>
        <w:t>货币市场基金</w:t>
      </w:r>
      <w:r w:rsidRPr="00E97AFD">
        <w:rPr>
          <w:rFonts w:asciiTheme="minorEastAsia" w:eastAsiaTheme="minorEastAsia" w:hAnsiTheme="minorEastAsia"/>
          <w:b/>
          <w:szCs w:val="21"/>
        </w:rPr>
        <w:t>募集时间安排的确认函》(</w:t>
      </w:r>
      <w:r w:rsidR="00F02F52" w:rsidRPr="00E97AFD">
        <w:rPr>
          <w:rFonts w:asciiTheme="minorEastAsia" w:eastAsiaTheme="minorEastAsia" w:hAnsiTheme="minorEastAsia" w:hint="eastAsia"/>
          <w:b/>
          <w:szCs w:val="21"/>
        </w:rPr>
        <w:t>证券基金机构监管部</w:t>
      </w:r>
      <w:r w:rsidRPr="00E97AFD">
        <w:rPr>
          <w:rFonts w:asciiTheme="minorEastAsia" w:eastAsiaTheme="minorEastAsia" w:hAnsiTheme="minorEastAsia"/>
          <w:b/>
          <w:szCs w:val="21"/>
        </w:rPr>
        <w:t>部函</w:t>
      </w:r>
      <w:r w:rsidR="00E24E2B" w:rsidRPr="00E97AFD">
        <w:rPr>
          <w:rFonts w:asciiTheme="minorEastAsia" w:eastAsiaTheme="minorEastAsia" w:hAnsiTheme="minorEastAsia"/>
          <w:b/>
          <w:szCs w:val="21"/>
        </w:rPr>
        <w:t>[</w:t>
      </w:r>
      <w:r w:rsidR="001D0E93" w:rsidRPr="00E97AFD">
        <w:rPr>
          <w:rFonts w:asciiTheme="minorEastAsia" w:eastAsiaTheme="minorEastAsia" w:hAnsiTheme="minorEastAsia"/>
          <w:b/>
          <w:szCs w:val="21"/>
        </w:rPr>
        <w:t>201</w:t>
      </w:r>
      <w:r w:rsidR="001D0E93" w:rsidRPr="00E97AFD">
        <w:rPr>
          <w:rFonts w:asciiTheme="minorEastAsia" w:eastAsiaTheme="minorEastAsia" w:hAnsiTheme="minorEastAsia" w:hint="eastAsia"/>
          <w:b/>
          <w:szCs w:val="21"/>
        </w:rPr>
        <w:t>4</w:t>
      </w:r>
      <w:r w:rsidR="00E24E2B" w:rsidRPr="00E97AFD">
        <w:rPr>
          <w:rFonts w:asciiTheme="minorEastAsia" w:eastAsiaTheme="minorEastAsia" w:hAnsiTheme="minorEastAsia"/>
          <w:b/>
          <w:szCs w:val="21"/>
        </w:rPr>
        <w:t>]</w:t>
      </w:r>
      <w:r w:rsidR="00F02F52" w:rsidRPr="00E97AFD">
        <w:rPr>
          <w:rFonts w:asciiTheme="minorEastAsia" w:eastAsiaTheme="minorEastAsia" w:hAnsiTheme="minorEastAsia" w:hint="eastAsia"/>
          <w:b/>
          <w:szCs w:val="21"/>
        </w:rPr>
        <w:t>549</w:t>
      </w:r>
      <w:r w:rsidRPr="00E97AFD">
        <w:rPr>
          <w:rFonts w:asciiTheme="minorEastAsia" w:eastAsiaTheme="minorEastAsia" w:hAnsiTheme="minorEastAsia"/>
          <w:b/>
          <w:szCs w:val="21"/>
        </w:rPr>
        <w:t>号)进行募集。</w:t>
      </w:r>
      <w:r w:rsidR="00713748" w:rsidRPr="00E97AFD">
        <w:rPr>
          <w:rFonts w:asciiTheme="minorEastAsia" w:eastAsiaTheme="minorEastAsia" w:hAnsiTheme="minorEastAsia" w:hint="eastAsia"/>
          <w:b/>
          <w:szCs w:val="21"/>
        </w:rPr>
        <w:t>本基金基金合同于2014年6月25日正式生效。</w:t>
      </w:r>
    </w:p>
    <w:p w14:paraId="7E9FFDDE" w14:textId="77777777" w:rsidR="00BA4B87" w:rsidRPr="00E97AFD" w:rsidRDefault="00BA4B87" w:rsidP="00966694">
      <w:pPr>
        <w:snapToGrid w:val="0"/>
        <w:spacing w:line="360" w:lineRule="auto"/>
        <w:ind w:firstLineChars="200" w:firstLine="422"/>
        <w:rPr>
          <w:rFonts w:asciiTheme="minorEastAsia" w:eastAsiaTheme="minorEastAsia" w:hAnsiTheme="minorEastAsia"/>
          <w:b/>
          <w:szCs w:val="21"/>
        </w:rPr>
      </w:pPr>
      <w:r w:rsidRPr="00E97AFD">
        <w:rPr>
          <w:rFonts w:asciiTheme="minorEastAsia" w:eastAsiaTheme="minorEastAsia" w:hAnsiTheme="minorEastAsia"/>
          <w:b/>
          <w:szCs w:val="21"/>
        </w:rPr>
        <w:t>基金管理人保证《招募说明书》的内容真实、准确、完整。本《招募说明书》经中国证监会</w:t>
      </w:r>
      <w:r w:rsidR="00E34575" w:rsidRPr="00E97AFD">
        <w:rPr>
          <w:rFonts w:asciiTheme="minorEastAsia" w:eastAsiaTheme="minorEastAsia" w:hAnsiTheme="minorEastAsia" w:hint="eastAsia"/>
          <w:b/>
          <w:szCs w:val="21"/>
        </w:rPr>
        <w:t>注册</w:t>
      </w:r>
      <w:r w:rsidRPr="00E97AFD">
        <w:rPr>
          <w:rFonts w:asciiTheme="minorEastAsia" w:eastAsiaTheme="minorEastAsia" w:hAnsiTheme="minorEastAsia"/>
          <w:b/>
          <w:szCs w:val="21"/>
        </w:rPr>
        <w:t>，</w:t>
      </w:r>
      <w:r w:rsidR="008B416E" w:rsidRPr="00E97AFD">
        <w:rPr>
          <w:rFonts w:asciiTheme="minorEastAsia" w:eastAsiaTheme="minorEastAsia" w:hAnsiTheme="minorEastAsia"/>
          <w:b/>
          <w:szCs w:val="21"/>
        </w:rPr>
        <w:t>但中国证监会对本基金募集的</w:t>
      </w:r>
      <w:r w:rsidR="008B416E" w:rsidRPr="00E97AFD">
        <w:rPr>
          <w:rFonts w:asciiTheme="minorEastAsia" w:eastAsiaTheme="minorEastAsia" w:hAnsiTheme="minorEastAsia" w:hint="eastAsia"/>
          <w:b/>
          <w:szCs w:val="21"/>
        </w:rPr>
        <w:t>注册</w:t>
      </w:r>
      <w:r w:rsidRPr="00E97AFD">
        <w:rPr>
          <w:rFonts w:asciiTheme="minorEastAsia" w:eastAsiaTheme="minorEastAsia" w:hAnsiTheme="minorEastAsia"/>
          <w:b/>
          <w:szCs w:val="21"/>
        </w:rPr>
        <w:t>，并不表明其对本基金的价值和收益作出实质性判断或保证，也不表明投资于本基金没有风险。</w:t>
      </w:r>
    </w:p>
    <w:p w14:paraId="5ADB399D" w14:textId="669FEEB4" w:rsidR="00635484" w:rsidRPr="00E97AFD" w:rsidRDefault="009F7DEB" w:rsidP="00966694">
      <w:pPr>
        <w:snapToGrid w:val="0"/>
        <w:spacing w:line="360" w:lineRule="auto"/>
        <w:ind w:firstLineChars="200" w:firstLine="422"/>
        <w:rPr>
          <w:rFonts w:asciiTheme="minorEastAsia" w:eastAsiaTheme="minorEastAsia" w:hAnsiTheme="minorEastAsia"/>
          <w:b/>
          <w:szCs w:val="21"/>
        </w:rPr>
      </w:pPr>
      <w:r w:rsidRPr="00E97AFD">
        <w:rPr>
          <w:rFonts w:asciiTheme="minorEastAsia" w:eastAsiaTheme="minorEastAsia" w:hAnsiTheme="minorEastAsia" w:hint="eastAsia"/>
          <w:b/>
          <w:szCs w:val="21"/>
        </w:rPr>
        <w:t>本基金为货币市场基金，</w:t>
      </w:r>
      <w:r w:rsidR="00C143CA" w:rsidRPr="00E97AFD">
        <w:rPr>
          <w:rFonts w:asciiTheme="minorEastAsia" w:eastAsiaTheme="minorEastAsia" w:hAnsiTheme="minorEastAsia" w:hint="eastAsia"/>
          <w:b/>
          <w:szCs w:val="21"/>
        </w:rPr>
        <w:t>预期风险和预期收益均低于股票型基金、混合型基金及债券型基金，</w:t>
      </w:r>
      <w:r w:rsidRPr="00E97AFD">
        <w:rPr>
          <w:rFonts w:asciiTheme="minorEastAsia" w:eastAsiaTheme="minorEastAsia" w:hAnsiTheme="minorEastAsia" w:hint="eastAsia"/>
          <w:b/>
          <w:szCs w:val="21"/>
        </w:rPr>
        <w:t>属证券投资基金中的较低风险收益品种</w:t>
      </w:r>
      <w:r w:rsidR="00635484" w:rsidRPr="00E97AFD">
        <w:rPr>
          <w:rFonts w:asciiTheme="minorEastAsia" w:eastAsiaTheme="minorEastAsia" w:hAnsiTheme="minorEastAsia" w:hint="eastAsia"/>
          <w:b/>
          <w:szCs w:val="21"/>
        </w:rPr>
        <w:t>。投资者购买本货币市场基金并不等于将资金作为存款存放在银行或存款类金融机构，基金管理人不保证基金一定盈利，也不保证最低收益。投资者在投资本基金前，应全面了解本基金的产品特性，充分考虑自身的风险承受能力，理性判断市场，并承担基金投</w:t>
      </w:r>
      <w:bookmarkStart w:id="0" w:name="_GoBack"/>
      <w:bookmarkEnd w:id="0"/>
      <w:r w:rsidR="00635484" w:rsidRPr="00E97AFD">
        <w:rPr>
          <w:rFonts w:asciiTheme="minorEastAsia" w:eastAsiaTheme="minorEastAsia" w:hAnsiTheme="minorEastAsia" w:hint="eastAsia"/>
          <w:b/>
          <w:szCs w:val="21"/>
        </w:rPr>
        <w:t>资中出现的各类风险，包括：</w:t>
      </w:r>
      <w:r w:rsidR="00BC35D8" w:rsidRPr="00E97AFD">
        <w:rPr>
          <w:rFonts w:asciiTheme="minorEastAsia" w:eastAsiaTheme="minorEastAsia" w:hAnsiTheme="minorEastAsia" w:hint="eastAsia"/>
          <w:b/>
          <w:szCs w:val="21"/>
        </w:rPr>
        <w:t>因整体政治、经济、社会等环境因素对证券市场价格产生影响的市场风险，因金融市场利率的波动而导致证券市场价格和收益率变动的利率风险，因债券和票据发行主体信用状况恶化而可能产生的到期不能兑付的信用风险，基金管理人在基金管理实施过程中产生的基金管理风险，因发生特定情况收取强制赎回费用的风险，由于投资者连续大量赎回基金份额产生的流动性风险，本基金管理现金头寸时有可能存在现金不足的风险或现金过多而带来的机会成本风险，因影子定价确定的基金资产净值与摊余成本法确定的基金资产净值偏离度达到一定程度而导致暂停申购，或者暂停赎回并终止基金合同的风险</w:t>
      </w:r>
      <w:r w:rsidR="008E640C" w:rsidRPr="00E97AFD">
        <w:rPr>
          <w:rFonts w:asciiTheme="minorEastAsia" w:eastAsiaTheme="minorEastAsia" w:hAnsiTheme="minorEastAsia" w:hint="eastAsia"/>
          <w:b/>
          <w:szCs w:val="21"/>
        </w:rPr>
        <w:t>等</w:t>
      </w:r>
      <w:r w:rsidR="0007041F" w:rsidRPr="00E97AFD">
        <w:rPr>
          <w:rFonts w:asciiTheme="minorEastAsia" w:eastAsiaTheme="minorEastAsia" w:hAnsiTheme="minorEastAsia" w:hint="eastAsia"/>
          <w:b/>
          <w:szCs w:val="21"/>
        </w:rPr>
        <w:t>，</w:t>
      </w:r>
      <w:r w:rsidR="0007041F" w:rsidRPr="00E97AFD">
        <w:rPr>
          <w:rFonts w:asciiTheme="minorEastAsia" w:eastAsiaTheme="minorEastAsia" w:hAnsiTheme="minorEastAsia" w:hint="eastAsia"/>
          <w:b/>
          <w:bCs/>
        </w:rPr>
        <w:t>本基金法律文件中涉及基金风险特征的表述与销售机构对基金的风险评级可能不一致的风险</w:t>
      </w:r>
      <w:r w:rsidR="00BC35D8" w:rsidRPr="00E97AFD">
        <w:rPr>
          <w:rFonts w:asciiTheme="minorEastAsia" w:eastAsiaTheme="minorEastAsia" w:hAnsiTheme="minorEastAsia" w:hint="eastAsia"/>
          <w:b/>
          <w:szCs w:val="21"/>
        </w:rPr>
        <w:t>等。</w:t>
      </w:r>
      <w:r w:rsidR="00B43618" w:rsidRPr="00E97AFD">
        <w:rPr>
          <w:rFonts w:asciiTheme="minorEastAsia" w:eastAsiaTheme="minorEastAsia" w:hAnsiTheme="minorEastAsia" w:hint="eastAsia"/>
          <w:b/>
          <w:szCs w:val="21"/>
        </w:rPr>
        <w:t>投资人</w:t>
      </w:r>
      <w:r w:rsidR="00635484" w:rsidRPr="00E97AFD">
        <w:rPr>
          <w:rFonts w:asciiTheme="minorEastAsia" w:eastAsiaTheme="minorEastAsia" w:hAnsiTheme="minorEastAsia" w:hint="eastAsia"/>
          <w:b/>
          <w:szCs w:val="21"/>
        </w:rPr>
        <w:t>在投资本基金之前，请仔细阅读本基金的</w:t>
      </w:r>
      <w:r w:rsidR="00417F69" w:rsidRPr="00E97AFD">
        <w:rPr>
          <w:rFonts w:asciiTheme="minorEastAsia" w:eastAsiaTheme="minorEastAsia" w:hAnsiTheme="minorEastAsia" w:hint="eastAsia"/>
          <w:b/>
          <w:szCs w:val="21"/>
        </w:rPr>
        <w:t>《</w:t>
      </w:r>
      <w:r w:rsidR="00635484" w:rsidRPr="00E97AFD">
        <w:rPr>
          <w:rFonts w:asciiTheme="minorEastAsia" w:eastAsiaTheme="minorEastAsia" w:hAnsiTheme="minorEastAsia" w:hint="eastAsia"/>
          <w:b/>
          <w:szCs w:val="21"/>
        </w:rPr>
        <w:t>招募说明书</w:t>
      </w:r>
      <w:r w:rsidR="00417F69" w:rsidRPr="00E97AFD">
        <w:rPr>
          <w:rFonts w:asciiTheme="minorEastAsia" w:eastAsiaTheme="minorEastAsia" w:hAnsiTheme="minorEastAsia" w:hint="eastAsia"/>
          <w:b/>
          <w:szCs w:val="21"/>
        </w:rPr>
        <w:t>》</w:t>
      </w:r>
      <w:r w:rsidR="0007041F" w:rsidRPr="00E97AFD">
        <w:rPr>
          <w:rFonts w:asciiTheme="minorEastAsia" w:eastAsiaTheme="minorEastAsia" w:hAnsiTheme="minorEastAsia" w:hint="eastAsia"/>
          <w:b/>
          <w:szCs w:val="21"/>
        </w:rPr>
        <w:t>、</w:t>
      </w:r>
      <w:r w:rsidR="00417F69" w:rsidRPr="00E97AFD">
        <w:rPr>
          <w:rFonts w:asciiTheme="minorEastAsia" w:eastAsiaTheme="minorEastAsia" w:hAnsiTheme="minorEastAsia" w:hint="eastAsia"/>
          <w:b/>
          <w:szCs w:val="21"/>
        </w:rPr>
        <w:t>《</w:t>
      </w:r>
      <w:r w:rsidR="00635484" w:rsidRPr="00E97AFD">
        <w:rPr>
          <w:rFonts w:asciiTheme="minorEastAsia" w:eastAsiaTheme="minorEastAsia" w:hAnsiTheme="minorEastAsia" w:hint="eastAsia"/>
          <w:b/>
          <w:szCs w:val="21"/>
        </w:rPr>
        <w:t>基金合同</w:t>
      </w:r>
      <w:r w:rsidR="00417F69" w:rsidRPr="00E97AFD">
        <w:rPr>
          <w:rFonts w:asciiTheme="minorEastAsia" w:eastAsiaTheme="minorEastAsia" w:hAnsiTheme="minorEastAsia" w:hint="eastAsia"/>
          <w:b/>
          <w:szCs w:val="21"/>
        </w:rPr>
        <w:t>》</w:t>
      </w:r>
      <w:r w:rsidR="0007041F" w:rsidRPr="00E97AFD">
        <w:rPr>
          <w:rFonts w:asciiTheme="minorEastAsia" w:eastAsiaTheme="minorEastAsia" w:hAnsiTheme="minorEastAsia" w:hint="eastAsia"/>
          <w:b/>
        </w:rPr>
        <w:t>和基金产品资料概要等信息披露文件</w:t>
      </w:r>
      <w:r w:rsidR="00635484" w:rsidRPr="00E97AFD">
        <w:rPr>
          <w:rFonts w:asciiTheme="minorEastAsia" w:eastAsiaTheme="minorEastAsia" w:hAnsiTheme="minorEastAsia" w:hint="eastAsia"/>
          <w:b/>
          <w:szCs w:val="21"/>
        </w:rPr>
        <w:t>，全面认识本基金的风险收益特征和产品特性，并充分考虑自身的风险承受能力，理性判断市场，谨慎做出投资决策。</w:t>
      </w:r>
    </w:p>
    <w:p w14:paraId="273E2191" w14:textId="77777777" w:rsidR="00BA4B87" w:rsidRPr="00E97AFD" w:rsidRDefault="00CA2A8F" w:rsidP="00966694">
      <w:pPr>
        <w:snapToGrid w:val="0"/>
        <w:spacing w:line="360" w:lineRule="auto"/>
        <w:ind w:firstLineChars="200" w:firstLine="422"/>
        <w:rPr>
          <w:rFonts w:asciiTheme="minorEastAsia" w:eastAsiaTheme="minorEastAsia" w:hAnsiTheme="minorEastAsia"/>
          <w:b/>
          <w:szCs w:val="21"/>
        </w:rPr>
      </w:pPr>
      <w:r w:rsidRPr="00E97AFD">
        <w:rPr>
          <w:rFonts w:asciiTheme="minorEastAsia" w:eastAsiaTheme="minorEastAsia" w:hAnsiTheme="minorEastAsia"/>
          <w:b/>
          <w:szCs w:val="21"/>
        </w:rPr>
        <w:t>基金不同于银行储蓄</w:t>
      </w:r>
      <w:r w:rsidR="00BA4B87" w:rsidRPr="00E97AFD">
        <w:rPr>
          <w:rFonts w:asciiTheme="minorEastAsia" w:eastAsiaTheme="minorEastAsia" w:hAnsiTheme="minorEastAsia"/>
          <w:b/>
          <w:szCs w:val="21"/>
        </w:rPr>
        <w:t>，基金</w:t>
      </w:r>
      <w:r w:rsidR="0007767A" w:rsidRPr="00E97AFD">
        <w:rPr>
          <w:rFonts w:asciiTheme="minorEastAsia" w:eastAsiaTheme="minorEastAsia" w:hAnsiTheme="minorEastAsia"/>
          <w:b/>
          <w:szCs w:val="21"/>
        </w:rPr>
        <w:t>投资者</w:t>
      </w:r>
      <w:r w:rsidR="00BA4B87" w:rsidRPr="00E97AFD">
        <w:rPr>
          <w:rFonts w:asciiTheme="minorEastAsia" w:eastAsiaTheme="minorEastAsia" w:hAnsiTheme="minorEastAsia"/>
          <w:b/>
          <w:szCs w:val="21"/>
        </w:rPr>
        <w:t>有可能获得较高的收益，也有可能损失本金。投资有风险，</w:t>
      </w:r>
      <w:r w:rsidR="0007767A" w:rsidRPr="00E97AFD">
        <w:rPr>
          <w:rFonts w:asciiTheme="minorEastAsia" w:eastAsiaTheme="minorEastAsia" w:hAnsiTheme="minorEastAsia"/>
          <w:b/>
          <w:szCs w:val="21"/>
        </w:rPr>
        <w:t>投资者</w:t>
      </w:r>
      <w:r w:rsidR="00BA4B87" w:rsidRPr="00E97AFD">
        <w:rPr>
          <w:rFonts w:asciiTheme="minorEastAsia" w:eastAsiaTheme="minorEastAsia" w:hAnsiTheme="minorEastAsia"/>
          <w:b/>
          <w:szCs w:val="21"/>
        </w:rPr>
        <w:t>在进行投资决策前，请仔细阅读本基金的《招募说明书》及《基金合同》。</w:t>
      </w:r>
    </w:p>
    <w:p w14:paraId="159A6FE0" w14:textId="77777777" w:rsidR="00BA4B87" w:rsidRPr="00E97AFD" w:rsidRDefault="00E272A5" w:rsidP="00966694">
      <w:pPr>
        <w:snapToGrid w:val="0"/>
        <w:spacing w:line="360" w:lineRule="auto"/>
        <w:ind w:firstLineChars="200" w:firstLine="422"/>
        <w:rPr>
          <w:rFonts w:asciiTheme="minorEastAsia" w:eastAsiaTheme="minorEastAsia" w:hAnsiTheme="minorEastAsia"/>
          <w:b/>
          <w:szCs w:val="21"/>
        </w:rPr>
      </w:pPr>
      <w:r w:rsidRPr="00E97AFD">
        <w:rPr>
          <w:rFonts w:asciiTheme="minorEastAsia" w:eastAsiaTheme="minorEastAsia" w:hAnsiTheme="minorEastAsia" w:hint="eastAsia"/>
          <w:b/>
          <w:szCs w:val="21"/>
        </w:rPr>
        <w:t>基金的过往业绩并不预示其未来表现。</w:t>
      </w:r>
      <w:r w:rsidR="009D4BBE" w:rsidRPr="00E97AFD">
        <w:rPr>
          <w:rFonts w:asciiTheme="minorEastAsia" w:eastAsiaTheme="minorEastAsia" w:hAnsiTheme="minorEastAsia" w:hint="eastAsia"/>
          <w:b/>
          <w:szCs w:val="21"/>
        </w:rPr>
        <w:t>基金管理人依照恪尽职守、诚实信用、谨慎勤勉的原则管理和运用基金资产，但不保证基金一定盈利，也不保证最低收益。</w:t>
      </w:r>
    </w:p>
    <w:p w14:paraId="60C2A0B1" w14:textId="209564A8" w:rsidR="0007041F" w:rsidRPr="00E97AFD" w:rsidRDefault="0007041F" w:rsidP="00665937">
      <w:pPr>
        <w:snapToGrid w:val="0"/>
        <w:spacing w:line="360" w:lineRule="auto"/>
        <w:ind w:firstLineChars="200" w:firstLine="422"/>
        <w:rPr>
          <w:rFonts w:asciiTheme="minorEastAsia" w:eastAsiaTheme="minorEastAsia" w:hAnsiTheme="minorEastAsia"/>
          <w:b/>
        </w:rPr>
      </w:pPr>
      <w:r w:rsidRPr="00E97AFD">
        <w:rPr>
          <w:rFonts w:asciiTheme="minorEastAsia" w:eastAsiaTheme="minorEastAsia" w:hAnsiTheme="minorEastAsia" w:hint="eastAsia"/>
          <w:b/>
        </w:rPr>
        <w:t>基金合同约定的基金产品资料概要编制、披露与更新要求，自《信息披露办法》实施之日起一年后开始执行。</w:t>
      </w:r>
    </w:p>
    <w:p w14:paraId="259B889C" w14:textId="6F591A0B" w:rsidR="00A362E9" w:rsidRPr="00E97AFD" w:rsidRDefault="00A362E9" w:rsidP="00665937">
      <w:pPr>
        <w:snapToGrid w:val="0"/>
        <w:spacing w:line="360" w:lineRule="auto"/>
        <w:ind w:firstLineChars="200" w:firstLine="422"/>
        <w:rPr>
          <w:rFonts w:asciiTheme="minorEastAsia" w:eastAsiaTheme="minorEastAsia" w:hAnsiTheme="minorEastAsia"/>
          <w:b/>
          <w:szCs w:val="21"/>
        </w:rPr>
      </w:pPr>
      <w:r w:rsidRPr="00E97AFD">
        <w:rPr>
          <w:rFonts w:asciiTheme="minorEastAsia" w:eastAsiaTheme="minorEastAsia" w:hAnsiTheme="minorEastAsia" w:hint="eastAsia"/>
          <w:b/>
          <w:szCs w:val="21"/>
        </w:rPr>
        <w:t>除非另有说明，</w:t>
      </w:r>
      <w:r w:rsidR="0027563B" w:rsidRPr="00E97AFD">
        <w:rPr>
          <w:rFonts w:asciiTheme="minorEastAsia" w:eastAsiaTheme="minorEastAsia" w:hAnsiTheme="minorEastAsia" w:hint="eastAsia"/>
          <w:b/>
          <w:szCs w:val="21"/>
        </w:rPr>
        <w:t>本招募说明书所载内容截止日为2020年5月16日</w:t>
      </w:r>
      <w:r w:rsidRPr="00E97AFD">
        <w:rPr>
          <w:rFonts w:asciiTheme="minorEastAsia" w:eastAsiaTheme="minorEastAsia" w:hAnsiTheme="minorEastAsia" w:hint="eastAsia"/>
          <w:b/>
          <w:szCs w:val="21"/>
        </w:rPr>
        <w:t>，</w:t>
      </w:r>
      <w:r w:rsidR="0027563B" w:rsidRPr="00E97AFD">
        <w:rPr>
          <w:rFonts w:asciiTheme="minorEastAsia" w:eastAsiaTheme="minorEastAsia" w:hAnsiTheme="minorEastAsia" w:hint="eastAsia"/>
          <w:b/>
          <w:szCs w:val="21"/>
        </w:rPr>
        <w:t>有关财务数据截止日为2020年3月31日</w:t>
      </w:r>
      <w:r w:rsidRPr="00E97AFD">
        <w:rPr>
          <w:rFonts w:asciiTheme="minorEastAsia" w:eastAsiaTheme="minorEastAsia" w:hAnsiTheme="minorEastAsia" w:hint="eastAsia"/>
          <w:b/>
          <w:szCs w:val="21"/>
        </w:rPr>
        <w:t>，</w:t>
      </w:r>
      <w:r w:rsidR="0027563B" w:rsidRPr="00E97AFD">
        <w:rPr>
          <w:rFonts w:asciiTheme="minorEastAsia" w:eastAsiaTheme="minorEastAsia" w:hAnsiTheme="minorEastAsia" w:hint="eastAsia"/>
          <w:b/>
          <w:szCs w:val="21"/>
        </w:rPr>
        <w:t>净值表现截止日为2019年12月31日</w:t>
      </w:r>
      <w:r w:rsidRPr="00E97AFD">
        <w:rPr>
          <w:rFonts w:asciiTheme="minorEastAsia" w:eastAsiaTheme="minorEastAsia" w:hAnsiTheme="minorEastAsia" w:hint="eastAsia"/>
          <w:b/>
          <w:szCs w:val="21"/>
        </w:rPr>
        <w:t>。（本报告中财务数据未</w:t>
      </w:r>
      <w:r w:rsidRPr="00E97AFD">
        <w:rPr>
          <w:rFonts w:asciiTheme="minorEastAsia" w:eastAsiaTheme="minorEastAsia" w:hAnsiTheme="minorEastAsia" w:hint="eastAsia"/>
          <w:b/>
          <w:szCs w:val="21"/>
        </w:rPr>
        <w:lastRenderedPageBreak/>
        <w:t>经审计）</w:t>
      </w:r>
    </w:p>
    <w:p w14:paraId="5AD48823" w14:textId="77777777" w:rsidR="00A362E9" w:rsidRPr="00E97AFD" w:rsidRDefault="00A362E9" w:rsidP="00966694">
      <w:pPr>
        <w:adjustRightInd w:val="0"/>
        <w:snapToGrid w:val="0"/>
        <w:spacing w:line="360" w:lineRule="auto"/>
        <w:ind w:firstLine="480"/>
        <w:jc w:val="center"/>
        <w:rPr>
          <w:rFonts w:asciiTheme="minorEastAsia" w:eastAsiaTheme="minorEastAsia" w:hAnsiTheme="minorEastAsia"/>
          <w:b/>
          <w:szCs w:val="21"/>
        </w:rPr>
      </w:pPr>
    </w:p>
    <w:p w14:paraId="26777AC9" w14:textId="77777777" w:rsidR="00764B7D" w:rsidRPr="00E97AFD" w:rsidRDefault="00764B7D" w:rsidP="00966694">
      <w:pPr>
        <w:adjustRightInd w:val="0"/>
        <w:snapToGrid w:val="0"/>
        <w:spacing w:line="360" w:lineRule="auto"/>
        <w:ind w:firstLine="480"/>
        <w:jc w:val="center"/>
        <w:rPr>
          <w:rFonts w:asciiTheme="minorEastAsia" w:eastAsiaTheme="minorEastAsia" w:hAnsiTheme="minorEastAsia"/>
          <w:b/>
          <w:szCs w:val="21"/>
        </w:rPr>
        <w:sectPr w:rsidR="00764B7D" w:rsidRPr="00E97AFD" w:rsidSect="008543D8">
          <w:headerReference w:type="even" r:id="rId9"/>
          <w:headerReference w:type="default" r:id="rId10"/>
          <w:footerReference w:type="even" r:id="rId11"/>
          <w:footerReference w:type="default" r:id="rId12"/>
          <w:headerReference w:type="first" r:id="rId13"/>
          <w:footerReference w:type="first" r:id="rId14"/>
          <w:pgSz w:w="11906" w:h="16838" w:code="9"/>
          <w:pgMar w:top="1701" w:right="1814" w:bottom="1701" w:left="1814" w:header="1134" w:footer="1247" w:gutter="0"/>
          <w:pgNumType w:fmt="upperRoman" w:start="1"/>
          <w:cols w:space="720"/>
          <w:docGrid w:type="lines" w:linePitch="305"/>
        </w:sectPr>
      </w:pPr>
    </w:p>
    <w:p w14:paraId="50AE4337" w14:textId="77777777" w:rsidR="00BA4B87" w:rsidRPr="00E97AFD" w:rsidRDefault="00BA4B87" w:rsidP="00966694">
      <w:pPr>
        <w:adjustRightInd w:val="0"/>
        <w:snapToGrid w:val="0"/>
        <w:spacing w:line="360" w:lineRule="auto"/>
        <w:ind w:firstLine="480"/>
        <w:jc w:val="center"/>
        <w:rPr>
          <w:rFonts w:asciiTheme="minorEastAsia" w:eastAsiaTheme="minorEastAsia" w:hAnsiTheme="minorEastAsia"/>
          <w:sz w:val="30"/>
        </w:rPr>
      </w:pPr>
      <w:r w:rsidRPr="00E97AFD">
        <w:rPr>
          <w:rFonts w:asciiTheme="minorEastAsia" w:eastAsiaTheme="minorEastAsia" w:hAnsiTheme="minorEastAsia"/>
          <w:b/>
        </w:rPr>
        <w:lastRenderedPageBreak/>
        <w:t>目录</w:t>
      </w:r>
    </w:p>
    <w:p w14:paraId="2EDDEA10" w14:textId="77777777" w:rsidR="000E1F7F" w:rsidRDefault="00BE3BD3">
      <w:pPr>
        <w:pStyle w:val="10"/>
        <w:rPr>
          <w:rFonts w:asciiTheme="minorHAnsi" w:eastAsiaTheme="minorEastAsia" w:hAnsiTheme="minorHAnsi" w:cstheme="minorBidi"/>
          <w:caps w:val="0"/>
          <w:color w:val="auto"/>
          <w:sz w:val="21"/>
          <w:szCs w:val="22"/>
        </w:rPr>
      </w:pPr>
      <w:r w:rsidRPr="00E97AFD">
        <w:rPr>
          <w:rFonts w:asciiTheme="minorEastAsia" w:eastAsiaTheme="minorEastAsia" w:hAnsiTheme="minorEastAsia"/>
          <w:b/>
          <w:color w:val="auto"/>
        </w:rPr>
        <w:fldChar w:fldCharType="begin"/>
      </w:r>
      <w:r w:rsidR="00BA4B87" w:rsidRPr="00E97AFD">
        <w:rPr>
          <w:rFonts w:asciiTheme="minorEastAsia" w:eastAsiaTheme="minorEastAsia" w:hAnsiTheme="minorEastAsia"/>
          <w:b/>
          <w:color w:val="auto"/>
        </w:rPr>
        <w:instrText xml:space="preserve"> TOC \o "1-3" \h \z \u </w:instrText>
      </w:r>
      <w:r w:rsidRPr="00E97AFD">
        <w:rPr>
          <w:rFonts w:asciiTheme="minorEastAsia" w:eastAsiaTheme="minorEastAsia" w:hAnsiTheme="minorEastAsia"/>
          <w:b/>
          <w:color w:val="auto"/>
        </w:rPr>
        <w:fldChar w:fldCharType="separate"/>
      </w:r>
      <w:hyperlink w:anchor="_Toc43371971" w:history="1">
        <w:r w:rsidR="000E1F7F" w:rsidRPr="00003896">
          <w:rPr>
            <w:rStyle w:val="a5"/>
            <w:rFonts w:asciiTheme="minorEastAsia" w:hAnsiTheme="minorEastAsia" w:hint="eastAsia"/>
            <w:b/>
          </w:rPr>
          <w:t>一、绪言</w:t>
        </w:r>
        <w:r w:rsidR="000E1F7F">
          <w:rPr>
            <w:webHidden/>
          </w:rPr>
          <w:tab/>
        </w:r>
        <w:r w:rsidR="000E1F7F">
          <w:rPr>
            <w:webHidden/>
          </w:rPr>
          <w:fldChar w:fldCharType="begin"/>
        </w:r>
        <w:r w:rsidR="000E1F7F">
          <w:rPr>
            <w:webHidden/>
          </w:rPr>
          <w:instrText xml:space="preserve"> PAGEREF _Toc43371971 \h </w:instrText>
        </w:r>
        <w:r w:rsidR="000E1F7F">
          <w:rPr>
            <w:webHidden/>
          </w:rPr>
        </w:r>
        <w:r w:rsidR="000E1F7F">
          <w:rPr>
            <w:webHidden/>
          </w:rPr>
          <w:fldChar w:fldCharType="separate"/>
        </w:r>
        <w:r w:rsidR="000E1F7F">
          <w:rPr>
            <w:webHidden/>
          </w:rPr>
          <w:t>1</w:t>
        </w:r>
        <w:r w:rsidR="000E1F7F">
          <w:rPr>
            <w:webHidden/>
          </w:rPr>
          <w:fldChar w:fldCharType="end"/>
        </w:r>
      </w:hyperlink>
    </w:p>
    <w:p w14:paraId="12694314" w14:textId="77777777" w:rsidR="000E1F7F" w:rsidRDefault="00ED43D3">
      <w:pPr>
        <w:pStyle w:val="10"/>
        <w:rPr>
          <w:rFonts w:asciiTheme="minorHAnsi" w:eastAsiaTheme="minorEastAsia" w:hAnsiTheme="minorHAnsi" w:cstheme="minorBidi"/>
          <w:caps w:val="0"/>
          <w:color w:val="auto"/>
          <w:sz w:val="21"/>
          <w:szCs w:val="22"/>
        </w:rPr>
      </w:pPr>
      <w:hyperlink w:anchor="_Toc43371972" w:history="1">
        <w:r w:rsidR="000E1F7F" w:rsidRPr="00003896">
          <w:rPr>
            <w:rStyle w:val="a5"/>
            <w:rFonts w:asciiTheme="minorEastAsia" w:hAnsiTheme="minorEastAsia" w:hint="eastAsia"/>
            <w:b/>
          </w:rPr>
          <w:t>二、释义</w:t>
        </w:r>
        <w:r w:rsidR="000E1F7F">
          <w:rPr>
            <w:webHidden/>
          </w:rPr>
          <w:tab/>
        </w:r>
        <w:r w:rsidR="000E1F7F">
          <w:rPr>
            <w:webHidden/>
          </w:rPr>
          <w:fldChar w:fldCharType="begin"/>
        </w:r>
        <w:r w:rsidR="000E1F7F">
          <w:rPr>
            <w:webHidden/>
          </w:rPr>
          <w:instrText xml:space="preserve"> PAGEREF _Toc43371972 \h </w:instrText>
        </w:r>
        <w:r w:rsidR="000E1F7F">
          <w:rPr>
            <w:webHidden/>
          </w:rPr>
        </w:r>
        <w:r w:rsidR="000E1F7F">
          <w:rPr>
            <w:webHidden/>
          </w:rPr>
          <w:fldChar w:fldCharType="separate"/>
        </w:r>
        <w:r w:rsidR="000E1F7F">
          <w:rPr>
            <w:webHidden/>
          </w:rPr>
          <w:t>2</w:t>
        </w:r>
        <w:r w:rsidR="000E1F7F">
          <w:rPr>
            <w:webHidden/>
          </w:rPr>
          <w:fldChar w:fldCharType="end"/>
        </w:r>
      </w:hyperlink>
    </w:p>
    <w:p w14:paraId="6B3F12E1" w14:textId="77777777" w:rsidR="000E1F7F" w:rsidRDefault="00ED43D3">
      <w:pPr>
        <w:pStyle w:val="10"/>
        <w:rPr>
          <w:rFonts w:asciiTheme="minorHAnsi" w:eastAsiaTheme="minorEastAsia" w:hAnsiTheme="minorHAnsi" w:cstheme="minorBidi"/>
          <w:caps w:val="0"/>
          <w:color w:val="auto"/>
          <w:sz w:val="21"/>
          <w:szCs w:val="22"/>
        </w:rPr>
      </w:pPr>
      <w:hyperlink w:anchor="_Toc43371973" w:history="1">
        <w:r w:rsidR="000E1F7F" w:rsidRPr="00003896">
          <w:rPr>
            <w:rStyle w:val="a5"/>
            <w:rFonts w:asciiTheme="minorEastAsia" w:hAnsiTheme="minorEastAsia" w:hint="eastAsia"/>
            <w:b/>
          </w:rPr>
          <w:t>三、基金管理人</w:t>
        </w:r>
        <w:r w:rsidR="000E1F7F">
          <w:rPr>
            <w:webHidden/>
          </w:rPr>
          <w:tab/>
        </w:r>
        <w:r w:rsidR="000E1F7F">
          <w:rPr>
            <w:webHidden/>
          </w:rPr>
          <w:fldChar w:fldCharType="begin"/>
        </w:r>
        <w:r w:rsidR="000E1F7F">
          <w:rPr>
            <w:webHidden/>
          </w:rPr>
          <w:instrText xml:space="preserve"> PAGEREF _Toc43371973 \h </w:instrText>
        </w:r>
        <w:r w:rsidR="000E1F7F">
          <w:rPr>
            <w:webHidden/>
          </w:rPr>
        </w:r>
        <w:r w:rsidR="000E1F7F">
          <w:rPr>
            <w:webHidden/>
          </w:rPr>
          <w:fldChar w:fldCharType="separate"/>
        </w:r>
        <w:r w:rsidR="000E1F7F">
          <w:rPr>
            <w:webHidden/>
          </w:rPr>
          <w:t>6</w:t>
        </w:r>
        <w:r w:rsidR="000E1F7F">
          <w:rPr>
            <w:webHidden/>
          </w:rPr>
          <w:fldChar w:fldCharType="end"/>
        </w:r>
      </w:hyperlink>
    </w:p>
    <w:p w14:paraId="6DC43FEA" w14:textId="77777777" w:rsidR="000E1F7F" w:rsidRDefault="00ED43D3">
      <w:pPr>
        <w:pStyle w:val="10"/>
        <w:rPr>
          <w:rFonts w:asciiTheme="minorHAnsi" w:eastAsiaTheme="minorEastAsia" w:hAnsiTheme="minorHAnsi" w:cstheme="minorBidi"/>
          <w:caps w:val="0"/>
          <w:color w:val="auto"/>
          <w:sz w:val="21"/>
          <w:szCs w:val="22"/>
        </w:rPr>
      </w:pPr>
      <w:hyperlink w:anchor="_Toc43371974" w:history="1">
        <w:r w:rsidR="000E1F7F" w:rsidRPr="00003896">
          <w:rPr>
            <w:rStyle w:val="a5"/>
            <w:rFonts w:asciiTheme="minorEastAsia" w:hAnsiTheme="minorEastAsia" w:hint="eastAsia"/>
            <w:b/>
          </w:rPr>
          <w:t>四、基金托管人</w:t>
        </w:r>
        <w:r w:rsidR="000E1F7F">
          <w:rPr>
            <w:webHidden/>
          </w:rPr>
          <w:tab/>
        </w:r>
        <w:r w:rsidR="000E1F7F">
          <w:rPr>
            <w:webHidden/>
          </w:rPr>
          <w:fldChar w:fldCharType="begin"/>
        </w:r>
        <w:r w:rsidR="000E1F7F">
          <w:rPr>
            <w:webHidden/>
          </w:rPr>
          <w:instrText xml:space="preserve"> PAGEREF _Toc43371974 \h </w:instrText>
        </w:r>
        <w:r w:rsidR="000E1F7F">
          <w:rPr>
            <w:webHidden/>
          </w:rPr>
        </w:r>
        <w:r w:rsidR="000E1F7F">
          <w:rPr>
            <w:webHidden/>
          </w:rPr>
          <w:fldChar w:fldCharType="separate"/>
        </w:r>
        <w:r w:rsidR="000E1F7F">
          <w:rPr>
            <w:webHidden/>
          </w:rPr>
          <w:t>18</w:t>
        </w:r>
        <w:r w:rsidR="000E1F7F">
          <w:rPr>
            <w:webHidden/>
          </w:rPr>
          <w:fldChar w:fldCharType="end"/>
        </w:r>
      </w:hyperlink>
    </w:p>
    <w:p w14:paraId="1CD4EFB8" w14:textId="77777777" w:rsidR="000E1F7F" w:rsidRDefault="00ED43D3">
      <w:pPr>
        <w:pStyle w:val="10"/>
        <w:rPr>
          <w:rFonts w:asciiTheme="minorHAnsi" w:eastAsiaTheme="minorEastAsia" w:hAnsiTheme="minorHAnsi" w:cstheme="minorBidi"/>
          <w:caps w:val="0"/>
          <w:color w:val="auto"/>
          <w:sz w:val="21"/>
          <w:szCs w:val="22"/>
        </w:rPr>
      </w:pPr>
      <w:hyperlink w:anchor="_Toc43371975" w:history="1">
        <w:r w:rsidR="000E1F7F" w:rsidRPr="00003896">
          <w:rPr>
            <w:rStyle w:val="a5"/>
            <w:rFonts w:asciiTheme="minorEastAsia" w:hAnsiTheme="minorEastAsia" w:hint="eastAsia"/>
            <w:b/>
          </w:rPr>
          <w:t>五、相关服务机构</w:t>
        </w:r>
        <w:r w:rsidR="000E1F7F">
          <w:rPr>
            <w:webHidden/>
          </w:rPr>
          <w:tab/>
        </w:r>
        <w:r w:rsidR="000E1F7F">
          <w:rPr>
            <w:webHidden/>
          </w:rPr>
          <w:fldChar w:fldCharType="begin"/>
        </w:r>
        <w:r w:rsidR="000E1F7F">
          <w:rPr>
            <w:webHidden/>
          </w:rPr>
          <w:instrText xml:space="preserve"> PAGEREF _Toc43371975 \h </w:instrText>
        </w:r>
        <w:r w:rsidR="000E1F7F">
          <w:rPr>
            <w:webHidden/>
          </w:rPr>
        </w:r>
        <w:r w:rsidR="000E1F7F">
          <w:rPr>
            <w:webHidden/>
          </w:rPr>
          <w:fldChar w:fldCharType="separate"/>
        </w:r>
        <w:r w:rsidR="000E1F7F">
          <w:rPr>
            <w:webHidden/>
          </w:rPr>
          <w:t>22</w:t>
        </w:r>
        <w:r w:rsidR="000E1F7F">
          <w:rPr>
            <w:webHidden/>
          </w:rPr>
          <w:fldChar w:fldCharType="end"/>
        </w:r>
      </w:hyperlink>
    </w:p>
    <w:p w14:paraId="2FFD1520" w14:textId="77777777" w:rsidR="000E1F7F" w:rsidRDefault="00ED43D3">
      <w:pPr>
        <w:pStyle w:val="10"/>
        <w:rPr>
          <w:rFonts w:asciiTheme="minorHAnsi" w:eastAsiaTheme="minorEastAsia" w:hAnsiTheme="minorHAnsi" w:cstheme="minorBidi"/>
          <w:caps w:val="0"/>
          <w:color w:val="auto"/>
          <w:sz w:val="21"/>
          <w:szCs w:val="22"/>
        </w:rPr>
      </w:pPr>
      <w:hyperlink w:anchor="_Toc43371976" w:history="1">
        <w:r w:rsidR="000E1F7F" w:rsidRPr="00003896">
          <w:rPr>
            <w:rStyle w:val="a5"/>
            <w:rFonts w:asciiTheme="minorEastAsia" w:hAnsiTheme="minorEastAsia" w:hint="eastAsia"/>
            <w:b/>
            <w:bCs/>
          </w:rPr>
          <w:t>六、基金份额的分类</w:t>
        </w:r>
        <w:r w:rsidR="000E1F7F">
          <w:rPr>
            <w:webHidden/>
          </w:rPr>
          <w:tab/>
        </w:r>
        <w:r w:rsidR="000E1F7F">
          <w:rPr>
            <w:webHidden/>
          </w:rPr>
          <w:fldChar w:fldCharType="begin"/>
        </w:r>
        <w:r w:rsidR="000E1F7F">
          <w:rPr>
            <w:webHidden/>
          </w:rPr>
          <w:instrText xml:space="preserve"> PAGEREF _Toc43371976 \h </w:instrText>
        </w:r>
        <w:r w:rsidR="000E1F7F">
          <w:rPr>
            <w:webHidden/>
          </w:rPr>
        </w:r>
        <w:r w:rsidR="000E1F7F">
          <w:rPr>
            <w:webHidden/>
          </w:rPr>
          <w:fldChar w:fldCharType="separate"/>
        </w:r>
        <w:r w:rsidR="000E1F7F">
          <w:rPr>
            <w:webHidden/>
          </w:rPr>
          <w:t>56</w:t>
        </w:r>
        <w:r w:rsidR="000E1F7F">
          <w:rPr>
            <w:webHidden/>
          </w:rPr>
          <w:fldChar w:fldCharType="end"/>
        </w:r>
      </w:hyperlink>
    </w:p>
    <w:p w14:paraId="1B2037B5" w14:textId="77777777" w:rsidR="000E1F7F" w:rsidRDefault="00ED43D3">
      <w:pPr>
        <w:pStyle w:val="10"/>
        <w:rPr>
          <w:rFonts w:asciiTheme="minorHAnsi" w:eastAsiaTheme="minorEastAsia" w:hAnsiTheme="minorHAnsi" w:cstheme="minorBidi"/>
          <w:caps w:val="0"/>
          <w:color w:val="auto"/>
          <w:sz w:val="21"/>
          <w:szCs w:val="22"/>
        </w:rPr>
      </w:pPr>
      <w:hyperlink w:anchor="_Toc43371977" w:history="1">
        <w:r w:rsidR="000E1F7F" w:rsidRPr="00003896">
          <w:rPr>
            <w:rStyle w:val="a5"/>
            <w:rFonts w:asciiTheme="minorEastAsia" w:hAnsiTheme="minorEastAsia" w:hint="eastAsia"/>
            <w:b/>
            <w:bCs/>
          </w:rPr>
          <w:t>七、基金的募集</w:t>
        </w:r>
        <w:r w:rsidR="000E1F7F">
          <w:rPr>
            <w:webHidden/>
          </w:rPr>
          <w:tab/>
        </w:r>
        <w:r w:rsidR="000E1F7F">
          <w:rPr>
            <w:webHidden/>
          </w:rPr>
          <w:fldChar w:fldCharType="begin"/>
        </w:r>
        <w:r w:rsidR="000E1F7F">
          <w:rPr>
            <w:webHidden/>
          </w:rPr>
          <w:instrText xml:space="preserve"> PAGEREF _Toc43371977 \h </w:instrText>
        </w:r>
        <w:r w:rsidR="000E1F7F">
          <w:rPr>
            <w:webHidden/>
          </w:rPr>
        </w:r>
        <w:r w:rsidR="000E1F7F">
          <w:rPr>
            <w:webHidden/>
          </w:rPr>
          <w:fldChar w:fldCharType="separate"/>
        </w:r>
        <w:r w:rsidR="000E1F7F">
          <w:rPr>
            <w:webHidden/>
          </w:rPr>
          <w:t>57</w:t>
        </w:r>
        <w:r w:rsidR="000E1F7F">
          <w:rPr>
            <w:webHidden/>
          </w:rPr>
          <w:fldChar w:fldCharType="end"/>
        </w:r>
      </w:hyperlink>
    </w:p>
    <w:p w14:paraId="3E05CE61" w14:textId="77777777" w:rsidR="000E1F7F" w:rsidRDefault="00ED43D3">
      <w:pPr>
        <w:pStyle w:val="10"/>
        <w:rPr>
          <w:rFonts w:asciiTheme="minorHAnsi" w:eastAsiaTheme="minorEastAsia" w:hAnsiTheme="minorHAnsi" w:cstheme="minorBidi"/>
          <w:caps w:val="0"/>
          <w:color w:val="auto"/>
          <w:sz w:val="21"/>
          <w:szCs w:val="22"/>
        </w:rPr>
      </w:pPr>
      <w:hyperlink w:anchor="_Toc43371978" w:history="1">
        <w:r w:rsidR="000E1F7F" w:rsidRPr="00003896">
          <w:rPr>
            <w:rStyle w:val="a5"/>
            <w:rFonts w:asciiTheme="minorEastAsia" w:hAnsiTheme="minorEastAsia" w:hint="eastAsia"/>
            <w:b/>
          </w:rPr>
          <w:t>八、基金合同的生效</w:t>
        </w:r>
        <w:r w:rsidR="000E1F7F">
          <w:rPr>
            <w:webHidden/>
          </w:rPr>
          <w:tab/>
        </w:r>
        <w:r w:rsidR="000E1F7F">
          <w:rPr>
            <w:webHidden/>
          </w:rPr>
          <w:fldChar w:fldCharType="begin"/>
        </w:r>
        <w:r w:rsidR="000E1F7F">
          <w:rPr>
            <w:webHidden/>
          </w:rPr>
          <w:instrText xml:space="preserve"> PAGEREF _Toc43371978 \h </w:instrText>
        </w:r>
        <w:r w:rsidR="000E1F7F">
          <w:rPr>
            <w:webHidden/>
          </w:rPr>
        </w:r>
        <w:r w:rsidR="000E1F7F">
          <w:rPr>
            <w:webHidden/>
          </w:rPr>
          <w:fldChar w:fldCharType="separate"/>
        </w:r>
        <w:r w:rsidR="000E1F7F">
          <w:rPr>
            <w:webHidden/>
          </w:rPr>
          <w:t>58</w:t>
        </w:r>
        <w:r w:rsidR="000E1F7F">
          <w:rPr>
            <w:webHidden/>
          </w:rPr>
          <w:fldChar w:fldCharType="end"/>
        </w:r>
      </w:hyperlink>
    </w:p>
    <w:p w14:paraId="7FCB3ED8" w14:textId="77777777" w:rsidR="000E1F7F" w:rsidRDefault="00ED43D3">
      <w:pPr>
        <w:pStyle w:val="10"/>
        <w:rPr>
          <w:rFonts w:asciiTheme="minorHAnsi" w:eastAsiaTheme="minorEastAsia" w:hAnsiTheme="minorHAnsi" w:cstheme="minorBidi"/>
          <w:caps w:val="0"/>
          <w:color w:val="auto"/>
          <w:sz w:val="21"/>
          <w:szCs w:val="22"/>
        </w:rPr>
      </w:pPr>
      <w:hyperlink w:anchor="_Toc43371979" w:history="1">
        <w:r w:rsidR="000E1F7F" w:rsidRPr="00003896">
          <w:rPr>
            <w:rStyle w:val="a5"/>
            <w:rFonts w:asciiTheme="minorEastAsia" w:hAnsiTheme="minorEastAsia" w:hint="eastAsia"/>
            <w:b/>
          </w:rPr>
          <w:t>九、基金份额的申购、赎回</w:t>
        </w:r>
        <w:r w:rsidR="000E1F7F">
          <w:rPr>
            <w:webHidden/>
          </w:rPr>
          <w:tab/>
        </w:r>
        <w:r w:rsidR="000E1F7F">
          <w:rPr>
            <w:webHidden/>
          </w:rPr>
          <w:fldChar w:fldCharType="begin"/>
        </w:r>
        <w:r w:rsidR="000E1F7F">
          <w:rPr>
            <w:webHidden/>
          </w:rPr>
          <w:instrText xml:space="preserve"> PAGEREF _Toc43371979 \h </w:instrText>
        </w:r>
        <w:r w:rsidR="000E1F7F">
          <w:rPr>
            <w:webHidden/>
          </w:rPr>
        </w:r>
        <w:r w:rsidR="000E1F7F">
          <w:rPr>
            <w:webHidden/>
          </w:rPr>
          <w:fldChar w:fldCharType="separate"/>
        </w:r>
        <w:r w:rsidR="000E1F7F">
          <w:rPr>
            <w:webHidden/>
          </w:rPr>
          <w:t>59</w:t>
        </w:r>
        <w:r w:rsidR="000E1F7F">
          <w:rPr>
            <w:webHidden/>
          </w:rPr>
          <w:fldChar w:fldCharType="end"/>
        </w:r>
      </w:hyperlink>
    </w:p>
    <w:p w14:paraId="3336DBFB" w14:textId="77777777" w:rsidR="000E1F7F" w:rsidRDefault="00ED43D3">
      <w:pPr>
        <w:pStyle w:val="10"/>
        <w:rPr>
          <w:rFonts w:asciiTheme="minorHAnsi" w:eastAsiaTheme="minorEastAsia" w:hAnsiTheme="minorHAnsi" w:cstheme="minorBidi"/>
          <w:caps w:val="0"/>
          <w:color w:val="auto"/>
          <w:sz w:val="21"/>
          <w:szCs w:val="22"/>
        </w:rPr>
      </w:pPr>
      <w:hyperlink w:anchor="_Toc43371980" w:history="1">
        <w:r w:rsidR="000E1F7F" w:rsidRPr="00003896">
          <w:rPr>
            <w:rStyle w:val="a5"/>
            <w:rFonts w:asciiTheme="minorEastAsia" w:hAnsiTheme="minorEastAsia" w:hint="eastAsia"/>
            <w:b/>
          </w:rPr>
          <w:t>十、基金的转换</w:t>
        </w:r>
        <w:r w:rsidR="000E1F7F">
          <w:rPr>
            <w:webHidden/>
          </w:rPr>
          <w:tab/>
        </w:r>
        <w:r w:rsidR="000E1F7F">
          <w:rPr>
            <w:webHidden/>
          </w:rPr>
          <w:fldChar w:fldCharType="begin"/>
        </w:r>
        <w:r w:rsidR="000E1F7F">
          <w:rPr>
            <w:webHidden/>
          </w:rPr>
          <w:instrText xml:space="preserve"> PAGEREF _Toc43371980 \h </w:instrText>
        </w:r>
        <w:r w:rsidR="000E1F7F">
          <w:rPr>
            <w:webHidden/>
          </w:rPr>
        </w:r>
        <w:r w:rsidR="000E1F7F">
          <w:rPr>
            <w:webHidden/>
          </w:rPr>
          <w:fldChar w:fldCharType="separate"/>
        </w:r>
        <w:r w:rsidR="000E1F7F">
          <w:rPr>
            <w:webHidden/>
          </w:rPr>
          <w:t>67</w:t>
        </w:r>
        <w:r w:rsidR="000E1F7F">
          <w:rPr>
            <w:webHidden/>
          </w:rPr>
          <w:fldChar w:fldCharType="end"/>
        </w:r>
      </w:hyperlink>
    </w:p>
    <w:p w14:paraId="5AA1FB3B" w14:textId="77777777" w:rsidR="000E1F7F" w:rsidRDefault="00ED43D3">
      <w:pPr>
        <w:pStyle w:val="10"/>
        <w:rPr>
          <w:rFonts w:asciiTheme="minorHAnsi" w:eastAsiaTheme="minorEastAsia" w:hAnsiTheme="minorHAnsi" w:cstheme="minorBidi"/>
          <w:caps w:val="0"/>
          <w:color w:val="auto"/>
          <w:sz w:val="21"/>
          <w:szCs w:val="22"/>
        </w:rPr>
      </w:pPr>
      <w:hyperlink w:anchor="_Toc43371981" w:history="1">
        <w:r w:rsidR="000E1F7F" w:rsidRPr="00003896">
          <w:rPr>
            <w:rStyle w:val="a5"/>
            <w:rFonts w:asciiTheme="minorEastAsia" w:hAnsiTheme="minorEastAsia" w:hint="eastAsia"/>
            <w:b/>
          </w:rPr>
          <w:t>十一、基金的转托管、非交易过户、冻结与解冻</w:t>
        </w:r>
        <w:r w:rsidR="000E1F7F">
          <w:rPr>
            <w:webHidden/>
          </w:rPr>
          <w:tab/>
        </w:r>
        <w:r w:rsidR="000E1F7F">
          <w:rPr>
            <w:webHidden/>
          </w:rPr>
          <w:fldChar w:fldCharType="begin"/>
        </w:r>
        <w:r w:rsidR="000E1F7F">
          <w:rPr>
            <w:webHidden/>
          </w:rPr>
          <w:instrText xml:space="preserve"> PAGEREF _Toc43371981 \h </w:instrText>
        </w:r>
        <w:r w:rsidR="000E1F7F">
          <w:rPr>
            <w:webHidden/>
          </w:rPr>
        </w:r>
        <w:r w:rsidR="000E1F7F">
          <w:rPr>
            <w:webHidden/>
          </w:rPr>
          <w:fldChar w:fldCharType="separate"/>
        </w:r>
        <w:r w:rsidR="000E1F7F">
          <w:rPr>
            <w:webHidden/>
          </w:rPr>
          <w:t>73</w:t>
        </w:r>
        <w:r w:rsidR="000E1F7F">
          <w:rPr>
            <w:webHidden/>
          </w:rPr>
          <w:fldChar w:fldCharType="end"/>
        </w:r>
      </w:hyperlink>
    </w:p>
    <w:p w14:paraId="132FF87A" w14:textId="77777777" w:rsidR="000E1F7F" w:rsidRDefault="00ED43D3">
      <w:pPr>
        <w:pStyle w:val="10"/>
        <w:rPr>
          <w:rFonts w:asciiTheme="minorHAnsi" w:eastAsiaTheme="minorEastAsia" w:hAnsiTheme="minorHAnsi" w:cstheme="minorBidi"/>
          <w:caps w:val="0"/>
          <w:color w:val="auto"/>
          <w:sz w:val="21"/>
          <w:szCs w:val="22"/>
        </w:rPr>
      </w:pPr>
      <w:hyperlink w:anchor="_Toc43371982" w:history="1">
        <w:r w:rsidR="000E1F7F" w:rsidRPr="00003896">
          <w:rPr>
            <w:rStyle w:val="a5"/>
            <w:rFonts w:asciiTheme="minorEastAsia" w:hAnsiTheme="minorEastAsia" w:hint="eastAsia"/>
            <w:b/>
          </w:rPr>
          <w:t>十二、基金的投资</w:t>
        </w:r>
        <w:r w:rsidR="000E1F7F">
          <w:rPr>
            <w:webHidden/>
          </w:rPr>
          <w:tab/>
        </w:r>
        <w:r w:rsidR="000E1F7F">
          <w:rPr>
            <w:webHidden/>
          </w:rPr>
          <w:fldChar w:fldCharType="begin"/>
        </w:r>
        <w:r w:rsidR="000E1F7F">
          <w:rPr>
            <w:webHidden/>
          </w:rPr>
          <w:instrText xml:space="preserve"> PAGEREF _Toc43371982 \h </w:instrText>
        </w:r>
        <w:r w:rsidR="000E1F7F">
          <w:rPr>
            <w:webHidden/>
          </w:rPr>
        </w:r>
        <w:r w:rsidR="000E1F7F">
          <w:rPr>
            <w:webHidden/>
          </w:rPr>
          <w:fldChar w:fldCharType="separate"/>
        </w:r>
        <w:r w:rsidR="000E1F7F">
          <w:rPr>
            <w:webHidden/>
          </w:rPr>
          <w:t>74</w:t>
        </w:r>
        <w:r w:rsidR="000E1F7F">
          <w:rPr>
            <w:webHidden/>
          </w:rPr>
          <w:fldChar w:fldCharType="end"/>
        </w:r>
      </w:hyperlink>
    </w:p>
    <w:p w14:paraId="325C2555" w14:textId="77777777" w:rsidR="000E1F7F" w:rsidRDefault="00ED43D3">
      <w:pPr>
        <w:pStyle w:val="10"/>
        <w:rPr>
          <w:rFonts w:asciiTheme="minorHAnsi" w:eastAsiaTheme="minorEastAsia" w:hAnsiTheme="minorHAnsi" w:cstheme="minorBidi"/>
          <w:caps w:val="0"/>
          <w:color w:val="auto"/>
          <w:sz w:val="21"/>
          <w:szCs w:val="22"/>
        </w:rPr>
      </w:pPr>
      <w:hyperlink w:anchor="_Toc43371983" w:history="1">
        <w:r w:rsidR="000E1F7F" w:rsidRPr="00003896">
          <w:rPr>
            <w:rStyle w:val="a5"/>
            <w:rFonts w:asciiTheme="minorEastAsia" w:hAnsiTheme="minorEastAsia" w:hint="eastAsia"/>
            <w:b/>
          </w:rPr>
          <w:t>十三、基金的业绩</w:t>
        </w:r>
        <w:r w:rsidR="000E1F7F">
          <w:rPr>
            <w:webHidden/>
          </w:rPr>
          <w:tab/>
        </w:r>
        <w:r w:rsidR="000E1F7F">
          <w:rPr>
            <w:webHidden/>
          </w:rPr>
          <w:fldChar w:fldCharType="begin"/>
        </w:r>
        <w:r w:rsidR="000E1F7F">
          <w:rPr>
            <w:webHidden/>
          </w:rPr>
          <w:instrText xml:space="preserve"> PAGEREF _Toc43371983 \h </w:instrText>
        </w:r>
        <w:r w:rsidR="000E1F7F">
          <w:rPr>
            <w:webHidden/>
          </w:rPr>
        </w:r>
        <w:r w:rsidR="000E1F7F">
          <w:rPr>
            <w:webHidden/>
          </w:rPr>
          <w:fldChar w:fldCharType="separate"/>
        </w:r>
        <w:r w:rsidR="000E1F7F">
          <w:rPr>
            <w:webHidden/>
          </w:rPr>
          <w:t>86</w:t>
        </w:r>
        <w:r w:rsidR="000E1F7F">
          <w:rPr>
            <w:webHidden/>
          </w:rPr>
          <w:fldChar w:fldCharType="end"/>
        </w:r>
      </w:hyperlink>
    </w:p>
    <w:p w14:paraId="1410EC86" w14:textId="77777777" w:rsidR="000E1F7F" w:rsidRDefault="00ED43D3">
      <w:pPr>
        <w:pStyle w:val="10"/>
        <w:rPr>
          <w:rFonts w:asciiTheme="minorHAnsi" w:eastAsiaTheme="minorEastAsia" w:hAnsiTheme="minorHAnsi" w:cstheme="minorBidi"/>
          <w:caps w:val="0"/>
          <w:color w:val="auto"/>
          <w:sz w:val="21"/>
          <w:szCs w:val="22"/>
        </w:rPr>
      </w:pPr>
      <w:hyperlink w:anchor="_Toc43371984" w:history="1">
        <w:r w:rsidR="000E1F7F" w:rsidRPr="00003896">
          <w:rPr>
            <w:rStyle w:val="a5"/>
            <w:rFonts w:asciiTheme="minorEastAsia" w:hAnsiTheme="minorEastAsia" w:hint="eastAsia"/>
            <w:b/>
          </w:rPr>
          <w:t>十四、基金的财产</w:t>
        </w:r>
        <w:r w:rsidR="000E1F7F">
          <w:rPr>
            <w:webHidden/>
          </w:rPr>
          <w:tab/>
        </w:r>
        <w:r w:rsidR="000E1F7F">
          <w:rPr>
            <w:webHidden/>
          </w:rPr>
          <w:fldChar w:fldCharType="begin"/>
        </w:r>
        <w:r w:rsidR="000E1F7F">
          <w:rPr>
            <w:webHidden/>
          </w:rPr>
          <w:instrText xml:space="preserve"> PAGEREF _Toc43371984 \h </w:instrText>
        </w:r>
        <w:r w:rsidR="000E1F7F">
          <w:rPr>
            <w:webHidden/>
          </w:rPr>
        </w:r>
        <w:r w:rsidR="000E1F7F">
          <w:rPr>
            <w:webHidden/>
          </w:rPr>
          <w:fldChar w:fldCharType="separate"/>
        </w:r>
        <w:r w:rsidR="000E1F7F">
          <w:rPr>
            <w:webHidden/>
          </w:rPr>
          <w:t>88</w:t>
        </w:r>
        <w:r w:rsidR="000E1F7F">
          <w:rPr>
            <w:webHidden/>
          </w:rPr>
          <w:fldChar w:fldCharType="end"/>
        </w:r>
      </w:hyperlink>
    </w:p>
    <w:p w14:paraId="684E7E75" w14:textId="77777777" w:rsidR="000E1F7F" w:rsidRDefault="00ED43D3">
      <w:pPr>
        <w:pStyle w:val="10"/>
        <w:rPr>
          <w:rFonts w:asciiTheme="minorHAnsi" w:eastAsiaTheme="minorEastAsia" w:hAnsiTheme="minorHAnsi" w:cstheme="minorBidi"/>
          <w:caps w:val="0"/>
          <w:color w:val="auto"/>
          <w:sz w:val="21"/>
          <w:szCs w:val="22"/>
        </w:rPr>
      </w:pPr>
      <w:hyperlink w:anchor="_Toc43371985" w:history="1">
        <w:r w:rsidR="000E1F7F" w:rsidRPr="00003896">
          <w:rPr>
            <w:rStyle w:val="a5"/>
            <w:rFonts w:asciiTheme="minorEastAsia" w:hAnsiTheme="minorEastAsia" w:hint="eastAsia"/>
            <w:b/>
          </w:rPr>
          <w:t>十五、基金资产的估值</w:t>
        </w:r>
        <w:r w:rsidR="000E1F7F">
          <w:rPr>
            <w:webHidden/>
          </w:rPr>
          <w:tab/>
        </w:r>
        <w:r w:rsidR="000E1F7F">
          <w:rPr>
            <w:webHidden/>
          </w:rPr>
          <w:fldChar w:fldCharType="begin"/>
        </w:r>
        <w:r w:rsidR="000E1F7F">
          <w:rPr>
            <w:webHidden/>
          </w:rPr>
          <w:instrText xml:space="preserve"> PAGEREF _Toc43371985 \h </w:instrText>
        </w:r>
        <w:r w:rsidR="000E1F7F">
          <w:rPr>
            <w:webHidden/>
          </w:rPr>
        </w:r>
        <w:r w:rsidR="000E1F7F">
          <w:rPr>
            <w:webHidden/>
          </w:rPr>
          <w:fldChar w:fldCharType="separate"/>
        </w:r>
        <w:r w:rsidR="000E1F7F">
          <w:rPr>
            <w:webHidden/>
          </w:rPr>
          <w:t>89</w:t>
        </w:r>
        <w:r w:rsidR="000E1F7F">
          <w:rPr>
            <w:webHidden/>
          </w:rPr>
          <w:fldChar w:fldCharType="end"/>
        </w:r>
      </w:hyperlink>
    </w:p>
    <w:p w14:paraId="26564E09" w14:textId="77777777" w:rsidR="000E1F7F" w:rsidRDefault="00ED43D3">
      <w:pPr>
        <w:pStyle w:val="10"/>
        <w:rPr>
          <w:rFonts w:asciiTheme="minorHAnsi" w:eastAsiaTheme="minorEastAsia" w:hAnsiTheme="minorHAnsi" w:cstheme="minorBidi"/>
          <w:caps w:val="0"/>
          <w:color w:val="auto"/>
          <w:sz w:val="21"/>
          <w:szCs w:val="22"/>
        </w:rPr>
      </w:pPr>
      <w:hyperlink w:anchor="_Toc43371986" w:history="1">
        <w:r w:rsidR="000E1F7F" w:rsidRPr="00003896">
          <w:rPr>
            <w:rStyle w:val="a5"/>
            <w:rFonts w:asciiTheme="minorEastAsia" w:hAnsiTheme="minorEastAsia" w:hint="eastAsia"/>
            <w:b/>
          </w:rPr>
          <w:t>十六、基金的收益分配</w:t>
        </w:r>
        <w:r w:rsidR="000E1F7F">
          <w:rPr>
            <w:webHidden/>
          </w:rPr>
          <w:tab/>
        </w:r>
        <w:r w:rsidR="000E1F7F">
          <w:rPr>
            <w:webHidden/>
          </w:rPr>
          <w:fldChar w:fldCharType="begin"/>
        </w:r>
        <w:r w:rsidR="000E1F7F">
          <w:rPr>
            <w:webHidden/>
          </w:rPr>
          <w:instrText xml:space="preserve"> PAGEREF _Toc43371986 \h </w:instrText>
        </w:r>
        <w:r w:rsidR="000E1F7F">
          <w:rPr>
            <w:webHidden/>
          </w:rPr>
        </w:r>
        <w:r w:rsidR="000E1F7F">
          <w:rPr>
            <w:webHidden/>
          </w:rPr>
          <w:fldChar w:fldCharType="separate"/>
        </w:r>
        <w:r w:rsidR="000E1F7F">
          <w:rPr>
            <w:webHidden/>
          </w:rPr>
          <w:t>93</w:t>
        </w:r>
        <w:r w:rsidR="000E1F7F">
          <w:rPr>
            <w:webHidden/>
          </w:rPr>
          <w:fldChar w:fldCharType="end"/>
        </w:r>
      </w:hyperlink>
    </w:p>
    <w:p w14:paraId="57FC6897" w14:textId="77777777" w:rsidR="000E1F7F" w:rsidRDefault="00ED43D3">
      <w:pPr>
        <w:pStyle w:val="10"/>
        <w:rPr>
          <w:rFonts w:asciiTheme="minorHAnsi" w:eastAsiaTheme="minorEastAsia" w:hAnsiTheme="minorHAnsi" w:cstheme="minorBidi"/>
          <w:caps w:val="0"/>
          <w:color w:val="auto"/>
          <w:sz w:val="21"/>
          <w:szCs w:val="22"/>
        </w:rPr>
      </w:pPr>
      <w:hyperlink w:anchor="_Toc43371987" w:history="1">
        <w:r w:rsidR="000E1F7F" w:rsidRPr="00003896">
          <w:rPr>
            <w:rStyle w:val="a5"/>
            <w:rFonts w:asciiTheme="minorEastAsia" w:hAnsiTheme="minorEastAsia" w:hint="eastAsia"/>
            <w:b/>
          </w:rPr>
          <w:t>十七、基金的费用与税收</w:t>
        </w:r>
        <w:r w:rsidR="000E1F7F">
          <w:rPr>
            <w:webHidden/>
          </w:rPr>
          <w:tab/>
        </w:r>
        <w:r w:rsidR="000E1F7F">
          <w:rPr>
            <w:webHidden/>
          </w:rPr>
          <w:fldChar w:fldCharType="begin"/>
        </w:r>
        <w:r w:rsidR="000E1F7F">
          <w:rPr>
            <w:webHidden/>
          </w:rPr>
          <w:instrText xml:space="preserve"> PAGEREF _Toc43371987 \h </w:instrText>
        </w:r>
        <w:r w:rsidR="000E1F7F">
          <w:rPr>
            <w:webHidden/>
          </w:rPr>
        </w:r>
        <w:r w:rsidR="000E1F7F">
          <w:rPr>
            <w:webHidden/>
          </w:rPr>
          <w:fldChar w:fldCharType="separate"/>
        </w:r>
        <w:r w:rsidR="000E1F7F">
          <w:rPr>
            <w:webHidden/>
          </w:rPr>
          <w:t>95</w:t>
        </w:r>
        <w:r w:rsidR="000E1F7F">
          <w:rPr>
            <w:webHidden/>
          </w:rPr>
          <w:fldChar w:fldCharType="end"/>
        </w:r>
      </w:hyperlink>
    </w:p>
    <w:p w14:paraId="094540FA" w14:textId="77777777" w:rsidR="000E1F7F" w:rsidRDefault="00ED43D3">
      <w:pPr>
        <w:pStyle w:val="10"/>
        <w:rPr>
          <w:rFonts w:asciiTheme="minorHAnsi" w:eastAsiaTheme="minorEastAsia" w:hAnsiTheme="minorHAnsi" w:cstheme="minorBidi"/>
          <w:caps w:val="0"/>
          <w:color w:val="auto"/>
          <w:sz w:val="21"/>
          <w:szCs w:val="22"/>
        </w:rPr>
      </w:pPr>
      <w:hyperlink w:anchor="_Toc43371988" w:history="1">
        <w:r w:rsidR="000E1F7F" w:rsidRPr="00003896">
          <w:rPr>
            <w:rStyle w:val="a5"/>
            <w:rFonts w:asciiTheme="minorEastAsia" w:hAnsiTheme="minorEastAsia" w:hint="eastAsia"/>
            <w:b/>
          </w:rPr>
          <w:t>十八、基金的会计与审计</w:t>
        </w:r>
        <w:r w:rsidR="000E1F7F">
          <w:rPr>
            <w:webHidden/>
          </w:rPr>
          <w:tab/>
        </w:r>
        <w:r w:rsidR="000E1F7F">
          <w:rPr>
            <w:webHidden/>
          </w:rPr>
          <w:fldChar w:fldCharType="begin"/>
        </w:r>
        <w:r w:rsidR="000E1F7F">
          <w:rPr>
            <w:webHidden/>
          </w:rPr>
          <w:instrText xml:space="preserve"> PAGEREF _Toc43371988 \h </w:instrText>
        </w:r>
        <w:r w:rsidR="000E1F7F">
          <w:rPr>
            <w:webHidden/>
          </w:rPr>
        </w:r>
        <w:r w:rsidR="000E1F7F">
          <w:rPr>
            <w:webHidden/>
          </w:rPr>
          <w:fldChar w:fldCharType="separate"/>
        </w:r>
        <w:r w:rsidR="000E1F7F">
          <w:rPr>
            <w:webHidden/>
          </w:rPr>
          <w:t>98</w:t>
        </w:r>
        <w:r w:rsidR="000E1F7F">
          <w:rPr>
            <w:webHidden/>
          </w:rPr>
          <w:fldChar w:fldCharType="end"/>
        </w:r>
      </w:hyperlink>
    </w:p>
    <w:p w14:paraId="40DA5B50" w14:textId="77777777" w:rsidR="000E1F7F" w:rsidRDefault="00ED43D3">
      <w:pPr>
        <w:pStyle w:val="10"/>
        <w:rPr>
          <w:rFonts w:asciiTheme="minorHAnsi" w:eastAsiaTheme="minorEastAsia" w:hAnsiTheme="minorHAnsi" w:cstheme="minorBidi"/>
          <w:caps w:val="0"/>
          <w:color w:val="auto"/>
          <w:sz w:val="21"/>
          <w:szCs w:val="22"/>
        </w:rPr>
      </w:pPr>
      <w:hyperlink w:anchor="_Toc43371989" w:history="1">
        <w:r w:rsidR="000E1F7F" w:rsidRPr="00003896">
          <w:rPr>
            <w:rStyle w:val="a5"/>
            <w:rFonts w:asciiTheme="minorEastAsia" w:hAnsiTheme="minorEastAsia" w:hint="eastAsia"/>
            <w:b/>
          </w:rPr>
          <w:t>十九、基金的信息披露</w:t>
        </w:r>
        <w:r w:rsidR="000E1F7F">
          <w:rPr>
            <w:webHidden/>
          </w:rPr>
          <w:tab/>
        </w:r>
        <w:r w:rsidR="000E1F7F">
          <w:rPr>
            <w:webHidden/>
          </w:rPr>
          <w:fldChar w:fldCharType="begin"/>
        </w:r>
        <w:r w:rsidR="000E1F7F">
          <w:rPr>
            <w:webHidden/>
          </w:rPr>
          <w:instrText xml:space="preserve"> PAGEREF _Toc43371989 \h </w:instrText>
        </w:r>
        <w:r w:rsidR="000E1F7F">
          <w:rPr>
            <w:webHidden/>
          </w:rPr>
        </w:r>
        <w:r w:rsidR="000E1F7F">
          <w:rPr>
            <w:webHidden/>
          </w:rPr>
          <w:fldChar w:fldCharType="separate"/>
        </w:r>
        <w:r w:rsidR="000E1F7F">
          <w:rPr>
            <w:webHidden/>
          </w:rPr>
          <w:t>99</w:t>
        </w:r>
        <w:r w:rsidR="000E1F7F">
          <w:rPr>
            <w:webHidden/>
          </w:rPr>
          <w:fldChar w:fldCharType="end"/>
        </w:r>
      </w:hyperlink>
    </w:p>
    <w:p w14:paraId="13EDD126" w14:textId="77777777" w:rsidR="000E1F7F" w:rsidRDefault="00ED43D3">
      <w:pPr>
        <w:pStyle w:val="10"/>
        <w:rPr>
          <w:rFonts w:asciiTheme="minorHAnsi" w:eastAsiaTheme="minorEastAsia" w:hAnsiTheme="minorHAnsi" w:cstheme="minorBidi"/>
          <w:caps w:val="0"/>
          <w:color w:val="auto"/>
          <w:sz w:val="21"/>
          <w:szCs w:val="22"/>
        </w:rPr>
      </w:pPr>
      <w:hyperlink w:anchor="_Toc43371990" w:history="1">
        <w:r w:rsidR="000E1F7F" w:rsidRPr="00003896">
          <w:rPr>
            <w:rStyle w:val="a5"/>
            <w:rFonts w:asciiTheme="minorEastAsia" w:hAnsiTheme="minorEastAsia" w:hint="eastAsia"/>
            <w:b/>
          </w:rPr>
          <w:t>二十、风险揭示</w:t>
        </w:r>
        <w:r w:rsidR="000E1F7F">
          <w:rPr>
            <w:webHidden/>
          </w:rPr>
          <w:tab/>
        </w:r>
        <w:r w:rsidR="000E1F7F">
          <w:rPr>
            <w:webHidden/>
          </w:rPr>
          <w:fldChar w:fldCharType="begin"/>
        </w:r>
        <w:r w:rsidR="000E1F7F">
          <w:rPr>
            <w:webHidden/>
          </w:rPr>
          <w:instrText xml:space="preserve"> PAGEREF _Toc43371990 \h </w:instrText>
        </w:r>
        <w:r w:rsidR="000E1F7F">
          <w:rPr>
            <w:webHidden/>
          </w:rPr>
        </w:r>
        <w:r w:rsidR="000E1F7F">
          <w:rPr>
            <w:webHidden/>
          </w:rPr>
          <w:fldChar w:fldCharType="separate"/>
        </w:r>
        <w:r w:rsidR="000E1F7F">
          <w:rPr>
            <w:webHidden/>
          </w:rPr>
          <w:t>105</w:t>
        </w:r>
        <w:r w:rsidR="000E1F7F">
          <w:rPr>
            <w:webHidden/>
          </w:rPr>
          <w:fldChar w:fldCharType="end"/>
        </w:r>
      </w:hyperlink>
    </w:p>
    <w:p w14:paraId="257D646A" w14:textId="77777777" w:rsidR="000E1F7F" w:rsidRDefault="00ED43D3">
      <w:pPr>
        <w:pStyle w:val="10"/>
        <w:rPr>
          <w:rFonts w:asciiTheme="minorHAnsi" w:eastAsiaTheme="minorEastAsia" w:hAnsiTheme="minorHAnsi" w:cstheme="minorBidi"/>
          <w:caps w:val="0"/>
          <w:color w:val="auto"/>
          <w:sz w:val="21"/>
          <w:szCs w:val="22"/>
        </w:rPr>
      </w:pPr>
      <w:hyperlink w:anchor="_Toc43371991" w:history="1">
        <w:r w:rsidR="000E1F7F" w:rsidRPr="00003896">
          <w:rPr>
            <w:rStyle w:val="a5"/>
            <w:rFonts w:asciiTheme="minorEastAsia" w:hAnsiTheme="minorEastAsia" w:hint="eastAsia"/>
            <w:b/>
          </w:rPr>
          <w:t>二十一、基金合同的变更、终止与基金财产的清算</w:t>
        </w:r>
        <w:r w:rsidR="000E1F7F">
          <w:rPr>
            <w:webHidden/>
          </w:rPr>
          <w:tab/>
        </w:r>
        <w:r w:rsidR="000E1F7F">
          <w:rPr>
            <w:webHidden/>
          </w:rPr>
          <w:fldChar w:fldCharType="begin"/>
        </w:r>
        <w:r w:rsidR="000E1F7F">
          <w:rPr>
            <w:webHidden/>
          </w:rPr>
          <w:instrText xml:space="preserve"> PAGEREF _Toc43371991 \h </w:instrText>
        </w:r>
        <w:r w:rsidR="000E1F7F">
          <w:rPr>
            <w:webHidden/>
          </w:rPr>
        </w:r>
        <w:r w:rsidR="000E1F7F">
          <w:rPr>
            <w:webHidden/>
          </w:rPr>
          <w:fldChar w:fldCharType="separate"/>
        </w:r>
        <w:r w:rsidR="000E1F7F">
          <w:rPr>
            <w:webHidden/>
          </w:rPr>
          <w:t>108</w:t>
        </w:r>
        <w:r w:rsidR="000E1F7F">
          <w:rPr>
            <w:webHidden/>
          </w:rPr>
          <w:fldChar w:fldCharType="end"/>
        </w:r>
      </w:hyperlink>
    </w:p>
    <w:p w14:paraId="56820688" w14:textId="77777777" w:rsidR="000E1F7F" w:rsidRDefault="00ED43D3">
      <w:pPr>
        <w:pStyle w:val="10"/>
        <w:rPr>
          <w:rFonts w:asciiTheme="minorHAnsi" w:eastAsiaTheme="minorEastAsia" w:hAnsiTheme="minorHAnsi" w:cstheme="minorBidi"/>
          <w:caps w:val="0"/>
          <w:color w:val="auto"/>
          <w:sz w:val="21"/>
          <w:szCs w:val="22"/>
        </w:rPr>
      </w:pPr>
      <w:hyperlink w:anchor="_Toc43371992" w:history="1">
        <w:r w:rsidR="000E1F7F" w:rsidRPr="00003896">
          <w:rPr>
            <w:rStyle w:val="a5"/>
            <w:rFonts w:asciiTheme="minorEastAsia" w:hAnsiTheme="minorEastAsia" w:hint="eastAsia"/>
            <w:b/>
          </w:rPr>
          <w:t>二十二、基金合同的内容摘要</w:t>
        </w:r>
        <w:r w:rsidR="000E1F7F">
          <w:rPr>
            <w:webHidden/>
          </w:rPr>
          <w:tab/>
        </w:r>
        <w:r w:rsidR="000E1F7F">
          <w:rPr>
            <w:webHidden/>
          </w:rPr>
          <w:fldChar w:fldCharType="begin"/>
        </w:r>
        <w:r w:rsidR="000E1F7F">
          <w:rPr>
            <w:webHidden/>
          </w:rPr>
          <w:instrText xml:space="preserve"> PAGEREF _Toc43371992 \h </w:instrText>
        </w:r>
        <w:r w:rsidR="000E1F7F">
          <w:rPr>
            <w:webHidden/>
          </w:rPr>
        </w:r>
        <w:r w:rsidR="000E1F7F">
          <w:rPr>
            <w:webHidden/>
          </w:rPr>
          <w:fldChar w:fldCharType="separate"/>
        </w:r>
        <w:r w:rsidR="000E1F7F">
          <w:rPr>
            <w:webHidden/>
          </w:rPr>
          <w:t>110</w:t>
        </w:r>
        <w:r w:rsidR="000E1F7F">
          <w:rPr>
            <w:webHidden/>
          </w:rPr>
          <w:fldChar w:fldCharType="end"/>
        </w:r>
      </w:hyperlink>
    </w:p>
    <w:p w14:paraId="554168F2" w14:textId="77777777" w:rsidR="000E1F7F" w:rsidRDefault="00ED43D3">
      <w:pPr>
        <w:pStyle w:val="10"/>
        <w:rPr>
          <w:rFonts w:asciiTheme="minorHAnsi" w:eastAsiaTheme="minorEastAsia" w:hAnsiTheme="minorHAnsi" w:cstheme="minorBidi"/>
          <w:caps w:val="0"/>
          <w:color w:val="auto"/>
          <w:sz w:val="21"/>
          <w:szCs w:val="22"/>
        </w:rPr>
      </w:pPr>
      <w:hyperlink w:anchor="_Toc43371993" w:history="1">
        <w:r w:rsidR="000E1F7F" w:rsidRPr="00003896">
          <w:rPr>
            <w:rStyle w:val="a5"/>
            <w:rFonts w:asciiTheme="minorEastAsia" w:hAnsiTheme="minorEastAsia" w:hint="eastAsia"/>
            <w:b/>
          </w:rPr>
          <w:t>二十三、基金托管协议的内容摘要</w:t>
        </w:r>
        <w:r w:rsidR="000E1F7F">
          <w:rPr>
            <w:webHidden/>
          </w:rPr>
          <w:tab/>
        </w:r>
        <w:r w:rsidR="000E1F7F">
          <w:rPr>
            <w:webHidden/>
          </w:rPr>
          <w:fldChar w:fldCharType="begin"/>
        </w:r>
        <w:r w:rsidR="000E1F7F">
          <w:rPr>
            <w:webHidden/>
          </w:rPr>
          <w:instrText xml:space="preserve"> PAGEREF _Toc43371993 \h </w:instrText>
        </w:r>
        <w:r w:rsidR="000E1F7F">
          <w:rPr>
            <w:webHidden/>
          </w:rPr>
        </w:r>
        <w:r w:rsidR="000E1F7F">
          <w:rPr>
            <w:webHidden/>
          </w:rPr>
          <w:fldChar w:fldCharType="separate"/>
        </w:r>
        <w:r w:rsidR="000E1F7F">
          <w:rPr>
            <w:webHidden/>
          </w:rPr>
          <w:t>132</w:t>
        </w:r>
        <w:r w:rsidR="000E1F7F">
          <w:rPr>
            <w:webHidden/>
          </w:rPr>
          <w:fldChar w:fldCharType="end"/>
        </w:r>
      </w:hyperlink>
    </w:p>
    <w:p w14:paraId="4963E813" w14:textId="77777777" w:rsidR="000E1F7F" w:rsidRDefault="00ED43D3">
      <w:pPr>
        <w:pStyle w:val="10"/>
        <w:rPr>
          <w:rFonts w:asciiTheme="minorHAnsi" w:eastAsiaTheme="minorEastAsia" w:hAnsiTheme="minorHAnsi" w:cstheme="minorBidi"/>
          <w:caps w:val="0"/>
          <w:color w:val="auto"/>
          <w:sz w:val="21"/>
          <w:szCs w:val="22"/>
        </w:rPr>
      </w:pPr>
      <w:hyperlink w:anchor="_Toc43371994" w:history="1">
        <w:r w:rsidR="000E1F7F" w:rsidRPr="00003896">
          <w:rPr>
            <w:rStyle w:val="a5"/>
            <w:rFonts w:asciiTheme="minorEastAsia" w:hAnsiTheme="minorEastAsia" w:hint="eastAsia"/>
            <w:b/>
          </w:rPr>
          <w:t>二十四、对基金份额持有人的服务</w:t>
        </w:r>
        <w:r w:rsidR="000E1F7F">
          <w:rPr>
            <w:webHidden/>
          </w:rPr>
          <w:tab/>
        </w:r>
        <w:r w:rsidR="000E1F7F">
          <w:rPr>
            <w:webHidden/>
          </w:rPr>
          <w:fldChar w:fldCharType="begin"/>
        </w:r>
        <w:r w:rsidR="000E1F7F">
          <w:rPr>
            <w:webHidden/>
          </w:rPr>
          <w:instrText xml:space="preserve"> PAGEREF _Toc43371994 \h </w:instrText>
        </w:r>
        <w:r w:rsidR="000E1F7F">
          <w:rPr>
            <w:webHidden/>
          </w:rPr>
        </w:r>
        <w:r w:rsidR="000E1F7F">
          <w:rPr>
            <w:webHidden/>
          </w:rPr>
          <w:fldChar w:fldCharType="separate"/>
        </w:r>
        <w:r w:rsidR="000E1F7F">
          <w:rPr>
            <w:webHidden/>
          </w:rPr>
          <w:t>146</w:t>
        </w:r>
        <w:r w:rsidR="000E1F7F">
          <w:rPr>
            <w:webHidden/>
          </w:rPr>
          <w:fldChar w:fldCharType="end"/>
        </w:r>
      </w:hyperlink>
    </w:p>
    <w:p w14:paraId="18CB0AC7" w14:textId="77777777" w:rsidR="000E1F7F" w:rsidRDefault="00ED43D3">
      <w:pPr>
        <w:pStyle w:val="10"/>
        <w:rPr>
          <w:rFonts w:asciiTheme="minorHAnsi" w:eastAsiaTheme="minorEastAsia" w:hAnsiTheme="minorHAnsi" w:cstheme="minorBidi"/>
          <w:caps w:val="0"/>
          <w:color w:val="auto"/>
          <w:sz w:val="21"/>
          <w:szCs w:val="22"/>
        </w:rPr>
      </w:pPr>
      <w:hyperlink w:anchor="_Toc43371995" w:history="1">
        <w:r w:rsidR="000E1F7F" w:rsidRPr="00003896">
          <w:rPr>
            <w:rStyle w:val="a5"/>
            <w:rFonts w:asciiTheme="minorEastAsia" w:hAnsiTheme="minorEastAsia" w:hint="eastAsia"/>
            <w:b/>
          </w:rPr>
          <w:t>二十五、其他应披露事项</w:t>
        </w:r>
        <w:r w:rsidR="000E1F7F">
          <w:rPr>
            <w:webHidden/>
          </w:rPr>
          <w:tab/>
        </w:r>
        <w:r w:rsidR="000E1F7F">
          <w:rPr>
            <w:webHidden/>
          </w:rPr>
          <w:fldChar w:fldCharType="begin"/>
        </w:r>
        <w:r w:rsidR="000E1F7F">
          <w:rPr>
            <w:webHidden/>
          </w:rPr>
          <w:instrText xml:space="preserve"> PAGEREF _Toc43371995 \h </w:instrText>
        </w:r>
        <w:r w:rsidR="000E1F7F">
          <w:rPr>
            <w:webHidden/>
          </w:rPr>
        </w:r>
        <w:r w:rsidR="000E1F7F">
          <w:rPr>
            <w:webHidden/>
          </w:rPr>
          <w:fldChar w:fldCharType="separate"/>
        </w:r>
        <w:r w:rsidR="000E1F7F">
          <w:rPr>
            <w:webHidden/>
          </w:rPr>
          <w:t>147</w:t>
        </w:r>
        <w:r w:rsidR="000E1F7F">
          <w:rPr>
            <w:webHidden/>
          </w:rPr>
          <w:fldChar w:fldCharType="end"/>
        </w:r>
      </w:hyperlink>
    </w:p>
    <w:p w14:paraId="40694105" w14:textId="77777777" w:rsidR="000E1F7F" w:rsidRDefault="00ED43D3">
      <w:pPr>
        <w:pStyle w:val="10"/>
        <w:rPr>
          <w:rFonts w:asciiTheme="minorHAnsi" w:eastAsiaTheme="minorEastAsia" w:hAnsiTheme="minorHAnsi" w:cstheme="minorBidi"/>
          <w:caps w:val="0"/>
          <w:color w:val="auto"/>
          <w:sz w:val="21"/>
          <w:szCs w:val="22"/>
        </w:rPr>
      </w:pPr>
      <w:hyperlink w:anchor="_Toc43371996" w:history="1">
        <w:r w:rsidR="000E1F7F" w:rsidRPr="00003896">
          <w:rPr>
            <w:rStyle w:val="a5"/>
            <w:rFonts w:asciiTheme="minorEastAsia" w:hAnsiTheme="minorEastAsia" w:hint="eastAsia"/>
            <w:b/>
          </w:rPr>
          <w:t>二十六、招募说明书的存放及查阅方式</w:t>
        </w:r>
        <w:r w:rsidR="000E1F7F">
          <w:rPr>
            <w:webHidden/>
          </w:rPr>
          <w:tab/>
        </w:r>
        <w:r w:rsidR="000E1F7F">
          <w:rPr>
            <w:webHidden/>
          </w:rPr>
          <w:fldChar w:fldCharType="begin"/>
        </w:r>
        <w:r w:rsidR="000E1F7F">
          <w:rPr>
            <w:webHidden/>
          </w:rPr>
          <w:instrText xml:space="preserve"> PAGEREF _Toc43371996 \h </w:instrText>
        </w:r>
        <w:r w:rsidR="000E1F7F">
          <w:rPr>
            <w:webHidden/>
          </w:rPr>
        </w:r>
        <w:r w:rsidR="000E1F7F">
          <w:rPr>
            <w:webHidden/>
          </w:rPr>
          <w:fldChar w:fldCharType="separate"/>
        </w:r>
        <w:r w:rsidR="000E1F7F">
          <w:rPr>
            <w:webHidden/>
          </w:rPr>
          <w:t>148</w:t>
        </w:r>
        <w:r w:rsidR="000E1F7F">
          <w:rPr>
            <w:webHidden/>
          </w:rPr>
          <w:fldChar w:fldCharType="end"/>
        </w:r>
      </w:hyperlink>
    </w:p>
    <w:p w14:paraId="20F036A8" w14:textId="77777777" w:rsidR="000E1F7F" w:rsidRDefault="00ED43D3">
      <w:pPr>
        <w:pStyle w:val="10"/>
        <w:rPr>
          <w:rFonts w:asciiTheme="minorHAnsi" w:eastAsiaTheme="minorEastAsia" w:hAnsiTheme="minorHAnsi" w:cstheme="minorBidi"/>
          <w:caps w:val="0"/>
          <w:color w:val="auto"/>
          <w:sz w:val="21"/>
          <w:szCs w:val="22"/>
        </w:rPr>
      </w:pPr>
      <w:hyperlink w:anchor="_Toc43371997" w:history="1">
        <w:r w:rsidR="000E1F7F" w:rsidRPr="00003896">
          <w:rPr>
            <w:rStyle w:val="a5"/>
            <w:rFonts w:asciiTheme="minorEastAsia" w:hAnsiTheme="minorEastAsia" w:hint="eastAsia"/>
            <w:b/>
          </w:rPr>
          <w:t>二十七、备查文件</w:t>
        </w:r>
        <w:r w:rsidR="000E1F7F">
          <w:rPr>
            <w:webHidden/>
          </w:rPr>
          <w:tab/>
        </w:r>
        <w:r w:rsidR="000E1F7F">
          <w:rPr>
            <w:webHidden/>
          </w:rPr>
          <w:fldChar w:fldCharType="begin"/>
        </w:r>
        <w:r w:rsidR="000E1F7F">
          <w:rPr>
            <w:webHidden/>
          </w:rPr>
          <w:instrText xml:space="preserve"> PAGEREF _Toc43371997 \h </w:instrText>
        </w:r>
        <w:r w:rsidR="000E1F7F">
          <w:rPr>
            <w:webHidden/>
          </w:rPr>
        </w:r>
        <w:r w:rsidR="000E1F7F">
          <w:rPr>
            <w:webHidden/>
          </w:rPr>
          <w:fldChar w:fldCharType="separate"/>
        </w:r>
        <w:r w:rsidR="000E1F7F">
          <w:rPr>
            <w:webHidden/>
          </w:rPr>
          <w:t>149</w:t>
        </w:r>
        <w:r w:rsidR="000E1F7F">
          <w:rPr>
            <w:webHidden/>
          </w:rPr>
          <w:fldChar w:fldCharType="end"/>
        </w:r>
      </w:hyperlink>
    </w:p>
    <w:p w14:paraId="30BAA896" w14:textId="77777777" w:rsidR="00BA4B87" w:rsidRPr="00E97AFD" w:rsidRDefault="00BE3BD3" w:rsidP="00966694">
      <w:pPr>
        <w:snapToGrid w:val="0"/>
        <w:spacing w:line="360" w:lineRule="auto"/>
        <w:ind w:firstLine="560"/>
        <w:jc w:val="center"/>
        <w:rPr>
          <w:rFonts w:asciiTheme="minorEastAsia" w:eastAsiaTheme="minorEastAsia" w:hAnsiTheme="minorEastAsia"/>
        </w:rPr>
        <w:sectPr w:rsidR="00BA4B87" w:rsidRPr="00E97AFD" w:rsidSect="008543D8">
          <w:footerReference w:type="default" r:id="rId15"/>
          <w:pgSz w:w="11906" w:h="16838" w:code="9"/>
          <w:pgMar w:top="1701" w:right="1814" w:bottom="1701" w:left="1814" w:header="1134" w:footer="1247" w:gutter="0"/>
          <w:pgNumType w:fmt="upperRoman" w:start="1"/>
          <w:cols w:space="720"/>
          <w:docGrid w:type="lines" w:linePitch="305"/>
        </w:sectPr>
      </w:pPr>
      <w:r w:rsidRPr="00E97AFD">
        <w:rPr>
          <w:rFonts w:asciiTheme="minorEastAsia" w:eastAsiaTheme="minorEastAsia" w:hAnsiTheme="minorEastAsia"/>
          <w:b/>
          <w:noProof/>
          <w:sz w:val="24"/>
          <w:szCs w:val="28"/>
        </w:rPr>
        <w:fldChar w:fldCharType="end"/>
      </w:r>
    </w:p>
    <w:p w14:paraId="03E25EE2" w14:textId="77777777" w:rsidR="00BA4B87" w:rsidRPr="00E97AFD" w:rsidRDefault="00BA4B87" w:rsidP="006945E6">
      <w:pPr>
        <w:pStyle w:val="111"/>
        <w:pageBreakBefore w:val="0"/>
        <w:snapToGrid w:val="0"/>
        <w:spacing w:beforeLines="0" w:afterLines="0" w:line="360" w:lineRule="auto"/>
        <w:ind w:firstLine="602"/>
        <w:rPr>
          <w:rFonts w:asciiTheme="minorEastAsia" w:eastAsiaTheme="minorEastAsia" w:hAnsiTheme="minorEastAsia"/>
          <w:b/>
          <w:sz w:val="30"/>
        </w:rPr>
      </w:pPr>
      <w:bookmarkStart w:id="1" w:name="_Toc43371971"/>
      <w:r w:rsidRPr="00E97AFD">
        <w:rPr>
          <w:rFonts w:asciiTheme="minorEastAsia" w:eastAsiaTheme="minorEastAsia" w:hAnsiTheme="minorEastAsia"/>
          <w:b/>
          <w:sz w:val="30"/>
        </w:rPr>
        <w:lastRenderedPageBreak/>
        <w:t>一、绪言</w:t>
      </w:r>
      <w:bookmarkEnd w:id="1"/>
    </w:p>
    <w:p w14:paraId="1E5EB628" w14:textId="77777777" w:rsidR="00BA4B87" w:rsidRPr="00E97AFD" w:rsidRDefault="00BA4B87"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本招募说明书依据《中华人民共和国证券投资基金法》(以下简称《基金法》)、《证券投资基金运作管理办法》(以下简称《运作办法》)、《证券投资基金销售管理办法》(以下简称《销售办法》)、《</w:t>
      </w:r>
      <w:r w:rsidR="00B93896" w:rsidRPr="00E97AFD">
        <w:rPr>
          <w:rFonts w:asciiTheme="minorEastAsia" w:eastAsiaTheme="minorEastAsia" w:hAnsiTheme="minorEastAsia" w:hint="eastAsia"/>
        </w:rPr>
        <w:t>公开</w:t>
      </w:r>
      <w:r w:rsidR="00B93896" w:rsidRPr="00E97AFD">
        <w:rPr>
          <w:rFonts w:asciiTheme="minorEastAsia" w:eastAsiaTheme="minorEastAsia" w:hAnsiTheme="minorEastAsia"/>
        </w:rPr>
        <w:t>募集</w:t>
      </w:r>
      <w:r w:rsidRPr="00E97AFD">
        <w:rPr>
          <w:rFonts w:asciiTheme="minorEastAsia" w:eastAsiaTheme="minorEastAsia" w:hAnsiTheme="minorEastAsia"/>
        </w:rPr>
        <w:t>证券投资基金信息披露管理办法》(以下简称《信息披露办法》)、《证券投资基金信息披露内容与格式准则第5号&lt;招募说明书的内容与格式&gt;》、</w:t>
      </w:r>
      <w:r w:rsidR="00957F2C" w:rsidRPr="00E97AFD">
        <w:rPr>
          <w:rFonts w:asciiTheme="minorEastAsia" w:eastAsiaTheme="minorEastAsia" w:hAnsiTheme="minorEastAsia" w:hint="eastAsia"/>
        </w:rPr>
        <w:t>《货币市场基金监督管理办法》、《关于实施＜货币市场基金监督管理办法＞有关问题的规定》</w:t>
      </w:r>
      <w:r w:rsidR="00E04262" w:rsidRPr="00E97AFD">
        <w:rPr>
          <w:rFonts w:asciiTheme="minorEastAsia" w:eastAsiaTheme="minorEastAsia" w:hAnsiTheme="minorEastAsia" w:hint="eastAsia"/>
        </w:rPr>
        <w:t>、《公开募集开放式证券投资基金流动性风险管理规定》</w:t>
      </w:r>
      <w:r w:rsidR="00957F2C" w:rsidRPr="00E97AFD">
        <w:rPr>
          <w:rFonts w:asciiTheme="minorEastAsia" w:eastAsiaTheme="minorEastAsia" w:hAnsiTheme="minorEastAsia" w:hint="eastAsia"/>
        </w:rPr>
        <w:t>、</w:t>
      </w:r>
      <w:r w:rsidRPr="00E97AFD">
        <w:rPr>
          <w:rFonts w:asciiTheme="minorEastAsia" w:eastAsiaTheme="minorEastAsia" w:hAnsiTheme="minorEastAsia"/>
        </w:rPr>
        <w:t>《</w:t>
      </w:r>
      <w:r w:rsidR="00872236" w:rsidRPr="00E97AFD">
        <w:rPr>
          <w:rFonts w:asciiTheme="minorEastAsia" w:eastAsiaTheme="minorEastAsia" w:hAnsiTheme="minorEastAsia"/>
        </w:rPr>
        <w:t>易方达</w:t>
      </w:r>
      <w:r w:rsidR="00196408" w:rsidRPr="00E97AFD">
        <w:rPr>
          <w:rFonts w:asciiTheme="minorEastAsia" w:eastAsiaTheme="minorEastAsia" w:hAnsiTheme="minorEastAsia"/>
        </w:rPr>
        <w:t>天天增利</w:t>
      </w:r>
      <w:r w:rsidR="00B66608" w:rsidRPr="00E97AFD">
        <w:rPr>
          <w:rFonts w:asciiTheme="minorEastAsia" w:eastAsiaTheme="minorEastAsia" w:hAnsiTheme="minorEastAsia"/>
        </w:rPr>
        <w:t>货币市场基金</w:t>
      </w:r>
      <w:r w:rsidRPr="00E97AFD">
        <w:rPr>
          <w:rFonts w:asciiTheme="minorEastAsia" w:eastAsiaTheme="minorEastAsia" w:hAnsiTheme="minorEastAsia"/>
        </w:rPr>
        <w:t>基金合同》(以下简称基金合同)及其它有关规定等编写。</w:t>
      </w:r>
    </w:p>
    <w:p w14:paraId="327EDCE5" w14:textId="77777777" w:rsidR="00BA4B87" w:rsidRPr="00E97AFD" w:rsidRDefault="00BA4B87"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47ED1827" w14:textId="77777777" w:rsidR="00BA4B87" w:rsidRPr="00E97AFD" w:rsidRDefault="00BA4B87"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本招募说明书根据本基金的基金合同编写，并经中国证监会</w:t>
      </w:r>
      <w:r w:rsidR="00566D73" w:rsidRPr="00E97AFD">
        <w:rPr>
          <w:rFonts w:asciiTheme="minorEastAsia" w:eastAsiaTheme="minorEastAsia" w:hAnsiTheme="minorEastAsia" w:hint="eastAsia"/>
        </w:rPr>
        <w:t>注册</w:t>
      </w:r>
      <w:r w:rsidRPr="00E97AFD">
        <w:rPr>
          <w:rFonts w:asciiTheme="minorEastAsia" w:eastAsiaTheme="minorEastAsia" w:hAnsiTheme="minorEastAsia"/>
        </w:rPr>
        <w:t>。基金合同是约定基金当事人之间权利、义务的法律文件。基金</w:t>
      </w:r>
      <w:r w:rsidR="0007767A" w:rsidRPr="00E97AFD">
        <w:rPr>
          <w:rFonts w:asciiTheme="minorEastAsia" w:eastAsiaTheme="minorEastAsia" w:hAnsiTheme="minorEastAsia"/>
        </w:rPr>
        <w:t>投资者</w:t>
      </w:r>
      <w:r w:rsidRPr="00E97AFD">
        <w:rPr>
          <w:rFonts w:asciiTheme="minorEastAsia" w:eastAsiaTheme="minorEastAsia" w:hAnsiTheme="minorEastAsia"/>
        </w:rPr>
        <w:t>自依基金合同取得基金份额，即成为基金份额持有人和基金合同的当事人，其持有基金份额的行为本身即表明其对基金合同的承认和接受，并按照《基金法》、基金合同及其他有关规定享有权利、承担义务。基金</w:t>
      </w:r>
      <w:r w:rsidR="0007767A" w:rsidRPr="00E97AFD">
        <w:rPr>
          <w:rFonts w:asciiTheme="minorEastAsia" w:eastAsiaTheme="minorEastAsia" w:hAnsiTheme="minorEastAsia"/>
        </w:rPr>
        <w:t>投资者</w:t>
      </w:r>
      <w:r w:rsidRPr="00E97AFD">
        <w:rPr>
          <w:rFonts w:asciiTheme="minorEastAsia" w:eastAsiaTheme="minorEastAsia" w:hAnsiTheme="minorEastAsia"/>
        </w:rPr>
        <w:t>欲了解基金份额持有人的权利和义务，应详细查阅基金合同。</w:t>
      </w:r>
    </w:p>
    <w:p w14:paraId="6DC47DA3" w14:textId="77777777" w:rsidR="00BA4B87" w:rsidRPr="00E97AFD" w:rsidRDefault="00BA4B87" w:rsidP="00966694">
      <w:pPr>
        <w:snapToGrid w:val="0"/>
        <w:spacing w:line="360" w:lineRule="auto"/>
        <w:ind w:firstLine="420"/>
        <w:rPr>
          <w:rFonts w:asciiTheme="minorEastAsia" w:eastAsiaTheme="minorEastAsia" w:hAnsiTheme="minorEastAsia"/>
        </w:rPr>
      </w:pPr>
    </w:p>
    <w:p w14:paraId="2614BE84" w14:textId="77777777" w:rsidR="00BA4B87" w:rsidRPr="00E97AFD" w:rsidRDefault="00BA4B87" w:rsidP="00966694">
      <w:pPr>
        <w:snapToGrid w:val="0"/>
        <w:spacing w:line="360" w:lineRule="auto"/>
        <w:ind w:firstLine="420"/>
        <w:rPr>
          <w:rFonts w:asciiTheme="minorEastAsia" w:eastAsiaTheme="minorEastAsia" w:hAnsiTheme="minorEastAsia"/>
        </w:rPr>
      </w:pPr>
    </w:p>
    <w:p w14:paraId="04DDA1CD" w14:textId="77777777" w:rsidR="00BA4B87" w:rsidRPr="00E97AFD" w:rsidRDefault="00BA4B87" w:rsidP="00966694">
      <w:pPr>
        <w:snapToGrid w:val="0"/>
        <w:spacing w:line="360" w:lineRule="auto"/>
        <w:ind w:firstLine="420"/>
        <w:rPr>
          <w:rFonts w:asciiTheme="minorEastAsia" w:eastAsiaTheme="minorEastAsia" w:hAnsiTheme="minorEastAsia"/>
        </w:rPr>
      </w:pPr>
    </w:p>
    <w:p w14:paraId="4594F2C4" w14:textId="77777777" w:rsidR="00BA4B87" w:rsidRPr="00E97AFD" w:rsidRDefault="00BA4B87" w:rsidP="00966694">
      <w:pPr>
        <w:snapToGrid w:val="0"/>
        <w:spacing w:line="360" w:lineRule="auto"/>
        <w:ind w:firstLine="420"/>
        <w:rPr>
          <w:rFonts w:asciiTheme="minorEastAsia" w:eastAsiaTheme="minorEastAsia" w:hAnsiTheme="minorEastAsia"/>
        </w:rPr>
      </w:pPr>
    </w:p>
    <w:p w14:paraId="7E321301" w14:textId="77777777" w:rsidR="00BA4B87" w:rsidRPr="00E97AFD" w:rsidRDefault="00BA4B87" w:rsidP="00966694">
      <w:pPr>
        <w:snapToGrid w:val="0"/>
        <w:spacing w:line="360" w:lineRule="auto"/>
        <w:ind w:firstLine="420"/>
        <w:rPr>
          <w:rFonts w:asciiTheme="minorEastAsia" w:eastAsiaTheme="minorEastAsia" w:hAnsiTheme="minorEastAsia"/>
        </w:rPr>
      </w:pPr>
    </w:p>
    <w:p w14:paraId="62100A58" w14:textId="77777777" w:rsidR="00BA4B87" w:rsidRPr="00E97AFD" w:rsidRDefault="00BA4B87" w:rsidP="00966694">
      <w:pPr>
        <w:snapToGrid w:val="0"/>
        <w:spacing w:line="360" w:lineRule="auto"/>
        <w:ind w:firstLine="420"/>
        <w:rPr>
          <w:rFonts w:asciiTheme="minorEastAsia" w:eastAsiaTheme="minorEastAsia" w:hAnsiTheme="minorEastAsia"/>
        </w:rPr>
      </w:pPr>
    </w:p>
    <w:p w14:paraId="1C69AAE9" w14:textId="77777777" w:rsidR="00BA4B87" w:rsidRPr="00E97AFD" w:rsidRDefault="00BA4B87" w:rsidP="00966694">
      <w:pPr>
        <w:snapToGrid w:val="0"/>
        <w:spacing w:line="360" w:lineRule="auto"/>
        <w:ind w:firstLine="420"/>
        <w:rPr>
          <w:rFonts w:asciiTheme="minorEastAsia" w:eastAsiaTheme="minorEastAsia" w:hAnsiTheme="minorEastAsia"/>
        </w:rPr>
      </w:pPr>
    </w:p>
    <w:p w14:paraId="1CCE776D" w14:textId="77777777" w:rsidR="00BA4B87" w:rsidRPr="00E97AFD" w:rsidRDefault="00BA4B87" w:rsidP="00966694">
      <w:pPr>
        <w:snapToGrid w:val="0"/>
        <w:spacing w:line="360" w:lineRule="auto"/>
        <w:ind w:firstLine="420"/>
        <w:rPr>
          <w:rFonts w:asciiTheme="minorEastAsia" w:eastAsiaTheme="minorEastAsia" w:hAnsiTheme="minorEastAsia"/>
        </w:rPr>
      </w:pPr>
    </w:p>
    <w:p w14:paraId="37C84EB7" w14:textId="77777777" w:rsidR="00BA4B87" w:rsidRPr="00E97AFD" w:rsidRDefault="00BA4B87" w:rsidP="00966694">
      <w:pPr>
        <w:snapToGrid w:val="0"/>
        <w:spacing w:line="360" w:lineRule="auto"/>
        <w:ind w:firstLine="420"/>
        <w:rPr>
          <w:rFonts w:asciiTheme="minorEastAsia" w:eastAsiaTheme="minorEastAsia" w:hAnsiTheme="minorEastAsia"/>
        </w:rPr>
      </w:pPr>
    </w:p>
    <w:p w14:paraId="1A808C36" w14:textId="77777777" w:rsidR="00BA4B87" w:rsidRPr="00E97AFD" w:rsidRDefault="00BA4B87" w:rsidP="00966694">
      <w:pPr>
        <w:snapToGrid w:val="0"/>
        <w:spacing w:line="360" w:lineRule="auto"/>
        <w:ind w:firstLine="420"/>
        <w:rPr>
          <w:rFonts w:asciiTheme="minorEastAsia" w:eastAsiaTheme="minorEastAsia" w:hAnsiTheme="minorEastAsia"/>
        </w:rPr>
      </w:pPr>
    </w:p>
    <w:p w14:paraId="508FC344" w14:textId="77777777" w:rsidR="00BA4B87" w:rsidRPr="00E97AFD" w:rsidRDefault="00BA4B87" w:rsidP="00966694">
      <w:pPr>
        <w:snapToGrid w:val="0"/>
        <w:spacing w:line="360" w:lineRule="auto"/>
        <w:ind w:firstLine="482"/>
        <w:rPr>
          <w:rFonts w:asciiTheme="minorEastAsia" w:eastAsiaTheme="minorEastAsia" w:hAnsiTheme="minorEastAsia"/>
        </w:rPr>
      </w:pPr>
    </w:p>
    <w:p w14:paraId="3642E4C4" w14:textId="77777777" w:rsidR="00BA4B87" w:rsidRPr="00E97AFD" w:rsidRDefault="00BA4B87" w:rsidP="00966694">
      <w:pPr>
        <w:snapToGrid w:val="0"/>
        <w:spacing w:line="360" w:lineRule="auto"/>
        <w:ind w:firstLine="482"/>
        <w:rPr>
          <w:rFonts w:asciiTheme="minorEastAsia" w:eastAsiaTheme="minorEastAsia" w:hAnsiTheme="minorEastAsia"/>
        </w:rPr>
      </w:pPr>
    </w:p>
    <w:p w14:paraId="3F4EFD9B" w14:textId="77777777" w:rsidR="00BA4B87" w:rsidRPr="00E97AFD" w:rsidRDefault="00BA4B87" w:rsidP="00966694">
      <w:pPr>
        <w:snapToGrid w:val="0"/>
        <w:spacing w:line="360" w:lineRule="auto"/>
        <w:ind w:firstLine="482"/>
        <w:rPr>
          <w:rFonts w:asciiTheme="minorEastAsia" w:eastAsiaTheme="minorEastAsia" w:hAnsiTheme="minorEastAsia"/>
        </w:rPr>
      </w:pPr>
    </w:p>
    <w:p w14:paraId="54640B4F" w14:textId="77777777" w:rsidR="00C00F5E" w:rsidRPr="00E97AFD" w:rsidRDefault="00C00F5E" w:rsidP="00966694">
      <w:pPr>
        <w:snapToGrid w:val="0"/>
        <w:spacing w:line="360" w:lineRule="auto"/>
        <w:ind w:firstLine="482"/>
        <w:rPr>
          <w:rFonts w:asciiTheme="minorEastAsia" w:eastAsiaTheme="minorEastAsia" w:hAnsiTheme="minorEastAsia"/>
        </w:rPr>
      </w:pPr>
    </w:p>
    <w:p w14:paraId="1D12B409" w14:textId="77777777" w:rsidR="00C00F5E" w:rsidRPr="00E97AFD" w:rsidRDefault="00C00F5E" w:rsidP="00966694">
      <w:pPr>
        <w:snapToGrid w:val="0"/>
        <w:spacing w:line="360" w:lineRule="auto"/>
        <w:ind w:firstLine="482"/>
        <w:rPr>
          <w:rFonts w:asciiTheme="minorEastAsia" w:eastAsiaTheme="minorEastAsia" w:hAnsiTheme="minorEastAsia"/>
        </w:rPr>
      </w:pPr>
    </w:p>
    <w:p w14:paraId="71918B0B" w14:textId="77777777" w:rsidR="00C00F5E" w:rsidRPr="00E97AFD" w:rsidRDefault="00C00F5E" w:rsidP="00966694">
      <w:pPr>
        <w:snapToGrid w:val="0"/>
        <w:spacing w:line="360" w:lineRule="auto"/>
        <w:ind w:firstLine="482"/>
        <w:rPr>
          <w:rFonts w:asciiTheme="minorEastAsia" w:eastAsiaTheme="minorEastAsia" w:hAnsiTheme="minorEastAsia"/>
        </w:rPr>
      </w:pPr>
    </w:p>
    <w:p w14:paraId="779013AA" w14:textId="77777777" w:rsidR="00BA4B87" w:rsidRPr="00E97AFD" w:rsidRDefault="00BA4B87" w:rsidP="00966694">
      <w:pPr>
        <w:snapToGrid w:val="0"/>
        <w:spacing w:line="360" w:lineRule="auto"/>
        <w:ind w:firstLine="482"/>
        <w:rPr>
          <w:rFonts w:asciiTheme="minorEastAsia" w:eastAsiaTheme="minorEastAsia" w:hAnsiTheme="minorEastAsia"/>
        </w:rPr>
      </w:pPr>
    </w:p>
    <w:p w14:paraId="6D4F4589" w14:textId="77777777" w:rsidR="00BA4B87" w:rsidRPr="00E97AFD" w:rsidRDefault="00BA4B87" w:rsidP="00966694">
      <w:pPr>
        <w:pStyle w:val="111"/>
        <w:pageBreakBefore w:val="0"/>
        <w:snapToGrid w:val="0"/>
        <w:spacing w:beforeLines="0" w:afterLines="0" w:line="360" w:lineRule="auto"/>
        <w:ind w:firstLine="602"/>
        <w:rPr>
          <w:rFonts w:asciiTheme="minorEastAsia" w:eastAsiaTheme="minorEastAsia" w:hAnsiTheme="minorEastAsia"/>
          <w:b/>
          <w:sz w:val="30"/>
        </w:rPr>
      </w:pPr>
      <w:bookmarkStart w:id="2" w:name="_Toc43371972"/>
      <w:r w:rsidRPr="00E97AFD">
        <w:rPr>
          <w:rFonts w:asciiTheme="minorEastAsia" w:eastAsiaTheme="minorEastAsia" w:hAnsiTheme="minorEastAsia"/>
          <w:b/>
          <w:sz w:val="30"/>
        </w:rPr>
        <w:lastRenderedPageBreak/>
        <w:t>二、释义</w:t>
      </w:r>
      <w:bookmarkEnd w:id="2"/>
    </w:p>
    <w:p w14:paraId="152B7E73" w14:textId="77777777" w:rsidR="00BA4B87" w:rsidRPr="00E97AFD" w:rsidRDefault="00BA4B87" w:rsidP="00966694">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szCs w:val="21"/>
        </w:rPr>
        <w:t>本招募说明</w:t>
      </w:r>
      <w:r w:rsidRPr="00E97AFD">
        <w:rPr>
          <w:rFonts w:asciiTheme="minorEastAsia" w:eastAsiaTheme="minorEastAsia" w:hAnsiTheme="minorEastAsia"/>
        </w:rPr>
        <w:t>书中除非文意另有所指，下列词语有如下含义：</w:t>
      </w:r>
    </w:p>
    <w:p w14:paraId="409EC7FC"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1、基金或本基金：指易方达天天增利货币市场基金</w:t>
      </w:r>
    </w:p>
    <w:p w14:paraId="266AEFF5"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2、基金管理人：指易方达基金管理有限公司</w:t>
      </w:r>
    </w:p>
    <w:p w14:paraId="6F844292"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3、基金托管人：指中国建设银行股份有限公司</w:t>
      </w:r>
    </w:p>
    <w:p w14:paraId="3FFAE090"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4、基金合同或本基金合同：指《易方达天天增利货币市场基金基金合同》及对基金合同的任何有效修订和补充</w:t>
      </w:r>
    </w:p>
    <w:p w14:paraId="1685C22A"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5、托管协议：指基金管理人与基金托管人就本基金签订之《易方达天天增利货币市场基金托管协议》及对该托管协议的任何有效修订和补充</w:t>
      </w:r>
    </w:p>
    <w:p w14:paraId="24769489"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6、招募说明书：指《易方达天天增利货币市场基金招募说明书》及其更新</w:t>
      </w:r>
    </w:p>
    <w:p w14:paraId="742D05FC"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7、基金产品资料概要：指《易方达天天增利货币市场基金基金产品资料概要》及其更新</w:t>
      </w:r>
    </w:p>
    <w:p w14:paraId="7E4B99EA"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8、基金份额发售公告：指《易方达天天增利货币市场基金基金份额发售公告》</w:t>
      </w:r>
    </w:p>
    <w:p w14:paraId="355CB280"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9、法律法规：指中国现行有效并公布实施的法律、行政法规、规范性文件、司法解释、行政规章以及其他对基金合同当事人有约束力的决定、决议、通知等</w:t>
      </w:r>
    </w:p>
    <w:p w14:paraId="4038A228"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10、《基金法》：指2012年12月28日经第十一届全国人民代表大会常务委员会第三十次会议通过，自2013年6月1日起实施的《中华人民共和国证券投资基金法》及颁布机关对其不时做出的修订</w:t>
      </w:r>
    </w:p>
    <w:p w14:paraId="57B1A136"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11、《销售办法》：指中国证监会2013年3月15日颁布、同年6月1日实施的《证券投资基金销售管理办法》及颁布机关对其不时做出的修订</w:t>
      </w:r>
    </w:p>
    <w:p w14:paraId="548275CC"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12、《信息披露办法》：指中国证监会2019年7月26日颁布、同年9月1日实施的《公开募集证券投资基金信息披露管理办法》及颁布机关对其不时做出的修订</w:t>
      </w:r>
    </w:p>
    <w:p w14:paraId="2BEE0381"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13、《运作办法》：指中国证监会2004年6月29日颁布、同年7月1日实施的《证券投资基金运作管理办法》及颁布机关对其不时做出的修订</w:t>
      </w:r>
    </w:p>
    <w:p w14:paraId="65093105"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14、《管理规定》：指中国证监会2017年8月31日颁布、同年10月1日实施的《公开募集开放式证券投资基金流动性风险管理规定》及颁布机关对其不时做出的修订</w:t>
      </w:r>
    </w:p>
    <w:p w14:paraId="2CAA7FC2"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15、中国证监会：指中国证券监督管理委员会</w:t>
      </w:r>
    </w:p>
    <w:p w14:paraId="23F40162"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16、银行业监督管理机构：指中国人民银行和/或中国银行业监督管理委员会</w:t>
      </w:r>
    </w:p>
    <w:p w14:paraId="62E5C027"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17、基金合同当事人：指受基金合同约束，根据基金合同享有权利并承担义务的法律主体，包括基金管理人、基金托管人和基金份额持有人</w:t>
      </w:r>
    </w:p>
    <w:p w14:paraId="230970CF"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18、个人投资者：指依据有关法律法规规定可投资于证券投资基金的自然人</w:t>
      </w:r>
    </w:p>
    <w:p w14:paraId="3C398A78"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19、机构投资者：指依法可以投资证券投资基金的、在中华人民共和国境内合法登记并存续或经有关政府部门批准设立并存续的企业法人、事业法人、社会团体或其他组织</w:t>
      </w:r>
    </w:p>
    <w:p w14:paraId="0681EC33"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20、投资人：指个人投资者、机构投资者和合格境外机构投资者以及法律法规或中国证</w:t>
      </w:r>
      <w:r w:rsidRPr="00E97AFD">
        <w:rPr>
          <w:rFonts w:asciiTheme="minorEastAsia" w:eastAsiaTheme="minorEastAsia" w:hAnsiTheme="minorEastAsia" w:hint="eastAsia"/>
        </w:rPr>
        <w:lastRenderedPageBreak/>
        <w:t>监会允许购买证券投资基金的其他投资人的合称</w:t>
      </w:r>
    </w:p>
    <w:p w14:paraId="414F0265"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21、基金份额持有人：指依基金合同和招募说明书合法取得基金份额的投资人</w:t>
      </w:r>
    </w:p>
    <w:p w14:paraId="0F1BBA6E"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22、基金销售业务：指基金管理人或销售机构宣传推介基金，发售基金份额，办理基金份额的申购、赎回、转换、非交易过户、转托管及定期定额投资等业务。</w:t>
      </w:r>
    </w:p>
    <w:p w14:paraId="35CBCA5B"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23、销售机构：指易方达基金管理有限公司以及符合《销售办法》和中国证监会规定的其他条件，取得基金销售业务资格并与基金管理人签订了基金销售服务协议，办理基金销售业务的机构</w:t>
      </w:r>
    </w:p>
    <w:p w14:paraId="661EC7F8"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24、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5EA56CD"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25、登记机构：指办理登记业务的机构。基金的登记机构为易方达基金管理有限公司或接受易方达基金管理有限公司委托代为办理登记业务的机构</w:t>
      </w:r>
    </w:p>
    <w:p w14:paraId="4A10CAEB"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26、基金账户：指登记机构为投资人开立的、记录其持有的、基金管理人所管理的基金份额余额及其变动情况的账户</w:t>
      </w:r>
    </w:p>
    <w:p w14:paraId="0145680D"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27、基金交易账户：指销售机构为投资人开立的、记录投资人通过该销售机构办理认购、申购、赎回、转换及转托管等业务而引起基金的基金份额变动及结余情况的账户</w:t>
      </w:r>
    </w:p>
    <w:p w14:paraId="5EB5638F"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28、基金合同生效日：指基金募集达到法律法规规定及基金合同规定的条件，基金管理人向中国证监会办理基金备案手续完毕，并获得中国证监会书面确认的日期</w:t>
      </w:r>
    </w:p>
    <w:p w14:paraId="6FB93E90"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29、基金合同终止日：指基金合同规定的基金合同终止事由出现后，基金财产清算完毕，清算结果报中国证监会备案并予以公告的日期</w:t>
      </w:r>
    </w:p>
    <w:p w14:paraId="30A208E8"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30、基金募集期：指自基金份额发售之日起至发售结束之日止的期间，最长不得超过3个月</w:t>
      </w:r>
    </w:p>
    <w:p w14:paraId="533C8A04"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31、存续期：指基金合同生效至终止之间的不定期期限</w:t>
      </w:r>
    </w:p>
    <w:p w14:paraId="54879E35"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32、工作日：指上海证券交易所、深圳证券交易所的正常交易日</w:t>
      </w:r>
    </w:p>
    <w:p w14:paraId="71CD4087"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33、T日：指销售机构在规定时间受理投资人申购、赎回或其他业务申请的开放日</w:t>
      </w:r>
    </w:p>
    <w:p w14:paraId="6A315CBF"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34、T+n日：指自T日起第n个工作日(不包含T日)，n为自然数</w:t>
      </w:r>
    </w:p>
    <w:p w14:paraId="02C00633"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35、开放日：指为投资人办理基金份额申购、赎回或其他业务的工作日</w:t>
      </w:r>
    </w:p>
    <w:p w14:paraId="1BBA7AD7"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36、开放时间：指开放日基金接受申购、赎回或其他交易的时间段</w:t>
      </w:r>
    </w:p>
    <w:p w14:paraId="5C07594E"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37、《业务规则》：指《易方达基金管理有限公司开放式基金业务规则》，是规范基金管理人所管理的开放式证券投资基金登记方面的业务规则，由基金管理人和投资人共同遵守</w:t>
      </w:r>
    </w:p>
    <w:p w14:paraId="20F9F5F5"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38、认购：指在基金募集期内，投资人根据基金合同和招募说明书的规定申请购买基金份额的行为</w:t>
      </w:r>
    </w:p>
    <w:p w14:paraId="305D6BB5"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39、申购：指基金合同生效后，投资人根据基金合同和招募说明书的规定申请购买基金份额的行为</w:t>
      </w:r>
    </w:p>
    <w:p w14:paraId="0AF9BEF9"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lastRenderedPageBreak/>
        <w:t>40、赎回：指基金合同生效后，基金份额持有人按基金合同规定的条件要求将基金份额兑换为现金的行为</w:t>
      </w:r>
    </w:p>
    <w:p w14:paraId="2A1FFD1F"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41、基金转换：指基金份额持有人按照基金合同和基金管理人届时有效公告规定的条件，申请将其持有基金管理人管理的、某一基金的基金份额转换为基金管理人管理的其他基金基金份额的行为</w:t>
      </w:r>
    </w:p>
    <w:p w14:paraId="283E5D9D"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42、转托管：指基金份额持有人在本基金的不同销售机构之间实施的变更所持基金份额销售机构的操作</w:t>
      </w:r>
    </w:p>
    <w:p w14:paraId="7B9A1138"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43、定期定额投资计划：指投资人通过有关销售机构提出申请，约定每期申购日、扣款金额及扣款方式，由销售机构于每期约定扣款日在投资人指定银行账户内自动完成扣款及受理基金申购申请的一种投资方式</w:t>
      </w:r>
    </w:p>
    <w:p w14:paraId="60939298"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44、巨额赎回：指本基金单个开放日，基金净赎回申请(赎回申请份额总数加上基金转换中转出申请份额总数后扣除申购申请份额总数及基金转换中转入申请份额总数后的余额)超过上一开放日基金总份额的10%</w:t>
      </w:r>
    </w:p>
    <w:p w14:paraId="186BB7CC"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45、元：指人民币元</w:t>
      </w:r>
    </w:p>
    <w:p w14:paraId="7776DA22"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46、基金收益：指基金投资所得红利、股息、债券利息、买卖证券价差、银行存款利息、已实现的其他合法收入及因运用基金财产带来的成本和费用的节约</w:t>
      </w:r>
    </w:p>
    <w:p w14:paraId="259B4011"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47、摊余成本法：指计价对象以买入成本列示，按照票面利率或协议利率并考虑其买入时的溢价和折价，在剩余存续期内按实际利率法摊销，每日计提损益</w:t>
      </w:r>
    </w:p>
    <w:p w14:paraId="4FF58D70"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48、每万份基金已实现收益：指按照相关法规计算的每万份基金份额的日已实现收益</w:t>
      </w:r>
    </w:p>
    <w:p w14:paraId="1A3FE38C"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49、7日年化收益率：指以最近7日(含节假日)收益所折算的年资产收益率</w:t>
      </w:r>
    </w:p>
    <w:p w14:paraId="20092DE1"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50、销售服务费：指本基金用于持续销售和服务基金份额持有人的费用，该笔费用从基金财产中扣除，属于基金的营运费用</w:t>
      </w:r>
    </w:p>
    <w:p w14:paraId="1B31D72C"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51、基金份额分类：本基金分设两类基金份额：A类基金份额和B类基金份额。两类基金份额分设不同的基金代码，收取不同的销售服务费并分别公布每万份基金已实现收益和7日年化收益率</w:t>
      </w:r>
    </w:p>
    <w:p w14:paraId="621882EE"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52、A类基金份额：指按照0.25%年费率计提销售服务费的基金份额类别</w:t>
      </w:r>
    </w:p>
    <w:p w14:paraId="6163DD65"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53、B类基金份额：指按照0.01%年费率计提销售服务费的基金份额类别</w:t>
      </w:r>
    </w:p>
    <w:p w14:paraId="4F314BF9"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54、基金资产总值：指基金拥有的各类有价证券、银行存款本息、基金应收申购款及其他资产的价值总和</w:t>
      </w:r>
    </w:p>
    <w:p w14:paraId="313C78F5"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55、基金资产净值：指基金资产总值减去基金负债后的价值</w:t>
      </w:r>
    </w:p>
    <w:p w14:paraId="77F91F40"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56、基金份额净值：指计算日基金资产净值除以计算日基金份额总数</w:t>
      </w:r>
    </w:p>
    <w:p w14:paraId="2B30C8B2"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57、基金资产估值：指计算评估基金资产和负债的价值，以确定基金资产净值和每万份基金已实现收益的过程</w:t>
      </w:r>
    </w:p>
    <w:p w14:paraId="0990249E"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58、指定媒介：指中国证监会指定的用以进行信息披露的全国性报刊及指定互联网网站</w:t>
      </w:r>
      <w:r w:rsidRPr="00E97AFD">
        <w:rPr>
          <w:rFonts w:asciiTheme="minorEastAsia" w:eastAsiaTheme="minorEastAsia" w:hAnsiTheme="minorEastAsia" w:hint="eastAsia"/>
        </w:rPr>
        <w:lastRenderedPageBreak/>
        <w:t>（包括基金管理人网站、基金托管人网站、中国证监会基金电子披露网站）等媒介</w:t>
      </w:r>
    </w:p>
    <w:p w14:paraId="79D96D9A" w14:textId="77777777" w:rsidR="006B018F" w:rsidRPr="00E97AFD" w:rsidRDefault="006B018F" w:rsidP="006B018F">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59、不可抗力：指合同当事人不能预见、不能避免且不能克服的客观事件</w:t>
      </w:r>
    </w:p>
    <w:p w14:paraId="2CF2BA0C" w14:textId="4661CED7" w:rsidR="00E04262" w:rsidRPr="00E97AFD" w:rsidRDefault="006B018F" w:rsidP="00966694">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60、流动性受限资产：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易的债券等</w:t>
      </w:r>
    </w:p>
    <w:p w14:paraId="76D81A60" w14:textId="77777777" w:rsidR="00BA4B87" w:rsidRPr="00E97AFD" w:rsidRDefault="00BA4B87" w:rsidP="00966694">
      <w:pPr>
        <w:pStyle w:val="111"/>
        <w:pageBreakBefore w:val="0"/>
        <w:snapToGrid w:val="0"/>
        <w:spacing w:beforeLines="0" w:afterLines="0" w:line="360" w:lineRule="auto"/>
        <w:ind w:firstLine="643"/>
        <w:rPr>
          <w:rFonts w:asciiTheme="minorEastAsia" w:eastAsiaTheme="minorEastAsia" w:hAnsiTheme="minorEastAsia"/>
          <w:b/>
        </w:rPr>
      </w:pPr>
      <w:r w:rsidRPr="00E97AFD">
        <w:rPr>
          <w:rFonts w:asciiTheme="minorEastAsia" w:eastAsiaTheme="minorEastAsia" w:hAnsiTheme="minorEastAsia"/>
          <w:b/>
          <w:bCs/>
        </w:rPr>
        <w:br w:type="column"/>
      </w:r>
      <w:bookmarkStart w:id="3" w:name="_Toc43371973"/>
      <w:r w:rsidRPr="00E97AFD">
        <w:rPr>
          <w:rFonts w:asciiTheme="minorEastAsia" w:eastAsiaTheme="minorEastAsia" w:hAnsiTheme="minorEastAsia"/>
          <w:b/>
        </w:rPr>
        <w:lastRenderedPageBreak/>
        <w:t>三、基金管理人</w:t>
      </w:r>
      <w:bookmarkEnd w:id="3"/>
    </w:p>
    <w:p w14:paraId="5B78C1AB" w14:textId="77777777" w:rsidR="00BA4B87" w:rsidRPr="00E97AFD" w:rsidRDefault="00BA4B87" w:rsidP="00966694">
      <w:pPr>
        <w:snapToGrid w:val="0"/>
        <w:spacing w:line="360" w:lineRule="auto"/>
        <w:ind w:firstLine="420"/>
        <w:rPr>
          <w:rFonts w:asciiTheme="minorEastAsia" w:eastAsiaTheme="minorEastAsia" w:hAnsiTheme="minorEastAsia"/>
        </w:rPr>
      </w:pPr>
      <w:bookmarkStart w:id="4" w:name="_Toc327734788"/>
      <w:r w:rsidRPr="00E97AFD">
        <w:rPr>
          <w:rFonts w:asciiTheme="minorEastAsia" w:eastAsiaTheme="minorEastAsia" w:hAnsiTheme="minorEastAsia"/>
        </w:rPr>
        <w:t>(一)基金管理人基本情况</w:t>
      </w:r>
      <w:bookmarkEnd w:id="4"/>
    </w:p>
    <w:p w14:paraId="42AAB36F" w14:textId="77777777" w:rsidR="00BA4B87" w:rsidRPr="00E97AFD" w:rsidRDefault="00BA4B87"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1、基金管理人：易方达基金管理有限公司</w:t>
      </w:r>
    </w:p>
    <w:p w14:paraId="29B27BE6" w14:textId="77777777" w:rsidR="00BA4B87" w:rsidRPr="00E97AFD" w:rsidRDefault="00BA4B87"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注册地址：</w:t>
      </w:r>
      <w:r w:rsidR="00A362E9" w:rsidRPr="00E97AFD">
        <w:rPr>
          <w:rFonts w:asciiTheme="minorEastAsia" w:eastAsiaTheme="minorEastAsia" w:hAnsiTheme="minorEastAsia" w:hint="eastAsia"/>
        </w:rPr>
        <w:t>广东省珠海市横琴新区宝华路6号105室－42891（集中办公区）</w:t>
      </w:r>
    </w:p>
    <w:p w14:paraId="3F47E07A" w14:textId="77777777" w:rsidR="00BA4B87" w:rsidRPr="00E97AFD" w:rsidRDefault="00BA4B87"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办公地址：</w:t>
      </w:r>
      <w:bookmarkStart w:id="5" w:name="OLE_LINK1"/>
      <w:bookmarkStart w:id="6" w:name="OLE_LINK2"/>
      <w:r w:rsidR="002D7991" w:rsidRPr="00E97AFD">
        <w:rPr>
          <w:rFonts w:asciiTheme="minorEastAsia" w:eastAsiaTheme="minorEastAsia" w:hAnsiTheme="minorEastAsia" w:hint="eastAsia"/>
        </w:rPr>
        <w:t>广州市天河区珠江新城珠江东路30号广州银行大厦40-43楼</w:t>
      </w:r>
      <w:bookmarkEnd w:id="5"/>
      <w:bookmarkEnd w:id="6"/>
    </w:p>
    <w:p w14:paraId="437B6B75" w14:textId="77777777" w:rsidR="00BA4B87" w:rsidRPr="00E97AFD" w:rsidRDefault="00BA4B87"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批准设立机关及批准设立文号：</w:t>
      </w:r>
      <w:r w:rsidR="008A2AFA" w:rsidRPr="00E97AFD">
        <w:rPr>
          <w:rFonts w:asciiTheme="minorEastAsia" w:eastAsiaTheme="minorEastAsia" w:hAnsiTheme="minorEastAsia" w:hint="eastAsia"/>
        </w:rPr>
        <w:t>中国证券监督管理委员会</w:t>
      </w:r>
      <w:r w:rsidRPr="00E97AFD">
        <w:rPr>
          <w:rFonts w:asciiTheme="minorEastAsia" w:eastAsiaTheme="minorEastAsia" w:hAnsiTheme="minorEastAsia"/>
        </w:rPr>
        <w:t>，证监基金字[2001]4号</w:t>
      </w:r>
    </w:p>
    <w:p w14:paraId="70D637C0" w14:textId="77777777" w:rsidR="00BA4B87" w:rsidRPr="00E97AFD" w:rsidRDefault="00BA4B87"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法定代表人：</w:t>
      </w:r>
      <w:r w:rsidR="00684B56" w:rsidRPr="00E97AFD">
        <w:rPr>
          <w:rFonts w:asciiTheme="minorEastAsia" w:eastAsiaTheme="minorEastAsia" w:hAnsiTheme="minorEastAsia" w:hint="eastAsia"/>
        </w:rPr>
        <w:t>刘晓艳</w:t>
      </w:r>
    </w:p>
    <w:p w14:paraId="6525AF31" w14:textId="77777777" w:rsidR="00BA4B87" w:rsidRPr="00E97AFD" w:rsidRDefault="00BA4B87"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设立日期：2001年4月17日</w:t>
      </w:r>
    </w:p>
    <w:p w14:paraId="71BEE11C" w14:textId="77777777" w:rsidR="00BA4B87" w:rsidRPr="00E97AFD" w:rsidRDefault="00BA4B87"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组织形式：有限责任公司</w:t>
      </w:r>
    </w:p>
    <w:p w14:paraId="42CEE81B" w14:textId="06F20893" w:rsidR="00BA4B87" w:rsidRPr="00E97AFD" w:rsidRDefault="0020683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注册资本：13,244.2万元人民币</w:t>
      </w:r>
    </w:p>
    <w:p w14:paraId="16AB343F" w14:textId="77777777" w:rsidR="00BA4B87" w:rsidRPr="00E97AFD" w:rsidRDefault="00BA4B87"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存续期限：持续经营</w:t>
      </w:r>
    </w:p>
    <w:p w14:paraId="40FFFF99" w14:textId="77777777" w:rsidR="00BA4B87" w:rsidRPr="00E97AFD" w:rsidRDefault="00F23D67"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联系人：李红枫</w:t>
      </w:r>
    </w:p>
    <w:p w14:paraId="37FD5897" w14:textId="77777777" w:rsidR="00BA4B87" w:rsidRPr="00E97AFD" w:rsidRDefault="00BA4B87" w:rsidP="00966694">
      <w:pPr>
        <w:snapToGrid w:val="0"/>
        <w:spacing w:line="360" w:lineRule="auto"/>
        <w:ind w:firstLine="420"/>
        <w:rPr>
          <w:rFonts w:asciiTheme="minorEastAsia" w:eastAsiaTheme="minorEastAsia" w:hAnsiTheme="minorEastAsia"/>
          <w:szCs w:val="21"/>
        </w:rPr>
      </w:pPr>
      <w:r w:rsidRPr="00E97AFD">
        <w:rPr>
          <w:rFonts w:asciiTheme="minorEastAsia" w:eastAsiaTheme="minorEastAsia" w:hAnsiTheme="minorEastAsia"/>
        </w:rPr>
        <w:t>联系电话：4008818088</w:t>
      </w:r>
    </w:p>
    <w:p w14:paraId="0D3C61B0" w14:textId="77777777" w:rsidR="00BA4B87" w:rsidRPr="00E97AFD" w:rsidRDefault="00BA4B87"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2、股权结构：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5"/>
        <w:gridCol w:w="2577"/>
      </w:tblGrid>
      <w:tr w:rsidR="00E97AFD" w:rsidRPr="00E97AFD" w14:paraId="46016B0C" w14:textId="77777777" w:rsidTr="00524616">
        <w:trPr>
          <w:jc w:val="center"/>
        </w:trPr>
        <w:tc>
          <w:tcPr>
            <w:tcW w:w="3488" w:type="pct"/>
            <w:vAlign w:val="center"/>
          </w:tcPr>
          <w:p w14:paraId="607C65B1" w14:textId="77777777" w:rsidR="00BA4B87" w:rsidRPr="00E97AFD" w:rsidRDefault="00BA4B87" w:rsidP="00966694">
            <w:pPr>
              <w:snapToGrid w:val="0"/>
              <w:spacing w:line="360" w:lineRule="auto"/>
              <w:ind w:firstLine="420"/>
              <w:jc w:val="center"/>
              <w:rPr>
                <w:rFonts w:asciiTheme="minorEastAsia" w:eastAsiaTheme="minorEastAsia" w:hAnsiTheme="minorEastAsia"/>
              </w:rPr>
            </w:pPr>
            <w:r w:rsidRPr="00E97AFD">
              <w:rPr>
                <w:rFonts w:asciiTheme="minorEastAsia" w:eastAsiaTheme="minorEastAsia" w:hAnsiTheme="minorEastAsia"/>
              </w:rPr>
              <w:t>股东名称</w:t>
            </w:r>
          </w:p>
        </w:tc>
        <w:tc>
          <w:tcPr>
            <w:tcW w:w="1512" w:type="pct"/>
            <w:vAlign w:val="center"/>
          </w:tcPr>
          <w:p w14:paraId="1F561F74" w14:textId="77777777" w:rsidR="00BA4B87" w:rsidRPr="00E97AFD" w:rsidRDefault="00BA4B87" w:rsidP="00966694">
            <w:pPr>
              <w:snapToGrid w:val="0"/>
              <w:spacing w:line="360" w:lineRule="auto"/>
              <w:ind w:firstLine="420"/>
              <w:jc w:val="center"/>
              <w:rPr>
                <w:rFonts w:asciiTheme="minorEastAsia" w:eastAsiaTheme="minorEastAsia" w:hAnsiTheme="minorEastAsia"/>
              </w:rPr>
            </w:pPr>
            <w:r w:rsidRPr="00E97AFD">
              <w:rPr>
                <w:rFonts w:asciiTheme="minorEastAsia" w:eastAsiaTheme="minorEastAsia" w:hAnsiTheme="minorEastAsia"/>
              </w:rPr>
              <w:t>出资比例</w:t>
            </w:r>
          </w:p>
        </w:tc>
      </w:tr>
      <w:tr w:rsidR="00E97AFD" w:rsidRPr="00E97AFD" w14:paraId="5EFE7891" w14:textId="77777777" w:rsidTr="00524616">
        <w:trPr>
          <w:jc w:val="center"/>
        </w:trPr>
        <w:tc>
          <w:tcPr>
            <w:tcW w:w="3488" w:type="pct"/>
            <w:vAlign w:val="center"/>
          </w:tcPr>
          <w:p w14:paraId="3F749742" w14:textId="0E3FA774" w:rsidR="00BA4B87" w:rsidRPr="00E97AFD" w:rsidRDefault="0020683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广东粤财信托有限公司</w:t>
            </w:r>
          </w:p>
        </w:tc>
        <w:tc>
          <w:tcPr>
            <w:tcW w:w="1512" w:type="pct"/>
            <w:vAlign w:val="center"/>
          </w:tcPr>
          <w:p w14:paraId="76DB8807" w14:textId="3B07BB86" w:rsidR="00BA4B87" w:rsidRPr="00E97AFD" w:rsidRDefault="0020683B" w:rsidP="00966694">
            <w:pPr>
              <w:snapToGrid w:val="0"/>
              <w:spacing w:line="360" w:lineRule="auto"/>
              <w:ind w:firstLine="420"/>
              <w:jc w:val="center"/>
              <w:rPr>
                <w:rFonts w:asciiTheme="minorEastAsia" w:eastAsiaTheme="minorEastAsia" w:hAnsiTheme="minorEastAsia"/>
              </w:rPr>
            </w:pPr>
            <w:r w:rsidRPr="00E97AFD">
              <w:rPr>
                <w:rFonts w:asciiTheme="minorEastAsia" w:eastAsiaTheme="minorEastAsia" w:hAnsiTheme="minorEastAsia"/>
              </w:rPr>
              <w:t>22.6514％</w:t>
            </w:r>
          </w:p>
        </w:tc>
      </w:tr>
      <w:tr w:rsidR="00E97AFD" w:rsidRPr="00E97AFD" w14:paraId="2E888974" w14:textId="77777777" w:rsidTr="00524616">
        <w:trPr>
          <w:jc w:val="center"/>
        </w:trPr>
        <w:tc>
          <w:tcPr>
            <w:tcW w:w="3488" w:type="pct"/>
            <w:vAlign w:val="center"/>
          </w:tcPr>
          <w:p w14:paraId="63642E9C" w14:textId="32B1C7DE" w:rsidR="00BA4B87" w:rsidRPr="00E97AFD" w:rsidRDefault="0020683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广发证券股份有限公司</w:t>
            </w:r>
          </w:p>
        </w:tc>
        <w:tc>
          <w:tcPr>
            <w:tcW w:w="1512" w:type="pct"/>
            <w:vAlign w:val="center"/>
          </w:tcPr>
          <w:p w14:paraId="155D1202" w14:textId="694D4E5C" w:rsidR="00BA4B87" w:rsidRPr="00E97AFD" w:rsidRDefault="0020683B" w:rsidP="00966694">
            <w:pPr>
              <w:snapToGrid w:val="0"/>
              <w:spacing w:line="360" w:lineRule="auto"/>
              <w:ind w:firstLine="420"/>
              <w:jc w:val="center"/>
              <w:rPr>
                <w:rFonts w:asciiTheme="minorEastAsia" w:eastAsiaTheme="minorEastAsia" w:hAnsiTheme="minorEastAsia"/>
              </w:rPr>
            </w:pPr>
            <w:r w:rsidRPr="00E97AFD">
              <w:rPr>
                <w:rFonts w:asciiTheme="minorEastAsia" w:eastAsiaTheme="minorEastAsia" w:hAnsiTheme="minorEastAsia"/>
              </w:rPr>
              <w:t>22.6514％</w:t>
            </w:r>
          </w:p>
        </w:tc>
      </w:tr>
      <w:tr w:rsidR="00E97AFD" w:rsidRPr="00E97AFD" w14:paraId="22B16C97" w14:textId="77777777" w:rsidTr="00524616">
        <w:trPr>
          <w:jc w:val="center"/>
        </w:trPr>
        <w:tc>
          <w:tcPr>
            <w:tcW w:w="3488" w:type="pct"/>
            <w:vAlign w:val="center"/>
          </w:tcPr>
          <w:p w14:paraId="470DFFDB" w14:textId="55C420E6" w:rsidR="00BA4B87" w:rsidRPr="00E97AFD" w:rsidRDefault="0020683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盈峰控股集团有限公司</w:t>
            </w:r>
          </w:p>
        </w:tc>
        <w:tc>
          <w:tcPr>
            <w:tcW w:w="1512" w:type="pct"/>
            <w:vAlign w:val="center"/>
          </w:tcPr>
          <w:p w14:paraId="7F1D50CB" w14:textId="602EEC99" w:rsidR="00BA4B87" w:rsidRPr="00E97AFD" w:rsidRDefault="0020683B" w:rsidP="00966694">
            <w:pPr>
              <w:snapToGrid w:val="0"/>
              <w:spacing w:line="360" w:lineRule="auto"/>
              <w:ind w:firstLine="420"/>
              <w:jc w:val="center"/>
              <w:rPr>
                <w:rFonts w:asciiTheme="minorEastAsia" w:eastAsiaTheme="minorEastAsia" w:hAnsiTheme="minorEastAsia"/>
              </w:rPr>
            </w:pPr>
            <w:r w:rsidRPr="00E97AFD">
              <w:rPr>
                <w:rFonts w:asciiTheme="minorEastAsia" w:eastAsiaTheme="minorEastAsia" w:hAnsiTheme="minorEastAsia"/>
              </w:rPr>
              <w:t>22.6514％</w:t>
            </w:r>
          </w:p>
        </w:tc>
      </w:tr>
      <w:tr w:rsidR="00E97AFD" w:rsidRPr="00E97AFD" w14:paraId="7234198F" w14:textId="77777777" w:rsidTr="00524616">
        <w:trPr>
          <w:jc w:val="center"/>
        </w:trPr>
        <w:tc>
          <w:tcPr>
            <w:tcW w:w="3488" w:type="pct"/>
            <w:vAlign w:val="center"/>
          </w:tcPr>
          <w:p w14:paraId="0B9FA59D" w14:textId="033789A5" w:rsidR="00BA4B87" w:rsidRPr="00E97AFD" w:rsidRDefault="0020683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广东省广晟资产经营有限公司</w:t>
            </w:r>
          </w:p>
        </w:tc>
        <w:tc>
          <w:tcPr>
            <w:tcW w:w="1512" w:type="pct"/>
            <w:vAlign w:val="center"/>
          </w:tcPr>
          <w:p w14:paraId="06A139D3" w14:textId="04A82D2D" w:rsidR="00BA4B87" w:rsidRPr="00E97AFD" w:rsidRDefault="0020683B" w:rsidP="00966694">
            <w:pPr>
              <w:snapToGrid w:val="0"/>
              <w:spacing w:line="360" w:lineRule="auto"/>
              <w:ind w:firstLine="420"/>
              <w:jc w:val="center"/>
              <w:rPr>
                <w:rFonts w:asciiTheme="minorEastAsia" w:eastAsiaTheme="minorEastAsia" w:hAnsiTheme="minorEastAsia"/>
              </w:rPr>
            </w:pPr>
            <w:r w:rsidRPr="00E97AFD">
              <w:rPr>
                <w:rFonts w:asciiTheme="minorEastAsia" w:eastAsiaTheme="minorEastAsia" w:hAnsiTheme="minorEastAsia"/>
              </w:rPr>
              <w:t>15.1010％</w:t>
            </w:r>
          </w:p>
        </w:tc>
      </w:tr>
      <w:tr w:rsidR="00E97AFD" w:rsidRPr="00E97AFD" w14:paraId="4E4B3920" w14:textId="77777777" w:rsidTr="00524616">
        <w:trPr>
          <w:jc w:val="center"/>
        </w:trPr>
        <w:tc>
          <w:tcPr>
            <w:tcW w:w="3488" w:type="pct"/>
            <w:vAlign w:val="center"/>
          </w:tcPr>
          <w:p w14:paraId="53C56ED8" w14:textId="42D9CD99" w:rsidR="00BA4B87" w:rsidRPr="00E97AFD" w:rsidRDefault="0020683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广州市广永国有资产经营有限公司</w:t>
            </w:r>
          </w:p>
        </w:tc>
        <w:tc>
          <w:tcPr>
            <w:tcW w:w="1512" w:type="pct"/>
            <w:vAlign w:val="center"/>
          </w:tcPr>
          <w:p w14:paraId="583A43E3" w14:textId="38B14489" w:rsidR="00BA4B87" w:rsidRPr="00E97AFD" w:rsidRDefault="0020683B" w:rsidP="00966694">
            <w:pPr>
              <w:snapToGrid w:val="0"/>
              <w:spacing w:line="360" w:lineRule="auto"/>
              <w:ind w:firstLine="420"/>
              <w:jc w:val="center"/>
              <w:rPr>
                <w:rFonts w:asciiTheme="minorEastAsia" w:eastAsiaTheme="minorEastAsia" w:hAnsiTheme="minorEastAsia"/>
              </w:rPr>
            </w:pPr>
            <w:r w:rsidRPr="00E97AFD">
              <w:rPr>
                <w:rFonts w:asciiTheme="minorEastAsia" w:eastAsiaTheme="minorEastAsia" w:hAnsiTheme="minorEastAsia"/>
              </w:rPr>
              <w:t>7.5505％</w:t>
            </w:r>
          </w:p>
        </w:tc>
      </w:tr>
      <w:tr w:rsidR="00E97AFD" w:rsidRPr="00E97AFD" w14:paraId="5EC83077" w14:textId="77777777" w:rsidTr="00524616">
        <w:trPr>
          <w:jc w:val="center"/>
        </w:trPr>
        <w:tc>
          <w:tcPr>
            <w:tcW w:w="3488" w:type="pct"/>
            <w:vAlign w:val="center"/>
          </w:tcPr>
          <w:p w14:paraId="36DB5C6A" w14:textId="039EFDC9" w:rsidR="00BA4B87" w:rsidRPr="00E97AFD" w:rsidRDefault="0020683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珠海祺荣宝股权投资合伙企业（有限合伙）</w:t>
            </w:r>
          </w:p>
        </w:tc>
        <w:tc>
          <w:tcPr>
            <w:tcW w:w="1512" w:type="pct"/>
            <w:vAlign w:val="center"/>
          </w:tcPr>
          <w:p w14:paraId="1875158B" w14:textId="057ABC79" w:rsidR="00BA4B87" w:rsidRPr="00E97AFD" w:rsidRDefault="0020683B" w:rsidP="00966694">
            <w:pPr>
              <w:snapToGrid w:val="0"/>
              <w:spacing w:line="360" w:lineRule="auto"/>
              <w:ind w:firstLine="420"/>
              <w:jc w:val="center"/>
              <w:rPr>
                <w:rFonts w:asciiTheme="minorEastAsia" w:eastAsiaTheme="minorEastAsia" w:hAnsiTheme="minorEastAsia"/>
              </w:rPr>
            </w:pPr>
            <w:r w:rsidRPr="00E97AFD">
              <w:rPr>
                <w:rFonts w:asciiTheme="minorEastAsia" w:eastAsiaTheme="minorEastAsia" w:hAnsiTheme="minorEastAsia"/>
              </w:rPr>
              <w:t>1.5087％</w:t>
            </w:r>
          </w:p>
        </w:tc>
      </w:tr>
      <w:tr w:rsidR="00E97AFD" w:rsidRPr="00E97AFD" w14:paraId="7A83634E" w14:textId="77777777" w:rsidTr="00524616">
        <w:trPr>
          <w:jc w:val="center"/>
        </w:trPr>
        <w:tc>
          <w:tcPr>
            <w:tcW w:w="3488" w:type="pct"/>
            <w:vAlign w:val="center"/>
          </w:tcPr>
          <w:p w14:paraId="79509FE8" w14:textId="6E5CC0C2" w:rsidR="0020683B" w:rsidRPr="00E97AFD" w:rsidRDefault="0020683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珠海祺泰宝股权投资合伙企业（有限合伙）</w:t>
            </w:r>
          </w:p>
        </w:tc>
        <w:tc>
          <w:tcPr>
            <w:tcW w:w="1512" w:type="pct"/>
            <w:vAlign w:val="center"/>
          </w:tcPr>
          <w:p w14:paraId="25138FE1" w14:textId="775BBA79" w:rsidR="0020683B" w:rsidRPr="00E97AFD" w:rsidRDefault="0020683B" w:rsidP="00966694">
            <w:pPr>
              <w:snapToGrid w:val="0"/>
              <w:spacing w:line="360" w:lineRule="auto"/>
              <w:ind w:firstLine="420"/>
              <w:jc w:val="center"/>
              <w:rPr>
                <w:rFonts w:asciiTheme="minorEastAsia" w:eastAsiaTheme="minorEastAsia" w:hAnsiTheme="minorEastAsia"/>
              </w:rPr>
            </w:pPr>
            <w:r w:rsidRPr="00E97AFD">
              <w:rPr>
                <w:rFonts w:asciiTheme="minorEastAsia" w:eastAsiaTheme="minorEastAsia" w:hAnsiTheme="minorEastAsia"/>
              </w:rPr>
              <w:t>1.6205％</w:t>
            </w:r>
          </w:p>
        </w:tc>
      </w:tr>
      <w:tr w:rsidR="00E97AFD" w:rsidRPr="00E97AFD" w14:paraId="044EF80C" w14:textId="77777777" w:rsidTr="00524616">
        <w:trPr>
          <w:jc w:val="center"/>
        </w:trPr>
        <w:tc>
          <w:tcPr>
            <w:tcW w:w="3488" w:type="pct"/>
            <w:vAlign w:val="center"/>
          </w:tcPr>
          <w:p w14:paraId="77F91833" w14:textId="150DB8A8" w:rsidR="0020683B" w:rsidRPr="00E97AFD" w:rsidRDefault="0020683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珠海祺丰宝股权投资合伙企业（有限合伙）</w:t>
            </w:r>
          </w:p>
        </w:tc>
        <w:tc>
          <w:tcPr>
            <w:tcW w:w="1512" w:type="pct"/>
            <w:vAlign w:val="center"/>
          </w:tcPr>
          <w:p w14:paraId="2A22637A" w14:textId="4A71D2E2" w:rsidR="0020683B" w:rsidRPr="00E97AFD" w:rsidRDefault="0020683B" w:rsidP="00966694">
            <w:pPr>
              <w:snapToGrid w:val="0"/>
              <w:spacing w:line="360" w:lineRule="auto"/>
              <w:ind w:firstLine="420"/>
              <w:jc w:val="center"/>
              <w:rPr>
                <w:rFonts w:asciiTheme="minorEastAsia" w:eastAsiaTheme="minorEastAsia" w:hAnsiTheme="minorEastAsia"/>
              </w:rPr>
            </w:pPr>
            <w:r w:rsidRPr="00E97AFD">
              <w:rPr>
                <w:rFonts w:asciiTheme="minorEastAsia" w:eastAsiaTheme="minorEastAsia" w:hAnsiTheme="minorEastAsia"/>
              </w:rPr>
              <w:t>1.5309％</w:t>
            </w:r>
          </w:p>
        </w:tc>
      </w:tr>
      <w:tr w:rsidR="00E97AFD" w:rsidRPr="00E97AFD" w14:paraId="735ED750" w14:textId="77777777" w:rsidTr="00524616">
        <w:trPr>
          <w:jc w:val="center"/>
        </w:trPr>
        <w:tc>
          <w:tcPr>
            <w:tcW w:w="3488" w:type="pct"/>
            <w:vAlign w:val="center"/>
          </w:tcPr>
          <w:p w14:paraId="2E6947C8" w14:textId="0BB3F761" w:rsidR="0020683B" w:rsidRPr="00E97AFD" w:rsidRDefault="0020683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珠海聚莱康股权投资合伙企业（有限合伙）</w:t>
            </w:r>
          </w:p>
        </w:tc>
        <w:tc>
          <w:tcPr>
            <w:tcW w:w="1512" w:type="pct"/>
            <w:vAlign w:val="center"/>
          </w:tcPr>
          <w:p w14:paraId="17F37F14" w14:textId="1225FE76" w:rsidR="0020683B" w:rsidRPr="00E97AFD" w:rsidRDefault="0020683B" w:rsidP="00966694">
            <w:pPr>
              <w:snapToGrid w:val="0"/>
              <w:spacing w:line="360" w:lineRule="auto"/>
              <w:ind w:firstLine="420"/>
              <w:jc w:val="center"/>
              <w:rPr>
                <w:rFonts w:asciiTheme="minorEastAsia" w:eastAsiaTheme="minorEastAsia" w:hAnsiTheme="minorEastAsia"/>
              </w:rPr>
            </w:pPr>
            <w:r w:rsidRPr="00E97AFD">
              <w:rPr>
                <w:rFonts w:asciiTheme="minorEastAsia" w:eastAsiaTheme="minorEastAsia" w:hAnsiTheme="minorEastAsia"/>
              </w:rPr>
              <w:t>1.7558％</w:t>
            </w:r>
          </w:p>
        </w:tc>
      </w:tr>
      <w:tr w:rsidR="00E97AFD" w:rsidRPr="00E97AFD" w14:paraId="49F32B24" w14:textId="77777777" w:rsidTr="00524616">
        <w:trPr>
          <w:jc w:val="center"/>
        </w:trPr>
        <w:tc>
          <w:tcPr>
            <w:tcW w:w="3488" w:type="pct"/>
            <w:vAlign w:val="center"/>
          </w:tcPr>
          <w:p w14:paraId="06E34C72" w14:textId="569FAD83" w:rsidR="0020683B" w:rsidRPr="00E97AFD" w:rsidRDefault="0020683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珠海聚宁康股权投资合伙企业（有限合伙）</w:t>
            </w:r>
          </w:p>
        </w:tc>
        <w:tc>
          <w:tcPr>
            <w:tcW w:w="1512" w:type="pct"/>
            <w:vAlign w:val="center"/>
          </w:tcPr>
          <w:p w14:paraId="58F85574" w14:textId="46D060B8" w:rsidR="0020683B" w:rsidRPr="00E97AFD" w:rsidRDefault="0020683B" w:rsidP="00966694">
            <w:pPr>
              <w:snapToGrid w:val="0"/>
              <w:spacing w:line="360" w:lineRule="auto"/>
              <w:ind w:firstLine="420"/>
              <w:jc w:val="center"/>
              <w:rPr>
                <w:rFonts w:asciiTheme="minorEastAsia" w:eastAsiaTheme="minorEastAsia" w:hAnsiTheme="minorEastAsia"/>
              </w:rPr>
            </w:pPr>
            <w:r w:rsidRPr="00E97AFD">
              <w:rPr>
                <w:rFonts w:asciiTheme="minorEastAsia" w:eastAsiaTheme="minorEastAsia" w:hAnsiTheme="minorEastAsia"/>
              </w:rPr>
              <w:t>1.4396％</w:t>
            </w:r>
          </w:p>
        </w:tc>
      </w:tr>
      <w:tr w:rsidR="00E97AFD" w:rsidRPr="00E97AFD" w14:paraId="3DCF82B2" w14:textId="77777777" w:rsidTr="00524616">
        <w:trPr>
          <w:jc w:val="center"/>
        </w:trPr>
        <w:tc>
          <w:tcPr>
            <w:tcW w:w="3488" w:type="pct"/>
            <w:vAlign w:val="center"/>
          </w:tcPr>
          <w:p w14:paraId="4CC91AD3" w14:textId="431B3C6C" w:rsidR="0020683B" w:rsidRPr="00E97AFD" w:rsidRDefault="0020683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珠海聚弘康股权投资合伙企业（有限合伙）</w:t>
            </w:r>
          </w:p>
        </w:tc>
        <w:tc>
          <w:tcPr>
            <w:tcW w:w="1512" w:type="pct"/>
            <w:vAlign w:val="center"/>
          </w:tcPr>
          <w:p w14:paraId="5A16F55B" w14:textId="06E9E350" w:rsidR="0020683B" w:rsidRPr="00E97AFD" w:rsidRDefault="0020683B" w:rsidP="00966694">
            <w:pPr>
              <w:snapToGrid w:val="0"/>
              <w:spacing w:line="360" w:lineRule="auto"/>
              <w:ind w:firstLine="420"/>
              <w:jc w:val="center"/>
              <w:rPr>
                <w:rFonts w:asciiTheme="minorEastAsia" w:eastAsiaTheme="minorEastAsia" w:hAnsiTheme="minorEastAsia"/>
              </w:rPr>
            </w:pPr>
            <w:r w:rsidRPr="00E97AFD">
              <w:rPr>
                <w:rFonts w:asciiTheme="minorEastAsia" w:eastAsiaTheme="minorEastAsia" w:hAnsiTheme="minorEastAsia"/>
              </w:rPr>
              <w:t>1.5388％</w:t>
            </w:r>
          </w:p>
        </w:tc>
      </w:tr>
      <w:tr w:rsidR="00E97AFD" w:rsidRPr="00E97AFD" w14:paraId="08CD24F3" w14:textId="77777777" w:rsidTr="00524616">
        <w:trPr>
          <w:jc w:val="center"/>
        </w:trPr>
        <w:tc>
          <w:tcPr>
            <w:tcW w:w="3488" w:type="pct"/>
            <w:vAlign w:val="center"/>
          </w:tcPr>
          <w:p w14:paraId="053C6E13" w14:textId="132ABEF2" w:rsidR="0020683B" w:rsidRPr="00E97AFD" w:rsidRDefault="0020683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总</w:t>
            </w:r>
            <w:r w:rsidRPr="00E97AFD">
              <w:rPr>
                <w:rFonts w:asciiTheme="minorEastAsia" w:eastAsiaTheme="minorEastAsia" w:hAnsiTheme="minorEastAsia"/>
              </w:rPr>
              <w:t>计</w:t>
            </w:r>
          </w:p>
        </w:tc>
        <w:tc>
          <w:tcPr>
            <w:tcW w:w="1512" w:type="pct"/>
            <w:vAlign w:val="center"/>
          </w:tcPr>
          <w:p w14:paraId="7A577915" w14:textId="1C81C380" w:rsidR="0020683B" w:rsidRPr="00E97AFD" w:rsidRDefault="0020683B" w:rsidP="00966694">
            <w:pPr>
              <w:snapToGrid w:val="0"/>
              <w:spacing w:line="360" w:lineRule="auto"/>
              <w:ind w:firstLine="420"/>
              <w:jc w:val="center"/>
              <w:rPr>
                <w:rFonts w:asciiTheme="minorEastAsia" w:eastAsiaTheme="minorEastAsia" w:hAnsiTheme="minorEastAsia"/>
              </w:rPr>
            </w:pPr>
            <w:r w:rsidRPr="00E97AFD">
              <w:rPr>
                <w:rFonts w:asciiTheme="minorEastAsia" w:eastAsiaTheme="minorEastAsia" w:hAnsiTheme="minorEastAsia"/>
              </w:rPr>
              <w:t>100％</w:t>
            </w:r>
          </w:p>
        </w:tc>
      </w:tr>
    </w:tbl>
    <w:p w14:paraId="40F81D32" w14:textId="77777777" w:rsidR="00BA4B87" w:rsidRPr="00E97AFD" w:rsidRDefault="008D4032" w:rsidP="00966694">
      <w:pPr>
        <w:snapToGrid w:val="0"/>
        <w:spacing w:line="360" w:lineRule="auto"/>
        <w:ind w:firstLine="420"/>
        <w:rPr>
          <w:rFonts w:asciiTheme="minorEastAsia" w:eastAsiaTheme="minorEastAsia" w:hAnsiTheme="minorEastAsia"/>
        </w:rPr>
      </w:pPr>
      <w:bookmarkStart w:id="7" w:name="_Toc327734789"/>
      <w:r w:rsidRPr="00E97AFD">
        <w:rPr>
          <w:rFonts w:asciiTheme="minorEastAsia" w:eastAsiaTheme="minorEastAsia" w:hAnsiTheme="minorEastAsia"/>
        </w:rPr>
        <w:t>(二)</w:t>
      </w:r>
      <w:r w:rsidR="00BA4B87" w:rsidRPr="00E97AFD">
        <w:rPr>
          <w:rFonts w:asciiTheme="minorEastAsia" w:eastAsiaTheme="minorEastAsia" w:hAnsiTheme="minorEastAsia"/>
        </w:rPr>
        <w:t>主要人员情况</w:t>
      </w:r>
      <w:bookmarkEnd w:id="7"/>
    </w:p>
    <w:p w14:paraId="0984EA73" w14:textId="77777777" w:rsidR="00BA4B87" w:rsidRPr="00E97AFD" w:rsidRDefault="00BA4B87"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1、董事、监事及高级管理人员</w:t>
      </w:r>
    </w:p>
    <w:p w14:paraId="3C917478" w14:textId="77777777" w:rsidR="007E0035" w:rsidRPr="00E97AFD" w:rsidRDefault="007E0035" w:rsidP="00E97AFD">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詹余引先生，工商管理博士，董事长。曾任中国平安保险公司证券部研究咨询室总经理助理；平安证券有限责任公司研究咨询部副总经理（主持工作）、国债部副总经理（主持工作）、资产管理部副总经理、总经理；中国平安保险股份有限公司投资管理部副总经理（主持工作）；全国社会保障基金理事会投资部资产配置处处长、投资部副主任、境外投资部主</w:t>
      </w:r>
      <w:r w:rsidRPr="00E97AFD">
        <w:rPr>
          <w:rFonts w:asciiTheme="minorEastAsia" w:eastAsiaTheme="minorEastAsia" w:hAnsiTheme="minorEastAsia" w:hint="eastAsia"/>
        </w:rPr>
        <w:lastRenderedPageBreak/>
        <w:t>任、投资部主任、证券投资部主任。现任易方达基金管理有限公司董事长；易方达国际控股有限公司董事长。</w:t>
      </w:r>
    </w:p>
    <w:p w14:paraId="332DE3EE" w14:textId="77777777" w:rsidR="007E0035" w:rsidRPr="00E97AFD" w:rsidRDefault="007E0035" w:rsidP="00E97AFD">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刘晓艳女士，经济学博士，副董事长、总裁。曾任广发证券有限责任公司投资理财部副经理、基金经理，基金投资理财部副总经理、基金资产管理部总经理；易方达基金管理有限公司督察员、监察部总经理、市场部总经理、总裁助理、公司副总裁、常务副总裁。现任易方达基金管理有限公司副董事长、总裁；易方达资产管理（香港）有限公司董事长。</w:t>
      </w:r>
    </w:p>
    <w:p w14:paraId="028DEE1E" w14:textId="77777777" w:rsidR="007E0035" w:rsidRPr="00E97AFD" w:rsidRDefault="007E0035" w:rsidP="00E97AFD">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w:t>
      </w:r>
    </w:p>
    <w:p w14:paraId="19F4A169" w14:textId="77777777" w:rsidR="007E0035" w:rsidRPr="00E97AFD" w:rsidRDefault="007E0035" w:rsidP="00E97AFD">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14:paraId="58E0E893" w14:textId="77777777" w:rsidR="007E0035" w:rsidRPr="00E97AFD" w:rsidRDefault="007E0035" w:rsidP="00E97AFD">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陈志辉先生，管理学硕士，董事。曾任美的集团税务总监；安永会计师事务所广州分所高级审计员；盈峰控股集团有限公司资财中心总经理。现任易方达基金管理有限公司董事；宁波盈峰股权投资基金管理有限公司合伙人、联席总裁；深圳市盈峰环保产业基金管理有限公司监事；广东顺德盈峰互联网产业投资管理有限公司监事；广东神华保险代理有限公司董事；西安高新盈峰创业投资管理有限公司董事。</w:t>
      </w:r>
    </w:p>
    <w:p w14:paraId="47473F6C" w14:textId="77777777" w:rsidR="007E0035" w:rsidRPr="00E97AFD" w:rsidRDefault="007E0035" w:rsidP="00E97AFD">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戚思胤先生，经济学硕士，董事。曾任广东省高速公路发展股份有限公司证券部投资者关系管理业务员、投资者关系管理主管、信息披露主管、证券事务代表；广东省广晟资产经营有限公司资本运营部高级主管、团委副书记、副部长、部长；（香港）广晟投资发展有限公司董事、常务副总经理等职务。现任易方达基金管理有限公司董事；广东省广晟资产经营有限公司董事会办公室（法务中心）主任；广东风华高新科技股份有限公司董事；佛山电器照明股份有限公司董事；深圳市中金岭南有色金属股份有限公司董事；佛山市国星光电股份有限公司董事；广东南粤银行股份有限公司董事。</w:t>
      </w:r>
    </w:p>
    <w:p w14:paraId="1358DAEB" w14:textId="77777777" w:rsidR="007E0035" w:rsidRPr="00E97AFD" w:rsidRDefault="007E0035" w:rsidP="00E97AFD">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w:t>
      </w:r>
      <w:hyperlink r:id="rId16" w:tgtFrame="_blank" w:history="1">
        <w:r w:rsidRPr="00E97AFD">
          <w:rPr>
            <w:rFonts w:asciiTheme="minorEastAsia" w:eastAsiaTheme="minorEastAsia" w:hAnsiTheme="minorEastAsia" w:hint="eastAsia"/>
          </w:rPr>
          <w:t>上海汇招信息技术有限公司</w:t>
        </w:r>
      </w:hyperlink>
      <w:r w:rsidRPr="00E97AFD">
        <w:rPr>
          <w:rFonts w:asciiTheme="minorEastAsia" w:eastAsiaTheme="minorEastAsia" w:hAnsiTheme="minorEastAsia" w:hint="eastAsia"/>
        </w:rPr>
        <w:t>董事。</w:t>
      </w:r>
    </w:p>
    <w:p w14:paraId="52D32430" w14:textId="77777777" w:rsidR="007E0035" w:rsidRPr="00E97AFD" w:rsidRDefault="007E0035" w:rsidP="00E97AFD">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谭劲松先生，管理学博士（会计学），独立董事。曾任邵阳市财会学校教师；中山大学管理学院助教、讲师、副教授。现任易方达基金管理有限公司独立董事；中山大学管理学院</w:t>
      </w:r>
      <w:r w:rsidRPr="00E97AFD">
        <w:rPr>
          <w:rFonts w:asciiTheme="minorEastAsia" w:eastAsiaTheme="minorEastAsia" w:hAnsiTheme="minorEastAsia" w:hint="eastAsia"/>
        </w:rPr>
        <w:lastRenderedPageBreak/>
        <w:t>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14:paraId="092035D5" w14:textId="77777777" w:rsidR="007E0035" w:rsidRPr="00E97AFD" w:rsidRDefault="007E0035" w:rsidP="00E97AFD">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庄伟燕女士，法学博士，独立董事。曾任广东省妇女联合会干部；广东鸿鼎律师事务所主任；广东广悦鸿鼎律师事务所管委会主任。现任易方达基金管理有限公司独立董事；广东广信君达律师事务所高级合伙人。</w:t>
      </w:r>
    </w:p>
    <w:p w14:paraId="33BDF18A" w14:textId="77777777" w:rsidR="007E0035" w:rsidRPr="00E97AFD" w:rsidRDefault="007E0035" w:rsidP="00E97AFD">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刘发宏先生，工商管理硕士（</w:t>
      </w:r>
      <w:r w:rsidRPr="00E97AFD">
        <w:rPr>
          <w:rFonts w:asciiTheme="minorEastAsia" w:eastAsiaTheme="minorEastAsia" w:hAnsiTheme="minorEastAsia"/>
        </w:rPr>
        <w:t>MBA），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14:paraId="18E807B6" w14:textId="77777777" w:rsidR="007E0035" w:rsidRPr="00E97AFD" w:rsidRDefault="007E0035" w:rsidP="00E97AFD">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14:paraId="187C9D06" w14:textId="77777777" w:rsidR="007E0035" w:rsidRPr="00E97AFD" w:rsidRDefault="007E0035" w:rsidP="00E97AFD">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党群工作部联席总经理。</w:t>
      </w:r>
    </w:p>
    <w:p w14:paraId="7FA0A2BA" w14:textId="77777777" w:rsidR="007E0035" w:rsidRPr="00E97AFD" w:rsidRDefault="007E0035" w:rsidP="00E97AFD">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14:paraId="508FB893" w14:textId="77777777" w:rsidR="007E0035" w:rsidRPr="00E97AFD" w:rsidRDefault="007E0035" w:rsidP="00E97AFD">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14:paraId="34A8B4BF" w14:textId="77777777" w:rsidR="007E0035" w:rsidRPr="00E97AFD" w:rsidRDefault="007E0035" w:rsidP="00E97AFD">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张优造先生，工商管理硕士</w:t>
      </w:r>
      <w:r w:rsidRPr="00E97AFD">
        <w:rPr>
          <w:rFonts w:asciiTheme="minorEastAsia" w:eastAsiaTheme="minorEastAsia" w:hAnsiTheme="minorEastAsia"/>
        </w:rPr>
        <w:t>(MBA)，常务副总裁。曾任南方证券交易中心业务发展部经</w:t>
      </w:r>
      <w:r w:rsidRPr="00E97AFD">
        <w:rPr>
          <w:rFonts w:asciiTheme="minorEastAsia" w:eastAsiaTheme="minorEastAsia" w:hAnsiTheme="minorEastAsia"/>
        </w:rPr>
        <w:lastRenderedPageBreak/>
        <w:t>理；广东证券公司发行上市部经理；深圳证券业务部总经理、基金部总经理；易方达基金管理有限公司董事、副总裁。现任易方达基金管理有限公司常务副总裁；易方达国际控股有限公司董事。</w:t>
      </w:r>
    </w:p>
    <w:p w14:paraId="472AD8F4" w14:textId="77777777" w:rsidR="007E0035" w:rsidRPr="00E97AFD" w:rsidRDefault="007E0035" w:rsidP="00E97AFD">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陈彤先生，经济学博士，副总裁。曾任中国经济开发信托投资公司成都营业部研发部副经理、交易部经理、研发部经理、证券总部研究部行业研究员；易方达基金管理有限公司市场拓展部主管、基金科瑞基金经理、市场部华东区大区销售经理、市场部总经理助理、南京分公司总经理、成都分公司总经理、上海分公司总经理、总裁助理、市场总监。现任易方达基金管理有限公司副总裁；易方达国际控股有限公司董事。</w:t>
      </w:r>
    </w:p>
    <w:p w14:paraId="51D1F31D" w14:textId="77777777" w:rsidR="007E0035" w:rsidRPr="00E97AFD" w:rsidRDefault="007E0035" w:rsidP="00E97AFD">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马骏先生，高级管理人员工商管理硕士（</w:t>
      </w:r>
      <w:r w:rsidRPr="00E97AFD">
        <w:rPr>
          <w:rFonts w:asciiTheme="minorEastAsia" w:eastAsiaTheme="minorEastAsia" w:hAnsiTheme="minorEastAsia"/>
        </w:rPr>
        <w:t>EMBA），副总裁。曾任君安证券有限公司营业部职员；深圳众大投资有限公司投资部副总经理；广发证券有限责任公司研究员；易方达基金管理有限公司固定收益部总经理、现金管理部总经理、固定收益总部总经理、总裁助理、固定收益投资总监、固定收益首席投资官、基金科讯基金经理、易方达50指数证券投资基金基金经理、易方达深证100交易型开放式指数基金基金经理。现任易方达基金管理有限公司副总裁；易方达资产管理（香港）有限公司董事、人民币合格境外投资者（RQFII）业务负责人、证券交易负责人员（RO）、就证券提供意见负责人员（RO）、提供资产管理负责人员（RO）、固定收益投资决策委员会委员、产品审批委员会委员。</w:t>
      </w:r>
    </w:p>
    <w:p w14:paraId="7E687DA4" w14:textId="77777777" w:rsidR="007E0035" w:rsidRPr="00E97AFD" w:rsidRDefault="007E0035" w:rsidP="00E97AFD">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吴欣荣先生，工学硕士，副总裁。曾任易方达基金管理有限公司研究员、投资管理部经理、基金投资部副总经理、研究部副总经理、研究部总经理、基金投资部总经理、公募基金投资部总经理、权益投资总部总经理、总裁助理、权益投资总监、基金科瑞基金经理、易方达科汇灵活配置混合型证券投资基金基金经理、易方达价值精选股票型证券投资基金基金经理。现任易方达基金管理有限公司副总裁；易方达国际控股有限公司董事。</w:t>
      </w:r>
    </w:p>
    <w:p w14:paraId="09A9022E" w14:textId="77777777" w:rsidR="007E0035" w:rsidRPr="00E97AFD" w:rsidRDefault="007E0035" w:rsidP="00E97AFD">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张南女士，经济学博士，督察长。曾任广东省经济贸易委员会主任科员、副处长；易方达基金管理有限公司市场拓展部副总经理、监察部总经理。现任易方达基金管理有限公司督察长。</w:t>
      </w:r>
    </w:p>
    <w:p w14:paraId="33C54D18" w14:textId="77777777" w:rsidR="007E0035" w:rsidRPr="00E97AFD" w:rsidRDefault="007E0035" w:rsidP="00E97AFD">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范岳先生，工商管理硕士</w:t>
      </w:r>
      <w:r w:rsidRPr="00E97AFD">
        <w:rPr>
          <w:rFonts w:asciiTheme="minorEastAsia" w:eastAsiaTheme="minorEastAsia" w:hAnsiTheme="minorEastAsia"/>
        </w:rPr>
        <w:t>(MBA)，首席产品官。曾任中国工商银行深圳分行国际业务部科员；深圳证券登记结算公司办公室经理、国际部经理；深圳证券交易所北京中心助理主任、上市部副总监、基金债券部副总监、基金管理部总监。现任易方达基金管理有限公司首席产品官。</w:t>
      </w:r>
    </w:p>
    <w:p w14:paraId="332B55E8" w14:textId="77777777" w:rsidR="007E0035" w:rsidRPr="00E97AFD" w:rsidRDefault="007E0035" w:rsidP="00E97AFD">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关秀霞女士，财务硕士、工商管理硕士，首席国际业务官。曾任中国银行</w:t>
      </w:r>
      <w:r w:rsidRPr="00E97AFD">
        <w:rPr>
          <w:rFonts w:asciiTheme="minorEastAsia" w:eastAsiaTheme="minorEastAsia" w:hAnsiTheme="minorEastAsia"/>
        </w:rPr>
        <w:t xml:space="preserve"> (香港) </w:t>
      </w:r>
      <w:r w:rsidRPr="00E97AFD">
        <w:rPr>
          <w:rFonts w:asciiTheme="minorEastAsia" w:eastAsiaTheme="minorEastAsia" w:hAnsiTheme="minorEastAsia" w:hint="eastAsia"/>
        </w:rPr>
        <w:t>分析员；</w:t>
      </w:r>
      <w:r w:rsidRPr="00E97AFD">
        <w:rPr>
          <w:rFonts w:asciiTheme="minorEastAsia" w:eastAsiaTheme="minorEastAsia" w:hAnsiTheme="minorEastAsia"/>
        </w:rPr>
        <w:t xml:space="preserve">Daniel Dennis </w:t>
      </w:r>
      <w:r w:rsidRPr="00E97AFD">
        <w:rPr>
          <w:rFonts w:asciiTheme="minorEastAsia" w:eastAsiaTheme="minorEastAsia" w:hAnsiTheme="minorEastAsia" w:hint="eastAsia"/>
        </w:rPr>
        <w:t>高级审计师；美国道富银行波士顿及亚洲总部大中华地区高级副总裁、董事总经理、中国区行长、亚洲区（除日本外）副总裁、机构服务主管、美国共同基金业务风险经理、公司内部审计部高级审计师。现任易方达基金管理有限公司首席国际业务官。</w:t>
      </w:r>
    </w:p>
    <w:p w14:paraId="208B6400" w14:textId="77777777" w:rsidR="007E0035" w:rsidRPr="00E97AFD" w:rsidRDefault="007E0035" w:rsidP="00E97AFD">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高松凡先生，高级管理人员工商管理硕士（</w:t>
      </w:r>
      <w:r w:rsidRPr="00E97AFD">
        <w:rPr>
          <w:rFonts w:asciiTheme="minorEastAsia" w:eastAsiaTheme="minorEastAsia" w:hAnsiTheme="minorEastAsia"/>
        </w:rPr>
        <w:t>EMBA），首席养老金业务官。曾任招商银行总行人事部高级经理、企业年金中心副主任；浦东发展银行总行企业年金部总经理；长江养</w:t>
      </w:r>
      <w:r w:rsidRPr="00E97AFD">
        <w:rPr>
          <w:rFonts w:asciiTheme="minorEastAsia" w:eastAsiaTheme="minorEastAsia" w:hAnsiTheme="minorEastAsia"/>
        </w:rPr>
        <w:lastRenderedPageBreak/>
        <w:t>老保险公司首席市场总监；易方达基金管理有限公司养老金业务总监。现任易方达基金管理有限公司首席养老金业务官。</w:t>
      </w:r>
    </w:p>
    <w:p w14:paraId="1E8808C0" w14:textId="77777777" w:rsidR="007E0035" w:rsidRPr="00E97AFD" w:rsidRDefault="007E0035" w:rsidP="00E97AFD">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陈荣女士，经济学博士，首席运营官。曾任中国人民银行广州分行统计研究处科员；易方达基金管理有限公司运作支持部经理、核算部总经理助理、核算部副总经理、核算部总经理、投资风险管理部总经理、公司总裁助理、公司董事会秘书、公司财务中心主任。现任易方达基金管理有限公司首席运营官；易方达资产管理（香港）有限公司董事；易方达资产管理有限公司监事；易方达海外投资（深圳）有限公司监事。</w:t>
      </w:r>
    </w:p>
    <w:p w14:paraId="63C482CB" w14:textId="77777777" w:rsidR="007E0035" w:rsidRPr="00E97AFD" w:rsidRDefault="007E0035" w:rsidP="00E97AFD">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汪兰英女士，工学学士、法学学士，首席大类资产配置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首席大类资产配置官；易方达资产管理有限公司董事。</w:t>
      </w:r>
    </w:p>
    <w:p w14:paraId="30795F99" w14:textId="77777777" w:rsidR="0027563B" w:rsidRPr="00E97AFD" w:rsidRDefault="0027563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2、基金经理</w:t>
      </w:r>
    </w:p>
    <w:p w14:paraId="1F84B39E" w14:textId="77777777" w:rsidR="0027563B" w:rsidRPr="00E97AFD" w:rsidRDefault="0027563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石大怿先生，经济学硕士。曾任南方基金管理有限公司交易管理部交易员，易方达基金管理有限公司集中交易室债券交易员、固定收益部基金经理助理、易方达双月利理财债券型证券投资基金基金经理（自</w:t>
      </w:r>
      <w:r w:rsidRPr="00E97AFD">
        <w:rPr>
          <w:rFonts w:asciiTheme="minorEastAsia" w:eastAsiaTheme="minorEastAsia" w:hAnsiTheme="minorEastAsia"/>
        </w:rPr>
        <w:t>2013年1月15日至2019年5月27日）、易方达新鑫灵活配置混合型证券投资基金基金经理助理。现任易方达基金管理有限公司易方达月月利理财债券型证券投资基金基金经理（自2012年11月26日起任职）、易方达天天理财货币市场基金基金经理（自2013年3月4日起任职）、易方达货币市场基金基金经理（自2013年4月22日</w:t>
      </w:r>
      <w:r w:rsidRPr="00E97AFD">
        <w:rPr>
          <w:rFonts w:asciiTheme="minorEastAsia" w:eastAsiaTheme="minorEastAsia" w:hAnsiTheme="minorEastAsia" w:hint="eastAsia"/>
        </w:rPr>
        <w:t>起任职）、易方达保证金收益货币市场基金基金经理（自</w:t>
      </w:r>
      <w:r w:rsidRPr="00E97AFD">
        <w:rPr>
          <w:rFonts w:asciiTheme="minorEastAsia" w:eastAsiaTheme="minorEastAsia" w:hAnsiTheme="minorEastAsia"/>
        </w:rPr>
        <w:t>2013年4月22日起任职）、易方达易理财货币市场基金基金经理（自2013年10月24日起任职）、易方达财富快线货币市场基金基金经理（自2014年6月17日起任职）、易方达天天增利货币市场基金基金经理（自2014年6月25日起任职）、易方达龙宝货币市场基金基金经理（自2014年9月12日起任职）、易方达现金增利货币市场基金基金经理（自2015年2月5日起任职）、易方达天天发货币市场基金基金经理（自2017年2月16日起任职）、易方达掌柜季季盈理财债券型证券</w:t>
      </w:r>
      <w:r w:rsidRPr="00E97AFD">
        <w:rPr>
          <w:rFonts w:asciiTheme="minorEastAsia" w:eastAsiaTheme="minorEastAsia" w:hAnsiTheme="minorEastAsia" w:hint="eastAsia"/>
        </w:rPr>
        <w:t>投资基金基金经理（自</w:t>
      </w:r>
      <w:r w:rsidRPr="00E97AFD">
        <w:rPr>
          <w:rFonts w:asciiTheme="minorEastAsia" w:eastAsiaTheme="minorEastAsia" w:hAnsiTheme="minorEastAsia"/>
        </w:rPr>
        <w:t>2017年6月15日起任职）、易方达安瑞短债债券型证券投资基金基金经理（自2018年11月14日起任职）、易方达恒安定期开放债券型发起式证券投资基金基金经理助理。</w:t>
      </w:r>
    </w:p>
    <w:p w14:paraId="18A1E291" w14:textId="77777777" w:rsidR="0027563B" w:rsidRPr="00E97AFD" w:rsidRDefault="0027563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梁莹女士，经济学硕士、金融学硕士。曾任招商证券股份有限公司债券销售交易部交易员，易方达基金管理有限公司固定收益交易员、易方达双月利理财债券型证券投资基金基金经理（自</w:t>
      </w:r>
      <w:r w:rsidRPr="00E97AFD">
        <w:rPr>
          <w:rFonts w:asciiTheme="minorEastAsia" w:eastAsiaTheme="minorEastAsia" w:hAnsiTheme="minorEastAsia"/>
        </w:rPr>
        <w:t>2014年9月24日至2019年5月27日）、易方达保证金收益货币市场基金基金经理助理。现任易方达基金管理有限公司投资经理、易方达月月利理财债券型证券投资基金基金</w:t>
      </w:r>
      <w:r w:rsidRPr="00E97AFD">
        <w:rPr>
          <w:rFonts w:asciiTheme="minorEastAsia" w:eastAsiaTheme="minorEastAsia" w:hAnsiTheme="minorEastAsia" w:hint="eastAsia"/>
        </w:rPr>
        <w:t>经理（自</w:t>
      </w:r>
      <w:r w:rsidRPr="00E97AFD">
        <w:rPr>
          <w:rFonts w:asciiTheme="minorEastAsia" w:eastAsiaTheme="minorEastAsia" w:hAnsiTheme="minorEastAsia"/>
        </w:rPr>
        <w:t>2014年9月24日起任职）、易方达增金宝货币市场基金基金经理（自2015年1月20日起任职）、易方达财富快线货币市场基金基金经理（自2015年3月17日起任职）、</w:t>
      </w:r>
      <w:r w:rsidRPr="00E97AFD">
        <w:rPr>
          <w:rFonts w:asciiTheme="minorEastAsia" w:eastAsiaTheme="minorEastAsia" w:hAnsiTheme="minorEastAsia"/>
        </w:rPr>
        <w:lastRenderedPageBreak/>
        <w:t>易方达天天增利货币市场基金基金经理（自2015年3月17日起任职）、易方达龙宝货币市场基金基金经理（自2015年3月17日起任职）、易方达现金增利货币市场基金基金经理（自2015年6月19日起任职）、易方达掌柜季季盈理财债券型证券投资基金基金经理（自2017年7月11日起任职）、易方达保证金收益货币市场基金基金经理（自2017年8月8日</w:t>
      </w:r>
      <w:r w:rsidRPr="00E97AFD">
        <w:rPr>
          <w:rFonts w:asciiTheme="minorEastAsia" w:eastAsiaTheme="minorEastAsia" w:hAnsiTheme="minorEastAsia" w:hint="eastAsia"/>
        </w:rPr>
        <w:t>起任职）、易方达安悦超短债债券型证券投资基金基金经理（自</w:t>
      </w:r>
      <w:r w:rsidRPr="00E97AFD">
        <w:rPr>
          <w:rFonts w:asciiTheme="minorEastAsia" w:eastAsiaTheme="minorEastAsia" w:hAnsiTheme="minorEastAsia"/>
        </w:rPr>
        <w:t>2018年12月5日起任职）、易方达货币市场基金基金经理助理、易方达天天理财货币市场基金基金经理助理、易方达易理财货币市场基金基金经理助理。</w:t>
      </w:r>
    </w:p>
    <w:p w14:paraId="3930D1D6" w14:textId="77777777" w:rsidR="0027563B" w:rsidRPr="00E97AFD" w:rsidRDefault="0027563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易瓅女士，理学硕士。曾任汇添富基金管理有限公司债券交易员，易方达基金管理有限公司高级债券交易员、易方达双月利理财债券型证券投资基金基金经理助理。现任易方达基金管理有限公司易方达货币市场基金基金经理助理、易方达月月利理财债券型证券投资基金基金经理助理、易方达天天理财货币市场基金基金经理助理、易方达保证金收益货币市场基金基金经理助理、易方达易理财货币市场基金基金经理助理、易方达财富快线货币市场基金基金经理助理、易方达天天增利货币市场基金基金经理助理、易方达龙宝货币市场基金基金经理助理、易方达增金宝货币市场基金基金经理助理、易方达现金增利货币市场基金基金经理助理、易方达天天发货币市场基金基金经理助理、易方达掌柜季季盈理财债券型证券投资基金基金经理助理、易方达安悦超短债债券型证券投资基金基金经理助理。</w:t>
      </w:r>
    </w:p>
    <w:p w14:paraId="06DAB396" w14:textId="77777777" w:rsidR="0027563B" w:rsidRPr="00E97AFD" w:rsidRDefault="0027563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3、固定收益投资决策委员会成员</w:t>
      </w:r>
    </w:p>
    <w:p w14:paraId="235C888F" w14:textId="77777777" w:rsidR="0027563B" w:rsidRPr="00E97AFD" w:rsidRDefault="0027563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本公司固定收益投资决策委员会成员包括：马骏先生、胡剑先生、张清华先生、王晓晨女士、袁方女士、刘朝阳女士、祁广东先生。</w:t>
      </w:r>
    </w:p>
    <w:p w14:paraId="74BD060C" w14:textId="77777777" w:rsidR="0027563B" w:rsidRPr="00E97AFD" w:rsidRDefault="0027563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马骏先生，同上。</w:t>
      </w:r>
    </w:p>
    <w:p w14:paraId="2212A910" w14:textId="028A8257" w:rsidR="0027563B" w:rsidRPr="00E97AFD" w:rsidRDefault="003508D2"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胡剑先生，经济学硕士。曾任易方达基金管理有限公司固定收益部债券研究员、基金经理助理、固定收益研究部负责人、固定收益总部总经理助理、易方达中债新综合债券指数发起式证券投资基金（LOF）基金经理、易方达纯债1年定期开放债券型证券投资基金基金经理、易方达永旭添利定期开放债券型证券投资基金基金经理、易方达纯债债券型证券投资基金基金经理、易方达裕景添利6个月定期开放债券型证券投资基金基金经理、易方达瑞智灵活配置混合型证券投资基金基金经理、易方达瑞兴灵活配置混合型证券投资基金基金经理、易方达瑞祥灵活配置混合型证券投资基金基金经理、易方达高等级信用债债券型证券投资基金基金经理、易方达瑞祺灵活配置混合型证券投资基金基金经理、易方达瑞财灵活配置混合型证券投资基金基金经理、易方达丰惠混合型证券投资基金基金经理。现任易方达基金管理有限公司固定收益投资部总经理、固定收益研究部总经理、易方达稳健收益债券型证券投资基金基金经理、易方达信用债债券型证券投资基金基金经理、易方达裕惠回报定期开放式混合型发起式证券投资基金基金经理、易方达瑞富灵活配置混合型证券投资基金基金经理、易方达3年封闭运作战略配售灵活配置混合型证券投资基金（LOF）基金经理、易方达岁丰添利债券型证券投资基金基金经理、易方达恒利3个月定期开放债券型发起式证券投资基金基</w:t>
      </w:r>
      <w:r w:rsidRPr="00E97AFD">
        <w:rPr>
          <w:rFonts w:asciiTheme="minorEastAsia" w:eastAsiaTheme="minorEastAsia" w:hAnsiTheme="minorEastAsia" w:hint="eastAsia"/>
        </w:rPr>
        <w:lastRenderedPageBreak/>
        <w:t>金经理、易方达恒益定期开放债券型发起式证券投资基金基金经理、易方达恒盛3个月定期开放混合型发起式证券投资基金基金经理、易方达富惠纯债债券型证券投资基金基金经理、易方达中债3-5年期国债指数证券投资基金基金经理、易方达中债7-10年期国开行债券指数证券投资基金基金经理。</w:t>
      </w:r>
    </w:p>
    <w:p w14:paraId="7CC77689" w14:textId="77777777" w:rsidR="0027563B" w:rsidRPr="00E97AFD" w:rsidRDefault="0027563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张清华先生，物理学硕士。曾任晨星资讯（深圳）有限公司数量分析师，中信证券股份有限公司研究员，易方达基金管理有限公司投资经理、固定收益基金投资部总经理、易方达裕如灵活配置混合型证券投资基金基金经理、易方达新收益灵活配置混合型证券投资基金基金经理、易方达新利灵活配置混合型证券投资基金基金经理、易方达新鑫灵活配置混合型证券投资基金基金经理、易方达新享灵活配置混合型证券投资基金基金经理、易方达瑞景灵活配置混合型证券投资基金基金经理、易方达瑞选灵活配置混合型证券投资基金基金经理、易方达瑞通灵活配置混合型证券投资基金基金经理、易方达瑞弘灵活配置混合型证券投资基金基金经理、易方达瑞程灵活配置混合型证券投资基金基金经理、易方达裕鑫债券型证券投资基金基金经理、易方达瑞信灵活配置混合型证券投资基金基金经理、易方达瑞和灵活配置混合型证券投资基金基金经理、易方达鑫转添利混合型证券投资基金基金经理、易方达鑫转增利混合型证券投资基金基金经理、易方达鑫转招利混合型证券投资基金基金经理。现任易方达基金管理有限公司混合资产投资部总经理、易方达安心回报债券型证券投资基金基金经理、易方达裕丰回报债券型证券投资基金基金经理、易方达安心回馈混合型证券投资基金基金经理、易方达裕祥回报债券型证券投资基金基金经理、易方达丰和债券型证券投资基金基金经理、易方达安盈回报混合型证券投资基金基金经理、易方达新收益灵活配置混合型证券投资基金基金经理、易方达丰华债券型证券投资基金基金经理。</w:t>
      </w:r>
    </w:p>
    <w:p w14:paraId="32D04E81" w14:textId="77777777" w:rsidR="0027563B" w:rsidRPr="00E97AFD" w:rsidRDefault="0027563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王晓晨女士，经济学硕士。曾任易方达基金管理有限公司集中交易室债券交易员、债券交易主管、固定收益总部总经理助理、固定收益基金投资部副总经理、易方达货币市场基金基金经理、易方达保证金收益货币市场基金基金经理、易方达保本一号混合型证券投资基金基金经理、易方达新鑫灵活配置混合型证券投资基金基金经理、易方达纯债债券型证券投资基金基金经理、易方达恒益定期开放债券型发起式证券投资基金基金经理、易方达中债</w:t>
      </w:r>
      <w:r w:rsidRPr="00E97AFD">
        <w:rPr>
          <w:rFonts w:asciiTheme="minorEastAsia" w:eastAsiaTheme="minorEastAsia" w:hAnsiTheme="minorEastAsia"/>
        </w:rPr>
        <w:t>3-5年期国债指数证券投资基金基金经理、易方达中债7-10年期国开行债券指数证券投资基金基金经理。现任易方达基金管理有限公司固定收益投资部副总经理、易方达增强回报债券型证券投资基金基金经理、易方达投资级信用债债券型证券投资基金基金经理、易方达中债新综合债券指数发起式证券投资基金（LOF）基金经理、易方达双债增强债券型证券投资基金基金经理、易方达恒安定期开放债券型发起式证券投资基金基金经理、易方达富财纯债债券型证券投资基金基金经理、易方达安瑞短债债券型证券投资基金基金经理、易方达中债1-3年国开行债券指数证券投资基金基金经理、易方达中债3-5年国开行债券指数证券投资基金基金经理、易方达恒兴3个月定期开放债券型发起式证券投资基金基金经理、易方达中债1-3年政策性金融债指数证券投资基金基金经理、易方达中债3-5年政策性金融债指数证券</w:t>
      </w:r>
      <w:r w:rsidRPr="00E97AFD">
        <w:rPr>
          <w:rFonts w:asciiTheme="minorEastAsia" w:eastAsiaTheme="minorEastAsia" w:hAnsiTheme="minorEastAsia"/>
        </w:rPr>
        <w:lastRenderedPageBreak/>
        <w:t>投资基金基金经理，易方达资产管理（香港）有限公司基金经理、就证券提供意见负责人员（RO）、提供资产管理负责人员（RO）、易方达资产管理（香港）有限公司固定收益投资决策委员会委员。</w:t>
      </w:r>
    </w:p>
    <w:p w14:paraId="7D58E2EE" w14:textId="77777777" w:rsidR="0027563B" w:rsidRPr="00E97AFD" w:rsidRDefault="0027563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袁方女士，工学硕士。曾任中慧会计师事务所审计师、资产评估师，湘财证券有限责任公司投资经理，泰康人寿保险公司投资经理，天弘基金管理有限公司基金经理、固定收益总监，泰康资产管理有限责任公司年金投资部高级投资经理、执行总监，易方达基金管理有限公司固定收益投资部总经理助理、固定收益总部总经理助理、固定收益机构投资部总经理、固定收益专户投资部总经理。现任易方达基金管理有限公司年金投资部总经理、投资经理。</w:t>
      </w:r>
    </w:p>
    <w:p w14:paraId="51DBB610" w14:textId="77777777" w:rsidR="0027563B" w:rsidRPr="00E97AFD" w:rsidRDefault="0027563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刘朝阳女士，经济学硕士。曾任南方基金管理有限公司固定收益部研究员、债券交易员、宏观策略高级研究员、基金经理。现任易方达基金管理有限公司现金管理部总经理、易方达财富快线货币市场基金基金经理、易方达易理财货币市场基金基金经理、易方达天天理财货币市场基金基金经理、易方达安悦超短债债券型证券投资基金基金经理。</w:t>
      </w:r>
    </w:p>
    <w:p w14:paraId="3AB47C9C" w14:textId="16664A08" w:rsidR="0027563B" w:rsidRPr="00E97AFD" w:rsidRDefault="003508D2"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祁广东先生，经济学硕士。曾任申银万国证券固定收益总部助理分析师、交易员、助理投资经理，申银万国投资管理（亚洲）有限公司基金经理，易方达资产管理（香港）有限公司投资经理。现任易方达基金管理有限公司投资经理、易方达中短期美元债债券型证券投资基金（QDII）基金经理，易方达资产管理（香港）有限公司就证券提供意见负责人员（RO）、提供资产管理负责人员（RO）、固定收益投资决策委员会委员、固定收益部主管、基金经理。</w:t>
      </w:r>
    </w:p>
    <w:p w14:paraId="58AC8B4F" w14:textId="77777777" w:rsidR="00BA4B87" w:rsidRPr="00E97AFD" w:rsidRDefault="00BA4B87" w:rsidP="00966694">
      <w:pPr>
        <w:snapToGrid w:val="0"/>
        <w:spacing w:line="360" w:lineRule="auto"/>
        <w:ind w:firstLine="420"/>
        <w:rPr>
          <w:rFonts w:asciiTheme="minorEastAsia" w:eastAsiaTheme="minorEastAsia" w:hAnsiTheme="minorEastAsia"/>
          <w:kern w:val="0"/>
        </w:rPr>
      </w:pPr>
      <w:r w:rsidRPr="00E97AFD">
        <w:rPr>
          <w:rFonts w:asciiTheme="minorEastAsia" w:eastAsiaTheme="minorEastAsia" w:hAnsiTheme="minorEastAsia"/>
          <w:kern w:val="0"/>
          <w:szCs w:val="21"/>
        </w:rPr>
        <w:t>4、上述人员之间均不存在近亲属关系。</w:t>
      </w:r>
    </w:p>
    <w:p w14:paraId="6E6940C5" w14:textId="77777777" w:rsidR="00BA4B87" w:rsidRPr="00E97AFD" w:rsidRDefault="00BA4B87" w:rsidP="00966694">
      <w:pPr>
        <w:snapToGrid w:val="0"/>
        <w:spacing w:line="360" w:lineRule="auto"/>
        <w:ind w:firstLine="420"/>
        <w:rPr>
          <w:rFonts w:asciiTheme="minorEastAsia" w:eastAsiaTheme="minorEastAsia" w:hAnsiTheme="minorEastAsia"/>
          <w:kern w:val="0"/>
        </w:rPr>
      </w:pPr>
      <w:bookmarkStart w:id="8" w:name="_Toc327734792"/>
      <w:r w:rsidRPr="00E97AFD">
        <w:rPr>
          <w:rFonts w:asciiTheme="minorEastAsia" w:eastAsiaTheme="minorEastAsia" w:hAnsiTheme="minorEastAsia"/>
          <w:kern w:val="0"/>
        </w:rPr>
        <w:t>(三)基金管理人的职责</w:t>
      </w:r>
      <w:bookmarkEnd w:id="8"/>
    </w:p>
    <w:p w14:paraId="56E6B50F" w14:textId="77777777" w:rsidR="002C66C4" w:rsidRPr="00E97AFD" w:rsidRDefault="002C66C4" w:rsidP="00966694">
      <w:pPr>
        <w:snapToGrid w:val="0"/>
        <w:spacing w:line="360" w:lineRule="auto"/>
        <w:ind w:firstLineChars="200" w:firstLine="420"/>
        <w:rPr>
          <w:rStyle w:val="da"/>
          <w:rFonts w:asciiTheme="minorEastAsia" w:eastAsiaTheme="minorEastAsia" w:hAnsiTheme="minorEastAsia"/>
        </w:rPr>
      </w:pPr>
      <w:r w:rsidRPr="00E97AFD">
        <w:rPr>
          <w:rStyle w:val="da"/>
          <w:rFonts w:asciiTheme="minorEastAsia" w:eastAsiaTheme="minorEastAsia" w:hAnsiTheme="minorEastAsia" w:hint="eastAsia"/>
        </w:rPr>
        <w:t>1、依法募集资金，办理基金份额的发售和登记事宜；</w:t>
      </w:r>
    </w:p>
    <w:p w14:paraId="6BBCE513" w14:textId="77777777" w:rsidR="002C66C4" w:rsidRPr="00E97AFD" w:rsidRDefault="002C66C4" w:rsidP="00966694">
      <w:pPr>
        <w:snapToGrid w:val="0"/>
        <w:spacing w:line="360" w:lineRule="auto"/>
        <w:ind w:firstLineChars="200" w:firstLine="420"/>
        <w:rPr>
          <w:rStyle w:val="da"/>
          <w:rFonts w:asciiTheme="minorEastAsia" w:eastAsiaTheme="minorEastAsia" w:hAnsiTheme="minorEastAsia"/>
        </w:rPr>
      </w:pPr>
      <w:bookmarkStart w:id="9" w:name="_Toc332373452"/>
      <w:r w:rsidRPr="00E97AFD">
        <w:rPr>
          <w:rStyle w:val="da"/>
          <w:rFonts w:asciiTheme="minorEastAsia" w:eastAsiaTheme="minorEastAsia" w:hAnsiTheme="minorEastAsia" w:hint="eastAsia"/>
        </w:rPr>
        <w:t>2、办理基金备案手续；</w:t>
      </w:r>
      <w:bookmarkEnd w:id="9"/>
    </w:p>
    <w:p w14:paraId="48AD07EE" w14:textId="77777777" w:rsidR="002C66C4" w:rsidRPr="00E97AFD" w:rsidRDefault="002C66C4" w:rsidP="00966694">
      <w:pPr>
        <w:snapToGrid w:val="0"/>
        <w:spacing w:line="360" w:lineRule="auto"/>
        <w:ind w:firstLineChars="200" w:firstLine="420"/>
        <w:rPr>
          <w:rStyle w:val="da"/>
          <w:rFonts w:asciiTheme="minorEastAsia" w:eastAsiaTheme="minorEastAsia" w:hAnsiTheme="minorEastAsia"/>
        </w:rPr>
      </w:pPr>
      <w:r w:rsidRPr="00E97AFD">
        <w:rPr>
          <w:rStyle w:val="da"/>
          <w:rFonts w:asciiTheme="minorEastAsia" w:eastAsiaTheme="minorEastAsia" w:hAnsiTheme="minorEastAsia" w:hint="eastAsia"/>
        </w:rPr>
        <w:t>3、对所管理的不同基金财产分别管理、分别记账，进行证券投资；</w:t>
      </w:r>
    </w:p>
    <w:p w14:paraId="31162362" w14:textId="77777777" w:rsidR="002C66C4" w:rsidRPr="00E97AFD" w:rsidRDefault="002C66C4" w:rsidP="00966694">
      <w:pPr>
        <w:snapToGrid w:val="0"/>
        <w:spacing w:line="360" w:lineRule="auto"/>
        <w:ind w:firstLineChars="200" w:firstLine="420"/>
        <w:rPr>
          <w:rStyle w:val="da"/>
          <w:rFonts w:asciiTheme="minorEastAsia" w:eastAsiaTheme="minorEastAsia" w:hAnsiTheme="minorEastAsia"/>
        </w:rPr>
      </w:pPr>
      <w:r w:rsidRPr="00E97AFD">
        <w:rPr>
          <w:rStyle w:val="da"/>
          <w:rFonts w:asciiTheme="minorEastAsia" w:eastAsiaTheme="minorEastAsia" w:hAnsiTheme="minorEastAsia" w:hint="eastAsia"/>
        </w:rPr>
        <w:t>4、按照基金合同的约定确定基金收益分配方案，及时向基金份额持有人分配收益；</w:t>
      </w:r>
    </w:p>
    <w:p w14:paraId="39582BFC" w14:textId="77777777" w:rsidR="002C66C4" w:rsidRPr="00E97AFD" w:rsidRDefault="002C66C4" w:rsidP="00966694">
      <w:pPr>
        <w:snapToGrid w:val="0"/>
        <w:spacing w:line="360" w:lineRule="auto"/>
        <w:ind w:firstLineChars="200" w:firstLine="420"/>
        <w:rPr>
          <w:rStyle w:val="da"/>
          <w:rFonts w:asciiTheme="minorEastAsia" w:eastAsiaTheme="minorEastAsia" w:hAnsiTheme="minorEastAsia"/>
        </w:rPr>
      </w:pPr>
      <w:r w:rsidRPr="00E97AFD">
        <w:rPr>
          <w:rStyle w:val="da"/>
          <w:rFonts w:asciiTheme="minorEastAsia" w:eastAsiaTheme="minorEastAsia" w:hAnsiTheme="minorEastAsia" w:hint="eastAsia"/>
        </w:rPr>
        <w:t>5、进行基金会计核算并编制基金财务会计报告；</w:t>
      </w:r>
    </w:p>
    <w:p w14:paraId="069C4408" w14:textId="4C53DE81" w:rsidR="002C66C4" w:rsidRPr="00E97AFD" w:rsidRDefault="002C66C4" w:rsidP="00966694">
      <w:pPr>
        <w:snapToGrid w:val="0"/>
        <w:spacing w:line="360" w:lineRule="auto"/>
        <w:ind w:firstLineChars="200" w:firstLine="420"/>
        <w:rPr>
          <w:rStyle w:val="da"/>
          <w:rFonts w:asciiTheme="minorEastAsia" w:eastAsiaTheme="minorEastAsia" w:hAnsiTheme="minorEastAsia"/>
        </w:rPr>
      </w:pPr>
      <w:r w:rsidRPr="00E97AFD">
        <w:rPr>
          <w:rStyle w:val="da"/>
          <w:rFonts w:asciiTheme="minorEastAsia" w:eastAsiaTheme="minorEastAsia" w:hAnsiTheme="minorEastAsia" w:hint="eastAsia"/>
        </w:rPr>
        <w:t>6、编制季度</w:t>
      </w:r>
      <w:r w:rsidR="006B018F" w:rsidRPr="00E97AFD">
        <w:rPr>
          <w:rStyle w:val="da"/>
          <w:rFonts w:asciiTheme="minorEastAsia" w:eastAsiaTheme="minorEastAsia" w:hAnsiTheme="minorEastAsia" w:hint="eastAsia"/>
        </w:rPr>
        <w:t>报告</w:t>
      </w:r>
      <w:r w:rsidRPr="00E97AFD">
        <w:rPr>
          <w:rStyle w:val="da"/>
          <w:rFonts w:asciiTheme="minorEastAsia" w:eastAsiaTheme="minorEastAsia" w:hAnsiTheme="minorEastAsia" w:hint="eastAsia"/>
        </w:rPr>
        <w:t>、</w:t>
      </w:r>
      <w:r w:rsidR="006B018F" w:rsidRPr="00E97AFD">
        <w:rPr>
          <w:rStyle w:val="da"/>
          <w:rFonts w:asciiTheme="minorEastAsia" w:eastAsiaTheme="minorEastAsia" w:hAnsiTheme="minorEastAsia" w:hint="eastAsia"/>
        </w:rPr>
        <w:t>中期报告</w:t>
      </w:r>
      <w:r w:rsidRPr="00E97AFD">
        <w:rPr>
          <w:rStyle w:val="da"/>
          <w:rFonts w:asciiTheme="minorEastAsia" w:eastAsiaTheme="minorEastAsia" w:hAnsiTheme="minorEastAsia" w:hint="eastAsia"/>
        </w:rPr>
        <w:t>和年度报告；</w:t>
      </w:r>
    </w:p>
    <w:p w14:paraId="33EAA672" w14:textId="37D34A68" w:rsidR="002C66C4" w:rsidRPr="00E97AFD" w:rsidRDefault="002C66C4" w:rsidP="00966694">
      <w:pPr>
        <w:snapToGrid w:val="0"/>
        <w:spacing w:line="360" w:lineRule="auto"/>
        <w:ind w:firstLineChars="200" w:firstLine="420"/>
        <w:rPr>
          <w:rStyle w:val="da"/>
          <w:rFonts w:asciiTheme="minorEastAsia" w:eastAsiaTheme="minorEastAsia" w:hAnsiTheme="minorEastAsia"/>
        </w:rPr>
      </w:pPr>
      <w:r w:rsidRPr="00E97AFD">
        <w:rPr>
          <w:rStyle w:val="da"/>
          <w:rFonts w:asciiTheme="minorEastAsia" w:eastAsiaTheme="minorEastAsia" w:hAnsiTheme="minorEastAsia" w:hint="eastAsia"/>
        </w:rPr>
        <w:t>7、计算并公告基金</w:t>
      </w:r>
      <w:r w:rsidRPr="00E97AFD">
        <w:rPr>
          <w:rFonts w:asciiTheme="minorEastAsia" w:eastAsiaTheme="minorEastAsia" w:hAnsiTheme="minorEastAsia" w:hint="eastAsia"/>
        </w:rPr>
        <w:t>每万份基金已实现收益和7日年化收益率</w:t>
      </w:r>
      <w:r w:rsidRPr="00E97AFD">
        <w:rPr>
          <w:rStyle w:val="da"/>
          <w:rFonts w:asciiTheme="minorEastAsia" w:eastAsiaTheme="minorEastAsia" w:hAnsiTheme="minorEastAsia" w:hint="eastAsia"/>
        </w:rPr>
        <w:t>；</w:t>
      </w:r>
    </w:p>
    <w:p w14:paraId="4C003E74" w14:textId="77777777" w:rsidR="002C66C4" w:rsidRPr="00E97AFD" w:rsidRDefault="002C66C4" w:rsidP="00966694">
      <w:pPr>
        <w:snapToGrid w:val="0"/>
        <w:spacing w:line="360" w:lineRule="auto"/>
        <w:ind w:firstLineChars="200" w:firstLine="420"/>
        <w:rPr>
          <w:rStyle w:val="da"/>
          <w:rFonts w:asciiTheme="minorEastAsia" w:eastAsiaTheme="minorEastAsia" w:hAnsiTheme="minorEastAsia"/>
        </w:rPr>
      </w:pPr>
      <w:bookmarkStart w:id="10" w:name="_Toc332373453"/>
      <w:r w:rsidRPr="00E97AFD">
        <w:rPr>
          <w:rStyle w:val="da"/>
          <w:rFonts w:asciiTheme="minorEastAsia" w:eastAsiaTheme="minorEastAsia" w:hAnsiTheme="minorEastAsia" w:hint="eastAsia"/>
        </w:rPr>
        <w:t>8、办理与基金财产管理业务活动有关的信息披露事项；</w:t>
      </w:r>
      <w:bookmarkEnd w:id="10"/>
    </w:p>
    <w:p w14:paraId="4068B637" w14:textId="77777777" w:rsidR="002C66C4" w:rsidRPr="00E97AFD" w:rsidRDefault="002C66C4" w:rsidP="00966694">
      <w:pPr>
        <w:snapToGrid w:val="0"/>
        <w:spacing w:line="360" w:lineRule="auto"/>
        <w:ind w:firstLineChars="200" w:firstLine="420"/>
        <w:rPr>
          <w:rStyle w:val="da"/>
          <w:rFonts w:asciiTheme="minorEastAsia" w:eastAsiaTheme="minorEastAsia" w:hAnsiTheme="minorEastAsia"/>
        </w:rPr>
      </w:pPr>
      <w:r w:rsidRPr="00E97AFD">
        <w:rPr>
          <w:rStyle w:val="da"/>
          <w:rFonts w:asciiTheme="minorEastAsia" w:eastAsiaTheme="minorEastAsia" w:hAnsiTheme="minorEastAsia" w:hint="eastAsia"/>
        </w:rPr>
        <w:t>9、按照规定召集基金份额持有人大会；</w:t>
      </w:r>
    </w:p>
    <w:p w14:paraId="0C23402A" w14:textId="77777777" w:rsidR="002C66C4" w:rsidRPr="00E97AFD" w:rsidRDefault="002C66C4" w:rsidP="00966694">
      <w:pPr>
        <w:snapToGrid w:val="0"/>
        <w:spacing w:line="360" w:lineRule="auto"/>
        <w:ind w:firstLineChars="200" w:firstLine="420"/>
        <w:rPr>
          <w:rStyle w:val="da"/>
          <w:rFonts w:asciiTheme="minorEastAsia" w:eastAsiaTheme="minorEastAsia" w:hAnsiTheme="minorEastAsia"/>
        </w:rPr>
      </w:pPr>
      <w:bookmarkStart w:id="11" w:name="_Toc332373454"/>
      <w:r w:rsidRPr="00E97AFD">
        <w:rPr>
          <w:rStyle w:val="da"/>
          <w:rFonts w:asciiTheme="minorEastAsia" w:eastAsiaTheme="minorEastAsia" w:hAnsiTheme="minorEastAsia" w:hint="eastAsia"/>
        </w:rPr>
        <w:t>10、保存基金财产管理业务活动的记录、账册、报表和其他相关资料；</w:t>
      </w:r>
      <w:bookmarkEnd w:id="11"/>
    </w:p>
    <w:p w14:paraId="3F61391D" w14:textId="77777777" w:rsidR="002C66C4" w:rsidRPr="00E97AFD" w:rsidRDefault="002C66C4" w:rsidP="00966694">
      <w:pPr>
        <w:snapToGrid w:val="0"/>
        <w:spacing w:line="360" w:lineRule="auto"/>
        <w:ind w:firstLineChars="200" w:firstLine="420"/>
        <w:rPr>
          <w:rStyle w:val="da"/>
          <w:rFonts w:asciiTheme="minorEastAsia" w:eastAsiaTheme="minorEastAsia" w:hAnsiTheme="minorEastAsia"/>
        </w:rPr>
      </w:pPr>
      <w:r w:rsidRPr="00E97AFD">
        <w:rPr>
          <w:rStyle w:val="da"/>
          <w:rFonts w:asciiTheme="minorEastAsia" w:eastAsiaTheme="minorEastAsia" w:hAnsiTheme="minorEastAsia" w:hint="eastAsia"/>
        </w:rPr>
        <w:t>11、以基金管理人名义，代表基金份额持有人利益行使诉讼权利或者实施其他法律行为；</w:t>
      </w:r>
    </w:p>
    <w:p w14:paraId="0FD8EDAC" w14:textId="77777777" w:rsidR="00BA4B87" w:rsidRPr="00E97AFD" w:rsidRDefault="002C66C4" w:rsidP="00966694">
      <w:pPr>
        <w:snapToGrid w:val="0"/>
        <w:spacing w:line="360" w:lineRule="auto"/>
        <w:ind w:firstLine="420"/>
        <w:rPr>
          <w:rFonts w:asciiTheme="minorEastAsia" w:eastAsiaTheme="minorEastAsia" w:hAnsiTheme="minorEastAsia"/>
          <w:kern w:val="0"/>
        </w:rPr>
      </w:pPr>
      <w:r w:rsidRPr="00E97AFD">
        <w:rPr>
          <w:rStyle w:val="da"/>
          <w:rFonts w:asciiTheme="minorEastAsia" w:eastAsiaTheme="minorEastAsia" w:hAnsiTheme="minorEastAsia" w:hint="eastAsia"/>
        </w:rPr>
        <w:t>12、中国证监会规定的其他职责</w:t>
      </w:r>
      <w:r w:rsidR="00BA4B87" w:rsidRPr="00E97AFD">
        <w:rPr>
          <w:rFonts w:asciiTheme="minorEastAsia" w:eastAsiaTheme="minorEastAsia" w:hAnsiTheme="minorEastAsia"/>
          <w:kern w:val="0"/>
        </w:rPr>
        <w:t>。</w:t>
      </w:r>
    </w:p>
    <w:p w14:paraId="102294B0" w14:textId="77777777" w:rsidR="00BA4B87" w:rsidRPr="00E97AFD" w:rsidRDefault="00BA4B87" w:rsidP="00966694">
      <w:pPr>
        <w:snapToGrid w:val="0"/>
        <w:spacing w:line="360" w:lineRule="auto"/>
        <w:ind w:firstLine="420"/>
        <w:rPr>
          <w:rFonts w:asciiTheme="minorEastAsia" w:eastAsiaTheme="minorEastAsia" w:hAnsiTheme="minorEastAsia"/>
          <w:kern w:val="0"/>
        </w:rPr>
      </w:pPr>
      <w:bookmarkStart w:id="12" w:name="_Toc327734795"/>
      <w:r w:rsidRPr="00E97AFD">
        <w:rPr>
          <w:rFonts w:asciiTheme="minorEastAsia" w:eastAsiaTheme="minorEastAsia" w:hAnsiTheme="minorEastAsia"/>
          <w:kern w:val="0"/>
        </w:rPr>
        <w:t>(四)基金管理人的承诺</w:t>
      </w:r>
      <w:bookmarkEnd w:id="12"/>
    </w:p>
    <w:p w14:paraId="19AED611" w14:textId="77777777" w:rsidR="00BA4B87" w:rsidRPr="00E97AFD" w:rsidRDefault="00A70BE1" w:rsidP="00966694">
      <w:pPr>
        <w:snapToGrid w:val="0"/>
        <w:spacing w:line="360" w:lineRule="auto"/>
        <w:ind w:firstLine="420"/>
        <w:rPr>
          <w:rFonts w:asciiTheme="minorEastAsia" w:eastAsiaTheme="minorEastAsia" w:hAnsiTheme="minorEastAsia"/>
          <w:kern w:val="0"/>
        </w:rPr>
      </w:pPr>
      <w:r w:rsidRPr="00E97AFD">
        <w:rPr>
          <w:rFonts w:asciiTheme="minorEastAsia" w:eastAsiaTheme="minorEastAsia" w:hAnsiTheme="minorEastAsia"/>
          <w:kern w:val="0"/>
        </w:rPr>
        <w:t>1、</w:t>
      </w:r>
      <w:r w:rsidR="00BA4B87" w:rsidRPr="00E97AFD">
        <w:rPr>
          <w:rFonts w:asciiTheme="minorEastAsia" w:eastAsiaTheme="minorEastAsia" w:hAnsiTheme="minorEastAsia"/>
          <w:kern w:val="0"/>
        </w:rPr>
        <w:t>本基金管理人承诺严格遵守现行有效的相关法律、法规、规章、基金合同和中国证监会的有关规定，建立健全内部控制制度，采取有效措施，防止违反现行有效的有关法律、</w:t>
      </w:r>
      <w:r w:rsidR="00BA4B87" w:rsidRPr="00E97AFD">
        <w:rPr>
          <w:rFonts w:asciiTheme="minorEastAsia" w:eastAsiaTheme="minorEastAsia" w:hAnsiTheme="minorEastAsia"/>
          <w:kern w:val="0"/>
        </w:rPr>
        <w:lastRenderedPageBreak/>
        <w:t>法规、规章、基金合同和中国证监会有关规定的行为发生。</w:t>
      </w:r>
    </w:p>
    <w:p w14:paraId="63571181" w14:textId="77777777" w:rsidR="00BA4B87" w:rsidRPr="00E97AFD" w:rsidRDefault="00A70BE1"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kern w:val="0"/>
        </w:rPr>
        <w:t>2、</w:t>
      </w:r>
      <w:r w:rsidR="00BA4B87" w:rsidRPr="00E97AFD">
        <w:rPr>
          <w:rFonts w:asciiTheme="minorEastAsia" w:eastAsiaTheme="minorEastAsia" w:hAnsiTheme="minorEastAsia"/>
          <w:kern w:val="0"/>
        </w:rPr>
        <w:t>本基金管理人承诺严格遵</w:t>
      </w:r>
      <w:r w:rsidR="00BA4B87" w:rsidRPr="00E97AFD">
        <w:rPr>
          <w:rFonts w:asciiTheme="minorEastAsia" w:eastAsiaTheme="minorEastAsia" w:hAnsiTheme="minorEastAsia"/>
        </w:rPr>
        <w:t>守《证券法》、《基金法》及有关法律法规，建立健全内部控制制度，采取有效措施，防止下列行为发生：</w:t>
      </w:r>
    </w:p>
    <w:p w14:paraId="1E477F12" w14:textId="77777777" w:rsidR="002C66C4" w:rsidRPr="00E97AFD" w:rsidRDefault="002C66C4" w:rsidP="00966694">
      <w:pPr>
        <w:snapToGrid w:val="0"/>
        <w:spacing w:line="360" w:lineRule="auto"/>
        <w:ind w:firstLine="420"/>
        <w:rPr>
          <w:rFonts w:asciiTheme="minorEastAsia" w:eastAsiaTheme="minorEastAsia" w:hAnsiTheme="minorEastAsia"/>
        </w:rPr>
      </w:pPr>
      <w:bookmarkStart w:id="13" w:name="_Toc319688264"/>
      <w:bookmarkStart w:id="14" w:name="_Toc319693387"/>
      <w:bookmarkStart w:id="15" w:name="_Toc327734796"/>
      <w:r w:rsidRPr="00E97AFD">
        <w:rPr>
          <w:rFonts w:asciiTheme="minorEastAsia" w:eastAsiaTheme="minorEastAsia" w:hAnsiTheme="minorEastAsia"/>
        </w:rPr>
        <w:t>(1)将其固有财产或者他人财产混同于基金财产从事证券投资；</w:t>
      </w:r>
    </w:p>
    <w:p w14:paraId="37E29D05" w14:textId="77777777" w:rsidR="002C66C4" w:rsidRPr="00E97AFD" w:rsidRDefault="002C66C4"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(2)不公平地对待其管理的不同基金财产；</w:t>
      </w:r>
    </w:p>
    <w:p w14:paraId="0BAEAD99" w14:textId="77777777" w:rsidR="002C66C4" w:rsidRPr="00E97AFD" w:rsidRDefault="002C66C4"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(3)利用基金财产</w:t>
      </w:r>
      <w:r w:rsidRPr="00E97AFD">
        <w:rPr>
          <w:rFonts w:asciiTheme="minorEastAsia" w:eastAsiaTheme="minorEastAsia" w:hAnsiTheme="minorEastAsia" w:hint="eastAsia"/>
        </w:rPr>
        <w:t>或者职务之便</w:t>
      </w:r>
      <w:r w:rsidRPr="00E97AFD">
        <w:rPr>
          <w:rFonts w:asciiTheme="minorEastAsia" w:eastAsiaTheme="minorEastAsia" w:hAnsiTheme="minorEastAsia"/>
        </w:rPr>
        <w:t>为基金份额持有人以外的人</w:t>
      </w:r>
      <w:r w:rsidR="00A13092" w:rsidRPr="00E97AFD">
        <w:rPr>
          <w:rFonts w:asciiTheme="minorEastAsia" w:eastAsiaTheme="minorEastAsia" w:hAnsiTheme="minorEastAsia" w:hint="eastAsia"/>
        </w:rPr>
        <w:t>牟</w:t>
      </w:r>
      <w:r w:rsidRPr="00E97AFD">
        <w:rPr>
          <w:rFonts w:asciiTheme="minorEastAsia" w:eastAsiaTheme="minorEastAsia" w:hAnsiTheme="minorEastAsia"/>
        </w:rPr>
        <w:t>取利益；</w:t>
      </w:r>
    </w:p>
    <w:p w14:paraId="474685D2" w14:textId="77777777" w:rsidR="002C66C4" w:rsidRPr="00E97AFD" w:rsidRDefault="002C66C4"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(4)向基金份额持有人违规承诺收益或者承担损失；</w:t>
      </w:r>
    </w:p>
    <w:p w14:paraId="7788AED0" w14:textId="77777777" w:rsidR="002C66C4" w:rsidRPr="00E97AFD" w:rsidRDefault="002C66C4"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(5)侵占、挪用基金财产；</w:t>
      </w:r>
    </w:p>
    <w:p w14:paraId="51A7667C" w14:textId="77777777" w:rsidR="002C66C4" w:rsidRPr="00E97AFD" w:rsidRDefault="002C66C4"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(6)泄漏因职务便利获取的未公开信息、利用该信息从事或者明示、暗示他人从事相关的交易活动；</w:t>
      </w:r>
    </w:p>
    <w:p w14:paraId="1E1385E1" w14:textId="77777777" w:rsidR="002C66C4" w:rsidRPr="00E97AFD" w:rsidRDefault="002C66C4"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(7)玩忽职守，不按照规定履行职责；</w:t>
      </w:r>
    </w:p>
    <w:p w14:paraId="6E03D29D" w14:textId="77777777" w:rsidR="00BA4B87" w:rsidRPr="00E97AFD" w:rsidRDefault="002C66C4"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w:t>
      </w:r>
      <w:r w:rsidRPr="00E97AFD">
        <w:rPr>
          <w:rFonts w:asciiTheme="minorEastAsia" w:eastAsiaTheme="minorEastAsia" w:hAnsiTheme="minorEastAsia" w:hint="eastAsia"/>
        </w:rPr>
        <w:t>8</w:t>
      </w:r>
      <w:r w:rsidRPr="00E97AFD">
        <w:rPr>
          <w:rFonts w:asciiTheme="minorEastAsia" w:eastAsiaTheme="minorEastAsia" w:hAnsiTheme="minorEastAsia"/>
        </w:rPr>
        <w:t>)法律</w:t>
      </w:r>
      <w:r w:rsidRPr="00E97AFD">
        <w:rPr>
          <w:rFonts w:asciiTheme="minorEastAsia" w:eastAsiaTheme="minorEastAsia" w:hAnsiTheme="minorEastAsia" w:hint="eastAsia"/>
        </w:rPr>
        <w:t>、行政</w:t>
      </w:r>
      <w:r w:rsidRPr="00E97AFD">
        <w:rPr>
          <w:rFonts w:asciiTheme="minorEastAsia" w:eastAsiaTheme="minorEastAsia" w:hAnsiTheme="minorEastAsia"/>
        </w:rPr>
        <w:t>法规</w:t>
      </w:r>
      <w:r w:rsidRPr="00E97AFD">
        <w:rPr>
          <w:rFonts w:asciiTheme="minorEastAsia" w:eastAsiaTheme="minorEastAsia" w:hAnsiTheme="minorEastAsia" w:hint="eastAsia"/>
        </w:rPr>
        <w:t>和</w:t>
      </w:r>
      <w:r w:rsidRPr="00E97AFD">
        <w:rPr>
          <w:rFonts w:asciiTheme="minorEastAsia" w:eastAsiaTheme="minorEastAsia" w:hAnsiTheme="minorEastAsia"/>
        </w:rPr>
        <w:t>中国证监会禁止的其他行为。</w:t>
      </w:r>
      <w:bookmarkEnd w:id="13"/>
      <w:bookmarkEnd w:id="14"/>
      <w:bookmarkEnd w:id="15"/>
    </w:p>
    <w:p w14:paraId="23B3D4FC" w14:textId="77777777" w:rsidR="00BA4B87" w:rsidRPr="00E97AFD" w:rsidRDefault="00A70BE1"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3、</w:t>
      </w:r>
      <w:r w:rsidR="00BA4B87" w:rsidRPr="00E97AFD">
        <w:rPr>
          <w:rFonts w:asciiTheme="minorEastAsia" w:eastAsiaTheme="minorEastAsia" w:hAnsiTheme="minorEastAsia"/>
        </w:rPr>
        <w:t>本基金管理人承诺加强人员管理，强化职业操守，督促和约束员工遵守国家有关法律、法规及行业规范，诚实信用、勤勉尽责，不从事以下活动：</w:t>
      </w:r>
    </w:p>
    <w:p w14:paraId="44FE9C71" w14:textId="77777777" w:rsidR="00BA4B87" w:rsidRPr="00E97AFD" w:rsidRDefault="00A2578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(1)</w:t>
      </w:r>
      <w:r w:rsidR="00BA4B87" w:rsidRPr="00E97AFD">
        <w:rPr>
          <w:rFonts w:asciiTheme="minorEastAsia" w:eastAsiaTheme="minorEastAsia" w:hAnsiTheme="minorEastAsia"/>
        </w:rPr>
        <w:t>越权或违规经营；</w:t>
      </w:r>
    </w:p>
    <w:p w14:paraId="76C46D2B" w14:textId="77777777" w:rsidR="00BA4B87" w:rsidRPr="00E97AFD" w:rsidRDefault="00A2578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(2)</w:t>
      </w:r>
      <w:r w:rsidR="00BA4B87" w:rsidRPr="00E97AFD">
        <w:rPr>
          <w:rFonts w:asciiTheme="minorEastAsia" w:eastAsiaTheme="minorEastAsia" w:hAnsiTheme="minorEastAsia"/>
        </w:rPr>
        <w:t>违反基金合同或托管协议；</w:t>
      </w:r>
    </w:p>
    <w:p w14:paraId="689D0DD2" w14:textId="77777777" w:rsidR="00BA4B87" w:rsidRPr="00E97AFD" w:rsidRDefault="00A2578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(3)</w:t>
      </w:r>
      <w:r w:rsidR="00BA4B87" w:rsidRPr="00E97AFD">
        <w:rPr>
          <w:rFonts w:asciiTheme="minorEastAsia" w:eastAsiaTheme="minorEastAsia" w:hAnsiTheme="minorEastAsia"/>
        </w:rPr>
        <w:t>故意损害基金份额持有人或其他基金相关机构的合法利益；</w:t>
      </w:r>
    </w:p>
    <w:p w14:paraId="6C280D39" w14:textId="77777777" w:rsidR="00BA4B87" w:rsidRPr="00E97AFD" w:rsidRDefault="00A2578B" w:rsidP="00966694">
      <w:pPr>
        <w:snapToGrid w:val="0"/>
        <w:spacing w:line="360" w:lineRule="auto"/>
        <w:ind w:firstLine="420"/>
        <w:rPr>
          <w:rFonts w:asciiTheme="minorEastAsia" w:eastAsiaTheme="minorEastAsia" w:hAnsiTheme="minorEastAsia"/>
        </w:rPr>
      </w:pPr>
      <w:bookmarkStart w:id="16" w:name="_Toc319688266"/>
      <w:bookmarkStart w:id="17" w:name="_Toc319693389"/>
      <w:bookmarkStart w:id="18" w:name="_Toc327734798"/>
      <w:r w:rsidRPr="00E97AFD">
        <w:rPr>
          <w:rFonts w:asciiTheme="minorEastAsia" w:eastAsiaTheme="minorEastAsia" w:hAnsiTheme="minorEastAsia"/>
        </w:rPr>
        <w:t>(4)</w:t>
      </w:r>
      <w:r w:rsidR="00BA4B87" w:rsidRPr="00E97AFD">
        <w:rPr>
          <w:rFonts w:asciiTheme="minorEastAsia" w:eastAsiaTheme="minorEastAsia" w:hAnsiTheme="minorEastAsia"/>
        </w:rPr>
        <w:t>在向中国证监会报送的资料中弄虚作假；</w:t>
      </w:r>
      <w:bookmarkEnd w:id="16"/>
      <w:bookmarkEnd w:id="17"/>
      <w:bookmarkEnd w:id="18"/>
    </w:p>
    <w:p w14:paraId="57903F0A" w14:textId="77777777" w:rsidR="00BA4B87" w:rsidRPr="00E97AFD" w:rsidRDefault="00A2578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(5)</w:t>
      </w:r>
      <w:r w:rsidR="00BA4B87" w:rsidRPr="00E97AFD">
        <w:rPr>
          <w:rFonts w:asciiTheme="minorEastAsia" w:eastAsiaTheme="minorEastAsia" w:hAnsiTheme="minorEastAsia"/>
        </w:rPr>
        <w:t>拒绝、干扰、阻挠或严重影响中国证监会依法监管；</w:t>
      </w:r>
    </w:p>
    <w:p w14:paraId="53CF3BDF" w14:textId="77777777" w:rsidR="00BA4B87" w:rsidRPr="00E97AFD" w:rsidRDefault="00A2578B" w:rsidP="00966694">
      <w:pPr>
        <w:snapToGrid w:val="0"/>
        <w:spacing w:line="360" w:lineRule="auto"/>
        <w:ind w:firstLine="420"/>
        <w:rPr>
          <w:rFonts w:asciiTheme="minorEastAsia" w:eastAsiaTheme="minorEastAsia" w:hAnsiTheme="minorEastAsia"/>
        </w:rPr>
      </w:pPr>
      <w:bookmarkStart w:id="19" w:name="_Toc319688267"/>
      <w:bookmarkStart w:id="20" w:name="_Toc319693390"/>
      <w:bookmarkStart w:id="21" w:name="_Toc327734799"/>
      <w:r w:rsidRPr="00E97AFD">
        <w:rPr>
          <w:rFonts w:asciiTheme="minorEastAsia" w:eastAsiaTheme="minorEastAsia" w:hAnsiTheme="minorEastAsia"/>
        </w:rPr>
        <w:t>(6)</w:t>
      </w:r>
      <w:r w:rsidR="00BA4B87" w:rsidRPr="00E97AFD">
        <w:rPr>
          <w:rFonts w:asciiTheme="minorEastAsia" w:eastAsiaTheme="minorEastAsia" w:hAnsiTheme="minorEastAsia"/>
        </w:rPr>
        <w:t>玩忽职守、滥用职权；</w:t>
      </w:r>
      <w:bookmarkEnd w:id="19"/>
      <w:bookmarkEnd w:id="20"/>
      <w:bookmarkEnd w:id="21"/>
    </w:p>
    <w:p w14:paraId="5038C0AA" w14:textId="77777777" w:rsidR="00BA4B87" w:rsidRPr="00E97AFD" w:rsidRDefault="00A2578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(7)</w:t>
      </w:r>
      <w:r w:rsidR="00BA4B87" w:rsidRPr="00E97AFD">
        <w:rPr>
          <w:rFonts w:asciiTheme="minorEastAsia" w:eastAsiaTheme="minorEastAsia" w:hAnsiTheme="minorEastAsia"/>
        </w:rPr>
        <w:t>违反现行有效的有关法律、法规、规章、基金合同和中国证监会的有关规定，泄漏在任职期间知悉的有关证券、基金的商业秘密，尚未依法公开的基金投资内容、基金投资计划等信息；</w:t>
      </w:r>
    </w:p>
    <w:p w14:paraId="2C440DC1" w14:textId="77777777" w:rsidR="00BA4B87" w:rsidRPr="00E97AFD" w:rsidRDefault="00A2578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(8)</w:t>
      </w:r>
      <w:r w:rsidR="00BA4B87" w:rsidRPr="00E97AFD">
        <w:rPr>
          <w:rFonts w:asciiTheme="minorEastAsia" w:eastAsiaTheme="minorEastAsia" w:hAnsiTheme="minorEastAsia"/>
        </w:rPr>
        <w:t>违反证券交易场所业务规则，利用对敲、倒仓等手段操纵市场价格，扰乱市场秩序；</w:t>
      </w:r>
    </w:p>
    <w:p w14:paraId="49D07057" w14:textId="77777777" w:rsidR="00BA4B87" w:rsidRPr="00E97AFD" w:rsidRDefault="00A2578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(9)</w:t>
      </w:r>
      <w:r w:rsidR="00BA4B87" w:rsidRPr="00E97AFD">
        <w:rPr>
          <w:rFonts w:asciiTheme="minorEastAsia" w:eastAsiaTheme="minorEastAsia" w:hAnsiTheme="minorEastAsia"/>
        </w:rPr>
        <w:t>贬损同行，以抬高自己；</w:t>
      </w:r>
    </w:p>
    <w:p w14:paraId="5C72A188" w14:textId="77777777" w:rsidR="00BA4B87" w:rsidRPr="00E97AFD" w:rsidRDefault="00A2578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(10)</w:t>
      </w:r>
      <w:r w:rsidR="00BA4B87" w:rsidRPr="00E97AFD">
        <w:rPr>
          <w:rFonts w:asciiTheme="minorEastAsia" w:eastAsiaTheme="minorEastAsia" w:hAnsiTheme="minorEastAsia"/>
        </w:rPr>
        <w:t>以不正当手段谋求业务发展；</w:t>
      </w:r>
    </w:p>
    <w:p w14:paraId="34ABB5C6" w14:textId="77777777" w:rsidR="00BA4B87" w:rsidRPr="00E97AFD" w:rsidRDefault="00A2578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(11)</w:t>
      </w:r>
      <w:r w:rsidR="00BA4B87" w:rsidRPr="00E97AFD">
        <w:rPr>
          <w:rFonts w:asciiTheme="minorEastAsia" w:eastAsiaTheme="minorEastAsia" w:hAnsiTheme="minorEastAsia"/>
        </w:rPr>
        <w:t>有悖社会公德，损害证券投资基金人员形象；</w:t>
      </w:r>
    </w:p>
    <w:p w14:paraId="3A693ED4" w14:textId="77777777" w:rsidR="00BA4B87" w:rsidRPr="00E97AFD" w:rsidRDefault="00A2578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(12)</w:t>
      </w:r>
      <w:r w:rsidR="00BA4B87" w:rsidRPr="00E97AFD">
        <w:rPr>
          <w:rFonts w:asciiTheme="minorEastAsia" w:eastAsiaTheme="minorEastAsia" w:hAnsiTheme="minorEastAsia"/>
        </w:rPr>
        <w:t>在公开信息披露和广告中故意含有虚假、误导、欺诈成分；</w:t>
      </w:r>
    </w:p>
    <w:p w14:paraId="729C12F2" w14:textId="77777777" w:rsidR="00BA4B87" w:rsidRPr="00E97AFD" w:rsidRDefault="00A2578B"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(13)</w:t>
      </w:r>
      <w:r w:rsidR="00BA4B87" w:rsidRPr="00E97AFD">
        <w:rPr>
          <w:rFonts w:asciiTheme="minorEastAsia" w:eastAsiaTheme="minorEastAsia" w:hAnsiTheme="minorEastAsia"/>
        </w:rPr>
        <w:t>其他法律、行政法规以及中国证监会禁止的行为。</w:t>
      </w:r>
    </w:p>
    <w:p w14:paraId="688FB623" w14:textId="77777777" w:rsidR="00BA4B87" w:rsidRPr="00E97AFD" w:rsidRDefault="00A70BE1" w:rsidP="00966694">
      <w:pPr>
        <w:snapToGrid w:val="0"/>
        <w:spacing w:line="360" w:lineRule="auto"/>
        <w:ind w:firstLine="420"/>
        <w:rPr>
          <w:rFonts w:asciiTheme="minorEastAsia" w:eastAsiaTheme="minorEastAsia" w:hAnsiTheme="minorEastAsia"/>
        </w:rPr>
      </w:pPr>
      <w:bookmarkStart w:id="22" w:name="_Toc319688268"/>
      <w:bookmarkStart w:id="23" w:name="_Toc319693391"/>
      <w:bookmarkStart w:id="24" w:name="_Toc327734800"/>
      <w:r w:rsidRPr="00E97AFD">
        <w:rPr>
          <w:rFonts w:asciiTheme="minorEastAsia" w:eastAsiaTheme="minorEastAsia" w:hAnsiTheme="minorEastAsia"/>
        </w:rPr>
        <w:t>4、</w:t>
      </w:r>
      <w:r w:rsidR="00BA4B87" w:rsidRPr="00E97AFD">
        <w:rPr>
          <w:rFonts w:asciiTheme="minorEastAsia" w:eastAsiaTheme="minorEastAsia" w:hAnsiTheme="minorEastAsia"/>
        </w:rPr>
        <w:t>基金经理承诺</w:t>
      </w:r>
      <w:bookmarkEnd w:id="22"/>
      <w:bookmarkEnd w:id="23"/>
      <w:bookmarkEnd w:id="24"/>
    </w:p>
    <w:p w14:paraId="6C4B5007" w14:textId="77777777" w:rsidR="00BA4B87" w:rsidRPr="00E97AFD" w:rsidRDefault="00BA4B87"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rPr>
        <w:t>(1)依照有关法律、法规和基金合同的规定，本着谨慎的原则为基金份额持有人谋取最大利益；</w:t>
      </w:r>
    </w:p>
    <w:p w14:paraId="204A0B4A" w14:textId="77777777" w:rsidR="00BA4B87" w:rsidRPr="00E97AFD" w:rsidRDefault="00BA4B87" w:rsidP="00966694">
      <w:pPr>
        <w:snapToGrid w:val="0"/>
        <w:spacing w:line="360" w:lineRule="auto"/>
        <w:ind w:firstLine="420"/>
        <w:rPr>
          <w:rFonts w:asciiTheme="minorEastAsia" w:eastAsiaTheme="minorEastAsia" w:hAnsiTheme="minorEastAsia"/>
          <w:kern w:val="0"/>
        </w:rPr>
      </w:pPr>
      <w:bookmarkStart w:id="25" w:name="_Toc319688269"/>
      <w:bookmarkStart w:id="26" w:name="_Toc319693392"/>
      <w:bookmarkStart w:id="27" w:name="_Toc327734801"/>
      <w:r w:rsidRPr="00E97AFD">
        <w:rPr>
          <w:rFonts w:asciiTheme="minorEastAsia" w:eastAsiaTheme="minorEastAsia" w:hAnsiTheme="minorEastAsia"/>
        </w:rPr>
        <w:t>(2)不利用职务</w:t>
      </w:r>
      <w:r w:rsidRPr="00E97AFD">
        <w:rPr>
          <w:rFonts w:asciiTheme="minorEastAsia" w:eastAsiaTheme="minorEastAsia" w:hAnsiTheme="minorEastAsia"/>
          <w:kern w:val="0"/>
        </w:rPr>
        <w:t>之便为自己及其代理人、受雇人或任何第三人</w:t>
      </w:r>
      <w:r w:rsidR="00A13092" w:rsidRPr="00E97AFD">
        <w:rPr>
          <w:rFonts w:asciiTheme="minorEastAsia" w:eastAsiaTheme="minorEastAsia" w:hAnsiTheme="minorEastAsia" w:hint="eastAsia"/>
          <w:kern w:val="0"/>
        </w:rPr>
        <w:t>牟</w:t>
      </w:r>
      <w:r w:rsidRPr="00E97AFD">
        <w:rPr>
          <w:rFonts w:asciiTheme="minorEastAsia" w:eastAsiaTheme="minorEastAsia" w:hAnsiTheme="minorEastAsia"/>
          <w:kern w:val="0"/>
        </w:rPr>
        <w:t>取利益；</w:t>
      </w:r>
      <w:bookmarkEnd w:id="25"/>
      <w:bookmarkEnd w:id="26"/>
      <w:bookmarkEnd w:id="27"/>
    </w:p>
    <w:p w14:paraId="539FDB57" w14:textId="77777777" w:rsidR="00BA4B87" w:rsidRPr="00E97AFD" w:rsidRDefault="00BA4B87" w:rsidP="00966694">
      <w:pPr>
        <w:snapToGrid w:val="0"/>
        <w:spacing w:line="360" w:lineRule="auto"/>
        <w:ind w:firstLine="420"/>
        <w:rPr>
          <w:rFonts w:asciiTheme="minorEastAsia" w:eastAsiaTheme="minorEastAsia" w:hAnsiTheme="minorEastAsia"/>
          <w:kern w:val="0"/>
        </w:rPr>
      </w:pPr>
      <w:r w:rsidRPr="00E97AFD">
        <w:rPr>
          <w:rFonts w:asciiTheme="minorEastAsia" w:eastAsiaTheme="minorEastAsia" w:hAnsiTheme="minorEastAsia"/>
          <w:kern w:val="0"/>
        </w:rPr>
        <w:t>(3)不违反现行有效的有关法律、法规、规章、基金合同和中国证监会的有关规定，泄</w:t>
      </w:r>
      <w:r w:rsidRPr="00E97AFD">
        <w:rPr>
          <w:rFonts w:asciiTheme="minorEastAsia" w:eastAsiaTheme="minorEastAsia" w:hAnsiTheme="minorEastAsia"/>
          <w:kern w:val="0"/>
        </w:rPr>
        <w:lastRenderedPageBreak/>
        <w:t>漏在任职期间知悉的有关证券、基金的商业秘密、尚未依法公开的基金投资内容、基金投资计划等信息；</w:t>
      </w:r>
    </w:p>
    <w:p w14:paraId="36AE810E" w14:textId="77777777" w:rsidR="00BA4B87" w:rsidRPr="00E97AFD" w:rsidRDefault="00BA4B87" w:rsidP="00966694">
      <w:pPr>
        <w:snapToGrid w:val="0"/>
        <w:spacing w:line="360" w:lineRule="auto"/>
        <w:ind w:firstLine="420"/>
        <w:rPr>
          <w:rFonts w:asciiTheme="minorEastAsia" w:eastAsiaTheme="minorEastAsia" w:hAnsiTheme="minorEastAsia"/>
          <w:kern w:val="0"/>
        </w:rPr>
      </w:pPr>
      <w:r w:rsidRPr="00E97AFD">
        <w:rPr>
          <w:rFonts w:asciiTheme="minorEastAsia" w:eastAsiaTheme="minorEastAsia" w:hAnsiTheme="minorEastAsia"/>
          <w:kern w:val="0"/>
        </w:rPr>
        <w:t>(4)不从事损害基金财产和基金份额持有人利益的证券交易及其他活动。</w:t>
      </w:r>
    </w:p>
    <w:p w14:paraId="5F99D7DE" w14:textId="77777777" w:rsidR="00BA4B87" w:rsidRPr="00E97AFD" w:rsidRDefault="00BA4B87" w:rsidP="00966694">
      <w:pPr>
        <w:snapToGrid w:val="0"/>
        <w:spacing w:line="360" w:lineRule="auto"/>
        <w:ind w:firstLine="420"/>
        <w:rPr>
          <w:rFonts w:asciiTheme="minorEastAsia" w:eastAsiaTheme="minorEastAsia" w:hAnsiTheme="minorEastAsia"/>
          <w:kern w:val="0"/>
        </w:rPr>
      </w:pPr>
      <w:bookmarkStart w:id="28" w:name="_Toc327734802"/>
      <w:r w:rsidRPr="00E97AFD">
        <w:rPr>
          <w:rFonts w:asciiTheme="minorEastAsia" w:eastAsiaTheme="minorEastAsia" w:hAnsiTheme="minorEastAsia"/>
          <w:kern w:val="0"/>
        </w:rPr>
        <w:t>(五)基金管理人的内部控制制度</w:t>
      </w:r>
      <w:bookmarkEnd w:id="28"/>
    </w:p>
    <w:p w14:paraId="2BFB3B10" w14:textId="77777777" w:rsidR="00BA4B87" w:rsidRPr="00E97AFD" w:rsidRDefault="00BA4B87" w:rsidP="00966694">
      <w:pPr>
        <w:snapToGrid w:val="0"/>
        <w:spacing w:line="360" w:lineRule="auto"/>
        <w:ind w:firstLine="420"/>
        <w:rPr>
          <w:rFonts w:asciiTheme="minorEastAsia" w:eastAsiaTheme="minorEastAsia" w:hAnsiTheme="minorEastAsia"/>
          <w:szCs w:val="21"/>
        </w:rPr>
      </w:pPr>
      <w:r w:rsidRPr="00E97AFD">
        <w:rPr>
          <w:rFonts w:asciiTheme="minorEastAsia" w:eastAsiaTheme="minorEastAsia" w:hAnsiTheme="minorEastAsia"/>
          <w:kern w:val="0"/>
        </w:rPr>
        <w:t>为保证公司规范化运作，有效地防范和化解经营风险，促进公司诚信、合法、有效经营，保障基金份额持有人利益，维</w:t>
      </w:r>
      <w:r w:rsidRPr="00E97AFD">
        <w:rPr>
          <w:rFonts w:asciiTheme="minorEastAsia" w:eastAsiaTheme="minorEastAsia" w:hAnsiTheme="minorEastAsia"/>
          <w:szCs w:val="21"/>
        </w:rPr>
        <w:t>护公司及公司股东的合法权益，本基金管理人建立了科学、严密、高效的内部控制体系。</w:t>
      </w:r>
    </w:p>
    <w:p w14:paraId="60159F5D" w14:textId="77777777" w:rsidR="00BA4B87" w:rsidRPr="00E97AFD" w:rsidRDefault="00C00F5E" w:rsidP="00966694">
      <w:pPr>
        <w:tabs>
          <w:tab w:val="left" w:pos="735"/>
        </w:tabs>
        <w:snapToGrid w:val="0"/>
        <w:spacing w:line="360" w:lineRule="auto"/>
        <w:ind w:left="420"/>
        <w:rPr>
          <w:rFonts w:asciiTheme="minorEastAsia" w:eastAsiaTheme="minorEastAsia" w:hAnsiTheme="minorEastAsia"/>
          <w:b/>
          <w:bCs/>
          <w:szCs w:val="21"/>
        </w:rPr>
      </w:pPr>
      <w:r w:rsidRPr="00E97AFD">
        <w:rPr>
          <w:rFonts w:asciiTheme="minorEastAsia" w:eastAsiaTheme="minorEastAsia" w:hAnsiTheme="minorEastAsia" w:hint="eastAsia"/>
          <w:b/>
          <w:bCs/>
        </w:rPr>
        <w:t>1、</w:t>
      </w:r>
      <w:r w:rsidR="00BA4B87" w:rsidRPr="00E97AFD">
        <w:rPr>
          <w:rFonts w:asciiTheme="minorEastAsia" w:eastAsiaTheme="minorEastAsia" w:hAnsiTheme="minorEastAsia"/>
          <w:b/>
          <w:bCs/>
        </w:rPr>
        <w:t>公司内部控制的总体目标</w:t>
      </w:r>
    </w:p>
    <w:p w14:paraId="388FA8B9" w14:textId="77777777" w:rsidR="00BA4B87" w:rsidRPr="00E97AFD" w:rsidRDefault="007A4AA0" w:rsidP="00966694">
      <w:pPr>
        <w:tabs>
          <w:tab w:val="left" w:pos="735"/>
        </w:tabs>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rPr>
        <w:t>(1)</w:t>
      </w:r>
      <w:r w:rsidR="00BA4B87" w:rsidRPr="00E97AFD">
        <w:rPr>
          <w:rFonts w:asciiTheme="minorEastAsia" w:eastAsiaTheme="minorEastAsia" w:hAnsiTheme="minorEastAsia"/>
        </w:rPr>
        <w:t>保证公司经营管理活动的合法合规性；</w:t>
      </w:r>
    </w:p>
    <w:p w14:paraId="7A48974C" w14:textId="77777777" w:rsidR="00BA4B87" w:rsidRPr="00E97AFD" w:rsidRDefault="007A4AA0" w:rsidP="00966694">
      <w:pPr>
        <w:tabs>
          <w:tab w:val="left" w:pos="735"/>
        </w:tabs>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rPr>
        <w:t>(2)</w:t>
      </w:r>
      <w:r w:rsidR="00BA4B87" w:rsidRPr="00E97AFD">
        <w:rPr>
          <w:rFonts w:asciiTheme="minorEastAsia" w:eastAsiaTheme="minorEastAsia" w:hAnsiTheme="minorEastAsia"/>
        </w:rPr>
        <w:t>保证基金份额持有人的合法权益不受侵犯；</w:t>
      </w:r>
    </w:p>
    <w:p w14:paraId="4DE1337F" w14:textId="77777777" w:rsidR="00BA4B87" w:rsidRPr="00E97AFD" w:rsidRDefault="007A4AA0" w:rsidP="00966694">
      <w:pPr>
        <w:tabs>
          <w:tab w:val="left" w:pos="735"/>
        </w:tabs>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rPr>
        <w:t>(3)</w:t>
      </w:r>
      <w:r w:rsidR="00BA4B87" w:rsidRPr="00E97AFD">
        <w:rPr>
          <w:rFonts w:asciiTheme="minorEastAsia" w:eastAsiaTheme="minorEastAsia" w:hAnsiTheme="minorEastAsia"/>
        </w:rPr>
        <w:t>实现公司稳健、持续发展，维护股东权益；</w:t>
      </w:r>
    </w:p>
    <w:p w14:paraId="538176C3" w14:textId="77777777" w:rsidR="00BA4B87" w:rsidRPr="00E97AFD" w:rsidRDefault="007A4AA0" w:rsidP="00966694">
      <w:pPr>
        <w:tabs>
          <w:tab w:val="left" w:pos="735"/>
        </w:tabs>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rPr>
        <w:t>(4)</w:t>
      </w:r>
      <w:r w:rsidR="00BA4B87" w:rsidRPr="00E97AFD">
        <w:rPr>
          <w:rFonts w:asciiTheme="minorEastAsia" w:eastAsiaTheme="minorEastAsia" w:hAnsiTheme="minorEastAsia"/>
        </w:rPr>
        <w:t>促进公司全体员工恪守职业操守，正直诚信，廉洁自律，勤勉尽责；</w:t>
      </w:r>
    </w:p>
    <w:p w14:paraId="28B5F8B3" w14:textId="77777777" w:rsidR="00BA4B87" w:rsidRPr="00E97AFD" w:rsidRDefault="007A4AA0" w:rsidP="00966694">
      <w:pPr>
        <w:tabs>
          <w:tab w:val="left" w:pos="735"/>
        </w:tabs>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rPr>
        <w:t>(5)</w:t>
      </w:r>
      <w:r w:rsidR="00BA4B87" w:rsidRPr="00E97AFD">
        <w:rPr>
          <w:rFonts w:asciiTheme="minorEastAsia" w:eastAsiaTheme="minorEastAsia" w:hAnsiTheme="minorEastAsia"/>
        </w:rPr>
        <w:t>保护公司最重要的资本：公司声誉。</w:t>
      </w:r>
    </w:p>
    <w:p w14:paraId="6812A70B" w14:textId="77777777" w:rsidR="00BA4B87" w:rsidRPr="00E97AFD" w:rsidRDefault="00C00F5E" w:rsidP="00966694">
      <w:pPr>
        <w:tabs>
          <w:tab w:val="left" w:pos="735"/>
        </w:tabs>
        <w:snapToGrid w:val="0"/>
        <w:spacing w:line="360" w:lineRule="auto"/>
        <w:ind w:left="420"/>
        <w:rPr>
          <w:rFonts w:asciiTheme="minorEastAsia" w:eastAsiaTheme="minorEastAsia" w:hAnsiTheme="minorEastAsia"/>
          <w:b/>
          <w:bCs/>
          <w:szCs w:val="21"/>
        </w:rPr>
      </w:pPr>
      <w:r w:rsidRPr="00E97AFD">
        <w:rPr>
          <w:rFonts w:asciiTheme="minorEastAsia" w:eastAsiaTheme="minorEastAsia" w:hAnsiTheme="minorEastAsia" w:hint="eastAsia"/>
          <w:b/>
          <w:bCs/>
        </w:rPr>
        <w:t>2、</w:t>
      </w:r>
      <w:r w:rsidR="00BA4B87" w:rsidRPr="00E97AFD">
        <w:rPr>
          <w:rFonts w:asciiTheme="minorEastAsia" w:eastAsiaTheme="minorEastAsia" w:hAnsiTheme="minorEastAsia"/>
          <w:b/>
          <w:bCs/>
        </w:rPr>
        <w:t>公司内部控制遵循的原则</w:t>
      </w:r>
    </w:p>
    <w:p w14:paraId="2E9F3DCB" w14:textId="77777777" w:rsidR="00BA4B87" w:rsidRPr="00E97AFD" w:rsidRDefault="00D06106" w:rsidP="00966694">
      <w:pPr>
        <w:tabs>
          <w:tab w:val="left" w:pos="735"/>
        </w:tabs>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rPr>
        <w:t>(1)</w:t>
      </w:r>
      <w:r w:rsidR="00BA4B87" w:rsidRPr="00E97AFD">
        <w:rPr>
          <w:rFonts w:asciiTheme="minorEastAsia" w:eastAsiaTheme="minorEastAsia" w:hAnsiTheme="minorEastAsia"/>
        </w:rPr>
        <w:t>全面性原则：内部控制必须覆盖公司的所有部门和岗位，渗透各项业务过程和业务环节，并普遍适用于公司每一位职员；</w:t>
      </w:r>
    </w:p>
    <w:p w14:paraId="2E1264B2" w14:textId="77777777" w:rsidR="00BA4B87" w:rsidRPr="00E97AFD" w:rsidRDefault="00D06106" w:rsidP="00966694">
      <w:pPr>
        <w:tabs>
          <w:tab w:val="left" w:pos="735"/>
        </w:tabs>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rPr>
        <w:t>(2)</w:t>
      </w:r>
      <w:r w:rsidR="00BA4B87" w:rsidRPr="00E97AFD">
        <w:rPr>
          <w:rFonts w:asciiTheme="minorEastAsia" w:eastAsiaTheme="minorEastAsia" w:hAnsiTheme="minorEastAsia"/>
        </w:rPr>
        <w:t>审慎性原则：内部控制的核心是有效防范各种风险，公司组织体系的构成、内部管理制度的建立都要以防范风险、审慎经营为出发点；</w:t>
      </w:r>
    </w:p>
    <w:p w14:paraId="12ADD33D" w14:textId="77777777" w:rsidR="00BA4B87" w:rsidRPr="00E97AFD" w:rsidRDefault="00D06106" w:rsidP="00966694">
      <w:pPr>
        <w:tabs>
          <w:tab w:val="left" w:pos="735"/>
        </w:tabs>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rPr>
        <w:t>(3)</w:t>
      </w:r>
      <w:r w:rsidR="00BA4B87" w:rsidRPr="00E97AFD">
        <w:rPr>
          <w:rFonts w:asciiTheme="minorEastAsia" w:eastAsiaTheme="minorEastAsia" w:hAnsiTheme="minorEastAsia"/>
        </w:rPr>
        <w:t>相互制约原则：公司设置的各部门、各岗位权责分明、相互制衡</w:t>
      </w:r>
      <w:r w:rsidR="00F81823" w:rsidRPr="00E97AFD">
        <w:rPr>
          <w:rFonts w:asciiTheme="minorEastAsia" w:eastAsiaTheme="minorEastAsia" w:hAnsiTheme="minorEastAsia" w:hint="eastAsia"/>
        </w:rPr>
        <w:t>；</w:t>
      </w:r>
    </w:p>
    <w:p w14:paraId="318D8515" w14:textId="77777777" w:rsidR="00BA4B87" w:rsidRPr="00E97AFD" w:rsidRDefault="00D06106" w:rsidP="00966694">
      <w:pPr>
        <w:tabs>
          <w:tab w:val="left" w:pos="735"/>
        </w:tabs>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rPr>
        <w:t>(4)</w:t>
      </w:r>
      <w:r w:rsidR="00BA4B87" w:rsidRPr="00E97AFD">
        <w:rPr>
          <w:rFonts w:asciiTheme="minorEastAsia" w:eastAsiaTheme="minorEastAsia" w:hAnsiTheme="minorEastAsia"/>
        </w:rPr>
        <w:t>独立性原则：公司根据业务的需要设立相对独立的机构、部门和岗位；公司内部部门和岗位的设置必须权责分明；</w:t>
      </w:r>
    </w:p>
    <w:p w14:paraId="1D3739C4" w14:textId="77777777" w:rsidR="00BA4B87" w:rsidRPr="00E97AFD" w:rsidRDefault="00D06106" w:rsidP="00966694">
      <w:pPr>
        <w:tabs>
          <w:tab w:val="left" w:pos="735"/>
        </w:tabs>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rPr>
        <w:t>(5)</w:t>
      </w:r>
      <w:r w:rsidR="00BA4B87" w:rsidRPr="00E97AFD">
        <w:rPr>
          <w:rFonts w:asciiTheme="minorEastAsia" w:eastAsiaTheme="minorEastAsia" w:hAnsiTheme="minorEastAsia"/>
        </w:rPr>
        <w:t>有效性原则：各种内部管理制度具有高度的权威性，应是所有员工严格遵守的行动指南；执行内部管理制度不能有任何例外，任何人不得拥有超越制度或违反规章的权力；</w:t>
      </w:r>
    </w:p>
    <w:p w14:paraId="6AAFE473" w14:textId="77777777" w:rsidR="00BA4B87" w:rsidRPr="00E97AFD" w:rsidRDefault="00D06106" w:rsidP="00966694">
      <w:pPr>
        <w:tabs>
          <w:tab w:val="left" w:pos="735"/>
        </w:tabs>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rPr>
        <w:t>(6)</w:t>
      </w:r>
      <w:r w:rsidR="00BA4B87" w:rsidRPr="00E97AFD">
        <w:rPr>
          <w:rFonts w:asciiTheme="minorEastAsia" w:eastAsiaTheme="minorEastAsia" w:hAnsiTheme="minorEastAsia"/>
        </w:rPr>
        <w:t>适时性原则：内部控制应具有前瞻性，并且必须随着公司经营战略、经营方针、经营理念等内部环境的变化和国家法律、法规、政策制度等外部环境的改变及时进行相应的修改和完善；</w:t>
      </w:r>
    </w:p>
    <w:p w14:paraId="78DBFE38" w14:textId="77777777" w:rsidR="00BA4B87" w:rsidRPr="00E97AFD" w:rsidRDefault="00D06106" w:rsidP="00966694">
      <w:pPr>
        <w:tabs>
          <w:tab w:val="left" w:pos="735"/>
        </w:tabs>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rPr>
        <w:t>(7)</w:t>
      </w:r>
      <w:r w:rsidR="00BA4B87" w:rsidRPr="00E97AFD">
        <w:rPr>
          <w:rFonts w:asciiTheme="minorEastAsia" w:eastAsiaTheme="minorEastAsia" w:hAnsiTheme="minorEastAsia"/>
        </w:rPr>
        <w:t>成本效益原则：公司运用科学化的经营管理方法降低运作成本，提高经济效益，力争以合理的控制成本达到最佳的内部控制效果。</w:t>
      </w:r>
    </w:p>
    <w:p w14:paraId="2AB4A082" w14:textId="77777777" w:rsidR="00BA4B87" w:rsidRPr="00E97AFD" w:rsidRDefault="00C00F5E" w:rsidP="00966694">
      <w:pPr>
        <w:tabs>
          <w:tab w:val="left" w:pos="735"/>
        </w:tabs>
        <w:snapToGrid w:val="0"/>
        <w:spacing w:line="360" w:lineRule="auto"/>
        <w:ind w:left="420"/>
        <w:rPr>
          <w:rFonts w:asciiTheme="minorEastAsia" w:eastAsiaTheme="minorEastAsia" w:hAnsiTheme="minorEastAsia"/>
          <w:b/>
          <w:bCs/>
        </w:rPr>
      </w:pPr>
      <w:r w:rsidRPr="00E97AFD">
        <w:rPr>
          <w:rFonts w:asciiTheme="minorEastAsia" w:eastAsiaTheme="minorEastAsia" w:hAnsiTheme="minorEastAsia" w:hint="eastAsia"/>
          <w:b/>
          <w:bCs/>
        </w:rPr>
        <w:t>3、</w:t>
      </w:r>
      <w:r w:rsidR="00BA4B87" w:rsidRPr="00E97AFD">
        <w:rPr>
          <w:rFonts w:asciiTheme="minorEastAsia" w:eastAsiaTheme="minorEastAsia" w:hAnsiTheme="minorEastAsia"/>
          <w:b/>
          <w:bCs/>
        </w:rPr>
        <w:t>内部控制的制度体系</w:t>
      </w:r>
    </w:p>
    <w:p w14:paraId="6E7E5FEF" w14:textId="77777777" w:rsidR="00BA4B87" w:rsidRPr="00E97AFD" w:rsidRDefault="00BA4B87" w:rsidP="00966694">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E97AFD">
        <w:rPr>
          <w:rFonts w:asciiTheme="minorEastAsia" w:eastAsiaTheme="minorEastAsia" w:hAnsiTheme="minorEastAsia"/>
          <w:szCs w:val="2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w:t>
      </w:r>
      <w:r w:rsidRPr="00E97AFD">
        <w:rPr>
          <w:rFonts w:asciiTheme="minorEastAsia" w:eastAsiaTheme="minorEastAsia" w:hAnsiTheme="minorEastAsia"/>
          <w:szCs w:val="21"/>
        </w:rPr>
        <w:lastRenderedPageBreak/>
        <w:t>视对制度的持续检验，结合业务的发展、法规及监管环境的变化以及公司风险控制的要求，不断检讨和增强公司制度的完备性、有效性。</w:t>
      </w:r>
    </w:p>
    <w:p w14:paraId="01334352" w14:textId="77777777" w:rsidR="00BA4B87" w:rsidRPr="00E97AFD" w:rsidRDefault="00C00F5E" w:rsidP="00966694">
      <w:pPr>
        <w:tabs>
          <w:tab w:val="left" w:pos="735"/>
        </w:tabs>
        <w:snapToGrid w:val="0"/>
        <w:spacing w:line="360" w:lineRule="auto"/>
        <w:ind w:left="420"/>
        <w:rPr>
          <w:rFonts w:asciiTheme="minorEastAsia" w:eastAsiaTheme="minorEastAsia" w:hAnsiTheme="minorEastAsia"/>
          <w:b/>
          <w:bCs/>
        </w:rPr>
      </w:pPr>
      <w:r w:rsidRPr="00E97AFD">
        <w:rPr>
          <w:rFonts w:asciiTheme="minorEastAsia" w:eastAsiaTheme="minorEastAsia" w:hAnsiTheme="minorEastAsia" w:hint="eastAsia"/>
          <w:b/>
          <w:bCs/>
        </w:rPr>
        <w:t>4、</w:t>
      </w:r>
      <w:r w:rsidR="00BA4B87" w:rsidRPr="00E97AFD">
        <w:rPr>
          <w:rFonts w:asciiTheme="minorEastAsia" w:eastAsiaTheme="minorEastAsia" w:hAnsiTheme="minorEastAsia"/>
          <w:b/>
          <w:bCs/>
        </w:rPr>
        <w:t>关于授权、研究、投资、交易等方面的控制点</w:t>
      </w:r>
    </w:p>
    <w:p w14:paraId="26AA5F0E" w14:textId="77777777" w:rsidR="00BA4B87" w:rsidRPr="00E97AFD" w:rsidRDefault="00052C9F" w:rsidP="00966694">
      <w:pPr>
        <w:tabs>
          <w:tab w:val="left" w:pos="735"/>
        </w:tabs>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rPr>
        <w:t>(1)</w:t>
      </w:r>
      <w:r w:rsidR="00BA4B87" w:rsidRPr="00E97AFD">
        <w:rPr>
          <w:rFonts w:asciiTheme="minorEastAsia" w:eastAsiaTheme="minorEastAsia" w:hAnsiTheme="minorEastAsia"/>
        </w:rPr>
        <w:t>授权制度</w:t>
      </w:r>
    </w:p>
    <w:p w14:paraId="710D73C0" w14:textId="77777777" w:rsidR="00BA4B87" w:rsidRPr="00E97AFD" w:rsidRDefault="00BA4B87" w:rsidP="00966694">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E97AFD">
        <w:rPr>
          <w:rFonts w:asciiTheme="minorEastAsia" w:eastAsiaTheme="minorEastAsia" w:hAnsiTheme="minorEastAsia"/>
          <w:szCs w:val="21"/>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14:paraId="2C1E8606" w14:textId="77777777" w:rsidR="00BA4B87" w:rsidRPr="00E97AFD" w:rsidRDefault="00052C9F" w:rsidP="00966694">
      <w:pPr>
        <w:tabs>
          <w:tab w:val="left" w:pos="735"/>
        </w:tabs>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rPr>
        <w:t>(2)</w:t>
      </w:r>
      <w:r w:rsidR="00BA4B87" w:rsidRPr="00E97AFD">
        <w:rPr>
          <w:rFonts w:asciiTheme="minorEastAsia" w:eastAsiaTheme="minorEastAsia" w:hAnsiTheme="minorEastAsia"/>
        </w:rPr>
        <w:t>公司研究业务</w:t>
      </w:r>
    </w:p>
    <w:p w14:paraId="2A085A64" w14:textId="77777777" w:rsidR="00BA4B87" w:rsidRPr="00E97AFD" w:rsidRDefault="00BA4B87" w:rsidP="00966694">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E97AFD">
        <w:rPr>
          <w:rFonts w:asciiTheme="minorEastAsia" w:eastAsiaTheme="minorEastAsia" w:hAnsiTheme="minorEastAsia"/>
          <w:szCs w:val="21"/>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14:paraId="1D806960" w14:textId="77777777" w:rsidR="00BA4B87" w:rsidRPr="00E97AFD" w:rsidRDefault="00052C9F" w:rsidP="00966694">
      <w:pPr>
        <w:tabs>
          <w:tab w:val="left" w:pos="735"/>
        </w:tabs>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rPr>
        <w:t>(3)</w:t>
      </w:r>
      <w:r w:rsidR="00BA4B87" w:rsidRPr="00E97AFD">
        <w:rPr>
          <w:rFonts w:asciiTheme="minorEastAsia" w:eastAsiaTheme="minorEastAsia" w:hAnsiTheme="minorEastAsia"/>
        </w:rPr>
        <w:t>基金投资业务</w:t>
      </w:r>
    </w:p>
    <w:p w14:paraId="62574072" w14:textId="77777777" w:rsidR="00BA4B87" w:rsidRPr="00E97AFD" w:rsidRDefault="00BA4B87" w:rsidP="00966694">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E97AFD">
        <w:rPr>
          <w:rFonts w:asciiTheme="minorEastAsia" w:eastAsiaTheme="minorEastAsia" w:hAnsiTheme="minorEastAsia"/>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14:paraId="48503493" w14:textId="77777777" w:rsidR="00BA4B87" w:rsidRPr="00E97AFD" w:rsidRDefault="00052C9F" w:rsidP="00966694">
      <w:pPr>
        <w:tabs>
          <w:tab w:val="left" w:pos="735"/>
        </w:tabs>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rPr>
        <w:t>(4)</w:t>
      </w:r>
      <w:r w:rsidR="00BA4B87" w:rsidRPr="00E97AFD">
        <w:rPr>
          <w:rFonts w:asciiTheme="minorEastAsia" w:eastAsiaTheme="minorEastAsia" w:hAnsiTheme="minorEastAsia"/>
        </w:rPr>
        <w:t>交易业务</w:t>
      </w:r>
    </w:p>
    <w:p w14:paraId="47FDB91A" w14:textId="77777777" w:rsidR="00BA4B87" w:rsidRPr="00E97AFD" w:rsidRDefault="00BA4B87" w:rsidP="00966694">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E97AFD">
        <w:rPr>
          <w:rFonts w:asciiTheme="minorEastAsia" w:eastAsiaTheme="minorEastAsia" w:hAnsiTheme="minorEastAsia"/>
          <w:szCs w:val="21"/>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14:paraId="6BB30225" w14:textId="77777777" w:rsidR="00BA4B87" w:rsidRPr="00E97AFD" w:rsidRDefault="00052C9F" w:rsidP="00966694">
      <w:pPr>
        <w:tabs>
          <w:tab w:val="left" w:pos="735"/>
        </w:tabs>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rPr>
        <w:t>(5)</w:t>
      </w:r>
      <w:r w:rsidR="00BA4B87" w:rsidRPr="00E97AFD">
        <w:rPr>
          <w:rFonts w:asciiTheme="minorEastAsia" w:eastAsiaTheme="minorEastAsia" w:hAnsiTheme="minorEastAsia"/>
        </w:rPr>
        <w:t>基金会计核算</w:t>
      </w:r>
    </w:p>
    <w:p w14:paraId="4D662E44" w14:textId="77777777" w:rsidR="00BA4B87" w:rsidRPr="00E97AFD" w:rsidRDefault="00BA4B87" w:rsidP="00966694">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E97AFD">
        <w:rPr>
          <w:rFonts w:asciiTheme="minorEastAsia" w:eastAsiaTheme="minorEastAsia" w:hAnsiTheme="minorEastAsia"/>
          <w:szCs w:val="21"/>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14:paraId="6409C509" w14:textId="77777777" w:rsidR="00BA4B87" w:rsidRPr="00E97AFD" w:rsidRDefault="00052C9F" w:rsidP="00966694">
      <w:pPr>
        <w:tabs>
          <w:tab w:val="left" w:pos="735"/>
        </w:tabs>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rPr>
        <w:t>(6)</w:t>
      </w:r>
      <w:r w:rsidR="00BA4B87" w:rsidRPr="00E97AFD">
        <w:rPr>
          <w:rFonts w:asciiTheme="minorEastAsia" w:eastAsiaTheme="minorEastAsia" w:hAnsiTheme="minorEastAsia"/>
        </w:rPr>
        <w:t>信息披露</w:t>
      </w:r>
    </w:p>
    <w:p w14:paraId="65D8DE68" w14:textId="77777777" w:rsidR="00BA4B87" w:rsidRPr="00E97AFD" w:rsidRDefault="00BA4B87" w:rsidP="00966694">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E97AFD">
        <w:rPr>
          <w:rFonts w:asciiTheme="minorEastAsia" w:eastAsiaTheme="minorEastAsia" w:hAnsiTheme="minorEastAsia"/>
          <w:szCs w:val="21"/>
        </w:rPr>
        <w:t>公司建立了完善的信息披露制度，保证公开披露的信息真实、准确、完整。公司设立了信息披露负责人，并建立了相应的程序进行信息的收集、组织、审核和发布工作，以此加强</w:t>
      </w:r>
      <w:r w:rsidRPr="00E97AFD">
        <w:rPr>
          <w:rFonts w:asciiTheme="minorEastAsia" w:eastAsiaTheme="minorEastAsia" w:hAnsiTheme="minorEastAsia"/>
          <w:szCs w:val="21"/>
        </w:rPr>
        <w:lastRenderedPageBreak/>
        <w:t>对信息的审查核对，使所公布的信息符合法律法规的规定，同时加强对信息披露的检查和评价，对存在的问题及时提出改进办法。</w:t>
      </w:r>
    </w:p>
    <w:p w14:paraId="4BD92A73" w14:textId="77777777" w:rsidR="00BA4B87" w:rsidRPr="00E97AFD" w:rsidRDefault="00052C9F" w:rsidP="00966694">
      <w:pPr>
        <w:tabs>
          <w:tab w:val="left" w:pos="735"/>
        </w:tabs>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rPr>
        <w:t>(7)</w:t>
      </w:r>
      <w:r w:rsidR="003F0697" w:rsidRPr="00E97AFD">
        <w:rPr>
          <w:rFonts w:asciiTheme="minorEastAsia" w:eastAsiaTheme="minorEastAsia" w:hAnsiTheme="minorEastAsia" w:hint="eastAsia"/>
        </w:rPr>
        <w:t>监察与合规管理</w:t>
      </w:r>
    </w:p>
    <w:p w14:paraId="653E627B" w14:textId="77777777" w:rsidR="003F0697" w:rsidRPr="00E97AFD" w:rsidRDefault="003F0697" w:rsidP="003F0697">
      <w:pPr>
        <w:tabs>
          <w:tab w:val="left" w:pos="735"/>
        </w:tabs>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公司设立督察长，经董事会聘任，报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14:paraId="2554E752" w14:textId="23C19242" w:rsidR="003F0697" w:rsidRPr="00E97AFD" w:rsidRDefault="0027563B" w:rsidP="003F0697">
      <w:pPr>
        <w:tabs>
          <w:tab w:val="left" w:pos="735"/>
        </w:tabs>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公司设立监察合规管理部门开展监察与合规管理工作，并保证监察合规管理部门的独立性和权威性。公司明确了监察合规管理部门及内部各岗位的具体职责，严格制订了专业任职条件、操作程序和组织纪律。</w:t>
      </w:r>
    </w:p>
    <w:p w14:paraId="453AF813" w14:textId="5414A2CD" w:rsidR="003F0697" w:rsidRPr="00E97AFD" w:rsidRDefault="0027563B" w:rsidP="003F0697">
      <w:pPr>
        <w:tabs>
          <w:tab w:val="left" w:pos="735"/>
        </w:tabs>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监察合规管理部门强化内部检查制度，通过定期或不定期检查内部控制制度的执行情况，促使公司各项经营管理活动的规范运行。</w:t>
      </w:r>
    </w:p>
    <w:p w14:paraId="024BCF17" w14:textId="77777777" w:rsidR="00BA4B87" w:rsidRPr="00E97AFD" w:rsidRDefault="003F0697" w:rsidP="00966694">
      <w:pPr>
        <w:pStyle w:val="aa"/>
        <w:autoSpaceDE w:val="0"/>
        <w:autoSpaceDN w:val="0"/>
        <w:adjustRightInd w:val="0"/>
        <w:snapToGrid w:val="0"/>
        <w:spacing w:line="360" w:lineRule="auto"/>
        <w:ind w:firstLineChars="200"/>
        <w:rPr>
          <w:rFonts w:asciiTheme="minorEastAsia" w:eastAsiaTheme="minorEastAsia" w:hAnsiTheme="minorEastAsia"/>
          <w:szCs w:val="21"/>
        </w:rPr>
      </w:pPr>
      <w:r w:rsidRPr="00E97AFD">
        <w:rPr>
          <w:rFonts w:asciiTheme="minorEastAsia" w:eastAsiaTheme="minorEastAsia" w:hAnsiTheme="minorEastAsia" w:hint="eastAsia"/>
          <w:szCs w:val="21"/>
        </w:rPr>
        <w:t>公司董事会和管理层充分重视和支持监察与合规管理工作，对违反法律、法规和公司内部控制制度的，追究有关部门和人员的责任。</w:t>
      </w:r>
    </w:p>
    <w:p w14:paraId="31546532" w14:textId="77777777" w:rsidR="00BA4B87" w:rsidRPr="00E97AFD" w:rsidRDefault="00C00F5E" w:rsidP="00966694">
      <w:pPr>
        <w:tabs>
          <w:tab w:val="left" w:pos="735"/>
        </w:tabs>
        <w:snapToGrid w:val="0"/>
        <w:spacing w:line="360" w:lineRule="auto"/>
        <w:ind w:left="420"/>
        <w:rPr>
          <w:rFonts w:asciiTheme="minorEastAsia" w:eastAsiaTheme="minorEastAsia" w:hAnsiTheme="minorEastAsia"/>
          <w:b/>
          <w:bCs/>
        </w:rPr>
      </w:pPr>
      <w:r w:rsidRPr="00E97AFD">
        <w:rPr>
          <w:rFonts w:asciiTheme="minorEastAsia" w:eastAsiaTheme="minorEastAsia" w:hAnsiTheme="minorEastAsia" w:hint="eastAsia"/>
          <w:b/>
          <w:bCs/>
        </w:rPr>
        <w:t>5、</w:t>
      </w:r>
      <w:r w:rsidR="00BA4B87" w:rsidRPr="00E97AFD">
        <w:rPr>
          <w:rFonts w:asciiTheme="minorEastAsia" w:eastAsiaTheme="minorEastAsia" w:hAnsiTheme="minorEastAsia"/>
          <w:b/>
          <w:bCs/>
        </w:rPr>
        <w:t>基金管理人关于内部控制制度声明书</w:t>
      </w:r>
    </w:p>
    <w:p w14:paraId="0DBAFFB8" w14:textId="77777777" w:rsidR="00BA4B87" w:rsidRPr="00E97AFD" w:rsidRDefault="00052C9F" w:rsidP="00966694">
      <w:pPr>
        <w:tabs>
          <w:tab w:val="left" w:pos="735"/>
        </w:tabs>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rPr>
        <w:t>(1)</w:t>
      </w:r>
      <w:r w:rsidR="00BA4B87" w:rsidRPr="00E97AFD">
        <w:rPr>
          <w:rFonts w:asciiTheme="minorEastAsia" w:eastAsiaTheme="minorEastAsia" w:hAnsiTheme="minorEastAsia"/>
        </w:rPr>
        <w:t>本公司承诺以上关于内部控制制度的披露真实、准确；</w:t>
      </w:r>
    </w:p>
    <w:p w14:paraId="59F0E413" w14:textId="77777777" w:rsidR="00BA4B87" w:rsidRPr="00E97AFD" w:rsidRDefault="00052C9F" w:rsidP="00966694">
      <w:pPr>
        <w:tabs>
          <w:tab w:val="left" w:pos="735"/>
        </w:tabs>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rPr>
        <w:t>(2)</w:t>
      </w:r>
      <w:r w:rsidR="00BA4B87" w:rsidRPr="00E97AFD">
        <w:rPr>
          <w:rFonts w:asciiTheme="minorEastAsia" w:eastAsiaTheme="minorEastAsia" w:hAnsiTheme="minorEastAsia"/>
        </w:rPr>
        <w:t>本公司承诺根据市场变化和公司业务发展不断完善内部控制制度。</w:t>
      </w:r>
    </w:p>
    <w:p w14:paraId="096A8984" w14:textId="77777777" w:rsidR="00BA4B87" w:rsidRPr="00E97AFD" w:rsidRDefault="00BA4B87" w:rsidP="00966694">
      <w:pPr>
        <w:pStyle w:val="1"/>
        <w:snapToGrid w:val="0"/>
        <w:spacing w:beforeLines="0" w:afterLines="0" w:line="360" w:lineRule="auto"/>
        <w:ind w:firstLine="643"/>
        <w:rPr>
          <w:rFonts w:asciiTheme="minorEastAsia" w:eastAsiaTheme="minorEastAsia" w:hAnsiTheme="minorEastAsia"/>
          <w:b/>
        </w:rPr>
      </w:pPr>
      <w:r w:rsidRPr="00E97AFD">
        <w:rPr>
          <w:rFonts w:asciiTheme="minorEastAsia" w:eastAsiaTheme="minorEastAsia" w:hAnsiTheme="minorEastAsia"/>
          <w:b/>
          <w:bCs/>
        </w:rPr>
        <w:br w:type="column"/>
      </w:r>
      <w:bookmarkStart w:id="29" w:name="_Toc43371974"/>
      <w:r w:rsidRPr="00E97AFD">
        <w:rPr>
          <w:rFonts w:asciiTheme="minorEastAsia" w:eastAsiaTheme="minorEastAsia" w:hAnsiTheme="minorEastAsia"/>
          <w:b/>
        </w:rPr>
        <w:lastRenderedPageBreak/>
        <w:t>四、基金托管人</w:t>
      </w:r>
      <w:bookmarkEnd w:id="29"/>
    </w:p>
    <w:p w14:paraId="0DD8958F" w14:textId="77777777" w:rsidR="0027563B" w:rsidRPr="00E97AFD" w:rsidRDefault="0027563B" w:rsidP="0027563B">
      <w:pPr>
        <w:spacing w:line="360" w:lineRule="auto"/>
        <w:ind w:firstLineChars="200" w:firstLine="420"/>
        <w:rPr>
          <w:rFonts w:asciiTheme="minorEastAsia" w:eastAsiaTheme="minorEastAsia" w:hAnsiTheme="minorEastAsia"/>
          <w:szCs w:val="21"/>
        </w:rPr>
      </w:pPr>
      <w:bookmarkStart w:id="30" w:name="_Toc332373472"/>
      <w:r w:rsidRPr="00E97AFD">
        <w:rPr>
          <w:rFonts w:asciiTheme="minorEastAsia" w:eastAsiaTheme="minorEastAsia" w:hAnsiTheme="minorEastAsia" w:hint="eastAsia"/>
          <w:szCs w:val="21"/>
        </w:rPr>
        <w:t>（一）基金托管人情况</w:t>
      </w:r>
    </w:p>
    <w:p w14:paraId="48EE3443"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1、基本情况</w:t>
      </w:r>
    </w:p>
    <w:p w14:paraId="7557D9B6"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名称：中国建设银行股份有限公司(简称：中国建设银行)</w:t>
      </w:r>
    </w:p>
    <w:p w14:paraId="4648001F"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住所：北京市西城区金融大街25号</w:t>
      </w:r>
    </w:p>
    <w:p w14:paraId="53397968"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办公地址：北京市西城区闹市口大街1号院1号楼</w:t>
      </w:r>
    </w:p>
    <w:p w14:paraId="5EF363F2"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法定代表人：田国立</w:t>
      </w:r>
    </w:p>
    <w:p w14:paraId="3A4E1A99"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成立时间：</w:t>
      </w:r>
      <w:smartTag w:uri="urn:schemas-microsoft-com:office:smarttags" w:element="chsdate">
        <w:smartTagPr>
          <w:attr w:name="IsROCDate" w:val="False"/>
          <w:attr w:name="IsLunarDate" w:val="False"/>
          <w:attr w:name="Day" w:val="17"/>
          <w:attr w:name="Month" w:val="09"/>
          <w:attr w:name="Year" w:val="2004"/>
        </w:smartTagPr>
        <w:r w:rsidRPr="00E97AFD">
          <w:rPr>
            <w:rFonts w:asciiTheme="minorEastAsia" w:eastAsiaTheme="minorEastAsia" w:hAnsiTheme="minorEastAsia" w:hint="eastAsia"/>
            <w:szCs w:val="21"/>
          </w:rPr>
          <w:t>2004年09月17日</w:t>
        </w:r>
      </w:smartTag>
    </w:p>
    <w:p w14:paraId="615F37B2"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组织形式：股份有限公司</w:t>
      </w:r>
    </w:p>
    <w:p w14:paraId="1CE898E2"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注册资本：贰仟伍佰亿壹仟零玖拾柒万柒仟肆佰捌拾陆元整</w:t>
      </w:r>
    </w:p>
    <w:p w14:paraId="223DDB30"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存续期间：持续经营</w:t>
      </w:r>
    </w:p>
    <w:p w14:paraId="3A0E860C"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基金托管资格批文及文号：中国证监会证监基字[1998]12号</w:t>
      </w:r>
    </w:p>
    <w:p w14:paraId="5A394A62"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联系人：田  青</w:t>
      </w:r>
    </w:p>
    <w:p w14:paraId="62E76B24"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联系电话：(010)6759 5096</w:t>
      </w:r>
    </w:p>
    <w:p w14:paraId="6306203D"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14:paraId="7D0FAE08"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2018年末，集团资产规模23.22万亿元，较上年增长4.96%。2018年度，集团实现净利润2,556.26亿元，较上年增长4.93%；平均资产回报率和加权平均净资产收益率分别为1.13%和14.04%；不良贷款率1.46%，保持稳中有降；资本充足率17.19%，保持领先同业。</w:t>
      </w:r>
    </w:p>
    <w:p w14:paraId="5D945BFF"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2018年，本集团先后荣获新加坡《亚洲银行家》“2018年中国最佳大型零售银行奖”、“2018年中国全面风险管理成就奖”；美国《环球金融》“全球贸易金融最具创新力银行”、《银行家》“2018最佳金融创新奖”、《金融时报》“2018年金龙奖—年度最佳普惠金融服务银行”等多项重要奖项。本集团同时获得英国《银行家》、香港《亚洲货币》杂志“2018年中国最佳银行”称号，并在中国银行业协会2018年“陀螺”评价中排名全国性商业银行第一。</w:t>
      </w:r>
    </w:p>
    <w:p w14:paraId="1F9A1F7A"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中国建设银行总行设资产托管业务部，下设综合与合规管理处、基金市场处、证券保险资产市场处、理财信托股权市场处、养老金托管处、全球托管处、新兴业务处、运营管理处、托管应用系统支持处、跨境托管运营处、合规监督处等11个职能处室，在安徽合肥设有托</w:t>
      </w:r>
      <w:r w:rsidRPr="00E97AFD">
        <w:rPr>
          <w:rFonts w:asciiTheme="minorEastAsia" w:eastAsiaTheme="minorEastAsia" w:hAnsiTheme="minorEastAsia" w:hint="eastAsia"/>
          <w:szCs w:val="21"/>
        </w:rPr>
        <w:lastRenderedPageBreak/>
        <w:t>管运营中心，在上海设有托管运营中心上海分中心，共有员工300余人。自2007年起，托管部连续聘请外部会计师事务所对托管业务进行内部控制审计，并已经成为常规化的内控工作手段。</w:t>
      </w:r>
    </w:p>
    <w:p w14:paraId="76B65CFD"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2、主要人员情况</w:t>
      </w:r>
    </w:p>
    <w:p w14:paraId="4D1A55AA"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14:paraId="06552910"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龚毅，资产托管业务部资深经理（专业技术一级），曾就职于中国建设银行北京市分行国际部、营业部并担任副行长，长期从事信贷业务和集团客户业务等工作，具有丰富的客户服务和业务管理经验。</w:t>
      </w:r>
    </w:p>
    <w:p w14:paraId="0C14F72C"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黄秀莲，资产托管业务部资深经理（专业技术一级），曾就职于中国建设银行总行会计部，长期从事托管业务管理等工作，具有丰富的客户服务和业务管理经验。</w:t>
      </w:r>
    </w:p>
    <w:p w14:paraId="1B5B1AD8"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郑绍平，资产托管业务部副总经理，曾就职于中国建设银行总行投资部、委托代理部、战略客户部，长期从事客户服务、信贷业务管理等工作，具有丰富的客户服务和业务管理经验。</w:t>
      </w:r>
    </w:p>
    <w:p w14:paraId="11218B5E"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4EEC3FC8"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3、基金托管业务经营情况</w:t>
      </w:r>
    </w:p>
    <w:p w14:paraId="5857C30E"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2019年二季度末，中国建设银行已托管924只证券投资基金。中国建设银行专业高效的托管服务能力和业务水平，赢得了业内的高度认同。中国建设银行先后9次获得《全球托管人》“中国最佳托管银行”、4次获得《财资》“中国最佳次托管银行”、连续5年获得中债登“优秀资产托管机构”等奖项，并在2016年被《环球金融》评为中国市场唯一一家“最佳托管银行”、在2017年荣获《亚洲银行家》“最佳托管系统实施奖”。</w:t>
      </w:r>
    </w:p>
    <w:p w14:paraId="39E2E367"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lastRenderedPageBreak/>
        <w:t>（二）基金托管人的内部控制制度</w:t>
      </w:r>
    </w:p>
    <w:p w14:paraId="503AAECC"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1、内部控制目标</w:t>
      </w:r>
    </w:p>
    <w:p w14:paraId="7650B3C7"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110DDA2C"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2、内部控制组织结构</w:t>
      </w:r>
    </w:p>
    <w:p w14:paraId="5B778DA5"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1481CD9C"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3、内部控制制度及措施</w:t>
      </w:r>
    </w:p>
    <w:p w14:paraId="52B984E8"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322C8AB4"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（三）基金托管人对基金管理人运作基金进行监督的方法和程序</w:t>
      </w:r>
    </w:p>
    <w:p w14:paraId="71D1EDBC"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1、监督方法</w:t>
      </w:r>
    </w:p>
    <w:p w14:paraId="1D9A370A"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403E4A48"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2、监督流程</w:t>
      </w:r>
    </w:p>
    <w:p w14:paraId="30B48938"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1900F3C0"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（2）收到基金管理人的划款指令后，对指令要素等内容进行核查。</w:t>
      </w:r>
    </w:p>
    <w:p w14:paraId="5493CE63" w14:textId="77777777" w:rsidR="0027563B" w:rsidRPr="00E97AFD" w:rsidRDefault="0027563B" w:rsidP="0027563B">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（3）通过技术或非技术手段发现基金涉嫌违规交易，电话或书面要求基金管理人进行</w:t>
      </w:r>
      <w:r w:rsidRPr="00E97AFD">
        <w:rPr>
          <w:rFonts w:asciiTheme="minorEastAsia" w:eastAsiaTheme="minorEastAsia" w:hAnsiTheme="minorEastAsia" w:hint="eastAsia"/>
          <w:szCs w:val="21"/>
        </w:rPr>
        <w:lastRenderedPageBreak/>
        <w:t>解释或举证，如有必要将及时报告中国证监会。</w:t>
      </w:r>
    </w:p>
    <w:p w14:paraId="45618A4D" w14:textId="77777777" w:rsidR="0027563B" w:rsidRPr="00E97AFD" w:rsidRDefault="0027563B" w:rsidP="0027563B">
      <w:pPr>
        <w:spacing w:line="360" w:lineRule="auto"/>
        <w:ind w:firstLineChars="200" w:firstLine="420"/>
        <w:rPr>
          <w:rFonts w:asciiTheme="minorEastAsia" w:eastAsiaTheme="minorEastAsia" w:hAnsiTheme="minorEastAsia"/>
          <w:szCs w:val="21"/>
        </w:rPr>
      </w:pPr>
    </w:p>
    <w:p w14:paraId="0AEB2E60" w14:textId="77777777" w:rsidR="00BA4B87" w:rsidRPr="00E97AFD" w:rsidRDefault="00BA4B87" w:rsidP="00966694">
      <w:pPr>
        <w:pStyle w:val="111"/>
        <w:snapToGrid w:val="0"/>
        <w:spacing w:beforeLines="0" w:afterLines="0" w:line="360" w:lineRule="auto"/>
        <w:ind w:firstLine="643"/>
        <w:rPr>
          <w:rFonts w:asciiTheme="minorEastAsia" w:eastAsiaTheme="minorEastAsia" w:hAnsiTheme="minorEastAsia"/>
          <w:b/>
          <w:szCs w:val="32"/>
        </w:rPr>
      </w:pPr>
      <w:bookmarkStart w:id="31" w:name="_Toc43371975"/>
      <w:bookmarkEnd w:id="30"/>
      <w:r w:rsidRPr="00E97AFD">
        <w:rPr>
          <w:rFonts w:asciiTheme="minorEastAsia" w:eastAsiaTheme="minorEastAsia" w:hAnsiTheme="minorEastAsia"/>
          <w:b/>
          <w:szCs w:val="21"/>
        </w:rPr>
        <w:lastRenderedPageBreak/>
        <w:t>五、相关服务机构</w:t>
      </w:r>
      <w:bookmarkEnd w:id="31"/>
    </w:p>
    <w:p w14:paraId="7B5ED377" w14:textId="77777777" w:rsidR="00BA4B87" w:rsidRPr="00E97AFD" w:rsidRDefault="00BA4B87" w:rsidP="00966694">
      <w:pPr>
        <w:snapToGrid w:val="0"/>
        <w:spacing w:line="360" w:lineRule="auto"/>
        <w:ind w:firstLineChars="236" w:firstLine="496"/>
        <w:rPr>
          <w:rFonts w:asciiTheme="minorEastAsia" w:eastAsiaTheme="minorEastAsia" w:hAnsiTheme="minorEastAsia"/>
        </w:rPr>
      </w:pPr>
      <w:bookmarkStart w:id="32" w:name="_Toc327734810"/>
      <w:r w:rsidRPr="00E97AFD">
        <w:rPr>
          <w:rFonts w:asciiTheme="minorEastAsia" w:eastAsiaTheme="minorEastAsia" w:hAnsiTheme="minorEastAsia"/>
        </w:rPr>
        <w:t>(一)基金份额</w:t>
      </w:r>
      <w:r w:rsidR="00371108" w:rsidRPr="00E97AFD">
        <w:rPr>
          <w:rFonts w:asciiTheme="minorEastAsia" w:eastAsiaTheme="minorEastAsia" w:hAnsiTheme="minorEastAsia" w:hint="eastAsia"/>
        </w:rPr>
        <w:t>销</w:t>
      </w:r>
      <w:r w:rsidR="00371108" w:rsidRPr="00E97AFD">
        <w:rPr>
          <w:rFonts w:asciiTheme="minorEastAsia" w:eastAsiaTheme="minorEastAsia" w:hAnsiTheme="minorEastAsia"/>
        </w:rPr>
        <w:t>售</w:t>
      </w:r>
      <w:r w:rsidRPr="00E97AFD">
        <w:rPr>
          <w:rFonts w:asciiTheme="minorEastAsia" w:eastAsiaTheme="minorEastAsia" w:hAnsiTheme="minorEastAsia"/>
        </w:rPr>
        <w:t>机构</w:t>
      </w:r>
      <w:bookmarkEnd w:id="32"/>
    </w:p>
    <w:p w14:paraId="7FE37E14" w14:textId="77777777" w:rsidR="00BA4B87" w:rsidRPr="00E97AFD" w:rsidRDefault="00256664" w:rsidP="00966694">
      <w:pPr>
        <w:snapToGrid w:val="0"/>
        <w:spacing w:line="360" w:lineRule="auto"/>
        <w:ind w:firstLine="480"/>
        <w:rPr>
          <w:rFonts w:asciiTheme="minorEastAsia" w:eastAsiaTheme="minorEastAsia" w:hAnsiTheme="minorEastAsia"/>
          <w:szCs w:val="21"/>
        </w:rPr>
      </w:pPr>
      <w:r w:rsidRPr="00E97AFD">
        <w:rPr>
          <w:rFonts w:asciiTheme="minorEastAsia" w:eastAsiaTheme="minorEastAsia" w:hAnsiTheme="minorEastAsia" w:hint="eastAsia"/>
          <w:szCs w:val="21"/>
        </w:rPr>
        <w:t>1、</w:t>
      </w:r>
      <w:r w:rsidR="00FD1CB1" w:rsidRPr="00E97AFD">
        <w:rPr>
          <w:rFonts w:asciiTheme="minorEastAsia" w:eastAsiaTheme="minorEastAsia" w:hAnsiTheme="minorEastAsia" w:hint="eastAsia"/>
          <w:szCs w:val="21"/>
        </w:rPr>
        <w:t>直销</w:t>
      </w:r>
      <w:r w:rsidR="00BA4B87" w:rsidRPr="00E97AFD">
        <w:rPr>
          <w:rFonts w:asciiTheme="minorEastAsia" w:eastAsiaTheme="minorEastAsia" w:hAnsiTheme="minorEastAsia"/>
          <w:szCs w:val="21"/>
        </w:rPr>
        <w:t>机构：易方达基金管理有限公司</w:t>
      </w:r>
    </w:p>
    <w:p w14:paraId="5568BD3A" w14:textId="77777777" w:rsidR="00C961FC" w:rsidRPr="00E97AFD" w:rsidRDefault="00C961FC" w:rsidP="00966694">
      <w:pPr>
        <w:snapToGrid w:val="0"/>
        <w:spacing w:line="360" w:lineRule="auto"/>
        <w:ind w:firstLine="480"/>
        <w:rPr>
          <w:rFonts w:asciiTheme="minorEastAsia" w:eastAsiaTheme="minorEastAsia" w:hAnsiTheme="minorEastAsia"/>
          <w:szCs w:val="21"/>
        </w:rPr>
      </w:pPr>
      <w:r w:rsidRPr="00E97AFD">
        <w:rPr>
          <w:rFonts w:asciiTheme="minorEastAsia" w:eastAsiaTheme="minorEastAsia" w:hAnsiTheme="minorEastAsia"/>
          <w:szCs w:val="21"/>
        </w:rPr>
        <w:t>注册地址：</w:t>
      </w:r>
      <w:r w:rsidR="00D0274B" w:rsidRPr="00E97AFD">
        <w:rPr>
          <w:rFonts w:asciiTheme="minorEastAsia" w:eastAsiaTheme="minorEastAsia" w:hAnsiTheme="minorEastAsia" w:hint="eastAsia"/>
          <w:szCs w:val="21"/>
        </w:rPr>
        <w:t>广东省珠海市横琴新区宝华路6号105室－42891（集中办公区）</w:t>
      </w:r>
    </w:p>
    <w:p w14:paraId="2E302C91" w14:textId="77777777" w:rsidR="00BA4B87" w:rsidRPr="00E97AFD" w:rsidRDefault="00BA4B87" w:rsidP="00966694">
      <w:pPr>
        <w:snapToGrid w:val="0"/>
        <w:spacing w:line="360" w:lineRule="auto"/>
        <w:ind w:firstLine="480"/>
        <w:rPr>
          <w:rFonts w:asciiTheme="minorEastAsia" w:eastAsiaTheme="minorEastAsia" w:hAnsiTheme="minorEastAsia"/>
          <w:szCs w:val="21"/>
        </w:rPr>
      </w:pPr>
      <w:r w:rsidRPr="00E97AFD">
        <w:rPr>
          <w:rFonts w:asciiTheme="minorEastAsia" w:eastAsiaTheme="minorEastAsia" w:hAnsiTheme="minorEastAsia"/>
          <w:szCs w:val="21"/>
        </w:rPr>
        <w:t>办公地址：</w:t>
      </w:r>
      <w:r w:rsidR="00524D02" w:rsidRPr="00E97AFD">
        <w:rPr>
          <w:rFonts w:asciiTheme="minorEastAsia" w:eastAsiaTheme="minorEastAsia" w:hAnsiTheme="minorEastAsia" w:hint="eastAsia"/>
          <w:szCs w:val="21"/>
        </w:rPr>
        <w:t>广州市天河区珠江新城珠江东路30号广州银行大厦40-43楼</w:t>
      </w:r>
    </w:p>
    <w:p w14:paraId="092A8FFE" w14:textId="77777777" w:rsidR="00BA4B87" w:rsidRPr="00E97AFD" w:rsidRDefault="00BA4B87" w:rsidP="00966694">
      <w:pPr>
        <w:snapToGrid w:val="0"/>
        <w:spacing w:line="360" w:lineRule="auto"/>
        <w:ind w:firstLine="480"/>
        <w:rPr>
          <w:rFonts w:asciiTheme="minorEastAsia" w:eastAsiaTheme="minorEastAsia" w:hAnsiTheme="minorEastAsia"/>
          <w:szCs w:val="21"/>
        </w:rPr>
      </w:pPr>
      <w:r w:rsidRPr="00E97AFD">
        <w:rPr>
          <w:rFonts w:asciiTheme="minorEastAsia" w:eastAsiaTheme="minorEastAsia" w:hAnsiTheme="minorEastAsia"/>
          <w:szCs w:val="21"/>
        </w:rPr>
        <w:t>法定代表人：</w:t>
      </w:r>
      <w:r w:rsidR="00813869" w:rsidRPr="00E97AFD">
        <w:rPr>
          <w:rFonts w:asciiTheme="minorEastAsia" w:eastAsiaTheme="minorEastAsia" w:hAnsiTheme="minorEastAsia" w:hint="eastAsia"/>
          <w:szCs w:val="21"/>
        </w:rPr>
        <w:t>刘晓艳</w:t>
      </w:r>
    </w:p>
    <w:p w14:paraId="40E2CA88" w14:textId="77777777" w:rsidR="00BA4B87" w:rsidRPr="00E97AFD" w:rsidRDefault="00BA4B87" w:rsidP="00966694">
      <w:pPr>
        <w:snapToGrid w:val="0"/>
        <w:spacing w:line="360" w:lineRule="auto"/>
        <w:ind w:firstLine="480"/>
        <w:rPr>
          <w:rFonts w:asciiTheme="minorEastAsia" w:eastAsiaTheme="minorEastAsia" w:hAnsiTheme="minorEastAsia"/>
          <w:szCs w:val="21"/>
        </w:rPr>
      </w:pPr>
      <w:r w:rsidRPr="00E97AFD">
        <w:rPr>
          <w:rFonts w:asciiTheme="minorEastAsia" w:eastAsiaTheme="minorEastAsia" w:hAnsiTheme="minorEastAsia"/>
          <w:szCs w:val="21"/>
        </w:rPr>
        <w:t>电话：020-85102506</w:t>
      </w:r>
    </w:p>
    <w:p w14:paraId="57809347" w14:textId="77777777" w:rsidR="00BA4B87" w:rsidRPr="00E97AFD" w:rsidRDefault="00BA4B87" w:rsidP="00966694">
      <w:pPr>
        <w:snapToGrid w:val="0"/>
        <w:spacing w:line="360" w:lineRule="auto"/>
        <w:ind w:firstLine="480"/>
        <w:rPr>
          <w:rFonts w:asciiTheme="minorEastAsia" w:eastAsiaTheme="minorEastAsia" w:hAnsiTheme="minorEastAsia"/>
          <w:szCs w:val="21"/>
        </w:rPr>
      </w:pPr>
      <w:r w:rsidRPr="00E97AFD">
        <w:rPr>
          <w:rFonts w:asciiTheme="minorEastAsia" w:eastAsiaTheme="minorEastAsia" w:hAnsiTheme="minorEastAsia"/>
          <w:szCs w:val="21"/>
        </w:rPr>
        <w:t>传真：4008818099</w:t>
      </w:r>
    </w:p>
    <w:p w14:paraId="7A9EFCC1" w14:textId="5EFF6B9C" w:rsidR="00BA4B87" w:rsidRPr="00E97AFD" w:rsidRDefault="00BA4B87" w:rsidP="00966694">
      <w:pPr>
        <w:snapToGrid w:val="0"/>
        <w:spacing w:line="360" w:lineRule="auto"/>
        <w:ind w:firstLine="480"/>
        <w:rPr>
          <w:rFonts w:asciiTheme="minorEastAsia" w:eastAsiaTheme="minorEastAsia" w:hAnsiTheme="minorEastAsia"/>
          <w:szCs w:val="21"/>
        </w:rPr>
      </w:pPr>
      <w:r w:rsidRPr="00E97AFD">
        <w:rPr>
          <w:rFonts w:asciiTheme="minorEastAsia" w:eastAsiaTheme="minorEastAsia" w:hAnsiTheme="minorEastAsia"/>
          <w:szCs w:val="21"/>
        </w:rPr>
        <w:t>联系人：</w:t>
      </w:r>
      <w:r w:rsidR="00B81BEB" w:rsidRPr="00E97AFD">
        <w:rPr>
          <w:rFonts w:asciiTheme="minorEastAsia" w:eastAsiaTheme="minorEastAsia" w:hAnsiTheme="minorEastAsia" w:hint="eastAsia"/>
          <w:szCs w:val="21"/>
        </w:rPr>
        <w:t>王峰</w:t>
      </w:r>
    </w:p>
    <w:p w14:paraId="405382E1" w14:textId="77777777" w:rsidR="00D2527C" w:rsidRPr="00E97AFD" w:rsidRDefault="00D2527C" w:rsidP="00966694">
      <w:pPr>
        <w:snapToGrid w:val="0"/>
        <w:spacing w:line="360" w:lineRule="auto"/>
        <w:ind w:firstLine="480"/>
        <w:rPr>
          <w:rFonts w:asciiTheme="minorEastAsia" w:eastAsiaTheme="minorEastAsia" w:hAnsiTheme="minorEastAsia"/>
          <w:szCs w:val="21"/>
        </w:rPr>
      </w:pPr>
      <w:r w:rsidRPr="00E97AFD">
        <w:rPr>
          <w:rFonts w:asciiTheme="minorEastAsia" w:eastAsiaTheme="minorEastAsia" w:hAnsiTheme="minorEastAsia"/>
          <w:szCs w:val="21"/>
        </w:rPr>
        <w:t>网址：</w:t>
      </w:r>
      <w:hyperlink r:id="rId17" w:history="1">
        <w:r w:rsidRPr="00E97AFD">
          <w:rPr>
            <w:rFonts w:asciiTheme="minorEastAsia" w:eastAsiaTheme="minorEastAsia" w:hAnsiTheme="minorEastAsia"/>
            <w:szCs w:val="21"/>
          </w:rPr>
          <w:t>www.efunds.com.cn</w:t>
        </w:r>
      </w:hyperlink>
    </w:p>
    <w:p w14:paraId="5ED0DADC" w14:textId="77777777" w:rsidR="00EC4C1F" w:rsidRPr="00E97AFD" w:rsidRDefault="00EC4C1F" w:rsidP="00966694">
      <w:pPr>
        <w:snapToGrid w:val="0"/>
        <w:spacing w:line="360" w:lineRule="auto"/>
        <w:ind w:firstLine="480"/>
        <w:rPr>
          <w:rFonts w:asciiTheme="minorEastAsia" w:eastAsiaTheme="minorEastAsia" w:hAnsiTheme="minorEastAsia"/>
          <w:szCs w:val="21"/>
        </w:rPr>
      </w:pPr>
      <w:r w:rsidRPr="00E97AFD">
        <w:rPr>
          <w:rFonts w:asciiTheme="minorEastAsia" w:eastAsiaTheme="minorEastAsia" w:hAnsiTheme="minorEastAsia" w:hint="eastAsia"/>
          <w:szCs w:val="21"/>
        </w:rPr>
        <w:t>直销机构网点信息：</w:t>
      </w:r>
    </w:p>
    <w:p w14:paraId="0D69240F" w14:textId="77777777" w:rsidR="00DC3533" w:rsidRPr="00E97AFD" w:rsidRDefault="00DC3533" w:rsidP="00DC3533">
      <w:pPr>
        <w:snapToGrid w:val="0"/>
        <w:spacing w:line="360" w:lineRule="auto"/>
        <w:ind w:firstLine="480"/>
        <w:rPr>
          <w:rFonts w:asciiTheme="minorEastAsia" w:eastAsiaTheme="minorEastAsia" w:hAnsiTheme="minorEastAsia"/>
          <w:szCs w:val="21"/>
        </w:rPr>
      </w:pPr>
      <w:r w:rsidRPr="00E97AFD">
        <w:rPr>
          <w:rFonts w:asciiTheme="minorEastAsia" w:eastAsiaTheme="minorEastAsia" w:hAnsiTheme="minorEastAsia" w:hint="eastAsia"/>
          <w:szCs w:val="21"/>
        </w:rPr>
        <w:t>（1）易方达基金管理有限公司广州直销中心</w:t>
      </w:r>
    </w:p>
    <w:p w14:paraId="159909C6" w14:textId="77777777" w:rsidR="00DC3533" w:rsidRPr="00E97AFD" w:rsidRDefault="00DC3533" w:rsidP="00DC3533">
      <w:pPr>
        <w:snapToGrid w:val="0"/>
        <w:spacing w:line="360" w:lineRule="auto"/>
        <w:ind w:firstLine="480"/>
        <w:rPr>
          <w:rFonts w:asciiTheme="minorEastAsia" w:eastAsiaTheme="minorEastAsia" w:hAnsiTheme="minorEastAsia"/>
          <w:szCs w:val="21"/>
        </w:rPr>
      </w:pPr>
      <w:r w:rsidRPr="00E97AFD">
        <w:rPr>
          <w:rFonts w:asciiTheme="minorEastAsia" w:eastAsiaTheme="minorEastAsia" w:hAnsiTheme="minorEastAsia" w:hint="eastAsia"/>
          <w:szCs w:val="21"/>
        </w:rPr>
        <w:t>办公地址：广州市天河区珠江新城珠江东路30号广州银行大厦40楼</w:t>
      </w:r>
    </w:p>
    <w:p w14:paraId="2B18BEDB" w14:textId="77777777" w:rsidR="00DC3533" w:rsidRPr="00E97AFD" w:rsidRDefault="00DC3533" w:rsidP="00DC3533">
      <w:pPr>
        <w:snapToGrid w:val="0"/>
        <w:spacing w:line="360" w:lineRule="auto"/>
        <w:ind w:firstLine="480"/>
        <w:rPr>
          <w:rFonts w:asciiTheme="minorEastAsia" w:eastAsiaTheme="minorEastAsia" w:hAnsiTheme="minorEastAsia"/>
          <w:szCs w:val="21"/>
        </w:rPr>
      </w:pPr>
      <w:r w:rsidRPr="00E97AFD">
        <w:rPr>
          <w:rFonts w:asciiTheme="minorEastAsia" w:eastAsiaTheme="minorEastAsia" w:hAnsiTheme="minorEastAsia" w:hint="eastAsia"/>
          <w:szCs w:val="21"/>
        </w:rPr>
        <w:t>电话：020-85102506</w:t>
      </w:r>
    </w:p>
    <w:p w14:paraId="6F5EADCC" w14:textId="77777777" w:rsidR="00DC3533" w:rsidRPr="00E97AFD" w:rsidRDefault="00DC3533" w:rsidP="00DC3533">
      <w:pPr>
        <w:snapToGrid w:val="0"/>
        <w:spacing w:line="360" w:lineRule="auto"/>
        <w:ind w:firstLine="480"/>
        <w:rPr>
          <w:rFonts w:asciiTheme="minorEastAsia" w:eastAsiaTheme="minorEastAsia" w:hAnsiTheme="minorEastAsia"/>
          <w:szCs w:val="21"/>
        </w:rPr>
      </w:pPr>
      <w:r w:rsidRPr="00E97AFD">
        <w:rPr>
          <w:rFonts w:asciiTheme="minorEastAsia" w:eastAsiaTheme="minorEastAsia" w:hAnsiTheme="minorEastAsia" w:hint="eastAsia"/>
          <w:szCs w:val="21"/>
        </w:rPr>
        <w:t>传真：4008818099</w:t>
      </w:r>
    </w:p>
    <w:p w14:paraId="1E3E6DF0" w14:textId="07D01ADD" w:rsidR="00DC3533" w:rsidRPr="00E97AFD" w:rsidRDefault="00DC3533" w:rsidP="00DC3533">
      <w:pPr>
        <w:snapToGrid w:val="0"/>
        <w:spacing w:line="360" w:lineRule="auto"/>
        <w:ind w:firstLine="480"/>
        <w:rPr>
          <w:rFonts w:asciiTheme="minorEastAsia" w:eastAsiaTheme="minorEastAsia" w:hAnsiTheme="minorEastAsia"/>
          <w:szCs w:val="21"/>
        </w:rPr>
      </w:pPr>
      <w:r w:rsidRPr="00E97AFD">
        <w:rPr>
          <w:rFonts w:asciiTheme="minorEastAsia" w:eastAsiaTheme="minorEastAsia" w:hAnsiTheme="minorEastAsia" w:hint="eastAsia"/>
          <w:szCs w:val="21"/>
        </w:rPr>
        <w:t>联系人：</w:t>
      </w:r>
      <w:r w:rsidR="00B81BEB" w:rsidRPr="00E97AFD">
        <w:rPr>
          <w:rFonts w:asciiTheme="minorEastAsia" w:eastAsiaTheme="minorEastAsia" w:hAnsiTheme="minorEastAsia" w:hint="eastAsia"/>
          <w:szCs w:val="21"/>
        </w:rPr>
        <w:t>王峰</w:t>
      </w:r>
    </w:p>
    <w:p w14:paraId="5C0C495B" w14:textId="77777777" w:rsidR="00DC3533" w:rsidRPr="00E97AFD" w:rsidRDefault="00DC3533" w:rsidP="00DC3533">
      <w:pPr>
        <w:snapToGrid w:val="0"/>
        <w:spacing w:line="360" w:lineRule="auto"/>
        <w:ind w:firstLine="480"/>
        <w:rPr>
          <w:rFonts w:asciiTheme="minorEastAsia" w:eastAsiaTheme="minorEastAsia" w:hAnsiTheme="minorEastAsia"/>
          <w:szCs w:val="21"/>
        </w:rPr>
      </w:pPr>
      <w:r w:rsidRPr="00E97AFD">
        <w:rPr>
          <w:rFonts w:asciiTheme="minorEastAsia" w:eastAsiaTheme="minorEastAsia" w:hAnsiTheme="minorEastAsia" w:hint="eastAsia"/>
          <w:szCs w:val="21"/>
        </w:rPr>
        <w:t>（2）易方达基金管理有限公司北京直销中心</w:t>
      </w:r>
    </w:p>
    <w:p w14:paraId="5E671899" w14:textId="77777777" w:rsidR="00DC3533" w:rsidRPr="00E97AFD" w:rsidRDefault="00DC3533" w:rsidP="00DC3533">
      <w:pPr>
        <w:snapToGrid w:val="0"/>
        <w:spacing w:line="360" w:lineRule="auto"/>
        <w:ind w:firstLine="480"/>
        <w:rPr>
          <w:rFonts w:asciiTheme="minorEastAsia" w:eastAsiaTheme="minorEastAsia" w:hAnsiTheme="minorEastAsia"/>
          <w:szCs w:val="21"/>
        </w:rPr>
      </w:pPr>
      <w:r w:rsidRPr="00E97AFD">
        <w:rPr>
          <w:rFonts w:asciiTheme="minorEastAsia" w:eastAsiaTheme="minorEastAsia" w:hAnsiTheme="minorEastAsia" w:hint="eastAsia"/>
          <w:szCs w:val="21"/>
        </w:rPr>
        <w:t>办公地址：北京市西城区武定侯街2号泰康国际大厦18层</w:t>
      </w:r>
    </w:p>
    <w:p w14:paraId="34279F0B" w14:textId="77777777" w:rsidR="00DC3533" w:rsidRPr="00E97AFD" w:rsidRDefault="00DC3533" w:rsidP="00DC3533">
      <w:pPr>
        <w:snapToGrid w:val="0"/>
        <w:spacing w:line="360" w:lineRule="auto"/>
        <w:ind w:firstLine="480"/>
        <w:rPr>
          <w:rFonts w:asciiTheme="minorEastAsia" w:eastAsiaTheme="minorEastAsia" w:hAnsiTheme="minorEastAsia"/>
          <w:szCs w:val="21"/>
        </w:rPr>
      </w:pPr>
      <w:r w:rsidRPr="00E97AFD">
        <w:rPr>
          <w:rFonts w:asciiTheme="minorEastAsia" w:eastAsiaTheme="minorEastAsia" w:hAnsiTheme="minorEastAsia" w:hint="eastAsia"/>
          <w:szCs w:val="21"/>
        </w:rPr>
        <w:t>电话：010-63213377</w:t>
      </w:r>
    </w:p>
    <w:p w14:paraId="6F0D2D54" w14:textId="77777777" w:rsidR="00DC3533" w:rsidRPr="00E97AFD" w:rsidRDefault="00DC3533" w:rsidP="00DC3533">
      <w:pPr>
        <w:snapToGrid w:val="0"/>
        <w:spacing w:line="360" w:lineRule="auto"/>
        <w:ind w:firstLine="480"/>
        <w:rPr>
          <w:rFonts w:asciiTheme="minorEastAsia" w:eastAsiaTheme="minorEastAsia" w:hAnsiTheme="minorEastAsia"/>
          <w:szCs w:val="21"/>
        </w:rPr>
      </w:pPr>
      <w:r w:rsidRPr="00E97AFD">
        <w:rPr>
          <w:rFonts w:asciiTheme="minorEastAsia" w:eastAsiaTheme="minorEastAsia" w:hAnsiTheme="minorEastAsia" w:hint="eastAsia"/>
          <w:szCs w:val="21"/>
        </w:rPr>
        <w:t>传真：4008818099</w:t>
      </w:r>
    </w:p>
    <w:p w14:paraId="6790E287" w14:textId="77777777" w:rsidR="00DC3533" w:rsidRPr="00E97AFD" w:rsidRDefault="00DC3533" w:rsidP="00DC3533">
      <w:pPr>
        <w:snapToGrid w:val="0"/>
        <w:spacing w:line="360" w:lineRule="auto"/>
        <w:ind w:firstLine="480"/>
        <w:rPr>
          <w:rFonts w:asciiTheme="minorEastAsia" w:eastAsiaTheme="minorEastAsia" w:hAnsiTheme="minorEastAsia"/>
          <w:szCs w:val="21"/>
        </w:rPr>
      </w:pPr>
      <w:r w:rsidRPr="00E97AFD">
        <w:rPr>
          <w:rFonts w:asciiTheme="minorEastAsia" w:eastAsiaTheme="minorEastAsia" w:hAnsiTheme="minorEastAsia" w:hint="eastAsia"/>
          <w:szCs w:val="21"/>
        </w:rPr>
        <w:t>联系人：刘蕾</w:t>
      </w:r>
    </w:p>
    <w:p w14:paraId="3C4F4E5A" w14:textId="77777777" w:rsidR="00DC3533" w:rsidRPr="00E97AFD" w:rsidRDefault="00DC3533" w:rsidP="00DC3533">
      <w:pPr>
        <w:snapToGrid w:val="0"/>
        <w:spacing w:line="360" w:lineRule="auto"/>
        <w:ind w:firstLine="480"/>
        <w:rPr>
          <w:rFonts w:asciiTheme="minorEastAsia" w:eastAsiaTheme="minorEastAsia" w:hAnsiTheme="minorEastAsia"/>
          <w:szCs w:val="21"/>
        </w:rPr>
      </w:pPr>
      <w:r w:rsidRPr="00E97AFD">
        <w:rPr>
          <w:rFonts w:asciiTheme="minorEastAsia" w:eastAsiaTheme="minorEastAsia" w:hAnsiTheme="minorEastAsia" w:hint="eastAsia"/>
          <w:szCs w:val="21"/>
        </w:rPr>
        <w:t>（3）易方达基金管理有限公司上海直销中心</w:t>
      </w:r>
    </w:p>
    <w:p w14:paraId="497DAF75" w14:textId="77777777" w:rsidR="00DC3533" w:rsidRPr="00E97AFD" w:rsidRDefault="00DC3533" w:rsidP="00DC3533">
      <w:pPr>
        <w:snapToGrid w:val="0"/>
        <w:spacing w:line="360" w:lineRule="auto"/>
        <w:ind w:firstLine="480"/>
        <w:rPr>
          <w:rFonts w:asciiTheme="minorEastAsia" w:eastAsiaTheme="minorEastAsia" w:hAnsiTheme="minorEastAsia"/>
          <w:szCs w:val="21"/>
        </w:rPr>
      </w:pPr>
      <w:r w:rsidRPr="00E97AFD">
        <w:rPr>
          <w:rFonts w:asciiTheme="minorEastAsia" w:eastAsiaTheme="minorEastAsia" w:hAnsiTheme="minorEastAsia" w:hint="eastAsia"/>
          <w:szCs w:val="21"/>
        </w:rPr>
        <w:t>办公地址：上海市浦东新区世纪大道88号金茂大厦46楼</w:t>
      </w:r>
    </w:p>
    <w:p w14:paraId="75C0F065" w14:textId="77777777" w:rsidR="00DC3533" w:rsidRPr="00E97AFD" w:rsidRDefault="00DC3533" w:rsidP="00DC3533">
      <w:pPr>
        <w:snapToGrid w:val="0"/>
        <w:spacing w:line="360" w:lineRule="auto"/>
        <w:ind w:firstLine="480"/>
        <w:rPr>
          <w:rFonts w:asciiTheme="minorEastAsia" w:eastAsiaTheme="minorEastAsia" w:hAnsiTheme="minorEastAsia"/>
          <w:szCs w:val="21"/>
        </w:rPr>
      </w:pPr>
      <w:r w:rsidRPr="00E97AFD">
        <w:rPr>
          <w:rFonts w:asciiTheme="minorEastAsia" w:eastAsiaTheme="minorEastAsia" w:hAnsiTheme="minorEastAsia" w:hint="eastAsia"/>
          <w:szCs w:val="21"/>
        </w:rPr>
        <w:t>电话：021-50476668</w:t>
      </w:r>
    </w:p>
    <w:p w14:paraId="05D34B2E" w14:textId="77777777" w:rsidR="00DC3533" w:rsidRPr="00E97AFD" w:rsidRDefault="00DC3533" w:rsidP="00DC3533">
      <w:pPr>
        <w:snapToGrid w:val="0"/>
        <w:spacing w:line="360" w:lineRule="auto"/>
        <w:ind w:firstLine="480"/>
        <w:rPr>
          <w:rFonts w:asciiTheme="minorEastAsia" w:eastAsiaTheme="minorEastAsia" w:hAnsiTheme="minorEastAsia"/>
          <w:szCs w:val="21"/>
        </w:rPr>
      </w:pPr>
      <w:r w:rsidRPr="00E97AFD">
        <w:rPr>
          <w:rFonts w:asciiTheme="minorEastAsia" w:eastAsiaTheme="minorEastAsia" w:hAnsiTheme="minorEastAsia" w:hint="eastAsia"/>
          <w:szCs w:val="21"/>
        </w:rPr>
        <w:t>传真：4008818099</w:t>
      </w:r>
    </w:p>
    <w:p w14:paraId="15F7DA30" w14:textId="77777777" w:rsidR="00DC3533" w:rsidRPr="00E97AFD" w:rsidRDefault="00DC3533" w:rsidP="00966694">
      <w:pPr>
        <w:snapToGrid w:val="0"/>
        <w:spacing w:line="360" w:lineRule="auto"/>
        <w:ind w:firstLine="480"/>
        <w:rPr>
          <w:rFonts w:asciiTheme="minorEastAsia" w:eastAsiaTheme="minorEastAsia" w:hAnsiTheme="minorEastAsia"/>
          <w:szCs w:val="21"/>
        </w:rPr>
      </w:pPr>
      <w:r w:rsidRPr="00E97AFD">
        <w:rPr>
          <w:rFonts w:asciiTheme="minorEastAsia" w:eastAsiaTheme="minorEastAsia" w:hAnsiTheme="minorEastAsia" w:hint="eastAsia"/>
          <w:szCs w:val="21"/>
        </w:rPr>
        <w:t>联系人：于楠</w:t>
      </w:r>
    </w:p>
    <w:p w14:paraId="607A18EF" w14:textId="77777777" w:rsidR="00EC4C1F" w:rsidRPr="00E97AFD" w:rsidRDefault="00EC4C1F" w:rsidP="00966694">
      <w:pPr>
        <w:snapToGrid w:val="0"/>
        <w:spacing w:line="360" w:lineRule="auto"/>
        <w:ind w:firstLine="480"/>
        <w:rPr>
          <w:rFonts w:asciiTheme="minorEastAsia" w:eastAsiaTheme="minorEastAsia" w:hAnsiTheme="minorEastAsia"/>
          <w:szCs w:val="21"/>
        </w:rPr>
      </w:pPr>
      <w:r w:rsidRPr="00E97AFD">
        <w:rPr>
          <w:rFonts w:asciiTheme="minorEastAsia" w:eastAsiaTheme="minorEastAsia" w:hAnsiTheme="minorEastAsia" w:hint="eastAsia"/>
          <w:szCs w:val="21"/>
        </w:rPr>
        <w:t>(4)易方达基金管理有限公司网上交易系统</w:t>
      </w:r>
    </w:p>
    <w:p w14:paraId="471B7D30" w14:textId="77777777" w:rsidR="00EC4C1F" w:rsidRPr="00E97AFD" w:rsidRDefault="00EC4C1F" w:rsidP="00966694">
      <w:pPr>
        <w:snapToGrid w:val="0"/>
        <w:spacing w:line="360" w:lineRule="auto"/>
        <w:ind w:firstLine="480"/>
        <w:rPr>
          <w:rFonts w:asciiTheme="minorEastAsia" w:eastAsiaTheme="minorEastAsia" w:hAnsiTheme="minorEastAsia"/>
          <w:szCs w:val="21"/>
        </w:rPr>
      </w:pPr>
      <w:r w:rsidRPr="00E97AFD">
        <w:rPr>
          <w:rFonts w:asciiTheme="minorEastAsia" w:eastAsiaTheme="minorEastAsia" w:hAnsiTheme="minorEastAsia" w:hint="eastAsia"/>
          <w:szCs w:val="21"/>
        </w:rPr>
        <w:t>网址：www.efunds.com.cn</w:t>
      </w:r>
    </w:p>
    <w:p w14:paraId="049E77A7" w14:textId="77777777" w:rsidR="00EC4C1F" w:rsidRPr="00E97AFD" w:rsidRDefault="00EC4C1F" w:rsidP="00966694">
      <w:pPr>
        <w:snapToGrid w:val="0"/>
        <w:spacing w:line="360" w:lineRule="auto"/>
        <w:ind w:firstLine="480"/>
        <w:rPr>
          <w:rFonts w:asciiTheme="minorEastAsia" w:eastAsiaTheme="minorEastAsia" w:hAnsiTheme="minorEastAsia"/>
          <w:szCs w:val="21"/>
        </w:rPr>
      </w:pPr>
      <w:r w:rsidRPr="00E97AFD">
        <w:rPr>
          <w:rFonts w:asciiTheme="minorEastAsia" w:eastAsiaTheme="minorEastAsia" w:hAnsiTheme="minorEastAsia" w:hint="eastAsia"/>
          <w:szCs w:val="21"/>
        </w:rPr>
        <w:t>客户服务传真：020-38798812</w:t>
      </w:r>
    </w:p>
    <w:p w14:paraId="4E60F3A5" w14:textId="77777777" w:rsidR="00D2527C" w:rsidRPr="00E97AFD" w:rsidRDefault="00EC4C1F" w:rsidP="00966694">
      <w:pPr>
        <w:snapToGrid w:val="0"/>
        <w:spacing w:line="360" w:lineRule="auto"/>
        <w:ind w:firstLine="480"/>
        <w:rPr>
          <w:rFonts w:asciiTheme="minorEastAsia" w:eastAsiaTheme="minorEastAsia" w:hAnsiTheme="minorEastAsia"/>
          <w:szCs w:val="21"/>
        </w:rPr>
      </w:pPr>
      <w:r w:rsidRPr="00E97AFD">
        <w:rPr>
          <w:rFonts w:asciiTheme="minorEastAsia" w:eastAsiaTheme="minorEastAsia" w:hAnsiTheme="minorEastAsia" w:hint="eastAsia"/>
          <w:szCs w:val="21"/>
        </w:rPr>
        <w:t>客户服务电话：400-881-8088</w:t>
      </w:r>
    </w:p>
    <w:p w14:paraId="786FE0B2" w14:textId="77777777" w:rsidR="00256664" w:rsidRPr="00E97AFD" w:rsidRDefault="00256664" w:rsidP="00966694">
      <w:pPr>
        <w:snapToGrid w:val="0"/>
        <w:spacing w:line="360" w:lineRule="auto"/>
        <w:ind w:firstLineChars="200" w:firstLine="420"/>
        <w:rPr>
          <w:rStyle w:val="da"/>
          <w:rFonts w:asciiTheme="minorEastAsia" w:eastAsiaTheme="minorEastAsia" w:hAnsiTheme="minorEastAsia"/>
          <w:szCs w:val="21"/>
        </w:rPr>
      </w:pPr>
      <w:bookmarkStart w:id="33" w:name="_Toc327734811"/>
      <w:r w:rsidRPr="00E97AFD">
        <w:rPr>
          <w:rStyle w:val="da"/>
          <w:rFonts w:asciiTheme="minorEastAsia" w:eastAsiaTheme="minorEastAsia" w:hAnsiTheme="minorEastAsia"/>
          <w:szCs w:val="21"/>
        </w:rPr>
        <w:t>2</w:t>
      </w:r>
      <w:r w:rsidRPr="00E97AFD">
        <w:rPr>
          <w:rStyle w:val="da"/>
          <w:rFonts w:asciiTheme="minorEastAsia" w:eastAsiaTheme="minorEastAsia" w:hAnsiTheme="minorEastAsia" w:hint="eastAsia"/>
          <w:szCs w:val="21"/>
        </w:rPr>
        <w:t>、非直销销售机构</w:t>
      </w:r>
    </w:p>
    <w:p w14:paraId="2CBCD4B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 中国建设银行</w:t>
      </w:r>
    </w:p>
    <w:p w14:paraId="63395AC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注册地址：北京市西城区金融大街25号</w:t>
      </w:r>
    </w:p>
    <w:p w14:paraId="2A5D610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lastRenderedPageBreak/>
        <w:t>办公地址：北京市西城区闹市口大街1号院1号楼</w:t>
      </w:r>
    </w:p>
    <w:p w14:paraId="5B5F713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法定代表人：田国立</w:t>
      </w:r>
    </w:p>
    <w:p w14:paraId="7786ABC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联系人：王未雨</w:t>
      </w:r>
    </w:p>
    <w:p w14:paraId="047A0ED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客户服务电话：95533</w:t>
      </w:r>
    </w:p>
    <w:p w14:paraId="59977A6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网址：www.ccb.com</w:t>
      </w:r>
    </w:p>
    <w:p w14:paraId="233FEC1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(2) 广发银行</w:t>
      </w:r>
    </w:p>
    <w:p w14:paraId="6651991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注册地址：广东省广州市越秀区东风东路713号</w:t>
      </w:r>
    </w:p>
    <w:p w14:paraId="636B7DB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办公地址：广东省广州市越秀区东风东路713号</w:t>
      </w:r>
    </w:p>
    <w:p w14:paraId="2DC2DEA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法定代表人：王滨</w:t>
      </w:r>
    </w:p>
    <w:p w14:paraId="27E55CB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客户服务电话：400-830-8003</w:t>
      </w:r>
    </w:p>
    <w:p w14:paraId="2523292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网址：www.cgbchina.com.cn</w:t>
      </w:r>
    </w:p>
    <w:p w14:paraId="50EEB85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(3) 招商银行</w:t>
      </w:r>
    </w:p>
    <w:p w14:paraId="71231FD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注册地址：深圳市福田区深南大道7088号招商银行大厦</w:t>
      </w:r>
    </w:p>
    <w:p w14:paraId="6B89A8C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办公地址：深圳市福田区深南大道7088号招商银行大厦</w:t>
      </w:r>
    </w:p>
    <w:p w14:paraId="1B1D290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法定代表人：李建红</w:t>
      </w:r>
    </w:p>
    <w:p w14:paraId="48BB845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 xml:space="preserve">联系人：季平伟 </w:t>
      </w:r>
    </w:p>
    <w:p w14:paraId="5CD13AD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客户服务电话：95555</w:t>
      </w:r>
    </w:p>
    <w:p w14:paraId="61CC767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网址：www.cmbchina.com</w:t>
      </w:r>
    </w:p>
    <w:p w14:paraId="7BE9C44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(4) 中国民生银行</w:t>
      </w:r>
    </w:p>
    <w:p w14:paraId="521C3DE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注册地址：北京市西城区复兴门内大街2号</w:t>
      </w:r>
    </w:p>
    <w:p w14:paraId="207F738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办公地址：北京市西城区复兴门内大街2号</w:t>
      </w:r>
    </w:p>
    <w:p w14:paraId="547ED24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法定代表人：洪崎</w:t>
      </w:r>
    </w:p>
    <w:p w14:paraId="2055293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联系人：徐野</w:t>
      </w:r>
    </w:p>
    <w:p w14:paraId="7E1BB4E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客户服务电话：95568</w:t>
      </w:r>
    </w:p>
    <w:p w14:paraId="07F8783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网址：www.cmbc.com.cn</w:t>
      </w:r>
    </w:p>
    <w:p w14:paraId="6228653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(5) 长安银行</w:t>
      </w:r>
    </w:p>
    <w:p w14:paraId="42BEDDC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注册地址：西安市高新技术产业开发区高新四路13号1幢1单元10101室</w:t>
      </w:r>
    </w:p>
    <w:p w14:paraId="2F4EA7A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办公地址：西安市高新技术产业开发区高新四路13号朗臣大厦</w:t>
      </w:r>
    </w:p>
    <w:p w14:paraId="7782B0B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法定代表人：赵永军</w:t>
      </w:r>
    </w:p>
    <w:p w14:paraId="6BC36B9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联系人：闫石</w:t>
      </w:r>
    </w:p>
    <w:p w14:paraId="4304A3A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客户服务电话：400-05-96669；（029）96669</w:t>
      </w:r>
    </w:p>
    <w:p w14:paraId="240819D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传真：029-88609566</w:t>
      </w:r>
    </w:p>
    <w:p w14:paraId="65D4E9F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网址：http://www.ccabchina.com/</w:t>
      </w:r>
    </w:p>
    <w:p w14:paraId="342132F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(6) 长春发展农商银行</w:t>
      </w:r>
    </w:p>
    <w:p w14:paraId="78AC7C4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lastRenderedPageBreak/>
        <w:t>注册地址：长春市经济技术开发区东南湖大路2199号</w:t>
      </w:r>
    </w:p>
    <w:p w14:paraId="0C288E2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办公地址：长春市经济技术开发区东南湖大路2199号</w:t>
      </w:r>
    </w:p>
    <w:p w14:paraId="0AE155D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法定代表人：李彦君</w:t>
      </w:r>
    </w:p>
    <w:p w14:paraId="01A6E86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联系人：宋静宜</w:t>
      </w:r>
    </w:p>
    <w:p w14:paraId="7B2DB1D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联系电话：0431-81864756</w:t>
      </w:r>
    </w:p>
    <w:p w14:paraId="230BA44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客户服务电话：96888</w:t>
      </w:r>
    </w:p>
    <w:p w14:paraId="10AAE94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网址：http://www.cdcb.com/</w:t>
      </w:r>
    </w:p>
    <w:p w14:paraId="07C4115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注：长春发展农商银行暂停办理本基金所有业务，业务恢复时间以本公司相关公告为准。</w:t>
      </w:r>
    </w:p>
    <w:p w14:paraId="07D9706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(7) 慈溪农村商业银行</w:t>
      </w:r>
    </w:p>
    <w:p w14:paraId="3BB9CB5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注册地址：浙江省慈溪市浒山街道南城路25号</w:t>
      </w:r>
    </w:p>
    <w:p w14:paraId="61BA19E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办公地址：慈溪市浒山街道南城路25号</w:t>
      </w:r>
    </w:p>
    <w:p w14:paraId="3B816CB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法定代表人：应利广</w:t>
      </w:r>
    </w:p>
    <w:p w14:paraId="6F349D9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联系人：潘建立</w:t>
      </w:r>
    </w:p>
    <w:p w14:paraId="508EA66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电话：0574-63899035</w:t>
      </w:r>
    </w:p>
    <w:p w14:paraId="0B91F99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客户服务电话：4008896596</w:t>
      </w:r>
    </w:p>
    <w:p w14:paraId="7A21A0B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 www.cixibank.com</w:t>
      </w:r>
    </w:p>
    <w:p w14:paraId="7720BFB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(8) 大连银行</w:t>
      </w:r>
    </w:p>
    <w:p w14:paraId="3E68955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注册地址：辽宁省大连市中山区中山路88号</w:t>
      </w:r>
    </w:p>
    <w:p w14:paraId="4D36292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办公地址：大连市中山区中山路88号</w:t>
      </w:r>
    </w:p>
    <w:p w14:paraId="31D5DBB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法定代表人：崔磊</w:t>
      </w:r>
    </w:p>
    <w:p w14:paraId="745AE2C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联系人：卜书慧</w:t>
      </w:r>
    </w:p>
    <w:p w14:paraId="5DBBE52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联系电话：0411-82311936</w:t>
      </w:r>
    </w:p>
    <w:p w14:paraId="0C5408B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客户服务电话：400-664-0099</w:t>
      </w:r>
    </w:p>
    <w:p w14:paraId="0EDF9A7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网址：www.bankofdl.com</w:t>
      </w:r>
    </w:p>
    <w:p w14:paraId="3334B6D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(9) 德州银行</w:t>
      </w:r>
    </w:p>
    <w:p w14:paraId="0857557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注册地址：山东省德州市三八东路1266号</w:t>
      </w:r>
    </w:p>
    <w:p w14:paraId="197747C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办公地址：山东省德州市三八东路1266号</w:t>
      </w:r>
    </w:p>
    <w:p w14:paraId="100A171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法定代表人：董合平</w:t>
      </w:r>
    </w:p>
    <w:p w14:paraId="6E2530E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联系人：王方震</w:t>
      </w:r>
    </w:p>
    <w:p w14:paraId="23D24D2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电话：0534-2297326</w:t>
      </w:r>
    </w:p>
    <w:p w14:paraId="55E6002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客户服务电话：400-01-96588</w:t>
      </w:r>
    </w:p>
    <w:p w14:paraId="73A1644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网址：www.dzbchina.com</w:t>
      </w:r>
    </w:p>
    <w:p w14:paraId="119034B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(10) 佛山农商银行</w:t>
      </w:r>
    </w:p>
    <w:p w14:paraId="6443D46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lastRenderedPageBreak/>
        <w:t>注册地址：佛山市禅城区华远东路5号</w:t>
      </w:r>
    </w:p>
    <w:p w14:paraId="193877E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办公地址：佛山市禅城区华远东路5号</w:t>
      </w:r>
    </w:p>
    <w:p w14:paraId="265C451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法定代表人：李川</w:t>
      </w:r>
    </w:p>
    <w:p w14:paraId="3CD24B7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联系人：陈棠熙</w:t>
      </w:r>
    </w:p>
    <w:p w14:paraId="6AA6914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客户服务电话：96138</w:t>
      </w:r>
    </w:p>
    <w:p w14:paraId="131FA08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网址：www.foshanbank.cn</w:t>
      </w:r>
    </w:p>
    <w:p w14:paraId="3F5EA8D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(11) 阜新银行</w:t>
      </w:r>
    </w:p>
    <w:p w14:paraId="2D814B9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 xml:space="preserve">注册地址：辽宁省阜新市细河区中华路51号 </w:t>
      </w:r>
    </w:p>
    <w:p w14:paraId="543D3B1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办公地址：辽宁省阜新市细河区中华路51号</w:t>
      </w:r>
    </w:p>
    <w:p w14:paraId="4C0FCDE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法定代表人：赵祥</w:t>
      </w:r>
    </w:p>
    <w:p w14:paraId="155AB86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联系人：白金</w:t>
      </w:r>
    </w:p>
    <w:p w14:paraId="5461756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客户服务电话：0418-96665</w:t>
      </w:r>
    </w:p>
    <w:p w14:paraId="39E1C16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传真：0418-3985051</w:t>
      </w:r>
    </w:p>
    <w:p w14:paraId="24C5E6E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网址：www.fuxinbank.com</w:t>
      </w:r>
    </w:p>
    <w:p w14:paraId="5738459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(12) 富阳农商银行</w:t>
      </w:r>
    </w:p>
    <w:p w14:paraId="24D2C6F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注册地址：杭州市富阳区鹿山街道依江路501号第1幢</w:t>
      </w:r>
    </w:p>
    <w:p w14:paraId="4527B70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办公地址：杭州市富阳区鹿山街道依江路501号</w:t>
      </w:r>
    </w:p>
    <w:p w14:paraId="1FA5D52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法定代表人：丁松茂</w:t>
      </w:r>
    </w:p>
    <w:p w14:paraId="37EED67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联系人：陈硕</w:t>
      </w:r>
    </w:p>
    <w:p w14:paraId="60A66DE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联系电话：0571-63280253</w:t>
      </w:r>
    </w:p>
    <w:p w14:paraId="6BD2BBC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客户服务电话：96596、4008896596</w:t>
      </w:r>
    </w:p>
    <w:p w14:paraId="0E7B06C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网址：www.fyrcbk.com</w:t>
      </w:r>
    </w:p>
    <w:p w14:paraId="20C0DF2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(13) 河北银行</w:t>
      </w:r>
    </w:p>
    <w:p w14:paraId="223ED97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注册地址：石家庄市平安北大街28号</w:t>
      </w:r>
    </w:p>
    <w:p w14:paraId="602906A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办公地址：石家庄市平安北大街28号</w:t>
      </w:r>
    </w:p>
    <w:p w14:paraId="20F090B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法定代表人：乔志强</w:t>
      </w:r>
    </w:p>
    <w:p w14:paraId="47EC1C0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联系人：李博</w:t>
      </w:r>
    </w:p>
    <w:p w14:paraId="47FC6C8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联系电话：0311-88627587</w:t>
      </w:r>
    </w:p>
    <w:p w14:paraId="39DC0FB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客户服务电话：400-612-9999</w:t>
      </w:r>
    </w:p>
    <w:p w14:paraId="4A52F04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传真：0311-67806407</w:t>
      </w:r>
    </w:p>
    <w:p w14:paraId="6AD90B7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网址：www.hebbank.com</w:t>
      </w:r>
    </w:p>
    <w:p w14:paraId="2398CF9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(14) 嘉兴银行</w:t>
      </w:r>
    </w:p>
    <w:p w14:paraId="38615A5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注册地址：浙江省嘉兴市昌盛南路1001号</w:t>
      </w:r>
    </w:p>
    <w:p w14:paraId="09D32D5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办公地址：浙江省嘉兴市昌盛南路1001号</w:t>
      </w:r>
    </w:p>
    <w:p w14:paraId="05805BB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lastRenderedPageBreak/>
        <w:t>法定代表人：夏林生</w:t>
      </w:r>
    </w:p>
    <w:p w14:paraId="284B834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联系人：余舟</w:t>
      </w:r>
    </w:p>
    <w:p w14:paraId="73F70D2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联系电话：0573-82080201</w:t>
      </w:r>
    </w:p>
    <w:p w14:paraId="67C1A33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客户服务电话：0573-96528</w:t>
      </w:r>
    </w:p>
    <w:p w14:paraId="0AA002A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网址：http://www.bojx.com</w:t>
      </w:r>
    </w:p>
    <w:p w14:paraId="3792699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(15) 江南农村商业银行</w:t>
      </w:r>
    </w:p>
    <w:p w14:paraId="06E9335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注册地址：常州市和平中路413号</w:t>
      </w:r>
    </w:p>
    <w:p w14:paraId="3B63BC5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办公地址：常州市和平中路413号</w:t>
      </w:r>
    </w:p>
    <w:p w14:paraId="7C3D3BB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法定代表人：陆向阳</w:t>
      </w:r>
    </w:p>
    <w:p w14:paraId="542964E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联系人：李仙</w:t>
      </w:r>
    </w:p>
    <w:p w14:paraId="530FCD9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电话：0519-80585939</w:t>
      </w:r>
    </w:p>
    <w:p w14:paraId="204F59D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客户服务电话：0519-96005</w:t>
      </w:r>
    </w:p>
    <w:p w14:paraId="1F35B51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传真：0519-89995170</w:t>
      </w:r>
    </w:p>
    <w:p w14:paraId="6A70169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网址：http://www.jnbank.com.cn</w:t>
      </w:r>
    </w:p>
    <w:p w14:paraId="6920127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(16) 江西银行</w:t>
      </w:r>
    </w:p>
    <w:p w14:paraId="0E708CF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注册地址：江西省南昌市红谷滩新区金融大街699号</w:t>
      </w:r>
    </w:p>
    <w:p w14:paraId="0EDC824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办公地址：江西省南昌市红谷滩新区金融大街699号</w:t>
      </w:r>
    </w:p>
    <w:p w14:paraId="3C7E872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法定代表人：陈晓明</w:t>
      </w:r>
    </w:p>
    <w:p w14:paraId="5D13C73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联系人：陈云波</w:t>
      </w:r>
    </w:p>
    <w:p w14:paraId="5ACDB5C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联系电话：0791-86796029</w:t>
      </w:r>
    </w:p>
    <w:p w14:paraId="20C4AE9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客户服务电话：956055</w:t>
      </w:r>
    </w:p>
    <w:p w14:paraId="346A183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传真：0791-86790795</w:t>
      </w:r>
    </w:p>
    <w:p w14:paraId="652FD58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网址：www.jx-bank.com</w:t>
      </w:r>
    </w:p>
    <w:p w14:paraId="771EF32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(17) 锦州银行</w:t>
      </w:r>
    </w:p>
    <w:p w14:paraId="7962327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注册地址：辽宁省锦州市科技路68号</w:t>
      </w:r>
    </w:p>
    <w:p w14:paraId="47362A3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办公地址：辽宁省锦州市科技路68号</w:t>
      </w:r>
    </w:p>
    <w:p w14:paraId="03FD472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法定代表人：魏学坤</w:t>
      </w:r>
    </w:p>
    <w:p w14:paraId="269EB91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联系人：庞璐璐</w:t>
      </w:r>
    </w:p>
    <w:p w14:paraId="322EB99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客户服务电话：400-66-96178</w:t>
      </w:r>
    </w:p>
    <w:p w14:paraId="4592855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网址：www.jinzhoubank.com</w:t>
      </w:r>
    </w:p>
    <w:p w14:paraId="2112FA6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(18) 晋商银行</w:t>
      </w:r>
    </w:p>
    <w:p w14:paraId="701D356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注册地址：山西省太原市小店区长风街59号</w:t>
      </w:r>
    </w:p>
    <w:p w14:paraId="2B96B78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办公地址：山西省太原市小店区长风街59号</w:t>
      </w:r>
    </w:p>
    <w:p w14:paraId="500B099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法定代表人：阎俊生</w:t>
      </w:r>
    </w:p>
    <w:p w14:paraId="527C8A8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lastRenderedPageBreak/>
        <w:t>联系人：董嘉文</w:t>
      </w:r>
    </w:p>
    <w:p w14:paraId="0EDB234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联系电话：0351-6819579</w:t>
      </w:r>
    </w:p>
    <w:p w14:paraId="07E42FA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客户服务电话：9510-5588</w:t>
      </w:r>
    </w:p>
    <w:p w14:paraId="58051EF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传真：0351-6819926</w:t>
      </w:r>
    </w:p>
    <w:p w14:paraId="5781C8E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网址：www.jshbank.com</w:t>
      </w:r>
    </w:p>
    <w:p w14:paraId="2904A08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(19) 九江银行</w:t>
      </w:r>
    </w:p>
    <w:p w14:paraId="318F42B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注册地址：江西省九江市濂溪区长虹大道619号</w:t>
      </w:r>
    </w:p>
    <w:p w14:paraId="60005BD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办公地址：江西省九江市濂溪区长虹大道619号</w:t>
      </w:r>
    </w:p>
    <w:p w14:paraId="08D0721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法定代表人：刘羡庭</w:t>
      </w:r>
    </w:p>
    <w:p w14:paraId="3FB5C98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联系人：胡浩</w:t>
      </w:r>
    </w:p>
    <w:p w14:paraId="3C010C7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联系电话：0792-2171968</w:t>
      </w:r>
    </w:p>
    <w:p w14:paraId="0F483BE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客户服务电话：95316</w:t>
      </w:r>
    </w:p>
    <w:p w14:paraId="612FAEE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网址：www.jjccb.com</w:t>
      </w:r>
    </w:p>
    <w:p w14:paraId="7D5538B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(20) 九台农商银行</w:t>
      </w:r>
    </w:p>
    <w:p w14:paraId="496DC72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注册地址：吉林省长春市九台区新华大街504号</w:t>
      </w:r>
    </w:p>
    <w:p w14:paraId="137E1AF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办公地址：吉林省长春市高新开发区蔚山路2559号</w:t>
      </w:r>
    </w:p>
    <w:p w14:paraId="67DDD3A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法定代表人：高兵</w:t>
      </w:r>
    </w:p>
    <w:p w14:paraId="440E21B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联系人：曲凌</w:t>
      </w:r>
    </w:p>
    <w:p w14:paraId="6D300DB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客户服务电话：0431-96888-0-2</w:t>
      </w:r>
    </w:p>
    <w:p w14:paraId="678C2EE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网址：http://www.jtnsh.com</w:t>
      </w:r>
    </w:p>
    <w:p w14:paraId="07F1328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(21) 昆山农村商业银行</w:t>
      </w:r>
    </w:p>
    <w:p w14:paraId="4B2B7B1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注册地址：江苏省昆山市前进东路828号</w:t>
      </w:r>
    </w:p>
    <w:p w14:paraId="5E1E27B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办公地址：江苏省昆山市前进东路828号</w:t>
      </w:r>
    </w:p>
    <w:p w14:paraId="45E5F20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法定代表人：张哲清</w:t>
      </w:r>
    </w:p>
    <w:p w14:paraId="2182643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联系人：黄怡</w:t>
      </w:r>
    </w:p>
    <w:p w14:paraId="224A4C0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客户服务电话：0512-96079</w:t>
      </w:r>
    </w:p>
    <w:p w14:paraId="175339B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网址：www.ksrcb.com</w:t>
      </w:r>
    </w:p>
    <w:p w14:paraId="6ED978B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(22) 乐清农商银行</w:t>
      </w:r>
    </w:p>
    <w:p w14:paraId="27F90BE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注册地址：浙江省乐清市城南街道伯乐西路99号</w:t>
      </w:r>
    </w:p>
    <w:p w14:paraId="184972E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办公地址：浙江省乐清市城南街道伯乐西路99号</w:t>
      </w:r>
    </w:p>
    <w:p w14:paraId="54CA02A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法定代表人：高剑飞</w:t>
      </w:r>
    </w:p>
    <w:p w14:paraId="64D4885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联系人：金晓娇</w:t>
      </w:r>
    </w:p>
    <w:p w14:paraId="48809E3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联系电话：0577-61566028</w:t>
      </w:r>
    </w:p>
    <w:p w14:paraId="0941BD6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客户服务电话：4008896596</w:t>
      </w:r>
    </w:p>
    <w:p w14:paraId="3A0BFF1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lastRenderedPageBreak/>
        <w:t>传真：0577-61566063</w:t>
      </w:r>
    </w:p>
    <w:p w14:paraId="7945298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网址：www.yqbank.com</w:t>
      </w:r>
    </w:p>
    <w:p w14:paraId="6D5737F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(23) 龙江银行</w:t>
      </w:r>
    </w:p>
    <w:p w14:paraId="460C199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注册地址：黑龙江省哈尔滨市道里区友谊路436号</w:t>
      </w:r>
    </w:p>
    <w:p w14:paraId="593D80C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办公地址：黑龙江省哈尔滨市道里区友谊路436号</w:t>
      </w:r>
    </w:p>
    <w:p w14:paraId="278144F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法定代表人：张建辉</w:t>
      </w:r>
    </w:p>
    <w:p w14:paraId="254014F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联系人：闫勇</w:t>
      </w:r>
    </w:p>
    <w:p w14:paraId="26723CE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联系电话：0451-85706107</w:t>
      </w:r>
    </w:p>
    <w:p w14:paraId="079626B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客户服务电话：400-645-8888</w:t>
      </w:r>
    </w:p>
    <w:p w14:paraId="2658A71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传真：0451-85706036</w:t>
      </w:r>
    </w:p>
    <w:p w14:paraId="320F821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网址：http://www.lj-bank.com</w:t>
      </w:r>
    </w:p>
    <w:p w14:paraId="17FF5B1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(24) 龙湾农商银行</w:t>
      </w:r>
    </w:p>
    <w:p w14:paraId="3A556E6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注册地址：浙江省温州市龙湾区永中街道永宁西路555号</w:t>
      </w:r>
    </w:p>
    <w:p w14:paraId="7A79F78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办公地址：浙江省温州市龙湾区永中街道永宁西路555号</w:t>
      </w:r>
    </w:p>
    <w:p w14:paraId="3418FAA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法定代表人：朱朋远</w:t>
      </w:r>
    </w:p>
    <w:p w14:paraId="3D5412E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联系人：胡俊杰</w:t>
      </w:r>
    </w:p>
    <w:p w14:paraId="5D664A5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联系电话：0577-86923223</w:t>
      </w:r>
    </w:p>
    <w:p w14:paraId="383FA3D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客户服务电话：4008296596</w:t>
      </w:r>
    </w:p>
    <w:p w14:paraId="7C7CF83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传真：0577-86921250</w:t>
      </w:r>
    </w:p>
    <w:p w14:paraId="614C68D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网址：www.lwrcb.com</w:t>
      </w:r>
    </w:p>
    <w:p w14:paraId="4B6000B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(25) 鹿城农商银行</w:t>
      </w:r>
    </w:p>
    <w:p w14:paraId="3D082DD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注册地址：浙江省温州市鹿城区会展路1500号富银大厦</w:t>
      </w:r>
    </w:p>
    <w:p w14:paraId="7DD293B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办公地址：温州市车站大道547号信合大厦A幢</w:t>
      </w:r>
    </w:p>
    <w:p w14:paraId="127B0B0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法定代表人：陈宏强</w:t>
      </w:r>
    </w:p>
    <w:p w14:paraId="1562390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联系人：董雷</w:t>
      </w:r>
    </w:p>
    <w:p w14:paraId="74335BB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联系电话：0577-88077675</w:t>
      </w:r>
    </w:p>
    <w:p w14:paraId="7152A44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客户服务电话：96526</w:t>
      </w:r>
    </w:p>
    <w:p w14:paraId="0A75B43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网址：http://www.lcrcbank.com/</w:t>
      </w:r>
    </w:p>
    <w:p w14:paraId="608FECF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(26) 洛阳银行</w:t>
      </w:r>
    </w:p>
    <w:p w14:paraId="0C8275A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注册地址：洛阳市洛阳新区开元大道与通济街交叉口</w:t>
      </w:r>
    </w:p>
    <w:p w14:paraId="03E965A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办公地址：河南省洛阳市开元大道256号</w:t>
      </w:r>
    </w:p>
    <w:p w14:paraId="2BEDC8E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法定代表人：王建甫</w:t>
      </w:r>
    </w:p>
    <w:p w14:paraId="5C403A5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联系人：郭文博</w:t>
      </w:r>
    </w:p>
    <w:p w14:paraId="270A732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联系电话：0379-65921977</w:t>
      </w:r>
    </w:p>
    <w:p w14:paraId="56F028F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lastRenderedPageBreak/>
        <w:t>客户服务电话：0379-96699</w:t>
      </w:r>
    </w:p>
    <w:p w14:paraId="56611D8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传真：0379-65938595</w:t>
      </w:r>
    </w:p>
    <w:p w14:paraId="66B6463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网址：www.bankofluoyang.com.cn/</w:t>
      </w:r>
    </w:p>
    <w:p w14:paraId="79B0901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(27) 宁波银行</w:t>
      </w:r>
    </w:p>
    <w:p w14:paraId="0594693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注册地址：浙江省宁波市鄞州区宁东路345号</w:t>
      </w:r>
    </w:p>
    <w:p w14:paraId="299653D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办公地址：浙江省宁波市鄞州区宁东路345号</w:t>
      </w:r>
    </w:p>
    <w:p w14:paraId="071BB45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法定代表人：陆华裕</w:t>
      </w:r>
    </w:p>
    <w:p w14:paraId="4CE2B89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联系人：夏禾</w:t>
      </w:r>
    </w:p>
    <w:p w14:paraId="30D02EC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客户服务电话：95574</w:t>
      </w:r>
    </w:p>
    <w:p w14:paraId="3DA0664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网址：www.nbcb.com.cn</w:t>
      </w:r>
    </w:p>
    <w:p w14:paraId="4D80C30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(28) 瓯海农商银行</w:t>
      </w:r>
    </w:p>
    <w:p w14:paraId="5FC5D7F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注册地址：浙江省温州市瓯海区瓯海大道989号</w:t>
      </w:r>
    </w:p>
    <w:p w14:paraId="43FA764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办公地址：温州市车站大道福森大厦1-5层</w:t>
      </w:r>
    </w:p>
    <w:p w14:paraId="7A980B9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法定代表人：黄定表</w:t>
      </w:r>
    </w:p>
    <w:p w14:paraId="360231A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联系人：夏晓春</w:t>
      </w:r>
    </w:p>
    <w:p w14:paraId="0D3755F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客户服务电话：96596</w:t>
      </w:r>
    </w:p>
    <w:p w14:paraId="1EEABCF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网址：www.ouhaibank.com</w:t>
      </w:r>
    </w:p>
    <w:p w14:paraId="2E5FA1A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(29) 青岛农商银行</w:t>
      </w:r>
    </w:p>
    <w:p w14:paraId="25C9424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注册地址：山东省青岛市崂山区秦岭路6号1号楼</w:t>
      </w:r>
    </w:p>
    <w:p w14:paraId="3501A4D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办公地址：山东省青岛市崂山区秦岭路6号</w:t>
      </w:r>
    </w:p>
    <w:p w14:paraId="1B1DCBA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法定代表人：刘仲生</w:t>
      </w:r>
    </w:p>
    <w:p w14:paraId="6119E58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联系人：严菲</w:t>
      </w:r>
    </w:p>
    <w:p w14:paraId="398790E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联系电话：0532-66957360</w:t>
      </w:r>
    </w:p>
    <w:p w14:paraId="20CE1F5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客户服务电话：0532-96668</w:t>
      </w:r>
    </w:p>
    <w:p w14:paraId="1E9451E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传真：0532-66957229</w:t>
      </w:r>
    </w:p>
    <w:p w14:paraId="3B15C3F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网址：www.qrcb.com.cn</w:t>
      </w:r>
    </w:p>
    <w:p w14:paraId="4D0C6A9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(30) 青岛银行</w:t>
      </w:r>
    </w:p>
    <w:p w14:paraId="70613C9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注册地址：山东省青岛市崂山区秦岭路6号3号楼</w:t>
      </w:r>
    </w:p>
    <w:p w14:paraId="5D5DD5E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办公地址：山东省青岛市崂山区秦岭路6号3号楼</w:t>
      </w:r>
    </w:p>
    <w:p w14:paraId="73E4CF1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法定代表人：郭少泉</w:t>
      </w:r>
    </w:p>
    <w:p w14:paraId="2BEAB2E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联系人：陈界交</w:t>
      </w:r>
    </w:p>
    <w:p w14:paraId="65DEFFD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联系电话：0532-68629956</w:t>
      </w:r>
    </w:p>
    <w:p w14:paraId="3709E1D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客户服务电话：96588（青岛）400-66-96588（全国）</w:t>
      </w:r>
    </w:p>
    <w:p w14:paraId="11294C1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网址：http://www.qdccb.com/</w:t>
      </w:r>
    </w:p>
    <w:p w14:paraId="785A0D6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lastRenderedPageBreak/>
        <w:t>(31) 泉州银行</w:t>
      </w:r>
    </w:p>
    <w:p w14:paraId="31C07DC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注册地址：泉州市丰泽区云鹿路3号</w:t>
      </w:r>
    </w:p>
    <w:p w14:paraId="40A6545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办公地址：泉州市丰泽区云鹿路3号</w:t>
      </w:r>
    </w:p>
    <w:p w14:paraId="47FF9DD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法定代表人：傅子能</w:t>
      </w:r>
    </w:p>
    <w:p w14:paraId="34585A4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联系人：董培姗</w:t>
      </w:r>
    </w:p>
    <w:p w14:paraId="3C8CA06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联系电话：0595-22551071</w:t>
      </w:r>
    </w:p>
    <w:p w14:paraId="79F248E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客户服务电话：400-88-96312</w:t>
      </w:r>
    </w:p>
    <w:p w14:paraId="5EE3128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传真：0595-22578871</w:t>
      </w:r>
    </w:p>
    <w:p w14:paraId="484A3B1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网址：http://www.qzccbank.com</w:t>
      </w:r>
    </w:p>
    <w:p w14:paraId="62C9420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(32) 瑞安农商银行</w:t>
      </w:r>
    </w:p>
    <w:p w14:paraId="5DF72FF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注册地址：瑞安市安阳街道万松东路148号</w:t>
      </w:r>
    </w:p>
    <w:p w14:paraId="6EF797E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办公地址：瑞安市安阳街道万松东路148号</w:t>
      </w:r>
    </w:p>
    <w:p w14:paraId="2B8C5BB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法定代表人：王光领</w:t>
      </w:r>
    </w:p>
    <w:p w14:paraId="42A6E4E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联系人：吴小娜</w:t>
      </w:r>
    </w:p>
    <w:p w14:paraId="17A93E7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联系电话：0577-66681245</w:t>
      </w:r>
    </w:p>
    <w:p w14:paraId="52CDA04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客户服务电话：4008057702</w:t>
      </w:r>
    </w:p>
    <w:p w14:paraId="358A060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(33) 顺德农村商业银行</w:t>
      </w:r>
    </w:p>
    <w:p w14:paraId="0B17072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注册地址：广东佛山市顺德区大良德和居委会拥翠路2号</w:t>
      </w:r>
    </w:p>
    <w:p w14:paraId="0D7A224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办公地址：广东佛山市顺德区大良德和居委会拥翠路2号</w:t>
      </w:r>
    </w:p>
    <w:p w14:paraId="2181159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法定代表人：姚真勇</w:t>
      </w:r>
    </w:p>
    <w:p w14:paraId="7025427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联系人：杨素苗、区敏欣</w:t>
      </w:r>
    </w:p>
    <w:p w14:paraId="6074244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联系电话：0757-22382524</w:t>
      </w:r>
    </w:p>
    <w:p w14:paraId="629F94A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客户服务电话：0757-22223388</w:t>
      </w:r>
    </w:p>
    <w:p w14:paraId="1F177A2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传真：0757-22388235</w:t>
      </w:r>
    </w:p>
    <w:p w14:paraId="62B5103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网址：www.sdebank.com</w:t>
      </w:r>
    </w:p>
    <w:p w14:paraId="573AF73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(34) 四川天府银行</w:t>
      </w:r>
    </w:p>
    <w:p w14:paraId="0C2B343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注册地址：四川省南充市涪江路1号</w:t>
      </w:r>
    </w:p>
    <w:p w14:paraId="707F6BD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办公地址：四川省成都市锦江区东大街下东大街258号</w:t>
      </w:r>
    </w:p>
    <w:p w14:paraId="6358D79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法定代表人：邢敏</w:t>
      </w:r>
    </w:p>
    <w:p w14:paraId="6254B15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联系人：周乃雍</w:t>
      </w:r>
    </w:p>
    <w:p w14:paraId="662575B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联系电话：028-67676038</w:t>
      </w:r>
    </w:p>
    <w:p w14:paraId="462185A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客户服务电话：400-16-96869</w:t>
      </w:r>
    </w:p>
    <w:p w14:paraId="0F1257C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网址：www.tf.cn</w:t>
      </w:r>
    </w:p>
    <w:p w14:paraId="4DBD3E0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(35) 苏州银行</w:t>
      </w:r>
    </w:p>
    <w:p w14:paraId="7001BE9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lastRenderedPageBreak/>
        <w:t>注册地址：江苏省苏州市工业园区钟园路728号</w:t>
      </w:r>
    </w:p>
    <w:p w14:paraId="0DF90F6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办公地址：江苏省苏州市工业园区钟园路728号</w:t>
      </w:r>
    </w:p>
    <w:p w14:paraId="26D0C1F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法定代表人：王兰凤</w:t>
      </w:r>
    </w:p>
    <w:p w14:paraId="31AD77D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联系人：吴骏</w:t>
      </w:r>
    </w:p>
    <w:p w14:paraId="66DA866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联系电话：0512-69868373</w:t>
      </w:r>
    </w:p>
    <w:p w14:paraId="6862484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客户服务电话：96067</w:t>
      </w:r>
    </w:p>
    <w:p w14:paraId="1D7C7EA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传真：0512-69868373</w:t>
      </w:r>
    </w:p>
    <w:p w14:paraId="4C1292F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网址：www.suzhoubank.com</w:t>
      </w:r>
    </w:p>
    <w:p w14:paraId="7F9E166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(36) 天津农商银行</w:t>
      </w:r>
    </w:p>
    <w:p w14:paraId="6ECF52F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注册地址：天津市河西区马场道59号国际经济贸易中心A座1-6层</w:t>
      </w:r>
    </w:p>
    <w:p w14:paraId="22AF129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办公地址：天津市河西区马场道59号国际经济贸易中心A座1-6层</w:t>
      </w:r>
    </w:p>
    <w:p w14:paraId="3168251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法定代表人：徐庆宏</w:t>
      </w:r>
    </w:p>
    <w:p w14:paraId="0364744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联系人：满与谦、梁冯雷</w:t>
      </w:r>
    </w:p>
    <w:p w14:paraId="3FCC5CE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联系电话：022-83872155，022-83872800</w:t>
      </w:r>
    </w:p>
    <w:p w14:paraId="1E14860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客户服务电话：022-96155，400-80-96155</w:t>
      </w:r>
    </w:p>
    <w:p w14:paraId="14665CF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传真：022-83872156</w:t>
      </w:r>
    </w:p>
    <w:p w14:paraId="360824F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网址：www.trcbank.com.cn</w:t>
      </w:r>
    </w:p>
    <w:p w14:paraId="717F50B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(37) 天津银行</w:t>
      </w:r>
    </w:p>
    <w:p w14:paraId="3C48DB7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注册地址：天津市河西区友谊路15号</w:t>
      </w:r>
    </w:p>
    <w:p w14:paraId="521853A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办公地址：天津市河西区友谊路15号</w:t>
      </w:r>
    </w:p>
    <w:p w14:paraId="0A4DE4F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法定代表人：李宗唐</w:t>
      </w:r>
    </w:p>
    <w:p w14:paraId="6955B38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联系人：李岩</w:t>
      </w:r>
    </w:p>
    <w:p w14:paraId="17D4BC5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联系电话：022-28405684</w:t>
      </w:r>
    </w:p>
    <w:p w14:paraId="574A83A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客户服务电话：956056</w:t>
      </w:r>
    </w:p>
    <w:p w14:paraId="60A9E8B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传真：022-28405631</w:t>
      </w:r>
    </w:p>
    <w:p w14:paraId="7151E47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网址：www.bank-of-tianjin.com.cn</w:t>
      </w:r>
    </w:p>
    <w:p w14:paraId="6DB75CB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(38) 微众银行</w:t>
      </w:r>
    </w:p>
    <w:p w14:paraId="2E6D838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注册地址：深圳市前海深港合作区前湾一路1号A栋201室（入驻深圳市前海商务秘书有限公司）</w:t>
      </w:r>
    </w:p>
    <w:p w14:paraId="3A5B5C7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办公地址：广东省深圳市南山区沙河西路1819号深圳湾科技生态园7栋A座</w:t>
      </w:r>
    </w:p>
    <w:p w14:paraId="5DF6D7D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法定代表人：顾敏</w:t>
      </w:r>
    </w:p>
    <w:p w14:paraId="61C3E73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客户服务电话：95384</w:t>
      </w:r>
    </w:p>
    <w:p w14:paraId="338A101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网址：http://www.webank.com</w:t>
      </w:r>
    </w:p>
    <w:p w14:paraId="5297CD1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(39) 无锡农村商业银行</w:t>
      </w:r>
    </w:p>
    <w:p w14:paraId="24A3046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lastRenderedPageBreak/>
        <w:t>注册地址：无锡市太湖新城金融二街9号</w:t>
      </w:r>
    </w:p>
    <w:p w14:paraId="1CECCD9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办公地址：无锡市太湖新城金融二街9号</w:t>
      </w:r>
    </w:p>
    <w:p w14:paraId="4398027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法定代表人：邵辉</w:t>
      </w:r>
    </w:p>
    <w:p w14:paraId="39A30BD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联系人：张屹霖</w:t>
      </w:r>
    </w:p>
    <w:p w14:paraId="3F0ACA1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联系电话：0510-85062012</w:t>
      </w:r>
    </w:p>
    <w:p w14:paraId="1BF7C60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客户服务电话：0510-96058</w:t>
      </w:r>
    </w:p>
    <w:p w14:paraId="0B749CB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传真：0510-82830557</w:t>
      </w:r>
    </w:p>
    <w:p w14:paraId="13ACC55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网址：www.wrcb.com.cn</w:t>
      </w:r>
    </w:p>
    <w:p w14:paraId="661C530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(40) 萧山农商银行</w:t>
      </w:r>
    </w:p>
    <w:p w14:paraId="67AB2AD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注册地址：萧山区人民路258号</w:t>
      </w:r>
    </w:p>
    <w:p w14:paraId="2C980D8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办公地址：浙江省杭州市萧山区人民路258号</w:t>
      </w:r>
    </w:p>
    <w:p w14:paraId="604C5C3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法定代表人：王云龙</w:t>
      </w:r>
    </w:p>
    <w:p w14:paraId="6C7BB30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联系人：朱光锋</w:t>
      </w:r>
    </w:p>
    <w:p w14:paraId="6090F59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联系电话：0571-82739513</w:t>
      </w:r>
    </w:p>
    <w:p w14:paraId="342A125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客户服务电话：96596</w:t>
      </w:r>
    </w:p>
    <w:p w14:paraId="4D0EA32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网址：http://www.zjxsbank.com/</w:t>
      </w:r>
    </w:p>
    <w:p w14:paraId="4596835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(41) 营口银行</w:t>
      </w:r>
    </w:p>
    <w:p w14:paraId="3A3A38F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注册地址：辽宁省营口市站前区市府路北1号、北3号</w:t>
      </w:r>
    </w:p>
    <w:p w14:paraId="66A9103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办公地址：辽宁省营口市新海大街99号</w:t>
      </w:r>
    </w:p>
    <w:p w14:paraId="7EDFBA5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法定代表人：周宇</w:t>
      </w:r>
    </w:p>
    <w:p w14:paraId="67FC637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联系人：杨志程</w:t>
      </w:r>
    </w:p>
    <w:p w14:paraId="5880873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联系电话：0417-2878819</w:t>
      </w:r>
    </w:p>
    <w:p w14:paraId="55CF877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客户服务电话：40078-96178</w:t>
      </w:r>
    </w:p>
    <w:p w14:paraId="158DD00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网址：www.bankofyk.com</w:t>
      </w:r>
    </w:p>
    <w:p w14:paraId="7C73766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(42) 余杭农村商业银行</w:t>
      </w:r>
    </w:p>
    <w:p w14:paraId="7492855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注册地址：杭州市余杭区南苑街道南大街72号</w:t>
      </w:r>
    </w:p>
    <w:p w14:paraId="34133E4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办公地址：杭州市余杭区南苑街道南大街72号</w:t>
      </w:r>
    </w:p>
    <w:p w14:paraId="6149805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法定代表人：来煜标</w:t>
      </w:r>
    </w:p>
    <w:p w14:paraId="5BCC585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联系人：蔡亮</w:t>
      </w:r>
    </w:p>
    <w:p w14:paraId="49654B2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联系电话：0571-86209980</w:t>
      </w:r>
    </w:p>
    <w:p w14:paraId="4E002F2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客户服务电话：96596，4008896596</w:t>
      </w:r>
    </w:p>
    <w:p w14:paraId="781E59F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网址：www.yhrcb.com</w:t>
      </w:r>
    </w:p>
    <w:p w14:paraId="3F6E2E4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(43) 云南红塔银行</w:t>
      </w:r>
    </w:p>
    <w:p w14:paraId="00F3043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注册地址：云南省玉溪市东风南路2号</w:t>
      </w:r>
    </w:p>
    <w:p w14:paraId="05F6377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lastRenderedPageBreak/>
        <w:t>办公地址：云南省昆明市盘龙区世博路低碳中心A座</w:t>
      </w:r>
    </w:p>
    <w:p w14:paraId="51BB40A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法定代表人：李光林</w:t>
      </w:r>
    </w:p>
    <w:p w14:paraId="17AD0DC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联系人：马杰</w:t>
      </w:r>
    </w:p>
    <w:p w14:paraId="64F5D56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联系电话：0871-65236624</w:t>
      </w:r>
    </w:p>
    <w:p w14:paraId="4609531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客户服务电话：0877-96522</w:t>
      </w:r>
    </w:p>
    <w:p w14:paraId="6EC4B44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网址：www.ynhtbank.com</w:t>
      </w:r>
    </w:p>
    <w:p w14:paraId="0B44E05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(44) 张家港农商银行</w:t>
      </w:r>
    </w:p>
    <w:p w14:paraId="6C5FF7D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注册地址：张家港市杨舍镇人民中路66号</w:t>
      </w:r>
    </w:p>
    <w:p w14:paraId="38B506A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办公地址：张家港市杨舍镇人民中路66号</w:t>
      </w:r>
    </w:p>
    <w:p w14:paraId="13CDB44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法定代表人：季颖</w:t>
      </w:r>
    </w:p>
    <w:p w14:paraId="5588C4D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联系人：施圆圆</w:t>
      </w:r>
    </w:p>
    <w:p w14:paraId="7AF3E11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联系电话：18962282330</w:t>
      </w:r>
    </w:p>
    <w:p w14:paraId="790F14A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客户服务电话：0512-96065</w:t>
      </w:r>
    </w:p>
    <w:p w14:paraId="5298610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网址：www.zrcbank.com</w:t>
      </w:r>
    </w:p>
    <w:p w14:paraId="3ACFF87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(45) 浙江泰隆商业银行</w:t>
      </w:r>
    </w:p>
    <w:p w14:paraId="577C487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注册地址：浙江省台州市路桥区南官大道188号</w:t>
      </w:r>
    </w:p>
    <w:p w14:paraId="55F50FD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办公地址：浙江省台州市路桥区南官大道188号</w:t>
      </w:r>
    </w:p>
    <w:p w14:paraId="356E7D2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法定代表人：王钧</w:t>
      </w:r>
    </w:p>
    <w:p w14:paraId="6AC53D2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联系人：陈妍宇</w:t>
      </w:r>
    </w:p>
    <w:p w14:paraId="2BC6F8A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联系电话：0571-87219677</w:t>
      </w:r>
    </w:p>
    <w:p w14:paraId="0B3DD43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客户服务电话：95347</w:t>
      </w:r>
    </w:p>
    <w:p w14:paraId="5E04237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网址：www.zjtlcb.com</w:t>
      </w:r>
    </w:p>
    <w:p w14:paraId="5FD271D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(46) 重庆银行</w:t>
      </w:r>
    </w:p>
    <w:p w14:paraId="2767040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注册地址：重庆市渝中区邹容路153号</w:t>
      </w:r>
    </w:p>
    <w:p w14:paraId="3611503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办公地址：重庆市江北区永平门街6号</w:t>
      </w:r>
    </w:p>
    <w:p w14:paraId="513FFEA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法定代表人：林军</w:t>
      </w:r>
    </w:p>
    <w:p w14:paraId="1F18A23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联系人：石千凡</w:t>
      </w:r>
    </w:p>
    <w:p w14:paraId="0F12BF4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联系电话：023-63367180</w:t>
      </w:r>
    </w:p>
    <w:p w14:paraId="5D41480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客户服务电话：96899，4007096899</w:t>
      </w:r>
    </w:p>
    <w:p w14:paraId="2C75460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网址：www.cqcbank.com.cn</w:t>
      </w:r>
    </w:p>
    <w:p w14:paraId="2A0D573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(47) 紫金农商银行</w:t>
      </w:r>
    </w:p>
    <w:p w14:paraId="5CD6869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注册地址：南京市建邺区江东中路381号</w:t>
      </w:r>
    </w:p>
    <w:p w14:paraId="2CF5DA2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办公地址：南京市建邺区江东中路381号</w:t>
      </w:r>
    </w:p>
    <w:p w14:paraId="6EBF8DD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法定代表人：张小军</w:t>
      </w:r>
    </w:p>
    <w:p w14:paraId="45B26D3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lastRenderedPageBreak/>
        <w:t>联系人：葛宜楷</w:t>
      </w:r>
    </w:p>
    <w:p w14:paraId="6914C2A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联系电话：025-88866645</w:t>
      </w:r>
    </w:p>
    <w:p w14:paraId="5C7C5B2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客户服务电话：96008</w:t>
      </w:r>
    </w:p>
    <w:p w14:paraId="29C2DDB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传真：025-88866724</w:t>
      </w:r>
    </w:p>
    <w:p w14:paraId="33C14FF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网址：www.zjrcbank.com</w:t>
      </w:r>
    </w:p>
    <w:p w14:paraId="1A2561F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(48) 长江证券</w:t>
      </w:r>
    </w:p>
    <w:p w14:paraId="272C132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注册地址：湖北省武汉市新华路特8号</w:t>
      </w:r>
    </w:p>
    <w:p w14:paraId="60E7918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办公地址：湖北省武汉市新华路特8号</w:t>
      </w:r>
    </w:p>
    <w:p w14:paraId="2EC6405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法定代表人：李新华</w:t>
      </w:r>
    </w:p>
    <w:p w14:paraId="069ECC6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联系人：奚博宇</w:t>
      </w:r>
    </w:p>
    <w:p w14:paraId="1513745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联系电话：027-65799999</w:t>
      </w:r>
    </w:p>
    <w:p w14:paraId="2663E66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客户服务电话：95579或4008-888-999</w:t>
      </w:r>
    </w:p>
    <w:p w14:paraId="618BF13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传真：027-85481900</w:t>
      </w:r>
    </w:p>
    <w:p w14:paraId="50B189F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网址：www.95579.com</w:t>
      </w:r>
    </w:p>
    <w:p w14:paraId="4607CC4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(49) 川财证券</w:t>
      </w:r>
    </w:p>
    <w:p w14:paraId="3433EAE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注册地址：中国（四川）自由贸易试验区成都高新区交子大道177号中海国际中心B座17楼</w:t>
      </w:r>
    </w:p>
    <w:p w14:paraId="46C75B1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办公地址：四川省成都高新区交子大道177号中海国际中心B座17楼</w:t>
      </w:r>
    </w:p>
    <w:p w14:paraId="68FF2E0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法定代表人：孟建军</w:t>
      </w:r>
    </w:p>
    <w:p w14:paraId="209632E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联系人：匡婷</w:t>
      </w:r>
    </w:p>
    <w:p w14:paraId="3D2C097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联系电话：028-86583053</w:t>
      </w:r>
    </w:p>
    <w:p w14:paraId="5D73AE2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 xml:space="preserve">客户服务电话：028-962708 </w:t>
      </w:r>
    </w:p>
    <w:p w14:paraId="39ED40D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网址：www.cczq.com</w:t>
      </w:r>
    </w:p>
    <w:p w14:paraId="5DDE8D0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(50) 第一创业证券</w:t>
      </w:r>
    </w:p>
    <w:p w14:paraId="3DD4C2C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注册地址：深圳市福田区福华一路115号投行大厦20楼</w:t>
      </w:r>
    </w:p>
    <w:p w14:paraId="2640E41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办公地址：深圳市福田区福华一路115号投行大厦20楼</w:t>
      </w:r>
    </w:p>
    <w:p w14:paraId="227C49F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法定代表人：刘学民</w:t>
      </w:r>
    </w:p>
    <w:p w14:paraId="152E2DE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联系人：单晶</w:t>
      </w:r>
    </w:p>
    <w:p w14:paraId="27A387A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联系电话：0755-23838750</w:t>
      </w:r>
    </w:p>
    <w:p w14:paraId="4796F25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客户服务电话：95358</w:t>
      </w:r>
    </w:p>
    <w:p w14:paraId="04DCF9E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网址：www.firstcapital.com.cn</w:t>
      </w:r>
    </w:p>
    <w:p w14:paraId="2C6C197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(51) 华林证券</w:t>
      </w:r>
    </w:p>
    <w:p w14:paraId="4A1AB2F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注册地址：拉萨市柳梧新区国际总部城3幢1单元5-5</w:t>
      </w:r>
    </w:p>
    <w:p w14:paraId="7D4F9BE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办公地址：深圳市福田区民田路178号华融大厦6楼</w:t>
      </w:r>
    </w:p>
    <w:p w14:paraId="721D747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lastRenderedPageBreak/>
        <w:t>法定代表人：林立</w:t>
      </w:r>
    </w:p>
    <w:p w14:paraId="6F08E67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联系人：胡倩</w:t>
      </w:r>
    </w:p>
    <w:p w14:paraId="437D83B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联系电话：0755-83255199</w:t>
      </w:r>
    </w:p>
    <w:p w14:paraId="41322D3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客户服务电话：400-188-3888</w:t>
      </w:r>
    </w:p>
    <w:p w14:paraId="3CFE546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网址：www.chinalin.com</w:t>
      </w:r>
    </w:p>
    <w:p w14:paraId="03F7D13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(52) 华西证券</w:t>
      </w:r>
    </w:p>
    <w:p w14:paraId="552161B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注册地址：四川省成都市高新区天府二街198号</w:t>
      </w:r>
    </w:p>
    <w:p w14:paraId="7CADF78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办公地址：四川省成都市高新区天府二街198号华西证券大厦</w:t>
      </w:r>
    </w:p>
    <w:p w14:paraId="38FCE3C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法定代表人：杨炯洋</w:t>
      </w:r>
    </w:p>
    <w:p w14:paraId="58BB5A4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联系人：张彬</w:t>
      </w:r>
    </w:p>
    <w:p w14:paraId="268341D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联系电话：010-58124967</w:t>
      </w:r>
    </w:p>
    <w:p w14:paraId="1481AC1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客户服务电话：95584</w:t>
      </w:r>
    </w:p>
    <w:p w14:paraId="4DB4108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传真：028-86150040</w:t>
      </w:r>
    </w:p>
    <w:p w14:paraId="0FE9DB0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网址：www.hx168.com.cn</w:t>
      </w:r>
    </w:p>
    <w:p w14:paraId="1984CEA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(53) 联储证券</w:t>
      </w:r>
    </w:p>
    <w:p w14:paraId="16F7884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注册地址：广东省深圳市福田区福田街道岗厦社区深南大道南侧金地中心大厦9楼</w:t>
      </w:r>
    </w:p>
    <w:p w14:paraId="3132B49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办公地址：上海市浦东新区陆家嘴环路333号金砖大厦8楼</w:t>
      </w:r>
    </w:p>
    <w:p w14:paraId="0147380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法定代表人：吕春卫</w:t>
      </w:r>
    </w:p>
    <w:p w14:paraId="243C8A2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联系人：张婉婷</w:t>
      </w:r>
    </w:p>
    <w:p w14:paraId="418DDE4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联系电话：010-86499765</w:t>
      </w:r>
    </w:p>
    <w:p w14:paraId="7A96224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客户服务电话：400-620-6868</w:t>
      </w:r>
    </w:p>
    <w:p w14:paraId="6CADC7F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网址：www.lczq.com</w:t>
      </w:r>
    </w:p>
    <w:p w14:paraId="61DD6EB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(54) 南京证券</w:t>
      </w:r>
    </w:p>
    <w:p w14:paraId="06ECC1B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注册地址：南京市江东中路389号</w:t>
      </w:r>
    </w:p>
    <w:p w14:paraId="43D13B0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办公地址：南京市江东中路389号</w:t>
      </w:r>
    </w:p>
    <w:p w14:paraId="4CD2BE2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法定代表人：李剑锋</w:t>
      </w:r>
    </w:p>
    <w:p w14:paraId="4BD4ED7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联系人：王万君</w:t>
      </w:r>
    </w:p>
    <w:p w14:paraId="42A733F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联系电话：025-58519523</w:t>
      </w:r>
    </w:p>
    <w:p w14:paraId="238171F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客户服务电话：95386</w:t>
      </w:r>
    </w:p>
    <w:p w14:paraId="37FE8F9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传真：025-83369725</w:t>
      </w:r>
    </w:p>
    <w:p w14:paraId="3BD657F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网址：www.njzq.com.cn</w:t>
      </w:r>
    </w:p>
    <w:p w14:paraId="28F856C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(55) 平安证券</w:t>
      </w:r>
    </w:p>
    <w:p w14:paraId="5A24BEF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注册地址：深圳市福田区福田街道益田路5023号平安金融中心B座第22-25层</w:t>
      </w:r>
    </w:p>
    <w:p w14:paraId="4EBE106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办公地址：深圳市福田区金田路4036号荣超大厦16-20层</w:t>
      </w:r>
    </w:p>
    <w:p w14:paraId="6C88D62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lastRenderedPageBreak/>
        <w:t>法定代表人：何之江</w:t>
      </w:r>
    </w:p>
    <w:p w14:paraId="588C649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联系人：周驰</w:t>
      </w:r>
    </w:p>
    <w:p w14:paraId="1CFCE22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联系电话：021-38643230</w:t>
      </w:r>
    </w:p>
    <w:p w14:paraId="2C7BF8E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客户服务电话：95511-8</w:t>
      </w:r>
    </w:p>
    <w:p w14:paraId="2B09C6B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传真：021-58991896</w:t>
      </w:r>
    </w:p>
    <w:p w14:paraId="3118FE7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网址：stock.pingan.com</w:t>
      </w:r>
    </w:p>
    <w:p w14:paraId="26E63C7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(56) 上海证券</w:t>
      </w:r>
    </w:p>
    <w:p w14:paraId="69A9C3D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注册地址：上海市黄浦区四川中路213号7楼</w:t>
      </w:r>
    </w:p>
    <w:p w14:paraId="30CC0F6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办公地址：上海市四川中路213号久事商务大厦7楼</w:t>
      </w:r>
    </w:p>
    <w:p w14:paraId="1F78215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法定代表人：李俊杰</w:t>
      </w:r>
    </w:p>
    <w:p w14:paraId="5EA3B33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联系人：邵珍珍</w:t>
      </w:r>
    </w:p>
    <w:p w14:paraId="491E153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联系电话：021-53686888</w:t>
      </w:r>
    </w:p>
    <w:p w14:paraId="22201A6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客户服务电话：4008-918-918</w:t>
      </w:r>
    </w:p>
    <w:p w14:paraId="44A2735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传真：021-53686100、021-53686200</w:t>
      </w:r>
    </w:p>
    <w:p w14:paraId="273046E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网址：https://www.shzq.com/</w:t>
      </w:r>
    </w:p>
    <w:p w14:paraId="021C9B0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(57) 世纪证券</w:t>
      </w:r>
    </w:p>
    <w:p w14:paraId="1E75361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注册地址：深圳市前海深港合作区南山街道桂湾五路128号前海深港基金小镇对冲基金中心406</w:t>
      </w:r>
    </w:p>
    <w:p w14:paraId="11A8C73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办公地址：深圳市福田区深南大道招商银行大厦40-42层</w:t>
      </w:r>
    </w:p>
    <w:p w14:paraId="12EF053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法定代表人：李强</w:t>
      </w:r>
    </w:p>
    <w:p w14:paraId="76A8A57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联系人：徐玲娟</w:t>
      </w:r>
    </w:p>
    <w:p w14:paraId="3EE18C5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联系电话：0755-83199553</w:t>
      </w:r>
    </w:p>
    <w:p w14:paraId="6DD0EC7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客户服务电话：4008323000</w:t>
      </w:r>
    </w:p>
    <w:p w14:paraId="030BB64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网址：www.csco.com.cn</w:t>
      </w:r>
    </w:p>
    <w:p w14:paraId="735C3B6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(58) 首创证券</w:t>
      </w:r>
    </w:p>
    <w:p w14:paraId="34608D9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注册地址：北京市西城区德胜门外大街115号德胜尚城E座</w:t>
      </w:r>
    </w:p>
    <w:p w14:paraId="7724548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办公地址：北京市西城区德胜门外大街115号德胜尚城E座</w:t>
      </w:r>
    </w:p>
    <w:p w14:paraId="47CBE99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法定代表人：毕劲松</w:t>
      </w:r>
    </w:p>
    <w:p w14:paraId="74CCBC7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联系人：刘宇</w:t>
      </w:r>
    </w:p>
    <w:p w14:paraId="6D67EC9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 xml:space="preserve">联系电话：010-59366070  </w:t>
      </w:r>
    </w:p>
    <w:p w14:paraId="46EB328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客户服务电话：400-620-0620</w:t>
      </w:r>
    </w:p>
    <w:p w14:paraId="47FEDD6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传真：010-59366055</w:t>
      </w:r>
    </w:p>
    <w:p w14:paraId="1781A41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网址：http://www.sczq.com.cn/</w:t>
      </w:r>
    </w:p>
    <w:p w14:paraId="638206F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(59) 天风证券</w:t>
      </w:r>
    </w:p>
    <w:p w14:paraId="0E51F31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lastRenderedPageBreak/>
        <w:t>注册地址：湖北省武汉市东湖新技术开发区关东园路2号高科大厦四楼</w:t>
      </w:r>
    </w:p>
    <w:p w14:paraId="78E6BBF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办公地址：湖北省武汉市武昌区中南路99号保利广场A座37楼</w:t>
      </w:r>
    </w:p>
    <w:p w14:paraId="46C72A4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法定代表人：余磊</w:t>
      </w:r>
    </w:p>
    <w:p w14:paraId="61AD134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联系人：王雅薇</w:t>
      </w:r>
    </w:p>
    <w:p w14:paraId="47CA24F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联系电话：027-87617017</w:t>
      </w:r>
    </w:p>
    <w:p w14:paraId="30F9408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客户服务电话：4008005000、95391</w:t>
      </w:r>
    </w:p>
    <w:p w14:paraId="652DF76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传真：027-87618863</w:t>
      </w:r>
    </w:p>
    <w:p w14:paraId="2F78FB4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网址：http://www.tfzq.com/</w:t>
      </w:r>
    </w:p>
    <w:p w14:paraId="4F4C392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(60) 五矿证券</w:t>
      </w:r>
    </w:p>
    <w:p w14:paraId="3A39FBD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注册地址：深圳市福田区金田路4028号荣超经贸中心办公楼47层01单元</w:t>
      </w:r>
    </w:p>
    <w:p w14:paraId="5D7E488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办公地址：深圳市福田区金田路4028号荣超经贸中心办公楼47层</w:t>
      </w:r>
    </w:p>
    <w:p w14:paraId="50B2624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法定代表人：黄海洲</w:t>
      </w:r>
    </w:p>
    <w:p w14:paraId="6672015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联系人：戴佳璐</w:t>
      </w:r>
    </w:p>
    <w:p w14:paraId="3EAA002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联系电话：0755-88311518</w:t>
      </w:r>
    </w:p>
    <w:p w14:paraId="1AD4D60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客户服务电话：40018-40028</w:t>
      </w:r>
    </w:p>
    <w:p w14:paraId="72246A3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传真：0755-82545500</w:t>
      </w:r>
    </w:p>
    <w:p w14:paraId="7A0ABFD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网址：www.wkzq.com.cn</w:t>
      </w:r>
    </w:p>
    <w:p w14:paraId="096EF75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(61) 粤开证券</w:t>
      </w:r>
    </w:p>
    <w:p w14:paraId="0112D8A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注册地址：惠州市江北东江三路55号广播电视新闻中心西面一层大堂和三、四层</w:t>
      </w:r>
    </w:p>
    <w:p w14:paraId="4B0DA28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办公地址：广东省广州市黄埔区科学大道60号开发区金控中心21-23层</w:t>
      </w:r>
    </w:p>
    <w:p w14:paraId="65201F0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法定代表人：严亦斌</w:t>
      </w:r>
    </w:p>
    <w:p w14:paraId="1C5357F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联系人：彭莲</w:t>
      </w:r>
    </w:p>
    <w:p w14:paraId="446355D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联系电话：0755-83331195</w:t>
      </w:r>
    </w:p>
    <w:p w14:paraId="31E0ACD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客户服务电话：95564</w:t>
      </w:r>
    </w:p>
    <w:p w14:paraId="135278A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公司网址：http://www.ykzq.com</w:t>
      </w:r>
    </w:p>
    <w:p w14:paraId="5DEACD3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(62) 招商证券</w:t>
      </w:r>
    </w:p>
    <w:p w14:paraId="13CFCC8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注册地址：深圳市福田区福田街道福华一路111号</w:t>
      </w:r>
    </w:p>
    <w:p w14:paraId="25E692E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办公地址：深圳市福田区福田街道福华一路111号</w:t>
      </w:r>
    </w:p>
    <w:p w14:paraId="199DF69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法定代表人：霍达</w:t>
      </w:r>
    </w:p>
    <w:p w14:paraId="5C0AD14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联系人：黄婵君</w:t>
      </w:r>
    </w:p>
    <w:p w14:paraId="260C893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联系电话：0755-82943666</w:t>
      </w:r>
    </w:p>
    <w:p w14:paraId="49F98BD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客户服务电话：95565、400-8888-111</w:t>
      </w:r>
    </w:p>
    <w:p w14:paraId="057707D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传真：0755-82943636</w:t>
      </w:r>
    </w:p>
    <w:p w14:paraId="4275385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网址：www.newone.com.cn</w:t>
      </w:r>
    </w:p>
    <w:p w14:paraId="25FF755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lastRenderedPageBreak/>
        <w:t>(63) 中金公司</w:t>
      </w:r>
    </w:p>
    <w:p w14:paraId="5446521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注册地址：北京市朝阳区建国门外大街1号国贸大厦2座27层及28层</w:t>
      </w:r>
    </w:p>
    <w:p w14:paraId="28C920D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办公地址：北京市朝阳区建国门外大街甲6号SK大厦38层</w:t>
      </w:r>
    </w:p>
    <w:p w14:paraId="46FEA19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法定代表人：沈如军</w:t>
      </w:r>
    </w:p>
    <w:p w14:paraId="3189050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联系人：杨涵宇</w:t>
      </w:r>
    </w:p>
    <w:p w14:paraId="7091BC3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联系电话：010-65051166</w:t>
      </w:r>
    </w:p>
    <w:p w14:paraId="21EEADC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客户服务电话：4009101166</w:t>
      </w:r>
    </w:p>
    <w:p w14:paraId="5C8D617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网址：www.cicc.com.cn</w:t>
      </w:r>
    </w:p>
    <w:p w14:paraId="36E0F89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(64) 中天证券</w:t>
      </w:r>
    </w:p>
    <w:p w14:paraId="6FAD4A9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注册地址：辽宁省沈阳市和平区光荣街23甲</w:t>
      </w:r>
    </w:p>
    <w:p w14:paraId="661444B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办公地址：辽宁省沈阳市和平区光荣街23甲</w:t>
      </w:r>
    </w:p>
    <w:p w14:paraId="329E39D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法定代表人：马功勋</w:t>
      </w:r>
    </w:p>
    <w:p w14:paraId="7B1CC60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联系人：李泓灏</w:t>
      </w:r>
    </w:p>
    <w:p w14:paraId="19E55F0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联系电话：024-23255256</w:t>
      </w:r>
    </w:p>
    <w:p w14:paraId="0F7C0FE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客户服务电话：024-95346</w:t>
      </w:r>
    </w:p>
    <w:p w14:paraId="2579C6E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传真：024-23255606</w:t>
      </w:r>
    </w:p>
    <w:p w14:paraId="4BD0BDD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网址：www.iztzq.com</w:t>
      </w:r>
    </w:p>
    <w:p w14:paraId="2210FD1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(65) 中信建投证券</w:t>
      </w:r>
    </w:p>
    <w:p w14:paraId="00C91B9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注册地址：北京市朝阳区安立路66号4号楼</w:t>
      </w:r>
    </w:p>
    <w:p w14:paraId="3E3536D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办公地址：北京市朝阳门内大街188号</w:t>
      </w:r>
    </w:p>
    <w:p w14:paraId="1A85CA0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法定代表人：王常青</w:t>
      </w:r>
    </w:p>
    <w:p w14:paraId="19A4070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联系人：刘芸</w:t>
      </w:r>
    </w:p>
    <w:p w14:paraId="44AF1A0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联系电话：010－85130554</w:t>
      </w:r>
    </w:p>
    <w:p w14:paraId="0C870B2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客户服务电话：95587或4008-888-108</w:t>
      </w:r>
    </w:p>
    <w:p w14:paraId="33C404B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 xml:space="preserve">网址：http://www.csc108.com/ </w:t>
      </w:r>
    </w:p>
    <w:p w14:paraId="01F53AF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(66) 中信证券</w:t>
      </w:r>
    </w:p>
    <w:p w14:paraId="37E3095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注册地址：广东省深圳市福田区中心三路8号卓越时代广场（二期）北座</w:t>
      </w:r>
    </w:p>
    <w:p w14:paraId="1BE9332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办公地址：北京市朝阳区亮马桥路48号中信证券大厦</w:t>
      </w:r>
    </w:p>
    <w:p w14:paraId="5C5B6D8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法定代表人：张佑君</w:t>
      </w:r>
    </w:p>
    <w:p w14:paraId="3A84B2A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 xml:space="preserve">联系人：王一通 </w:t>
      </w:r>
    </w:p>
    <w:p w14:paraId="0FC65A6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联系电话：010-60838888</w:t>
      </w:r>
    </w:p>
    <w:p w14:paraId="478701E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客户服务电话：95548</w:t>
      </w:r>
    </w:p>
    <w:p w14:paraId="2161B92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传真：010-60836029</w:t>
      </w:r>
    </w:p>
    <w:p w14:paraId="3D085DF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网址：www.cs.ecitic.com</w:t>
      </w:r>
    </w:p>
    <w:p w14:paraId="050995F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lastRenderedPageBreak/>
        <w:t>(67) 中信证券华南</w:t>
      </w:r>
    </w:p>
    <w:p w14:paraId="5BC9DD6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注册地址：广州市天河区珠江西路5号广州国际金融中心主塔19层、20层</w:t>
      </w:r>
    </w:p>
    <w:p w14:paraId="6A404BC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办公地址：广州市天河区珠江西路5号广州国际金融中心主塔19层、20层</w:t>
      </w:r>
    </w:p>
    <w:p w14:paraId="3FA7FF7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法定代表人：胡伏云</w:t>
      </w:r>
    </w:p>
    <w:p w14:paraId="2AFF45F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联系人：陈靖</w:t>
      </w:r>
    </w:p>
    <w:p w14:paraId="1E2C5CF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联系电话：020-88836999</w:t>
      </w:r>
    </w:p>
    <w:p w14:paraId="26F64A3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客户服务电话：95548</w:t>
      </w:r>
    </w:p>
    <w:p w14:paraId="5189F07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传真：020-88836984</w:t>
      </w:r>
    </w:p>
    <w:p w14:paraId="33DA6F2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网址：www.gzs.com.cn</w:t>
      </w:r>
    </w:p>
    <w:p w14:paraId="5DE6086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(68) 中信证券（山东）</w:t>
      </w:r>
    </w:p>
    <w:p w14:paraId="5CDE035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注册地址：青岛市崂山区深圳路222号1号楼2001</w:t>
      </w:r>
    </w:p>
    <w:p w14:paraId="4C33980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办公地址：青岛市市南区东海西路28号龙翔广场东座5层</w:t>
      </w:r>
    </w:p>
    <w:p w14:paraId="725BC91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法定代表人：姜晓林</w:t>
      </w:r>
    </w:p>
    <w:p w14:paraId="463F3A7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联系人：焦刚</w:t>
      </w:r>
    </w:p>
    <w:p w14:paraId="02B20A4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联系电话：0531-89606166</w:t>
      </w:r>
    </w:p>
    <w:p w14:paraId="033FDCC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客户服务电话：95548</w:t>
      </w:r>
    </w:p>
    <w:p w14:paraId="440528C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传真：0532-85022605</w:t>
      </w:r>
    </w:p>
    <w:p w14:paraId="14FAB93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网址：http://sd.citics.com/</w:t>
      </w:r>
    </w:p>
    <w:p w14:paraId="719FBA5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(69) 中银证券</w:t>
      </w:r>
    </w:p>
    <w:p w14:paraId="17BC42C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注册地址：上海市浦东新区银城中路200号中银大厦39层</w:t>
      </w:r>
    </w:p>
    <w:p w14:paraId="2C5B3F9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办公地址：上海市浦东新区银城中路200号中银大厦39-40层</w:t>
      </w:r>
    </w:p>
    <w:p w14:paraId="43A32F2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法定代表人：宁敏</w:t>
      </w:r>
    </w:p>
    <w:p w14:paraId="665537A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联系人：王炜哲</w:t>
      </w:r>
    </w:p>
    <w:p w14:paraId="6E44A98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客户服务电话：400-620-8888</w:t>
      </w:r>
    </w:p>
    <w:p w14:paraId="5B28922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传真：021-50372474</w:t>
      </w:r>
    </w:p>
    <w:p w14:paraId="3E7BFAF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网址：www.bocichina.com</w:t>
      </w:r>
    </w:p>
    <w:p w14:paraId="3556FDC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(70) 中邮证券</w:t>
      </w:r>
    </w:p>
    <w:p w14:paraId="6552189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注册地址：陕西省西安市唐延路5号（陕西邮政信息大厦9-11层）</w:t>
      </w:r>
    </w:p>
    <w:p w14:paraId="1986A1F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办公地址：北京市东城区珠市口东大街17号</w:t>
      </w:r>
    </w:p>
    <w:p w14:paraId="5D00484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法定代表人：丁奇文</w:t>
      </w:r>
    </w:p>
    <w:p w14:paraId="6EE2044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联系人：岳帅</w:t>
      </w:r>
    </w:p>
    <w:p w14:paraId="6FCA862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 010-67017788-6068</w:t>
      </w:r>
    </w:p>
    <w:p w14:paraId="478A9F0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客户服务电话：4008-888-005</w:t>
      </w:r>
    </w:p>
    <w:p w14:paraId="2C0497C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传真：010-67017788-9696</w:t>
      </w:r>
    </w:p>
    <w:p w14:paraId="47408AC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lastRenderedPageBreak/>
        <w:t>网址：www.cnpsec.com</w:t>
      </w:r>
    </w:p>
    <w:p w14:paraId="121814E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(71) 百度百盈</w:t>
      </w:r>
    </w:p>
    <w:p w14:paraId="40E6FFB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注册地址：北京市海淀区西北旺东路10号院西区4号楼1层103室</w:t>
      </w:r>
    </w:p>
    <w:p w14:paraId="78ECFDD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办公地址：北京市海淀区西北旺东路10号院西区4号楼</w:t>
      </w:r>
    </w:p>
    <w:p w14:paraId="36D35D0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法定代表人：葛新</w:t>
      </w:r>
    </w:p>
    <w:p w14:paraId="65A49E4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联系人：孙博超</w:t>
      </w:r>
    </w:p>
    <w:p w14:paraId="7759B1C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联系电话：010-59403028</w:t>
      </w:r>
    </w:p>
    <w:p w14:paraId="47054BB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客户服务电话：95055-4</w:t>
      </w:r>
    </w:p>
    <w:p w14:paraId="3137CA5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网址：www.baiyingfund.com</w:t>
      </w:r>
    </w:p>
    <w:p w14:paraId="445AFB7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(72) 长量基金</w:t>
      </w:r>
    </w:p>
    <w:p w14:paraId="716D1DF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注册地址：上海市浦东新区高翔路526号2幢220室</w:t>
      </w:r>
    </w:p>
    <w:p w14:paraId="0222F5C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办公地址：上海市浦东新区东方路1267号陆家嘴金融服务广场二期11层</w:t>
      </w:r>
    </w:p>
    <w:p w14:paraId="123CA38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法定代表人：张跃伟</w:t>
      </w:r>
    </w:p>
    <w:p w14:paraId="3B5919C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联系人：党敏</w:t>
      </w:r>
    </w:p>
    <w:p w14:paraId="643FB61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联系电话：021-20691935</w:t>
      </w:r>
    </w:p>
    <w:p w14:paraId="7B38C04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客户服务电话：400-820-2899</w:t>
      </w:r>
    </w:p>
    <w:p w14:paraId="4B34772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传真：021-20691861</w:t>
      </w:r>
    </w:p>
    <w:p w14:paraId="36CBB84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网址：www.erichfund.com</w:t>
      </w:r>
    </w:p>
    <w:p w14:paraId="4068927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(73) 朝阳永续</w:t>
      </w:r>
    </w:p>
    <w:p w14:paraId="06C6EA6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注册地址：浦东新区上丰路977号1幢B座812室</w:t>
      </w:r>
    </w:p>
    <w:p w14:paraId="181BDDE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办公地址：上海市浦东新区碧波路690号4号楼2楼</w:t>
      </w:r>
    </w:p>
    <w:p w14:paraId="001C579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法定代表人：孙晓慧</w:t>
      </w:r>
    </w:p>
    <w:p w14:paraId="5A57D9B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联系人：陆纪青</w:t>
      </w:r>
    </w:p>
    <w:p w14:paraId="774860B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联系电话：021-80234888-6813</w:t>
      </w:r>
    </w:p>
    <w:p w14:paraId="2EB2C11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客户服务电话：400-699-1888</w:t>
      </w:r>
    </w:p>
    <w:p w14:paraId="1AA6782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网址：www.998fund.com</w:t>
      </w:r>
    </w:p>
    <w:p w14:paraId="7F5D5AF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(74) 创金启富</w:t>
      </w:r>
    </w:p>
    <w:p w14:paraId="3B77C94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注册地址：北京市西城区白纸坊东街2号院6号楼712室</w:t>
      </w:r>
    </w:p>
    <w:p w14:paraId="7D71023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办公地址：北京市西城区白纸坊东街2号院6号楼712室</w:t>
      </w:r>
    </w:p>
    <w:p w14:paraId="736E702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法定代表人：梁蓉</w:t>
      </w:r>
    </w:p>
    <w:p w14:paraId="6ED2BF7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联系人：杨凤椅</w:t>
      </w:r>
    </w:p>
    <w:p w14:paraId="26085D4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联系电话：010-66154828-8047</w:t>
      </w:r>
    </w:p>
    <w:p w14:paraId="29F00C7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客户服务电话：400-6262-818</w:t>
      </w:r>
    </w:p>
    <w:p w14:paraId="791A311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传真：010-63583991</w:t>
      </w:r>
    </w:p>
    <w:p w14:paraId="7CDA9B6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lastRenderedPageBreak/>
        <w:t>网址：www.5irich.com</w:t>
      </w:r>
    </w:p>
    <w:p w14:paraId="6989442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(75) 大泰金石</w:t>
      </w:r>
    </w:p>
    <w:p w14:paraId="5208050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注册地址：南京市建邺区江东中路102号708室</w:t>
      </w:r>
    </w:p>
    <w:p w14:paraId="18B693C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办公地址：上海市浦东新区峨山路505号东方纯一大厦15楼</w:t>
      </w:r>
    </w:p>
    <w:p w14:paraId="2F4EDFE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法定代表人：陈达伟</w:t>
      </w:r>
    </w:p>
    <w:p w14:paraId="7FF1634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联系人：孟召社</w:t>
      </w:r>
    </w:p>
    <w:p w14:paraId="6A79C4D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联系电话：021-20324176</w:t>
      </w:r>
    </w:p>
    <w:p w14:paraId="5C81ABF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客户服务电话：400-995-9220</w:t>
      </w:r>
    </w:p>
    <w:p w14:paraId="75B0367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传真：021-20324199</w:t>
      </w:r>
    </w:p>
    <w:p w14:paraId="042580F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网址：www.dtfunds.com</w:t>
      </w:r>
    </w:p>
    <w:p w14:paraId="2DD15D9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(76) 大智慧基金</w:t>
      </w:r>
    </w:p>
    <w:p w14:paraId="53FF7BB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注册地址：中国（上海）自由贸易试验区杨高南路428号1号楼1102单元</w:t>
      </w:r>
    </w:p>
    <w:p w14:paraId="0B39CE8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办公地址：中国（上海）自由贸易试验区杨高南路428号1号楼1102单元</w:t>
      </w:r>
    </w:p>
    <w:p w14:paraId="43B41F7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法定代表人：申健</w:t>
      </w:r>
    </w:p>
    <w:p w14:paraId="702770E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联系人：张蜓</w:t>
      </w:r>
    </w:p>
    <w:p w14:paraId="3422CD2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联系电话：021-20219988-35374</w:t>
      </w:r>
    </w:p>
    <w:p w14:paraId="3625CBA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客户服务电话：021-20292031</w:t>
      </w:r>
    </w:p>
    <w:p w14:paraId="6302A81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传真：021-20219923</w:t>
      </w:r>
    </w:p>
    <w:p w14:paraId="77F8A10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网址：https://www.wg.com.cn/</w:t>
      </w:r>
    </w:p>
    <w:p w14:paraId="1846556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(77) 蛋卷基金</w:t>
      </w:r>
    </w:p>
    <w:p w14:paraId="5D45F07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注册地址：北京市朝阳区创远路34号院6号楼15层1501室</w:t>
      </w:r>
    </w:p>
    <w:p w14:paraId="5F26954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办公地址：北京市朝阳区创远路 34 号院融新科技中心 C 座 17 层</w:t>
      </w:r>
    </w:p>
    <w:p w14:paraId="6639269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法定代表人：钟斐斐</w:t>
      </w:r>
    </w:p>
    <w:p w14:paraId="398A8DB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联系人：侯芳芳</w:t>
      </w:r>
    </w:p>
    <w:p w14:paraId="136B0F3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联系电话：010-61840688</w:t>
      </w:r>
    </w:p>
    <w:p w14:paraId="0D33FFF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客户服务电话：400-159-9288</w:t>
      </w:r>
    </w:p>
    <w:p w14:paraId="1EEE41D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网址：https://danjuanapp.com</w:t>
      </w:r>
    </w:p>
    <w:p w14:paraId="356018D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(78) 鼎信汇金</w:t>
      </w:r>
    </w:p>
    <w:p w14:paraId="42A6AEA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注册地址：北京市海淀区太月园3号楼5层521室</w:t>
      </w:r>
    </w:p>
    <w:p w14:paraId="0F860FE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办公地址：北京市海淀区太月园3号楼5层521室</w:t>
      </w:r>
    </w:p>
    <w:p w14:paraId="251C303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法定代表人：齐凌峰</w:t>
      </w:r>
    </w:p>
    <w:p w14:paraId="4571682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联系人：阮志凌</w:t>
      </w:r>
    </w:p>
    <w:p w14:paraId="2AB6257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联系电话：010-82050520</w:t>
      </w:r>
    </w:p>
    <w:p w14:paraId="28C7488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客户服务电话：400-158-5050</w:t>
      </w:r>
    </w:p>
    <w:p w14:paraId="0035384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lastRenderedPageBreak/>
        <w:t>传真：010-82086110</w:t>
      </w:r>
    </w:p>
    <w:p w14:paraId="14BCFD9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网址：www.9ifund.com</w:t>
      </w:r>
    </w:p>
    <w:p w14:paraId="3158949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(79) 东海期货</w:t>
      </w:r>
    </w:p>
    <w:p w14:paraId="2E49692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注册地址：江苏省常州市延陵西路23、25、27、29号</w:t>
      </w:r>
    </w:p>
    <w:p w14:paraId="5154230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办公地址：上海市浦东新区东方路1928号东海证券大厦8楼</w:t>
      </w:r>
    </w:p>
    <w:p w14:paraId="23D1D62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法定代表人：陈太康</w:t>
      </w:r>
    </w:p>
    <w:p w14:paraId="4410AE7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联系人：陶云</w:t>
      </w:r>
    </w:p>
    <w:p w14:paraId="4F01FC7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联系电话：021-68751603</w:t>
      </w:r>
    </w:p>
    <w:p w14:paraId="1A3E8CD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客户服务电话：95531/400-8888588</w:t>
      </w:r>
    </w:p>
    <w:p w14:paraId="6CAEBFE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传真：021-68756991</w:t>
      </w:r>
    </w:p>
    <w:p w14:paraId="0704843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网址：www.qh168.com.cn</w:t>
      </w:r>
    </w:p>
    <w:p w14:paraId="53510B8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(80) 东证期货</w:t>
      </w:r>
    </w:p>
    <w:p w14:paraId="6733C97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注册地址：中国（上海）自由贸易试验区浦电路500号上海期货大厦14层</w:t>
      </w:r>
    </w:p>
    <w:p w14:paraId="48C5373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办公地址：上海市黄浦区中山南路318号2号楼22楼</w:t>
      </w:r>
    </w:p>
    <w:p w14:paraId="50E345E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法定代表人：卢大印</w:t>
      </w:r>
    </w:p>
    <w:p w14:paraId="39FD15A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联系人：张敏圆</w:t>
      </w:r>
    </w:p>
    <w:p w14:paraId="3D3512C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联系电话：021-63325888-4259</w:t>
      </w:r>
    </w:p>
    <w:p w14:paraId="381ECF2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客户服务电话：4008859999</w:t>
      </w:r>
    </w:p>
    <w:p w14:paraId="10FD3FF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传真：021-63326752</w:t>
      </w:r>
    </w:p>
    <w:p w14:paraId="5E8ACC4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网址：www.dzqh.com.cn</w:t>
      </w:r>
    </w:p>
    <w:p w14:paraId="0DCC985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(81) 富济基金</w:t>
      </w:r>
    </w:p>
    <w:p w14:paraId="7CFC15F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注册地址：深圳市福田区福田街道岗厦社区金田路3088号中洲大厦3203A单元</w:t>
      </w:r>
    </w:p>
    <w:p w14:paraId="6DE2B96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办公地址：深圳市福田区福田街道岗厦社区金田路3088号中洲大厦3203A单元</w:t>
      </w:r>
    </w:p>
    <w:p w14:paraId="2DF0ACF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法定代表人：祝中村</w:t>
      </w:r>
    </w:p>
    <w:p w14:paraId="0528714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联系人：曾瑶敏</w:t>
      </w:r>
    </w:p>
    <w:p w14:paraId="7B8D5ED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联系电话：0755-83999907</w:t>
      </w:r>
    </w:p>
    <w:p w14:paraId="797C5FF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客户服务电话：0755-83999907</w:t>
      </w:r>
    </w:p>
    <w:p w14:paraId="337A0B9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传真：0755-83999926</w:t>
      </w:r>
    </w:p>
    <w:p w14:paraId="6C1BE57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网址：www.fujifund.cn</w:t>
      </w:r>
    </w:p>
    <w:p w14:paraId="053DF95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(82) 好买基金</w:t>
      </w:r>
    </w:p>
    <w:p w14:paraId="3594526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注册地址：上海市虹口区欧阳路196号26号楼2楼41号</w:t>
      </w:r>
    </w:p>
    <w:p w14:paraId="162A2FA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办公地址：上海市浦东南路1118号鄂尔多斯国际大厦903～906室</w:t>
      </w:r>
    </w:p>
    <w:p w14:paraId="6B730BA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法定代表人：杨文斌</w:t>
      </w:r>
    </w:p>
    <w:p w14:paraId="37922A4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联系人：高源</w:t>
      </w:r>
    </w:p>
    <w:p w14:paraId="7D6BE8B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lastRenderedPageBreak/>
        <w:t>联系电话：021-36696312</w:t>
      </w:r>
    </w:p>
    <w:p w14:paraId="2FCC6E6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客户服务电话：400-700-9665</w:t>
      </w:r>
    </w:p>
    <w:p w14:paraId="50B54EC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传真：021-68596919</w:t>
      </w:r>
    </w:p>
    <w:p w14:paraId="569CC3F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网址：www.ehowbuy.com</w:t>
      </w:r>
    </w:p>
    <w:p w14:paraId="5716F57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(83) 和谐销售</w:t>
      </w:r>
    </w:p>
    <w:p w14:paraId="26D366B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注册地址：北京市朝阳区建国门外大街6号11层1102内103</w:t>
      </w:r>
    </w:p>
    <w:p w14:paraId="171852D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办公地址：北京市朝阳区建国门外大街6号安邦金融中心</w:t>
      </w:r>
    </w:p>
    <w:p w14:paraId="1B2E220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法定代表人：左荣林</w:t>
      </w:r>
    </w:p>
    <w:p w14:paraId="53DD057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联系人：张楠</w:t>
      </w:r>
    </w:p>
    <w:p w14:paraId="6126AD2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联系电话：010-85256214</w:t>
      </w:r>
    </w:p>
    <w:p w14:paraId="23CD504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客户服务电话：4008195569</w:t>
      </w:r>
    </w:p>
    <w:p w14:paraId="168D02C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网址：www.hx-sales.com</w:t>
      </w:r>
    </w:p>
    <w:p w14:paraId="3AB0E12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(84) 弘业期货</w:t>
      </w:r>
    </w:p>
    <w:p w14:paraId="2EBAE3A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注册地址：江苏省南京市秦淮区中华路50号</w:t>
      </w:r>
    </w:p>
    <w:p w14:paraId="52BD080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办公地址：江苏省南京市秦淮区中华路50号弘业大厦9楼</w:t>
      </w:r>
    </w:p>
    <w:p w14:paraId="38EA373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法人代表：周剑秋</w:t>
      </w:r>
    </w:p>
    <w:p w14:paraId="0C54C25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联系人：张苏怡</w:t>
      </w:r>
    </w:p>
    <w:p w14:paraId="2AB09ED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联系电话：025-52278981</w:t>
      </w:r>
    </w:p>
    <w:p w14:paraId="54CB1F2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客户服务电话：400-828-1288</w:t>
      </w:r>
    </w:p>
    <w:p w14:paraId="0F782FE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网址：www.ftol.com.cn</w:t>
      </w:r>
    </w:p>
    <w:p w14:paraId="10D39FD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(85) 虹点基金</w:t>
      </w:r>
    </w:p>
    <w:p w14:paraId="21A7E7E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注册地址：北京市朝阳区东三环北路17号10层1015室</w:t>
      </w:r>
    </w:p>
    <w:p w14:paraId="417858D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办公地址：北京市朝阳区东三环北路17号10层1015室</w:t>
      </w:r>
    </w:p>
    <w:p w14:paraId="40F60F3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法定代表人：何静</w:t>
      </w:r>
    </w:p>
    <w:p w14:paraId="3AB2B7A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联系人：王重阳</w:t>
      </w:r>
    </w:p>
    <w:p w14:paraId="753B5E9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联系电话：010-65951887</w:t>
      </w:r>
    </w:p>
    <w:p w14:paraId="01A9F06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客户服务电话：400-618-0707</w:t>
      </w:r>
    </w:p>
    <w:p w14:paraId="6F775B0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网址：www.hongdianfund.com</w:t>
      </w:r>
    </w:p>
    <w:p w14:paraId="50EC18A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(86) 华瑞保险销售</w:t>
      </w:r>
    </w:p>
    <w:p w14:paraId="0C7B70E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注册地址：上海市嘉定区南翔镇众仁路399号运通星财富广场1号楼B座13、14层</w:t>
      </w:r>
    </w:p>
    <w:p w14:paraId="76A70F6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办公地址：上海市浦东新区向城路288号国华人寿金融大厦8层806</w:t>
      </w:r>
    </w:p>
    <w:p w14:paraId="0206D92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法定代表人：路昊</w:t>
      </w:r>
    </w:p>
    <w:p w14:paraId="5BC68FC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联系人：茆勇强</w:t>
      </w:r>
    </w:p>
    <w:p w14:paraId="6B87A05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联系电话：021-68595698</w:t>
      </w:r>
    </w:p>
    <w:p w14:paraId="4D1FE80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lastRenderedPageBreak/>
        <w:t>客户服务电话：952303</w:t>
      </w:r>
    </w:p>
    <w:p w14:paraId="5C1613A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传真：021-68595766</w:t>
      </w:r>
    </w:p>
    <w:p w14:paraId="55FD2B8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网址：www.huaruisales.com</w:t>
      </w:r>
    </w:p>
    <w:p w14:paraId="6C7C0B3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(87) 华夏财富</w:t>
      </w:r>
    </w:p>
    <w:p w14:paraId="6DC85FF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注册地址：上海市虹口区东大名路687号1幢2楼268室</w:t>
      </w:r>
    </w:p>
    <w:p w14:paraId="3B16EFD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办公地址：北京市西城区金融大街33号通泰大厦B座8层</w:t>
      </w:r>
    </w:p>
    <w:p w14:paraId="79FB9B8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法定代表人：毛淮平</w:t>
      </w:r>
    </w:p>
    <w:p w14:paraId="4489E85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联系人：张静怡</w:t>
      </w:r>
    </w:p>
    <w:p w14:paraId="79A29C2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联系电话：010-88066326</w:t>
      </w:r>
    </w:p>
    <w:p w14:paraId="6E4E7D5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客户服务电话：400-817-5666</w:t>
      </w:r>
    </w:p>
    <w:p w14:paraId="542BF49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传真：010-63136184</w:t>
      </w:r>
    </w:p>
    <w:p w14:paraId="3552E0F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网址：www.amcfortune.com</w:t>
      </w:r>
    </w:p>
    <w:p w14:paraId="478CCEE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(88) 徽商期货</w:t>
      </w:r>
    </w:p>
    <w:p w14:paraId="7FEA3AB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注册地址：安徽省合肥市芜湖路258号3号楼6-7层，6号楼1-2层</w:t>
      </w:r>
    </w:p>
    <w:p w14:paraId="57DBBDF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办公地址：合肥市芜湖路258号</w:t>
      </w:r>
    </w:p>
    <w:p w14:paraId="2414C3F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法人代表：吴国华</w:t>
      </w:r>
    </w:p>
    <w:p w14:paraId="4BAEBCE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联系人：申倩倩</w:t>
      </w:r>
    </w:p>
    <w:p w14:paraId="0991285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联系电话：0551-62865215</w:t>
      </w:r>
    </w:p>
    <w:p w14:paraId="20C6075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客户服务电话：400-887-8707</w:t>
      </w:r>
    </w:p>
    <w:p w14:paraId="681598F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网址：www.hsqh.net</w:t>
      </w:r>
    </w:p>
    <w:p w14:paraId="1F99D9D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(89) 汇成基金</w:t>
      </w:r>
    </w:p>
    <w:p w14:paraId="6C475AC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注册地址：北京市海淀区中关村大街11号11层1108号</w:t>
      </w:r>
    </w:p>
    <w:p w14:paraId="08729BA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办公地址：北京市西城区西直门外大街1号院2号楼 19层 19C13</w:t>
      </w:r>
    </w:p>
    <w:p w14:paraId="2FCA05D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法定代表人：王伟刚</w:t>
      </w:r>
    </w:p>
    <w:p w14:paraId="744F27C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联系人：王骁骁</w:t>
      </w:r>
    </w:p>
    <w:p w14:paraId="1BB6D8B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联系电话：010-56251471</w:t>
      </w:r>
    </w:p>
    <w:p w14:paraId="50A5887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客户服务电话：400-619-9059</w:t>
      </w:r>
    </w:p>
    <w:p w14:paraId="7971848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网址：www.hcjijin.com</w:t>
      </w:r>
    </w:p>
    <w:p w14:paraId="12F6824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(90) 汇付基金</w:t>
      </w:r>
    </w:p>
    <w:p w14:paraId="15F0465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注册地址：上海市黄浦区黄河路333号201室A区056单元</w:t>
      </w:r>
    </w:p>
    <w:p w14:paraId="3DC7571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办公地址：上海市徐汇区宜山路700号普天信息产业园2期C5栋 汇付天下总部大楼</w:t>
      </w:r>
    </w:p>
    <w:p w14:paraId="2363EA6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法定代表人：金佶</w:t>
      </w:r>
    </w:p>
    <w:p w14:paraId="4B23AF2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联系人：甄宝林</w:t>
      </w:r>
    </w:p>
    <w:p w14:paraId="3304620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联系电话：021-34013996-3011</w:t>
      </w:r>
    </w:p>
    <w:p w14:paraId="4A31C37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lastRenderedPageBreak/>
        <w:t>客户服务电话：021-34013999</w:t>
      </w:r>
    </w:p>
    <w:p w14:paraId="7223AD8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传真：021-33323837</w:t>
      </w:r>
    </w:p>
    <w:p w14:paraId="5DC4E7F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网址：www.hotjijin.com</w:t>
      </w:r>
    </w:p>
    <w:p w14:paraId="6603B2F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(91) 济安财富</w:t>
      </w:r>
    </w:p>
    <w:p w14:paraId="36F67FF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注册地址：北京市朝阳区太阳宫中路16号院1号楼3层307</w:t>
      </w:r>
    </w:p>
    <w:p w14:paraId="2997B0F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办公地址：北京市朝阳区太阳宫中路16号院1号楼冠捷大厦3层307单元</w:t>
      </w:r>
    </w:p>
    <w:p w14:paraId="3B6DFC0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法定代表人：杨健</w:t>
      </w:r>
    </w:p>
    <w:p w14:paraId="056B81A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联系人：李海燕</w:t>
      </w:r>
    </w:p>
    <w:p w14:paraId="0858971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联系电话：010-65309516</w:t>
      </w:r>
    </w:p>
    <w:p w14:paraId="49AA120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客户服务电话：400-673-7010（济安财富官网）  400-071-6766（腾讯财经）</w:t>
      </w:r>
    </w:p>
    <w:p w14:paraId="1C82258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传真：010-65330699</w:t>
      </w:r>
    </w:p>
    <w:p w14:paraId="47E6927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网址：www.jianfortune.com</w:t>
      </w:r>
    </w:p>
    <w:p w14:paraId="738DEB0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(92) 加和基金</w:t>
      </w:r>
    </w:p>
    <w:p w14:paraId="267F02F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注册地址：北京市西城区德胜门外大街13号院1号楼5层505室</w:t>
      </w:r>
    </w:p>
    <w:p w14:paraId="71A10B2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办公地址：北京市西城区德胜门外大街13号院1号楼5层505室</w:t>
      </w:r>
    </w:p>
    <w:p w14:paraId="4A35C01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法定代表人：曲阳</w:t>
      </w:r>
    </w:p>
    <w:p w14:paraId="0B16316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联系人：王梓骄</w:t>
      </w:r>
    </w:p>
    <w:p w14:paraId="6D72257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联系电话：010-80456756</w:t>
      </w:r>
    </w:p>
    <w:p w14:paraId="4F14396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客户服务电话：400-803-1188</w:t>
      </w:r>
    </w:p>
    <w:p w14:paraId="55EAB89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传真：010-80456278</w:t>
      </w:r>
    </w:p>
    <w:p w14:paraId="28B7B3E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网址：www.bzfunds.com</w:t>
      </w:r>
    </w:p>
    <w:p w14:paraId="2A7E3A6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(93) 嘉实财富</w:t>
      </w:r>
    </w:p>
    <w:p w14:paraId="4792665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注册地址：中国（上海）自由贸易试验区世纪大道8号上海国金中心办公楼二期53层5312-15单元</w:t>
      </w:r>
    </w:p>
    <w:p w14:paraId="566C0B6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办公地址：北京市朝阳区建国路91号金地中心A座6层</w:t>
      </w:r>
    </w:p>
    <w:p w14:paraId="09FEC11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法定代表人：赵学军</w:t>
      </w:r>
    </w:p>
    <w:p w14:paraId="0D436D0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联系人：李雯</w:t>
      </w:r>
    </w:p>
    <w:p w14:paraId="6EBB345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联系电话：010-60842306</w:t>
      </w:r>
    </w:p>
    <w:p w14:paraId="1ED38BF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客户服务电话：400-021-8850</w:t>
      </w:r>
    </w:p>
    <w:p w14:paraId="34ACD8D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传真：010-85712195</w:t>
      </w:r>
    </w:p>
    <w:p w14:paraId="6607C21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网址：www.harvestwm.cn</w:t>
      </w:r>
    </w:p>
    <w:p w14:paraId="52ACD9B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(94) 金百临</w:t>
      </w:r>
    </w:p>
    <w:p w14:paraId="4C2955F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注册地址：无锡市滨湖区锦溪路99号</w:t>
      </w:r>
    </w:p>
    <w:p w14:paraId="68D4A53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办公地址：江苏省无锡市太湖新城锦溪道楝泽路9号楼</w:t>
      </w:r>
    </w:p>
    <w:p w14:paraId="40D26AA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lastRenderedPageBreak/>
        <w:t>法人代表：费晓燕</w:t>
      </w:r>
    </w:p>
    <w:p w14:paraId="635222F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联系人：邹云</w:t>
      </w:r>
    </w:p>
    <w:p w14:paraId="6114549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联系电话：0510-81188088</w:t>
      </w:r>
    </w:p>
    <w:p w14:paraId="63FD1BA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客户服务电话：0510-9688988</w:t>
      </w:r>
    </w:p>
    <w:p w14:paraId="001B0C3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网址：www.jsjbl.com</w:t>
      </w:r>
    </w:p>
    <w:p w14:paraId="28AF9FE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(95) 金海九州</w:t>
      </w:r>
    </w:p>
    <w:p w14:paraId="7496FEB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注册地址：深圳市前海深港合作区前湾一路1号A栋201室（入驻深圳市前海商务秘书有限公司）</w:t>
      </w:r>
    </w:p>
    <w:p w14:paraId="5FB5D25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办公地址：深圳市福田区富德生命保险大厦1106室</w:t>
      </w:r>
    </w:p>
    <w:p w14:paraId="5D53788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法定代表人：彭维熙</w:t>
      </w:r>
    </w:p>
    <w:p w14:paraId="66437E8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联系人：彭维熙</w:t>
      </w:r>
    </w:p>
    <w:p w14:paraId="4658DBD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联系电话：0755-81994266</w:t>
      </w:r>
    </w:p>
    <w:p w14:paraId="59F619F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客户服务电话：4000993333</w:t>
      </w:r>
    </w:p>
    <w:p w14:paraId="51503E8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传真：0755-84333886</w:t>
      </w:r>
    </w:p>
    <w:p w14:paraId="0E7A9FC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网址：www.jhjzfund.com</w:t>
      </w:r>
    </w:p>
    <w:p w14:paraId="1151332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(96) 久富财富</w:t>
      </w:r>
    </w:p>
    <w:p w14:paraId="7323EAB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注册地址：上海市浦东新区莱阳路2819号1幢109室</w:t>
      </w:r>
    </w:p>
    <w:p w14:paraId="43EFFA8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办公地址：上海市浦东新区民生路1403号上海信息大厦1215室</w:t>
      </w:r>
    </w:p>
    <w:p w14:paraId="686B89C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法定代表人：赵惠蓉</w:t>
      </w:r>
    </w:p>
    <w:p w14:paraId="009164A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联系人：赵惠蓉</w:t>
      </w:r>
    </w:p>
    <w:p w14:paraId="64CDEC9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联系电话：021-68682279</w:t>
      </w:r>
    </w:p>
    <w:p w14:paraId="4AFB66D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客户服务电话：400-102-1813</w:t>
      </w:r>
    </w:p>
    <w:p w14:paraId="29A4BAD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传真：021-68682297</w:t>
      </w:r>
    </w:p>
    <w:p w14:paraId="2FA1A70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网址：www.jfcta.com</w:t>
      </w:r>
    </w:p>
    <w:p w14:paraId="67924D6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(97) 凯石财富</w:t>
      </w:r>
    </w:p>
    <w:p w14:paraId="72AF49C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注册地址：上海市黄浦区西藏南路765号602-115室</w:t>
      </w:r>
    </w:p>
    <w:p w14:paraId="49AEDC7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办公地址：上海市黄浦区延安东路1号凯石大厦4楼</w:t>
      </w:r>
    </w:p>
    <w:p w14:paraId="544DAF6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法定代表人：陈继武</w:t>
      </w:r>
    </w:p>
    <w:p w14:paraId="434EF64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联系人：冯强</w:t>
      </w:r>
    </w:p>
    <w:p w14:paraId="474A14C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联系电话：021-63333389</w:t>
      </w:r>
    </w:p>
    <w:p w14:paraId="000BBEC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客户服务电话：4006-433-389</w:t>
      </w:r>
    </w:p>
    <w:p w14:paraId="5DA1CF3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传真：021-63333390</w:t>
      </w:r>
    </w:p>
    <w:p w14:paraId="23989BA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网址：www.vstonewealth.com</w:t>
      </w:r>
    </w:p>
    <w:p w14:paraId="3097144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(98) 肯特瑞基金</w:t>
      </w:r>
    </w:p>
    <w:p w14:paraId="2EF1C8C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lastRenderedPageBreak/>
        <w:t>注册地址：北京市海淀区西三旗建材城中路12号17号平房157</w:t>
      </w:r>
    </w:p>
    <w:p w14:paraId="0CAF493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办公地址：北京市大兴区亦庄经济开发区科创十一街十八号院京东集团总部A座</w:t>
      </w:r>
    </w:p>
    <w:p w14:paraId="3B997AA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法定代表人：王苏宁</w:t>
      </w:r>
    </w:p>
    <w:p w14:paraId="0A04570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联系人：娄云</w:t>
      </w:r>
    </w:p>
    <w:p w14:paraId="638B7E0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联系电话：010-89189291</w:t>
      </w:r>
    </w:p>
    <w:p w14:paraId="796E041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客户服务电话：95118</w:t>
      </w:r>
    </w:p>
    <w:p w14:paraId="0C9FDFB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网址：http://fund.jd.com/</w:t>
      </w:r>
    </w:p>
    <w:p w14:paraId="6C57396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(99) 利得基金</w:t>
      </w:r>
    </w:p>
    <w:p w14:paraId="6941821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注册地址：上海市宝山区蕴川路5475号1033室</w:t>
      </w:r>
    </w:p>
    <w:p w14:paraId="1128F21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办公地址：上海市虹口区东大名路1098号浦江国际金融广场53层</w:t>
      </w:r>
    </w:p>
    <w:p w14:paraId="6ADC439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法定代表人：李兴春</w:t>
      </w:r>
    </w:p>
    <w:p w14:paraId="1F1A76B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联系人：陈孜明</w:t>
      </w:r>
    </w:p>
    <w:p w14:paraId="55480EA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联系电话：86-021-50583533</w:t>
      </w:r>
    </w:p>
    <w:p w14:paraId="48664EB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客户服务电话：95733</w:t>
      </w:r>
    </w:p>
    <w:p w14:paraId="17E7AC7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传真：86-21-61101630</w:t>
      </w:r>
    </w:p>
    <w:p w14:paraId="2DCFF1C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网址：www.leadfund.com.cn</w:t>
      </w:r>
    </w:p>
    <w:p w14:paraId="1D7A262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(100) 联泰基金</w:t>
      </w:r>
    </w:p>
    <w:p w14:paraId="721639A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注册地址：中国（上海）自由贸易试验区富特北路277号3层310室</w:t>
      </w:r>
    </w:p>
    <w:p w14:paraId="59AE77D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办公地址：上海市长宁区福泉北路518号8座3楼</w:t>
      </w:r>
    </w:p>
    <w:p w14:paraId="1538213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法定代表人：尹彬彬</w:t>
      </w:r>
    </w:p>
    <w:p w14:paraId="255DFD1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联系人：陈东</w:t>
      </w:r>
    </w:p>
    <w:p w14:paraId="21C410B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联系电话：021-52822063</w:t>
      </w:r>
    </w:p>
    <w:p w14:paraId="79C2D5E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客户服务电话：400-118-1188</w:t>
      </w:r>
    </w:p>
    <w:p w14:paraId="42952EC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传真：021-52975270</w:t>
      </w:r>
    </w:p>
    <w:p w14:paraId="703047C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网址：www.66zichan.com</w:t>
      </w:r>
    </w:p>
    <w:p w14:paraId="073DB18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(101) 陆基金</w:t>
      </w:r>
    </w:p>
    <w:p w14:paraId="64D11A3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注册地址：中国（上海）自由贸易试验区陆家嘴环路1333号14楼09单元</w:t>
      </w:r>
    </w:p>
    <w:p w14:paraId="44E72EA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办公地址：中国（上海）自由贸易试验区陆家嘴环路1333号14楼09单元</w:t>
      </w:r>
    </w:p>
    <w:p w14:paraId="73F4CC5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法定代表人：王之光</w:t>
      </w:r>
    </w:p>
    <w:p w14:paraId="115067D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联系人：宁博宇</w:t>
      </w:r>
    </w:p>
    <w:p w14:paraId="54ABB5E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联系电话：021-20665952</w:t>
      </w:r>
    </w:p>
    <w:p w14:paraId="5A6F791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客户服务电话：4008219031</w:t>
      </w:r>
    </w:p>
    <w:p w14:paraId="0184B34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传真：021-22066653</w:t>
      </w:r>
    </w:p>
    <w:p w14:paraId="5ADEA1C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网址：www.lufunds.com</w:t>
      </w:r>
    </w:p>
    <w:p w14:paraId="29F13A3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lastRenderedPageBreak/>
        <w:t>(102) 民商基金</w:t>
      </w:r>
    </w:p>
    <w:p w14:paraId="26533D0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注册地址：上海黄浦区北京东路666号H区（东座）6楼A31室</w:t>
      </w:r>
    </w:p>
    <w:p w14:paraId="62580DD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 xml:space="preserve">办公地址：上海市浦东新区张杨路707号生命人寿大厦32楼 </w:t>
      </w:r>
    </w:p>
    <w:p w14:paraId="671850C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法定代表人：贲惠琴</w:t>
      </w:r>
    </w:p>
    <w:p w14:paraId="2ADF509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联系人：林志枫</w:t>
      </w:r>
    </w:p>
    <w:p w14:paraId="54244F9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联系电话：021-50206003</w:t>
      </w:r>
    </w:p>
    <w:p w14:paraId="100ECC7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客户服务电话：021-50206003</w:t>
      </w:r>
    </w:p>
    <w:p w14:paraId="22C6E54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传真：021-50206001</w:t>
      </w:r>
    </w:p>
    <w:p w14:paraId="435755F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网址：http://www.msftec.com/</w:t>
      </w:r>
    </w:p>
    <w:p w14:paraId="08890DB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(103) 诺亚正行</w:t>
      </w:r>
    </w:p>
    <w:p w14:paraId="0CE0E9E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注册地址：上海市虹口区飞虹路360弄9号3724室</w:t>
      </w:r>
    </w:p>
    <w:p w14:paraId="2B7AC98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办公地址：上海市杨浦区长阳路1687号长阳谷2号楼</w:t>
      </w:r>
    </w:p>
    <w:p w14:paraId="2092A5E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法定代表人：汪静波</w:t>
      </w:r>
    </w:p>
    <w:p w14:paraId="34F4331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联系人：李娟</w:t>
      </w:r>
    </w:p>
    <w:p w14:paraId="1757CEF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联系电话：021-80358523</w:t>
      </w:r>
    </w:p>
    <w:p w14:paraId="1EABD7F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客户服务电话：400-821-5399</w:t>
      </w:r>
    </w:p>
    <w:p w14:paraId="4189BAD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传真：021-38509777</w:t>
      </w:r>
    </w:p>
    <w:p w14:paraId="5BD25B5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网址：www.noah-fund.com</w:t>
      </w:r>
    </w:p>
    <w:p w14:paraId="30080FF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(104) 深圳新兰德</w:t>
      </w:r>
    </w:p>
    <w:p w14:paraId="405A843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注册地址：深圳市福田区福田街道民田路178号华融大厦27层2704</w:t>
      </w:r>
    </w:p>
    <w:p w14:paraId="6B8F6FB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办公地址：北京市西城区宣武门外大街28号富卓大厦A座7层</w:t>
      </w:r>
    </w:p>
    <w:p w14:paraId="78BCFC9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法定代表人：洪弘</w:t>
      </w:r>
    </w:p>
    <w:p w14:paraId="05323F1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联系人：张燕</w:t>
      </w:r>
    </w:p>
    <w:p w14:paraId="73AB04E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联系电话：010-83363099</w:t>
      </w:r>
    </w:p>
    <w:p w14:paraId="02E92BC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客户服务电话：400-166-1188</w:t>
      </w:r>
    </w:p>
    <w:p w14:paraId="46413AF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传真：010-83363010</w:t>
      </w:r>
    </w:p>
    <w:p w14:paraId="4F7F44F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网址：http://8.jrj.com.cn</w:t>
      </w:r>
    </w:p>
    <w:p w14:paraId="6085633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(105) 晟视天下</w:t>
      </w:r>
    </w:p>
    <w:p w14:paraId="783B0FC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注册地址：北京市怀柔区九渡河镇黄坎村735号03室</w:t>
      </w:r>
    </w:p>
    <w:p w14:paraId="0CD8983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办公地址：北京市朝阳区朝外大街甲六号万通中心D座21层</w:t>
      </w:r>
    </w:p>
    <w:p w14:paraId="6C53361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法定代表人：蒋煜</w:t>
      </w:r>
    </w:p>
    <w:p w14:paraId="4F4EE33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联系人：史俊杰</w:t>
      </w:r>
    </w:p>
    <w:p w14:paraId="206FFE0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联系电话：010-58170936</w:t>
      </w:r>
    </w:p>
    <w:p w14:paraId="0370A00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客户服务电话：010-58170761</w:t>
      </w:r>
    </w:p>
    <w:p w14:paraId="12B88F8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lastRenderedPageBreak/>
        <w:t>传真：010-58170800</w:t>
      </w:r>
    </w:p>
    <w:p w14:paraId="4D66029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网址：www.shengshiview.com</w:t>
      </w:r>
    </w:p>
    <w:p w14:paraId="5D7EDDB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(106) 苏宁基金</w:t>
      </w:r>
    </w:p>
    <w:p w14:paraId="670D3E9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注册地址：南京市玄武区苏宁大道1-5号</w:t>
      </w:r>
    </w:p>
    <w:p w14:paraId="02267FF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办公地址：南京市玄武区苏宁大道1-5号</w:t>
      </w:r>
    </w:p>
    <w:p w14:paraId="1A081C8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法定代表人：王锋</w:t>
      </w:r>
    </w:p>
    <w:p w14:paraId="443AE27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联系人：冯鹏鹏</w:t>
      </w:r>
    </w:p>
    <w:p w14:paraId="220F29B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联系电话：025-66996699-882796</w:t>
      </w:r>
    </w:p>
    <w:p w14:paraId="3AC0A26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客户服务电话：95177</w:t>
      </w:r>
    </w:p>
    <w:p w14:paraId="0B224CF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网址：www.snjijin.com</w:t>
      </w:r>
    </w:p>
    <w:p w14:paraId="3DEF5E8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(107) 腾安基金</w:t>
      </w:r>
    </w:p>
    <w:p w14:paraId="2309F66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注册地址：深圳市前海深港合作区前湾一路1号A栋201室（入驻深圳市前海商务秘书有限公司）</w:t>
      </w:r>
    </w:p>
    <w:p w14:paraId="503E77F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办公地址：深圳市南山区海天二路33号腾讯滨海大厦15楼</w:t>
      </w:r>
    </w:p>
    <w:p w14:paraId="078D924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法定代表人：刘明军</w:t>
      </w:r>
    </w:p>
    <w:p w14:paraId="5D3098A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联系人：谭广锋</w:t>
      </w:r>
    </w:p>
    <w:p w14:paraId="2C5E5FF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客户服务电话：95017（拨通后转1转8）</w:t>
      </w:r>
    </w:p>
    <w:p w14:paraId="3B938FB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公司网址：https://www.txfund.com/</w:t>
      </w:r>
    </w:p>
    <w:p w14:paraId="26FE5B2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(108) 天天基金</w:t>
      </w:r>
    </w:p>
    <w:p w14:paraId="06FB5C3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注册地址：上海市徐汇区龙田路190号2号楼2层</w:t>
      </w:r>
    </w:p>
    <w:p w14:paraId="740E095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办公地址：上海市徐汇区宛平南路88号东方财富大厦</w:t>
      </w:r>
    </w:p>
    <w:p w14:paraId="59893A8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法定代表人：其实</w:t>
      </w:r>
    </w:p>
    <w:p w14:paraId="00962FE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联系人：屠彦洋</w:t>
      </w:r>
    </w:p>
    <w:p w14:paraId="1CB9280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联系电话：021-54509977</w:t>
      </w:r>
    </w:p>
    <w:p w14:paraId="064196B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客户服务电话：95021</w:t>
      </w:r>
    </w:p>
    <w:p w14:paraId="1D3EFD3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传真：021-64385308</w:t>
      </w:r>
    </w:p>
    <w:p w14:paraId="1484572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网址：www.1234567.com.cn</w:t>
      </w:r>
    </w:p>
    <w:p w14:paraId="340FFED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(109) 通华财富</w:t>
      </w:r>
    </w:p>
    <w:p w14:paraId="64AF8E5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注册地址：上海市虹口区同丰路667弄107号201室</w:t>
      </w:r>
    </w:p>
    <w:p w14:paraId="3DF4DC8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办公地址：上海市浦东新区金沪路55号通华科技大厦2楼</w:t>
      </w:r>
    </w:p>
    <w:p w14:paraId="75BD610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法定代表人：沈丹义</w:t>
      </w:r>
    </w:p>
    <w:p w14:paraId="7D3FA9D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联系人：杨涛、庄洁茹</w:t>
      </w:r>
    </w:p>
    <w:p w14:paraId="0E63CA1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联系电话：021-60810586</w:t>
      </w:r>
    </w:p>
    <w:p w14:paraId="254DA41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客户服务电话：400-101-9301</w:t>
      </w:r>
    </w:p>
    <w:p w14:paraId="2E9D9D6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lastRenderedPageBreak/>
        <w:t>传真：021-60810695</w:t>
      </w:r>
    </w:p>
    <w:p w14:paraId="6FABC94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网址：www.tonghuafund.com</w:t>
      </w:r>
    </w:p>
    <w:p w14:paraId="2C55EC0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(110) 途牛基金</w:t>
      </w:r>
    </w:p>
    <w:p w14:paraId="774DBCB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注册地址：江苏省南京市玄武区玄武大道699-1号</w:t>
      </w:r>
    </w:p>
    <w:p w14:paraId="7C4D73F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办公地址：江苏省南京市玄武区玄武大道699-32号</w:t>
      </w:r>
    </w:p>
    <w:p w14:paraId="4266F9F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法人代表：宋时琳</w:t>
      </w:r>
    </w:p>
    <w:p w14:paraId="0391335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联系人：贺杰</w:t>
      </w:r>
    </w:p>
    <w:p w14:paraId="746BF8B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联系电话：025-86853960-66727</w:t>
      </w:r>
    </w:p>
    <w:p w14:paraId="6D32137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客户服务电话：4007-999-999转3</w:t>
      </w:r>
    </w:p>
    <w:p w14:paraId="3522C8D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网址：http://jr.tuniu.com</w:t>
      </w:r>
    </w:p>
    <w:p w14:paraId="127F30D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(111) 挖财基金</w:t>
      </w:r>
    </w:p>
    <w:p w14:paraId="3480F74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 xml:space="preserve">注册地址：中国（上海）自由贸易试验区杨高南路799号5楼04室 </w:t>
      </w:r>
    </w:p>
    <w:p w14:paraId="529A41F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办公地址：上海市浦东新区杨高南路799号陆家嘴世纪金融广场3号楼5层04室</w:t>
      </w:r>
    </w:p>
    <w:p w14:paraId="02E19A4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 xml:space="preserve">法定代表人：吕柳霞 </w:t>
      </w:r>
    </w:p>
    <w:p w14:paraId="23E7EE0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联系人：曾芸</w:t>
      </w:r>
    </w:p>
    <w:p w14:paraId="13A28B4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联系电话：021-50810687</w:t>
      </w:r>
    </w:p>
    <w:p w14:paraId="5DC54D3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客户服务电话：021-50810673</w:t>
      </w:r>
    </w:p>
    <w:p w14:paraId="7530734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网址：www.wacaijijin.com</w:t>
      </w:r>
    </w:p>
    <w:p w14:paraId="5EC3300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(112) 万得基金</w:t>
      </w:r>
    </w:p>
    <w:p w14:paraId="0116501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注册地址：中国（上海）自由贸易试验区福山路33号11楼B座</w:t>
      </w:r>
    </w:p>
    <w:p w14:paraId="500B4A2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办公地址：上海市浦东新区浦明路1500号万得大厦11楼</w:t>
      </w:r>
    </w:p>
    <w:p w14:paraId="5C27FB0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法定代表人：黄祎</w:t>
      </w:r>
    </w:p>
    <w:p w14:paraId="04D535F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联系人：徐亚丹</w:t>
      </w:r>
    </w:p>
    <w:p w14:paraId="028363E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联系电话：021-50712782</w:t>
      </w:r>
    </w:p>
    <w:p w14:paraId="059D3AD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客户服务电话：400-799-1888</w:t>
      </w:r>
    </w:p>
    <w:p w14:paraId="7BE7F9D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网址：www.520fund.com.cn</w:t>
      </w:r>
    </w:p>
    <w:p w14:paraId="0D69925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(113) 万家财富</w:t>
      </w:r>
    </w:p>
    <w:p w14:paraId="26207A2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注册地址：天津自贸区（中心商务区）迎宾大道1988号滨海浙商大厦公寓2-2413室</w:t>
      </w:r>
    </w:p>
    <w:p w14:paraId="46FB4D3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办公地址：北京市西城区丰盛胡同28号太平洋保险大厦A座5层</w:t>
      </w:r>
    </w:p>
    <w:p w14:paraId="31CDF40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法定代表人：张军</w:t>
      </w:r>
    </w:p>
    <w:p w14:paraId="45184B9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联系人：王芳芳</w:t>
      </w:r>
    </w:p>
    <w:p w14:paraId="5019F5B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联系电话：010-59013828</w:t>
      </w:r>
    </w:p>
    <w:p w14:paraId="0EF551D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客户服务电话：010-59013895</w:t>
      </w:r>
    </w:p>
    <w:p w14:paraId="74517A7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网址：http://www.wanjiawealth.com/</w:t>
      </w:r>
    </w:p>
    <w:p w14:paraId="74D3635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lastRenderedPageBreak/>
        <w:t>(114) 新浪仓石</w:t>
      </w:r>
    </w:p>
    <w:p w14:paraId="6C97119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注册地址：北京市海淀区东北旺西路中关村软件园二期（西扩）N-1、N-2地块新浪总部科研楼5层518室</w:t>
      </w:r>
    </w:p>
    <w:p w14:paraId="7A8AB9F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办公地址：北京市海淀区西北旺东路10号院东区3号楼为明大厦C座</w:t>
      </w:r>
    </w:p>
    <w:p w14:paraId="370D89D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法定代表人：赵芯蕊</w:t>
      </w:r>
    </w:p>
    <w:p w14:paraId="1D6E6EE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联系人：赵芯蕊</w:t>
      </w:r>
    </w:p>
    <w:p w14:paraId="30A14D5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联系电话：010-62625768</w:t>
      </w:r>
    </w:p>
    <w:p w14:paraId="371FD52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客户服务电话：010-62675369</w:t>
      </w:r>
    </w:p>
    <w:p w14:paraId="5B40D98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传真：010-62676582</w:t>
      </w:r>
    </w:p>
    <w:p w14:paraId="61E6489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网址：www.xincai.com</w:t>
      </w:r>
    </w:p>
    <w:p w14:paraId="5A7BB14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(115) 鑫鼎盛</w:t>
      </w:r>
    </w:p>
    <w:p w14:paraId="564DDF1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注册地址：厦门市思明区鹭江道2号厦门第一广场西座1501-1502室</w:t>
      </w:r>
    </w:p>
    <w:p w14:paraId="04755D5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办公地址：厦门市思明区鹭江道2号厦门第一广场西座1501-1502室</w:t>
      </w:r>
    </w:p>
    <w:p w14:paraId="2589909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 xml:space="preserve">法定代表人：陈洪生 </w:t>
      </w:r>
    </w:p>
    <w:p w14:paraId="297DCCF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联系人：梁云波</w:t>
      </w:r>
    </w:p>
    <w:p w14:paraId="5A2D428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联系电话：0592-3122757</w:t>
      </w:r>
    </w:p>
    <w:p w14:paraId="155EE9C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客户服务电话：400-6533-789</w:t>
      </w:r>
    </w:p>
    <w:p w14:paraId="753A2C0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网址：www.xds.com.cn</w:t>
      </w:r>
    </w:p>
    <w:p w14:paraId="53B750F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(116) 阳光人寿保险</w:t>
      </w:r>
    </w:p>
    <w:p w14:paraId="3AA9367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注册地址：海南省三亚市迎宾路360-1号三亚阳光金融广场16层</w:t>
      </w:r>
    </w:p>
    <w:p w14:paraId="089A87C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办公地址：北京市朝阳区朝阳门外大街乙12号院1号昆泰国际大厦12层</w:t>
      </w:r>
    </w:p>
    <w:p w14:paraId="2B57F1B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法定代表人：李科</w:t>
      </w:r>
    </w:p>
    <w:p w14:paraId="67E13FE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联系人：王超</w:t>
      </w:r>
    </w:p>
    <w:p w14:paraId="475CE71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联系电话：010-85632771</w:t>
      </w:r>
    </w:p>
    <w:p w14:paraId="52195DD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客户服务电话：95510</w:t>
      </w:r>
    </w:p>
    <w:p w14:paraId="3231620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传真：010-85632773</w:t>
      </w:r>
    </w:p>
    <w:p w14:paraId="2B89D85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网址：http://fund.sinosig.com</w:t>
      </w:r>
    </w:p>
    <w:p w14:paraId="623C835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(117) 一路财富</w:t>
      </w:r>
    </w:p>
    <w:p w14:paraId="4687EB1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注册地址：北京市海淀区宝盛南路1号院20号楼9层101-14</w:t>
      </w:r>
    </w:p>
    <w:p w14:paraId="675196B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办公地址：北京市海淀区宝盛南路奥北科技园20号楼国泰大厦9层</w:t>
      </w:r>
    </w:p>
    <w:p w14:paraId="400F8C0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法定代表人：吴雪秀</w:t>
      </w:r>
    </w:p>
    <w:p w14:paraId="2F7C909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联系人：董宣</w:t>
      </w:r>
    </w:p>
    <w:p w14:paraId="58C3975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联系电话：010-88312877</w:t>
      </w:r>
    </w:p>
    <w:p w14:paraId="6292D8E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客户服务电话：400-001-1566</w:t>
      </w:r>
    </w:p>
    <w:p w14:paraId="3698C58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lastRenderedPageBreak/>
        <w:t>传真：010-88312099</w:t>
      </w:r>
    </w:p>
    <w:p w14:paraId="1DDEA62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网址：www.yilucaifu.com</w:t>
      </w:r>
    </w:p>
    <w:p w14:paraId="019A204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(118) 奕丰金融</w:t>
      </w:r>
    </w:p>
    <w:p w14:paraId="10D44CE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注册地址：深圳市前海深港合作区前湾一路1号A栋201室（入驻深圳市前海商务秘书有限公司）</w:t>
      </w:r>
    </w:p>
    <w:p w14:paraId="3B9649D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办公地址：深圳市南山区海德三道航天科技广场A座17楼1704室</w:t>
      </w:r>
    </w:p>
    <w:p w14:paraId="0F9B133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法定代表人：TEO WEE HOWE</w:t>
      </w:r>
    </w:p>
    <w:p w14:paraId="4B3BC70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联系人：叶健</w:t>
      </w:r>
    </w:p>
    <w:p w14:paraId="4F4FCA1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联系电话：0755-89460507</w:t>
      </w:r>
    </w:p>
    <w:p w14:paraId="430886B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客户服务电话：400-684-0500</w:t>
      </w:r>
    </w:p>
    <w:p w14:paraId="3924A9F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传真：0755-21674453</w:t>
      </w:r>
    </w:p>
    <w:p w14:paraId="4E9A3FC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网址：www.ifastps.com.cn</w:t>
      </w:r>
    </w:p>
    <w:p w14:paraId="0E8C97B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(119) 盈米基金</w:t>
      </w:r>
    </w:p>
    <w:p w14:paraId="42A5480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注册地址：珠海市横琴新区宝华路6号105室-3491</w:t>
      </w:r>
    </w:p>
    <w:p w14:paraId="59CA359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办公地址：广州市海珠区琶洲大道东路1号保利国际广场南塔1201-1203室</w:t>
      </w:r>
    </w:p>
    <w:p w14:paraId="3D7719B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法定代表人：肖雯</w:t>
      </w:r>
    </w:p>
    <w:p w14:paraId="1D22EB0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联系人：邱湘湘</w:t>
      </w:r>
    </w:p>
    <w:p w14:paraId="5F9F726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联系电话：020-89629099</w:t>
      </w:r>
    </w:p>
    <w:p w14:paraId="02F5248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客户服务电话：020-89629066</w:t>
      </w:r>
    </w:p>
    <w:p w14:paraId="1187F91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传真：020-89629011</w:t>
      </w:r>
    </w:p>
    <w:p w14:paraId="286C706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网址：www.yingmi.cn</w:t>
      </w:r>
    </w:p>
    <w:p w14:paraId="6320157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(120) 云湾基金</w:t>
      </w:r>
    </w:p>
    <w:p w14:paraId="60E4B3CC"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注册地址：中国（上海）自由贸易试验区新金桥路27号、明月路1257号1幢1层103-1、103-2办公区</w:t>
      </w:r>
    </w:p>
    <w:p w14:paraId="40D2881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办公地址：上海市浦东新区新金桥路27号1号楼</w:t>
      </w:r>
    </w:p>
    <w:p w14:paraId="67BB417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法定代表人：冯轶明</w:t>
      </w:r>
    </w:p>
    <w:p w14:paraId="15CBD9D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联系人：范泽杰</w:t>
      </w:r>
    </w:p>
    <w:p w14:paraId="4870AB8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联系电话：021-20530186</w:t>
      </w:r>
    </w:p>
    <w:p w14:paraId="25712A2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客户服务电话：400-820-1515</w:t>
      </w:r>
    </w:p>
    <w:p w14:paraId="016A879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传真：021-20539999</w:t>
      </w:r>
    </w:p>
    <w:p w14:paraId="6EE05D8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网址：http://www.zhengtongfunds.com/</w:t>
      </w:r>
    </w:p>
    <w:p w14:paraId="307114A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(121) 中欧财富</w:t>
      </w:r>
    </w:p>
    <w:p w14:paraId="7D3245C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注册地址：中国（上海）自由贸易试验区陆家嘴环路333号502室</w:t>
      </w:r>
    </w:p>
    <w:p w14:paraId="0CABA77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办公地址：上海市虹口区公平路18号8栋嘉昱大厦6层</w:t>
      </w:r>
    </w:p>
    <w:p w14:paraId="3044D88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lastRenderedPageBreak/>
        <w:t>法定代表人：许欣</w:t>
      </w:r>
    </w:p>
    <w:p w14:paraId="5C345BE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联系人：黎静</w:t>
      </w:r>
    </w:p>
    <w:p w14:paraId="5FB6C67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联系电话：021-68609600</w:t>
      </w:r>
    </w:p>
    <w:p w14:paraId="01E7E43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客户服务电话：400-700-9700</w:t>
      </w:r>
    </w:p>
    <w:p w14:paraId="382B2C42"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网址：www.qiangungun.com</w:t>
      </w:r>
    </w:p>
    <w:p w14:paraId="6B4DB9B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(122) 中信建投期货</w:t>
      </w:r>
    </w:p>
    <w:p w14:paraId="1FDB8FB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注册地址：重庆市渝中区中山三路107号上站大楼平街11-B，名义层11-A，8-B4，9-B、C</w:t>
      </w:r>
    </w:p>
    <w:p w14:paraId="4525CD6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办公地址：重庆市渝中区中山三路107号皇冠大厦11楼</w:t>
      </w:r>
    </w:p>
    <w:p w14:paraId="5644D0E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法定代表人：王广学</w:t>
      </w:r>
    </w:p>
    <w:p w14:paraId="290F703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联系人：刘芸</w:t>
      </w:r>
    </w:p>
    <w:p w14:paraId="50507AD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联系电话：023-86769637</w:t>
      </w:r>
    </w:p>
    <w:p w14:paraId="3A8679C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客户服务电话：400-8877-780</w:t>
      </w:r>
    </w:p>
    <w:p w14:paraId="53FAAD0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传真：023-86769629</w:t>
      </w:r>
    </w:p>
    <w:p w14:paraId="52CD727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网址：www.cfc108.com</w:t>
      </w:r>
    </w:p>
    <w:p w14:paraId="2EACEF3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(123) 中信期货</w:t>
      </w:r>
    </w:p>
    <w:p w14:paraId="3B60C18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注册地址：广东省深圳市福田区中心三路8号卓越时代广场（二期）北座13层1301-1305室、14层</w:t>
      </w:r>
    </w:p>
    <w:p w14:paraId="09EC4D21"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办公地址：深圳市福田区中心三路8号卓越时代广场（二期）北座13层1301-1305室、14层</w:t>
      </w:r>
    </w:p>
    <w:p w14:paraId="4957A79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法定代表人：张皓</w:t>
      </w:r>
    </w:p>
    <w:p w14:paraId="42C5BD20"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联系人：刘宏莹</w:t>
      </w:r>
    </w:p>
    <w:p w14:paraId="36F549F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联系电话：010-6083 3754</w:t>
      </w:r>
    </w:p>
    <w:p w14:paraId="7B2384A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客户服务电话：400-990-8826</w:t>
      </w:r>
    </w:p>
    <w:p w14:paraId="1CA531D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传真：021-60819988</w:t>
      </w:r>
    </w:p>
    <w:p w14:paraId="0876EFD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网址：www.citicsf.com</w:t>
      </w:r>
    </w:p>
    <w:p w14:paraId="55DBA495"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(124) 中正达广</w:t>
      </w:r>
    </w:p>
    <w:p w14:paraId="6645B8A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注册地址：上海市徐汇区龙腾大道2815号302室</w:t>
      </w:r>
    </w:p>
    <w:p w14:paraId="1BCAA8C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办公地址：上海市徐汇区龙腾大道2815号302室</w:t>
      </w:r>
    </w:p>
    <w:p w14:paraId="48BAA62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法定代表人：黄欣</w:t>
      </w:r>
    </w:p>
    <w:p w14:paraId="3B84EC4D"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联系人：戴珉微</w:t>
      </w:r>
    </w:p>
    <w:p w14:paraId="756A2068"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联系电话：021-33768132</w:t>
      </w:r>
    </w:p>
    <w:p w14:paraId="036A3F34"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客户服务电话：400-6767-523</w:t>
      </w:r>
    </w:p>
    <w:p w14:paraId="1E07667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传真：021-33768132-802</w:t>
      </w:r>
    </w:p>
    <w:p w14:paraId="1CF29C07"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lastRenderedPageBreak/>
        <w:t>网址：www.zhongzhengfund.com</w:t>
      </w:r>
    </w:p>
    <w:p w14:paraId="2258863F"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(125) 中证金牛</w:t>
      </w:r>
    </w:p>
    <w:p w14:paraId="3922E03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注册地址：北京市丰台区东管头1号2号楼2-45室</w:t>
      </w:r>
    </w:p>
    <w:p w14:paraId="0A00D389"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办公地址：北京市西城区宣武门外大街甲1号环球财讯中心A座5层</w:t>
      </w:r>
    </w:p>
    <w:p w14:paraId="5CBFE6AA"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法定代表人：钱昊旻</w:t>
      </w:r>
    </w:p>
    <w:p w14:paraId="4900F4EE"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联系人：沈晨</w:t>
      </w:r>
    </w:p>
    <w:p w14:paraId="44C11AE3"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联系电话：010-59336544</w:t>
      </w:r>
    </w:p>
    <w:p w14:paraId="3F315ACB"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客户服务电话：4008-909-998</w:t>
      </w:r>
    </w:p>
    <w:p w14:paraId="6374FFE6" w14:textId="77777777" w:rsidR="00A619D8" w:rsidRPr="00E97AFD" w:rsidRDefault="00A619D8" w:rsidP="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网址：www.jnlc.com</w:t>
      </w:r>
    </w:p>
    <w:p w14:paraId="3BD26B5C" w14:textId="6D32CE13" w:rsidR="0027563B" w:rsidRPr="00E97AFD" w:rsidRDefault="00A619D8">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注：晋商银行、顺德农村商业银行、天津农商银行、无锡农村商业银行、腾安基金、微众银行仅销售本基金A类基金份额，详见相关公告。</w:t>
      </w:r>
    </w:p>
    <w:p w14:paraId="5880266F" w14:textId="77777777" w:rsidR="00BA4B87" w:rsidRPr="00E97AFD" w:rsidRDefault="00BA4B87" w:rsidP="00966694">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rPr>
        <w:t>(二)基金登记机构</w:t>
      </w:r>
      <w:bookmarkEnd w:id="33"/>
    </w:p>
    <w:p w14:paraId="474F64B0" w14:textId="77777777" w:rsidR="00BA4B87" w:rsidRPr="00E97AFD" w:rsidRDefault="00BA4B87" w:rsidP="00966694">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rPr>
        <w:t>名称：易方达基金管理有限公司</w:t>
      </w:r>
    </w:p>
    <w:p w14:paraId="4BD69126" w14:textId="77777777" w:rsidR="00BA4B87" w:rsidRPr="00E97AFD" w:rsidRDefault="00BA4B87" w:rsidP="00966694">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rPr>
        <w:t>注册地址：</w:t>
      </w:r>
      <w:r w:rsidR="00D0274B" w:rsidRPr="00E97AFD">
        <w:rPr>
          <w:rFonts w:asciiTheme="minorEastAsia" w:eastAsiaTheme="minorEastAsia" w:hAnsiTheme="minorEastAsia" w:hint="eastAsia"/>
        </w:rPr>
        <w:t>广东省珠海市横琴新区宝华路6号105室－42891（集中办公区）</w:t>
      </w:r>
    </w:p>
    <w:p w14:paraId="018B3726" w14:textId="77777777" w:rsidR="00BA4B87" w:rsidRPr="00E97AFD" w:rsidRDefault="00BA4B87" w:rsidP="00966694">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rPr>
        <w:t>办公地址：</w:t>
      </w:r>
      <w:r w:rsidR="006E6F7C" w:rsidRPr="00E97AFD">
        <w:rPr>
          <w:rFonts w:asciiTheme="minorEastAsia" w:eastAsiaTheme="minorEastAsia" w:hAnsiTheme="minorEastAsia" w:hint="eastAsia"/>
        </w:rPr>
        <w:t>广州市天河区珠江新城珠江东路30号广州银行大厦40-43楼</w:t>
      </w:r>
    </w:p>
    <w:p w14:paraId="54CF6633" w14:textId="77777777" w:rsidR="00BA4B87" w:rsidRPr="00E97AFD" w:rsidRDefault="00BA4B87" w:rsidP="00966694">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rPr>
        <w:t>法定代表人：</w:t>
      </w:r>
      <w:r w:rsidR="002938C2" w:rsidRPr="00E97AFD">
        <w:rPr>
          <w:rFonts w:asciiTheme="minorEastAsia" w:eastAsiaTheme="minorEastAsia" w:hAnsiTheme="minorEastAsia" w:hint="eastAsia"/>
        </w:rPr>
        <w:t>刘晓艳</w:t>
      </w:r>
    </w:p>
    <w:p w14:paraId="3390919D" w14:textId="77777777" w:rsidR="00BA4B87" w:rsidRPr="00E97AFD" w:rsidRDefault="00BA4B87" w:rsidP="00966694">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rPr>
        <w:t>电话：4008818088</w:t>
      </w:r>
    </w:p>
    <w:p w14:paraId="4C2F063B" w14:textId="77777777" w:rsidR="00BA4B87" w:rsidRPr="00E97AFD" w:rsidRDefault="00BA4B87" w:rsidP="00966694">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rPr>
        <w:t>传真：020-38799249</w:t>
      </w:r>
    </w:p>
    <w:p w14:paraId="430EE93D" w14:textId="77777777" w:rsidR="006A1FFC" w:rsidRPr="00E97AFD" w:rsidRDefault="00BA4B87" w:rsidP="00966694">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rPr>
        <w:t>联系人：余贤高</w:t>
      </w:r>
    </w:p>
    <w:p w14:paraId="2E16A0E7" w14:textId="77777777" w:rsidR="00BA4B87" w:rsidRPr="00E97AFD" w:rsidRDefault="00BA4B87" w:rsidP="00966694">
      <w:pPr>
        <w:snapToGrid w:val="0"/>
        <w:spacing w:line="360" w:lineRule="auto"/>
        <w:ind w:firstLineChars="236" w:firstLine="496"/>
        <w:rPr>
          <w:rFonts w:asciiTheme="minorEastAsia" w:eastAsiaTheme="minorEastAsia" w:hAnsiTheme="minorEastAsia"/>
        </w:rPr>
      </w:pPr>
      <w:bookmarkStart w:id="34" w:name="_Toc327734812"/>
      <w:r w:rsidRPr="00E97AFD">
        <w:rPr>
          <w:rFonts w:asciiTheme="minorEastAsia" w:eastAsiaTheme="minorEastAsia" w:hAnsiTheme="minorEastAsia"/>
        </w:rPr>
        <w:t>(三)律师事务所和经办律师</w:t>
      </w:r>
      <w:bookmarkEnd w:id="34"/>
    </w:p>
    <w:p w14:paraId="35278C4B" w14:textId="77777777" w:rsidR="00923DBF" w:rsidRPr="00E97AFD" w:rsidRDefault="00923DBF" w:rsidP="00966694">
      <w:pPr>
        <w:snapToGrid w:val="0"/>
        <w:spacing w:line="360" w:lineRule="auto"/>
        <w:ind w:firstLineChars="250" w:firstLine="525"/>
        <w:rPr>
          <w:rFonts w:asciiTheme="minorEastAsia" w:eastAsiaTheme="minorEastAsia" w:hAnsiTheme="minorEastAsia"/>
        </w:rPr>
      </w:pPr>
      <w:r w:rsidRPr="00E97AFD">
        <w:rPr>
          <w:rFonts w:asciiTheme="minorEastAsia" w:eastAsiaTheme="minorEastAsia" w:hAnsiTheme="minorEastAsia" w:hint="eastAsia"/>
        </w:rPr>
        <w:t>律师</w:t>
      </w:r>
      <w:r w:rsidR="00226CE4" w:rsidRPr="00E97AFD">
        <w:rPr>
          <w:rFonts w:asciiTheme="minorEastAsia" w:eastAsiaTheme="minorEastAsia" w:hAnsiTheme="minorEastAsia" w:hint="eastAsia"/>
        </w:rPr>
        <w:t>事务所：北京德恒律师事务所</w:t>
      </w:r>
    </w:p>
    <w:p w14:paraId="493DF2EF" w14:textId="77777777" w:rsidR="00226CE4" w:rsidRPr="00E97AFD" w:rsidRDefault="00226CE4" w:rsidP="00966694">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地址：</w:t>
      </w:r>
      <w:r w:rsidRPr="00E97AFD">
        <w:rPr>
          <w:rFonts w:asciiTheme="minorEastAsia" w:eastAsiaTheme="minorEastAsia" w:hAnsiTheme="minorEastAsia" w:hint="eastAsia"/>
          <w:szCs w:val="21"/>
        </w:rPr>
        <w:t>北京市西城区金融街</w:t>
      </w:r>
      <w:r w:rsidRPr="00E97AFD">
        <w:rPr>
          <w:rFonts w:asciiTheme="minorEastAsia" w:eastAsiaTheme="minorEastAsia" w:hAnsiTheme="minorEastAsia"/>
          <w:szCs w:val="21"/>
        </w:rPr>
        <w:t>19</w:t>
      </w:r>
      <w:r w:rsidRPr="00E97AFD">
        <w:rPr>
          <w:rFonts w:asciiTheme="minorEastAsia" w:eastAsiaTheme="minorEastAsia" w:hAnsiTheme="minorEastAsia" w:hint="eastAsia"/>
          <w:szCs w:val="21"/>
        </w:rPr>
        <w:t>号富凯大厦</w:t>
      </w:r>
      <w:r w:rsidRPr="00E97AFD">
        <w:rPr>
          <w:rFonts w:asciiTheme="minorEastAsia" w:eastAsiaTheme="minorEastAsia" w:hAnsiTheme="minorEastAsia"/>
          <w:szCs w:val="21"/>
        </w:rPr>
        <w:t>B</w:t>
      </w:r>
      <w:r w:rsidRPr="00E97AFD">
        <w:rPr>
          <w:rFonts w:asciiTheme="minorEastAsia" w:eastAsiaTheme="minorEastAsia" w:hAnsiTheme="minorEastAsia" w:hint="eastAsia"/>
          <w:szCs w:val="21"/>
        </w:rPr>
        <w:t>座</w:t>
      </w:r>
      <w:r w:rsidRPr="00E97AFD">
        <w:rPr>
          <w:rFonts w:asciiTheme="minorEastAsia" w:eastAsiaTheme="minorEastAsia" w:hAnsiTheme="minorEastAsia"/>
          <w:szCs w:val="21"/>
        </w:rPr>
        <w:t>12</w:t>
      </w:r>
      <w:r w:rsidRPr="00E97AFD">
        <w:rPr>
          <w:rFonts w:asciiTheme="minorEastAsia" w:eastAsiaTheme="minorEastAsia" w:hAnsiTheme="minorEastAsia" w:hint="eastAsia"/>
          <w:szCs w:val="21"/>
        </w:rPr>
        <w:t>层</w:t>
      </w:r>
    </w:p>
    <w:p w14:paraId="689DA4EC" w14:textId="77777777" w:rsidR="00226CE4" w:rsidRPr="00E97AFD" w:rsidRDefault="00226CE4" w:rsidP="00966694">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负责人：</w:t>
      </w:r>
      <w:r w:rsidRPr="00E97AFD">
        <w:rPr>
          <w:rFonts w:asciiTheme="minorEastAsia" w:eastAsiaTheme="minorEastAsia" w:hAnsiTheme="minorEastAsia" w:hint="eastAsia"/>
          <w:szCs w:val="21"/>
        </w:rPr>
        <w:t>王丽</w:t>
      </w:r>
    </w:p>
    <w:p w14:paraId="02CCD35F" w14:textId="77777777" w:rsidR="00226CE4" w:rsidRPr="00E97AFD" w:rsidRDefault="00226CE4" w:rsidP="00966694">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电话：0</w:t>
      </w:r>
      <w:r w:rsidRPr="00E97AFD">
        <w:rPr>
          <w:rFonts w:asciiTheme="minorEastAsia" w:eastAsiaTheme="minorEastAsia" w:hAnsiTheme="minorEastAsia"/>
          <w:szCs w:val="21"/>
        </w:rPr>
        <w:t>10-52682888</w:t>
      </w:r>
    </w:p>
    <w:p w14:paraId="06D58AA1" w14:textId="77777777" w:rsidR="00226CE4" w:rsidRPr="00E97AFD" w:rsidRDefault="00226CE4" w:rsidP="00966694">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传真：</w:t>
      </w:r>
      <w:r w:rsidRPr="00E97AFD">
        <w:rPr>
          <w:rFonts w:asciiTheme="minorEastAsia" w:eastAsiaTheme="minorEastAsia" w:hAnsiTheme="minorEastAsia"/>
          <w:szCs w:val="21"/>
        </w:rPr>
        <w:t>010-52682999</w:t>
      </w:r>
    </w:p>
    <w:p w14:paraId="4933EEEC" w14:textId="77777777" w:rsidR="00226CE4" w:rsidRPr="00E97AFD" w:rsidRDefault="00226CE4" w:rsidP="00966694">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经办律师：</w:t>
      </w:r>
      <w:r w:rsidRPr="00E97AFD">
        <w:rPr>
          <w:rFonts w:asciiTheme="minorEastAsia" w:eastAsiaTheme="minorEastAsia" w:hAnsiTheme="minorEastAsia" w:hint="eastAsia"/>
          <w:szCs w:val="21"/>
        </w:rPr>
        <w:t>徐建军、刘焕志</w:t>
      </w:r>
    </w:p>
    <w:p w14:paraId="6861B98D" w14:textId="77777777" w:rsidR="008D4032" w:rsidRPr="00E97AFD" w:rsidRDefault="00226CE4" w:rsidP="00966694">
      <w:pPr>
        <w:snapToGrid w:val="0"/>
        <w:spacing w:line="360" w:lineRule="auto"/>
        <w:ind w:firstLineChars="236" w:firstLine="496"/>
        <w:rPr>
          <w:rFonts w:asciiTheme="minorEastAsia" w:eastAsiaTheme="minorEastAsia" w:hAnsiTheme="minorEastAsia"/>
        </w:rPr>
      </w:pPr>
      <w:r w:rsidRPr="00E97AFD">
        <w:rPr>
          <w:rFonts w:asciiTheme="minorEastAsia" w:eastAsiaTheme="minorEastAsia" w:hAnsiTheme="minorEastAsia" w:hint="eastAsia"/>
        </w:rPr>
        <w:t>联系人：</w:t>
      </w:r>
      <w:r w:rsidRPr="00E97AFD">
        <w:rPr>
          <w:rFonts w:asciiTheme="minorEastAsia" w:eastAsiaTheme="minorEastAsia" w:hAnsiTheme="minorEastAsia" w:hint="eastAsia"/>
          <w:szCs w:val="21"/>
        </w:rPr>
        <w:t>徐建军</w:t>
      </w:r>
    </w:p>
    <w:p w14:paraId="08184160" w14:textId="77777777" w:rsidR="00BA4B87" w:rsidRPr="00E97AFD" w:rsidRDefault="00BA4B87" w:rsidP="00966694">
      <w:pPr>
        <w:snapToGrid w:val="0"/>
        <w:spacing w:line="360" w:lineRule="auto"/>
        <w:ind w:firstLineChars="200" w:firstLine="420"/>
        <w:rPr>
          <w:rFonts w:asciiTheme="minorEastAsia" w:eastAsiaTheme="minorEastAsia" w:hAnsiTheme="minorEastAsia"/>
          <w:szCs w:val="21"/>
        </w:rPr>
      </w:pPr>
      <w:bookmarkStart w:id="35" w:name="_Toc327734813"/>
      <w:r w:rsidRPr="00E97AFD">
        <w:rPr>
          <w:rFonts w:asciiTheme="minorEastAsia" w:eastAsiaTheme="minorEastAsia" w:hAnsiTheme="minorEastAsia"/>
          <w:szCs w:val="21"/>
        </w:rPr>
        <w:t>(四)会计师事务所和经办注册会计师</w:t>
      </w:r>
      <w:bookmarkEnd w:id="35"/>
    </w:p>
    <w:p w14:paraId="2590A99D" w14:textId="77777777" w:rsidR="00F5543F" w:rsidRPr="00E97AFD" w:rsidRDefault="00F5543F"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本基金的法定验资机构为安永华明会计师事务所（特殊普通合伙）。</w:t>
      </w:r>
    </w:p>
    <w:p w14:paraId="39C7A62E" w14:textId="77777777" w:rsidR="00F5543F" w:rsidRPr="00E97AFD" w:rsidRDefault="00F5543F"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会计师事务所：安永华明会计师事务所（特殊普通合伙）</w:t>
      </w:r>
    </w:p>
    <w:p w14:paraId="3B3F0AC1" w14:textId="77777777" w:rsidR="00F5543F" w:rsidRPr="00E97AFD" w:rsidRDefault="00F5543F"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主要经营场所：北京市东城区东长安街1号东方广场安永大楼17层01-12室</w:t>
      </w:r>
    </w:p>
    <w:p w14:paraId="7C8C51FF" w14:textId="77777777" w:rsidR="00F5543F" w:rsidRPr="00E97AFD" w:rsidRDefault="00F5543F"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执行事务合伙人：NgAlbertKongPing吴港平</w:t>
      </w:r>
    </w:p>
    <w:p w14:paraId="2E329335" w14:textId="77777777" w:rsidR="00F5543F" w:rsidRPr="00E97AFD" w:rsidRDefault="00F5543F"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电话：010-58153000</w:t>
      </w:r>
    </w:p>
    <w:p w14:paraId="65461D90" w14:textId="77777777" w:rsidR="00F5543F" w:rsidRPr="00E97AFD" w:rsidRDefault="00F5543F"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传真：010-85188298</w:t>
      </w:r>
    </w:p>
    <w:p w14:paraId="4DE8F7D3" w14:textId="77777777" w:rsidR="00F5543F" w:rsidRPr="00E97AFD" w:rsidRDefault="00F5543F"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lastRenderedPageBreak/>
        <w:t>经办注册会计师：昌华、周刚</w:t>
      </w:r>
    </w:p>
    <w:p w14:paraId="7D7843AC" w14:textId="77777777" w:rsidR="00F5543F" w:rsidRPr="00E97AFD" w:rsidRDefault="00F5543F"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联系人：许建辉</w:t>
      </w:r>
    </w:p>
    <w:p w14:paraId="09C91E84" w14:textId="77777777" w:rsidR="00C05C75" w:rsidRPr="00E97AFD" w:rsidRDefault="00C05C75" w:rsidP="00966694">
      <w:pPr>
        <w:snapToGrid w:val="0"/>
        <w:spacing w:line="360" w:lineRule="auto"/>
        <w:ind w:firstLine="420"/>
        <w:rPr>
          <w:rFonts w:asciiTheme="minorEastAsia" w:eastAsiaTheme="minorEastAsia" w:hAnsiTheme="minorEastAsia"/>
        </w:rPr>
      </w:pPr>
      <w:r w:rsidRPr="00E97AFD">
        <w:rPr>
          <w:rFonts w:asciiTheme="minorEastAsia" w:eastAsiaTheme="minorEastAsia" w:hAnsiTheme="minorEastAsia" w:hint="eastAsia"/>
        </w:rPr>
        <w:t>本基金的年度财务报表及其他规定事项的审计机构为普华永道中天会计师事务所(特殊普通合伙)。</w:t>
      </w:r>
    </w:p>
    <w:p w14:paraId="03A45957" w14:textId="77777777" w:rsidR="00C05C75" w:rsidRPr="00E97AFD" w:rsidRDefault="00C05C75"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会计师事务所：普华永道中天会计师事务所（特殊普通合伙）</w:t>
      </w:r>
    </w:p>
    <w:p w14:paraId="53041899" w14:textId="77777777" w:rsidR="00C05C75" w:rsidRPr="00E97AFD" w:rsidRDefault="00C05C75"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住所：</w:t>
      </w:r>
      <w:r w:rsidR="00C00CF1" w:rsidRPr="00E97AFD">
        <w:rPr>
          <w:rFonts w:asciiTheme="minorEastAsia" w:eastAsiaTheme="minorEastAsia" w:hAnsiTheme="minorEastAsia" w:hint="eastAsia"/>
          <w:szCs w:val="21"/>
        </w:rPr>
        <w:t>上海市湖滨路202号普华永道中心11楼</w:t>
      </w:r>
    </w:p>
    <w:p w14:paraId="5F30960C" w14:textId="77777777" w:rsidR="00C05C75" w:rsidRPr="00E97AFD" w:rsidRDefault="00C05C75"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办公地址：上海市湖滨路202号普华永道中心11楼</w:t>
      </w:r>
    </w:p>
    <w:p w14:paraId="65F93CD9" w14:textId="77777777" w:rsidR="00C05C75" w:rsidRPr="00E97AFD" w:rsidRDefault="00C05C75"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首席合伙人：李丹</w:t>
      </w:r>
    </w:p>
    <w:p w14:paraId="25A03FA7" w14:textId="77777777" w:rsidR="00C05C75" w:rsidRPr="00E97AFD" w:rsidRDefault="00C05C75"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电话：（021）23238888</w:t>
      </w:r>
    </w:p>
    <w:p w14:paraId="0FB6B5F3" w14:textId="77777777" w:rsidR="00C05C75" w:rsidRPr="00E97AFD" w:rsidRDefault="00C05C75"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传真：（021）23238800</w:t>
      </w:r>
    </w:p>
    <w:p w14:paraId="6F6EDB4E" w14:textId="77777777" w:rsidR="00C05C75" w:rsidRPr="00E97AFD" w:rsidRDefault="00C05C75"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经办注册会计师：</w:t>
      </w:r>
      <w:r w:rsidR="00F23D67" w:rsidRPr="00E97AFD">
        <w:rPr>
          <w:rFonts w:asciiTheme="minorEastAsia" w:eastAsiaTheme="minorEastAsia" w:hAnsiTheme="minorEastAsia" w:hint="eastAsia"/>
        </w:rPr>
        <w:t>陈熹、周祎</w:t>
      </w:r>
    </w:p>
    <w:p w14:paraId="0AE029BD" w14:textId="77777777" w:rsidR="00C05C75" w:rsidRPr="00E97AFD" w:rsidRDefault="00C05C75"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联系人：</w:t>
      </w:r>
      <w:r w:rsidR="00C00CF1" w:rsidRPr="00E97AFD">
        <w:rPr>
          <w:rFonts w:asciiTheme="minorEastAsia" w:eastAsiaTheme="minorEastAsia" w:hAnsiTheme="minorEastAsia" w:hint="eastAsia"/>
          <w:szCs w:val="21"/>
        </w:rPr>
        <w:t>周祎</w:t>
      </w:r>
    </w:p>
    <w:p w14:paraId="54ADE870" w14:textId="77777777" w:rsidR="00F5543F" w:rsidRPr="00E97AFD" w:rsidRDefault="00F5543F" w:rsidP="00966694">
      <w:pPr>
        <w:snapToGrid w:val="0"/>
        <w:spacing w:line="360" w:lineRule="auto"/>
        <w:ind w:firstLineChars="236" w:firstLine="496"/>
        <w:rPr>
          <w:rFonts w:asciiTheme="minorEastAsia" w:eastAsiaTheme="minorEastAsia" w:hAnsiTheme="minorEastAsia"/>
        </w:rPr>
      </w:pPr>
    </w:p>
    <w:p w14:paraId="2EBAF40B" w14:textId="77777777" w:rsidR="00712A55" w:rsidRPr="00E97AFD" w:rsidRDefault="00712A55" w:rsidP="00966694">
      <w:pPr>
        <w:pStyle w:val="1"/>
        <w:pageBreakBefore/>
        <w:snapToGrid w:val="0"/>
        <w:spacing w:beforeLines="0" w:afterLines="0" w:line="360" w:lineRule="auto"/>
        <w:ind w:firstLine="643"/>
        <w:rPr>
          <w:rFonts w:asciiTheme="minorEastAsia" w:eastAsiaTheme="minorEastAsia" w:hAnsiTheme="minorEastAsia"/>
          <w:b/>
          <w:bCs/>
        </w:rPr>
      </w:pPr>
      <w:bookmarkStart w:id="36" w:name="_Toc327734814"/>
      <w:bookmarkStart w:id="37" w:name="_Toc43371976"/>
      <w:r w:rsidRPr="00E97AFD">
        <w:rPr>
          <w:rFonts w:asciiTheme="minorEastAsia" w:eastAsiaTheme="minorEastAsia" w:hAnsiTheme="minorEastAsia" w:hint="eastAsia"/>
          <w:b/>
          <w:bCs/>
        </w:rPr>
        <w:lastRenderedPageBreak/>
        <w:t>六、基金份额的分类</w:t>
      </w:r>
      <w:bookmarkEnd w:id="36"/>
      <w:bookmarkEnd w:id="37"/>
    </w:p>
    <w:p w14:paraId="55311E4A" w14:textId="77777777" w:rsidR="00712A55" w:rsidRPr="00E97AFD" w:rsidRDefault="00712A55" w:rsidP="00966694">
      <w:pPr>
        <w:snapToGrid w:val="0"/>
        <w:spacing w:line="360" w:lineRule="auto"/>
        <w:ind w:firstLineChars="200" w:firstLine="420"/>
        <w:rPr>
          <w:rFonts w:asciiTheme="minorEastAsia" w:eastAsiaTheme="minorEastAsia" w:hAnsiTheme="minorEastAsia"/>
          <w:szCs w:val="21"/>
        </w:rPr>
      </w:pPr>
      <w:bookmarkStart w:id="38" w:name="_Toc327734815"/>
      <w:r w:rsidRPr="00E97AFD">
        <w:rPr>
          <w:rFonts w:asciiTheme="minorEastAsia" w:eastAsiaTheme="minorEastAsia" w:hAnsiTheme="minorEastAsia"/>
          <w:szCs w:val="21"/>
        </w:rPr>
        <w:t>(一)</w:t>
      </w:r>
      <w:r w:rsidRPr="00E97AFD">
        <w:rPr>
          <w:rFonts w:asciiTheme="minorEastAsia" w:eastAsiaTheme="minorEastAsia" w:hAnsiTheme="minorEastAsia" w:hint="eastAsia"/>
          <w:szCs w:val="21"/>
        </w:rPr>
        <w:t>基金份额分类</w:t>
      </w:r>
      <w:bookmarkEnd w:id="38"/>
    </w:p>
    <w:p w14:paraId="5863E3FC" w14:textId="77777777" w:rsidR="00712A55" w:rsidRPr="00E97AFD" w:rsidRDefault="00712A55"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本基金分为A类基金份额、B类基金份额，两类基金份额按照不同的费率计提销售服务费用，分别单独设置基金代码，并分别公布每万份基金已实现收益和七日年化收益率。</w:t>
      </w:r>
    </w:p>
    <w:p w14:paraId="0B2E11FE" w14:textId="77777777" w:rsidR="00712A55" w:rsidRPr="00E97AFD" w:rsidRDefault="00712A55"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根据基金实际运作情况，</w:t>
      </w:r>
      <w:r w:rsidR="00730FD5" w:rsidRPr="00E97AFD">
        <w:rPr>
          <w:rFonts w:asciiTheme="minorEastAsia" w:eastAsiaTheme="minorEastAsia" w:hAnsiTheme="minorEastAsia" w:hint="eastAsia"/>
          <w:szCs w:val="21"/>
        </w:rPr>
        <w:t>在不违反法律法规且对基金份额持有人利益无实质不利影响的前提下，</w:t>
      </w:r>
      <w:r w:rsidRPr="00E97AFD">
        <w:rPr>
          <w:rFonts w:asciiTheme="minorEastAsia" w:eastAsiaTheme="minorEastAsia" w:hAnsiTheme="minorEastAsia" w:hint="eastAsia"/>
          <w:szCs w:val="21"/>
        </w:rPr>
        <w:t>基金管理人可对基金份额分类规则和办法进行调整并提前公告。</w:t>
      </w:r>
    </w:p>
    <w:p w14:paraId="0174EFC7" w14:textId="77777777" w:rsidR="00712A55" w:rsidRPr="00E97AFD" w:rsidRDefault="00712A55" w:rsidP="00966694">
      <w:pPr>
        <w:snapToGrid w:val="0"/>
        <w:spacing w:line="360" w:lineRule="auto"/>
        <w:ind w:firstLineChars="200" w:firstLine="420"/>
        <w:rPr>
          <w:rFonts w:asciiTheme="minorEastAsia" w:eastAsiaTheme="minorEastAsia" w:hAnsiTheme="minorEastAsia"/>
          <w:szCs w:val="21"/>
        </w:rPr>
      </w:pPr>
      <w:bookmarkStart w:id="39" w:name="_Toc327734816"/>
      <w:r w:rsidRPr="00E97AFD">
        <w:rPr>
          <w:rFonts w:asciiTheme="minorEastAsia" w:eastAsiaTheme="minorEastAsia" w:hAnsiTheme="minorEastAsia"/>
          <w:szCs w:val="21"/>
        </w:rPr>
        <w:t>(</w:t>
      </w:r>
      <w:r w:rsidRPr="00E97AFD">
        <w:rPr>
          <w:rFonts w:asciiTheme="minorEastAsia" w:eastAsiaTheme="minorEastAsia" w:hAnsiTheme="minorEastAsia" w:hint="eastAsia"/>
          <w:szCs w:val="21"/>
        </w:rPr>
        <w:t>二</w:t>
      </w:r>
      <w:r w:rsidRPr="00E97AFD">
        <w:rPr>
          <w:rFonts w:asciiTheme="minorEastAsia" w:eastAsiaTheme="minorEastAsia" w:hAnsiTheme="minorEastAsia"/>
          <w:szCs w:val="21"/>
        </w:rPr>
        <w:t>)</w:t>
      </w:r>
      <w:r w:rsidRPr="00E97AFD">
        <w:rPr>
          <w:rFonts w:asciiTheme="minorEastAsia" w:eastAsiaTheme="minorEastAsia" w:hAnsiTheme="minorEastAsia" w:hint="eastAsia"/>
          <w:szCs w:val="21"/>
        </w:rPr>
        <w:t>基金份额类别的限制</w:t>
      </w:r>
      <w:bookmarkEnd w:id="39"/>
    </w:p>
    <w:p w14:paraId="7E1F691A" w14:textId="77777777" w:rsidR="00712A55" w:rsidRPr="00E97AFD" w:rsidRDefault="00712A55"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投资者可根据认购、申购限额选择不同的基金份额类别。</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2"/>
        <w:gridCol w:w="2736"/>
        <w:gridCol w:w="1904"/>
      </w:tblGrid>
      <w:tr w:rsidR="00E97AFD" w:rsidRPr="00E97AFD" w14:paraId="23162423" w14:textId="77777777" w:rsidTr="00D46EEB">
        <w:trPr>
          <w:trHeight w:val="159"/>
          <w:jc w:val="center"/>
        </w:trPr>
        <w:tc>
          <w:tcPr>
            <w:tcW w:w="2278" w:type="pct"/>
            <w:vAlign w:val="center"/>
          </w:tcPr>
          <w:p w14:paraId="160FF30D" w14:textId="77777777" w:rsidR="00712A55" w:rsidRPr="00E97AFD" w:rsidRDefault="00712A55" w:rsidP="00966694">
            <w:pPr>
              <w:autoSpaceDE w:val="0"/>
              <w:autoSpaceDN w:val="0"/>
              <w:adjustRightInd w:val="0"/>
              <w:snapToGrid w:val="0"/>
              <w:spacing w:line="360" w:lineRule="auto"/>
              <w:jc w:val="center"/>
              <w:rPr>
                <w:rFonts w:asciiTheme="minorEastAsia" w:eastAsiaTheme="minorEastAsia" w:hAnsiTheme="minorEastAsia" w:cs="宋体S....."/>
                <w:b/>
                <w:kern w:val="0"/>
                <w:szCs w:val="21"/>
              </w:rPr>
            </w:pPr>
            <w:r w:rsidRPr="00E97AFD">
              <w:rPr>
                <w:rFonts w:asciiTheme="minorEastAsia" w:eastAsiaTheme="minorEastAsia" w:hAnsiTheme="minorEastAsia" w:cs="宋体S....." w:hint="eastAsia"/>
                <w:b/>
                <w:kern w:val="0"/>
                <w:szCs w:val="21"/>
              </w:rPr>
              <w:t>份额类别</w:t>
            </w:r>
          </w:p>
        </w:tc>
        <w:tc>
          <w:tcPr>
            <w:tcW w:w="1605" w:type="pct"/>
            <w:vAlign w:val="center"/>
          </w:tcPr>
          <w:p w14:paraId="7CEBE840" w14:textId="77777777" w:rsidR="00712A55" w:rsidRPr="00E97AFD" w:rsidRDefault="00712A55" w:rsidP="00966694">
            <w:pPr>
              <w:autoSpaceDE w:val="0"/>
              <w:autoSpaceDN w:val="0"/>
              <w:adjustRightInd w:val="0"/>
              <w:snapToGrid w:val="0"/>
              <w:spacing w:line="360" w:lineRule="auto"/>
              <w:jc w:val="center"/>
              <w:rPr>
                <w:rFonts w:asciiTheme="minorEastAsia" w:eastAsiaTheme="minorEastAsia" w:hAnsiTheme="minorEastAsia"/>
                <w:b/>
                <w:kern w:val="0"/>
                <w:szCs w:val="21"/>
              </w:rPr>
            </w:pPr>
            <w:r w:rsidRPr="00E97AFD">
              <w:rPr>
                <w:rFonts w:asciiTheme="minorEastAsia" w:eastAsiaTheme="minorEastAsia" w:hAnsiTheme="minorEastAsia"/>
                <w:b/>
                <w:bCs/>
                <w:kern w:val="0"/>
                <w:szCs w:val="21"/>
              </w:rPr>
              <w:t>A类基金份额</w:t>
            </w:r>
          </w:p>
        </w:tc>
        <w:tc>
          <w:tcPr>
            <w:tcW w:w="1117" w:type="pct"/>
            <w:vAlign w:val="center"/>
          </w:tcPr>
          <w:p w14:paraId="0139D7BD" w14:textId="77777777" w:rsidR="00712A55" w:rsidRPr="00E97AFD" w:rsidRDefault="00712A55" w:rsidP="00966694">
            <w:pPr>
              <w:autoSpaceDE w:val="0"/>
              <w:autoSpaceDN w:val="0"/>
              <w:adjustRightInd w:val="0"/>
              <w:snapToGrid w:val="0"/>
              <w:spacing w:line="360" w:lineRule="auto"/>
              <w:jc w:val="center"/>
              <w:rPr>
                <w:rFonts w:asciiTheme="minorEastAsia" w:eastAsiaTheme="minorEastAsia" w:hAnsiTheme="minorEastAsia"/>
                <w:kern w:val="0"/>
                <w:szCs w:val="21"/>
              </w:rPr>
            </w:pPr>
            <w:r w:rsidRPr="00E97AFD">
              <w:rPr>
                <w:rFonts w:asciiTheme="minorEastAsia" w:eastAsiaTheme="minorEastAsia" w:hAnsiTheme="minorEastAsia"/>
                <w:b/>
                <w:bCs/>
                <w:kern w:val="0"/>
                <w:szCs w:val="21"/>
              </w:rPr>
              <w:t>B类基金份额</w:t>
            </w:r>
          </w:p>
        </w:tc>
      </w:tr>
      <w:tr w:rsidR="00E97AFD" w:rsidRPr="00E97AFD" w14:paraId="0C3371DB" w14:textId="77777777" w:rsidTr="00D46EEB">
        <w:trPr>
          <w:trHeight w:val="20"/>
          <w:jc w:val="center"/>
        </w:trPr>
        <w:tc>
          <w:tcPr>
            <w:tcW w:w="2278" w:type="pct"/>
            <w:vAlign w:val="center"/>
          </w:tcPr>
          <w:p w14:paraId="23750838" w14:textId="77777777" w:rsidR="008C08C3" w:rsidRPr="00E97AFD" w:rsidRDefault="008C08C3" w:rsidP="0096669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E97AFD">
              <w:rPr>
                <w:rFonts w:asciiTheme="minorEastAsia" w:eastAsiaTheme="minorEastAsia" w:hAnsiTheme="minorEastAsia" w:cs="宋体S....." w:hint="eastAsia"/>
                <w:kern w:val="0"/>
                <w:szCs w:val="21"/>
              </w:rPr>
              <w:t>首次认</w:t>
            </w:r>
            <w:r w:rsidRPr="00E97AFD">
              <w:rPr>
                <w:rFonts w:asciiTheme="minorEastAsia" w:eastAsiaTheme="minorEastAsia" w:hAnsiTheme="minorEastAsia"/>
                <w:kern w:val="0"/>
                <w:szCs w:val="21"/>
              </w:rPr>
              <w:t>/</w:t>
            </w:r>
            <w:r w:rsidRPr="00E97AFD">
              <w:rPr>
                <w:rFonts w:asciiTheme="minorEastAsia" w:eastAsiaTheme="minorEastAsia" w:hAnsiTheme="minorEastAsia" w:cs="宋体S....." w:hint="eastAsia"/>
                <w:kern w:val="0"/>
                <w:szCs w:val="21"/>
              </w:rPr>
              <w:t>申购最低金额</w:t>
            </w:r>
          </w:p>
        </w:tc>
        <w:tc>
          <w:tcPr>
            <w:tcW w:w="1605" w:type="pct"/>
            <w:vAlign w:val="center"/>
          </w:tcPr>
          <w:p w14:paraId="5BC8FF7B" w14:textId="77777777" w:rsidR="008C08C3" w:rsidRPr="00E97AFD" w:rsidRDefault="008C08C3">
            <w:pPr>
              <w:autoSpaceDE w:val="0"/>
              <w:autoSpaceDN w:val="0"/>
              <w:adjustRightInd w:val="0"/>
              <w:spacing w:line="360" w:lineRule="auto"/>
              <w:jc w:val="center"/>
              <w:rPr>
                <w:rFonts w:asciiTheme="minorEastAsia" w:eastAsiaTheme="minorEastAsia" w:hAnsiTheme="minorEastAsia" w:cs="宋体S....."/>
                <w:kern w:val="0"/>
                <w:szCs w:val="21"/>
              </w:rPr>
            </w:pPr>
            <w:r w:rsidRPr="00E97AFD">
              <w:rPr>
                <w:rFonts w:asciiTheme="minorEastAsia" w:eastAsiaTheme="minorEastAsia" w:hAnsiTheme="minorEastAsia" w:hint="eastAsia"/>
                <w:kern w:val="0"/>
                <w:szCs w:val="21"/>
              </w:rPr>
              <w:t>不进行限制</w:t>
            </w:r>
          </w:p>
          <w:p w14:paraId="48FDFD8B" w14:textId="77777777" w:rsidR="008C08C3" w:rsidRPr="00E97AFD" w:rsidRDefault="008C08C3" w:rsidP="0096669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E97AFD">
              <w:rPr>
                <w:rFonts w:asciiTheme="minorEastAsia" w:eastAsiaTheme="minorEastAsia" w:hAnsiTheme="minorEastAsia" w:cs="宋体S....." w:hint="eastAsia"/>
                <w:kern w:val="0"/>
                <w:szCs w:val="21"/>
              </w:rPr>
              <w:t>（直销中心为</w:t>
            </w:r>
            <w:r w:rsidRPr="00E97AFD">
              <w:rPr>
                <w:rFonts w:asciiTheme="minorEastAsia" w:eastAsiaTheme="minorEastAsia" w:hAnsiTheme="minorEastAsia" w:hint="eastAsia"/>
                <w:kern w:val="0"/>
                <w:szCs w:val="21"/>
              </w:rPr>
              <w:t>5</w:t>
            </w:r>
            <w:r w:rsidRPr="00E97AFD">
              <w:rPr>
                <w:rFonts w:asciiTheme="minorEastAsia" w:eastAsiaTheme="minorEastAsia" w:hAnsiTheme="minorEastAsia" w:cs="宋体S....." w:hint="eastAsia"/>
                <w:kern w:val="0"/>
                <w:szCs w:val="21"/>
              </w:rPr>
              <w:t>万元）</w:t>
            </w:r>
          </w:p>
        </w:tc>
        <w:tc>
          <w:tcPr>
            <w:tcW w:w="1117" w:type="pct"/>
            <w:vAlign w:val="center"/>
          </w:tcPr>
          <w:p w14:paraId="52F49636" w14:textId="77777777" w:rsidR="008C08C3" w:rsidRPr="00E97AFD" w:rsidRDefault="008C08C3" w:rsidP="0096669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E97AFD">
              <w:rPr>
                <w:rFonts w:asciiTheme="minorEastAsia" w:eastAsiaTheme="minorEastAsia" w:hAnsiTheme="minorEastAsia" w:hint="eastAsia"/>
                <w:kern w:val="0"/>
                <w:szCs w:val="21"/>
              </w:rPr>
              <w:t>500万</w:t>
            </w:r>
            <w:r w:rsidRPr="00E97AFD">
              <w:rPr>
                <w:rFonts w:asciiTheme="minorEastAsia" w:eastAsiaTheme="minorEastAsia" w:hAnsiTheme="minorEastAsia" w:cs="宋体S....." w:hint="eastAsia"/>
                <w:kern w:val="0"/>
                <w:szCs w:val="21"/>
              </w:rPr>
              <w:t>元</w:t>
            </w:r>
          </w:p>
        </w:tc>
      </w:tr>
      <w:tr w:rsidR="00E97AFD" w:rsidRPr="00E97AFD" w14:paraId="72226D53" w14:textId="77777777" w:rsidTr="00D46EEB">
        <w:trPr>
          <w:trHeight w:val="20"/>
          <w:jc w:val="center"/>
        </w:trPr>
        <w:tc>
          <w:tcPr>
            <w:tcW w:w="2278" w:type="pct"/>
            <w:vAlign w:val="center"/>
          </w:tcPr>
          <w:p w14:paraId="2CA3A90A" w14:textId="77777777" w:rsidR="008C08C3" w:rsidRPr="00E97AFD" w:rsidRDefault="008C08C3" w:rsidP="0096669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E97AFD">
              <w:rPr>
                <w:rFonts w:asciiTheme="minorEastAsia" w:eastAsiaTheme="minorEastAsia" w:hAnsiTheme="minorEastAsia" w:cs="宋体S....." w:hint="eastAsia"/>
                <w:kern w:val="0"/>
                <w:szCs w:val="21"/>
              </w:rPr>
              <w:t>追加认</w:t>
            </w:r>
            <w:r w:rsidRPr="00E97AFD">
              <w:rPr>
                <w:rFonts w:asciiTheme="minorEastAsia" w:eastAsiaTheme="minorEastAsia" w:hAnsiTheme="minorEastAsia"/>
                <w:kern w:val="0"/>
                <w:szCs w:val="21"/>
              </w:rPr>
              <w:t>/</w:t>
            </w:r>
            <w:r w:rsidRPr="00E97AFD">
              <w:rPr>
                <w:rFonts w:asciiTheme="minorEastAsia" w:eastAsiaTheme="minorEastAsia" w:hAnsiTheme="minorEastAsia" w:cs="宋体S....." w:hint="eastAsia"/>
                <w:kern w:val="0"/>
                <w:szCs w:val="21"/>
              </w:rPr>
              <w:t>申购最低金额</w:t>
            </w:r>
          </w:p>
        </w:tc>
        <w:tc>
          <w:tcPr>
            <w:tcW w:w="1605" w:type="pct"/>
            <w:vAlign w:val="center"/>
          </w:tcPr>
          <w:p w14:paraId="1D98AD3E" w14:textId="77777777" w:rsidR="008C08C3" w:rsidRPr="00E97AFD" w:rsidRDefault="008C08C3">
            <w:pPr>
              <w:autoSpaceDE w:val="0"/>
              <w:autoSpaceDN w:val="0"/>
              <w:adjustRightInd w:val="0"/>
              <w:spacing w:line="360" w:lineRule="auto"/>
              <w:jc w:val="center"/>
              <w:rPr>
                <w:rFonts w:asciiTheme="minorEastAsia" w:eastAsiaTheme="minorEastAsia" w:hAnsiTheme="minorEastAsia"/>
              </w:rPr>
            </w:pPr>
            <w:r w:rsidRPr="00E97AFD">
              <w:rPr>
                <w:rFonts w:asciiTheme="minorEastAsia" w:eastAsiaTheme="minorEastAsia" w:hAnsiTheme="minorEastAsia" w:hint="eastAsia"/>
                <w:kern w:val="0"/>
                <w:szCs w:val="21"/>
              </w:rPr>
              <w:t>不进行限制</w:t>
            </w:r>
          </w:p>
          <w:p w14:paraId="053AD761" w14:textId="77777777" w:rsidR="008C08C3" w:rsidRPr="00E97AFD" w:rsidRDefault="008C08C3" w:rsidP="0096669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E97AFD">
              <w:rPr>
                <w:rFonts w:asciiTheme="minorEastAsia" w:eastAsiaTheme="minorEastAsia" w:hAnsiTheme="minorEastAsia" w:hint="eastAsia"/>
              </w:rPr>
              <w:t>（直销中心为1000元）</w:t>
            </w:r>
          </w:p>
        </w:tc>
        <w:tc>
          <w:tcPr>
            <w:tcW w:w="1117" w:type="pct"/>
            <w:vAlign w:val="center"/>
          </w:tcPr>
          <w:p w14:paraId="3D654C07" w14:textId="77777777" w:rsidR="008C08C3" w:rsidRPr="00E97AFD" w:rsidRDefault="008C08C3" w:rsidP="0096669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E97AFD">
              <w:rPr>
                <w:rFonts w:asciiTheme="minorEastAsia" w:eastAsiaTheme="minorEastAsia" w:hAnsiTheme="minorEastAsia"/>
                <w:kern w:val="0"/>
                <w:szCs w:val="21"/>
              </w:rPr>
              <w:t>1</w:t>
            </w:r>
            <w:r w:rsidRPr="00E97AFD">
              <w:rPr>
                <w:rFonts w:asciiTheme="minorEastAsia" w:eastAsiaTheme="minorEastAsia" w:hAnsiTheme="minorEastAsia" w:hint="eastAsia"/>
                <w:kern w:val="0"/>
                <w:szCs w:val="21"/>
              </w:rPr>
              <w:t>0万</w:t>
            </w:r>
            <w:r w:rsidRPr="00E97AFD">
              <w:rPr>
                <w:rFonts w:asciiTheme="minorEastAsia" w:eastAsiaTheme="minorEastAsia" w:hAnsiTheme="minorEastAsia" w:cs="宋体S....." w:hint="eastAsia"/>
                <w:kern w:val="0"/>
                <w:szCs w:val="21"/>
              </w:rPr>
              <w:t>元</w:t>
            </w:r>
          </w:p>
        </w:tc>
      </w:tr>
      <w:tr w:rsidR="00E97AFD" w:rsidRPr="00E97AFD" w14:paraId="05F031EA" w14:textId="77777777" w:rsidTr="00D46EEB">
        <w:trPr>
          <w:trHeight w:val="20"/>
          <w:jc w:val="center"/>
        </w:trPr>
        <w:tc>
          <w:tcPr>
            <w:tcW w:w="2278" w:type="pct"/>
            <w:vAlign w:val="center"/>
          </w:tcPr>
          <w:p w14:paraId="2DC8FF9E" w14:textId="77777777" w:rsidR="00712A55" w:rsidRPr="00E97AFD" w:rsidRDefault="00712A55" w:rsidP="0096669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E97AFD">
              <w:rPr>
                <w:rFonts w:asciiTheme="minorEastAsia" w:eastAsiaTheme="minorEastAsia" w:hAnsiTheme="minorEastAsia" w:cs="宋体S....." w:hint="eastAsia"/>
                <w:kern w:val="0"/>
                <w:szCs w:val="21"/>
              </w:rPr>
              <w:t>单笔赎回最低份额</w:t>
            </w:r>
          </w:p>
        </w:tc>
        <w:tc>
          <w:tcPr>
            <w:tcW w:w="1605" w:type="pct"/>
            <w:vAlign w:val="center"/>
          </w:tcPr>
          <w:p w14:paraId="13030A9F" w14:textId="77777777" w:rsidR="00712A55" w:rsidRPr="00E97AFD" w:rsidRDefault="008E35EA" w:rsidP="0096669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E97AFD">
              <w:rPr>
                <w:rFonts w:asciiTheme="minorEastAsia" w:eastAsiaTheme="minorEastAsia" w:hAnsiTheme="minorEastAsia" w:hint="eastAsia"/>
                <w:kern w:val="0"/>
                <w:szCs w:val="21"/>
              </w:rPr>
              <w:t>0</w:t>
            </w:r>
            <w:r w:rsidR="00712A55" w:rsidRPr="00E97AFD">
              <w:rPr>
                <w:rFonts w:asciiTheme="minorEastAsia" w:eastAsiaTheme="minorEastAsia" w:hAnsiTheme="minorEastAsia" w:cs="宋体S....." w:hint="eastAsia"/>
                <w:kern w:val="0"/>
                <w:szCs w:val="21"/>
              </w:rPr>
              <w:t>份</w:t>
            </w:r>
          </w:p>
        </w:tc>
        <w:tc>
          <w:tcPr>
            <w:tcW w:w="1117" w:type="pct"/>
            <w:vAlign w:val="center"/>
          </w:tcPr>
          <w:p w14:paraId="76BB2E68" w14:textId="77777777" w:rsidR="00712A55" w:rsidRPr="00E97AFD" w:rsidRDefault="008E35EA" w:rsidP="0096669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E97AFD">
              <w:rPr>
                <w:rFonts w:asciiTheme="minorEastAsia" w:eastAsiaTheme="minorEastAsia" w:hAnsiTheme="minorEastAsia" w:hint="eastAsia"/>
                <w:kern w:val="0"/>
                <w:szCs w:val="21"/>
              </w:rPr>
              <w:t>0</w:t>
            </w:r>
            <w:r w:rsidR="00712A55" w:rsidRPr="00E97AFD">
              <w:rPr>
                <w:rFonts w:asciiTheme="minorEastAsia" w:eastAsiaTheme="minorEastAsia" w:hAnsiTheme="minorEastAsia" w:cs="宋体S....." w:hint="eastAsia"/>
                <w:kern w:val="0"/>
                <w:szCs w:val="21"/>
              </w:rPr>
              <w:t>份</w:t>
            </w:r>
          </w:p>
        </w:tc>
      </w:tr>
      <w:tr w:rsidR="00E97AFD" w:rsidRPr="00E97AFD" w14:paraId="463C4739" w14:textId="77777777" w:rsidTr="00D46EEB">
        <w:trPr>
          <w:trHeight w:val="20"/>
          <w:jc w:val="center"/>
        </w:trPr>
        <w:tc>
          <w:tcPr>
            <w:tcW w:w="2278" w:type="pct"/>
            <w:vAlign w:val="center"/>
          </w:tcPr>
          <w:p w14:paraId="6AB7814C" w14:textId="77777777" w:rsidR="00712A55" w:rsidRPr="00E97AFD" w:rsidRDefault="00712A55" w:rsidP="0096669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E97AFD">
              <w:rPr>
                <w:rFonts w:asciiTheme="minorEastAsia" w:eastAsiaTheme="minorEastAsia" w:hAnsiTheme="minorEastAsia" w:cs="宋体S....." w:hint="eastAsia"/>
                <w:kern w:val="0"/>
                <w:szCs w:val="21"/>
              </w:rPr>
              <w:t>基金交易账户最低基金份额余额</w:t>
            </w:r>
          </w:p>
        </w:tc>
        <w:tc>
          <w:tcPr>
            <w:tcW w:w="1605" w:type="pct"/>
            <w:vAlign w:val="center"/>
          </w:tcPr>
          <w:p w14:paraId="1CE82FA8" w14:textId="77777777" w:rsidR="00712A55" w:rsidRPr="00E97AFD" w:rsidRDefault="00712A55" w:rsidP="0096669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E97AFD">
              <w:rPr>
                <w:rFonts w:asciiTheme="minorEastAsia" w:eastAsiaTheme="minorEastAsia" w:hAnsiTheme="minorEastAsia" w:hint="eastAsia"/>
                <w:kern w:val="0"/>
                <w:szCs w:val="21"/>
              </w:rPr>
              <w:t>0</w:t>
            </w:r>
            <w:r w:rsidRPr="00E97AFD">
              <w:rPr>
                <w:rFonts w:asciiTheme="minorEastAsia" w:eastAsiaTheme="minorEastAsia" w:hAnsiTheme="minorEastAsia" w:cs="宋体S....." w:hint="eastAsia"/>
                <w:kern w:val="0"/>
                <w:szCs w:val="21"/>
              </w:rPr>
              <w:t>份</w:t>
            </w:r>
          </w:p>
        </w:tc>
        <w:tc>
          <w:tcPr>
            <w:tcW w:w="1117" w:type="pct"/>
            <w:vAlign w:val="center"/>
          </w:tcPr>
          <w:p w14:paraId="1278FADA" w14:textId="77777777" w:rsidR="00712A55" w:rsidRPr="00E97AFD" w:rsidRDefault="00712A55" w:rsidP="0096669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E97AFD">
              <w:rPr>
                <w:rFonts w:asciiTheme="minorEastAsia" w:eastAsiaTheme="minorEastAsia" w:hAnsiTheme="minorEastAsia" w:hint="eastAsia"/>
                <w:kern w:val="0"/>
                <w:szCs w:val="21"/>
              </w:rPr>
              <w:t>0</w:t>
            </w:r>
            <w:r w:rsidRPr="00E97AFD">
              <w:rPr>
                <w:rFonts w:asciiTheme="minorEastAsia" w:eastAsiaTheme="minorEastAsia" w:hAnsiTheme="minorEastAsia" w:cs="宋体S....." w:hint="eastAsia"/>
                <w:kern w:val="0"/>
                <w:szCs w:val="21"/>
              </w:rPr>
              <w:t>份</w:t>
            </w:r>
          </w:p>
        </w:tc>
      </w:tr>
      <w:tr w:rsidR="00E97AFD" w:rsidRPr="00E97AFD" w14:paraId="05AA7931" w14:textId="77777777" w:rsidTr="00D46EEB">
        <w:trPr>
          <w:trHeight w:val="20"/>
          <w:jc w:val="center"/>
        </w:trPr>
        <w:tc>
          <w:tcPr>
            <w:tcW w:w="2278" w:type="pct"/>
            <w:vAlign w:val="center"/>
          </w:tcPr>
          <w:p w14:paraId="1185413B" w14:textId="77777777" w:rsidR="00712A55" w:rsidRPr="00E97AFD" w:rsidRDefault="00712A55" w:rsidP="00966694">
            <w:pPr>
              <w:autoSpaceDE w:val="0"/>
              <w:autoSpaceDN w:val="0"/>
              <w:adjustRightInd w:val="0"/>
              <w:snapToGrid w:val="0"/>
              <w:spacing w:line="360" w:lineRule="auto"/>
              <w:jc w:val="center"/>
              <w:rPr>
                <w:rFonts w:asciiTheme="minorEastAsia" w:eastAsiaTheme="minorEastAsia" w:hAnsiTheme="minorEastAsia"/>
                <w:bCs/>
                <w:szCs w:val="20"/>
              </w:rPr>
            </w:pPr>
            <w:r w:rsidRPr="00E97AFD">
              <w:rPr>
                <w:rFonts w:asciiTheme="minorEastAsia" w:eastAsiaTheme="minorEastAsia" w:hAnsiTheme="minorEastAsia" w:hint="eastAsia"/>
                <w:bCs/>
                <w:szCs w:val="20"/>
              </w:rPr>
              <w:t>销售服务费(年费率)</w:t>
            </w:r>
          </w:p>
        </w:tc>
        <w:tc>
          <w:tcPr>
            <w:tcW w:w="1605" w:type="pct"/>
            <w:vAlign w:val="center"/>
          </w:tcPr>
          <w:p w14:paraId="40244103" w14:textId="77777777" w:rsidR="00712A55" w:rsidRPr="00E97AFD" w:rsidRDefault="00712A55" w:rsidP="00966694">
            <w:pPr>
              <w:autoSpaceDE w:val="0"/>
              <w:autoSpaceDN w:val="0"/>
              <w:adjustRightInd w:val="0"/>
              <w:snapToGrid w:val="0"/>
              <w:spacing w:line="360" w:lineRule="auto"/>
              <w:jc w:val="center"/>
              <w:rPr>
                <w:rFonts w:asciiTheme="minorEastAsia" w:eastAsiaTheme="minorEastAsia" w:hAnsiTheme="minorEastAsia"/>
                <w:bCs/>
                <w:szCs w:val="20"/>
              </w:rPr>
            </w:pPr>
            <w:r w:rsidRPr="00E97AFD">
              <w:rPr>
                <w:rFonts w:asciiTheme="minorEastAsia" w:eastAsiaTheme="minorEastAsia" w:hAnsiTheme="minorEastAsia"/>
                <w:bCs/>
                <w:szCs w:val="20"/>
              </w:rPr>
              <w:t>0.</w:t>
            </w:r>
            <w:r w:rsidRPr="00E97AFD">
              <w:rPr>
                <w:rFonts w:asciiTheme="minorEastAsia" w:eastAsiaTheme="minorEastAsia" w:hAnsiTheme="minorEastAsia" w:hint="eastAsia"/>
                <w:bCs/>
                <w:szCs w:val="20"/>
              </w:rPr>
              <w:t>25</w:t>
            </w:r>
            <w:r w:rsidRPr="00E97AFD">
              <w:rPr>
                <w:rFonts w:asciiTheme="minorEastAsia" w:eastAsiaTheme="minorEastAsia" w:hAnsiTheme="minorEastAsia"/>
                <w:bCs/>
                <w:szCs w:val="20"/>
              </w:rPr>
              <w:t>%</w:t>
            </w:r>
          </w:p>
        </w:tc>
        <w:tc>
          <w:tcPr>
            <w:tcW w:w="1117" w:type="pct"/>
            <w:vAlign w:val="center"/>
          </w:tcPr>
          <w:p w14:paraId="49DEDBFE" w14:textId="77777777" w:rsidR="00712A55" w:rsidRPr="00E97AFD" w:rsidRDefault="00712A55" w:rsidP="00966694">
            <w:pPr>
              <w:autoSpaceDE w:val="0"/>
              <w:autoSpaceDN w:val="0"/>
              <w:adjustRightInd w:val="0"/>
              <w:snapToGrid w:val="0"/>
              <w:spacing w:line="360" w:lineRule="auto"/>
              <w:jc w:val="center"/>
              <w:rPr>
                <w:rFonts w:asciiTheme="minorEastAsia" w:eastAsiaTheme="minorEastAsia" w:hAnsiTheme="minorEastAsia"/>
                <w:bCs/>
                <w:szCs w:val="20"/>
              </w:rPr>
            </w:pPr>
            <w:r w:rsidRPr="00E97AFD">
              <w:rPr>
                <w:rFonts w:asciiTheme="minorEastAsia" w:eastAsiaTheme="minorEastAsia" w:hAnsiTheme="minorEastAsia"/>
                <w:bCs/>
                <w:szCs w:val="20"/>
              </w:rPr>
              <w:t>0.01%</w:t>
            </w:r>
          </w:p>
        </w:tc>
      </w:tr>
    </w:tbl>
    <w:p w14:paraId="77F7FF13" w14:textId="77777777" w:rsidR="00712A55" w:rsidRPr="00E97AFD" w:rsidRDefault="00712A55" w:rsidP="00966694">
      <w:pPr>
        <w:snapToGrid w:val="0"/>
        <w:spacing w:line="360" w:lineRule="auto"/>
        <w:ind w:firstLineChars="200" w:firstLine="420"/>
        <w:rPr>
          <w:rFonts w:asciiTheme="minorEastAsia" w:eastAsiaTheme="minorEastAsia" w:hAnsiTheme="minorEastAsia"/>
          <w:szCs w:val="21"/>
        </w:rPr>
      </w:pPr>
      <w:bookmarkStart w:id="40" w:name="_Toc327734817"/>
      <w:r w:rsidRPr="00E97AFD">
        <w:rPr>
          <w:rFonts w:asciiTheme="minorEastAsia" w:eastAsiaTheme="minorEastAsia" w:hAnsiTheme="minorEastAsia"/>
          <w:szCs w:val="21"/>
        </w:rPr>
        <w:t>(</w:t>
      </w:r>
      <w:r w:rsidRPr="00E97AFD">
        <w:rPr>
          <w:rFonts w:asciiTheme="minorEastAsia" w:eastAsiaTheme="minorEastAsia" w:hAnsiTheme="minorEastAsia" w:hint="eastAsia"/>
          <w:szCs w:val="21"/>
        </w:rPr>
        <w:t>三</w:t>
      </w:r>
      <w:r w:rsidRPr="00E97AFD">
        <w:rPr>
          <w:rFonts w:asciiTheme="minorEastAsia" w:eastAsiaTheme="minorEastAsia" w:hAnsiTheme="minorEastAsia"/>
          <w:szCs w:val="21"/>
        </w:rPr>
        <w:t>)</w:t>
      </w:r>
      <w:r w:rsidRPr="00E97AFD">
        <w:rPr>
          <w:rFonts w:asciiTheme="minorEastAsia" w:eastAsiaTheme="minorEastAsia" w:hAnsiTheme="minorEastAsia" w:hint="eastAsia"/>
          <w:szCs w:val="21"/>
        </w:rPr>
        <w:t>基金份额的升降级</w:t>
      </w:r>
      <w:bookmarkEnd w:id="40"/>
    </w:p>
    <w:p w14:paraId="0001778A" w14:textId="77777777" w:rsidR="00712A55" w:rsidRPr="00E97AFD" w:rsidRDefault="00712A55"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本基金暂不开通份额类别之间的升降级业务。今后若开通升降级的有关业务，业务规则详见届时发布的有关公告及更新招募说明书。</w:t>
      </w:r>
    </w:p>
    <w:p w14:paraId="53539185" w14:textId="77777777" w:rsidR="00712A55" w:rsidRPr="00E97AFD" w:rsidRDefault="00712A55"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(四)基金份额分类及规则的调整</w:t>
      </w:r>
    </w:p>
    <w:p w14:paraId="4802717C" w14:textId="77777777" w:rsidR="00BE4337" w:rsidRPr="00E97AFD" w:rsidRDefault="00BE433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1</w:t>
      </w:r>
      <w:r w:rsidRPr="00E97AFD">
        <w:rPr>
          <w:rFonts w:asciiTheme="minorEastAsia" w:eastAsiaTheme="minorEastAsia" w:hAnsiTheme="minorEastAsia" w:hint="eastAsia"/>
          <w:szCs w:val="21"/>
        </w:rPr>
        <w:t>、基金管理人可根据基金实际运作情况，经与基金托管人协商一致，在不违反法律法规且对基金份额持有人利益无实质不利影响的前提下，增加新的基金份额类别，或取消某基金份额类别，或对基金份额分类办法及规则进行调整并公告，且无需召开持有人大会审议。</w:t>
      </w:r>
    </w:p>
    <w:p w14:paraId="20C88567" w14:textId="70F7D33E" w:rsidR="00BA4B87" w:rsidRPr="00E97AFD" w:rsidRDefault="00BE4337" w:rsidP="00966694">
      <w:pPr>
        <w:pStyle w:val="21"/>
        <w:snapToGrid w:val="0"/>
        <w:spacing w:before="0" w:beforeAutospacing="0" w:after="0" w:afterAutospacing="0"/>
        <w:ind w:firstLineChars="0" w:firstLine="420"/>
        <w:rPr>
          <w:rFonts w:asciiTheme="minorEastAsia" w:eastAsiaTheme="minorEastAsia" w:hAnsiTheme="minorEastAsia"/>
          <w:szCs w:val="21"/>
        </w:rPr>
      </w:pPr>
      <w:r w:rsidRPr="00E97AFD">
        <w:rPr>
          <w:rFonts w:asciiTheme="minorEastAsia" w:eastAsiaTheme="minorEastAsia" w:hAnsiTheme="minorEastAsia"/>
          <w:szCs w:val="21"/>
        </w:rPr>
        <w:t>2</w:t>
      </w:r>
      <w:r w:rsidRPr="00E97AFD">
        <w:rPr>
          <w:rFonts w:asciiTheme="minorEastAsia" w:eastAsiaTheme="minorEastAsia" w:hAnsiTheme="minorEastAsia" w:hint="eastAsia"/>
          <w:szCs w:val="21"/>
        </w:rPr>
        <w:t>、在不违反法律法规且对基金份额持有人利益无实质不利影响的前提下，基金管理人可以调整认(申)购各类基金份额的具体限制，基金管理人必须在调整前依照《信息披露办法》的有关规定在指定</w:t>
      </w:r>
      <w:r w:rsidR="006B018F" w:rsidRPr="00E97AFD">
        <w:rPr>
          <w:rFonts w:asciiTheme="minorEastAsia" w:eastAsiaTheme="minorEastAsia" w:hAnsiTheme="minorEastAsia" w:hint="eastAsia"/>
          <w:szCs w:val="21"/>
        </w:rPr>
        <w:t>媒介</w:t>
      </w:r>
      <w:r w:rsidRPr="00E97AFD">
        <w:rPr>
          <w:rFonts w:asciiTheme="minorEastAsia" w:eastAsiaTheme="minorEastAsia" w:hAnsiTheme="minorEastAsia" w:hint="eastAsia"/>
          <w:szCs w:val="21"/>
        </w:rPr>
        <w:t>上公告。</w:t>
      </w:r>
    </w:p>
    <w:p w14:paraId="47B294B6" w14:textId="77777777" w:rsidR="00BA4B87" w:rsidRPr="00E97AFD" w:rsidRDefault="00712A55" w:rsidP="00966694">
      <w:pPr>
        <w:pStyle w:val="1"/>
        <w:pageBreakBefore/>
        <w:snapToGrid w:val="0"/>
        <w:spacing w:beforeLines="0" w:afterLines="0" w:line="360" w:lineRule="auto"/>
        <w:ind w:firstLine="643"/>
        <w:rPr>
          <w:rFonts w:asciiTheme="minorEastAsia" w:eastAsiaTheme="minorEastAsia" w:hAnsiTheme="minorEastAsia"/>
          <w:b/>
          <w:bCs/>
        </w:rPr>
      </w:pPr>
      <w:bookmarkStart w:id="41" w:name="_Toc43371977"/>
      <w:r w:rsidRPr="00E97AFD">
        <w:rPr>
          <w:rFonts w:asciiTheme="minorEastAsia" w:eastAsiaTheme="minorEastAsia" w:hAnsiTheme="minorEastAsia" w:hint="eastAsia"/>
          <w:b/>
          <w:bCs/>
        </w:rPr>
        <w:lastRenderedPageBreak/>
        <w:t>七</w:t>
      </w:r>
      <w:r w:rsidR="00BA4B87" w:rsidRPr="00E97AFD">
        <w:rPr>
          <w:rFonts w:asciiTheme="minorEastAsia" w:eastAsiaTheme="minorEastAsia" w:hAnsiTheme="minorEastAsia"/>
          <w:b/>
          <w:bCs/>
        </w:rPr>
        <w:t>、基金的募集</w:t>
      </w:r>
      <w:bookmarkEnd w:id="41"/>
    </w:p>
    <w:p w14:paraId="28FFF138" w14:textId="0C183E8C" w:rsidR="00BA4B87" w:rsidRPr="00E97AFD" w:rsidRDefault="00BA4B87" w:rsidP="00966694">
      <w:pPr>
        <w:pStyle w:val="21"/>
        <w:snapToGrid w:val="0"/>
        <w:spacing w:before="0" w:beforeAutospacing="0" w:after="0" w:afterAutospacing="0"/>
        <w:ind w:firstLineChars="0" w:firstLine="420"/>
        <w:rPr>
          <w:rFonts w:asciiTheme="minorEastAsia" w:eastAsiaTheme="minorEastAsia" w:hAnsiTheme="minorEastAsia"/>
          <w:szCs w:val="21"/>
        </w:rPr>
      </w:pPr>
      <w:r w:rsidRPr="00E97AFD">
        <w:rPr>
          <w:rFonts w:asciiTheme="minorEastAsia" w:eastAsiaTheme="minorEastAsia" w:hAnsiTheme="minorEastAsia"/>
          <w:szCs w:val="21"/>
        </w:rPr>
        <w:t>本基金由基金管理人依照《基金法》、《运作办法》、《销售办法》、基金合同的相关规定、并经中国证券监督管理委员会</w:t>
      </w:r>
      <w:r w:rsidR="00DF6BBF" w:rsidRPr="00DF6BBF">
        <w:rPr>
          <w:rFonts w:asciiTheme="minorEastAsia" w:eastAsiaTheme="minorEastAsia" w:hAnsiTheme="minorEastAsia" w:hint="eastAsia"/>
          <w:szCs w:val="21"/>
        </w:rPr>
        <w:t>2014年6月17日</w:t>
      </w:r>
      <w:r w:rsidRPr="00E97AFD">
        <w:rPr>
          <w:rFonts w:asciiTheme="minorEastAsia" w:eastAsiaTheme="minorEastAsia" w:hAnsiTheme="minorEastAsia"/>
          <w:szCs w:val="21"/>
        </w:rPr>
        <w:t>《关于核准</w:t>
      </w:r>
      <w:r w:rsidR="00872236" w:rsidRPr="00E97AFD">
        <w:rPr>
          <w:rFonts w:asciiTheme="minorEastAsia" w:eastAsiaTheme="minorEastAsia" w:hAnsiTheme="minorEastAsia"/>
          <w:szCs w:val="21"/>
        </w:rPr>
        <w:t>易方达</w:t>
      </w:r>
      <w:r w:rsidR="00196408" w:rsidRPr="00E97AFD">
        <w:rPr>
          <w:rFonts w:asciiTheme="minorEastAsia" w:eastAsiaTheme="minorEastAsia" w:hAnsiTheme="minorEastAsia"/>
          <w:szCs w:val="21"/>
        </w:rPr>
        <w:t>天天增利</w:t>
      </w:r>
      <w:r w:rsidR="00B66608" w:rsidRPr="00E97AFD">
        <w:rPr>
          <w:rFonts w:asciiTheme="minorEastAsia" w:eastAsiaTheme="minorEastAsia" w:hAnsiTheme="minorEastAsia"/>
          <w:szCs w:val="21"/>
        </w:rPr>
        <w:t>货币市场基金</w:t>
      </w:r>
      <w:r w:rsidRPr="00E97AFD">
        <w:rPr>
          <w:rFonts w:asciiTheme="minorEastAsia" w:eastAsiaTheme="minorEastAsia" w:hAnsiTheme="minorEastAsia"/>
          <w:szCs w:val="21"/>
        </w:rPr>
        <w:t>募集的批复》(证监许可</w:t>
      </w:r>
      <w:r w:rsidR="00597078" w:rsidRPr="00E97AFD">
        <w:rPr>
          <w:rFonts w:asciiTheme="minorEastAsia" w:eastAsiaTheme="minorEastAsia" w:hAnsiTheme="minorEastAsia"/>
          <w:szCs w:val="21"/>
        </w:rPr>
        <w:t>[</w:t>
      </w:r>
      <w:r w:rsidR="005A7855" w:rsidRPr="00E97AFD">
        <w:rPr>
          <w:rFonts w:asciiTheme="minorEastAsia" w:eastAsiaTheme="minorEastAsia" w:hAnsiTheme="minorEastAsia"/>
          <w:szCs w:val="21"/>
        </w:rPr>
        <w:t>201</w:t>
      </w:r>
      <w:r w:rsidR="005A7855" w:rsidRPr="00E97AFD">
        <w:rPr>
          <w:rFonts w:asciiTheme="minorEastAsia" w:eastAsiaTheme="minorEastAsia" w:hAnsiTheme="minorEastAsia" w:hint="eastAsia"/>
          <w:szCs w:val="21"/>
        </w:rPr>
        <w:t>4</w:t>
      </w:r>
      <w:r w:rsidR="00597078" w:rsidRPr="00E97AFD">
        <w:rPr>
          <w:rFonts w:asciiTheme="minorEastAsia" w:eastAsiaTheme="minorEastAsia" w:hAnsiTheme="minorEastAsia"/>
          <w:szCs w:val="21"/>
        </w:rPr>
        <w:t>]</w:t>
      </w:r>
      <w:r w:rsidR="00C30DBF" w:rsidRPr="00E97AFD">
        <w:rPr>
          <w:rFonts w:asciiTheme="minorEastAsia" w:eastAsiaTheme="minorEastAsia" w:hAnsiTheme="minorEastAsia" w:hint="eastAsia"/>
          <w:szCs w:val="21"/>
        </w:rPr>
        <w:t>610</w:t>
      </w:r>
      <w:r w:rsidRPr="00E97AFD">
        <w:rPr>
          <w:rFonts w:asciiTheme="minorEastAsia" w:eastAsiaTheme="minorEastAsia" w:hAnsiTheme="minorEastAsia"/>
          <w:szCs w:val="21"/>
        </w:rPr>
        <w:t>号)</w:t>
      </w:r>
      <w:r w:rsidR="008B416E" w:rsidRPr="00E97AFD">
        <w:rPr>
          <w:rFonts w:asciiTheme="minorEastAsia" w:eastAsiaTheme="minorEastAsia" w:hAnsiTheme="minorEastAsia" w:hint="eastAsia"/>
          <w:szCs w:val="21"/>
        </w:rPr>
        <w:t>进行</w:t>
      </w:r>
      <w:r w:rsidR="008B416E" w:rsidRPr="00E97AFD">
        <w:rPr>
          <w:rFonts w:asciiTheme="minorEastAsia" w:eastAsiaTheme="minorEastAsia" w:hAnsiTheme="minorEastAsia"/>
          <w:szCs w:val="21"/>
        </w:rPr>
        <w:t>募集</w:t>
      </w:r>
      <w:r w:rsidRPr="00E97AFD">
        <w:rPr>
          <w:rFonts w:asciiTheme="minorEastAsia" w:eastAsiaTheme="minorEastAsia" w:hAnsiTheme="minorEastAsia"/>
          <w:szCs w:val="21"/>
        </w:rPr>
        <w:t>。</w:t>
      </w:r>
    </w:p>
    <w:p w14:paraId="7DD5C8C8" w14:textId="77777777" w:rsidR="004D4BB8" w:rsidRPr="00E97AFD" w:rsidRDefault="004D4BB8" w:rsidP="00966694">
      <w:pPr>
        <w:pStyle w:val="21"/>
        <w:snapToGrid w:val="0"/>
        <w:spacing w:before="0" w:beforeAutospacing="0" w:after="0" w:afterAutospacing="0"/>
        <w:ind w:firstLineChars="0" w:firstLine="420"/>
        <w:rPr>
          <w:rFonts w:asciiTheme="minorEastAsia" w:eastAsiaTheme="minorEastAsia" w:hAnsiTheme="minorEastAsia"/>
          <w:szCs w:val="21"/>
        </w:rPr>
      </w:pPr>
      <w:bookmarkStart w:id="42" w:name="_Toc327734820"/>
      <w:r w:rsidRPr="00E97AFD">
        <w:rPr>
          <w:rFonts w:asciiTheme="minorEastAsia" w:eastAsiaTheme="minorEastAsia" w:hAnsiTheme="minorEastAsia" w:hint="eastAsia"/>
          <w:szCs w:val="21"/>
        </w:rPr>
        <w:t>本基金为</w:t>
      </w:r>
      <w:r w:rsidRPr="00E97AFD">
        <w:rPr>
          <w:rFonts w:asciiTheme="minorEastAsia" w:eastAsiaTheme="minorEastAsia" w:hAnsiTheme="minorEastAsia"/>
          <w:szCs w:val="21"/>
        </w:rPr>
        <w:t>契约型开放式</w:t>
      </w:r>
      <w:r w:rsidRPr="00E97AFD">
        <w:rPr>
          <w:rFonts w:asciiTheme="minorEastAsia" w:eastAsiaTheme="minorEastAsia" w:hAnsiTheme="minorEastAsia" w:hint="eastAsia"/>
          <w:szCs w:val="21"/>
        </w:rPr>
        <w:t>货币市场基金</w:t>
      </w:r>
      <w:r w:rsidRPr="00E97AFD">
        <w:rPr>
          <w:rFonts w:asciiTheme="minorEastAsia" w:eastAsiaTheme="minorEastAsia" w:hAnsiTheme="minorEastAsia"/>
          <w:szCs w:val="21"/>
        </w:rPr>
        <w:t>。基金</w:t>
      </w:r>
      <w:r w:rsidRPr="00E97AFD">
        <w:rPr>
          <w:rFonts w:asciiTheme="minorEastAsia" w:eastAsiaTheme="minorEastAsia" w:hAnsiTheme="minorEastAsia" w:hint="eastAsia"/>
          <w:szCs w:val="21"/>
        </w:rPr>
        <w:t>的</w:t>
      </w:r>
      <w:r w:rsidRPr="00E97AFD">
        <w:rPr>
          <w:rFonts w:asciiTheme="minorEastAsia" w:eastAsiaTheme="minorEastAsia" w:hAnsiTheme="minorEastAsia"/>
          <w:szCs w:val="21"/>
        </w:rPr>
        <w:t>存续期间</w:t>
      </w:r>
      <w:r w:rsidRPr="00E97AFD">
        <w:rPr>
          <w:rFonts w:asciiTheme="minorEastAsia" w:eastAsiaTheme="minorEastAsia" w:hAnsiTheme="minorEastAsia" w:hint="eastAsia"/>
          <w:szCs w:val="21"/>
        </w:rPr>
        <w:t>为</w:t>
      </w:r>
      <w:r w:rsidRPr="00E97AFD">
        <w:rPr>
          <w:rFonts w:asciiTheme="minorEastAsia" w:eastAsiaTheme="minorEastAsia" w:hAnsiTheme="minorEastAsia"/>
          <w:szCs w:val="21"/>
        </w:rPr>
        <w:t>不定期</w:t>
      </w:r>
      <w:r w:rsidRPr="00E97AFD">
        <w:rPr>
          <w:rFonts w:asciiTheme="minorEastAsia" w:eastAsiaTheme="minorEastAsia" w:hAnsiTheme="minorEastAsia" w:hint="eastAsia"/>
          <w:szCs w:val="21"/>
        </w:rPr>
        <w:t>。</w:t>
      </w:r>
    </w:p>
    <w:p w14:paraId="0D849FE3" w14:textId="77777777" w:rsidR="004D4BB8" w:rsidRPr="00E97AFD" w:rsidRDefault="004D4BB8" w:rsidP="00966694">
      <w:pPr>
        <w:pStyle w:val="21"/>
        <w:snapToGrid w:val="0"/>
        <w:spacing w:before="0" w:beforeAutospacing="0" w:after="0" w:afterAutospacing="0"/>
        <w:ind w:firstLineChars="0" w:firstLine="420"/>
        <w:rPr>
          <w:rFonts w:asciiTheme="minorEastAsia" w:eastAsiaTheme="minorEastAsia" w:hAnsiTheme="minorEastAsia"/>
          <w:bCs/>
        </w:rPr>
      </w:pPr>
      <w:r w:rsidRPr="00E97AFD">
        <w:rPr>
          <w:rFonts w:asciiTheme="minorEastAsia" w:eastAsiaTheme="minorEastAsia" w:hAnsiTheme="minorEastAsia"/>
          <w:bCs/>
        </w:rPr>
        <w:t>本基金</w:t>
      </w:r>
      <w:r w:rsidRPr="00E97AFD">
        <w:rPr>
          <w:rFonts w:asciiTheme="minorEastAsia" w:eastAsiaTheme="minorEastAsia" w:hAnsiTheme="minorEastAsia" w:hint="eastAsia"/>
          <w:bCs/>
        </w:rPr>
        <w:t>募集期间</w:t>
      </w:r>
      <w:r w:rsidRPr="00E97AFD">
        <w:rPr>
          <w:rFonts w:asciiTheme="minorEastAsia" w:eastAsiaTheme="minorEastAsia" w:hAnsiTheme="minorEastAsia"/>
          <w:bCs/>
        </w:rPr>
        <w:t>每份基金份额的</w:t>
      </w:r>
      <w:r w:rsidRPr="00E97AFD">
        <w:rPr>
          <w:rFonts w:asciiTheme="minorEastAsia" w:eastAsiaTheme="minorEastAsia" w:hAnsiTheme="minorEastAsia" w:hint="eastAsia"/>
          <w:bCs/>
        </w:rPr>
        <w:t>初始</w:t>
      </w:r>
      <w:r w:rsidRPr="00E97AFD">
        <w:rPr>
          <w:rFonts w:asciiTheme="minorEastAsia" w:eastAsiaTheme="minorEastAsia" w:hAnsiTheme="minorEastAsia"/>
          <w:bCs/>
        </w:rPr>
        <w:t>面值为人民币1.00元</w:t>
      </w:r>
      <w:r w:rsidRPr="00E97AFD">
        <w:rPr>
          <w:rFonts w:asciiTheme="minorEastAsia" w:eastAsiaTheme="minorEastAsia" w:hAnsiTheme="minorEastAsia" w:hint="eastAsia"/>
          <w:bCs/>
        </w:rPr>
        <w:t>。</w:t>
      </w:r>
    </w:p>
    <w:p w14:paraId="33F68B6D" w14:textId="77777777" w:rsidR="00BA4B87" w:rsidRPr="00E97AFD" w:rsidRDefault="004D4BB8" w:rsidP="00966694">
      <w:pPr>
        <w:pStyle w:val="21"/>
        <w:snapToGrid w:val="0"/>
        <w:spacing w:before="0" w:beforeAutospacing="0" w:after="0" w:afterAutospacing="0"/>
        <w:ind w:firstLineChars="0" w:firstLine="420"/>
        <w:rPr>
          <w:rFonts w:asciiTheme="minorEastAsia" w:eastAsiaTheme="minorEastAsia" w:hAnsiTheme="minorEastAsia"/>
          <w:szCs w:val="21"/>
        </w:rPr>
      </w:pPr>
      <w:r w:rsidRPr="00E97AFD">
        <w:rPr>
          <w:rFonts w:asciiTheme="minorEastAsia" w:eastAsiaTheme="minorEastAsia" w:hAnsiTheme="minorEastAsia" w:hint="eastAsia"/>
          <w:bCs/>
        </w:rPr>
        <w:t>本基金募集期</w:t>
      </w:r>
      <w:r w:rsidRPr="00E97AFD">
        <w:rPr>
          <w:rFonts w:asciiTheme="minorEastAsia" w:eastAsiaTheme="minorEastAsia" w:hAnsiTheme="minorEastAsia"/>
          <w:bCs/>
        </w:rPr>
        <w:t>自201</w:t>
      </w:r>
      <w:r w:rsidRPr="00E97AFD">
        <w:rPr>
          <w:rFonts w:asciiTheme="minorEastAsia" w:eastAsiaTheme="minorEastAsia" w:hAnsiTheme="minorEastAsia" w:hint="eastAsia"/>
          <w:bCs/>
        </w:rPr>
        <w:t>4</w:t>
      </w:r>
      <w:r w:rsidRPr="00E97AFD">
        <w:rPr>
          <w:rFonts w:asciiTheme="minorEastAsia" w:eastAsiaTheme="minorEastAsia" w:hAnsiTheme="minorEastAsia"/>
          <w:bCs/>
        </w:rPr>
        <w:t>年</w:t>
      </w:r>
      <w:r w:rsidRPr="00E97AFD">
        <w:rPr>
          <w:rFonts w:asciiTheme="minorEastAsia" w:eastAsiaTheme="minorEastAsia" w:hAnsiTheme="minorEastAsia" w:hint="eastAsia"/>
          <w:bCs/>
        </w:rPr>
        <w:t>6</w:t>
      </w:r>
      <w:r w:rsidRPr="00E97AFD">
        <w:rPr>
          <w:rFonts w:asciiTheme="minorEastAsia" w:eastAsiaTheme="minorEastAsia" w:hAnsiTheme="minorEastAsia"/>
          <w:bCs/>
        </w:rPr>
        <w:t>月</w:t>
      </w:r>
      <w:r w:rsidRPr="00E97AFD">
        <w:rPr>
          <w:rFonts w:asciiTheme="minorEastAsia" w:eastAsiaTheme="minorEastAsia" w:hAnsiTheme="minorEastAsia" w:hint="eastAsia"/>
          <w:bCs/>
        </w:rPr>
        <w:t>23</w:t>
      </w:r>
      <w:r w:rsidRPr="00E97AFD">
        <w:rPr>
          <w:rFonts w:asciiTheme="minorEastAsia" w:eastAsiaTheme="minorEastAsia" w:hAnsiTheme="minorEastAsia"/>
          <w:bCs/>
        </w:rPr>
        <w:t>日至201</w:t>
      </w:r>
      <w:r w:rsidRPr="00E97AFD">
        <w:rPr>
          <w:rFonts w:asciiTheme="minorEastAsia" w:eastAsiaTheme="minorEastAsia" w:hAnsiTheme="minorEastAsia" w:hint="eastAsia"/>
          <w:bCs/>
        </w:rPr>
        <w:t>4</w:t>
      </w:r>
      <w:r w:rsidRPr="00E97AFD">
        <w:rPr>
          <w:rFonts w:asciiTheme="minorEastAsia" w:eastAsiaTheme="minorEastAsia" w:hAnsiTheme="minorEastAsia"/>
          <w:bCs/>
        </w:rPr>
        <w:t>年</w:t>
      </w:r>
      <w:r w:rsidRPr="00E97AFD">
        <w:rPr>
          <w:rFonts w:asciiTheme="minorEastAsia" w:eastAsiaTheme="minorEastAsia" w:hAnsiTheme="minorEastAsia" w:hint="eastAsia"/>
          <w:bCs/>
        </w:rPr>
        <w:t>6</w:t>
      </w:r>
      <w:r w:rsidRPr="00E97AFD">
        <w:rPr>
          <w:rFonts w:asciiTheme="minorEastAsia" w:eastAsiaTheme="minorEastAsia" w:hAnsiTheme="minorEastAsia"/>
          <w:bCs/>
        </w:rPr>
        <w:t>月</w:t>
      </w:r>
      <w:r w:rsidRPr="00E97AFD">
        <w:rPr>
          <w:rFonts w:asciiTheme="minorEastAsia" w:eastAsiaTheme="minorEastAsia" w:hAnsiTheme="minorEastAsia" w:hint="eastAsia"/>
          <w:bCs/>
        </w:rPr>
        <w:t>24</w:t>
      </w:r>
      <w:r w:rsidRPr="00E97AFD">
        <w:rPr>
          <w:rFonts w:asciiTheme="minorEastAsia" w:eastAsiaTheme="minorEastAsia" w:hAnsiTheme="minorEastAsia"/>
          <w:bCs/>
        </w:rPr>
        <w:t>日</w:t>
      </w:r>
      <w:r w:rsidRPr="00E97AFD">
        <w:rPr>
          <w:rFonts w:asciiTheme="minorEastAsia" w:eastAsiaTheme="minorEastAsia" w:hAnsiTheme="minorEastAsia" w:hint="eastAsia"/>
          <w:bCs/>
        </w:rPr>
        <w:t>。募集对象为</w:t>
      </w:r>
      <w:bookmarkEnd w:id="42"/>
      <w:r w:rsidR="00D577B9" w:rsidRPr="00E97AFD">
        <w:rPr>
          <w:rFonts w:asciiTheme="minorEastAsia" w:eastAsiaTheme="minorEastAsia" w:hAnsiTheme="minorEastAsia" w:hint="eastAsia"/>
          <w:szCs w:val="21"/>
        </w:rPr>
        <w:t>符合法律法规规定的可投资于证券投资基金的个人投资者、机构投资者和合格境外机构投资者以及法律法规或中国证监会允许购买证券投资基金的其他投资人。</w:t>
      </w:r>
    </w:p>
    <w:p w14:paraId="144FA4C6" w14:textId="77777777" w:rsidR="0086629F" w:rsidRPr="00E97AFD" w:rsidRDefault="006A1FFC" w:rsidP="00966694">
      <w:pPr>
        <w:snapToGrid w:val="0"/>
        <w:spacing w:line="360" w:lineRule="auto"/>
        <w:rPr>
          <w:rFonts w:asciiTheme="minorEastAsia" w:eastAsiaTheme="minorEastAsia" w:hAnsiTheme="minorEastAsia"/>
        </w:rPr>
      </w:pPr>
      <w:r w:rsidRPr="00E97AFD">
        <w:rPr>
          <w:rFonts w:asciiTheme="minorEastAsia" w:eastAsiaTheme="minorEastAsia" w:hAnsiTheme="minorEastAsia"/>
        </w:rPr>
        <w:br w:type="page"/>
      </w:r>
    </w:p>
    <w:p w14:paraId="4E71010B" w14:textId="77777777" w:rsidR="00BA4B87" w:rsidRPr="00E97AFD" w:rsidRDefault="00780D6C" w:rsidP="00966694">
      <w:pPr>
        <w:pStyle w:val="1"/>
        <w:snapToGrid w:val="0"/>
        <w:spacing w:beforeLines="0" w:afterLines="0" w:line="360" w:lineRule="auto"/>
        <w:ind w:firstLine="643"/>
        <w:rPr>
          <w:rFonts w:asciiTheme="minorEastAsia" w:eastAsiaTheme="minorEastAsia" w:hAnsiTheme="minorEastAsia"/>
          <w:b/>
        </w:rPr>
      </w:pPr>
      <w:bookmarkStart w:id="43" w:name="_Toc43371978"/>
      <w:r w:rsidRPr="00E97AFD">
        <w:rPr>
          <w:rFonts w:asciiTheme="minorEastAsia" w:eastAsiaTheme="minorEastAsia" w:hAnsiTheme="minorEastAsia" w:hint="eastAsia"/>
          <w:b/>
        </w:rPr>
        <w:lastRenderedPageBreak/>
        <w:t>八</w:t>
      </w:r>
      <w:r w:rsidR="00BA4B87" w:rsidRPr="00E97AFD">
        <w:rPr>
          <w:rFonts w:asciiTheme="minorEastAsia" w:eastAsiaTheme="minorEastAsia" w:hAnsiTheme="minorEastAsia"/>
          <w:b/>
        </w:rPr>
        <w:t>、基金合同的生效</w:t>
      </w:r>
      <w:bookmarkEnd w:id="43"/>
    </w:p>
    <w:p w14:paraId="6041D6EA" w14:textId="77777777" w:rsidR="0086629F" w:rsidRPr="00E97AFD" w:rsidRDefault="00421B98" w:rsidP="00966694">
      <w:pPr>
        <w:pStyle w:val="21"/>
        <w:snapToGrid w:val="0"/>
        <w:spacing w:before="0" w:beforeAutospacing="0" w:after="0" w:afterAutospacing="0"/>
        <w:ind w:firstLine="420"/>
        <w:rPr>
          <w:rFonts w:asciiTheme="minorEastAsia" w:eastAsiaTheme="minorEastAsia" w:hAnsiTheme="minorEastAsia"/>
          <w:szCs w:val="21"/>
        </w:rPr>
      </w:pPr>
      <w:bookmarkStart w:id="44" w:name="_Toc327734830"/>
      <w:r w:rsidRPr="00E97AFD">
        <w:rPr>
          <w:rFonts w:asciiTheme="minorEastAsia" w:eastAsiaTheme="minorEastAsia" w:hAnsiTheme="minorEastAsia" w:hint="eastAsia"/>
          <w:szCs w:val="21"/>
        </w:rPr>
        <w:t>(</w:t>
      </w:r>
      <w:r w:rsidR="003C6F6C" w:rsidRPr="00E97AFD">
        <w:rPr>
          <w:rFonts w:asciiTheme="minorEastAsia" w:eastAsiaTheme="minorEastAsia" w:hAnsiTheme="minorEastAsia" w:hint="eastAsia"/>
          <w:szCs w:val="21"/>
        </w:rPr>
        <w:t>一</w:t>
      </w:r>
      <w:r w:rsidRPr="00E97AFD">
        <w:rPr>
          <w:rFonts w:asciiTheme="minorEastAsia" w:eastAsiaTheme="minorEastAsia" w:hAnsiTheme="minorEastAsia" w:hint="eastAsia"/>
          <w:szCs w:val="21"/>
        </w:rPr>
        <w:t>)</w:t>
      </w:r>
      <w:r w:rsidR="0086629F" w:rsidRPr="00E97AFD">
        <w:rPr>
          <w:rFonts w:asciiTheme="minorEastAsia" w:eastAsiaTheme="minorEastAsia" w:hAnsiTheme="minorEastAsia"/>
          <w:szCs w:val="21"/>
        </w:rPr>
        <w:t>基金</w:t>
      </w:r>
      <w:r w:rsidR="00D708BF" w:rsidRPr="00E97AFD">
        <w:rPr>
          <w:rFonts w:asciiTheme="minorEastAsia" w:eastAsiaTheme="minorEastAsia" w:hAnsiTheme="minorEastAsia" w:hint="eastAsia"/>
          <w:szCs w:val="21"/>
        </w:rPr>
        <w:t>合同的生效</w:t>
      </w:r>
    </w:p>
    <w:p w14:paraId="58DEB9A1" w14:textId="77777777" w:rsidR="0086629F" w:rsidRPr="00E97AFD" w:rsidRDefault="00D708BF" w:rsidP="00966694">
      <w:pPr>
        <w:pStyle w:val="21"/>
        <w:snapToGrid w:val="0"/>
        <w:spacing w:before="0" w:beforeAutospacing="0" w:after="0" w:afterAutospacing="0"/>
        <w:ind w:firstLine="420"/>
        <w:rPr>
          <w:rFonts w:asciiTheme="minorEastAsia" w:eastAsiaTheme="minorEastAsia" w:hAnsiTheme="minorEastAsia"/>
          <w:szCs w:val="21"/>
        </w:rPr>
      </w:pPr>
      <w:bookmarkStart w:id="45" w:name="_Toc133292585"/>
      <w:r w:rsidRPr="00E97AFD">
        <w:rPr>
          <w:rFonts w:asciiTheme="minorEastAsia" w:eastAsiaTheme="minorEastAsia" w:hAnsiTheme="minorEastAsia"/>
          <w:szCs w:val="21"/>
        </w:rPr>
        <w:t>本基金</w:t>
      </w:r>
      <w:r w:rsidRPr="00E97AFD">
        <w:rPr>
          <w:rFonts w:asciiTheme="minorEastAsia" w:eastAsiaTheme="minorEastAsia" w:hAnsiTheme="minorEastAsia" w:hint="eastAsia"/>
          <w:szCs w:val="21"/>
        </w:rPr>
        <w:t>基金合同于2014年6月25日正式生效。自基金合同生效日起，本基金管理人正式开始管理本基金。</w:t>
      </w:r>
      <w:bookmarkEnd w:id="45"/>
    </w:p>
    <w:p w14:paraId="73844188" w14:textId="77777777" w:rsidR="0086629F" w:rsidRPr="00E97AFD" w:rsidRDefault="00421B98" w:rsidP="00966694">
      <w:pPr>
        <w:pStyle w:val="21"/>
        <w:snapToGrid w:val="0"/>
        <w:spacing w:before="0" w:beforeAutospacing="0" w:after="0" w:afterAutospacing="0"/>
        <w:ind w:firstLine="420"/>
        <w:rPr>
          <w:rFonts w:asciiTheme="minorEastAsia" w:eastAsiaTheme="minorEastAsia" w:hAnsiTheme="minorEastAsia"/>
          <w:szCs w:val="21"/>
        </w:rPr>
      </w:pPr>
      <w:r w:rsidRPr="00E97AFD">
        <w:rPr>
          <w:rFonts w:asciiTheme="minorEastAsia" w:eastAsiaTheme="minorEastAsia" w:hAnsiTheme="minorEastAsia" w:hint="eastAsia"/>
          <w:szCs w:val="21"/>
        </w:rPr>
        <w:t>(</w:t>
      </w:r>
      <w:r w:rsidR="003C6F6C" w:rsidRPr="00E97AFD">
        <w:rPr>
          <w:rFonts w:asciiTheme="minorEastAsia" w:eastAsiaTheme="minorEastAsia" w:hAnsiTheme="minorEastAsia" w:hint="eastAsia"/>
          <w:szCs w:val="21"/>
        </w:rPr>
        <w:t>二</w:t>
      </w:r>
      <w:r w:rsidRPr="00E97AFD">
        <w:rPr>
          <w:rFonts w:asciiTheme="minorEastAsia" w:eastAsiaTheme="minorEastAsia" w:hAnsiTheme="minorEastAsia" w:hint="eastAsia"/>
          <w:szCs w:val="21"/>
        </w:rPr>
        <w:t>)</w:t>
      </w:r>
      <w:r w:rsidR="0086629F" w:rsidRPr="00E97AFD">
        <w:rPr>
          <w:rFonts w:asciiTheme="minorEastAsia" w:eastAsiaTheme="minorEastAsia" w:hAnsiTheme="minorEastAsia"/>
          <w:szCs w:val="21"/>
        </w:rPr>
        <w:t>基金存续期内的基金份额持有人数量和资产规模</w:t>
      </w:r>
    </w:p>
    <w:p w14:paraId="33D2FBC3" w14:textId="77777777" w:rsidR="00A05FB4" w:rsidRPr="00E97AFD" w:rsidRDefault="00A05FB4" w:rsidP="00966694">
      <w:pPr>
        <w:pStyle w:val="21"/>
        <w:snapToGrid w:val="0"/>
        <w:spacing w:before="0" w:beforeAutospacing="0" w:after="0" w:afterAutospacing="0"/>
        <w:ind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14:paraId="40113D55" w14:textId="77777777" w:rsidR="0068014D" w:rsidRPr="00E97AFD" w:rsidRDefault="00A05FB4" w:rsidP="00966694">
      <w:pPr>
        <w:pStyle w:val="21"/>
        <w:snapToGrid w:val="0"/>
        <w:spacing w:before="0" w:beforeAutospacing="0" w:after="0" w:afterAutospacing="0"/>
        <w:ind w:firstLine="420"/>
        <w:rPr>
          <w:rFonts w:asciiTheme="minorEastAsia" w:eastAsiaTheme="minorEastAsia" w:hAnsiTheme="minorEastAsia"/>
          <w:szCs w:val="21"/>
        </w:rPr>
      </w:pPr>
      <w:r w:rsidRPr="00E97AFD">
        <w:rPr>
          <w:rFonts w:asciiTheme="minorEastAsia" w:eastAsiaTheme="minorEastAsia" w:hAnsiTheme="minorEastAsia" w:hint="eastAsia"/>
          <w:szCs w:val="21"/>
        </w:rPr>
        <w:t>法律法规</w:t>
      </w:r>
      <w:r w:rsidR="008B416E" w:rsidRPr="00E97AFD">
        <w:rPr>
          <w:rFonts w:asciiTheme="minorEastAsia" w:eastAsiaTheme="minorEastAsia" w:hAnsiTheme="minorEastAsia" w:hint="eastAsia"/>
          <w:szCs w:val="21"/>
        </w:rPr>
        <w:t>或基金合同</w:t>
      </w:r>
      <w:r w:rsidRPr="00E97AFD">
        <w:rPr>
          <w:rFonts w:asciiTheme="minorEastAsia" w:eastAsiaTheme="minorEastAsia" w:hAnsiTheme="minorEastAsia" w:hint="eastAsia"/>
          <w:szCs w:val="21"/>
        </w:rPr>
        <w:t>另有规定时，从其规定。</w:t>
      </w:r>
    </w:p>
    <w:bookmarkEnd w:id="44"/>
    <w:p w14:paraId="706AC962" w14:textId="77777777" w:rsidR="00BA4B87" w:rsidRPr="00E97AFD" w:rsidRDefault="00BA4B87" w:rsidP="00966694">
      <w:pPr>
        <w:pStyle w:val="1"/>
        <w:snapToGrid w:val="0"/>
        <w:spacing w:beforeLines="0" w:afterLines="0" w:line="360" w:lineRule="auto"/>
        <w:ind w:firstLine="480"/>
        <w:rPr>
          <w:rFonts w:asciiTheme="minorEastAsia" w:eastAsiaTheme="minorEastAsia" w:hAnsiTheme="minorEastAsia"/>
          <w:b/>
        </w:rPr>
      </w:pPr>
      <w:r w:rsidRPr="00E97AFD">
        <w:rPr>
          <w:rFonts w:asciiTheme="minorEastAsia" w:eastAsiaTheme="minorEastAsia" w:hAnsiTheme="minorEastAsia"/>
          <w:sz w:val="24"/>
        </w:rPr>
        <w:br w:type="column"/>
      </w:r>
      <w:bookmarkStart w:id="46" w:name="_Toc43371979"/>
      <w:r w:rsidR="00780D6C" w:rsidRPr="00E97AFD">
        <w:rPr>
          <w:rFonts w:asciiTheme="minorEastAsia" w:eastAsiaTheme="minorEastAsia" w:hAnsiTheme="minorEastAsia" w:hint="eastAsia"/>
          <w:b/>
        </w:rPr>
        <w:lastRenderedPageBreak/>
        <w:t>九</w:t>
      </w:r>
      <w:r w:rsidRPr="00E97AFD">
        <w:rPr>
          <w:rFonts w:asciiTheme="minorEastAsia" w:eastAsiaTheme="minorEastAsia" w:hAnsiTheme="minorEastAsia"/>
          <w:b/>
        </w:rPr>
        <w:t>、基金份额的申购、赎回</w:t>
      </w:r>
      <w:bookmarkEnd w:id="46"/>
    </w:p>
    <w:p w14:paraId="4BBC96D5" w14:textId="77777777" w:rsidR="00BA4B87" w:rsidRPr="00E97AFD" w:rsidRDefault="00BA4B87" w:rsidP="00966694">
      <w:pPr>
        <w:snapToGrid w:val="0"/>
        <w:spacing w:line="360" w:lineRule="auto"/>
        <w:ind w:firstLineChars="200" w:firstLine="420"/>
        <w:rPr>
          <w:rFonts w:asciiTheme="minorEastAsia" w:eastAsiaTheme="minorEastAsia" w:hAnsiTheme="minorEastAsia"/>
          <w:szCs w:val="21"/>
        </w:rPr>
      </w:pPr>
      <w:bookmarkStart w:id="47" w:name="_Toc327734833"/>
      <w:r w:rsidRPr="00E97AFD">
        <w:rPr>
          <w:rFonts w:asciiTheme="minorEastAsia" w:eastAsiaTheme="minorEastAsia" w:hAnsiTheme="minorEastAsia"/>
          <w:szCs w:val="21"/>
        </w:rPr>
        <w:t>(一)基金</w:t>
      </w:r>
      <w:r w:rsidR="0007767A" w:rsidRPr="00E97AFD">
        <w:rPr>
          <w:rFonts w:asciiTheme="minorEastAsia" w:eastAsiaTheme="minorEastAsia" w:hAnsiTheme="minorEastAsia"/>
          <w:szCs w:val="21"/>
        </w:rPr>
        <w:t>投资者</w:t>
      </w:r>
      <w:r w:rsidR="004B3FBB" w:rsidRPr="00E97AFD">
        <w:rPr>
          <w:rFonts w:asciiTheme="minorEastAsia" w:eastAsiaTheme="minorEastAsia" w:hAnsiTheme="minorEastAsia" w:hint="eastAsia"/>
          <w:szCs w:val="21"/>
        </w:rPr>
        <w:t>的</w:t>
      </w:r>
      <w:r w:rsidRPr="00E97AFD">
        <w:rPr>
          <w:rFonts w:asciiTheme="minorEastAsia" w:eastAsiaTheme="minorEastAsia" w:hAnsiTheme="minorEastAsia"/>
          <w:szCs w:val="21"/>
        </w:rPr>
        <w:t>范围</w:t>
      </w:r>
      <w:bookmarkEnd w:id="47"/>
    </w:p>
    <w:p w14:paraId="1CF34851" w14:textId="77777777" w:rsidR="00BA4B87" w:rsidRPr="00E97AFD" w:rsidRDefault="00A05FB4"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符合法律法规规定的可投资于证券投资基金的个人投资者、机构投资者和合格境外机构投资者以及法律法规或中国证监会允许购买证券投资基金的其他投资人。</w:t>
      </w:r>
    </w:p>
    <w:p w14:paraId="3C2A0439" w14:textId="77777777" w:rsidR="00BA4B87" w:rsidRPr="00E97AFD" w:rsidRDefault="00BA4B87" w:rsidP="00966694">
      <w:pPr>
        <w:snapToGrid w:val="0"/>
        <w:spacing w:line="360" w:lineRule="auto"/>
        <w:ind w:firstLineChars="200" w:firstLine="420"/>
        <w:rPr>
          <w:rFonts w:asciiTheme="minorEastAsia" w:eastAsiaTheme="minorEastAsia" w:hAnsiTheme="minorEastAsia"/>
          <w:szCs w:val="21"/>
        </w:rPr>
      </w:pPr>
      <w:bookmarkStart w:id="48" w:name="_Toc327734834"/>
      <w:r w:rsidRPr="00E97AFD">
        <w:rPr>
          <w:rFonts w:asciiTheme="minorEastAsia" w:eastAsiaTheme="minorEastAsia" w:hAnsiTheme="minorEastAsia"/>
          <w:szCs w:val="21"/>
        </w:rPr>
        <w:t>(二)申购与赎回的场所</w:t>
      </w:r>
      <w:bookmarkEnd w:id="48"/>
    </w:p>
    <w:p w14:paraId="32F0CC69" w14:textId="6E6FD76C" w:rsidR="006E7315" w:rsidRPr="00E97AFD" w:rsidRDefault="006E7315" w:rsidP="00966694">
      <w:pPr>
        <w:snapToGrid w:val="0"/>
        <w:spacing w:line="360" w:lineRule="auto"/>
        <w:ind w:firstLineChars="202" w:firstLine="424"/>
        <w:rPr>
          <w:rFonts w:asciiTheme="minorEastAsia" w:eastAsiaTheme="minorEastAsia" w:hAnsiTheme="minorEastAsia"/>
          <w:szCs w:val="21"/>
        </w:rPr>
      </w:pPr>
      <w:r w:rsidRPr="00E97AFD">
        <w:rPr>
          <w:rFonts w:asciiTheme="minorEastAsia" w:eastAsiaTheme="minorEastAsia" w:hAnsiTheme="minorEastAsia" w:hint="eastAsia"/>
          <w:bCs/>
          <w:szCs w:val="21"/>
        </w:rPr>
        <w:t>本基金的申购与赎回将通过销售机构进行。具体的销售机构将由基金管理人在招募说明书或其他相关公告中列明。基金管理人可根据情况变更或增减销售机构，</w:t>
      </w:r>
      <w:r w:rsidR="006B018F" w:rsidRPr="00E97AFD">
        <w:rPr>
          <w:rFonts w:asciiTheme="minorEastAsia" w:eastAsiaTheme="minorEastAsia" w:hAnsiTheme="minorEastAsia" w:hint="eastAsia"/>
          <w:bCs/>
          <w:szCs w:val="21"/>
        </w:rPr>
        <w:t>并在基金管理人网站公示</w:t>
      </w:r>
      <w:r w:rsidRPr="00E97AFD">
        <w:rPr>
          <w:rFonts w:asciiTheme="minorEastAsia" w:eastAsiaTheme="minorEastAsia" w:hAnsiTheme="minorEastAsia" w:hint="eastAsia"/>
          <w:bCs/>
          <w:szCs w:val="21"/>
        </w:rPr>
        <w:t>。基金投资者应当在销售机构办理基金销售业务的营业场所或按销售机构提供的其他方式办理基金份额的申购与赎回。</w:t>
      </w:r>
    </w:p>
    <w:p w14:paraId="5ADE997B" w14:textId="77777777" w:rsidR="00BA4B87" w:rsidRPr="00E97AFD" w:rsidRDefault="00717E1C"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w:t>
      </w:r>
      <w:bookmarkStart w:id="49" w:name="_Toc327734835"/>
      <w:r w:rsidR="00BA4B87" w:rsidRPr="00E97AFD">
        <w:rPr>
          <w:rFonts w:asciiTheme="minorEastAsia" w:eastAsiaTheme="minorEastAsia" w:hAnsiTheme="minorEastAsia"/>
          <w:szCs w:val="21"/>
        </w:rPr>
        <w:t>三</w:t>
      </w:r>
      <w:r w:rsidRPr="00E97AFD">
        <w:rPr>
          <w:rFonts w:asciiTheme="minorEastAsia" w:eastAsiaTheme="minorEastAsia" w:hAnsiTheme="minorEastAsia"/>
          <w:szCs w:val="21"/>
        </w:rPr>
        <w:t>)</w:t>
      </w:r>
      <w:r w:rsidR="00BA4B87" w:rsidRPr="00E97AFD">
        <w:rPr>
          <w:rFonts w:asciiTheme="minorEastAsia" w:eastAsiaTheme="minorEastAsia" w:hAnsiTheme="minorEastAsia"/>
          <w:szCs w:val="21"/>
        </w:rPr>
        <w:t>申购与赎回办理的开放日及时间</w:t>
      </w:r>
      <w:bookmarkEnd w:id="49"/>
    </w:p>
    <w:p w14:paraId="28B2EC83" w14:textId="77777777" w:rsidR="003647F2" w:rsidRPr="00E97AFD" w:rsidRDefault="003647F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1、开放日及开放时间</w:t>
      </w:r>
    </w:p>
    <w:p w14:paraId="7328157C" w14:textId="77777777" w:rsidR="003647F2" w:rsidRPr="00E97AFD" w:rsidRDefault="003647F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投资人在开放日办理基金份额的申购和赎回，具体办理时间为上海证券交易所、深圳证券交易所的正常交易日</w:t>
      </w:r>
      <w:r w:rsidR="009E689B" w:rsidRPr="00E97AFD">
        <w:rPr>
          <w:rFonts w:asciiTheme="minorEastAsia" w:eastAsiaTheme="minorEastAsia" w:hAnsiTheme="minorEastAsia" w:hint="eastAsia"/>
          <w:szCs w:val="21"/>
        </w:rPr>
        <w:t>的交易时间</w:t>
      </w:r>
      <w:r w:rsidRPr="00E97AFD">
        <w:rPr>
          <w:rFonts w:asciiTheme="minorEastAsia" w:eastAsiaTheme="minorEastAsia" w:hAnsiTheme="minorEastAsia" w:hint="eastAsia"/>
          <w:szCs w:val="21"/>
        </w:rPr>
        <w:t>，但基金管理人根据法律法规、中国证监会的要求或</w:t>
      </w:r>
      <w:r w:rsidR="00FF5048" w:rsidRPr="00E97AFD">
        <w:rPr>
          <w:rFonts w:asciiTheme="minorEastAsia" w:eastAsiaTheme="minorEastAsia" w:hAnsiTheme="minorEastAsia" w:hint="eastAsia"/>
          <w:szCs w:val="21"/>
        </w:rPr>
        <w:t>基金合同</w:t>
      </w:r>
      <w:r w:rsidRPr="00E97AFD">
        <w:rPr>
          <w:rFonts w:asciiTheme="minorEastAsia" w:eastAsiaTheme="minorEastAsia" w:hAnsiTheme="minorEastAsia" w:hint="eastAsia"/>
          <w:szCs w:val="21"/>
        </w:rPr>
        <w:t>的规定公告暂停申购、赎回时除外。</w:t>
      </w:r>
      <w:r w:rsidR="00A63241" w:rsidRPr="00E97AFD">
        <w:rPr>
          <w:rFonts w:asciiTheme="minorEastAsia" w:eastAsiaTheme="minorEastAsia" w:hAnsiTheme="minorEastAsia" w:hint="eastAsia"/>
          <w:szCs w:val="21"/>
        </w:rPr>
        <w:t>销售机构可在上述范围内规定具体的交易时间。</w:t>
      </w:r>
    </w:p>
    <w:p w14:paraId="63CD2337" w14:textId="53A84BA2" w:rsidR="003647F2" w:rsidRPr="00E97AFD" w:rsidRDefault="003647F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若出现新的证券交易市场、证券交易所交易时间变更或其他特殊情况，基金管理人</w:t>
      </w:r>
      <w:r w:rsidR="00251A63" w:rsidRPr="00E97AFD">
        <w:rPr>
          <w:rFonts w:asciiTheme="minorEastAsia" w:eastAsiaTheme="minorEastAsia" w:hAnsiTheme="minorEastAsia" w:hint="eastAsia"/>
          <w:szCs w:val="21"/>
        </w:rPr>
        <w:t>有权</w:t>
      </w:r>
      <w:r w:rsidRPr="00E97AFD">
        <w:rPr>
          <w:rFonts w:asciiTheme="minorEastAsia" w:eastAsiaTheme="minorEastAsia" w:hAnsiTheme="minorEastAsia" w:hint="eastAsia"/>
          <w:szCs w:val="21"/>
        </w:rPr>
        <w:t>视情况对前述开放日及开放时间进行相应的调整，但应在实施</w:t>
      </w:r>
      <w:r w:rsidR="00A23277" w:rsidRPr="00E97AFD">
        <w:rPr>
          <w:rFonts w:asciiTheme="minorEastAsia" w:eastAsiaTheme="minorEastAsia" w:hAnsiTheme="minorEastAsia" w:hint="eastAsia"/>
          <w:szCs w:val="21"/>
        </w:rPr>
        <w:t>日</w:t>
      </w:r>
      <w:r w:rsidRPr="00E97AFD">
        <w:rPr>
          <w:rFonts w:asciiTheme="minorEastAsia" w:eastAsiaTheme="minorEastAsia" w:hAnsiTheme="minorEastAsia" w:hint="eastAsia"/>
          <w:szCs w:val="21"/>
        </w:rPr>
        <w:t>前依照《信息披露办法》的有关规定在指定</w:t>
      </w:r>
      <w:r w:rsidR="006B018F" w:rsidRPr="00E97AFD">
        <w:rPr>
          <w:rFonts w:asciiTheme="minorEastAsia" w:eastAsiaTheme="minorEastAsia" w:hAnsiTheme="minorEastAsia" w:hint="eastAsia"/>
          <w:szCs w:val="21"/>
        </w:rPr>
        <w:t>媒介</w:t>
      </w:r>
      <w:r w:rsidRPr="00E97AFD">
        <w:rPr>
          <w:rFonts w:asciiTheme="minorEastAsia" w:eastAsiaTheme="minorEastAsia" w:hAnsiTheme="minorEastAsia" w:hint="eastAsia"/>
          <w:szCs w:val="21"/>
        </w:rPr>
        <w:t>上公告。</w:t>
      </w:r>
    </w:p>
    <w:p w14:paraId="4FCCE7D8" w14:textId="77777777" w:rsidR="003647F2" w:rsidRPr="00E97AFD" w:rsidRDefault="003647F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2、申购、赎回开始日及业务办理时间</w:t>
      </w:r>
    </w:p>
    <w:p w14:paraId="02E734C5" w14:textId="77777777" w:rsidR="00EC4C1F" w:rsidRPr="00E97AFD" w:rsidRDefault="00EC4C1F"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本基金已于2014年7月</w:t>
      </w:r>
      <w:r w:rsidR="00394B56" w:rsidRPr="00E97AFD">
        <w:rPr>
          <w:rFonts w:asciiTheme="minorEastAsia" w:eastAsiaTheme="minorEastAsia" w:hAnsiTheme="minorEastAsia" w:hint="eastAsia"/>
          <w:szCs w:val="21"/>
        </w:rPr>
        <w:t>24</w:t>
      </w:r>
      <w:r w:rsidRPr="00E97AFD">
        <w:rPr>
          <w:rFonts w:asciiTheme="minorEastAsia" w:eastAsiaTheme="minorEastAsia" w:hAnsiTheme="minorEastAsia" w:hint="eastAsia"/>
          <w:szCs w:val="21"/>
        </w:rPr>
        <w:t>日开始办理日常申购和赎回业务。</w:t>
      </w:r>
    </w:p>
    <w:p w14:paraId="7AE0213C" w14:textId="77777777" w:rsidR="00D2527C" w:rsidRPr="00E97AFD" w:rsidRDefault="003647F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管理人不得在基金合同约定之外的日期或者时间办理基金份额的申购或者赎回或者转换。投资人在基金合同约定之外的日期和时间提出申购、赎回或转换申请且登记机构确认接受的，视为下一开放日的申购、赎回或转换申请。</w:t>
      </w:r>
    </w:p>
    <w:p w14:paraId="0367F96F" w14:textId="77777777" w:rsidR="00BA4B87" w:rsidRPr="00E97AFD" w:rsidRDefault="00BA4B87" w:rsidP="00966694">
      <w:pPr>
        <w:snapToGrid w:val="0"/>
        <w:spacing w:line="360" w:lineRule="auto"/>
        <w:ind w:firstLineChars="200" w:firstLine="420"/>
        <w:rPr>
          <w:rFonts w:asciiTheme="minorEastAsia" w:eastAsiaTheme="minorEastAsia" w:hAnsiTheme="minorEastAsia"/>
          <w:szCs w:val="21"/>
        </w:rPr>
      </w:pPr>
      <w:bookmarkStart w:id="50" w:name="_Toc327734836"/>
      <w:r w:rsidRPr="00E97AFD">
        <w:rPr>
          <w:rFonts w:asciiTheme="minorEastAsia" w:eastAsiaTheme="minorEastAsia" w:hAnsiTheme="minorEastAsia"/>
          <w:szCs w:val="21"/>
        </w:rPr>
        <w:t>(</w:t>
      </w:r>
      <w:r w:rsidR="008D4032" w:rsidRPr="00E97AFD">
        <w:rPr>
          <w:rFonts w:asciiTheme="minorEastAsia" w:eastAsiaTheme="minorEastAsia" w:hAnsiTheme="minorEastAsia"/>
          <w:szCs w:val="21"/>
        </w:rPr>
        <w:t>四</w:t>
      </w:r>
      <w:r w:rsidRPr="00E97AFD">
        <w:rPr>
          <w:rFonts w:asciiTheme="minorEastAsia" w:eastAsiaTheme="minorEastAsia" w:hAnsiTheme="minorEastAsia"/>
          <w:szCs w:val="21"/>
        </w:rPr>
        <w:t>)申购与赎回的原则</w:t>
      </w:r>
      <w:bookmarkEnd w:id="50"/>
    </w:p>
    <w:p w14:paraId="46D8BA77" w14:textId="77777777" w:rsidR="00964BE4" w:rsidRPr="00E97AFD" w:rsidRDefault="00964BE4"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1、“确定价”原则，即申购、赎回价格以每份基金份额净值为1.00元的基准进行计算；</w:t>
      </w:r>
    </w:p>
    <w:p w14:paraId="03764857" w14:textId="77777777" w:rsidR="00964BE4" w:rsidRPr="00E97AFD" w:rsidRDefault="00964BE4"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2、“金额申购、份额赎回”原则，即申购以金额申请，赎回以份额申请；</w:t>
      </w:r>
    </w:p>
    <w:p w14:paraId="6BC1F4AA" w14:textId="77777777" w:rsidR="00964BE4" w:rsidRPr="00E97AFD" w:rsidRDefault="00964BE4"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3、当日的申购与赎回申请可以在基金管理人规定的时间以内撤销</w:t>
      </w:r>
      <w:r w:rsidR="00F16E6E" w:rsidRPr="00E97AFD">
        <w:rPr>
          <w:rFonts w:asciiTheme="minorEastAsia" w:eastAsiaTheme="minorEastAsia" w:hAnsiTheme="minorEastAsia" w:hint="eastAsia"/>
          <w:szCs w:val="21"/>
        </w:rPr>
        <w:t>。</w:t>
      </w:r>
    </w:p>
    <w:p w14:paraId="0AD40D68" w14:textId="7A6A7A5D" w:rsidR="000D03B5" w:rsidRPr="00E97AFD" w:rsidRDefault="00964BE4"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基金管理人可在</w:t>
      </w:r>
      <w:r w:rsidR="002630E5" w:rsidRPr="00E97AFD">
        <w:rPr>
          <w:rFonts w:asciiTheme="minorEastAsia" w:eastAsiaTheme="minorEastAsia" w:hAnsiTheme="minorEastAsia" w:hint="eastAsia"/>
          <w:szCs w:val="21"/>
        </w:rPr>
        <w:t>不违反</w:t>
      </w:r>
      <w:r w:rsidRPr="00E97AFD">
        <w:rPr>
          <w:rFonts w:asciiTheme="minorEastAsia" w:eastAsiaTheme="minorEastAsia" w:hAnsiTheme="minorEastAsia" w:hint="eastAsia"/>
          <w:szCs w:val="21"/>
        </w:rPr>
        <w:t>法律法规的情况下，对上述原则进行调整。基金管理人必须在新规则开始实施前依照《信息披露办法》的有关规定在指定</w:t>
      </w:r>
      <w:r w:rsidR="006B018F" w:rsidRPr="00E97AFD">
        <w:rPr>
          <w:rFonts w:asciiTheme="minorEastAsia" w:eastAsiaTheme="minorEastAsia" w:hAnsiTheme="minorEastAsia" w:hint="eastAsia"/>
          <w:szCs w:val="21"/>
        </w:rPr>
        <w:t>媒介</w:t>
      </w:r>
      <w:r w:rsidRPr="00E97AFD">
        <w:rPr>
          <w:rFonts w:asciiTheme="minorEastAsia" w:eastAsiaTheme="minorEastAsia" w:hAnsiTheme="minorEastAsia" w:hint="eastAsia"/>
          <w:szCs w:val="21"/>
        </w:rPr>
        <w:t>上公告</w:t>
      </w:r>
      <w:r w:rsidR="003647F2" w:rsidRPr="00E97AFD">
        <w:rPr>
          <w:rFonts w:asciiTheme="minorEastAsia" w:eastAsiaTheme="minorEastAsia" w:hAnsiTheme="minorEastAsia" w:hint="eastAsia"/>
          <w:szCs w:val="21"/>
        </w:rPr>
        <w:t>。</w:t>
      </w:r>
    </w:p>
    <w:p w14:paraId="0412F4C6" w14:textId="77777777" w:rsidR="00BA4B87" w:rsidRPr="00E97AFD" w:rsidRDefault="004A4C9B" w:rsidP="00966694">
      <w:pPr>
        <w:snapToGrid w:val="0"/>
        <w:spacing w:line="360" w:lineRule="auto"/>
        <w:ind w:firstLineChars="200" w:firstLine="420"/>
        <w:rPr>
          <w:rFonts w:asciiTheme="minorEastAsia" w:eastAsiaTheme="minorEastAsia" w:hAnsiTheme="minorEastAsia"/>
          <w:szCs w:val="21"/>
        </w:rPr>
      </w:pPr>
      <w:bookmarkStart w:id="51" w:name="_Toc327734837"/>
      <w:r w:rsidRPr="00E97AFD">
        <w:rPr>
          <w:rFonts w:asciiTheme="minorEastAsia" w:eastAsiaTheme="minorEastAsia" w:hAnsiTheme="minorEastAsia"/>
          <w:szCs w:val="21"/>
        </w:rPr>
        <w:t>(</w:t>
      </w:r>
      <w:r w:rsidRPr="00E97AFD">
        <w:rPr>
          <w:rFonts w:asciiTheme="minorEastAsia" w:eastAsiaTheme="minorEastAsia" w:hAnsiTheme="minorEastAsia" w:hint="eastAsia"/>
          <w:szCs w:val="21"/>
        </w:rPr>
        <w:t>五</w:t>
      </w:r>
      <w:r w:rsidRPr="00E97AFD">
        <w:rPr>
          <w:rFonts w:asciiTheme="minorEastAsia" w:eastAsiaTheme="minorEastAsia" w:hAnsiTheme="minorEastAsia"/>
          <w:szCs w:val="21"/>
        </w:rPr>
        <w:t>)</w:t>
      </w:r>
      <w:r w:rsidR="00BA4B87" w:rsidRPr="00E97AFD">
        <w:rPr>
          <w:rFonts w:asciiTheme="minorEastAsia" w:eastAsiaTheme="minorEastAsia" w:hAnsiTheme="minorEastAsia"/>
          <w:szCs w:val="21"/>
        </w:rPr>
        <w:t>申购与赎回的程序</w:t>
      </w:r>
      <w:bookmarkEnd w:id="51"/>
    </w:p>
    <w:p w14:paraId="664506ED" w14:textId="77777777" w:rsidR="00964BE4" w:rsidRPr="00E97AFD" w:rsidRDefault="00964BE4"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1、申购和赎回的申请方式</w:t>
      </w:r>
    </w:p>
    <w:p w14:paraId="01279861" w14:textId="77777777" w:rsidR="00964BE4" w:rsidRPr="00E97AFD" w:rsidRDefault="00964BE4"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投资人必须根据销售机构规定的程序，在开放日的具体业务办理时间内提出申购或赎回的申请。</w:t>
      </w:r>
    </w:p>
    <w:p w14:paraId="670D7264" w14:textId="77777777" w:rsidR="00964BE4" w:rsidRPr="00E97AFD" w:rsidRDefault="00964BE4"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2、申购和赎回的款项支付</w:t>
      </w:r>
    </w:p>
    <w:p w14:paraId="09EA462B" w14:textId="77777777" w:rsidR="00251A63" w:rsidRPr="00E97AFD" w:rsidRDefault="00251A63"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lastRenderedPageBreak/>
        <w:t>投资人申购基金份额时，必须全额交付申购款项，投资人交付申购款项，申购成立，申购是否生效以注册登记机构确认为准。</w:t>
      </w:r>
    </w:p>
    <w:p w14:paraId="7B928468" w14:textId="77777777" w:rsidR="00964BE4" w:rsidRPr="00E97AFD" w:rsidRDefault="00251A63"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基金份额持有人递交赎回申请，赎回成立，赎回是否生效以注册登记机构确认为准。</w:t>
      </w:r>
      <w:r w:rsidR="00B977EB" w:rsidRPr="00E97AFD">
        <w:rPr>
          <w:rFonts w:asciiTheme="minorEastAsia" w:eastAsiaTheme="minorEastAsia" w:hAnsiTheme="minorEastAsia" w:hint="eastAsia"/>
          <w:szCs w:val="21"/>
        </w:rPr>
        <w:t>基金份额持有人赎回申请成功后，基金管理人将指示基金托管人在法律法规规定的期限内向基金份额持有人支付赎回款项。</w:t>
      </w:r>
      <w:r w:rsidRPr="00E97AFD">
        <w:rPr>
          <w:rFonts w:asciiTheme="minorEastAsia" w:eastAsiaTheme="minorEastAsia" w:hAnsiTheme="minorEastAsia" w:hint="eastAsia"/>
          <w:szCs w:val="21"/>
        </w:rPr>
        <w:t>如遇交易所或交易市场数据传输延迟、通讯系统故障、银行数据交换系统故障或其它非基金管理人及基金托管人所能控制的因素影响业务处理流程，则赎回款项的支付时间可相应顺延。在发生巨额赎回或基金合同载明的其他暂停赎回或延缓支付赎回款项的情形时，款项的支付办法按照基金合同有关条款处理。</w:t>
      </w:r>
    </w:p>
    <w:p w14:paraId="3EEE911A" w14:textId="77777777" w:rsidR="00964BE4" w:rsidRPr="00E97AFD" w:rsidRDefault="00964BE4"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3、申购和赎回申请的确认</w:t>
      </w:r>
    </w:p>
    <w:p w14:paraId="61416E15" w14:textId="77777777" w:rsidR="00251A63" w:rsidRPr="00E97AFD" w:rsidRDefault="00251A63"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基金管理人应以</w:t>
      </w:r>
      <w:r w:rsidR="00F33CD5" w:rsidRPr="00E97AFD">
        <w:rPr>
          <w:rFonts w:asciiTheme="minorEastAsia" w:eastAsiaTheme="minorEastAsia" w:hAnsiTheme="minorEastAsia" w:hint="eastAsia"/>
          <w:szCs w:val="21"/>
        </w:rPr>
        <w:t>交易时间</w:t>
      </w:r>
      <w:r w:rsidRPr="00E97AFD">
        <w:rPr>
          <w:rFonts w:asciiTheme="minorEastAsia" w:eastAsiaTheme="minorEastAsia" w:hAnsiTheme="minorEastAsia" w:hint="eastAsia"/>
          <w:szCs w:val="21"/>
        </w:rPr>
        <w:t>结束前受理有效申购和赎回申请的当天作为申购或赎回申请日，在正常情况下，本基金登记机构在申请日的下一工作日</w:t>
      </w:r>
      <w:r w:rsidR="002629AD" w:rsidRPr="00E97AFD">
        <w:rPr>
          <w:rFonts w:asciiTheme="minorEastAsia" w:eastAsiaTheme="minorEastAsia" w:hAnsiTheme="minorEastAsia" w:hint="eastAsia"/>
          <w:szCs w:val="21"/>
        </w:rPr>
        <w:t>前</w:t>
      </w:r>
      <w:r w:rsidRPr="00E97AFD">
        <w:rPr>
          <w:rFonts w:asciiTheme="minorEastAsia" w:eastAsiaTheme="minorEastAsia" w:hAnsiTheme="minorEastAsia" w:hint="eastAsia"/>
          <w:szCs w:val="21"/>
        </w:rPr>
        <w:t>（包括</w:t>
      </w:r>
      <w:r w:rsidR="00AC1A53" w:rsidRPr="00E97AFD">
        <w:rPr>
          <w:rFonts w:asciiTheme="minorEastAsia" w:eastAsiaTheme="minorEastAsia" w:hAnsiTheme="minorEastAsia" w:hint="eastAsia"/>
          <w:szCs w:val="21"/>
        </w:rPr>
        <w:t>申请日的下一工作日</w:t>
      </w:r>
      <w:r w:rsidRPr="00E97AFD">
        <w:rPr>
          <w:rFonts w:asciiTheme="minorEastAsia" w:eastAsiaTheme="minorEastAsia" w:hAnsiTheme="minorEastAsia" w:hint="eastAsia"/>
          <w:szCs w:val="21"/>
        </w:rPr>
        <w:t>）对该交易的有效性进行确认。申请日提交的有效申请，投资人应及时到销售网点柜台或以销售机构规定的其他方式查询申请的确认情况。若申购不成功，则申购款项本金退还给投资人。</w:t>
      </w:r>
    </w:p>
    <w:p w14:paraId="2628FB17" w14:textId="77777777" w:rsidR="00003E90" w:rsidRPr="00E97AFD" w:rsidRDefault="00251A63"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销售机构对申购、赎回申请的受理并不代表该申请一定成功，而仅代表销售机构确实接收到申购、赎回申请。申购、赎回的确认以登记机构的确认结果为准。</w:t>
      </w:r>
    </w:p>
    <w:p w14:paraId="0D356492" w14:textId="61E52CEE" w:rsidR="00B92089" w:rsidRPr="00E97AFD" w:rsidRDefault="00B92089"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基金管理人</w:t>
      </w:r>
      <w:r w:rsidR="00730FD5" w:rsidRPr="00E97AFD">
        <w:rPr>
          <w:rFonts w:asciiTheme="minorEastAsia" w:eastAsiaTheme="minorEastAsia" w:hAnsiTheme="minorEastAsia" w:hint="eastAsia"/>
          <w:szCs w:val="21"/>
        </w:rPr>
        <w:t>在不违反法律法规且对基金份额持有人利益无实质不利影响的前提下</w:t>
      </w:r>
      <w:r w:rsidRPr="00E97AFD">
        <w:rPr>
          <w:rFonts w:asciiTheme="minorEastAsia" w:eastAsiaTheme="minorEastAsia" w:hAnsiTheme="minorEastAsia" w:hint="eastAsia"/>
          <w:szCs w:val="21"/>
        </w:rPr>
        <w:t>，</w:t>
      </w:r>
      <w:r w:rsidR="00730FD5" w:rsidRPr="00E97AFD">
        <w:rPr>
          <w:rFonts w:asciiTheme="minorEastAsia" w:eastAsiaTheme="minorEastAsia" w:hAnsiTheme="minorEastAsia" w:hint="eastAsia"/>
          <w:szCs w:val="21"/>
        </w:rPr>
        <w:t>可</w:t>
      </w:r>
      <w:r w:rsidRPr="00E97AFD">
        <w:rPr>
          <w:rFonts w:asciiTheme="minorEastAsia" w:eastAsiaTheme="minorEastAsia" w:hAnsiTheme="minorEastAsia" w:hint="eastAsia"/>
          <w:szCs w:val="21"/>
        </w:rPr>
        <w:t>对上述程序规则进行调整。基金管理人应在新规则开始实施前依照《信息披露办法》的有关规定在指定</w:t>
      </w:r>
      <w:r w:rsidR="006B018F" w:rsidRPr="00E97AFD">
        <w:rPr>
          <w:rFonts w:asciiTheme="minorEastAsia" w:eastAsiaTheme="minorEastAsia" w:hAnsiTheme="minorEastAsia" w:hint="eastAsia"/>
          <w:szCs w:val="21"/>
        </w:rPr>
        <w:t>媒介</w:t>
      </w:r>
      <w:r w:rsidRPr="00E97AFD">
        <w:rPr>
          <w:rFonts w:asciiTheme="minorEastAsia" w:eastAsiaTheme="minorEastAsia" w:hAnsiTheme="minorEastAsia" w:hint="eastAsia"/>
          <w:szCs w:val="21"/>
        </w:rPr>
        <w:t>上公告。</w:t>
      </w:r>
    </w:p>
    <w:p w14:paraId="545FE5E4" w14:textId="77777777" w:rsidR="00BA4B87" w:rsidRPr="00E97AFD" w:rsidRDefault="00BA4B87" w:rsidP="00966694">
      <w:pPr>
        <w:snapToGrid w:val="0"/>
        <w:spacing w:line="360" w:lineRule="auto"/>
        <w:ind w:firstLineChars="200" w:firstLine="420"/>
        <w:rPr>
          <w:rFonts w:asciiTheme="minorEastAsia" w:eastAsiaTheme="minorEastAsia" w:hAnsiTheme="minorEastAsia"/>
          <w:szCs w:val="21"/>
        </w:rPr>
      </w:pPr>
      <w:bookmarkStart w:id="52" w:name="_Toc327734838"/>
      <w:r w:rsidRPr="00E97AFD">
        <w:rPr>
          <w:rFonts w:asciiTheme="minorEastAsia" w:eastAsiaTheme="minorEastAsia" w:hAnsiTheme="minorEastAsia"/>
          <w:szCs w:val="21"/>
        </w:rPr>
        <w:t>(</w:t>
      </w:r>
      <w:r w:rsidR="00214A68" w:rsidRPr="00E97AFD">
        <w:rPr>
          <w:rFonts w:asciiTheme="minorEastAsia" w:eastAsiaTheme="minorEastAsia" w:hAnsiTheme="minorEastAsia"/>
          <w:szCs w:val="21"/>
        </w:rPr>
        <w:t>六</w:t>
      </w:r>
      <w:r w:rsidRPr="00E97AFD">
        <w:rPr>
          <w:rFonts w:asciiTheme="minorEastAsia" w:eastAsiaTheme="minorEastAsia" w:hAnsiTheme="minorEastAsia"/>
          <w:szCs w:val="21"/>
        </w:rPr>
        <w:t>)申购与赎回的数额限制</w:t>
      </w:r>
      <w:bookmarkEnd w:id="52"/>
    </w:p>
    <w:p w14:paraId="7E034626" w14:textId="77777777" w:rsidR="00BA4B87" w:rsidRPr="00E97AFD" w:rsidRDefault="00BA4B8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1、申购金额的限制</w:t>
      </w:r>
    </w:p>
    <w:p w14:paraId="5EA71657" w14:textId="77777777" w:rsidR="00AB5F22" w:rsidRPr="00E97AFD" w:rsidRDefault="00712A55"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投资者通过</w:t>
      </w:r>
      <w:r w:rsidR="00152152" w:rsidRPr="00E97AFD">
        <w:rPr>
          <w:rFonts w:asciiTheme="minorEastAsia" w:eastAsiaTheme="minorEastAsia" w:hAnsiTheme="minorEastAsia" w:hint="eastAsia"/>
          <w:szCs w:val="21"/>
        </w:rPr>
        <w:t>非直销销售机构</w:t>
      </w:r>
      <w:r w:rsidRPr="00E97AFD">
        <w:rPr>
          <w:rFonts w:asciiTheme="minorEastAsia" w:eastAsiaTheme="minorEastAsia" w:hAnsiTheme="minorEastAsia" w:hint="eastAsia"/>
          <w:szCs w:val="21"/>
        </w:rPr>
        <w:t>或本公司网上交易系统</w:t>
      </w:r>
      <w:r w:rsidR="008C08C3" w:rsidRPr="00E97AFD">
        <w:rPr>
          <w:rFonts w:asciiTheme="minorEastAsia" w:eastAsiaTheme="minorEastAsia" w:hAnsiTheme="minorEastAsia" w:hint="eastAsia"/>
          <w:kern w:val="0"/>
          <w:szCs w:val="21"/>
        </w:rPr>
        <w:t>首次申购和追加申购本基金A类基金份额的单笔最低限额不进行限制</w:t>
      </w:r>
      <w:r w:rsidR="00152152" w:rsidRPr="00E97AFD">
        <w:rPr>
          <w:rFonts w:asciiTheme="minorEastAsia" w:eastAsiaTheme="minorEastAsia" w:hAnsiTheme="minorEastAsia" w:hint="eastAsia"/>
          <w:szCs w:val="21"/>
        </w:rPr>
        <w:t>；</w:t>
      </w:r>
      <w:r w:rsidRPr="00E97AFD">
        <w:rPr>
          <w:rFonts w:asciiTheme="minorEastAsia" w:eastAsiaTheme="minorEastAsia" w:hAnsiTheme="minorEastAsia" w:hint="eastAsia"/>
          <w:szCs w:val="21"/>
        </w:rPr>
        <w:t>首次申购本基金</w:t>
      </w:r>
      <w:r w:rsidRPr="00E97AFD">
        <w:rPr>
          <w:rFonts w:asciiTheme="minorEastAsia" w:eastAsiaTheme="minorEastAsia" w:hAnsiTheme="minorEastAsia"/>
          <w:szCs w:val="21"/>
        </w:rPr>
        <w:t>B类</w:t>
      </w:r>
      <w:r w:rsidRPr="00E97AFD">
        <w:rPr>
          <w:rFonts w:asciiTheme="minorEastAsia" w:eastAsiaTheme="minorEastAsia" w:hAnsiTheme="minorEastAsia" w:hint="eastAsia"/>
          <w:szCs w:val="21"/>
        </w:rPr>
        <w:t>基金份额单笔最低限额为人民币</w:t>
      </w:r>
      <w:r w:rsidR="00095DB2" w:rsidRPr="00E97AFD">
        <w:rPr>
          <w:rFonts w:asciiTheme="minorEastAsia" w:eastAsiaTheme="minorEastAsia" w:hAnsiTheme="minorEastAsia" w:hint="eastAsia"/>
          <w:szCs w:val="21"/>
        </w:rPr>
        <w:t>5</w:t>
      </w:r>
      <w:r w:rsidR="00095DB2" w:rsidRPr="00E97AFD">
        <w:rPr>
          <w:rFonts w:asciiTheme="minorEastAsia" w:eastAsiaTheme="minorEastAsia" w:hAnsiTheme="minorEastAsia"/>
          <w:szCs w:val="21"/>
        </w:rPr>
        <w:t>00</w:t>
      </w:r>
      <w:r w:rsidRPr="00E97AFD">
        <w:rPr>
          <w:rFonts w:asciiTheme="minorEastAsia" w:eastAsiaTheme="minorEastAsia" w:hAnsiTheme="minorEastAsia" w:hint="eastAsia"/>
          <w:szCs w:val="21"/>
        </w:rPr>
        <w:t>万元</w:t>
      </w:r>
      <w:r w:rsidR="00152152" w:rsidRPr="00E97AFD">
        <w:rPr>
          <w:rFonts w:asciiTheme="minorEastAsia" w:eastAsiaTheme="minorEastAsia" w:hAnsiTheme="minorEastAsia" w:hint="eastAsia"/>
          <w:szCs w:val="21"/>
        </w:rPr>
        <w:t>，</w:t>
      </w:r>
      <w:r w:rsidR="00152152" w:rsidRPr="00E97AFD">
        <w:rPr>
          <w:rFonts w:asciiTheme="minorEastAsia" w:eastAsiaTheme="minorEastAsia" w:hAnsiTheme="minorEastAsia"/>
          <w:szCs w:val="21"/>
        </w:rPr>
        <w:t>追加</w:t>
      </w:r>
      <w:r w:rsidR="00152152" w:rsidRPr="00E97AFD">
        <w:rPr>
          <w:rFonts w:asciiTheme="minorEastAsia" w:eastAsiaTheme="minorEastAsia" w:hAnsiTheme="minorEastAsia" w:hint="eastAsia"/>
          <w:szCs w:val="21"/>
        </w:rPr>
        <w:t>申购</w:t>
      </w:r>
      <w:r w:rsidR="00152152" w:rsidRPr="00E97AFD">
        <w:rPr>
          <w:rFonts w:asciiTheme="minorEastAsia" w:eastAsiaTheme="minorEastAsia" w:hAnsiTheme="minorEastAsia"/>
          <w:szCs w:val="21"/>
        </w:rPr>
        <w:t>单笔最低限额为人民币1</w:t>
      </w:r>
      <w:r w:rsidR="00152152" w:rsidRPr="00E97AFD">
        <w:rPr>
          <w:rFonts w:asciiTheme="minorEastAsia" w:eastAsiaTheme="minorEastAsia" w:hAnsiTheme="minorEastAsia" w:hint="eastAsia"/>
          <w:szCs w:val="21"/>
        </w:rPr>
        <w:t>0万</w:t>
      </w:r>
      <w:r w:rsidR="00152152" w:rsidRPr="00E97AFD">
        <w:rPr>
          <w:rFonts w:asciiTheme="minorEastAsia" w:eastAsiaTheme="minorEastAsia" w:hAnsiTheme="minorEastAsia"/>
          <w:szCs w:val="21"/>
        </w:rPr>
        <w:t>元</w:t>
      </w:r>
      <w:r w:rsidR="00152152" w:rsidRPr="00E97AFD">
        <w:rPr>
          <w:rFonts w:asciiTheme="minorEastAsia" w:eastAsiaTheme="minorEastAsia" w:hAnsiTheme="minorEastAsia" w:hint="eastAsia"/>
          <w:szCs w:val="21"/>
        </w:rPr>
        <w:t>。</w:t>
      </w:r>
      <w:r w:rsidRPr="00E97AFD">
        <w:rPr>
          <w:rFonts w:asciiTheme="minorEastAsia" w:eastAsiaTheme="minorEastAsia" w:hAnsiTheme="minorEastAsia" w:hint="eastAsia"/>
          <w:szCs w:val="21"/>
        </w:rPr>
        <w:t>投资者通过</w:t>
      </w:r>
      <w:r w:rsidR="00152152" w:rsidRPr="00E97AFD">
        <w:rPr>
          <w:rFonts w:asciiTheme="minorEastAsia" w:eastAsiaTheme="minorEastAsia" w:hAnsiTheme="minorEastAsia" w:hint="eastAsia"/>
          <w:szCs w:val="21"/>
        </w:rPr>
        <w:t>本公司</w:t>
      </w:r>
      <w:r w:rsidRPr="00E97AFD">
        <w:rPr>
          <w:rFonts w:asciiTheme="minorEastAsia" w:eastAsiaTheme="minorEastAsia" w:hAnsiTheme="minorEastAsia" w:hint="eastAsia"/>
          <w:szCs w:val="21"/>
        </w:rPr>
        <w:t>直销中心首次申购本基金</w:t>
      </w:r>
      <w:r w:rsidRPr="00E97AFD">
        <w:rPr>
          <w:rFonts w:asciiTheme="minorEastAsia" w:eastAsiaTheme="minorEastAsia" w:hAnsiTheme="minorEastAsia"/>
          <w:szCs w:val="21"/>
        </w:rPr>
        <w:t>A类</w:t>
      </w:r>
      <w:r w:rsidRPr="00E97AFD">
        <w:rPr>
          <w:rFonts w:asciiTheme="minorEastAsia" w:eastAsiaTheme="minorEastAsia" w:hAnsiTheme="minorEastAsia" w:hint="eastAsia"/>
          <w:szCs w:val="21"/>
        </w:rPr>
        <w:t>基金份额单笔最低限额为人民币</w:t>
      </w:r>
      <w:r w:rsidRPr="00E97AFD">
        <w:rPr>
          <w:rFonts w:asciiTheme="minorEastAsia" w:eastAsiaTheme="minorEastAsia" w:hAnsiTheme="minorEastAsia"/>
          <w:szCs w:val="21"/>
        </w:rPr>
        <w:t>5</w:t>
      </w:r>
      <w:r w:rsidR="00152152" w:rsidRPr="00E97AFD">
        <w:rPr>
          <w:rFonts w:asciiTheme="minorEastAsia" w:eastAsiaTheme="minorEastAsia" w:hAnsiTheme="minorEastAsia" w:hint="eastAsia"/>
          <w:szCs w:val="21"/>
        </w:rPr>
        <w:t>万</w:t>
      </w:r>
      <w:r w:rsidRPr="00E97AFD">
        <w:rPr>
          <w:rFonts w:asciiTheme="minorEastAsia" w:eastAsiaTheme="minorEastAsia" w:hAnsiTheme="minorEastAsia" w:hint="eastAsia"/>
          <w:szCs w:val="21"/>
        </w:rPr>
        <w:t>元，</w:t>
      </w:r>
      <w:r w:rsidR="00152152" w:rsidRPr="00E97AFD">
        <w:rPr>
          <w:rFonts w:asciiTheme="minorEastAsia" w:eastAsiaTheme="minorEastAsia" w:hAnsiTheme="minorEastAsia" w:hint="eastAsia"/>
          <w:szCs w:val="21"/>
        </w:rPr>
        <w:t>追加申购单笔最低限额为人民币1000元</w:t>
      </w:r>
      <w:r w:rsidR="00AB5F22" w:rsidRPr="00E97AFD">
        <w:rPr>
          <w:rFonts w:asciiTheme="minorEastAsia" w:eastAsiaTheme="minorEastAsia" w:hAnsiTheme="minorEastAsia" w:hint="eastAsia"/>
          <w:szCs w:val="21"/>
        </w:rPr>
        <w:t>；</w:t>
      </w:r>
      <w:r w:rsidRPr="00E97AFD">
        <w:rPr>
          <w:rFonts w:asciiTheme="minorEastAsia" w:eastAsiaTheme="minorEastAsia" w:hAnsiTheme="minorEastAsia" w:hint="eastAsia"/>
          <w:szCs w:val="21"/>
        </w:rPr>
        <w:t>首次申购本基金</w:t>
      </w:r>
      <w:r w:rsidRPr="00E97AFD">
        <w:rPr>
          <w:rFonts w:asciiTheme="minorEastAsia" w:eastAsiaTheme="minorEastAsia" w:hAnsiTheme="minorEastAsia"/>
          <w:szCs w:val="21"/>
        </w:rPr>
        <w:t>B类</w:t>
      </w:r>
      <w:r w:rsidRPr="00E97AFD">
        <w:rPr>
          <w:rFonts w:asciiTheme="minorEastAsia" w:eastAsiaTheme="minorEastAsia" w:hAnsiTheme="minorEastAsia" w:hint="eastAsia"/>
          <w:szCs w:val="21"/>
        </w:rPr>
        <w:t>基金份额单笔最低限额为人民币</w:t>
      </w:r>
      <w:r w:rsidR="00095DB2" w:rsidRPr="00E97AFD">
        <w:rPr>
          <w:rFonts w:asciiTheme="minorEastAsia" w:eastAsiaTheme="minorEastAsia" w:hAnsiTheme="minorEastAsia" w:hint="eastAsia"/>
          <w:szCs w:val="21"/>
        </w:rPr>
        <w:t>5</w:t>
      </w:r>
      <w:r w:rsidR="00095DB2" w:rsidRPr="00E97AFD">
        <w:rPr>
          <w:rFonts w:asciiTheme="minorEastAsia" w:eastAsiaTheme="minorEastAsia" w:hAnsiTheme="minorEastAsia"/>
          <w:szCs w:val="21"/>
        </w:rPr>
        <w:t>00</w:t>
      </w:r>
      <w:r w:rsidRPr="00E97AFD">
        <w:rPr>
          <w:rFonts w:asciiTheme="minorEastAsia" w:eastAsiaTheme="minorEastAsia" w:hAnsiTheme="minorEastAsia" w:hint="eastAsia"/>
          <w:szCs w:val="21"/>
        </w:rPr>
        <w:t>万元</w:t>
      </w:r>
      <w:r w:rsidR="00AB5F22" w:rsidRPr="00E97AFD">
        <w:rPr>
          <w:rFonts w:asciiTheme="minorEastAsia" w:eastAsiaTheme="minorEastAsia" w:hAnsiTheme="minorEastAsia" w:hint="eastAsia"/>
          <w:szCs w:val="21"/>
        </w:rPr>
        <w:t>，追加申购单笔最低限额为人民币10万元。</w:t>
      </w:r>
      <w:r w:rsidR="00C05C75" w:rsidRPr="00E97AFD">
        <w:rPr>
          <w:rFonts w:asciiTheme="minorEastAsia" w:eastAsiaTheme="minorEastAsia" w:hAnsiTheme="minorEastAsia" w:hint="eastAsia"/>
          <w:szCs w:val="21"/>
        </w:rPr>
        <w:t>在符合法律法规规定的前提下，</w:t>
      </w:r>
      <w:r w:rsidR="00AB5F22" w:rsidRPr="00E97AFD">
        <w:rPr>
          <w:rFonts w:asciiTheme="minorEastAsia" w:eastAsiaTheme="minorEastAsia" w:hAnsiTheme="minorEastAsia" w:hint="eastAsia"/>
          <w:szCs w:val="21"/>
        </w:rPr>
        <w:t>各销售机构对最低申购限额及交易级差有其他规定的,</w:t>
      </w:r>
      <w:r w:rsidR="00E049AF" w:rsidRPr="00E97AFD">
        <w:rPr>
          <w:rFonts w:asciiTheme="minorEastAsia" w:eastAsiaTheme="minorEastAsia" w:hAnsiTheme="minorEastAsia" w:cs="Arial" w:hint="eastAsia"/>
        </w:rPr>
        <w:t>需同时遵循该销售机构的相关规定</w:t>
      </w:r>
      <w:r w:rsidR="00AB5F22" w:rsidRPr="00E97AFD">
        <w:rPr>
          <w:rFonts w:asciiTheme="minorEastAsia" w:eastAsiaTheme="minorEastAsia" w:hAnsiTheme="minorEastAsia" w:hint="eastAsia"/>
          <w:szCs w:val="21"/>
        </w:rPr>
        <w:t>。</w:t>
      </w:r>
    </w:p>
    <w:p w14:paraId="4B10EF3B" w14:textId="77777777" w:rsidR="00712A55" w:rsidRPr="00E97AFD" w:rsidRDefault="00712A55"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当期分配的基金收益</w:t>
      </w:r>
      <w:r w:rsidRPr="00E97AFD">
        <w:rPr>
          <w:rFonts w:asciiTheme="minorEastAsia" w:eastAsiaTheme="minorEastAsia" w:hAnsiTheme="minorEastAsia" w:hint="eastAsia"/>
          <w:szCs w:val="21"/>
        </w:rPr>
        <w:t>转结为</w:t>
      </w:r>
      <w:r w:rsidRPr="00E97AFD">
        <w:rPr>
          <w:rFonts w:asciiTheme="minorEastAsia" w:eastAsiaTheme="minorEastAsia" w:hAnsiTheme="minorEastAsia"/>
          <w:szCs w:val="21"/>
        </w:rPr>
        <w:t>基金份额或采用定期定额投资计划时，不受最低申购金额的限制。</w:t>
      </w:r>
    </w:p>
    <w:p w14:paraId="63B68C4A" w14:textId="77777777" w:rsidR="00BA4B87" w:rsidRPr="00E97AFD" w:rsidRDefault="00BA4B8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2、赎回份额的限制</w:t>
      </w:r>
    </w:p>
    <w:p w14:paraId="6D30D543" w14:textId="77777777" w:rsidR="00D2527C" w:rsidRPr="00E97AFD" w:rsidRDefault="0007767A"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投资者</w:t>
      </w:r>
      <w:r w:rsidR="00214A68" w:rsidRPr="00E97AFD">
        <w:rPr>
          <w:rFonts w:asciiTheme="minorEastAsia" w:eastAsiaTheme="minorEastAsia" w:hAnsiTheme="minorEastAsia"/>
          <w:szCs w:val="21"/>
        </w:rPr>
        <w:t>可将其全部或部分基金份额赎回。</w:t>
      </w:r>
      <w:r w:rsidR="000864A5" w:rsidRPr="00E97AFD">
        <w:rPr>
          <w:rFonts w:asciiTheme="minorEastAsia" w:eastAsiaTheme="minorEastAsia" w:hAnsiTheme="minorEastAsia" w:hint="eastAsia"/>
          <w:szCs w:val="21"/>
        </w:rPr>
        <w:t>每类基金份额单笔赎回不得少于</w:t>
      </w:r>
      <w:r w:rsidR="00251A63" w:rsidRPr="00E97AFD">
        <w:rPr>
          <w:rFonts w:asciiTheme="minorEastAsia" w:eastAsiaTheme="minorEastAsia" w:hAnsiTheme="minorEastAsia" w:hint="eastAsia"/>
          <w:szCs w:val="21"/>
        </w:rPr>
        <w:t>0</w:t>
      </w:r>
      <w:r w:rsidR="00D2527C" w:rsidRPr="00E97AFD">
        <w:rPr>
          <w:rFonts w:asciiTheme="minorEastAsia" w:eastAsiaTheme="minorEastAsia" w:hAnsiTheme="minorEastAsia" w:hint="eastAsia"/>
          <w:szCs w:val="21"/>
        </w:rPr>
        <w:t>份。</w:t>
      </w:r>
      <w:r w:rsidR="00931084" w:rsidRPr="00E97AFD">
        <w:rPr>
          <w:rFonts w:asciiTheme="minorEastAsia" w:eastAsiaTheme="minorEastAsia" w:hAnsiTheme="minorEastAsia" w:hint="eastAsia"/>
          <w:szCs w:val="21"/>
        </w:rPr>
        <w:t>在符合法律法规规定的前提下，各销售机构对赎回份额限制有其他规定的，需同时遵循该销售机构的相关规定。</w:t>
      </w:r>
    </w:p>
    <w:p w14:paraId="05725824" w14:textId="2FF99D13" w:rsidR="00964BE4" w:rsidRPr="00E97AFD" w:rsidRDefault="00964BE4"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3、基金管理人</w:t>
      </w:r>
      <w:r w:rsidR="00E04262" w:rsidRPr="00E97AFD">
        <w:rPr>
          <w:rFonts w:asciiTheme="minorEastAsia" w:eastAsiaTheme="minorEastAsia" w:hAnsiTheme="minorEastAsia" w:hint="eastAsia"/>
          <w:szCs w:val="21"/>
        </w:rPr>
        <w:t>可以规定单个投资人累计持有的基金份额上限、单日或单笔申购金额上</w:t>
      </w:r>
      <w:r w:rsidR="00E04262" w:rsidRPr="00E97AFD">
        <w:rPr>
          <w:rFonts w:asciiTheme="minorEastAsia" w:eastAsiaTheme="minorEastAsia" w:hAnsiTheme="minorEastAsia" w:hint="eastAsia"/>
          <w:szCs w:val="21"/>
        </w:rPr>
        <w:lastRenderedPageBreak/>
        <w:t>限</w:t>
      </w:r>
      <w:r w:rsidR="00580FE0" w:rsidRPr="00E97AFD">
        <w:rPr>
          <w:rFonts w:asciiTheme="minorEastAsia" w:eastAsiaTheme="minorEastAsia" w:hAnsiTheme="minorEastAsia" w:hint="eastAsia"/>
          <w:szCs w:val="21"/>
        </w:rPr>
        <w:t>，具体规定必须在开始实施前依照《信息披露办法》的有关规定在指定</w:t>
      </w:r>
      <w:r w:rsidR="006B018F" w:rsidRPr="00E97AFD">
        <w:rPr>
          <w:rFonts w:asciiTheme="minorEastAsia" w:eastAsiaTheme="minorEastAsia" w:hAnsiTheme="minorEastAsia" w:hint="eastAsia"/>
          <w:szCs w:val="21"/>
        </w:rPr>
        <w:t>媒介</w:t>
      </w:r>
      <w:r w:rsidR="00580FE0" w:rsidRPr="00E97AFD">
        <w:rPr>
          <w:rFonts w:asciiTheme="minorEastAsia" w:eastAsiaTheme="minorEastAsia" w:hAnsiTheme="minorEastAsia" w:hint="eastAsia"/>
          <w:szCs w:val="21"/>
        </w:rPr>
        <w:t>上公告。</w:t>
      </w:r>
    </w:p>
    <w:p w14:paraId="0EAC06AB" w14:textId="160BA9FC" w:rsidR="00964BE4" w:rsidRPr="00E97AFD" w:rsidRDefault="00964BE4"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4、</w:t>
      </w:r>
      <w:r w:rsidR="00725050" w:rsidRPr="00E97AFD">
        <w:rPr>
          <w:rFonts w:asciiTheme="minorEastAsia" w:eastAsiaTheme="minorEastAsia" w:hAnsiTheme="minorEastAsia" w:hint="eastAsia"/>
          <w:szCs w:val="21"/>
        </w:rPr>
        <w:t>基金管理人</w:t>
      </w:r>
      <w:r w:rsidR="00E04262" w:rsidRPr="00E97AFD">
        <w:rPr>
          <w:rFonts w:asciiTheme="minorEastAsia" w:eastAsiaTheme="minorEastAsia" w:hAnsiTheme="minorEastAsia" w:hint="eastAsia"/>
          <w:szCs w:val="21"/>
        </w:rPr>
        <w:t>有权规定本基金的总规模限额，以及单日申购金额上限和净申购比例上限</w:t>
      </w:r>
      <w:r w:rsidR="0022644D" w:rsidRPr="00E97AFD">
        <w:rPr>
          <w:rFonts w:asciiTheme="minorEastAsia" w:eastAsiaTheme="minorEastAsia" w:hAnsiTheme="minorEastAsia" w:hint="eastAsia"/>
          <w:szCs w:val="21"/>
        </w:rPr>
        <w:t>，</w:t>
      </w:r>
      <w:r w:rsidR="00580FE0" w:rsidRPr="00E97AFD">
        <w:rPr>
          <w:rFonts w:asciiTheme="minorEastAsia" w:eastAsiaTheme="minorEastAsia" w:hAnsiTheme="minorEastAsia" w:hint="eastAsia"/>
          <w:szCs w:val="21"/>
        </w:rPr>
        <w:t>具体规定必须在开始实施前依照《信息披露办法》的有关规定在指定</w:t>
      </w:r>
      <w:r w:rsidR="006B018F" w:rsidRPr="00E97AFD">
        <w:rPr>
          <w:rFonts w:asciiTheme="minorEastAsia" w:eastAsiaTheme="minorEastAsia" w:hAnsiTheme="minorEastAsia" w:hint="eastAsia"/>
          <w:szCs w:val="21"/>
        </w:rPr>
        <w:t>媒介</w:t>
      </w:r>
      <w:r w:rsidR="00580FE0" w:rsidRPr="00E97AFD">
        <w:rPr>
          <w:rFonts w:asciiTheme="minorEastAsia" w:eastAsiaTheme="minorEastAsia" w:hAnsiTheme="minorEastAsia" w:hint="eastAsia"/>
          <w:szCs w:val="21"/>
        </w:rPr>
        <w:t>上公告。</w:t>
      </w:r>
    </w:p>
    <w:p w14:paraId="78887A53" w14:textId="77777777" w:rsidR="00E04262" w:rsidRPr="00E97AFD" w:rsidRDefault="00E04262" w:rsidP="00E04262">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26C9C8CD" w14:textId="77777777" w:rsidR="00E04262" w:rsidRPr="00E97AFD" w:rsidRDefault="00E0426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6、基金管理人可在不违反法律法规的情况下，调整上述规定申购金额和赎回份额的数量限制，或者新增基金规模控制措施。基金管理人必须在调整前依照《信息披露办法》的有关规定在指定媒介上公告。</w:t>
      </w:r>
    </w:p>
    <w:p w14:paraId="262923AF" w14:textId="77777777" w:rsidR="00BA4B87" w:rsidRPr="00E97AFD" w:rsidRDefault="00BA4B87" w:rsidP="00966694">
      <w:pPr>
        <w:snapToGrid w:val="0"/>
        <w:spacing w:line="360" w:lineRule="auto"/>
        <w:ind w:firstLineChars="200" w:firstLine="420"/>
        <w:rPr>
          <w:rFonts w:asciiTheme="minorEastAsia" w:eastAsiaTheme="minorEastAsia" w:hAnsiTheme="minorEastAsia"/>
          <w:szCs w:val="21"/>
        </w:rPr>
      </w:pPr>
      <w:bookmarkStart w:id="53" w:name="_Toc327734839"/>
      <w:r w:rsidRPr="00E97AFD">
        <w:rPr>
          <w:rFonts w:asciiTheme="minorEastAsia" w:eastAsiaTheme="minorEastAsia" w:hAnsiTheme="minorEastAsia"/>
          <w:szCs w:val="21"/>
        </w:rPr>
        <w:t>(</w:t>
      </w:r>
      <w:r w:rsidR="00214A68" w:rsidRPr="00E97AFD">
        <w:rPr>
          <w:rFonts w:asciiTheme="minorEastAsia" w:eastAsiaTheme="minorEastAsia" w:hAnsiTheme="minorEastAsia"/>
          <w:szCs w:val="21"/>
        </w:rPr>
        <w:t>七</w:t>
      </w:r>
      <w:r w:rsidRPr="00E97AFD">
        <w:rPr>
          <w:rFonts w:asciiTheme="minorEastAsia" w:eastAsiaTheme="minorEastAsia" w:hAnsiTheme="minorEastAsia"/>
          <w:szCs w:val="21"/>
        </w:rPr>
        <w:t>)基金的申购费和赎回费</w:t>
      </w:r>
      <w:bookmarkEnd w:id="53"/>
    </w:p>
    <w:p w14:paraId="134AC7CB" w14:textId="77777777" w:rsidR="00957F2C" w:rsidRPr="00E97AFD" w:rsidRDefault="00957F2C" w:rsidP="00957F2C">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1、除法律法规另有规定或基金合同另有约定外，本基金不收取申购费用和赎回费用。</w:t>
      </w:r>
    </w:p>
    <w:p w14:paraId="36DF7AB5" w14:textId="77777777" w:rsidR="00957F2C" w:rsidRPr="00E97AFD" w:rsidRDefault="00957F2C" w:rsidP="00957F2C">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2、强制赎回费用</w:t>
      </w:r>
    </w:p>
    <w:p w14:paraId="367341EE" w14:textId="77777777" w:rsidR="00E04262" w:rsidRPr="00E97AFD" w:rsidRDefault="00E04262" w:rsidP="00E04262">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发生以下情形之一时，本基金对当日单个基金份额持有人申请赎回基金份额超过基金总份额1%以上的赎回申请（指超过基金总份额1%以上的部分）征收1%的强制赎回费用，并将上述赎回费用全额计入基金财产。基金管理人与基金托管人协商确认上述做法无益于基金利益最大化的情形除外：</w:t>
      </w:r>
    </w:p>
    <w:p w14:paraId="7EB50892" w14:textId="77777777" w:rsidR="00E04262" w:rsidRPr="00E97AFD" w:rsidRDefault="00E04262" w:rsidP="00E04262">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（1）当本基金持有的现金、国债、中央银行票据、政策性金融债券以及5个交易日内到期的其他金融工具占基金资产净值的比例合计低于5%且偏离度为负的情形时；</w:t>
      </w:r>
    </w:p>
    <w:p w14:paraId="0216C353" w14:textId="77777777" w:rsidR="00957F2C" w:rsidRPr="00E97AFD" w:rsidRDefault="00E04262" w:rsidP="00E04262">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当本基金前10名份额持有人的持有份额合计超过基金总份额的50%，且本基金投资组合中现金、国债、中央银行票据、政策性金融债券以及5个交易日内到期的其他金融工具占基金资产净值的比例合计低于10%且偏离度为负时。</w:t>
      </w:r>
    </w:p>
    <w:p w14:paraId="3E500B6A" w14:textId="77777777" w:rsidR="00BA4B87" w:rsidRPr="00E97AFD" w:rsidRDefault="00BA4B87" w:rsidP="00966694">
      <w:pPr>
        <w:snapToGrid w:val="0"/>
        <w:spacing w:line="360" w:lineRule="auto"/>
        <w:ind w:firstLineChars="200" w:firstLine="420"/>
        <w:rPr>
          <w:rFonts w:asciiTheme="minorEastAsia" w:eastAsiaTheme="minorEastAsia" w:hAnsiTheme="minorEastAsia"/>
          <w:szCs w:val="21"/>
        </w:rPr>
      </w:pPr>
      <w:bookmarkStart w:id="54" w:name="_Toc327734840"/>
      <w:r w:rsidRPr="00E97AFD">
        <w:rPr>
          <w:rFonts w:asciiTheme="minorEastAsia" w:eastAsiaTheme="minorEastAsia" w:hAnsiTheme="minorEastAsia"/>
          <w:szCs w:val="21"/>
        </w:rPr>
        <w:t>(</w:t>
      </w:r>
      <w:r w:rsidR="00214A68" w:rsidRPr="00E97AFD">
        <w:rPr>
          <w:rFonts w:asciiTheme="minorEastAsia" w:eastAsiaTheme="minorEastAsia" w:hAnsiTheme="minorEastAsia"/>
          <w:szCs w:val="21"/>
        </w:rPr>
        <w:t>八</w:t>
      </w:r>
      <w:r w:rsidRPr="00E97AFD">
        <w:rPr>
          <w:rFonts w:asciiTheme="minorEastAsia" w:eastAsiaTheme="minorEastAsia" w:hAnsiTheme="minorEastAsia"/>
          <w:szCs w:val="21"/>
        </w:rPr>
        <w:t>)申购和赎回的数额和价格</w:t>
      </w:r>
      <w:bookmarkEnd w:id="54"/>
    </w:p>
    <w:p w14:paraId="1FD2A732" w14:textId="77777777" w:rsidR="003E7F0D" w:rsidRPr="00E97AFD" w:rsidRDefault="003E7F0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1</w:t>
      </w:r>
      <w:r w:rsidR="00C00F5E" w:rsidRPr="00E97AFD">
        <w:rPr>
          <w:rFonts w:asciiTheme="minorEastAsia" w:eastAsiaTheme="minorEastAsia" w:hAnsiTheme="minorEastAsia" w:hint="eastAsia"/>
          <w:szCs w:val="21"/>
        </w:rPr>
        <w:t>、</w:t>
      </w:r>
      <w:r w:rsidRPr="00E97AFD">
        <w:rPr>
          <w:rFonts w:asciiTheme="minorEastAsia" w:eastAsiaTheme="minorEastAsia" w:hAnsiTheme="minorEastAsia" w:hint="eastAsia"/>
          <w:szCs w:val="21"/>
        </w:rPr>
        <w:t>基金份额净值</w:t>
      </w:r>
    </w:p>
    <w:p w14:paraId="6F64F0CB" w14:textId="77777777" w:rsidR="003E7F0D" w:rsidRPr="00E97AFD" w:rsidRDefault="003E7F0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本基金采用摊余成本法计价，通过每日计算收益并分配的方式，使每份基金份额净值保持在人民币</w:t>
      </w:r>
      <w:r w:rsidRPr="00E97AFD">
        <w:rPr>
          <w:rFonts w:asciiTheme="minorEastAsia" w:eastAsiaTheme="minorEastAsia" w:hAnsiTheme="minorEastAsia"/>
          <w:szCs w:val="21"/>
        </w:rPr>
        <w:t>1.00</w:t>
      </w:r>
      <w:r w:rsidRPr="00E97AFD">
        <w:rPr>
          <w:rFonts w:asciiTheme="minorEastAsia" w:eastAsiaTheme="minorEastAsia" w:hAnsiTheme="minorEastAsia" w:hint="eastAsia"/>
          <w:szCs w:val="21"/>
        </w:rPr>
        <w:t>元。</w:t>
      </w:r>
    </w:p>
    <w:p w14:paraId="0E768E77" w14:textId="77777777" w:rsidR="003E7F0D" w:rsidRPr="00E97AFD" w:rsidRDefault="003E7F0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2</w:t>
      </w:r>
      <w:r w:rsidR="00C00F5E" w:rsidRPr="00E97AFD">
        <w:rPr>
          <w:rFonts w:asciiTheme="minorEastAsia" w:eastAsiaTheme="minorEastAsia" w:hAnsiTheme="minorEastAsia" w:hint="eastAsia"/>
          <w:szCs w:val="21"/>
        </w:rPr>
        <w:t>、</w:t>
      </w:r>
      <w:r w:rsidRPr="00E97AFD">
        <w:rPr>
          <w:rFonts w:asciiTheme="minorEastAsia" w:eastAsiaTheme="minorEastAsia" w:hAnsiTheme="minorEastAsia" w:hint="eastAsia"/>
          <w:szCs w:val="21"/>
        </w:rPr>
        <w:t>申购份额的计算</w:t>
      </w:r>
    </w:p>
    <w:p w14:paraId="7544224D" w14:textId="77777777" w:rsidR="00616FDF" w:rsidRPr="00E97AFD" w:rsidRDefault="00616FDF"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采用"金额申购"方式，申购价格为每份基金份额净值1.00元，计算公式：</w:t>
      </w:r>
    </w:p>
    <w:p w14:paraId="51E4D138" w14:textId="77777777" w:rsidR="003E7F0D" w:rsidRPr="00E97AFD" w:rsidRDefault="003E7F0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申购份额＝申购金额÷基金份额净值</w:t>
      </w:r>
    </w:p>
    <w:p w14:paraId="523B24E3" w14:textId="77777777" w:rsidR="003E7F0D" w:rsidRPr="00E97AFD" w:rsidRDefault="003E7F0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例：假定</w:t>
      </w:r>
      <w:r w:rsidRPr="00E97AFD">
        <w:rPr>
          <w:rFonts w:asciiTheme="minorEastAsia" w:eastAsiaTheme="minorEastAsia" w:hAnsiTheme="minorEastAsia"/>
          <w:szCs w:val="21"/>
        </w:rPr>
        <w:t>T</w:t>
      </w:r>
      <w:r w:rsidRPr="00E97AFD">
        <w:rPr>
          <w:rFonts w:asciiTheme="minorEastAsia" w:eastAsiaTheme="minorEastAsia" w:hAnsiTheme="minorEastAsia" w:hint="eastAsia"/>
          <w:szCs w:val="21"/>
        </w:rPr>
        <w:t>日某投资者投资</w:t>
      </w:r>
      <w:r w:rsidRPr="00E97AFD">
        <w:rPr>
          <w:rFonts w:asciiTheme="minorEastAsia" w:eastAsiaTheme="minorEastAsia" w:hAnsiTheme="minorEastAsia"/>
          <w:szCs w:val="21"/>
        </w:rPr>
        <w:t>10,000</w:t>
      </w:r>
      <w:r w:rsidR="00616FDF" w:rsidRPr="00E97AFD">
        <w:rPr>
          <w:rFonts w:asciiTheme="minorEastAsia" w:eastAsiaTheme="minorEastAsia" w:hAnsiTheme="minorEastAsia" w:hint="eastAsia"/>
          <w:szCs w:val="21"/>
        </w:rPr>
        <w:t>元申购本基金</w:t>
      </w:r>
      <w:r w:rsidR="00827F9E" w:rsidRPr="00E97AFD">
        <w:rPr>
          <w:rFonts w:asciiTheme="minorEastAsia" w:eastAsiaTheme="minorEastAsia" w:hAnsiTheme="minorEastAsia"/>
          <w:szCs w:val="21"/>
        </w:rPr>
        <w:t>A类</w:t>
      </w:r>
      <w:r w:rsidR="00827F9E" w:rsidRPr="00E97AFD">
        <w:rPr>
          <w:rFonts w:asciiTheme="minorEastAsia" w:eastAsiaTheme="minorEastAsia" w:hAnsiTheme="minorEastAsia" w:hint="eastAsia"/>
          <w:szCs w:val="21"/>
        </w:rPr>
        <w:t>基金份额</w:t>
      </w:r>
      <w:r w:rsidRPr="00E97AFD">
        <w:rPr>
          <w:rFonts w:asciiTheme="minorEastAsia" w:eastAsiaTheme="minorEastAsia" w:hAnsiTheme="minorEastAsia" w:hint="eastAsia"/>
          <w:szCs w:val="21"/>
        </w:rPr>
        <w:t>，则其可得到的申购份额计算如下：</w:t>
      </w:r>
    </w:p>
    <w:p w14:paraId="4203069C" w14:textId="77777777" w:rsidR="002E0F69" w:rsidRPr="00E97AFD" w:rsidRDefault="002E0F69"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申购份额=1</w:t>
      </w:r>
      <w:r w:rsidRPr="00E97AFD">
        <w:rPr>
          <w:rFonts w:asciiTheme="minorEastAsia" w:eastAsiaTheme="minorEastAsia" w:hAnsiTheme="minorEastAsia"/>
          <w:szCs w:val="21"/>
        </w:rPr>
        <w:t>0,000</w:t>
      </w:r>
      <w:r w:rsidRPr="00E97AFD">
        <w:rPr>
          <w:rFonts w:asciiTheme="minorEastAsia" w:eastAsiaTheme="minorEastAsia" w:hAnsiTheme="minorEastAsia" w:hint="eastAsia"/>
          <w:szCs w:val="21"/>
        </w:rPr>
        <w:t>÷1.00=</w:t>
      </w:r>
      <w:r w:rsidRPr="00E97AFD">
        <w:rPr>
          <w:rFonts w:asciiTheme="minorEastAsia" w:eastAsiaTheme="minorEastAsia" w:hAnsiTheme="minorEastAsia"/>
          <w:szCs w:val="21"/>
        </w:rPr>
        <w:t>10,000</w:t>
      </w:r>
      <w:r w:rsidR="00AE69DE" w:rsidRPr="00E97AFD">
        <w:rPr>
          <w:rFonts w:asciiTheme="minorEastAsia" w:eastAsiaTheme="minorEastAsia" w:hAnsiTheme="minorEastAsia" w:hint="eastAsia"/>
          <w:szCs w:val="21"/>
        </w:rPr>
        <w:t>.00</w:t>
      </w:r>
      <w:r w:rsidRPr="00E97AFD">
        <w:rPr>
          <w:rFonts w:asciiTheme="minorEastAsia" w:eastAsiaTheme="minorEastAsia" w:hAnsiTheme="minorEastAsia" w:hint="eastAsia"/>
          <w:szCs w:val="21"/>
        </w:rPr>
        <w:t>份</w:t>
      </w:r>
    </w:p>
    <w:p w14:paraId="092168F7" w14:textId="77777777" w:rsidR="003E7F0D" w:rsidRPr="00E97AFD" w:rsidRDefault="003E7F0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申购份额</w:t>
      </w:r>
      <w:r w:rsidRPr="00E97AFD">
        <w:rPr>
          <w:rFonts w:asciiTheme="minorEastAsia" w:eastAsiaTheme="minorEastAsia" w:hAnsiTheme="minorEastAsia"/>
          <w:szCs w:val="21"/>
        </w:rPr>
        <w:t>计算结果均按</w:t>
      </w:r>
      <w:r w:rsidRPr="00E97AFD">
        <w:rPr>
          <w:rFonts w:asciiTheme="minorEastAsia" w:eastAsiaTheme="minorEastAsia" w:hAnsiTheme="minorEastAsia" w:hint="eastAsia"/>
          <w:szCs w:val="21"/>
        </w:rPr>
        <w:t>四舍五入</w:t>
      </w:r>
      <w:r w:rsidRPr="00E97AFD">
        <w:rPr>
          <w:rFonts w:asciiTheme="minorEastAsia" w:eastAsiaTheme="minorEastAsia" w:hAnsiTheme="minorEastAsia"/>
          <w:szCs w:val="21"/>
        </w:rPr>
        <w:t>方法，保留到小数点后</w:t>
      </w:r>
      <w:r w:rsidRPr="00E97AFD">
        <w:rPr>
          <w:rFonts w:asciiTheme="minorEastAsia" w:eastAsiaTheme="minorEastAsia" w:hAnsiTheme="minorEastAsia" w:hint="eastAsia"/>
          <w:szCs w:val="21"/>
        </w:rPr>
        <w:t>2</w:t>
      </w:r>
      <w:r w:rsidRPr="00E97AFD">
        <w:rPr>
          <w:rFonts w:asciiTheme="minorEastAsia" w:eastAsiaTheme="minorEastAsia" w:hAnsiTheme="minorEastAsia"/>
          <w:szCs w:val="21"/>
        </w:rPr>
        <w:t>位，由此产生的收益或损失由基金财产承担。</w:t>
      </w:r>
    </w:p>
    <w:p w14:paraId="61C47A7C" w14:textId="77777777" w:rsidR="003E7F0D" w:rsidRPr="00E97AFD" w:rsidRDefault="003E7F0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3</w:t>
      </w:r>
      <w:r w:rsidR="00C00F5E" w:rsidRPr="00E97AFD">
        <w:rPr>
          <w:rFonts w:asciiTheme="minorEastAsia" w:eastAsiaTheme="minorEastAsia" w:hAnsiTheme="minorEastAsia" w:hint="eastAsia"/>
          <w:szCs w:val="21"/>
        </w:rPr>
        <w:t>、</w:t>
      </w:r>
      <w:r w:rsidRPr="00E97AFD">
        <w:rPr>
          <w:rFonts w:asciiTheme="minorEastAsia" w:eastAsiaTheme="minorEastAsia" w:hAnsiTheme="minorEastAsia" w:hint="eastAsia"/>
          <w:szCs w:val="21"/>
        </w:rPr>
        <w:t>基金赎回金额的计算</w:t>
      </w:r>
    </w:p>
    <w:p w14:paraId="499BCE13" w14:textId="77777777" w:rsidR="0022644D" w:rsidRPr="00E97AFD" w:rsidRDefault="0022644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lastRenderedPageBreak/>
        <w:t>采用"份额赎回"方式，赎回价格为每份基金份额净值1.00元</w:t>
      </w:r>
      <w:r w:rsidRPr="00E97AFD">
        <w:rPr>
          <w:rFonts w:asciiTheme="minorEastAsia" w:eastAsiaTheme="minorEastAsia" w:hAnsiTheme="minorEastAsia" w:hint="eastAsia"/>
          <w:szCs w:val="21"/>
        </w:rPr>
        <w:t>。</w:t>
      </w:r>
      <w:r w:rsidR="00957F2C" w:rsidRPr="00E97AFD">
        <w:rPr>
          <w:rFonts w:asciiTheme="minorEastAsia" w:eastAsiaTheme="minorEastAsia" w:hAnsiTheme="minorEastAsia" w:hint="eastAsia"/>
          <w:szCs w:val="21"/>
        </w:rPr>
        <w:t>除法律法规另有规定或基金合同另有约定外，本基金不收取赎回费用，</w:t>
      </w:r>
      <w:r w:rsidRPr="00E97AFD">
        <w:rPr>
          <w:rFonts w:asciiTheme="minorEastAsia" w:eastAsiaTheme="minorEastAsia" w:hAnsiTheme="minorEastAsia" w:hint="eastAsia"/>
          <w:szCs w:val="21"/>
        </w:rPr>
        <w:t>赎回金额的确定分两种情况处理：</w:t>
      </w:r>
    </w:p>
    <w:p w14:paraId="793D7F5F" w14:textId="77777777" w:rsidR="0022644D" w:rsidRPr="00E97AFD" w:rsidRDefault="0022644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w:t>
      </w:r>
      <w:r w:rsidRPr="00E97AFD">
        <w:rPr>
          <w:rFonts w:asciiTheme="minorEastAsia" w:eastAsiaTheme="minorEastAsia" w:hAnsiTheme="minorEastAsia"/>
          <w:szCs w:val="21"/>
        </w:rPr>
        <w:t>1</w:t>
      </w:r>
      <w:r w:rsidRPr="00E97AFD">
        <w:rPr>
          <w:rFonts w:asciiTheme="minorEastAsia" w:eastAsiaTheme="minorEastAsia" w:hAnsiTheme="minorEastAsia" w:hint="eastAsia"/>
          <w:szCs w:val="21"/>
        </w:rPr>
        <w:t>)部分赎回</w:t>
      </w:r>
    </w:p>
    <w:p w14:paraId="474C62DC" w14:textId="77777777" w:rsidR="0022644D" w:rsidRPr="00E97AFD" w:rsidRDefault="0022644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投资者部分赎回某类基金份额时，如该类基金份额其未付收益为正，或该笔赎回完成后剩余的该类基金份额按照</w:t>
      </w:r>
      <w:r w:rsidRPr="00E97AFD">
        <w:rPr>
          <w:rFonts w:asciiTheme="minorEastAsia" w:eastAsiaTheme="minorEastAsia" w:hAnsiTheme="minorEastAsia"/>
          <w:szCs w:val="21"/>
        </w:rPr>
        <w:t>1.00</w:t>
      </w:r>
      <w:r w:rsidRPr="00E97AFD">
        <w:rPr>
          <w:rFonts w:asciiTheme="minorEastAsia" w:eastAsiaTheme="minorEastAsia" w:hAnsiTheme="minorEastAsia" w:hint="eastAsia"/>
          <w:szCs w:val="21"/>
        </w:rPr>
        <w:t>元人民币为基准计算的价值足以弥补其累计至该日的该类基金份额未付收益负值时，赎回金额如下计算：</w:t>
      </w:r>
    </w:p>
    <w:p w14:paraId="58797BCB" w14:textId="77777777" w:rsidR="0022644D" w:rsidRPr="00E97AFD" w:rsidRDefault="0022644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赎回金额</w:t>
      </w:r>
      <w:r w:rsidRPr="00E97AFD">
        <w:rPr>
          <w:rFonts w:asciiTheme="minorEastAsia" w:eastAsiaTheme="minorEastAsia" w:hAnsiTheme="minorEastAsia"/>
          <w:szCs w:val="21"/>
        </w:rPr>
        <w:t>=</w:t>
      </w:r>
      <w:r w:rsidRPr="00E97AFD">
        <w:rPr>
          <w:rFonts w:asciiTheme="minorEastAsia" w:eastAsiaTheme="minorEastAsia" w:hAnsiTheme="minorEastAsia" w:hint="eastAsia"/>
          <w:szCs w:val="21"/>
        </w:rPr>
        <w:t>赎回份额×</w:t>
      </w:r>
      <w:r w:rsidRPr="00E97AFD">
        <w:rPr>
          <w:rFonts w:asciiTheme="minorEastAsia" w:eastAsiaTheme="minorEastAsia" w:hAnsiTheme="minorEastAsia"/>
          <w:szCs w:val="21"/>
        </w:rPr>
        <w:t>1.00</w:t>
      </w:r>
    </w:p>
    <w:p w14:paraId="478F0DD6" w14:textId="77777777" w:rsidR="0022644D" w:rsidRPr="00E97AFD" w:rsidRDefault="0022644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例：假定某投资者在</w:t>
      </w:r>
      <w:r w:rsidRPr="00E97AFD">
        <w:rPr>
          <w:rFonts w:asciiTheme="minorEastAsia" w:eastAsiaTheme="minorEastAsia" w:hAnsiTheme="minorEastAsia"/>
          <w:szCs w:val="21"/>
        </w:rPr>
        <w:t>T</w:t>
      </w:r>
      <w:r w:rsidRPr="00E97AFD">
        <w:rPr>
          <w:rFonts w:asciiTheme="minorEastAsia" w:eastAsiaTheme="minorEastAsia" w:hAnsiTheme="minorEastAsia" w:hint="eastAsia"/>
          <w:szCs w:val="21"/>
        </w:rPr>
        <w:t>日所持有的</w:t>
      </w:r>
      <w:r w:rsidRPr="00E97AFD">
        <w:rPr>
          <w:rFonts w:asciiTheme="minorEastAsia" w:eastAsiaTheme="minorEastAsia" w:hAnsiTheme="minorEastAsia"/>
          <w:szCs w:val="21"/>
        </w:rPr>
        <w:t>A</w:t>
      </w:r>
      <w:r w:rsidRPr="00E97AFD">
        <w:rPr>
          <w:rFonts w:asciiTheme="minorEastAsia" w:eastAsiaTheme="minorEastAsia" w:hAnsiTheme="minorEastAsia" w:hint="eastAsia"/>
          <w:szCs w:val="21"/>
        </w:rPr>
        <w:t>类基金份额为8</w:t>
      </w:r>
      <w:r w:rsidRPr="00E97AFD">
        <w:rPr>
          <w:rFonts w:asciiTheme="minorEastAsia" w:eastAsiaTheme="minorEastAsia" w:hAnsiTheme="minorEastAsia"/>
          <w:szCs w:val="21"/>
        </w:rPr>
        <w:t>,0</w:t>
      </w:r>
      <w:r w:rsidRPr="00E97AFD">
        <w:rPr>
          <w:rFonts w:asciiTheme="minorEastAsia" w:eastAsiaTheme="minorEastAsia" w:hAnsiTheme="minorEastAsia" w:hint="eastAsia"/>
          <w:szCs w:val="21"/>
        </w:rPr>
        <w:t>10</w:t>
      </w:r>
      <w:r w:rsidRPr="00E97AFD">
        <w:rPr>
          <w:rFonts w:asciiTheme="minorEastAsia" w:eastAsiaTheme="minorEastAsia" w:hAnsiTheme="minorEastAsia"/>
          <w:szCs w:val="21"/>
        </w:rPr>
        <w:t>.</w:t>
      </w:r>
      <w:r w:rsidRPr="00E97AFD">
        <w:rPr>
          <w:rFonts w:asciiTheme="minorEastAsia" w:eastAsiaTheme="minorEastAsia" w:hAnsiTheme="minorEastAsia" w:hint="eastAsia"/>
          <w:szCs w:val="21"/>
        </w:rPr>
        <w:t>8</w:t>
      </w:r>
      <w:r w:rsidRPr="00E97AFD">
        <w:rPr>
          <w:rFonts w:asciiTheme="minorEastAsia" w:eastAsiaTheme="minorEastAsia" w:hAnsiTheme="minorEastAsia"/>
          <w:szCs w:val="21"/>
        </w:rPr>
        <w:t>0</w:t>
      </w:r>
      <w:r w:rsidRPr="00E97AFD">
        <w:rPr>
          <w:rFonts w:asciiTheme="minorEastAsia" w:eastAsiaTheme="minorEastAsia" w:hAnsiTheme="minorEastAsia" w:hint="eastAsia"/>
          <w:szCs w:val="21"/>
        </w:rPr>
        <w:t>份基金份额，对应的未付收益为88</w:t>
      </w:r>
      <w:r w:rsidRPr="00E97AFD">
        <w:rPr>
          <w:rFonts w:asciiTheme="minorEastAsia" w:eastAsiaTheme="minorEastAsia" w:hAnsiTheme="minorEastAsia"/>
          <w:szCs w:val="21"/>
        </w:rPr>
        <w:t>.</w:t>
      </w:r>
      <w:r w:rsidRPr="00E97AFD">
        <w:rPr>
          <w:rFonts w:asciiTheme="minorEastAsia" w:eastAsiaTheme="minorEastAsia" w:hAnsiTheme="minorEastAsia" w:hint="eastAsia"/>
          <w:szCs w:val="21"/>
        </w:rPr>
        <w:t>0</w:t>
      </w:r>
      <w:r w:rsidRPr="00E97AFD">
        <w:rPr>
          <w:rFonts w:asciiTheme="minorEastAsia" w:eastAsiaTheme="minorEastAsia" w:hAnsiTheme="minorEastAsia"/>
          <w:szCs w:val="21"/>
        </w:rPr>
        <w:t>8</w:t>
      </w:r>
      <w:r w:rsidRPr="00E97AFD">
        <w:rPr>
          <w:rFonts w:asciiTheme="minorEastAsia" w:eastAsiaTheme="minorEastAsia" w:hAnsiTheme="minorEastAsia" w:hint="eastAsia"/>
          <w:szCs w:val="21"/>
        </w:rPr>
        <w:t>元，该投资者申请赎回</w:t>
      </w:r>
      <w:r w:rsidRPr="00E97AFD">
        <w:rPr>
          <w:rFonts w:asciiTheme="minorEastAsia" w:eastAsiaTheme="minorEastAsia" w:hAnsiTheme="minorEastAsia"/>
          <w:szCs w:val="21"/>
        </w:rPr>
        <w:t>1,000</w:t>
      </w:r>
      <w:r w:rsidRPr="00E97AFD">
        <w:rPr>
          <w:rFonts w:asciiTheme="minorEastAsia" w:eastAsiaTheme="minorEastAsia" w:hAnsiTheme="minorEastAsia" w:hint="eastAsia"/>
          <w:szCs w:val="21"/>
        </w:rPr>
        <w:t>份基金份额，则其获得的赎回金额计算如下：</w:t>
      </w:r>
    </w:p>
    <w:p w14:paraId="5612A495" w14:textId="77777777" w:rsidR="0022644D" w:rsidRPr="00E97AFD" w:rsidRDefault="0022644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赎回金额</w:t>
      </w:r>
      <w:r w:rsidRPr="00E97AFD">
        <w:rPr>
          <w:rFonts w:asciiTheme="minorEastAsia" w:eastAsiaTheme="minorEastAsia" w:hAnsiTheme="minorEastAsia"/>
          <w:szCs w:val="21"/>
        </w:rPr>
        <w:t>=1,000</w:t>
      </w:r>
      <w:r w:rsidRPr="00E97AFD">
        <w:rPr>
          <w:rFonts w:asciiTheme="minorEastAsia" w:eastAsiaTheme="minorEastAsia" w:hAnsiTheme="minorEastAsia" w:hint="eastAsia"/>
          <w:szCs w:val="21"/>
        </w:rPr>
        <w:t>×</w:t>
      </w:r>
      <w:r w:rsidRPr="00E97AFD">
        <w:rPr>
          <w:rFonts w:asciiTheme="minorEastAsia" w:eastAsiaTheme="minorEastAsia" w:hAnsiTheme="minorEastAsia"/>
          <w:szCs w:val="21"/>
        </w:rPr>
        <w:t>1.00=1,000.00</w:t>
      </w:r>
      <w:r w:rsidRPr="00E97AFD">
        <w:rPr>
          <w:rFonts w:asciiTheme="minorEastAsia" w:eastAsiaTheme="minorEastAsia" w:hAnsiTheme="minorEastAsia" w:hint="eastAsia"/>
          <w:szCs w:val="21"/>
        </w:rPr>
        <w:t>元</w:t>
      </w:r>
    </w:p>
    <w:p w14:paraId="2440B9CE" w14:textId="77777777" w:rsidR="0022644D" w:rsidRPr="00E97AFD" w:rsidRDefault="0022644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投资者部分赎回某类基金份额时，如其该笔赎回完成后剩余的该类基金份额按照</w:t>
      </w:r>
      <w:r w:rsidRPr="00E97AFD">
        <w:rPr>
          <w:rFonts w:asciiTheme="minorEastAsia" w:eastAsiaTheme="minorEastAsia" w:hAnsiTheme="minorEastAsia"/>
          <w:szCs w:val="21"/>
        </w:rPr>
        <w:t>1.00</w:t>
      </w:r>
      <w:r w:rsidRPr="00E97AFD">
        <w:rPr>
          <w:rFonts w:asciiTheme="minorEastAsia" w:eastAsiaTheme="minorEastAsia" w:hAnsiTheme="minorEastAsia" w:hint="eastAsia"/>
          <w:szCs w:val="21"/>
        </w:rPr>
        <w:t>元人民币为基准计算的价值不足以弥补其累计至该日的该类基金份额未付收益负值时，则将自动按比例结转该类基金份额当前未付收益。</w:t>
      </w:r>
    </w:p>
    <w:p w14:paraId="6224C6DC" w14:textId="77777777" w:rsidR="0022644D" w:rsidRPr="00E97AFD" w:rsidRDefault="0022644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w:t>
      </w:r>
      <w:r w:rsidRPr="00E97AFD">
        <w:rPr>
          <w:rFonts w:asciiTheme="minorEastAsia" w:eastAsiaTheme="minorEastAsia" w:hAnsiTheme="minorEastAsia"/>
          <w:szCs w:val="21"/>
        </w:rPr>
        <w:t>2</w:t>
      </w:r>
      <w:r w:rsidRPr="00E97AFD">
        <w:rPr>
          <w:rFonts w:asciiTheme="minorEastAsia" w:eastAsiaTheme="minorEastAsia" w:hAnsiTheme="minorEastAsia" w:hint="eastAsia"/>
          <w:szCs w:val="21"/>
        </w:rPr>
        <w:t>)全部赎回</w:t>
      </w:r>
    </w:p>
    <w:p w14:paraId="37EDDA83" w14:textId="77777777" w:rsidR="001F6359" w:rsidRPr="00E97AFD" w:rsidRDefault="001F6359" w:rsidP="001F6359">
      <w:pPr>
        <w:spacing w:line="360" w:lineRule="auto"/>
        <w:ind w:firstLineChars="200" w:firstLine="420"/>
        <w:rPr>
          <w:rFonts w:asciiTheme="minorEastAsia" w:eastAsiaTheme="minorEastAsia" w:hAnsiTheme="minorEastAsia" w:cs="宋体"/>
          <w:kern w:val="0"/>
          <w:szCs w:val="21"/>
        </w:rPr>
      </w:pPr>
      <w:r w:rsidRPr="00E97AFD">
        <w:rPr>
          <w:rFonts w:asciiTheme="minorEastAsia" w:eastAsiaTheme="minorEastAsia" w:hAnsiTheme="minorEastAsia" w:cs="宋体"/>
          <w:kern w:val="0"/>
          <w:szCs w:val="21"/>
        </w:rPr>
        <w:t>1)</w:t>
      </w:r>
      <w:r w:rsidRPr="00E97AFD">
        <w:rPr>
          <w:rFonts w:asciiTheme="minorEastAsia" w:eastAsiaTheme="minorEastAsia" w:hAnsiTheme="minorEastAsia" w:cs="宋体" w:hint="eastAsia"/>
          <w:kern w:val="0"/>
          <w:szCs w:val="21"/>
        </w:rPr>
        <w:t>当投资者在全部赎回某类基金份额时，如其未付收益为正，基金份额对应的未付收益是否与赎回份额对应的款项一并支付给投资者，以销售机构和注册登记机构的具体规定为准。</w:t>
      </w:r>
    </w:p>
    <w:p w14:paraId="3AE49F58" w14:textId="77777777" w:rsidR="001F6359" w:rsidRPr="00E97AFD" w:rsidRDefault="001F6359" w:rsidP="001F6359">
      <w:pPr>
        <w:spacing w:line="360" w:lineRule="auto"/>
        <w:ind w:firstLineChars="200" w:firstLine="420"/>
        <w:rPr>
          <w:rFonts w:asciiTheme="minorEastAsia" w:eastAsiaTheme="minorEastAsia" w:hAnsiTheme="minorEastAsia" w:cs="宋体"/>
          <w:kern w:val="0"/>
          <w:szCs w:val="21"/>
        </w:rPr>
      </w:pPr>
      <w:r w:rsidRPr="00E97AFD">
        <w:rPr>
          <w:rFonts w:asciiTheme="minorEastAsia" w:eastAsiaTheme="minorEastAsia" w:hAnsiTheme="minorEastAsia" w:cs="宋体" w:hint="eastAsia"/>
          <w:kern w:val="0"/>
          <w:szCs w:val="21"/>
        </w:rPr>
        <w:t>如销售机构和注册登记机构规定投资者在全部赎回某类基金份额时，基金管理人将投资者的该类基金份额未付收益一并结算并与赎回份额对应的款项一起支付给投资者，赎回金额包括赎回份额对应的款项和未付收益两部分，具体的计算方法为：</w:t>
      </w:r>
    </w:p>
    <w:p w14:paraId="6FC1BEF2" w14:textId="77777777" w:rsidR="001F6359" w:rsidRPr="00E97AFD" w:rsidRDefault="001F6359" w:rsidP="001F6359">
      <w:pPr>
        <w:spacing w:line="360" w:lineRule="auto"/>
        <w:ind w:firstLineChars="200" w:firstLine="420"/>
        <w:rPr>
          <w:rFonts w:asciiTheme="minorEastAsia" w:eastAsiaTheme="minorEastAsia" w:hAnsiTheme="minorEastAsia" w:cs="宋体"/>
          <w:kern w:val="0"/>
          <w:szCs w:val="21"/>
        </w:rPr>
      </w:pPr>
      <w:r w:rsidRPr="00E97AFD">
        <w:rPr>
          <w:rFonts w:asciiTheme="minorEastAsia" w:eastAsiaTheme="minorEastAsia" w:hAnsiTheme="minorEastAsia" w:cs="宋体" w:hint="eastAsia"/>
          <w:kern w:val="0"/>
          <w:szCs w:val="21"/>
        </w:rPr>
        <w:t>赎回金额</w:t>
      </w:r>
      <w:r w:rsidRPr="00E97AFD">
        <w:rPr>
          <w:rFonts w:asciiTheme="minorEastAsia" w:eastAsiaTheme="minorEastAsia" w:hAnsiTheme="minorEastAsia" w:cs="宋体"/>
          <w:kern w:val="0"/>
          <w:szCs w:val="21"/>
        </w:rPr>
        <w:t>=</w:t>
      </w:r>
      <w:r w:rsidRPr="00E97AFD">
        <w:rPr>
          <w:rFonts w:asciiTheme="minorEastAsia" w:eastAsiaTheme="minorEastAsia" w:hAnsiTheme="minorEastAsia" w:cs="宋体" w:hint="eastAsia"/>
          <w:kern w:val="0"/>
          <w:szCs w:val="21"/>
        </w:rPr>
        <w:t>赎回份额</w:t>
      </w:r>
      <w:r w:rsidRPr="00E97AFD">
        <w:rPr>
          <w:rFonts w:asciiTheme="minorEastAsia" w:eastAsiaTheme="minorEastAsia" w:hAnsiTheme="minorEastAsia" w:cs="宋体"/>
          <w:kern w:val="0"/>
          <w:szCs w:val="21"/>
        </w:rPr>
        <w:t>×</w:t>
      </w:r>
      <w:r w:rsidRPr="00E97AFD">
        <w:rPr>
          <w:rFonts w:asciiTheme="minorEastAsia" w:eastAsiaTheme="minorEastAsia" w:hAnsiTheme="minorEastAsia" w:cs="宋体" w:hint="eastAsia"/>
          <w:kern w:val="0"/>
          <w:szCs w:val="21"/>
        </w:rPr>
        <w:t>基金</w:t>
      </w:r>
      <w:r w:rsidRPr="00E97AFD">
        <w:rPr>
          <w:rFonts w:asciiTheme="minorEastAsia" w:eastAsiaTheme="minorEastAsia" w:hAnsiTheme="minorEastAsia" w:cs="宋体"/>
          <w:kern w:val="0"/>
          <w:szCs w:val="21"/>
        </w:rPr>
        <w:t>份额净值+</w:t>
      </w:r>
      <w:r w:rsidRPr="00E97AFD">
        <w:rPr>
          <w:rFonts w:asciiTheme="minorEastAsia" w:eastAsiaTheme="minorEastAsia" w:hAnsiTheme="minorEastAsia" w:cs="宋体" w:hint="eastAsia"/>
          <w:kern w:val="0"/>
          <w:szCs w:val="21"/>
        </w:rPr>
        <w:t>该份额对应的未付收益</w:t>
      </w:r>
    </w:p>
    <w:p w14:paraId="76C72ACB" w14:textId="77777777" w:rsidR="001F6359" w:rsidRPr="00E97AFD" w:rsidRDefault="001F6359" w:rsidP="001F6359">
      <w:pPr>
        <w:spacing w:line="360" w:lineRule="auto"/>
        <w:ind w:firstLineChars="200" w:firstLine="420"/>
        <w:rPr>
          <w:rFonts w:asciiTheme="minorEastAsia" w:eastAsiaTheme="minorEastAsia" w:hAnsiTheme="minorEastAsia" w:cs="宋体"/>
          <w:kern w:val="0"/>
          <w:szCs w:val="21"/>
        </w:rPr>
      </w:pPr>
      <w:r w:rsidRPr="00E97AFD">
        <w:rPr>
          <w:rFonts w:asciiTheme="minorEastAsia" w:eastAsiaTheme="minorEastAsia" w:hAnsiTheme="minorEastAsia" w:cs="宋体" w:hint="eastAsia"/>
          <w:kern w:val="0"/>
          <w:szCs w:val="21"/>
        </w:rPr>
        <w:t>例：假定某投资者在</w:t>
      </w:r>
      <w:r w:rsidRPr="00E97AFD">
        <w:rPr>
          <w:rFonts w:asciiTheme="minorEastAsia" w:eastAsiaTheme="minorEastAsia" w:hAnsiTheme="minorEastAsia" w:cs="宋体"/>
          <w:kern w:val="0"/>
          <w:szCs w:val="21"/>
        </w:rPr>
        <w:t>T</w:t>
      </w:r>
      <w:r w:rsidRPr="00E97AFD">
        <w:rPr>
          <w:rFonts w:asciiTheme="minorEastAsia" w:eastAsiaTheme="minorEastAsia" w:hAnsiTheme="minorEastAsia" w:cs="宋体" w:hint="eastAsia"/>
          <w:kern w:val="0"/>
          <w:szCs w:val="21"/>
        </w:rPr>
        <w:t>日所持有的</w:t>
      </w:r>
      <w:r w:rsidRPr="00E97AFD">
        <w:rPr>
          <w:rFonts w:asciiTheme="minorEastAsia" w:eastAsiaTheme="minorEastAsia" w:hAnsiTheme="minorEastAsia" w:cs="宋体"/>
          <w:kern w:val="0"/>
          <w:szCs w:val="21"/>
        </w:rPr>
        <w:t>B</w:t>
      </w:r>
      <w:r w:rsidRPr="00E97AFD">
        <w:rPr>
          <w:rFonts w:asciiTheme="minorEastAsia" w:eastAsiaTheme="minorEastAsia" w:hAnsiTheme="minorEastAsia" w:cs="宋体" w:hint="eastAsia"/>
          <w:kern w:val="0"/>
          <w:szCs w:val="21"/>
        </w:rPr>
        <w:t>类基金份额为</w:t>
      </w:r>
      <w:r w:rsidRPr="00E97AFD">
        <w:rPr>
          <w:rFonts w:asciiTheme="minorEastAsia" w:eastAsiaTheme="minorEastAsia" w:hAnsiTheme="minorEastAsia" w:cs="宋体"/>
          <w:kern w:val="0"/>
          <w:szCs w:val="21"/>
        </w:rPr>
        <w:t>300,000,000.00</w:t>
      </w:r>
      <w:r w:rsidRPr="00E97AFD">
        <w:rPr>
          <w:rFonts w:asciiTheme="minorEastAsia" w:eastAsiaTheme="minorEastAsia" w:hAnsiTheme="minorEastAsia" w:cs="宋体" w:hint="eastAsia"/>
          <w:kern w:val="0"/>
          <w:szCs w:val="21"/>
        </w:rPr>
        <w:t>份基金份额，且有</w:t>
      </w:r>
      <w:r w:rsidRPr="00E97AFD">
        <w:rPr>
          <w:rFonts w:asciiTheme="minorEastAsia" w:eastAsiaTheme="minorEastAsia" w:hAnsiTheme="minorEastAsia" w:cs="宋体"/>
          <w:kern w:val="0"/>
          <w:szCs w:val="21"/>
        </w:rPr>
        <w:t>151,808.08</w:t>
      </w:r>
      <w:r w:rsidRPr="00E97AFD">
        <w:rPr>
          <w:rFonts w:asciiTheme="minorEastAsia" w:eastAsiaTheme="minorEastAsia" w:hAnsiTheme="minorEastAsia" w:cs="宋体" w:hint="eastAsia"/>
          <w:kern w:val="0"/>
          <w:szCs w:val="21"/>
        </w:rPr>
        <w:t>元的未付收益。投资者申请全部赎回持有的基金份额，则其获得的赎回金额计算如下</w:t>
      </w:r>
    </w:p>
    <w:p w14:paraId="51C1A8B4" w14:textId="77777777" w:rsidR="001F6359" w:rsidRPr="00E97AFD" w:rsidRDefault="001F6359" w:rsidP="001F6359">
      <w:pPr>
        <w:spacing w:line="360" w:lineRule="auto"/>
        <w:ind w:firstLineChars="200" w:firstLine="420"/>
        <w:rPr>
          <w:rFonts w:asciiTheme="minorEastAsia" w:eastAsiaTheme="minorEastAsia" w:hAnsiTheme="minorEastAsia" w:cs="宋体"/>
          <w:kern w:val="0"/>
          <w:szCs w:val="21"/>
        </w:rPr>
      </w:pPr>
      <w:r w:rsidRPr="00E97AFD">
        <w:rPr>
          <w:rFonts w:asciiTheme="minorEastAsia" w:eastAsiaTheme="minorEastAsia" w:hAnsiTheme="minorEastAsia" w:cs="宋体" w:hint="eastAsia"/>
          <w:kern w:val="0"/>
          <w:szCs w:val="21"/>
        </w:rPr>
        <w:t>赎回金额</w:t>
      </w:r>
      <w:r w:rsidRPr="00E97AFD">
        <w:rPr>
          <w:rFonts w:asciiTheme="minorEastAsia" w:eastAsiaTheme="minorEastAsia" w:hAnsiTheme="minorEastAsia" w:cs="宋体"/>
          <w:kern w:val="0"/>
          <w:szCs w:val="21"/>
        </w:rPr>
        <w:t>=300,000,000.00×1.00+151,808.08=300,151,808.08</w:t>
      </w:r>
      <w:r w:rsidRPr="00E97AFD">
        <w:rPr>
          <w:rFonts w:asciiTheme="minorEastAsia" w:eastAsiaTheme="minorEastAsia" w:hAnsiTheme="minorEastAsia" w:cs="宋体" w:hint="eastAsia"/>
          <w:kern w:val="0"/>
          <w:szCs w:val="21"/>
        </w:rPr>
        <w:t>元</w:t>
      </w:r>
    </w:p>
    <w:p w14:paraId="0D71DE15" w14:textId="77777777" w:rsidR="001F6359" w:rsidRPr="00E97AFD" w:rsidRDefault="001F6359" w:rsidP="001F6359">
      <w:pPr>
        <w:spacing w:line="360" w:lineRule="auto"/>
        <w:ind w:firstLineChars="200" w:firstLine="420"/>
        <w:rPr>
          <w:rFonts w:asciiTheme="minorEastAsia" w:eastAsiaTheme="minorEastAsia" w:hAnsiTheme="minorEastAsia" w:cs="宋体"/>
          <w:kern w:val="0"/>
          <w:szCs w:val="21"/>
        </w:rPr>
      </w:pPr>
      <w:r w:rsidRPr="00E97AFD">
        <w:rPr>
          <w:rFonts w:asciiTheme="minorEastAsia" w:eastAsiaTheme="minorEastAsia" w:hAnsiTheme="minorEastAsia" w:cs="宋体" w:hint="eastAsia"/>
          <w:kern w:val="0"/>
          <w:szCs w:val="21"/>
        </w:rPr>
        <w:t>赎回金额以人民币元为单位，计算结果均按四舍五入，保留到小数点后</w:t>
      </w:r>
      <w:r w:rsidRPr="00E97AFD">
        <w:rPr>
          <w:rFonts w:asciiTheme="minorEastAsia" w:eastAsiaTheme="minorEastAsia" w:hAnsiTheme="minorEastAsia" w:cs="宋体"/>
          <w:kern w:val="0"/>
          <w:szCs w:val="21"/>
        </w:rPr>
        <w:t>2</w:t>
      </w:r>
      <w:r w:rsidRPr="00E97AFD">
        <w:rPr>
          <w:rFonts w:asciiTheme="minorEastAsia" w:eastAsiaTheme="minorEastAsia" w:hAnsiTheme="minorEastAsia" w:cs="宋体" w:hint="eastAsia"/>
          <w:kern w:val="0"/>
          <w:szCs w:val="21"/>
        </w:rPr>
        <w:t>位，由此产生的收益或损失由基金财产承担。</w:t>
      </w:r>
    </w:p>
    <w:p w14:paraId="64617330" w14:textId="77777777" w:rsidR="001F6359" w:rsidRPr="00E97AFD" w:rsidRDefault="001F6359" w:rsidP="001F6359">
      <w:pPr>
        <w:spacing w:line="360" w:lineRule="auto"/>
        <w:ind w:firstLineChars="200" w:firstLine="420"/>
        <w:rPr>
          <w:rFonts w:asciiTheme="minorEastAsia" w:eastAsiaTheme="minorEastAsia" w:hAnsiTheme="minorEastAsia" w:cs="宋体"/>
          <w:kern w:val="0"/>
          <w:szCs w:val="21"/>
        </w:rPr>
      </w:pPr>
      <w:r w:rsidRPr="00E97AFD">
        <w:rPr>
          <w:rFonts w:asciiTheme="minorEastAsia" w:eastAsiaTheme="minorEastAsia" w:hAnsiTheme="minorEastAsia" w:cs="宋体" w:hint="eastAsia"/>
          <w:kern w:val="0"/>
          <w:szCs w:val="21"/>
        </w:rPr>
        <w:t>如销售机构和注册登记机构规定投资者在全部赎回某类基金份额时，基金份额对应的未付收益不与赎回份额对应的款项一并支付给投资者，赎回金额的计算公式为：</w:t>
      </w:r>
    </w:p>
    <w:p w14:paraId="098CF50C" w14:textId="77777777" w:rsidR="001F6359" w:rsidRPr="00E97AFD" w:rsidRDefault="001F6359" w:rsidP="001F6359">
      <w:pPr>
        <w:spacing w:line="360" w:lineRule="auto"/>
        <w:ind w:firstLineChars="200" w:firstLine="420"/>
        <w:rPr>
          <w:rFonts w:asciiTheme="minorEastAsia" w:eastAsiaTheme="minorEastAsia" w:hAnsiTheme="minorEastAsia" w:cs="宋体"/>
          <w:kern w:val="0"/>
          <w:szCs w:val="21"/>
        </w:rPr>
      </w:pPr>
      <w:r w:rsidRPr="00E97AFD">
        <w:rPr>
          <w:rFonts w:asciiTheme="minorEastAsia" w:eastAsiaTheme="minorEastAsia" w:hAnsiTheme="minorEastAsia" w:cs="宋体" w:hint="eastAsia"/>
          <w:kern w:val="0"/>
          <w:szCs w:val="21"/>
        </w:rPr>
        <w:t>赎回金额＝赎回份额</w:t>
      </w:r>
      <w:r w:rsidRPr="00E97AFD">
        <w:rPr>
          <w:rFonts w:asciiTheme="minorEastAsia" w:eastAsiaTheme="minorEastAsia" w:hAnsiTheme="minorEastAsia" w:cs="宋体"/>
          <w:kern w:val="0"/>
          <w:szCs w:val="21"/>
        </w:rPr>
        <w:t>×</w:t>
      </w:r>
      <w:r w:rsidRPr="00E97AFD">
        <w:rPr>
          <w:rFonts w:asciiTheme="minorEastAsia" w:eastAsiaTheme="minorEastAsia" w:hAnsiTheme="minorEastAsia" w:cs="宋体" w:hint="eastAsia"/>
          <w:kern w:val="0"/>
          <w:szCs w:val="21"/>
        </w:rPr>
        <w:t>基金份额净值</w:t>
      </w:r>
    </w:p>
    <w:p w14:paraId="7FA18374" w14:textId="77777777" w:rsidR="001F6359" w:rsidRPr="00E97AFD" w:rsidRDefault="001F6359" w:rsidP="001F6359">
      <w:pPr>
        <w:spacing w:line="360" w:lineRule="auto"/>
        <w:ind w:firstLineChars="200" w:firstLine="420"/>
        <w:rPr>
          <w:rFonts w:asciiTheme="minorEastAsia" w:eastAsiaTheme="minorEastAsia" w:hAnsiTheme="minorEastAsia" w:cs="宋体"/>
          <w:kern w:val="0"/>
          <w:szCs w:val="21"/>
        </w:rPr>
      </w:pPr>
      <w:r w:rsidRPr="00E97AFD">
        <w:rPr>
          <w:rFonts w:asciiTheme="minorEastAsia" w:eastAsiaTheme="minorEastAsia" w:hAnsiTheme="minorEastAsia" w:cs="宋体" w:hint="eastAsia"/>
          <w:kern w:val="0"/>
          <w:szCs w:val="21"/>
        </w:rPr>
        <w:t>例：假定某投资者在</w:t>
      </w:r>
      <w:r w:rsidRPr="00E97AFD">
        <w:rPr>
          <w:rFonts w:asciiTheme="minorEastAsia" w:eastAsiaTheme="minorEastAsia" w:hAnsiTheme="minorEastAsia" w:cs="宋体"/>
          <w:kern w:val="0"/>
          <w:szCs w:val="21"/>
        </w:rPr>
        <w:t>T</w:t>
      </w:r>
      <w:r w:rsidRPr="00E97AFD">
        <w:rPr>
          <w:rFonts w:asciiTheme="minorEastAsia" w:eastAsiaTheme="minorEastAsia" w:hAnsiTheme="minorEastAsia" w:cs="宋体" w:hint="eastAsia"/>
          <w:kern w:val="0"/>
          <w:szCs w:val="21"/>
        </w:rPr>
        <w:t>日所持有的</w:t>
      </w:r>
      <w:r w:rsidRPr="00E97AFD">
        <w:rPr>
          <w:rFonts w:asciiTheme="minorEastAsia" w:eastAsiaTheme="minorEastAsia" w:hAnsiTheme="minorEastAsia" w:cs="宋体"/>
          <w:kern w:val="0"/>
          <w:szCs w:val="21"/>
        </w:rPr>
        <w:t>A</w:t>
      </w:r>
      <w:r w:rsidRPr="00E97AFD">
        <w:rPr>
          <w:rFonts w:asciiTheme="minorEastAsia" w:eastAsiaTheme="minorEastAsia" w:hAnsiTheme="minorEastAsia" w:cs="宋体" w:hint="eastAsia"/>
          <w:kern w:val="0"/>
          <w:szCs w:val="21"/>
        </w:rPr>
        <w:t>类基金份额为</w:t>
      </w:r>
      <w:r w:rsidRPr="00E97AFD">
        <w:rPr>
          <w:rFonts w:asciiTheme="minorEastAsia" w:eastAsiaTheme="minorEastAsia" w:hAnsiTheme="minorEastAsia" w:cs="宋体"/>
          <w:kern w:val="0"/>
          <w:szCs w:val="21"/>
        </w:rPr>
        <w:t>300,000,000.00</w:t>
      </w:r>
      <w:r w:rsidRPr="00E97AFD">
        <w:rPr>
          <w:rFonts w:asciiTheme="minorEastAsia" w:eastAsiaTheme="minorEastAsia" w:hAnsiTheme="minorEastAsia" w:cs="宋体" w:hint="eastAsia"/>
          <w:kern w:val="0"/>
          <w:szCs w:val="21"/>
        </w:rPr>
        <w:t>份基金份额，且有</w:t>
      </w:r>
      <w:r w:rsidRPr="00E97AFD">
        <w:rPr>
          <w:rFonts w:asciiTheme="minorEastAsia" w:eastAsiaTheme="minorEastAsia" w:hAnsiTheme="minorEastAsia" w:cs="宋体"/>
          <w:kern w:val="0"/>
          <w:szCs w:val="21"/>
        </w:rPr>
        <w:t>151,808.08</w:t>
      </w:r>
      <w:r w:rsidRPr="00E97AFD">
        <w:rPr>
          <w:rFonts w:asciiTheme="minorEastAsia" w:eastAsiaTheme="minorEastAsia" w:hAnsiTheme="minorEastAsia" w:cs="宋体" w:hint="eastAsia"/>
          <w:kern w:val="0"/>
          <w:szCs w:val="21"/>
        </w:rPr>
        <w:t>元的未付收益。投资者申请全部赎回持有的基金份额，则其获得的赎回金额计</w:t>
      </w:r>
      <w:r w:rsidRPr="00E97AFD">
        <w:rPr>
          <w:rFonts w:asciiTheme="minorEastAsia" w:eastAsiaTheme="minorEastAsia" w:hAnsiTheme="minorEastAsia" w:cs="宋体" w:hint="eastAsia"/>
          <w:kern w:val="0"/>
          <w:szCs w:val="21"/>
        </w:rPr>
        <w:lastRenderedPageBreak/>
        <w:t>算如下</w:t>
      </w:r>
    </w:p>
    <w:p w14:paraId="723CFEE3" w14:textId="77777777" w:rsidR="001F6359" w:rsidRPr="00E97AFD" w:rsidRDefault="001F6359" w:rsidP="001F6359">
      <w:pPr>
        <w:spacing w:line="360" w:lineRule="auto"/>
        <w:ind w:firstLineChars="200" w:firstLine="420"/>
        <w:rPr>
          <w:rFonts w:asciiTheme="minorEastAsia" w:eastAsiaTheme="minorEastAsia" w:hAnsiTheme="minorEastAsia" w:cs="宋体"/>
          <w:kern w:val="0"/>
          <w:szCs w:val="21"/>
        </w:rPr>
      </w:pPr>
      <w:r w:rsidRPr="00E97AFD">
        <w:rPr>
          <w:rFonts w:asciiTheme="minorEastAsia" w:eastAsiaTheme="minorEastAsia" w:hAnsiTheme="minorEastAsia" w:cs="宋体" w:hint="eastAsia"/>
          <w:kern w:val="0"/>
          <w:szCs w:val="21"/>
        </w:rPr>
        <w:t>赎回金额</w:t>
      </w:r>
      <w:r w:rsidRPr="00E97AFD">
        <w:rPr>
          <w:rFonts w:asciiTheme="minorEastAsia" w:eastAsiaTheme="minorEastAsia" w:hAnsiTheme="minorEastAsia" w:cs="宋体"/>
          <w:kern w:val="0"/>
          <w:szCs w:val="21"/>
        </w:rPr>
        <w:t>=300,000,000.00×1.00=300,000,000.00</w:t>
      </w:r>
      <w:r w:rsidRPr="00E97AFD">
        <w:rPr>
          <w:rFonts w:asciiTheme="minorEastAsia" w:eastAsiaTheme="minorEastAsia" w:hAnsiTheme="minorEastAsia" w:cs="宋体" w:hint="eastAsia"/>
          <w:kern w:val="0"/>
          <w:szCs w:val="21"/>
        </w:rPr>
        <w:t>元</w:t>
      </w:r>
    </w:p>
    <w:p w14:paraId="290B2D26" w14:textId="7144FDEC" w:rsidR="001F6359" w:rsidRPr="00E97AFD" w:rsidRDefault="001F6359" w:rsidP="001F6359">
      <w:pPr>
        <w:spacing w:line="360" w:lineRule="auto"/>
        <w:ind w:firstLineChars="200" w:firstLine="420"/>
        <w:rPr>
          <w:rFonts w:asciiTheme="minorEastAsia" w:eastAsiaTheme="minorEastAsia" w:hAnsiTheme="minorEastAsia" w:cs="宋体"/>
          <w:kern w:val="0"/>
          <w:szCs w:val="21"/>
        </w:rPr>
      </w:pPr>
      <w:r w:rsidRPr="00E97AFD">
        <w:rPr>
          <w:rFonts w:asciiTheme="minorEastAsia" w:eastAsiaTheme="minorEastAsia" w:hAnsiTheme="minorEastAsia" w:cs="宋体" w:hint="eastAsia"/>
          <w:kern w:val="0"/>
          <w:szCs w:val="21"/>
        </w:rPr>
        <w:t>赎回金额以人民币元为单位，计算结果均按四舍五入，保留到小数点后</w:t>
      </w:r>
      <w:r w:rsidRPr="00E97AFD">
        <w:rPr>
          <w:rFonts w:asciiTheme="minorEastAsia" w:eastAsiaTheme="minorEastAsia" w:hAnsiTheme="minorEastAsia" w:cs="宋体"/>
          <w:kern w:val="0"/>
          <w:szCs w:val="21"/>
        </w:rPr>
        <w:t>2</w:t>
      </w:r>
      <w:r w:rsidRPr="00E97AFD">
        <w:rPr>
          <w:rFonts w:asciiTheme="minorEastAsia" w:eastAsiaTheme="minorEastAsia" w:hAnsiTheme="minorEastAsia" w:cs="宋体" w:hint="eastAsia"/>
          <w:kern w:val="0"/>
          <w:szCs w:val="21"/>
        </w:rPr>
        <w:t>位，由此产生的收益或损失由基金财产承担。</w:t>
      </w:r>
    </w:p>
    <w:p w14:paraId="2CCFC6D3" w14:textId="7ECE44C3" w:rsidR="001F6359" w:rsidRPr="00E97AFD" w:rsidRDefault="001F6359" w:rsidP="001F6359">
      <w:pPr>
        <w:spacing w:line="360" w:lineRule="auto"/>
        <w:ind w:firstLineChars="200" w:firstLine="420"/>
        <w:rPr>
          <w:rFonts w:asciiTheme="minorEastAsia" w:eastAsiaTheme="minorEastAsia" w:hAnsiTheme="minorEastAsia" w:cs="宋体"/>
          <w:kern w:val="0"/>
          <w:szCs w:val="21"/>
        </w:rPr>
      </w:pPr>
      <w:r w:rsidRPr="00E97AFD">
        <w:rPr>
          <w:rFonts w:asciiTheme="minorEastAsia" w:eastAsiaTheme="minorEastAsia" w:hAnsiTheme="minorEastAsia" w:cs="宋体"/>
          <w:kern w:val="0"/>
          <w:szCs w:val="21"/>
        </w:rPr>
        <w:t>2)</w:t>
      </w:r>
      <w:r w:rsidRPr="00E97AFD">
        <w:rPr>
          <w:rFonts w:asciiTheme="minorEastAsia" w:eastAsiaTheme="minorEastAsia" w:hAnsiTheme="minorEastAsia" w:cs="宋体" w:hint="eastAsia"/>
          <w:kern w:val="0"/>
          <w:szCs w:val="21"/>
        </w:rPr>
        <w:t>当投资者在全部赎回某类基金份额时，如其未付收益为负，基金份额对应的未付收益与赎回份额对应的款项一并结算给投资者。</w:t>
      </w:r>
    </w:p>
    <w:p w14:paraId="3A0B5316" w14:textId="77777777" w:rsidR="001F6359" w:rsidRPr="00E97AFD" w:rsidRDefault="001F6359" w:rsidP="001F6359">
      <w:pPr>
        <w:spacing w:line="360" w:lineRule="auto"/>
        <w:ind w:firstLineChars="200" w:firstLine="420"/>
        <w:rPr>
          <w:rFonts w:asciiTheme="minorEastAsia" w:eastAsiaTheme="minorEastAsia" w:hAnsiTheme="minorEastAsia" w:cs="宋体"/>
          <w:kern w:val="0"/>
          <w:szCs w:val="21"/>
        </w:rPr>
      </w:pPr>
      <w:r w:rsidRPr="00E97AFD">
        <w:rPr>
          <w:rFonts w:asciiTheme="minorEastAsia" w:eastAsiaTheme="minorEastAsia" w:hAnsiTheme="minorEastAsia" w:cs="宋体" w:hint="eastAsia"/>
          <w:kern w:val="0"/>
          <w:szCs w:val="21"/>
        </w:rPr>
        <w:t>例：假定某投资者在</w:t>
      </w:r>
      <w:r w:rsidRPr="00E97AFD">
        <w:rPr>
          <w:rFonts w:asciiTheme="minorEastAsia" w:eastAsiaTheme="minorEastAsia" w:hAnsiTheme="minorEastAsia" w:cs="宋体"/>
          <w:kern w:val="0"/>
          <w:szCs w:val="21"/>
        </w:rPr>
        <w:t>T</w:t>
      </w:r>
      <w:r w:rsidRPr="00E97AFD">
        <w:rPr>
          <w:rFonts w:asciiTheme="minorEastAsia" w:eastAsiaTheme="minorEastAsia" w:hAnsiTheme="minorEastAsia" w:cs="宋体" w:hint="eastAsia"/>
          <w:kern w:val="0"/>
          <w:szCs w:val="21"/>
        </w:rPr>
        <w:t>日所持有的</w:t>
      </w:r>
      <w:r w:rsidRPr="00E97AFD">
        <w:rPr>
          <w:rFonts w:asciiTheme="minorEastAsia" w:eastAsiaTheme="minorEastAsia" w:hAnsiTheme="minorEastAsia" w:cs="宋体"/>
          <w:kern w:val="0"/>
          <w:szCs w:val="21"/>
        </w:rPr>
        <w:t>A</w:t>
      </w:r>
      <w:r w:rsidRPr="00E97AFD">
        <w:rPr>
          <w:rFonts w:asciiTheme="minorEastAsia" w:eastAsiaTheme="minorEastAsia" w:hAnsiTheme="minorEastAsia" w:cs="宋体" w:hint="eastAsia"/>
          <w:kern w:val="0"/>
          <w:szCs w:val="21"/>
        </w:rPr>
        <w:t>类基金份额为</w:t>
      </w:r>
      <w:r w:rsidRPr="00E97AFD">
        <w:rPr>
          <w:rFonts w:asciiTheme="minorEastAsia" w:eastAsiaTheme="minorEastAsia" w:hAnsiTheme="minorEastAsia" w:cs="宋体"/>
          <w:kern w:val="0"/>
          <w:szCs w:val="21"/>
        </w:rPr>
        <w:t>300,000,000.00</w:t>
      </w:r>
      <w:r w:rsidRPr="00E97AFD">
        <w:rPr>
          <w:rFonts w:asciiTheme="minorEastAsia" w:eastAsiaTheme="minorEastAsia" w:hAnsiTheme="minorEastAsia" w:cs="宋体" w:hint="eastAsia"/>
          <w:kern w:val="0"/>
          <w:szCs w:val="21"/>
        </w:rPr>
        <w:t>份基金份额，且有</w:t>
      </w:r>
      <w:r w:rsidRPr="00E97AFD">
        <w:rPr>
          <w:rFonts w:asciiTheme="minorEastAsia" w:eastAsiaTheme="minorEastAsia" w:hAnsiTheme="minorEastAsia" w:cs="宋体"/>
          <w:kern w:val="0"/>
          <w:szCs w:val="21"/>
        </w:rPr>
        <w:t>-151,808.08</w:t>
      </w:r>
      <w:r w:rsidRPr="00E97AFD">
        <w:rPr>
          <w:rFonts w:asciiTheme="minorEastAsia" w:eastAsiaTheme="minorEastAsia" w:hAnsiTheme="minorEastAsia" w:cs="宋体" w:hint="eastAsia"/>
          <w:kern w:val="0"/>
          <w:szCs w:val="21"/>
        </w:rPr>
        <w:t>元的未付收益。投资者申请全部赎回持有的基金份额，则其获得的赎回金额计算如下</w:t>
      </w:r>
    </w:p>
    <w:p w14:paraId="5F7F42F0" w14:textId="4F45304C" w:rsidR="001F6359" w:rsidRPr="00E97AFD" w:rsidRDefault="001F6359" w:rsidP="001F6359">
      <w:pPr>
        <w:spacing w:line="360" w:lineRule="auto"/>
        <w:ind w:firstLineChars="200" w:firstLine="420"/>
        <w:rPr>
          <w:rFonts w:asciiTheme="minorEastAsia" w:eastAsiaTheme="minorEastAsia" w:hAnsiTheme="minorEastAsia" w:cs="宋体"/>
          <w:kern w:val="0"/>
          <w:szCs w:val="21"/>
        </w:rPr>
      </w:pPr>
      <w:r w:rsidRPr="00E97AFD">
        <w:rPr>
          <w:rFonts w:asciiTheme="minorEastAsia" w:eastAsiaTheme="minorEastAsia" w:hAnsiTheme="minorEastAsia" w:cs="宋体" w:hint="eastAsia"/>
          <w:kern w:val="0"/>
          <w:szCs w:val="21"/>
        </w:rPr>
        <w:t>赎回金额</w:t>
      </w:r>
      <w:r w:rsidRPr="00E97AFD">
        <w:rPr>
          <w:rFonts w:asciiTheme="minorEastAsia" w:eastAsiaTheme="minorEastAsia" w:hAnsiTheme="minorEastAsia" w:cs="宋体"/>
          <w:kern w:val="0"/>
          <w:szCs w:val="21"/>
        </w:rPr>
        <w:t>=300,000,000.00</w:t>
      </w:r>
      <w:r w:rsidRPr="00E97AFD">
        <w:rPr>
          <w:rFonts w:asciiTheme="minorEastAsia" w:eastAsiaTheme="minorEastAsia" w:hAnsiTheme="minorEastAsia" w:cs="宋体" w:hint="eastAsia"/>
          <w:kern w:val="0"/>
          <w:szCs w:val="21"/>
        </w:rPr>
        <w:t>×</w:t>
      </w:r>
      <w:r w:rsidRPr="00E97AFD">
        <w:rPr>
          <w:rFonts w:asciiTheme="minorEastAsia" w:eastAsiaTheme="minorEastAsia" w:hAnsiTheme="minorEastAsia" w:cs="宋体"/>
          <w:kern w:val="0"/>
          <w:szCs w:val="21"/>
        </w:rPr>
        <w:t>1.00-151,808.08=299,848,191.92</w:t>
      </w:r>
      <w:r w:rsidRPr="00E97AFD">
        <w:rPr>
          <w:rFonts w:asciiTheme="minorEastAsia" w:eastAsiaTheme="minorEastAsia" w:hAnsiTheme="minorEastAsia" w:cs="宋体" w:hint="eastAsia"/>
          <w:kern w:val="0"/>
          <w:szCs w:val="21"/>
        </w:rPr>
        <w:t>元</w:t>
      </w:r>
    </w:p>
    <w:p w14:paraId="3037EA20" w14:textId="77777777" w:rsidR="0022644D" w:rsidRPr="00E97AFD" w:rsidRDefault="001F6359"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cs="宋体" w:hint="eastAsia"/>
          <w:kern w:val="0"/>
          <w:szCs w:val="21"/>
        </w:rPr>
        <w:t>赎回金额以人民币元为单位，计算结果均按四舍五入，保留到小数点后</w:t>
      </w:r>
      <w:r w:rsidRPr="00E97AFD">
        <w:rPr>
          <w:rFonts w:asciiTheme="minorEastAsia" w:eastAsiaTheme="minorEastAsia" w:hAnsiTheme="minorEastAsia" w:cs="宋体"/>
          <w:kern w:val="0"/>
          <w:szCs w:val="21"/>
        </w:rPr>
        <w:t>2</w:t>
      </w:r>
      <w:r w:rsidRPr="00E97AFD">
        <w:rPr>
          <w:rFonts w:asciiTheme="minorEastAsia" w:eastAsiaTheme="minorEastAsia" w:hAnsiTheme="minorEastAsia" w:cs="宋体" w:hint="eastAsia"/>
          <w:kern w:val="0"/>
          <w:szCs w:val="21"/>
        </w:rPr>
        <w:t>位，由此产生的收益或损失由基金财产承担。</w:t>
      </w:r>
    </w:p>
    <w:p w14:paraId="6C1D878B" w14:textId="77777777" w:rsidR="00BA4B87" w:rsidRPr="00E97AFD" w:rsidRDefault="004A4C9B" w:rsidP="00966694">
      <w:pPr>
        <w:snapToGrid w:val="0"/>
        <w:spacing w:line="360" w:lineRule="auto"/>
        <w:ind w:firstLineChars="200" w:firstLine="420"/>
        <w:rPr>
          <w:rFonts w:asciiTheme="minorEastAsia" w:eastAsiaTheme="minorEastAsia" w:hAnsiTheme="minorEastAsia"/>
          <w:szCs w:val="21"/>
        </w:rPr>
      </w:pPr>
      <w:bookmarkStart w:id="55" w:name="_Toc327734841"/>
      <w:r w:rsidRPr="00E97AFD">
        <w:rPr>
          <w:rFonts w:asciiTheme="minorEastAsia" w:eastAsiaTheme="minorEastAsia" w:hAnsiTheme="minorEastAsia"/>
          <w:szCs w:val="21"/>
        </w:rPr>
        <w:t>(</w:t>
      </w:r>
      <w:r w:rsidRPr="00E97AFD">
        <w:rPr>
          <w:rFonts w:asciiTheme="minorEastAsia" w:eastAsiaTheme="minorEastAsia" w:hAnsiTheme="minorEastAsia" w:hint="eastAsia"/>
          <w:szCs w:val="21"/>
        </w:rPr>
        <w:t>九</w:t>
      </w:r>
      <w:r w:rsidRPr="00E97AFD">
        <w:rPr>
          <w:rFonts w:asciiTheme="minorEastAsia" w:eastAsiaTheme="minorEastAsia" w:hAnsiTheme="minorEastAsia"/>
          <w:szCs w:val="21"/>
        </w:rPr>
        <w:t>)</w:t>
      </w:r>
      <w:r w:rsidR="00BA4B87" w:rsidRPr="00E97AFD">
        <w:rPr>
          <w:rFonts w:asciiTheme="minorEastAsia" w:eastAsiaTheme="minorEastAsia" w:hAnsiTheme="minorEastAsia"/>
          <w:szCs w:val="21"/>
        </w:rPr>
        <w:t>申购与赎回的注册登记</w:t>
      </w:r>
      <w:bookmarkEnd w:id="55"/>
    </w:p>
    <w:p w14:paraId="43E5C8FF" w14:textId="77777777" w:rsidR="00AE69DE" w:rsidRPr="00E97AFD" w:rsidRDefault="00AE69DE" w:rsidP="00966694">
      <w:pPr>
        <w:snapToGrid w:val="0"/>
        <w:spacing w:line="360" w:lineRule="auto"/>
        <w:ind w:firstLineChars="200" w:firstLine="420"/>
        <w:rPr>
          <w:rFonts w:asciiTheme="minorEastAsia" w:eastAsiaTheme="minorEastAsia" w:hAnsiTheme="minorEastAsia"/>
          <w:szCs w:val="21"/>
        </w:rPr>
      </w:pPr>
      <w:bookmarkStart w:id="56" w:name="_Toc327734842"/>
      <w:r w:rsidRPr="00E97AFD">
        <w:rPr>
          <w:rFonts w:asciiTheme="minorEastAsia" w:eastAsiaTheme="minorEastAsia" w:hAnsiTheme="minorEastAsia" w:hint="eastAsia"/>
          <w:szCs w:val="21"/>
        </w:rPr>
        <w:t>正常情况下，投资人T日申购基金成功后，登记机构在T+1日（包括该日）</w:t>
      </w:r>
      <w:r w:rsidR="003564A2" w:rsidRPr="00E97AFD">
        <w:rPr>
          <w:rFonts w:asciiTheme="minorEastAsia" w:eastAsiaTheme="minorEastAsia" w:hAnsiTheme="minorEastAsia" w:hint="eastAsia"/>
          <w:szCs w:val="21"/>
        </w:rPr>
        <w:t>前</w:t>
      </w:r>
      <w:r w:rsidRPr="00E97AFD">
        <w:rPr>
          <w:rFonts w:asciiTheme="minorEastAsia" w:eastAsiaTheme="minorEastAsia" w:hAnsiTheme="minorEastAsia" w:hint="eastAsia"/>
          <w:szCs w:val="21"/>
        </w:rPr>
        <w:t>为投资者增加权益并办理登记手续。</w:t>
      </w:r>
    </w:p>
    <w:p w14:paraId="615CAEE2" w14:textId="77777777" w:rsidR="00AE69DE" w:rsidRPr="00E97AFD" w:rsidRDefault="00AE69D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基金份额持有人T日赎回基金成功后，正常情况下，登记机构在T+1日（包括该日）</w:t>
      </w:r>
      <w:r w:rsidR="003564A2" w:rsidRPr="00E97AFD">
        <w:rPr>
          <w:rFonts w:asciiTheme="minorEastAsia" w:eastAsiaTheme="minorEastAsia" w:hAnsiTheme="minorEastAsia" w:hint="eastAsia"/>
          <w:szCs w:val="21"/>
        </w:rPr>
        <w:t>前</w:t>
      </w:r>
      <w:r w:rsidRPr="00E97AFD">
        <w:rPr>
          <w:rFonts w:asciiTheme="minorEastAsia" w:eastAsiaTheme="minorEastAsia" w:hAnsiTheme="minorEastAsia" w:hint="eastAsia"/>
          <w:szCs w:val="21"/>
        </w:rPr>
        <w:t>为其办理扣除权益的登记手续。</w:t>
      </w:r>
    </w:p>
    <w:p w14:paraId="3BAE028C" w14:textId="5884F858" w:rsidR="00AE69DE" w:rsidRPr="00E97AFD" w:rsidRDefault="00AE69D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在</w:t>
      </w:r>
      <w:r w:rsidR="002630E5" w:rsidRPr="00E97AFD">
        <w:rPr>
          <w:rFonts w:asciiTheme="minorEastAsia" w:eastAsiaTheme="minorEastAsia" w:hAnsiTheme="minorEastAsia" w:hint="eastAsia"/>
          <w:szCs w:val="21"/>
        </w:rPr>
        <w:t>不违反</w:t>
      </w:r>
      <w:r w:rsidRPr="00E97AFD">
        <w:rPr>
          <w:rFonts w:asciiTheme="minorEastAsia" w:eastAsiaTheme="minorEastAsia" w:hAnsiTheme="minorEastAsia" w:hint="eastAsia"/>
          <w:szCs w:val="21"/>
        </w:rPr>
        <w:t>法律法规的</w:t>
      </w:r>
      <w:r w:rsidR="002630E5" w:rsidRPr="00E97AFD">
        <w:rPr>
          <w:rFonts w:asciiTheme="minorEastAsia" w:eastAsiaTheme="minorEastAsia" w:hAnsiTheme="minorEastAsia" w:hint="eastAsia"/>
          <w:szCs w:val="21"/>
        </w:rPr>
        <w:t>情况下</w:t>
      </w:r>
      <w:r w:rsidRPr="00E97AFD">
        <w:rPr>
          <w:rFonts w:asciiTheme="minorEastAsia" w:eastAsiaTheme="minorEastAsia" w:hAnsiTheme="minorEastAsia" w:hint="eastAsia"/>
          <w:szCs w:val="21"/>
        </w:rPr>
        <w:t>，登记机构可以对上述登记办理时间进行调整，基金管理人最迟于开始实施前依照《信息披露办法》的有关规定在指定</w:t>
      </w:r>
      <w:r w:rsidR="006B018F" w:rsidRPr="00E97AFD">
        <w:rPr>
          <w:rFonts w:asciiTheme="minorEastAsia" w:eastAsiaTheme="minorEastAsia" w:hAnsiTheme="minorEastAsia" w:hint="eastAsia"/>
          <w:szCs w:val="21"/>
        </w:rPr>
        <w:t>媒介</w:t>
      </w:r>
      <w:r w:rsidRPr="00E97AFD">
        <w:rPr>
          <w:rFonts w:asciiTheme="minorEastAsia" w:eastAsiaTheme="minorEastAsia" w:hAnsiTheme="minorEastAsia" w:hint="eastAsia"/>
          <w:szCs w:val="21"/>
        </w:rPr>
        <w:t>上公告。</w:t>
      </w:r>
    </w:p>
    <w:p w14:paraId="1DA484A9" w14:textId="77777777" w:rsidR="00BA4B87" w:rsidRPr="00E97AFD" w:rsidRDefault="004A4C9B"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w:t>
      </w:r>
      <w:r w:rsidRPr="00E97AFD">
        <w:rPr>
          <w:rFonts w:asciiTheme="minorEastAsia" w:eastAsiaTheme="minorEastAsia" w:hAnsiTheme="minorEastAsia" w:hint="eastAsia"/>
          <w:szCs w:val="21"/>
        </w:rPr>
        <w:t>十</w:t>
      </w:r>
      <w:r w:rsidRPr="00E97AFD">
        <w:rPr>
          <w:rFonts w:asciiTheme="minorEastAsia" w:eastAsiaTheme="minorEastAsia" w:hAnsiTheme="minorEastAsia"/>
          <w:szCs w:val="21"/>
        </w:rPr>
        <w:t>)</w:t>
      </w:r>
      <w:r w:rsidR="00BA4B87" w:rsidRPr="00E97AFD">
        <w:rPr>
          <w:rFonts w:asciiTheme="minorEastAsia" w:eastAsiaTheme="minorEastAsia" w:hAnsiTheme="minorEastAsia"/>
          <w:szCs w:val="21"/>
        </w:rPr>
        <w:t>巨额赎回的认定及处理方式</w:t>
      </w:r>
      <w:bookmarkEnd w:id="56"/>
    </w:p>
    <w:p w14:paraId="4B820C07" w14:textId="77777777" w:rsidR="00AE69DE" w:rsidRPr="00E97AFD" w:rsidRDefault="00AE69D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1、巨额赎回的认定</w:t>
      </w:r>
    </w:p>
    <w:p w14:paraId="57145111" w14:textId="77777777" w:rsidR="00AE69DE" w:rsidRPr="00E97AFD" w:rsidRDefault="00AE69D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4176E1ED" w14:textId="77777777" w:rsidR="00AE69DE" w:rsidRPr="00E97AFD" w:rsidRDefault="00AE69D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2、巨额赎回的处理方式</w:t>
      </w:r>
    </w:p>
    <w:p w14:paraId="08C61865" w14:textId="77777777" w:rsidR="00AE69DE" w:rsidRPr="00E97AFD" w:rsidRDefault="00AE69D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当基金出现巨额赎回时，基金管理人可以根据基金当时的资产组合状况决定全额赎回或部分延期赎回。</w:t>
      </w:r>
    </w:p>
    <w:p w14:paraId="32A27F42" w14:textId="77777777" w:rsidR="00AE69DE" w:rsidRPr="00E97AFD" w:rsidRDefault="00AE69D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（1）全额赎回：当基金管理人认为有能力支付投资人的全部赎回申请时，按正常赎回程序执行。</w:t>
      </w:r>
    </w:p>
    <w:p w14:paraId="1EF8D308" w14:textId="77777777" w:rsidR="00AE69DE" w:rsidRPr="00E97AFD" w:rsidRDefault="00AE69D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w:t>
      </w:r>
      <w:r w:rsidRPr="00E97AFD">
        <w:rPr>
          <w:rFonts w:asciiTheme="minorEastAsia" w:eastAsiaTheme="minorEastAsia" w:hAnsiTheme="minorEastAsia" w:hint="eastAsia"/>
          <w:szCs w:val="21"/>
        </w:rPr>
        <w:lastRenderedPageBreak/>
        <w:t>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AC49B65" w14:textId="77777777" w:rsidR="00B95C61" w:rsidRPr="00E97AFD" w:rsidRDefault="00B95C61"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14:paraId="738A4216" w14:textId="3E58A909" w:rsidR="00AE69DE" w:rsidRPr="00E97AFD" w:rsidRDefault="00AE69D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（3）暂停赎回：连续2日以上(含本数)发生巨额赎回，如基金管理人认为有必要，可暂停接受基金的赎回申请；已经接受的赎回申请可以延缓支付赎回款项，但不得超过20个工作日，并应当在指定</w:t>
      </w:r>
      <w:r w:rsidR="006B018F" w:rsidRPr="00E97AFD">
        <w:rPr>
          <w:rFonts w:asciiTheme="minorEastAsia" w:eastAsiaTheme="minorEastAsia" w:hAnsiTheme="minorEastAsia" w:hint="eastAsia"/>
          <w:szCs w:val="21"/>
        </w:rPr>
        <w:t>媒介</w:t>
      </w:r>
      <w:r w:rsidRPr="00E97AFD">
        <w:rPr>
          <w:rFonts w:asciiTheme="minorEastAsia" w:eastAsiaTheme="minorEastAsia" w:hAnsiTheme="minorEastAsia" w:hint="eastAsia"/>
          <w:szCs w:val="21"/>
        </w:rPr>
        <w:t>上进行公告。</w:t>
      </w:r>
    </w:p>
    <w:p w14:paraId="1A164260" w14:textId="77777777" w:rsidR="00AE69DE" w:rsidRPr="00E97AFD" w:rsidRDefault="00AE69D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3、巨额赎回的公告</w:t>
      </w:r>
    </w:p>
    <w:p w14:paraId="62FD246E" w14:textId="4B16B9C3" w:rsidR="00BA4B87" w:rsidRPr="00E97AFD" w:rsidRDefault="00AE69D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当发生上述</w:t>
      </w:r>
      <w:r w:rsidR="00E53182" w:rsidRPr="00E97AFD">
        <w:rPr>
          <w:rFonts w:asciiTheme="minorEastAsia" w:eastAsiaTheme="minorEastAsia" w:hAnsiTheme="minorEastAsia" w:hint="eastAsia"/>
          <w:szCs w:val="21"/>
        </w:rPr>
        <w:t>巨额</w:t>
      </w:r>
      <w:r w:rsidRPr="00E97AFD">
        <w:rPr>
          <w:rFonts w:asciiTheme="minorEastAsia" w:eastAsiaTheme="minorEastAsia" w:hAnsiTheme="minorEastAsia" w:hint="eastAsia"/>
          <w:szCs w:val="21"/>
        </w:rPr>
        <w:t>赎回并延期办理时，基金管理人应当通过邮寄、传真或者招募说明书规定的其他方式在3个交易日内通知基金份额持有人，说明有关处理方法，</w:t>
      </w:r>
      <w:r w:rsidR="006B018F" w:rsidRPr="00E97AFD">
        <w:rPr>
          <w:rFonts w:asciiTheme="minorEastAsia" w:eastAsiaTheme="minorEastAsia" w:hAnsiTheme="minorEastAsia" w:hint="eastAsia"/>
          <w:szCs w:val="21"/>
        </w:rPr>
        <w:t>并在2日内</w:t>
      </w:r>
      <w:r w:rsidRPr="00E97AFD">
        <w:rPr>
          <w:rFonts w:asciiTheme="minorEastAsia" w:eastAsiaTheme="minorEastAsia" w:hAnsiTheme="minorEastAsia" w:hint="eastAsia"/>
          <w:szCs w:val="21"/>
        </w:rPr>
        <w:t>在指定</w:t>
      </w:r>
      <w:r w:rsidR="006B018F" w:rsidRPr="00E97AFD">
        <w:rPr>
          <w:rFonts w:asciiTheme="minorEastAsia" w:eastAsiaTheme="minorEastAsia" w:hAnsiTheme="minorEastAsia" w:hint="eastAsia"/>
          <w:szCs w:val="21"/>
        </w:rPr>
        <w:t>媒介</w:t>
      </w:r>
      <w:r w:rsidRPr="00E97AFD">
        <w:rPr>
          <w:rFonts w:asciiTheme="minorEastAsia" w:eastAsiaTheme="minorEastAsia" w:hAnsiTheme="minorEastAsia" w:hint="eastAsia"/>
          <w:szCs w:val="21"/>
        </w:rPr>
        <w:t>上刊登公告。</w:t>
      </w:r>
    </w:p>
    <w:p w14:paraId="246B7BB6" w14:textId="77777777" w:rsidR="00BA4B87" w:rsidRPr="00E97AFD" w:rsidRDefault="00BA4B87" w:rsidP="00966694">
      <w:pPr>
        <w:snapToGrid w:val="0"/>
        <w:spacing w:line="360" w:lineRule="auto"/>
        <w:ind w:firstLineChars="200" w:firstLine="420"/>
        <w:rPr>
          <w:rFonts w:asciiTheme="minorEastAsia" w:eastAsiaTheme="minorEastAsia" w:hAnsiTheme="minorEastAsia"/>
          <w:szCs w:val="21"/>
        </w:rPr>
      </w:pPr>
      <w:bookmarkStart w:id="57" w:name="_Toc327734843"/>
      <w:r w:rsidRPr="00E97AFD">
        <w:rPr>
          <w:rFonts w:asciiTheme="minorEastAsia" w:eastAsiaTheme="minorEastAsia" w:hAnsiTheme="minorEastAsia"/>
          <w:szCs w:val="21"/>
        </w:rPr>
        <w:t>(十</w:t>
      </w:r>
      <w:r w:rsidR="00090469" w:rsidRPr="00E97AFD">
        <w:rPr>
          <w:rFonts w:asciiTheme="minorEastAsia" w:eastAsiaTheme="minorEastAsia" w:hAnsiTheme="minorEastAsia"/>
          <w:szCs w:val="21"/>
        </w:rPr>
        <w:t>一</w:t>
      </w:r>
      <w:r w:rsidRPr="00E97AFD">
        <w:rPr>
          <w:rFonts w:asciiTheme="minorEastAsia" w:eastAsiaTheme="minorEastAsia" w:hAnsiTheme="minorEastAsia"/>
          <w:szCs w:val="21"/>
        </w:rPr>
        <w:t>)拒绝或暂停申购、暂停赎回</w:t>
      </w:r>
      <w:r w:rsidR="00E95F0A" w:rsidRPr="00E97AFD">
        <w:rPr>
          <w:rFonts w:asciiTheme="minorEastAsia" w:eastAsiaTheme="minorEastAsia" w:hAnsiTheme="minorEastAsia" w:hint="eastAsia"/>
          <w:szCs w:val="21"/>
        </w:rPr>
        <w:t>或延缓支付赎回款项</w:t>
      </w:r>
      <w:r w:rsidR="00E95F0A" w:rsidRPr="00E97AFD">
        <w:rPr>
          <w:rFonts w:asciiTheme="minorEastAsia" w:eastAsiaTheme="minorEastAsia" w:hAnsiTheme="minorEastAsia"/>
          <w:szCs w:val="21"/>
        </w:rPr>
        <w:t>的</w:t>
      </w:r>
      <w:r w:rsidRPr="00E97AFD">
        <w:rPr>
          <w:rFonts w:asciiTheme="minorEastAsia" w:eastAsiaTheme="minorEastAsia" w:hAnsiTheme="minorEastAsia"/>
          <w:szCs w:val="21"/>
        </w:rPr>
        <w:t>的情形及处理</w:t>
      </w:r>
      <w:bookmarkEnd w:id="57"/>
    </w:p>
    <w:p w14:paraId="4A75B03C" w14:textId="77777777" w:rsidR="00417F69" w:rsidRPr="00E97AFD" w:rsidRDefault="00BA4B8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1、</w:t>
      </w:r>
      <w:r w:rsidR="00417F69" w:rsidRPr="00E97AFD">
        <w:rPr>
          <w:rFonts w:asciiTheme="minorEastAsia" w:eastAsiaTheme="minorEastAsia" w:hAnsiTheme="minorEastAsia"/>
          <w:szCs w:val="21"/>
        </w:rPr>
        <w:t>发生下列情况时，基金管理人可拒绝或暂停接受投资人的申购申请：</w:t>
      </w:r>
    </w:p>
    <w:p w14:paraId="1FF6D3B4" w14:textId="77777777" w:rsidR="00580FE0" w:rsidRPr="00E97AFD" w:rsidRDefault="00580FE0"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（1）因不可抗力导致基金无法正常运作。</w:t>
      </w:r>
    </w:p>
    <w:p w14:paraId="5B245510" w14:textId="77777777" w:rsidR="00580FE0" w:rsidRPr="00E97AFD" w:rsidRDefault="00580FE0"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（2）发生基金合同规定的暂停基金资产估值情况时。</w:t>
      </w:r>
    </w:p>
    <w:p w14:paraId="1BE03B41" w14:textId="77777777" w:rsidR="00580FE0" w:rsidRPr="00E97AFD" w:rsidRDefault="00580FE0"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（3）本基金投资的证券交易市场临时停止交易。</w:t>
      </w:r>
    </w:p>
    <w:p w14:paraId="044DEA6F" w14:textId="77777777" w:rsidR="00580FE0" w:rsidRPr="00E97AFD" w:rsidRDefault="00580FE0"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（4）基金管理人认为接受某笔或某些申购申请可能会影响或损害现有基金份额持有人利益时。</w:t>
      </w:r>
    </w:p>
    <w:p w14:paraId="3C27522E" w14:textId="77777777" w:rsidR="00580FE0" w:rsidRPr="00E97AFD" w:rsidRDefault="00580FE0"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（5）基金资产规模过大，使基金管理人无法找到合适的投资品种，或其他可能对基金业绩产生负面影响，从而损害现有基金份额持有人利益的情形。</w:t>
      </w:r>
    </w:p>
    <w:p w14:paraId="4B888ED8" w14:textId="77777777" w:rsidR="00B95C61" w:rsidRPr="00E97AFD" w:rsidRDefault="00580FE0" w:rsidP="00B95C61">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（6）</w:t>
      </w:r>
      <w:r w:rsidR="00B95C61" w:rsidRPr="00E97AFD">
        <w:rPr>
          <w:rFonts w:asciiTheme="minorEastAsia" w:eastAsiaTheme="minorEastAsia" w:hAnsiTheme="minorEastAsia" w:hint="eastAsia"/>
          <w:szCs w:val="21"/>
        </w:rPr>
        <w:t>基金管理人接受某笔或者某些申购申请有可能导致单一投资者持有基金份额的比例达到或者超过50%，或者变相规避50%集中度的情形时。</w:t>
      </w:r>
    </w:p>
    <w:p w14:paraId="50DCD008" w14:textId="77777777" w:rsidR="00B95C61" w:rsidRPr="00E97AFD" w:rsidRDefault="00B95C61" w:rsidP="00957F2C">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7）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14:paraId="42259B66" w14:textId="77777777" w:rsidR="00957F2C" w:rsidRPr="00E97AFD" w:rsidRDefault="00957F2C" w:rsidP="00957F2C">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w:t>
      </w:r>
      <w:r w:rsidR="00B95C61" w:rsidRPr="00E97AFD">
        <w:rPr>
          <w:rFonts w:asciiTheme="minorEastAsia" w:eastAsiaTheme="minorEastAsia" w:hAnsiTheme="minorEastAsia"/>
          <w:szCs w:val="21"/>
        </w:rPr>
        <w:t>8</w:t>
      </w:r>
      <w:r w:rsidRPr="00E97AFD">
        <w:rPr>
          <w:rFonts w:asciiTheme="minorEastAsia" w:eastAsiaTheme="minorEastAsia" w:hAnsiTheme="minorEastAsia" w:hint="eastAsia"/>
          <w:szCs w:val="21"/>
        </w:rPr>
        <w:t>）为保护基金份额持有人的合法权益，基金管理人可以依照相关法律法规以及基金合同的约定，在特定市场条件下暂停或者拒绝接受一定金额以上的资金申购，具体以基金管理人的公告为准。</w:t>
      </w:r>
    </w:p>
    <w:p w14:paraId="37C75F63" w14:textId="77777777" w:rsidR="00957F2C" w:rsidRPr="00E97AFD" w:rsidRDefault="00957F2C" w:rsidP="00957F2C">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w:t>
      </w:r>
      <w:r w:rsidR="00B95C61" w:rsidRPr="00E97AFD">
        <w:rPr>
          <w:rFonts w:asciiTheme="minorEastAsia" w:eastAsiaTheme="minorEastAsia" w:hAnsiTheme="minorEastAsia"/>
          <w:szCs w:val="21"/>
        </w:rPr>
        <w:t>9</w:t>
      </w:r>
      <w:r w:rsidRPr="00E97AFD">
        <w:rPr>
          <w:rFonts w:asciiTheme="minorEastAsia" w:eastAsiaTheme="minorEastAsia" w:hAnsiTheme="minorEastAsia" w:hint="eastAsia"/>
          <w:szCs w:val="21"/>
        </w:rPr>
        <w:t>）基金管理人、基金托管人、登记机构、销售机构、支付结算机构等因异常情况导</w:t>
      </w:r>
      <w:r w:rsidRPr="00E97AFD">
        <w:rPr>
          <w:rFonts w:asciiTheme="minorEastAsia" w:eastAsiaTheme="minorEastAsia" w:hAnsiTheme="minorEastAsia" w:hint="eastAsia"/>
          <w:szCs w:val="21"/>
        </w:rPr>
        <w:lastRenderedPageBreak/>
        <w:t>致基金销售系统、基金销售支付结算系统、基金登记系统、基金会计系统等无法正常运行。</w:t>
      </w:r>
    </w:p>
    <w:p w14:paraId="76A32FCE" w14:textId="77777777" w:rsidR="00957F2C" w:rsidRPr="00E97AFD" w:rsidRDefault="00957F2C" w:rsidP="00957F2C">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w:t>
      </w:r>
      <w:r w:rsidR="00B95C61" w:rsidRPr="00E97AFD">
        <w:rPr>
          <w:rFonts w:asciiTheme="minorEastAsia" w:eastAsiaTheme="minorEastAsia" w:hAnsiTheme="minorEastAsia"/>
          <w:szCs w:val="21"/>
        </w:rPr>
        <w:t>10</w:t>
      </w:r>
      <w:r w:rsidRPr="00E97AFD">
        <w:rPr>
          <w:rFonts w:asciiTheme="minorEastAsia" w:eastAsiaTheme="minorEastAsia" w:hAnsiTheme="minorEastAsia" w:hint="eastAsia"/>
          <w:szCs w:val="21"/>
        </w:rPr>
        <w:t>）当影子定价法确定的基金资产净值与摊余成本法计算的基金资产净值的正偏离度绝对值达到0.5%时。</w:t>
      </w:r>
    </w:p>
    <w:p w14:paraId="6D6DDFAE" w14:textId="77777777" w:rsidR="00B95C61" w:rsidRPr="00E97AFD" w:rsidRDefault="00957F2C" w:rsidP="00957F2C">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w:t>
      </w:r>
      <w:r w:rsidR="00B95C61" w:rsidRPr="00E97AFD">
        <w:rPr>
          <w:rFonts w:asciiTheme="minorEastAsia" w:eastAsiaTheme="minorEastAsia" w:hAnsiTheme="minorEastAsia" w:hint="eastAsia"/>
          <w:szCs w:val="21"/>
        </w:rPr>
        <w:t>1</w:t>
      </w:r>
      <w:r w:rsidR="00B95C61" w:rsidRPr="00E97AFD">
        <w:rPr>
          <w:rFonts w:asciiTheme="minorEastAsia" w:eastAsiaTheme="minorEastAsia" w:hAnsiTheme="minorEastAsia"/>
          <w:szCs w:val="21"/>
        </w:rPr>
        <w:t>1</w:t>
      </w:r>
      <w:r w:rsidRPr="00E97AFD">
        <w:rPr>
          <w:rFonts w:asciiTheme="minorEastAsia" w:eastAsiaTheme="minorEastAsia" w:hAnsiTheme="minorEastAsia" w:hint="eastAsia"/>
          <w:szCs w:val="21"/>
        </w:rPr>
        <w:t>）</w:t>
      </w:r>
      <w:r w:rsidR="00B95C61" w:rsidRPr="00E97AFD">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14:paraId="2B2AFB24" w14:textId="77777777" w:rsidR="00957F2C" w:rsidRPr="00E97AFD" w:rsidRDefault="00B95C61" w:rsidP="00957F2C">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w:t>
      </w:r>
      <w:r w:rsidRPr="00E97AFD">
        <w:rPr>
          <w:rFonts w:asciiTheme="minorEastAsia" w:eastAsiaTheme="minorEastAsia" w:hAnsiTheme="minorEastAsia"/>
          <w:szCs w:val="21"/>
        </w:rPr>
        <w:t>2）</w:t>
      </w:r>
      <w:r w:rsidR="00957F2C" w:rsidRPr="00E97AFD">
        <w:rPr>
          <w:rFonts w:asciiTheme="minorEastAsia" w:eastAsiaTheme="minorEastAsia" w:hAnsiTheme="minorEastAsia" w:hint="eastAsia"/>
          <w:szCs w:val="21"/>
        </w:rPr>
        <w:t>法律法规规定或中国证监会认定的其他情形。</w:t>
      </w:r>
    </w:p>
    <w:p w14:paraId="2AF16155" w14:textId="0C185439" w:rsidR="00BA4B87" w:rsidRPr="00E97AFD" w:rsidRDefault="00957F2C" w:rsidP="00957F2C">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发生上述第（1）、（2）、（3）、（5）、（7）、（8）、（9）、（10）</w:t>
      </w:r>
      <w:r w:rsidR="00B95C61" w:rsidRPr="00E97AFD">
        <w:rPr>
          <w:rFonts w:asciiTheme="minorEastAsia" w:eastAsiaTheme="minorEastAsia" w:hAnsiTheme="minorEastAsia" w:hint="eastAsia"/>
          <w:szCs w:val="21"/>
        </w:rPr>
        <w:t>、</w:t>
      </w:r>
      <w:r w:rsidR="00B95C61" w:rsidRPr="00E97AFD">
        <w:rPr>
          <w:rFonts w:asciiTheme="minorEastAsia" w:eastAsiaTheme="minorEastAsia" w:hAnsiTheme="minorEastAsia"/>
          <w:szCs w:val="21"/>
        </w:rPr>
        <w:t>（</w:t>
      </w:r>
      <w:r w:rsidR="00B95C61" w:rsidRPr="00E97AFD">
        <w:rPr>
          <w:rFonts w:asciiTheme="minorEastAsia" w:eastAsiaTheme="minorEastAsia" w:hAnsiTheme="minorEastAsia" w:hint="eastAsia"/>
          <w:szCs w:val="21"/>
        </w:rPr>
        <w:t>1</w:t>
      </w:r>
      <w:r w:rsidR="00B95C61" w:rsidRPr="00E97AFD">
        <w:rPr>
          <w:rFonts w:asciiTheme="minorEastAsia" w:eastAsiaTheme="minorEastAsia" w:hAnsiTheme="minorEastAsia"/>
          <w:szCs w:val="21"/>
        </w:rPr>
        <w:t>1）</w:t>
      </w:r>
      <w:r w:rsidR="00B95C61" w:rsidRPr="00E97AFD">
        <w:rPr>
          <w:rFonts w:asciiTheme="minorEastAsia" w:eastAsiaTheme="minorEastAsia" w:hAnsiTheme="minorEastAsia" w:hint="eastAsia"/>
          <w:szCs w:val="21"/>
        </w:rPr>
        <w:t>、</w:t>
      </w:r>
      <w:r w:rsidR="00B95C61" w:rsidRPr="00E97AFD">
        <w:rPr>
          <w:rFonts w:asciiTheme="minorEastAsia" w:eastAsiaTheme="minorEastAsia" w:hAnsiTheme="minorEastAsia"/>
          <w:szCs w:val="21"/>
        </w:rPr>
        <w:t>（</w:t>
      </w:r>
      <w:r w:rsidR="00B95C61" w:rsidRPr="00E97AFD">
        <w:rPr>
          <w:rFonts w:asciiTheme="minorEastAsia" w:eastAsiaTheme="minorEastAsia" w:hAnsiTheme="minorEastAsia" w:hint="eastAsia"/>
          <w:szCs w:val="21"/>
        </w:rPr>
        <w:t>1</w:t>
      </w:r>
      <w:r w:rsidR="00B95C61" w:rsidRPr="00E97AFD">
        <w:rPr>
          <w:rFonts w:asciiTheme="minorEastAsia" w:eastAsiaTheme="minorEastAsia" w:hAnsiTheme="minorEastAsia"/>
          <w:szCs w:val="21"/>
        </w:rPr>
        <w:t>2）</w:t>
      </w:r>
      <w:r w:rsidR="002C7E84" w:rsidRPr="00E97AFD">
        <w:rPr>
          <w:rFonts w:asciiTheme="minorEastAsia" w:eastAsiaTheme="minorEastAsia" w:hAnsiTheme="minorEastAsia" w:hint="eastAsia"/>
          <w:szCs w:val="21"/>
        </w:rPr>
        <w:t>项暂停申购情形且基金管理人决定暂停接受申购时，基金管理人应当根据有关规定在指定</w:t>
      </w:r>
      <w:r w:rsidR="006B018F" w:rsidRPr="00E97AFD">
        <w:rPr>
          <w:rFonts w:asciiTheme="minorEastAsia" w:eastAsiaTheme="minorEastAsia" w:hAnsiTheme="minorEastAsia" w:hint="eastAsia"/>
          <w:szCs w:val="21"/>
        </w:rPr>
        <w:t>媒介</w:t>
      </w:r>
      <w:r w:rsidR="002C7E84" w:rsidRPr="00E97AFD">
        <w:rPr>
          <w:rFonts w:asciiTheme="minorEastAsia" w:eastAsiaTheme="minorEastAsia" w:hAnsiTheme="minorEastAsia" w:hint="eastAsia"/>
          <w:szCs w:val="21"/>
        </w:rPr>
        <w:t>上刊登暂停申购公告。如果投资人的申购申请被拒绝，被拒绝的申购款项本金将退还给投资人。在暂停申购的情况消除时，基金管理人应及时恢复申购业务的办理。</w:t>
      </w:r>
    </w:p>
    <w:p w14:paraId="092FB7C6" w14:textId="77777777" w:rsidR="00417F69" w:rsidRPr="00E97AFD" w:rsidRDefault="00BA4B8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2、</w:t>
      </w:r>
      <w:r w:rsidR="00417F69" w:rsidRPr="00E97AFD">
        <w:rPr>
          <w:rFonts w:asciiTheme="minorEastAsia" w:eastAsiaTheme="minorEastAsia" w:hAnsiTheme="minorEastAsia"/>
          <w:szCs w:val="21"/>
        </w:rPr>
        <w:t>发生下列情形时，基金管理人可暂停接受投资人的赎回申请或延缓支付赎回款项：</w:t>
      </w:r>
    </w:p>
    <w:p w14:paraId="06A9DBC2" w14:textId="77777777" w:rsidR="00580FE0" w:rsidRPr="00E97AFD" w:rsidRDefault="00580FE0"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（1）因不可抗力导致基金管理人不能支付赎回款项。</w:t>
      </w:r>
    </w:p>
    <w:p w14:paraId="3D605720" w14:textId="77777777" w:rsidR="00580FE0" w:rsidRPr="00E97AFD" w:rsidRDefault="00580FE0"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（2）发生基金合同规定的暂停基金资产估值情况时。</w:t>
      </w:r>
    </w:p>
    <w:p w14:paraId="33FB4290" w14:textId="77777777" w:rsidR="00580FE0" w:rsidRPr="00E97AFD" w:rsidRDefault="00580FE0"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（3）本基金投资的证券交易市场临时停止交易。</w:t>
      </w:r>
    </w:p>
    <w:p w14:paraId="49356348" w14:textId="77777777" w:rsidR="00580FE0" w:rsidRPr="00E97AFD" w:rsidRDefault="00580FE0"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（4）连续两个或两个以上开放日发生巨额赎回。</w:t>
      </w:r>
    </w:p>
    <w:p w14:paraId="202E9A40" w14:textId="77777777" w:rsidR="002C7E84" w:rsidRPr="00E97AFD" w:rsidRDefault="00580FE0"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（5）</w:t>
      </w:r>
      <w:r w:rsidR="002C7E84" w:rsidRPr="00E97AFD">
        <w:rPr>
          <w:rFonts w:asciiTheme="minorEastAsia" w:eastAsiaTheme="minorEastAsia" w:hAnsiTheme="minorEastAsia" w:hint="eastAsia"/>
          <w:szCs w:val="21"/>
        </w:rPr>
        <w:t>基金管理人、基金托管人、登记机构、销售机构、支付结算机构等因异常情况导致基金销售支付结算系统、基金登记系统、基金会计系统等无法正常运行。</w:t>
      </w:r>
    </w:p>
    <w:p w14:paraId="36E03B9A" w14:textId="77777777" w:rsidR="002C7E84" w:rsidRPr="00E97AFD" w:rsidRDefault="002C7E84"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（6）本基金的资产组合中的重要部分发生暂停交易或其他重大事件，继续接受赎回可能会影响或损害基金份额持有人利益时。</w:t>
      </w:r>
    </w:p>
    <w:p w14:paraId="535B5F2E" w14:textId="77777777" w:rsidR="00957F2C" w:rsidRPr="00E97AFD" w:rsidRDefault="002C7E84" w:rsidP="00957F2C">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（7）</w:t>
      </w:r>
      <w:r w:rsidR="00957F2C" w:rsidRPr="00E97AFD">
        <w:rPr>
          <w:rFonts w:asciiTheme="minorEastAsia" w:eastAsiaTheme="minorEastAsia" w:hAnsiTheme="minorEastAsia" w:hint="eastAsia"/>
          <w:szCs w:val="21"/>
        </w:rPr>
        <w:t>当影子定价确定的基金资产净值与摊余成本法计算的基金资产净值的负偏离度绝对值连续两个交易日超过0.5%。</w:t>
      </w:r>
    </w:p>
    <w:p w14:paraId="735F588D" w14:textId="77777777" w:rsidR="00B95C61" w:rsidRPr="00E97AFD" w:rsidRDefault="00957F2C" w:rsidP="00957F2C">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w:t>
      </w:r>
      <w:r w:rsidRPr="00E97AFD">
        <w:rPr>
          <w:rFonts w:asciiTheme="minorEastAsia" w:eastAsiaTheme="minorEastAsia" w:hAnsiTheme="minorEastAsia"/>
          <w:szCs w:val="21"/>
        </w:rPr>
        <w:t>8</w:t>
      </w:r>
      <w:r w:rsidRPr="00E97AFD">
        <w:rPr>
          <w:rFonts w:asciiTheme="minorEastAsia" w:eastAsiaTheme="minorEastAsia" w:hAnsiTheme="minorEastAsia" w:hint="eastAsia"/>
          <w:szCs w:val="21"/>
        </w:rPr>
        <w:t>）</w:t>
      </w:r>
      <w:r w:rsidR="00B95C61" w:rsidRPr="00E97AFD">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采取延缓支付赎回款或者暂停接受基金赎回申请的措施。</w:t>
      </w:r>
    </w:p>
    <w:p w14:paraId="2BD50831" w14:textId="77777777" w:rsidR="002C7E84" w:rsidRPr="00E97AFD" w:rsidRDefault="00B95C61" w:rsidP="00957F2C">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（9</w:t>
      </w:r>
      <w:r w:rsidRPr="00E97AFD">
        <w:rPr>
          <w:rFonts w:asciiTheme="minorEastAsia" w:eastAsiaTheme="minorEastAsia" w:hAnsiTheme="minorEastAsia"/>
          <w:szCs w:val="21"/>
        </w:rPr>
        <w:t>）</w:t>
      </w:r>
      <w:r w:rsidR="002C7E84" w:rsidRPr="00E97AFD">
        <w:rPr>
          <w:rFonts w:asciiTheme="minorEastAsia" w:eastAsiaTheme="minorEastAsia" w:hAnsiTheme="minorEastAsia" w:hint="eastAsia"/>
          <w:szCs w:val="21"/>
        </w:rPr>
        <w:t>法律法规规定或中国证监会认定的其他情形。</w:t>
      </w:r>
    </w:p>
    <w:p w14:paraId="26A81A17" w14:textId="77777777" w:rsidR="00BA4B87" w:rsidRPr="00E97AFD" w:rsidRDefault="002C7E84"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发生上述情形且基金管理人决定暂停接受基金份额持有人赎回申请或延缓支付赎回款项时，基金管理人应报中国证监会备案，已确认的赎回申请，基金管理人应足额支付；</w:t>
      </w:r>
      <w:r w:rsidR="00730FD5" w:rsidRPr="00E97AFD">
        <w:rPr>
          <w:rFonts w:asciiTheme="minorEastAsia" w:eastAsiaTheme="minorEastAsia" w:hAnsiTheme="minorEastAsia" w:hint="eastAsia"/>
          <w:szCs w:val="21"/>
        </w:rPr>
        <w:t>如暂时不能足额支付，应将可支付部分按单个账户申请量占申请总量的比例分配给赎回申请人，未支付部分可延期支付</w:t>
      </w:r>
      <w:r w:rsidRPr="00E97AFD">
        <w:rPr>
          <w:rFonts w:asciiTheme="minorEastAsia" w:eastAsiaTheme="minorEastAsia" w:hAnsiTheme="minorEastAsia" w:hint="eastAsia"/>
          <w:szCs w:val="21"/>
        </w:rPr>
        <w:t>。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19FDB97A" w14:textId="77777777" w:rsidR="00957F2C" w:rsidRPr="00E97AFD" w:rsidRDefault="00957F2C" w:rsidP="00957F2C">
      <w:pPr>
        <w:snapToGrid w:val="0"/>
        <w:spacing w:line="360" w:lineRule="auto"/>
        <w:ind w:firstLineChars="200" w:firstLine="420"/>
        <w:rPr>
          <w:rFonts w:asciiTheme="minorEastAsia" w:eastAsiaTheme="minorEastAsia" w:hAnsiTheme="minorEastAsia"/>
          <w:szCs w:val="21"/>
        </w:rPr>
      </w:pPr>
      <w:bookmarkStart w:id="58" w:name="_Toc319688310"/>
      <w:bookmarkStart w:id="59" w:name="_Toc319693434"/>
      <w:r w:rsidRPr="00E97AFD">
        <w:rPr>
          <w:rFonts w:asciiTheme="minorEastAsia" w:eastAsiaTheme="minorEastAsia" w:hAnsiTheme="minorEastAsia" w:hint="eastAsia"/>
          <w:szCs w:val="21"/>
        </w:rPr>
        <w:t>为公平对待不同类别基金份额持有人的合法权益，如本基金单个基金份额持有人在单个开放日申请赎回基金份额超过基金总份额10%的，基金管理人可对其采取延期办理部分赎回</w:t>
      </w:r>
      <w:r w:rsidRPr="00E97AFD">
        <w:rPr>
          <w:rFonts w:asciiTheme="minorEastAsia" w:eastAsiaTheme="minorEastAsia" w:hAnsiTheme="minorEastAsia" w:hint="eastAsia"/>
          <w:szCs w:val="21"/>
        </w:rPr>
        <w:lastRenderedPageBreak/>
        <w:t>申请或者延缓支付赎回款项的措施。</w:t>
      </w:r>
    </w:p>
    <w:p w14:paraId="35C13DFC" w14:textId="77777777" w:rsidR="00BA4B87" w:rsidRPr="00E97AFD" w:rsidRDefault="00BA4B8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3、暂停申购或赎回的公告和重新开放申购或赎回的公告</w:t>
      </w:r>
      <w:bookmarkEnd w:id="58"/>
      <w:bookmarkEnd w:id="59"/>
    </w:p>
    <w:p w14:paraId="5173BD05" w14:textId="1C63D42B" w:rsidR="00916FC5" w:rsidRPr="00E97AFD" w:rsidRDefault="00916FC5"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w:t>
      </w:r>
      <w:r w:rsidRPr="00E97AFD">
        <w:rPr>
          <w:rFonts w:asciiTheme="minorEastAsia" w:eastAsiaTheme="minorEastAsia" w:hAnsiTheme="minorEastAsia"/>
          <w:szCs w:val="21"/>
        </w:rPr>
        <w:t>发生上述暂停申购或赎回情况的，基金管理人</w:t>
      </w:r>
      <w:r w:rsidRPr="00E97AFD">
        <w:rPr>
          <w:rFonts w:asciiTheme="minorEastAsia" w:eastAsiaTheme="minorEastAsia" w:hAnsiTheme="minorEastAsia" w:hint="eastAsia"/>
          <w:szCs w:val="21"/>
        </w:rPr>
        <w:t>应</w:t>
      </w:r>
      <w:r w:rsidRPr="00E97AFD">
        <w:rPr>
          <w:rFonts w:asciiTheme="minorEastAsia" w:eastAsiaTheme="minorEastAsia" w:hAnsiTheme="minorEastAsia"/>
          <w:szCs w:val="21"/>
        </w:rPr>
        <w:t>在规定期限内在指定</w:t>
      </w:r>
      <w:r w:rsidR="006B018F" w:rsidRPr="00E97AFD">
        <w:rPr>
          <w:rFonts w:asciiTheme="minorEastAsia" w:eastAsiaTheme="minorEastAsia" w:hAnsiTheme="minorEastAsia"/>
          <w:szCs w:val="21"/>
        </w:rPr>
        <w:t>媒介</w:t>
      </w:r>
      <w:r w:rsidRPr="00E97AFD">
        <w:rPr>
          <w:rFonts w:asciiTheme="minorEastAsia" w:eastAsiaTheme="minorEastAsia" w:hAnsiTheme="minorEastAsia"/>
          <w:szCs w:val="21"/>
        </w:rPr>
        <w:t>上刊登暂停公告。</w:t>
      </w:r>
    </w:p>
    <w:p w14:paraId="602745CD" w14:textId="3CCF37B5" w:rsidR="00BA4B87" w:rsidRPr="00E97AFD" w:rsidRDefault="00916FC5"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（2）基金管理人可以根据暂停申购或赎回的时间，依照《信息披露办法》的有关规定，最迟于重新开放日在指定</w:t>
      </w:r>
      <w:r w:rsidR="006B018F" w:rsidRPr="00E97AFD">
        <w:rPr>
          <w:rFonts w:asciiTheme="minorEastAsia" w:eastAsiaTheme="minorEastAsia" w:hAnsiTheme="minorEastAsia" w:hint="eastAsia"/>
          <w:szCs w:val="21"/>
        </w:rPr>
        <w:t>媒介</w:t>
      </w:r>
      <w:r w:rsidRPr="00E97AFD">
        <w:rPr>
          <w:rFonts w:asciiTheme="minorEastAsia" w:eastAsiaTheme="minorEastAsia" w:hAnsiTheme="minorEastAsia" w:hint="eastAsia"/>
          <w:szCs w:val="21"/>
        </w:rPr>
        <w:t>上刊登重新开放申购或赎回的公告；也可以根据实际情况在暂停公告中明确重新开放申购或赎回的时间，届时不再另行发布重新开放的公告。</w:t>
      </w:r>
    </w:p>
    <w:p w14:paraId="5DADB345" w14:textId="7498FC88" w:rsidR="00997B5C" w:rsidRPr="00E97AFD" w:rsidRDefault="00960EF9"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（十二）</w:t>
      </w:r>
      <w:r w:rsidR="00997B5C" w:rsidRPr="00E97AFD">
        <w:rPr>
          <w:rFonts w:asciiTheme="minorEastAsia" w:eastAsiaTheme="minorEastAsia" w:hAnsiTheme="minorEastAsia" w:hint="eastAsia"/>
          <w:szCs w:val="21"/>
        </w:rPr>
        <w:t>当技术条件成熟，本基金管理人经与基金托管人协商一致，在不违反法律法规且对基金份额持有人利益无实质不利影响的前提下，可安排本基金的一类或多类基金份额在证券交易所上市交易，或者办理基金份额的转让、过户、质押等业务，届时无须召开基金份额持有人大会审议</w:t>
      </w:r>
      <w:r w:rsidR="006B018F" w:rsidRPr="00E97AFD">
        <w:rPr>
          <w:rFonts w:asciiTheme="minorEastAsia" w:eastAsiaTheme="minorEastAsia" w:hAnsiTheme="minorEastAsia" w:hint="eastAsia"/>
          <w:szCs w:val="21"/>
        </w:rPr>
        <w:t>，但应根据相关法规规定进行信息披露</w:t>
      </w:r>
      <w:r w:rsidR="00997B5C" w:rsidRPr="00E97AFD">
        <w:rPr>
          <w:rFonts w:asciiTheme="minorEastAsia" w:eastAsiaTheme="minorEastAsia" w:hAnsiTheme="minorEastAsia" w:hint="eastAsia"/>
          <w:szCs w:val="21"/>
        </w:rPr>
        <w:t>。</w:t>
      </w:r>
    </w:p>
    <w:p w14:paraId="6BC34A30" w14:textId="77777777" w:rsidR="002C7E84" w:rsidRPr="00E97AFD" w:rsidRDefault="002C7E84" w:rsidP="00966694">
      <w:pPr>
        <w:snapToGrid w:val="0"/>
        <w:spacing w:line="360" w:lineRule="auto"/>
        <w:ind w:firstLineChars="200" w:firstLine="420"/>
        <w:rPr>
          <w:rFonts w:asciiTheme="minorEastAsia" w:eastAsiaTheme="minorEastAsia" w:hAnsiTheme="minorEastAsia"/>
          <w:szCs w:val="21"/>
        </w:rPr>
      </w:pPr>
    </w:p>
    <w:p w14:paraId="3E01F166" w14:textId="77777777" w:rsidR="00C00F5E" w:rsidRPr="00E97AFD" w:rsidRDefault="00C00F5E" w:rsidP="00966694">
      <w:pPr>
        <w:snapToGrid w:val="0"/>
        <w:spacing w:line="360" w:lineRule="auto"/>
        <w:ind w:firstLineChars="200" w:firstLine="420"/>
        <w:rPr>
          <w:rFonts w:asciiTheme="minorEastAsia" w:eastAsiaTheme="minorEastAsia" w:hAnsiTheme="minorEastAsia"/>
          <w:szCs w:val="21"/>
        </w:rPr>
      </w:pPr>
    </w:p>
    <w:p w14:paraId="6B96A780" w14:textId="77777777" w:rsidR="00C00F5E" w:rsidRPr="00E97AFD" w:rsidRDefault="00C00F5E" w:rsidP="00966694">
      <w:pPr>
        <w:snapToGrid w:val="0"/>
        <w:spacing w:line="360" w:lineRule="auto"/>
        <w:ind w:firstLineChars="200" w:firstLine="420"/>
        <w:rPr>
          <w:rFonts w:asciiTheme="minorEastAsia" w:eastAsiaTheme="minorEastAsia" w:hAnsiTheme="minorEastAsia"/>
          <w:szCs w:val="21"/>
        </w:rPr>
      </w:pPr>
    </w:p>
    <w:p w14:paraId="0DA4C45A" w14:textId="77777777" w:rsidR="00C00F5E" w:rsidRPr="00E97AFD" w:rsidRDefault="00C00F5E" w:rsidP="00966694">
      <w:pPr>
        <w:snapToGrid w:val="0"/>
        <w:spacing w:line="360" w:lineRule="auto"/>
        <w:ind w:firstLineChars="200" w:firstLine="420"/>
        <w:rPr>
          <w:rFonts w:asciiTheme="minorEastAsia" w:eastAsiaTheme="minorEastAsia" w:hAnsiTheme="minorEastAsia"/>
          <w:szCs w:val="21"/>
        </w:rPr>
      </w:pPr>
    </w:p>
    <w:p w14:paraId="050D6513" w14:textId="77777777" w:rsidR="00C00F5E" w:rsidRPr="00E97AFD" w:rsidRDefault="00C00F5E" w:rsidP="00966694">
      <w:pPr>
        <w:snapToGrid w:val="0"/>
        <w:spacing w:line="360" w:lineRule="auto"/>
        <w:ind w:firstLineChars="200" w:firstLine="420"/>
        <w:rPr>
          <w:rFonts w:asciiTheme="minorEastAsia" w:eastAsiaTheme="minorEastAsia" w:hAnsiTheme="minorEastAsia"/>
          <w:szCs w:val="21"/>
        </w:rPr>
      </w:pPr>
    </w:p>
    <w:p w14:paraId="6DEB3C1A" w14:textId="77777777" w:rsidR="00C00F5E" w:rsidRPr="00E97AFD" w:rsidRDefault="00C00F5E" w:rsidP="00966694">
      <w:pPr>
        <w:snapToGrid w:val="0"/>
        <w:spacing w:line="360" w:lineRule="auto"/>
        <w:ind w:firstLineChars="200" w:firstLine="420"/>
        <w:rPr>
          <w:rFonts w:asciiTheme="minorEastAsia" w:eastAsiaTheme="minorEastAsia" w:hAnsiTheme="minorEastAsia"/>
          <w:szCs w:val="21"/>
        </w:rPr>
      </w:pPr>
    </w:p>
    <w:p w14:paraId="746DA61B" w14:textId="77777777" w:rsidR="00C00F5E" w:rsidRPr="00E97AFD" w:rsidRDefault="00C00F5E" w:rsidP="00966694">
      <w:pPr>
        <w:snapToGrid w:val="0"/>
        <w:spacing w:line="360" w:lineRule="auto"/>
        <w:ind w:firstLineChars="200" w:firstLine="420"/>
        <w:rPr>
          <w:rFonts w:asciiTheme="minorEastAsia" w:eastAsiaTheme="minorEastAsia" w:hAnsiTheme="minorEastAsia"/>
          <w:szCs w:val="21"/>
        </w:rPr>
      </w:pPr>
    </w:p>
    <w:p w14:paraId="2D8A52F8" w14:textId="77777777" w:rsidR="00C00F5E" w:rsidRPr="00E97AFD" w:rsidRDefault="00C00F5E" w:rsidP="00966694">
      <w:pPr>
        <w:snapToGrid w:val="0"/>
        <w:spacing w:line="360" w:lineRule="auto"/>
        <w:ind w:firstLineChars="200" w:firstLine="420"/>
        <w:rPr>
          <w:rFonts w:asciiTheme="minorEastAsia" w:eastAsiaTheme="minorEastAsia" w:hAnsiTheme="minorEastAsia"/>
          <w:szCs w:val="21"/>
        </w:rPr>
      </w:pPr>
    </w:p>
    <w:p w14:paraId="2E9DC2FF" w14:textId="77777777" w:rsidR="00C00F5E" w:rsidRPr="00E97AFD" w:rsidRDefault="00C00F5E" w:rsidP="00966694">
      <w:pPr>
        <w:snapToGrid w:val="0"/>
        <w:spacing w:line="360" w:lineRule="auto"/>
        <w:ind w:firstLineChars="200" w:firstLine="420"/>
        <w:rPr>
          <w:rFonts w:asciiTheme="minorEastAsia" w:eastAsiaTheme="minorEastAsia" w:hAnsiTheme="minorEastAsia"/>
          <w:szCs w:val="21"/>
        </w:rPr>
      </w:pPr>
    </w:p>
    <w:p w14:paraId="754E6E60" w14:textId="77777777" w:rsidR="0009153F" w:rsidRPr="00E97AFD" w:rsidRDefault="0009153F" w:rsidP="00966694">
      <w:pPr>
        <w:snapToGrid w:val="0"/>
        <w:spacing w:line="360" w:lineRule="auto"/>
        <w:rPr>
          <w:rFonts w:asciiTheme="minorEastAsia" w:eastAsiaTheme="minorEastAsia" w:hAnsiTheme="minorEastAsia"/>
          <w:sz w:val="30"/>
        </w:rPr>
        <w:sectPr w:rsidR="0009153F" w:rsidRPr="00E97AFD" w:rsidSect="008E6011">
          <w:headerReference w:type="default" r:id="rId18"/>
          <w:footerReference w:type="default" r:id="rId19"/>
          <w:pgSz w:w="11906" w:h="16838" w:code="9"/>
          <w:pgMar w:top="1440" w:right="1800" w:bottom="1440" w:left="1800" w:header="720" w:footer="720" w:gutter="0"/>
          <w:pgNumType w:start="1"/>
          <w:cols w:space="720"/>
          <w:docGrid w:type="lines" w:linePitch="312"/>
        </w:sectPr>
      </w:pPr>
    </w:p>
    <w:p w14:paraId="5CED4C7D" w14:textId="77777777" w:rsidR="00BA4B87" w:rsidRPr="00E97AFD" w:rsidRDefault="001A0AE7" w:rsidP="00966694">
      <w:pPr>
        <w:pStyle w:val="1"/>
        <w:snapToGrid w:val="0"/>
        <w:spacing w:beforeLines="0" w:afterLines="0" w:line="360" w:lineRule="auto"/>
        <w:ind w:firstLine="602"/>
        <w:rPr>
          <w:rFonts w:asciiTheme="minorEastAsia" w:eastAsiaTheme="minorEastAsia" w:hAnsiTheme="minorEastAsia"/>
          <w:b/>
          <w:sz w:val="30"/>
        </w:rPr>
      </w:pPr>
      <w:bookmarkStart w:id="60" w:name="_Toc43371980"/>
      <w:r w:rsidRPr="00E97AFD">
        <w:rPr>
          <w:rFonts w:asciiTheme="minorEastAsia" w:eastAsiaTheme="minorEastAsia" w:hAnsiTheme="minorEastAsia" w:hint="eastAsia"/>
          <w:b/>
          <w:sz w:val="30"/>
        </w:rPr>
        <w:lastRenderedPageBreak/>
        <w:t>十</w:t>
      </w:r>
      <w:r w:rsidR="00BA4B87" w:rsidRPr="00E97AFD">
        <w:rPr>
          <w:rFonts w:asciiTheme="minorEastAsia" w:eastAsiaTheme="minorEastAsia" w:hAnsiTheme="minorEastAsia"/>
          <w:b/>
          <w:sz w:val="30"/>
        </w:rPr>
        <w:t>、基金</w:t>
      </w:r>
      <w:r w:rsidR="00850442" w:rsidRPr="00E97AFD">
        <w:rPr>
          <w:rFonts w:asciiTheme="minorEastAsia" w:eastAsiaTheme="minorEastAsia" w:hAnsiTheme="minorEastAsia" w:hint="eastAsia"/>
          <w:b/>
          <w:sz w:val="30"/>
        </w:rPr>
        <w:t>的</w:t>
      </w:r>
      <w:r w:rsidR="00BA4B87" w:rsidRPr="00E97AFD">
        <w:rPr>
          <w:rFonts w:asciiTheme="minorEastAsia" w:eastAsiaTheme="minorEastAsia" w:hAnsiTheme="minorEastAsia"/>
          <w:b/>
          <w:sz w:val="30"/>
        </w:rPr>
        <w:t>转换</w:t>
      </w:r>
      <w:bookmarkEnd w:id="60"/>
    </w:p>
    <w:p w14:paraId="169C3BBE" w14:textId="77777777" w:rsidR="00BA4B87" w:rsidRPr="00E97AFD" w:rsidRDefault="00BA4B87" w:rsidP="00966694">
      <w:pPr>
        <w:pStyle w:val="21"/>
        <w:snapToGrid w:val="0"/>
        <w:spacing w:before="0" w:beforeAutospacing="0" w:after="0" w:afterAutospacing="0"/>
        <w:ind w:firstLineChars="0" w:firstLine="420"/>
        <w:rPr>
          <w:rFonts w:asciiTheme="minorEastAsia" w:eastAsiaTheme="minorEastAsia" w:hAnsiTheme="minorEastAsia"/>
          <w:szCs w:val="21"/>
        </w:rPr>
      </w:pPr>
      <w:bookmarkStart w:id="61" w:name="_Toc327734847"/>
      <w:r w:rsidRPr="00E97AFD">
        <w:rPr>
          <w:rFonts w:asciiTheme="minorEastAsia" w:eastAsiaTheme="minorEastAsia" w:hAnsiTheme="minorEastAsia"/>
          <w:szCs w:val="21"/>
        </w:rPr>
        <w:t>(一)基金转换</w:t>
      </w:r>
      <w:bookmarkEnd w:id="61"/>
      <w:r w:rsidR="00196157" w:rsidRPr="00E97AFD">
        <w:rPr>
          <w:rFonts w:asciiTheme="minorEastAsia" w:eastAsiaTheme="minorEastAsia" w:hAnsiTheme="minorEastAsia" w:hint="eastAsia"/>
          <w:szCs w:val="21"/>
        </w:rPr>
        <w:t>开始日及时间</w:t>
      </w:r>
    </w:p>
    <w:p w14:paraId="02ACA3D2" w14:textId="77777777" w:rsidR="00196157" w:rsidRPr="00E97AFD" w:rsidRDefault="00196157" w:rsidP="00966694">
      <w:pPr>
        <w:pStyle w:val="21"/>
        <w:snapToGrid w:val="0"/>
        <w:spacing w:before="0" w:beforeAutospacing="0" w:after="0" w:afterAutospacing="0"/>
        <w:ind w:firstLineChars="0" w:firstLine="420"/>
        <w:rPr>
          <w:rFonts w:asciiTheme="minorEastAsia" w:eastAsiaTheme="minorEastAsia" w:hAnsiTheme="minorEastAsia"/>
          <w:szCs w:val="21"/>
        </w:rPr>
      </w:pPr>
      <w:r w:rsidRPr="00E97AFD">
        <w:rPr>
          <w:rFonts w:asciiTheme="minorEastAsia" w:eastAsiaTheme="minorEastAsia" w:hAnsiTheme="minorEastAsia" w:hint="eastAsia"/>
          <w:szCs w:val="21"/>
        </w:rPr>
        <w:t>本基金已于2014年7月</w:t>
      </w:r>
      <w:r w:rsidR="00135B31" w:rsidRPr="00E97AFD">
        <w:rPr>
          <w:rFonts w:asciiTheme="minorEastAsia" w:eastAsiaTheme="minorEastAsia" w:hAnsiTheme="minorEastAsia" w:hint="eastAsia"/>
          <w:szCs w:val="21"/>
        </w:rPr>
        <w:t>24</w:t>
      </w:r>
      <w:r w:rsidRPr="00E97AFD">
        <w:rPr>
          <w:rFonts w:asciiTheme="minorEastAsia" w:eastAsiaTheme="minorEastAsia" w:hAnsiTheme="minorEastAsia" w:hint="eastAsia"/>
          <w:szCs w:val="21"/>
        </w:rPr>
        <w:t>日开始办理基金转换业务，具体实施办法参见相关公告。</w:t>
      </w:r>
    </w:p>
    <w:p w14:paraId="341560D1" w14:textId="2C1CEF2F" w:rsidR="00196157" w:rsidRPr="00E97AFD" w:rsidRDefault="00196157" w:rsidP="00966694">
      <w:pPr>
        <w:snapToGrid w:val="0"/>
        <w:spacing w:line="360" w:lineRule="auto"/>
        <w:ind w:firstLine="420"/>
        <w:rPr>
          <w:rFonts w:asciiTheme="minorEastAsia" w:eastAsiaTheme="minorEastAsia" w:hAnsiTheme="minorEastAsia" w:cs="Arial"/>
          <w:szCs w:val="21"/>
        </w:rPr>
      </w:pPr>
      <w:r w:rsidRPr="00E97AFD">
        <w:rPr>
          <w:rFonts w:asciiTheme="minorEastAsia" w:eastAsiaTheme="minorEastAsia" w:hAnsiTheme="minorEastAsia" w:cs="Arial" w:hint="eastAsia"/>
          <w:szCs w:val="21"/>
        </w:rPr>
        <w:t>上海证券交易所和深圳证券交易所同时开放交易的工作日为本基金办理转换业务的开放日（基金管理人根据法律法规或基金合同的规定公告暂停转换时除外）。开放日的具体业务办理时间为上海证券交易所、深圳证券交易所交易日的交易时间。</w:t>
      </w:r>
      <w:r w:rsidRPr="00E97AFD">
        <w:rPr>
          <w:rFonts w:asciiTheme="minorEastAsia" w:eastAsiaTheme="minorEastAsia" w:hAnsiTheme="minorEastAsia" w:hint="eastAsia"/>
          <w:bCs/>
          <w:szCs w:val="21"/>
        </w:rPr>
        <w:t>若出现新的证券交易市场、证券交易所交易时间变更或其他特殊情况</w:t>
      </w:r>
      <w:r w:rsidRPr="00E97AFD">
        <w:rPr>
          <w:rFonts w:asciiTheme="minorEastAsia" w:eastAsiaTheme="minorEastAsia" w:hAnsiTheme="minorEastAsia" w:cs="Arial" w:hint="eastAsia"/>
          <w:szCs w:val="21"/>
        </w:rPr>
        <w:t>，基金管理人将视情况对前述开放日及开放时间进行相应的调整，但应在实施前依照《信息披露办法》的有关规定在指定</w:t>
      </w:r>
      <w:r w:rsidR="006B018F" w:rsidRPr="00E97AFD">
        <w:rPr>
          <w:rFonts w:asciiTheme="minorEastAsia" w:eastAsiaTheme="minorEastAsia" w:hAnsiTheme="minorEastAsia" w:cs="Arial" w:hint="eastAsia"/>
          <w:szCs w:val="21"/>
        </w:rPr>
        <w:t>媒介</w:t>
      </w:r>
      <w:r w:rsidRPr="00E97AFD">
        <w:rPr>
          <w:rFonts w:asciiTheme="minorEastAsia" w:eastAsiaTheme="minorEastAsia" w:hAnsiTheme="minorEastAsia" w:cs="Arial" w:hint="eastAsia"/>
          <w:szCs w:val="21"/>
        </w:rPr>
        <w:t>上公告。</w:t>
      </w:r>
    </w:p>
    <w:p w14:paraId="33300E3E" w14:textId="77777777" w:rsidR="00196157" w:rsidRPr="00E97AFD" w:rsidRDefault="00196157" w:rsidP="00966694">
      <w:pPr>
        <w:pStyle w:val="21"/>
        <w:snapToGrid w:val="0"/>
        <w:spacing w:before="0" w:beforeAutospacing="0" w:after="0" w:afterAutospacing="0"/>
        <w:ind w:firstLineChars="0" w:firstLine="420"/>
        <w:rPr>
          <w:rFonts w:asciiTheme="minorEastAsia" w:eastAsiaTheme="minorEastAsia" w:hAnsiTheme="minorEastAsia"/>
          <w:szCs w:val="21"/>
        </w:rPr>
      </w:pPr>
      <w:r w:rsidRPr="00E97AFD">
        <w:rPr>
          <w:rFonts w:asciiTheme="minorEastAsia" w:eastAsiaTheme="minorEastAsia" w:hAnsiTheme="minorEastAsia" w:cs="Arial" w:hint="eastAsia"/>
          <w:szCs w:val="21"/>
        </w:rPr>
        <w:t>投资者需在转出基金和转入基金均有交易的当日，方可办理基金转换业务。</w:t>
      </w:r>
    </w:p>
    <w:p w14:paraId="559F229C" w14:textId="77777777" w:rsidR="00196157" w:rsidRPr="00E97AFD" w:rsidRDefault="00196157" w:rsidP="00966694">
      <w:pPr>
        <w:pStyle w:val="21"/>
        <w:snapToGrid w:val="0"/>
        <w:spacing w:before="0" w:beforeAutospacing="0" w:after="0" w:afterAutospacing="0"/>
        <w:ind w:firstLineChars="0" w:firstLine="420"/>
        <w:rPr>
          <w:rFonts w:asciiTheme="minorEastAsia" w:eastAsiaTheme="minorEastAsia" w:hAnsiTheme="minorEastAsia"/>
          <w:szCs w:val="21"/>
        </w:rPr>
      </w:pPr>
      <w:r w:rsidRPr="00E97AFD">
        <w:rPr>
          <w:rFonts w:asciiTheme="minorEastAsia" w:eastAsiaTheme="minorEastAsia" w:hAnsiTheme="minorEastAsia"/>
          <w:szCs w:val="21"/>
        </w:rPr>
        <w:t>（</w:t>
      </w:r>
      <w:r w:rsidRPr="00E97AFD">
        <w:rPr>
          <w:rFonts w:asciiTheme="minorEastAsia" w:eastAsiaTheme="minorEastAsia" w:hAnsiTheme="minorEastAsia" w:hint="eastAsia"/>
          <w:szCs w:val="21"/>
        </w:rPr>
        <w:t>二</w:t>
      </w:r>
      <w:r w:rsidRPr="00E97AFD">
        <w:rPr>
          <w:rFonts w:asciiTheme="minorEastAsia" w:eastAsiaTheme="minorEastAsia" w:hAnsiTheme="minorEastAsia"/>
          <w:szCs w:val="21"/>
        </w:rPr>
        <w:t>）</w:t>
      </w:r>
      <w:r w:rsidRPr="00E97AFD">
        <w:rPr>
          <w:rFonts w:asciiTheme="minorEastAsia" w:eastAsiaTheme="minorEastAsia" w:hAnsiTheme="minorEastAsia" w:hint="eastAsia"/>
          <w:szCs w:val="21"/>
        </w:rPr>
        <w:t>基金转换的原则</w:t>
      </w:r>
    </w:p>
    <w:p w14:paraId="54FF9C74" w14:textId="77777777" w:rsidR="00196157" w:rsidRPr="00E97AFD" w:rsidRDefault="00C00F5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w:t>
      </w:r>
      <w:r w:rsidR="00196157" w:rsidRPr="00E97AFD">
        <w:rPr>
          <w:rFonts w:asciiTheme="minorEastAsia" w:eastAsiaTheme="minorEastAsia" w:hAnsiTheme="minorEastAsia" w:hint="eastAsia"/>
          <w:szCs w:val="21"/>
        </w:rPr>
        <w:t>基金转换只能在同一销售机构进行。转换的两只基金必须都是该销售机构销售的同一基金管理人管理的、在同一注册登记机构注册登记的基金。</w:t>
      </w:r>
    </w:p>
    <w:p w14:paraId="6D21E98D" w14:textId="77777777" w:rsidR="00196157" w:rsidRPr="00E97AFD" w:rsidRDefault="00C00F5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w:t>
      </w:r>
      <w:r w:rsidR="00196157" w:rsidRPr="00E97AFD">
        <w:rPr>
          <w:rFonts w:asciiTheme="minorEastAsia" w:eastAsiaTheme="minorEastAsia" w:hAnsiTheme="minorEastAsia" w:hint="eastAsia"/>
          <w:szCs w:val="21"/>
        </w:rPr>
        <w:t>基金转换以份额为单位进行申请。投资者可以发起多次基金转换业务，基金转换费用按每笔申请单独计算。转换费用以人民币元为单位，计算结果按照四舍五入方法，保留小数点后两位。</w:t>
      </w:r>
    </w:p>
    <w:p w14:paraId="4909B724" w14:textId="77777777" w:rsidR="00196157" w:rsidRPr="00E97AFD" w:rsidRDefault="00C00F5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3、</w:t>
      </w:r>
      <w:r w:rsidR="00196157" w:rsidRPr="00E97AFD">
        <w:rPr>
          <w:rFonts w:asciiTheme="minorEastAsia" w:eastAsiaTheme="minorEastAsia" w:hAnsiTheme="minorEastAsia" w:hint="eastAsia"/>
          <w:szCs w:val="21"/>
        </w:rPr>
        <w:t>基金转换采取未知价法，即基金的转换价格以转换申请受理当日各转出、转入基金的份额净值为基准进行计算。</w:t>
      </w:r>
    </w:p>
    <w:p w14:paraId="14C3AFBB" w14:textId="77777777" w:rsidR="00196157" w:rsidRPr="00E97AFD" w:rsidRDefault="00C00F5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4、</w:t>
      </w:r>
      <w:r w:rsidR="00196157" w:rsidRPr="00E97AFD">
        <w:rPr>
          <w:rFonts w:asciiTheme="minorEastAsia" w:eastAsiaTheme="minorEastAsia" w:hAnsiTheme="minorEastAsia" w:hint="eastAsia"/>
          <w:szCs w:val="21"/>
        </w:rPr>
        <w:t>基金转换后，转入的基金份额的持有期将自转入的基金份额被确认之日起重新开始计算。</w:t>
      </w:r>
    </w:p>
    <w:p w14:paraId="32394FA2" w14:textId="77777777" w:rsidR="00196157" w:rsidRPr="00E97AFD" w:rsidRDefault="00C00F5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5、</w:t>
      </w:r>
      <w:r w:rsidR="00196157" w:rsidRPr="00E97AFD">
        <w:rPr>
          <w:rFonts w:asciiTheme="minorEastAsia" w:eastAsiaTheme="minorEastAsia" w:hAnsiTheme="minorEastAsia" w:hint="eastAsia"/>
          <w:szCs w:val="21"/>
        </w:rPr>
        <w:t>投资者办理基金转换业务时，转出方的基金必须处于可赎回状态，转入方的基金必须处于可申购状态。</w:t>
      </w:r>
    </w:p>
    <w:p w14:paraId="5BB0C441" w14:textId="77777777" w:rsidR="00196157" w:rsidRPr="00E97AFD" w:rsidRDefault="00C00F5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6、</w:t>
      </w:r>
      <w:r w:rsidR="00196157" w:rsidRPr="00E97AFD">
        <w:rPr>
          <w:rFonts w:asciiTheme="minorEastAsia" w:eastAsiaTheme="minorEastAsia" w:hAnsiTheme="minorEastAsia" w:hint="eastAsia"/>
          <w:szCs w:val="21"/>
        </w:rPr>
        <w:t>转换业务遵循“先进先出”的业务规则，即份额注册日期在前的先转换出，份额注册日期在后的后转换出，如果转换申请当日，同时有赎回申请的情况下，则遵循先赎回后转换的处理原则。</w:t>
      </w:r>
    </w:p>
    <w:p w14:paraId="2765D99E" w14:textId="77777777" w:rsidR="00196157" w:rsidRPr="00E97AFD" w:rsidRDefault="00C00F5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7、</w:t>
      </w:r>
      <w:r w:rsidR="00196157" w:rsidRPr="00E97AFD">
        <w:rPr>
          <w:rFonts w:asciiTheme="minorEastAsia" w:eastAsiaTheme="minorEastAsia" w:hAnsiTheme="minorEastAsia" w:hint="eastAsia"/>
          <w:szCs w:val="21"/>
        </w:rPr>
        <w:t>转入本基金的份额计算结果保留到小数点后两位，小数点后两位以后的部分四舍五入，由此误差产生的损失由基金财产承担，产生的收益归基金财产所有。</w:t>
      </w:r>
    </w:p>
    <w:p w14:paraId="095A3A60" w14:textId="77777777"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（三）基金转换的程序</w:t>
      </w:r>
    </w:p>
    <w:p w14:paraId="657E1C49" w14:textId="77777777"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w:t>
      </w:r>
      <w:r w:rsidR="00C00F5E" w:rsidRPr="00E97AFD">
        <w:rPr>
          <w:rFonts w:asciiTheme="minorEastAsia" w:eastAsiaTheme="minorEastAsia" w:hAnsiTheme="minorEastAsia" w:hint="eastAsia"/>
          <w:szCs w:val="21"/>
        </w:rPr>
        <w:t>、</w:t>
      </w:r>
      <w:r w:rsidRPr="00E97AFD">
        <w:rPr>
          <w:rFonts w:asciiTheme="minorEastAsia" w:eastAsiaTheme="minorEastAsia" w:hAnsiTheme="minorEastAsia" w:hint="eastAsia"/>
          <w:szCs w:val="21"/>
        </w:rPr>
        <w:t>基金转换的申请方式</w:t>
      </w:r>
    </w:p>
    <w:p w14:paraId="32100B31" w14:textId="77777777"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基金投资者必须根据基金管理人和基金销售机构规定的手续，在开放日的业务办理时间提出转换的申请。</w:t>
      </w:r>
    </w:p>
    <w:p w14:paraId="2C8A1525" w14:textId="77777777"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提交基金转换申请时，账户中必须有足够可用的转出基金份额余额。</w:t>
      </w:r>
    </w:p>
    <w:p w14:paraId="4859E4B6" w14:textId="77777777"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w:t>
      </w:r>
      <w:r w:rsidR="00C00F5E" w:rsidRPr="00E97AFD">
        <w:rPr>
          <w:rFonts w:asciiTheme="minorEastAsia" w:eastAsiaTheme="minorEastAsia" w:hAnsiTheme="minorEastAsia" w:hint="eastAsia"/>
          <w:szCs w:val="21"/>
        </w:rPr>
        <w:t>、</w:t>
      </w:r>
      <w:r w:rsidRPr="00E97AFD">
        <w:rPr>
          <w:rStyle w:val="da"/>
          <w:rFonts w:asciiTheme="minorEastAsia" w:eastAsiaTheme="minorEastAsia" w:hAnsiTheme="minorEastAsia" w:hint="eastAsia"/>
          <w:szCs w:val="21"/>
        </w:rPr>
        <w:t>基金转换申请的确认</w:t>
      </w:r>
    </w:p>
    <w:p w14:paraId="3BA803C4" w14:textId="77777777"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基金管理人应以交易时间结束前受理有效基金转换申请的当天作为基金转换的申请日</w:t>
      </w:r>
      <w:r w:rsidRPr="00E97AFD">
        <w:rPr>
          <w:rFonts w:asciiTheme="minorEastAsia" w:eastAsiaTheme="minorEastAsia" w:hAnsiTheme="minorEastAsia"/>
          <w:szCs w:val="21"/>
        </w:rPr>
        <w:t>(T</w:t>
      </w:r>
      <w:r w:rsidRPr="00E97AFD">
        <w:rPr>
          <w:rFonts w:asciiTheme="minorEastAsia" w:eastAsiaTheme="minorEastAsia" w:hAnsiTheme="minorEastAsia" w:hint="eastAsia"/>
          <w:szCs w:val="21"/>
        </w:rPr>
        <w:t>日</w:t>
      </w:r>
      <w:r w:rsidRPr="00E97AFD">
        <w:rPr>
          <w:rFonts w:asciiTheme="minorEastAsia" w:eastAsiaTheme="minorEastAsia" w:hAnsiTheme="minorEastAsia"/>
          <w:szCs w:val="21"/>
        </w:rPr>
        <w:t>)</w:t>
      </w:r>
      <w:r w:rsidRPr="00E97AFD">
        <w:rPr>
          <w:rFonts w:asciiTheme="minorEastAsia" w:eastAsiaTheme="minorEastAsia" w:hAnsiTheme="minorEastAsia" w:hint="eastAsia"/>
          <w:szCs w:val="21"/>
        </w:rPr>
        <w:t>，在正常情况下，本基金注册登记机构在</w:t>
      </w:r>
      <w:r w:rsidRPr="00E97AFD">
        <w:rPr>
          <w:rFonts w:asciiTheme="minorEastAsia" w:eastAsiaTheme="minorEastAsia" w:hAnsiTheme="minorEastAsia"/>
          <w:szCs w:val="21"/>
        </w:rPr>
        <w:t>T+1</w:t>
      </w:r>
      <w:r w:rsidRPr="00E97AFD">
        <w:rPr>
          <w:rFonts w:asciiTheme="minorEastAsia" w:eastAsiaTheme="minorEastAsia" w:hAnsiTheme="minorEastAsia" w:hint="eastAsia"/>
          <w:szCs w:val="21"/>
        </w:rPr>
        <w:t>日前</w:t>
      </w:r>
      <w:r w:rsidRPr="00E97AFD">
        <w:rPr>
          <w:rFonts w:asciiTheme="minorEastAsia" w:eastAsiaTheme="minorEastAsia" w:hAnsiTheme="minorEastAsia"/>
          <w:szCs w:val="21"/>
        </w:rPr>
        <w:t>(</w:t>
      </w:r>
      <w:r w:rsidRPr="00E97AFD">
        <w:rPr>
          <w:rFonts w:asciiTheme="minorEastAsia" w:eastAsiaTheme="minorEastAsia" w:hAnsiTheme="minorEastAsia" w:hint="eastAsia"/>
          <w:szCs w:val="21"/>
        </w:rPr>
        <w:t>含</w:t>
      </w:r>
      <w:r w:rsidRPr="00E97AFD">
        <w:rPr>
          <w:rFonts w:asciiTheme="minorEastAsia" w:eastAsiaTheme="minorEastAsia" w:hAnsiTheme="minorEastAsia"/>
          <w:szCs w:val="21"/>
        </w:rPr>
        <w:t>T+1</w:t>
      </w:r>
      <w:r w:rsidRPr="00E97AFD">
        <w:rPr>
          <w:rFonts w:asciiTheme="minorEastAsia" w:eastAsiaTheme="minorEastAsia" w:hAnsiTheme="minorEastAsia" w:hint="eastAsia"/>
          <w:szCs w:val="21"/>
        </w:rPr>
        <w:t>日</w:t>
      </w:r>
      <w:r w:rsidRPr="00E97AFD">
        <w:rPr>
          <w:rFonts w:asciiTheme="minorEastAsia" w:eastAsiaTheme="minorEastAsia" w:hAnsiTheme="minorEastAsia"/>
          <w:szCs w:val="21"/>
        </w:rPr>
        <w:t>)</w:t>
      </w:r>
      <w:r w:rsidRPr="00E97AFD">
        <w:rPr>
          <w:rFonts w:asciiTheme="minorEastAsia" w:eastAsiaTheme="minorEastAsia" w:hAnsiTheme="minorEastAsia" w:hint="eastAsia"/>
          <w:szCs w:val="21"/>
        </w:rPr>
        <w:t>对该交易的有效性进行</w:t>
      </w:r>
      <w:r w:rsidRPr="00E97AFD">
        <w:rPr>
          <w:rFonts w:asciiTheme="minorEastAsia" w:eastAsiaTheme="minorEastAsia" w:hAnsiTheme="minorEastAsia" w:hint="eastAsia"/>
          <w:szCs w:val="21"/>
        </w:rPr>
        <w:lastRenderedPageBreak/>
        <w:t>确认。</w:t>
      </w:r>
      <w:r w:rsidRPr="00E97AFD">
        <w:rPr>
          <w:rFonts w:asciiTheme="minorEastAsia" w:eastAsiaTheme="minorEastAsia" w:hAnsiTheme="minorEastAsia"/>
          <w:szCs w:val="21"/>
        </w:rPr>
        <w:t>T</w:t>
      </w:r>
      <w:r w:rsidRPr="00E97AFD">
        <w:rPr>
          <w:rFonts w:asciiTheme="minorEastAsia" w:eastAsiaTheme="minorEastAsia" w:hAnsiTheme="minorEastAsia" w:hint="eastAsia"/>
          <w:szCs w:val="21"/>
        </w:rPr>
        <w:t>日提交的有效申请，投资人应在</w:t>
      </w:r>
      <w:r w:rsidRPr="00E97AFD">
        <w:rPr>
          <w:rFonts w:asciiTheme="minorEastAsia" w:eastAsiaTheme="minorEastAsia" w:hAnsiTheme="minorEastAsia"/>
          <w:szCs w:val="21"/>
        </w:rPr>
        <w:t>T+2</w:t>
      </w:r>
      <w:r w:rsidRPr="00E97AFD">
        <w:rPr>
          <w:rFonts w:asciiTheme="minorEastAsia" w:eastAsiaTheme="minorEastAsia" w:hAnsiTheme="minorEastAsia" w:hint="eastAsia"/>
          <w:szCs w:val="21"/>
        </w:rPr>
        <w:t>日后</w:t>
      </w:r>
      <w:r w:rsidRPr="00E97AFD">
        <w:rPr>
          <w:rFonts w:asciiTheme="minorEastAsia" w:eastAsiaTheme="minorEastAsia" w:hAnsiTheme="minorEastAsia"/>
          <w:szCs w:val="21"/>
        </w:rPr>
        <w:t>(</w:t>
      </w:r>
      <w:r w:rsidRPr="00E97AFD">
        <w:rPr>
          <w:rFonts w:asciiTheme="minorEastAsia" w:eastAsiaTheme="minorEastAsia" w:hAnsiTheme="minorEastAsia" w:hint="eastAsia"/>
          <w:szCs w:val="21"/>
        </w:rPr>
        <w:t>包括该日</w:t>
      </w:r>
      <w:r w:rsidRPr="00E97AFD">
        <w:rPr>
          <w:rFonts w:asciiTheme="minorEastAsia" w:eastAsiaTheme="minorEastAsia" w:hAnsiTheme="minorEastAsia"/>
          <w:szCs w:val="21"/>
        </w:rPr>
        <w:t>)</w:t>
      </w:r>
      <w:r w:rsidRPr="00E97AFD">
        <w:rPr>
          <w:rFonts w:asciiTheme="minorEastAsia" w:eastAsiaTheme="minorEastAsia" w:hAnsiTheme="minorEastAsia" w:hint="eastAsia"/>
          <w:szCs w:val="21"/>
        </w:rPr>
        <w:t>到销售网点柜台或以销售机构规定的其他方式查询申请的确认情况。</w:t>
      </w:r>
    </w:p>
    <w:p w14:paraId="37A55464" w14:textId="77777777"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（四）基金转换的数额限制</w:t>
      </w:r>
    </w:p>
    <w:p w14:paraId="5CA3402A" w14:textId="77777777"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基金份额持有人可将其全部或部分基金份额转换成另一只基金，本基金每类基金份额单笔转出申请不得少于1份（</w:t>
      </w:r>
      <w:r w:rsidR="00931084" w:rsidRPr="00E97AFD">
        <w:rPr>
          <w:rFonts w:asciiTheme="minorEastAsia" w:eastAsiaTheme="minorEastAsia" w:hAnsiTheme="minorEastAsia" w:hint="eastAsia"/>
          <w:szCs w:val="21"/>
        </w:rPr>
        <w:t>如该账户在该销售机构托管的该类基金余额不足</w:t>
      </w:r>
      <w:r w:rsidRPr="00E97AFD">
        <w:rPr>
          <w:rFonts w:asciiTheme="minorEastAsia" w:eastAsiaTheme="minorEastAsia" w:hAnsiTheme="minorEastAsia" w:hint="eastAsia"/>
          <w:szCs w:val="21"/>
        </w:rPr>
        <w:t>1份，则必须一次性转出该类基金全部份额）；若某笔转换导致投资者在</w:t>
      </w:r>
      <w:r w:rsidR="00351D13" w:rsidRPr="00E97AFD">
        <w:rPr>
          <w:rFonts w:asciiTheme="minorEastAsia" w:eastAsiaTheme="minorEastAsia" w:hAnsiTheme="minorEastAsia" w:hint="eastAsia"/>
          <w:szCs w:val="21"/>
        </w:rPr>
        <w:t>该</w:t>
      </w:r>
      <w:r w:rsidRPr="00E97AFD">
        <w:rPr>
          <w:rFonts w:asciiTheme="minorEastAsia" w:eastAsiaTheme="minorEastAsia" w:hAnsiTheme="minorEastAsia" w:hint="eastAsia"/>
          <w:szCs w:val="21"/>
        </w:rPr>
        <w:t>销售机构托管的该基金余额不足1份时，基金管理人有权将投资者在该销售机构托管的该类基金剩余份额一次性全部赎回。</w:t>
      </w:r>
    </w:p>
    <w:p w14:paraId="7DE1822A" w14:textId="77777777"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由本公司旗下其它开放式基金转换到本基金B类基金份额时，单笔转换金额不得少于500万元。</w:t>
      </w:r>
    </w:p>
    <w:p w14:paraId="4F4B8F93" w14:textId="77777777"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（五）基金转换费率</w:t>
      </w:r>
    </w:p>
    <w:p w14:paraId="20CFE03B" w14:textId="77777777"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基金转换费由基金份额持有人承担，由转出基金赎回费用及基金申购补差费用构成，其中赎回费用按照</w:t>
      </w:r>
      <w:r w:rsidR="00931084" w:rsidRPr="00E97AFD">
        <w:rPr>
          <w:rFonts w:asciiTheme="minorEastAsia" w:eastAsiaTheme="minorEastAsia" w:hAnsiTheme="minorEastAsia" w:hint="eastAsia"/>
          <w:szCs w:val="21"/>
        </w:rPr>
        <w:t>各</w:t>
      </w:r>
      <w:r w:rsidR="00931084" w:rsidRPr="00E97AFD">
        <w:rPr>
          <w:rFonts w:asciiTheme="minorEastAsia" w:eastAsiaTheme="minorEastAsia" w:hAnsiTheme="minorEastAsia"/>
          <w:szCs w:val="21"/>
        </w:rPr>
        <w:t>基金的</w:t>
      </w:r>
      <w:r w:rsidRPr="00E97AFD">
        <w:rPr>
          <w:rFonts w:asciiTheme="minorEastAsia" w:eastAsiaTheme="minorEastAsia" w:hAnsiTheme="minorEastAsia" w:hint="eastAsia"/>
          <w:szCs w:val="21"/>
        </w:rPr>
        <w:t>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14:paraId="61DA0B80" w14:textId="77777777" w:rsidR="00196157" w:rsidRPr="00E97AFD" w:rsidRDefault="0018635C"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14:paraId="04F82610" w14:textId="77777777"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（六）基金转换份额的计算方式</w:t>
      </w:r>
    </w:p>
    <w:p w14:paraId="3ED8F141" w14:textId="77777777"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计算公式：</w:t>
      </w:r>
    </w:p>
    <w:p w14:paraId="23AC225B" w14:textId="77777777"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A=［B×C×(1-D)/(1+G)+F］/E</w:t>
      </w:r>
    </w:p>
    <w:p w14:paraId="1DAECB70" w14:textId="77777777"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H=B×C×D</w:t>
      </w:r>
    </w:p>
    <w:p w14:paraId="55BF3B03" w14:textId="77777777"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J=[B×C×(1-D)/(1+G)]×G</w:t>
      </w:r>
    </w:p>
    <w:p w14:paraId="2447CC31" w14:textId="0244D9EF"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其中，A为转入的基金份额；B为转出的基金份额；C为转换申请当日转出基金的基金份额净值；D为转出基金的对应赎回费率；E为转换申请当日转入基金的基金份额净值；</w:t>
      </w:r>
      <w:r w:rsidR="00085B3A" w:rsidRPr="00E97AFD">
        <w:rPr>
          <w:rFonts w:asciiTheme="minorEastAsia" w:eastAsiaTheme="minorEastAsia" w:hAnsiTheme="minorEastAsia" w:hint="eastAsia"/>
          <w:szCs w:val="21"/>
        </w:rPr>
        <w:t>F为货币市场基金全部转出时注册登记机构已支付的未付收益</w:t>
      </w:r>
      <w:r w:rsidRPr="00E97AFD">
        <w:rPr>
          <w:rFonts w:asciiTheme="minorEastAsia" w:eastAsiaTheme="minorEastAsia" w:hAnsiTheme="minorEastAsia" w:hint="eastAsia"/>
          <w:szCs w:val="21"/>
        </w:rPr>
        <w:t>（仅限转出基金为易方达货币市场基金、易方达天天理财货币市场基金、易方达财富快线货币市场基金、易方达天天增利货币市场基金</w:t>
      </w:r>
      <w:r w:rsidR="00096E36" w:rsidRPr="00E97AFD">
        <w:rPr>
          <w:rFonts w:asciiTheme="minorEastAsia" w:eastAsiaTheme="minorEastAsia" w:hAnsiTheme="minorEastAsia" w:hint="eastAsia"/>
          <w:szCs w:val="21"/>
        </w:rPr>
        <w:t>、</w:t>
      </w:r>
      <w:r w:rsidR="001A6C69" w:rsidRPr="00E97AFD">
        <w:rPr>
          <w:rFonts w:asciiTheme="minorEastAsia" w:eastAsiaTheme="minorEastAsia" w:hAnsiTheme="minorEastAsia" w:hint="eastAsia"/>
          <w:szCs w:val="21"/>
        </w:rPr>
        <w:t>易方达龙宝货币市场基金</w:t>
      </w:r>
      <w:r w:rsidR="00096E36" w:rsidRPr="00E97AFD">
        <w:rPr>
          <w:rFonts w:asciiTheme="minorEastAsia" w:eastAsiaTheme="minorEastAsia" w:hAnsiTheme="minorEastAsia" w:hint="eastAsia"/>
          <w:szCs w:val="21"/>
        </w:rPr>
        <w:t>、</w:t>
      </w:r>
      <w:r w:rsidR="00351D13" w:rsidRPr="00E97AFD">
        <w:rPr>
          <w:rFonts w:asciiTheme="minorEastAsia" w:eastAsiaTheme="minorEastAsia" w:hAnsiTheme="minorEastAsia" w:hint="eastAsia"/>
          <w:szCs w:val="21"/>
        </w:rPr>
        <w:t>易方达增金宝货币市场基金、易方达现金增利货币市场基金、</w:t>
      </w:r>
      <w:r w:rsidR="00351D13" w:rsidRPr="00E97AFD">
        <w:rPr>
          <w:rFonts w:asciiTheme="minorEastAsia" w:eastAsiaTheme="minorEastAsia" w:hAnsiTheme="minorEastAsia"/>
          <w:szCs w:val="21"/>
        </w:rPr>
        <w:t>易方达天天发货币市场基金</w:t>
      </w:r>
      <w:r w:rsidR="00600405" w:rsidRPr="00E97AFD">
        <w:rPr>
          <w:rFonts w:asciiTheme="minorEastAsia" w:eastAsiaTheme="minorEastAsia" w:hAnsiTheme="minorEastAsia" w:hint="eastAsia"/>
          <w:szCs w:val="21"/>
        </w:rPr>
        <w:t>和易方达易理财货币市场基金</w:t>
      </w:r>
      <w:r w:rsidRPr="00E97AFD">
        <w:rPr>
          <w:rFonts w:asciiTheme="minorEastAsia" w:eastAsiaTheme="minorEastAsia" w:hAnsiTheme="minorEastAsia" w:hint="eastAsia"/>
          <w:szCs w:val="21"/>
        </w:rPr>
        <w:t>）或者短期理财基金转出时对应的累计未付收益（转出基金为易方达月月利理财债券型基金</w:t>
      </w:r>
      <w:r w:rsidR="00931084" w:rsidRPr="00E97AFD">
        <w:rPr>
          <w:rFonts w:asciiTheme="minorEastAsia" w:eastAsiaTheme="minorEastAsia" w:hAnsiTheme="minorEastAsia" w:hint="eastAsia"/>
          <w:szCs w:val="21"/>
        </w:rPr>
        <w:t>和</w:t>
      </w:r>
      <w:r w:rsidR="00351D13" w:rsidRPr="00E97AFD">
        <w:rPr>
          <w:rFonts w:asciiTheme="minorEastAsia" w:eastAsiaTheme="minorEastAsia" w:hAnsiTheme="minorEastAsia"/>
          <w:szCs w:val="21"/>
        </w:rPr>
        <w:t>易方达掌柜季季盈</w:t>
      </w:r>
      <w:r w:rsidR="00351D13" w:rsidRPr="00E97AFD">
        <w:rPr>
          <w:rFonts w:asciiTheme="minorEastAsia" w:eastAsiaTheme="minorEastAsia" w:hAnsiTheme="minorEastAsia" w:hint="eastAsia"/>
          <w:szCs w:val="21"/>
        </w:rPr>
        <w:t>理财债券型基金</w:t>
      </w:r>
      <w:r w:rsidRPr="00E97AFD">
        <w:rPr>
          <w:rFonts w:asciiTheme="minorEastAsia" w:eastAsiaTheme="minorEastAsia" w:hAnsiTheme="minorEastAsia" w:hint="eastAsia"/>
          <w:szCs w:val="21"/>
        </w:rPr>
        <w:t>）；G为对应的申购补差费率；H为转出基金赎回费；J为申购补差费。</w:t>
      </w:r>
    </w:p>
    <w:p w14:paraId="71712F11" w14:textId="77777777" w:rsidR="00085B3A" w:rsidRPr="00E97AFD" w:rsidRDefault="00085B3A"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w:t>
      </w:r>
      <w:r w:rsidRPr="00E97AFD">
        <w:rPr>
          <w:rFonts w:asciiTheme="minorEastAsia" w:eastAsiaTheme="minorEastAsia" w:hAnsiTheme="minorEastAsia" w:hint="eastAsia"/>
          <w:szCs w:val="21"/>
        </w:rPr>
        <w:lastRenderedPageBreak/>
        <w:t>付收益为负，基金份额对应的未付收益与转换转出份额对应的款项一并划转到转换转入的基金。</w:t>
      </w:r>
    </w:p>
    <w:p w14:paraId="1E279304" w14:textId="77777777"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说明：</w:t>
      </w:r>
    </w:p>
    <w:p w14:paraId="6F3FD365" w14:textId="77777777"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（1）基金转换费用由转出基金赎回费用及基金申购补差费用两部分构成。</w:t>
      </w:r>
    </w:p>
    <w:p w14:paraId="7E9DCCD0" w14:textId="77777777"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转入基金时，从申购费用低的基金向申购费用高的基金转换时，每次收取申购补差费用；从申购费用高的基金向申购费用低的基金转换时，不收取申购补差费用（注：对通过直销中心申购实施差别申购费率的特定投资群体基金份额的申购费，以除通过直销中心申购的特定投资群体之外的其他投资者申购费为比较标准）。申购补差费用按照转换金额对应的转出基金与转入基金的申购费率差额进行补差，具体收取情况视每次转换时两只基金的申购费率的差异情况而定。</w:t>
      </w:r>
    </w:p>
    <w:p w14:paraId="06C742F9" w14:textId="77777777"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（3）转出基金时，如涉及的转出基金有赎回费用，收取该基金的赎回费用。收取的赎回费按照</w:t>
      </w:r>
      <w:r w:rsidR="00351D13" w:rsidRPr="00E97AFD">
        <w:rPr>
          <w:rFonts w:asciiTheme="minorEastAsia" w:eastAsiaTheme="minorEastAsia" w:hAnsiTheme="minorEastAsia" w:hint="eastAsia"/>
          <w:szCs w:val="21"/>
        </w:rPr>
        <w:t>各基金</w:t>
      </w:r>
      <w:r w:rsidR="00351D13" w:rsidRPr="00E97AFD">
        <w:rPr>
          <w:rFonts w:asciiTheme="minorEastAsia" w:eastAsiaTheme="minorEastAsia" w:hAnsiTheme="minorEastAsia"/>
          <w:szCs w:val="21"/>
        </w:rPr>
        <w:t>的</w:t>
      </w:r>
      <w:r w:rsidRPr="00E97AFD">
        <w:rPr>
          <w:rFonts w:asciiTheme="minorEastAsia" w:eastAsiaTheme="minorEastAsia" w:hAnsiTheme="minorEastAsia" w:hint="eastAsia"/>
          <w:szCs w:val="21"/>
        </w:rPr>
        <w:t>基金合同、更新的招募说明书及最新的相关公告约定的比例归入基金财产，其余部分用于支付注册登记费等相关手续费。</w:t>
      </w:r>
    </w:p>
    <w:p w14:paraId="2561043B" w14:textId="77777777"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（4）投资者可以发起多次基金转换业务，基金转换费用按每笔申请单独计算。转换费用以人民币元为单位，计算结果按照四舍五入方法，保留小数点后两位。</w:t>
      </w:r>
    </w:p>
    <w:p w14:paraId="15EC00A3" w14:textId="77777777"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例：假设某持有人（非特定投资群体）持有本基金A类基金份额10,000份，持有100天，现欲转换为易方达策略成长二号混合型证券投资基金；假设转出基金T日的基金份额净值为1.00元，转入基金易方达策略成长二号混合型证券投资基金T日的基金份额净值为1.020元，则转出基金的赎回费率为0，申购补差费率为2.00%。转换份额计算如下：</w:t>
      </w:r>
    </w:p>
    <w:p w14:paraId="19E11F58" w14:textId="77777777"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转换金额=转出基金申请份额×转出基金份额净值=10,000×1.00=10,000.00元</w:t>
      </w:r>
    </w:p>
    <w:p w14:paraId="6C7C3A4C" w14:textId="77777777"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转出基金赎回费=转换金额×转出基金赎回费率=10,000.00×0.00=0.00元</w:t>
      </w:r>
    </w:p>
    <w:p w14:paraId="74D572D0" w14:textId="77777777"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申购补差费=（转换金额-转出基金赎回费）×申购补差费率÷（1＋申购补差费率）=（10,000.00-0.00）×2.0%÷（1+2.0%）=196.08元</w:t>
      </w:r>
    </w:p>
    <w:p w14:paraId="3BA2837C" w14:textId="77777777"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转换费=转出基金赎回费+申购补差费=0.00+196.08=196.08元</w:t>
      </w:r>
    </w:p>
    <w:p w14:paraId="649AF181" w14:textId="77777777"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转入金额=转换金额-转换费=10,000.00-196.08=9803.92元</w:t>
      </w:r>
    </w:p>
    <w:p w14:paraId="272FCA51" w14:textId="77777777"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转入份额=转入金额÷转入基金份额净值=9803.92÷1.020=9611.69份</w:t>
      </w:r>
    </w:p>
    <w:p w14:paraId="06613245" w14:textId="2EA4E8E0" w:rsidR="0027563B" w:rsidRPr="00E97AFD" w:rsidRDefault="0027563B" w:rsidP="0027563B">
      <w:pPr>
        <w:adjustRightInd w:val="0"/>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注：本基金转出至易方达平稳增长混合、易方达策略成长混合、易方达上证</w:t>
      </w:r>
      <w:r w:rsidRPr="00E97AFD">
        <w:rPr>
          <w:rFonts w:asciiTheme="minorEastAsia" w:eastAsiaTheme="minorEastAsia" w:hAnsiTheme="minorEastAsia"/>
        </w:rPr>
        <w:t>50</w:t>
      </w:r>
      <w:r w:rsidRPr="00E97AFD">
        <w:rPr>
          <w:rFonts w:asciiTheme="minorEastAsia" w:eastAsiaTheme="minorEastAsia" w:hAnsiTheme="minorEastAsia" w:hint="eastAsia"/>
        </w:rPr>
        <w:t>指数、易方达积极成长混合、易方达货币、易方达稳健收益债券时，转入份额的计算结果保留到小数点后两位，小数点两位以后舍去，舍去部分所代表的资产归基金财产所有；本基金转出至易方达天天理财货币、易方达信用债债券、易方达纯债</w:t>
      </w:r>
      <w:r w:rsidRPr="00E97AFD">
        <w:rPr>
          <w:rFonts w:asciiTheme="minorEastAsia" w:eastAsiaTheme="minorEastAsia" w:hAnsiTheme="minorEastAsia"/>
        </w:rPr>
        <w:t>1</w:t>
      </w:r>
      <w:r w:rsidRPr="00E97AFD">
        <w:rPr>
          <w:rFonts w:asciiTheme="minorEastAsia" w:eastAsiaTheme="minorEastAsia" w:hAnsiTheme="minorEastAsia" w:hint="eastAsia"/>
        </w:rPr>
        <w:t>年定期开放债券、易方达高等级信用债债券、易方达裕丰回报债券、易方达丰华债券、易方达投资级信用债债券、易方达恒久</w:t>
      </w:r>
      <w:r w:rsidRPr="00E97AFD">
        <w:rPr>
          <w:rFonts w:asciiTheme="minorEastAsia" w:eastAsiaTheme="minorEastAsia" w:hAnsiTheme="minorEastAsia"/>
        </w:rPr>
        <w:t>1</w:t>
      </w:r>
      <w:r w:rsidRPr="00E97AFD">
        <w:rPr>
          <w:rFonts w:asciiTheme="minorEastAsia" w:eastAsiaTheme="minorEastAsia" w:hAnsiTheme="minorEastAsia" w:hint="eastAsia"/>
        </w:rPr>
        <w:t>年定期债券、易方达黄金</w:t>
      </w:r>
      <w:r w:rsidRPr="00E97AFD">
        <w:rPr>
          <w:rFonts w:asciiTheme="minorEastAsia" w:eastAsiaTheme="minorEastAsia" w:hAnsiTheme="minorEastAsia"/>
        </w:rPr>
        <w:t>ETF</w:t>
      </w:r>
      <w:r w:rsidRPr="00E97AFD">
        <w:rPr>
          <w:rFonts w:asciiTheme="minorEastAsia" w:eastAsiaTheme="minorEastAsia" w:hAnsiTheme="minorEastAsia" w:hint="eastAsia"/>
        </w:rPr>
        <w:t>联接、易方达易理财货币、易方达新兴成长混合、易方达裕惠定开混合发起式、易方达创新驱动混合、易方达现金增利货币、易方达财富快线货币、易方达龙宝货币、易方达天天发货币、易方达掌柜季季盈理财债券、易方达沪深</w:t>
      </w:r>
      <w:r w:rsidRPr="00E97AFD">
        <w:rPr>
          <w:rFonts w:asciiTheme="minorEastAsia" w:eastAsiaTheme="minorEastAsia" w:hAnsiTheme="minorEastAsia"/>
        </w:rPr>
        <w:t>300</w:t>
      </w:r>
      <w:r w:rsidRPr="00E97AFD">
        <w:rPr>
          <w:rFonts w:asciiTheme="minorEastAsia" w:eastAsiaTheme="minorEastAsia" w:hAnsiTheme="minorEastAsia" w:hint="eastAsia"/>
        </w:rPr>
        <w:t>非银联接、</w:t>
      </w:r>
      <w:r w:rsidRPr="00E97AFD">
        <w:rPr>
          <w:rFonts w:asciiTheme="minorEastAsia" w:eastAsiaTheme="minorEastAsia" w:hAnsiTheme="minorEastAsia" w:hint="eastAsia"/>
        </w:rPr>
        <w:lastRenderedPageBreak/>
        <w:t>易方达增金宝货币、易方达新经济混合、易方达改革红利混合、易方达裕如混合、易方达安心回馈混合、易方达新常态混合、易方达新收益混合、易方达新利混合、易方达新鑫混合、易方达新益混合、易方达新享混合、易方达沪深</w:t>
      </w:r>
      <w:r w:rsidRPr="00E97AFD">
        <w:rPr>
          <w:rFonts w:asciiTheme="minorEastAsia" w:eastAsiaTheme="minorEastAsia" w:hAnsiTheme="minorEastAsia"/>
        </w:rPr>
        <w:t>300</w:t>
      </w:r>
      <w:r w:rsidRPr="00E97AFD">
        <w:rPr>
          <w:rFonts w:asciiTheme="minorEastAsia" w:eastAsiaTheme="minorEastAsia" w:hAnsiTheme="minorEastAsia" w:hint="eastAsia"/>
        </w:rPr>
        <w:t>医药</w:t>
      </w:r>
      <w:r w:rsidRPr="00E97AFD">
        <w:rPr>
          <w:rFonts w:asciiTheme="minorEastAsia" w:eastAsiaTheme="minorEastAsia" w:hAnsiTheme="minorEastAsia"/>
        </w:rPr>
        <w:t>ETF</w:t>
      </w:r>
      <w:r w:rsidRPr="00E97AFD">
        <w:rPr>
          <w:rFonts w:asciiTheme="minorEastAsia" w:eastAsiaTheme="minorEastAsia" w:hAnsiTheme="minorEastAsia" w:hint="eastAsia"/>
        </w:rPr>
        <w:t>联接、易方达新丝路混合、易方达国企改革混合、易方达瑞景混合、易方达瑞享混合、易方达瑞信混合、易方达瑞选混合、易方达国防军工混合、易方达中债</w:t>
      </w:r>
      <w:r w:rsidRPr="00E97AFD">
        <w:rPr>
          <w:rFonts w:asciiTheme="minorEastAsia" w:eastAsiaTheme="minorEastAsia" w:hAnsiTheme="minorEastAsia"/>
        </w:rPr>
        <w:t>3-5</w:t>
      </w:r>
      <w:r w:rsidRPr="00E97AFD">
        <w:rPr>
          <w:rFonts w:asciiTheme="minorEastAsia" w:eastAsiaTheme="minorEastAsia" w:hAnsiTheme="minorEastAsia" w:hint="eastAsia"/>
        </w:rPr>
        <w:t>年期国债指数、易方达信息产业混合、易方达瑞和混合、易方达安盈回报混合、易方达瑞财混合、易方达瑞智混合、易方达瑞兴混合、易方达瑞恒混合、易方达瑞祥混合、易方达环保主题混合、易方达现代服务业混合、易方达大健康主题混合、易方达量化策略精选混合、易方达裕祥回报债券、易方达裕景添利</w:t>
      </w:r>
      <w:r w:rsidRPr="00E97AFD">
        <w:rPr>
          <w:rFonts w:asciiTheme="minorEastAsia" w:eastAsiaTheme="minorEastAsia" w:hAnsiTheme="minorEastAsia"/>
        </w:rPr>
        <w:t>6</w:t>
      </w:r>
      <w:r w:rsidRPr="00E97AFD">
        <w:rPr>
          <w:rFonts w:asciiTheme="minorEastAsia" w:eastAsiaTheme="minorEastAsia" w:hAnsiTheme="minorEastAsia" w:hint="eastAsia"/>
        </w:rPr>
        <w:t>个月定期开放债券、易方达丰惠混合、易方达供给改革混合、易方达丰和债券、易方达裕鑫债券、易方达富惠纯债债券、易方达科瑞混合、易方达中债</w:t>
      </w:r>
      <w:r w:rsidRPr="00E97AFD">
        <w:rPr>
          <w:rFonts w:asciiTheme="minorEastAsia" w:eastAsiaTheme="minorEastAsia" w:hAnsiTheme="minorEastAsia"/>
        </w:rPr>
        <w:t>7-10</w:t>
      </w:r>
      <w:r w:rsidRPr="00E97AFD">
        <w:rPr>
          <w:rFonts w:asciiTheme="minorEastAsia" w:eastAsiaTheme="minorEastAsia" w:hAnsiTheme="minorEastAsia" w:hint="eastAsia"/>
        </w:rPr>
        <w:t>年期国开行债券指数、易方达瑞通混合、易方达瑞弘混合、易方达瑞程混合、易方达恒益定开债券发起式、易方达易百智能量化策略混合、易方达恒安定开债券发起式、易方达港股通红利混合、易方达富财纯债债券、易方达恒信定开债券发起式、易方达蓝筹精选混合、易方达中盘成长混合、易方达鑫转增利混合、易方达鑫转添利混合、易方达鑫转招利混合、易方达恒惠定开债券发起式、易方达安瑞短债债券、易方达科融混合、易方达安悦超短债债券、易方达</w:t>
      </w:r>
      <w:r w:rsidRPr="00E97AFD">
        <w:rPr>
          <w:rFonts w:asciiTheme="minorEastAsia" w:eastAsiaTheme="minorEastAsia" w:hAnsiTheme="minorEastAsia"/>
        </w:rPr>
        <w:t>MSCI</w:t>
      </w:r>
      <w:r w:rsidRPr="00E97AFD">
        <w:rPr>
          <w:rFonts w:asciiTheme="minorEastAsia" w:eastAsiaTheme="minorEastAsia" w:hAnsiTheme="minorEastAsia" w:hint="eastAsia"/>
        </w:rPr>
        <w:t>中国</w:t>
      </w:r>
      <w:r w:rsidRPr="00E97AFD">
        <w:rPr>
          <w:rFonts w:asciiTheme="minorEastAsia" w:eastAsiaTheme="minorEastAsia" w:hAnsiTheme="minorEastAsia"/>
        </w:rPr>
        <w:t>A</w:t>
      </w:r>
      <w:r w:rsidRPr="00E97AFD">
        <w:rPr>
          <w:rFonts w:asciiTheme="minorEastAsia" w:eastAsiaTheme="minorEastAsia" w:hAnsiTheme="minorEastAsia" w:hint="eastAsia"/>
        </w:rPr>
        <w:t>股国际通</w:t>
      </w:r>
      <w:r w:rsidRPr="00E97AFD">
        <w:rPr>
          <w:rFonts w:asciiTheme="minorEastAsia" w:eastAsiaTheme="minorEastAsia" w:hAnsiTheme="minorEastAsia"/>
        </w:rPr>
        <w:t>ETF</w:t>
      </w:r>
      <w:r w:rsidRPr="00E97AFD">
        <w:rPr>
          <w:rFonts w:asciiTheme="minorEastAsia" w:eastAsiaTheme="minorEastAsia" w:hAnsiTheme="minorEastAsia" w:hint="eastAsia"/>
        </w:rPr>
        <w:t>联接发起式、易方达中证</w:t>
      </w:r>
      <w:r w:rsidRPr="00E97AFD">
        <w:rPr>
          <w:rFonts w:asciiTheme="minorEastAsia" w:eastAsiaTheme="minorEastAsia" w:hAnsiTheme="minorEastAsia"/>
        </w:rPr>
        <w:t>500ETF</w:t>
      </w:r>
      <w:r w:rsidRPr="00E97AFD">
        <w:rPr>
          <w:rFonts w:asciiTheme="minorEastAsia" w:eastAsiaTheme="minorEastAsia" w:hAnsiTheme="minorEastAsia" w:hint="eastAsia"/>
        </w:rPr>
        <w:t>联接发起式、易方达恒利</w:t>
      </w:r>
      <w:r w:rsidRPr="00E97AFD">
        <w:rPr>
          <w:rFonts w:asciiTheme="minorEastAsia" w:eastAsiaTheme="minorEastAsia" w:hAnsiTheme="minorEastAsia"/>
        </w:rPr>
        <w:t>3</w:t>
      </w:r>
      <w:r w:rsidRPr="00E97AFD">
        <w:rPr>
          <w:rFonts w:asciiTheme="minorEastAsia" w:eastAsiaTheme="minorEastAsia" w:hAnsiTheme="minorEastAsia" w:hint="eastAsia"/>
        </w:rPr>
        <w:t>个月定开债券发起式、易方达中债</w:t>
      </w:r>
      <w:r w:rsidRPr="00E97AFD">
        <w:rPr>
          <w:rFonts w:asciiTheme="minorEastAsia" w:eastAsiaTheme="minorEastAsia" w:hAnsiTheme="minorEastAsia"/>
        </w:rPr>
        <w:t>1-3</w:t>
      </w:r>
      <w:r w:rsidRPr="00E97AFD">
        <w:rPr>
          <w:rFonts w:asciiTheme="minorEastAsia" w:eastAsiaTheme="minorEastAsia" w:hAnsiTheme="minorEastAsia" w:hint="eastAsia"/>
        </w:rPr>
        <w:t>年国开行债券指数、易方达中债</w:t>
      </w:r>
      <w:r w:rsidRPr="00E97AFD">
        <w:rPr>
          <w:rFonts w:asciiTheme="minorEastAsia" w:eastAsiaTheme="minorEastAsia" w:hAnsiTheme="minorEastAsia"/>
        </w:rPr>
        <w:t>3-5</w:t>
      </w:r>
      <w:r w:rsidRPr="00E97AFD">
        <w:rPr>
          <w:rFonts w:asciiTheme="minorEastAsia" w:eastAsiaTheme="minorEastAsia" w:hAnsiTheme="minorEastAsia" w:hint="eastAsia"/>
        </w:rPr>
        <w:t>年国开行债券指数、易方达中债</w:t>
      </w:r>
      <w:r w:rsidRPr="00E97AFD">
        <w:rPr>
          <w:rFonts w:asciiTheme="minorEastAsia" w:eastAsiaTheme="minorEastAsia" w:hAnsiTheme="minorEastAsia"/>
        </w:rPr>
        <w:t>1-3</w:t>
      </w:r>
      <w:r w:rsidRPr="00E97AFD">
        <w:rPr>
          <w:rFonts w:asciiTheme="minorEastAsia" w:eastAsiaTheme="minorEastAsia" w:hAnsiTheme="minorEastAsia" w:hint="eastAsia"/>
        </w:rPr>
        <w:t>年政金债指数、易方达中债</w:t>
      </w:r>
      <w:r w:rsidRPr="00E97AFD">
        <w:rPr>
          <w:rFonts w:asciiTheme="minorEastAsia" w:eastAsiaTheme="minorEastAsia" w:hAnsiTheme="minorEastAsia"/>
        </w:rPr>
        <w:t>3-5</w:t>
      </w:r>
      <w:r w:rsidRPr="00E97AFD">
        <w:rPr>
          <w:rFonts w:asciiTheme="minorEastAsia" w:eastAsiaTheme="minorEastAsia" w:hAnsiTheme="minorEastAsia" w:hint="eastAsia"/>
        </w:rPr>
        <w:t>年政金债指数、易方达上证</w:t>
      </w:r>
      <w:r w:rsidRPr="00E97AFD">
        <w:rPr>
          <w:rFonts w:asciiTheme="minorEastAsia" w:eastAsiaTheme="minorEastAsia" w:hAnsiTheme="minorEastAsia"/>
        </w:rPr>
        <w:t>50ETF</w:t>
      </w:r>
      <w:r w:rsidRPr="00E97AFD">
        <w:rPr>
          <w:rFonts w:asciiTheme="minorEastAsia" w:eastAsiaTheme="minorEastAsia" w:hAnsiTheme="minorEastAsia" w:hint="eastAsia"/>
        </w:rPr>
        <w:t>联接发起式、易方达恒兴</w:t>
      </w:r>
      <w:r w:rsidRPr="00E97AFD">
        <w:rPr>
          <w:rFonts w:asciiTheme="minorEastAsia" w:eastAsiaTheme="minorEastAsia" w:hAnsiTheme="minorEastAsia"/>
        </w:rPr>
        <w:t>3</w:t>
      </w:r>
      <w:r w:rsidRPr="00E97AFD">
        <w:rPr>
          <w:rFonts w:asciiTheme="minorEastAsia" w:eastAsiaTheme="minorEastAsia" w:hAnsiTheme="minorEastAsia" w:hint="eastAsia"/>
        </w:rPr>
        <w:t>个月定开债券发起式、易方达</w:t>
      </w:r>
      <w:r w:rsidRPr="00E97AFD">
        <w:rPr>
          <w:rFonts w:asciiTheme="minorEastAsia" w:eastAsiaTheme="minorEastAsia" w:hAnsiTheme="minorEastAsia"/>
        </w:rPr>
        <w:t>ESG</w:t>
      </w:r>
      <w:r w:rsidRPr="00E97AFD">
        <w:rPr>
          <w:rFonts w:asciiTheme="minorEastAsia" w:eastAsiaTheme="minorEastAsia" w:hAnsiTheme="minorEastAsia" w:hint="eastAsia"/>
        </w:rPr>
        <w:t>责任投资股票发起式、易方达中证国企一带一路</w:t>
      </w:r>
      <w:r w:rsidRPr="00E97AFD">
        <w:rPr>
          <w:rFonts w:asciiTheme="minorEastAsia" w:eastAsiaTheme="minorEastAsia" w:hAnsiTheme="minorEastAsia"/>
        </w:rPr>
        <w:t>ETF</w:t>
      </w:r>
      <w:r w:rsidRPr="00E97AFD">
        <w:rPr>
          <w:rFonts w:asciiTheme="minorEastAsia" w:eastAsiaTheme="minorEastAsia" w:hAnsiTheme="minorEastAsia" w:hint="eastAsia"/>
        </w:rPr>
        <w:t>联接、易方达中证</w:t>
      </w:r>
      <w:r w:rsidRPr="00E97AFD">
        <w:rPr>
          <w:rFonts w:asciiTheme="minorEastAsia" w:eastAsiaTheme="minorEastAsia" w:hAnsiTheme="minorEastAsia"/>
        </w:rPr>
        <w:t>800ETF</w:t>
      </w:r>
      <w:r w:rsidRPr="00E97AFD">
        <w:rPr>
          <w:rFonts w:asciiTheme="minorEastAsia" w:eastAsiaTheme="minorEastAsia" w:hAnsiTheme="minorEastAsia" w:hint="eastAsia"/>
        </w:rPr>
        <w:t>联接发起式、易方达恒盛</w:t>
      </w:r>
      <w:r w:rsidRPr="00E97AFD">
        <w:rPr>
          <w:rFonts w:asciiTheme="minorEastAsia" w:eastAsiaTheme="minorEastAsia" w:hAnsiTheme="minorEastAsia"/>
        </w:rPr>
        <w:t>3</w:t>
      </w:r>
      <w:r w:rsidRPr="00E97AFD">
        <w:rPr>
          <w:rFonts w:asciiTheme="minorEastAsia" w:eastAsiaTheme="minorEastAsia" w:hAnsiTheme="minorEastAsia" w:hint="eastAsia"/>
        </w:rPr>
        <w:t>个月定开混合发起式、易方达研究精选股票、易方达裕富债券、易方达高端制造混合发起式、易方达消费精选股票、</w:t>
      </w:r>
      <w:r w:rsidR="00600405" w:rsidRPr="00E97AFD">
        <w:rPr>
          <w:rFonts w:asciiTheme="minorEastAsia" w:eastAsiaTheme="minorEastAsia" w:hAnsiTheme="minorEastAsia" w:hint="eastAsia"/>
        </w:rPr>
        <w:t>易方达金融行业股票发起式、</w:t>
      </w:r>
      <w:r w:rsidRPr="00E97AFD">
        <w:rPr>
          <w:rFonts w:asciiTheme="minorEastAsia" w:eastAsiaTheme="minorEastAsia" w:hAnsiTheme="minorEastAsia" w:hint="eastAsia"/>
        </w:rPr>
        <w:t>易方达价值精选混合、易方达价值成长混合、易方达中小盘混合、易方达科汇灵活配置混合、易方达科翔混合、易方达行业领先混合、易方达增强回报债券、易方达深证</w:t>
      </w:r>
      <w:r w:rsidRPr="00E97AFD">
        <w:rPr>
          <w:rFonts w:asciiTheme="minorEastAsia" w:eastAsiaTheme="minorEastAsia" w:hAnsiTheme="minorEastAsia"/>
        </w:rPr>
        <w:t>100ETF</w:t>
      </w:r>
      <w:r w:rsidRPr="00E97AFD">
        <w:rPr>
          <w:rFonts w:asciiTheme="minorEastAsia" w:eastAsiaTheme="minorEastAsia" w:hAnsiTheme="minorEastAsia" w:hint="eastAsia"/>
        </w:rPr>
        <w:t>联接、易方达沪深</w:t>
      </w:r>
      <w:r w:rsidRPr="00E97AFD">
        <w:rPr>
          <w:rFonts w:asciiTheme="minorEastAsia" w:eastAsiaTheme="minorEastAsia" w:hAnsiTheme="minorEastAsia"/>
        </w:rPr>
        <w:t>300ETF</w:t>
      </w:r>
      <w:r w:rsidRPr="00E97AFD">
        <w:rPr>
          <w:rFonts w:asciiTheme="minorEastAsia" w:eastAsiaTheme="minorEastAsia" w:hAnsiTheme="minorEastAsia" w:hint="eastAsia"/>
        </w:rPr>
        <w:t>发起式联接、易方达上证中盘</w:t>
      </w:r>
      <w:r w:rsidRPr="00E97AFD">
        <w:rPr>
          <w:rFonts w:asciiTheme="minorEastAsia" w:eastAsiaTheme="minorEastAsia" w:hAnsiTheme="minorEastAsia"/>
        </w:rPr>
        <w:t>ETF</w:t>
      </w:r>
      <w:r w:rsidRPr="00E97AFD">
        <w:rPr>
          <w:rFonts w:asciiTheme="minorEastAsia" w:eastAsiaTheme="minorEastAsia" w:hAnsiTheme="minorEastAsia" w:hint="eastAsia"/>
        </w:rPr>
        <w:t>联接、易方达消费行业股票、易方达医疗保健行业混合、易方达资源行业混合、易方达创业板</w:t>
      </w:r>
      <w:r w:rsidRPr="00E97AFD">
        <w:rPr>
          <w:rFonts w:asciiTheme="minorEastAsia" w:eastAsiaTheme="minorEastAsia" w:hAnsiTheme="minorEastAsia"/>
        </w:rPr>
        <w:t>ETF</w:t>
      </w:r>
      <w:r w:rsidRPr="00E97AFD">
        <w:rPr>
          <w:rFonts w:asciiTheme="minorEastAsia" w:eastAsiaTheme="minorEastAsia" w:hAnsiTheme="minorEastAsia" w:hint="eastAsia"/>
        </w:rPr>
        <w:t>联接、易方达安心回报债券、易方达科讯混合、易方达沪深</w:t>
      </w:r>
      <w:r w:rsidRPr="00E97AFD">
        <w:rPr>
          <w:rFonts w:asciiTheme="minorEastAsia" w:eastAsiaTheme="minorEastAsia" w:hAnsiTheme="minorEastAsia"/>
        </w:rPr>
        <w:t>300</w:t>
      </w:r>
      <w:r w:rsidRPr="00E97AFD">
        <w:rPr>
          <w:rFonts w:asciiTheme="minorEastAsia" w:eastAsiaTheme="minorEastAsia" w:hAnsiTheme="minorEastAsia" w:hint="eastAsia"/>
        </w:rPr>
        <w:t>量化增强、易方达双债增强债券、易方达纯债债券、易方达月月利理财债券、易方达安源中短债债券、易方达策略成长二号混合时，转入份额的计算结果保留到小数点后两位，小数点后两位以后的部分四舍五入，由此误差产生的损失由基金财产承担，产生的收益归基金财产所有。</w:t>
      </w:r>
    </w:p>
    <w:p w14:paraId="66D179E1" w14:textId="77777777"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（七）基金转换的注册登记</w:t>
      </w:r>
    </w:p>
    <w:p w14:paraId="0D3D9DA9" w14:textId="77777777"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投资者T日申请基金转换成功后，注册登记机构将在T＋1工作日为投资者办理减少转出基金份额、增加转入基金份额的权益登记手续，</w:t>
      </w:r>
      <w:r w:rsidR="002F0325" w:rsidRPr="00E97AFD">
        <w:rPr>
          <w:rFonts w:asciiTheme="minorEastAsia" w:eastAsiaTheme="minorEastAsia" w:hAnsiTheme="minorEastAsia" w:hint="eastAsia"/>
          <w:szCs w:val="21"/>
        </w:rPr>
        <w:t>正常情况下，投资者不晚于</w:t>
      </w:r>
      <w:r w:rsidR="002F0325" w:rsidRPr="00E97AFD">
        <w:rPr>
          <w:rFonts w:asciiTheme="minorEastAsia" w:eastAsiaTheme="minorEastAsia" w:hAnsiTheme="minorEastAsia"/>
          <w:szCs w:val="21"/>
        </w:rPr>
        <w:t>T</w:t>
      </w:r>
      <w:r w:rsidR="002F0325" w:rsidRPr="00E97AFD">
        <w:rPr>
          <w:rFonts w:asciiTheme="minorEastAsia" w:eastAsiaTheme="minorEastAsia" w:hAnsiTheme="minorEastAsia" w:hint="eastAsia"/>
          <w:szCs w:val="21"/>
        </w:rPr>
        <w:t>＋</w:t>
      </w:r>
      <w:r w:rsidR="002F0325" w:rsidRPr="00E97AFD">
        <w:rPr>
          <w:rFonts w:asciiTheme="minorEastAsia" w:eastAsiaTheme="minorEastAsia" w:hAnsiTheme="minorEastAsia"/>
          <w:szCs w:val="21"/>
        </w:rPr>
        <w:t>2</w:t>
      </w:r>
      <w:r w:rsidR="002F0325" w:rsidRPr="00E97AFD">
        <w:rPr>
          <w:rFonts w:asciiTheme="minorEastAsia" w:eastAsiaTheme="minorEastAsia" w:hAnsiTheme="minorEastAsia" w:hint="eastAsia"/>
          <w:szCs w:val="21"/>
        </w:rPr>
        <w:t>工作日起有权赎回转入部分的基金份额，具体以销售机构规定为准</w:t>
      </w:r>
      <w:r w:rsidRPr="00E97AFD">
        <w:rPr>
          <w:rFonts w:asciiTheme="minorEastAsia" w:eastAsiaTheme="minorEastAsia" w:hAnsiTheme="minorEastAsia" w:hint="eastAsia"/>
          <w:szCs w:val="21"/>
        </w:rPr>
        <w:t>。</w:t>
      </w:r>
    </w:p>
    <w:p w14:paraId="0FD6059C" w14:textId="77777777"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（八）基金转换与巨额赎回</w:t>
      </w:r>
    </w:p>
    <w:p w14:paraId="20A1E167" w14:textId="77777777"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lastRenderedPageBreak/>
        <w:t>单个开放日中，本基金的基金份额净赎回申请（赎回申请份额总数加上基金转换中转出申请份额总数后扣除申购申请份额总数及基金转换中转入申请份额总数后的余额）超过前一开放日的基金总份额的10%，为巨额赎回。发生巨额赎回时，基金转换转出与基金赎回具有相同的优先级，基金管理人可根据基金资产组合情况，决定全额转换转出或部分转换转出，并且对于基金转换转出和基金赎回，将采取相同的比例确认（除另有公告外）；在转换转出申请得到部分确认的情况下，未确认的转换转出申请将不予以顺延。</w:t>
      </w:r>
    </w:p>
    <w:p w14:paraId="7D50FAF0" w14:textId="77777777"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（九）拒绝或暂停基金转换的情形</w:t>
      </w:r>
    </w:p>
    <w:p w14:paraId="26B7D72E" w14:textId="77777777" w:rsidR="00196157" w:rsidRPr="00E97AFD" w:rsidRDefault="00C00F5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w:t>
      </w:r>
      <w:r w:rsidR="00196157" w:rsidRPr="00E97AFD">
        <w:rPr>
          <w:rFonts w:asciiTheme="minorEastAsia" w:eastAsiaTheme="minorEastAsia" w:hAnsiTheme="minorEastAsia" w:hint="eastAsia"/>
          <w:szCs w:val="21"/>
        </w:rPr>
        <w:t>因不可抗力导致基金管理人无法受理投资者的转换申请。</w:t>
      </w:r>
    </w:p>
    <w:p w14:paraId="75C6BB47" w14:textId="77777777" w:rsidR="00196157" w:rsidRPr="00E97AFD" w:rsidRDefault="00C00F5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w:t>
      </w:r>
      <w:r w:rsidR="00196157" w:rsidRPr="00E97AFD">
        <w:rPr>
          <w:rFonts w:asciiTheme="minorEastAsia" w:eastAsiaTheme="minorEastAsia" w:hAnsiTheme="minorEastAsia" w:hint="eastAsia"/>
          <w:szCs w:val="21"/>
        </w:rPr>
        <w:t>发生基金合同规定的暂停基金资产估值情况。</w:t>
      </w:r>
    </w:p>
    <w:p w14:paraId="640B7C24" w14:textId="77777777" w:rsidR="00196157" w:rsidRPr="00E97AFD" w:rsidRDefault="00C00F5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3、</w:t>
      </w:r>
      <w:r w:rsidR="00196157" w:rsidRPr="00E97AFD">
        <w:rPr>
          <w:rFonts w:asciiTheme="minorEastAsia" w:eastAsiaTheme="minorEastAsia" w:hAnsiTheme="minorEastAsia" w:hint="eastAsia"/>
          <w:szCs w:val="21"/>
        </w:rPr>
        <w:t>本基金投资的证券交易市场临时停止交易。</w:t>
      </w:r>
    </w:p>
    <w:p w14:paraId="27A659E8" w14:textId="77777777" w:rsidR="00196157" w:rsidRPr="00E97AFD" w:rsidRDefault="00C00F5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4、</w:t>
      </w:r>
      <w:r w:rsidR="00196157" w:rsidRPr="00E97AFD">
        <w:rPr>
          <w:rFonts w:asciiTheme="minorEastAsia" w:eastAsiaTheme="minorEastAsia" w:hAnsiTheme="minorEastAsia" w:hint="eastAsia"/>
          <w:szCs w:val="21"/>
        </w:rPr>
        <w:t>基金管理人认为接受某笔或某些转换转入申请可能会影响或损害现有基金份额持有人利益时。</w:t>
      </w:r>
    </w:p>
    <w:p w14:paraId="33D3D12E" w14:textId="77777777" w:rsidR="00196157" w:rsidRPr="00E97AFD" w:rsidRDefault="00C00F5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5、</w:t>
      </w:r>
      <w:r w:rsidR="00196157" w:rsidRPr="00E97AFD">
        <w:rPr>
          <w:rFonts w:asciiTheme="minorEastAsia" w:eastAsiaTheme="minorEastAsia" w:hAnsiTheme="minorEastAsia" w:hint="eastAsia"/>
          <w:szCs w:val="21"/>
        </w:rPr>
        <w:t>基金资产规模过大，使基金管理人无法找到合适的投资品种，或其他可能对基金业绩产生负面影响，从而损害现有基金份额持有人利益的情形。</w:t>
      </w:r>
    </w:p>
    <w:p w14:paraId="600C9884" w14:textId="77777777" w:rsidR="00196157" w:rsidRPr="00E97AFD" w:rsidRDefault="00C00F5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6、</w:t>
      </w:r>
      <w:r w:rsidR="00BA22C8" w:rsidRPr="00E97AFD">
        <w:rPr>
          <w:rFonts w:asciiTheme="minorEastAsia" w:eastAsiaTheme="minorEastAsia" w:hAnsiTheme="minorEastAsia" w:hint="eastAsia"/>
          <w:szCs w:val="21"/>
        </w:rPr>
        <w:t>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r w:rsidR="00196157" w:rsidRPr="00E97AFD">
        <w:rPr>
          <w:rFonts w:asciiTheme="minorEastAsia" w:eastAsiaTheme="minorEastAsia" w:hAnsiTheme="minorEastAsia" w:hint="eastAsia"/>
          <w:szCs w:val="21"/>
        </w:rPr>
        <w:t>。</w:t>
      </w:r>
    </w:p>
    <w:p w14:paraId="5E43F2BE" w14:textId="77777777" w:rsidR="00196157" w:rsidRPr="00E97AFD" w:rsidRDefault="00C00F5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7、</w:t>
      </w:r>
      <w:r w:rsidR="00196157" w:rsidRPr="00E97AFD">
        <w:rPr>
          <w:rFonts w:asciiTheme="minorEastAsia" w:eastAsiaTheme="minorEastAsia" w:hAnsiTheme="minorEastAsia" w:hint="eastAsia"/>
          <w:szCs w:val="21"/>
        </w:rPr>
        <w:t>基金管理人、基金托管人、登记机构、销售机构、支付结算机构等因异常情况导致基金销售支付结算系统、基金登记系统、基金会计系统等无法正常运行。</w:t>
      </w:r>
    </w:p>
    <w:p w14:paraId="6FC4475A" w14:textId="77777777" w:rsidR="00196157" w:rsidRPr="00E97AFD" w:rsidRDefault="00C00F5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8、</w:t>
      </w:r>
      <w:r w:rsidR="00196157" w:rsidRPr="00E97AFD">
        <w:rPr>
          <w:rFonts w:asciiTheme="minorEastAsia" w:eastAsiaTheme="minorEastAsia" w:hAnsiTheme="minorEastAsia" w:hint="eastAsia"/>
          <w:szCs w:val="21"/>
        </w:rPr>
        <w:t>本基金的资产组合中的重要部分发生暂停交易或其他重大事件，继续接受转换转出可能会影响或损害基金份额持有人利益时。</w:t>
      </w:r>
    </w:p>
    <w:p w14:paraId="57F229DA" w14:textId="77777777" w:rsidR="009B7E44" w:rsidRPr="00E97AFD" w:rsidRDefault="009B7E44" w:rsidP="009B7E44">
      <w:pPr>
        <w:adjustRightInd w:val="0"/>
        <w:snapToGrid w:val="0"/>
        <w:spacing w:line="360" w:lineRule="auto"/>
        <w:ind w:firstLine="420"/>
        <w:rPr>
          <w:rFonts w:asciiTheme="minorEastAsia" w:eastAsiaTheme="minorEastAsia" w:hAnsiTheme="minorEastAsia"/>
          <w:szCs w:val="21"/>
        </w:rPr>
      </w:pPr>
      <w:r w:rsidRPr="00E97AFD">
        <w:rPr>
          <w:rFonts w:asciiTheme="minorEastAsia" w:eastAsiaTheme="minorEastAsia" w:hAnsiTheme="minorEastAsia" w:hint="eastAsia"/>
          <w:szCs w:val="21"/>
        </w:rPr>
        <w:t>9</w:t>
      </w:r>
      <w:r w:rsidRPr="00E97AFD">
        <w:rPr>
          <w:rFonts w:asciiTheme="minorEastAsia" w:eastAsiaTheme="minorEastAsia" w:hAnsiTheme="minorEastAsia"/>
          <w:szCs w:val="21"/>
        </w:rPr>
        <w:t>、</w:t>
      </w:r>
      <w:r w:rsidRPr="00E97AFD">
        <w:rPr>
          <w:rFonts w:asciiTheme="minorEastAsia" w:eastAsiaTheme="minorEastAsia" w:hAnsiTheme="minorEastAsia" w:hint="eastAsia"/>
          <w:szCs w:val="21"/>
        </w:rPr>
        <w:t>为保护基金份额持有人的合法权益，基金管理人可以依照相关法律法规以及基金合同的约定，在特定市场条件下暂停或者拒绝接受一定金额以上的资金转换转入，具体以基金管理人的公告为准。</w:t>
      </w:r>
    </w:p>
    <w:p w14:paraId="003C683E" w14:textId="77777777" w:rsidR="009B7E44" w:rsidRPr="00E97AFD" w:rsidRDefault="009B7E44" w:rsidP="009B7E4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kern w:val="0"/>
        </w:rPr>
        <w:t>1</w:t>
      </w:r>
      <w:r w:rsidRPr="00E97AFD">
        <w:rPr>
          <w:rFonts w:asciiTheme="minorEastAsia" w:eastAsiaTheme="minorEastAsia" w:hAnsiTheme="minorEastAsia"/>
          <w:kern w:val="0"/>
        </w:rPr>
        <w:t>0</w:t>
      </w:r>
      <w:r w:rsidRPr="00E97AFD">
        <w:rPr>
          <w:rFonts w:asciiTheme="minorEastAsia" w:eastAsiaTheme="minorEastAsia" w:hAnsiTheme="minorEastAsia"/>
          <w:szCs w:val="21"/>
        </w:rPr>
        <w:t>、</w:t>
      </w:r>
      <w:r w:rsidRPr="00E97AFD">
        <w:rPr>
          <w:rFonts w:asciiTheme="minorEastAsia" w:eastAsiaTheme="minorEastAsia" w:hAnsiTheme="minorEastAsia" w:hint="eastAsia"/>
          <w:kern w:val="0"/>
        </w:rPr>
        <w:t>当影子定价法确定的基金资产净值与摊余成本法计算的基金资产净值的正偏离度绝对值达到0.5%时，可暂停接受投资者的转换转入申请。</w:t>
      </w:r>
    </w:p>
    <w:p w14:paraId="2877B00C" w14:textId="77777777" w:rsidR="009B7E44" w:rsidRPr="00E97AFD" w:rsidRDefault="009B7E44" w:rsidP="009B7E4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11</w:t>
      </w:r>
      <w:r w:rsidRPr="00E97AFD">
        <w:rPr>
          <w:rFonts w:asciiTheme="minorEastAsia" w:eastAsiaTheme="minorEastAsia" w:hAnsiTheme="minorEastAsia" w:hint="eastAsia"/>
          <w:szCs w:val="21"/>
        </w:rPr>
        <w:t>、连续两个或两个以上开放日发生巨额赎回。</w:t>
      </w:r>
    </w:p>
    <w:p w14:paraId="12A98592" w14:textId="77777777" w:rsidR="009B7E44" w:rsidRPr="00E97AFD" w:rsidRDefault="009B7E44" w:rsidP="009B7E4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w:t>
      </w:r>
      <w:r w:rsidRPr="00E97AFD">
        <w:rPr>
          <w:rFonts w:asciiTheme="minorEastAsia" w:eastAsiaTheme="minorEastAsia" w:hAnsiTheme="minorEastAsia"/>
          <w:szCs w:val="21"/>
        </w:rPr>
        <w:t>2、</w:t>
      </w:r>
      <w:r w:rsidRPr="00E97AFD">
        <w:rPr>
          <w:rFonts w:asciiTheme="minorEastAsia" w:eastAsiaTheme="minorEastAsia" w:hAnsiTheme="minorEastAsia" w:hint="eastAsia"/>
          <w:kern w:val="0"/>
        </w:rPr>
        <w:t>当影子定价确定的基金资产净值与摊余成本法计算的基金资产净值的负偏离度绝对值连续两个交易日超过0.5%，可暂停接受投资者的转换转出申请。</w:t>
      </w:r>
    </w:p>
    <w:p w14:paraId="0C75DF4D" w14:textId="77777777" w:rsidR="00BA22C8" w:rsidRPr="00E97AFD" w:rsidRDefault="009B7E44" w:rsidP="00BA22C8">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szCs w:val="21"/>
        </w:rPr>
        <w:t>1</w:t>
      </w:r>
      <w:r w:rsidRPr="00E97AFD">
        <w:rPr>
          <w:rFonts w:asciiTheme="minorEastAsia" w:eastAsiaTheme="minorEastAsia" w:hAnsiTheme="minorEastAsia"/>
          <w:szCs w:val="21"/>
        </w:rPr>
        <w:t>3</w:t>
      </w:r>
      <w:r w:rsidRPr="00E97AFD">
        <w:rPr>
          <w:rFonts w:asciiTheme="minorEastAsia" w:eastAsiaTheme="minorEastAsia" w:hAnsiTheme="minorEastAsia" w:hint="eastAsia"/>
          <w:szCs w:val="21"/>
        </w:rPr>
        <w:t>、</w:t>
      </w:r>
      <w:r w:rsidR="00BA22C8" w:rsidRPr="00E97AFD">
        <w:rPr>
          <w:rFonts w:asciiTheme="minorEastAsia" w:eastAsiaTheme="minorEastAsia" w:hAnsiTheme="minorEastAsia" w:hint="eastAsia"/>
        </w:rPr>
        <w:t>基金管理人接受某笔或者某些转换转入申请有可能导致单一投资者持有基金份额的比例达到或者超过50%，或者变相规避50%集中度的情形时。</w:t>
      </w:r>
    </w:p>
    <w:p w14:paraId="2104355C" w14:textId="77777777" w:rsidR="00BA22C8" w:rsidRPr="00E97AFD" w:rsidRDefault="00BA22C8" w:rsidP="00BA22C8">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1</w:t>
      </w:r>
      <w:r w:rsidRPr="00E97AFD">
        <w:rPr>
          <w:rFonts w:asciiTheme="minorEastAsia" w:eastAsiaTheme="minorEastAsia" w:hAnsiTheme="minorEastAsia"/>
        </w:rPr>
        <w:t>4、</w:t>
      </w:r>
      <w:r w:rsidRPr="00E97AFD">
        <w:rPr>
          <w:rFonts w:asciiTheme="minorEastAsia" w:eastAsiaTheme="minorEastAsia" w:hAnsiTheme="minorEastAsia" w:hint="eastAsia"/>
        </w:rPr>
        <w:t>当前一估值日基金资产净值50%以上的资产出现无可参考的活跃市场价格且采用估值技术仍导致公允价值存在重大不确定性时，经与基金托管人协商确认后，基金管理人应当</w:t>
      </w:r>
      <w:r w:rsidRPr="00E97AFD">
        <w:rPr>
          <w:rFonts w:asciiTheme="minorEastAsia" w:eastAsiaTheme="minorEastAsia" w:hAnsiTheme="minorEastAsia" w:hint="eastAsia"/>
        </w:rPr>
        <w:lastRenderedPageBreak/>
        <w:t>采取暂停接受基金转换申请的措施。</w:t>
      </w:r>
    </w:p>
    <w:p w14:paraId="397FE097" w14:textId="77777777" w:rsidR="00196157" w:rsidRPr="00E97AFD" w:rsidRDefault="00BA22C8" w:rsidP="00BA22C8">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15、</w:t>
      </w:r>
      <w:r w:rsidR="00196157" w:rsidRPr="00E97AFD">
        <w:rPr>
          <w:rFonts w:asciiTheme="minorEastAsia" w:eastAsiaTheme="minorEastAsia" w:hAnsiTheme="minorEastAsia" w:hint="eastAsia"/>
          <w:szCs w:val="21"/>
        </w:rPr>
        <w:t>法律法规规定或中国证监会认定的其他情形。</w:t>
      </w:r>
    </w:p>
    <w:p w14:paraId="79D7D658" w14:textId="6D10A8A0" w:rsidR="00196157" w:rsidRPr="00E97AFD" w:rsidRDefault="00196157"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发生上述1</w:t>
      </w:r>
      <w:r w:rsidR="00C00F5E" w:rsidRPr="00E97AFD">
        <w:rPr>
          <w:rFonts w:asciiTheme="minorEastAsia" w:eastAsiaTheme="minorEastAsia" w:hAnsiTheme="minorEastAsia" w:hint="eastAsia"/>
          <w:szCs w:val="21"/>
        </w:rPr>
        <w:t>、2、3、5、6、7、8、9、</w:t>
      </w:r>
      <w:r w:rsidRPr="00E97AFD">
        <w:rPr>
          <w:rFonts w:asciiTheme="minorEastAsia" w:eastAsiaTheme="minorEastAsia" w:hAnsiTheme="minorEastAsia" w:hint="eastAsia"/>
          <w:szCs w:val="21"/>
        </w:rPr>
        <w:t>10</w:t>
      </w:r>
      <w:r w:rsidR="009B7E44" w:rsidRPr="00E97AFD">
        <w:rPr>
          <w:rFonts w:asciiTheme="minorEastAsia" w:eastAsiaTheme="minorEastAsia" w:hAnsiTheme="minorEastAsia" w:hint="eastAsia"/>
          <w:szCs w:val="21"/>
        </w:rPr>
        <w:t>、1</w:t>
      </w:r>
      <w:r w:rsidR="009B7E44" w:rsidRPr="00E97AFD">
        <w:rPr>
          <w:rFonts w:asciiTheme="minorEastAsia" w:eastAsiaTheme="minorEastAsia" w:hAnsiTheme="minorEastAsia"/>
          <w:szCs w:val="21"/>
        </w:rPr>
        <w:t>1、12</w:t>
      </w:r>
      <w:r w:rsidR="009B7E44" w:rsidRPr="00E97AFD">
        <w:rPr>
          <w:rFonts w:asciiTheme="minorEastAsia" w:eastAsiaTheme="minorEastAsia" w:hAnsiTheme="minorEastAsia" w:hint="eastAsia"/>
          <w:szCs w:val="21"/>
        </w:rPr>
        <w:t>、</w:t>
      </w:r>
      <w:r w:rsidR="009B7E44" w:rsidRPr="00E97AFD">
        <w:rPr>
          <w:rFonts w:asciiTheme="minorEastAsia" w:eastAsiaTheme="minorEastAsia" w:hAnsiTheme="minorEastAsia"/>
          <w:szCs w:val="21"/>
        </w:rPr>
        <w:t>13</w:t>
      </w:r>
      <w:r w:rsidR="00BA22C8" w:rsidRPr="00E97AFD">
        <w:rPr>
          <w:rFonts w:asciiTheme="minorEastAsia" w:eastAsiaTheme="minorEastAsia" w:hAnsiTheme="minorEastAsia" w:hint="eastAsia"/>
          <w:szCs w:val="21"/>
        </w:rPr>
        <w:t>、</w:t>
      </w:r>
      <w:r w:rsidR="00BA22C8" w:rsidRPr="00E97AFD">
        <w:rPr>
          <w:rFonts w:asciiTheme="minorEastAsia" w:eastAsiaTheme="minorEastAsia" w:hAnsiTheme="minorEastAsia"/>
          <w:szCs w:val="21"/>
        </w:rPr>
        <w:t>14、15</w:t>
      </w:r>
      <w:r w:rsidRPr="00E97AFD">
        <w:rPr>
          <w:rFonts w:asciiTheme="minorEastAsia" w:eastAsiaTheme="minorEastAsia" w:hAnsiTheme="minorEastAsia" w:hint="eastAsia"/>
          <w:szCs w:val="21"/>
        </w:rPr>
        <w:t>项暂停基金转换时，</w:t>
      </w:r>
      <w:r w:rsidRPr="00E97AFD">
        <w:rPr>
          <w:rFonts w:asciiTheme="minorEastAsia" w:eastAsiaTheme="minorEastAsia" w:hAnsiTheme="minorEastAsia" w:hint="eastAsia"/>
          <w:bCs/>
          <w:szCs w:val="21"/>
        </w:rPr>
        <w:t>基金管理人应当根据有关规定在指定</w:t>
      </w:r>
      <w:r w:rsidR="006B018F" w:rsidRPr="00E97AFD">
        <w:rPr>
          <w:rFonts w:asciiTheme="minorEastAsia" w:eastAsiaTheme="minorEastAsia" w:hAnsiTheme="minorEastAsia" w:hint="eastAsia"/>
          <w:bCs/>
          <w:szCs w:val="21"/>
        </w:rPr>
        <w:t>媒介</w:t>
      </w:r>
      <w:r w:rsidRPr="00E97AFD">
        <w:rPr>
          <w:rFonts w:asciiTheme="minorEastAsia" w:eastAsiaTheme="minorEastAsia" w:hAnsiTheme="minorEastAsia" w:hint="eastAsia"/>
          <w:bCs/>
          <w:szCs w:val="21"/>
        </w:rPr>
        <w:t>上刊登相关公告。</w:t>
      </w:r>
    </w:p>
    <w:p w14:paraId="6846F7D6" w14:textId="3321F810" w:rsidR="002360EF" w:rsidRPr="00E97AFD" w:rsidRDefault="00196157"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szCs w:val="21"/>
        </w:rPr>
        <w:t>基金管理人可以根据市场情况在不违背有关法律法规和《基金合同》的规定之前提下调整上述转换的收费方式、费率水平、业务规则及有关限制，但应在调整生效前依照《信息披露办法》的有关规定在指定</w:t>
      </w:r>
      <w:r w:rsidR="006B018F" w:rsidRPr="00E97AFD">
        <w:rPr>
          <w:rFonts w:asciiTheme="minorEastAsia" w:eastAsiaTheme="minorEastAsia" w:hAnsiTheme="minorEastAsia" w:hint="eastAsia"/>
          <w:szCs w:val="21"/>
        </w:rPr>
        <w:t>媒介</w:t>
      </w:r>
      <w:r w:rsidRPr="00E97AFD">
        <w:rPr>
          <w:rFonts w:asciiTheme="minorEastAsia" w:eastAsiaTheme="minorEastAsia" w:hAnsiTheme="minorEastAsia" w:hint="eastAsia"/>
          <w:szCs w:val="21"/>
        </w:rPr>
        <w:t>上公告。</w:t>
      </w:r>
    </w:p>
    <w:p w14:paraId="059EAEFA" w14:textId="77777777" w:rsidR="00BA4B87" w:rsidRPr="00E97AFD" w:rsidRDefault="00BA4B87" w:rsidP="00966694">
      <w:pPr>
        <w:snapToGrid w:val="0"/>
        <w:spacing w:line="360" w:lineRule="auto"/>
        <w:ind w:firstLineChars="200" w:firstLine="420"/>
        <w:rPr>
          <w:rFonts w:asciiTheme="minorEastAsia" w:eastAsiaTheme="minorEastAsia" w:hAnsiTheme="minorEastAsia"/>
          <w:szCs w:val="21"/>
        </w:rPr>
      </w:pPr>
    </w:p>
    <w:p w14:paraId="33AB6551" w14:textId="77777777" w:rsidR="00BA4B87" w:rsidRPr="00E97AFD" w:rsidRDefault="00BA4B87" w:rsidP="00966694">
      <w:pPr>
        <w:pStyle w:val="1"/>
        <w:snapToGrid w:val="0"/>
        <w:spacing w:beforeLines="0" w:afterLines="0" w:line="360" w:lineRule="auto"/>
        <w:ind w:firstLine="600"/>
        <w:rPr>
          <w:rFonts w:asciiTheme="minorEastAsia" w:eastAsiaTheme="minorEastAsia" w:hAnsiTheme="minorEastAsia"/>
          <w:b/>
          <w:bCs/>
          <w:kern w:val="44"/>
          <w:sz w:val="28"/>
          <w:szCs w:val="44"/>
        </w:rPr>
      </w:pPr>
      <w:r w:rsidRPr="00E97AFD">
        <w:rPr>
          <w:rFonts w:asciiTheme="minorEastAsia" w:eastAsiaTheme="minorEastAsia" w:hAnsiTheme="minorEastAsia"/>
          <w:sz w:val="30"/>
        </w:rPr>
        <w:br w:type="column"/>
      </w:r>
      <w:bookmarkStart w:id="62" w:name="_Toc43371981"/>
      <w:r w:rsidRPr="00E97AFD">
        <w:rPr>
          <w:rFonts w:asciiTheme="minorEastAsia" w:eastAsiaTheme="minorEastAsia" w:hAnsiTheme="minorEastAsia"/>
          <w:b/>
          <w:sz w:val="30"/>
        </w:rPr>
        <w:lastRenderedPageBreak/>
        <w:t>十</w:t>
      </w:r>
      <w:r w:rsidR="001A0AE7" w:rsidRPr="00E97AFD">
        <w:rPr>
          <w:rFonts w:asciiTheme="minorEastAsia" w:eastAsiaTheme="minorEastAsia" w:hAnsiTheme="minorEastAsia" w:hint="eastAsia"/>
          <w:b/>
          <w:sz w:val="30"/>
        </w:rPr>
        <w:t>一</w:t>
      </w:r>
      <w:r w:rsidRPr="00E97AFD">
        <w:rPr>
          <w:rFonts w:asciiTheme="minorEastAsia" w:eastAsiaTheme="minorEastAsia" w:hAnsiTheme="minorEastAsia"/>
          <w:b/>
          <w:sz w:val="30"/>
        </w:rPr>
        <w:t>、基金的转托管、非交易过户、冻结与解冻</w:t>
      </w:r>
      <w:bookmarkEnd w:id="62"/>
    </w:p>
    <w:p w14:paraId="515AAC9E" w14:textId="77777777" w:rsidR="00BA4B87" w:rsidRPr="00E97AFD" w:rsidRDefault="00BA4B87" w:rsidP="00966694">
      <w:pPr>
        <w:snapToGrid w:val="0"/>
        <w:spacing w:line="360" w:lineRule="auto"/>
        <w:ind w:firstLineChars="200" w:firstLine="420"/>
        <w:rPr>
          <w:rFonts w:asciiTheme="minorEastAsia" w:eastAsiaTheme="minorEastAsia" w:hAnsiTheme="minorEastAsia"/>
          <w:szCs w:val="21"/>
        </w:rPr>
      </w:pPr>
      <w:bookmarkStart w:id="63" w:name="_Toc327734850"/>
      <w:bookmarkStart w:id="64" w:name="_Toc79392621"/>
      <w:r w:rsidRPr="00E97AFD">
        <w:rPr>
          <w:rFonts w:asciiTheme="minorEastAsia" w:eastAsiaTheme="minorEastAsia" w:hAnsiTheme="minorEastAsia"/>
          <w:szCs w:val="21"/>
        </w:rPr>
        <w:t>(一)</w:t>
      </w:r>
      <w:r w:rsidR="00401F67" w:rsidRPr="00E97AFD">
        <w:rPr>
          <w:rFonts w:asciiTheme="minorEastAsia" w:eastAsiaTheme="minorEastAsia" w:hAnsiTheme="minorEastAsia"/>
          <w:szCs w:val="21"/>
        </w:rPr>
        <w:t>基金的</w:t>
      </w:r>
      <w:r w:rsidRPr="00E97AFD">
        <w:rPr>
          <w:rFonts w:asciiTheme="minorEastAsia" w:eastAsiaTheme="minorEastAsia" w:hAnsiTheme="minorEastAsia"/>
          <w:szCs w:val="21"/>
        </w:rPr>
        <w:t>转托管</w:t>
      </w:r>
      <w:bookmarkEnd w:id="63"/>
    </w:p>
    <w:p w14:paraId="1E9CFB39" w14:textId="77777777" w:rsidR="00BA2C14" w:rsidRPr="00E97AFD" w:rsidRDefault="00AB2463"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基金份额持有人可办理已持有基金份额在不同销售机构之间的转托管，基金销售机构可以按照规定的标准收取转托管费。</w:t>
      </w:r>
      <w:r w:rsidR="00A531C2" w:rsidRPr="00E97AFD">
        <w:rPr>
          <w:rFonts w:asciiTheme="minorEastAsia" w:eastAsiaTheme="minorEastAsia" w:hAnsiTheme="minorEastAsia" w:hint="eastAsia"/>
          <w:szCs w:val="21"/>
        </w:rPr>
        <w:t>具体办理方法参照《业务规则》的有关规定。</w:t>
      </w:r>
    </w:p>
    <w:p w14:paraId="075E7AAC" w14:textId="77777777" w:rsidR="00BA4B87" w:rsidRPr="00E97AFD" w:rsidRDefault="00BA4B87" w:rsidP="00966694">
      <w:pPr>
        <w:snapToGrid w:val="0"/>
        <w:spacing w:line="360" w:lineRule="auto"/>
        <w:ind w:firstLineChars="200" w:firstLine="420"/>
        <w:rPr>
          <w:rFonts w:asciiTheme="minorEastAsia" w:eastAsiaTheme="minorEastAsia" w:hAnsiTheme="minorEastAsia"/>
          <w:szCs w:val="21"/>
        </w:rPr>
      </w:pPr>
      <w:bookmarkStart w:id="65" w:name="_Toc327734851"/>
      <w:r w:rsidRPr="00E97AFD">
        <w:rPr>
          <w:rFonts w:asciiTheme="minorEastAsia" w:eastAsiaTheme="minorEastAsia" w:hAnsiTheme="minorEastAsia"/>
          <w:szCs w:val="21"/>
        </w:rPr>
        <w:t>(二)基金的非交易过户</w:t>
      </w:r>
      <w:bookmarkEnd w:id="65"/>
    </w:p>
    <w:p w14:paraId="4E94DE78" w14:textId="77777777" w:rsidR="00AB2463" w:rsidRPr="00E97AFD" w:rsidRDefault="00AB2463"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基金的非交易过户是指不采用申购、赎回等基金交易方式，将一定数量的基金份额按照一定规则从某一投资者基金账户转移到另一投资者基金账户的行为。</w:t>
      </w:r>
    </w:p>
    <w:p w14:paraId="40276E19" w14:textId="77777777" w:rsidR="00AB2463" w:rsidRPr="00E97AFD" w:rsidRDefault="00AB2463"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43B77A04" w14:textId="77777777" w:rsidR="00BA2C14" w:rsidRPr="00E97AFD" w:rsidRDefault="00AB2463"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0D0C97C" w14:textId="77777777" w:rsidR="00BA4B87" w:rsidRPr="00E97AFD" w:rsidRDefault="00BA4B87" w:rsidP="00966694">
      <w:pPr>
        <w:snapToGrid w:val="0"/>
        <w:spacing w:line="360" w:lineRule="auto"/>
        <w:ind w:firstLineChars="200" w:firstLine="420"/>
        <w:rPr>
          <w:rFonts w:asciiTheme="minorEastAsia" w:eastAsiaTheme="minorEastAsia" w:hAnsiTheme="minorEastAsia"/>
          <w:szCs w:val="21"/>
        </w:rPr>
      </w:pPr>
      <w:bookmarkStart w:id="66" w:name="_Toc327734852"/>
      <w:r w:rsidRPr="00E97AFD">
        <w:rPr>
          <w:rFonts w:asciiTheme="minorEastAsia" w:eastAsiaTheme="minorEastAsia" w:hAnsiTheme="minorEastAsia"/>
          <w:szCs w:val="21"/>
        </w:rPr>
        <w:t>(三)基金的冻结与解冻</w:t>
      </w:r>
      <w:bookmarkEnd w:id="66"/>
    </w:p>
    <w:p w14:paraId="14CE98AE" w14:textId="77777777" w:rsidR="00BA4B87" w:rsidRPr="00E97AFD" w:rsidRDefault="00AB2463"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基金登记机构只受理国家有权机关依法要求的基金份额的冻结与解冻，以及登记机构认可、符合法律法规的其他情况下的冻结与解冻。</w:t>
      </w:r>
    </w:p>
    <w:bookmarkEnd w:id="64"/>
    <w:p w14:paraId="54C3FDC9" w14:textId="77777777" w:rsidR="00BA4B87" w:rsidRPr="00E97AFD" w:rsidRDefault="00BA4B87" w:rsidP="00966694">
      <w:pPr>
        <w:pStyle w:val="1"/>
        <w:snapToGrid w:val="0"/>
        <w:spacing w:beforeLines="0" w:afterLines="0" w:line="360" w:lineRule="auto"/>
        <w:ind w:firstLine="640"/>
        <w:rPr>
          <w:rFonts w:asciiTheme="minorEastAsia" w:eastAsiaTheme="minorEastAsia" w:hAnsiTheme="minorEastAsia"/>
          <w:b/>
          <w:szCs w:val="21"/>
        </w:rPr>
      </w:pPr>
      <w:r w:rsidRPr="00E97AFD">
        <w:rPr>
          <w:rFonts w:asciiTheme="minorEastAsia" w:eastAsiaTheme="minorEastAsia" w:hAnsiTheme="minorEastAsia"/>
        </w:rPr>
        <w:br w:type="column"/>
      </w:r>
      <w:bookmarkStart w:id="67" w:name="_Toc43371982"/>
      <w:r w:rsidRPr="00E97AFD">
        <w:rPr>
          <w:rFonts w:asciiTheme="minorEastAsia" w:eastAsiaTheme="minorEastAsia" w:hAnsiTheme="minorEastAsia"/>
          <w:b/>
          <w:sz w:val="30"/>
        </w:rPr>
        <w:lastRenderedPageBreak/>
        <w:t>十</w:t>
      </w:r>
      <w:r w:rsidR="001A0AE7" w:rsidRPr="00E97AFD">
        <w:rPr>
          <w:rFonts w:asciiTheme="minorEastAsia" w:eastAsiaTheme="minorEastAsia" w:hAnsiTheme="minorEastAsia" w:hint="eastAsia"/>
          <w:b/>
          <w:sz w:val="30"/>
        </w:rPr>
        <w:t>二</w:t>
      </w:r>
      <w:r w:rsidRPr="00E97AFD">
        <w:rPr>
          <w:rFonts w:asciiTheme="minorEastAsia" w:eastAsiaTheme="minorEastAsia" w:hAnsiTheme="minorEastAsia"/>
          <w:b/>
          <w:sz w:val="30"/>
        </w:rPr>
        <w:t>、基金的投资</w:t>
      </w:r>
      <w:bookmarkEnd w:id="67"/>
    </w:p>
    <w:p w14:paraId="7DEBF928" w14:textId="77777777" w:rsidR="00916FC5" w:rsidRPr="00E97AFD" w:rsidRDefault="00916FC5"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（一）</w:t>
      </w:r>
      <w:r w:rsidRPr="00E97AFD">
        <w:rPr>
          <w:rFonts w:asciiTheme="minorEastAsia" w:eastAsiaTheme="minorEastAsia" w:hAnsiTheme="minorEastAsia"/>
          <w:bCs/>
          <w:szCs w:val="21"/>
        </w:rPr>
        <w:t>投资目标</w:t>
      </w:r>
    </w:p>
    <w:p w14:paraId="60C27E5F" w14:textId="77777777" w:rsidR="00916FC5" w:rsidRPr="00E97AFD" w:rsidRDefault="00916FC5" w:rsidP="00966694">
      <w:pPr>
        <w:snapToGrid w:val="0"/>
        <w:spacing w:line="360" w:lineRule="auto"/>
        <w:ind w:firstLineChars="200" w:firstLine="420"/>
        <w:jc w:val="left"/>
        <w:rPr>
          <w:rFonts w:asciiTheme="minorEastAsia" w:eastAsiaTheme="minorEastAsia" w:hAnsiTheme="minorEastAsia"/>
          <w:bCs/>
          <w:szCs w:val="21"/>
        </w:rPr>
      </w:pPr>
      <w:r w:rsidRPr="00E97AFD">
        <w:rPr>
          <w:rFonts w:asciiTheme="minorEastAsia" w:eastAsiaTheme="minorEastAsia" w:hAnsiTheme="minorEastAsia" w:hint="eastAsia"/>
          <w:bCs/>
          <w:szCs w:val="21"/>
        </w:rPr>
        <w:t>在有效控制投资风险和保持高流动性的基础上，力争获得高于业绩比较基准的投资回报。</w:t>
      </w:r>
    </w:p>
    <w:p w14:paraId="2076F2AE" w14:textId="77777777" w:rsidR="00916FC5" w:rsidRPr="00E97AFD" w:rsidRDefault="00916FC5"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（二）</w:t>
      </w:r>
      <w:r w:rsidRPr="00E97AFD">
        <w:rPr>
          <w:rFonts w:asciiTheme="minorEastAsia" w:eastAsiaTheme="minorEastAsia" w:hAnsiTheme="minorEastAsia"/>
          <w:bCs/>
          <w:szCs w:val="21"/>
        </w:rPr>
        <w:t>投资范围</w:t>
      </w:r>
    </w:p>
    <w:p w14:paraId="0E48D3D5" w14:textId="77777777" w:rsidR="00916FC5" w:rsidRPr="00E97AFD" w:rsidRDefault="00635EE4"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szCs w:val="21"/>
        </w:rPr>
        <w:t>本基金的投资范围为具有良好流动性的金融工具，包括现金，期限在一年以内（含一年）的银行存款、债券回购、中央银行票据、同业存单，剩余期限在397天以内（含397天）的债券、非金融企业债务融资工具、资产支持证券，以及法律法规或中国证监会、中国人民银行认可的其他具有良好流动性的货币市场工具</w:t>
      </w:r>
      <w:r w:rsidR="00916FC5" w:rsidRPr="00E97AFD">
        <w:rPr>
          <w:rFonts w:asciiTheme="minorEastAsia" w:eastAsiaTheme="minorEastAsia" w:hAnsiTheme="minorEastAsia" w:hint="eastAsia"/>
          <w:szCs w:val="21"/>
        </w:rPr>
        <w:t>。</w:t>
      </w:r>
    </w:p>
    <w:p w14:paraId="1AF344F5" w14:textId="77777777" w:rsidR="00916FC5" w:rsidRPr="00E97AFD" w:rsidRDefault="00916FC5"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如法律法规或监管机构以后对货币市场基金的投资范围与限制进行调整，本基金将随之调整。</w:t>
      </w:r>
    </w:p>
    <w:p w14:paraId="01A935C9" w14:textId="77777777" w:rsidR="00916FC5" w:rsidRPr="00E97AFD" w:rsidRDefault="00916FC5"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（三）</w:t>
      </w:r>
      <w:r w:rsidRPr="00E97AFD">
        <w:rPr>
          <w:rFonts w:asciiTheme="minorEastAsia" w:eastAsiaTheme="minorEastAsia" w:hAnsiTheme="minorEastAsia"/>
          <w:bCs/>
          <w:szCs w:val="21"/>
        </w:rPr>
        <w:t>投资策略</w:t>
      </w:r>
    </w:p>
    <w:p w14:paraId="53811E22" w14:textId="77777777" w:rsidR="00BD50CD" w:rsidRPr="00E97AFD" w:rsidRDefault="00BD50CD"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本基金将对基金资产组合进行积极管理，在深入研究国内外的宏观经济走势、货币政策变化趋势、市场资金供求状况的基础上，综合考虑各类投资品种的收益性、流动性和风险特征，力争获得高于业绩比较基准的投资回报。</w:t>
      </w:r>
    </w:p>
    <w:p w14:paraId="1B6DEE73" w14:textId="77777777" w:rsidR="00BD50CD" w:rsidRPr="00E97AFD" w:rsidRDefault="00BD50CD"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1、银行存款及</w:t>
      </w:r>
      <w:r w:rsidR="00635EE4" w:rsidRPr="00E97AFD">
        <w:rPr>
          <w:rFonts w:asciiTheme="minorEastAsia" w:eastAsiaTheme="minorEastAsia" w:hAnsiTheme="minorEastAsia" w:hint="eastAsia"/>
          <w:bCs/>
          <w:szCs w:val="21"/>
        </w:rPr>
        <w:t>同业</w:t>
      </w:r>
      <w:r w:rsidRPr="00E97AFD">
        <w:rPr>
          <w:rFonts w:asciiTheme="minorEastAsia" w:eastAsiaTheme="minorEastAsia" w:hAnsiTheme="minorEastAsia" w:hint="eastAsia"/>
          <w:bCs/>
          <w:szCs w:val="21"/>
        </w:rPr>
        <w:t>存单投资策略</w:t>
      </w:r>
    </w:p>
    <w:p w14:paraId="63616686" w14:textId="77777777" w:rsidR="00BD50CD" w:rsidRPr="00E97AFD" w:rsidRDefault="00BD50CD"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银行存款及</w:t>
      </w:r>
      <w:r w:rsidR="00635EE4" w:rsidRPr="00E97AFD">
        <w:rPr>
          <w:rFonts w:asciiTheme="minorEastAsia" w:eastAsiaTheme="minorEastAsia" w:hAnsiTheme="minorEastAsia" w:hint="eastAsia"/>
          <w:bCs/>
          <w:szCs w:val="21"/>
        </w:rPr>
        <w:t>同业</w:t>
      </w:r>
      <w:r w:rsidRPr="00E97AFD">
        <w:rPr>
          <w:rFonts w:asciiTheme="minorEastAsia" w:eastAsiaTheme="minorEastAsia" w:hAnsiTheme="minorEastAsia" w:hint="eastAsia"/>
          <w:bCs/>
          <w:szCs w:val="21"/>
        </w:rPr>
        <w:t>存单是本基金重要的投资对象。对于银行存款及</w:t>
      </w:r>
      <w:r w:rsidR="00635EE4" w:rsidRPr="00E97AFD">
        <w:rPr>
          <w:rFonts w:asciiTheme="minorEastAsia" w:eastAsiaTheme="minorEastAsia" w:hAnsiTheme="minorEastAsia" w:hint="eastAsia"/>
          <w:bCs/>
          <w:szCs w:val="21"/>
        </w:rPr>
        <w:t>同业</w:t>
      </w:r>
      <w:r w:rsidRPr="00E97AFD">
        <w:rPr>
          <w:rFonts w:asciiTheme="minorEastAsia" w:eastAsiaTheme="minorEastAsia" w:hAnsiTheme="minorEastAsia" w:hint="eastAsia"/>
          <w:bCs/>
          <w:szCs w:val="21"/>
        </w:rPr>
        <w:t>存单的投资，本基金根据宏观经济指标分析债券类资产和银行存款的预期收益率水平，制定和调整银行存款及</w:t>
      </w:r>
      <w:r w:rsidR="00635EE4" w:rsidRPr="00E97AFD">
        <w:rPr>
          <w:rFonts w:asciiTheme="minorEastAsia" w:eastAsiaTheme="minorEastAsia" w:hAnsiTheme="minorEastAsia" w:hint="eastAsia"/>
          <w:bCs/>
          <w:szCs w:val="21"/>
        </w:rPr>
        <w:t>同业</w:t>
      </w:r>
      <w:r w:rsidRPr="00E97AFD">
        <w:rPr>
          <w:rFonts w:asciiTheme="minorEastAsia" w:eastAsiaTheme="minorEastAsia" w:hAnsiTheme="minorEastAsia" w:hint="eastAsia"/>
          <w:bCs/>
          <w:szCs w:val="21"/>
        </w:rPr>
        <w:t>存单投资比例、存款期限等。</w:t>
      </w:r>
    </w:p>
    <w:p w14:paraId="2AA71E17" w14:textId="77777777" w:rsidR="00BD50CD" w:rsidRPr="00E97AFD" w:rsidRDefault="00BD50CD"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2、利率品种的投资策略</w:t>
      </w:r>
    </w:p>
    <w:p w14:paraId="683A120C" w14:textId="77777777" w:rsidR="00BD50CD" w:rsidRPr="00E97AFD" w:rsidRDefault="00BD50CD"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本基金对利率品种的投资，是在对国内、国外经济趋势进行分析和预测基础上，结合利率期限结构变化趋势和债券市场供求关系变化，据此确定组合的平均久期。在确定组合平均久期后，本基金对债券的期限结构进行分析，选择合适的期限结构配置策略，在合理控制风险的前提下，综合考虑组合的流动性，决定投资品种。</w:t>
      </w:r>
    </w:p>
    <w:p w14:paraId="16D35152" w14:textId="77777777" w:rsidR="00BD50CD" w:rsidRPr="00E97AFD" w:rsidRDefault="00BD50CD"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3、信用品种的投资策略</w:t>
      </w:r>
    </w:p>
    <w:p w14:paraId="43E36D0A" w14:textId="77777777" w:rsidR="00BD50CD" w:rsidRPr="00E97AFD" w:rsidRDefault="00BD50CD"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本基金根据基金管理人的“内部信用评级体系”，从市场上公开发行的信用债券中筛选投资备选券，形成信用债券投资备选库。从信用债券投资备选库中，本基金管理人结合本基金的投资与配置需要，通过分析比较到期收益率、剩余期限、流动性等特征，挑选适当的信用债券进行投资。</w:t>
      </w:r>
    </w:p>
    <w:p w14:paraId="06DADF98" w14:textId="77777777" w:rsidR="00BD50CD" w:rsidRPr="00E97AFD" w:rsidRDefault="00BD50CD"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4、债券回购投资策略</w:t>
      </w:r>
    </w:p>
    <w:p w14:paraId="15C07E39" w14:textId="77777777" w:rsidR="00BD50CD" w:rsidRPr="00E97AFD" w:rsidRDefault="00BD50CD"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在组合进行债券回购投资操作时，基金管理人将根究资金面走势等因素，选择回购的品种和期限。</w:t>
      </w:r>
    </w:p>
    <w:p w14:paraId="14B7066F" w14:textId="77777777" w:rsidR="00BD50CD" w:rsidRPr="00E97AFD" w:rsidRDefault="00BD50CD"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5、其他金融工具投资策略</w:t>
      </w:r>
    </w:p>
    <w:p w14:paraId="4C7E8CDE" w14:textId="77777777" w:rsidR="00916FC5" w:rsidRPr="00E97AFD" w:rsidRDefault="00BD50CD"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本基金将密切跟踪衍生产品等其他金融工具的动向。当监管机构允许基金参与其他金融工具的投资，本基金将按照届时生效的法律法规，根据对该金融工具的研究，制定符合本基</w:t>
      </w:r>
      <w:r w:rsidRPr="00E97AFD">
        <w:rPr>
          <w:rFonts w:asciiTheme="minorEastAsia" w:eastAsiaTheme="minorEastAsia" w:hAnsiTheme="minorEastAsia" w:hint="eastAsia"/>
          <w:bCs/>
          <w:szCs w:val="21"/>
        </w:rPr>
        <w:lastRenderedPageBreak/>
        <w:t>金投资目标的投资策略，在充分考虑该投资品种风险和收益特征的前提下，谨慎投资。</w:t>
      </w:r>
    </w:p>
    <w:p w14:paraId="2DEEF17F" w14:textId="77777777" w:rsidR="00916FC5" w:rsidRPr="00E97AFD" w:rsidRDefault="00916FC5"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（四）</w:t>
      </w:r>
      <w:r w:rsidRPr="00E97AFD">
        <w:rPr>
          <w:rFonts w:asciiTheme="minorEastAsia" w:eastAsiaTheme="minorEastAsia" w:hAnsiTheme="minorEastAsia"/>
          <w:bCs/>
          <w:szCs w:val="21"/>
        </w:rPr>
        <w:t>投资限制</w:t>
      </w:r>
    </w:p>
    <w:p w14:paraId="42B36E9A" w14:textId="77777777" w:rsidR="00916FC5" w:rsidRPr="00E97AFD" w:rsidRDefault="00916FC5"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、本基金不得投资于以下金融工具：</w:t>
      </w:r>
    </w:p>
    <w:p w14:paraId="78A6DF23"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（1）股票；</w:t>
      </w:r>
    </w:p>
    <w:p w14:paraId="34CB2FB6"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（2）可转换债券、可交换债券；</w:t>
      </w:r>
    </w:p>
    <w:p w14:paraId="71F22577"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（3）以定期存款利率为基准利率的浮动利率债券，已进入最后一个利率调整期的除外；</w:t>
      </w:r>
    </w:p>
    <w:p w14:paraId="719449F4"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（4）信用等级在AA+级以下的债券与非金融企业债务融资工具；</w:t>
      </w:r>
    </w:p>
    <w:p w14:paraId="60E5FC11"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（5）中国证监会、中国人民银行禁止投资的其他金融工具。</w:t>
      </w:r>
    </w:p>
    <w:p w14:paraId="7203FDB3"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法律法规或监管部门取消或变更上述限制后，本基金不受上述规定的限制并以最新规定为准。</w:t>
      </w:r>
    </w:p>
    <w:p w14:paraId="1E28C0F4"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2、本基金的投资组合将遵循以下比例限制：</w:t>
      </w:r>
    </w:p>
    <w:p w14:paraId="1C7F0D1C"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（1）本基金投资组合的平均剩余期限不得超过120天，平均剩余存续期不得超过240天；</w:t>
      </w:r>
    </w:p>
    <w:p w14:paraId="5126B50D"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（2）本基金持有同一机构发行的债券、非金融企业债务融资工具及其作为原始权益人的资产支持证券占基金资产净值的比例合计不得超过10%，国债、中央银行票据、政策性金融债券除外；</w:t>
      </w:r>
    </w:p>
    <w:p w14:paraId="54FC914F"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（3）本基金持有一家公司发行的证券，其市值不得超过基金资产净值的10%；本基金与由基金管理人管理的其他全部基金持有一家公司发行的证券，不得超过该证券的10%；</w:t>
      </w:r>
    </w:p>
    <w:p w14:paraId="785F5884"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4）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7CD3B177"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（5）本基金应保持足够比例的流动性资产以应对潜在的赎回要求，其投资组合应当符合下列规定：</w:t>
      </w:r>
    </w:p>
    <w:p w14:paraId="604C29A0"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1）现金、国债、中央银行票据、政策性金融债券占基金资产净值的比例合计不得低于5%</w:t>
      </w:r>
      <w:r w:rsidR="00B95C61" w:rsidRPr="00E97AFD">
        <w:rPr>
          <w:rFonts w:asciiTheme="minorEastAsia" w:eastAsiaTheme="minorEastAsia" w:hAnsiTheme="minorEastAsia" w:hint="eastAsia"/>
          <w:bCs/>
          <w:szCs w:val="21"/>
        </w:rPr>
        <w:t>，其中现金不包括结算备付金、存出保证金、应收申购款等</w:t>
      </w:r>
      <w:r w:rsidRPr="00E97AFD">
        <w:rPr>
          <w:rFonts w:asciiTheme="minorEastAsia" w:eastAsiaTheme="minorEastAsia" w:hAnsiTheme="minorEastAsia" w:hint="eastAsia"/>
          <w:bCs/>
          <w:szCs w:val="21"/>
        </w:rPr>
        <w:t>；</w:t>
      </w:r>
    </w:p>
    <w:p w14:paraId="64E5C1A7"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2）现金、国债、中央银行票据、政策性金融债券以及五个交易日内到期的其他金融工具占基金资产净值的比例合计不得低于10%；</w:t>
      </w:r>
    </w:p>
    <w:p w14:paraId="5D431E66"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3）到期日在10个交易日以上的逆回购、银行定期存款等流动性受限资产投资占基金资产净值的比例合计不得超过30%；</w:t>
      </w:r>
    </w:p>
    <w:p w14:paraId="72F21D1F"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4）除发生巨额赎回、连续3个交易日累计赎回20%以上或者连续5个交易日累计赎回30%以上的情形外，本基金债券正回购的资金余额占基金资产净值的比例不得超过20%；</w:t>
      </w:r>
    </w:p>
    <w:p w14:paraId="4D5427F2"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（6）本基金基金总资产不得超过基金净资产的140%；</w:t>
      </w:r>
    </w:p>
    <w:p w14:paraId="308D4828"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lastRenderedPageBreak/>
        <w:t>（7）本基金在全国银行间同业市场的债券回购最长期限为1年，债券回购到期后不得展期；</w:t>
      </w:r>
    </w:p>
    <w:p w14:paraId="3715E6D2" w14:textId="77777777" w:rsidR="00AB11FC" w:rsidRPr="00E97AFD" w:rsidRDefault="00635EE4" w:rsidP="00AB11FC">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（8）</w:t>
      </w:r>
      <w:r w:rsidR="00AB11FC" w:rsidRPr="00E97AFD">
        <w:rPr>
          <w:rFonts w:asciiTheme="minorEastAsia" w:eastAsiaTheme="minorEastAsia" w:hAnsiTheme="minorEastAsia" w:hint="eastAsia"/>
          <w:bCs/>
          <w:szCs w:val="21"/>
        </w:rPr>
        <w:t>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14:paraId="5E44DA48" w14:textId="77777777" w:rsidR="00AB11FC" w:rsidRPr="00E97AFD" w:rsidRDefault="00AB11FC" w:rsidP="00AB11FC">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本基金应投资于信用级别评级为AAA以上(含AAA)的资产支持证券。基金持有资产支持证券期间，如果其信用等级下降、不再符合投资标准，应在评级报告发布之日起3个月内予以全部卖出；</w:t>
      </w:r>
    </w:p>
    <w:p w14:paraId="1276EDC0" w14:textId="77777777" w:rsidR="00AB11FC" w:rsidRPr="00E97AFD" w:rsidRDefault="00AB11FC" w:rsidP="00AB11FC">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9）本基金投资的债券与非金融企业债务融资工具须具有评级资质的资信评级机构进行持续信用评级，信用评级主要参照最近一个会计年度的主体信用评级，如果对发行人同时有两家以上境内机构评级的，应采用孰低原则确定其评级，并结合基金管理人内部信用评级进行独立判断与认定；</w:t>
      </w:r>
    </w:p>
    <w:p w14:paraId="778BA04F" w14:textId="77777777" w:rsidR="00AB11FC" w:rsidRPr="00E97AFD" w:rsidRDefault="00AB11FC" w:rsidP="00AB11FC">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10）本基金主动投资于流动性受限资产的市值合计不得超过基金资产净值的10%。因证券市场波动、证券停牌、基金规模变动等基金管理人之外的因素致使基金不符合前款所规定比例限制的，基金管理人不得主动新增流动性受限资产的投资。</w:t>
      </w:r>
    </w:p>
    <w:p w14:paraId="4291F46E" w14:textId="77777777" w:rsidR="00AB11FC" w:rsidRPr="00E97AFD" w:rsidRDefault="00AB11FC" w:rsidP="00AB11FC">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11）本基金投资于主体信用评级低于AAA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本基金拟投资于主体信用评级低于AA+的商业银行的银行存款与同业存单的，应当经基金管理人董事会审议批准，相关交易应当事先征得基金托管人的同意，并作为重大事项履行信息披露程序。</w:t>
      </w:r>
    </w:p>
    <w:p w14:paraId="745AF201" w14:textId="77777777" w:rsidR="00AB11FC" w:rsidRPr="00E97AFD" w:rsidRDefault="00AB11FC" w:rsidP="00AB11FC">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（12）本基金根据份额持有人集中度情况对本基金的投资组合实施调整，并遵守以下要求：</w:t>
      </w:r>
    </w:p>
    <w:p w14:paraId="60030C98" w14:textId="77777777" w:rsidR="00AB11FC" w:rsidRPr="00E97AFD" w:rsidRDefault="00AB11FC" w:rsidP="00AB11FC">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1）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14:paraId="70070359" w14:textId="77777777" w:rsidR="00AB11FC" w:rsidRPr="00E97AFD" w:rsidRDefault="00AB11FC" w:rsidP="00AB11FC">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2）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14:paraId="58186F42" w14:textId="77777777" w:rsidR="00AB11FC" w:rsidRPr="00E97AFD" w:rsidRDefault="00AB11FC" w:rsidP="00AB11FC">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（13）本基金与私募类证券资管产品及中国证监会认定的其他主体为交易对手开展逆回</w:t>
      </w:r>
      <w:r w:rsidRPr="00E97AFD">
        <w:rPr>
          <w:rFonts w:asciiTheme="minorEastAsia" w:eastAsiaTheme="minorEastAsia" w:hAnsiTheme="minorEastAsia" w:hint="eastAsia"/>
          <w:bCs/>
          <w:szCs w:val="21"/>
        </w:rPr>
        <w:lastRenderedPageBreak/>
        <w:t>购交易的，可接受质押品的资质要求应当与基金合同约定的投资范围保持一致。</w:t>
      </w:r>
    </w:p>
    <w:p w14:paraId="3C710F9E" w14:textId="77777777" w:rsidR="00B95C61" w:rsidRPr="00E97AFD" w:rsidRDefault="00AB11FC" w:rsidP="00B95C61">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（14）中国证监会规定的其他比例限制。</w:t>
      </w:r>
    </w:p>
    <w:p w14:paraId="5870F5AA" w14:textId="77777777" w:rsidR="00635EE4" w:rsidRPr="00E97AFD" w:rsidRDefault="00AB11FC"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除第（1）、（5）之1）、（10）、（13）项外，</w:t>
      </w:r>
      <w:r w:rsidR="00635EE4" w:rsidRPr="00E97AFD">
        <w:rPr>
          <w:rFonts w:asciiTheme="minorEastAsia" w:eastAsiaTheme="minorEastAsia" w:hAnsiTheme="minorEastAsia" w:hint="eastAsia"/>
          <w:bCs/>
          <w:szCs w:val="21"/>
        </w:rPr>
        <w:t>因市场波动、基金规模变动等基金管理人之外的因素致使基金投资不符合上述规定投资比例的，基金管理人应当在10个交易日内进行调整，但中国证监会规定或上述条款另有约定的特殊情形除外。法律法规另有约定的，从其约定。</w:t>
      </w:r>
    </w:p>
    <w:p w14:paraId="008D6FBA"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3、若法律法规或中国证监会的相关规定发生修改或变更，以修改或变更后的规定为准。</w:t>
      </w:r>
    </w:p>
    <w:p w14:paraId="4D03D470"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管理人应当自基金合同生效之日起6个月内使基金的投资组合比例符合基金合同的有关约定。上述期间，基金的投资范围、投资策略应当符合基金合同的约定。基金托管人对基金的投资的监督与检查自本基金合同生效之日起。</w:t>
      </w:r>
    </w:p>
    <w:p w14:paraId="26F9AA6D"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4、投资组合平均剩余期限和平均剩余存续期限的计算</w:t>
      </w:r>
    </w:p>
    <w:p w14:paraId="530BDF74"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（1）平均剩余期限（天）的计算公式如下：</w:t>
      </w:r>
    </w:p>
    <w:p w14:paraId="09884667"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（Σ投资于金融工具产生的资产×剩余期限-Σ投资于金融工具产生的负债×剩余期限+债券正回购×剩余期限）/（投资于金融工具产生的资产-投资于金融工具产生的负债+债券正回购）</w:t>
      </w:r>
    </w:p>
    <w:p w14:paraId="4C01880D"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（2）平均剩余存续期限的计算公式如下：</w:t>
      </w:r>
    </w:p>
    <w:p w14:paraId="71CD421F"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（Σ投资于金融工具产生的资产×剩余存续期限-Σ投资于金融工具产生的负债×剩余存续期限+债券正回购×剩余存续期限）/（投资于金融工具产生的资产-投资于金融工具产生的负债+债券正回购）</w:t>
      </w:r>
    </w:p>
    <w:p w14:paraId="6A6E9293"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（3）各类资产和负债剩余期限和剩余存续期限的确定</w:t>
      </w:r>
    </w:p>
    <w:p w14:paraId="2EFA0039"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1）银行活期存款、清算备付金、交易保证金的剩余期限和剩余存续期限为0天；证券清算款的剩余期限和剩余存续期限以计算日至交收日的剩余交易日天数计算；</w:t>
      </w:r>
    </w:p>
    <w:p w14:paraId="47E756FC"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2）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14:paraId="1100D7F1"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3）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14:paraId="6868FC95"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4）中央银行票据的剩余期限和剩余存续期限以计算日至中央银行票据到期日的实际剩余天数计算；</w:t>
      </w:r>
    </w:p>
    <w:p w14:paraId="1EAEDDA3"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5）组合中债券的剩余期限和剩余存续期限是指计算日至债券到期日为止所剩余的天数，以下情况除外：</w:t>
      </w:r>
    </w:p>
    <w:p w14:paraId="35797335"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lastRenderedPageBreak/>
        <w:t>A、允许投资的可变利率或浮动利率债券的剩余期限以计算日至下一个利率调整日的实际剩余天数计算。</w:t>
      </w:r>
    </w:p>
    <w:p w14:paraId="0F458C8D"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B、允许投资的可变利率或浮动利率债券的剩余存续期限以计算日至债券到期日的实际剩余天数计算。</w:t>
      </w:r>
    </w:p>
    <w:p w14:paraId="7A2DBDF5"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平均剩余期限的计算结果保留至整数位，小数点后四舍五入。如法律法规或中国证监会对剩余期限计算方法另有规定的从其规定。</w:t>
      </w:r>
    </w:p>
    <w:p w14:paraId="47DD5DCF"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5、禁止行为</w:t>
      </w:r>
    </w:p>
    <w:p w14:paraId="1264A724"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为维护基金份额持有人的合法权益，基金财产不得用于下列投资或者活动：</w:t>
      </w:r>
    </w:p>
    <w:p w14:paraId="3A6CDADB"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（1）承销证券；</w:t>
      </w:r>
    </w:p>
    <w:p w14:paraId="7D14E809"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（2）违反规定向他人贷款或者提供担保；</w:t>
      </w:r>
    </w:p>
    <w:p w14:paraId="2616915D"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（3）从事承担无限责任的投资；</w:t>
      </w:r>
    </w:p>
    <w:p w14:paraId="4AD36C6F"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（4）向其基金管理人、基金托管人出资；</w:t>
      </w:r>
    </w:p>
    <w:p w14:paraId="2BF3BB63" w14:textId="77777777" w:rsidR="00635EE4" w:rsidRPr="00E97AFD" w:rsidRDefault="00635EE4" w:rsidP="00635EE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（5）从事内幕交易、操纵证券交易价格及其他不正当的证券交易活动；</w:t>
      </w:r>
    </w:p>
    <w:p w14:paraId="40688F5E" w14:textId="77777777" w:rsidR="00916FC5" w:rsidRPr="00E97AFD" w:rsidRDefault="00635EE4"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（6）法律、行政法规和中国证监会规定禁止的其他活动。</w:t>
      </w:r>
    </w:p>
    <w:p w14:paraId="0650F127" w14:textId="77777777" w:rsidR="00916FC5" w:rsidRPr="00E97AFD" w:rsidRDefault="00916FC5"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（五）</w:t>
      </w:r>
      <w:r w:rsidRPr="00E97AFD">
        <w:rPr>
          <w:rFonts w:asciiTheme="minorEastAsia" w:eastAsiaTheme="minorEastAsia" w:hAnsiTheme="minorEastAsia"/>
          <w:bCs/>
          <w:szCs w:val="21"/>
        </w:rPr>
        <w:t>业绩比较基准</w:t>
      </w:r>
    </w:p>
    <w:p w14:paraId="6A401D23" w14:textId="77777777" w:rsidR="00580FE0" w:rsidRPr="00E97AFD" w:rsidRDefault="00580FE0" w:rsidP="00966694">
      <w:pPr>
        <w:snapToGrid w:val="0"/>
        <w:spacing w:line="360" w:lineRule="auto"/>
        <w:ind w:firstLineChars="200" w:firstLine="420"/>
        <w:rPr>
          <w:rFonts w:asciiTheme="minorEastAsia" w:eastAsiaTheme="minorEastAsia" w:hAnsiTheme="minorEastAsia" w:cs="宋体"/>
          <w:bCs/>
          <w:szCs w:val="21"/>
        </w:rPr>
      </w:pPr>
      <w:r w:rsidRPr="00E97AFD">
        <w:rPr>
          <w:rFonts w:asciiTheme="minorEastAsia" w:eastAsiaTheme="minorEastAsia" w:hAnsiTheme="minorEastAsia" w:cs="宋体" w:hint="eastAsia"/>
          <w:bCs/>
          <w:szCs w:val="21"/>
        </w:rPr>
        <w:t>中国人民银行公布的七天通知存款利率（税后）</w:t>
      </w:r>
    </w:p>
    <w:p w14:paraId="38AABBDB" w14:textId="77777777" w:rsidR="00916FC5" w:rsidRPr="00E97AFD" w:rsidRDefault="00580FE0"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cs="宋体" w:hint="eastAsia"/>
          <w:bCs/>
          <w:szCs w:val="21"/>
        </w:rPr>
        <w:t>如果今后法律法规发生变化，或者中国人民银行调整或停止该基准利率的发布，或者有其他代表性更强、更科学客观的业绩比较基准适用于本基金时，经基金管理人和基金托管人协商一致后，本基金管理人可以在报中国证监会备案后变更业绩比较基准并及时公告，无需召开基金份额持有人大会审议。</w:t>
      </w:r>
    </w:p>
    <w:p w14:paraId="08F588DE" w14:textId="77777777" w:rsidR="00916FC5" w:rsidRPr="00E97AFD" w:rsidRDefault="00916FC5"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（六）</w:t>
      </w:r>
      <w:r w:rsidRPr="00E97AFD">
        <w:rPr>
          <w:rFonts w:asciiTheme="minorEastAsia" w:eastAsiaTheme="minorEastAsia" w:hAnsiTheme="minorEastAsia"/>
          <w:bCs/>
          <w:szCs w:val="21"/>
        </w:rPr>
        <w:t>风险收益特征</w:t>
      </w:r>
    </w:p>
    <w:p w14:paraId="4E906AFD" w14:textId="77777777" w:rsidR="00916FC5" w:rsidRPr="00E97AFD" w:rsidRDefault="00916FC5"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本基金为货币市场基金，是证券投资基金中的低风险品种。本基金的</w:t>
      </w:r>
      <w:r w:rsidR="00580FE0" w:rsidRPr="00E97AFD">
        <w:rPr>
          <w:rFonts w:asciiTheme="minorEastAsia" w:eastAsiaTheme="minorEastAsia" w:hAnsiTheme="minorEastAsia" w:hint="eastAsia"/>
          <w:bCs/>
          <w:szCs w:val="21"/>
        </w:rPr>
        <w:t>预期</w:t>
      </w:r>
      <w:r w:rsidRPr="00E97AFD">
        <w:rPr>
          <w:rFonts w:asciiTheme="minorEastAsia" w:eastAsiaTheme="minorEastAsia" w:hAnsiTheme="minorEastAsia" w:hint="eastAsia"/>
          <w:bCs/>
          <w:szCs w:val="21"/>
        </w:rPr>
        <w:t>风险和预期收益低于股票型基金、混合型基金和债券型基金。</w:t>
      </w:r>
    </w:p>
    <w:p w14:paraId="15654A8C" w14:textId="77777777" w:rsidR="00916FC5" w:rsidRPr="00E97AFD" w:rsidRDefault="00916FC5"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（七）基金的融资融券</w:t>
      </w:r>
    </w:p>
    <w:p w14:paraId="69E9A025" w14:textId="77777777" w:rsidR="002C7E84" w:rsidRPr="00E97AFD" w:rsidRDefault="00916FC5"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本基金可以根据届时有效的有关法律法规和政策的规定进行融资融券。</w:t>
      </w:r>
    </w:p>
    <w:p w14:paraId="42B189A0" w14:textId="77777777" w:rsidR="00D708BF" w:rsidRPr="00E97AFD" w:rsidRDefault="00D708BF" w:rsidP="00966694">
      <w:pPr>
        <w:snapToGrid w:val="0"/>
        <w:spacing w:line="360" w:lineRule="auto"/>
        <w:ind w:firstLineChars="200" w:firstLine="420"/>
        <w:rPr>
          <w:rFonts w:asciiTheme="minorEastAsia" w:eastAsiaTheme="minorEastAsia" w:hAnsiTheme="minorEastAsia"/>
          <w:bCs/>
          <w:szCs w:val="21"/>
        </w:rPr>
      </w:pPr>
      <w:bookmarkStart w:id="68" w:name="_Toc390433598"/>
      <w:r w:rsidRPr="00E97AFD">
        <w:rPr>
          <w:rFonts w:asciiTheme="minorEastAsia" w:eastAsiaTheme="minorEastAsia" w:hAnsiTheme="minorEastAsia"/>
          <w:bCs/>
          <w:szCs w:val="21"/>
        </w:rPr>
        <w:t>（</w:t>
      </w:r>
      <w:r w:rsidRPr="00E97AFD">
        <w:rPr>
          <w:rFonts w:asciiTheme="minorEastAsia" w:eastAsiaTheme="minorEastAsia" w:hAnsiTheme="minorEastAsia" w:hint="eastAsia"/>
          <w:bCs/>
          <w:szCs w:val="21"/>
        </w:rPr>
        <w:t>八</w:t>
      </w:r>
      <w:r w:rsidRPr="00E97AFD">
        <w:rPr>
          <w:rFonts w:asciiTheme="minorEastAsia" w:eastAsiaTheme="minorEastAsia" w:hAnsiTheme="minorEastAsia"/>
          <w:bCs/>
          <w:szCs w:val="21"/>
        </w:rPr>
        <w:t>）</w:t>
      </w:r>
      <w:r w:rsidRPr="00E97AFD">
        <w:rPr>
          <w:rFonts w:asciiTheme="minorEastAsia" w:eastAsiaTheme="minorEastAsia" w:hAnsiTheme="minorEastAsia" w:hint="eastAsia"/>
          <w:bCs/>
          <w:szCs w:val="21"/>
        </w:rPr>
        <w:t>基金投资组合报告（未经审计）</w:t>
      </w:r>
      <w:bookmarkEnd w:id="68"/>
    </w:p>
    <w:p w14:paraId="2FF9A554" w14:textId="77777777" w:rsidR="00D708BF" w:rsidRPr="00E97AFD" w:rsidRDefault="00D708BF"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本基金管理人的董事会及董事保证本报告所载资料不存在虚假记载、误导性陈述或重大遗漏，并对其内容的真实性、准确性和完整性承担个别及连带责任。</w:t>
      </w:r>
    </w:p>
    <w:p w14:paraId="17485811" w14:textId="77777777" w:rsidR="00D708BF" w:rsidRPr="00E97AFD" w:rsidRDefault="00D708BF"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本基金的托管人</w:t>
      </w:r>
      <w:r w:rsidRPr="00E97AFD">
        <w:rPr>
          <w:rFonts w:asciiTheme="minorEastAsia" w:eastAsiaTheme="minorEastAsia" w:hAnsiTheme="minorEastAsia" w:hint="eastAsia"/>
          <w:spacing w:val="6"/>
          <w:szCs w:val="21"/>
        </w:rPr>
        <w:t>中国建设银行股份有限公司</w:t>
      </w:r>
      <w:r w:rsidRPr="00E97AFD">
        <w:rPr>
          <w:rFonts w:asciiTheme="minorEastAsia" w:eastAsiaTheme="minorEastAsia" w:hAnsiTheme="minorEastAsia" w:hint="eastAsia"/>
          <w:szCs w:val="21"/>
        </w:rPr>
        <w:t>根据本基金合同的规定，复核了本报告的内容，保证复核内容不存在虚假记载、误导性陈述或者重大遗漏。</w:t>
      </w:r>
    </w:p>
    <w:p w14:paraId="4D6741C4" w14:textId="4162FDC0" w:rsidR="00D708BF" w:rsidRPr="00E97AFD" w:rsidRDefault="0027563B"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本投资组合报告有关数据的期间为2020年1月1日至2020年3月31日</w:t>
      </w:r>
      <w:r w:rsidR="00D708BF" w:rsidRPr="00E97AFD">
        <w:rPr>
          <w:rFonts w:asciiTheme="minorEastAsia" w:eastAsiaTheme="minorEastAsia" w:hAnsiTheme="minorEastAsia" w:hint="eastAsia"/>
          <w:bCs/>
          <w:szCs w:val="21"/>
        </w:rPr>
        <w:t>。</w:t>
      </w:r>
    </w:p>
    <w:p w14:paraId="3F378139"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1、报告期末基金资产组合情况</w:t>
      </w:r>
    </w:p>
    <w:tbl>
      <w:tblPr>
        <w:tblW w:w="7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8"/>
        <w:gridCol w:w="2954"/>
        <w:gridCol w:w="2747"/>
        <w:gridCol w:w="1636"/>
      </w:tblGrid>
      <w:tr w:rsidR="0027563B" w:rsidRPr="00E97AFD" w14:paraId="2AC14FAD" w14:textId="77777777" w:rsidTr="0027563B">
        <w:tc>
          <w:tcPr>
            <w:tcW w:w="720" w:type="dxa"/>
            <w:tcBorders>
              <w:top w:val="single" w:sz="4" w:space="0" w:color="auto"/>
              <w:left w:val="single" w:sz="4" w:space="0" w:color="auto"/>
              <w:bottom w:val="single" w:sz="4" w:space="0" w:color="auto"/>
              <w:right w:val="single" w:sz="4" w:space="0" w:color="auto"/>
            </w:tcBorders>
            <w:vAlign w:val="center"/>
            <w:hideMark/>
          </w:tcPr>
          <w:p w14:paraId="4F654704" w14:textId="77777777" w:rsidR="0027563B" w:rsidRPr="00E97AFD" w:rsidRDefault="0027563B">
            <w:pPr>
              <w:spacing w:before="29" w:line="300" w:lineRule="auto"/>
              <w:ind w:left="17"/>
              <w:jc w:val="center"/>
              <w:rPr>
                <w:rFonts w:asciiTheme="minorEastAsia" w:eastAsiaTheme="minorEastAsia" w:hAnsiTheme="minorEastAsia"/>
                <w:szCs w:val="22"/>
              </w:rPr>
            </w:pPr>
            <w:r w:rsidRPr="00E97AFD">
              <w:rPr>
                <w:rFonts w:asciiTheme="minorEastAsia" w:eastAsiaTheme="minorEastAsia" w:hAnsiTheme="minorEastAsia" w:hint="eastAsia"/>
              </w:rPr>
              <w:t>序号</w:t>
            </w:r>
          </w:p>
        </w:tc>
        <w:tc>
          <w:tcPr>
            <w:tcW w:w="3357" w:type="dxa"/>
            <w:tcBorders>
              <w:top w:val="single" w:sz="4" w:space="0" w:color="auto"/>
              <w:left w:val="single" w:sz="4" w:space="0" w:color="auto"/>
              <w:bottom w:val="single" w:sz="4" w:space="0" w:color="auto"/>
              <w:right w:val="single" w:sz="4" w:space="0" w:color="auto"/>
            </w:tcBorders>
            <w:vAlign w:val="center"/>
            <w:hideMark/>
          </w:tcPr>
          <w:p w14:paraId="7B624016" w14:textId="77777777" w:rsidR="0027563B" w:rsidRPr="00E97AFD" w:rsidRDefault="0027563B">
            <w:pPr>
              <w:spacing w:before="29" w:line="300" w:lineRule="auto"/>
              <w:ind w:left="17"/>
              <w:jc w:val="center"/>
              <w:rPr>
                <w:rFonts w:asciiTheme="minorEastAsia" w:eastAsiaTheme="minorEastAsia" w:hAnsiTheme="minorEastAsia" w:cstheme="minorBidi"/>
              </w:rPr>
            </w:pPr>
            <w:r w:rsidRPr="00E97AFD">
              <w:rPr>
                <w:rFonts w:asciiTheme="minorEastAsia" w:eastAsiaTheme="minorEastAsia" w:hAnsiTheme="minorEastAsia" w:hint="eastAsia"/>
              </w:rPr>
              <w:t>项目</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34191D1" w14:textId="77777777" w:rsidR="0027563B" w:rsidRPr="00E97AFD" w:rsidRDefault="0027563B">
            <w:pPr>
              <w:spacing w:before="29" w:line="300" w:lineRule="auto"/>
              <w:ind w:left="17"/>
              <w:jc w:val="center"/>
              <w:rPr>
                <w:rFonts w:asciiTheme="minorEastAsia" w:eastAsiaTheme="minorEastAsia" w:hAnsiTheme="minorEastAsia"/>
              </w:rPr>
            </w:pPr>
            <w:r w:rsidRPr="00E97AFD">
              <w:rPr>
                <w:rFonts w:asciiTheme="minorEastAsia" w:eastAsiaTheme="minorEastAsia" w:hAnsiTheme="minorEastAsia" w:hint="eastAsia"/>
              </w:rPr>
              <w:t>金额（元）</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83C24A" w14:textId="77777777" w:rsidR="0027563B" w:rsidRPr="00E97AFD" w:rsidRDefault="0027563B">
            <w:pPr>
              <w:spacing w:before="29" w:line="300" w:lineRule="auto"/>
              <w:ind w:left="17"/>
              <w:jc w:val="center"/>
              <w:rPr>
                <w:rFonts w:asciiTheme="minorEastAsia" w:eastAsiaTheme="minorEastAsia" w:hAnsiTheme="minorEastAsia"/>
              </w:rPr>
            </w:pPr>
            <w:r w:rsidRPr="00E97AFD">
              <w:rPr>
                <w:rFonts w:asciiTheme="minorEastAsia" w:eastAsiaTheme="minorEastAsia" w:hAnsiTheme="minorEastAsia" w:hint="eastAsia"/>
              </w:rPr>
              <w:t>占基金总资产的比例(%)</w:t>
            </w:r>
          </w:p>
        </w:tc>
      </w:tr>
      <w:tr w:rsidR="0027563B" w:rsidRPr="00E97AFD" w14:paraId="12A9C591" w14:textId="77777777" w:rsidTr="0027563B">
        <w:tc>
          <w:tcPr>
            <w:tcW w:w="720" w:type="dxa"/>
            <w:tcBorders>
              <w:top w:val="single" w:sz="4" w:space="0" w:color="auto"/>
              <w:left w:val="single" w:sz="4" w:space="0" w:color="auto"/>
              <w:bottom w:val="single" w:sz="4" w:space="0" w:color="auto"/>
              <w:right w:val="single" w:sz="4" w:space="0" w:color="auto"/>
            </w:tcBorders>
            <w:vAlign w:val="center"/>
            <w:hideMark/>
          </w:tcPr>
          <w:p w14:paraId="551A728F" w14:textId="77777777" w:rsidR="0027563B" w:rsidRPr="00E97AFD" w:rsidRDefault="0027563B">
            <w:pPr>
              <w:spacing w:before="29" w:line="300" w:lineRule="auto"/>
              <w:ind w:left="17"/>
              <w:jc w:val="center"/>
              <w:rPr>
                <w:rFonts w:asciiTheme="minorEastAsia" w:eastAsiaTheme="minorEastAsia" w:hAnsiTheme="minorEastAsia"/>
              </w:rPr>
            </w:pPr>
            <w:r w:rsidRPr="00E97AFD">
              <w:rPr>
                <w:rFonts w:asciiTheme="minorEastAsia" w:eastAsiaTheme="minorEastAsia" w:hAnsiTheme="minorEastAsia" w:hint="eastAsia"/>
              </w:rPr>
              <w:lastRenderedPageBreak/>
              <w:t>1</w:t>
            </w:r>
          </w:p>
        </w:tc>
        <w:tc>
          <w:tcPr>
            <w:tcW w:w="3357" w:type="dxa"/>
            <w:tcBorders>
              <w:top w:val="single" w:sz="4" w:space="0" w:color="auto"/>
              <w:left w:val="single" w:sz="4" w:space="0" w:color="auto"/>
              <w:bottom w:val="single" w:sz="4" w:space="0" w:color="auto"/>
              <w:right w:val="single" w:sz="4" w:space="0" w:color="auto"/>
            </w:tcBorders>
            <w:vAlign w:val="center"/>
            <w:hideMark/>
          </w:tcPr>
          <w:p w14:paraId="72A9B6EB" w14:textId="77777777" w:rsidR="0027563B" w:rsidRPr="00E97AFD" w:rsidRDefault="0027563B">
            <w:pPr>
              <w:spacing w:before="29" w:line="300" w:lineRule="auto"/>
              <w:ind w:left="17"/>
              <w:jc w:val="left"/>
              <w:rPr>
                <w:rFonts w:asciiTheme="minorEastAsia" w:eastAsiaTheme="minorEastAsia" w:hAnsiTheme="minorEastAsia"/>
              </w:rPr>
            </w:pPr>
            <w:r w:rsidRPr="00E97AFD">
              <w:rPr>
                <w:rFonts w:asciiTheme="minorEastAsia" w:eastAsiaTheme="minorEastAsia" w:hAnsiTheme="minorEastAsia" w:hint="eastAsia"/>
              </w:rPr>
              <w:t>固定收益投资</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3DB4B28"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2,557,067,173.55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EDF2C0D"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34.84</w:t>
            </w:r>
          </w:p>
        </w:tc>
      </w:tr>
      <w:tr w:rsidR="0027563B" w:rsidRPr="00E97AFD" w14:paraId="65B9EE0F" w14:textId="77777777" w:rsidTr="0027563B">
        <w:tc>
          <w:tcPr>
            <w:tcW w:w="720" w:type="dxa"/>
            <w:tcBorders>
              <w:top w:val="single" w:sz="4" w:space="0" w:color="auto"/>
              <w:left w:val="single" w:sz="4" w:space="0" w:color="auto"/>
              <w:bottom w:val="single" w:sz="4" w:space="0" w:color="auto"/>
              <w:right w:val="single" w:sz="4" w:space="0" w:color="auto"/>
            </w:tcBorders>
            <w:vAlign w:val="center"/>
          </w:tcPr>
          <w:p w14:paraId="160D1329" w14:textId="77777777" w:rsidR="0027563B" w:rsidRPr="00E97AFD" w:rsidRDefault="0027563B">
            <w:pPr>
              <w:spacing w:before="29" w:line="300" w:lineRule="auto"/>
              <w:ind w:left="17"/>
              <w:jc w:val="center"/>
              <w:rPr>
                <w:rFonts w:asciiTheme="minorEastAsia" w:eastAsiaTheme="minorEastAsia" w:hAnsiTheme="minorEastAsia"/>
              </w:rPr>
            </w:pPr>
          </w:p>
        </w:tc>
        <w:tc>
          <w:tcPr>
            <w:tcW w:w="3357" w:type="dxa"/>
            <w:tcBorders>
              <w:top w:val="single" w:sz="4" w:space="0" w:color="auto"/>
              <w:left w:val="single" w:sz="4" w:space="0" w:color="auto"/>
              <w:bottom w:val="single" w:sz="4" w:space="0" w:color="auto"/>
              <w:right w:val="single" w:sz="4" w:space="0" w:color="auto"/>
            </w:tcBorders>
            <w:vAlign w:val="center"/>
            <w:hideMark/>
          </w:tcPr>
          <w:p w14:paraId="0EA4CA50" w14:textId="77777777" w:rsidR="0027563B" w:rsidRPr="00E97AFD" w:rsidRDefault="0027563B">
            <w:pPr>
              <w:spacing w:before="29" w:line="300" w:lineRule="auto"/>
              <w:ind w:left="17"/>
              <w:jc w:val="left"/>
              <w:rPr>
                <w:rFonts w:asciiTheme="minorEastAsia" w:eastAsiaTheme="minorEastAsia" w:hAnsiTheme="minorEastAsia"/>
              </w:rPr>
            </w:pPr>
            <w:r w:rsidRPr="00E97AFD">
              <w:rPr>
                <w:rFonts w:asciiTheme="minorEastAsia" w:eastAsiaTheme="minorEastAsia" w:hAnsiTheme="minorEastAsia" w:hint="eastAsia"/>
              </w:rPr>
              <w:t>其中：债券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2F21E4D"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2,404,067,173.55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D81557F"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32.75</w:t>
            </w:r>
          </w:p>
        </w:tc>
      </w:tr>
      <w:tr w:rsidR="0027563B" w:rsidRPr="00E97AFD" w14:paraId="20630465" w14:textId="77777777" w:rsidTr="0027563B">
        <w:tc>
          <w:tcPr>
            <w:tcW w:w="720" w:type="dxa"/>
            <w:tcBorders>
              <w:top w:val="single" w:sz="4" w:space="0" w:color="auto"/>
              <w:left w:val="single" w:sz="4" w:space="0" w:color="auto"/>
              <w:bottom w:val="single" w:sz="4" w:space="0" w:color="auto"/>
              <w:right w:val="single" w:sz="4" w:space="0" w:color="auto"/>
            </w:tcBorders>
            <w:vAlign w:val="center"/>
          </w:tcPr>
          <w:p w14:paraId="28EE9848" w14:textId="77777777" w:rsidR="0027563B" w:rsidRPr="00E97AFD" w:rsidRDefault="0027563B">
            <w:pPr>
              <w:spacing w:before="29" w:line="300" w:lineRule="auto"/>
              <w:ind w:left="17"/>
              <w:jc w:val="center"/>
              <w:rPr>
                <w:rFonts w:asciiTheme="minorEastAsia" w:eastAsiaTheme="minorEastAsia" w:hAnsiTheme="minorEastAsia"/>
              </w:rPr>
            </w:pPr>
          </w:p>
        </w:tc>
        <w:tc>
          <w:tcPr>
            <w:tcW w:w="3357" w:type="dxa"/>
            <w:tcBorders>
              <w:top w:val="single" w:sz="4" w:space="0" w:color="auto"/>
              <w:left w:val="single" w:sz="4" w:space="0" w:color="auto"/>
              <w:bottom w:val="single" w:sz="4" w:space="0" w:color="auto"/>
              <w:right w:val="single" w:sz="4" w:space="0" w:color="auto"/>
            </w:tcBorders>
            <w:vAlign w:val="center"/>
            <w:hideMark/>
          </w:tcPr>
          <w:p w14:paraId="6454CC09" w14:textId="77777777" w:rsidR="0027563B" w:rsidRPr="00E97AFD" w:rsidRDefault="0027563B">
            <w:pPr>
              <w:autoSpaceDE w:val="0"/>
              <w:autoSpaceDN w:val="0"/>
              <w:adjustRightInd w:val="0"/>
              <w:spacing w:before="29" w:line="300" w:lineRule="auto"/>
              <w:ind w:left="17"/>
              <w:jc w:val="left"/>
              <w:rPr>
                <w:rFonts w:asciiTheme="minorEastAsia" w:eastAsiaTheme="minorEastAsia" w:hAnsiTheme="minorEastAsia"/>
              </w:rPr>
            </w:pPr>
            <w:r w:rsidRPr="00E97AFD">
              <w:rPr>
                <w:rFonts w:asciiTheme="minorEastAsia" w:eastAsiaTheme="minorEastAsia" w:hAnsiTheme="minorEastAsia" w:hint="eastAsia"/>
              </w:rPr>
              <w:t>资产支持证券</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42452DB"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153,000,000.00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08B7061"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2.08</w:t>
            </w:r>
          </w:p>
        </w:tc>
      </w:tr>
      <w:tr w:rsidR="0027563B" w:rsidRPr="00E97AFD" w14:paraId="386414DC" w14:textId="77777777" w:rsidTr="0027563B">
        <w:tc>
          <w:tcPr>
            <w:tcW w:w="720" w:type="dxa"/>
            <w:tcBorders>
              <w:top w:val="single" w:sz="4" w:space="0" w:color="auto"/>
              <w:left w:val="single" w:sz="4" w:space="0" w:color="auto"/>
              <w:bottom w:val="single" w:sz="4" w:space="0" w:color="auto"/>
              <w:right w:val="single" w:sz="4" w:space="0" w:color="auto"/>
            </w:tcBorders>
            <w:vAlign w:val="center"/>
            <w:hideMark/>
          </w:tcPr>
          <w:p w14:paraId="11AC514A" w14:textId="77777777" w:rsidR="0027563B" w:rsidRPr="00E97AFD" w:rsidRDefault="0027563B">
            <w:pPr>
              <w:spacing w:before="29" w:line="300" w:lineRule="auto"/>
              <w:ind w:left="17"/>
              <w:jc w:val="center"/>
              <w:rPr>
                <w:rFonts w:asciiTheme="minorEastAsia" w:eastAsiaTheme="minorEastAsia" w:hAnsiTheme="minorEastAsia"/>
              </w:rPr>
            </w:pPr>
            <w:r w:rsidRPr="00E97AFD">
              <w:rPr>
                <w:rFonts w:asciiTheme="minorEastAsia" w:eastAsiaTheme="minorEastAsia" w:hAnsiTheme="minorEastAsia" w:hint="eastAsia"/>
              </w:rPr>
              <w:t>2</w:t>
            </w:r>
          </w:p>
        </w:tc>
        <w:tc>
          <w:tcPr>
            <w:tcW w:w="3357" w:type="dxa"/>
            <w:tcBorders>
              <w:top w:val="single" w:sz="4" w:space="0" w:color="auto"/>
              <w:left w:val="single" w:sz="4" w:space="0" w:color="auto"/>
              <w:bottom w:val="single" w:sz="4" w:space="0" w:color="auto"/>
              <w:right w:val="single" w:sz="4" w:space="0" w:color="auto"/>
            </w:tcBorders>
            <w:vAlign w:val="center"/>
            <w:hideMark/>
          </w:tcPr>
          <w:p w14:paraId="1AB73902" w14:textId="77777777" w:rsidR="0027563B" w:rsidRPr="00E97AFD" w:rsidRDefault="0027563B">
            <w:pPr>
              <w:spacing w:before="29" w:line="300" w:lineRule="auto"/>
              <w:ind w:left="17"/>
              <w:jc w:val="left"/>
              <w:rPr>
                <w:rFonts w:asciiTheme="minorEastAsia" w:eastAsiaTheme="minorEastAsia" w:hAnsiTheme="minorEastAsia"/>
              </w:rPr>
            </w:pPr>
            <w:r w:rsidRPr="00E97AFD">
              <w:rPr>
                <w:rFonts w:asciiTheme="minorEastAsia" w:eastAsiaTheme="minorEastAsia" w:hAnsiTheme="minorEastAsia" w:hint="eastAsia"/>
              </w:rPr>
              <w:t>买入返售金融资产</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212D341"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2,620,452,685.68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73F09B4"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35.70</w:t>
            </w:r>
          </w:p>
        </w:tc>
      </w:tr>
      <w:tr w:rsidR="0027563B" w:rsidRPr="00E97AFD" w14:paraId="2E1AA502" w14:textId="77777777" w:rsidTr="0027563B">
        <w:tc>
          <w:tcPr>
            <w:tcW w:w="720" w:type="dxa"/>
            <w:tcBorders>
              <w:top w:val="single" w:sz="4" w:space="0" w:color="auto"/>
              <w:left w:val="single" w:sz="4" w:space="0" w:color="auto"/>
              <w:bottom w:val="single" w:sz="4" w:space="0" w:color="auto"/>
              <w:right w:val="single" w:sz="4" w:space="0" w:color="auto"/>
            </w:tcBorders>
            <w:vAlign w:val="center"/>
          </w:tcPr>
          <w:p w14:paraId="72811DED" w14:textId="77777777" w:rsidR="0027563B" w:rsidRPr="00E97AFD" w:rsidRDefault="0027563B">
            <w:pPr>
              <w:spacing w:before="29" w:line="300" w:lineRule="auto"/>
              <w:ind w:left="17"/>
              <w:jc w:val="center"/>
              <w:rPr>
                <w:rFonts w:asciiTheme="minorEastAsia" w:eastAsiaTheme="minorEastAsia" w:hAnsiTheme="minorEastAsia"/>
              </w:rPr>
            </w:pPr>
          </w:p>
        </w:tc>
        <w:tc>
          <w:tcPr>
            <w:tcW w:w="3357" w:type="dxa"/>
            <w:tcBorders>
              <w:top w:val="single" w:sz="4" w:space="0" w:color="auto"/>
              <w:left w:val="single" w:sz="4" w:space="0" w:color="auto"/>
              <w:bottom w:val="single" w:sz="4" w:space="0" w:color="auto"/>
              <w:right w:val="single" w:sz="4" w:space="0" w:color="auto"/>
            </w:tcBorders>
            <w:vAlign w:val="center"/>
            <w:hideMark/>
          </w:tcPr>
          <w:p w14:paraId="5E65FD6A" w14:textId="77777777" w:rsidR="0027563B" w:rsidRPr="00E97AFD" w:rsidRDefault="0027563B">
            <w:pPr>
              <w:spacing w:before="29" w:line="300" w:lineRule="auto"/>
              <w:ind w:left="17"/>
              <w:jc w:val="left"/>
              <w:rPr>
                <w:rFonts w:asciiTheme="minorEastAsia" w:eastAsiaTheme="minorEastAsia" w:hAnsiTheme="minorEastAsia"/>
              </w:rPr>
            </w:pPr>
            <w:r w:rsidRPr="00E97AFD">
              <w:rPr>
                <w:rFonts w:asciiTheme="minorEastAsia" w:eastAsiaTheme="minorEastAsia" w:hAnsiTheme="minorEastAsia" w:hint="eastAsia"/>
              </w:rPr>
              <w:t>其中：买断式回购的买入返售金融资产</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9B7B024"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6ED0661"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w:t>
            </w:r>
          </w:p>
        </w:tc>
      </w:tr>
      <w:tr w:rsidR="0027563B" w:rsidRPr="00E97AFD" w14:paraId="785879B5" w14:textId="77777777" w:rsidTr="0027563B">
        <w:tc>
          <w:tcPr>
            <w:tcW w:w="720" w:type="dxa"/>
            <w:tcBorders>
              <w:top w:val="single" w:sz="4" w:space="0" w:color="auto"/>
              <w:left w:val="single" w:sz="4" w:space="0" w:color="auto"/>
              <w:bottom w:val="single" w:sz="4" w:space="0" w:color="auto"/>
              <w:right w:val="single" w:sz="4" w:space="0" w:color="auto"/>
            </w:tcBorders>
            <w:vAlign w:val="center"/>
            <w:hideMark/>
          </w:tcPr>
          <w:p w14:paraId="4F391B89" w14:textId="77777777" w:rsidR="0027563B" w:rsidRPr="00E97AFD" w:rsidRDefault="0027563B">
            <w:pPr>
              <w:spacing w:before="29" w:line="300" w:lineRule="auto"/>
              <w:ind w:left="17"/>
              <w:jc w:val="center"/>
              <w:rPr>
                <w:rFonts w:asciiTheme="minorEastAsia" w:eastAsiaTheme="minorEastAsia" w:hAnsiTheme="minorEastAsia"/>
              </w:rPr>
            </w:pPr>
            <w:r w:rsidRPr="00E97AFD">
              <w:rPr>
                <w:rFonts w:asciiTheme="minorEastAsia" w:eastAsiaTheme="minorEastAsia" w:hAnsiTheme="minorEastAsia" w:hint="eastAsia"/>
              </w:rPr>
              <w:t>3</w:t>
            </w:r>
          </w:p>
        </w:tc>
        <w:tc>
          <w:tcPr>
            <w:tcW w:w="3357" w:type="dxa"/>
            <w:tcBorders>
              <w:top w:val="single" w:sz="4" w:space="0" w:color="auto"/>
              <w:left w:val="single" w:sz="4" w:space="0" w:color="auto"/>
              <w:bottom w:val="single" w:sz="4" w:space="0" w:color="auto"/>
              <w:right w:val="single" w:sz="4" w:space="0" w:color="auto"/>
            </w:tcBorders>
            <w:vAlign w:val="center"/>
            <w:hideMark/>
          </w:tcPr>
          <w:p w14:paraId="5CE2407E" w14:textId="77777777" w:rsidR="0027563B" w:rsidRPr="00E97AFD" w:rsidRDefault="0027563B">
            <w:pPr>
              <w:spacing w:before="29" w:line="300" w:lineRule="auto"/>
              <w:ind w:left="17"/>
              <w:jc w:val="left"/>
              <w:rPr>
                <w:rFonts w:asciiTheme="minorEastAsia" w:eastAsiaTheme="minorEastAsia" w:hAnsiTheme="minorEastAsia"/>
              </w:rPr>
            </w:pPr>
            <w:r w:rsidRPr="00E97AFD">
              <w:rPr>
                <w:rFonts w:asciiTheme="minorEastAsia" w:eastAsiaTheme="minorEastAsia" w:hAnsiTheme="minorEastAsia" w:hint="eastAsia"/>
              </w:rPr>
              <w:t>银行存款和结算备付金合计</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ED106ED"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2,135,366,093.53</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03942D"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29.09</w:t>
            </w:r>
          </w:p>
        </w:tc>
      </w:tr>
      <w:tr w:rsidR="0027563B" w:rsidRPr="00E97AFD" w14:paraId="5F28D057" w14:textId="77777777" w:rsidTr="0027563B">
        <w:tc>
          <w:tcPr>
            <w:tcW w:w="720" w:type="dxa"/>
            <w:tcBorders>
              <w:top w:val="single" w:sz="4" w:space="0" w:color="auto"/>
              <w:left w:val="single" w:sz="4" w:space="0" w:color="auto"/>
              <w:bottom w:val="single" w:sz="4" w:space="0" w:color="auto"/>
              <w:right w:val="single" w:sz="4" w:space="0" w:color="auto"/>
            </w:tcBorders>
            <w:vAlign w:val="center"/>
            <w:hideMark/>
          </w:tcPr>
          <w:p w14:paraId="7541FC27" w14:textId="77777777" w:rsidR="0027563B" w:rsidRPr="00E97AFD" w:rsidRDefault="0027563B">
            <w:pPr>
              <w:spacing w:before="29" w:line="300" w:lineRule="auto"/>
              <w:ind w:left="17"/>
              <w:jc w:val="center"/>
              <w:rPr>
                <w:rFonts w:asciiTheme="minorEastAsia" w:eastAsiaTheme="minorEastAsia" w:hAnsiTheme="minorEastAsia"/>
              </w:rPr>
            </w:pPr>
            <w:r w:rsidRPr="00E97AFD">
              <w:rPr>
                <w:rFonts w:asciiTheme="minorEastAsia" w:eastAsiaTheme="minorEastAsia" w:hAnsiTheme="minorEastAsia" w:hint="eastAsia"/>
              </w:rPr>
              <w:t>4</w:t>
            </w:r>
          </w:p>
        </w:tc>
        <w:tc>
          <w:tcPr>
            <w:tcW w:w="3357" w:type="dxa"/>
            <w:tcBorders>
              <w:top w:val="single" w:sz="4" w:space="0" w:color="auto"/>
              <w:left w:val="single" w:sz="4" w:space="0" w:color="auto"/>
              <w:bottom w:val="single" w:sz="4" w:space="0" w:color="auto"/>
              <w:right w:val="single" w:sz="4" w:space="0" w:color="auto"/>
            </w:tcBorders>
            <w:vAlign w:val="center"/>
            <w:hideMark/>
          </w:tcPr>
          <w:p w14:paraId="7F73577B" w14:textId="77777777" w:rsidR="0027563B" w:rsidRPr="00E97AFD" w:rsidRDefault="0027563B">
            <w:pPr>
              <w:spacing w:line="300" w:lineRule="auto"/>
              <w:jc w:val="left"/>
              <w:rPr>
                <w:rFonts w:asciiTheme="minorEastAsia" w:eastAsiaTheme="minorEastAsia" w:hAnsiTheme="minorEastAsia"/>
              </w:rPr>
            </w:pPr>
            <w:r w:rsidRPr="00E97AFD">
              <w:rPr>
                <w:rFonts w:asciiTheme="minorEastAsia" w:eastAsiaTheme="minorEastAsia" w:hAnsiTheme="minorEastAsia" w:hint="eastAsia"/>
              </w:rPr>
              <w:t>其他资产</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6EFF882"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27,515,574.51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F1D3937"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0.37</w:t>
            </w:r>
          </w:p>
        </w:tc>
      </w:tr>
      <w:tr w:rsidR="0027563B" w:rsidRPr="00E97AFD" w14:paraId="400E1406" w14:textId="77777777" w:rsidTr="0027563B">
        <w:tc>
          <w:tcPr>
            <w:tcW w:w="720" w:type="dxa"/>
            <w:tcBorders>
              <w:top w:val="single" w:sz="4" w:space="0" w:color="auto"/>
              <w:left w:val="single" w:sz="4" w:space="0" w:color="auto"/>
              <w:bottom w:val="single" w:sz="4" w:space="0" w:color="auto"/>
              <w:right w:val="single" w:sz="4" w:space="0" w:color="auto"/>
            </w:tcBorders>
            <w:vAlign w:val="center"/>
            <w:hideMark/>
          </w:tcPr>
          <w:p w14:paraId="3BCD7FE2" w14:textId="77777777" w:rsidR="0027563B" w:rsidRPr="00E97AFD" w:rsidRDefault="0027563B">
            <w:pPr>
              <w:spacing w:before="29" w:line="300" w:lineRule="auto"/>
              <w:ind w:left="17"/>
              <w:jc w:val="center"/>
              <w:rPr>
                <w:rFonts w:asciiTheme="minorEastAsia" w:eastAsiaTheme="minorEastAsia" w:hAnsiTheme="minorEastAsia"/>
              </w:rPr>
            </w:pPr>
            <w:r w:rsidRPr="00E97AFD">
              <w:rPr>
                <w:rFonts w:asciiTheme="minorEastAsia" w:eastAsiaTheme="minorEastAsia" w:hAnsiTheme="minorEastAsia" w:hint="eastAsia"/>
              </w:rPr>
              <w:t>5</w:t>
            </w:r>
          </w:p>
        </w:tc>
        <w:tc>
          <w:tcPr>
            <w:tcW w:w="3357" w:type="dxa"/>
            <w:tcBorders>
              <w:top w:val="single" w:sz="4" w:space="0" w:color="auto"/>
              <w:left w:val="single" w:sz="4" w:space="0" w:color="auto"/>
              <w:bottom w:val="single" w:sz="4" w:space="0" w:color="auto"/>
              <w:right w:val="single" w:sz="4" w:space="0" w:color="auto"/>
            </w:tcBorders>
            <w:vAlign w:val="center"/>
            <w:hideMark/>
          </w:tcPr>
          <w:p w14:paraId="55AFD89E" w14:textId="77777777" w:rsidR="0027563B" w:rsidRPr="00E97AFD" w:rsidRDefault="0027563B">
            <w:pPr>
              <w:spacing w:line="300" w:lineRule="auto"/>
              <w:jc w:val="left"/>
              <w:rPr>
                <w:rFonts w:asciiTheme="minorEastAsia" w:eastAsiaTheme="minorEastAsia" w:hAnsiTheme="minorEastAsia"/>
              </w:rPr>
            </w:pPr>
            <w:r w:rsidRPr="00E97AFD">
              <w:rPr>
                <w:rFonts w:asciiTheme="minorEastAsia" w:eastAsiaTheme="minorEastAsia" w:hAnsiTheme="minorEastAsia" w:hint="eastAsia"/>
              </w:rPr>
              <w:t>合计</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616053B"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7,340,401,527.27</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D38E7D"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100.00</w:t>
            </w:r>
          </w:p>
        </w:tc>
      </w:tr>
    </w:tbl>
    <w:p w14:paraId="7722F003"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2、报告期债券回购融资情况</w:t>
      </w:r>
    </w:p>
    <w:tbl>
      <w:tblPr>
        <w:tblW w:w="7995" w:type="dxa"/>
        <w:tblInd w:w="108" w:type="dxa"/>
        <w:tblLayout w:type="fixed"/>
        <w:tblLook w:val="04A0" w:firstRow="1" w:lastRow="0" w:firstColumn="1" w:lastColumn="0" w:noHBand="0" w:noVBand="1"/>
      </w:tblPr>
      <w:tblGrid>
        <w:gridCol w:w="778"/>
        <w:gridCol w:w="2727"/>
        <w:gridCol w:w="2614"/>
        <w:gridCol w:w="1876"/>
      </w:tblGrid>
      <w:tr w:rsidR="0027563B" w:rsidRPr="00E97AFD" w14:paraId="7A2E6425" w14:textId="77777777" w:rsidTr="0027563B">
        <w:tc>
          <w:tcPr>
            <w:tcW w:w="861" w:type="dxa"/>
            <w:tcBorders>
              <w:top w:val="single" w:sz="8" w:space="0" w:color="000000"/>
              <w:left w:val="single" w:sz="8" w:space="0" w:color="000000"/>
              <w:bottom w:val="single" w:sz="8" w:space="0" w:color="000000"/>
              <w:right w:val="single" w:sz="8" w:space="0" w:color="000000"/>
            </w:tcBorders>
            <w:vAlign w:val="center"/>
            <w:hideMark/>
          </w:tcPr>
          <w:p w14:paraId="125E8805" w14:textId="77777777" w:rsidR="0027563B" w:rsidRPr="00E97AFD" w:rsidRDefault="0027563B">
            <w:pPr>
              <w:spacing w:line="300" w:lineRule="auto"/>
              <w:rPr>
                <w:rFonts w:asciiTheme="minorEastAsia" w:eastAsiaTheme="minorEastAsia" w:hAnsiTheme="minorEastAsia"/>
                <w:kern w:val="0"/>
              </w:rPr>
            </w:pPr>
            <w:r w:rsidRPr="00E97AFD">
              <w:rPr>
                <w:rFonts w:asciiTheme="minorEastAsia" w:eastAsiaTheme="minorEastAsia" w:hAnsiTheme="minorEastAsia" w:hint="eastAsia"/>
                <w:kern w:val="0"/>
              </w:rPr>
              <w:t>序号</w:t>
            </w:r>
          </w:p>
        </w:tc>
        <w:tc>
          <w:tcPr>
            <w:tcW w:w="3108" w:type="dxa"/>
            <w:tcBorders>
              <w:top w:val="single" w:sz="8" w:space="0" w:color="000000"/>
              <w:left w:val="single" w:sz="8" w:space="0" w:color="000000"/>
              <w:bottom w:val="single" w:sz="8" w:space="0" w:color="000000"/>
              <w:right w:val="single" w:sz="8" w:space="0" w:color="000000"/>
            </w:tcBorders>
            <w:vAlign w:val="center"/>
            <w:hideMark/>
          </w:tcPr>
          <w:p w14:paraId="4F94F511" w14:textId="77777777" w:rsidR="0027563B" w:rsidRPr="00E97AFD" w:rsidRDefault="0027563B">
            <w:pPr>
              <w:spacing w:line="300" w:lineRule="auto"/>
              <w:rPr>
                <w:rFonts w:asciiTheme="minorEastAsia" w:eastAsiaTheme="minorEastAsia" w:hAnsiTheme="minorEastAsia" w:cstheme="minorBidi"/>
                <w:kern w:val="0"/>
              </w:rPr>
            </w:pPr>
            <w:r w:rsidRPr="00E97AFD">
              <w:rPr>
                <w:rFonts w:asciiTheme="minorEastAsia" w:eastAsiaTheme="minorEastAsia" w:hAnsiTheme="minorEastAsia" w:hint="eastAsia"/>
                <w:kern w:val="0"/>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hideMark/>
          </w:tcPr>
          <w:p w14:paraId="208A716F" w14:textId="77777777" w:rsidR="0027563B" w:rsidRPr="00E97AFD" w:rsidRDefault="0027563B">
            <w:pPr>
              <w:spacing w:line="300" w:lineRule="auto"/>
              <w:rPr>
                <w:rFonts w:asciiTheme="minorEastAsia" w:eastAsiaTheme="minorEastAsia" w:hAnsiTheme="minorEastAsia"/>
                <w:kern w:val="0"/>
              </w:rPr>
            </w:pPr>
            <w:r w:rsidRPr="00E97AFD">
              <w:rPr>
                <w:rFonts w:asciiTheme="minorEastAsia" w:eastAsiaTheme="minorEastAsia" w:hAnsiTheme="minorEastAsia" w:hint="eastAsia"/>
                <w:kern w:val="0"/>
              </w:rPr>
              <w:t>占基金资产净值的比例（％）</w:t>
            </w:r>
          </w:p>
        </w:tc>
      </w:tr>
      <w:tr w:rsidR="0027563B" w:rsidRPr="00E97AFD" w14:paraId="796297DA" w14:textId="77777777" w:rsidTr="0027563B">
        <w:tc>
          <w:tcPr>
            <w:tcW w:w="861" w:type="dxa"/>
            <w:tcBorders>
              <w:top w:val="single" w:sz="8" w:space="0" w:color="000000"/>
              <w:left w:val="single" w:sz="8" w:space="0" w:color="000000"/>
              <w:bottom w:val="nil"/>
              <w:right w:val="single" w:sz="8" w:space="0" w:color="000000"/>
            </w:tcBorders>
            <w:vAlign w:val="center"/>
            <w:hideMark/>
          </w:tcPr>
          <w:p w14:paraId="60C4E1D1" w14:textId="77777777" w:rsidR="0027563B" w:rsidRPr="00E97AFD" w:rsidRDefault="0027563B">
            <w:pPr>
              <w:spacing w:line="300" w:lineRule="auto"/>
              <w:rPr>
                <w:rFonts w:asciiTheme="minorEastAsia" w:eastAsiaTheme="minorEastAsia" w:hAnsiTheme="minorEastAsia"/>
                <w:kern w:val="0"/>
              </w:rPr>
            </w:pPr>
            <w:r w:rsidRPr="00E97AFD">
              <w:rPr>
                <w:rFonts w:asciiTheme="minorEastAsia" w:eastAsiaTheme="minorEastAsia" w:hAnsiTheme="minorEastAsia" w:hint="eastAsia"/>
                <w:kern w:val="0"/>
              </w:rPr>
              <w:t>1</w:t>
            </w:r>
          </w:p>
        </w:tc>
        <w:tc>
          <w:tcPr>
            <w:tcW w:w="3108" w:type="dxa"/>
            <w:tcBorders>
              <w:top w:val="single" w:sz="8" w:space="0" w:color="000000"/>
              <w:left w:val="single" w:sz="8" w:space="0" w:color="000000"/>
              <w:bottom w:val="single" w:sz="8" w:space="0" w:color="000000"/>
              <w:right w:val="single" w:sz="8" w:space="0" w:color="000000"/>
            </w:tcBorders>
            <w:hideMark/>
          </w:tcPr>
          <w:p w14:paraId="7C17EADC" w14:textId="77777777" w:rsidR="0027563B" w:rsidRPr="00E97AFD" w:rsidRDefault="0027563B">
            <w:pPr>
              <w:spacing w:line="300" w:lineRule="auto"/>
              <w:rPr>
                <w:rFonts w:asciiTheme="minorEastAsia" w:eastAsiaTheme="minorEastAsia" w:hAnsiTheme="minorEastAsia"/>
              </w:rPr>
            </w:pPr>
            <w:r w:rsidRPr="00E97AFD">
              <w:rPr>
                <w:rFonts w:asciiTheme="minorEastAsia" w:eastAsiaTheme="minorEastAsia" w:hAnsiTheme="minorEastAsia" w:hint="eastAsia"/>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hideMark/>
          </w:tcPr>
          <w:p w14:paraId="3C99F541" w14:textId="77777777" w:rsidR="0027563B" w:rsidRPr="00E97AFD" w:rsidRDefault="0027563B">
            <w:pPr>
              <w:spacing w:line="300" w:lineRule="auto"/>
              <w:rPr>
                <w:rFonts w:asciiTheme="minorEastAsia" w:eastAsiaTheme="minorEastAsia" w:hAnsiTheme="minorEastAsia"/>
              </w:rPr>
            </w:pPr>
            <w:r w:rsidRPr="00E97AFD">
              <w:rPr>
                <w:rFonts w:asciiTheme="minorEastAsia" w:eastAsiaTheme="minorEastAsia" w:hAnsiTheme="minorEastAsia" w:hint="eastAsia"/>
              </w:rPr>
              <w:t>5.57</w:t>
            </w:r>
          </w:p>
        </w:tc>
      </w:tr>
      <w:tr w:rsidR="0027563B" w:rsidRPr="00E97AFD" w14:paraId="352F8A62" w14:textId="77777777" w:rsidTr="0027563B">
        <w:trPr>
          <w:trHeight w:val="712"/>
        </w:trPr>
        <w:tc>
          <w:tcPr>
            <w:tcW w:w="861" w:type="dxa"/>
            <w:tcBorders>
              <w:top w:val="nil"/>
              <w:left w:val="single" w:sz="8" w:space="0" w:color="000000"/>
              <w:bottom w:val="single" w:sz="8" w:space="0" w:color="000000"/>
              <w:right w:val="single" w:sz="8" w:space="0" w:color="000000"/>
            </w:tcBorders>
            <w:vAlign w:val="center"/>
          </w:tcPr>
          <w:p w14:paraId="56686CD9" w14:textId="77777777" w:rsidR="0027563B" w:rsidRPr="00E97AFD" w:rsidRDefault="0027563B">
            <w:pPr>
              <w:spacing w:line="300" w:lineRule="auto"/>
              <w:rPr>
                <w:rFonts w:asciiTheme="minorEastAsia" w:eastAsiaTheme="minorEastAsia" w:hAnsiTheme="minorEastAsia"/>
              </w:rPr>
            </w:pPr>
          </w:p>
        </w:tc>
        <w:tc>
          <w:tcPr>
            <w:tcW w:w="3108" w:type="dxa"/>
            <w:tcBorders>
              <w:top w:val="single" w:sz="8" w:space="0" w:color="000000"/>
              <w:left w:val="single" w:sz="8" w:space="0" w:color="000000"/>
              <w:bottom w:val="single" w:sz="8" w:space="0" w:color="000000"/>
              <w:right w:val="single" w:sz="8" w:space="0" w:color="000000"/>
            </w:tcBorders>
            <w:hideMark/>
          </w:tcPr>
          <w:p w14:paraId="7F2494F9" w14:textId="77777777" w:rsidR="0027563B" w:rsidRPr="00E97AFD" w:rsidRDefault="0027563B">
            <w:pPr>
              <w:spacing w:line="300" w:lineRule="auto"/>
              <w:rPr>
                <w:rFonts w:asciiTheme="minorEastAsia" w:eastAsiaTheme="minorEastAsia" w:hAnsiTheme="minorEastAsia"/>
              </w:rPr>
            </w:pPr>
            <w:r w:rsidRPr="00E97AFD">
              <w:rPr>
                <w:rFonts w:asciiTheme="minorEastAsia" w:eastAsiaTheme="minorEastAsia" w:hAnsiTheme="minorEastAsia" w:hint="eastAsia"/>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hideMark/>
          </w:tcPr>
          <w:p w14:paraId="397413FC" w14:textId="77777777" w:rsidR="0027563B" w:rsidRPr="00E97AFD" w:rsidRDefault="0027563B">
            <w:pPr>
              <w:spacing w:line="300" w:lineRule="auto"/>
              <w:rPr>
                <w:rFonts w:asciiTheme="minorEastAsia" w:eastAsiaTheme="minorEastAsia" w:hAnsiTheme="minorEastAsia"/>
              </w:rPr>
            </w:pPr>
            <w:r w:rsidRPr="00E97AFD">
              <w:rPr>
                <w:rFonts w:asciiTheme="minorEastAsia" w:eastAsiaTheme="minorEastAsia" w:hAnsiTheme="minorEastAsia" w:hint="eastAsia"/>
              </w:rPr>
              <w:t>-</w:t>
            </w:r>
          </w:p>
        </w:tc>
      </w:tr>
      <w:tr w:rsidR="0027563B" w:rsidRPr="00E97AFD" w14:paraId="2C178B10" w14:textId="77777777" w:rsidTr="0027563B">
        <w:tc>
          <w:tcPr>
            <w:tcW w:w="861" w:type="dxa"/>
            <w:tcBorders>
              <w:top w:val="nil"/>
              <w:left w:val="single" w:sz="8" w:space="0" w:color="000000"/>
              <w:bottom w:val="single" w:sz="8" w:space="0" w:color="000000"/>
              <w:right w:val="single" w:sz="8" w:space="0" w:color="000000"/>
            </w:tcBorders>
            <w:vAlign w:val="center"/>
            <w:hideMark/>
          </w:tcPr>
          <w:p w14:paraId="7BDC914A" w14:textId="77777777" w:rsidR="0027563B" w:rsidRPr="00E97AFD" w:rsidRDefault="0027563B">
            <w:pPr>
              <w:spacing w:line="300" w:lineRule="auto"/>
              <w:rPr>
                <w:rFonts w:asciiTheme="minorEastAsia" w:eastAsiaTheme="minorEastAsia" w:hAnsiTheme="minorEastAsia"/>
                <w:kern w:val="0"/>
              </w:rPr>
            </w:pPr>
            <w:r w:rsidRPr="00E97AFD">
              <w:rPr>
                <w:rFonts w:asciiTheme="minorEastAsia" w:eastAsiaTheme="minorEastAsia" w:hAnsiTheme="minorEastAsia" w:hint="eastAsia"/>
                <w:kern w:val="0"/>
              </w:rPr>
              <w:t>序号</w:t>
            </w:r>
          </w:p>
        </w:tc>
        <w:tc>
          <w:tcPr>
            <w:tcW w:w="3108" w:type="dxa"/>
            <w:tcBorders>
              <w:top w:val="single" w:sz="8" w:space="0" w:color="000000"/>
              <w:left w:val="single" w:sz="8" w:space="0" w:color="000000"/>
              <w:bottom w:val="single" w:sz="8" w:space="0" w:color="000000"/>
              <w:right w:val="single" w:sz="8" w:space="0" w:color="000000"/>
            </w:tcBorders>
            <w:hideMark/>
          </w:tcPr>
          <w:p w14:paraId="57BEACDB" w14:textId="77777777" w:rsidR="0027563B" w:rsidRPr="00E97AFD" w:rsidRDefault="0027563B">
            <w:pPr>
              <w:spacing w:line="300" w:lineRule="auto"/>
              <w:rPr>
                <w:rFonts w:asciiTheme="minorEastAsia" w:eastAsiaTheme="minorEastAsia" w:hAnsiTheme="minorEastAsia"/>
              </w:rPr>
            </w:pPr>
            <w:r w:rsidRPr="00E97AFD">
              <w:rPr>
                <w:rFonts w:asciiTheme="minorEastAsia" w:eastAsiaTheme="minorEastAsia" w:hAnsiTheme="minorEastAsia" w:hint="eastAsia"/>
              </w:rPr>
              <w:t>项目</w:t>
            </w:r>
          </w:p>
        </w:tc>
        <w:tc>
          <w:tcPr>
            <w:tcW w:w="2977" w:type="dxa"/>
            <w:tcBorders>
              <w:top w:val="single" w:sz="8" w:space="0" w:color="000000"/>
              <w:left w:val="single" w:sz="8" w:space="0" w:color="000000"/>
              <w:bottom w:val="single" w:sz="8" w:space="0" w:color="000000"/>
              <w:right w:val="single" w:sz="8" w:space="0" w:color="000000"/>
            </w:tcBorders>
            <w:vAlign w:val="center"/>
            <w:hideMark/>
          </w:tcPr>
          <w:p w14:paraId="48FA39D4" w14:textId="77777777" w:rsidR="0027563B" w:rsidRPr="00E97AFD" w:rsidRDefault="0027563B">
            <w:pPr>
              <w:spacing w:line="300" w:lineRule="auto"/>
              <w:rPr>
                <w:rFonts w:asciiTheme="minorEastAsia" w:eastAsiaTheme="minorEastAsia" w:hAnsiTheme="minorEastAsia"/>
              </w:rPr>
            </w:pPr>
            <w:r w:rsidRPr="00E97AFD">
              <w:rPr>
                <w:rFonts w:asciiTheme="minorEastAsia" w:eastAsiaTheme="minorEastAsia" w:hAnsiTheme="minorEastAsia" w:hint="eastAsia"/>
              </w:rPr>
              <w:t>金额</w:t>
            </w:r>
          </w:p>
        </w:tc>
        <w:tc>
          <w:tcPr>
            <w:tcW w:w="2126" w:type="dxa"/>
            <w:tcBorders>
              <w:top w:val="single" w:sz="8" w:space="0" w:color="000000"/>
              <w:left w:val="single" w:sz="8" w:space="0" w:color="000000"/>
              <w:bottom w:val="single" w:sz="8" w:space="0" w:color="000000"/>
              <w:right w:val="single" w:sz="8" w:space="0" w:color="000000"/>
            </w:tcBorders>
            <w:vAlign w:val="center"/>
            <w:hideMark/>
          </w:tcPr>
          <w:p w14:paraId="428965EA" w14:textId="77777777" w:rsidR="0027563B" w:rsidRPr="00E97AFD" w:rsidRDefault="0027563B">
            <w:pPr>
              <w:spacing w:line="300" w:lineRule="auto"/>
              <w:rPr>
                <w:rFonts w:asciiTheme="minorEastAsia" w:eastAsiaTheme="minorEastAsia" w:hAnsiTheme="minorEastAsia"/>
              </w:rPr>
            </w:pPr>
            <w:r w:rsidRPr="00E97AFD">
              <w:rPr>
                <w:rFonts w:asciiTheme="minorEastAsia" w:eastAsiaTheme="minorEastAsia" w:hAnsiTheme="minorEastAsia" w:hint="eastAsia"/>
                <w:kern w:val="0"/>
              </w:rPr>
              <w:t>占基金资产净值的比例（％）</w:t>
            </w:r>
          </w:p>
        </w:tc>
      </w:tr>
      <w:tr w:rsidR="0027563B" w:rsidRPr="00E97AFD" w14:paraId="32AE0DDC" w14:textId="77777777" w:rsidTr="0027563B">
        <w:tc>
          <w:tcPr>
            <w:tcW w:w="861" w:type="dxa"/>
            <w:vMerge w:val="restart"/>
            <w:tcBorders>
              <w:top w:val="single" w:sz="8" w:space="0" w:color="000000"/>
              <w:left w:val="single" w:sz="8" w:space="0" w:color="000000"/>
              <w:bottom w:val="single" w:sz="8" w:space="0" w:color="000000"/>
              <w:right w:val="single" w:sz="8" w:space="0" w:color="000000"/>
            </w:tcBorders>
            <w:vAlign w:val="center"/>
            <w:hideMark/>
          </w:tcPr>
          <w:p w14:paraId="1E3EC27A" w14:textId="77777777" w:rsidR="0027563B" w:rsidRPr="00E97AFD" w:rsidRDefault="0027563B">
            <w:pPr>
              <w:spacing w:line="300" w:lineRule="auto"/>
              <w:rPr>
                <w:rFonts w:asciiTheme="minorEastAsia" w:eastAsiaTheme="minorEastAsia" w:hAnsiTheme="minorEastAsia"/>
              </w:rPr>
            </w:pPr>
            <w:r w:rsidRPr="00E97AFD">
              <w:rPr>
                <w:rFonts w:asciiTheme="minorEastAsia" w:eastAsiaTheme="minorEastAsia" w:hAnsiTheme="minorEastAsia" w:hint="eastAsia"/>
              </w:rPr>
              <w:t>2</w:t>
            </w:r>
          </w:p>
        </w:tc>
        <w:tc>
          <w:tcPr>
            <w:tcW w:w="3108" w:type="dxa"/>
            <w:tcBorders>
              <w:top w:val="single" w:sz="8" w:space="0" w:color="000000"/>
              <w:left w:val="single" w:sz="8" w:space="0" w:color="000000"/>
              <w:bottom w:val="single" w:sz="8" w:space="0" w:color="000000"/>
              <w:right w:val="single" w:sz="8" w:space="0" w:color="000000"/>
            </w:tcBorders>
            <w:hideMark/>
          </w:tcPr>
          <w:p w14:paraId="68B777BE" w14:textId="77777777" w:rsidR="0027563B" w:rsidRPr="00E97AFD" w:rsidRDefault="0027563B">
            <w:pPr>
              <w:spacing w:line="300" w:lineRule="auto"/>
              <w:rPr>
                <w:rFonts w:asciiTheme="minorEastAsia" w:eastAsiaTheme="minorEastAsia" w:hAnsiTheme="minorEastAsia"/>
              </w:rPr>
            </w:pPr>
            <w:r w:rsidRPr="00E97AFD">
              <w:rPr>
                <w:rFonts w:asciiTheme="minorEastAsia" w:eastAsiaTheme="minorEastAsia" w:hAnsiTheme="minorEastAsia" w:hint="eastAsia"/>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hideMark/>
          </w:tcPr>
          <w:p w14:paraId="6179A16B" w14:textId="77777777" w:rsidR="0027563B" w:rsidRPr="00E97AFD" w:rsidRDefault="0027563B">
            <w:pPr>
              <w:spacing w:line="300" w:lineRule="auto"/>
              <w:rPr>
                <w:rFonts w:asciiTheme="minorEastAsia" w:eastAsiaTheme="minorEastAsia" w:hAnsiTheme="minorEastAsia"/>
              </w:rPr>
            </w:pPr>
            <w:r w:rsidRPr="00E97AFD">
              <w:rPr>
                <w:rFonts w:asciiTheme="minorEastAsia" w:eastAsiaTheme="minorEastAsia" w:hAnsiTheme="minorEastAsia" w:hint="eastAsia"/>
              </w:rPr>
              <w:t>613,934,293.03</w:t>
            </w:r>
          </w:p>
        </w:tc>
        <w:tc>
          <w:tcPr>
            <w:tcW w:w="2126" w:type="dxa"/>
            <w:tcBorders>
              <w:top w:val="single" w:sz="8" w:space="0" w:color="000000"/>
              <w:left w:val="single" w:sz="8" w:space="0" w:color="000000"/>
              <w:bottom w:val="single" w:sz="8" w:space="0" w:color="000000"/>
              <w:right w:val="single" w:sz="8" w:space="0" w:color="000000"/>
            </w:tcBorders>
            <w:vAlign w:val="center"/>
            <w:hideMark/>
          </w:tcPr>
          <w:p w14:paraId="12326735" w14:textId="77777777" w:rsidR="0027563B" w:rsidRPr="00E97AFD" w:rsidRDefault="0027563B">
            <w:pPr>
              <w:spacing w:line="300" w:lineRule="auto"/>
              <w:rPr>
                <w:rFonts w:asciiTheme="minorEastAsia" w:eastAsiaTheme="minorEastAsia" w:hAnsiTheme="minorEastAsia"/>
              </w:rPr>
            </w:pPr>
            <w:r w:rsidRPr="00E97AFD">
              <w:rPr>
                <w:rFonts w:asciiTheme="minorEastAsia" w:eastAsiaTheme="minorEastAsia" w:hAnsiTheme="minorEastAsia" w:hint="eastAsia"/>
              </w:rPr>
              <w:t>9.13</w:t>
            </w:r>
          </w:p>
        </w:tc>
      </w:tr>
      <w:tr w:rsidR="0027563B" w:rsidRPr="00E97AFD" w14:paraId="362B5077" w14:textId="77777777" w:rsidTr="0027563B">
        <w:tc>
          <w:tcPr>
            <w:tcW w:w="861" w:type="dxa"/>
            <w:vMerge/>
            <w:tcBorders>
              <w:top w:val="single" w:sz="8" w:space="0" w:color="000000"/>
              <w:left w:val="single" w:sz="8" w:space="0" w:color="000000"/>
              <w:bottom w:val="single" w:sz="8" w:space="0" w:color="000000"/>
              <w:right w:val="single" w:sz="8" w:space="0" w:color="000000"/>
            </w:tcBorders>
            <w:vAlign w:val="center"/>
            <w:hideMark/>
          </w:tcPr>
          <w:p w14:paraId="5A566DD6" w14:textId="77777777" w:rsidR="0027563B" w:rsidRPr="00E97AFD" w:rsidRDefault="0027563B">
            <w:pPr>
              <w:widowControl/>
              <w:jc w:val="left"/>
              <w:rPr>
                <w:rFonts w:asciiTheme="minorEastAsia" w:eastAsiaTheme="minorEastAsia" w:hAnsiTheme="minorEastAsia"/>
                <w:szCs w:val="22"/>
              </w:rPr>
            </w:pPr>
          </w:p>
        </w:tc>
        <w:tc>
          <w:tcPr>
            <w:tcW w:w="3108" w:type="dxa"/>
            <w:tcBorders>
              <w:top w:val="single" w:sz="8" w:space="0" w:color="000000"/>
              <w:left w:val="single" w:sz="8" w:space="0" w:color="000000"/>
              <w:bottom w:val="single" w:sz="8" w:space="0" w:color="000000"/>
              <w:right w:val="single" w:sz="8" w:space="0" w:color="000000"/>
            </w:tcBorders>
            <w:hideMark/>
          </w:tcPr>
          <w:p w14:paraId="40C09E6F" w14:textId="77777777" w:rsidR="0027563B" w:rsidRPr="00E97AFD" w:rsidRDefault="0027563B">
            <w:pPr>
              <w:spacing w:line="300" w:lineRule="auto"/>
              <w:rPr>
                <w:rFonts w:asciiTheme="minorEastAsia" w:eastAsiaTheme="minorEastAsia" w:hAnsiTheme="minorEastAsia"/>
              </w:rPr>
            </w:pPr>
            <w:r w:rsidRPr="00E97AFD">
              <w:rPr>
                <w:rFonts w:asciiTheme="minorEastAsia" w:eastAsiaTheme="minorEastAsia" w:hAnsiTheme="minorEastAsia" w:hint="eastAsia"/>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hideMark/>
          </w:tcPr>
          <w:p w14:paraId="388ACD2F" w14:textId="77777777" w:rsidR="0027563B" w:rsidRPr="00E97AFD" w:rsidRDefault="0027563B">
            <w:pPr>
              <w:spacing w:line="300" w:lineRule="auto"/>
              <w:rPr>
                <w:rFonts w:asciiTheme="minorEastAsia" w:eastAsiaTheme="minorEastAsia" w:hAnsiTheme="minorEastAsia"/>
              </w:rPr>
            </w:pPr>
            <w:r w:rsidRPr="00E97AFD">
              <w:rPr>
                <w:rFonts w:asciiTheme="minorEastAsia" w:eastAsiaTheme="minorEastAsia" w:hAnsiTheme="minorEastAsia" w:hint="eastAsia"/>
              </w:rPr>
              <w:t>-</w:t>
            </w:r>
          </w:p>
        </w:tc>
        <w:tc>
          <w:tcPr>
            <w:tcW w:w="2126" w:type="dxa"/>
            <w:tcBorders>
              <w:top w:val="single" w:sz="8" w:space="0" w:color="000000"/>
              <w:left w:val="single" w:sz="8" w:space="0" w:color="000000"/>
              <w:bottom w:val="single" w:sz="8" w:space="0" w:color="000000"/>
              <w:right w:val="single" w:sz="8" w:space="0" w:color="000000"/>
            </w:tcBorders>
            <w:vAlign w:val="center"/>
            <w:hideMark/>
          </w:tcPr>
          <w:p w14:paraId="3FEE5B24" w14:textId="77777777" w:rsidR="0027563B" w:rsidRPr="00E97AFD" w:rsidRDefault="0027563B">
            <w:pPr>
              <w:spacing w:line="300" w:lineRule="auto"/>
              <w:rPr>
                <w:rFonts w:asciiTheme="minorEastAsia" w:eastAsiaTheme="minorEastAsia" w:hAnsiTheme="minorEastAsia"/>
              </w:rPr>
            </w:pPr>
            <w:r w:rsidRPr="00E97AFD">
              <w:rPr>
                <w:rFonts w:asciiTheme="minorEastAsia" w:eastAsiaTheme="minorEastAsia" w:hAnsiTheme="minorEastAsia" w:hint="eastAsia"/>
              </w:rPr>
              <w:t>-</w:t>
            </w:r>
          </w:p>
        </w:tc>
      </w:tr>
    </w:tbl>
    <w:p w14:paraId="36BABDA6"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注：上表中报告期内债券回购融资余额占基金资产净值的比例为报告期内每个交易日融资余额占基金资产净值比例的简单平均值。</w:t>
      </w:r>
    </w:p>
    <w:p w14:paraId="350A49AB"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债券正回购的资金余额超过基金资产净值的20％的说明</w:t>
      </w:r>
    </w:p>
    <w:p w14:paraId="66B90015"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在本报告期内本货币市场基金债券正回购的资金余额未超过资产净值的20%。</w:t>
      </w:r>
    </w:p>
    <w:p w14:paraId="62451319"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3、基金投资组合平均剩余期限</w:t>
      </w:r>
    </w:p>
    <w:p w14:paraId="0EFA8E63"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（1）投资组合平均剩余期限基本情况</w:t>
      </w:r>
    </w:p>
    <w:tbl>
      <w:tblPr>
        <w:tblW w:w="7995" w:type="dxa"/>
        <w:tblInd w:w="108" w:type="dxa"/>
        <w:tblLayout w:type="fixed"/>
        <w:tblLook w:val="04A0" w:firstRow="1" w:lastRow="0" w:firstColumn="1" w:lastColumn="0" w:noHBand="0" w:noVBand="1"/>
      </w:tblPr>
      <w:tblGrid>
        <w:gridCol w:w="3578"/>
        <w:gridCol w:w="4417"/>
      </w:tblGrid>
      <w:tr w:rsidR="0027563B" w:rsidRPr="00E97AFD" w14:paraId="510E9258" w14:textId="77777777" w:rsidTr="0027563B">
        <w:tc>
          <w:tcPr>
            <w:tcW w:w="4056" w:type="dxa"/>
            <w:tcBorders>
              <w:top w:val="single" w:sz="8" w:space="0" w:color="000000"/>
              <w:left w:val="single" w:sz="8" w:space="0" w:color="000000"/>
              <w:bottom w:val="single" w:sz="8" w:space="0" w:color="000000"/>
              <w:right w:val="single" w:sz="8" w:space="0" w:color="000000"/>
            </w:tcBorders>
            <w:vAlign w:val="center"/>
            <w:hideMark/>
          </w:tcPr>
          <w:p w14:paraId="3D351972"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kern w:val="0"/>
              </w:rPr>
            </w:pPr>
            <w:r w:rsidRPr="00E97AFD">
              <w:rPr>
                <w:rFonts w:asciiTheme="minorEastAsia" w:eastAsiaTheme="minorEastAsia" w:hAnsiTheme="minorEastAsia" w:hint="eastAsia"/>
                <w:kern w:val="0"/>
              </w:rPr>
              <w:t>项目</w:t>
            </w:r>
          </w:p>
        </w:tc>
        <w:tc>
          <w:tcPr>
            <w:tcW w:w="5016" w:type="dxa"/>
            <w:tcBorders>
              <w:top w:val="single" w:sz="8" w:space="0" w:color="000000"/>
              <w:left w:val="single" w:sz="8" w:space="0" w:color="000000"/>
              <w:bottom w:val="single" w:sz="8" w:space="0" w:color="000000"/>
              <w:right w:val="single" w:sz="8" w:space="0" w:color="000000"/>
            </w:tcBorders>
            <w:vAlign w:val="center"/>
            <w:hideMark/>
          </w:tcPr>
          <w:p w14:paraId="391E0E12"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cstheme="minorBidi"/>
                <w:kern w:val="0"/>
              </w:rPr>
            </w:pPr>
            <w:r w:rsidRPr="00E97AFD">
              <w:rPr>
                <w:rFonts w:asciiTheme="minorEastAsia" w:eastAsiaTheme="minorEastAsia" w:hAnsiTheme="minorEastAsia" w:hint="eastAsia"/>
                <w:kern w:val="0"/>
              </w:rPr>
              <w:t>天数</w:t>
            </w:r>
          </w:p>
        </w:tc>
      </w:tr>
      <w:tr w:rsidR="0027563B" w:rsidRPr="00E97AFD" w14:paraId="7A7A2419" w14:textId="77777777" w:rsidTr="0027563B">
        <w:tc>
          <w:tcPr>
            <w:tcW w:w="4056" w:type="dxa"/>
            <w:tcBorders>
              <w:top w:val="single" w:sz="8" w:space="0" w:color="000000"/>
              <w:left w:val="single" w:sz="8" w:space="0" w:color="000000"/>
              <w:bottom w:val="single" w:sz="8" w:space="0" w:color="000000"/>
              <w:right w:val="single" w:sz="8" w:space="0" w:color="000000"/>
            </w:tcBorders>
            <w:vAlign w:val="center"/>
            <w:hideMark/>
          </w:tcPr>
          <w:p w14:paraId="37111096" w14:textId="77777777" w:rsidR="0027563B" w:rsidRPr="00E97AFD" w:rsidRDefault="0027563B">
            <w:pPr>
              <w:autoSpaceDE w:val="0"/>
              <w:autoSpaceDN w:val="0"/>
              <w:adjustRightInd w:val="0"/>
              <w:spacing w:before="29" w:line="300" w:lineRule="auto"/>
              <w:ind w:left="15"/>
              <w:jc w:val="left"/>
              <w:rPr>
                <w:rFonts w:asciiTheme="minorEastAsia" w:eastAsiaTheme="minorEastAsia" w:hAnsiTheme="minorEastAsia"/>
                <w:kern w:val="0"/>
              </w:rPr>
            </w:pPr>
            <w:r w:rsidRPr="00E97AFD">
              <w:rPr>
                <w:rFonts w:asciiTheme="minorEastAsia" w:eastAsiaTheme="minorEastAsia" w:hAnsiTheme="minorEastAsia" w:hint="eastAsia"/>
                <w:kern w:val="0"/>
              </w:rPr>
              <w:t>报告期末投资组合平均剩余期限</w:t>
            </w:r>
          </w:p>
        </w:tc>
        <w:tc>
          <w:tcPr>
            <w:tcW w:w="5016" w:type="dxa"/>
            <w:tcBorders>
              <w:top w:val="single" w:sz="8" w:space="0" w:color="000000"/>
              <w:left w:val="single" w:sz="8" w:space="0" w:color="000000"/>
              <w:bottom w:val="single" w:sz="8" w:space="0" w:color="000000"/>
              <w:right w:val="single" w:sz="8" w:space="0" w:color="000000"/>
            </w:tcBorders>
            <w:vAlign w:val="center"/>
            <w:hideMark/>
          </w:tcPr>
          <w:p w14:paraId="24B6236F" w14:textId="77777777" w:rsidR="0027563B" w:rsidRPr="00E97AFD" w:rsidRDefault="0027563B">
            <w:pPr>
              <w:spacing w:line="300" w:lineRule="auto"/>
              <w:ind w:right="120"/>
              <w:jc w:val="right"/>
              <w:rPr>
                <w:rFonts w:asciiTheme="minorEastAsia" w:eastAsiaTheme="minorEastAsia" w:hAnsiTheme="minorEastAsia"/>
              </w:rPr>
            </w:pPr>
            <w:r w:rsidRPr="00E97AFD">
              <w:rPr>
                <w:rFonts w:asciiTheme="minorEastAsia" w:eastAsiaTheme="minorEastAsia" w:hAnsiTheme="minorEastAsia" w:hint="eastAsia"/>
              </w:rPr>
              <w:t>79</w:t>
            </w:r>
          </w:p>
        </w:tc>
      </w:tr>
      <w:tr w:rsidR="0027563B" w:rsidRPr="00E97AFD" w14:paraId="3F3EF289" w14:textId="77777777" w:rsidTr="0027563B">
        <w:tc>
          <w:tcPr>
            <w:tcW w:w="4056" w:type="dxa"/>
            <w:tcBorders>
              <w:top w:val="single" w:sz="8" w:space="0" w:color="000000"/>
              <w:left w:val="single" w:sz="8" w:space="0" w:color="000000"/>
              <w:bottom w:val="single" w:sz="8" w:space="0" w:color="000000"/>
              <w:right w:val="single" w:sz="8" w:space="0" w:color="000000"/>
            </w:tcBorders>
            <w:vAlign w:val="center"/>
            <w:hideMark/>
          </w:tcPr>
          <w:p w14:paraId="3AC7DDED" w14:textId="77777777" w:rsidR="0027563B" w:rsidRPr="00E97AFD" w:rsidRDefault="0027563B">
            <w:pPr>
              <w:autoSpaceDE w:val="0"/>
              <w:autoSpaceDN w:val="0"/>
              <w:adjustRightInd w:val="0"/>
              <w:spacing w:before="29" w:line="300" w:lineRule="auto"/>
              <w:ind w:left="15"/>
              <w:jc w:val="left"/>
              <w:rPr>
                <w:rFonts w:asciiTheme="minorEastAsia" w:eastAsiaTheme="minorEastAsia" w:hAnsiTheme="minorEastAsia"/>
                <w:kern w:val="0"/>
              </w:rPr>
            </w:pPr>
            <w:r w:rsidRPr="00E97AFD">
              <w:rPr>
                <w:rFonts w:asciiTheme="minorEastAsia" w:eastAsiaTheme="minorEastAsia" w:hAnsiTheme="minorEastAsia" w:hint="eastAsia"/>
                <w:kern w:val="0"/>
              </w:rPr>
              <w:t>报告期内投资组合平均剩余期限最高值</w:t>
            </w:r>
          </w:p>
        </w:tc>
        <w:tc>
          <w:tcPr>
            <w:tcW w:w="5016" w:type="dxa"/>
            <w:tcBorders>
              <w:top w:val="single" w:sz="8" w:space="0" w:color="000000"/>
              <w:left w:val="single" w:sz="8" w:space="0" w:color="000000"/>
              <w:bottom w:val="single" w:sz="8" w:space="0" w:color="000000"/>
              <w:right w:val="single" w:sz="8" w:space="0" w:color="000000"/>
            </w:tcBorders>
            <w:vAlign w:val="center"/>
            <w:hideMark/>
          </w:tcPr>
          <w:p w14:paraId="209996E7"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89</w:t>
            </w:r>
          </w:p>
        </w:tc>
      </w:tr>
      <w:tr w:rsidR="0027563B" w:rsidRPr="00E97AFD" w14:paraId="5B7C1FD2" w14:textId="77777777" w:rsidTr="0027563B">
        <w:tc>
          <w:tcPr>
            <w:tcW w:w="4056" w:type="dxa"/>
            <w:tcBorders>
              <w:top w:val="single" w:sz="8" w:space="0" w:color="000000"/>
              <w:left w:val="single" w:sz="8" w:space="0" w:color="000000"/>
              <w:bottom w:val="single" w:sz="8" w:space="0" w:color="000000"/>
              <w:right w:val="single" w:sz="8" w:space="0" w:color="000000"/>
            </w:tcBorders>
            <w:vAlign w:val="center"/>
            <w:hideMark/>
          </w:tcPr>
          <w:p w14:paraId="6CEB4AB5" w14:textId="77777777" w:rsidR="0027563B" w:rsidRPr="00E97AFD" w:rsidRDefault="0027563B">
            <w:pPr>
              <w:autoSpaceDE w:val="0"/>
              <w:autoSpaceDN w:val="0"/>
              <w:adjustRightInd w:val="0"/>
              <w:spacing w:before="29" w:line="300" w:lineRule="auto"/>
              <w:ind w:left="15"/>
              <w:jc w:val="left"/>
              <w:rPr>
                <w:rFonts w:asciiTheme="minorEastAsia" w:eastAsiaTheme="minorEastAsia" w:hAnsiTheme="minorEastAsia"/>
                <w:kern w:val="0"/>
              </w:rPr>
            </w:pPr>
            <w:r w:rsidRPr="00E97AFD">
              <w:rPr>
                <w:rFonts w:asciiTheme="minorEastAsia" w:eastAsiaTheme="minorEastAsia" w:hAnsiTheme="minorEastAsia" w:hint="eastAsia"/>
                <w:kern w:val="0"/>
              </w:rPr>
              <w:t>报告期内投资组合平均剩余期限最低值</w:t>
            </w:r>
          </w:p>
        </w:tc>
        <w:tc>
          <w:tcPr>
            <w:tcW w:w="5016" w:type="dxa"/>
            <w:tcBorders>
              <w:top w:val="single" w:sz="8" w:space="0" w:color="000000"/>
              <w:left w:val="single" w:sz="8" w:space="0" w:color="000000"/>
              <w:bottom w:val="single" w:sz="8" w:space="0" w:color="000000"/>
              <w:right w:val="single" w:sz="8" w:space="0" w:color="000000"/>
            </w:tcBorders>
            <w:vAlign w:val="center"/>
            <w:hideMark/>
          </w:tcPr>
          <w:p w14:paraId="199DF2E6" w14:textId="77777777" w:rsidR="0027563B" w:rsidRPr="00E97AFD" w:rsidRDefault="0027563B">
            <w:pPr>
              <w:spacing w:line="300" w:lineRule="auto"/>
              <w:ind w:right="120"/>
              <w:jc w:val="right"/>
              <w:rPr>
                <w:rFonts w:asciiTheme="minorEastAsia" w:eastAsiaTheme="minorEastAsia" w:hAnsiTheme="minorEastAsia"/>
              </w:rPr>
            </w:pPr>
            <w:r w:rsidRPr="00E97AFD">
              <w:rPr>
                <w:rFonts w:asciiTheme="minorEastAsia" w:eastAsiaTheme="minorEastAsia" w:hAnsiTheme="minorEastAsia" w:hint="eastAsia"/>
              </w:rPr>
              <w:t>71</w:t>
            </w:r>
          </w:p>
        </w:tc>
      </w:tr>
    </w:tbl>
    <w:p w14:paraId="43DD92F5"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报告期内投资组合平均剩余期限超过120天情况说明</w:t>
      </w:r>
    </w:p>
    <w:p w14:paraId="265B886A"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本报告期内本货币市场基金投资组合平均剩余期限未超过120天。</w:t>
      </w:r>
    </w:p>
    <w:p w14:paraId="208D01F5"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lastRenderedPageBreak/>
        <w:t>（2）报告期末投资组合平均剩余期限分布比例</w:t>
      </w:r>
    </w:p>
    <w:tbl>
      <w:tblPr>
        <w:tblW w:w="7995" w:type="dxa"/>
        <w:tblInd w:w="108" w:type="dxa"/>
        <w:tblLayout w:type="fixed"/>
        <w:tblLook w:val="04A0" w:firstRow="1" w:lastRow="0" w:firstColumn="1" w:lastColumn="0" w:noHBand="0" w:noVBand="1"/>
      </w:tblPr>
      <w:tblGrid>
        <w:gridCol w:w="764"/>
        <w:gridCol w:w="2909"/>
        <w:gridCol w:w="2203"/>
        <w:gridCol w:w="2119"/>
      </w:tblGrid>
      <w:tr w:rsidR="0027563B" w:rsidRPr="00E97AFD" w14:paraId="24DC0158" w14:textId="77777777" w:rsidTr="0027563B">
        <w:tc>
          <w:tcPr>
            <w:tcW w:w="851" w:type="dxa"/>
            <w:tcBorders>
              <w:top w:val="single" w:sz="8" w:space="0" w:color="000000"/>
              <w:left w:val="single" w:sz="8" w:space="0" w:color="000000"/>
              <w:bottom w:val="single" w:sz="8" w:space="0" w:color="000000"/>
              <w:right w:val="single" w:sz="8" w:space="0" w:color="000000"/>
            </w:tcBorders>
            <w:vAlign w:val="center"/>
            <w:hideMark/>
          </w:tcPr>
          <w:p w14:paraId="5C90D75D"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kern w:val="0"/>
              </w:rPr>
            </w:pPr>
            <w:r w:rsidRPr="00E97AFD">
              <w:rPr>
                <w:rFonts w:asciiTheme="minorEastAsia" w:eastAsiaTheme="minorEastAsia" w:hAnsiTheme="minorEastAsia" w:hint="eastAsia"/>
                <w:kern w:val="0"/>
              </w:rPr>
              <w:t>序号</w:t>
            </w:r>
          </w:p>
        </w:tc>
        <w:tc>
          <w:tcPr>
            <w:tcW w:w="3351" w:type="dxa"/>
            <w:tcBorders>
              <w:top w:val="single" w:sz="8" w:space="0" w:color="000000"/>
              <w:left w:val="single" w:sz="8" w:space="0" w:color="000000"/>
              <w:bottom w:val="single" w:sz="8" w:space="0" w:color="000000"/>
              <w:right w:val="single" w:sz="8" w:space="0" w:color="000000"/>
            </w:tcBorders>
            <w:vAlign w:val="center"/>
            <w:hideMark/>
          </w:tcPr>
          <w:p w14:paraId="3BA2EFF0"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cstheme="minorBidi"/>
                <w:kern w:val="0"/>
              </w:rPr>
            </w:pPr>
            <w:r w:rsidRPr="00E97AFD">
              <w:rPr>
                <w:rFonts w:asciiTheme="minorEastAsia" w:eastAsiaTheme="minorEastAsia" w:hAnsiTheme="minorEastAsia" w:hint="eastAsia"/>
                <w:kern w:val="0"/>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hideMark/>
          </w:tcPr>
          <w:p w14:paraId="74DBAC44"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kern w:val="0"/>
              </w:rPr>
            </w:pPr>
            <w:r w:rsidRPr="00E97AFD">
              <w:rPr>
                <w:rFonts w:asciiTheme="minorEastAsia" w:eastAsiaTheme="minorEastAsia" w:hAnsiTheme="minorEastAsia" w:hint="eastAsia"/>
                <w:kern w:val="0"/>
              </w:rPr>
              <w:t>各期限资产占基金资产净值的比例（%）</w:t>
            </w:r>
          </w:p>
        </w:tc>
        <w:tc>
          <w:tcPr>
            <w:tcW w:w="2431" w:type="dxa"/>
            <w:tcBorders>
              <w:top w:val="single" w:sz="8" w:space="0" w:color="000000"/>
              <w:left w:val="single" w:sz="8" w:space="0" w:color="000000"/>
              <w:bottom w:val="single" w:sz="8" w:space="0" w:color="000000"/>
              <w:right w:val="single" w:sz="8" w:space="0" w:color="000000"/>
            </w:tcBorders>
            <w:vAlign w:val="center"/>
            <w:hideMark/>
          </w:tcPr>
          <w:p w14:paraId="2A6CA3FE"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kern w:val="0"/>
              </w:rPr>
            </w:pPr>
            <w:r w:rsidRPr="00E97AFD">
              <w:rPr>
                <w:rFonts w:asciiTheme="minorEastAsia" w:eastAsiaTheme="minorEastAsia" w:hAnsiTheme="minorEastAsia" w:hint="eastAsia"/>
                <w:kern w:val="0"/>
              </w:rPr>
              <w:t>各期限负债占基金资产净值的比例（％）</w:t>
            </w:r>
          </w:p>
        </w:tc>
      </w:tr>
      <w:tr w:rsidR="0027563B" w:rsidRPr="00E97AFD" w14:paraId="1ACF1886" w14:textId="77777777" w:rsidTr="0027563B">
        <w:tc>
          <w:tcPr>
            <w:tcW w:w="851" w:type="dxa"/>
            <w:tcBorders>
              <w:top w:val="single" w:sz="8" w:space="0" w:color="000000"/>
              <w:left w:val="single" w:sz="8" w:space="0" w:color="000000"/>
              <w:bottom w:val="single" w:sz="8" w:space="0" w:color="000000"/>
              <w:right w:val="single" w:sz="8" w:space="0" w:color="000000"/>
            </w:tcBorders>
            <w:vAlign w:val="center"/>
            <w:hideMark/>
          </w:tcPr>
          <w:p w14:paraId="272C5E0B"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kern w:val="0"/>
              </w:rPr>
            </w:pPr>
            <w:r w:rsidRPr="00E97AFD">
              <w:rPr>
                <w:rFonts w:asciiTheme="minorEastAsia" w:eastAsiaTheme="minorEastAsia" w:hAnsiTheme="minorEastAsia" w:hint="eastAsia"/>
              </w:rPr>
              <w:t>1</w:t>
            </w:r>
          </w:p>
        </w:tc>
        <w:tc>
          <w:tcPr>
            <w:tcW w:w="3351" w:type="dxa"/>
            <w:tcBorders>
              <w:top w:val="single" w:sz="8" w:space="0" w:color="000000"/>
              <w:left w:val="single" w:sz="8" w:space="0" w:color="000000"/>
              <w:bottom w:val="single" w:sz="8" w:space="0" w:color="000000"/>
              <w:right w:val="single" w:sz="8" w:space="0" w:color="000000"/>
            </w:tcBorders>
            <w:vAlign w:val="center"/>
            <w:hideMark/>
          </w:tcPr>
          <w:p w14:paraId="6C209400" w14:textId="77777777" w:rsidR="0027563B" w:rsidRPr="00E97AFD" w:rsidRDefault="0027563B">
            <w:pPr>
              <w:autoSpaceDE w:val="0"/>
              <w:autoSpaceDN w:val="0"/>
              <w:adjustRightInd w:val="0"/>
              <w:spacing w:before="29" w:line="300" w:lineRule="auto"/>
              <w:ind w:left="15"/>
              <w:jc w:val="left"/>
              <w:rPr>
                <w:rFonts w:asciiTheme="minorEastAsia" w:eastAsiaTheme="minorEastAsia" w:hAnsiTheme="minorEastAsia"/>
                <w:kern w:val="0"/>
              </w:rPr>
            </w:pPr>
            <w:r w:rsidRPr="00E97AFD">
              <w:rPr>
                <w:rFonts w:asciiTheme="minorEastAsia" w:eastAsiaTheme="minorEastAsia" w:hAnsiTheme="minorEastAsia" w:hint="eastAsia"/>
              </w:rPr>
              <w:t>30天以内</w:t>
            </w:r>
          </w:p>
        </w:tc>
        <w:tc>
          <w:tcPr>
            <w:tcW w:w="2529" w:type="dxa"/>
            <w:tcBorders>
              <w:top w:val="single" w:sz="8" w:space="0" w:color="000000"/>
              <w:left w:val="single" w:sz="8" w:space="0" w:color="000000"/>
              <w:bottom w:val="single" w:sz="8" w:space="0" w:color="000000"/>
              <w:right w:val="single" w:sz="8" w:space="0" w:color="000000"/>
            </w:tcBorders>
            <w:vAlign w:val="center"/>
            <w:hideMark/>
          </w:tcPr>
          <w:p w14:paraId="38DAB332" w14:textId="77777777" w:rsidR="0027563B" w:rsidRPr="00E97AFD" w:rsidRDefault="0027563B">
            <w:pPr>
              <w:autoSpaceDE w:val="0"/>
              <w:autoSpaceDN w:val="0"/>
              <w:adjustRightInd w:val="0"/>
              <w:spacing w:before="29" w:line="300" w:lineRule="auto"/>
              <w:ind w:left="15"/>
              <w:jc w:val="right"/>
              <w:rPr>
                <w:rFonts w:asciiTheme="minorEastAsia" w:eastAsiaTheme="minorEastAsia" w:hAnsiTheme="minorEastAsia"/>
                <w:kern w:val="0"/>
              </w:rPr>
            </w:pPr>
            <w:r w:rsidRPr="00E97AFD">
              <w:rPr>
                <w:rFonts w:asciiTheme="minorEastAsia" w:eastAsiaTheme="minorEastAsia" w:hAnsiTheme="minorEastAsia" w:hint="eastAsia"/>
              </w:rPr>
              <w:t>46.08</w:t>
            </w:r>
          </w:p>
        </w:tc>
        <w:tc>
          <w:tcPr>
            <w:tcW w:w="2431" w:type="dxa"/>
            <w:tcBorders>
              <w:top w:val="single" w:sz="8" w:space="0" w:color="000000"/>
              <w:left w:val="single" w:sz="8" w:space="0" w:color="000000"/>
              <w:bottom w:val="single" w:sz="8" w:space="0" w:color="000000"/>
              <w:right w:val="single" w:sz="8" w:space="0" w:color="000000"/>
            </w:tcBorders>
            <w:vAlign w:val="center"/>
            <w:hideMark/>
          </w:tcPr>
          <w:p w14:paraId="39194DEC" w14:textId="77777777" w:rsidR="0027563B" w:rsidRPr="00E97AFD" w:rsidRDefault="0027563B">
            <w:pPr>
              <w:autoSpaceDE w:val="0"/>
              <w:autoSpaceDN w:val="0"/>
              <w:adjustRightInd w:val="0"/>
              <w:spacing w:before="29" w:line="300" w:lineRule="auto"/>
              <w:ind w:left="15"/>
              <w:jc w:val="right"/>
              <w:rPr>
                <w:rFonts w:asciiTheme="minorEastAsia" w:eastAsiaTheme="minorEastAsia" w:hAnsiTheme="minorEastAsia"/>
                <w:kern w:val="0"/>
              </w:rPr>
            </w:pPr>
            <w:r w:rsidRPr="00E97AFD">
              <w:rPr>
                <w:rFonts w:asciiTheme="minorEastAsia" w:eastAsiaTheme="minorEastAsia" w:hAnsiTheme="minorEastAsia" w:hint="eastAsia"/>
              </w:rPr>
              <w:t>9.13</w:t>
            </w:r>
          </w:p>
        </w:tc>
      </w:tr>
      <w:tr w:rsidR="0027563B" w:rsidRPr="00E97AFD" w14:paraId="6587FC20" w14:textId="77777777" w:rsidTr="0027563B">
        <w:tc>
          <w:tcPr>
            <w:tcW w:w="851" w:type="dxa"/>
            <w:tcBorders>
              <w:top w:val="single" w:sz="8" w:space="0" w:color="000000"/>
              <w:left w:val="single" w:sz="8" w:space="0" w:color="000000"/>
              <w:bottom w:val="single" w:sz="8" w:space="0" w:color="000000"/>
              <w:right w:val="single" w:sz="8" w:space="0" w:color="000000"/>
            </w:tcBorders>
            <w:vAlign w:val="center"/>
          </w:tcPr>
          <w:p w14:paraId="15EC9297"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rPr>
            </w:pPr>
          </w:p>
        </w:tc>
        <w:tc>
          <w:tcPr>
            <w:tcW w:w="3351" w:type="dxa"/>
            <w:tcBorders>
              <w:top w:val="single" w:sz="8" w:space="0" w:color="000000"/>
              <w:left w:val="single" w:sz="8" w:space="0" w:color="000000"/>
              <w:bottom w:val="single" w:sz="8" w:space="0" w:color="000000"/>
              <w:right w:val="single" w:sz="8" w:space="0" w:color="000000"/>
            </w:tcBorders>
            <w:vAlign w:val="center"/>
            <w:hideMark/>
          </w:tcPr>
          <w:p w14:paraId="2FC07064" w14:textId="77777777" w:rsidR="0027563B" w:rsidRPr="00E97AFD" w:rsidRDefault="0027563B">
            <w:pPr>
              <w:autoSpaceDE w:val="0"/>
              <w:autoSpaceDN w:val="0"/>
              <w:adjustRightInd w:val="0"/>
              <w:spacing w:before="29" w:line="300" w:lineRule="auto"/>
              <w:ind w:left="15"/>
              <w:jc w:val="left"/>
              <w:rPr>
                <w:rFonts w:asciiTheme="minorEastAsia" w:eastAsiaTheme="minorEastAsia" w:hAnsiTheme="minorEastAsia"/>
                <w:kern w:val="0"/>
              </w:rPr>
            </w:pPr>
            <w:r w:rsidRPr="00E97AFD">
              <w:rPr>
                <w:rFonts w:asciiTheme="minorEastAsia" w:eastAsiaTheme="minorEastAsia" w:hAnsiTheme="minorEastAsia" w:hint="eastAsia"/>
              </w:rPr>
              <w:t>其中：剩余存续期超过397天的浮动利率债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hideMark/>
          </w:tcPr>
          <w:p w14:paraId="04A47563" w14:textId="77777777" w:rsidR="0027563B" w:rsidRPr="00E97AFD" w:rsidRDefault="0027563B">
            <w:pPr>
              <w:autoSpaceDE w:val="0"/>
              <w:autoSpaceDN w:val="0"/>
              <w:adjustRightInd w:val="0"/>
              <w:spacing w:before="29" w:line="300" w:lineRule="auto"/>
              <w:ind w:left="15"/>
              <w:jc w:val="right"/>
              <w:rPr>
                <w:rFonts w:asciiTheme="minorEastAsia" w:eastAsiaTheme="minorEastAsia" w:hAnsiTheme="minorEastAsia"/>
                <w:kern w:val="0"/>
              </w:rPr>
            </w:pPr>
            <w:r w:rsidRPr="00E97AFD">
              <w:rPr>
                <w:rFonts w:asciiTheme="minorEastAsia" w:eastAsiaTheme="minorEastAsia" w:hAnsiTheme="minorEastAsia" w:hint="eastAsia"/>
              </w:rPr>
              <w:t>-</w:t>
            </w:r>
          </w:p>
        </w:tc>
        <w:tc>
          <w:tcPr>
            <w:tcW w:w="2431" w:type="dxa"/>
            <w:tcBorders>
              <w:top w:val="single" w:sz="8" w:space="0" w:color="000000"/>
              <w:left w:val="single" w:sz="8" w:space="0" w:color="000000"/>
              <w:bottom w:val="single" w:sz="8" w:space="0" w:color="000000"/>
              <w:right w:val="single" w:sz="8" w:space="0" w:color="000000"/>
            </w:tcBorders>
            <w:vAlign w:val="center"/>
            <w:hideMark/>
          </w:tcPr>
          <w:p w14:paraId="34380E43" w14:textId="77777777" w:rsidR="0027563B" w:rsidRPr="00E97AFD" w:rsidRDefault="0027563B">
            <w:pPr>
              <w:autoSpaceDE w:val="0"/>
              <w:autoSpaceDN w:val="0"/>
              <w:adjustRightInd w:val="0"/>
              <w:spacing w:before="29" w:line="300" w:lineRule="auto"/>
              <w:ind w:left="15"/>
              <w:jc w:val="right"/>
              <w:rPr>
                <w:rFonts w:asciiTheme="minorEastAsia" w:eastAsiaTheme="minorEastAsia" w:hAnsiTheme="minorEastAsia"/>
                <w:kern w:val="0"/>
              </w:rPr>
            </w:pPr>
            <w:r w:rsidRPr="00E97AFD">
              <w:rPr>
                <w:rFonts w:asciiTheme="minorEastAsia" w:eastAsiaTheme="minorEastAsia" w:hAnsiTheme="minorEastAsia" w:hint="eastAsia"/>
              </w:rPr>
              <w:t>-</w:t>
            </w:r>
          </w:p>
        </w:tc>
      </w:tr>
      <w:tr w:rsidR="0027563B" w:rsidRPr="00E97AFD" w14:paraId="4B9F2528" w14:textId="77777777" w:rsidTr="0027563B">
        <w:tc>
          <w:tcPr>
            <w:tcW w:w="851" w:type="dxa"/>
            <w:tcBorders>
              <w:top w:val="single" w:sz="8" w:space="0" w:color="000000"/>
              <w:left w:val="single" w:sz="8" w:space="0" w:color="000000"/>
              <w:bottom w:val="single" w:sz="8" w:space="0" w:color="000000"/>
              <w:right w:val="single" w:sz="8" w:space="0" w:color="000000"/>
            </w:tcBorders>
            <w:vAlign w:val="center"/>
            <w:hideMark/>
          </w:tcPr>
          <w:p w14:paraId="2CE04506"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rPr>
            </w:pPr>
            <w:r w:rsidRPr="00E97AFD">
              <w:rPr>
                <w:rFonts w:asciiTheme="minorEastAsia" w:eastAsiaTheme="minorEastAsia" w:hAnsiTheme="minorEastAsia" w:hint="eastAsia"/>
              </w:rPr>
              <w:t>2</w:t>
            </w:r>
          </w:p>
        </w:tc>
        <w:tc>
          <w:tcPr>
            <w:tcW w:w="3351" w:type="dxa"/>
            <w:tcBorders>
              <w:top w:val="single" w:sz="8" w:space="0" w:color="000000"/>
              <w:left w:val="single" w:sz="8" w:space="0" w:color="000000"/>
              <w:bottom w:val="single" w:sz="8" w:space="0" w:color="000000"/>
              <w:right w:val="single" w:sz="8" w:space="0" w:color="000000"/>
            </w:tcBorders>
            <w:vAlign w:val="center"/>
            <w:hideMark/>
          </w:tcPr>
          <w:p w14:paraId="32C4B226" w14:textId="77777777" w:rsidR="0027563B" w:rsidRPr="00E97AFD" w:rsidRDefault="0027563B">
            <w:pPr>
              <w:autoSpaceDE w:val="0"/>
              <w:autoSpaceDN w:val="0"/>
              <w:adjustRightInd w:val="0"/>
              <w:spacing w:before="29" w:line="300" w:lineRule="auto"/>
              <w:ind w:left="15"/>
              <w:jc w:val="left"/>
              <w:rPr>
                <w:rFonts w:asciiTheme="minorEastAsia" w:eastAsiaTheme="minorEastAsia" w:hAnsiTheme="minorEastAsia"/>
                <w:kern w:val="0"/>
              </w:rPr>
            </w:pPr>
            <w:r w:rsidRPr="00E97AFD">
              <w:rPr>
                <w:rFonts w:asciiTheme="minorEastAsia" w:eastAsiaTheme="minorEastAsia" w:hAnsiTheme="minorEastAsia" w:hint="eastAsia"/>
              </w:rPr>
              <w:t>30天（含）—60天</w:t>
            </w:r>
          </w:p>
        </w:tc>
        <w:tc>
          <w:tcPr>
            <w:tcW w:w="2529" w:type="dxa"/>
            <w:tcBorders>
              <w:top w:val="single" w:sz="8" w:space="0" w:color="000000"/>
              <w:left w:val="single" w:sz="8" w:space="0" w:color="000000"/>
              <w:bottom w:val="single" w:sz="8" w:space="0" w:color="000000"/>
              <w:right w:val="single" w:sz="8" w:space="0" w:color="000000"/>
            </w:tcBorders>
            <w:vAlign w:val="center"/>
            <w:hideMark/>
          </w:tcPr>
          <w:p w14:paraId="3EF333C5" w14:textId="77777777" w:rsidR="0027563B" w:rsidRPr="00E97AFD" w:rsidRDefault="0027563B">
            <w:pPr>
              <w:autoSpaceDE w:val="0"/>
              <w:autoSpaceDN w:val="0"/>
              <w:adjustRightInd w:val="0"/>
              <w:spacing w:before="29" w:line="300" w:lineRule="auto"/>
              <w:ind w:left="15"/>
              <w:jc w:val="right"/>
              <w:rPr>
                <w:rFonts w:asciiTheme="minorEastAsia" w:eastAsiaTheme="minorEastAsia" w:hAnsiTheme="minorEastAsia"/>
                <w:kern w:val="0"/>
              </w:rPr>
            </w:pPr>
            <w:r w:rsidRPr="00E97AFD">
              <w:rPr>
                <w:rFonts w:asciiTheme="minorEastAsia" w:eastAsiaTheme="minorEastAsia" w:hAnsiTheme="minorEastAsia" w:hint="eastAsia"/>
              </w:rPr>
              <w:t>29.15</w:t>
            </w:r>
          </w:p>
        </w:tc>
        <w:tc>
          <w:tcPr>
            <w:tcW w:w="2431" w:type="dxa"/>
            <w:tcBorders>
              <w:top w:val="single" w:sz="8" w:space="0" w:color="000000"/>
              <w:left w:val="single" w:sz="8" w:space="0" w:color="000000"/>
              <w:bottom w:val="single" w:sz="8" w:space="0" w:color="000000"/>
              <w:right w:val="single" w:sz="8" w:space="0" w:color="000000"/>
            </w:tcBorders>
            <w:vAlign w:val="center"/>
            <w:hideMark/>
          </w:tcPr>
          <w:p w14:paraId="1315EFD9" w14:textId="77777777" w:rsidR="0027563B" w:rsidRPr="00E97AFD" w:rsidRDefault="0027563B">
            <w:pPr>
              <w:autoSpaceDE w:val="0"/>
              <w:autoSpaceDN w:val="0"/>
              <w:adjustRightInd w:val="0"/>
              <w:spacing w:before="29" w:line="300" w:lineRule="auto"/>
              <w:ind w:left="15"/>
              <w:jc w:val="right"/>
              <w:rPr>
                <w:rFonts w:asciiTheme="minorEastAsia" w:eastAsiaTheme="minorEastAsia" w:hAnsiTheme="minorEastAsia"/>
                <w:kern w:val="0"/>
              </w:rPr>
            </w:pPr>
            <w:r w:rsidRPr="00E97AFD">
              <w:rPr>
                <w:rFonts w:asciiTheme="minorEastAsia" w:eastAsiaTheme="minorEastAsia" w:hAnsiTheme="minorEastAsia" w:hint="eastAsia"/>
              </w:rPr>
              <w:t>-</w:t>
            </w:r>
          </w:p>
        </w:tc>
      </w:tr>
      <w:tr w:rsidR="0027563B" w:rsidRPr="00E97AFD" w14:paraId="7C699BDC" w14:textId="77777777" w:rsidTr="0027563B">
        <w:tc>
          <w:tcPr>
            <w:tcW w:w="851" w:type="dxa"/>
            <w:tcBorders>
              <w:top w:val="single" w:sz="8" w:space="0" w:color="000000"/>
              <w:left w:val="single" w:sz="8" w:space="0" w:color="000000"/>
              <w:bottom w:val="single" w:sz="8" w:space="0" w:color="000000"/>
              <w:right w:val="single" w:sz="8" w:space="0" w:color="000000"/>
            </w:tcBorders>
            <w:vAlign w:val="center"/>
          </w:tcPr>
          <w:p w14:paraId="33615AC1"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rPr>
            </w:pPr>
          </w:p>
        </w:tc>
        <w:tc>
          <w:tcPr>
            <w:tcW w:w="3351" w:type="dxa"/>
            <w:tcBorders>
              <w:top w:val="single" w:sz="8" w:space="0" w:color="000000"/>
              <w:left w:val="single" w:sz="8" w:space="0" w:color="000000"/>
              <w:bottom w:val="single" w:sz="8" w:space="0" w:color="000000"/>
              <w:right w:val="single" w:sz="8" w:space="0" w:color="000000"/>
            </w:tcBorders>
            <w:vAlign w:val="center"/>
            <w:hideMark/>
          </w:tcPr>
          <w:p w14:paraId="38E3752E" w14:textId="77777777" w:rsidR="0027563B" w:rsidRPr="00E97AFD" w:rsidRDefault="0027563B">
            <w:pPr>
              <w:autoSpaceDE w:val="0"/>
              <w:autoSpaceDN w:val="0"/>
              <w:adjustRightInd w:val="0"/>
              <w:spacing w:before="29" w:line="300" w:lineRule="auto"/>
              <w:ind w:left="15"/>
              <w:jc w:val="left"/>
              <w:rPr>
                <w:rFonts w:asciiTheme="minorEastAsia" w:eastAsiaTheme="minorEastAsia" w:hAnsiTheme="minorEastAsia"/>
                <w:kern w:val="0"/>
              </w:rPr>
            </w:pPr>
            <w:r w:rsidRPr="00E97AFD">
              <w:rPr>
                <w:rFonts w:asciiTheme="minorEastAsia" w:eastAsiaTheme="minorEastAsia" w:hAnsiTheme="minorEastAsia" w:hint="eastAsia"/>
              </w:rPr>
              <w:t>其中：剩余存续期超过397天的浮动利率债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hideMark/>
          </w:tcPr>
          <w:p w14:paraId="0913421A" w14:textId="77777777" w:rsidR="0027563B" w:rsidRPr="00E97AFD" w:rsidRDefault="0027563B">
            <w:pPr>
              <w:autoSpaceDE w:val="0"/>
              <w:autoSpaceDN w:val="0"/>
              <w:adjustRightInd w:val="0"/>
              <w:spacing w:before="29" w:line="300" w:lineRule="auto"/>
              <w:ind w:left="15"/>
              <w:jc w:val="right"/>
              <w:rPr>
                <w:rFonts w:asciiTheme="minorEastAsia" w:eastAsiaTheme="minorEastAsia" w:hAnsiTheme="minorEastAsia"/>
                <w:kern w:val="0"/>
              </w:rPr>
            </w:pPr>
            <w:r w:rsidRPr="00E97AFD">
              <w:rPr>
                <w:rFonts w:asciiTheme="minorEastAsia" w:eastAsiaTheme="minorEastAsia" w:hAnsiTheme="minorEastAsia" w:hint="eastAsia"/>
              </w:rPr>
              <w:t>-</w:t>
            </w:r>
          </w:p>
        </w:tc>
        <w:tc>
          <w:tcPr>
            <w:tcW w:w="2431" w:type="dxa"/>
            <w:tcBorders>
              <w:top w:val="single" w:sz="8" w:space="0" w:color="000000"/>
              <w:left w:val="single" w:sz="8" w:space="0" w:color="000000"/>
              <w:bottom w:val="single" w:sz="8" w:space="0" w:color="000000"/>
              <w:right w:val="single" w:sz="8" w:space="0" w:color="000000"/>
            </w:tcBorders>
            <w:vAlign w:val="center"/>
            <w:hideMark/>
          </w:tcPr>
          <w:p w14:paraId="42DB917F" w14:textId="77777777" w:rsidR="0027563B" w:rsidRPr="00E97AFD" w:rsidRDefault="0027563B">
            <w:pPr>
              <w:autoSpaceDE w:val="0"/>
              <w:autoSpaceDN w:val="0"/>
              <w:adjustRightInd w:val="0"/>
              <w:spacing w:before="29" w:line="300" w:lineRule="auto"/>
              <w:ind w:left="15"/>
              <w:jc w:val="right"/>
              <w:rPr>
                <w:rFonts w:asciiTheme="minorEastAsia" w:eastAsiaTheme="minorEastAsia" w:hAnsiTheme="minorEastAsia"/>
                <w:kern w:val="0"/>
              </w:rPr>
            </w:pPr>
            <w:r w:rsidRPr="00E97AFD">
              <w:rPr>
                <w:rFonts w:asciiTheme="minorEastAsia" w:eastAsiaTheme="minorEastAsia" w:hAnsiTheme="minorEastAsia" w:hint="eastAsia"/>
              </w:rPr>
              <w:t>-</w:t>
            </w:r>
          </w:p>
        </w:tc>
      </w:tr>
      <w:tr w:rsidR="0027563B" w:rsidRPr="00E97AFD" w14:paraId="5194E8A8" w14:textId="77777777" w:rsidTr="0027563B">
        <w:tc>
          <w:tcPr>
            <w:tcW w:w="851" w:type="dxa"/>
            <w:tcBorders>
              <w:top w:val="single" w:sz="8" w:space="0" w:color="000000"/>
              <w:left w:val="single" w:sz="8" w:space="0" w:color="000000"/>
              <w:bottom w:val="single" w:sz="8" w:space="0" w:color="000000"/>
              <w:right w:val="single" w:sz="8" w:space="0" w:color="000000"/>
            </w:tcBorders>
            <w:vAlign w:val="center"/>
            <w:hideMark/>
          </w:tcPr>
          <w:p w14:paraId="7A8D483F"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rPr>
            </w:pPr>
            <w:r w:rsidRPr="00E97AFD">
              <w:rPr>
                <w:rFonts w:asciiTheme="minorEastAsia" w:eastAsiaTheme="minorEastAsia" w:hAnsiTheme="minorEastAsia" w:hint="eastAsia"/>
              </w:rPr>
              <w:t>3</w:t>
            </w:r>
          </w:p>
        </w:tc>
        <w:tc>
          <w:tcPr>
            <w:tcW w:w="3351" w:type="dxa"/>
            <w:tcBorders>
              <w:top w:val="single" w:sz="8" w:space="0" w:color="000000"/>
              <w:left w:val="single" w:sz="8" w:space="0" w:color="000000"/>
              <w:bottom w:val="single" w:sz="8" w:space="0" w:color="000000"/>
              <w:right w:val="single" w:sz="8" w:space="0" w:color="000000"/>
            </w:tcBorders>
            <w:vAlign w:val="center"/>
            <w:hideMark/>
          </w:tcPr>
          <w:p w14:paraId="19198682" w14:textId="77777777" w:rsidR="0027563B" w:rsidRPr="00E97AFD" w:rsidRDefault="0027563B">
            <w:pPr>
              <w:autoSpaceDE w:val="0"/>
              <w:autoSpaceDN w:val="0"/>
              <w:adjustRightInd w:val="0"/>
              <w:spacing w:before="29" w:line="300" w:lineRule="auto"/>
              <w:ind w:left="15"/>
              <w:jc w:val="left"/>
              <w:rPr>
                <w:rFonts w:asciiTheme="minorEastAsia" w:eastAsiaTheme="minorEastAsia" w:hAnsiTheme="minorEastAsia"/>
              </w:rPr>
            </w:pPr>
            <w:r w:rsidRPr="00E97AFD">
              <w:rPr>
                <w:rFonts w:asciiTheme="minorEastAsia" w:eastAsiaTheme="minorEastAsia" w:hAnsiTheme="minorEastAsia" w:hint="eastAsia"/>
              </w:rPr>
              <w:t>60天（含）—90天</w:t>
            </w:r>
          </w:p>
        </w:tc>
        <w:tc>
          <w:tcPr>
            <w:tcW w:w="2529" w:type="dxa"/>
            <w:tcBorders>
              <w:top w:val="single" w:sz="8" w:space="0" w:color="000000"/>
              <w:left w:val="single" w:sz="8" w:space="0" w:color="000000"/>
              <w:bottom w:val="single" w:sz="8" w:space="0" w:color="000000"/>
              <w:right w:val="single" w:sz="8" w:space="0" w:color="000000"/>
            </w:tcBorders>
            <w:vAlign w:val="center"/>
            <w:hideMark/>
          </w:tcPr>
          <w:p w14:paraId="0349F92E" w14:textId="77777777" w:rsidR="0027563B" w:rsidRPr="00E97AFD" w:rsidRDefault="0027563B">
            <w:pPr>
              <w:autoSpaceDE w:val="0"/>
              <w:autoSpaceDN w:val="0"/>
              <w:adjustRightInd w:val="0"/>
              <w:spacing w:before="29" w:line="300" w:lineRule="auto"/>
              <w:ind w:left="15"/>
              <w:jc w:val="right"/>
              <w:rPr>
                <w:rFonts w:asciiTheme="minorEastAsia" w:eastAsiaTheme="minorEastAsia" w:hAnsiTheme="minorEastAsia"/>
                <w:kern w:val="0"/>
              </w:rPr>
            </w:pPr>
            <w:r w:rsidRPr="00E97AFD">
              <w:rPr>
                <w:rFonts w:asciiTheme="minorEastAsia" w:eastAsiaTheme="minorEastAsia" w:hAnsiTheme="minorEastAsia" w:hint="eastAsia"/>
              </w:rPr>
              <w:t>8.91</w:t>
            </w:r>
          </w:p>
        </w:tc>
        <w:tc>
          <w:tcPr>
            <w:tcW w:w="2431" w:type="dxa"/>
            <w:tcBorders>
              <w:top w:val="single" w:sz="8" w:space="0" w:color="000000"/>
              <w:left w:val="single" w:sz="8" w:space="0" w:color="000000"/>
              <w:bottom w:val="single" w:sz="8" w:space="0" w:color="000000"/>
              <w:right w:val="single" w:sz="8" w:space="0" w:color="000000"/>
            </w:tcBorders>
            <w:vAlign w:val="center"/>
            <w:hideMark/>
          </w:tcPr>
          <w:p w14:paraId="47E905EB" w14:textId="77777777" w:rsidR="0027563B" w:rsidRPr="00E97AFD" w:rsidRDefault="0027563B">
            <w:pPr>
              <w:autoSpaceDE w:val="0"/>
              <w:autoSpaceDN w:val="0"/>
              <w:adjustRightInd w:val="0"/>
              <w:spacing w:before="29" w:line="300" w:lineRule="auto"/>
              <w:ind w:left="15"/>
              <w:jc w:val="right"/>
              <w:rPr>
                <w:rFonts w:asciiTheme="minorEastAsia" w:eastAsiaTheme="minorEastAsia" w:hAnsiTheme="minorEastAsia"/>
                <w:kern w:val="0"/>
              </w:rPr>
            </w:pPr>
            <w:r w:rsidRPr="00E97AFD">
              <w:rPr>
                <w:rFonts w:asciiTheme="minorEastAsia" w:eastAsiaTheme="minorEastAsia" w:hAnsiTheme="minorEastAsia" w:hint="eastAsia"/>
              </w:rPr>
              <w:t>-</w:t>
            </w:r>
          </w:p>
        </w:tc>
      </w:tr>
      <w:tr w:rsidR="0027563B" w:rsidRPr="00E97AFD" w14:paraId="7641C93B" w14:textId="77777777" w:rsidTr="0027563B">
        <w:tc>
          <w:tcPr>
            <w:tcW w:w="851" w:type="dxa"/>
            <w:tcBorders>
              <w:top w:val="single" w:sz="8" w:space="0" w:color="000000"/>
              <w:left w:val="single" w:sz="8" w:space="0" w:color="000000"/>
              <w:bottom w:val="single" w:sz="8" w:space="0" w:color="000000"/>
              <w:right w:val="single" w:sz="8" w:space="0" w:color="000000"/>
            </w:tcBorders>
            <w:vAlign w:val="center"/>
          </w:tcPr>
          <w:p w14:paraId="58AE4F2B"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rPr>
            </w:pPr>
          </w:p>
        </w:tc>
        <w:tc>
          <w:tcPr>
            <w:tcW w:w="3351" w:type="dxa"/>
            <w:tcBorders>
              <w:top w:val="single" w:sz="8" w:space="0" w:color="000000"/>
              <w:left w:val="single" w:sz="8" w:space="0" w:color="000000"/>
              <w:bottom w:val="single" w:sz="8" w:space="0" w:color="000000"/>
              <w:right w:val="single" w:sz="8" w:space="0" w:color="000000"/>
            </w:tcBorders>
            <w:vAlign w:val="center"/>
            <w:hideMark/>
          </w:tcPr>
          <w:p w14:paraId="3220122B" w14:textId="77777777" w:rsidR="0027563B" w:rsidRPr="00E97AFD" w:rsidRDefault="0027563B">
            <w:pPr>
              <w:autoSpaceDE w:val="0"/>
              <w:autoSpaceDN w:val="0"/>
              <w:adjustRightInd w:val="0"/>
              <w:spacing w:before="29" w:line="300" w:lineRule="auto"/>
              <w:ind w:left="15"/>
              <w:jc w:val="left"/>
              <w:rPr>
                <w:rFonts w:asciiTheme="minorEastAsia" w:eastAsiaTheme="minorEastAsia" w:hAnsiTheme="minorEastAsia"/>
              </w:rPr>
            </w:pPr>
            <w:r w:rsidRPr="00E97AFD">
              <w:rPr>
                <w:rFonts w:asciiTheme="minorEastAsia" w:eastAsiaTheme="minorEastAsia" w:hAnsiTheme="minorEastAsia" w:hint="eastAsia"/>
              </w:rPr>
              <w:t>其中：剩余存续期超过397天的浮动利率债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hideMark/>
          </w:tcPr>
          <w:p w14:paraId="1365C488" w14:textId="77777777" w:rsidR="0027563B" w:rsidRPr="00E97AFD" w:rsidRDefault="0027563B">
            <w:pPr>
              <w:autoSpaceDE w:val="0"/>
              <w:autoSpaceDN w:val="0"/>
              <w:adjustRightInd w:val="0"/>
              <w:spacing w:before="29" w:line="300" w:lineRule="auto"/>
              <w:ind w:left="15"/>
              <w:jc w:val="right"/>
              <w:rPr>
                <w:rFonts w:asciiTheme="minorEastAsia" w:eastAsiaTheme="minorEastAsia" w:hAnsiTheme="minorEastAsia"/>
                <w:kern w:val="0"/>
              </w:rPr>
            </w:pPr>
            <w:r w:rsidRPr="00E97AFD">
              <w:rPr>
                <w:rFonts w:asciiTheme="minorEastAsia" w:eastAsiaTheme="minorEastAsia" w:hAnsiTheme="minorEastAsia" w:hint="eastAsia"/>
              </w:rPr>
              <w:t>-</w:t>
            </w:r>
          </w:p>
        </w:tc>
        <w:tc>
          <w:tcPr>
            <w:tcW w:w="2431" w:type="dxa"/>
            <w:tcBorders>
              <w:top w:val="single" w:sz="8" w:space="0" w:color="000000"/>
              <w:left w:val="single" w:sz="8" w:space="0" w:color="000000"/>
              <w:bottom w:val="single" w:sz="8" w:space="0" w:color="000000"/>
              <w:right w:val="single" w:sz="8" w:space="0" w:color="000000"/>
            </w:tcBorders>
            <w:vAlign w:val="center"/>
            <w:hideMark/>
          </w:tcPr>
          <w:p w14:paraId="42313EC4" w14:textId="77777777" w:rsidR="0027563B" w:rsidRPr="00E97AFD" w:rsidRDefault="0027563B">
            <w:pPr>
              <w:autoSpaceDE w:val="0"/>
              <w:autoSpaceDN w:val="0"/>
              <w:adjustRightInd w:val="0"/>
              <w:spacing w:before="29" w:line="300" w:lineRule="auto"/>
              <w:ind w:left="15"/>
              <w:jc w:val="right"/>
              <w:rPr>
                <w:rFonts w:asciiTheme="minorEastAsia" w:eastAsiaTheme="minorEastAsia" w:hAnsiTheme="minorEastAsia"/>
                <w:kern w:val="0"/>
              </w:rPr>
            </w:pPr>
            <w:r w:rsidRPr="00E97AFD">
              <w:rPr>
                <w:rFonts w:asciiTheme="minorEastAsia" w:eastAsiaTheme="minorEastAsia" w:hAnsiTheme="minorEastAsia" w:hint="eastAsia"/>
              </w:rPr>
              <w:t>-</w:t>
            </w:r>
          </w:p>
        </w:tc>
      </w:tr>
      <w:tr w:rsidR="0027563B" w:rsidRPr="00E97AFD" w14:paraId="41EC11DF" w14:textId="77777777" w:rsidTr="0027563B">
        <w:tc>
          <w:tcPr>
            <w:tcW w:w="851" w:type="dxa"/>
            <w:tcBorders>
              <w:top w:val="single" w:sz="8" w:space="0" w:color="000000"/>
              <w:left w:val="single" w:sz="8" w:space="0" w:color="000000"/>
              <w:bottom w:val="single" w:sz="8" w:space="0" w:color="000000"/>
              <w:right w:val="single" w:sz="8" w:space="0" w:color="000000"/>
            </w:tcBorders>
            <w:vAlign w:val="center"/>
            <w:hideMark/>
          </w:tcPr>
          <w:p w14:paraId="54D1C914"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rPr>
            </w:pPr>
            <w:r w:rsidRPr="00E97AFD">
              <w:rPr>
                <w:rFonts w:asciiTheme="minorEastAsia" w:eastAsiaTheme="minorEastAsia" w:hAnsiTheme="minorEastAsia" w:hint="eastAsia"/>
              </w:rPr>
              <w:t>4</w:t>
            </w:r>
          </w:p>
        </w:tc>
        <w:tc>
          <w:tcPr>
            <w:tcW w:w="3351" w:type="dxa"/>
            <w:tcBorders>
              <w:top w:val="single" w:sz="8" w:space="0" w:color="000000"/>
              <w:left w:val="single" w:sz="8" w:space="0" w:color="000000"/>
              <w:bottom w:val="single" w:sz="8" w:space="0" w:color="000000"/>
              <w:right w:val="single" w:sz="8" w:space="0" w:color="000000"/>
            </w:tcBorders>
            <w:vAlign w:val="center"/>
            <w:hideMark/>
          </w:tcPr>
          <w:p w14:paraId="0F1BECCB" w14:textId="77777777" w:rsidR="0027563B" w:rsidRPr="00E97AFD" w:rsidRDefault="0027563B">
            <w:pPr>
              <w:autoSpaceDE w:val="0"/>
              <w:autoSpaceDN w:val="0"/>
              <w:adjustRightInd w:val="0"/>
              <w:spacing w:before="29" w:line="300" w:lineRule="auto"/>
              <w:ind w:left="15"/>
              <w:jc w:val="left"/>
              <w:rPr>
                <w:rFonts w:asciiTheme="minorEastAsia" w:eastAsiaTheme="minorEastAsia" w:hAnsiTheme="minorEastAsia"/>
              </w:rPr>
            </w:pPr>
            <w:r w:rsidRPr="00E97AFD">
              <w:rPr>
                <w:rFonts w:asciiTheme="minorEastAsia" w:eastAsiaTheme="minorEastAsia" w:hAnsiTheme="minorEastAsia" w:hint="eastAsia"/>
              </w:rPr>
              <w:t>90天（含）—120天</w:t>
            </w:r>
          </w:p>
        </w:tc>
        <w:tc>
          <w:tcPr>
            <w:tcW w:w="2529" w:type="dxa"/>
            <w:tcBorders>
              <w:top w:val="single" w:sz="8" w:space="0" w:color="000000"/>
              <w:left w:val="single" w:sz="8" w:space="0" w:color="000000"/>
              <w:bottom w:val="single" w:sz="8" w:space="0" w:color="000000"/>
              <w:right w:val="single" w:sz="8" w:space="0" w:color="000000"/>
            </w:tcBorders>
            <w:vAlign w:val="center"/>
            <w:hideMark/>
          </w:tcPr>
          <w:p w14:paraId="3D57EA22" w14:textId="77777777" w:rsidR="0027563B" w:rsidRPr="00E97AFD" w:rsidRDefault="0027563B">
            <w:pPr>
              <w:autoSpaceDE w:val="0"/>
              <w:autoSpaceDN w:val="0"/>
              <w:adjustRightInd w:val="0"/>
              <w:spacing w:before="29" w:line="300" w:lineRule="auto"/>
              <w:ind w:left="15"/>
              <w:jc w:val="right"/>
              <w:rPr>
                <w:rFonts w:asciiTheme="minorEastAsia" w:eastAsiaTheme="minorEastAsia" w:hAnsiTheme="minorEastAsia"/>
                <w:kern w:val="0"/>
              </w:rPr>
            </w:pPr>
            <w:r w:rsidRPr="00E97AFD">
              <w:rPr>
                <w:rFonts w:asciiTheme="minorEastAsia" w:eastAsiaTheme="minorEastAsia" w:hAnsiTheme="minorEastAsia" w:hint="eastAsia"/>
              </w:rPr>
              <w:t>1.34</w:t>
            </w:r>
          </w:p>
        </w:tc>
        <w:tc>
          <w:tcPr>
            <w:tcW w:w="2431" w:type="dxa"/>
            <w:tcBorders>
              <w:top w:val="single" w:sz="8" w:space="0" w:color="000000"/>
              <w:left w:val="single" w:sz="8" w:space="0" w:color="000000"/>
              <w:bottom w:val="single" w:sz="8" w:space="0" w:color="000000"/>
              <w:right w:val="single" w:sz="8" w:space="0" w:color="000000"/>
            </w:tcBorders>
            <w:vAlign w:val="center"/>
            <w:hideMark/>
          </w:tcPr>
          <w:p w14:paraId="70BDF1A4" w14:textId="77777777" w:rsidR="0027563B" w:rsidRPr="00E97AFD" w:rsidRDefault="0027563B">
            <w:pPr>
              <w:autoSpaceDE w:val="0"/>
              <w:autoSpaceDN w:val="0"/>
              <w:adjustRightInd w:val="0"/>
              <w:spacing w:before="29" w:line="300" w:lineRule="auto"/>
              <w:ind w:left="15"/>
              <w:jc w:val="right"/>
              <w:rPr>
                <w:rFonts w:asciiTheme="minorEastAsia" w:eastAsiaTheme="minorEastAsia" w:hAnsiTheme="minorEastAsia"/>
                <w:kern w:val="0"/>
              </w:rPr>
            </w:pPr>
            <w:r w:rsidRPr="00E97AFD">
              <w:rPr>
                <w:rFonts w:asciiTheme="minorEastAsia" w:eastAsiaTheme="minorEastAsia" w:hAnsiTheme="minorEastAsia" w:hint="eastAsia"/>
              </w:rPr>
              <w:t>-</w:t>
            </w:r>
          </w:p>
        </w:tc>
      </w:tr>
      <w:tr w:rsidR="0027563B" w:rsidRPr="00E97AFD" w14:paraId="157B2BC8" w14:textId="77777777" w:rsidTr="0027563B">
        <w:tc>
          <w:tcPr>
            <w:tcW w:w="851" w:type="dxa"/>
            <w:tcBorders>
              <w:top w:val="single" w:sz="8" w:space="0" w:color="000000"/>
              <w:left w:val="single" w:sz="8" w:space="0" w:color="000000"/>
              <w:bottom w:val="single" w:sz="8" w:space="0" w:color="000000"/>
              <w:right w:val="single" w:sz="8" w:space="0" w:color="000000"/>
            </w:tcBorders>
            <w:vAlign w:val="center"/>
          </w:tcPr>
          <w:p w14:paraId="18766411"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rPr>
            </w:pPr>
          </w:p>
        </w:tc>
        <w:tc>
          <w:tcPr>
            <w:tcW w:w="3351" w:type="dxa"/>
            <w:tcBorders>
              <w:top w:val="single" w:sz="8" w:space="0" w:color="000000"/>
              <w:left w:val="single" w:sz="8" w:space="0" w:color="000000"/>
              <w:bottom w:val="single" w:sz="8" w:space="0" w:color="000000"/>
              <w:right w:val="single" w:sz="8" w:space="0" w:color="000000"/>
            </w:tcBorders>
            <w:vAlign w:val="center"/>
            <w:hideMark/>
          </w:tcPr>
          <w:p w14:paraId="10E9A1AB" w14:textId="77777777" w:rsidR="0027563B" w:rsidRPr="00E97AFD" w:rsidRDefault="0027563B">
            <w:pPr>
              <w:autoSpaceDE w:val="0"/>
              <w:autoSpaceDN w:val="0"/>
              <w:adjustRightInd w:val="0"/>
              <w:spacing w:before="29" w:line="300" w:lineRule="auto"/>
              <w:ind w:left="15"/>
              <w:jc w:val="left"/>
              <w:rPr>
                <w:rFonts w:asciiTheme="minorEastAsia" w:eastAsiaTheme="minorEastAsia" w:hAnsiTheme="minorEastAsia"/>
              </w:rPr>
            </w:pPr>
            <w:r w:rsidRPr="00E97AFD">
              <w:rPr>
                <w:rFonts w:asciiTheme="minorEastAsia" w:eastAsiaTheme="minorEastAsia" w:hAnsiTheme="minorEastAsia" w:hint="eastAsia"/>
              </w:rPr>
              <w:t>其中：剩余存续期超过397天的浮动利率债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hideMark/>
          </w:tcPr>
          <w:p w14:paraId="6DEBC727" w14:textId="77777777" w:rsidR="0027563B" w:rsidRPr="00E97AFD" w:rsidRDefault="0027563B">
            <w:pPr>
              <w:autoSpaceDE w:val="0"/>
              <w:autoSpaceDN w:val="0"/>
              <w:adjustRightInd w:val="0"/>
              <w:spacing w:before="29" w:line="300" w:lineRule="auto"/>
              <w:ind w:left="15"/>
              <w:jc w:val="right"/>
              <w:rPr>
                <w:rFonts w:asciiTheme="minorEastAsia" w:eastAsiaTheme="minorEastAsia" w:hAnsiTheme="minorEastAsia"/>
                <w:kern w:val="0"/>
              </w:rPr>
            </w:pPr>
            <w:r w:rsidRPr="00E97AFD">
              <w:rPr>
                <w:rFonts w:asciiTheme="minorEastAsia" w:eastAsiaTheme="minorEastAsia" w:hAnsiTheme="minorEastAsia" w:hint="eastAsia"/>
              </w:rPr>
              <w:t>-</w:t>
            </w:r>
          </w:p>
        </w:tc>
        <w:tc>
          <w:tcPr>
            <w:tcW w:w="2431" w:type="dxa"/>
            <w:tcBorders>
              <w:top w:val="single" w:sz="8" w:space="0" w:color="000000"/>
              <w:left w:val="single" w:sz="8" w:space="0" w:color="000000"/>
              <w:bottom w:val="single" w:sz="8" w:space="0" w:color="000000"/>
              <w:right w:val="single" w:sz="8" w:space="0" w:color="000000"/>
            </w:tcBorders>
            <w:vAlign w:val="center"/>
            <w:hideMark/>
          </w:tcPr>
          <w:p w14:paraId="09441F8D" w14:textId="77777777" w:rsidR="0027563B" w:rsidRPr="00E97AFD" w:rsidRDefault="0027563B">
            <w:pPr>
              <w:autoSpaceDE w:val="0"/>
              <w:autoSpaceDN w:val="0"/>
              <w:adjustRightInd w:val="0"/>
              <w:spacing w:before="29" w:line="300" w:lineRule="auto"/>
              <w:ind w:left="15"/>
              <w:jc w:val="right"/>
              <w:rPr>
                <w:rFonts w:asciiTheme="minorEastAsia" w:eastAsiaTheme="minorEastAsia" w:hAnsiTheme="minorEastAsia"/>
                <w:kern w:val="0"/>
              </w:rPr>
            </w:pPr>
            <w:r w:rsidRPr="00E97AFD">
              <w:rPr>
                <w:rFonts w:asciiTheme="minorEastAsia" w:eastAsiaTheme="minorEastAsia" w:hAnsiTheme="minorEastAsia" w:hint="eastAsia"/>
              </w:rPr>
              <w:t>-</w:t>
            </w:r>
          </w:p>
        </w:tc>
      </w:tr>
      <w:tr w:rsidR="0027563B" w:rsidRPr="00E97AFD" w14:paraId="7F7064A4" w14:textId="77777777" w:rsidTr="0027563B">
        <w:tc>
          <w:tcPr>
            <w:tcW w:w="851" w:type="dxa"/>
            <w:tcBorders>
              <w:top w:val="single" w:sz="8" w:space="0" w:color="000000"/>
              <w:left w:val="single" w:sz="8" w:space="0" w:color="000000"/>
              <w:bottom w:val="single" w:sz="8" w:space="0" w:color="000000"/>
              <w:right w:val="single" w:sz="8" w:space="0" w:color="000000"/>
            </w:tcBorders>
            <w:vAlign w:val="center"/>
            <w:hideMark/>
          </w:tcPr>
          <w:p w14:paraId="314B5D0B"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rPr>
            </w:pPr>
            <w:r w:rsidRPr="00E97AFD">
              <w:rPr>
                <w:rFonts w:asciiTheme="minorEastAsia" w:eastAsiaTheme="minorEastAsia" w:hAnsiTheme="minorEastAsia" w:hint="eastAsia"/>
              </w:rPr>
              <w:t>5</w:t>
            </w:r>
          </w:p>
        </w:tc>
        <w:tc>
          <w:tcPr>
            <w:tcW w:w="3351" w:type="dxa"/>
            <w:tcBorders>
              <w:top w:val="single" w:sz="8" w:space="0" w:color="000000"/>
              <w:left w:val="single" w:sz="8" w:space="0" w:color="000000"/>
              <w:bottom w:val="single" w:sz="8" w:space="0" w:color="000000"/>
              <w:right w:val="single" w:sz="8" w:space="0" w:color="000000"/>
            </w:tcBorders>
            <w:vAlign w:val="center"/>
            <w:hideMark/>
          </w:tcPr>
          <w:p w14:paraId="333D2A1E" w14:textId="77777777" w:rsidR="0027563B" w:rsidRPr="00E97AFD" w:rsidRDefault="0027563B">
            <w:pPr>
              <w:autoSpaceDE w:val="0"/>
              <w:autoSpaceDN w:val="0"/>
              <w:adjustRightInd w:val="0"/>
              <w:spacing w:before="29" w:line="300" w:lineRule="auto"/>
              <w:ind w:left="15"/>
              <w:jc w:val="left"/>
              <w:rPr>
                <w:rFonts w:asciiTheme="minorEastAsia" w:eastAsiaTheme="minorEastAsia" w:hAnsiTheme="minorEastAsia"/>
              </w:rPr>
            </w:pPr>
            <w:r w:rsidRPr="00E97AFD">
              <w:rPr>
                <w:rFonts w:asciiTheme="minorEastAsia" w:eastAsiaTheme="minorEastAsia" w:hAnsiTheme="minorEastAsia" w:hint="eastAsia"/>
              </w:rPr>
              <w:t>120天（含）—397天（含）</w:t>
            </w:r>
          </w:p>
        </w:tc>
        <w:tc>
          <w:tcPr>
            <w:tcW w:w="2529" w:type="dxa"/>
            <w:tcBorders>
              <w:top w:val="single" w:sz="8" w:space="0" w:color="000000"/>
              <w:left w:val="single" w:sz="8" w:space="0" w:color="000000"/>
              <w:bottom w:val="single" w:sz="8" w:space="0" w:color="000000"/>
              <w:right w:val="single" w:sz="8" w:space="0" w:color="000000"/>
            </w:tcBorders>
            <w:vAlign w:val="center"/>
            <w:hideMark/>
          </w:tcPr>
          <w:p w14:paraId="4C858070" w14:textId="77777777" w:rsidR="0027563B" w:rsidRPr="00E97AFD" w:rsidRDefault="0027563B">
            <w:pPr>
              <w:autoSpaceDE w:val="0"/>
              <w:autoSpaceDN w:val="0"/>
              <w:adjustRightInd w:val="0"/>
              <w:spacing w:before="29" w:line="300" w:lineRule="auto"/>
              <w:ind w:left="15"/>
              <w:jc w:val="right"/>
              <w:rPr>
                <w:rFonts w:asciiTheme="minorEastAsia" w:eastAsiaTheme="minorEastAsia" w:hAnsiTheme="minorEastAsia"/>
                <w:kern w:val="0"/>
              </w:rPr>
            </w:pPr>
            <w:r w:rsidRPr="00E97AFD">
              <w:rPr>
                <w:rFonts w:asciiTheme="minorEastAsia" w:eastAsiaTheme="minorEastAsia" w:hAnsiTheme="minorEastAsia" w:hint="eastAsia"/>
              </w:rPr>
              <w:t>23.33</w:t>
            </w:r>
          </w:p>
        </w:tc>
        <w:tc>
          <w:tcPr>
            <w:tcW w:w="2431" w:type="dxa"/>
            <w:tcBorders>
              <w:top w:val="single" w:sz="8" w:space="0" w:color="000000"/>
              <w:left w:val="single" w:sz="8" w:space="0" w:color="000000"/>
              <w:bottom w:val="single" w:sz="8" w:space="0" w:color="000000"/>
              <w:right w:val="single" w:sz="8" w:space="0" w:color="000000"/>
            </w:tcBorders>
            <w:vAlign w:val="center"/>
            <w:hideMark/>
          </w:tcPr>
          <w:p w14:paraId="389D23BA" w14:textId="77777777" w:rsidR="0027563B" w:rsidRPr="00E97AFD" w:rsidRDefault="0027563B">
            <w:pPr>
              <w:autoSpaceDE w:val="0"/>
              <w:autoSpaceDN w:val="0"/>
              <w:adjustRightInd w:val="0"/>
              <w:spacing w:before="29" w:line="300" w:lineRule="auto"/>
              <w:ind w:left="15"/>
              <w:jc w:val="right"/>
              <w:rPr>
                <w:rFonts w:asciiTheme="minorEastAsia" w:eastAsiaTheme="minorEastAsia" w:hAnsiTheme="minorEastAsia"/>
                <w:kern w:val="0"/>
              </w:rPr>
            </w:pPr>
            <w:r w:rsidRPr="00E97AFD">
              <w:rPr>
                <w:rFonts w:asciiTheme="minorEastAsia" w:eastAsiaTheme="minorEastAsia" w:hAnsiTheme="minorEastAsia" w:hint="eastAsia"/>
              </w:rPr>
              <w:t>-</w:t>
            </w:r>
          </w:p>
        </w:tc>
      </w:tr>
      <w:tr w:rsidR="0027563B" w:rsidRPr="00E97AFD" w14:paraId="17F46A1B" w14:textId="77777777" w:rsidTr="0027563B">
        <w:tc>
          <w:tcPr>
            <w:tcW w:w="851" w:type="dxa"/>
            <w:tcBorders>
              <w:top w:val="single" w:sz="8" w:space="0" w:color="000000"/>
              <w:left w:val="single" w:sz="8" w:space="0" w:color="000000"/>
              <w:bottom w:val="single" w:sz="8" w:space="0" w:color="000000"/>
              <w:right w:val="single" w:sz="8" w:space="0" w:color="000000"/>
            </w:tcBorders>
            <w:vAlign w:val="center"/>
          </w:tcPr>
          <w:p w14:paraId="15D1F220"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rPr>
            </w:pPr>
          </w:p>
        </w:tc>
        <w:tc>
          <w:tcPr>
            <w:tcW w:w="3351" w:type="dxa"/>
            <w:tcBorders>
              <w:top w:val="single" w:sz="8" w:space="0" w:color="000000"/>
              <w:left w:val="single" w:sz="8" w:space="0" w:color="000000"/>
              <w:bottom w:val="single" w:sz="8" w:space="0" w:color="000000"/>
              <w:right w:val="single" w:sz="8" w:space="0" w:color="000000"/>
            </w:tcBorders>
            <w:vAlign w:val="center"/>
            <w:hideMark/>
          </w:tcPr>
          <w:p w14:paraId="3242638F" w14:textId="77777777" w:rsidR="0027563B" w:rsidRPr="00E97AFD" w:rsidRDefault="0027563B">
            <w:pPr>
              <w:autoSpaceDE w:val="0"/>
              <w:autoSpaceDN w:val="0"/>
              <w:adjustRightInd w:val="0"/>
              <w:spacing w:before="29" w:line="300" w:lineRule="auto"/>
              <w:ind w:left="15"/>
              <w:jc w:val="left"/>
              <w:rPr>
                <w:rFonts w:asciiTheme="minorEastAsia" w:eastAsiaTheme="minorEastAsia" w:hAnsiTheme="minorEastAsia"/>
              </w:rPr>
            </w:pPr>
            <w:r w:rsidRPr="00E97AFD">
              <w:rPr>
                <w:rFonts w:asciiTheme="minorEastAsia" w:eastAsiaTheme="minorEastAsia" w:hAnsiTheme="minorEastAsia" w:hint="eastAsia"/>
              </w:rPr>
              <w:t>其中：剩余存续期超过397天的浮动利率债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hideMark/>
          </w:tcPr>
          <w:p w14:paraId="37F225B0" w14:textId="77777777" w:rsidR="0027563B" w:rsidRPr="00E97AFD" w:rsidRDefault="0027563B">
            <w:pPr>
              <w:autoSpaceDE w:val="0"/>
              <w:autoSpaceDN w:val="0"/>
              <w:adjustRightInd w:val="0"/>
              <w:spacing w:before="29" w:line="300" w:lineRule="auto"/>
              <w:ind w:left="15"/>
              <w:jc w:val="right"/>
              <w:rPr>
                <w:rFonts w:asciiTheme="minorEastAsia" w:eastAsiaTheme="minorEastAsia" w:hAnsiTheme="minorEastAsia"/>
                <w:kern w:val="0"/>
              </w:rPr>
            </w:pPr>
            <w:r w:rsidRPr="00E97AFD">
              <w:rPr>
                <w:rFonts w:asciiTheme="minorEastAsia" w:eastAsiaTheme="minorEastAsia" w:hAnsiTheme="minorEastAsia" w:hint="eastAsia"/>
              </w:rPr>
              <w:t>-</w:t>
            </w:r>
          </w:p>
        </w:tc>
        <w:tc>
          <w:tcPr>
            <w:tcW w:w="2431" w:type="dxa"/>
            <w:tcBorders>
              <w:top w:val="single" w:sz="8" w:space="0" w:color="000000"/>
              <w:left w:val="single" w:sz="8" w:space="0" w:color="000000"/>
              <w:bottom w:val="single" w:sz="8" w:space="0" w:color="000000"/>
              <w:right w:val="single" w:sz="8" w:space="0" w:color="000000"/>
            </w:tcBorders>
            <w:vAlign w:val="center"/>
            <w:hideMark/>
          </w:tcPr>
          <w:p w14:paraId="5F9CA861" w14:textId="77777777" w:rsidR="0027563B" w:rsidRPr="00E97AFD" w:rsidRDefault="0027563B">
            <w:pPr>
              <w:autoSpaceDE w:val="0"/>
              <w:autoSpaceDN w:val="0"/>
              <w:adjustRightInd w:val="0"/>
              <w:spacing w:before="29" w:line="300" w:lineRule="auto"/>
              <w:ind w:left="15"/>
              <w:jc w:val="right"/>
              <w:rPr>
                <w:rFonts w:asciiTheme="minorEastAsia" w:eastAsiaTheme="minorEastAsia" w:hAnsiTheme="minorEastAsia"/>
                <w:kern w:val="0"/>
              </w:rPr>
            </w:pPr>
            <w:r w:rsidRPr="00E97AFD">
              <w:rPr>
                <w:rFonts w:asciiTheme="minorEastAsia" w:eastAsiaTheme="minorEastAsia" w:hAnsiTheme="minorEastAsia" w:hint="eastAsia"/>
              </w:rPr>
              <w:t>-</w:t>
            </w:r>
          </w:p>
        </w:tc>
      </w:tr>
      <w:tr w:rsidR="0027563B" w:rsidRPr="00E97AFD" w14:paraId="7C49D63A" w14:textId="77777777" w:rsidTr="0027563B">
        <w:tc>
          <w:tcPr>
            <w:tcW w:w="4202" w:type="dxa"/>
            <w:gridSpan w:val="2"/>
            <w:tcBorders>
              <w:top w:val="single" w:sz="8" w:space="0" w:color="000000"/>
              <w:left w:val="single" w:sz="8" w:space="0" w:color="000000"/>
              <w:bottom w:val="single" w:sz="8" w:space="0" w:color="000000"/>
              <w:right w:val="single" w:sz="8" w:space="0" w:color="000000"/>
            </w:tcBorders>
            <w:vAlign w:val="center"/>
            <w:hideMark/>
          </w:tcPr>
          <w:p w14:paraId="1697519F"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rPr>
            </w:pPr>
            <w:r w:rsidRPr="00E97AFD">
              <w:rPr>
                <w:rFonts w:asciiTheme="minorEastAsia" w:eastAsiaTheme="minorEastAsia" w:hAnsiTheme="minorEastAsia" w:hint="eastAsia"/>
              </w:rPr>
              <w:t>合计</w:t>
            </w:r>
          </w:p>
        </w:tc>
        <w:tc>
          <w:tcPr>
            <w:tcW w:w="2529" w:type="dxa"/>
            <w:tcBorders>
              <w:top w:val="single" w:sz="8" w:space="0" w:color="000000"/>
              <w:left w:val="single" w:sz="8" w:space="0" w:color="000000"/>
              <w:bottom w:val="single" w:sz="8" w:space="0" w:color="000000"/>
              <w:right w:val="single" w:sz="8" w:space="0" w:color="000000"/>
            </w:tcBorders>
            <w:vAlign w:val="center"/>
            <w:hideMark/>
          </w:tcPr>
          <w:p w14:paraId="46230300" w14:textId="77777777" w:rsidR="0027563B" w:rsidRPr="00E97AFD" w:rsidRDefault="0027563B">
            <w:pPr>
              <w:autoSpaceDE w:val="0"/>
              <w:autoSpaceDN w:val="0"/>
              <w:adjustRightInd w:val="0"/>
              <w:spacing w:before="29" w:line="300" w:lineRule="auto"/>
              <w:ind w:left="15"/>
              <w:jc w:val="right"/>
              <w:rPr>
                <w:rFonts w:asciiTheme="minorEastAsia" w:eastAsiaTheme="minorEastAsia" w:hAnsiTheme="minorEastAsia"/>
                <w:kern w:val="0"/>
              </w:rPr>
            </w:pPr>
            <w:r w:rsidRPr="00E97AFD">
              <w:rPr>
                <w:rFonts w:asciiTheme="minorEastAsia" w:eastAsiaTheme="minorEastAsia" w:hAnsiTheme="minorEastAsia" w:hint="eastAsia"/>
              </w:rPr>
              <w:t>108.81</w:t>
            </w:r>
          </w:p>
        </w:tc>
        <w:tc>
          <w:tcPr>
            <w:tcW w:w="2431" w:type="dxa"/>
            <w:tcBorders>
              <w:top w:val="single" w:sz="8" w:space="0" w:color="000000"/>
              <w:left w:val="single" w:sz="8" w:space="0" w:color="000000"/>
              <w:bottom w:val="single" w:sz="8" w:space="0" w:color="000000"/>
              <w:right w:val="single" w:sz="8" w:space="0" w:color="000000"/>
            </w:tcBorders>
            <w:vAlign w:val="center"/>
            <w:hideMark/>
          </w:tcPr>
          <w:p w14:paraId="4836E05B" w14:textId="77777777" w:rsidR="0027563B" w:rsidRPr="00E97AFD" w:rsidRDefault="0027563B">
            <w:pPr>
              <w:autoSpaceDE w:val="0"/>
              <w:autoSpaceDN w:val="0"/>
              <w:adjustRightInd w:val="0"/>
              <w:spacing w:before="29" w:line="300" w:lineRule="auto"/>
              <w:ind w:left="15"/>
              <w:jc w:val="right"/>
              <w:rPr>
                <w:rFonts w:asciiTheme="minorEastAsia" w:eastAsiaTheme="minorEastAsia" w:hAnsiTheme="minorEastAsia"/>
                <w:kern w:val="0"/>
              </w:rPr>
            </w:pPr>
            <w:r w:rsidRPr="00E97AFD">
              <w:rPr>
                <w:rFonts w:asciiTheme="minorEastAsia" w:eastAsiaTheme="minorEastAsia" w:hAnsiTheme="minorEastAsia" w:hint="eastAsia"/>
              </w:rPr>
              <w:t>9.13</w:t>
            </w:r>
          </w:p>
        </w:tc>
      </w:tr>
    </w:tbl>
    <w:p w14:paraId="37AC60BD"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4、报告期内投资组合平均剩余存续期超过240天情况说明</w:t>
      </w:r>
    </w:p>
    <w:p w14:paraId="6B07FB43"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本报告期内本货币市场基金投资组合平均剩余存续期未超过240天。</w:t>
      </w:r>
    </w:p>
    <w:p w14:paraId="2C3F39EB"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5、报告期末按债券品种分类的债券投资组合</w:t>
      </w:r>
    </w:p>
    <w:tbl>
      <w:tblPr>
        <w:tblW w:w="7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2781"/>
        <w:gridCol w:w="2782"/>
        <w:gridCol w:w="1707"/>
      </w:tblGrid>
      <w:tr w:rsidR="0027563B" w:rsidRPr="00E97AFD" w14:paraId="139F9D39" w14:textId="77777777" w:rsidTr="0027563B">
        <w:tc>
          <w:tcPr>
            <w:tcW w:w="817" w:type="dxa"/>
            <w:tcBorders>
              <w:top w:val="single" w:sz="4" w:space="0" w:color="auto"/>
              <w:left w:val="single" w:sz="4" w:space="0" w:color="auto"/>
              <w:bottom w:val="single" w:sz="4" w:space="0" w:color="auto"/>
              <w:right w:val="single" w:sz="4" w:space="0" w:color="auto"/>
            </w:tcBorders>
            <w:vAlign w:val="center"/>
            <w:hideMark/>
          </w:tcPr>
          <w:p w14:paraId="109DBA86" w14:textId="77777777" w:rsidR="0027563B" w:rsidRPr="00E97AFD" w:rsidRDefault="0027563B">
            <w:pPr>
              <w:spacing w:before="29" w:line="300" w:lineRule="auto"/>
              <w:ind w:left="17"/>
              <w:jc w:val="center"/>
              <w:rPr>
                <w:rFonts w:asciiTheme="minorEastAsia" w:eastAsiaTheme="minorEastAsia" w:hAnsiTheme="minorEastAsia"/>
              </w:rPr>
            </w:pPr>
            <w:r w:rsidRPr="00E97AFD">
              <w:rPr>
                <w:rFonts w:asciiTheme="minorEastAsia" w:eastAsiaTheme="minorEastAsia" w:hAnsiTheme="minorEastAsia" w:hint="eastAsia"/>
              </w:rPr>
              <w:t>序号</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E096B78" w14:textId="77777777" w:rsidR="0027563B" w:rsidRPr="00E97AFD" w:rsidRDefault="0027563B">
            <w:pPr>
              <w:spacing w:before="29" w:line="300" w:lineRule="auto"/>
              <w:ind w:left="17"/>
              <w:jc w:val="center"/>
              <w:rPr>
                <w:rFonts w:asciiTheme="minorEastAsia" w:eastAsiaTheme="minorEastAsia" w:hAnsiTheme="minorEastAsia"/>
              </w:rPr>
            </w:pPr>
            <w:r w:rsidRPr="00E97AFD">
              <w:rPr>
                <w:rFonts w:asciiTheme="minorEastAsia" w:eastAsiaTheme="minorEastAsia" w:hAnsiTheme="minorEastAsia" w:hint="eastAsia"/>
              </w:rPr>
              <w:t>债券品种</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A6C8455" w14:textId="77777777" w:rsidR="0027563B" w:rsidRPr="00E97AFD" w:rsidRDefault="0027563B">
            <w:pPr>
              <w:spacing w:before="29" w:line="300" w:lineRule="auto"/>
              <w:ind w:left="17"/>
              <w:jc w:val="center"/>
              <w:rPr>
                <w:rFonts w:asciiTheme="minorEastAsia" w:eastAsiaTheme="minorEastAsia" w:hAnsiTheme="minorEastAsia"/>
              </w:rPr>
            </w:pPr>
            <w:r w:rsidRPr="00E97AFD">
              <w:rPr>
                <w:rFonts w:asciiTheme="minorEastAsia" w:eastAsiaTheme="minorEastAsia" w:hAnsiTheme="minorEastAsia" w:hint="eastAsia"/>
              </w:rPr>
              <w:t>摊余成本（元）</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01D6B06" w14:textId="77777777" w:rsidR="0027563B" w:rsidRPr="00E97AFD" w:rsidRDefault="0027563B">
            <w:pPr>
              <w:spacing w:before="29" w:line="300" w:lineRule="auto"/>
              <w:ind w:left="17"/>
              <w:jc w:val="center"/>
              <w:rPr>
                <w:rFonts w:asciiTheme="minorEastAsia" w:eastAsiaTheme="minorEastAsia" w:hAnsiTheme="minorEastAsia"/>
              </w:rPr>
            </w:pPr>
            <w:r w:rsidRPr="00E97AFD">
              <w:rPr>
                <w:rFonts w:asciiTheme="minorEastAsia" w:eastAsiaTheme="minorEastAsia" w:hAnsiTheme="minorEastAsia" w:hint="eastAsia"/>
              </w:rPr>
              <w:t>占基金资产净值比例(％)</w:t>
            </w:r>
          </w:p>
        </w:tc>
      </w:tr>
      <w:tr w:rsidR="0027563B" w:rsidRPr="00E97AFD" w14:paraId="4002DCA4" w14:textId="77777777" w:rsidTr="0027563B">
        <w:tc>
          <w:tcPr>
            <w:tcW w:w="817" w:type="dxa"/>
            <w:tcBorders>
              <w:top w:val="single" w:sz="4" w:space="0" w:color="auto"/>
              <w:left w:val="single" w:sz="4" w:space="0" w:color="auto"/>
              <w:bottom w:val="single" w:sz="4" w:space="0" w:color="auto"/>
              <w:right w:val="single" w:sz="4" w:space="0" w:color="auto"/>
            </w:tcBorders>
            <w:vAlign w:val="center"/>
            <w:hideMark/>
          </w:tcPr>
          <w:p w14:paraId="6D5F5797" w14:textId="77777777" w:rsidR="0027563B" w:rsidRPr="00E97AFD" w:rsidRDefault="0027563B">
            <w:pPr>
              <w:spacing w:before="29" w:line="300" w:lineRule="auto"/>
              <w:ind w:left="17"/>
              <w:jc w:val="center"/>
              <w:rPr>
                <w:rFonts w:asciiTheme="minorEastAsia" w:eastAsiaTheme="minorEastAsia" w:hAnsiTheme="minorEastAsia"/>
              </w:rPr>
            </w:pPr>
            <w:r w:rsidRPr="00E97AFD">
              <w:rPr>
                <w:rFonts w:asciiTheme="minorEastAsia" w:eastAsiaTheme="minorEastAsia" w:hAnsiTheme="minorEastAsia" w:hint="eastAsia"/>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DB02B6C" w14:textId="77777777" w:rsidR="0027563B" w:rsidRPr="00E97AFD" w:rsidRDefault="0027563B">
            <w:pPr>
              <w:spacing w:before="29" w:line="300" w:lineRule="auto"/>
              <w:ind w:left="17"/>
              <w:rPr>
                <w:rFonts w:asciiTheme="minorEastAsia" w:eastAsiaTheme="minorEastAsia" w:hAnsiTheme="minorEastAsia"/>
              </w:rPr>
            </w:pPr>
            <w:r w:rsidRPr="00E97AFD">
              <w:rPr>
                <w:rFonts w:asciiTheme="minorEastAsia" w:eastAsiaTheme="minorEastAsia" w:hAnsiTheme="minorEastAsia" w:hint="eastAsia"/>
              </w:rPr>
              <w:t>国家债券</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A7EB9E7"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9,974,380.79</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AAED3DF"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0.15</w:t>
            </w:r>
          </w:p>
        </w:tc>
      </w:tr>
      <w:tr w:rsidR="0027563B" w:rsidRPr="00E97AFD" w14:paraId="045957D2" w14:textId="77777777" w:rsidTr="0027563B">
        <w:tc>
          <w:tcPr>
            <w:tcW w:w="817" w:type="dxa"/>
            <w:tcBorders>
              <w:top w:val="single" w:sz="4" w:space="0" w:color="auto"/>
              <w:left w:val="single" w:sz="4" w:space="0" w:color="auto"/>
              <w:bottom w:val="single" w:sz="4" w:space="0" w:color="auto"/>
              <w:right w:val="single" w:sz="4" w:space="0" w:color="auto"/>
            </w:tcBorders>
            <w:vAlign w:val="center"/>
            <w:hideMark/>
          </w:tcPr>
          <w:p w14:paraId="48D7561F" w14:textId="77777777" w:rsidR="0027563B" w:rsidRPr="00E97AFD" w:rsidRDefault="0027563B">
            <w:pPr>
              <w:spacing w:before="29" w:line="300" w:lineRule="auto"/>
              <w:ind w:left="17"/>
              <w:jc w:val="center"/>
              <w:rPr>
                <w:rFonts w:asciiTheme="minorEastAsia" w:eastAsiaTheme="minorEastAsia" w:hAnsiTheme="minorEastAsia"/>
              </w:rPr>
            </w:pPr>
            <w:r w:rsidRPr="00E97AFD">
              <w:rPr>
                <w:rFonts w:asciiTheme="minorEastAsia" w:eastAsiaTheme="minorEastAsia" w:hAnsiTheme="minorEastAsia" w:hint="eastAsia"/>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80FB53D" w14:textId="77777777" w:rsidR="0027563B" w:rsidRPr="00E97AFD" w:rsidRDefault="0027563B">
            <w:pPr>
              <w:spacing w:before="29" w:line="300" w:lineRule="auto"/>
              <w:ind w:left="17"/>
              <w:rPr>
                <w:rFonts w:asciiTheme="minorEastAsia" w:eastAsiaTheme="minorEastAsia" w:hAnsiTheme="minorEastAsia"/>
              </w:rPr>
            </w:pPr>
            <w:r w:rsidRPr="00E97AFD">
              <w:rPr>
                <w:rFonts w:asciiTheme="minorEastAsia" w:eastAsiaTheme="minorEastAsia" w:hAnsiTheme="minorEastAsia" w:hint="eastAsia"/>
              </w:rPr>
              <w:t>央行票据</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DA88DB2"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650C9C5"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w:t>
            </w:r>
          </w:p>
        </w:tc>
      </w:tr>
      <w:tr w:rsidR="0027563B" w:rsidRPr="00E97AFD" w14:paraId="1BB4CAE6" w14:textId="77777777" w:rsidTr="0027563B">
        <w:tc>
          <w:tcPr>
            <w:tcW w:w="817" w:type="dxa"/>
            <w:tcBorders>
              <w:top w:val="single" w:sz="4" w:space="0" w:color="auto"/>
              <w:left w:val="single" w:sz="4" w:space="0" w:color="auto"/>
              <w:bottom w:val="single" w:sz="4" w:space="0" w:color="auto"/>
              <w:right w:val="single" w:sz="4" w:space="0" w:color="auto"/>
            </w:tcBorders>
            <w:vAlign w:val="center"/>
            <w:hideMark/>
          </w:tcPr>
          <w:p w14:paraId="728AD12D" w14:textId="77777777" w:rsidR="0027563B" w:rsidRPr="00E97AFD" w:rsidRDefault="0027563B">
            <w:pPr>
              <w:spacing w:before="29" w:line="300" w:lineRule="auto"/>
              <w:ind w:left="17"/>
              <w:jc w:val="center"/>
              <w:rPr>
                <w:rFonts w:asciiTheme="minorEastAsia" w:eastAsiaTheme="minorEastAsia" w:hAnsiTheme="minorEastAsia"/>
              </w:rPr>
            </w:pPr>
            <w:r w:rsidRPr="00E97AFD">
              <w:rPr>
                <w:rFonts w:asciiTheme="minorEastAsia" w:eastAsiaTheme="minorEastAsia" w:hAnsiTheme="minorEastAsia" w:hint="eastAsia"/>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287ACE6" w14:textId="77777777" w:rsidR="0027563B" w:rsidRPr="00E97AFD" w:rsidRDefault="0027563B">
            <w:pPr>
              <w:spacing w:before="29" w:line="300" w:lineRule="auto"/>
              <w:ind w:left="17"/>
              <w:rPr>
                <w:rFonts w:asciiTheme="minorEastAsia" w:eastAsiaTheme="minorEastAsia" w:hAnsiTheme="minorEastAsia"/>
              </w:rPr>
            </w:pPr>
            <w:r w:rsidRPr="00E97AFD">
              <w:rPr>
                <w:rFonts w:asciiTheme="minorEastAsia" w:eastAsiaTheme="minorEastAsia" w:hAnsiTheme="minorEastAsia" w:hint="eastAsia"/>
              </w:rPr>
              <w:t>金融债券</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A00CFA4"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341,439,048.05</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C2AA97C"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5.08</w:t>
            </w:r>
          </w:p>
        </w:tc>
      </w:tr>
      <w:tr w:rsidR="0027563B" w:rsidRPr="00E97AFD" w14:paraId="0A2ECD8E" w14:textId="77777777" w:rsidTr="0027563B">
        <w:tc>
          <w:tcPr>
            <w:tcW w:w="817" w:type="dxa"/>
            <w:tcBorders>
              <w:top w:val="single" w:sz="4" w:space="0" w:color="auto"/>
              <w:left w:val="single" w:sz="4" w:space="0" w:color="auto"/>
              <w:bottom w:val="single" w:sz="4" w:space="0" w:color="auto"/>
              <w:right w:val="single" w:sz="4" w:space="0" w:color="auto"/>
            </w:tcBorders>
            <w:vAlign w:val="center"/>
          </w:tcPr>
          <w:p w14:paraId="01D88CA9" w14:textId="77777777" w:rsidR="0027563B" w:rsidRPr="00E97AFD" w:rsidRDefault="0027563B">
            <w:pPr>
              <w:spacing w:before="29" w:line="300" w:lineRule="auto"/>
              <w:ind w:left="17"/>
              <w:jc w:val="center"/>
              <w:rPr>
                <w:rFonts w:asciiTheme="minorEastAsia" w:eastAsiaTheme="minorEastAsia" w:hAnsiTheme="minorEastAsia"/>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B98DE39" w14:textId="77777777" w:rsidR="0027563B" w:rsidRPr="00E97AFD" w:rsidRDefault="0027563B">
            <w:pPr>
              <w:spacing w:before="29" w:line="300" w:lineRule="auto"/>
              <w:ind w:left="17"/>
              <w:rPr>
                <w:rFonts w:asciiTheme="minorEastAsia" w:eastAsiaTheme="minorEastAsia" w:hAnsiTheme="minorEastAsia"/>
              </w:rPr>
            </w:pPr>
            <w:r w:rsidRPr="00E97AFD">
              <w:rPr>
                <w:rFonts w:asciiTheme="minorEastAsia" w:eastAsiaTheme="minorEastAsia" w:hAnsiTheme="minorEastAsia" w:hint="eastAsia"/>
              </w:rPr>
              <w:t>其中：政策性金融债</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2921EB4"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341,439,048.05</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AB0C2D3"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5.08</w:t>
            </w:r>
          </w:p>
        </w:tc>
      </w:tr>
      <w:tr w:rsidR="0027563B" w:rsidRPr="00E97AFD" w14:paraId="279C39C8" w14:textId="77777777" w:rsidTr="0027563B">
        <w:tc>
          <w:tcPr>
            <w:tcW w:w="817" w:type="dxa"/>
            <w:tcBorders>
              <w:top w:val="single" w:sz="4" w:space="0" w:color="auto"/>
              <w:left w:val="single" w:sz="4" w:space="0" w:color="auto"/>
              <w:bottom w:val="single" w:sz="4" w:space="0" w:color="auto"/>
              <w:right w:val="single" w:sz="4" w:space="0" w:color="auto"/>
            </w:tcBorders>
            <w:vAlign w:val="center"/>
            <w:hideMark/>
          </w:tcPr>
          <w:p w14:paraId="40907D34" w14:textId="77777777" w:rsidR="0027563B" w:rsidRPr="00E97AFD" w:rsidRDefault="0027563B">
            <w:pPr>
              <w:spacing w:before="29" w:line="300" w:lineRule="auto"/>
              <w:ind w:left="17"/>
              <w:jc w:val="center"/>
              <w:rPr>
                <w:rFonts w:asciiTheme="minorEastAsia" w:eastAsiaTheme="minorEastAsia" w:hAnsiTheme="minorEastAsia"/>
              </w:rPr>
            </w:pPr>
            <w:r w:rsidRPr="00E97AFD">
              <w:rPr>
                <w:rFonts w:asciiTheme="minorEastAsia" w:eastAsiaTheme="minorEastAsia" w:hAnsiTheme="minorEastAsia" w:hint="eastAsia"/>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2200BB6" w14:textId="77777777" w:rsidR="0027563B" w:rsidRPr="00E97AFD" w:rsidRDefault="0027563B">
            <w:pPr>
              <w:spacing w:before="29" w:line="300" w:lineRule="auto"/>
              <w:ind w:left="17"/>
              <w:rPr>
                <w:rFonts w:asciiTheme="minorEastAsia" w:eastAsiaTheme="minorEastAsia" w:hAnsiTheme="minorEastAsia"/>
              </w:rPr>
            </w:pPr>
            <w:r w:rsidRPr="00E97AFD">
              <w:rPr>
                <w:rFonts w:asciiTheme="minorEastAsia" w:eastAsiaTheme="minorEastAsia" w:hAnsiTheme="minorEastAsia" w:hint="eastAsia"/>
              </w:rPr>
              <w:t>企业债券</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26DF419"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3A38A6"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w:t>
            </w:r>
          </w:p>
        </w:tc>
      </w:tr>
      <w:tr w:rsidR="0027563B" w:rsidRPr="00E97AFD" w14:paraId="7BA22EC3" w14:textId="77777777" w:rsidTr="0027563B">
        <w:tc>
          <w:tcPr>
            <w:tcW w:w="817" w:type="dxa"/>
            <w:tcBorders>
              <w:top w:val="single" w:sz="4" w:space="0" w:color="auto"/>
              <w:left w:val="single" w:sz="4" w:space="0" w:color="auto"/>
              <w:bottom w:val="single" w:sz="4" w:space="0" w:color="auto"/>
              <w:right w:val="single" w:sz="4" w:space="0" w:color="auto"/>
            </w:tcBorders>
            <w:vAlign w:val="center"/>
            <w:hideMark/>
          </w:tcPr>
          <w:p w14:paraId="2F6182B4" w14:textId="77777777" w:rsidR="0027563B" w:rsidRPr="00E97AFD" w:rsidRDefault="0027563B">
            <w:pPr>
              <w:spacing w:before="29" w:line="300" w:lineRule="auto"/>
              <w:ind w:left="17"/>
              <w:jc w:val="center"/>
              <w:rPr>
                <w:rFonts w:asciiTheme="minorEastAsia" w:eastAsiaTheme="minorEastAsia" w:hAnsiTheme="minorEastAsia"/>
              </w:rPr>
            </w:pPr>
            <w:r w:rsidRPr="00E97AFD">
              <w:rPr>
                <w:rFonts w:asciiTheme="minorEastAsia" w:eastAsiaTheme="minorEastAsia" w:hAnsiTheme="minorEastAsia" w:hint="eastAsia"/>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ADFED16" w14:textId="77777777" w:rsidR="0027563B" w:rsidRPr="00E97AFD" w:rsidRDefault="0027563B">
            <w:pPr>
              <w:spacing w:before="29" w:line="300" w:lineRule="auto"/>
              <w:ind w:left="17"/>
              <w:rPr>
                <w:rFonts w:asciiTheme="minorEastAsia" w:eastAsiaTheme="minorEastAsia" w:hAnsiTheme="minorEastAsia"/>
              </w:rPr>
            </w:pPr>
            <w:r w:rsidRPr="00E97AFD">
              <w:rPr>
                <w:rFonts w:asciiTheme="minorEastAsia" w:eastAsiaTheme="minorEastAsia" w:hAnsiTheme="minorEastAsia" w:hint="eastAsia"/>
              </w:rPr>
              <w:t>企业短期融资券</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B973997"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579,937,203.98</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3890C1B"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8.63</w:t>
            </w:r>
          </w:p>
        </w:tc>
      </w:tr>
      <w:tr w:rsidR="0027563B" w:rsidRPr="00E97AFD" w14:paraId="018B67AC" w14:textId="77777777" w:rsidTr="0027563B">
        <w:tc>
          <w:tcPr>
            <w:tcW w:w="817" w:type="dxa"/>
            <w:tcBorders>
              <w:top w:val="single" w:sz="4" w:space="0" w:color="auto"/>
              <w:left w:val="single" w:sz="4" w:space="0" w:color="auto"/>
              <w:bottom w:val="single" w:sz="4" w:space="0" w:color="auto"/>
              <w:right w:val="single" w:sz="4" w:space="0" w:color="auto"/>
            </w:tcBorders>
            <w:vAlign w:val="center"/>
            <w:hideMark/>
          </w:tcPr>
          <w:p w14:paraId="17E8EF92" w14:textId="77777777" w:rsidR="0027563B" w:rsidRPr="00E97AFD" w:rsidRDefault="0027563B">
            <w:pPr>
              <w:spacing w:before="29" w:line="300" w:lineRule="auto"/>
              <w:ind w:left="17"/>
              <w:jc w:val="center"/>
              <w:rPr>
                <w:rFonts w:asciiTheme="minorEastAsia" w:eastAsiaTheme="minorEastAsia" w:hAnsiTheme="minorEastAsia"/>
              </w:rPr>
            </w:pPr>
            <w:r w:rsidRPr="00E97AFD">
              <w:rPr>
                <w:rFonts w:asciiTheme="minorEastAsia" w:eastAsiaTheme="minorEastAsia" w:hAnsiTheme="minorEastAsia" w:hint="eastAsia"/>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E3B69E9" w14:textId="77777777" w:rsidR="0027563B" w:rsidRPr="00E97AFD" w:rsidRDefault="0027563B">
            <w:pPr>
              <w:spacing w:before="29" w:line="300" w:lineRule="auto"/>
              <w:ind w:left="17"/>
              <w:rPr>
                <w:rFonts w:asciiTheme="minorEastAsia" w:eastAsiaTheme="minorEastAsia" w:hAnsiTheme="minorEastAsia"/>
              </w:rPr>
            </w:pPr>
            <w:r w:rsidRPr="00E97AFD">
              <w:rPr>
                <w:rFonts w:asciiTheme="minorEastAsia" w:eastAsiaTheme="minorEastAsia" w:hAnsiTheme="minorEastAsia" w:hint="eastAsia"/>
              </w:rPr>
              <w:t>中期票据</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85B007D"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140,607,275.11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62E8404"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2.09</w:t>
            </w:r>
          </w:p>
        </w:tc>
      </w:tr>
      <w:tr w:rsidR="0027563B" w:rsidRPr="00E97AFD" w14:paraId="3D544151" w14:textId="77777777" w:rsidTr="0027563B">
        <w:tc>
          <w:tcPr>
            <w:tcW w:w="817" w:type="dxa"/>
            <w:tcBorders>
              <w:top w:val="single" w:sz="4" w:space="0" w:color="auto"/>
              <w:left w:val="single" w:sz="4" w:space="0" w:color="auto"/>
              <w:bottom w:val="single" w:sz="4" w:space="0" w:color="auto"/>
              <w:right w:val="single" w:sz="4" w:space="0" w:color="auto"/>
            </w:tcBorders>
            <w:vAlign w:val="center"/>
            <w:hideMark/>
          </w:tcPr>
          <w:p w14:paraId="5C14D945" w14:textId="77777777" w:rsidR="0027563B" w:rsidRPr="00E97AFD" w:rsidRDefault="0027563B">
            <w:pPr>
              <w:spacing w:before="29" w:line="300" w:lineRule="auto"/>
              <w:ind w:left="17"/>
              <w:jc w:val="center"/>
              <w:rPr>
                <w:rFonts w:asciiTheme="minorEastAsia" w:eastAsiaTheme="minorEastAsia" w:hAnsiTheme="minorEastAsia"/>
              </w:rPr>
            </w:pPr>
            <w:r w:rsidRPr="00E97AFD">
              <w:rPr>
                <w:rFonts w:asciiTheme="minorEastAsia" w:eastAsiaTheme="minorEastAsia" w:hAnsiTheme="minorEastAsia" w:hint="eastAsia"/>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6E01738" w14:textId="77777777" w:rsidR="0027563B" w:rsidRPr="00E97AFD" w:rsidRDefault="0027563B">
            <w:pPr>
              <w:spacing w:before="29" w:line="300" w:lineRule="auto"/>
              <w:ind w:left="17"/>
              <w:jc w:val="left"/>
              <w:rPr>
                <w:rFonts w:asciiTheme="minorEastAsia" w:eastAsiaTheme="minorEastAsia" w:hAnsiTheme="minorEastAsia"/>
              </w:rPr>
            </w:pPr>
            <w:r w:rsidRPr="00E97AFD">
              <w:rPr>
                <w:rFonts w:asciiTheme="minorEastAsia" w:eastAsiaTheme="minorEastAsia" w:hAnsiTheme="minorEastAsia" w:hint="eastAsia"/>
              </w:rPr>
              <w:t>同业存单</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DE7748A"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1,332,109,265.62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36ED0FD"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19.82</w:t>
            </w:r>
          </w:p>
        </w:tc>
      </w:tr>
      <w:tr w:rsidR="0027563B" w:rsidRPr="00E97AFD" w14:paraId="2C2A32C6" w14:textId="77777777" w:rsidTr="0027563B">
        <w:tc>
          <w:tcPr>
            <w:tcW w:w="817" w:type="dxa"/>
            <w:tcBorders>
              <w:top w:val="single" w:sz="4" w:space="0" w:color="auto"/>
              <w:left w:val="single" w:sz="4" w:space="0" w:color="auto"/>
              <w:bottom w:val="single" w:sz="4" w:space="0" w:color="auto"/>
              <w:right w:val="single" w:sz="4" w:space="0" w:color="auto"/>
            </w:tcBorders>
            <w:vAlign w:val="center"/>
            <w:hideMark/>
          </w:tcPr>
          <w:p w14:paraId="645A9E3C" w14:textId="77777777" w:rsidR="0027563B" w:rsidRPr="00E97AFD" w:rsidRDefault="0027563B">
            <w:pPr>
              <w:spacing w:before="29" w:line="300" w:lineRule="auto"/>
              <w:ind w:left="17"/>
              <w:jc w:val="center"/>
              <w:rPr>
                <w:rFonts w:asciiTheme="minorEastAsia" w:eastAsiaTheme="minorEastAsia" w:hAnsiTheme="minorEastAsia"/>
              </w:rPr>
            </w:pPr>
            <w:r w:rsidRPr="00E97AFD">
              <w:rPr>
                <w:rFonts w:asciiTheme="minorEastAsia" w:eastAsiaTheme="minorEastAsia" w:hAnsiTheme="minorEastAsia" w:hint="eastAsia"/>
              </w:rPr>
              <w:lastRenderedPageBreak/>
              <w:t>8</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3754D86" w14:textId="77777777" w:rsidR="0027563B" w:rsidRPr="00E97AFD" w:rsidRDefault="0027563B">
            <w:pPr>
              <w:spacing w:before="29" w:line="300" w:lineRule="auto"/>
              <w:ind w:left="17"/>
              <w:rPr>
                <w:rFonts w:asciiTheme="minorEastAsia" w:eastAsiaTheme="minorEastAsia" w:hAnsiTheme="minorEastAsia"/>
              </w:rPr>
            </w:pPr>
            <w:r w:rsidRPr="00E97AFD">
              <w:rPr>
                <w:rFonts w:asciiTheme="minorEastAsia" w:eastAsiaTheme="minorEastAsia" w:hAnsiTheme="minorEastAsia" w:hint="eastAsia"/>
              </w:rPr>
              <w:t>其他</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62BCC78"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94FF9AD"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w:t>
            </w:r>
          </w:p>
        </w:tc>
      </w:tr>
      <w:tr w:rsidR="0027563B" w:rsidRPr="00E97AFD" w14:paraId="5E615D13" w14:textId="77777777" w:rsidTr="0027563B">
        <w:tc>
          <w:tcPr>
            <w:tcW w:w="817" w:type="dxa"/>
            <w:tcBorders>
              <w:top w:val="single" w:sz="4" w:space="0" w:color="auto"/>
              <w:left w:val="single" w:sz="4" w:space="0" w:color="auto"/>
              <w:bottom w:val="single" w:sz="4" w:space="0" w:color="auto"/>
              <w:right w:val="single" w:sz="4" w:space="0" w:color="auto"/>
            </w:tcBorders>
            <w:vAlign w:val="center"/>
            <w:hideMark/>
          </w:tcPr>
          <w:p w14:paraId="69EA8FFF" w14:textId="77777777" w:rsidR="0027563B" w:rsidRPr="00E97AFD" w:rsidRDefault="0027563B">
            <w:pPr>
              <w:spacing w:before="29" w:line="300" w:lineRule="auto"/>
              <w:ind w:left="17"/>
              <w:jc w:val="center"/>
              <w:rPr>
                <w:rFonts w:asciiTheme="minorEastAsia" w:eastAsiaTheme="minorEastAsia" w:hAnsiTheme="minorEastAsia"/>
              </w:rPr>
            </w:pPr>
            <w:r w:rsidRPr="00E97AFD">
              <w:rPr>
                <w:rFonts w:asciiTheme="minorEastAsia" w:eastAsiaTheme="minorEastAsia" w:hAnsiTheme="minorEastAsia" w:hint="eastAsia"/>
              </w:rPr>
              <w:t>9</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6A32112" w14:textId="77777777" w:rsidR="0027563B" w:rsidRPr="00E97AFD" w:rsidRDefault="0027563B">
            <w:pPr>
              <w:spacing w:before="29" w:line="300" w:lineRule="auto"/>
              <w:ind w:left="17"/>
              <w:rPr>
                <w:rFonts w:asciiTheme="minorEastAsia" w:eastAsiaTheme="minorEastAsia" w:hAnsiTheme="minorEastAsia"/>
              </w:rPr>
            </w:pPr>
            <w:r w:rsidRPr="00E97AFD">
              <w:rPr>
                <w:rFonts w:asciiTheme="minorEastAsia" w:eastAsiaTheme="minorEastAsia" w:hAnsiTheme="minorEastAsia" w:hint="eastAsia"/>
              </w:rPr>
              <w:t>合计</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B389DE9"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2,404,067,173.55</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60EBC79"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35.77</w:t>
            </w:r>
          </w:p>
        </w:tc>
      </w:tr>
      <w:tr w:rsidR="0027563B" w:rsidRPr="00E97AFD" w14:paraId="183F764C" w14:textId="77777777" w:rsidTr="0027563B">
        <w:tc>
          <w:tcPr>
            <w:tcW w:w="817" w:type="dxa"/>
            <w:tcBorders>
              <w:top w:val="single" w:sz="4" w:space="0" w:color="auto"/>
              <w:left w:val="single" w:sz="4" w:space="0" w:color="auto"/>
              <w:bottom w:val="single" w:sz="4" w:space="0" w:color="auto"/>
              <w:right w:val="single" w:sz="4" w:space="0" w:color="auto"/>
            </w:tcBorders>
            <w:vAlign w:val="center"/>
            <w:hideMark/>
          </w:tcPr>
          <w:p w14:paraId="583C8A0D" w14:textId="77777777" w:rsidR="0027563B" w:rsidRPr="00E97AFD" w:rsidRDefault="0027563B">
            <w:pPr>
              <w:spacing w:before="29" w:line="300" w:lineRule="auto"/>
              <w:ind w:left="17"/>
              <w:jc w:val="center"/>
              <w:rPr>
                <w:rFonts w:asciiTheme="minorEastAsia" w:eastAsiaTheme="minorEastAsia" w:hAnsiTheme="minorEastAsia"/>
              </w:rPr>
            </w:pPr>
            <w:r w:rsidRPr="00E97AFD">
              <w:rPr>
                <w:rFonts w:asciiTheme="minorEastAsia" w:eastAsiaTheme="minorEastAsia" w:hAnsiTheme="minorEastAsia" w:hint="eastAsia"/>
              </w:rPr>
              <w:t>10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58900FF" w14:textId="77777777" w:rsidR="0027563B" w:rsidRPr="00E97AFD" w:rsidRDefault="0027563B">
            <w:pPr>
              <w:spacing w:before="29" w:line="300" w:lineRule="auto"/>
              <w:ind w:left="17"/>
              <w:rPr>
                <w:rFonts w:asciiTheme="minorEastAsia" w:eastAsiaTheme="minorEastAsia" w:hAnsiTheme="minorEastAsia"/>
              </w:rPr>
            </w:pPr>
            <w:r w:rsidRPr="00E97AFD">
              <w:rPr>
                <w:rFonts w:asciiTheme="minorEastAsia" w:eastAsiaTheme="minorEastAsia" w:hAnsiTheme="minorEastAsia" w:hint="eastAsia"/>
              </w:rPr>
              <w:t>剩余存续期超过397天的浮动利率债券</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3F7FC2C"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B91ED0B" w14:textId="77777777" w:rsidR="0027563B" w:rsidRPr="00E97AFD" w:rsidRDefault="0027563B">
            <w:pPr>
              <w:spacing w:before="29" w:line="300" w:lineRule="auto"/>
              <w:ind w:left="17"/>
              <w:jc w:val="right"/>
              <w:rPr>
                <w:rFonts w:asciiTheme="minorEastAsia" w:eastAsiaTheme="minorEastAsia" w:hAnsiTheme="minorEastAsia"/>
              </w:rPr>
            </w:pPr>
            <w:r w:rsidRPr="00E97AFD">
              <w:rPr>
                <w:rFonts w:asciiTheme="minorEastAsia" w:eastAsiaTheme="minorEastAsia" w:hAnsiTheme="minorEastAsia" w:hint="eastAsia"/>
              </w:rPr>
              <w:t>-</w:t>
            </w:r>
          </w:p>
        </w:tc>
      </w:tr>
    </w:tbl>
    <w:p w14:paraId="55A9F708"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6、报告期末按摊余成本占基金资产净值比例大小排名的前十名债券投资明细</w:t>
      </w:r>
    </w:p>
    <w:tbl>
      <w:tblPr>
        <w:tblW w:w="80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6"/>
        <w:gridCol w:w="1358"/>
        <w:gridCol w:w="1381"/>
        <w:gridCol w:w="1358"/>
        <w:gridCol w:w="1686"/>
        <w:gridCol w:w="1211"/>
      </w:tblGrid>
      <w:tr w:rsidR="00E97AFD" w:rsidRPr="00E97AFD" w14:paraId="553410E9" w14:textId="77777777" w:rsidTr="0027563B">
        <w:tc>
          <w:tcPr>
            <w:tcW w:w="1547" w:type="dxa"/>
            <w:tcBorders>
              <w:top w:val="single" w:sz="4" w:space="0" w:color="000000"/>
              <w:left w:val="single" w:sz="4" w:space="0" w:color="000000"/>
              <w:bottom w:val="single" w:sz="4" w:space="0" w:color="000000"/>
              <w:right w:val="single" w:sz="4" w:space="0" w:color="000000"/>
            </w:tcBorders>
            <w:vAlign w:val="center"/>
            <w:hideMark/>
          </w:tcPr>
          <w:p w14:paraId="7476DB4C"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kern w:val="0"/>
              </w:rPr>
            </w:pPr>
            <w:r w:rsidRPr="00E97AFD">
              <w:rPr>
                <w:rFonts w:asciiTheme="minorEastAsia" w:eastAsiaTheme="minorEastAsia" w:hAnsiTheme="minorEastAsia" w:hint="eastAsia"/>
                <w:kern w:val="0"/>
              </w:rPr>
              <w:t>序号</w:t>
            </w:r>
          </w:p>
        </w:tc>
        <w:tc>
          <w:tcPr>
            <w:tcW w:w="1548" w:type="dxa"/>
            <w:tcBorders>
              <w:top w:val="single" w:sz="4" w:space="0" w:color="000000"/>
              <w:left w:val="single" w:sz="4" w:space="0" w:color="000000"/>
              <w:bottom w:val="single" w:sz="4" w:space="0" w:color="000000"/>
              <w:right w:val="single" w:sz="4" w:space="0" w:color="000000"/>
            </w:tcBorders>
            <w:vAlign w:val="center"/>
            <w:hideMark/>
          </w:tcPr>
          <w:p w14:paraId="0EC7FA4F"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cstheme="minorBidi"/>
                <w:kern w:val="0"/>
              </w:rPr>
            </w:pPr>
            <w:r w:rsidRPr="00E97AFD">
              <w:rPr>
                <w:rFonts w:asciiTheme="minorEastAsia" w:eastAsiaTheme="minorEastAsia" w:hAnsiTheme="minorEastAsia" w:hint="eastAsia"/>
                <w:kern w:val="0"/>
              </w:rPr>
              <w:t>债券代码</w:t>
            </w:r>
          </w:p>
        </w:tc>
        <w:tc>
          <w:tcPr>
            <w:tcW w:w="1548" w:type="dxa"/>
            <w:tcBorders>
              <w:top w:val="single" w:sz="4" w:space="0" w:color="000000"/>
              <w:left w:val="single" w:sz="4" w:space="0" w:color="000000"/>
              <w:bottom w:val="single" w:sz="4" w:space="0" w:color="000000"/>
              <w:right w:val="single" w:sz="4" w:space="0" w:color="000000"/>
            </w:tcBorders>
            <w:vAlign w:val="center"/>
            <w:hideMark/>
          </w:tcPr>
          <w:p w14:paraId="28DA5A61"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kern w:val="0"/>
              </w:rPr>
            </w:pPr>
            <w:r w:rsidRPr="00E97AFD">
              <w:rPr>
                <w:rFonts w:asciiTheme="minorEastAsia" w:eastAsiaTheme="minorEastAsia" w:hAnsiTheme="minorEastAsia" w:hint="eastAsia"/>
                <w:kern w:val="0"/>
              </w:rPr>
              <w:t>债券名称</w:t>
            </w:r>
          </w:p>
        </w:tc>
        <w:tc>
          <w:tcPr>
            <w:tcW w:w="1548" w:type="dxa"/>
            <w:tcBorders>
              <w:top w:val="single" w:sz="4" w:space="0" w:color="000000"/>
              <w:left w:val="single" w:sz="4" w:space="0" w:color="000000"/>
              <w:bottom w:val="single" w:sz="4" w:space="0" w:color="000000"/>
              <w:right w:val="single" w:sz="4" w:space="0" w:color="000000"/>
            </w:tcBorders>
            <w:vAlign w:val="center"/>
            <w:hideMark/>
          </w:tcPr>
          <w:p w14:paraId="5BC9FF1F"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kern w:val="0"/>
              </w:rPr>
            </w:pPr>
            <w:r w:rsidRPr="00E97AFD">
              <w:rPr>
                <w:rFonts w:asciiTheme="minorEastAsia" w:eastAsiaTheme="minorEastAsia" w:hAnsiTheme="minorEastAsia" w:hint="eastAsia"/>
                <w:kern w:val="0"/>
              </w:rPr>
              <w:t>债券数量</w:t>
            </w:r>
          </w:p>
          <w:p w14:paraId="6F4D37D4"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kern w:val="0"/>
              </w:rPr>
            </w:pPr>
            <w:r w:rsidRPr="00E97AFD">
              <w:rPr>
                <w:rFonts w:asciiTheme="minorEastAsia" w:eastAsiaTheme="minorEastAsia" w:hAnsiTheme="minorEastAsia" w:hint="eastAsia"/>
                <w:kern w:val="0"/>
              </w:rPr>
              <w:t>（张）</w:t>
            </w:r>
          </w:p>
        </w:tc>
        <w:tc>
          <w:tcPr>
            <w:tcW w:w="1548" w:type="dxa"/>
            <w:tcBorders>
              <w:top w:val="single" w:sz="4" w:space="0" w:color="000000"/>
              <w:left w:val="single" w:sz="4" w:space="0" w:color="000000"/>
              <w:bottom w:val="single" w:sz="4" w:space="0" w:color="000000"/>
              <w:right w:val="single" w:sz="4" w:space="0" w:color="000000"/>
            </w:tcBorders>
            <w:vAlign w:val="center"/>
            <w:hideMark/>
          </w:tcPr>
          <w:p w14:paraId="0063AB9E"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kern w:val="0"/>
              </w:rPr>
            </w:pPr>
            <w:r w:rsidRPr="00E97AFD">
              <w:rPr>
                <w:rFonts w:asciiTheme="minorEastAsia" w:eastAsiaTheme="minorEastAsia" w:hAnsiTheme="minorEastAsia" w:hint="eastAsia"/>
                <w:kern w:val="0"/>
              </w:rPr>
              <w:t>摊余成本（元）</w:t>
            </w:r>
          </w:p>
        </w:tc>
        <w:tc>
          <w:tcPr>
            <w:tcW w:w="1548" w:type="dxa"/>
            <w:tcBorders>
              <w:top w:val="single" w:sz="4" w:space="0" w:color="000000"/>
              <w:left w:val="single" w:sz="4" w:space="0" w:color="000000"/>
              <w:bottom w:val="single" w:sz="4" w:space="0" w:color="000000"/>
              <w:right w:val="single" w:sz="4" w:space="0" w:color="000000"/>
            </w:tcBorders>
            <w:vAlign w:val="center"/>
            <w:hideMark/>
          </w:tcPr>
          <w:p w14:paraId="0ABB7995"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kern w:val="0"/>
              </w:rPr>
            </w:pPr>
            <w:r w:rsidRPr="00E97AFD">
              <w:rPr>
                <w:rFonts w:asciiTheme="minorEastAsia" w:eastAsiaTheme="minorEastAsia" w:hAnsiTheme="minorEastAsia" w:hint="eastAsia"/>
                <w:kern w:val="0"/>
              </w:rPr>
              <w:t>占基金资产净值比例（％）</w:t>
            </w:r>
          </w:p>
        </w:tc>
      </w:tr>
      <w:tr w:rsidR="00E97AFD" w:rsidRPr="00E97AFD" w14:paraId="7D46F5D3" w14:textId="77777777" w:rsidTr="0027563B">
        <w:tc>
          <w:tcPr>
            <w:tcW w:w="0" w:type="auto"/>
            <w:tcBorders>
              <w:top w:val="single" w:sz="4" w:space="0" w:color="000000"/>
              <w:left w:val="single" w:sz="4" w:space="0" w:color="000000"/>
              <w:bottom w:val="single" w:sz="4" w:space="0" w:color="000000"/>
              <w:right w:val="single" w:sz="4" w:space="0" w:color="000000"/>
            </w:tcBorders>
            <w:vAlign w:val="center"/>
            <w:hideMark/>
          </w:tcPr>
          <w:p w14:paraId="4979A34F"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A7AF519"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012000233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19B366"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20电网SCP006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041870"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2,000,000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32A45FF"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200,070,439.02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7CC2226"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2.98</w:t>
            </w:r>
          </w:p>
        </w:tc>
      </w:tr>
      <w:tr w:rsidR="00E97AFD" w:rsidRPr="00E97AFD" w14:paraId="156BC60A" w14:textId="77777777" w:rsidTr="0027563B">
        <w:tc>
          <w:tcPr>
            <w:tcW w:w="0" w:type="auto"/>
            <w:tcBorders>
              <w:top w:val="single" w:sz="4" w:space="0" w:color="000000"/>
              <w:left w:val="single" w:sz="4" w:space="0" w:color="000000"/>
              <w:bottom w:val="single" w:sz="4" w:space="0" w:color="000000"/>
              <w:right w:val="single" w:sz="4" w:space="0" w:color="000000"/>
            </w:tcBorders>
            <w:vAlign w:val="center"/>
            <w:hideMark/>
          </w:tcPr>
          <w:p w14:paraId="2651A0AE"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48E04F6"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112016060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7610B5C"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20上海银行CD060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FDB8E3"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2,000,000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AACF09"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197,898,085.73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3D53555"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2.94</w:t>
            </w:r>
          </w:p>
        </w:tc>
      </w:tr>
      <w:tr w:rsidR="00E97AFD" w:rsidRPr="00E97AFD" w14:paraId="5528E10A" w14:textId="77777777" w:rsidTr="0027563B">
        <w:tc>
          <w:tcPr>
            <w:tcW w:w="0" w:type="auto"/>
            <w:tcBorders>
              <w:top w:val="single" w:sz="4" w:space="0" w:color="000000"/>
              <w:left w:val="single" w:sz="4" w:space="0" w:color="000000"/>
              <w:bottom w:val="single" w:sz="4" w:space="0" w:color="000000"/>
              <w:right w:val="single" w:sz="4" w:space="0" w:color="000000"/>
            </w:tcBorders>
            <w:vAlign w:val="center"/>
            <w:hideMark/>
          </w:tcPr>
          <w:p w14:paraId="62992989"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DB624C"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112006029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356C099"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20交通银行CD029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2276FE5"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2,000,000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FC7484"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194,978,002.73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0EBB01"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2.90</w:t>
            </w:r>
          </w:p>
        </w:tc>
      </w:tr>
      <w:tr w:rsidR="00E97AFD" w:rsidRPr="00E97AFD" w14:paraId="7ED67E67" w14:textId="77777777" w:rsidTr="0027563B">
        <w:tc>
          <w:tcPr>
            <w:tcW w:w="0" w:type="auto"/>
            <w:tcBorders>
              <w:top w:val="single" w:sz="4" w:space="0" w:color="000000"/>
              <w:left w:val="single" w:sz="4" w:space="0" w:color="000000"/>
              <w:bottom w:val="single" w:sz="4" w:space="0" w:color="000000"/>
              <w:right w:val="single" w:sz="4" w:space="0" w:color="000000"/>
            </w:tcBorders>
            <w:vAlign w:val="center"/>
            <w:hideMark/>
          </w:tcPr>
          <w:p w14:paraId="1C4E2802"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D61935D"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170407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5F514C"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17农发07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ABE837D"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1,000,000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9C712B4"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100,101,052.04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5253107"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1.49</w:t>
            </w:r>
          </w:p>
        </w:tc>
      </w:tr>
      <w:tr w:rsidR="00E97AFD" w:rsidRPr="00E97AFD" w14:paraId="6203D4B7" w14:textId="77777777" w:rsidTr="0027563B">
        <w:tc>
          <w:tcPr>
            <w:tcW w:w="0" w:type="auto"/>
            <w:tcBorders>
              <w:top w:val="single" w:sz="4" w:space="0" w:color="000000"/>
              <w:left w:val="single" w:sz="4" w:space="0" w:color="000000"/>
              <w:bottom w:val="single" w:sz="4" w:space="0" w:color="000000"/>
              <w:right w:val="single" w:sz="4" w:space="0" w:color="000000"/>
            </w:tcBorders>
            <w:vAlign w:val="center"/>
            <w:hideMark/>
          </w:tcPr>
          <w:p w14:paraId="05BC43B6"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27E4E33"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011902646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8AAD07"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19宝钢SCP017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D1CCFB7"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1,000,000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598814"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99,929,907.47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C656FB"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1.49</w:t>
            </w:r>
          </w:p>
        </w:tc>
      </w:tr>
      <w:tr w:rsidR="00E97AFD" w:rsidRPr="00E97AFD" w14:paraId="0C4DEB94" w14:textId="77777777" w:rsidTr="0027563B">
        <w:tc>
          <w:tcPr>
            <w:tcW w:w="0" w:type="auto"/>
            <w:tcBorders>
              <w:top w:val="single" w:sz="4" w:space="0" w:color="000000"/>
              <w:left w:val="single" w:sz="4" w:space="0" w:color="000000"/>
              <w:bottom w:val="single" w:sz="4" w:space="0" w:color="000000"/>
              <w:right w:val="single" w:sz="4" w:space="0" w:color="000000"/>
            </w:tcBorders>
            <w:vAlign w:val="center"/>
            <w:hideMark/>
          </w:tcPr>
          <w:p w14:paraId="48046226"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B361455"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112009033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B6FA7E"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20浦发银行CD033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AB45FC2"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1,000,000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4CA60DC"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99,735,831.39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F2810E"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1.48</w:t>
            </w:r>
          </w:p>
        </w:tc>
      </w:tr>
      <w:tr w:rsidR="00E97AFD" w:rsidRPr="00E97AFD" w14:paraId="7C949F78" w14:textId="77777777" w:rsidTr="0027563B">
        <w:tc>
          <w:tcPr>
            <w:tcW w:w="0" w:type="auto"/>
            <w:tcBorders>
              <w:top w:val="single" w:sz="4" w:space="0" w:color="000000"/>
              <w:left w:val="single" w:sz="4" w:space="0" w:color="000000"/>
              <w:bottom w:val="single" w:sz="4" w:space="0" w:color="000000"/>
              <w:right w:val="single" w:sz="4" w:space="0" w:color="000000"/>
            </w:tcBorders>
            <w:vAlign w:val="center"/>
            <w:hideMark/>
          </w:tcPr>
          <w:p w14:paraId="2453390D"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C0689D"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112091167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B7A0E0D"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20宁波银行CD017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79D959"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1,000,000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193EFE4"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99,735,636.06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366DF62"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1.48</w:t>
            </w:r>
          </w:p>
        </w:tc>
      </w:tr>
      <w:tr w:rsidR="00E97AFD" w:rsidRPr="00E97AFD" w14:paraId="3B24FB83" w14:textId="77777777" w:rsidTr="0027563B">
        <w:tc>
          <w:tcPr>
            <w:tcW w:w="0" w:type="auto"/>
            <w:tcBorders>
              <w:top w:val="single" w:sz="4" w:space="0" w:color="000000"/>
              <w:left w:val="single" w:sz="4" w:space="0" w:color="000000"/>
              <w:bottom w:val="single" w:sz="4" w:space="0" w:color="000000"/>
              <w:right w:val="single" w:sz="4" w:space="0" w:color="000000"/>
            </w:tcBorders>
            <w:vAlign w:val="center"/>
            <w:hideMark/>
          </w:tcPr>
          <w:p w14:paraId="6CB6BBDF"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9524ED3"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111908254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5A6D563"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19中信银行CD254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54FD8D"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1,000,000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38FC1BF"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99,519,524.89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0886B8"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1.48</w:t>
            </w:r>
          </w:p>
        </w:tc>
      </w:tr>
      <w:tr w:rsidR="00E97AFD" w:rsidRPr="00E97AFD" w14:paraId="0C3E5EC1" w14:textId="77777777" w:rsidTr="0027563B">
        <w:tc>
          <w:tcPr>
            <w:tcW w:w="0" w:type="auto"/>
            <w:tcBorders>
              <w:top w:val="single" w:sz="4" w:space="0" w:color="000000"/>
              <w:left w:val="single" w:sz="4" w:space="0" w:color="000000"/>
              <w:bottom w:val="single" w:sz="4" w:space="0" w:color="000000"/>
              <w:right w:val="single" w:sz="4" w:space="0" w:color="000000"/>
            </w:tcBorders>
            <w:vAlign w:val="center"/>
            <w:hideMark/>
          </w:tcPr>
          <w:p w14:paraId="14D1B30C"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BCEA0C3"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111907205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0FA24AB"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19招商银行CD205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5D8712"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1,000,000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A1373F0"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99,367,340.02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539314"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1.48</w:t>
            </w:r>
          </w:p>
        </w:tc>
      </w:tr>
      <w:tr w:rsidR="00E97AFD" w:rsidRPr="00E97AFD" w14:paraId="60AB5A60" w14:textId="77777777" w:rsidTr="0027563B">
        <w:tc>
          <w:tcPr>
            <w:tcW w:w="0" w:type="auto"/>
            <w:tcBorders>
              <w:top w:val="single" w:sz="4" w:space="0" w:color="000000"/>
              <w:left w:val="single" w:sz="4" w:space="0" w:color="000000"/>
              <w:bottom w:val="single" w:sz="4" w:space="0" w:color="000000"/>
              <w:right w:val="single" w:sz="4" w:space="0" w:color="000000"/>
            </w:tcBorders>
            <w:vAlign w:val="center"/>
            <w:hideMark/>
          </w:tcPr>
          <w:p w14:paraId="4FC5C896"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1ACFE5A"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111903202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A6B710"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19农业银行CD202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AC997BC"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1,000,000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CEE69C"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99,307,517.09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671A3F2"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1.48</w:t>
            </w:r>
          </w:p>
        </w:tc>
      </w:tr>
    </w:tbl>
    <w:p w14:paraId="28B6EF17"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7、“影子定价”与“摊余成本法”确定的基金资产净值的偏离</w:t>
      </w:r>
    </w:p>
    <w:tbl>
      <w:tblPr>
        <w:tblW w:w="7995" w:type="dxa"/>
        <w:tblInd w:w="108" w:type="dxa"/>
        <w:tblLayout w:type="fixed"/>
        <w:tblLook w:val="04A0" w:firstRow="1" w:lastRow="0" w:firstColumn="1" w:lastColumn="0" w:noHBand="0" w:noVBand="1"/>
      </w:tblPr>
      <w:tblGrid>
        <w:gridCol w:w="5045"/>
        <w:gridCol w:w="2950"/>
      </w:tblGrid>
      <w:tr w:rsidR="0027563B" w:rsidRPr="00E97AFD" w14:paraId="71916E2F" w14:textId="77777777" w:rsidTr="0027563B">
        <w:tc>
          <w:tcPr>
            <w:tcW w:w="5812" w:type="dxa"/>
            <w:tcBorders>
              <w:top w:val="single" w:sz="8" w:space="0" w:color="000000"/>
              <w:left w:val="single" w:sz="8" w:space="0" w:color="000000"/>
              <w:bottom w:val="single" w:sz="8" w:space="0" w:color="000000"/>
              <w:right w:val="single" w:sz="8" w:space="0" w:color="000000"/>
            </w:tcBorders>
            <w:vAlign w:val="center"/>
            <w:hideMark/>
          </w:tcPr>
          <w:p w14:paraId="0CFF1382"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kern w:val="0"/>
              </w:rPr>
            </w:pPr>
            <w:r w:rsidRPr="00E97AFD">
              <w:rPr>
                <w:rFonts w:asciiTheme="minorEastAsia" w:eastAsiaTheme="minorEastAsia" w:hAnsiTheme="minorEastAsia" w:hint="eastAsia"/>
                <w:kern w:val="0"/>
              </w:rPr>
              <w:t>项目</w:t>
            </w:r>
          </w:p>
        </w:tc>
        <w:tc>
          <w:tcPr>
            <w:tcW w:w="3382" w:type="dxa"/>
            <w:tcBorders>
              <w:top w:val="single" w:sz="8" w:space="0" w:color="000000"/>
              <w:left w:val="single" w:sz="8" w:space="0" w:color="000000"/>
              <w:bottom w:val="single" w:sz="8" w:space="0" w:color="000000"/>
              <w:right w:val="single" w:sz="8" w:space="0" w:color="000000"/>
            </w:tcBorders>
            <w:vAlign w:val="center"/>
            <w:hideMark/>
          </w:tcPr>
          <w:p w14:paraId="309C2703"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cstheme="minorBidi"/>
                <w:kern w:val="0"/>
              </w:rPr>
            </w:pPr>
            <w:r w:rsidRPr="00E97AFD">
              <w:rPr>
                <w:rFonts w:asciiTheme="minorEastAsia" w:eastAsiaTheme="minorEastAsia" w:hAnsiTheme="minorEastAsia" w:hint="eastAsia"/>
                <w:kern w:val="0"/>
              </w:rPr>
              <w:t>偏离情况</w:t>
            </w:r>
          </w:p>
        </w:tc>
      </w:tr>
      <w:tr w:rsidR="0027563B" w:rsidRPr="00E97AFD" w14:paraId="081FC8F8" w14:textId="77777777" w:rsidTr="0027563B">
        <w:tc>
          <w:tcPr>
            <w:tcW w:w="5812" w:type="dxa"/>
            <w:tcBorders>
              <w:top w:val="single" w:sz="8" w:space="0" w:color="000000"/>
              <w:left w:val="single" w:sz="8" w:space="0" w:color="000000"/>
              <w:bottom w:val="single" w:sz="8" w:space="0" w:color="000000"/>
              <w:right w:val="single" w:sz="8" w:space="0" w:color="000000"/>
            </w:tcBorders>
            <w:vAlign w:val="center"/>
            <w:hideMark/>
          </w:tcPr>
          <w:p w14:paraId="733D07F1" w14:textId="77777777" w:rsidR="0027563B" w:rsidRPr="00E97AFD" w:rsidRDefault="0027563B">
            <w:pPr>
              <w:autoSpaceDE w:val="0"/>
              <w:autoSpaceDN w:val="0"/>
              <w:adjustRightInd w:val="0"/>
              <w:spacing w:before="29" w:line="300" w:lineRule="auto"/>
              <w:ind w:left="15"/>
              <w:jc w:val="left"/>
              <w:rPr>
                <w:rFonts w:asciiTheme="minorEastAsia" w:eastAsiaTheme="minorEastAsia" w:hAnsiTheme="minorEastAsia"/>
                <w:kern w:val="0"/>
              </w:rPr>
            </w:pPr>
            <w:r w:rsidRPr="00E97AFD">
              <w:rPr>
                <w:rFonts w:asciiTheme="minorEastAsia" w:eastAsiaTheme="minorEastAsia" w:hAnsiTheme="minorEastAsia" w:hint="eastAsia"/>
                <w:kern w:val="0"/>
              </w:rPr>
              <w:t>报告期内偏离度的绝对值在0.25(含)-0.5%间的次数</w:t>
            </w:r>
          </w:p>
        </w:tc>
        <w:tc>
          <w:tcPr>
            <w:tcW w:w="3382" w:type="dxa"/>
            <w:tcBorders>
              <w:top w:val="single" w:sz="8" w:space="0" w:color="000000"/>
              <w:left w:val="single" w:sz="8" w:space="0" w:color="000000"/>
              <w:bottom w:val="single" w:sz="8" w:space="0" w:color="000000"/>
              <w:right w:val="single" w:sz="8" w:space="0" w:color="000000"/>
            </w:tcBorders>
            <w:vAlign w:val="bottom"/>
            <w:hideMark/>
          </w:tcPr>
          <w:p w14:paraId="0766A6F5"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0次</w:t>
            </w:r>
          </w:p>
        </w:tc>
      </w:tr>
      <w:tr w:rsidR="0027563B" w:rsidRPr="00E97AFD" w14:paraId="6DE1DA9C" w14:textId="77777777" w:rsidTr="0027563B">
        <w:tc>
          <w:tcPr>
            <w:tcW w:w="5812" w:type="dxa"/>
            <w:tcBorders>
              <w:top w:val="single" w:sz="8" w:space="0" w:color="000000"/>
              <w:left w:val="single" w:sz="8" w:space="0" w:color="000000"/>
              <w:bottom w:val="single" w:sz="8" w:space="0" w:color="000000"/>
              <w:right w:val="single" w:sz="8" w:space="0" w:color="000000"/>
            </w:tcBorders>
            <w:vAlign w:val="center"/>
            <w:hideMark/>
          </w:tcPr>
          <w:p w14:paraId="466D7BE7" w14:textId="77777777" w:rsidR="0027563B" w:rsidRPr="00E97AFD" w:rsidRDefault="0027563B">
            <w:pPr>
              <w:autoSpaceDE w:val="0"/>
              <w:autoSpaceDN w:val="0"/>
              <w:adjustRightInd w:val="0"/>
              <w:spacing w:before="29" w:line="300" w:lineRule="auto"/>
              <w:ind w:left="15"/>
              <w:jc w:val="left"/>
              <w:rPr>
                <w:rFonts w:asciiTheme="minorEastAsia" w:eastAsiaTheme="minorEastAsia" w:hAnsiTheme="minorEastAsia"/>
                <w:kern w:val="0"/>
              </w:rPr>
            </w:pPr>
            <w:r w:rsidRPr="00E97AFD">
              <w:rPr>
                <w:rFonts w:asciiTheme="minorEastAsia" w:eastAsiaTheme="minorEastAsia" w:hAnsiTheme="minorEastAsia" w:hint="eastAsia"/>
                <w:kern w:val="0"/>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bottom"/>
            <w:hideMark/>
          </w:tcPr>
          <w:p w14:paraId="71373464"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0.1337%</w:t>
            </w:r>
          </w:p>
        </w:tc>
      </w:tr>
      <w:tr w:rsidR="0027563B" w:rsidRPr="00E97AFD" w14:paraId="5E8EFE1B" w14:textId="77777777" w:rsidTr="0027563B">
        <w:tc>
          <w:tcPr>
            <w:tcW w:w="5812" w:type="dxa"/>
            <w:tcBorders>
              <w:top w:val="single" w:sz="8" w:space="0" w:color="000000"/>
              <w:left w:val="single" w:sz="8" w:space="0" w:color="000000"/>
              <w:bottom w:val="single" w:sz="8" w:space="0" w:color="000000"/>
              <w:right w:val="single" w:sz="8" w:space="0" w:color="000000"/>
            </w:tcBorders>
            <w:vAlign w:val="center"/>
            <w:hideMark/>
          </w:tcPr>
          <w:p w14:paraId="0C8C7D4C" w14:textId="77777777" w:rsidR="0027563B" w:rsidRPr="00E97AFD" w:rsidRDefault="0027563B">
            <w:pPr>
              <w:autoSpaceDE w:val="0"/>
              <w:autoSpaceDN w:val="0"/>
              <w:adjustRightInd w:val="0"/>
              <w:spacing w:before="29" w:line="300" w:lineRule="auto"/>
              <w:ind w:left="15"/>
              <w:jc w:val="left"/>
              <w:rPr>
                <w:rFonts w:asciiTheme="minorEastAsia" w:eastAsiaTheme="minorEastAsia" w:hAnsiTheme="minorEastAsia"/>
                <w:kern w:val="0"/>
              </w:rPr>
            </w:pPr>
            <w:r w:rsidRPr="00E97AFD">
              <w:rPr>
                <w:rFonts w:asciiTheme="minorEastAsia" w:eastAsiaTheme="minorEastAsia" w:hAnsiTheme="minorEastAsia" w:hint="eastAsia"/>
                <w:kern w:val="0"/>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bottom"/>
            <w:hideMark/>
          </w:tcPr>
          <w:p w14:paraId="04AF925F"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0.0573%</w:t>
            </w:r>
          </w:p>
        </w:tc>
      </w:tr>
      <w:tr w:rsidR="0027563B" w:rsidRPr="00E97AFD" w14:paraId="7F3200B1" w14:textId="77777777" w:rsidTr="0027563B">
        <w:tc>
          <w:tcPr>
            <w:tcW w:w="5812" w:type="dxa"/>
            <w:tcBorders>
              <w:top w:val="single" w:sz="8" w:space="0" w:color="000000"/>
              <w:left w:val="single" w:sz="8" w:space="0" w:color="000000"/>
              <w:bottom w:val="single" w:sz="8" w:space="0" w:color="000000"/>
              <w:right w:val="single" w:sz="8" w:space="0" w:color="000000"/>
            </w:tcBorders>
            <w:vAlign w:val="center"/>
            <w:hideMark/>
          </w:tcPr>
          <w:p w14:paraId="2EB74978" w14:textId="77777777" w:rsidR="0027563B" w:rsidRPr="00E97AFD" w:rsidRDefault="0027563B">
            <w:pPr>
              <w:autoSpaceDE w:val="0"/>
              <w:autoSpaceDN w:val="0"/>
              <w:adjustRightInd w:val="0"/>
              <w:spacing w:before="29" w:line="300" w:lineRule="auto"/>
              <w:ind w:left="15"/>
              <w:jc w:val="left"/>
              <w:rPr>
                <w:rFonts w:asciiTheme="minorEastAsia" w:eastAsiaTheme="minorEastAsia" w:hAnsiTheme="minorEastAsia"/>
                <w:kern w:val="0"/>
              </w:rPr>
            </w:pPr>
            <w:r w:rsidRPr="00E97AFD">
              <w:rPr>
                <w:rFonts w:asciiTheme="minorEastAsia" w:eastAsiaTheme="minorEastAsia" w:hAnsiTheme="minorEastAsia" w:hint="eastAsia"/>
                <w:kern w:val="0"/>
              </w:rPr>
              <w:t>报告期内每个工作日偏离度的绝对值的简单平均值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bottom"/>
            <w:hideMark/>
          </w:tcPr>
          <w:p w14:paraId="488A5D81"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0.0854%</w:t>
            </w:r>
          </w:p>
        </w:tc>
      </w:tr>
    </w:tbl>
    <w:p w14:paraId="3C51768B"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报告期内负偏离度的绝对值达到0.25%情况说明</w:t>
      </w:r>
    </w:p>
    <w:p w14:paraId="1C3D903C"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lastRenderedPageBreak/>
        <w:t>本基金本报告期内不存在负偏离度的绝对值达到0.25%的情况。</w:t>
      </w:r>
    </w:p>
    <w:p w14:paraId="00D30A31"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报告期内正偏离度的绝对值达到0.5%情况说明</w:t>
      </w:r>
    </w:p>
    <w:p w14:paraId="3B3ABCB6"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本基金本报告期内不存在正偏离度的绝对值达到0.5%的情况。</w:t>
      </w:r>
    </w:p>
    <w:p w14:paraId="576673D3"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8、报告期末按公允价值占基金资产净值比例大小排名的前十名资产支持证券投资明细</w:t>
      </w:r>
    </w:p>
    <w:tbl>
      <w:tblPr>
        <w:tblW w:w="80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82"/>
        <w:gridCol w:w="1317"/>
        <w:gridCol w:w="1247"/>
        <w:gridCol w:w="1351"/>
        <w:gridCol w:w="1581"/>
        <w:gridCol w:w="1322"/>
      </w:tblGrid>
      <w:tr w:rsidR="00E97AFD" w:rsidRPr="00E97AFD" w14:paraId="30FC6810" w14:textId="77777777" w:rsidTr="0027563B">
        <w:tc>
          <w:tcPr>
            <w:tcW w:w="1547" w:type="dxa"/>
            <w:tcBorders>
              <w:top w:val="single" w:sz="4" w:space="0" w:color="000000"/>
              <w:left w:val="single" w:sz="4" w:space="0" w:color="000000"/>
              <w:bottom w:val="single" w:sz="4" w:space="0" w:color="000000"/>
              <w:right w:val="single" w:sz="4" w:space="0" w:color="000000"/>
            </w:tcBorders>
            <w:vAlign w:val="center"/>
            <w:hideMark/>
          </w:tcPr>
          <w:p w14:paraId="10764590"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kern w:val="0"/>
              </w:rPr>
            </w:pPr>
            <w:r w:rsidRPr="00E97AFD">
              <w:rPr>
                <w:rFonts w:asciiTheme="minorEastAsia" w:eastAsiaTheme="minorEastAsia" w:hAnsiTheme="minorEastAsia" w:hint="eastAsia"/>
                <w:kern w:val="0"/>
              </w:rPr>
              <w:t>序号</w:t>
            </w:r>
          </w:p>
        </w:tc>
        <w:tc>
          <w:tcPr>
            <w:tcW w:w="1548" w:type="dxa"/>
            <w:tcBorders>
              <w:top w:val="single" w:sz="4" w:space="0" w:color="000000"/>
              <w:left w:val="single" w:sz="4" w:space="0" w:color="000000"/>
              <w:bottom w:val="single" w:sz="4" w:space="0" w:color="000000"/>
              <w:right w:val="single" w:sz="4" w:space="0" w:color="000000"/>
            </w:tcBorders>
            <w:vAlign w:val="center"/>
            <w:hideMark/>
          </w:tcPr>
          <w:p w14:paraId="24576BF9"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cstheme="minorBidi"/>
                <w:kern w:val="0"/>
              </w:rPr>
            </w:pPr>
            <w:r w:rsidRPr="00E97AFD">
              <w:rPr>
                <w:rFonts w:asciiTheme="minorEastAsia" w:eastAsiaTheme="minorEastAsia" w:hAnsiTheme="minorEastAsia" w:hint="eastAsia"/>
                <w:kern w:val="0"/>
              </w:rPr>
              <w:t>证券代码</w:t>
            </w:r>
          </w:p>
        </w:tc>
        <w:tc>
          <w:tcPr>
            <w:tcW w:w="1548" w:type="dxa"/>
            <w:tcBorders>
              <w:top w:val="single" w:sz="4" w:space="0" w:color="000000"/>
              <w:left w:val="single" w:sz="4" w:space="0" w:color="000000"/>
              <w:bottom w:val="single" w:sz="4" w:space="0" w:color="000000"/>
              <w:right w:val="single" w:sz="4" w:space="0" w:color="000000"/>
            </w:tcBorders>
            <w:vAlign w:val="center"/>
            <w:hideMark/>
          </w:tcPr>
          <w:p w14:paraId="48D5EDF2"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kern w:val="0"/>
              </w:rPr>
            </w:pPr>
            <w:r w:rsidRPr="00E97AFD">
              <w:rPr>
                <w:rFonts w:asciiTheme="minorEastAsia" w:eastAsiaTheme="minorEastAsia" w:hAnsiTheme="minorEastAsia" w:hint="eastAsia"/>
                <w:kern w:val="0"/>
              </w:rPr>
              <w:t>证券名称</w:t>
            </w:r>
          </w:p>
        </w:tc>
        <w:tc>
          <w:tcPr>
            <w:tcW w:w="1548" w:type="dxa"/>
            <w:tcBorders>
              <w:top w:val="single" w:sz="4" w:space="0" w:color="000000"/>
              <w:left w:val="single" w:sz="4" w:space="0" w:color="000000"/>
              <w:bottom w:val="single" w:sz="4" w:space="0" w:color="000000"/>
              <w:right w:val="single" w:sz="4" w:space="0" w:color="000000"/>
            </w:tcBorders>
            <w:vAlign w:val="center"/>
            <w:hideMark/>
          </w:tcPr>
          <w:p w14:paraId="5216497C"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kern w:val="0"/>
              </w:rPr>
            </w:pPr>
            <w:r w:rsidRPr="00E97AFD">
              <w:rPr>
                <w:rFonts w:asciiTheme="minorEastAsia" w:eastAsiaTheme="minorEastAsia" w:hAnsiTheme="minorEastAsia" w:hint="eastAsia"/>
                <w:kern w:val="0"/>
              </w:rPr>
              <w:t>数量（份）</w:t>
            </w:r>
          </w:p>
        </w:tc>
        <w:tc>
          <w:tcPr>
            <w:tcW w:w="1548" w:type="dxa"/>
            <w:tcBorders>
              <w:top w:val="single" w:sz="4" w:space="0" w:color="000000"/>
              <w:left w:val="single" w:sz="4" w:space="0" w:color="000000"/>
              <w:bottom w:val="single" w:sz="4" w:space="0" w:color="000000"/>
              <w:right w:val="single" w:sz="4" w:space="0" w:color="000000"/>
            </w:tcBorders>
            <w:vAlign w:val="center"/>
            <w:hideMark/>
          </w:tcPr>
          <w:p w14:paraId="3C0DFB74" w14:textId="3764B76A" w:rsidR="0027563B" w:rsidRPr="00E97AFD" w:rsidRDefault="00E97AFD">
            <w:pPr>
              <w:autoSpaceDE w:val="0"/>
              <w:autoSpaceDN w:val="0"/>
              <w:adjustRightInd w:val="0"/>
              <w:spacing w:before="29" w:line="300" w:lineRule="auto"/>
              <w:ind w:left="15"/>
              <w:jc w:val="center"/>
              <w:rPr>
                <w:rFonts w:asciiTheme="minorEastAsia" w:eastAsiaTheme="minorEastAsia" w:hAnsiTheme="minorEastAsia"/>
                <w:kern w:val="0"/>
              </w:rPr>
            </w:pPr>
            <w:r w:rsidRPr="00E97AFD">
              <w:rPr>
                <w:rFonts w:asciiTheme="minorEastAsia" w:eastAsiaTheme="minorEastAsia" w:hAnsiTheme="minorEastAsia" w:hint="eastAsia"/>
                <w:kern w:val="0"/>
              </w:rPr>
              <w:t>摊余成本</w:t>
            </w:r>
            <w:r w:rsidR="0027563B" w:rsidRPr="00E97AFD">
              <w:rPr>
                <w:rFonts w:asciiTheme="minorEastAsia" w:eastAsiaTheme="minorEastAsia" w:hAnsiTheme="minorEastAsia" w:hint="eastAsia"/>
                <w:kern w:val="0"/>
              </w:rPr>
              <w:t>（元）</w:t>
            </w:r>
          </w:p>
        </w:tc>
        <w:tc>
          <w:tcPr>
            <w:tcW w:w="1548" w:type="dxa"/>
            <w:tcBorders>
              <w:top w:val="single" w:sz="4" w:space="0" w:color="000000"/>
              <w:left w:val="single" w:sz="4" w:space="0" w:color="000000"/>
              <w:bottom w:val="single" w:sz="4" w:space="0" w:color="000000"/>
              <w:right w:val="single" w:sz="4" w:space="0" w:color="000000"/>
            </w:tcBorders>
            <w:vAlign w:val="center"/>
            <w:hideMark/>
          </w:tcPr>
          <w:p w14:paraId="7F747012"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kern w:val="0"/>
              </w:rPr>
            </w:pPr>
            <w:r w:rsidRPr="00E97AFD">
              <w:rPr>
                <w:rFonts w:asciiTheme="minorEastAsia" w:eastAsiaTheme="minorEastAsia" w:hAnsiTheme="minorEastAsia" w:hint="eastAsia"/>
                <w:kern w:val="0"/>
              </w:rPr>
              <w:t>占基金资产净值比例（％）</w:t>
            </w:r>
          </w:p>
        </w:tc>
      </w:tr>
      <w:tr w:rsidR="00E97AFD" w:rsidRPr="00E97AFD" w14:paraId="559F5ED7" w14:textId="77777777" w:rsidTr="0027563B">
        <w:tc>
          <w:tcPr>
            <w:tcW w:w="0" w:type="auto"/>
            <w:tcBorders>
              <w:top w:val="single" w:sz="4" w:space="0" w:color="000000"/>
              <w:left w:val="single" w:sz="4" w:space="0" w:color="000000"/>
              <w:bottom w:val="single" w:sz="4" w:space="0" w:color="000000"/>
              <w:right w:val="single" w:sz="4" w:space="0" w:color="000000"/>
            </w:tcBorders>
            <w:vAlign w:val="center"/>
            <w:hideMark/>
          </w:tcPr>
          <w:p w14:paraId="5E30FBA9"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337809"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138305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990AB7E"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瑞新9A1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E0FB96C"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290,000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492400"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29,000,000.00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CF6DD94"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0.43</w:t>
            </w:r>
          </w:p>
        </w:tc>
      </w:tr>
      <w:tr w:rsidR="00E97AFD" w:rsidRPr="00E97AFD" w14:paraId="5B1B9689" w14:textId="77777777" w:rsidTr="0027563B">
        <w:tc>
          <w:tcPr>
            <w:tcW w:w="0" w:type="auto"/>
            <w:tcBorders>
              <w:top w:val="single" w:sz="4" w:space="0" w:color="000000"/>
              <w:left w:val="single" w:sz="4" w:space="0" w:color="000000"/>
              <w:bottom w:val="single" w:sz="4" w:space="0" w:color="000000"/>
              <w:right w:val="single" w:sz="4" w:space="0" w:color="000000"/>
            </w:tcBorders>
            <w:vAlign w:val="center"/>
            <w:hideMark/>
          </w:tcPr>
          <w:p w14:paraId="5E06437B"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57BCAC"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138325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EDD70C"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国链17A1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85FA28D"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200,000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EBE819"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20,000,000.00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33B7B7"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0.30</w:t>
            </w:r>
          </w:p>
        </w:tc>
      </w:tr>
      <w:tr w:rsidR="00E97AFD" w:rsidRPr="00E97AFD" w14:paraId="0F9AD215" w14:textId="77777777" w:rsidTr="0027563B">
        <w:tc>
          <w:tcPr>
            <w:tcW w:w="0" w:type="auto"/>
            <w:tcBorders>
              <w:top w:val="single" w:sz="4" w:space="0" w:color="000000"/>
              <w:left w:val="single" w:sz="4" w:space="0" w:color="000000"/>
              <w:bottom w:val="single" w:sz="4" w:space="0" w:color="000000"/>
              <w:right w:val="single" w:sz="4" w:space="0" w:color="000000"/>
            </w:tcBorders>
            <w:vAlign w:val="center"/>
            <w:hideMark/>
          </w:tcPr>
          <w:p w14:paraId="4C6AE24F"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78BF13"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138364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2471598"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南链优03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C142BF5"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200,000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CE71146"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20,000,000.00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78E77E8"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0.30</w:t>
            </w:r>
          </w:p>
        </w:tc>
      </w:tr>
      <w:tr w:rsidR="00E97AFD" w:rsidRPr="00E97AFD" w14:paraId="61630F2D" w14:textId="77777777" w:rsidTr="0027563B">
        <w:tc>
          <w:tcPr>
            <w:tcW w:w="0" w:type="auto"/>
            <w:tcBorders>
              <w:top w:val="single" w:sz="4" w:space="0" w:color="000000"/>
              <w:left w:val="single" w:sz="4" w:space="0" w:color="000000"/>
              <w:bottom w:val="single" w:sz="4" w:space="0" w:color="000000"/>
              <w:right w:val="single" w:sz="4" w:space="0" w:color="000000"/>
            </w:tcBorders>
            <w:vAlign w:val="center"/>
            <w:hideMark/>
          </w:tcPr>
          <w:p w14:paraId="417A1817"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3FB077F"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138383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05B3E25"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中交6优A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76BF552"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200,000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3AF297F"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20,000,000.00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1D7DDC1"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0.30</w:t>
            </w:r>
          </w:p>
        </w:tc>
      </w:tr>
      <w:tr w:rsidR="00E97AFD" w:rsidRPr="00E97AFD" w14:paraId="34698DF9" w14:textId="77777777" w:rsidTr="0027563B">
        <w:tc>
          <w:tcPr>
            <w:tcW w:w="0" w:type="auto"/>
            <w:tcBorders>
              <w:top w:val="single" w:sz="4" w:space="0" w:color="000000"/>
              <w:left w:val="single" w:sz="4" w:space="0" w:color="000000"/>
              <w:bottom w:val="single" w:sz="4" w:space="0" w:color="000000"/>
              <w:right w:val="single" w:sz="4" w:space="0" w:color="000000"/>
            </w:tcBorders>
            <w:vAlign w:val="center"/>
            <w:hideMark/>
          </w:tcPr>
          <w:p w14:paraId="304A17ED"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584AC20"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138173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DCC16F9"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链融17A1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9A3602"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110,000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C16C5C4"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11,000,000.00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0ADBE47"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0.16</w:t>
            </w:r>
          </w:p>
        </w:tc>
      </w:tr>
      <w:tr w:rsidR="00E97AFD" w:rsidRPr="00E97AFD" w14:paraId="6FAA2F15" w14:textId="77777777" w:rsidTr="0027563B">
        <w:tc>
          <w:tcPr>
            <w:tcW w:w="0" w:type="auto"/>
            <w:tcBorders>
              <w:top w:val="single" w:sz="4" w:space="0" w:color="000000"/>
              <w:left w:val="single" w:sz="4" w:space="0" w:color="000000"/>
              <w:bottom w:val="single" w:sz="4" w:space="0" w:color="000000"/>
              <w:right w:val="single" w:sz="4" w:space="0" w:color="000000"/>
            </w:tcBorders>
            <w:vAlign w:val="center"/>
            <w:hideMark/>
          </w:tcPr>
          <w:p w14:paraId="50785DAD"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AE95FB"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138262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BC99BF"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诚意3A1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630CE0"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100,000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F1DB13"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10,000,000.00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96E1861"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0.15</w:t>
            </w:r>
          </w:p>
        </w:tc>
      </w:tr>
      <w:tr w:rsidR="00E97AFD" w:rsidRPr="00E97AFD" w14:paraId="2F6D2155" w14:textId="77777777" w:rsidTr="0027563B">
        <w:tc>
          <w:tcPr>
            <w:tcW w:w="0" w:type="auto"/>
            <w:tcBorders>
              <w:top w:val="single" w:sz="4" w:space="0" w:color="000000"/>
              <w:left w:val="single" w:sz="4" w:space="0" w:color="000000"/>
              <w:bottom w:val="single" w:sz="4" w:space="0" w:color="000000"/>
              <w:right w:val="single" w:sz="4" w:space="0" w:color="000000"/>
            </w:tcBorders>
            <w:vAlign w:val="center"/>
            <w:hideMark/>
          </w:tcPr>
          <w:p w14:paraId="6EDD28DE"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75D0BF"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138290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3D61239"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链融19A1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685B839"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100,000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F9404C"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10,000,000.00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245210"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0.15</w:t>
            </w:r>
          </w:p>
        </w:tc>
      </w:tr>
      <w:tr w:rsidR="00E97AFD" w:rsidRPr="00E97AFD" w14:paraId="18CAB4F6" w14:textId="77777777" w:rsidTr="0027563B">
        <w:tc>
          <w:tcPr>
            <w:tcW w:w="0" w:type="auto"/>
            <w:tcBorders>
              <w:top w:val="single" w:sz="4" w:space="0" w:color="000000"/>
              <w:left w:val="single" w:sz="4" w:space="0" w:color="000000"/>
              <w:bottom w:val="single" w:sz="4" w:space="0" w:color="000000"/>
              <w:right w:val="single" w:sz="4" w:space="0" w:color="000000"/>
            </w:tcBorders>
            <w:vAlign w:val="center"/>
            <w:hideMark/>
          </w:tcPr>
          <w:p w14:paraId="08A4748D"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180151"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138324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F74DD4"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瑞新10A1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97189D9"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100,000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3C1F66A"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10,000,000.00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3171D45"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0.15</w:t>
            </w:r>
          </w:p>
        </w:tc>
      </w:tr>
      <w:tr w:rsidR="00E97AFD" w:rsidRPr="00E97AFD" w14:paraId="222BDA68" w14:textId="77777777" w:rsidTr="0027563B">
        <w:tc>
          <w:tcPr>
            <w:tcW w:w="0" w:type="auto"/>
            <w:tcBorders>
              <w:top w:val="single" w:sz="4" w:space="0" w:color="000000"/>
              <w:left w:val="single" w:sz="4" w:space="0" w:color="000000"/>
              <w:bottom w:val="single" w:sz="4" w:space="0" w:color="000000"/>
              <w:right w:val="single" w:sz="4" w:space="0" w:color="000000"/>
            </w:tcBorders>
            <w:vAlign w:val="center"/>
            <w:hideMark/>
          </w:tcPr>
          <w:p w14:paraId="338D137D"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6317F3F"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138351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3EB6FBF"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瑞新11A1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A2AE6C1"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100,000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AE33109"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10,000,000.00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8DD0595"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0.15</w:t>
            </w:r>
          </w:p>
        </w:tc>
      </w:tr>
      <w:tr w:rsidR="00E97AFD" w:rsidRPr="00E97AFD" w14:paraId="17C9F9B6" w14:textId="77777777" w:rsidTr="0027563B">
        <w:tc>
          <w:tcPr>
            <w:tcW w:w="0" w:type="auto"/>
            <w:tcBorders>
              <w:top w:val="single" w:sz="4" w:space="0" w:color="000000"/>
              <w:left w:val="single" w:sz="4" w:space="0" w:color="000000"/>
              <w:bottom w:val="single" w:sz="4" w:space="0" w:color="000000"/>
              <w:right w:val="single" w:sz="4" w:space="0" w:color="000000"/>
            </w:tcBorders>
            <w:vAlign w:val="center"/>
            <w:hideMark/>
          </w:tcPr>
          <w:p w14:paraId="076680E1"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10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6AFAF4"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138379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D2A137E" w14:textId="77777777" w:rsidR="0027563B" w:rsidRPr="00E97AFD" w:rsidRDefault="0027563B">
            <w:pPr>
              <w:spacing w:line="300" w:lineRule="auto"/>
              <w:jc w:val="center"/>
              <w:rPr>
                <w:rFonts w:asciiTheme="minorEastAsia" w:eastAsiaTheme="minorEastAsia" w:hAnsiTheme="minorEastAsia"/>
              </w:rPr>
            </w:pPr>
            <w:r w:rsidRPr="00E97AFD">
              <w:rPr>
                <w:rFonts w:asciiTheme="minorEastAsia" w:eastAsiaTheme="minorEastAsia" w:hAnsiTheme="minorEastAsia" w:hint="eastAsia"/>
              </w:rPr>
              <w:t>永熙优22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23AB31A"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70,000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0F5AD43"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7,000,000.00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C049B63" w14:textId="77777777" w:rsidR="0027563B" w:rsidRPr="00E97AFD" w:rsidRDefault="0027563B">
            <w:pPr>
              <w:spacing w:line="300" w:lineRule="auto"/>
              <w:jc w:val="right"/>
              <w:rPr>
                <w:rFonts w:asciiTheme="minorEastAsia" w:eastAsiaTheme="minorEastAsia" w:hAnsiTheme="minorEastAsia"/>
              </w:rPr>
            </w:pPr>
            <w:r w:rsidRPr="00E97AFD">
              <w:rPr>
                <w:rFonts w:asciiTheme="minorEastAsia" w:eastAsiaTheme="minorEastAsia" w:hAnsiTheme="minorEastAsia" w:hint="eastAsia"/>
              </w:rPr>
              <w:t>0.10</w:t>
            </w:r>
          </w:p>
        </w:tc>
      </w:tr>
    </w:tbl>
    <w:p w14:paraId="3A7D7F4D"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9、投资组合报告附注</w:t>
      </w:r>
    </w:p>
    <w:p w14:paraId="7B89920C"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（1）基金计价方法说明</w:t>
      </w:r>
    </w:p>
    <w:p w14:paraId="67B4D7D5"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本基金目前投资工具的估值方法如下：</w:t>
      </w:r>
    </w:p>
    <w:p w14:paraId="1FC901CA"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1）基金持有的债券（包括票据）购买时采用实际支付价款（包含交易费用）确定初始成本，按实际利率计算其摊余成本及各期利息收入，每日计提收益；</w:t>
      </w:r>
    </w:p>
    <w:p w14:paraId="7D565C13"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2）基金持有的回购以成本列示，按实际利率在实际持有期间内逐日计提利息；合同利率与实际利率差异较小的，也可采用合同利率计算确定利息收入；</w:t>
      </w:r>
    </w:p>
    <w:p w14:paraId="75173FDB"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3）基金持有的银行存款以本金列示，按实际协议利率逐日计提利息。</w:t>
      </w:r>
    </w:p>
    <w:p w14:paraId="17F9B79C"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如有确凿证据表明按上述方法进行估值不能客观反映其公允价值的，基金管理人可根据具体情况与基金托管人商定后，按最能反映公允价值的方法估值。</w:t>
      </w:r>
    </w:p>
    <w:p w14:paraId="6205A9AC"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如有新增事项，按国家最新规定估值。</w:t>
      </w:r>
    </w:p>
    <w:p w14:paraId="0E4B08B3"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19招商银行CD205（代码：111907205）是易方达天天增利货币市场基金的前十大持仓证券。2019年7月8日，中国银行保险监督管理委员会上海监管局针对招商银行股份有限公司信用卡中心在为部分客户办理信用卡业务时未遵守总授信额度管理制度的行为，对招商银行股份有限公司处以责令改正，并处罚款20万元。</w:t>
      </w:r>
    </w:p>
    <w:p w14:paraId="6F996D00"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20浦发银行CD033（代码：112009033）是易方达天天增利货币市场基金的前十大持仓证券。2019年6月24日，中国银行保险监督管理委员会对上海浦东发展银行股份有限公司</w:t>
      </w:r>
      <w:r w:rsidRPr="00E97AFD">
        <w:rPr>
          <w:rFonts w:asciiTheme="minorEastAsia" w:eastAsiaTheme="minorEastAsia" w:hAnsiTheme="minorEastAsia" w:hint="eastAsia"/>
          <w:szCs w:val="21"/>
        </w:rPr>
        <w:lastRenderedPageBreak/>
        <w:t>的如下违法违规行为作出“罚款130万元”的行政处罚决定：（一）对成都分行授信业务及整改情况严重失察；（二）重大审计发现未向监管部门报告；（三）轮岗制度执行不力。2019年7月8日，中国银行保险监督管理委员会上海监管局对上海浦东发展银行股份有限公司信用卡中心的如下违法违规行为作出“责令改正，并处罚款30万元”的行政处罚决定：2015年至2018年6月，该中心在为部分客户办理信用卡业务时，对申请人收入核定严重不审慎。2019年12月3日，中国银行保险监督管理委员会上海监管局对上海浦东发展银行股份有限公司信用卡中心2019年1月信用卡催收外包管理严重违反审慎经营规则的违法违规事实，作出“责令改正，并处罚款50万元”的行政处罚决定。</w:t>
      </w:r>
    </w:p>
    <w:p w14:paraId="6BF79F1F"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20宁波银行CD017（代码：112091167）是易方达天天增利货币市场基金的前十大持仓证券。2019年6月28日，宁波银保监局对宁波银行作出“罚款人民币30万元，并责令该行对相关直接责任人给予纪律处分”的行政处罚，违法违规事由：因存在销售行为不合规、双录管理不到位的行为。2019年6月28日，宁波银保监局对宁波银行作出“罚款人民币270万元，并责令该行对相关直接责任人给予纪律处分”的行政处罚，违法违规事由：因存在违反信贷政策、违反房地产行业政策、违规开展存贷业务、员工管理不到位、监管部门报送的报表不准确等行为。2019年12月5日，宁波银保监局对宁波银行作出“罚款人民币40万元，并责令该行对相关直接责任人给予纪律处分”的行政处罚，违法违规事由：设立时点性规模考核指标，股权质押管理不合规。</w:t>
      </w:r>
    </w:p>
    <w:p w14:paraId="15A04780"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20交通银行CD029（代码：112006029）是易方达天天增利货币市场基金的前十大持仓证券。2019年7月25日，中国银行保险监督管理委员会上海监管局对交通银行股份有限公司太平洋信用卡中心的如下违法违规行为作出“处以责令改正，并处罚款40万元”的行政处罚决定：2017年6月至10月期间在办理部分客户信用卡业务时未遵守总授信额度管理制度。2019年12月27日，中国银行保险监督管理委员会对交通银行股份有限公司如下违法违规行为作出“罚款150万元”的行政处罚：1、授信审批不审慎；2、总行对分支机构管控不力承担管理责任。</w:t>
      </w:r>
    </w:p>
    <w:p w14:paraId="40E3A7E2"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19农业银行CD202（代码：111903202）是易方达天天增利货币市场基金的前十大持仓证券。2019年5月7日，中国银保监会上海监管局针对中国农业银行股份有限公司中心部分信用卡资金违规用于非消费领域的违法违规行为，作出“责令改正，并处罚款50万元”的行政处罚决定。2019年7月25日，中国银行保险监督管理委员会上海监管局针对中国农业银行股份有限公司信用卡中心的如下违法违规行为作出“责令改正，并处罚款20万元”的行政处罚决定：2017年5月至2018年6月在办理部分客户信用卡业务时未遵守总授信额度管理制度的违法违规事实。2020年1月19日，国家税务总局北京市海淀区税务局对中国农业银行股份有限公司未按照规定期限办理纳税申报和报送纳税资料的违法违规事实，作出罚款50万元的行政处罚决定。2020年3月9日，中国银行保险监督管理委员会对中国农业银行股份有限公司的如下违法违规行为作出罚款50万元的行政处罚决定：可回溯制度执行</w:t>
      </w:r>
      <w:r w:rsidRPr="00E97AFD">
        <w:rPr>
          <w:rFonts w:asciiTheme="minorEastAsia" w:eastAsiaTheme="minorEastAsia" w:hAnsiTheme="minorEastAsia" w:hint="eastAsia"/>
          <w:szCs w:val="21"/>
        </w:rPr>
        <w:lastRenderedPageBreak/>
        <w:t>不到位、可回溯基础管理不到位、部分可回溯视频质检结果未反馈给保险公司、可回溯资料不符合监管规定。</w:t>
      </w:r>
    </w:p>
    <w:p w14:paraId="78AC4D48"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19中信银行CD254（代码：111908254）是易方达天天增利货币市场基金的前十大持仓证券。2019年7月3日，中国银行保险监督管理委员会针对中信银行股份有限公司的如下违法违规行为，作出“没收违法所得33.6677万元，罚款2190万元，合计2223.6677万元”的行政处罚决定：（一）未按规定提供报表且逾期未改正;（二）错报、漏报银行业监管统计资料；（三）未向监管部门报告重要信息系统运营中断事件;（四）信息系统控制存在较大安全漏洞，未做到有效的安全控制;（五）未按企业划型标准将多家企业划分为小微型企业，报送监管数据不真实;（六）向关系人发放信用贷款、向关系人发放担保贷款的条件优于其他借款人同类贷款条件;（七）重大关联交易未按规定审查审批且未向监管部门报告;（八）贷后管理不到位导致贷款资金被挪用;（九）以流动资金贷款名义发放房地产开发贷款;（十）未将房地产企业贷款计入房地产开发贷款科目;（十一）投资同一家银行机构同期非保本理财产品采用风险权重不一致;（十二）购买非保本理财产品签订可提前赎回协议，未准确计量风险加权资产;（十三）未按规定计提资产支持证券业务的风险加权资产。2020年2月20日，北京银保监局对中信银行股份有限公司的如下违法违规行为，作出“责令中信银行股份有限公司改正，并给予合计2020万元罚款”的行政处罚决定：中信银行股份有限公司违规发放土地储备贷款；受托支付不符合监管规定；信托消费贷款业务开展不审慎；流动资金贷款被挪用于股权投资；信贷资金被挪用流入房地产开发公司；个人经营性贷款资金被挪用于购房；非真实转让不良信贷资产；未对融资人交易材料合理性进行必要的审查，资金被用于缴纳土地竞买保证金；违规为房地产开发企业发放流动资金性质融资；签署抽屉协议互投涉房信贷资产腾挪信贷规模；卖出回购信贷资产收益权，实现信贷规模阶段性出表；理财资金违规投向未上市房地产企业股权；理财资金被挪用于支付土地出让价款；违规向资本金不足的房地产开发项目提供融资；并购贷款真实性审核不足，借款人变相用于置换项目公司缴纳的土地出让价款；协助合作机构签署抽屉协议，规避相关监管规定；理财资金实际用于置换项目前期股东支付的土地出让金；违规为房地产企业支付土地购置费用提供融资；违规向四证不全的商业性房地产开发项目提供融资。</w:t>
      </w:r>
    </w:p>
    <w:p w14:paraId="051DCE9A"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20上海银行CD060（代码：112016060）是易方达天天增利货币市场基金的前十大持仓证券。2019年7月8日，中国银行保险监督管理委员会上海监管局对上海银行股份有限公司信用卡中心的如下违法违规行为作出“责令改正，并处罚款40万元”的行政处罚决定：2017年12月，该中心在为部分客户办理信用卡业务时，未遵守总授信额度管理制度。2019年11月2日，中国人民银行上海分行对上海银行股份有限公司违反支付业务规定的行为，没收违法所得1,762,787.61元，并处以1,762,787.61元罚款，共计3,525,575.22元，同时对相关高级管理人员作出处罚。</w:t>
      </w:r>
    </w:p>
    <w:p w14:paraId="638B9EC5"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本基金投资19招商银行CD205、20浦发银行CD033、20宁波银行CD017、20交通银行</w:t>
      </w:r>
      <w:r w:rsidRPr="00E97AFD">
        <w:rPr>
          <w:rFonts w:asciiTheme="minorEastAsia" w:eastAsiaTheme="minorEastAsia" w:hAnsiTheme="minorEastAsia" w:hint="eastAsia"/>
          <w:szCs w:val="21"/>
        </w:rPr>
        <w:lastRenderedPageBreak/>
        <w:t>CD029、19农业银行CD202、19中信银行CD254、20上海银行CD060的投资决策程序符合公司投资制度的规定。</w:t>
      </w:r>
    </w:p>
    <w:p w14:paraId="7E56C793"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除19招商银行CD205、20浦发银行CD033、20宁波银行CD017、20交通银行CD029、19农业银行CD202、19中信银行CD254、20上海银行CD060外，本基金投资的前十名证券的发行主体本期没有出现被监管部门立案调查，或在报告编制日前一年内受到公开谴责、处罚的情形。</w:t>
      </w:r>
    </w:p>
    <w:p w14:paraId="623354B3" w14:textId="77777777" w:rsidR="0027563B" w:rsidRPr="00E97AFD" w:rsidRDefault="0027563B" w:rsidP="00E97AFD">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（3）其他各项资产构成</w:t>
      </w:r>
    </w:p>
    <w:tbl>
      <w:tblPr>
        <w:tblW w:w="7995"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6"/>
        <w:gridCol w:w="3039"/>
        <w:gridCol w:w="4120"/>
      </w:tblGrid>
      <w:tr w:rsidR="0027563B" w:rsidRPr="00E97AFD" w14:paraId="583AFAC6" w14:textId="77777777" w:rsidTr="0027563B">
        <w:tc>
          <w:tcPr>
            <w:tcW w:w="942" w:type="dxa"/>
            <w:tcBorders>
              <w:top w:val="single" w:sz="4" w:space="0" w:color="000000"/>
              <w:left w:val="single" w:sz="4" w:space="0" w:color="000000"/>
              <w:bottom w:val="single" w:sz="4" w:space="0" w:color="000000"/>
              <w:right w:val="single" w:sz="4" w:space="0" w:color="000000"/>
            </w:tcBorders>
            <w:vAlign w:val="center"/>
            <w:hideMark/>
          </w:tcPr>
          <w:p w14:paraId="6645526F" w14:textId="77777777" w:rsidR="0027563B" w:rsidRPr="00E97AFD" w:rsidRDefault="0027563B">
            <w:pPr>
              <w:autoSpaceDE w:val="0"/>
              <w:autoSpaceDN w:val="0"/>
              <w:adjustRightInd w:val="0"/>
              <w:spacing w:before="29" w:line="300" w:lineRule="auto"/>
              <w:ind w:left="17"/>
              <w:jc w:val="center"/>
              <w:rPr>
                <w:rFonts w:asciiTheme="minorEastAsia" w:eastAsiaTheme="minorEastAsia" w:hAnsiTheme="minorEastAsia"/>
                <w:kern w:val="0"/>
              </w:rPr>
            </w:pPr>
            <w:r w:rsidRPr="00E97AFD">
              <w:rPr>
                <w:rFonts w:asciiTheme="minorEastAsia" w:eastAsiaTheme="minorEastAsia" w:hAnsiTheme="minorEastAsia" w:hint="eastAsia"/>
                <w:kern w:val="0"/>
              </w:rPr>
              <w:t>序号</w:t>
            </w:r>
          </w:p>
        </w:tc>
        <w:tc>
          <w:tcPr>
            <w:tcW w:w="3535" w:type="dxa"/>
            <w:tcBorders>
              <w:top w:val="single" w:sz="4" w:space="0" w:color="000000"/>
              <w:left w:val="single" w:sz="4" w:space="0" w:color="000000"/>
              <w:bottom w:val="single" w:sz="4" w:space="0" w:color="000000"/>
              <w:right w:val="single" w:sz="4" w:space="0" w:color="000000"/>
            </w:tcBorders>
            <w:vAlign w:val="center"/>
            <w:hideMark/>
          </w:tcPr>
          <w:p w14:paraId="0C784C63" w14:textId="77777777" w:rsidR="0027563B" w:rsidRPr="00E97AFD" w:rsidRDefault="0027563B">
            <w:pPr>
              <w:autoSpaceDE w:val="0"/>
              <w:autoSpaceDN w:val="0"/>
              <w:adjustRightInd w:val="0"/>
              <w:spacing w:before="29" w:line="300" w:lineRule="auto"/>
              <w:ind w:left="17"/>
              <w:jc w:val="center"/>
              <w:rPr>
                <w:rFonts w:asciiTheme="minorEastAsia" w:eastAsiaTheme="minorEastAsia" w:hAnsiTheme="minorEastAsia"/>
                <w:kern w:val="0"/>
              </w:rPr>
            </w:pPr>
            <w:r w:rsidRPr="00E97AFD">
              <w:rPr>
                <w:rFonts w:asciiTheme="minorEastAsia" w:eastAsiaTheme="minorEastAsia" w:hAnsiTheme="minorEastAsia" w:hint="eastAsia"/>
                <w:kern w:val="0"/>
              </w:rPr>
              <w:t>名称</w:t>
            </w:r>
          </w:p>
        </w:tc>
        <w:tc>
          <w:tcPr>
            <w:tcW w:w="4808" w:type="dxa"/>
            <w:tcBorders>
              <w:top w:val="single" w:sz="4" w:space="0" w:color="000000"/>
              <w:left w:val="single" w:sz="4" w:space="0" w:color="000000"/>
              <w:bottom w:val="single" w:sz="4" w:space="0" w:color="000000"/>
              <w:right w:val="single" w:sz="4" w:space="0" w:color="000000"/>
            </w:tcBorders>
            <w:vAlign w:val="center"/>
            <w:hideMark/>
          </w:tcPr>
          <w:p w14:paraId="7E172031" w14:textId="77777777" w:rsidR="0027563B" w:rsidRPr="00E97AFD" w:rsidRDefault="0027563B">
            <w:pPr>
              <w:autoSpaceDE w:val="0"/>
              <w:autoSpaceDN w:val="0"/>
              <w:adjustRightInd w:val="0"/>
              <w:spacing w:before="29" w:line="300" w:lineRule="auto"/>
              <w:ind w:left="17"/>
              <w:jc w:val="center"/>
              <w:rPr>
                <w:rFonts w:asciiTheme="minorEastAsia" w:eastAsiaTheme="minorEastAsia" w:hAnsiTheme="minorEastAsia"/>
                <w:kern w:val="0"/>
              </w:rPr>
            </w:pPr>
            <w:r w:rsidRPr="00E97AFD">
              <w:rPr>
                <w:rFonts w:asciiTheme="minorEastAsia" w:eastAsiaTheme="minorEastAsia" w:hAnsiTheme="minorEastAsia" w:hint="eastAsia"/>
                <w:kern w:val="0"/>
              </w:rPr>
              <w:t>金额（元）</w:t>
            </w:r>
          </w:p>
        </w:tc>
      </w:tr>
      <w:tr w:rsidR="0027563B" w:rsidRPr="00E97AFD" w14:paraId="70204F2A" w14:textId="77777777" w:rsidTr="0027563B">
        <w:tc>
          <w:tcPr>
            <w:tcW w:w="942" w:type="dxa"/>
            <w:tcBorders>
              <w:top w:val="single" w:sz="4" w:space="0" w:color="000000"/>
              <w:left w:val="single" w:sz="4" w:space="0" w:color="000000"/>
              <w:bottom w:val="single" w:sz="4" w:space="0" w:color="000000"/>
              <w:right w:val="single" w:sz="4" w:space="0" w:color="000000"/>
            </w:tcBorders>
            <w:vAlign w:val="center"/>
            <w:hideMark/>
          </w:tcPr>
          <w:p w14:paraId="69B36B3F"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kern w:val="0"/>
              </w:rPr>
            </w:pPr>
            <w:r w:rsidRPr="00E97AFD">
              <w:rPr>
                <w:rFonts w:asciiTheme="minorEastAsia" w:eastAsiaTheme="minorEastAsia" w:hAnsiTheme="minorEastAsia" w:hint="eastAsia"/>
              </w:rPr>
              <w:t>1</w:t>
            </w:r>
          </w:p>
        </w:tc>
        <w:tc>
          <w:tcPr>
            <w:tcW w:w="3535" w:type="dxa"/>
            <w:tcBorders>
              <w:top w:val="single" w:sz="4" w:space="0" w:color="000000"/>
              <w:left w:val="single" w:sz="4" w:space="0" w:color="000000"/>
              <w:bottom w:val="single" w:sz="4" w:space="0" w:color="000000"/>
              <w:right w:val="single" w:sz="4" w:space="0" w:color="000000"/>
            </w:tcBorders>
            <w:vAlign w:val="center"/>
            <w:hideMark/>
          </w:tcPr>
          <w:p w14:paraId="2326509E" w14:textId="77777777" w:rsidR="0027563B" w:rsidRPr="00E97AFD" w:rsidRDefault="0027563B">
            <w:pPr>
              <w:autoSpaceDE w:val="0"/>
              <w:autoSpaceDN w:val="0"/>
              <w:adjustRightInd w:val="0"/>
              <w:spacing w:before="29" w:line="300" w:lineRule="auto"/>
              <w:ind w:left="15"/>
              <w:jc w:val="left"/>
              <w:rPr>
                <w:rFonts w:asciiTheme="minorEastAsia" w:eastAsiaTheme="minorEastAsia" w:hAnsiTheme="minorEastAsia"/>
                <w:kern w:val="0"/>
              </w:rPr>
            </w:pPr>
            <w:r w:rsidRPr="00E97AFD">
              <w:rPr>
                <w:rFonts w:asciiTheme="minorEastAsia" w:eastAsiaTheme="minorEastAsia" w:hAnsiTheme="minorEastAsia" w:hint="eastAsia"/>
                <w:kern w:val="0"/>
              </w:rPr>
              <w:t>存出保证金</w:t>
            </w:r>
          </w:p>
        </w:tc>
        <w:tc>
          <w:tcPr>
            <w:tcW w:w="4808" w:type="dxa"/>
            <w:tcBorders>
              <w:top w:val="single" w:sz="4" w:space="0" w:color="000000"/>
              <w:left w:val="single" w:sz="4" w:space="0" w:color="000000"/>
              <w:bottom w:val="single" w:sz="4" w:space="0" w:color="000000"/>
              <w:right w:val="single" w:sz="4" w:space="0" w:color="000000"/>
            </w:tcBorders>
            <w:vAlign w:val="center"/>
            <w:hideMark/>
          </w:tcPr>
          <w:p w14:paraId="0FEF7320" w14:textId="77777777" w:rsidR="0027563B" w:rsidRPr="00E97AFD" w:rsidRDefault="0027563B">
            <w:pPr>
              <w:autoSpaceDE w:val="0"/>
              <w:autoSpaceDN w:val="0"/>
              <w:adjustRightInd w:val="0"/>
              <w:spacing w:before="29" w:line="300" w:lineRule="auto"/>
              <w:ind w:left="15"/>
              <w:jc w:val="right"/>
              <w:rPr>
                <w:rFonts w:asciiTheme="minorEastAsia" w:eastAsiaTheme="minorEastAsia" w:hAnsiTheme="minorEastAsia"/>
                <w:kern w:val="0"/>
              </w:rPr>
            </w:pPr>
            <w:r w:rsidRPr="00E97AFD">
              <w:rPr>
                <w:rFonts w:asciiTheme="minorEastAsia" w:eastAsiaTheme="minorEastAsia" w:hAnsiTheme="minorEastAsia" w:hint="eastAsia"/>
                <w:kern w:val="0"/>
              </w:rPr>
              <w:t>-</w:t>
            </w:r>
          </w:p>
        </w:tc>
      </w:tr>
      <w:tr w:rsidR="0027563B" w:rsidRPr="00E97AFD" w14:paraId="776E3576" w14:textId="77777777" w:rsidTr="0027563B">
        <w:tc>
          <w:tcPr>
            <w:tcW w:w="942" w:type="dxa"/>
            <w:tcBorders>
              <w:top w:val="single" w:sz="4" w:space="0" w:color="000000"/>
              <w:left w:val="single" w:sz="4" w:space="0" w:color="000000"/>
              <w:bottom w:val="single" w:sz="4" w:space="0" w:color="000000"/>
              <w:right w:val="single" w:sz="4" w:space="0" w:color="000000"/>
            </w:tcBorders>
            <w:vAlign w:val="center"/>
            <w:hideMark/>
          </w:tcPr>
          <w:p w14:paraId="2289F579"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rPr>
            </w:pPr>
            <w:r w:rsidRPr="00E97AFD">
              <w:rPr>
                <w:rFonts w:asciiTheme="minorEastAsia" w:eastAsiaTheme="minorEastAsia" w:hAnsiTheme="minorEastAsia" w:hint="eastAsia"/>
              </w:rPr>
              <w:t>2</w:t>
            </w:r>
          </w:p>
        </w:tc>
        <w:tc>
          <w:tcPr>
            <w:tcW w:w="3535" w:type="dxa"/>
            <w:tcBorders>
              <w:top w:val="single" w:sz="4" w:space="0" w:color="000000"/>
              <w:left w:val="single" w:sz="4" w:space="0" w:color="000000"/>
              <w:bottom w:val="single" w:sz="4" w:space="0" w:color="000000"/>
              <w:right w:val="single" w:sz="4" w:space="0" w:color="000000"/>
            </w:tcBorders>
            <w:vAlign w:val="center"/>
            <w:hideMark/>
          </w:tcPr>
          <w:p w14:paraId="219AD623" w14:textId="77777777" w:rsidR="0027563B" w:rsidRPr="00E97AFD" w:rsidRDefault="0027563B">
            <w:pPr>
              <w:autoSpaceDE w:val="0"/>
              <w:autoSpaceDN w:val="0"/>
              <w:adjustRightInd w:val="0"/>
              <w:spacing w:before="29" w:line="300" w:lineRule="auto"/>
              <w:ind w:left="15"/>
              <w:jc w:val="left"/>
              <w:rPr>
                <w:rFonts w:asciiTheme="minorEastAsia" w:eastAsiaTheme="minorEastAsia" w:hAnsiTheme="minorEastAsia"/>
                <w:kern w:val="0"/>
              </w:rPr>
            </w:pPr>
            <w:r w:rsidRPr="00E97AFD">
              <w:rPr>
                <w:rFonts w:asciiTheme="minorEastAsia" w:eastAsiaTheme="minorEastAsia" w:hAnsiTheme="minorEastAsia" w:hint="eastAsia"/>
                <w:kern w:val="0"/>
              </w:rPr>
              <w:t>应收证券清算款</w:t>
            </w:r>
          </w:p>
        </w:tc>
        <w:tc>
          <w:tcPr>
            <w:tcW w:w="4808" w:type="dxa"/>
            <w:tcBorders>
              <w:top w:val="single" w:sz="4" w:space="0" w:color="000000"/>
              <w:left w:val="single" w:sz="4" w:space="0" w:color="000000"/>
              <w:bottom w:val="single" w:sz="4" w:space="0" w:color="000000"/>
              <w:right w:val="single" w:sz="4" w:space="0" w:color="000000"/>
            </w:tcBorders>
            <w:vAlign w:val="center"/>
            <w:hideMark/>
          </w:tcPr>
          <w:p w14:paraId="4C15B283" w14:textId="77777777" w:rsidR="0027563B" w:rsidRPr="00E97AFD" w:rsidRDefault="0027563B">
            <w:pPr>
              <w:autoSpaceDE w:val="0"/>
              <w:autoSpaceDN w:val="0"/>
              <w:adjustRightInd w:val="0"/>
              <w:spacing w:before="29" w:line="300" w:lineRule="auto"/>
              <w:ind w:left="15"/>
              <w:jc w:val="right"/>
              <w:rPr>
                <w:rFonts w:asciiTheme="minorEastAsia" w:eastAsiaTheme="minorEastAsia" w:hAnsiTheme="minorEastAsia"/>
                <w:kern w:val="0"/>
              </w:rPr>
            </w:pPr>
            <w:r w:rsidRPr="00E97AFD">
              <w:rPr>
                <w:rFonts w:asciiTheme="minorEastAsia" w:eastAsiaTheme="minorEastAsia" w:hAnsiTheme="minorEastAsia" w:hint="eastAsia"/>
                <w:kern w:val="0"/>
              </w:rPr>
              <w:t>13,520.55</w:t>
            </w:r>
          </w:p>
        </w:tc>
      </w:tr>
      <w:tr w:rsidR="0027563B" w:rsidRPr="00E97AFD" w14:paraId="31842878" w14:textId="77777777" w:rsidTr="0027563B">
        <w:tc>
          <w:tcPr>
            <w:tcW w:w="942" w:type="dxa"/>
            <w:tcBorders>
              <w:top w:val="single" w:sz="4" w:space="0" w:color="000000"/>
              <w:left w:val="single" w:sz="4" w:space="0" w:color="000000"/>
              <w:bottom w:val="single" w:sz="4" w:space="0" w:color="000000"/>
              <w:right w:val="single" w:sz="4" w:space="0" w:color="000000"/>
            </w:tcBorders>
            <w:vAlign w:val="center"/>
            <w:hideMark/>
          </w:tcPr>
          <w:p w14:paraId="5A05E2F5"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rPr>
            </w:pPr>
            <w:r w:rsidRPr="00E97AFD">
              <w:rPr>
                <w:rFonts w:asciiTheme="minorEastAsia" w:eastAsiaTheme="minorEastAsia" w:hAnsiTheme="minorEastAsia" w:hint="eastAsia"/>
              </w:rPr>
              <w:t>3</w:t>
            </w:r>
          </w:p>
        </w:tc>
        <w:tc>
          <w:tcPr>
            <w:tcW w:w="3535" w:type="dxa"/>
            <w:tcBorders>
              <w:top w:val="single" w:sz="4" w:space="0" w:color="000000"/>
              <w:left w:val="single" w:sz="4" w:space="0" w:color="000000"/>
              <w:bottom w:val="single" w:sz="4" w:space="0" w:color="000000"/>
              <w:right w:val="single" w:sz="4" w:space="0" w:color="000000"/>
            </w:tcBorders>
            <w:vAlign w:val="center"/>
            <w:hideMark/>
          </w:tcPr>
          <w:p w14:paraId="2EE0AAD8" w14:textId="77777777" w:rsidR="0027563B" w:rsidRPr="00E97AFD" w:rsidRDefault="0027563B">
            <w:pPr>
              <w:autoSpaceDE w:val="0"/>
              <w:autoSpaceDN w:val="0"/>
              <w:adjustRightInd w:val="0"/>
              <w:spacing w:before="29" w:line="300" w:lineRule="auto"/>
              <w:ind w:left="15"/>
              <w:jc w:val="left"/>
              <w:rPr>
                <w:rFonts w:asciiTheme="minorEastAsia" w:eastAsiaTheme="minorEastAsia" w:hAnsiTheme="minorEastAsia"/>
                <w:kern w:val="0"/>
              </w:rPr>
            </w:pPr>
            <w:r w:rsidRPr="00E97AFD">
              <w:rPr>
                <w:rFonts w:asciiTheme="minorEastAsia" w:eastAsiaTheme="minorEastAsia" w:hAnsiTheme="minorEastAsia" w:hint="eastAsia"/>
                <w:kern w:val="0"/>
              </w:rPr>
              <w:t>应收利息</w:t>
            </w:r>
          </w:p>
        </w:tc>
        <w:tc>
          <w:tcPr>
            <w:tcW w:w="4808" w:type="dxa"/>
            <w:tcBorders>
              <w:top w:val="single" w:sz="4" w:space="0" w:color="000000"/>
              <w:left w:val="single" w:sz="4" w:space="0" w:color="000000"/>
              <w:bottom w:val="single" w:sz="4" w:space="0" w:color="000000"/>
              <w:right w:val="single" w:sz="4" w:space="0" w:color="000000"/>
            </w:tcBorders>
            <w:vAlign w:val="center"/>
            <w:hideMark/>
          </w:tcPr>
          <w:p w14:paraId="7C06F223" w14:textId="77777777" w:rsidR="0027563B" w:rsidRPr="00E97AFD" w:rsidRDefault="0027563B">
            <w:pPr>
              <w:autoSpaceDE w:val="0"/>
              <w:autoSpaceDN w:val="0"/>
              <w:adjustRightInd w:val="0"/>
              <w:spacing w:before="29" w:line="300" w:lineRule="auto"/>
              <w:ind w:left="15"/>
              <w:jc w:val="right"/>
              <w:rPr>
                <w:rFonts w:asciiTheme="minorEastAsia" w:eastAsiaTheme="minorEastAsia" w:hAnsiTheme="minorEastAsia"/>
                <w:kern w:val="0"/>
              </w:rPr>
            </w:pPr>
            <w:r w:rsidRPr="00E97AFD">
              <w:rPr>
                <w:rFonts w:asciiTheme="minorEastAsia" w:eastAsiaTheme="minorEastAsia" w:hAnsiTheme="minorEastAsia" w:hint="eastAsia"/>
                <w:kern w:val="0"/>
              </w:rPr>
              <w:t>26,435,680.84</w:t>
            </w:r>
          </w:p>
        </w:tc>
      </w:tr>
      <w:tr w:rsidR="0027563B" w:rsidRPr="00E97AFD" w14:paraId="3017878B" w14:textId="77777777" w:rsidTr="0027563B">
        <w:tc>
          <w:tcPr>
            <w:tcW w:w="942" w:type="dxa"/>
            <w:tcBorders>
              <w:top w:val="single" w:sz="4" w:space="0" w:color="000000"/>
              <w:left w:val="single" w:sz="4" w:space="0" w:color="000000"/>
              <w:bottom w:val="single" w:sz="4" w:space="0" w:color="000000"/>
              <w:right w:val="single" w:sz="4" w:space="0" w:color="000000"/>
            </w:tcBorders>
            <w:vAlign w:val="center"/>
            <w:hideMark/>
          </w:tcPr>
          <w:p w14:paraId="361151E5"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rPr>
            </w:pPr>
            <w:r w:rsidRPr="00E97AFD">
              <w:rPr>
                <w:rFonts w:asciiTheme="minorEastAsia" w:eastAsiaTheme="minorEastAsia" w:hAnsiTheme="minorEastAsia" w:hint="eastAsia"/>
              </w:rPr>
              <w:t>4</w:t>
            </w:r>
          </w:p>
        </w:tc>
        <w:tc>
          <w:tcPr>
            <w:tcW w:w="3535" w:type="dxa"/>
            <w:tcBorders>
              <w:top w:val="single" w:sz="4" w:space="0" w:color="000000"/>
              <w:left w:val="single" w:sz="4" w:space="0" w:color="000000"/>
              <w:bottom w:val="single" w:sz="4" w:space="0" w:color="000000"/>
              <w:right w:val="single" w:sz="4" w:space="0" w:color="000000"/>
            </w:tcBorders>
            <w:vAlign w:val="center"/>
            <w:hideMark/>
          </w:tcPr>
          <w:p w14:paraId="517F90E9" w14:textId="77777777" w:rsidR="0027563B" w:rsidRPr="00E97AFD" w:rsidRDefault="0027563B">
            <w:pPr>
              <w:autoSpaceDE w:val="0"/>
              <w:autoSpaceDN w:val="0"/>
              <w:adjustRightInd w:val="0"/>
              <w:spacing w:before="29" w:line="300" w:lineRule="auto"/>
              <w:ind w:left="15"/>
              <w:jc w:val="left"/>
              <w:rPr>
                <w:rFonts w:asciiTheme="minorEastAsia" w:eastAsiaTheme="minorEastAsia" w:hAnsiTheme="minorEastAsia"/>
                <w:kern w:val="0"/>
              </w:rPr>
            </w:pPr>
            <w:r w:rsidRPr="00E97AFD">
              <w:rPr>
                <w:rFonts w:asciiTheme="minorEastAsia" w:eastAsiaTheme="minorEastAsia" w:hAnsiTheme="minorEastAsia" w:hint="eastAsia"/>
                <w:kern w:val="0"/>
              </w:rPr>
              <w:t>应收申购款</w:t>
            </w:r>
          </w:p>
        </w:tc>
        <w:tc>
          <w:tcPr>
            <w:tcW w:w="4808" w:type="dxa"/>
            <w:tcBorders>
              <w:top w:val="single" w:sz="4" w:space="0" w:color="000000"/>
              <w:left w:val="single" w:sz="4" w:space="0" w:color="000000"/>
              <w:bottom w:val="single" w:sz="4" w:space="0" w:color="000000"/>
              <w:right w:val="single" w:sz="4" w:space="0" w:color="000000"/>
            </w:tcBorders>
            <w:vAlign w:val="center"/>
            <w:hideMark/>
          </w:tcPr>
          <w:p w14:paraId="25E728DE" w14:textId="77777777" w:rsidR="0027563B" w:rsidRPr="00E97AFD" w:rsidRDefault="0027563B">
            <w:pPr>
              <w:autoSpaceDE w:val="0"/>
              <w:autoSpaceDN w:val="0"/>
              <w:adjustRightInd w:val="0"/>
              <w:spacing w:before="29" w:line="300" w:lineRule="auto"/>
              <w:ind w:left="15"/>
              <w:jc w:val="right"/>
              <w:rPr>
                <w:rFonts w:asciiTheme="minorEastAsia" w:eastAsiaTheme="minorEastAsia" w:hAnsiTheme="minorEastAsia"/>
                <w:kern w:val="0"/>
              </w:rPr>
            </w:pPr>
            <w:r w:rsidRPr="00E97AFD">
              <w:rPr>
                <w:rFonts w:asciiTheme="minorEastAsia" w:eastAsiaTheme="minorEastAsia" w:hAnsiTheme="minorEastAsia" w:hint="eastAsia"/>
                <w:kern w:val="0"/>
              </w:rPr>
              <w:t>1,066,373.12</w:t>
            </w:r>
          </w:p>
        </w:tc>
      </w:tr>
      <w:tr w:rsidR="0027563B" w:rsidRPr="00E97AFD" w14:paraId="7C44125A" w14:textId="77777777" w:rsidTr="0027563B">
        <w:tc>
          <w:tcPr>
            <w:tcW w:w="942" w:type="dxa"/>
            <w:tcBorders>
              <w:top w:val="single" w:sz="4" w:space="0" w:color="000000"/>
              <w:left w:val="single" w:sz="4" w:space="0" w:color="000000"/>
              <w:bottom w:val="single" w:sz="4" w:space="0" w:color="000000"/>
              <w:right w:val="single" w:sz="4" w:space="0" w:color="000000"/>
            </w:tcBorders>
            <w:vAlign w:val="center"/>
            <w:hideMark/>
          </w:tcPr>
          <w:p w14:paraId="11B7B07F"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rPr>
            </w:pPr>
            <w:r w:rsidRPr="00E97AFD">
              <w:rPr>
                <w:rFonts w:asciiTheme="minorEastAsia" w:eastAsiaTheme="minorEastAsia" w:hAnsiTheme="minorEastAsia" w:hint="eastAsia"/>
              </w:rPr>
              <w:t>5</w:t>
            </w:r>
          </w:p>
        </w:tc>
        <w:tc>
          <w:tcPr>
            <w:tcW w:w="3535" w:type="dxa"/>
            <w:tcBorders>
              <w:top w:val="single" w:sz="4" w:space="0" w:color="000000"/>
              <w:left w:val="single" w:sz="4" w:space="0" w:color="000000"/>
              <w:bottom w:val="single" w:sz="4" w:space="0" w:color="000000"/>
              <w:right w:val="single" w:sz="4" w:space="0" w:color="000000"/>
            </w:tcBorders>
            <w:vAlign w:val="center"/>
            <w:hideMark/>
          </w:tcPr>
          <w:p w14:paraId="4EFAB92D" w14:textId="77777777" w:rsidR="0027563B" w:rsidRPr="00E97AFD" w:rsidRDefault="0027563B">
            <w:pPr>
              <w:autoSpaceDE w:val="0"/>
              <w:autoSpaceDN w:val="0"/>
              <w:adjustRightInd w:val="0"/>
              <w:spacing w:before="29" w:line="300" w:lineRule="auto"/>
              <w:ind w:left="15"/>
              <w:jc w:val="left"/>
              <w:rPr>
                <w:rFonts w:asciiTheme="minorEastAsia" w:eastAsiaTheme="minorEastAsia" w:hAnsiTheme="minorEastAsia"/>
                <w:kern w:val="0"/>
              </w:rPr>
            </w:pPr>
            <w:r w:rsidRPr="00E97AFD">
              <w:rPr>
                <w:rFonts w:asciiTheme="minorEastAsia" w:eastAsiaTheme="minorEastAsia" w:hAnsiTheme="minorEastAsia" w:hint="eastAsia"/>
                <w:kern w:val="0"/>
              </w:rPr>
              <w:t>其他应收款</w:t>
            </w:r>
          </w:p>
        </w:tc>
        <w:tc>
          <w:tcPr>
            <w:tcW w:w="4808" w:type="dxa"/>
            <w:tcBorders>
              <w:top w:val="single" w:sz="4" w:space="0" w:color="000000"/>
              <w:left w:val="single" w:sz="4" w:space="0" w:color="000000"/>
              <w:bottom w:val="single" w:sz="4" w:space="0" w:color="000000"/>
              <w:right w:val="single" w:sz="4" w:space="0" w:color="000000"/>
            </w:tcBorders>
            <w:vAlign w:val="center"/>
            <w:hideMark/>
          </w:tcPr>
          <w:p w14:paraId="039EC04E" w14:textId="77777777" w:rsidR="0027563B" w:rsidRPr="00E97AFD" w:rsidRDefault="0027563B">
            <w:pPr>
              <w:autoSpaceDE w:val="0"/>
              <w:autoSpaceDN w:val="0"/>
              <w:adjustRightInd w:val="0"/>
              <w:spacing w:before="29" w:line="300" w:lineRule="auto"/>
              <w:ind w:left="15"/>
              <w:jc w:val="right"/>
              <w:rPr>
                <w:rFonts w:asciiTheme="minorEastAsia" w:eastAsiaTheme="minorEastAsia" w:hAnsiTheme="minorEastAsia"/>
                <w:kern w:val="0"/>
              </w:rPr>
            </w:pPr>
            <w:r w:rsidRPr="00E97AFD">
              <w:rPr>
                <w:rFonts w:asciiTheme="minorEastAsia" w:eastAsiaTheme="minorEastAsia" w:hAnsiTheme="minorEastAsia" w:hint="eastAsia"/>
                <w:kern w:val="0"/>
              </w:rPr>
              <w:t>-</w:t>
            </w:r>
          </w:p>
        </w:tc>
      </w:tr>
      <w:tr w:rsidR="0027563B" w:rsidRPr="00E97AFD" w14:paraId="4640A06D" w14:textId="77777777" w:rsidTr="0027563B">
        <w:tc>
          <w:tcPr>
            <w:tcW w:w="942" w:type="dxa"/>
            <w:tcBorders>
              <w:top w:val="single" w:sz="4" w:space="0" w:color="000000"/>
              <w:left w:val="single" w:sz="4" w:space="0" w:color="000000"/>
              <w:bottom w:val="single" w:sz="4" w:space="0" w:color="000000"/>
              <w:right w:val="single" w:sz="4" w:space="0" w:color="000000"/>
            </w:tcBorders>
            <w:vAlign w:val="center"/>
            <w:hideMark/>
          </w:tcPr>
          <w:p w14:paraId="5A80F25E"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rPr>
            </w:pPr>
            <w:r w:rsidRPr="00E97AFD">
              <w:rPr>
                <w:rFonts w:asciiTheme="minorEastAsia" w:eastAsiaTheme="minorEastAsia" w:hAnsiTheme="minorEastAsia" w:hint="eastAsia"/>
              </w:rPr>
              <w:t>6</w:t>
            </w:r>
          </w:p>
        </w:tc>
        <w:tc>
          <w:tcPr>
            <w:tcW w:w="3535" w:type="dxa"/>
            <w:tcBorders>
              <w:top w:val="single" w:sz="4" w:space="0" w:color="000000"/>
              <w:left w:val="single" w:sz="4" w:space="0" w:color="000000"/>
              <w:bottom w:val="single" w:sz="4" w:space="0" w:color="000000"/>
              <w:right w:val="single" w:sz="4" w:space="0" w:color="000000"/>
            </w:tcBorders>
            <w:vAlign w:val="center"/>
            <w:hideMark/>
          </w:tcPr>
          <w:p w14:paraId="1FDEDABD" w14:textId="77777777" w:rsidR="0027563B" w:rsidRPr="00E97AFD" w:rsidRDefault="0027563B">
            <w:pPr>
              <w:autoSpaceDE w:val="0"/>
              <w:autoSpaceDN w:val="0"/>
              <w:adjustRightInd w:val="0"/>
              <w:spacing w:before="29" w:line="300" w:lineRule="auto"/>
              <w:ind w:left="15"/>
              <w:jc w:val="left"/>
              <w:rPr>
                <w:rFonts w:asciiTheme="minorEastAsia" w:eastAsiaTheme="minorEastAsia" w:hAnsiTheme="minorEastAsia"/>
                <w:kern w:val="0"/>
              </w:rPr>
            </w:pPr>
            <w:r w:rsidRPr="00E97AFD">
              <w:rPr>
                <w:rFonts w:asciiTheme="minorEastAsia" w:eastAsiaTheme="minorEastAsia" w:hAnsiTheme="minorEastAsia" w:hint="eastAsia"/>
                <w:kern w:val="0"/>
              </w:rPr>
              <w:t>待摊费用</w:t>
            </w:r>
          </w:p>
        </w:tc>
        <w:tc>
          <w:tcPr>
            <w:tcW w:w="4808" w:type="dxa"/>
            <w:tcBorders>
              <w:top w:val="single" w:sz="4" w:space="0" w:color="000000"/>
              <w:left w:val="single" w:sz="4" w:space="0" w:color="000000"/>
              <w:bottom w:val="single" w:sz="4" w:space="0" w:color="000000"/>
              <w:right w:val="single" w:sz="4" w:space="0" w:color="000000"/>
            </w:tcBorders>
            <w:vAlign w:val="center"/>
            <w:hideMark/>
          </w:tcPr>
          <w:p w14:paraId="437A4F4A" w14:textId="77777777" w:rsidR="0027563B" w:rsidRPr="00E97AFD" w:rsidRDefault="0027563B">
            <w:pPr>
              <w:autoSpaceDE w:val="0"/>
              <w:autoSpaceDN w:val="0"/>
              <w:adjustRightInd w:val="0"/>
              <w:spacing w:before="29" w:line="300" w:lineRule="auto"/>
              <w:ind w:left="15"/>
              <w:jc w:val="right"/>
              <w:rPr>
                <w:rFonts w:asciiTheme="minorEastAsia" w:eastAsiaTheme="minorEastAsia" w:hAnsiTheme="minorEastAsia"/>
                <w:kern w:val="0"/>
              </w:rPr>
            </w:pPr>
            <w:r w:rsidRPr="00E97AFD">
              <w:rPr>
                <w:rFonts w:asciiTheme="minorEastAsia" w:eastAsiaTheme="minorEastAsia" w:hAnsiTheme="minorEastAsia" w:hint="eastAsia"/>
                <w:kern w:val="0"/>
              </w:rPr>
              <w:t>-</w:t>
            </w:r>
          </w:p>
        </w:tc>
      </w:tr>
      <w:tr w:rsidR="0027563B" w:rsidRPr="00E97AFD" w14:paraId="04F46380" w14:textId="77777777" w:rsidTr="0027563B">
        <w:tc>
          <w:tcPr>
            <w:tcW w:w="942" w:type="dxa"/>
            <w:tcBorders>
              <w:top w:val="single" w:sz="4" w:space="0" w:color="000000"/>
              <w:left w:val="single" w:sz="4" w:space="0" w:color="000000"/>
              <w:bottom w:val="single" w:sz="4" w:space="0" w:color="000000"/>
              <w:right w:val="single" w:sz="4" w:space="0" w:color="000000"/>
            </w:tcBorders>
            <w:vAlign w:val="center"/>
            <w:hideMark/>
          </w:tcPr>
          <w:p w14:paraId="38574792"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rPr>
            </w:pPr>
            <w:r w:rsidRPr="00E97AFD">
              <w:rPr>
                <w:rFonts w:asciiTheme="minorEastAsia" w:eastAsiaTheme="minorEastAsia" w:hAnsiTheme="minorEastAsia" w:hint="eastAsia"/>
              </w:rPr>
              <w:t>7</w:t>
            </w:r>
          </w:p>
        </w:tc>
        <w:tc>
          <w:tcPr>
            <w:tcW w:w="3535" w:type="dxa"/>
            <w:tcBorders>
              <w:top w:val="single" w:sz="4" w:space="0" w:color="000000"/>
              <w:left w:val="single" w:sz="4" w:space="0" w:color="000000"/>
              <w:bottom w:val="single" w:sz="4" w:space="0" w:color="000000"/>
              <w:right w:val="single" w:sz="4" w:space="0" w:color="000000"/>
            </w:tcBorders>
            <w:vAlign w:val="center"/>
            <w:hideMark/>
          </w:tcPr>
          <w:p w14:paraId="07617AF1" w14:textId="77777777" w:rsidR="0027563B" w:rsidRPr="00E97AFD" w:rsidRDefault="0027563B">
            <w:pPr>
              <w:autoSpaceDE w:val="0"/>
              <w:autoSpaceDN w:val="0"/>
              <w:adjustRightInd w:val="0"/>
              <w:spacing w:before="29" w:line="300" w:lineRule="auto"/>
              <w:ind w:left="15"/>
              <w:jc w:val="left"/>
              <w:rPr>
                <w:rFonts w:asciiTheme="minorEastAsia" w:eastAsiaTheme="minorEastAsia" w:hAnsiTheme="minorEastAsia"/>
                <w:kern w:val="0"/>
              </w:rPr>
            </w:pPr>
            <w:r w:rsidRPr="00E97AFD">
              <w:rPr>
                <w:rFonts w:asciiTheme="minorEastAsia" w:eastAsiaTheme="minorEastAsia" w:hAnsiTheme="minorEastAsia" w:hint="eastAsia"/>
                <w:kern w:val="0"/>
              </w:rPr>
              <w:t>其他</w:t>
            </w:r>
          </w:p>
        </w:tc>
        <w:tc>
          <w:tcPr>
            <w:tcW w:w="4808" w:type="dxa"/>
            <w:tcBorders>
              <w:top w:val="single" w:sz="4" w:space="0" w:color="000000"/>
              <w:left w:val="single" w:sz="4" w:space="0" w:color="000000"/>
              <w:bottom w:val="single" w:sz="4" w:space="0" w:color="000000"/>
              <w:right w:val="single" w:sz="4" w:space="0" w:color="000000"/>
            </w:tcBorders>
            <w:vAlign w:val="center"/>
            <w:hideMark/>
          </w:tcPr>
          <w:p w14:paraId="41B62D4B" w14:textId="77777777" w:rsidR="0027563B" w:rsidRPr="00E97AFD" w:rsidRDefault="0027563B">
            <w:pPr>
              <w:autoSpaceDE w:val="0"/>
              <w:autoSpaceDN w:val="0"/>
              <w:adjustRightInd w:val="0"/>
              <w:spacing w:before="29" w:line="300" w:lineRule="auto"/>
              <w:ind w:left="15"/>
              <w:jc w:val="right"/>
              <w:rPr>
                <w:rFonts w:asciiTheme="minorEastAsia" w:eastAsiaTheme="minorEastAsia" w:hAnsiTheme="minorEastAsia"/>
                <w:kern w:val="0"/>
              </w:rPr>
            </w:pPr>
            <w:r w:rsidRPr="00E97AFD">
              <w:rPr>
                <w:rFonts w:asciiTheme="minorEastAsia" w:eastAsiaTheme="minorEastAsia" w:hAnsiTheme="minorEastAsia" w:hint="eastAsia"/>
                <w:kern w:val="0"/>
              </w:rPr>
              <w:t>-</w:t>
            </w:r>
          </w:p>
        </w:tc>
      </w:tr>
      <w:tr w:rsidR="0027563B" w:rsidRPr="00E97AFD" w14:paraId="492F54AB" w14:textId="77777777" w:rsidTr="0027563B">
        <w:tc>
          <w:tcPr>
            <w:tcW w:w="942" w:type="dxa"/>
            <w:tcBorders>
              <w:top w:val="single" w:sz="4" w:space="0" w:color="000000"/>
              <w:left w:val="single" w:sz="4" w:space="0" w:color="000000"/>
              <w:bottom w:val="single" w:sz="4" w:space="0" w:color="000000"/>
              <w:right w:val="single" w:sz="4" w:space="0" w:color="000000"/>
            </w:tcBorders>
            <w:vAlign w:val="center"/>
            <w:hideMark/>
          </w:tcPr>
          <w:p w14:paraId="2E99E364" w14:textId="77777777" w:rsidR="0027563B" w:rsidRPr="00E97AFD" w:rsidRDefault="0027563B">
            <w:pPr>
              <w:autoSpaceDE w:val="0"/>
              <w:autoSpaceDN w:val="0"/>
              <w:adjustRightInd w:val="0"/>
              <w:spacing w:before="29" w:line="300" w:lineRule="auto"/>
              <w:ind w:left="15"/>
              <w:jc w:val="center"/>
              <w:rPr>
                <w:rFonts w:asciiTheme="minorEastAsia" w:eastAsiaTheme="minorEastAsia" w:hAnsiTheme="minorEastAsia"/>
              </w:rPr>
            </w:pPr>
            <w:r w:rsidRPr="00E97AFD">
              <w:rPr>
                <w:rFonts w:asciiTheme="minorEastAsia" w:eastAsiaTheme="minorEastAsia" w:hAnsiTheme="minorEastAsia" w:hint="eastAsia"/>
              </w:rPr>
              <w:t>8</w:t>
            </w:r>
          </w:p>
        </w:tc>
        <w:tc>
          <w:tcPr>
            <w:tcW w:w="3535" w:type="dxa"/>
            <w:tcBorders>
              <w:top w:val="single" w:sz="4" w:space="0" w:color="000000"/>
              <w:left w:val="single" w:sz="4" w:space="0" w:color="000000"/>
              <w:bottom w:val="single" w:sz="4" w:space="0" w:color="000000"/>
              <w:right w:val="single" w:sz="4" w:space="0" w:color="000000"/>
            </w:tcBorders>
            <w:vAlign w:val="center"/>
            <w:hideMark/>
          </w:tcPr>
          <w:p w14:paraId="60B54E84" w14:textId="77777777" w:rsidR="0027563B" w:rsidRPr="00E97AFD" w:rsidRDefault="0027563B">
            <w:pPr>
              <w:autoSpaceDE w:val="0"/>
              <w:autoSpaceDN w:val="0"/>
              <w:adjustRightInd w:val="0"/>
              <w:spacing w:before="29" w:line="300" w:lineRule="auto"/>
              <w:ind w:left="15"/>
              <w:jc w:val="left"/>
              <w:rPr>
                <w:rFonts w:asciiTheme="minorEastAsia" w:eastAsiaTheme="minorEastAsia" w:hAnsiTheme="minorEastAsia"/>
                <w:kern w:val="0"/>
              </w:rPr>
            </w:pPr>
            <w:r w:rsidRPr="00E97AFD">
              <w:rPr>
                <w:rFonts w:asciiTheme="minorEastAsia" w:eastAsiaTheme="minorEastAsia" w:hAnsiTheme="minorEastAsia" w:hint="eastAsia"/>
                <w:kern w:val="0"/>
              </w:rPr>
              <w:t>合计</w:t>
            </w:r>
          </w:p>
        </w:tc>
        <w:tc>
          <w:tcPr>
            <w:tcW w:w="4808" w:type="dxa"/>
            <w:tcBorders>
              <w:top w:val="single" w:sz="4" w:space="0" w:color="000000"/>
              <w:left w:val="single" w:sz="4" w:space="0" w:color="000000"/>
              <w:bottom w:val="single" w:sz="4" w:space="0" w:color="000000"/>
              <w:right w:val="single" w:sz="4" w:space="0" w:color="000000"/>
            </w:tcBorders>
            <w:vAlign w:val="center"/>
            <w:hideMark/>
          </w:tcPr>
          <w:p w14:paraId="2691F9F8" w14:textId="77777777" w:rsidR="0027563B" w:rsidRPr="00E97AFD" w:rsidRDefault="0027563B">
            <w:pPr>
              <w:autoSpaceDE w:val="0"/>
              <w:autoSpaceDN w:val="0"/>
              <w:adjustRightInd w:val="0"/>
              <w:spacing w:before="29" w:line="300" w:lineRule="auto"/>
              <w:ind w:left="15"/>
              <w:jc w:val="right"/>
              <w:rPr>
                <w:rFonts w:asciiTheme="minorEastAsia" w:eastAsiaTheme="minorEastAsia" w:hAnsiTheme="minorEastAsia"/>
                <w:kern w:val="0"/>
              </w:rPr>
            </w:pPr>
            <w:r w:rsidRPr="00E97AFD">
              <w:rPr>
                <w:rFonts w:asciiTheme="minorEastAsia" w:eastAsiaTheme="minorEastAsia" w:hAnsiTheme="minorEastAsia" w:hint="eastAsia"/>
                <w:kern w:val="0"/>
              </w:rPr>
              <w:t>27,515,574.51</w:t>
            </w:r>
          </w:p>
        </w:tc>
      </w:tr>
    </w:tbl>
    <w:p w14:paraId="37CFF917" w14:textId="0A8E733E" w:rsidR="00E521AE" w:rsidRPr="00E97AFD" w:rsidRDefault="00E521AE" w:rsidP="0027563B">
      <w:pPr>
        <w:spacing w:line="300" w:lineRule="auto"/>
        <w:rPr>
          <w:rFonts w:asciiTheme="minorEastAsia" w:eastAsiaTheme="minorEastAsia" w:hAnsiTheme="minorEastAsia" w:cstheme="minorBidi"/>
          <w:szCs w:val="22"/>
        </w:rPr>
      </w:pPr>
    </w:p>
    <w:p w14:paraId="15E7CD9E" w14:textId="77777777" w:rsidR="00E521AE" w:rsidRPr="00E97AFD" w:rsidRDefault="00E521AE">
      <w:pPr>
        <w:widowControl/>
        <w:jc w:val="left"/>
        <w:rPr>
          <w:rFonts w:asciiTheme="minorEastAsia" w:eastAsiaTheme="minorEastAsia" w:hAnsiTheme="minorEastAsia" w:cstheme="minorBidi"/>
          <w:szCs w:val="22"/>
        </w:rPr>
      </w:pPr>
      <w:r w:rsidRPr="00E97AFD">
        <w:rPr>
          <w:rFonts w:asciiTheme="minorEastAsia" w:eastAsiaTheme="minorEastAsia" w:hAnsiTheme="minorEastAsia" w:cstheme="minorBidi"/>
          <w:szCs w:val="22"/>
        </w:rPr>
        <w:br w:type="page"/>
      </w:r>
    </w:p>
    <w:p w14:paraId="41CDADB9" w14:textId="77777777" w:rsidR="0027563B" w:rsidRPr="00E97AFD" w:rsidRDefault="0027563B" w:rsidP="0027563B">
      <w:pPr>
        <w:spacing w:line="300" w:lineRule="auto"/>
        <w:rPr>
          <w:rFonts w:asciiTheme="minorEastAsia" w:eastAsiaTheme="minorEastAsia" w:hAnsiTheme="minorEastAsia" w:cstheme="minorBidi"/>
          <w:szCs w:val="22"/>
        </w:rPr>
      </w:pPr>
    </w:p>
    <w:p w14:paraId="3541D6CE" w14:textId="77777777" w:rsidR="00D708BF" w:rsidRPr="00E97AFD" w:rsidRDefault="00D708BF" w:rsidP="00966694">
      <w:pPr>
        <w:pStyle w:val="1"/>
        <w:snapToGrid w:val="0"/>
        <w:spacing w:beforeLines="0" w:afterLines="0" w:line="360" w:lineRule="auto"/>
        <w:ind w:firstLine="602"/>
        <w:rPr>
          <w:rFonts w:asciiTheme="minorEastAsia" w:eastAsiaTheme="minorEastAsia" w:hAnsiTheme="minorEastAsia"/>
          <w:b/>
          <w:sz w:val="30"/>
        </w:rPr>
      </w:pPr>
      <w:bookmarkStart w:id="69" w:name="_Toc43371983"/>
      <w:r w:rsidRPr="00E97AFD">
        <w:rPr>
          <w:rFonts w:asciiTheme="minorEastAsia" w:eastAsiaTheme="minorEastAsia" w:hAnsiTheme="minorEastAsia" w:hint="eastAsia"/>
          <w:b/>
          <w:sz w:val="30"/>
        </w:rPr>
        <w:t>十三、基金的业绩</w:t>
      </w:r>
      <w:bookmarkEnd w:id="69"/>
    </w:p>
    <w:p w14:paraId="39DA7D6B" w14:textId="77777777" w:rsidR="00D708BF" w:rsidRPr="00E97AFD" w:rsidRDefault="00D708BF"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基金管理人依照恪尽职守、诚实信用、谨慎勤勉的原则管理和运用基金财产，但不保证基金一定盈利，也不保证最低收益。基金的过往业绩并不代表其未来表现。投资有风险，投资者在</w:t>
      </w:r>
      <w:r w:rsidRPr="00E97AFD">
        <w:rPr>
          <w:rFonts w:asciiTheme="minorEastAsia" w:eastAsiaTheme="minorEastAsia" w:hAnsiTheme="minorEastAsia" w:hint="eastAsia"/>
          <w:szCs w:val="21"/>
        </w:rPr>
        <w:t>作出</w:t>
      </w:r>
      <w:r w:rsidRPr="00E97AFD">
        <w:rPr>
          <w:rFonts w:asciiTheme="minorEastAsia" w:eastAsiaTheme="minorEastAsia" w:hAnsiTheme="minorEastAsia"/>
          <w:szCs w:val="21"/>
        </w:rPr>
        <w:t>投资决策前应仔细阅读本基金的招募说明书。</w:t>
      </w:r>
    </w:p>
    <w:p w14:paraId="0E0A50E2" w14:textId="01C05973" w:rsidR="00276C50" w:rsidRPr="00E97AFD" w:rsidRDefault="00276C50"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本基金合同生效日为2014年6月25日，</w:t>
      </w:r>
      <w:r w:rsidR="0027563B" w:rsidRPr="00E97AFD">
        <w:rPr>
          <w:rFonts w:asciiTheme="minorEastAsia" w:eastAsiaTheme="minorEastAsia" w:hAnsiTheme="minorEastAsia" w:hint="eastAsia"/>
          <w:szCs w:val="21"/>
        </w:rPr>
        <w:t>基金合同生效以来（截至2019年12月31日）的投资业绩及与同期基准的比较如下表所示</w:t>
      </w:r>
      <w:r w:rsidRPr="00E97AFD">
        <w:rPr>
          <w:rFonts w:asciiTheme="minorEastAsia" w:eastAsiaTheme="minorEastAsia" w:hAnsiTheme="minorEastAsia" w:hint="eastAsia"/>
          <w:szCs w:val="21"/>
        </w:rPr>
        <w:t>：</w:t>
      </w:r>
    </w:p>
    <w:p w14:paraId="3CCDADDE" w14:textId="61FEEC61" w:rsidR="00276C50" w:rsidRPr="00E97AFD" w:rsidRDefault="00C00F5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w:t>
      </w:r>
      <w:r w:rsidR="00276C50" w:rsidRPr="00E97AFD">
        <w:rPr>
          <w:rFonts w:asciiTheme="minorEastAsia" w:eastAsiaTheme="minorEastAsia" w:hAnsiTheme="minorEastAsia" w:hint="eastAsia"/>
          <w:szCs w:val="21"/>
        </w:rPr>
        <w:t>易方达天天增利货币A类基金份额净值</w:t>
      </w:r>
      <w:r w:rsidR="00B1134A" w:rsidRPr="00EC0E8B">
        <w:rPr>
          <w:rFonts w:eastAsiaTheme="minorEastAsia"/>
          <w:szCs w:val="21"/>
        </w:rPr>
        <w:t>收益</w:t>
      </w:r>
      <w:r w:rsidR="00276C50" w:rsidRPr="00E97AFD">
        <w:rPr>
          <w:rFonts w:asciiTheme="minorEastAsia" w:eastAsiaTheme="minorEastAsia" w:hAnsiTheme="minorEastAsia" w:hint="eastAsia"/>
          <w:szCs w:val="21"/>
        </w:rPr>
        <w:t>率与同期业绩比较基准收益率比较</w:t>
      </w:r>
    </w:p>
    <w:tbl>
      <w:tblPr>
        <w:tblW w:w="8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1079"/>
        <w:gridCol w:w="1439"/>
        <w:gridCol w:w="1338"/>
        <w:gridCol w:w="1133"/>
        <w:gridCol w:w="1266"/>
      </w:tblGrid>
      <w:tr w:rsidR="004503EC" w:rsidRPr="00E97AFD" w14:paraId="5FAC5937" w14:textId="77777777" w:rsidTr="00276C50">
        <w:trPr>
          <w:trHeight w:val="315"/>
        </w:trPr>
        <w:tc>
          <w:tcPr>
            <w:tcW w:w="1440" w:type="dxa"/>
            <w:tcBorders>
              <w:top w:val="single" w:sz="4" w:space="0" w:color="auto"/>
              <w:left w:val="single" w:sz="4" w:space="0" w:color="auto"/>
              <w:bottom w:val="single" w:sz="4" w:space="0" w:color="auto"/>
              <w:right w:val="single" w:sz="4" w:space="0" w:color="auto"/>
            </w:tcBorders>
            <w:vAlign w:val="center"/>
            <w:hideMark/>
          </w:tcPr>
          <w:p w14:paraId="3993E73B" w14:textId="77777777" w:rsidR="00276C50" w:rsidRPr="00E97AFD" w:rsidRDefault="00276C50" w:rsidP="00966694">
            <w:pPr>
              <w:snapToGrid w:val="0"/>
              <w:spacing w:line="360" w:lineRule="auto"/>
              <w:jc w:val="center"/>
              <w:rPr>
                <w:rFonts w:asciiTheme="minorEastAsia" w:eastAsiaTheme="minorEastAsia" w:hAnsiTheme="minorEastAsia" w:cs="Arial Unicode MS"/>
                <w:szCs w:val="21"/>
              </w:rPr>
            </w:pPr>
            <w:r w:rsidRPr="00E97AFD">
              <w:rPr>
                <w:rFonts w:asciiTheme="minorEastAsia" w:eastAsiaTheme="minorEastAsia" w:hAnsiTheme="minorEastAsia" w:hint="eastAsia"/>
                <w:szCs w:val="21"/>
              </w:rPr>
              <w:t>阶段</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A1A8424" w14:textId="5530DC6D" w:rsidR="00276C50" w:rsidRPr="00E97AFD" w:rsidRDefault="00DF6BBF" w:rsidP="00966694">
            <w:pPr>
              <w:snapToGrid w:val="0"/>
              <w:spacing w:line="360" w:lineRule="auto"/>
              <w:jc w:val="center"/>
              <w:rPr>
                <w:rFonts w:asciiTheme="minorEastAsia" w:eastAsiaTheme="minorEastAsia" w:hAnsiTheme="minorEastAsia" w:cs="Arial Unicode MS"/>
                <w:szCs w:val="21"/>
              </w:rPr>
            </w:pPr>
            <w:r w:rsidRPr="00EC0E8B">
              <w:rPr>
                <w:rFonts w:eastAsiaTheme="minorEastAsia"/>
                <w:szCs w:val="21"/>
              </w:rPr>
              <w:t>份额净值收益率</w:t>
            </w:r>
            <w:r w:rsidR="00276C50" w:rsidRPr="00E97AFD">
              <w:rPr>
                <w:rFonts w:asciiTheme="minorEastAsia" w:eastAsiaTheme="minorEastAsia" w:hAnsiTheme="minorEastAsia" w:hint="eastAsia"/>
                <w:szCs w:val="21"/>
              </w:rPr>
              <w:t>（1）</w:t>
            </w:r>
          </w:p>
        </w:tc>
        <w:tc>
          <w:tcPr>
            <w:tcW w:w="1079" w:type="dxa"/>
            <w:tcBorders>
              <w:top w:val="single" w:sz="4" w:space="0" w:color="auto"/>
              <w:left w:val="single" w:sz="4" w:space="0" w:color="auto"/>
              <w:bottom w:val="single" w:sz="4" w:space="0" w:color="auto"/>
              <w:right w:val="single" w:sz="4" w:space="0" w:color="auto"/>
            </w:tcBorders>
            <w:vAlign w:val="center"/>
            <w:hideMark/>
          </w:tcPr>
          <w:p w14:paraId="664C64BE" w14:textId="64B97B01" w:rsidR="00276C50" w:rsidRPr="00E97AFD" w:rsidRDefault="00DF6BBF" w:rsidP="00966694">
            <w:pPr>
              <w:snapToGrid w:val="0"/>
              <w:spacing w:line="360" w:lineRule="auto"/>
              <w:jc w:val="center"/>
              <w:rPr>
                <w:rFonts w:asciiTheme="minorEastAsia" w:eastAsiaTheme="minorEastAsia" w:hAnsiTheme="minorEastAsia" w:cs="Arial Unicode MS"/>
                <w:szCs w:val="21"/>
              </w:rPr>
            </w:pPr>
            <w:r w:rsidRPr="00EC0E8B">
              <w:rPr>
                <w:rFonts w:eastAsiaTheme="minorEastAsia"/>
                <w:szCs w:val="21"/>
              </w:rPr>
              <w:t>份额净值收益率</w:t>
            </w:r>
            <w:r w:rsidR="00276C50" w:rsidRPr="00E97AFD">
              <w:rPr>
                <w:rFonts w:asciiTheme="minorEastAsia" w:eastAsiaTheme="minorEastAsia" w:hAnsiTheme="minorEastAsia" w:hint="eastAsia"/>
                <w:szCs w:val="21"/>
              </w:rPr>
              <w:t>标准差（2）</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BC1BD0B" w14:textId="77777777" w:rsidR="00276C50" w:rsidRPr="00E97AFD" w:rsidRDefault="00276C50" w:rsidP="00966694">
            <w:pPr>
              <w:snapToGrid w:val="0"/>
              <w:spacing w:line="360" w:lineRule="auto"/>
              <w:jc w:val="center"/>
              <w:rPr>
                <w:rFonts w:asciiTheme="minorEastAsia" w:eastAsiaTheme="minorEastAsia" w:hAnsiTheme="minorEastAsia" w:cs="Arial Unicode MS"/>
                <w:szCs w:val="21"/>
              </w:rPr>
            </w:pPr>
            <w:r w:rsidRPr="00E97AFD">
              <w:rPr>
                <w:rFonts w:asciiTheme="minorEastAsia" w:eastAsiaTheme="minorEastAsia" w:hAnsiTheme="minorEastAsia" w:hint="eastAsia"/>
                <w:szCs w:val="21"/>
              </w:rPr>
              <w:t>业绩比较基准收益率（3）</w:t>
            </w:r>
          </w:p>
        </w:tc>
        <w:tc>
          <w:tcPr>
            <w:tcW w:w="1338" w:type="dxa"/>
            <w:tcBorders>
              <w:top w:val="single" w:sz="4" w:space="0" w:color="auto"/>
              <w:left w:val="single" w:sz="4" w:space="0" w:color="auto"/>
              <w:bottom w:val="single" w:sz="4" w:space="0" w:color="auto"/>
              <w:right w:val="single" w:sz="4" w:space="0" w:color="auto"/>
            </w:tcBorders>
            <w:vAlign w:val="center"/>
            <w:hideMark/>
          </w:tcPr>
          <w:p w14:paraId="727E17AC" w14:textId="77777777" w:rsidR="00276C50" w:rsidRPr="00E97AFD" w:rsidRDefault="00276C50" w:rsidP="00966694">
            <w:pPr>
              <w:snapToGrid w:val="0"/>
              <w:spacing w:line="360" w:lineRule="auto"/>
              <w:jc w:val="center"/>
              <w:rPr>
                <w:rFonts w:asciiTheme="minorEastAsia" w:eastAsiaTheme="minorEastAsia" w:hAnsiTheme="minorEastAsia" w:cs="Arial Unicode MS"/>
                <w:szCs w:val="21"/>
              </w:rPr>
            </w:pPr>
            <w:r w:rsidRPr="00E97AFD">
              <w:rPr>
                <w:rFonts w:asciiTheme="minorEastAsia" w:eastAsiaTheme="minorEastAsia" w:hAnsiTheme="minorEastAsia" w:hint="eastAsia"/>
                <w:szCs w:val="21"/>
              </w:rPr>
              <w:t>业绩比较基准收益率标准差（4）</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A5F2907" w14:textId="77777777" w:rsidR="00276C50" w:rsidRPr="00E97AFD" w:rsidRDefault="00276C50" w:rsidP="00966694">
            <w:pPr>
              <w:snapToGrid w:val="0"/>
              <w:spacing w:line="360" w:lineRule="auto"/>
              <w:ind w:leftChars="-51" w:left="-107" w:rightChars="-51" w:right="-107"/>
              <w:jc w:val="center"/>
              <w:rPr>
                <w:rFonts w:asciiTheme="minorEastAsia" w:eastAsiaTheme="minorEastAsia" w:hAnsiTheme="minorEastAsia"/>
                <w:szCs w:val="21"/>
              </w:rPr>
            </w:pPr>
            <w:r w:rsidRPr="00E97AFD">
              <w:rPr>
                <w:rFonts w:asciiTheme="minorEastAsia" w:eastAsiaTheme="minorEastAsia" w:hAnsiTheme="minorEastAsia" w:hint="eastAsia"/>
                <w:szCs w:val="21"/>
              </w:rPr>
              <w:t>（1）-（3）</w:t>
            </w:r>
          </w:p>
        </w:tc>
        <w:tc>
          <w:tcPr>
            <w:tcW w:w="1266" w:type="dxa"/>
            <w:tcBorders>
              <w:top w:val="single" w:sz="4" w:space="0" w:color="auto"/>
              <w:left w:val="single" w:sz="4" w:space="0" w:color="auto"/>
              <w:bottom w:val="single" w:sz="4" w:space="0" w:color="auto"/>
              <w:right w:val="single" w:sz="4" w:space="0" w:color="auto"/>
            </w:tcBorders>
            <w:vAlign w:val="center"/>
            <w:hideMark/>
          </w:tcPr>
          <w:p w14:paraId="5FB5E202" w14:textId="77777777" w:rsidR="00276C50" w:rsidRPr="00E97AFD" w:rsidRDefault="00276C50" w:rsidP="00966694">
            <w:pPr>
              <w:snapToGrid w:val="0"/>
              <w:spacing w:line="360" w:lineRule="auto"/>
              <w:ind w:leftChars="-51" w:left="-107"/>
              <w:jc w:val="center"/>
              <w:rPr>
                <w:rFonts w:asciiTheme="minorEastAsia" w:eastAsiaTheme="minorEastAsia" w:hAnsiTheme="minorEastAsia"/>
                <w:szCs w:val="21"/>
              </w:rPr>
            </w:pPr>
            <w:r w:rsidRPr="00E97AFD">
              <w:rPr>
                <w:rFonts w:asciiTheme="minorEastAsia" w:eastAsiaTheme="minorEastAsia" w:hAnsiTheme="minorEastAsia" w:hint="eastAsia"/>
                <w:szCs w:val="21"/>
              </w:rPr>
              <w:t>（2）-（4）</w:t>
            </w:r>
          </w:p>
        </w:tc>
      </w:tr>
      <w:tr w:rsidR="004503EC" w:rsidRPr="00E97AFD" w14:paraId="532BCD19" w14:textId="77777777" w:rsidTr="00276C50">
        <w:trPr>
          <w:trHeight w:val="300"/>
        </w:trPr>
        <w:tc>
          <w:tcPr>
            <w:tcW w:w="1440" w:type="dxa"/>
            <w:tcBorders>
              <w:top w:val="single" w:sz="4" w:space="0" w:color="auto"/>
              <w:left w:val="single" w:sz="4" w:space="0" w:color="auto"/>
              <w:bottom w:val="single" w:sz="4" w:space="0" w:color="auto"/>
              <w:right w:val="single" w:sz="4" w:space="0" w:color="auto"/>
            </w:tcBorders>
            <w:vAlign w:val="center"/>
            <w:hideMark/>
          </w:tcPr>
          <w:p w14:paraId="71E781CC" w14:textId="77777777" w:rsidR="00276C50" w:rsidRPr="00E97AFD" w:rsidRDefault="00F055B9" w:rsidP="00966694">
            <w:pPr>
              <w:snapToGrid w:val="0"/>
              <w:spacing w:line="360" w:lineRule="auto"/>
              <w:ind w:leftChars="-51" w:left="-107" w:rightChars="-51" w:right="-107"/>
              <w:rPr>
                <w:rFonts w:asciiTheme="minorEastAsia" w:eastAsiaTheme="minorEastAsia" w:hAnsiTheme="minorEastAsia" w:cs="Arial Unicode MS"/>
                <w:szCs w:val="21"/>
              </w:rPr>
            </w:pPr>
            <w:r w:rsidRPr="00E97AFD">
              <w:rPr>
                <w:rFonts w:asciiTheme="minorEastAsia" w:eastAsiaTheme="minorEastAsia" w:hAnsiTheme="minorEastAsia" w:hint="eastAsia"/>
                <w:kern w:val="0"/>
                <w:szCs w:val="21"/>
              </w:rPr>
              <w:t>自</w:t>
            </w:r>
            <w:r w:rsidR="00276C50" w:rsidRPr="00E97AFD">
              <w:rPr>
                <w:rFonts w:asciiTheme="minorEastAsia" w:eastAsiaTheme="minorEastAsia" w:hAnsiTheme="minorEastAsia" w:hint="eastAsia"/>
                <w:kern w:val="0"/>
                <w:szCs w:val="21"/>
              </w:rPr>
              <w:t>基金合同生效</w:t>
            </w:r>
            <w:r w:rsidRPr="00E97AFD">
              <w:rPr>
                <w:rFonts w:asciiTheme="minorEastAsia" w:eastAsiaTheme="minorEastAsia" w:hAnsiTheme="minorEastAsia" w:hint="eastAsia"/>
                <w:kern w:val="0"/>
                <w:szCs w:val="21"/>
              </w:rPr>
              <w:t>日</w:t>
            </w:r>
            <w:r w:rsidR="00276C50" w:rsidRPr="00E97AFD">
              <w:rPr>
                <w:rFonts w:asciiTheme="minorEastAsia" w:eastAsiaTheme="minorEastAsia" w:hAnsiTheme="minorEastAsia" w:hint="eastAsia"/>
                <w:kern w:val="0"/>
                <w:szCs w:val="21"/>
              </w:rPr>
              <w:t>至2014年12月31日</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6B61C0" w14:textId="77777777" w:rsidR="00276C50" w:rsidRPr="00E97AFD" w:rsidRDefault="00276C50" w:rsidP="00966694">
            <w:pPr>
              <w:snapToGrid w:val="0"/>
              <w:spacing w:line="360" w:lineRule="auto"/>
              <w:ind w:leftChars="-51" w:left="-107"/>
              <w:jc w:val="right"/>
              <w:rPr>
                <w:rFonts w:asciiTheme="minorEastAsia" w:eastAsiaTheme="minorEastAsia" w:hAnsiTheme="minorEastAsia"/>
                <w:szCs w:val="21"/>
              </w:rPr>
            </w:pPr>
            <w:r w:rsidRPr="00E97AFD">
              <w:rPr>
                <w:rFonts w:asciiTheme="minorEastAsia" w:eastAsiaTheme="minorEastAsia" w:hAnsiTheme="minorEastAsia" w:hint="eastAsia"/>
                <w:szCs w:val="21"/>
              </w:rPr>
              <w:t>2.0809%</w:t>
            </w:r>
          </w:p>
        </w:tc>
        <w:tc>
          <w:tcPr>
            <w:tcW w:w="1079" w:type="dxa"/>
            <w:tcBorders>
              <w:top w:val="single" w:sz="4" w:space="0" w:color="auto"/>
              <w:left w:val="single" w:sz="4" w:space="0" w:color="auto"/>
              <w:bottom w:val="single" w:sz="4" w:space="0" w:color="auto"/>
              <w:right w:val="single" w:sz="4" w:space="0" w:color="auto"/>
            </w:tcBorders>
            <w:vAlign w:val="center"/>
            <w:hideMark/>
          </w:tcPr>
          <w:p w14:paraId="0791D94C" w14:textId="77777777" w:rsidR="00276C50" w:rsidRPr="00E97AFD" w:rsidRDefault="00276C50" w:rsidP="00966694">
            <w:pPr>
              <w:snapToGrid w:val="0"/>
              <w:spacing w:line="360" w:lineRule="auto"/>
              <w:ind w:leftChars="-51" w:left="-107"/>
              <w:jc w:val="right"/>
              <w:rPr>
                <w:rFonts w:asciiTheme="minorEastAsia" w:eastAsiaTheme="minorEastAsia" w:hAnsiTheme="minorEastAsia"/>
                <w:szCs w:val="21"/>
              </w:rPr>
            </w:pPr>
            <w:r w:rsidRPr="00E97AFD">
              <w:rPr>
                <w:rFonts w:asciiTheme="minorEastAsia" w:eastAsiaTheme="minorEastAsia" w:hAnsiTheme="minorEastAsia" w:hint="eastAsia"/>
                <w:szCs w:val="21"/>
              </w:rPr>
              <w:t>0.0023%</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149E439" w14:textId="77777777" w:rsidR="00276C50" w:rsidRPr="00E97AFD" w:rsidRDefault="00276C50" w:rsidP="00966694">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hint="eastAsia"/>
                <w:szCs w:val="21"/>
              </w:rPr>
              <w:t>0.7150%</w:t>
            </w:r>
          </w:p>
        </w:tc>
        <w:tc>
          <w:tcPr>
            <w:tcW w:w="1338" w:type="dxa"/>
            <w:tcBorders>
              <w:top w:val="single" w:sz="4" w:space="0" w:color="auto"/>
              <w:left w:val="single" w:sz="4" w:space="0" w:color="auto"/>
              <w:bottom w:val="single" w:sz="4" w:space="0" w:color="auto"/>
              <w:right w:val="single" w:sz="4" w:space="0" w:color="auto"/>
            </w:tcBorders>
            <w:vAlign w:val="center"/>
            <w:hideMark/>
          </w:tcPr>
          <w:p w14:paraId="0AC5073F" w14:textId="77777777" w:rsidR="00276C50" w:rsidRPr="00E97AFD" w:rsidRDefault="00276C50" w:rsidP="00966694">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hint="eastAsia"/>
                <w:szCs w:val="21"/>
              </w:rPr>
              <w:t>0.0000%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3B3B9A1" w14:textId="77777777" w:rsidR="00276C50" w:rsidRPr="00E97AFD" w:rsidRDefault="00276C50" w:rsidP="00966694">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hint="eastAsia"/>
                <w:szCs w:val="21"/>
              </w:rPr>
              <w:t>1.3659%</w:t>
            </w:r>
          </w:p>
        </w:tc>
        <w:tc>
          <w:tcPr>
            <w:tcW w:w="1266" w:type="dxa"/>
            <w:tcBorders>
              <w:top w:val="single" w:sz="4" w:space="0" w:color="auto"/>
              <w:left w:val="single" w:sz="4" w:space="0" w:color="auto"/>
              <w:bottom w:val="single" w:sz="4" w:space="0" w:color="auto"/>
              <w:right w:val="single" w:sz="4" w:space="0" w:color="auto"/>
            </w:tcBorders>
            <w:vAlign w:val="center"/>
            <w:hideMark/>
          </w:tcPr>
          <w:p w14:paraId="60E52E3D" w14:textId="77777777" w:rsidR="00276C50" w:rsidRPr="00E97AFD" w:rsidRDefault="00276C50" w:rsidP="00966694">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hint="eastAsia"/>
                <w:szCs w:val="21"/>
              </w:rPr>
              <w:t>0.0023%</w:t>
            </w:r>
          </w:p>
        </w:tc>
      </w:tr>
      <w:tr w:rsidR="004503EC" w:rsidRPr="00E97AFD" w14:paraId="0A939DB9" w14:textId="77777777" w:rsidTr="00276C50">
        <w:trPr>
          <w:trHeight w:val="300"/>
        </w:trPr>
        <w:tc>
          <w:tcPr>
            <w:tcW w:w="1440" w:type="dxa"/>
            <w:tcBorders>
              <w:top w:val="single" w:sz="4" w:space="0" w:color="auto"/>
              <w:left w:val="single" w:sz="4" w:space="0" w:color="auto"/>
              <w:bottom w:val="single" w:sz="4" w:space="0" w:color="auto"/>
              <w:right w:val="single" w:sz="4" w:space="0" w:color="auto"/>
            </w:tcBorders>
            <w:vAlign w:val="center"/>
            <w:hideMark/>
          </w:tcPr>
          <w:p w14:paraId="52682A59" w14:textId="77777777" w:rsidR="00C00F5E" w:rsidRPr="00E97AFD" w:rsidRDefault="004449CE" w:rsidP="00966694">
            <w:pPr>
              <w:snapToGrid w:val="0"/>
              <w:spacing w:line="360" w:lineRule="auto"/>
              <w:ind w:leftChars="-51" w:left="-107" w:rightChars="-51" w:right="-107"/>
              <w:rPr>
                <w:rFonts w:asciiTheme="minorEastAsia" w:eastAsiaTheme="minorEastAsia" w:hAnsiTheme="minorEastAsia"/>
                <w:szCs w:val="21"/>
              </w:rPr>
            </w:pPr>
            <w:r w:rsidRPr="00E97AFD">
              <w:rPr>
                <w:rFonts w:asciiTheme="minorEastAsia" w:eastAsiaTheme="minorEastAsia" w:hAnsiTheme="minorEastAsia" w:hint="eastAsia"/>
                <w:szCs w:val="21"/>
              </w:rPr>
              <w:t>2015年1月1日至2015年12月31日</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12D7240" w14:textId="77777777" w:rsidR="004449CE" w:rsidRPr="00E97AFD" w:rsidRDefault="00F55AB1" w:rsidP="00966694">
            <w:pPr>
              <w:snapToGrid w:val="0"/>
              <w:spacing w:line="360" w:lineRule="auto"/>
              <w:ind w:leftChars="-51" w:left="-107"/>
              <w:jc w:val="right"/>
              <w:rPr>
                <w:rFonts w:asciiTheme="minorEastAsia" w:eastAsiaTheme="minorEastAsia" w:hAnsiTheme="minorEastAsia"/>
                <w:szCs w:val="21"/>
              </w:rPr>
            </w:pPr>
            <w:r w:rsidRPr="00E97AFD">
              <w:rPr>
                <w:rFonts w:asciiTheme="minorEastAsia" w:eastAsiaTheme="minorEastAsia" w:hAnsiTheme="minorEastAsia"/>
                <w:szCs w:val="21"/>
              </w:rPr>
              <w:t>3.9002%</w:t>
            </w:r>
          </w:p>
        </w:tc>
        <w:tc>
          <w:tcPr>
            <w:tcW w:w="1079" w:type="dxa"/>
            <w:tcBorders>
              <w:top w:val="single" w:sz="4" w:space="0" w:color="auto"/>
              <w:left w:val="single" w:sz="4" w:space="0" w:color="auto"/>
              <w:bottom w:val="single" w:sz="4" w:space="0" w:color="auto"/>
              <w:right w:val="single" w:sz="4" w:space="0" w:color="auto"/>
            </w:tcBorders>
            <w:vAlign w:val="center"/>
            <w:hideMark/>
          </w:tcPr>
          <w:p w14:paraId="4784B387" w14:textId="77777777" w:rsidR="004449CE" w:rsidRPr="00E97AFD" w:rsidRDefault="00F55AB1" w:rsidP="00966694">
            <w:pPr>
              <w:snapToGrid w:val="0"/>
              <w:spacing w:line="360" w:lineRule="auto"/>
              <w:ind w:leftChars="-51" w:left="-107"/>
              <w:jc w:val="right"/>
              <w:rPr>
                <w:rFonts w:asciiTheme="minorEastAsia" w:eastAsiaTheme="minorEastAsia" w:hAnsiTheme="minorEastAsia"/>
                <w:szCs w:val="21"/>
              </w:rPr>
            </w:pPr>
            <w:r w:rsidRPr="00E97AFD">
              <w:rPr>
                <w:rFonts w:asciiTheme="minorEastAsia" w:eastAsiaTheme="minorEastAsia" w:hAnsiTheme="minorEastAsia"/>
                <w:szCs w:val="21"/>
              </w:rPr>
              <w:t>0.0053%</w:t>
            </w:r>
          </w:p>
        </w:tc>
        <w:tc>
          <w:tcPr>
            <w:tcW w:w="1439" w:type="dxa"/>
            <w:tcBorders>
              <w:top w:val="single" w:sz="4" w:space="0" w:color="auto"/>
              <w:left w:val="single" w:sz="4" w:space="0" w:color="auto"/>
              <w:bottom w:val="single" w:sz="4" w:space="0" w:color="auto"/>
              <w:right w:val="single" w:sz="4" w:space="0" w:color="auto"/>
            </w:tcBorders>
            <w:vAlign w:val="center"/>
            <w:hideMark/>
          </w:tcPr>
          <w:p w14:paraId="48E81750" w14:textId="77777777" w:rsidR="004449CE" w:rsidRPr="00E97AFD" w:rsidRDefault="00F55AB1" w:rsidP="00966694">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1.3781%</w:t>
            </w:r>
          </w:p>
        </w:tc>
        <w:tc>
          <w:tcPr>
            <w:tcW w:w="1338" w:type="dxa"/>
            <w:tcBorders>
              <w:top w:val="single" w:sz="4" w:space="0" w:color="auto"/>
              <w:left w:val="single" w:sz="4" w:space="0" w:color="auto"/>
              <w:bottom w:val="single" w:sz="4" w:space="0" w:color="auto"/>
              <w:right w:val="single" w:sz="4" w:space="0" w:color="auto"/>
            </w:tcBorders>
            <w:vAlign w:val="center"/>
            <w:hideMark/>
          </w:tcPr>
          <w:p w14:paraId="0AD33221" w14:textId="77777777" w:rsidR="004449CE" w:rsidRPr="00E97AFD" w:rsidRDefault="00F55AB1" w:rsidP="00966694">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0.0000%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336DC33" w14:textId="77777777" w:rsidR="004449CE" w:rsidRPr="00E97AFD" w:rsidRDefault="00F55AB1" w:rsidP="00966694">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2.5221%</w:t>
            </w:r>
          </w:p>
        </w:tc>
        <w:tc>
          <w:tcPr>
            <w:tcW w:w="1266" w:type="dxa"/>
            <w:tcBorders>
              <w:top w:val="single" w:sz="4" w:space="0" w:color="auto"/>
              <w:left w:val="single" w:sz="4" w:space="0" w:color="auto"/>
              <w:bottom w:val="single" w:sz="4" w:space="0" w:color="auto"/>
              <w:right w:val="single" w:sz="4" w:space="0" w:color="auto"/>
            </w:tcBorders>
            <w:vAlign w:val="center"/>
            <w:hideMark/>
          </w:tcPr>
          <w:p w14:paraId="4AAA83EB" w14:textId="77777777" w:rsidR="004449CE" w:rsidRPr="00E97AFD" w:rsidRDefault="00F55AB1" w:rsidP="00966694">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0.0053%</w:t>
            </w:r>
          </w:p>
        </w:tc>
      </w:tr>
      <w:tr w:rsidR="004503EC" w:rsidRPr="00E97AFD" w14:paraId="5CCD72B0" w14:textId="77777777" w:rsidTr="00276C50">
        <w:trPr>
          <w:trHeight w:val="300"/>
        </w:trPr>
        <w:tc>
          <w:tcPr>
            <w:tcW w:w="1440" w:type="dxa"/>
            <w:tcBorders>
              <w:top w:val="single" w:sz="4" w:space="0" w:color="auto"/>
              <w:left w:val="single" w:sz="4" w:space="0" w:color="auto"/>
              <w:bottom w:val="single" w:sz="4" w:space="0" w:color="auto"/>
              <w:right w:val="single" w:sz="4" w:space="0" w:color="auto"/>
            </w:tcBorders>
            <w:vAlign w:val="center"/>
            <w:hideMark/>
          </w:tcPr>
          <w:p w14:paraId="5C168365" w14:textId="77777777" w:rsidR="003F1E18" w:rsidRPr="00E97AFD" w:rsidRDefault="003F1E18" w:rsidP="003F1E18">
            <w:pPr>
              <w:snapToGrid w:val="0"/>
              <w:spacing w:line="360" w:lineRule="auto"/>
              <w:ind w:leftChars="-51" w:left="-107" w:rightChars="-51" w:right="-107"/>
              <w:rPr>
                <w:rFonts w:asciiTheme="minorEastAsia" w:eastAsiaTheme="minorEastAsia" w:hAnsiTheme="minorEastAsia"/>
                <w:szCs w:val="21"/>
              </w:rPr>
            </w:pPr>
            <w:r w:rsidRPr="00E97AFD">
              <w:rPr>
                <w:rFonts w:asciiTheme="minorEastAsia" w:eastAsiaTheme="minorEastAsia" w:hAnsiTheme="minorEastAsia" w:hint="eastAsia"/>
                <w:szCs w:val="21"/>
              </w:rPr>
              <w:t>2016年1月1日至2016年</w:t>
            </w:r>
            <w:r w:rsidRPr="00E97AFD">
              <w:rPr>
                <w:rFonts w:asciiTheme="minorEastAsia" w:eastAsiaTheme="minorEastAsia" w:hAnsiTheme="minorEastAsia"/>
                <w:szCs w:val="21"/>
              </w:rPr>
              <w:t>12</w:t>
            </w:r>
            <w:r w:rsidRPr="00E97AFD">
              <w:rPr>
                <w:rFonts w:asciiTheme="minorEastAsia" w:eastAsiaTheme="minorEastAsia" w:hAnsiTheme="minorEastAsia" w:hint="eastAsia"/>
                <w:szCs w:val="21"/>
              </w:rPr>
              <w:t>月</w:t>
            </w:r>
            <w:r w:rsidRPr="00E97AFD">
              <w:rPr>
                <w:rFonts w:asciiTheme="minorEastAsia" w:eastAsiaTheme="minorEastAsia" w:hAnsiTheme="minorEastAsia"/>
                <w:szCs w:val="21"/>
              </w:rPr>
              <w:t>31</w:t>
            </w:r>
            <w:r w:rsidRPr="00E97AFD">
              <w:rPr>
                <w:rFonts w:asciiTheme="minorEastAsia" w:eastAsiaTheme="minorEastAsia" w:hAnsiTheme="minorEastAsia" w:hint="eastAsia"/>
                <w:szCs w:val="21"/>
              </w:rPr>
              <w:t>日</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6BB9494" w14:textId="77777777" w:rsidR="003F1E18" w:rsidRPr="00E97AFD" w:rsidRDefault="003F1E18" w:rsidP="003F1E18">
            <w:pPr>
              <w:snapToGrid w:val="0"/>
              <w:spacing w:line="360" w:lineRule="auto"/>
              <w:ind w:leftChars="-51" w:left="-107"/>
              <w:jc w:val="right"/>
              <w:rPr>
                <w:rFonts w:asciiTheme="minorEastAsia" w:eastAsiaTheme="minorEastAsia" w:hAnsiTheme="minorEastAsia"/>
                <w:szCs w:val="21"/>
              </w:rPr>
            </w:pPr>
            <w:r w:rsidRPr="00E97AFD">
              <w:rPr>
                <w:rFonts w:asciiTheme="minorEastAsia" w:eastAsiaTheme="minorEastAsia" w:hAnsiTheme="minorEastAsia"/>
                <w:szCs w:val="21"/>
              </w:rPr>
              <w:t>2.7924%</w:t>
            </w:r>
          </w:p>
        </w:tc>
        <w:tc>
          <w:tcPr>
            <w:tcW w:w="1079" w:type="dxa"/>
            <w:tcBorders>
              <w:top w:val="single" w:sz="4" w:space="0" w:color="auto"/>
              <w:left w:val="single" w:sz="4" w:space="0" w:color="auto"/>
              <w:bottom w:val="single" w:sz="4" w:space="0" w:color="auto"/>
              <w:right w:val="single" w:sz="4" w:space="0" w:color="auto"/>
            </w:tcBorders>
            <w:vAlign w:val="center"/>
            <w:hideMark/>
          </w:tcPr>
          <w:p w14:paraId="453FD844" w14:textId="77777777" w:rsidR="003F1E18" w:rsidRPr="00E97AFD" w:rsidRDefault="003F1E18" w:rsidP="003F1E18">
            <w:pPr>
              <w:snapToGrid w:val="0"/>
              <w:spacing w:line="360" w:lineRule="auto"/>
              <w:ind w:leftChars="-51" w:left="-107"/>
              <w:jc w:val="right"/>
              <w:rPr>
                <w:rFonts w:asciiTheme="minorEastAsia" w:eastAsiaTheme="minorEastAsia" w:hAnsiTheme="minorEastAsia"/>
                <w:szCs w:val="21"/>
              </w:rPr>
            </w:pPr>
            <w:r w:rsidRPr="00E97AFD">
              <w:rPr>
                <w:rFonts w:asciiTheme="minorEastAsia" w:eastAsiaTheme="minorEastAsia" w:hAnsiTheme="minorEastAsia"/>
                <w:szCs w:val="21"/>
              </w:rPr>
              <w:t>0.0029%</w:t>
            </w:r>
          </w:p>
        </w:tc>
        <w:tc>
          <w:tcPr>
            <w:tcW w:w="1439" w:type="dxa"/>
            <w:tcBorders>
              <w:top w:val="single" w:sz="4" w:space="0" w:color="auto"/>
              <w:left w:val="single" w:sz="4" w:space="0" w:color="auto"/>
              <w:bottom w:val="single" w:sz="4" w:space="0" w:color="auto"/>
              <w:right w:val="single" w:sz="4" w:space="0" w:color="auto"/>
            </w:tcBorders>
            <w:vAlign w:val="center"/>
            <w:hideMark/>
          </w:tcPr>
          <w:p w14:paraId="3D589520" w14:textId="77777777" w:rsidR="003F1E18" w:rsidRPr="00E97AFD" w:rsidRDefault="003F1E18" w:rsidP="003F1E18">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1.3819%</w:t>
            </w:r>
          </w:p>
        </w:tc>
        <w:tc>
          <w:tcPr>
            <w:tcW w:w="1338" w:type="dxa"/>
            <w:tcBorders>
              <w:top w:val="single" w:sz="4" w:space="0" w:color="auto"/>
              <w:left w:val="single" w:sz="4" w:space="0" w:color="auto"/>
              <w:bottom w:val="single" w:sz="4" w:space="0" w:color="auto"/>
              <w:right w:val="single" w:sz="4" w:space="0" w:color="auto"/>
            </w:tcBorders>
            <w:vAlign w:val="center"/>
            <w:hideMark/>
          </w:tcPr>
          <w:p w14:paraId="0A5DC019" w14:textId="77777777" w:rsidR="003F1E18" w:rsidRPr="00E97AFD" w:rsidRDefault="003F1E18" w:rsidP="003F1E18">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0.0000%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99F3FE5" w14:textId="77777777" w:rsidR="003F1E18" w:rsidRPr="00E97AFD" w:rsidRDefault="003F1E18" w:rsidP="003F1E18">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1.4105%</w:t>
            </w:r>
          </w:p>
        </w:tc>
        <w:tc>
          <w:tcPr>
            <w:tcW w:w="1266" w:type="dxa"/>
            <w:tcBorders>
              <w:top w:val="single" w:sz="4" w:space="0" w:color="auto"/>
              <w:left w:val="single" w:sz="4" w:space="0" w:color="auto"/>
              <w:bottom w:val="single" w:sz="4" w:space="0" w:color="auto"/>
              <w:right w:val="single" w:sz="4" w:space="0" w:color="auto"/>
            </w:tcBorders>
            <w:vAlign w:val="center"/>
            <w:hideMark/>
          </w:tcPr>
          <w:p w14:paraId="7D631299" w14:textId="77777777" w:rsidR="003F1E18" w:rsidRPr="00E97AFD" w:rsidRDefault="003F1E18" w:rsidP="003F1E18">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0.0029%</w:t>
            </w:r>
          </w:p>
        </w:tc>
      </w:tr>
      <w:tr w:rsidR="004503EC" w:rsidRPr="00E97AFD" w14:paraId="76985481" w14:textId="77777777" w:rsidTr="00276C50">
        <w:trPr>
          <w:trHeight w:val="300"/>
        </w:trPr>
        <w:tc>
          <w:tcPr>
            <w:tcW w:w="1440" w:type="dxa"/>
            <w:tcBorders>
              <w:top w:val="single" w:sz="4" w:space="0" w:color="auto"/>
              <w:left w:val="single" w:sz="4" w:space="0" w:color="auto"/>
              <w:bottom w:val="single" w:sz="4" w:space="0" w:color="auto"/>
              <w:right w:val="single" w:sz="4" w:space="0" w:color="auto"/>
            </w:tcBorders>
            <w:vAlign w:val="center"/>
          </w:tcPr>
          <w:p w14:paraId="50B5B48F" w14:textId="77777777" w:rsidR="00164ED4" w:rsidRPr="00E97AFD" w:rsidRDefault="00164ED4" w:rsidP="00164ED4">
            <w:pPr>
              <w:snapToGrid w:val="0"/>
              <w:spacing w:line="360" w:lineRule="auto"/>
              <w:ind w:leftChars="-51" w:left="-107" w:rightChars="-51" w:right="-107"/>
              <w:rPr>
                <w:rFonts w:asciiTheme="minorEastAsia" w:eastAsiaTheme="minorEastAsia" w:hAnsiTheme="minorEastAsia"/>
                <w:szCs w:val="21"/>
              </w:rPr>
            </w:pPr>
            <w:r w:rsidRPr="00E97AFD">
              <w:rPr>
                <w:rFonts w:asciiTheme="minorEastAsia" w:eastAsiaTheme="minorEastAsia" w:hAnsiTheme="minorEastAsia" w:hint="eastAsia"/>
                <w:szCs w:val="21"/>
              </w:rPr>
              <w:t>201</w:t>
            </w:r>
            <w:r w:rsidRPr="00E97AFD">
              <w:rPr>
                <w:rFonts w:asciiTheme="minorEastAsia" w:eastAsiaTheme="minorEastAsia" w:hAnsiTheme="minorEastAsia"/>
                <w:szCs w:val="21"/>
              </w:rPr>
              <w:t>7</w:t>
            </w:r>
            <w:r w:rsidRPr="00E97AFD">
              <w:rPr>
                <w:rFonts w:asciiTheme="minorEastAsia" w:eastAsiaTheme="minorEastAsia" w:hAnsiTheme="minorEastAsia" w:hint="eastAsia"/>
                <w:szCs w:val="21"/>
              </w:rPr>
              <w:t>年1月1日至</w:t>
            </w:r>
            <w:r w:rsidRPr="00E97AFD">
              <w:rPr>
                <w:rFonts w:asciiTheme="minorEastAsia" w:eastAsiaTheme="minorEastAsia" w:hAnsiTheme="minorEastAsia"/>
                <w:szCs w:val="21"/>
              </w:rPr>
              <w:t>2017年12月31日</w:t>
            </w:r>
          </w:p>
        </w:tc>
        <w:tc>
          <w:tcPr>
            <w:tcW w:w="1080" w:type="dxa"/>
            <w:tcBorders>
              <w:top w:val="single" w:sz="4" w:space="0" w:color="auto"/>
              <w:left w:val="single" w:sz="4" w:space="0" w:color="auto"/>
              <w:bottom w:val="single" w:sz="4" w:space="0" w:color="auto"/>
              <w:right w:val="single" w:sz="4" w:space="0" w:color="auto"/>
            </w:tcBorders>
            <w:vAlign w:val="center"/>
          </w:tcPr>
          <w:p w14:paraId="65DCBDFE" w14:textId="77777777" w:rsidR="00164ED4" w:rsidRPr="00E97AFD" w:rsidRDefault="00164ED4" w:rsidP="00164ED4">
            <w:pPr>
              <w:snapToGrid w:val="0"/>
              <w:spacing w:line="360" w:lineRule="auto"/>
              <w:ind w:leftChars="-51" w:left="-107"/>
              <w:jc w:val="right"/>
              <w:rPr>
                <w:rFonts w:asciiTheme="minorEastAsia" w:eastAsiaTheme="minorEastAsia" w:hAnsiTheme="minorEastAsia"/>
                <w:szCs w:val="21"/>
              </w:rPr>
            </w:pPr>
            <w:r w:rsidRPr="00E97AFD">
              <w:rPr>
                <w:rFonts w:asciiTheme="minorEastAsia" w:eastAsiaTheme="minorEastAsia" w:hAnsiTheme="minorEastAsia"/>
                <w:szCs w:val="21"/>
              </w:rPr>
              <w:t>3.9934%</w:t>
            </w:r>
          </w:p>
        </w:tc>
        <w:tc>
          <w:tcPr>
            <w:tcW w:w="1079" w:type="dxa"/>
            <w:tcBorders>
              <w:top w:val="single" w:sz="4" w:space="0" w:color="auto"/>
              <w:left w:val="single" w:sz="4" w:space="0" w:color="auto"/>
              <w:bottom w:val="single" w:sz="4" w:space="0" w:color="auto"/>
              <w:right w:val="single" w:sz="4" w:space="0" w:color="auto"/>
            </w:tcBorders>
            <w:vAlign w:val="center"/>
          </w:tcPr>
          <w:p w14:paraId="6071B6A0" w14:textId="77777777" w:rsidR="00164ED4" w:rsidRPr="00E97AFD" w:rsidRDefault="00164ED4" w:rsidP="00164ED4">
            <w:pPr>
              <w:snapToGrid w:val="0"/>
              <w:spacing w:line="360" w:lineRule="auto"/>
              <w:ind w:leftChars="-51" w:left="-107"/>
              <w:jc w:val="right"/>
              <w:rPr>
                <w:rFonts w:asciiTheme="minorEastAsia" w:eastAsiaTheme="minorEastAsia" w:hAnsiTheme="minorEastAsia"/>
                <w:szCs w:val="21"/>
              </w:rPr>
            </w:pPr>
            <w:r w:rsidRPr="00E97AFD">
              <w:rPr>
                <w:rFonts w:asciiTheme="minorEastAsia" w:eastAsiaTheme="minorEastAsia" w:hAnsiTheme="minorEastAsia"/>
                <w:szCs w:val="21"/>
              </w:rPr>
              <w:t>0.0010%</w:t>
            </w:r>
          </w:p>
        </w:tc>
        <w:tc>
          <w:tcPr>
            <w:tcW w:w="1439" w:type="dxa"/>
            <w:tcBorders>
              <w:top w:val="single" w:sz="4" w:space="0" w:color="auto"/>
              <w:left w:val="single" w:sz="4" w:space="0" w:color="auto"/>
              <w:bottom w:val="single" w:sz="4" w:space="0" w:color="auto"/>
              <w:right w:val="single" w:sz="4" w:space="0" w:color="auto"/>
            </w:tcBorders>
            <w:vAlign w:val="center"/>
          </w:tcPr>
          <w:p w14:paraId="057813E9" w14:textId="77777777" w:rsidR="00164ED4" w:rsidRPr="00E97AFD" w:rsidRDefault="00164ED4" w:rsidP="00164ED4">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1.3781%</w:t>
            </w:r>
          </w:p>
        </w:tc>
        <w:tc>
          <w:tcPr>
            <w:tcW w:w="1338" w:type="dxa"/>
            <w:tcBorders>
              <w:top w:val="single" w:sz="4" w:space="0" w:color="auto"/>
              <w:left w:val="single" w:sz="4" w:space="0" w:color="auto"/>
              <w:bottom w:val="single" w:sz="4" w:space="0" w:color="auto"/>
              <w:right w:val="single" w:sz="4" w:space="0" w:color="auto"/>
            </w:tcBorders>
            <w:vAlign w:val="center"/>
          </w:tcPr>
          <w:p w14:paraId="6AA087D1" w14:textId="77777777" w:rsidR="00164ED4" w:rsidRPr="00E97AFD" w:rsidRDefault="00164ED4" w:rsidP="00164ED4">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0.0000%</w:t>
            </w:r>
          </w:p>
        </w:tc>
        <w:tc>
          <w:tcPr>
            <w:tcW w:w="1133" w:type="dxa"/>
            <w:tcBorders>
              <w:top w:val="single" w:sz="4" w:space="0" w:color="auto"/>
              <w:left w:val="single" w:sz="4" w:space="0" w:color="auto"/>
              <w:bottom w:val="single" w:sz="4" w:space="0" w:color="auto"/>
              <w:right w:val="single" w:sz="4" w:space="0" w:color="auto"/>
            </w:tcBorders>
            <w:vAlign w:val="center"/>
          </w:tcPr>
          <w:p w14:paraId="2B874348" w14:textId="77777777" w:rsidR="00164ED4" w:rsidRPr="00E97AFD" w:rsidRDefault="00164ED4" w:rsidP="00164ED4">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2.6153%</w:t>
            </w:r>
          </w:p>
        </w:tc>
        <w:tc>
          <w:tcPr>
            <w:tcW w:w="1266" w:type="dxa"/>
            <w:tcBorders>
              <w:top w:val="single" w:sz="4" w:space="0" w:color="auto"/>
              <w:left w:val="single" w:sz="4" w:space="0" w:color="auto"/>
              <w:bottom w:val="single" w:sz="4" w:space="0" w:color="auto"/>
              <w:right w:val="single" w:sz="4" w:space="0" w:color="auto"/>
            </w:tcBorders>
            <w:vAlign w:val="center"/>
          </w:tcPr>
          <w:p w14:paraId="7F2CD946" w14:textId="77777777" w:rsidR="00164ED4" w:rsidRPr="00E97AFD" w:rsidRDefault="00164ED4" w:rsidP="00164ED4">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0.0010%</w:t>
            </w:r>
          </w:p>
        </w:tc>
      </w:tr>
      <w:tr w:rsidR="004503EC" w:rsidRPr="00E97AFD" w14:paraId="4B4A4C25" w14:textId="77777777" w:rsidTr="00276C50">
        <w:trPr>
          <w:trHeight w:val="300"/>
        </w:trPr>
        <w:tc>
          <w:tcPr>
            <w:tcW w:w="1440" w:type="dxa"/>
            <w:tcBorders>
              <w:top w:val="single" w:sz="4" w:space="0" w:color="auto"/>
              <w:left w:val="single" w:sz="4" w:space="0" w:color="auto"/>
              <w:bottom w:val="single" w:sz="4" w:space="0" w:color="auto"/>
              <w:right w:val="single" w:sz="4" w:space="0" w:color="auto"/>
            </w:tcBorders>
            <w:vAlign w:val="center"/>
          </w:tcPr>
          <w:p w14:paraId="4CEEBF4A" w14:textId="77777777" w:rsidR="00DA26A3" w:rsidRPr="00E97AFD" w:rsidRDefault="00DA26A3" w:rsidP="00DA26A3">
            <w:pPr>
              <w:snapToGrid w:val="0"/>
              <w:spacing w:line="360" w:lineRule="auto"/>
              <w:ind w:leftChars="-51" w:left="-107" w:rightChars="-51" w:right="-107"/>
              <w:rPr>
                <w:rFonts w:asciiTheme="minorEastAsia" w:eastAsiaTheme="minorEastAsia" w:hAnsiTheme="minorEastAsia"/>
                <w:szCs w:val="21"/>
              </w:rPr>
            </w:pPr>
            <w:r w:rsidRPr="00E97AFD">
              <w:rPr>
                <w:rFonts w:asciiTheme="minorEastAsia" w:eastAsiaTheme="minorEastAsia" w:hAnsiTheme="minorEastAsia" w:hint="eastAsia"/>
                <w:szCs w:val="21"/>
              </w:rPr>
              <w:t>2018年1月1日至</w:t>
            </w:r>
            <w:r w:rsidRPr="00E97AFD">
              <w:rPr>
                <w:rFonts w:asciiTheme="minorEastAsia" w:eastAsiaTheme="minorEastAsia" w:hAnsiTheme="minorEastAsia"/>
                <w:szCs w:val="21"/>
              </w:rPr>
              <w:t>2018年12月31日</w:t>
            </w:r>
          </w:p>
        </w:tc>
        <w:tc>
          <w:tcPr>
            <w:tcW w:w="1080" w:type="dxa"/>
            <w:tcBorders>
              <w:top w:val="single" w:sz="4" w:space="0" w:color="auto"/>
              <w:left w:val="single" w:sz="4" w:space="0" w:color="auto"/>
              <w:bottom w:val="single" w:sz="4" w:space="0" w:color="auto"/>
              <w:right w:val="single" w:sz="4" w:space="0" w:color="auto"/>
            </w:tcBorders>
            <w:vAlign w:val="center"/>
          </w:tcPr>
          <w:p w14:paraId="7E2D5F68" w14:textId="77777777" w:rsidR="00DA26A3" w:rsidRPr="00E97AFD" w:rsidRDefault="00DA26A3" w:rsidP="00DA26A3">
            <w:pPr>
              <w:snapToGrid w:val="0"/>
              <w:spacing w:line="360" w:lineRule="auto"/>
              <w:ind w:leftChars="-51" w:left="-107"/>
              <w:jc w:val="right"/>
              <w:rPr>
                <w:rFonts w:asciiTheme="minorEastAsia" w:eastAsiaTheme="minorEastAsia" w:hAnsiTheme="minorEastAsia"/>
                <w:szCs w:val="21"/>
              </w:rPr>
            </w:pPr>
            <w:r w:rsidRPr="00E97AFD">
              <w:rPr>
                <w:rFonts w:asciiTheme="minorEastAsia" w:eastAsiaTheme="minorEastAsia" w:hAnsiTheme="minorEastAsia"/>
                <w:szCs w:val="21"/>
              </w:rPr>
              <w:t>3.7717%</w:t>
            </w:r>
          </w:p>
        </w:tc>
        <w:tc>
          <w:tcPr>
            <w:tcW w:w="1079" w:type="dxa"/>
            <w:tcBorders>
              <w:top w:val="single" w:sz="4" w:space="0" w:color="auto"/>
              <w:left w:val="single" w:sz="4" w:space="0" w:color="auto"/>
              <w:bottom w:val="single" w:sz="4" w:space="0" w:color="auto"/>
              <w:right w:val="single" w:sz="4" w:space="0" w:color="auto"/>
            </w:tcBorders>
            <w:vAlign w:val="center"/>
          </w:tcPr>
          <w:p w14:paraId="2DB21DB5" w14:textId="77777777" w:rsidR="00DA26A3" w:rsidRPr="00E97AFD" w:rsidRDefault="00DA26A3" w:rsidP="00DA26A3">
            <w:pPr>
              <w:snapToGrid w:val="0"/>
              <w:spacing w:line="360" w:lineRule="auto"/>
              <w:ind w:leftChars="-51" w:left="-107"/>
              <w:jc w:val="right"/>
              <w:rPr>
                <w:rFonts w:asciiTheme="minorEastAsia" w:eastAsiaTheme="minorEastAsia" w:hAnsiTheme="minorEastAsia"/>
                <w:szCs w:val="21"/>
              </w:rPr>
            </w:pPr>
            <w:r w:rsidRPr="00E97AFD">
              <w:rPr>
                <w:rFonts w:asciiTheme="minorEastAsia" w:eastAsiaTheme="minorEastAsia" w:hAnsiTheme="minorEastAsia"/>
                <w:szCs w:val="21"/>
              </w:rPr>
              <w:t>0.0017%</w:t>
            </w:r>
          </w:p>
        </w:tc>
        <w:tc>
          <w:tcPr>
            <w:tcW w:w="1439" w:type="dxa"/>
            <w:tcBorders>
              <w:top w:val="single" w:sz="4" w:space="0" w:color="auto"/>
              <w:left w:val="single" w:sz="4" w:space="0" w:color="auto"/>
              <w:bottom w:val="single" w:sz="4" w:space="0" w:color="auto"/>
              <w:right w:val="single" w:sz="4" w:space="0" w:color="auto"/>
            </w:tcBorders>
            <w:vAlign w:val="center"/>
          </w:tcPr>
          <w:p w14:paraId="252A6539" w14:textId="77777777" w:rsidR="00DA26A3" w:rsidRPr="00E97AFD" w:rsidRDefault="00DA26A3" w:rsidP="00DA26A3">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1.3781%</w:t>
            </w:r>
          </w:p>
        </w:tc>
        <w:tc>
          <w:tcPr>
            <w:tcW w:w="1338" w:type="dxa"/>
            <w:tcBorders>
              <w:top w:val="single" w:sz="4" w:space="0" w:color="auto"/>
              <w:left w:val="single" w:sz="4" w:space="0" w:color="auto"/>
              <w:bottom w:val="single" w:sz="4" w:space="0" w:color="auto"/>
              <w:right w:val="single" w:sz="4" w:space="0" w:color="auto"/>
            </w:tcBorders>
            <w:vAlign w:val="center"/>
          </w:tcPr>
          <w:p w14:paraId="667A0596" w14:textId="77777777" w:rsidR="00DA26A3" w:rsidRPr="00E97AFD" w:rsidRDefault="00DA26A3" w:rsidP="00DA26A3">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0.0000%</w:t>
            </w:r>
          </w:p>
        </w:tc>
        <w:tc>
          <w:tcPr>
            <w:tcW w:w="1133" w:type="dxa"/>
            <w:tcBorders>
              <w:top w:val="single" w:sz="4" w:space="0" w:color="auto"/>
              <w:left w:val="single" w:sz="4" w:space="0" w:color="auto"/>
              <w:bottom w:val="single" w:sz="4" w:space="0" w:color="auto"/>
              <w:right w:val="single" w:sz="4" w:space="0" w:color="auto"/>
            </w:tcBorders>
            <w:vAlign w:val="center"/>
          </w:tcPr>
          <w:p w14:paraId="72352913" w14:textId="77777777" w:rsidR="00DA26A3" w:rsidRPr="00E97AFD" w:rsidRDefault="00DA26A3" w:rsidP="00DA26A3">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2.3936%</w:t>
            </w:r>
          </w:p>
        </w:tc>
        <w:tc>
          <w:tcPr>
            <w:tcW w:w="1266" w:type="dxa"/>
            <w:tcBorders>
              <w:top w:val="single" w:sz="4" w:space="0" w:color="auto"/>
              <w:left w:val="single" w:sz="4" w:space="0" w:color="auto"/>
              <w:bottom w:val="single" w:sz="4" w:space="0" w:color="auto"/>
              <w:right w:val="single" w:sz="4" w:space="0" w:color="auto"/>
            </w:tcBorders>
            <w:vAlign w:val="center"/>
          </w:tcPr>
          <w:p w14:paraId="7C75B915" w14:textId="77777777" w:rsidR="00DA26A3" w:rsidRPr="00E97AFD" w:rsidRDefault="00DA26A3" w:rsidP="00DA26A3">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0.0017%</w:t>
            </w:r>
          </w:p>
        </w:tc>
      </w:tr>
      <w:tr w:rsidR="004503EC" w:rsidRPr="00E97AFD" w14:paraId="3A9B7B6A" w14:textId="77777777" w:rsidTr="00BC31FD">
        <w:trPr>
          <w:trHeight w:val="300"/>
        </w:trPr>
        <w:tc>
          <w:tcPr>
            <w:tcW w:w="1440" w:type="dxa"/>
            <w:tcBorders>
              <w:top w:val="single" w:sz="4" w:space="0" w:color="auto"/>
              <w:left w:val="single" w:sz="4" w:space="0" w:color="auto"/>
              <w:bottom w:val="single" w:sz="4" w:space="0" w:color="auto"/>
              <w:right w:val="single" w:sz="4" w:space="0" w:color="auto"/>
            </w:tcBorders>
            <w:vAlign w:val="center"/>
          </w:tcPr>
          <w:p w14:paraId="2582DF7B" w14:textId="7914CA64" w:rsidR="00BF1A03" w:rsidRPr="00E97AFD" w:rsidRDefault="0027563B" w:rsidP="00BF1A03">
            <w:pPr>
              <w:snapToGrid w:val="0"/>
              <w:spacing w:line="360" w:lineRule="auto"/>
              <w:ind w:leftChars="-51" w:left="-107" w:rightChars="-51" w:right="-107"/>
              <w:rPr>
                <w:rFonts w:asciiTheme="minorEastAsia" w:eastAsiaTheme="minorEastAsia" w:hAnsiTheme="minorEastAsia"/>
                <w:kern w:val="0"/>
                <w:szCs w:val="21"/>
              </w:rPr>
            </w:pPr>
            <w:r w:rsidRPr="00E97AFD">
              <w:rPr>
                <w:rFonts w:asciiTheme="minorEastAsia" w:eastAsiaTheme="minorEastAsia" w:hAnsiTheme="minorEastAsia"/>
                <w:kern w:val="0"/>
                <w:szCs w:val="21"/>
              </w:rPr>
              <w:t>2019年1月1日至2019年12月31日</w:t>
            </w:r>
          </w:p>
        </w:tc>
        <w:tc>
          <w:tcPr>
            <w:tcW w:w="1080" w:type="dxa"/>
            <w:tcBorders>
              <w:top w:val="single" w:sz="4" w:space="0" w:color="auto"/>
              <w:left w:val="single" w:sz="4" w:space="0" w:color="auto"/>
              <w:bottom w:val="single" w:sz="4" w:space="0" w:color="auto"/>
              <w:right w:val="single" w:sz="4" w:space="0" w:color="auto"/>
            </w:tcBorders>
            <w:vAlign w:val="center"/>
          </w:tcPr>
          <w:p w14:paraId="28C42636" w14:textId="2DA549EE" w:rsidR="00BF1A03" w:rsidRPr="00E97AFD" w:rsidRDefault="0027563B" w:rsidP="0027563B">
            <w:pPr>
              <w:snapToGrid w:val="0"/>
              <w:spacing w:line="360" w:lineRule="auto"/>
              <w:ind w:leftChars="-51" w:left="-107"/>
              <w:jc w:val="right"/>
              <w:rPr>
                <w:rFonts w:asciiTheme="minorEastAsia" w:eastAsiaTheme="minorEastAsia" w:hAnsiTheme="minorEastAsia"/>
                <w:szCs w:val="21"/>
              </w:rPr>
            </w:pPr>
            <w:r w:rsidRPr="00E97AFD">
              <w:rPr>
                <w:rFonts w:asciiTheme="minorEastAsia" w:eastAsiaTheme="minorEastAsia" w:hAnsiTheme="minorEastAsia"/>
                <w:szCs w:val="21"/>
              </w:rPr>
              <w:t>2.3784%</w:t>
            </w:r>
          </w:p>
        </w:tc>
        <w:tc>
          <w:tcPr>
            <w:tcW w:w="1079" w:type="dxa"/>
            <w:tcBorders>
              <w:top w:val="single" w:sz="4" w:space="0" w:color="auto"/>
              <w:left w:val="single" w:sz="4" w:space="0" w:color="auto"/>
              <w:bottom w:val="single" w:sz="4" w:space="0" w:color="auto"/>
              <w:right w:val="single" w:sz="4" w:space="0" w:color="auto"/>
            </w:tcBorders>
            <w:vAlign w:val="center"/>
          </w:tcPr>
          <w:p w14:paraId="07FAA5C2" w14:textId="3911F3B9" w:rsidR="00BF1A03" w:rsidRPr="00E97AFD" w:rsidRDefault="0027563B" w:rsidP="0027563B">
            <w:pPr>
              <w:snapToGrid w:val="0"/>
              <w:spacing w:line="360" w:lineRule="auto"/>
              <w:ind w:leftChars="-51" w:left="-107"/>
              <w:jc w:val="right"/>
              <w:rPr>
                <w:rFonts w:asciiTheme="minorEastAsia" w:eastAsiaTheme="minorEastAsia" w:hAnsiTheme="minorEastAsia"/>
                <w:szCs w:val="21"/>
              </w:rPr>
            </w:pPr>
            <w:r w:rsidRPr="00E97AFD">
              <w:rPr>
                <w:rFonts w:asciiTheme="minorEastAsia" w:eastAsiaTheme="minorEastAsia" w:hAnsiTheme="minorEastAsia"/>
                <w:szCs w:val="21"/>
              </w:rPr>
              <w:t>0.0013%</w:t>
            </w:r>
          </w:p>
        </w:tc>
        <w:tc>
          <w:tcPr>
            <w:tcW w:w="1439" w:type="dxa"/>
            <w:tcBorders>
              <w:top w:val="single" w:sz="4" w:space="0" w:color="auto"/>
              <w:left w:val="single" w:sz="4" w:space="0" w:color="auto"/>
              <w:bottom w:val="single" w:sz="4" w:space="0" w:color="auto"/>
              <w:right w:val="single" w:sz="4" w:space="0" w:color="auto"/>
            </w:tcBorders>
            <w:vAlign w:val="center"/>
          </w:tcPr>
          <w:p w14:paraId="35B5C989" w14:textId="00BFC5E5" w:rsidR="00BF1A03" w:rsidRPr="00E97AFD" w:rsidRDefault="0027563B" w:rsidP="0027563B">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1.3781%</w:t>
            </w:r>
          </w:p>
        </w:tc>
        <w:tc>
          <w:tcPr>
            <w:tcW w:w="1338" w:type="dxa"/>
            <w:tcBorders>
              <w:top w:val="single" w:sz="4" w:space="0" w:color="auto"/>
              <w:left w:val="single" w:sz="4" w:space="0" w:color="auto"/>
              <w:bottom w:val="single" w:sz="4" w:space="0" w:color="auto"/>
              <w:right w:val="single" w:sz="4" w:space="0" w:color="auto"/>
            </w:tcBorders>
            <w:vAlign w:val="center"/>
          </w:tcPr>
          <w:p w14:paraId="1A01603E" w14:textId="581792D2" w:rsidR="00BF1A03" w:rsidRPr="00E97AFD" w:rsidRDefault="0027563B">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0.0000%</w:t>
            </w:r>
          </w:p>
        </w:tc>
        <w:tc>
          <w:tcPr>
            <w:tcW w:w="1133" w:type="dxa"/>
            <w:tcBorders>
              <w:top w:val="single" w:sz="4" w:space="0" w:color="auto"/>
              <w:left w:val="single" w:sz="4" w:space="0" w:color="auto"/>
              <w:bottom w:val="single" w:sz="4" w:space="0" w:color="auto"/>
              <w:right w:val="single" w:sz="4" w:space="0" w:color="auto"/>
            </w:tcBorders>
            <w:vAlign w:val="center"/>
          </w:tcPr>
          <w:p w14:paraId="41D5EB56" w14:textId="1B6857B6" w:rsidR="00BF1A03" w:rsidRPr="00E97AFD" w:rsidRDefault="0027563B">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1.0003%</w:t>
            </w:r>
          </w:p>
        </w:tc>
        <w:tc>
          <w:tcPr>
            <w:tcW w:w="1266" w:type="dxa"/>
            <w:tcBorders>
              <w:top w:val="single" w:sz="4" w:space="0" w:color="auto"/>
              <w:left w:val="single" w:sz="4" w:space="0" w:color="auto"/>
              <w:bottom w:val="single" w:sz="4" w:space="0" w:color="auto"/>
              <w:right w:val="single" w:sz="4" w:space="0" w:color="auto"/>
            </w:tcBorders>
            <w:vAlign w:val="center"/>
          </w:tcPr>
          <w:p w14:paraId="46B220A7" w14:textId="0CF9A2C2" w:rsidR="00BF1A03" w:rsidRPr="00E97AFD" w:rsidRDefault="0027563B">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0.0013%</w:t>
            </w:r>
          </w:p>
        </w:tc>
      </w:tr>
      <w:tr w:rsidR="0027563B" w:rsidRPr="00E97AFD" w14:paraId="185F2B9B" w14:textId="77777777" w:rsidTr="00BC31FD">
        <w:trPr>
          <w:trHeight w:val="300"/>
        </w:trPr>
        <w:tc>
          <w:tcPr>
            <w:tcW w:w="1440" w:type="dxa"/>
            <w:tcBorders>
              <w:top w:val="single" w:sz="4" w:space="0" w:color="auto"/>
              <w:left w:val="single" w:sz="4" w:space="0" w:color="auto"/>
              <w:bottom w:val="single" w:sz="4" w:space="0" w:color="auto"/>
              <w:right w:val="single" w:sz="4" w:space="0" w:color="auto"/>
            </w:tcBorders>
            <w:vAlign w:val="center"/>
          </w:tcPr>
          <w:p w14:paraId="534CC99F" w14:textId="4627695A" w:rsidR="0027563B" w:rsidRPr="00E97AFD" w:rsidRDefault="0027563B" w:rsidP="00BF1A03">
            <w:pPr>
              <w:snapToGrid w:val="0"/>
              <w:spacing w:line="360" w:lineRule="auto"/>
              <w:ind w:leftChars="-51" w:left="-107" w:rightChars="-51" w:right="-107"/>
              <w:rPr>
                <w:rFonts w:asciiTheme="minorEastAsia" w:eastAsiaTheme="minorEastAsia" w:hAnsiTheme="minorEastAsia"/>
                <w:kern w:val="0"/>
                <w:szCs w:val="21"/>
              </w:rPr>
            </w:pPr>
            <w:r w:rsidRPr="00E97AFD">
              <w:rPr>
                <w:rFonts w:asciiTheme="minorEastAsia" w:eastAsiaTheme="minorEastAsia" w:hAnsiTheme="minorEastAsia" w:hint="eastAsia"/>
                <w:kern w:val="0"/>
                <w:szCs w:val="21"/>
              </w:rPr>
              <w:t>自基金合同生效日至</w:t>
            </w:r>
            <w:r w:rsidRPr="00E97AFD">
              <w:rPr>
                <w:rFonts w:asciiTheme="minorEastAsia" w:eastAsiaTheme="minorEastAsia" w:hAnsiTheme="minorEastAsia"/>
                <w:kern w:val="0"/>
                <w:szCs w:val="21"/>
              </w:rPr>
              <w:t>2019年12月31日</w:t>
            </w:r>
          </w:p>
        </w:tc>
        <w:tc>
          <w:tcPr>
            <w:tcW w:w="1080" w:type="dxa"/>
            <w:tcBorders>
              <w:top w:val="single" w:sz="4" w:space="0" w:color="auto"/>
              <w:left w:val="single" w:sz="4" w:space="0" w:color="auto"/>
              <w:bottom w:val="single" w:sz="4" w:space="0" w:color="auto"/>
              <w:right w:val="single" w:sz="4" w:space="0" w:color="auto"/>
            </w:tcBorders>
            <w:vAlign w:val="center"/>
          </w:tcPr>
          <w:p w14:paraId="43DFB66C" w14:textId="70B61BA6" w:rsidR="0027563B" w:rsidRPr="00E97AFD" w:rsidRDefault="0027563B" w:rsidP="0027563B">
            <w:pPr>
              <w:snapToGrid w:val="0"/>
              <w:spacing w:line="360" w:lineRule="auto"/>
              <w:ind w:leftChars="-51" w:left="-107"/>
              <w:jc w:val="right"/>
              <w:rPr>
                <w:rFonts w:asciiTheme="minorEastAsia" w:eastAsiaTheme="minorEastAsia" w:hAnsiTheme="minorEastAsia"/>
                <w:szCs w:val="21"/>
              </w:rPr>
            </w:pPr>
            <w:r w:rsidRPr="00E97AFD">
              <w:rPr>
                <w:rFonts w:asciiTheme="minorEastAsia" w:eastAsiaTheme="minorEastAsia" w:hAnsiTheme="minorEastAsia"/>
                <w:szCs w:val="21"/>
              </w:rPr>
              <w:t>20.4523%</w:t>
            </w:r>
          </w:p>
        </w:tc>
        <w:tc>
          <w:tcPr>
            <w:tcW w:w="1079" w:type="dxa"/>
            <w:tcBorders>
              <w:top w:val="single" w:sz="4" w:space="0" w:color="auto"/>
              <w:left w:val="single" w:sz="4" w:space="0" w:color="auto"/>
              <w:bottom w:val="single" w:sz="4" w:space="0" w:color="auto"/>
              <w:right w:val="single" w:sz="4" w:space="0" w:color="auto"/>
            </w:tcBorders>
            <w:vAlign w:val="center"/>
          </w:tcPr>
          <w:p w14:paraId="78662905" w14:textId="6E00FD9A" w:rsidR="0027563B" w:rsidRPr="00E97AFD" w:rsidRDefault="0027563B">
            <w:pPr>
              <w:snapToGrid w:val="0"/>
              <w:spacing w:line="360" w:lineRule="auto"/>
              <w:ind w:leftChars="-51" w:left="-107"/>
              <w:jc w:val="right"/>
              <w:rPr>
                <w:rFonts w:asciiTheme="minorEastAsia" w:eastAsiaTheme="minorEastAsia" w:hAnsiTheme="minorEastAsia"/>
                <w:szCs w:val="21"/>
              </w:rPr>
            </w:pPr>
            <w:r w:rsidRPr="00E97AFD">
              <w:rPr>
                <w:rFonts w:asciiTheme="minorEastAsia" w:eastAsiaTheme="minorEastAsia" w:hAnsiTheme="minorEastAsia"/>
                <w:szCs w:val="21"/>
              </w:rPr>
              <w:t>0.0033%</w:t>
            </w:r>
          </w:p>
        </w:tc>
        <w:tc>
          <w:tcPr>
            <w:tcW w:w="1439" w:type="dxa"/>
            <w:tcBorders>
              <w:top w:val="single" w:sz="4" w:space="0" w:color="auto"/>
              <w:left w:val="single" w:sz="4" w:space="0" w:color="auto"/>
              <w:bottom w:val="single" w:sz="4" w:space="0" w:color="auto"/>
              <w:right w:val="single" w:sz="4" w:space="0" w:color="auto"/>
            </w:tcBorders>
            <w:vAlign w:val="center"/>
          </w:tcPr>
          <w:p w14:paraId="02409237" w14:textId="231AFA2A" w:rsidR="0027563B" w:rsidRPr="00E97AFD" w:rsidRDefault="0027563B">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7.8530%</w:t>
            </w:r>
          </w:p>
        </w:tc>
        <w:tc>
          <w:tcPr>
            <w:tcW w:w="1338" w:type="dxa"/>
            <w:tcBorders>
              <w:top w:val="single" w:sz="4" w:space="0" w:color="auto"/>
              <w:left w:val="single" w:sz="4" w:space="0" w:color="auto"/>
              <w:bottom w:val="single" w:sz="4" w:space="0" w:color="auto"/>
              <w:right w:val="single" w:sz="4" w:space="0" w:color="auto"/>
            </w:tcBorders>
            <w:vAlign w:val="center"/>
          </w:tcPr>
          <w:p w14:paraId="023602F4" w14:textId="10A22E70" w:rsidR="0027563B" w:rsidRPr="00E97AFD" w:rsidRDefault="0027563B">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0.0000%</w:t>
            </w:r>
          </w:p>
        </w:tc>
        <w:tc>
          <w:tcPr>
            <w:tcW w:w="1133" w:type="dxa"/>
            <w:tcBorders>
              <w:top w:val="single" w:sz="4" w:space="0" w:color="auto"/>
              <w:left w:val="single" w:sz="4" w:space="0" w:color="auto"/>
              <w:bottom w:val="single" w:sz="4" w:space="0" w:color="auto"/>
              <w:right w:val="single" w:sz="4" w:space="0" w:color="auto"/>
            </w:tcBorders>
            <w:vAlign w:val="center"/>
          </w:tcPr>
          <w:p w14:paraId="6D1BFC3E" w14:textId="6691367E" w:rsidR="0027563B" w:rsidRPr="00E97AFD" w:rsidRDefault="0027563B">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12.5993%</w:t>
            </w:r>
          </w:p>
        </w:tc>
        <w:tc>
          <w:tcPr>
            <w:tcW w:w="1266" w:type="dxa"/>
            <w:tcBorders>
              <w:top w:val="single" w:sz="4" w:space="0" w:color="auto"/>
              <w:left w:val="single" w:sz="4" w:space="0" w:color="auto"/>
              <w:bottom w:val="single" w:sz="4" w:space="0" w:color="auto"/>
              <w:right w:val="single" w:sz="4" w:space="0" w:color="auto"/>
            </w:tcBorders>
            <w:vAlign w:val="center"/>
          </w:tcPr>
          <w:p w14:paraId="65A8D0CD" w14:textId="30B8E03C" w:rsidR="0027563B" w:rsidRPr="00E97AFD" w:rsidRDefault="0027563B">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0.0033%</w:t>
            </w:r>
          </w:p>
        </w:tc>
      </w:tr>
    </w:tbl>
    <w:p w14:paraId="79DA55B0" w14:textId="3EF28A1C" w:rsidR="00276C50" w:rsidRPr="00E97AFD" w:rsidRDefault="00C00F5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w:t>
      </w:r>
      <w:r w:rsidR="00276C50" w:rsidRPr="00E97AFD">
        <w:rPr>
          <w:rFonts w:asciiTheme="minorEastAsia" w:eastAsiaTheme="minorEastAsia" w:hAnsiTheme="minorEastAsia" w:hint="eastAsia"/>
          <w:szCs w:val="21"/>
        </w:rPr>
        <w:t>易方达天天增利货币B类基金份额净值</w:t>
      </w:r>
      <w:r w:rsidR="00B1134A" w:rsidRPr="00EC0E8B">
        <w:rPr>
          <w:rFonts w:eastAsiaTheme="minorEastAsia"/>
          <w:szCs w:val="21"/>
        </w:rPr>
        <w:t>收益</w:t>
      </w:r>
      <w:r w:rsidR="00276C50" w:rsidRPr="00E97AFD">
        <w:rPr>
          <w:rFonts w:asciiTheme="minorEastAsia" w:eastAsiaTheme="minorEastAsia" w:hAnsiTheme="minorEastAsia" w:hint="eastAsia"/>
          <w:szCs w:val="21"/>
        </w:rPr>
        <w:t>率与同期业绩比较基准收益率比较</w:t>
      </w:r>
    </w:p>
    <w:tbl>
      <w:tblPr>
        <w:tblW w:w="8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1079"/>
        <w:gridCol w:w="1439"/>
        <w:gridCol w:w="1341"/>
        <w:gridCol w:w="1130"/>
        <w:gridCol w:w="1266"/>
      </w:tblGrid>
      <w:tr w:rsidR="004503EC" w:rsidRPr="00E97AFD" w14:paraId="6E21B3FA" w14:textId="77777777" w:rsidTr="00B41264">
        <w:trPr>
          <w:trHeight w:val="315"/>
        </w:trPr>
        <w:tc>
          <w:tcPr>
            <w:tcW w:w="1440" w:type="dxa"/>
            <w:tcBorders>
              <w:top w:val="single" w:sz="4" w:space="0" w:color="auto"/>
              <w:left w:val="single" w:sz="4" w:space="0" w:color="auto"/>
              <w:bottom w:val="single" w:sz="4" w:space="0" w:color="auto"/>
              <w:right w:val="single" w:sz="4" w:space="0" w:color="auto"/>
            </w:tcBorders>
            <w:vAlign w:val="center"/>
            <w:hideMark/>
          </w:tcPr>
          <w:p w14:paraId="48164C61" w14:textId="77777777" w:rsidR="00276C50" w:rsidRPr="00E97AFD" w:rsidRDefault="00276C50" w:rsidP="00966694">
            <w:pPr>
              <w:snapToGrid w:val="0"/>
              <w:spacing w:line="360" w:lineRule="auto"/>
              <w:jc w:val="center"/>
              <w:rPr>
                <w:rFonts w:asciiTheme="minorEastAsia" w:eastAsiaTheme="minorEastAsia" w:hAnsiTheme="minorEastAsia" w:cs="Arial Unicode MS"/>
                <w:szCs w:val="21"/>
              </w:rPr>
            </w:pPr>
            <w:r w:rsidRPr="00E97AFD">
              <w:rPr>
                <w:rFonts w:asciiTheme="minorEastAsia" w:eastAsiaTheme="minorEastAsia" w:hAnsiTheme="minorEastAsia" w:hint="eastAsia"/>
                <w:szCs w:val="21"/>
              </w:rPr>
              <w:lastRenderedPageBreak/>
              <w:t>阶段</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A7D006E" w14:textId="279D0B4C" w:rsidR="00276C50" w:rsidRPr="00E97AFD" w:rsidRDefault="00DF6BBF" w:rsidP="00966694">
            <w:pPr>
              <w:snapToGrid w:val="0"/>
              <w:spacing w:line="360" w:lineRule="auto"/>
              <w:jc w:val="center"/>
              <w:rPr>
                <w:rFonts w:asciiTheme="minorEastAsia" w:eastAsiaTheme="minorEastAsia" w:hAnsiTheme="minorEastAsia" w:cs="Arial Unicode MS"/>
                <w:szCs w:val="21"/>
              </w:rPr>
            </w:pPr>
            <w:r w:rsidRPr="00EC0E8B">
              <w:rPr>
                <w:rFonts w:eastAsiaTheme="minorEastAsia"/>
                <w:szCs w:val="21"/>
              </w:rPr>
              <w:t>份额净值收益率</w:t>
            </w:r>
            <w:r w:rsidR="00276C50" w:rsidRPr="00E97AFD">
              <w:rPr>
                <w:rFonts w:asciiTheme="minorEastAsia" w:eastAsiaTheme="minorEastAsia" w:hAnsiTheme="minorEastAsia" w:hint="eastAsia"/>
                <w:szCs w:val="21"/>
              </w:rPr>
              <w:t>（1）</w:t>
            </w:r>
          </w:p>
        </w:tc>
        <w:tc>
          <w:tcPr>
            <w:tcW w:w="1079" w:type="dxa"/>
            <w:tcBorders>
              <w:top w:val="single" w:sz="4" w:space="0" w:color="auto"/>
              <w:left w:val="single" w:sz="4" w:space="0" w:color="auto"/>
              <w:bottom w:val="single" w:sz="4" w:space="0" w:color="auto"/>
              <w:right w:val="single" w:sz="4" w:space="0" w:color="auto"/>
            </w:tcBorders>
            <w:vAlign w:val="center"/>
            <w:hideMark/>
          </w:tcPr>
          <w:p w14:paraId="4886319C" w14:textId="49339E4F" w:rsidR="00276C50" w:rsidRPr="00E97AFD" w:rsidRDefault="00DF6BBF" w:rsidP="00966694">
            <w:pPr>
              <w:snapToGrid w:val="0"/>
              <w:spacing w:line="360" w:lineRule="auto"/>
              <w:jc w:val="center"/>
              <w:rPr>
                <w:rFonts w:asciiTheme="minorEastAsia" w:eastAsiaTheme="minorEastAsia" w:hAnsiTheme="minorEastAsia" w:cs="Arial Unicode MS"/>
                <w:szCs w:val="21"/>
              </w:rPr>
            </w:pPr>
            <w:r w:rsidRPr="00EC0E8B">
              <w:rPr>
                <w:rFonts w:eastAsiaTheme="minorEastAsia"/>
                <w:szCs w:val="21"/>
              </w:rPr>
              <w:t>份额净值收益率</w:t>
            </w:r>
            <w:r w:rsidR="00276C50" w:rsidRPr="00E97AFD">
              <w:rPr>
                <w:rFonts w:asciiTheme="minorEastAsia" w:eastAsiaTheme="minorEastAsia" w:hAnsiTheme="minorEastAsia" w:hint="eastAsia"/>
                <w:szCs w:val="21"/>
              </w:rPr>
              <w:t>标准差（2）</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F2A099B" w14:textId="77777777" w:rsidR="00276C50" w:rsidRPr="00E97AFD" w:rsidRDefault="00276C50" w:rsidP="00966694">
            <w:pPr>
              <w:snapToGrid w:val="0"/>
              <w:spacing w:line="360" w:lineRule="auto"/>
              <w:jc w:val="center"/>
              <w:rPr>
                <w:rFonts w:asciiTheme="minorEastAsia" w:eastAsiaTheme="minorEastAsia" w:hAnsiTheme="minorEastAsia" w:cs="Arial Unicode MS"/>
                <w:szCs w:val="21"/>
              </w:rPr>
            </w:pPr>
            <w:r w:rsidRPr="00E97AFD">
              <w:rPr>
                <w:rFonts w:asciiTheme="minorEastAsia" w:eastAsiaTheme="minorEastAsia" w:hAnsiTheme="minorEastAsia" w:hint="eastAsia"/>
                <w:szCs w:val="21"/>
              </w:rPr>
              <w:t>业绩比较基准收益率（3）</w:t>
            </w:r>
          </w:p>
        </w:tc>
        <w:tc>
          <w:tcPr>
            <w:tcW w:w="1341" w:type="dxa"/>
            <w:tcBorders>
              <w:top w:val="single" w:sz="4" w:space="0" w:color="auto"/>
              <w:left w:val="single" w:sz="4" w:space="0" w:color="auto"/>
              <w:bottom w:val="single" w:sz="4" w:space="0" w:color="auto"/>
              <w:right w:val="single" w:sz="4" w:space="0" w:color="auto"/>
            </w:tcBorders>
            <w:vAlign w:val="center"/>
            <w:hideMark/>
          </w:tcPr>
          <w:p w14:paraId="6ABF7AA3" w14:textId="77777777" w:rsidR="00276C50" w:rsidRPr="00E97AFD" w:rsidRDefault="00276C50" w:rsidP="00966694">
            <w:pPr>
              <w:snapToGrid w:val="0"/>
              <w:spacing w:line="360" w:lineRule="auto"/>
              <w:jc w:val="center"/>
              <w:rPr>
                <w:rFonts w:asciiTheme="minorEastAsia" w:eastAsiaTheme="minorEastAsia" w:hAnsiTheme="minorEastAsia" w:cs="Arial Unicode MS"/>
                <w:szCs w:val="21"/>
              </w:rPr>
            </w:pPr>
            <w:r w:rsidRPr="00E97AFD">
              <w:rPr>
                <w:rFonts w:asciiTheme="minorEastAsia" w:eastAsiaTheme="minorEastAsia" w:hAnsiTheme="minorEastAsia" w:hint="eastAsia"/>
                <w:szCs w:val="21"/>
              </w:rPr>
              <w:t>业绩比较基准收益率标准差（4）</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ED0BEAB" w14:textId="77777777" w:rsidR="00276C50" w:rsidRPr="00E97AFD" w:rsidRDefault="00276C50" w:rsidP="00966694">
            <w:pPr>
              <w:snapToGrid w:val="0"/>
              <w:spacing w:line="360" w:lineRule="auto"/>
              <w:ind w:leftChars="-51" w:left="-107" w:rightChars="-51" w:right="-107"/>
              <w:jc w:val="center"/>
              <w:rPr>
                <w:rFonts w:asciiTheme="minorEastAsia" w:eastAsiaTheme="minorEastAsia" w:hAnsiTheme="minorEastAsia"/>
                <w:szCs w:val="21"/>
              </w:rPr>
            </w:pPr>
            <w:r w:rsidRPr="00E97AFD">
              <w:rPr>
                <w:rFonts w:asciiTheme="minorEastAsia" w:eastAsiaTheme="minorEastAsia" w:hAnsiTheme="minorEastAsia" w:hint="eastAsia"/>
                <w:szCs w:val="21"/>
              </w:rPr>
              <w:t>（1）-（3）</w:t>
            </w:r>
          </w:p>
        </w:tc>
        <w:tc>
          <w:tcPr>
            <w:tcW w:w="1266" w:type="dxa"/>
            <w:tcBorders>
              <w:top w:val="single" w:sz="4" w:space="0" w:color="auto"/>
              <w:left w:val="single" w:sz="4" w:space="0" w:color="auto"/>
              <w:bottom w:val="single" w:sz="4" w:space="0" w:color="auto"/>
              <w:right w:val="single" w:sz="4" w:space="0" w:color="auto"/>
            </w:tcBorders>
            <w:vAlign w:val="center"/>
            <w:hideMark/>
          </w:tcPr>
          <w:p w14:paraId="392F7ED6" w14:textId="77777777" w:rsidR="00276C50" w:rsidRPr="00E97AFD" w:rsidRDefault="00276C50" w:rsidP="00966694">
            <w:pPr>
              <w:snapToGrid w:val="0"/>
              <w:spacing w:line="360" w:lineRule="auto"/>
              <w:ind w:leftChars="-51" w:left="-107"/>
              <w:jc w:val="center"/>
              <w:rPr>
                <w:rFonts w:asciiTheme="minorEastAsia" w:eastAsiaTheme="minorEastAsia" w:hAnsiTheme="minorEastAsia"/>
                <w:szCs w:val="21"/>
              </w:rPr>
            </w:pPr>
            <w:r w:rsidRPr="00E97AFD">
              <w:rPr>
                <w:rFonts w:asciiTheme="minorEastAsia" w:eastAsiaTheme="minorEastAsia" w:hAnsiTheme="minorEastAsia" w:hint="eastAsia"/>
                <w:szCs w:val="21"/>
              </w:rPr>
              <w:t>（2）-（4）</w:t>
            </w:r>
          </w:p>
        </w:tc>
      </w:tr>
      <w:tr w:rsidR="004503EC" w:rsidRPr="00E97AFD" w14:paraId="68A464F8" w14:textId="77777777" w:rsidTr="00B41264">
        <w:trPr>
          <w:trHeight w:val="300"/>
        </w:trPr>
        <w:tc>
          <w:tcPr>
            <w:tcW w:w="1440" w:type="dxa"/>
            <w:tcBorders>
              <w:top w:val="single" w:sz="4" w:space="0" w:color="auto"/>
              <w:left w:val="single" w:sz="4" w:space="0" w:color="auto"/>
              <w:bottom w:val="single" w:sz="4" w:space="0" w:color="auto"/>
              <w:right w:val="single" w:sz="4" w:space="0" w:color="auto"/>
            </w:tcBorders>
            <w:vAlign w:val="center"/>
            <w:hideMark/>
          </w:tcPr>
          <w:p w14:paraId="1E026EAA" w14:textId="77777777" w:rsidR="00276C50" w:rsidRPr="00E97AFD" w:rsidRDefault="00F055B9" w:rsidP="00966694">
            <w:pPr>
              <w:snapToGrid w:val="0"/>
              <w:spacing w:line="360" w:lineRule="auto"/>
              <w:ind w:leftChars="-51" w:left="-107" w:rightChars="-51" w:right="-107"/>
              <w:rPr>
                <w:rFonts w:asciiTheme="minorEastAsia" w:eastAsiaTheme="minorEastAsia" w:hAnsiTheme="minorEastAsia" w:cs="Arial Unicode MS"/>
                <w:szCs w:val="21"/>
              </w:rPr>
            </w:pPr>
            <w:r w:rsidRPr="00E97AFD">
              <w:rPr>
                <w:rFonts w:asciiTheme="minorEastAsia" w:eastAsiaTheme="minorEastAsia" w:hAnsiTheme="minorEastAsia" w:hint="eastAsia"/>
                <w:kern w:val="0"/>
                <w:szCs w:val="21"/>
              </w:rPr>
              <w:t>自基金合同生效日</w:t>
            </w:r>
            <w:r w:rsidR="00276C50" w:rsidRPr="00E97AFD">
              <w:rPr>
                <w:rFonts w:asciiTheme="minorEastAsia" w:eastAsiaTheme="minorEastAsia" w:hAnsiTheme="minorEastAsia" w:hint="eastAsia"/>
                <w:kern w:val="0"/>
                <w:szCs w:val="21"/>
              </w:rPr>
              <w:t>至2014年12月31日</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E5C3883" w14:textId="77777777" w:rsidR="00276C50" w:rsidRPr="00E97AFD" w:rsidRDefault="00276C50" w:rsidP="00966694">
            <w:pPr>
              <w:snapToGrid w:val="0"/>
              <w:spacing w:line="360" w:lineRule="auto"/>
              <w:ind w:leftChars="-51" w:left="-107"/>
              <w:jc w:val="right"/>
              <w:rPr>
                <w:rFonts w:asciiTheme="minorEastAsia" w:eastAsiaTheme="minorEastAsia" w:hAnsiTheme="minorEastAsia"/>
                <w:szCs w:val="21"/>
              </w:rPr>
            </w:pPr>
            <w:r w:rsidRPr="00E97AFD">
              <w:rPr>
                <w:rFonts w:asciiTheme="minorEastAsia" w:eastAsiaTheme="minorEastAsia" w:hAnsiTheme="minorEastAsia" w:hint="eastAsia"/>
                <w:szCs w:val="21"/>
              </w:rPr>
              <w:t>2.2055%</w:t>
            </w:r>
          </w:p>
        </w:tc>
        <w:tc>
          <w:tcPr>
            <w:tcW w:w="1079" w:type="dxa"/>
            <w:tcBorders>
              <w:top w:val="single" w:sz="4" w:space="0" w:color="auto"/>
              <w:left w:val="single" w:sz="4" w:space="0" w:color="auto"/>
              <w:bottom w:val="single" w:sz="4" w:space="0" w:color="auto"/>
              <w:right w:val="single" w:sz="4" w:space="0" w:color="auto"/>
            </w:tcBorders>
            <w:vAlign w:val="center"/>
            <w:hideMark/>
          </w:tcPr>
          <w:p w14:paraId="12F0E1BE" w14:textId="77777777" w:rsidR="00276C50" w:rsidRPr="00E97AFD" w:rsidRDefault="00276C50" w:rsidP="00966694">
            <w:pPr>
              <w:snapToGrid w:val="0"/>
              <w:spacing w:line="360" w:lineRule="auto"/>
              <w:ind w:leftChars="-51" w:left="-107"/>
              <w:jc w:val="right"/>
              <w:rPr>
                <w:rFonts w:asciiTheme="minorEastAsia" w:eastAsiaTheme="minorEastAsia" w:hAnsiTheme="minorEastAsia"/>
                <w:szCs w:val="21"/>
              </w:rPr>
            </w:pPr>
            <w:r w:rsidRPr="00E97AFD">
              <w:rPr>
                <w:rFonts w:asciiTheme="minorEastAsia" w:eastAsiaTheme="minorEastAsia" w:hAnsiTheme="minorEastAsia" w:hint="eastAsia"/>
                <w:szCs w:val="21"/>
              </w:rPr>
              <w:t>0.0023%</w:t>
            </w:r>
          </w:p>
        </w:tc>
        <w:tc>
          <w:tcPr>
            <w:tcW w:w="1439" w:type="dxa"/>
            <w:tcBorders>
              <w:top w:val="single" w:sz="4" w:space="0" w:color="auto"/>
              <w:left w:val="single" w:sz="4" w:space="0" w:color="auto"/>
              <w:bottom w:val="single" w:sz="4" w:space="0" w:color="auto"/>
              <w:right w:val="single" w:sz="4" w:space="0" w:color="auto"/>
            </w:tcBorders>
            <w:vAlign w:val="center"/>
            <w:hideMark/>
          </w:tcPr>
          <w:p w14:paraId="3E10FBEF" w14:textId="77777777" w:rsidR="00276C50" w:rsidRPr="00E97AFD" w:rsidRDefault="00276C50" w:rsidP="00966694">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hint="eastAsia"/>
                <w:szCs w:val="21"/>
              </w:rPr>
              <w:t>0.7150%</w:t>
            </w:r>
          </w:p>
        </w:tc>
        <w:tc>
          <w:tcPr>
            <w:tcW w:w="1341" w:type="dxa"/>
            <w:tcBorders>
              <w:top w:val="single" w:sz="4" w:space="0" w:color="auto"/>
              <w:left w:val="single" w:sz="4" w:space="0" w:color="auto"/>
              <w:bottom w:val="single" w:sz="4" w:space="0" w:color="auto"/>
              <w:right w:val="single" w:sz="4" w:space="0" w:color="auto"/>
            </w:tcBorders>
            <w:vAlign w:val="center"/>
            <w:hideMark/>
          </w:tcPr>
          <w:p w14:paraId="2C9DC55C" w14:textId="77777777" w:rsidR="00276C50" w:rsidRPr="00E97AFD" w:rsidRDefault="00276C50" w:rsidP="00966694">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hint="eastAsia"/>
                <w:szCs w:val="21"/>
              </w:rPr>
              <w:t>0.0000%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BA9237A" w14:textId="77777777" w:rsidR="00276C50" w:rsidRPr="00E97AFD" w:rsidRDefault="00276C50" w:rsidP="00966694">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hint="eastAsia"/>
                <w:szCs w:val="21"/>
              </w:rPr>
              <w:t>1.4905%</w:t>
            </w:r>
          </w:p>
        </w:tc>
        <w:tc>
          <w:tcPr>
            <w:tcW w:w="1266" w:type="dxa"/>
            <w:tcBorders>
              <w:top w:val="single" w:sz="4" w:space="0" w:color="auto"/>
              <w:left w:val="single" w:sz="4" w:space="0" w:color="auto"/>
              <w:bottom w:val="single" w:sz="4" w:space="0" w:color="auto"/>
              <w:right w:val="single" w:sz="4" w:space="0" w:color="auto"/>
            </w:tcBorders>
            <w:vAlign w:val="center"/>
            <w:hideMark/>
          </w:tcPr>
          <w:p w14:paraId="62C2DCFB" w14:textId="77777777" w:rsidR="00276C50" w:rsidRPr="00E97AFD" w:rsidRDefault="00276C50" w:rsidP="00966694">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hint="eastAsia"/>
                <w:szCs w:val="21"/>
              </w:rPr>
              <w:t>0.0023%</w:t>
            </w:r>
          </w:p>
        </w:tc>
      </w:tr>
      <w:tr w:rsidR="004503EC" w:rsidRPr="00E97AFD" w14:paraId="117F71F2" w14:textId="77777777" w:rsidTr="00B41264">
        <w:trPr>
          <w:trHeight w:val="300"/>
        </w:trPr>
        <w:tc>
          <w:tcPr>
            <w:tcW w:w="1440" w:type="dxa"/>
            <w:tcBorders>
              <w:top w:val="single" w:sz="4" w:space="0" w:color="auto"/>
              <w:left w:val="single" w:sz="4" w:space="0" w:color="auto"/>
              <w:bottom w:val="single" w:sz="4" w:space="0" w:color="auto"/>
              <w:right w:val="single" w:sz="4" w:space="0" w:color="auto"/>
            </w:tcBorders>
            <w:vAlign w:val="center"/>
            <w:hideMark/>
          </w:tcPr>
          <w:p w14:paraId="05C26B7E" w14:textId="77777777" w:rsidR="00DA2098" w:rsidRPr="00E97AFD" w:rsidRDefault="00DA2098" w:rsidP="00966694">
            <w:pPr>
              <w:snapToGrid w:val="0"/>
              <w:spacing w:line="360" w:lineRule="auto"/>
              <w:ind w:leftChars="-51" w:left="-107" w:rightChars="-51" w:right="-107"/>
              <w:rPr>
                <w:rFonts w:asciiTheme="minorEastAsia" w:eastAsiaTheme="minorEastAsia" w:hAnsiTheme="minorEastAsia"/>
                <w:kern w:val="0"/>
                <w:szCs w:val="21"/>
              </w:rPr>
            </w:pPr>
            <w:r w:rsidRPr="00E97AFD">
              <w:rPr>
                <w:rFonts w:asciiTheme="minorEastAsia" w:eastAsiaTheme="minorEastAsia" w:hAnsiTheme="minorEastAsia" w:hint="eastAsia"/>
                <w:szCs w:val="21"/>
              </w:rPr>
              <w:t>2015年1月1日至2015年12月31日</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EA27BBF" w14:textId="77777777" w:rsidR="00DA2098" w:rsidRPr="00E97AFD" w:rsidRDefault="00F55AB1" w:rsidP="00966694">
            <w:pPr>
              <w:snapToGrid w:val="0"/>
              <w:spacing w:line="360" w:lineRule="auto"/>
              <w:ind w:leftChars="-51" w:left="-107"/>
              <w:jc w:val="right"/>
              <w:rPr>
                <w:rFonts w:asciiTheme="minorEastAsia" w:eastAsiaTheme="minorEastAsia" w:hAnsiTheme="minorEastAsia"/>
                <w:szCs w:val="21"/>
              </w:rPr>
            </w:pPr>
            <w:r w:rsidRPr="00E97AFD">
              <w:rPr>
                <w:rFonts w:asciiTheme="minorEastAsia" w:eastAsiaTheme="minorEastAsia" w:hAnsiTheme="minorEastAsia"/>
                <w:szCs w:val="21"/>
              </w:rPr>
              <w:t>4.1497%</w:t>
            </w:r>
          </w:p>
        </w:tc>
        <w:tc>
          <w:tcPr>
            <w:tcW w:w="1079" w:type="dxa"/>
            <w:tcBorders>
              <w:top w:val="single" w:sz="4" w:space="0" w:color="auto"/>
              <w:left w:val="single" w:sz="4" w:space="0" w:color="auto"/>
              <w:bottom w:val="single" w:sz="4" w:space="0" w:color="auto"/>
              <w:right w:val="single" w:sz="4" w:space="0" w:color="auto"/>
            </w:tcBorders>
            <w:vAlign w:val="center"/>
            <w:hideMark/>
          </w:tcPr>
          <w:p w14:paraId="0A71FFFE" w14:textId="77777777" w:rsidR="00DA2098" w:rsidRPr="00E97AFD" w:rsidRDefault="00F55AB1" w:rsidP="00966694">
            <w:pPr>
              <w:snapToGrid w:val="0"/>
              <w:spacing w:line="360" w:lineRule="auto"/>
              <w:ind w:leftChars="-51" w:left="-107"/>
              <w:jc w:val="right"/>
              <w:rPr>
                <w:rFonts w:asciiTheme="minorEastAsia" w:eastAsiaTheme="minorEastAsia" w:hAnsiTheme="minorEastAsia"/>
                <w:szCs w:val="21"/>
              </w:rPr>
            </w:pPr>
            <w:r w:rsidRPr="00E97AFD">
              <w:rPr>
                <w:rFonts w:asciiTheme="minorEastAsia" w:eastAsiaTheme="minorEastAsia" w:hAnsiTheme="minorEastAsia"/>
                <w:szCs w:val="21"/>
              </w:rPr>
              <w:t>0.0053%</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2767030" w14:textId="77777777" w:rsidR="00DA2098" w:rsidRPr="00E97AFD" w:rsidRDefault="00F55AB1" w:rsidP="00966694">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1.3781%</w:t>
            </w:r>
          </w:p>
        </w:tc>
        <w:tc>
          <w:tcPr>
            <w:tcW w:w="1341" w:type="dxa"/>
            <w:tcBorders>
              <w:top w:val="single" w:sz="4" w:space="0" w:color="auto"/>
              <w:left w:val="single" w:sz="4" w:space="0" w:color="auto"/>
              <w:bottom w:val="single" w:sz="4" w:space="0" w:color="auto"/>
              <w:right w:val="single" w:sz="4" w:space="0" w:color="auto"/>
            </w:tcBorders>
            <w:vAlign w:val="center"/>
            <w:hideMark/>
          </w:tcPr>
          <w:p w14:paraId="24BAD521" w14:textId="77777777" w:rsidR="00DA2098" w:rsidRPr="00E97AFD" w:rsidRDefault="00F55AB1" w:rsidP="00966694">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0.0000%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E8F17D9" w14:textId="77777777" w:rsidR="00DA2098" w:rsidRPr="00E97AFD" w:rsidRDefault="00F55AB1" w:rsidP="00966694">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2.7716%</w:t>
            </w:r>
          </w:p>
        </w:tc>
        <w:tc>
          <w:tcPr>
            <w:tcW w:w="1266" w:type="dxa"/>
            <w:tcBorders>
              <w:top w:val="single" w:sz="4" w:space="0" w:color="auto"/>
              <w:left w:val="single" w:sz="4" w:space="0" w:color="auto"/>
              <w:bottom w:val="single" w:sz="4" w:space="0" w:color="auto"/>
              <w:right w:val="single" w:sz="4" w:space="0" w:color="auto"/>
            </w:tcBorders>
            <w:vAlign w:val="center"/>
            <w:hideMark/>
          </w:tcPr>
          <w:p w14:paraId="4292B6E6" w14:textId="77777777" w:rsidR="00DA2098" w:rsidRPr="00E97AFD" w:rsidRDefault="00F55AB1" w:rsidP="00966694">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0.0053%</w:t>
            </w:r>
          </w:p>
        </w:tc>
      </w:tr>
      <w:tr w:rsidR="004503EC" w:rsidRPr="00E97AFD" w14:paraId="26A09012" w14:textId="77777777" w:rsidTr="00B41264">
        <w:trPr>
          <w:trHeight w:val="300"/>
        </w:trPr>
        <w:tc>
          <w:tcPr>
            <w:tcW w:w="1440" w:type="dxa"/>
            <w:tcBorders>
              <w:top w:val="single" w:sz="4" w:space="0" w:color="auto"/>
              <w:left w:val="single" w:sz="4" w:space="0" w:color="auto"/>
              <w:bottom w:val="single" w:sz="4" w:space="0" w:color="auto"/>
              <w:right w:val="single" w:sz="4" w:space="0" w:color="auto"/>
            </w:tcBorders>
            <w:vAlign w:val="center"/>
            <w:hideMark/>
          </w:tcPr>
          <w:p w14:paraId="614302F7" w14:textId="77777777" w:rsidR="003F1E18" w:rsidRPr="00E97AFD" w:rsidRDefault="003F1E18" w:rsidP="003F1E18">
            <w:pPr>
              <w:snapToGrid w:val="0"/>
              <w:spacing w:line="360" w:lineRule="auto"/>
              <w:ind w:leftChars="-51" w:left="-107" w:rightChars="-51" w:right="-107"/>
              <w:rPr>
                <w:rFonts w:asciiTheme="minorEastAsia" w:eastAsiaTheme="minorEastAsia" w:hAnsiTheme="minorEastAsia"/>
                <w:szCs w:val="21"/>
              </w:rPr>
            </w:pPr>
            <w:r w:rsidRPr="00E97AFD">
              <w:rPr>
                <w:rFonts w:asciiTheme="minorEastAsia" w:eastAsiaTheme="minorEastAsia" w:hAnsiTheme="minorEastAsia" w:hint="eastAsia"/>
                <w:szCs w:val="21"/>
              </w:rPr>
              <w:t>2016年1月1日至2016年</w:t>
            </w:r>
            <w:r w:rsidRPr="00E97AFD">
              <w:rPr>
                <w:rFonts w:asciiTheme="minorEastAsia" w:eastAsiaTheme="minorEastAsia" w:hAnsiTheme="minorEastAsia"/>
                <w:szCs w:val="21"/>
              </w:rPr>
              <w:t>12</w:t>
            </w:r>
            <w:r w:rsidRPr="00E97AFD">
              <w:rPr>
                <w:rFonts w:asciiTheme="minorEastAsia" w:eastAsiaTheme="minorEastAsia" w:hAnsiTheme="minorEastAsia" w:hint="eastAsia"/>
                <w:szCs w:val="21"/>
              </w:rPr>
              <w:t>月</w:t>
            </w:r>
            <w:r w:rsidRPr="00E97AFD">
              <w:rPr>
                <w:rFonts w:asciiTheme="minorEastAsia" w:eastAsiaTheme="minorEastAsia" w:hAnsiTheme="minorEastAsia"/>
                <w:szCs w:val="21"/>
              </w:rPr>
              <w:t>31</w:t>
            </w:r>
            <w:r w:rsidRPr="00E97AFD">
              <w:rPr>
                <w:rFonts w:asciiTheme="minorEastAsia" w:eastAsiaTheme="minorEastAsia" w:hAnsiTheme="minorEastAsia" w:hint="eastAsia"/>
                <w:szCs w:val="21"/>
              </w:rPr>
              <w:t>日</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D5A475" w14:textId="77777777" w:rsidR="003F1E18" w:rsidRPr="00E97AFD" w:rsidRDefault="003F1E18" w:rsidP="003F1E18">
            <w:pPr>
              <w:snapToGrid w:val="0"/>
              <w:spacing w:line="360" w:lineRule="auto"/>
              <w:ind w:leftChars="-51" w:left="-107"/>
              <w:jc w:val="right"/>
              <w:rPr>
                <w:rFonts w:asciiTheme="minorEastAsia" w:eastAsiaTheme="minorEastAsia" w:hAnsiTheme="minorEastAsia"/>
                <w:szCs w:val="21"/>
              </w:rPr>
            </w:pPr>
            <w:r w:rsidRPr="00E97AFD">
              <w:rPr>
                <w:rFonts w:asciiTheme="minorEastAsia" w:eastAsiaTheme="minorEastAsia" w:hAnsiTheme="minorEastAsia"/>
                <w:szCs w:val="21"/>
              </w:rPr>
              <w:t>3.0394%</w:t>
            </w:r>
          </w:p>
        </w:tc>
        <w:tc>
          <w:tcPr>
            <w:tcW w:w="1079" w:type="dxa"/>
            <w:tcBorders>
              <w:top w:val="single" w:sz="4" w:space="0" w:color="auto"/>
              <w:left w:val="single" w:sz="4" w:space="0" w:color="auto"/>
              <w:bottom w:val="single" w:sz="4" w:space="0" w:color="auto"/>
              <w:right w:val="single" w:sz="4" w:space="0" w:color="auto"/>
            </w:tcBorders>
            <w:vAlign w:val="center"/>
            <w:hideMark/>
          </w:tcPr>
          <w:p w14:paraId="3912F778" w14:textId="77777777" w:rsidR="003F1E18" w:rsidRPr="00E97AFD" w:rsidRDefault="003F1E18" w:rsidP="003F1E18">
            <w:pPr>
              <w:snapToGrid w:val="0"/>
              <w:spacing w:line="360" w:lineRule="auto"/>
              <w:ind w:leftChars="-51" w:left="-107"/>
              <w:jc w:val="right"/>
              <w:rPr>
                <w:rFonts w:asciiTheme="minorEastAsia" w:eastAsiaTheme="minorEastAsia" w:hAnsiTheme="minorEastAsia"/>
                <w:szCs w:val="21"/>
              </w:rPr>
            </w:pPr>
            <w:r w:rsidRPr="00E97AFD">
              <w:rPr>
                <w:rFonts w:asciiTheme="minorEastAsia" w:eastAsiaTheme="minorEastAsia" w:hAnsiTheme="minorEastAsia"/>
                <w:szCs w:val="21"/>
              </w:rPr>
              <w:t>0.0029%</w:t>
            </w:r>
          </w:p>
        </w:tc>
        <w:tc>
          <w:tcPr>
            <w:tcW w:w="1439" w:type="dxa"/>
            <w:tcBorders>
              <w:top w:val="single" w:sz="4" w:space="0" w:color="auto"/>
              <w:left w:val="single" w:sz="4" w:space="0" w:color="auto"/>
              <w:bottom w:val="single" w:sz="4" w:space="0" w:color="auto"/>
              <w:right w:val="single" w:sz="4" w:space="0" w:color="auto"/>
            </w:tcBorders>
            <w:vAlign w:val="center"/>
            <w:hideMark/>
          </w:tcPr>
          <w:p w14:paraId="27AC7DB4" w14:textId="77777777" w:rsidR="003F1E18" w:rsidRPr="00E97AFD" w:rsidRDefault="003F1E18" w:rsidP="003F1E18">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1.3819%</w:t>
            </w:r>
          </w:p>
        </w:tc>
        <w:tc>
          <w:tcPr>
            <w:tcW w:w="1341" w:type="dxa"/>
            <w:tcBorders>
              <w:top w:val="single" w:sz="4" w:space="0" w:color="auto"/>
              <w:left w:val="single" w:sz="4" w:space="0" w:color="auto"/>
              <w:bottom w:val="single" w:sz="4" w:space="0" w:color="auto"/>
              <w:right w:val="single" w:sz="4" w:space="0" w:color="auto"/>
            </w:tcBorders>
            <w:vAlign w:val="center"/>
            <w:hideMark/>
          </w:tcPr>
          <w:p w14:paraId="1F5F2454" w14:textId="77777777" w:rsidR="003F1E18" w:rsidRPr="00E97AFD" w:rsidRDefault="003F1E18" w:rsidP="003F1E18">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0.0000%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0017E5D" w14:textId="77777777" w:rsidR="003F1E18" w:rsidRPr="00E97AFD" w:rsidRDefault="003F1E18" w:rsidP="003F1E18">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1.6575%</w:t>
            </w:r>
          </w:p>
        </w:tc>
        <w:tc>
          <w:tcPr>
            <w:tcW w:w="1266" w:type="dxa"/>
            <w:tcBorders>
              <w:top w:val="single" w:sz="4" w:space="0" w:color="auto"/>
              <w:left w:val="single" w:sz="4" w:space="0" w:color="auto"/>
              <w:bottom w:val="single" w:sz="4" w:space="0" w:color="auto"/>
              <w:right w:val="single" w:sz="4" w:space="0" w:color="auto"/>
            </w:tcBorders>
            <w:vAlign w:val="center"/>
            <w:hideMark/>
          </w:tcPr>
          <w:p w14:paraId="74597313" w14:textId="77777777" w:rsidR="003F1E18" w:rsidRPr="00E97AFD" w:rsidRDefault="003F1E18" w:rsidP="003F1E18">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0.0029%</w:t>
            </w:r>
          </w:p>
        </w:tc>
      </w:tr>
      <w:tr w:rsidR="004503EC" w:rsidRPr="00E97AFD" w14:paraId="22897200" w14:textId="77777777" w:rsidTr="00B41264">
        <w:trPr>
          <w:trHeight w:val="300"/>
        </w:trPr>
        <w:tc>
          <w:tcPr>
            <w:tcW w:w="1440" w:type="dxa"/>
            <w:tcBorders>
              <w:top w:val="single" w:sz="4" w:space="0" w:color="auto"/>
              <w:left w:val="single" w:sz="4" w:space="0" w:color="auto"/>
              <w:bottom w:val="single" w:sz="4" w:space="0" w:color="auto"/>
              <w:right w:val="single" w:sz="4" w:space="0" w:color="auto"/>
            </w:tcBorders>
            <w:vAlign w:val="center"/>
          </w:tcPr>
          <w:p w14:paraId="78C3D93A" w14:textId="77777777" w:rsidR="00164ED4" w:rsidRPr="00E97AFD" w:rsidRDefault="00164ED4" w:rsidP="00164ED4">
            <w:pPr>
              <w:snapToGrid w:val="0"/>
              <w:spacing w:line="360" w:lineRule="auto"/>
              <w:ind w:leftChars="-51" w:left="-107" w:rightChars="-51" w:right="-107"/>
              <w:rPr>
                <w:rFonts w:asciiTheme="minorEastAsia" w:eastAsiaTheme="minorEastAsia" w:hAnsiTheme="minorEastAsia"/>
                <w:szCs w:val="21"/>
              </w:rPr>
            </w:pPr>
            <w:r w:rsidRPr="00E97AFD">
              <w:rPr>
                <w:rFonts w:asciiTheme="minorEastAsia" w:eastAsiaTheme="minorEastAsia" w:hAnsiTheme="minorEastAsia" w:hint="eastAsia"/>
                <w:szCs w:val="21"/>
              </w:rPr>
              <w:t>201</w:t>
            </w:r>
            <w:r w:rsidRPr="00E97AFD">
              <w:rPr>
                <w:rFonts w:asciiTheme="minorEastAsia" w:eastAsiaTheme="minorEastAsia" w:hAnsiTheme="minorEastAsia"/>
                <w:szCs w:val="21"/>
              </w:rPr>
              <w:t>7</w:t>
            </w:r>
            <w:r w:rsidRPr="00E97AFD">
              <w:rPr>
                <w:rFonts w:asciiTheme="minorEastAsia" w:eastAsiaTheme="minorEastAsia" w:hAnsiTheme="minorEastAsia" w:hint="eastAsia"/>
                <w:szCs w:val="21"/>
              </w:rPr>
              <w:t>年1月1日至</w:t>
            </w:r>
            <w:r w:rsidRPr="00E97AFD">
              <w:rPr>
                <w:rFonts w:asciiTheme="minorEastAsia" w:eastAsiaTheme="minorEastAsia" w:hAnsiTheme="minorEastAsia"/>
                <w:szCs w:val="21"/>
              </w:rPr>
              <w:t>2017年12月31日</w:t>
            </w:r>
          </w:p>
        </w:tc>
        <w:tc>
          <w:tcPr>
            <w:tcW w:w="1080" w:type="dxa"/>
            <w:tcBorders>
              <w:top w:val="single" w:sz="4" w:space="0" w:color="auto"/>
              <w:left w:val="single" w:sz="4" w:space="0" w:color="auto"/>
              <w:bottom w:val="single" w:sz="4" w:space="0" w:color="auto"/>
              <w:right w:val="single" w:sz="4" w:space="0" w:color="auto"/>
            </w:tcBorders>
            <w:vAlign w:val="center"/>
          </w:tcPr>
          <w:p w14:paraId="0C718C58" w14:textId="77777777" w:rsidR="00164ED4" w:rsidRPr="00E97AFD" w:rsidRDefault="00164ED4" w:rsidP="00164ED4">
            <w:pPr>
              <w:snapToGrid w:val="0"/>
              <w:spacing w:line="360" w:lineRule="auto"/>
              <w:ind w:leftChars="-51" w:left="-107"/>
              <w:jc w:val="right"/>
              <w:rPr>
                <w:rFonts w:asciiTheme="minorEastAsia" w:eastAsiaTheme="minorEastAsia" w:hAnsiTheme="minorEastAsia"/>
                <w:szCs w:val="21"/>
              </w:rPr>
            </w:pPr>
            <w:r w:rsidRPr="00E97AFD">
              <w:rPr>
                <w:rFonts w:asciiTheme="minorEastAsia" w:eastAsiaTheme="minorEastAsia" w:hAnsiTheme="minorEastAsia"/>
                <w:szCs w:val="21"/>
              </w:rPr>
              <w:t>4.2423%</w:t>
            </w:r>
          </w:p>
        </w:tc>
        <w:tc>
          <w:tcPr>
            <w:tcW w:w="1079" w:type="dxa"/>
            <w:tcBorders>
              <w:top w:val="single" w:sz="4" w:space="0" w:color="auto"/>
              <w:left w:val="single" w:sz="4" w:space="0" w:color="auto"/>
              <w:bottom w:val="single" w:sz="4" w:space="0" w:color="auto"/>
              <w:right w:val="single" w:sz="4" w:space="0" w:color="auto"/>
            </w:tcBorders>
            <w:vAlign w:val="center"/>
          </w:tcPr>
          <w:p w14:paraId="7B21D29F" w14:textId="77777777" w:rsidR="00164ED4" w:rsidRPr="00E97AFD" w:rsidRDefault="00164ED4" w:rsidP="00164ED4">
            <w:pPr>
              <w:snapToGrid w:val="0"/>
              <w:spacing w:line="360" w:lineRule="auto"/>
              <w:ind w:leftChars="-51" w:left="-107"/>
              <w:jc w:val="right"/>
              <w:rPr>
                <w:rFonts w:asciiTheme="minorEastAsia" w:eastAsiaTheme="minorEastAsia" w:hAnsiTheme="minorEastAsia"/>
                <w:szCs w:val="21"/>
              </w:rPr>
            </w:pPr>
            <w:r w:rsidRPr="00E97AFD">
              <w:rPr>
                <w:rFonts w:asciiTheme="minorEastAsia" w:eastAsiaTheme="minorEastAsia" w:hAnsiTheme="minorEastAsia"/>
                <w:szCs w:val="21"/>
              </w:rPr>
              <w:t>0.0010%</w:t>
            </w:r>
          </w:p>
        </w:tc>
        <w:tc>
          <w:tcPr>
            <w:tcW w:w="1439" w:type="dxa"/>
            <w:tcBorders>
              <w:top w:val="single" w:sz="4" w:space="0" w:color="auto"/>
              <w:left w:val="single" w:sz="4" w:space="0" w:color="auto"/>
              <w:bottom w:val="single" w:sz="4" w:space="0" w:color="auto"/>
              <w:right w:val="single" w:sz="4" w:space="0" w:color="auto"/>
            </w:tcBorders>
            <w:vAlign w:val="center"/>
          </w:tcPr>
          <w:p w14:paraId="5B9A28FA" w14:textId="77777777" w:rsidR="00164ED4" w:rsidRPr="00E97AFD" w:rsidRDefault="00164ED4" w:rsidP="00164ED4">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1.3781%</w:t>
            </w:r>
          </w:p>
        </w:tc>
        <w:tc>
          <w:tcPr>
            <w:tcW w:w="1341" w:type="dxa"/>
            <w:tcBorders>
              <w:top w:val="single" w:sz="4" w:space="0" w:color="auto"/>
              <w:left w:val="single" w:sz="4" w:space="0" w:color="auto"/>
              <w:bottom w:val="single" w:sz="4" w:space="0" w:color="auto"/>
              <w:right w:val="single" w:sz="4" w:space="0" w:color="auto"/>
            </w:tcBorders>
            <w:vAlign w:val="center"/>
          </w:tcPr>
          <w:p w14:paraId="4422EB8B" w14:textId="77777777" w:rsidR="00164ED4" w:rsidRPr="00E97AFD" w:rsidRDefault="00164ED4" w:rsidP="00164ED4">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0.0000%</w:t>
            </w:r>
          </w:p>
        </w:tc>
        <w:tc>
          <w:tcPr>
            <w:tcW w:w="1130" w:type="dxa"/>
            <w:tcBorders>
              <w:top w:val="single" w:sz="4" w:space="0" w:color="auto"/>
              <w:left w:val="single" w:sz="4" w:space="0" w:color="auto"/>
              <w:bottom w:val="single" w:sz="4" w:space="0" w:color="auto"/>
              <w:right w:val="single" w:sz="4" w:space="0" w:color="auto"/>
            </w:tcBorders>
            <w:vAlign w:val="center"/>
          </w:tcPr>
          <w:p w14:paraId="0AB2FC7B" w14:textId="77777777" w:rsidR="00164ED4" w:rsidRPr="00E97AFD" w:rsidRDefault="00164ED4" w:rsidP="00164ED4">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2.8642%</w:t>
            </w:r>
          </w:p>
        </w:tc>
        <w:tc>
          <w:tcPr>
            <w:tcW w:w="1266" w:type="dxa"/>
            <w:tcBorders>
              <w:top w:val="single" w:sz="4" w:space="0" w:color="auto"/>
              <w:left w:val="single" w:sz="4" w:space="0" w:color="auto"/>
              <w:bottom w:val="single" w:sz="4" w:space="0" w:color="auto"/>
              <w:right w:val="single" w:sz="4" w:space="0" w:color="auto"/>
            </w:tcBorders>
            <w:vAlign w:val="center"/>
          </w:tcPr>
          <w:p w14:paraId="0F8CAB04" w14:textId="77777777" w:rsidR="00164ED4" w:rsidRPr="00E97AFD" w:rsidRDefault="00164ED4" w:rsidP="00164ED4">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0.0010%</w:t>
            </w:r>
          </w:p>
        </w:tc>
      </w:tr>
      <w:tr w:rsidR="004503EC" w:rsidRPr="00E97AFD" w14:paraId="2D4EE1F8" w14:textId="77777777" w:rsidTr="00B41264">
        <w:trPr>
          <w:trHeight w:val="300"/>
        </w:trPr>
        <w:tc>
          <w:tcPr>
            <w:tcW w:w="1440" w:type="dxa"/>
            <w:tcBorders>
              <w:top w:val="single" w:sz="4" w:space="0" w:color="auto"/>
              <w:left w:val="single" w:sz="4" w:space="0" w:color="auto"/>
              <w:bottom w:val="single" w:sz="4" w:space="0" w:color="auto"/>
              <w:right w:val="single" w:sz="4" w:space="0" w:color="auto"/>
            </w:tcBorders>
            <w:vAlign w:val="center"/>
          </w:tcPr>
          <w:p w14:paraId="0DE730A9" w14:textId="77777777" w:rsidR="00DA26A3" w:rsidRPr="00E97AFD" w:rsidRDefault="00DA26A3" w:rsidP="00DA26A3">
            <w:pPr>
              <w:snapToGrid w:val="0"/>
              <w:spacing w:line="360" w:lineRule="auto"/>
              <w:ind w:leftChars="-51" w:left="-107" w:rightChars="-51" w:right="-107"/>
              <w:rPr>
                <w:rFonts w:asciiTheme="minorEastAsia" w:eastAsiaTheme="minorEastAsia" w:hAnsiTheme="minorEastAsia"/>
                <w:szCs w:val="21"/>
              </w:rPr>
            </w:pPr>
            <w:r w:rsidRPr="00E97AFD">
              <w:rPr>
                <w:rFonts w:asciiTheme="minorEastAsia" w:eastAsiaTheme="minorEastAsia" w:hAnsiTheme="minorEastAsia" w:hint="eastAsia"/>
                <w:szCs w:val="21"/>
              </w:rPr>
              <w:t>2018年1月1日至</w:t>
            </w:r>
            <w:r w:rsidRPr="00E97AFD">
              <w:rPr>
                <w:rFonts w:asciiTheme="minorEastAsia" w:eastAsiaTheme="minorEastAsia" w:hAnsiTheme="minorEastAsia"/>
                <w:szCs w:val="21"/>
              </w:rPr>
              <w:t>2018年12月31日</w:t>
            </w:r>
          </w:p>
        </w:tc>
        <w:tc>
          <w:tcPr>
            <w:tcW w:w="1080" w:type="dxa"/>
            <w:tcBorders>
              <w:top w:val="single" w:sz="4" w:space="0" w:color="auto"/>
              <w:left w:val="single" w:sz="4" w:space="0" w:color="auto"/>
              <w:bottom w:val="single" w:sz="4" w:space="0" w:color="auto"/>
              <w:right w:val="single" w:sz="4" w:space="0" w:color="auto"/>
            </w:tcBorders>
            <w:vAlign w:val="center"/>
          </w:tcPr>
          <w:p w14:paraId="794281E2" w14:textId="77777777" w:rsidR="00DA26A3" w:rsidRPr="00E97AFD" w:rsidRDefault="00DA26A3" w:rsidP="00DA26A3">
            <w:pPr>
              <w:snapToGrid w:val="0"/>
              <w:spacing w:line="360" w:lineRule="auto"/>
              <w:ind w:leftChars="-51" w:left="-107"/>
              <w:jc w:val="right"/>
              <w:rPr>
                <w:rFonts w:asciiTheme="minorEastAsia" w:eastAsiaTheme="minorEastAsia" w:hAnsiTheme="minorEastAsia"/>
                <w:szCs w:val="21"/>
              </w:rPr>
            </w:pPr>
            <w:r w:rsidRPr="00E97AFD">
              <w:rPr>
                <w:rFonts w:asciiTheme="minorEastAsia" w:eastAsiaTheme="minorEastAsia" w:hAnsiTheme="minorEastAsia"/>
                <w:szCs w:val="21"/>
              </w:rPr>
              <w:t>4.0213%</w:t>
            </w:r>
          </w:p>
        </w:tc>
        <w:tc>
          <w:tcPr>
            <w:tcW w:w="1079" w:type="dxa"/>
            <w:tcBorders>
              <w:top w:val="single" w:sz="4" w:space="0" w:color="auto"/>
              <w:left w:val="single" w:sz="4" w:space="0" w:color="auto"/>
              <w:bottom w:val="single" w:sz="4" w:space="0" w:color="auto"/>
              <w:right w:val="single" w:sz="4" w:space="0" w:color="auto"/>
            </w:tcBorders>
            <w:vAlign w:val="center"/>
          </w:tcPr>
          <w:p w14:paraId="077DA7AD" w14:textId="77777777" w:rsidR="00DA26A3" w:rsidRPr="00E97AFD" w:rsidRDefault="00DA26A3" w:rsidP="00DA26A3">
            <w:pPr>
              <w:snapToGrid w:val="0"/>
              <w:spacing w:line="360" w:lineRule="auto"/>
              <w:ind w:leftChars="-51" w:left="-107"/>
              <w:jc w:val="right"/>
              <w:rPr>
                <w:rFonts w:asciiTheme="minorEastAsia" w:eastAsiaTheme="minorEastAsia" w:hAnsiTheme="minorEastAsia"/>
                <w:szCs w:val="21"/>
              </w:rPr>
            </w:pPr>
            <w:r w:rsidRPr="00E97AFD">
              <w:rPr>
                <w:rFonts w:asciiTheme="minorEastAsia" w:eastAsiaTheme="minorEastAsia" w:hAnsiTheme="minorEastAsia"/>
                <w:szCs w:val="21"/>
              </w:rPr>
              <w:t>0.0017%</w:t>
            </w:r>
          </w:p>
        </w:tc>
        <w:tc>
          <w:tcPr>
            <w:tcW w:w="1439" w:type="dxa"/>
            <w:tcBorders>
              <w:top w:val="single" w:sz="4" w:space="0" w:color="auto"/>
              <w:left w:val="single" w:sz="4" w:space="0" w:color="auto"/>
              <w:bottom w:val="single" w:sz="4" w:space="0" w:color="auto"/>
              <w:right w:val="single" w:sz="4" w:space="0" w:color="auto"/>
            </w:tcBorders>
            <w:vAlign w:val="center"/>
          </w:tcPr>
          <w:p w14:paraId="7A9652F6" w14:textId="77777777" w:rsidR="00DA26A3" w:rsidRPr="00E97AFD" w:rsidRDefault="00DA26A3" w:rsidP="00DA26A3">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1.3781%</w:t>
            </w:r>
          </w:p>
        </w:tc>
        <w:tc>
          <w:tcPr>
            <w:tcW w:w="1341" w:type="dxa"/>
            <w:tcBorders>
              <w:top w:val="single" w:sz="4" w:space="0" w:color="auto"/>
              <w:left w:val="single" w:sz="4" w:space="0" w:color="auto"/>
              <w:bottom w:val="single" w:sz="4" w:space="0" w:color="auto"/>
              <w:right w:val="single" w:sz="4" w:space="0" w:color="auto"/>
            </w:tcBorders>
            <w:vAlign w:val="center"/>
          </w:tcPr>
          <w:p w14:paraId="73F9B3A1" w14:textId="77777777" w:rsidR="00DA26A3" w:rsidRPr="00E97AFD" w:rsidRDefault="00DA26A3" w:rsidP="00DA26A3">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0.0000%</w:t>
            </w:r>
          </w:p>
        </w:tc>
        <w:tc>
          <w:tcPr>
            <w:tcW w:w="1130" w:type="dxa"/>
            <w:tcBorders>
              <w:top w:val="single" w:sz="4" w:space="0" w:color="auto"/>
              <w:left w:val="single" w:sz="4" w:space="0" w:color="auto"/>
              <w:bottom w:val="single" w:sz="4" w:space="0" w:color="auto"/>
              <w:right w:val="single" w:sz="4" w:space="0" w:color="auto"/>
            </w:tcBorders>
            <w:vAlign w:val="center"/>
          </w:tcPr>
          <w:p w14:paraId="4D6D28E4" w14:textId="77777777" w:rsidR="00DA26A3" w:rsidRPr="00E97AFD" w:rsidRDefault="00DA26A3" w:rsidP="00DA26A3">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2.6432%</w:t>
            </w:r>
          </w:p>
        </w:tc>
        <w:tc>
          <w:tcPr>
            <w:tcW w:w="1266" w:type="dxa"/>
            <w:tcBorders>
              <w:top w:val="single" w:sz="4" w:space="0" w:color="auto"/>
              <w:left w:val="single" w:sz="4" w:space="0" w:color="auto"/>
              <w:bottom w:val="single" w:sz="4" w:space="0" w:color="auto"/>
              <w:right w:val="single" w:sz="4" w:space="0" w:color="auto"/>
            </w:tcBorders>
            <w:vAlign w:val="center"/>
          </w:tcPr>
          <w:p w14:paraId="6FC680FA" w14:textId="77777777" w:rsidR="00DA26A3" w:rsidRPr="00E97AFD" w:rsidRDefault="00DA26A3" w:rsidP="00DA26A3">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0.0017%</w:t>
            </w:r>
          </w:p>
        </w:tc>
      </w:tr>
      <w:tr w:rsidR="004503EC" w:rsidRPr="00E97AFD" w14:paraId="6C96C5F5" w14:textId="77777777" w:rsidTr="00B41264">
        <w:trPr>
          <w:trHeight w:val="300"/>
        </w:trPr>
        <w:tc>
          <w:tcPr>
            <w:tcW w:w="1440" w:type="dxa"/>
            <w:tcBorders>
              <w:top w:val="single" w:sz="4" w:space="0" w:color="auto"/>
              <w:left w:val="single" w:sz="4" w:space="0" w:color="auto"/>
              <w:bottom w:val="single" w:sz="4" w:space="0" w:color="auto"/>
              <w:right w:val="single" w:sz="4" w:space="0" w:color="auto"/>
            </w:tcBorders>
            <w:vAlign w:val="center"/>
          </w:tcPr>
          <w:p w14:paraId="3C90DC9D" w14:textId="7DD6F056" w:rsidR="00BF1A03" w:rsidRPr="00E97AFD" w:rsidRDefault="0027563B" w:rsidP="00BF1A03">
            <w:pPr>
              <w:snapToGrid w:val="0"/>
              <w:spacing w:line="360" w:lineRule="auto"/>
              <w:ind w:leftChars="-51" w:left="-107" w:rightChars="-51" w:right="-107"/>
              <w:rPr>
                <w:rFonts w:asciiTheme="minorEastAsia" w:eastAsiaTheme="minorEastAsia" w:hAnsiTheme="minorEastAsia"/>
                <w:kern w:val="0"/>
                <w:szCs w:val="21"/>
              </w:rPr>
            </w:pPr>
            <w:r w:rsidRPr="00E97AFD">
              <w:rPr>
                <w:rFonts w:asciiTheme="minorEastAsia" w:eastAsiaTheme="minorEastAsia" w:hAnsiTheme="minorEastAsia"/>
                <w:kern w:val="0"/>
                <w:szCs w:val="21"/>
              </w:rPr>
              <w:t>2019年1月1日至2019年12月31日</w:t>
            </w:r>
          </w:p>
        </w:tc>
        <w:tc>
          <w:tcPr>
            <w:tcW w:w="1080" w:type="dxa"/>
            <w:tcBorders>
              <w:top w:val="single" w:sz="4" w:space="0" w:color="auto"/>
              <w:left w:val="single" w:sz="4" w:space="0" w:color="auto"/>
              <w:bottom w:val="single" w:sz="4" w:space="0" w:color="auto"/>
              <w:right w:val="single" w:sz="4" w:space="0" w:color="auto"/>
            </w:tcBorders>
            <w:vAlign w:val="center"/>
          </w:tcPr>
          <w:p w14:paraId="1C6C3487" w14:textId="39CF1FCF" w:rsidR="00BF1A03" w:rsidRPr="00E97AFD" w:rsidRDefault="0027563B" w:rsidP="0027563B">
            <w:pPr>
              <w:snapToGrid w:val="0"/>
              <w:spacing w:line="360" w:lineRule="auto"/>
              <w:ind w:leftChars="-51" w:left="-107"/>
              <w:jc w:val="right"/>
              <w:rPr>
                <w:rFonts w:asciiTheme="minorEastAsia" w:eastAsiaTheme="minorEastAsia" w:hAnsiTheme="minorEastAsia"/>
                <w:szCs w:val="21"/>
              </w:rPr>
            </w:pPr>
            <w:r w:rsidRPr="00E97AFD">
              <w:rPr>
                <w:rFonts w:asciiTheme="minorEastAsia" w:eastAsiaTheme="minorEastAsia" w:hAnsiTheme="minorEastAsia"/>
                <w:szCs w:val="21"/>
              </w:rPr>
              <w:t>2.6240%</w:t>
            </w:r>
          </w:p>
        </w:tc>
        <w:tc>
          <w:tcPr>
            <w:tcW w:w="1079" w:type="dxa"/>
            <w:tcBorders>
              <w:top w:val="single" w:sz="4" w:space="0" w:color="auto"/>
              <w:left w:val="single" w:sz="4" w:space="0" w:color="auto"/>
              <w:bottom w:val="single" w:sz="4" w:space="0" w:color="auto"/>
              <w:right w:val="single" w:sz="4" w:space="0" w:color="auto"/>
            </w:tcBorders>
            <w:vAlign w:val="center"/>
          </w:tcPr>
          <w:p w14:paraId="7E27D776" w14:textId="5A0418BF" w:rsidR="00BF1A03" w:rsidRPr="00E97AFD" w:rsidRDefault="0027563B" w:rsidP="0027563B">
            <w:pPr>
              <w:snapToGrid w:val="0"/>
              <w:spacing w:line="360" w:lineRule="auto"/>
              <w:ind w:leftChars="-51" w:left="-107"/>
              <w:jc w:val="right"/>
              <w:rPr>
                <w:rFonts w:asciiTheme="minorEastAsia" w:eastAsiaTheme="minorEastAsia" w:hAnsiTheme="minorEastAsia"/>
                <w:szCs w:val="21"/>
              </w:rPr>
            </w:pPr>
            <w:r w:rsidRPr="00E97AFD">
              <w:rPr>
                <w:rFonts w:asciiTheme="minorEastAsia" w:eastAsiaTheme="minorEastAsia" w:hAnsiTheme="minorEastAsia"/>
                <w:szCs w:val="21"/>
              </w:rPr>
              <w:t>0.0013%</w:t>
            </w:r>
          </w:p>
        </w:tc>
        <w:tc>
          <w:tcPr>
            <w:tcW w:w="1439" w:type="dxa"/>
            <w:tcBorders>
              <w:top w:val="single" w:sz="4" w:space="0" w:color="auto"/>
              <w:left w:val="single" w:sz="4" w:space="0" w:color="auto"/>
              <w:bottom w:val="single" w:sz="4" w:space="0" w:color="auto"/>
              <w:right w:val="single" w:sz="4" w:space="0" w:color="auto"/>
            </w:tcBorders>
            <w:vAlign w:val="center"/>
          </w:tcPr>
          <w:p w14:paraId="5981C174" w14:textId="6A363B57" w:rsidR="00BF1A03" w:rsidRPr="00E97AFD" w:rsidRDefault="0027563B">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1.3781%</w:t>
            </w:r>
          </w:p>
        </w:tc>
        <w:tc>
          <w:tcPr>
            <w:tcW w:w="1341" w:type="dxa"/>
            <w:tcBorders>
              <w:top w:val="single" w:sz="4" w:space="0" w:color="auto"/>
              <w:left w:val="single" w:sz="4" w:space="0" w:color="auto"/>
              <w:bottom w:val="single" w:sz="4" w:space="0" w:color="auto"/>
              <w:right w:val="single" w:sz="4" w:space="0" w:color="auto"/>
            </w:tcBorders>
            <w:vAlign w:val="center"/>
          </w:tcPr>
          <w:p w14:paraId="61E75515" w14:textId="3D8F5E49" w:rsidR="00BF1A03" w:rsidRPr="00E97AFD" w:rsidRDefault="0027563B">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0.0000%</w:t>
            </w:r>
          </w:p>
        </w:tc>
        <w:tc>
          <w:tcPr>
            <w:tcW w:w="1130" w:type="dxa"/>
            <w:tcBorders>
              <w:top w:val="single" w:sz="4" w:space="0" w:color="auto"/>
              <w:left w:val="single" w:sz="4" w:space="0" w:color="auto"/>
              <w:bottom w:val="single" w:sz="4" w:space="0" w:color="auto"/>
              <w:right w:val="single" w:sz="4" w:space="0" w:color="auto"/>
            </w:tcBorders>
            <w:vAlign w:val="center"/>
          </w:tcPr>
          <w:p w14:paraId="02B7ED96" w14:textId="4020DCA7" w:rsidR="00BF1A03" w:rsidRPr="00E97AFD" w:rsidRDefault="0027563B">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1.2459%</w:t>
            </w:r>
          </w:p>
        </w:tc>
        <w:tc>
          <w:tcPr>
            <w:tcW w:w="1266" w:type="dxa"/>
            <w:tcBorders>
              <w:top w:val="single" w:sz="4" w:space="0" w:color="auto"/>
              <w:left w:val="single" w:sz="4" w:space="0" w:color="auto"/>
              <w:bottom w:val="single" w:sz="4" w:space="0" w:color="auto"/>
              <w:right w:val="single" w:sz="4" w:space="0" w:color="auto"/>
            </w:tcBorders>
            <w:vAlign w:val="center"/>
          </w:tcPr>
          <w:p w14:paraId="652236A2" w14:textId="47BDCD1B" w:rsidR="00BF1A03" w:rsidRPr="00E97AFD" w:rsidRDefault="0027563B">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0.0013%</w:t>
            </w:r>
          </w:p>
        </w:tc>
      </w:tr>
      <w:tr w:rsidR="0027563B" w:rsidRPr="00E97AFD" w14:paraId="3B5FF04E" w14:textId="77777777" w:rsidTr="00B41264">
        <w:trPr>
          <w:trHeight w:val="300"/>
        </w:trPr>
        <w:tc>
          <w:tcPr>
            <w:tcW w:w="1440" w:type="dxa"/>
            <w:tcBorders>
              <w:top w:val="single" w:sz="4" w:space="0" w:color="auto"/>
              <w:left w:val="single" w:sz="4" w:space="0" w:color="auto"/>
              <w:bottom w:val="single" w:sz="4" w:space="0" w:color="auto"/>
              <w:right w:val="single" w:sz="4" w:space="0" w:color="auto"/>
            </w:tcBorders>
            <w:vAlign w:val="center"/>
          </w:tcPr>
          <w:p w14:paraId="15C1DB65" w14:textId="15F00003" w:rsidR="0027563B" w:rsidRPr="00E97AFD" w:rsidRDefault="0027563B" w:rsidP="00BF1A03">
            <w:pPr>
              <w:snapToGrid w:val="0"/>
              <w:spacing w:line="360" w:lineRule="auto"/>
              <w:ind w:leftChars="-51" w:left="-107" w:rightChars="-51" w:right="-107"/>
              <w:rPr>
                <w:rFonts w:asciiTheme="minorEastAsia" w:eastAsiaTheme="minorEastAsia" w:hAnsiTheme="minorEastAsia"/>
                <w:kern w:val="0"/>
                <w:szCs w:val="21"/>
              </w:rPr>
            </w:pPr>
            <w:r w:rsidRPr="00E97AFD">
              <w:rPr>
                <w:rFonts w:asciiTheme="minorEastAsia" w:eastAsiaTheme="minorEastAsia" w:hAnsiTheme="minorEastAsia" w:hint="eastAsia"/>
                <w:kern w:val="0"/>
                <w:szCs w:val="21"/>
              </w:rPr>
              <w:t>自基金合同生效日至</w:t>
            </w:r>
            <w:r w:rsidRPr="00E97AFD">
              <w:rPr>
                <w:rFonts w:asciiTheme="minorEastAsia" w:eastAsiaTheme="minorEastAsia" w:hAnsiTheme="minorEastAsia"/>
                <w:kern w:val="0"/>
                <w:szCs w:val="21"/>
              </w:rPr>
              <w:t>2019年12月31日</w:t>
            </w:r>
          </w:p>
        </w:tc>
        <w:tc>
          <w:tcPr>
            <w:tcW w:w="1080" w:type="dxa"/>
            <w:tcBorders>
              <w:top w:val="single" w:sz="4" w:space="0" w:color="auto"/>
              <w:left w:val="single" w:sz="4" w:space="0" w:color="auto"/>
              <w:bottom w:val="single" w:sz="4" w:space="0" w:color="auto"/>
              <w:right w:val="single" w:sz="4" w:space="0" w:color="auto"/>
            </w:tcBorders>
            <w:vAlign w:val="center"/>
          </w:tcPr>
          <w:p w14:paraId="490A7042" w14:textId="416EF576" w:rsidR="0027563B" w:rsidRPr="00E97AFD" w:rsidRDefault="0027563B" w:rsidP="0027563B">
            <w:pPr>
              <w:snapToGrid w:val="0"/>
              <w:spacing w:line="360" w:lineRule="auto"/>
              <w:ind w:leftChars="-51" w:left="-107"/>
              <w:jc w:val="right"/>
              <w:rPr>
                <w:rFonts w:asciiTheme="minorEastAsia" w:eastAsiaTheme="minorEastAsia" w:hAnsiTheme="minorEastAsia"/>
                <w:szCs w:val="21"/>
              </w:rPr>
            </w:pPr>
            <w:r w:rsidRPr="00E97AFD">
              <w:rPr>
                <w:rFonts w:asciiTheme="minorEastAsia" w:eastAsiaTheme="minorEastAsia" w:hAnsiTheme="minorEastAsia"/>
                <w:szCs w:val="21"/>
              </w:rPr>
              <w:t>22.0536%</w:t>
            </w:r>
          </w:p>
        </w:tc>
        <w:tc>
          <w:tcPr>
            <w:tcW w:w="1079" w:type="dxa"/>
            <w:tcBorders>
              <w:top w:val="single" w:sz="4" w:space="0" w:color="auto"/>
              <w:left w:val="single" w:sz="4" w:space="0" w:color="auto"/>
              <w:bottom w:val="single" w:sz="4" w:space="0" w:color="auto"/>
              <w:right w:val="single" w:sz="4" w:space="0" w:color="auto"/>
            </w:tcBorders>
            <w:vAlign w:val="center"/>
          </w:tcPr>
          <w:p w14:paraId="30816127" w14:textId="778ECA9E" w:rsidR="0027563B" w:rsidRPr="00E97AFD" w:rsidRDefault="0027563B">
            <w:pPr>
              <w:snapToGrid w:val="0"/>
              <w:spacing w:line="360" w:lineRule="auto"/>
              <w:ind w:leftChars="-51" w:left="-107"/>
              <w:jc w:val="right"/>
              <w:rPr>
                <w:rFonts w:asciiTheme="minorEastAsia" w:eastAsiaTheme="minorEastAsia" w:hAnsiTheme="minorEastAsia"/>
                <w:szCs w:val="21"/>
              </w:rPr>
            </w:pPr>
            <w:r w:rsidRPr="00E97AFD">
              <w:rPr>
                <w:rFonts w:asciiTheme="minorEastAsia" w:eastAsiaTheme="minorEastAsia" w:hAnsiTheme="minorEastAsia"/>
                <w:szCs w:val="21"/>
              </w:rPr>
              <w:t>0.0033%</w:t>
            </w:r>
          </w:p>
        </w:tc>
        <w:tc>
          <w:tcPr>
            <w:tcW w:w="1439" w:type="dxa"/>
            <w:tcBorders>
              <w:top w:val="single" w:sz="4" w:space="0" w:color="auto"/>
              <w:left w:val="single" w:sz="4" w:space="0" w:color="auto"/>
              <w:bottom w:val="single" w:sz="4" w:space="0" w:color="auto"/>
              <w:right w:val="single" w:sz="4" w:space="0" w:color="auto"/>
            </w:tcBorders>
            <w:vAlign w:val="center"/>
          </w:tcPr>
          <w:p w14:paraId="6E78F274" w14:textId="1C0D45DB" w:rsidR="0027563B" w:rsidRPr="00E97AFD" w:rsidRDefault="0027563B">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7.8530%</w:t>
            </w:r>
          </w:p>
        </w:tc>
        <w:tc>
          <w:tcPr>
            <w:tcW w:w="1341" w:type="dxa"/>
            <w:tcBorders>
              <w:top w:val="single" w:sz="4" w:space="0" w:color="auto"/>
              <w:left w:val="single" w:sz="4" w:space="0" w:color="auto"/>
              <w:bottom w:val="single" w:sz="4" w:space="0" w:color="auto"/>
              <w:right w:val="single" w:sz="4" w:space="0" w:color="auto"/>
            </w:tcBorders>
            <w:vAlign w:val="center"/>
          </w:tcPr>
          <w:p w14:paraId="30FA2B73" w14:textId="4A20E54B" w:rsidR="0027563B" w:rsidRPr="00E97AFD" w:rsidRDefault="0027563B">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0.0000%</w:t>
            </w:r>
          </w:p>
        </w:tc>
        <w:tc>
          <w:tcPr>
            <w:tcW w:w="1130" w:type="dxa"/>
            <w:tcBorders>
              <w:top w:val="single" w:sz="4" w:space="0" w:color="auto"/>
              <w:left w:val="single" w:sz="4" w:space="0" w:color="auto"/>
              <w:bottom w:val="single" w:sz="4" w:space="0" w:color="auto"/>
              <w:right w:val="single" w:sz="4" w:space="0" w:color="auto"/>
            </w:tcBorders>
            <w:vAlign w:val="center"/>
          </w:tcPr>
          <w:p w14:paraId="0861B66B" w14:textId="06C436E4" w:rsidR="0027563B" w:rsidRPr="00E97AFD" w:rsidRDefault="0027563B">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14.2006%</w:t>
            </w:r>
          </w:p>
        </w:tc>
        <w:tc>
          <w:tcPr>
            <w:tcW w:w="1266" w:type="dxa"/>
            <w:tcBorders>
              <w:top w:val="single" w:sz="4" w:space="0" w:color="auto"/>
              <w:left w:val="single" w:sz="4" w:space="0" w:color="auto"/>
              <w:bottom w:val="single" w:sz="4" w:space="0" w:color="auto"/>
              <w:right w:val="single" w:sz="4" w:space="0" w:color="auto"/>
            </w:tcBorders>
            <w:vAlign w:val="center"/>
          </w:tcPr>
          <w:p w14:paraId="279FDFF8" w14:textId="6AA4C441" w:rsidR="0027563B" w:rsidRPr="00E97AFD" w:rsidRDefault="0027563B">
            <w:pPr>
              <w:snapToGrid w:val="0"/>
              <w:spacing w:line="360" w:lineRule="auto"/>
              <w:jc w:val="right"/>
              <w:rPr>
                <w:rFonts w:asciiTheme="minorEastAsia" w:eastAsiaTheme="minorEastAsia" w:hAnsiTheme="minorEastAsia"/>
                <w:szCs w:val="21"/>
              </w:rPr>
            </w:pPr>
            <w:r w:rsidRPr="00E97AFD">
              <w:rPr>
                <w:rFonts w:asciiTheme="minorEastAsia" w:eastAsiaTheme="minorEastAsia" w:hAnsiTheme="minorEastAsia"/>
                <w:szCs w:val="21"/>
              </w:rPr>
              <w:t>0.0033%</w:t>
            </w:r>
          </w:p>
        </w:tc>
      </w:tr>
    </w:tbl>
    <w:p w14:paraId="6F35486E" w14:textId="77777777" w:rsidR="00BA4B87" w:rsidRPr="00E97AFD" w:rsidRDefault="00BA4B87" w:rsidP="00966694">
      <w:pPr>
        <w:pStyle w:val="1"/>
        <w:snapToGrid w:val="0"/>
        <w:spacing w:beforeLines="0" w:afterLines="0" w:line="360" w:lineRule="auto"/>
        <w:ind w:firstLine="640"/>
        <w:rPr>
          <w:rFonts w:asciiTheme="minorEastAsia" w:eastAsiaTheme="minorEastAsia" w:hAnsiTheme="minorEastAsia"/>
          <w:b/>
          <w:szCs w:val="21"/>
        </w:rPr>
      </w:pPr>
      <w:r w:rsidRPr="00E97AFD">
        <w:rPr>
          <w:rFonts w:asciiTheme="minorEastAsia" w:eastAsiaTheme="minorEastAsia" w:hAnsiTheme="minorEastAsia"/>
        </w:rPr>
        <w:br w:type="page"/>
      </w:r>
      <w:bookmarkStart w:id="70" w:name="_Toc43371984"/>
      <w:r w:rsidR="00D708BF" w:rsidRPr="00E97AFD">
        <w:rPr>
          <w:rFonts w:asciiTheme="minorEastAsia" w:eastAsiaTheme="minorEastAsia" w:hAnsiTheme="minorEastAsia"/>
          <w:b/>
          <w:sz w:val="30"/>
        </w:rPr>
        <w:lastRenderedPageBreak/>
        <w:t>十</w:t>
      </w:r>
      <w:r w:rsidR="00D708BF" w:rsidRPr="00E97AFD">
        <w:rPr>
          <w:rFonts w:asciiTheme="minorEastAsia" w:eastAsiaTheme="minorEastAsia" w:hAnsiTheme="minorEastAsia" w:hint="eastAsia"/>
          <w:b/>
          <w:sz w:val="30"/>
        </w:rPr>
        <w:t>四</w:t>
      </w:r>
      <w:r w:rsidRPr="00E97AFD">
        <w:rPr>
          <w:rFonts w:asciiTheme="minorEastAsia" w:eastAsiaTheme="minorEastAsia" w:hAnsiTheme="minorEastAsia"/>
          <w:b/>
          <w:sz w:val="30"/>
        </w:rPr>
        <w:t>、基金的财产</w:t>
      </w:r>
      <w:bookmarkEnd w:id="70"/>
    </w:p>
    <w:p w14:paraId="6A288AAF" w14:textId="77777777" w:rsidR="00916FC5" w:rsidRPr="00E97AFD" w:rsidRDefault="00916FC5"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（一）</w:t>
      </w:r>
      <w:r w:rsidRPr="00E97AFD">
        <w:rPr>
          <w:rFonts w:asciiTheme="minorEastAsia" w:eastAsiaTheme="minorEastAsia" w:hAnsiTheme="minorEastAsia"/>
          <w:bCs/>
          <w:szCs w:val="21"/>
        </w:rPr>
        <w:t>基金资产总值</w:t>
      </w:r>
    </w:p>
    <w:p w14:paraId="305D5CFA" w14:textId="77777777" w:rsidR="00916FC5" w:rsidRPr="00E97AFD" w:rsidRDefault="00916FC5"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基金资产总值是指购买的各类证券及票据价值、银行存款本息和基金应收的申购基金款以及其他投资所形成的价值总和。</w:t>
      </w:r>
    </w:p>
    <w:p w14:paraId="08C4B0E6" w14:textId="77777777" w:rsidR="00916FC5" w:rsidRPr="00E97AFD" w:rsidRDefault="00916FC5"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（二）</w:t>
      </w:r>
      <w:r w:rsidRPr="00E97AFD">
        <w:rPr>
          <w:rFonts w:asciiTheme="minorEastAsia" w:eastAsiaTheme="minorEastAsia" w:hAnsiTheme="minorEastAsia"/>
          <w:bCs/>
          <w:szCs w:val="21"/>
        </w:rPr>
        <w:t>基金资产净值</w:t>
      </w:r>
    </w:p>
    <w:p w14:paraId="7CC3255E" w14:textId="77777777" w:rsidR="00916FC5" w:rsidRPr="00E97AFD" w:rsidRDefault="00916FC5"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基金资产净值是指基金资产总值减去基金负债后的价值。</w:t>
      </w:r>
    </w:p>
    <w:p w14:paraId="657D81BB" w14:textId="77777777" w:rsidR="00916FC5" w:rsidRPr="00E97AFD" w:rsidRDefault="00916FC5"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（三）</w:t>
      </w:r>
      <w:r w:rsidRPr="00E97AFD">
        <w:rPr>
          <w:rFonts w:asciiTheme="minorEastAsia" w:eastAsiaTheme="minorEastAsia" w:hAnsiTheme="minorEastAsia"/>
          <w:bCs/>
          <w:szCs w:val="21"/>
        </w:rPr>
        <w:t>基金财产的账户</w:t>
      </w:r>
    </w:p>
    <w:p w14:paraId="1AE6C312" w14:textId="77777777" w:rsidR="00916FC5" w:rsidRPr="00E97AFD" w:rsidRDefault="00916FC5"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bCs/>
          <w:szCs w:val="21"/>
        </w:rPr>
        <w:t>基金托管人根据相关法律法规、规范性文件为本基金开立资金</w:t>
      </w:r>
      <w:r w:rsidRPr="00E97AFD">
        <w:rPr>
          <w:rFonts w:asciiTheme="minorEastAsia" w:eastAsiaTheme="minorEastAsia" w:hAnsiTheme="minorEastAsia" w:hint="eastAsia"/>
          <w:bCs/>
          <w:szCs w:val="21"/>
        </w:rPr>
        <w:t>账户</w:t>
      </w:r>
      <w:r w:rsidRPr="00E97AFD">
        <w:rPr>
          <w:rFonts w:asciiTheme="minorEastAsia" w:eastAsiaTheme="minorEastAsia" w:hAnsiTheme="minorEastAsia"/>
          <w:bCs/>
          <w:szCs w:val="21"/>
        </w:rPr>
        <w:t>、证券</w:t>
      </w:r>
      <w:r w:rsidRPr="00E97AFD">
        <w:rPr>
          <w:rFonts w:asciiTheme="minorEastAsia" w:eastAsiaTheme="minorEastAsia" w:hAnsiTheme="minorEastAsia" w:hint="eastAsia"/>
          <w:bCs/>
          <w:szCs w:val="21"/>
        </w:rPr>
        <w:t>账户</w:t>
      </w:r>
      <w:r w:rsidRPr="00E97AFD">
        <w:rPr>
          <w:rFonts w:asciiTheme="minorEastAsia" w:eastAsiaTheme="minorEastAsia" w:hAnsiTheme="minorEastAsia"/>
          <w:bCs/>
          <w:szCs w:val="21"/>
        </w:rPr>
        <w:t>以及投资所需的其他专用</w:t>
      </w:r>
      <w:r w:rsidRPr="00E97AFD">
        <w:rPr>
          <w:rFonts w:asciiTheme="minorEastAsia" w:eastAsiaTheme="minorEastAsia" w:hAnsiTheme="minorEastAsia" w:hint="eastAsia"/>
          <w:bCs/>
          <w:szCs w:val="21"/>
        </w:rPr>
        <w:t>账户</w:t>
      </w:r>
      <w:r w:rsidRPr="00E97AFD">
        <w:rPr>
          <w:rFonts w:asciiTheme="minorEastAsia" w:eastAsiaTheme="minorEastAsia" w:hAnsiTheme="minorEastAsia"/>
          <w:bCs/>
          <w:szCs w:val="21"/>
        </w:rPr>
        <w:t>。开立的基金专用账户与基金管理人、基金托管人、基金销售机构和基金登记机构自有的财产账户以及其他基金财产账户相独立。</w:t>
      </w:r>
    </w:p>
    <w:p w14:paraId="21D63EBE" w14:textId="77777777" w:rsidR="00916FC5" w:rsidRPr="00E97AFD" w:rsidRDefault="00916FC5"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（四）</w:t>
      </w:r>
      <w:r w:rsidRPr="00E97AFD">
        <w:rPr>
          <w:rFonts w:asciiTheme="minorEastAsia" w:eastAsiaTheme="minorEastAsia" w:hAnsiTheme="minorEastAsia"/>
          <w:bCs/>
          <w:szCs w:val="21"/>
        </w:rPr>
        <w:t>基金财产的保管和处分</w:t>
      </w:r>
    </w:p>
    <w:p w14:paraId="3331B127" w14:textId="77777777" w:rsidR="00916FC5" w:rsidRPr="00E97AFD" w:rsidRDefault="00916FC5"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本基金财产独立于基金管理人、基金托管人和基金</w:t>
      </w:r>
      <w:r w:rsidRPr="00E97AFD">
        <w:rPr>
          <w:rFonts w:asciiTheme="minorEastAsia" w:eastAsiaTheme="minorEastAsia" w:hAnsiTheme="minorEastAsia" w:hint="eastAsia"/>
          <w:bCs/>
          <w:szCs w:val="21"/>
        </w:rPr>
        <w:t>销售</w:t>
      </w:r>
      <w:r w:rsidRPr="00E97AFD">
        <w:rPr>
          <w:rFonts w:asciiTheme="minorEastAsia" w:eastAsiaTheme="minorEastAsia" w:hAnsiTheme="minorEastAsia"/>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465EC81" w14:textId="77777777" w:rsidR="00916FC5" w:rsidRPr="00E97AFD" w:rsidRDefault="00916FC5"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252EC158" w14:textId="77777777" w:rsidR="0047523D" w:rsidRPr="00E97AFD" w:rsidRDefault="0047523D" w:rsidP="00966694">
      <w:pPr>
        <w:snapToGrid w:val="0"/>
        <w:spacing w:line="360" w:lineRule="auto"/>
        <w:ind w:firstLineChars="200" w:firstLine="420"/>
        <w:rPr>
          <w:rFonts w:asciiTheme="minorEastAsia" w:eastAsiaTheme="minorEastAsia" w:hAnsiTheme="minorEastAsia"/>
          <w:szCs w:val="21"/>
        </w:rPr>
      </w:pPr>
    </w:p>
    <w:p w14:paraId="0DBC1474" w14:textId="77777777" w:rsidR="00BA4B87" w:rsidRPr="00E97AFD" w:rsidRDefault="00200FC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br/>
      </w:r>
    </w:p>
    <w:p w14:paraId="0369648F" w14:textId="77777777" w:rsidR="00BA4B87" w:rsidRPr="00E97AFD" w:rsidRDefault="00BA4B87" w:rsidP="00966694">
      <w:pPr>
        <w:pStyle w:val="1"/>
        <w:snapToGrid w:val="0"/>
        <w:spacing w:beforeLines="0" w:afterLines="0" w:line="360" w:lineRule="auto"/>
        <w:ind w:firstLine="600"/>
        <w:rPr>
          <w:rFonts w:asciiTheme="minorEastAsia" w:eastAsiaTheme="minorEastAsia" w:hAnsiTheme="minorEastAsia"/>
          <w:b/>
          <w:bCs/>
        </w:rPr>
      </w:pPr>
      <w:r w:rsidRPr="00E97AFD">
        <w:rPr>
          <w:rFonts w:asciiTheme="minorEastAsia" w:eastAsiaTheme="minorEastAsia" w:hAnsiTheme="minorEastAsia"/>
          <w:sz w:val="30"/>
        </w:rPr>
        <w:br w:type="column"/>
      </w:r>
      <w:bookmarkStart w:id="71" w:name="_Toc43371985"/>
      <w:r w:rsidR="00D708BF" w:rsidRPr="00E97AFD">
        <w:rPr>
          <w:rFonts w:asciiTheme="minorEastAsia" w:eastAsiaTheme="minorEastAsia" w:hAnsiTheme="minorEastAsia"/>
          <w:b/>
          <w:sz w:val="30"/>
        </w:rPr>
        <w:lastRenderedPageBreak/>
        <w:t>十</w:t>
      </w:r>
      <w:r w:rsidR="00D708BF" w:rsidRPr="00E97AFD">
        <w:rPr>
          <w:rFonts w:asciiTheme="minorEastAsia" w:eastAsiaTheme="minorEastAsia" w:hAnsiTheme="minorEastAsia" w:hint="eastAsia"/>
          <w:b/>
          <w:sz w:val="30"/>
        </w:rPr>
        <w:t>五</w:t>
      </w:r>
      <w:r w:rsidRPr="00E97AFD">
        <w:rPr>
          <w:rFonts w:asciiTheme="minorEastAsia" w:eastAsiaTheme="minorEastAsia" w:hAnsiTheme="minorEastAsia"/>
          <w:b/>
          <w:sz w:val="30"/>
        </w:rPr>
        <w:t>、基金资产的估值</w:t>
      </w:r>
      <w:bookmarkEnd w:id="71"/>
    </w:p>
    <w:p w14:paraId="7D43812F" w14:textId="77777777" w:rsidR="00BA746E" w:rsidRPr="00E97AFD" w:rsidRDefault="00916FC5"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（一）</w:t>
      </w:r>
      <w:r w:rsidR="00BA746E" w:rsidRPr="00E97AFD">
        <w:rPr>
          <w:rFonts w:asciiTheme="minorEastAsia" w:eastAsiaTheme="minorEastAsia" w:hAnsiTheme="minorEastAsia" w:hint="eastAsia"/>
          <w:bCs/>
          <w:szCs w:val="21"/>
        </w:rPr>
        <w:t>估值日</w:t>
      </w:r>
    </w:p>
    <w:p w14:paraId="21BFF3F8"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本基金的估值日为本基金相关的证券交易场所的交易日以及国家法律法规规定需要对外披露基金净值的非交易日。</w:t>
      </w:r>
    </w:p>
    <w:p w14:paraId="5BFF295D"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（二）估值对象</w:t>
      </w:r>
    </w:p>
    <w:p w14:paraId="66E2BE6F"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基金所拥有的各类证券和银行存款本息、应收款项、其它投资等资产及负债。</w:t>
      </w:r>
    </w:p>
    <w:p w14:paraId="23B08683"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（三）估值方法</w:t>
      </w:r>
    </w:p>
    <w:p w14:paraId="46250F6E"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1、</w:t>
      </w:r>
      <w:r w:rsidR="00635EE4" w:rsidRPr="00E97AFD">
        <w:rPr>
          <w:rFonts w:asciiTheme="minorEastAsia" w:eastAsiaTheme="minorEastAsia" w:hAnsiTheme="minorEastAsia" w:hint="eastAsia"/>
          <w:bCs/>
          <w:szCs w:val="21"/>
        </w:rPr>
        <w:t>本基金估值采用“摊余成本法”，即计价对象以买入成本列示，按照票面利率或协议利率并考虑其买入时的溢价与折价，在剩余存续期内按照实际利率法摊销，每日计提损益。本基金不采用市场利率和上市交易的债券和票据的市价计算基金资产净值</w:t>
      </w:r>
      <w:r w:rsidRPr="00E97AFD">
        <w:rPr>
          <w:rFonts w:asciiTheme="minorEastAsia" w:eastAsiaTheme="minorEastAsia" w:hAnsiTheme="minorEastAsia" w:hint="eastAsia"/>
          <w:bCs/>
          <w:szCs w:val="21"/>
        </w:rPr>
        <w:t>。</w:t>
      </w:r>
    </w:p>
    <w:p w14:paraId="16CDBF83"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w:t>
      </w:r>
      <w:r w:rsidR="00635EE4" w:rsidRPr="00E97AFD">
        <w:rPr>
          <w:rFonts w:asciiTheme="minorEastAsia" w:eastAsiaTheme="minorEastAsia" w:hAnsiTheme="minorEastAsia" w:hint="eastAsia"/>
          <w:bCs/>
          <w:szCs w:val="21"/>
        </w:rPr>
        <w:t>当“影子定价”确定的基金资产净值与“摊余成本法”计算的基金资产净值的负偏离度绝对值达到或超过0.25%时，基金管理人应当在5个交易日内将负偏离度绝对值调整到0.25%以内。当正偏离度绝对值达到0.5%时，基金管理人应当暂停接受申购并在5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p>
    <w:p w14:paraId="6E38C22E"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3、如有充足理由表明按上述方法进行估值不能客观反映其公允价值的，基金管理人可根据具体情况与基金托管人商定后，按最能反映公允价值的价格估值。</w:t>
      </w:r>
    </w:p>
    <w:p w14:paraId="127E4464"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4、相关法律法规以及监管部门有强制规定的，从其规定。如有新增事项，按国家最新规定估值。</w:t>
      </w:r>
    </w:p>
    <w:p w14:paraId="1112768A"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0C5A472E"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E696847"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（四）估值程序</w:t>
      </w:r>
    </w:p>
    <w:p w14:paraId="2CD27151"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1、每万份基金已实现收益是按照相关法规计算的每万份基金份额的日已实现收益，精</w:t>
      </w:r>
      <w:r w:rsidRPr="00E97AFD">
        <w:rPr>
          <w:rFonts w:asciiTheme="minorEastAsia" w:eastAsiaTheme="minorEastAsia" w:hAnsiTheme="minorEastAsia" w:hint="eastAsia"/>
          <w:bCs/>
          <w:szCs w:val="21"/>
        </w:rPr>
        <w:lastRenderedPageBreak/>
        <w:t>确到小数点后第4位，小数点后第5位四舍五入。7日年化收益率是以最近7日(含节假日)收益所折算的年资产收益率，精确到百分号内小数点后3位，百分号内小数点后第4位四舍五入。国家另有规定的，从其规定。</w:t>
      </w:r>
    </w:p>
    <w:p w14:paraId="2051FE47"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2、基金管理人应每个工作日对基金资产估值。但基金管理人根据法律法规或基金合同的规定暂停估值时除外。基金管理人每个工作日对基金资产估值后，将基金估值结果发送基金托管人，经基金托管人复核无误后，由基金管理人对外公布。</w:t>
      </w:r>
    </w:p>
    <w:p w14:paraId="0494B912"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（五）估值错误的处理</w:t>
      </w:r>
    </w:p>
    <w:p w14:paraId="588CA1C2"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基金管理人和基金托管人将采取必要、适当、合理的措施确保基金资产估值的准确性、及时性。当基金资产的计价导致每万份基金已实现收益小数点后2位以内（含第2位）发生差错时，视为估值错误。</w:t>
      </w:r>
    </w:p>
    <w:p w14:paraId="26266E7D"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基金合同的当事人应按照以下约定处理：</w:t>
      </w:r>
    </w:p>
    <w:p w14:paraId="2B69712D"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1、估值错误类型</w:t>
      </w:r>
    </w:p>
    <w:p w14:paraId="072794EE"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1489302D"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上述估值错误的主要类型包括但不限于：资料申报差错、数据传输差错、数据计算差错、系统故障差错、下达指令差错等。</w:t>
      </w:r>
    </w:p>
    <w:p w14:paraId="6E09ED49"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2、估值错误处理原则</w:t>
      </w:r>
    </w:p>
    <w:p w14:paraId="0DE0F98A"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AD1EBE4"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（2）估值错误的责任方对有关当事人的直接损失负责，不对间接损失负责，并且仅对估值错误的有关直接当事人负责，不对第三方负责。</w:t>
      </w:r>
    </w:p>
    <w:p w14:paraId="32534B9E"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088B24F"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（4）估值错误调整采用尽量恢复至假设未发生估值错误的正确情形的方式。</w:t>
      </w:r>
    </w:p>
    <w:p w14:paraId="572D463B"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lastRenderedPageBreak/>
        <w:t>3、估值错误处理程序</w:t>
      </w:r>
    </w:p>
    <w:p w14:paraId="7EEC34D9"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估值错误被发现后，有关的当事人应当及时进行处理，处理的程序如下：</w:t>
      </w:r>
    </w:p>
    <w:p w14:paraId="46B46CDB"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（1）查明估值错误发生的原因，列明所有的当事人，并根据估值错误发生的原因确定估值错误的责任方；</w:t>
      </w:r>
    </w:p>
    <w:p w14:paraId="12C0E980"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（2）根据估值错误处理原则或当事人协商的方法对因估值错误造成的损失进行评估；</w:t>
      </w:r>
    </w:p>
    <w:p w14:paraId="0DCA821C"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（3）根据估值错误处理原则或当事人协商的方法由估值错误的责任方进行更正和赔偿损失；</w:t>
      </w:r>
    </w:p>
    <w:p w14:paraId="2CEE1EE6"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（4）根据估值错误处理的方法，需要修改基金登记机构交易数据的，由基金登记机构进行更正，并就估值错误的更正向有关当事人进行确认。</w:t>
      </w:r>
    </w:p>
    <w:p w14:paraId="46243645"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4、基金估值错误处理的方法如下：</w:t>
      </w:r>
    </w:p>
    <w:p w14:paraId="7642D14D"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（1）基金估值计算出现错误时，基金管理人应当立即予以纠正，通报基金托管人，并采取合理的措施防止损失进一步扩大。</w:t>
      </w:r>
    </w:p>
    <w:p w14:paraId="7C6467D0"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（2）错误偏差达到基金资产净值的0.25%时，基金管理人应当通报基金托管人并报中国证监会备案；错误偏差达到基金资产净值的0.5%时，基金管理人应当公告。</w:t>
      </w:r>
    </w:p>
    <w:p w14:paraId="32EF85AF"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（3）前述内容如法律法规或监管机关另有规定的，从其规定处理。</w:t>
      </w:r>
    </w:p>
    <w:p w14:paraId="29E84C70"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（六）暂停估值的情形</w:t>
      </w:r>
    </w:p>
    <w:p w14:paraId="4FC93190"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1、基金投资所涉及的证券交易市场遇法定节假日或因其他原因暂停营业时；</w:t>
      </w:r>
    </w:p>
    <w:p w14:paraId="747F4916"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2、因不可抗力致使基金管理人、基金托管人无法准确评估基金资产价值时；</w:t>
      </w:r>
    </w:p>
    <w:p w14:paraId="5223C0C9" w14:textId="77777777" w:rsidR="00B95C61" w:rsidRPr="00E97AFD" w:rsidRDefault="00BA746E" w:rsidP="00B95C61">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3、</w:t>
      </w:r>
      <w:r w:rsidR="00B95C61" w:rsidRPr="00E97AFD">
        <w:rPr>
          <w:rFonts w:asciiTheme="minorEastAsia" w:eastAsiaTheme="minorEastAsia" w:hAnsiTheme="minorEastAsia" w:hint="eastAsia"/>
          <w:bCs/>
          <w:szCs w:val="21"/>
        </w:rPr>
        <w:t>当前一估值日基金资产净值50%以上的资产出现无可参考的活跃市场价格且采用估值技术仍导致公允价值存在重大不确定性时，经与基金托管人协商一致的；</w:t>
      </w:r>
    </w:p>
    <w:p w14:paraId="40A7B929" w14:textId="77777777" w:rsidR="00BA746E" w:rsidRPr="00E97AFD" w:rsidRDefault="00B95C61" w:rsidP="00B95C61">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4、</w:t>
      </w:r>
      <w:r w:rsidR="00BA746E" w:rsidRPr="00E97AFD">
        <w:rPr>
          <w:rFonts w:asciiTheme="minorEastAsia" w:eastAsiaTheme="minorEastAsia" w:hAnsiTheme="minorEastAsia" w:hint="eastAsia"/>
          <w:bCs/>
          <w:szCs w:val="21"/>
        </w:rPr>
        <w:t>中国证监会和基金合同认定的其它情形。</w:t>
      </w:r>
    </w:p>
    <w:p w14:paraId="7D772113"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（七）基金净值的确认</w:t>
      </w:r>
    </w:p>
    <w:p w14:paraId="5E3CC52B"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用于基金信息披露的基金资产净值、各类基金份额的每万份基金已实现收益和7日年化收益率由基金管理人负责计算，基金托管人负责进行复核。基金管理人应于每个开放日交易结束后计算当日的基金资产净值、各类基金份额的每万份基金已实现收益和7日年化收益率并发送给基金托管人。基金托管人复核确认后发送给基金管理人，由基金管理人</w:t>
      </w:r>
      <w:r w:rsidR="006B018F" w:rsidRPr="00E97AFD">
        <w:rPr>
          <w:rFonts w:asciiTheme="minorEastAsia" w:eastAsiaTheme="minorEastAsia" w:hAnsiTheme="minorEastAsia" w:hint="eastAsia"/>
          <w:bCs/>
          <w:szCs w:val="21"/>
        </w:rPr>
        <w:t>按规定</w:t>
      </w:r>
      <w:r w:rsidRPr="00E97AFD">
        <w:rPr>
          <w:rFonts w:asciiTheme="minorEastAsia" w:eastAsiaTheme="minorEastAsia" w:hAnsiTheme="minorEastAsia" w:hint="eastAsia"/>
          <w:bCs/>
          <w:szCs w:val="21"/>
        </w:rPr>
        <w:t>予以公布。</w:t>
      </w:r>
    </w:p>
    <w:p w14:paraId="5C64F8C8"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（八）特殊情形的处理</w:t>
      </w:r>
    </w:p>
    <w:p w14:paraId="28A8FBA8"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1、基金管理人按估值方法的第2、3项进行估值时，所造成的误差不作为基金资产估值错误处理；</w:t>
      </w:r>
    </w:p>
    <w:p w14:paraId="75CB1E31" w14:textId="77777777" w:rsidR="00E61446"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2、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w:t>
      </w:r>
      <w:r w:rsidRPr="00E97AFD">
        <w:rPr>
          <w:rFonts w:asciiTheme="minorEastAsia" w:eastAsiaTheme="minorEastAsia" w:hAnsiTheme="minorEastAsia" w:hint="eastAsia"/>
          <w:bCs/>
          <w:szCs w:val="21"/>
        </w:rPr>
        <w:lastRenderedPageBreak/>
        <w:t>人应当积极采取必要的措施消除或减轻由此造成的影响。</w:t>
      </w:r>
    </w:p>
    <w:p w14:paraId="0C52268E" w14:textId="77777777" w:rsidR="00BA4B87" w:rsidRPr="00E97AFD" w:rsidRDefault="00BA4B87" w:rsidP="00966694">
      <w:pPr>
        <w:pStyle w:val="1"/>
        <w:snapToGrid w:val="0"/>
        <w:spacing w:beforeLines="0" w:afterLines="0" w:line="360" w:lineRule="auto"/>
        <w:ind w:firstLine="600"/>
        <w:rPr>
          <w:rFonts w:asciiTheme="minorEastAsia" w:eastAsiaTheme="minorEastAsia" w:hAnsiTheme="minorEastAsia"/>
          <w:b/>
          <w:bCs/>
        </w:rPr>
      </w:pPr>
      <w:r w:rsidRPr="00E97AFD">
        <w:rPr>
          <w:rFonts w:asciiTheme="minorEastAsia" w:eastAsiaTheme="minorEastAsia" w:hAnsiTheme="minorEastAsia"/>
          <w:sz w:val="30"/>
        </w:rPr>
        <w:br w:type="column"/>
      </w:r>
      <w:bookmarkStart w:id="72" w:name="_Toc43371986"/>
      <w:r w:rsidR="00D708BF" w:rsidRPr="00E97AFD">
        <w:rPr>
          <w:rFonts w:asciiTheme="minorEastAsia" w:eastAsiaTheme="minorEastAsia" w:hAnsiTheme="minorEastAsia"/>
          <w:b/>
          <w:sz w:val="30"/>
        </w:rPr>
        <w:lastRenderedPageBreak/>
        <w:t>十</w:t>
      </w:r>
      <w:r w:rsidR="00D708BF" w:rsidRPr="00E97AFD">
        <w:rPr>
          <w:rFonts w:asciiTheme="minorEastAsia" w:eastAsiaTheme="minorEastAsia" w:hAnsiTheme="minorEastAsia" w:hint="eastAsia"/>
          <w:b/>
          <w:sz w:val="30"/>
        </w:rPr>
        <w:t>六</w:t>
      </w:r>
      <w:r w:rsidRPr="00E97AFD">
        <w:rPr>
          <w:rFonts w:asciiTheme="minorEastAsia" w:eastAsiaTheme="minorEastAsia" w:hAnsiTheme="minorEastAsia"/>
          <w:b/>
          <w:sz w:val="30"/>
        </w:rPr>
        <w:t>、基金的收益分配</w:t>
      </w:r>
      <w:bookmarkEnd w:id="72"/>
    </w:p>
    <w:p w14:paraId="469DC6AA" w14:textId="77777777" w:rsidR="00916FC5" w:rsidRPr="00E97AFD" w:rsidRDefault="00916FC5"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(一)基金利润的构成</w:t>
      </w:r>
    </w:p>
    <w:p w14:paraId="2DDB40A0" w14:textId="77777777" w:rsidR="00916FC5" w:rsidRPr="00E97AFD" w:rsidRDefault="00916FC5"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基金利润指基金利息收入、投资收益、公允价值变动收益和其他收入扣除相关费用后的余额；基金已实现收益指基金利润减去公允价值变动损益后的余额。</w:t>
      </w:r>
    </w:p>
    <w:p w14:paraId="4F4AFDEF" w14:textId="77777777" w:rsidR="00916FC5" w:rsidRPr="00E97AFD" w:rsidRDefault="00916FC5"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(二)收益分配原则</w:t>
      </w:r>
    </w:p>
    <w:p w14:paraId="0AFCA26D" w14:textId="77777777" w:rsidR="00BA746E" w:rsidRPr="00E97AFD" w:rsidRDefault="00BA746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本基金收益分配应遵循下列原则：</w:t>
      </w:r>
    </w:p>
    <w:p w14:paraId="18EFF8F5" w14:textId="77777777" w:rsidR="00FC3F34" w:rsidRPr="00E97AFD" w:rsidRDefault="00C00F5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w:t>
      </w:r>
      <w:r w:rsidR="00FC3F34" w:rsidRPr="00E97AFD">
        <w:rPr>
          <w:rFonts w:asciiTheme="minorEastAsia" w:eastAsiaTheme="minorEastAsia" w:hAnsiTheme="minorEastAsia" w:hint="eastAsia"/>
          <w:szCs w:val="21"/>
        </w:rPr>
        <w:t>本基金同一类别内的每份基金份额享有同等分配权；</w:t>
      </w:r>
    </w:p>
    <w:p w14:paraId="492E7BD0" w14:textId="77777777" w:rsidR="00FC3F34" w:rsidRPr="00E97AFD" w:rsidRDefault="00C00F5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w:t>
      </w:r>
      <w:r w:rsidR="00FC3F34" w:rsidRPr="00E97AFD">
        <w:rPr>
          <w:rFonts w:asciiTheme="minorEastAsia" w:eastAsiaTheme="minorEastAsia" w:hAnsiTheme="minorEastAsia" w:hint="eastAsia"/>
          <w:szCs w:val="21"/>
        </w:rPr>
        <w:t>本基金收益分配方式为红利再投资，免收再投资的费用；</w:t>
      </w:r>
    </w:p>
    <w:p w14:paraId="1750A5DE" w14:textId="77777777" w:rsidR="00FC3F34" w:rsidRPr="00E97AFD" w:rsidRDefault="00C00F5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3、</w:t>
      </w:r>
      <w:r w:rsidR="00FC3F34" w:rsidRPr="00E97AFD">
        <w:rPr>
          <w:rFonts w:asciiTheme="minorEastAsia" w:eastAsiaTheme="minorEastAsia" w:hAnsiTheme="minorEastAsia" w:hint="eastAsia"/>
          <w:szCs w:val="21"/>
        </w:rPr>
        <w:t>本基金根据每日基金收益情况，以基金已实现收益为基准，为投资人每日计算当日收益并分配（该收益将会计确认为实收基金，参与下一日的收益分配）。通常情况下，本基金的收益支付方式为按月支付，对于可支持按日支付的销售机构，本基金的收益支付方式经基金管理人和销售机构双方协商一致后可以按日支付。不论何种支付方式，当日收益均参与下一日的收益分配，不影响基金份额持有人实际获得的投资收益。投资人当日收益分配的计算保留到小数点后2位，小数点后第3位按去尾原则处理，因去尾形成的余额进行再次分配，直到分完为止；</w:t>
      </w:r>
    </w:p>
    <w:p w14:paraId="0BF7FE2F" w14:textId="77777777" w:rsidR="00FC3F34" w:rsidRPr="00E97AFD" w:rsidRDefault="00C00F5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4、</w:t>
      </w:r>
      <w:r w:rsidR="00FC3F34" w:rsidRPr="00E97AFD">
        <w:rPr>
          <w:rFonts w:asciiTheme="minorEastAsia" w:eastAsiaTheme="minorEastAsia" w:hAnsiTheme="minorEastAsia" w:hint="eastAsia"/>
          <w:szCs w:val="21"/>
        </w:rPr>
        <w:t>本基金根据每日收益情况，将当日收益全部分配，若当日已实现收益大于零时，为投资人记正收益；若当日已实现收益小于零时，为投资人记负收益；若当日已实现收益等于零时，当日投资人不记收益；</w:t>
      </w:r>
    </w:p>
    <w:p w14:paraId="43DEFDF5" w14:textId="77777777" w:rsidR="00FC3F34" w:rsidRPr="00E97AFD" w:rsidRDefault="00C00F5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5、</w:t>
      </w:r>
      <w:r w:rsidR="00FC3F34" w:rsidRPr="00E97AFD">
        <w:rPr>
          <w:rFonts w:asciiTheme="minorEastAsia" w:eastAsiaTheme="minorEastAsia" w:hAnsiTheme="minorEastAsia" w:hint="eastAsia"/>
          <w:szCs w:val="21"/>
        </w:rPr>
        <w:t>本基金每日进行收益计算并分配时，定期累计收益支付方式只采用红利再投资(即红利转基金份额)方式，投资人可通过赎回基金份额获得现金收益；若投资人在定期累计收益支付时，其累计收益为正值，则为投资人增加相应的基金份额，其累计收益为负值，则缩减投资人基金份额；</w:t>
      </w:r>
    </w:p>
    <w:p w14:paraId="5CC17246" w14:textId="77777777" w:rsidR="00FC3F34" w:rsidRPr="00E97AFD" w:rsidRDefault="00C00F5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6、</w:t>
      </w:r>
      <w:r w:rsidR="00FC3F34" w:rsidRPr="00E97AFD">
        <w:rPr>
          <w:rFonts w:asciiTheme="minorEastAsia" w:eastAsiaTheme="minorEastAsia" w:hAnsiTheme="minorEastAsia" w:hint="eastAsia"/>
          <w:szCs w:val="21"/>
        </w:rPr>
        <w:t>当日申购的基金份额自下一个工作日起，享有基金的收益分配权益；当日赎回的基金份额自下一个工作日起，不享有基金的收益分配权益；</w:t>
      </w:r>
    </w:p>
    <w:p w14:paraId="0449D235" w14:textId="77777777" w:rsidR="00FC3F34" w:rsidRPr="00E97AFD" w:rsidRDefault="00FC3F34"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7</w:t>
      </w:r>
      <w:r w:rsidR="00C00F5E" w:rsidRPr="00E97AFD">
        <w:rPr>
          <w:rFonts w:asciiTheme="minorEastAsia" w:eastAsiaTheme="minorEastAsia" w:hAnsiTheme="minorEastAsia" w:hint="eastAsia"/>
          <w:szCs w:val="21"/>
        </w:rPr>
        <w:t>、</w:t>
      </w:r>
      <w:r w:rsidRPr="00E97AFD">
        <w:rPr>
          <w:rFonts w:asciiTheme="minorEastAsia" w:eastAsiaTheme="minorEastAsia" w:hAnsiTheme="minorEastAsia" w:hint="eastAsia"/>
          <w:szCs w:val="21"/>
        </w:rPr>
        <w:t>在不违反法律法规且对基金份额持有人利益无实质不利影响的前提下，基金管理人可调整基金收益的分配原则和支付方式，不需召开基金份额持有人大会审议；</w:t>
      </w:r>
    </w:p>
    <w:p w14:paraId="1F11E883" w14:textId="77777777" w:rsidR="00580FE0" w:rsidRPr="00E97AFD" w:rsidRDefault="00C00F5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8、</w:t>
      </w:r>
      <w:r w:rsidR="00FC3F34" w:rsidRPr="00E97AFD">
        <w:rPr>
          <w:rFonts w:asciiTheme="minorEastAsia" w:eastAsiaTheme="minorEastAsia" w:hAnsiTheme="minorEastAsia" w:hint="eastAsia"/>
          <w:szCs w:val="21"/>
        </w:rPr>
        <w:t>法律法规或监管机构另有规定的从其规定</w:t>
      </w:r>
      <w:r w:rsidR="00BA746E" w:rsidRPr="00E97AFD">
        <w:rPr>
          <w:rFonts w:asciiTheme="minorEastAsia" w:eastAsiaTheme="minorEastAsia" w:hAnsiTheme="minorEastAsia" w:hint="eastAsia"/>
          <w:szCs w:val="21"/>
        </w:rPr>
        <w:t>。</w:t>
      </w:r>
    </w:p>
    <w:p w14:paraId="0D11B858" w14:textId="77777777" w:rsidR="00580FE0" w:rsidRPr="00E97AFD" w:rsidRDefault="00580FE0"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(三)收益分配方案</w:t>
      </w:r>
    </w:p>
    <w:p w14:paraId="7BD9B7C5" w14:textId="77777777" w:rsidR="00580FE0" w:rsidRPr="00E97AFD" w:rsidRDefault="00580FE0" w:rsidP="00966694">
      <w:pPr>
        <w:snapToGrid w:val="0"/>
        <w:spacing w:line="360" w:lineRule="auto"/>
        <w:ind w:firstLineChars="200" w:firstLine="420"/>
        <w:rPr>
          <w:rFonts w:asciiTheme="minorEastAsia" w:eastAsiaTheme="minorEastAsia" w:hAnsiTheme="minorEastAsia" w:cs="Heiti SC Light"/>
          <w:szCs w:val="21"/>
        </w:rPr>
      </w:pPr>
      <w:r w:rsidRPr="00E97AFD">
        <w:rPr>
          <w:rFonts w:asciiTheme="minorEastAsia" w:eastAsiaTheme="minorEastAsia" w:hAnsiTheme="minorEastAsia" w:cs="Heiti SC Light" w:hint="eastAsia"/>
          <w:szCs w:val="21"/>
        </w:rPr>
        <w:t>本基金按日计算并分配收益，基金管理人不另行公告基金收益分配方案。</w:t>
      </w:r>
    </w:p>
    <w:p w14:paraId="6A6BFC6C" w14:textId="77777777" w:rsidR="00580FE0" w:rsidRPr="00E97AFD" w:rsidRDefault="00580FE0" w:rsidP="00966694">
      <w:pPr>
        <w:snapToGrid w:val="0"/>
        <w:spacing w:line="360" w:lineRule="auto"/>
        <w:ind w:firstLineChars="200" w:firstLine="420"/>
        <w:rPr>
          <w:rFonts w:asciiTheme="minorEastAsia" w:eastAsiaTheme="minorEastAsia" w:hAnsiTheme="minorEastAsia" w:cs="Heiti SC Light"/>
          <w:szCs w:val="21"/>
        </w:rPr>
      </w:pPr>
      <w:r w:rsidRPr="00E97AFD">
        <w:rPr>
          <w:rFonts w:asciiTheme="minorEastAsia" w:eastAsiaTheme="minorEastAsia" w:hAnsiTheme="minorEastAsia" w:cs="Heiti SC Light" w:hint="eastAsia"/>
          <w:szCs w:val="21"/>
        </w:rPr>
        <w:t>(四)收益分配的时间和程序</w:t>
      </w:r>
    </w:p>
    <w:p w14:paraId="4BBF9ED0" w14:textId="77777777" w:rsidR="00BA746E" w:rsidRPr="00E97AFD" w:rsidRDefault="00BA746E" w:rsidP="00966694">
      <w:pPr>
        <w:snapToGrid w:val="0"/>
        <w:spacing w:line="360" w:lineRule="auto"/>
        <w:ind w:firstLineChars="200" w:firstLine="420"/>
        <w:rPr>
          <w:rFonts w:asciiTheme="minorEastAsia" w:eastAsiaTheme="minorEastAsia" w:hAnsiTheme="minorEastAsia" w:cs="Heiti SC Light"/>
          <w:szCs w:val="21"/>
        </w:rPr>
      </w:pPr>
      <w:r w:rsidRPr="00E97AFD">
        <w:rPr>
          <w:rFonts w:asciiTheme="minorEastAsia" w:eastAsiaTheme="minorEastAsia" w:hAnsiTheme="minorEastAsia" w:cs="Heiti SC Light" w:hint="eastAsia"/>
          <w:szCs w:val="21"/>
        </w:rPr>
        <w:t>本基金每日进行收益分配。</w:t>
      </w:r>
    </w:p>
    <w:p w14:paraId="113C7AC4" w14:textId="77777777" w:rsidR="00114D89" w:rsidRPr="00E97AFD" w:rsidRDefault="00FC3F34"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通常情况下，本基金每月15日（如遇特殊情况，本公司将另行公告）例行对累计实现的收益进行收益结转(如遇节假日顺延，例行的收益结转不再另行公告)；对于可支持按日支付的销售机构，本基金的收益支付方式经基金管理人和销售机构双方协商一致后可以按日支</w:t>
      </w:r>
      <w:r w:rsidRPr="00E97AFD">
        <w:rPr>
          <w:rFonts w:asciiTheme="minorEastAsia" w:eastAsiaTheme="minorEastAsia" w:hAnsiTheme="minorEastAsia" w:hint="eastAsia"/>
          <w:szCs w:val="21"/>
        </w:rPr>
        <w:lastRenderedPageBreak/>
        <w:t>付</w:t>
      </w:r>
      <w:r w:rsidR="00257A68" w:rsidRPr="00E97AFD">
        <w:rPr>
          <w:rFonts w:asciiTheme="minorEastAsia" w:eastAsiaTheme="minorEastAsia" w:hAnsiTheme="minorEastAsia" w:hint="eastAsia"/>
          <w:szCs w:val="21"/>
        </w:rPr>
        <w:t>。</w:t>
      </w:r>
    </w:p>
    <w:p w14:paraId="583E6594" w14:textId="77777777" w:rsidR="00BA4B87" w:rsidRPr="00E97AFD" w:rsidRDefault="00BA4B87" w:rsidP="00650844">
      <w:pPr>
        <w:pStyle w:val="1"/>
        <w:snapToGrid w:val="0"/>
        <w:spacing w:beforeLines="0" w:afterLines="0" w:line="360" w:lineRule="auto"/>
        <w:ind w:firstLine="640"/>
        <w:rPr>
          <w:rFonts w:asciiTheme="minorEastAsia" w:eastAsiaTheme="minorEastAsia" w:hAnsiTheme="minorEastAsia"/>
          <w:b/>
          <w:sz w:val="30"/>
        </w:rPr>
      </w:pPr>
      <w:r w:rsidRPr="00E97AFD">
        <w:rPr>
          <w:rFonts w:asciiTheme="minorEastAsia" w:eastAsiaTheme="minorEastAsia" w:hAnsiTheme="minorEastAsia"/>
        </w:rPr>
        <w:br w:type="column"/>
      </w:r>
      <w:bookmarkStart w:id="73" w:name="_Toc43371987"/>
      <w:r w:rsidR="00D708BF" w:rsidRPr="00E97AFD">
        <w:rPr>
          <w:rFonts w:asciiTheme="minorEastAsia" w:eastAsiaTheme="minorEastAsia" w:hAnsiTheme="minorEastAsia"/>
          <w:b/>
          <w:sz w:val="30"/>
        </w:rPr>
        <w:lastRenderedPageBreak/>
        <w:t>十</w:t>
      </w:r>
      <w:r w:rsidR="00D708BF" w:rsidRPr="00E97AFD">
        <w:rPr>
          <w:rFonts w:asciiTheme="minorEastAsia" w:eastAsiaTheme="minorEastAsia" w:hAnsiTheme="minorEastAsia" w:hint="eastAsia"/>
          <w:b/>
          <w:sz w:val="30"/>
        </w:rPr>
        <w:t>七</w:t>
      </w:r>
      <w:r w:rsidRPr="00E97AFD">
        <w:rPr>
          <w:rFonts w:asciiTheme="minorEastAsia" w:eastAsiaTheme="minorEastAsia" w:hAnsiTheme="minorEastAsia"/>
          <w:b/>
          <w:sz w:val="30"/>
        </w:rPr>
        <w:t>、基金的费用与税收</w:t>
      </w:r>
      <w:bookmarkEnd w:id="73"/>
    </w:p>
    <w:p w14:paraId="6CCBB754" w14:textId="77777777" w:rsidR="00D708BF" w:rsidRPr="00E97AFD" w:rsidRDefault="00531DA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（一）</w:t>
      </w:r>
      <w:r w:rsidR="00D708BF" w:rsidRPr="00E97AFD">
        <w:rPr>
          <w:rFonts w:asciiTheme="minorEastAsia" w:eastAsiaTheme="minorEastAsia" w:hAnsiTheme="minorEastAsia" w:hint="eastAsia"/>
          <w:bCs/>
          <w:szCs w:val="21"/>
        </w:rPr>
        <w:t>与基金运作相关的费用</w:t>
      </w:r>
    </w:p>
    <w:p w14:paraId="5E45062D" w14:textId="77777777" w:rsidR="00531DAE" w:rsidRPr="00E97AFD" w:rsidRDefault="00C00F5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1、</w:t>
      </w:r>
      <w:r w:rsidR="00531DAE" w:rsidRPr="00E97AFD">
        <w:rPr>
          <w:rFonts w:asciiTheme="minorEastAsia" w:eastAsiaTheme="minorEastAsia" w:hAnsiTheme="minorEastAsia"/>
          <w:bCs/>
          <w:szCs w:val="21"/>
        </w:rPr>
        <w:t>基金费用的种类</w:t>
      </w:r>
    </w:p>
    <w:p w14:paraId="190AE582" w14:textId="77777777" w:rsidR="00BA746E" w:rsidRPr="00E97AFD" w:rsidRDefault="00D708BF"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00BA746E" w:rsidRPr="00E97AFD">
        <w:rPr>
          <w:rFonts w:asciiTheme="minorEastAsia" w:eastAsiaTheme="minorEastAsia" w:hAnsiTheme="minorEastAsia" w:hint="eastAsia"/>
          <w:bCs/>
          <w:szCs w:val="21"/>
        </w:rPr>
        <w:t>1</w:t>
      </w:r>
      <w:r w:rsidRPr="00E97AFD">
        <w:rPr>
          <w:rFonts w:asciiTheme="minorEastAsia" w:eastAsiaTheme="minorEastAsia" w:hAnsiTheme="minorEastAsia" w:hint="eastAsia"/>
          <w:bCs/>
          <w:szCs w:val="21"/>
        </w:rPr>
        <w:t>）</w:t>
      </w:r>
      <w:r w:rsidR="00BA746E" w:rsidRPr="00E97AFD">
        <w:rPr>
          <w:rFonts w:asciiTheme="minorEastAsia" w:eastAsiaTheme="minorEastAsia" w:hAnsiTheme="minorEastAsia" w:hint="eastAsia"/>
          <w:bCs/>
          <w:szCs w:val="21"/>
        </w:rPr>
        <w:t>基金管理人的管理费；</w:t>
      </w:r>
    </w:p>
    <w:p w14:paraId="52137B0D" w14:textId="77777777" w:rsidR="00BA746E" w:rsidRPr="00E97AFD" w:rsidRDefault="00D708BF"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00BA746E" w:rsidRPr="00E97AFD">
        <w:rPr>
          <w:rFonts w:asciiTheme="minorEastAsia" w:eastAsiaTheme="minorEastAsia" w:hAnsiTheme="minorEastAsia" w:hint="eastAsia"/>
          <w:bCs/>
          <w:szCs w:val="21"/>
        </w:rPr>
        <w:t>2</w:t>
      </w:r>
      <w:r w:rsidRPr="00E97AFD">
        <w:rPr>
          <w:rFonts w:asciiTheme="minorEastAsia" w:eastAsiaTheme="minorEastAsia" w:hAnsiTheme="minorEastAsia" w:hint="eastAsia"/>
          <w:bCs/>
          <w:szCs w:val="21"/>
        </w:rPr>
        <w:t>）</w:t>
      </w:r>
      <w:r w:rsidR="00BA746E" w:rsidRPr="00E97AFD">
        <w:rPr>
          <w:rFonts w:asciiTheme="minorEastAsia" w:eastAsiaTheme="minorEastAsia" w:hAnsiTheme="minorEastAsia" w:hint="eastAsia"/>
          <w:bCs/>
          <w:szCs w:val="21"/>
        </w:rPr>
        <w:t>基金托管人的托管费；</w:t>
      </w:r>
    </w:p>
    <w:p w14:paraId="50647EDC" w14:textId="77777777" w:rsidR="00BA746E" w:rsidRPr="00E97AFD" w:rsidRDefault="00D708BF"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00BA746E" w:rsidRPr="00E97AFD">
        <w:rPr>
          <w:rFonts w:asciiTheme="minorEastAsia" w:eastAsiaTheme="minorEastAsia" w:hAnsiTheme="minorEastAsia" w:hint="eastAsia"/>
          <w:bCs/>
          <w:szCs w:val="21"/>
        </w:rPr>
        <w:t>3</w:t>
      </w:r>
      <w:r w:rsidRPr="00E97AFD">
        <w:rPr>
          <w:rFonts w:asciiTheme="minorEastAsia" w:eastAsiaTheme="minorEastAsia" w:hAnsiTheme="minorEastAsia" w:hint="eastAsia"/>
          <w:bCs/>
          <w:szCs w:val="21"/>
        </w:rPr>
        <w:t>）</w:t>
      </w:r>
      <w:r w:rsidR="00BA746E" w:rsidRPr="00E97AFD">
        <w:rPr>
          <w:rFonts w:asciiTheme="minorEastAsia" w:eastAsiaTheme="minorEastAsia" w:hAnsiTheme="minorEastAsia" w:hint="eastAsia"/>
          <w:bCs/>
          <w:szCs w:val="21"/>
        </w:rPr>
        <w:t>销售服务费；</w:t>
      </w:r>
    </w:p>
    <w:p w14:paraId="3A638F4B" w14:textId="77777777" w:rsidR="00BA746E" w:rsidRPr="00E97AFD" w:rsidRDefault="00D708BF"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00BA746E" w:rsidRPr="00E97AFD">
        <w:rPr>
          <w:rFonts w:asciiTheme="minorEastAsia" w:eastAsiaTheme="minorEastAsia" w:hAnsiTheme="minorEastAsia" w:hint="eastAsia"/>
          <w:bCs/>
          <w:szCs w:val="21"/>
        </w:rPr>
        <w:t>4</w:t>
      </w:r>
      <w:r w:rsidRPr="00E97AFD">
        <w:rPr>
          <w:rFonts w:asciiTheme="minorEastAsia" w:eastAsiaTheme="minorEastAsia" w:hAnsiTheme="minorEastAsia" w:hint="eastAsia"/>
          <w:bCs/>
          <w:szCs w:val="21"/>
        </w:rPr>
        <w:t>）</w:t>
      </w:r>
      <w:r w:rsidR="00BA746E" w:rsidRPr="00E97AFD">
        <w:rPr>
          <w:rFonts w:asciiTheme="minorEastAsia" w:eastAsiaTheme="minorEastAsia" w:hAnsiTheme="minorEastAsia" w:hint="eastAsia"/>
          <w:bCs/>
          <w:szCs w:val="21"/>
        </w:rPr>
        <w:t>《基金合同》生效后与基金相关的信息披露费用；</w:t>
      </w:r>
    </w:p>
    <w:p w14:paraId="187D1421" w14:textId="77777777" w:rsidR="00BA746E" w:rsidRPr="00E97AFD" w:rsidRDefault="00D708BF"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00BA746E" w:rsidRPr="00E97AFD">
        <w:rPr>
          <w:rFonts w:asciiTheme="minorEastAsia" w:eastAsiaTheme="minorEastAsia" w:hAnsiTheme="minorEastAsia" w:hint="eastAsia"/>
          <w:bCs/>
          <w:szCs w:val="21"/>
        </w:rPr>
        <w:t>5</w:t>
      </w:r>
      <w:r w:rsidRPr="00E97AFD">
        <w:rPr>
          <w:rFonts w:asciiTheme="minorEastAsia" w:eastAsiaTheme="minorEastAsia" w:hAnsiTheme="minorEastAsia" w:hint="eastAsia"/>
          <w:bCs/>
          <w:szCs w:val="21"/>
        </w:rPr>
        <w:t>）</w:t>
      </w:r>
      <w:r w:rsidR="00BA746E" w:rsidRPr="00E97AFD">
        <w:rPr>
          <w:rFonts w:asciiTheme="minorEastAsia" w:eastAsiaTheme="minorEastAsia" w:hAnsiTheme="minorEastAsia" w:hint="eastAsia"/>
          <w:bCs/>
          <w:szCs w:val="21"/>
        </w:rPr>
        <w:t>《基金合同》生效后与基金相关的会计师费、律师费、诉讼费和仲裁费；</w:t>
      </w:r>
    </w:p>
    <w:p w14:paraId="1179EE56" w14:textId="77777777" w:rsidR="00BA746E" w:rsidRPr="00E97AFD" w:rsidRDefault="00D708BF"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00BA746E" w:rsidRPr="00E97AFD">
        <w:rPr>
          <w:rFonts w:asciiTheme="minorEastAsia" w:eastAsiaTheme="minorEastAsia" w:hAnsiTheme="minorEastAsia" w:hint="eastAsia"/>
          <w:bCs/>
          <w:szCs w:val="21"/>
        </w:rPr>
        <w:t>6</w:t>
      </w:r>
      <w:r w:rsidRPr="00E97AFD">
        <w:rPr>
          <w:rFonts w:asciiTheme="minorEastAsia" w:eastAsiaTheme="minorEastAsia" w:hAnsiTheme="minorEastAsia" w:hint="eastAsia"/>
          <w:bCs/>
          <w:szCs w:val="21"/>
        </w:rPr>
        <w:t>）</w:t>
      </w:r>
      <w:r w:rsidR="00BA746E" w:rsidRPr="00E97AFD">
        <w:rPr>
          <w:rFonts w:asciiTheme="minorEastAsia" w:eastAsiaTheme="minorEastAsia" w:hAnsiTheme="minorEastAsia" w:hint="eastAsia"/>
          <w:bCs/>
          <w:szCs w:val="21"/>
        </w:rPr>
        <w:t>基金份额持有人大会费用；</w:t>
      </w:r>
    </w:p>
    <w:p w14:paraId="0DB92380" w14:textId="77777777" w:rsidR="00BA746E" w:rsidRPr="00E97AFD" w:rsidRDefault="00D708BF"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00BA746E" w:rsidRPr="00E97AFD">
        <w:rPr>
          <w:rFonts w:asciiTheme="minorEastAsia" w:eastAsiaTheme="minorEastAsia" w:hAnsiTheme="minorEastAsia" w:hint="eastAsia"/>
          <w:bCs/>
          <w:szCs w:val="21"/>
        </w:rPr>
        <w:t>7</w:t>
      </w:r>
      <w:r w:rsidRPr="00E97AFD">
        <w:rPr>
          <w:rFonts w:asciiTheme="minorEastAsia" w:eastAsiaTheme="minorEastAsia" w:hAnsiTheme="minorEastAsia" w:hint="eastAsia"/>
          <w:bCs/>
          <w:szCs w:val="21"/>
        </w:rPr>
        <w:t>）</w:t>
      </w:r>
      <w:r w:rsidR="00BA746E" w:rsidRPr="00E97AFD">
        <w:rPr>
          <w:rFonts w:asciiTheme="minorEastAsia" w:eastAsiaTheme="minorEastAsia" w:hAnsiTheme="minorEastAsia" w:hint="eastAsia"/>
          <w:bCs/>
          <w:szCs w:val="21"/>
        </w:rPr>
        <w:t>基金的证券交易费用；</w:t>
      </w:r>
    </w:p>
    <w:p w14:paraId="12939934" w14:textId="77777777" w:rsidR="00BA746E" w:rsidRPr="00E97AFD" w:rsidRDefault="00D708BF"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00BA746E" w:rsidRPr="00E97AFD">
        <w:rPr>
          <w:rFonts w:asciiTheme="minorEastAsia" w:eastAsiaTheme="minorEastAsia" w:hAnsiTheme="minorEastAsia" w:hint="eastAsia"/>
          <w:bCs/>
          <w:szCs w:val="21"/>
        </w:rPr>
        <w:t>8</w:t>
      </w:r>
      <w:r w:rsidRPr="00E97AFD">
        <w:rPr>
          <w:rFonts w:asciiTheme="minorEastAsia" w:eastAsiaTheme="minorEastAsia" w:hAnsiTheme="minorEastAsia" w:hint="eastAsia"/>
          <w:bCs/>
          <w:szCs w:val="21"/>
        </w:rPr>
        <w:t>）</w:t>
      </w:r>
      <w:r w:rsidR="00BA746E" w:rsidRPr="00E97AFD">
        <w:rPr>
          <w:rFonts w:asciiTheme="minorEastAsia" w:eastAsiaTheme="minorEastAsia" w:hAnsiTheme="minorEastAsia" w:hint="eastAsia"/>
          <w:bCs/>
          <w:szCs w:val="21"/>
        </w:rPr>
        <w:t>基金的银行汇划费用；</w:t>
      </w:r>
    </w:p>
    <w:p w14:paraId="4369201B" w14:textId="77777777" w:rsidR="00BA746E" w:rsidRPr="00E97AFD" w:rsidRDefault="00D708BF"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00BA746E" w:rsidRPr="00E97AFD">
        <w:rPr>
          <w:rFonts w:asciiTheme="minorEastAsia" w:eastAsiaTheme="minorEastAsia" w:hAnsiTheme="minorEastAsia" w:hint="eastAsia"/>
          <w:bCs/>
          <w:szCs w:val="21"/>
        </w:rPr>
        <w:t>9</w:t>
      </w:r>
      <w:r w:rsidRPr="00E97AFD">
        <w:rPr>
          <w:rFonts w:asciiTheme="minorEastAsia" w:eastAsiaTheme="minorEastAsia" w:hAnsiTheme="minorEastAsia" w:hint="eastAsia"/>
          <w:bCs/>
          <w:szCs w:val="21"/>
        </w:rPr>
        <w:t>）</w:t>
      </w:r>
      <w:r w:rsidR="00BA746E" w:rsidRPr="00E97AFD">
        <w:rPr>
          <w:rFonts w:asciiTheme="minorEastAsia" w:eastAsiaTheme="minorEastAsia" w:hAnsiTheme="minorEastAsia" w:hint="eastAsia"/>
          <w:bCs/>
          <w:szCs w:val="21"/>
        </w:rPr>
        <w:t>证券账户开户费用、银行账户维护费用；</w:t>
      </w:r>
    </w:p>
    <w:p w14:paraId="330178D6" w14:textId="77777777" w:rsidR="00531DAE" w:rsidRPr="00E97AFD" w:rsidRDefault="00D708BF"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00BA746E" w:rsidRPr="00E97AFD">
        <w:rPr>
          <w:rFonts w:asciiTheme="minorEastAsia" w:eastAsiaTheme="minorEastAsia" w:hAnsiTheme="minorEastAsia" w:hint="eastAsia"/>
          <w:bCs/>
          <w:szCs w:val="21"/>
        </w:rPr>
        <w:t>10</w:t>
      </w:r>
      <w:r w:rsidRPr="00E97AFD">
        <w:rPr>
          <w:rFonts w:asciiTheme="minorEastAsia" w:eastAsiaTheme="minorEastAsia" w:hAnsiTheme="minorEastAsia" w:hint="eastAsia"/>
          <w:bCs/>
          <w:szCs w:val="21"/>
        </w:rPr>
        <w:t>）</w:t>
      </w:r>
      <w:r w:rsidR="00BA746E" w:rsidRPr="00E97AFD">
        <w:rPr>
          <w:rFonts w:asciiTheme="minorEastAsia" w:eastAsiaTheme="minorEastAsia" w:hAnsiTheme="minorEastAsia" w:hint="eastAsia"/>
          <w:bCs/>
          <w:szCs w:val="21"/>
        </w:rPr>
        <w:t>按照国家有关规定和《基金合同》约定，可以在基金财产中列支的其他费用。</w:t>
      </w:r>
    </w:p>
    <w:p w14:paraId="5A857917" w14:textId="77777777" w:rsidR="00531DAE" w:rsidRPr="00E97AFD" w:rsidRDefault="00C00F5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2、</w:t>
      </w:r>
      <w:r w:rsidR="00531DAE" w:rsidRPr="00E97AFD">
        <w:rPr>
          <w:rFonts w:asciiTheme="minorEastAsia" w:eastAsiaTheme="minorEastAsia" w:hAnsiTheme="minorEastAsia"/>
          <w:bCs/>
          <w:szCs w:val="21"/>
        </w:rPr>
        <w:t>基金费用计提方法、计提标准和支付方式</w:t>
      </w:r>
    </w:p>
    <w:p w14:paraId="4D834EE8" w14:textId="77777777" w:rsidR="00BA746E" w:rsidRPr="00E97AFD" w:rsidRDefault="00D708BF"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00BA746E" w:rsidRPr="00E97AFD">
        <w:rPr>
          <w:rFonts w:asciiTheme="minorEastAsia" w:eastAsiaTheme="minorEastAsia" w:hAnsiTheme="minorEastAsia" w:hint="eastAsia"/>
          <w:bCs/>
          <w:szCs w:val="21"/>
        </w:rPr>
        <w:t>1</w:t>
      </w:r>
      <w:r w:rsidRPr="00E97AFD">
        <w:rPr>
          <w:rFonts w:asciiTheme="minorEastAsia" w:eastAsiaTheme="minorEastAsia" w:hAnsiTheme="minorEastAsia" w:hint="eastAsia"/>
          <w:bCs/>
          <w:szCs w:val="21"/>
        </w:rPr>
        <w:t>）</w:t>
      </w:r>
      <w:r w:rsidR="00BA746E" w:rsidRPr="00E97AFD">
        <w:rPr>
          <w:rFonts w:asciiTheme="minorEastAsia" w:eastAsiaTheme="minorEastAsia" w:hAnsiTheme="minorEastAsia" w:hint="eastAsia"/>
          <w:bCs/>
          <w:szCs w:val="21"/>
        </w:rPr>
        <w:t>基金管理人的管理费</w:t>
      </w:r>
    </w:p>
    <w:p w14:paraId="4176F52B"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本基金的管理费按前一日基金资产净值的0.</w:t>
      </w:r>
      <w:r w:rsidR="002F72F1" w:rsidRPr="00E97AFD">
        <w:rPr>
          <w:rFonts w:asciiTheme="minorEastAsia" w:eastAsiaTheme="minorEastAsia" w:hAnsiTheme="minorEastAsia" w:hint="eastAsia"/>
          <w:bCs/>
          <w:szCs w:val="21"/>
        </w:rPr>
        <w:t>33</w:t>
      </w:r>
      <w:r w:rsidRPr="00E97AFD">
        <w:rPr>
          <w:rFonts w:asciiTheme="minorEastAsia" w:eastAsiaTheme="minorEastAsia" w:hAnsiTheme="minorEastAsia" w:hint="eastAsia"/>
          <w:bCs/>
          <w:szCs w:val="21"/>
        </w:rPr>
        <w:t>%年费率计提。管理费的计算方法如下：</w:t>
      </w:r>
    </w:p>
    <w:p w14:paraId="0BA85920"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H＝E×0.</w:t>
      </w:r>
      <w:r w:rsidR="002F72F1" w:rsidRPr="00E97AFD">
        <w:rPr>
          <w:rFonts w:asciiTheme="minorEastAsia" w:eastAsiaTheme="minorEastAsia" w:hAnsiTheme="minorEastAsia" w:hint="eastAsia"/>
          <w:bCs/>
          <w:szCs w:val="21"/>
        </w:rPr>
        <w:t>33</w:t>
      </w:r>
      <w:r w:rsidRPr="00E97AFD">
        <w:rPr>
          <w:rFonts w:asciiTheme="minorEastAsia" w:eastAsiaTheme="minorEastAsia" w:hAnsiTheme="minorEastAsia" w:hint="eastAsia"/>
          <w:bCs/>
          <w:szCs w:val="21"/>
        </w:rPr>
        <w:t>%÷当年天数</w:t>
      </w:r>
    </w:p>
    <w:p w14:paraId="546FE6AF"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H为每日应计提的基金管理费</w:t>
      </w:r>
    </w:p>
    <w:p w14:paraId="63F19B0B"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E为前一日的基金资产净值</w:t>
      </w:r>
    </w:p>
    <w:p w14:paraId="46D5DC2C"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管理费每日计提，按月支付。由基金托管人根据与基金管理人核对一致的财务数据，自动在月初5个工作日内、按照指定的帐户路径进行资金支付，基金管理人无需再出具资金划拨指令。若遇法定节假日、休息日等，支付日期顺延。费用自动扣划后，基金管理人应进行核对，如发现数据不符，及时联系基金托管人协商解决。</w:t>
      </w:r>
    </w:p>
    <w:p w14:paraId="156C6266" w14:textId="77777777" w:rsidR="00BA746E" w:rsidRPr="00E97AFD" w:rsidRDefault="00D708BF"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00BA746E" w:rsidRPr="00E97AFD">
        <w:rPr>
          <w:rFonts w:asciiTheme="minorEastAsia" w:eastAsiaTheme="minorEastAsia" w:hAnsiTheme="minorEastAsia" w:hint="eastAsia"/>
          <w:bCs/>
          <w:szCs w:val="21"/>
        </w:rPr>
        <w:t>2</w:t>
      </w:r>
      <w:r w:rsidRPr="00E97AFD">
        <w:rPr>
          <w:rFonts w:asciiTheme="minorEastAsia" w:eastAsiaTheme="minorEastAsia" w:hAnsiTheme="minorEastAsia" w:hint="eastAsia"/>
          <w:bCs/>
          <w:szCs w:val="21"/>
        </w:rPr>
        <w:t>）</w:t>
      </w:r>
      <w:r w:rsidR="00BA746E" w:rsidRPr="00E97AFD">
        <w:rPr>
          <w:rFonts w:asciiTheme="minorEastAsia" w:eastAsiaTheme="minorEastAsia" w:hAnsiTheme="minorEastAsia" w:hint="eastAsia"/>
          <w:bCs/>
          <w:szCs w:val="21"/>
        </w:rPr>
        <w:t>基金托管人的托管费</w:t>
      </w:r>
    </w:p>
    <w:p w14:paraId="7A07916F"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本基金的托管费按前一日基金资产净值的0.</w:t>
      </w:r>
      <w:r w:rsidR="009455A5" w:rsidRPr="00E97AFD">
        <w:rPr>
          <w:rFonts w:asciiTheme="minorEastAsia" w:eastAsiaTheme="minorEastAsia" w:hAnsiTheme="minorEastAsia" w:hint="eastAsia"/>
          <w:bCs/>
          <w:szCs w:val="21"/>
        </w:rPr>
        <w:t>10</w:t>
      </w:r>
      <w:r w:rsidRPr="00E97AFD">
        <w:rPr>
          <w:rFonts w:asciiTheme="minorEastAsia" w:eastAsiaTheme="minorEastAsia" w:hAnsiTheme="minorEastAsia" w:hint="eastAsia"/>
          <w:bCs/>
          <w:szCs w:val="21"/>
        </w:rPr>
        <w:t>%的年费率计提。托管费的计算方法如下：</w:t>
      </w:r>
    </w:p>
    <w:p w14:paraId="0F6339E0"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H＝E×0.</w:t>
      </w:r>
      <w:r w:rsidR="009455A5" w:rsidRPr="00E97AFD">
        <w:rPr>
          <w:rFonts w:asciiTheme="minorEastAsia" w:eastAsiaTheme="minorEastAsia" w:hAnsiTheme="minorEastAsia" w:hint="eastAsia"/>
          <w:bCs/>
          <w:szCs w:val="21"/>
        </w:rPr>
        <w:t>10</w:t>
      </w:r>
      <w:r w:rsidRPr="00E97AFD">
        <w:rPr>
          <w:rFonts w:asciiTheme="minorEastAsia" w:eastAsiaTheme="minorEastAsia" w:hAnsiTheme="minorEastAsia" w:hint="eastAsia"/>
          <w:bCs/>
          <w:szCs w:val="21"/>
        </w:rPr>
        <w:t>%÷当年天数</w:t>
      </w:r>
    </w:p>
    <w:p w14:paraId="6CB0053D"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H为每日应计提的基金托管费</w:t>
      </w:r>
    </w:p>
    <w:p w14:paraId="37C5DE36"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E为前一日的基金资产净值</w:t>
      </w:r>
    </w:p>
    <w:p w14:paraId="3CEA8A92"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托管费每日计提，按月支付。由基金托管人根据与基金管理人核对一致的财务数据，自动在月初5个工作日内、按照指定的帐户路径进行资金支付，基金管理人无需再出具资金划拨指令。若遇法定节假日、休息日等，支付日期顺延。费用自动扣划后，基金管理人应进行核对，如发现数据不符，及时联系基金托管人协商解决。</w:t>
      </w:r>
    </w:p>
    <w:p w14:paraId="0CD2CB6C" w14:textId="77777777" w:rsidR="00BA746E" w:rsidRPr="00E97AFD" w:rsidRDefault="00D708BF"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00BA746E" w:rsidRPr="00E97AFD">
        <w:rPr>
          <w:rFonts w:asciiTheme="minorEastAsia" w:eastAsiaTheme="minorEastAsia" w:hAnsiTheme="minorEastAsia" w:hint="eastAsia"/>
          <w:bCs/>
          <w:szCs w:val="21"/>
        </w:rPr>
        <w:t>3</w:t>
      </w:r>
      <w:r w:rsidRPr="00E97AFD">
        <w:rPr>
          <w:rFonts w:asciiTheme="minorEastAsia" w:eastAsiaTheme="minorEastAsia" w:hAnsiTheme="minorEastAsia" w:hint="eastAsia"/>
          <w:bCs/>
          <w:szCs w:val="21"/>
        </w:rPr>
        <w:t>）</w:t>
      </w:r>
      <w:r w:rsidR="00BA746E" w:rsidRPr="00E97AFD">
        <w:rPr>
          <w:rFonts w:asciiTheme="minorEastAsia" w:eastAsiaTheme="minorEastAsia" w:hAnsiTheme="minorEastAsia" w:hint="eastAsia"/>
          <w:bCs/>
          <w:szCs w:val="21"/>
        </w:rPr>
        <w:t>基金销售服务费</w:t>
      </w:r>
    </w:p>
    <w:p w14:paraId="0DD2B38C"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本基金A类基金份额的年销售服务费率为0.25%，B类基金份额的年销售服务费率为</w:t>
      </w:r>
      <w:r w:rsidRPr="00E97AFD">
        <w:rPr>
          <w:rFonts w:asciiTheme="minorEastAsia" w:eastAsiaTheme="minorEastAsia" w:hAnsiTheme="minorEastAsia" w:hint="eastAsia"/>
          <w:bCs/>
          <w:szCs w:val="21"/>
        </w:rPr>
        <w:lastRenderedPageBreak/>
        <w:t>0.01%。两类基金份额的销售服务费计提的计算公式相同，具体如下：</w:t>
      </w:r>
    </w:p>
    <w:p w14:paraId="673EB602"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H＝E×年销售服务费率÷当年天数</w:t>
      </w:r>
    </w:p>
    <w:p w14:paraId="6BD954BF"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H为每日该类基金份额应计提的基金销售服务费</w:t>
      </w:r>
    </w:p>
    <w:p w14:paraId="0B95246B"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E为前一日该类基金份额的基金资产净值</w:t>
      </w:r>
    </w:p>
    <w:p w14:paraId="73A2C840" w14:textId="77777777" w:rsidR="00BA746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销售服务费每日计提，按月支付。由基金托管人根据与基金管理人核对一致的财务数据，自动在月初五个工作日内、按照指定的帐户路径进行资金支付，基金管理人无需再出具资金划拨指令。若遇法定节假日、休息日等，支付日期顺延。费用自动扣划后，基金管理人应进行核对，如发现数据不符，及时联系基金托管人协商解决。</w:t>
      </w:r>
    </w:p>
    <w:p w14:paraId="46E945F9" w14:textId="77777777" w:rsidR="00531DAE" w:rsidRPr="00E97AFD" w:rsidRDefault="00BA74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销售服务费可用于本基金市场推广、销售以及基金份额持有人服务等各项费用。</w:t>
      </w:r>
    </w:p>
    <w:p w14:paraId="7E2E2BB5" w14:textId="77777777" w:rsidR="00531DAE" w:rsidRPr="00E97AFD" w:rsidRDefault="00531DA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上述“</w:t>
      </w:r>
      <w:r w:rsidR="005F4355" w:rsidRPr="00E97AFD">
        <w:rPr>
          <w:rFonts w:asciiTheme="minorEastAsia" w:eastAsiaTheme="minorEastAsia" w:hAnsiTheme="minorEastAsia" w:hint="eastAsia"/>
          <w:bCs/>
          <w:szCs w:val="21"/>
        </w:rPr>
        <w:t>1、</w:t>
      </w:r>
      <w:r w:rsidRPr="00E97AFD">
        <w:rPr>
          <w:rFonts w:asciiTheme="minorEastAsia" w:eastAsiaTheme="minorEastAsia" w:hAnsiTheme="minorEastAsia" w:hint="eastAsia"/>
          <w:bCs/>
          <w:szCs w:val="21"/>
        </w:rPr>
        <w:t>基金费用的种类中第</w:t>
      </w:r>
      <w:r w:rsidR="004E2BF8" w:rsidRPr="00E97AFD">
        <w:rPr>
          <w:rFonts w:asciiTheme="minorEastAsia" w:eastAsiaTheme="minorEastAsia" w:hAnsiTheme="minorEastAsia" w:hint="eastAsia"/>
          <w:bCs/>
          <w:szCs w:val="21"/>
        </w:rPr>
        <w:t>（</w:t>
      </w:r>
      <w:r w:rsidRPr="00E97AFD">
        <w:rPr>
          <w:rFonts w:asciiTheme="minorEastAsia" w:eastAsiaTheme="minorEastAsia" w:hAnsiTheme="minorEastAsia" w:hint="eastAsia"/>
          <w:bCs/>
          <w:szCs w:val="21"/>
        </w:rPr>
        <w:t>4</w:t>
      </w:r>
      <w:r w:rsidR="004E2BF8" w:rsidRPr="00E97AFD">
        <w:rPr>
          <w:rFonts w:asciiTheme="minorEastAsia" w:eastAsiaTheme="minorEastAsia" w:hAnsiTheme="minorEastAsia" w:hint="eastAsia"/>
          <w:bCs/>
          <w:szCs w:val="21"/>
        </w:rPr>
        <w:t>）</w:t>
      </w:r>
      <w:r w:rsidRPr="00E97AFD">
        <w:rPr>
          <w:rFonts w:asciiTheme="minorEastAsia" w:eastAsiaTheme="minorEastAsia" w:hAnsiTheme="minorEastAsia" w:hint="eastAsia"/>
          <w:bCs/>
          <w:szCs w:val="21"/>
        </w:rPr>
        <w:t>－</w:t>
      </w:r>
      <w:r w:rsidR="004E2BF8" w:rsidRPr="00E97AFD">
        <w:rPr>
          <w:rFonts w:asciiTheme="minorEastAsia" w:eastAsiaTheme="minorEastAsia" w:hAnsiTheme="minorEastAsia" w:hint="eastAsia"/>
          <w:bCs/>
          <w:szCs w:val="21"/>
        </w:rPr>
        <w:t>（</w:t>
      </w:r>
      <w:r w:rsidRPr="00E97AFD">
        <w:rPr>
          <w:rFonts w:asciiTheme="minorEastAsia" w:eastAsiaTheme="minorEastAsia" w:hAnsiTheme="minorEastAsia" w:hint="eastAsia"/>
          <w:bCs/>
          <w:szCs w:val="21"/>
        </w:rPr>
        <w:t>10</w:t>
      </w:r>
      <w:r w:rsidR="004E2BF8" w:rsidRPr="00E97AFD">
        <w:rPr>
          <w:rFonts w:asciiTheme="minorEastAsia" w:eastAsiaTheme="minorEastAsia" w:hAnsiTheme="minorEastAsia" w:hint="eastAsia"/>
          <w:bCs/>
          <w:szCs w:val="21"/>
        </w:rPr>
        <w:t>）</w:t>
      </w:r>
      <w:r w:rsidRPr="00E97AFD">
        <w:rPr>
          <w:rFonts w:asciiTheme="minorEastAsia" w:eastAsiaTheme="minorEastAsia" w:hAnsiTheme="minorEastAsia" w:hint="eastAsia"/>
          <w:bCs/>
          <w:szCs w:val="21"/>
        </w:rPr>
        <w:t>项费用</w:t>
      </w:r>
      <w:r w:rsidR="00B41C60" w:rsidRPr="00E97AFD">
        <w:rPr>
          <w:rFonts w:asciiTheme="minorEastAsia" w:eastAsiaTheme="minorEastAsia" w:hAnsiTheme="minorEastAsia" w:hint="eastAsia"/>
          <w:bCs/>
          <w:szCs w:val="21"/>
        </w:rPr>
        <w:t>”</w:t>
      </w:r>
      <w:r w:rsidRPr="00E97AFD">
        <w:rPr>
          <w:rFonts w:asciiTheme="minorEastAsia" w:eastAsiaTheme="minorEastAsia" w:hAnsiTheme="minorEastAsia" w:hint="eastAsia"/>
          <w:bCs/>
          <w:szCs w:val="21"/>
        </w:rPr>
        <w:t>，根据有关法规及相应协议规</w:t>
      </w:r>
      <w:r w:rsidRPr="00E97AFD">
        <w:rPr>
          <w:rFonts w:asciiTheme="minorEastAsia" w:eastAsiaTheme="minorEastAsia" w:hAnsiTheme="minorEastAsia"/>
          <w:bCs/>
          <w:szCs w:val="21"/>
        </w:rPr>
        <w:t>定，按费用实际支出金额列入当期费用，由基金托管人从基金财产中支付。</w:t>
      </w:r>
    </w:p>
    <w:p w14:paraId="4C4FBF2E" w14:textId="77777777" w:rsidR="00531DAE" w:rsidRPr="00E97AFD" w:rsidRDefault="00C00F5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3、</w:t>
      </w:r>
      <w:r w:rsidR="00531DAE" w:rsidRPr="00E97AFD">
        <w:rPr>
          <w:rFonts w:asciiTheme="minorEastAsia" w:eastAsiaTheme="minorEastAsia" w:hAnsiTheme="minorEastAsia"/>
          <w:bCs/>
          <w:szCs w:val="21"/>
        </w:rPr>
        <w:t>不列入基金费用的项目</w:t>
      </w:r>
    </w:p>
    <w:p w14:paraId="2A662E70" w14:textId="77777777" w:rsidR="00531DAE" w:rsidRPr="00E97AFD" w:rsidRDefault="00531DA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下列费用不列入基金费用：</w:t>
      </w:r>
    </w:p>
    <w:p w14:paraId="2D1059A7" w14:textId="77777777" w:rsidR="00531DAE" w:rsidRPr="00E97AFD" w:rsidRDefault="00D708BF"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00531DAE"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w:t>
      </w:r>
      <w:r w:rsidR="00531DAE" w:rsidRPr="00E97AFD">
        <w:rPr>
          <w:rFonts w:asciiTheme="minorEastAsia" w:eastAsiaTheme="minorEastAsia" w:hAnsiTheme="minorEastAsia"/>
          <w:bCs/>
          <w:szCs w:val="21"/>
        </w:rPr>
        <w:t>基金管理人和基金托管人因未履行或未完全履行义务导致的费用支出或基金财产的损失；</w:t>
      </w:r>
    </w:p>
    <w:p w14:paraId="674C22C6" w14:textId="77777777" w:rsidR="00531DAE" w:rsidRPr="00E97AFD" w:rsidRDefault="00D708BF"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00531DAE"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w:t>
      </w:r>
      <w:r w:rsidR="00531DAE" w:rsidRPr="00E97AFD">
        <w:rPr>
          <w:rFonts w:asciiTheme="minorEastAsia" w:eastAsiaTheme="minorEastAsia" w:hAnsiTheme="minorEastAsia"/>
          <w:bCs/>
          <w:szCs w:val="21"/>
        </w:rPr>
        <w:t>基金管理人和基金托管人处理与基金运作无关的事项发生的费用；</w:t>
      </w:r>
    </w:p>
    <w:p w14:paraId="6EDEEE3A" w14:textId="77777777" w:rsidR="00531DAE" w:rsidRPr="00E97AFD" w:rsidRDefault="00D708BF"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00531DAE"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w:t>
      </w:r>
      <w:r w:rsidR="00531DAE" w:rsidRPr="00E97AFD">
        <w:rPr>
          <w:rFonts w:asciiTheme="minorEastAsia" w:eastAsiaTheme="minorEastAsia" w:hAnsiTheme="minorEastAsia"/>
          <w:bCs/>
          <w:szCs w:val="21"/>
        </w:rPr>
        <w:t>《基金合同》生效前的相关费用；</w:t>
      </w:r>
    </w:p>
    <w:p w14:paraId="79662146" w14:textId="77777777" w:rsidR="00531DAE" w:rsidRPr="00E97AFD" w:rsidRDefault="00D708BF"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00531DAE" w:rsidRPr="00E97AFD">
        <w:rPr>
          <w:rFonts w:asciiTheme="minorEastAsia" w:eastAsiaTheme="minorEastAsia" w:hAnsiTheme="minorEastAsia"/>
          <w:bCs/>
          <w:szCs w:val="21"/>
        </w:rPr>
        <w:t>4</w:t>
      </w:r>
      <w:r w:rsidRPr="00E97AFD">
        <w:rPr>
          <w:rFonts w:asciiTheme="minorEastAsia" w:eastAsiaTheme="minorEastAsia" w:hAnsiTheme="minorEastAsia" w:hint="eastAsia"/>
          <w:bCs/>
          <w:szCs w:val="21"/>
        </w:rPr>
        <w:t>）</w:t>
      </w:r>
      <w:r w:rsidR="00531DAE" w:rsidRPr="00E97AFD">
        <w:rPr>
          <w:rFonts w:asciiTheme="minorEastAsia" w:eastAsiaTheme="minorEastAsia" w:hAnsiTheme="minorEastAsia"/>
          <w:bCs/>
          <w:szCs w:val="21"/>
        </w:rPr>
        <w:t>其他根据相关法律法规及中国证监会的有关规定不得列入基金费用的项目。</w:t>
      </w:r>
    </w:p>
    <w:p w14:paraId="5E178485" w14:textId="77777777" w:rsidR="00531DAE" w:rsidRPr="00E97AFD" w:rsidRDefault="00C00F5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4、</w:t>
      </w:r>
      <w:r w:rsidR="00531DAE" w:rsidRPr="00E97AFD">
        <w:rPr>
          <w:rFonts w:asciiTheme="minorEastAsia" w:eastAsiaTheme="minorEastAsia" w:hAnsiTheme="minorEastAsia" w:hint="eastAsia"/>
          <w:bCs/>
          <w:szCs w:val="21"/>
        </w:rPr>
        <w:t>费用调整</w:t>
      </w:r>
    </w:p>
    <w:p w14:paraId="4743D987" w14:textId="77777777" w:rsidR="00531DAE" w:rsidRPr="00E97AFD" w:rsidRDefault="00531DAE"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基金管理人和基金托管人协商一致后，可按照基金发展情况，并根据法律法规规定和基金合同约定，调整基金管理费率、基金托管费率或基金销售服务费率等相关费率。</w:t>
      </w:r>
    </w:p>
    <w:p w14:paraId="10FCE983" w14:textId="77777777" w:rsidR="00D708BF" w:rsidRPr="00E97AFD" w:rsidRDefault="00D708BF"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（二）与基金销售相关的费用</w:t>
      </w:r>
    </w:p>
    <w:p w14:paraId="5196F56B" w14:textId="77777777" w:rsidR="00D708BF" w:rsidRPr="00E97AFD" w:rsidRDefault="00D708BF"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rPr>
        <w:t>1</w:t>
      </w:r>
      <w:r w:rsidR="00C00F5E" w:rsidRPr="00E97AFD">
        <w:rPr>
          <w:rFonts w:asciiTheme="minorEastAsia" w:eastAsiaTheme="minorEastAsia" w:hAnsiTheme="minorEastAsia" w:hint="eastAsia"/>
        </w:rPr>
        <w:t>、</w:t>
      </w:r>
      <w:r w:rsidRPr="00E97AFD">
        <w:rPr>
          <w:rFonts w:asciiTheme="minorEastAsia" w:eastAsiaTheme="minorEastAsia" w:hAnsiTheme="minorEastAsia" w:hint="eastAsia"/>
          <w:szCs w:val="21"/>
        </w:rPr>
        <w:t>本基金申购费、赎回费和转换费的费率水平、计算公式、收取方式和使用方式请详见本招募说明书“九、基金份额的申购、赎回”中的“</w:t>
      </w:r>
      <w:r w:rsidRPr="00E97AFD">
        <w:rPr>
          <w:rStyle w:val="da"/>
          <w:rFonts w:asciiTheme="minorEastAsia" w:eastAsiaTheme="minorEastAsia" w:hAnsiTheme="minorEastAsia" w:hint="eastAsia"/>
          <w:szCs w:val="21"/>
        </w:rPr>
        <w:t>（七）基金的申购费和赎回费</w:t>
      </w:r>
      <w:r w:rsidRPr="00E97AFD">
        <w:rPr>
          <w:rFonts w:asciiTheme="minorEastAsia" w:eastAsiaTheme="minorEastAsia" w:hAnsiTheme="minorEastAsia" w:hint="eastAsia"/>
          <w:szCs w:val="21"/>
        </w:rPr>
        <w:t>”、“</w:t>
      </w:r>
      <w:r w:rsidRPr="00E97AFD">
        <w:rPr>
          <w:rFonts w:asciiTheme="minorEastAsia" w:eastAsiaTheme="minorEastAsia" w:hAnsiTheme="minorEastAsia"/>
          <w:szCs w:val="21"/>
        </w:rPr>
        <w:t>(八)申购和赎回的数额和价格</w:t>
      </w:r>
      <w:r w:rsidRPr="00E97AFD">
        <w:rPr>
          <w:rFonts w:asciiTheme="minorEastAsia" w:eastAsiaTheme="minorEastAsia" w:hAnsiTheme="minorEastAsia" w:hint="eastAsia"/>
          <w:szCs w:val="21"/>
        </w:rPr>
        <w:t>”和“十、基金的转换”中的“（五）基金转换费率”、“（六）基金转换份额的计算方式”的相关规定。</w:t>
      </w:r>
    </w:p>
    <w:p w14:paraId="2751F7DE" w14:textId="77777777" w:rsidR="00D708BF" w:rsidRPr="00E97AFD" w:rsidRDefault="00C00F5E" w:rsidP="00966694">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2、</w:t>
      </w:r>
      <w:r w:rsidR="00D708BF" w:rsidRPr="00E97AFD">
        <w:rPr>
          <w:rFonts w:asciiTheme="minorEastAsia" w:eastAsiaTheme="minorEastAsia" w:hAnsiTheme="minorEastAsia" w:hint="eastAsia"/>
          <w:szCs w:val="21"/>
        </w:rPr>
        <w:t>投资者通过本公司网上交易系统（www.efunds.com.cn）进行申购、赎回和转换的交易费率，请具体参照我公司网站上的相关说明。</w:t>
      </w:r>
    </w:p>
    <w:p w14:paraId="0E9ECC01" w14:textId="3936540E" w:rsidR="00D708BF" w:rsidRPr="00E97AFD" w:rsidRDefault="00C00F5E" w:rsidP="00966694">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hint="eastAsia"/>
        </w:rPr>
        <w:t>3、</w:t>
      </w:r>
      <w:r w:rsidR="00D708BF" w:rsidRPr="00E97AFD">
        <w:rPr>
          <w:rFonts w:asciiTheme="minorEastAsia" w:eastAsiaTheme="minorEastAsia" w:hAnsiTheme="minorEastAsia" w:hint="eastAsia"/>
        </w:rPr>
        <w:t>基金管理人可以在法律法规和基金合同规定的范围内调整上述费率。上述费率如发生变更，基金管理人最迟应于新的费率或收费方式实施前依照《信息披露办法》的有关规定在指定</w:t>
      </w:r>
      <w:r w:rsidR="006B018F" w:rsidRPr="00E97AFD">
        <w:rPr>
          <w:rFonts w:asciiTheme="minorEastAsia" w:eastAsiaTheme="minorEastAsia" w:hAnsiTheme="minorEastAsia" w:hint="eastAsia"/>
        </w:rPr>
        <w:t>媒介</w:t>
      </w:r>
      <w:r w:rsidR="00D708BF" w:rsidRPr="00E97AFD">
        <w:rPr>
          <w:rFonts w:asciiTheme="minorEastAsia" w:eastAsiaTheme="minorEastAsia" w:hAnsiTheme="minorEastAsia" w:hint="eastAsia"/>
        </w:rPr>
        <w:t>上公告。</w:t>
      </w:r>
    </w:p>
    <w:p w14:paraId="7D04F95B" w14:textId="77777777" w:rsidR="00D708BF" w:rsidRPr="00E97AFD" w:rsidRDefault="00C00F5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rPr>
        <w:t>4、</w:t>
      </w:r>
      <w:r w:rsidR="0018635C" w:rsidRPr="00E97AFD">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w:t>
      </w:r>
      <w:r w:rsidR="0018635C" w:rsidRPr="00E97AFD">
        <w:rPr>
          <w:rFonts w:asciiTheme="minorEastAsia" w:eastAsiaTheme="minorEastAsia" w:hAnsiTheme="minorEastAsia" w:hint="eastAsia"/>
        </w:rPr>
        <w:lastRenderedPageBreak/>
        <w:t>优惠活动。</w:t>
      </w:r>
    </w:p>
    <w:p w14:paraId="42DF24B3" w14:textId="77777777" w:rsidR="00531DAE" w:rsidRPr="00E97AFD" w:rsidRDefault="00531DA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00D708BF" w:rsidRPr="00E97AFD">
        <w:rPr>
          <w:rFonts w:asciiTheme="minorEastAsia" w:eastAsiaTheme="minorEastAsia" w:hAnsiTheme="minorEastAsia" w:hint="eastAsia"/>
          <w:bCs/>
          <w:szCs w:val="21"/>
        </w:rPr>
        <w:t>三</w:t>
      </w: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基金税收</w:t>
      </w:r>
    </w:p>
    <w:p w14:paraId="058FBE9F" w14:textId="77777777" w:rsidR="00531DAE" w:rsidRPr="00E97AFD" w:rsidRDefault="00531DA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本基金运作过程中涉及的各纳税主体，其纳税义务按国家税收法律、法规执行。</w:t>
      </w:r>
    </w:p>
    <w:p w14:paraId="76909A32" w14:textId="77777777" w:rsidR="00BA4B87" w:rsidRPr="00E97AFD" w:rsidRDefault="00BA4B87" w:rsidP="00966694">
      <w:pPr>
        <w:pStyle w:val="1"/>
        <w:snapToGrid w:val="0"/>
        <w:spacing w:beforeLines="0" w:afterLines="0" w:line="360" w:lineRule="auto"/>
        <w:ind w:firstLine="600"/>
        <w:rPr>
          <w:rFonts w:asciiTheme="minorEastAsia" w:eastAsiaTheme="minorEastAsia" w:hAnsiTheme="minorEastAsia"/>
          <w:b/>
          <w:bCs/>
        </w:rPr>
      </w:pPr>
      <w:bookmarkStart w:id="74" w:name="_Hlt88827255"/>
      <w:bookmarkEnd w:id="74"/>
      <w:r w:rsidRPr="00E97AFD">
        <w:rPr>
          <w:rFonts w:asciiTheme="minorEastAsia" w:eastAsiaTheme="minorEastAsia" w:hAnsiTheme="minorEastAsia"/>
          <w:sz w:val="30"/>
        </w:rPr>
        <w:br w:type="page"/>
      </w:r>
      <w:bookmarkStart w:id="75" w:name="_Toc43371988"/>
      <w:r w:rsidR="00D708BF" w:rsidRPr="00E97AFD">
        <w:rPr>
          <w:rFonts w:asciiTheme="minorEastAsia" w:eastAsiaTheme="minorEastAsia" w:hAnsiTheme="minorEastAsia"/>
          <w:b/>
          <w:sz w:val="30"/>
        </w:rPr>
        <w:lastRenderedPageBreak/>
        <w:t>十</w:t>
      </w:r>
      <w:r w:rsidR="00D708BF" w:rsidRPr="00E97AFD">
        <w:rPr>
          <w:rFonts w:asciiTheme="minorEastAsia" w:eastAsiaTheme="minorEastAsia" w:hAnsiTheme="minorEastAsia" w:hint="eastAsia"/>
          <w:b/>
          <w:sz w:val="30"/>
        </w:rPr>
        <w:t>八</w:t>
      </w:r>
      <w:r w:rsidRPr="00E97AFD">
        <w:rPr>
          <w:rFonts w:asciiTheme="minorEastAsia" w:eastAsiaTheme="minorEastAsia" w:hAnsiTheme="minorEastAsia"/>
          <w:b/>
          <w:sz w:val="30"/>
        </w:rPr>
        <w:t>、基金的会计与审计</w:t>
      </w:r>
      <w:bookmarkEnd w:id="75"/>
    </w:p>
    <w:p w14:paraId="24787876" w14:textId="77777777" w:rsidR="0047523D" w:rsidRPr="00E97AFD" w:rsidRDefault="00421B98"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003C6F6C" w:rsidRPr="00E97AFD">
        <w:rPr>
          <w:rFonts w:asciiTheme="minorEastAsia" w:eastAsiaTheme="minorEastAsia" w:hAnsiTheme="minorEastAsia" w:hint="eastAsia"/>
          <w:bCs/>
          <w:szCs w:val="21"/>
        </w:rPr>
        <w:t>一</w:t>
      </w:r>
      <w:r w:rsidRPr="00E97AFD">
        <w:rPr>
          <w:rFonts w:asciiTheme="minorEastAsia" w:eastAsiaTheme="minorEastAsia" w:hAnsiTheme="minorEastAsia" w:hint="eastAsia"/>
          <w:bCs/>
          <w:szCs w:val="21"/>
        </w:rPr>
        <w:t>)</w:t>
      </w:r>
      <w:r w:rsidR="0047523D" w:rsidRPr="00E97AFD">
        <w:rPr>
          <w:rFonts w:asciiTheme="minorEastAsia" w:eastAsiaTheme="minorEastAsia" w:hAnsiTheme="minorEastAsia"/>
          <w:bCs/>
          <w:szCs w:val="21"/>
        </w:rPr>
        <w:t>基金会计政策</w:t>
      </w:r>
    </w:p>
    <w:p w14:paraId="3CB209EE" w14:textId="77777777" w:rsidR="00576868" w:rsidRPr="00E97AFD" w:rsidRDefault="00576868"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1、基金管理人为本基金的基金会计责任方；</w:t>
      </w:r>
    </w:p>
    <w:p w14:paraId="1533B8BE" w14:textId="77777777" w:rsidR="00576868" w:rsidRPr="00E97AFD" w:rsidRDefault="00576868"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2、基金的会计年度为公历年度的1月1日至12月31日；基金首次募集的会计年度按如下原则：如果《基金合同》生效少于2个月，可以并入下一个会计年度；</w:t>
      </w:r>
    </w:p>
    <w:p w14:paraId="7C431D39" w14:textId="77777777" w:rsidR="00576868" w:rsidRPr="00E97AFD" w:rsidRDefault="00576868"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3、基金核算以人民币为记账本位币，以人民币元为记账单位；</w:t>
      </w:r>
    </w:p>
    <w:p w14:paraId="35C5097F" w14:textId="77777777" w:rsidR="00576868" w:rsidRPr="00E97AFD" w:rsidRDefault="00576868"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4、会计制度执行国家有关会计制度；</w:t>
      </w:r>
    </w:p>
    <w:p w14:paraId="630A154A" w14:textId="77777777" w:rsidR="00576868" w:rsidRPr="00E97AFD" w:rsidRDefault="00576868"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5、本基金独立建账、独立核算；</w:t>
      </w:r>
    </w:p>
    <w:p w14:paraId="14DFB504" w14:textId="77777777" w:rsidR="00576868" w:rsidRPr="00E97AFD" w:rsidRDefault="00576868"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6、基金管理人及基金托管人各自保留完整的会计账目、凭证并进行日常的会计核算，按照有关规定编制基金会计报表；</w:t>
      </w:r>
    </w:p>
    <w:p w14:paraId="65301AF7" w14:textId="77777777" w:rsidR="0047523D" w:rsidRPr="00E97AFD" w:rsidRDefault="00576868"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7、基金托管人每月与基金管理人就基金的会计核算、报表编制等进行核对确认。</w:t>
      </w:r>
    </w:p>
    <w:p w14:paraId="01875EA2" w14:textId="77777777" w:rsidR="0047523D" w:rsidRPr="00E97AFD" w:rsidRDefault="00421B98"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003C6F6C" w:rsidRPr="00E97AFD">
        <w:rPr>
          <w:rFonts w:asciiTheme="minorEastAsia" w:eastAsiaTheme="minorEastAsia" w:hAnsiTheme="minorEastAsia" w:hint="eastAsia"/>
          <w:bCs/>
          <w:szCs w:val="21"/>
        </w:rPr>
        <w:t>二</w:t>
      </w:r>
      <w:r w:rsidRPr="00E97AFD">
        <w:rPr>
          <w:rFonts w:asciiTheme="minorEastAsia" w:eastAsiaTheme="minorEastAsia" w:hAnsiTheme="minorEastAsia" w:hint="eastAsia"/>
          <w:bCs/>
          <w:szCs w:val="21"/>
        </w:rPr>
        <w:t>)</w:t>
      </w:r>
      <w:r w:rsidR="0047523D" w:rsidRPr="00E97AFD">
        <w:rPr>
          <w:rFonts w:asciiTheme="minorEastAsia" w:eastAsiaTheme="minorEastAsia" w:hAnsiTheme="minorEastAsia"/>
          <w:bCs/>
          <w:szCs w:val="21"/>
        </w:rPr>
        <w:t>基金的年度审计</w:t>
      </w:r>
    </w:p>
    <w:p w14:paraId="41462BB7" w14:textId="77777777" w:rsidR="006B018F" w:rsidRPr="00E97AFD" w:rsidRDefault="006B018F" w:rsidP="006B018F">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1、基金管理人聘请与基金管理人、基金托管人相互独立的具有证券、期货相关业务资格的会计师事务所及其注册会计师对本基金的年度财务报表进行审计。</w:t>
      </w:r>
    </w:p>
    <w:p w14:paraId="3C07F488" w14:textId="77777777" w:rsidR="006B018F" w:rsidRPr="00E97AFD" w:rsidRDefault="006B018F" w:rsidP="006B018F">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2、会计师事务所更换经办注册会计师，应事先征得基金管理人同意。</w:t>
      </w:r>
    </w:p>
    <w:p w14:paraId="0DABA8A3" w14:textId="34FE29DA" w:rsidR="0047523D" w:rsidRPr="00E97AFD" w:rsidRDefault="006B018F"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3、基金管理人认为有充足理由更换会计师事务所，须通报基金托管人。更换会计师事务所需在2日内在指定媒介公告。</w:t>
      </w:r>
    </w:p>
    <w:p w14:paraId="0D713B93" w14:textId="77777777" w:rsidR="0047523D" w:rsidRPr="00E97AFD" w:rsidRDefault="0047523D" w:rsidP="00966694">
      <w:pPr>
        <w:snapToGrid w:val="0"/>
        <w:spacing w:line="360" w:lineRule="auto"/>
        <w:ind w:firstLine="480"/>
        <w:rPr>
          <w:rFonts w:asciiTheme="minorEastAsia" w:eastAsiaTheme="minorEastAsia" w:hAnsiTheme="minorEastAsia"/>
        </w:rPr>
      </w:pPr>
    </w:p>
    <w:p w14:paraId="4C073F62" w14:textId="77777777" w:rsidR="0047523D" w:rsidRPr="00E97AFD" w:rsidRDefault="0047523D" w:rsidP="00966694">
      <w:pPr>
        <w:snapToGrid w:val="0"/>
        <w:spacing w:line="360" w:lineRule="auto"/>
        <w:ind w:firstLine="480"/>
        <w:rPr>
          <w:rFonts w:asciiTheme="minorEastAsia" w:eastAsiaTheme="minorEastAsia" w:hAnsiTheme="minorEastAsia"/>
        </w:rPr>
      </w:pPr>
    </w:p>
    <w:p w14:paraId="4D17694B" w14:textId="77777777" w:rsidR="0047523D" w:rsidRPr="00E97AFD" w:rsidRDefault="0047523D" w:rsidP="00966694">
      <w:pPr>
        <w:snapToGrid w:val="0"/>
        <w:spacing w:line="360" w:lineRule="auto"/>
        <w:ind w:firstLine="480"/>
        <w:rPr>
          <w:rFonts w:asciiTheme="minorEastAsia" w:eastAsiaTheme="minorEastAsia" w:hAnsiTheme="minorEastAsia"/>
        </w:rPr>
      </w:pPr>
    </w:p>
    <w:p w14:paraId="162F4228" w14:textId="77777777" w:rsidR="00BA4B87" w:rsidRPr="00E97AFD" w:rsidRDefault="00BA4B87" w:rsidP="00966694">
      <w:pPr>
        <w:pStyle w:val="1"/>
        <w:snapToGrid w:val="0"/>
        <w:spacing w:beforeLines="0" w:afterLines="0" w:line="360" w:lineRule="auto"/>
        <w:ind w:firstLine="600"/>
        <w:rPr>
          <w:rFonts w:asciiTheme="minorEastAsia" w:eastAsiaTheme="minorEastAsia" w:hAnsiTheme="minorEastAsia"/>
          <w:b/>
        </w:rPr>
      </w:pPr>
      <w:r w:rsidRPr="00E97AFD">
        <w:rPr>
          <w:rFonts w:asciiTheme="minorEastAsia" w:eastAsiaTheme="minorEastAsia" w:hAnsiTheme="minorEastAsia"/>
          <w:sz w:val="30"/>
        </w:rPr>
        <w:br w:type="column"/>
      </w:r>
      <w:bookmarkStart w:id="76" w:name="_Toc43371989"/>
      <w:r w:rsidR="00D708BF" w:rsidRPr="00E97AFD">
        <w:rPr>
          <w:rFonts w:asciiTheme="minorEastAsia" w:eastAsiaTheme="minorEastAsia" w:hAnsiTheme="minorEastAsia"/>
          <w:b/>
          <w:sz w:val="30"/>
        </w:rPr>
        <w:lastRenderedPageBreak/>
        <w:t>十</w:t>
      </w:r>
      <w:r w:rsidR="00D708BF" w:rsidRPr="00E97AFD">
        <w:rPr>
          <w:rFonts w:asciiTheme="minorEastAsia" w:eastAsiaTheme="minorEastAsia" w:hAnsiTheme="minorEastAsia" w:hint="eastAsia"/>
          <w:b/>
          <w:sz w:val="30"/>
        </w:rPr>
        <w:t>九</w:t>
      </w:r>
      <w:r w:rsidRPr="00E97AFD">
        <w:rPr>
          <w:rFonts w:asciiTheme="minorEastAsia" w:eastAsiaTheme="minorEastAsia" w:hAnsiTheme="minorEastAsia"/>
          <w:b/>
          <w:sz w:val="30"/>
        </w:rPr>
        <w:t>、基金的信息披露</w:t>
      </w:r>
      <w:bookmarkEnd w:id="76"/>
    </w:p>
    <w:p w14:paraId="2E09BF31" w14:textId="77777777" w:rsidR="006B018F" w:rsidRPr="00E97AFD" w:rsidRDefault="006B018F" w:rsidP="00966694">
      <w:pPr>
        <w:snapToGrid w:val="0"/>
        <w:spacing w:line="360" w:lineRule="auto"/>
        <w:ind w:firstLineChars="200" w:firstLine="420"/>
        <w:rPr>
          <w:rFonts w:asciiTheme="minorEastAsia" w:eastAsiaTheme="minorEastAsia" w:hAnsiTheme="minorEastAsia"/>
          <w:bCs/>
          <w:szCs w:val="21"/>
        </w:rPr>
      </w:pPr>
    </w:p>
    <w:p w14:paraId="46F8794A" w14:textId="77777777" w:rsidR="006B018F" w:rsidRPr="00E97AFD" w:rsidRDefault="006B018F" w:rsidP="00966694">
      <w:pPr>
        <w:snapToGrid w:val="0"/>
        <w:spacing w:line="360" w:lineRule="auto"/>
        <w:ind w:firstLineChars="200" w:firstLine="420"/>
        <w:rPr>
          <w:rFonts w:asciiTheme="minorEastAsia" w:eastAsiaTheme="minorEastAsia" w:hAnsiTheme="minorEastAsia"/>
          <w:bCs/>
          <w:szCs w:val="21"/>
        </w:rPr>
      </w:pPr>
    </w:p>
    <w:p w14:paraId="4551F874"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一、本基金的信息披露应符合《基金法》、《运作办法》、《信息披露办法》、《基金合同》及其他有关规定。相关法律法规关于信息披露的披露方式、登载媒介、报备方式等规定发生变化时，本基金从其最新规定。</w:t>
      </w:r>
    </w:p>
    <w:p w14:paraId="74B55B8B"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二、信息披露义务人</w:t>
      </w:r>
    </w:p>
    <w:p w14:paraId="6C85E8CB"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本基金信息披露义务人包括基金管理人、基金托管人、召集基金份额持有人大会的基金份额持有人等法律、行政法规和中国证监会规定的自然人、法人和非法人组织。</w:t>
      </w:r>
    </w:p>
    <w:p w14:paraId="684092FA"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本基金信息披露义务人以保护基金份额持有人利益为根本出发点，按照法律法规和中国证监会的规定披露基金信息，并保证所披露信息的真实性、准确性和完整性、及时性、简明性和易得性。</w:t>
      </w:r>
    </w:p>
    <w:p w14:paraId="10537BEE"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6DC61DA5"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三、本基金信息披露义务人承诺公开披露的基金信息，不得有下列行为：</w:t>
      </w:r>
    </w:p>
    <w:p w14:paraId="646C2805"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、虚假记载、误导性陈述或者重大遗漏；</w:t>
      </w:r>
    </w:p>
    <w:p w14:paraId="24482302"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、对证券投资业绩进行预测；</w:t>
      </w:r>
    </w:p>
    <w:p w14:paraId="7E73B95F"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、违规承诺收益或者承担损失；</w:t>
      </w:r>
    </w:p>
    <w:p w14:paraId="389B73D0"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4</w:t>
      </w:r>
      <w:r w:rsidRPr="00E97AFD">
        <w:rPr>
          <w:rFonts w:asciiTheme="minorEastAsia" w:eastAsiaTheme="minorEastAsia" w:hAnsiTheme="minorEastAsia" w:hint="eastAsia"/>
          <w:bCs/>
          <w:szCs w:val="21"/>
        </w:rPr>
        <w:t>、诋毁其他基金管理人、基金托管人或者基金销售机构；</w:t>
      </w:r>
    </w:p>
    <w:p w14:paraId="3EB6C79B"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5</w:t>
      </w:r>
      <w:r w:rsidRPr="00E97AFD">
        <w:rPr>
          <w:rFonts w:asciiTheme="minorEastAsia" w:eastAsiaTheme="minorEastAsia" w:hAnsiTheme="minorEastAsia" w:hint="eastAsia"/>
          <w:bCs/>
          <w:szCs w:val="21"/>
        </w:rPr>
        <w:t>、登载任何自然人、法人和非法人组织的祝贺性、恭维性或推荐性的文字；</w:t>
      </w:r>
    </w:p>
    <w:p w14:paraId="0514655F"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6</w:t>
      </w:r>
      <w:r w:rsidRPr="00E97AFD">
        <w:rPr>
          <w:rFonts w:asciiTheme="minorEastAsia" w:eastAsiaTheme="minorEastAsia" w:hAnsiTheme="minorEastAsia" w:hint="eastAsia"/>
          <w:bCs/>
          <w:szCs w:val="21"/>
        </w:rPr>
        <w:t>、中国证监会禁止的其他行为。</w:t>
      </w:r>
    </w:p>
    <w:p w14:paraId="7A819BB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四、本基金公开披露的信息应采用中文文本。如同时采用外文文本的，基金信息披露义务人应保证不同文本的内容一致。不同文本之间发生歧义的，以中文文本为准。</w:t>
      </w:r>
    </w:p>
    <w:p w14:paraId="5940A4A2"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本基金公开披露的信息采用阿拉伯数字；除特别说明外，货币单位为人民币元。</w:t>
      </w:r>
    </w:p>
    <w:p w14:paraId="1FF8C82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五、公开披露的基金信息</w:t>
      </w:r>
    </w:p>
    <w:p w14:paraId="26241A5A"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公开披露的基金信息包括：</w:t>
      </w:r>
    </w:p>
    <w:p w14:paraId="5213A46B"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（一）基金招募说明书、《基金合同》、基金托管协议、基金产品资料概要</w:t>
      </w:r>
    </w:p>
    <w:p w14:paraId="56977FC6"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、《基金合同》是界定《基金合同》当事人的各项权利、义务关系，明确基金份额持有人大会召开的规则及具体程序，说明基金产品的特性等涉及基金投资者重大利益的事项的法</w:t>
      </w:r>
      <w:r w:rsidRPr="00E97AFD">
        <w:rPr>
          <w:rFonts w:asciiTheme="minorEastAsia" w:eastAsiaTheme="minorEastAsia" w:hAnsiTheme="minorEastAsia" w:hint="eastAsia"/>
          <w:bCs/>
          <w:szCs w:val="21"/>
        </w:rPr>
        <w:lastRenderedPageBreak/>
        <w:t>律文件。</w:t>
      </w:r>
    </w:p>
    <w:p w14:paraId="0D0DC625"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64772C8A"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、基金托管协议是界定基金托管人和基金管理人在基金财产保管及基金运作监督等活动中的权利、义务关系的法律文件。</w:t>
      </w:r>
    </w:p>
    <w:p w14:paraId="4AF4A5B0"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4</w:t>
      </w:r>
      <w:r w:rsidRPr="00E97AFD">
        <w:rPr>
          <w:rFonts w:asciiTheme="minorEastAsia" w:eastAsiaTheme="minorEastAsia" w:hAnsiTheme="minorEastAsia"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26853EEF"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基金募集申请经中国证监会注册后，基金管理人在基金份额发售的</w:t>
      </w: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日前，将基金招募说明书、《基金合同》摘要登载在指定媒体上；基金管理人、基金托管人应当将《基金合同》、基金托管协议登载在网站上。</w:t>
      </w:r>
    </w:p>
    <w:p w14:paraId="60CC232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（二）基金份额发售公告</w:t>
      </w:r>
    </w:p>
    <w:p w14:paraId="126E52B6"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基金管理人应当就基金份额发售的具体事宜编制基金份额发售公告，并在披露招募说明书的当日登载于指定媒介上。</w:t>
      </w:r>
    </w:p>
    <w:p w14:paraId="2D67D008"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（三）《基金合同》生效公告</w:t>
      </w:r>
    </w:p>
    <w:p w14:paraId="02A49A6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基金管理人应当在收到中国证监会确认文件的次日在指定媒介上登载《基金合同》生效公告。</w:t>
      </w:r>
    </w:p>
    <w:p w14:paraId="7FC50110"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（四）基金每万份基金已实现收益和</w:t>
      </w:r>
      <w:r w:rsidRPr="00E97AFD">
        <w:rPr>
          <w:rFonts w:asciiTheme="minorEastAsia" w:eastAsiaTheme="minorEastAsia" w:hAnsiTheme="minorEastAsia"/>
          <w:bCs/>
          <w:szCs w:val="21"/>
        </w:rPr>
        <w:t>7</w:t>
      </w:r>
      <w:r w:rsidRPr="00E97AFD">
        <w:rPr>
          <w:rFonts w:asciiTheme="minorEastAsia" w:eastAsiaTheme="minorEastAsia" w:hAnsiTheme="minorEastAsia" w:hint="eastAsia"/>
          <w:bCs/>
          <w:szCs w:val="21"/>
        </w:rPr>
        <w:t>日年化收益率信息</w:t>
      </w:r>
    </w:p>
    <w:p w14:paraId="43C6CF3B"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、本基金的基金合同生效后，在开始办理基金份额申购或者赎回前，基金管理人将至少每周</w:t>
      </w:r>
      <w:r w:rsidRPr="00E97AFD">
        <w:rPr>
          <w:rFonts w:asciiTheme="minorEastAsia" w:eastAsiaTheme="minorEastAsia" w:hAnsiTheme="minorEastAsia" w:hint="eastAsia"/>
          <w:szCs w:val="21"/>
        </w:rPr>
        <w:t>在指定网站披露</w:t>
      </w:r>
      <w:r w:rsidRPr="00E97AFD">
        <w:rPr>
          <w:rFonts w:asciiTheme="minorEastAsia" w:eastAsiaTheme="minorEastAsia" w:hAnsiTheme="minorEastAsia" w:hint="eastAsia"/>
          <w:bCs/>
          <w:szCs w:val="21"/>
        </w:rPr>
        <w:t>一次基金的每万份基金已实现收益和</w:t>
      </w:r>
      <w:r w:rsidRPr="00E97AFD">
        <w:rPr>
          <w:rFonts w:asciiTheme="minorEastAsia" w:eastAsiaTheme="minorEastAsia" w:hAnsiTheme="minorEastAsia"/>
          <w:bCs/>
          <w:szCs w:val="21"/>
        </w:rPr>
        <w:t>7</w:t>
      </w:r>
      <w:r w:rsidRPr="00E97AFD">
        <w:rPr>
          <w:rFonts w:asciiTheme="minorEastAsia" w:eastAsiaTheme="minorEastAsia" w:hAnsiTheme="minorEastAsia" w:hint="eastAsia"/>
          <w:bCs/>
          <w:szCs w:val="21"/>
        </w:rPr>
        <w:t>日年化收益率；</w:t>
      </w:r>
    </w:p>
    <w:p w14:paraId="3D08E420"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每万份基金已实现收益和</w:t>
      </w:r>
      <w:r w:rsidRPr="00E97AFD">
        <w:rPr>
          <w:rFonts w:asciiTheme="minorEastAsia" w:eastAsiaTheme="minorEastAsia" w:hAnsiTheme="minorEastAsia"/>
          <w:bCs/>
          <w:szCs w:val="21"/>
        </w:rPr>
        <w:t>7</w:t>
      </w:r>
      <w:r w:rsidRPr="00E97AFD">
        <w:rPr>
          <w:rFonts w:asciiTheme="minorEastAsia" w:eastAsiaTheme="minorEastAsia" w:hAnsiTheme="minorEastAsia" w:hint="eastAsia"/>
          <w:bCs/>
          <w:szCs w:val="21"/>
        </w:rPr>
        <w:t>日年化收益率的计算方法如下：</w:t>
      </w:r>
    </w:p>
    <w:p w14:paraId="1924635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每万份基金已实现收益＝当日该类基金份额的已实现收益</w:t>
      </w:r>
      <w:r w:rsidRPr="00E97AFD">
        <w:rPr>
          <w:rFonts w:asciiTheme="minorEastAsia" w:eastAsiaTheme="minorEastAsia" w:hAnsiTheme="minorEastAsia"/>
          <w:bCs/>
          <w:szCs w:val="21"/>
        </w:rPr>
        <w:t>/</w:t>
      </w:r>
      <w:r w:rsidRPr="00E97AFD">
        <w:rPr>
          <w:rFonts w:asciiTheme="minorEastAsia" w:eastAsiaTheme="minorEastAsia" w:hAnsiTheme="minorEastAsia" w:hint="eastAsia"/>
          <w:bCs/>
          <w:szCs w:val="21"/>
        </w:rPr>
        <w:t>当日该类基金份额总额×</w:t>
      </w:r>
      <w:r w:rsidRPr="00E97AFD">
        <w:rPr>
          <w:rFonts w:asciiTheme="minorEastAsia" w:eastAsiaTheme="minorEastAsia" w:hAnsiTheme="minorEastAsia"/>
          <w:bCs/>
          <w:szCs w:val="21"/>
        </w:rPr>
        <w:t>10000</w:t>
      </w:r>
      <w:r w:rsidRPr="00E97AFD">
        <w:rPr>
          <w:rFonts w:asciiTheme="minorEastAsia" w:eastAsiaTheme="minorEastAsia" w:hAnsiTheme="minorEastAsia" w:hint="eastAsia"/>
          <w:bCs/>
          <w:szCs w:val="21"/>
        </w:rPr>
        <w:t>。</w:t>
      </w:r>
      <w:r w:rsidRPr="00E97AFD">
        <w:rPr>
          <w:rFonts w:asciiTheme="minorEastAsia" w:eastAsiaTheme="minorEastAsia" w:hAnsiTheme="minorEastAsia" w:hint="eastAsia"/>
          <w:szCs w:val="21"/>
        </w:rPr>
        <w:t>其中，当日分配的基金收益自其下一日起享有分红权益，自下一日起纳入基金份额总数的计算</w:t>
      </w:r>
      <w:r w:rsidRPr="00E97AFD">
        <w:rPr>
          <w:rFonts w:asciiTheme="minorEastAsia" w:eastAsiaTheme="minorEastAsia" w:hAnsiTheme="minorEastAsia" w:hint="eastAsia"/>
          <w:bCs/>
          <w:szCs w:val="21"/>
        </w:rPr>
        <w:t>；收益的精度为以四舍五入的方法保留小数点后</w:t>
      </w:r>
      <w:r w:rsidRPr="00E97AFD">
        <w:rPr>
          <w:rFonts w:asciiTheme="minorEastAsia" w:eastAsiaTheme="minorEastAsia" w:hAnsiTheme="minorEastAsia"/>
          <w:bCs/>
          <w:szCs w:val="21"/>
        </w:rPr>
        <w:t>4位。</w:t>
      </w:r>
    </w:p>
    <w:p w14:paraId="2404A20E"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lastRenderedPageBreak/>
        <w:t>7</w:t>
      </w:r>
      <w:r w:rsidRPr="00E97AFD">
        <w:rPr>
          <w:rFonts w:asciiTheme="minorEastAsia" w:eastAsiaTheme="minorEastAsia" w:hAnsiTheme="minorEastAsia" w:hint="eastAsia"/>
          <w:bCs/>
          <w:szCs w:val="21"/>
          <w:lang w:val="zh-CN"/>
        </w:rPr>
        <w:t>日年化收益率</w:t>
      </w:r>
      <w:r w:rsidRPr="00E97AFD">
        <w:rPr>
          <w:rFonts w:asciiTheme="minorEastAsia" w:eastAsiaTheme="minorEastAsia" w:hAnsiTheme="minorEastAsia"/>
          <w:bCs/>
          <w:szCs w:val="21"/>
        </w:rPr>
        <w:t>=</w:t>
      </w:r>
      <w:r w:rsidRPr="00E97AFD">
        <w:rPr>
          <w:rFonts w:asciiTheme="minorEastAsia" w:eastAsiaTheme="minorEastAsia" w:hAnsiTheme="minorEastAsia"/>
          <w:bCs/>
          <w:szCs w:val="21"/>
        </w:rPr>
        <w:object w:dxaOrig="3480" w:dyaOrig="880" w14:anchorId="5617D473">
          <v:shape id="_x0000_i1025" type="#_x0000_t75" style="width:174pt;height:44.25pt;mso-position-horizontal-relative:page;mso-position-vertical-relative:page" o:ole="">
            <v:imagedata r:id="rId20" o:title=""/>
          </v:shape>
          <o:OLEObject Type="Embed" ProgID="Equation.DSMT4" ShapeID="_x0000_i1025" DrawAspect="Content" ObjectID="_1654002543" r:id="rId21"/>
        </w:object>
      </w:r>
    </w:p>
    <w:p w14:paraId="60C9C08F" w14:textId="77777777" w:rsidR="006B018F" w:rsidRPr="00E97AFD" w:rsidRDefault="006B018F" w:rsidP="006B018F">
      <w:pPr>
        <w:spacing w:line="360" w:lineRule="auto"/>
        <w:ind w:firstLineChars="200" w:firstLine="420"/>
        <w:rPr>
          <w:rFonts w:asciiTheme="minorEastAsia" w:eastAsiaTheme="minorEastAsia" w:hAnsiTheme="minorEastAsia"/>
          <w:bCs/>
          <w:szCs w:val="21"/>
          <w:lang w:val="zh-CN"/>
        </w:rPr>
      </w:pPr>
      <w:r w:rsidRPr="00E97AFD">
        <w:rPr>
          <w:rFonts w:asciiTheme="minorEastAsia" w:eastAsiaTheme="minorEastAsia" w:hAnsiTheme="minorEastAsia" w:hint="eastAsia"/>
          <w:bCs/>
          <w:szCs w:val="21"/>
          <w:lang w:val="zh-CN"/>
        </w:rPr>
        <w:t>其中，</w:t>
      </w:r>
      <w:r w:rsidRPr="00E97AFD">
        <w:rPr>
          <w:rFonts w:asciiTheme="minorEastAsia" w:eastAsiaTheme="minorEastAsia" w:hAnsiTheme="minorEastAsia"/>
          <w:bCs/>
          <w:szCs w:val="21"/>
          <w:lang w:val="zh-CN"/>
        </w:rPr>
        <w:t>Ri</w:t>
      </w:r>
      <w:r w:rsidRPr="00E97AFD">
        <w:rPr>
          <w:rFonts w:asciiTheme="minorEastAsia" w:eastAsiaTheme="minorEastAsia" w:hAnsiTheme="minorEastAsia" w:hint="eastAsia"/>
          <w:bCs/>
          <w:szCs w:val="21"/>
          <w:lang w:val="zh-CN"/>
        </w:rPr>
        <w:t>为最近第</w:t>
      </w:r>
      <w:r w:rsidRPr="00E97AFD">
        <w:rPr>
          <w:rFonts w:asciiTheme="minorEastAsia" w:eastAsiaTheme="minorEastAsia" w:hAnsiTheme="minorEastAsia"/>
          <w:bCs/>
          <w:szCs w:val="21"/>
          <w:lang w:val="zh-CN"/>
        </w:rPr>
        <w:t>i</w:t>
      </w:r>
      <w:r w:rsidRPr="00E97AFD">
        <w:rPr>
          <w:rFonts w:asciiTheme="minorEastAsia" w:eastAsiaTheme="minorEastAsia" w:hAnsiTheme="minorEastAsia" w:hint="eastAsia"/>
          <w:bCs/>
          <w:szCs w:val="21"/>
          <w:lang w:val="zh-CN"/>
        </w:rPr>
        <w:t>个自然日</w:t>
      </w:r>
      <w:r w:rsidRPr="00E97AFD">
        <w:rPr>
          <w:rFonts w:asciiTheme="minorEastAsia" w:eastAsiaTheme="minorEastAsia" w:hAnsiTheme="minorEastAsia"/>
          <w:bCs/>
          <w:szCs w:val="21"/>
          <w:lang w:val="zh-CN"/>
        </w:rPr>
        <w:t>(</w:t>
      </w:r>
      <w:r w:rsidRPr="00E97AFD">
        <w:rPr>
          <w:rFonts w:asciiTheme="minorEastAsia" w:eastAsiaTheme="minorEastAsia" w:hAnsiTheme="minorEastAsia" w:hint="eastAsia"/>
          <w:bCs/>
          <w:szCs w:val="21"/>
          <w:lang w:val="zh-CN"/>
        </w:rPr>
        <w:t>包括计算当日</w:t>
      </w:r>
      <w:r w:rsidRPr="00E97AFD">
        <w:rPr>
          <w:rFonts w:asciiTheme="minorEastAsia" w:eastAsiaTheme="minorEastAsia" w:hAnsiTheme="minorEastAsia"/>
          <w:bCs/>
          <w:szCs w:val="21"/>
          <w:lang w:val="zh-CN"/>
        </w:rPr>
        <w:t>)</w:t>
      </w:r>
      <w:r w:rsidRPr="00E97AFD">
        <w:rPr>
          <w:rFonts w:asciiTheme="minorEastAsia" w:eastAsiaTheme="minorEastAsia" w:hAnsiTheme="minorEastAsia" w:hint="eastAsia"/>
          <w:bCs/>
          <w:szCs w:val="21"/>
          <w:lang w:val="zh-CN"/>
        </w:rPr>
        <w:t>的每万份基金已实现收益。</w:t>
      </w:r>
    </w:p>
    <w:p w14:paraId="36ED271C"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lang w:val="zh-CN"/>
        </w:rPr>
        <w:t>每万份基金已实现收益采用四舍五入保留至小数点后第</w:t>
      </w:r>
      <w:r w:rsidRPr="00E97AFD">
        <w:rPr>
          <w:rFonts w:asciiTheme="minorEastAsia" w:eastAsiaTheme="minorEastAsia" w:hAnsiTheme="minorEastAsia"/>
          <w:bCs/>
          <w:szCs w:val="21"/>
          <w:lang w:val="zh-CN"/>
        </w:rPr>
        <w:t>4</w:t>
      </w:r>
      <w:r w:rsidRPr="00E97AFD">
        <w:rPr>
          <w:rFonts w:asciiTheme="minorEastAsia" w:eastAsiaTheme="minorEastAsia" w:hAnsiTheme="minorEastAsia" w:hint="eastAsia"/>
          <w:bCs/>
          <w:szCs w:val="21"/>
          <w:lang w:val="zh-CN"/>
        </w:rPr>
        <w:t>位，</w:t>
      </w:r>
      <w:r w:rsidRPr="00E97AFD">
        <w:rPr>
          <w:rFonts w:asciiTheme="minorEastAsia" w:eastAsiaTheme="minorEastAsia" w:hAnsiTheme="minorEastAsia"/>
          <w:bCs/>
          <w:szCs w:val="21"/>
          <w:lang w:val="zh-CN"/>
        </w:rPr>
        <w:t>7</w:t>
      </w:r>
      <w:r w:rsidRPr="00E97AFD">
        <w:rPr>
          <w:rFonts w:asciiTheme="minorEastAsia" w:eastAsiaTheme="minorEastAsia" w:hAnsiTheme="minorEastAsia" w:hint="eastAsia"/>
          <w:bCs/>
          <w:szCs w:val="21"/>
          <w:lang w:val="zh-CN"/>
        </w:rPr>
        <w:t>日年化收益率采用四舍五入保留至百分号内小数点后第</w:t>
      </w:r>
      <w:r w:rsidRPr="00E97AFD">
        <w:rPr>
          <w:rFonts w:asciiTheme="minorEastAsia" w:eastAsiaTheme="minorEastAsia" w:hAnsiTheme="minorEastAsia"/>
          <w:bCs/>
          <w:szCs w:val="21"/>
          <w:lang w:val="zh-CN"/>
        </w:rPr>
        <w:t>3</w:t>
      </w:r>
      <w:r w:rsidRPr="00E97AFD">
        <w:rPr>
          <w:rFonts w:asciiTheme="minorEastAsia" w:eastAsiaTheme="minorEastAsia" w:hAnsiTheme="minorEastAsia" w:hint="eastAsia"/>
          <w:bCs/>
          <w:szCs w:val="21"/>
          <w:lang w:val="zh-CN"/>
        </w:rPr>
        <w:t>位。</w:t>
      </w:r>
    </w:p>
    <w:p w14:paraId="43022BFF" w14:textId="77777777" w:rsidR="006B018F" w:rsidRPr="00E97AFD" w:rsidRDefault="006B018F" w:rsidP="006B018F">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如果基金成立不足七日，按类似规则计算。当任一类基金份额为零时，将暂停计算和披露该类基金份额的每万份基金已实现收益、</w:t>
      </w:r>
      <w:r w:rsidRPr="00E97AFD">
        <w:rPr>
          <w:rFonts w:asciiTheme="minorEastAsia" w:eastAsiaTheme="minorEastAsia" w:hAnsiTheme="minorEastAsia"/>
          <w:szCs w:val="21"/>
        </w:rPr>
        <w:t>7日年化收益率</w:t>
      </w:r>
      <w:r w:rsidRPr="00E97AFD">
        <w:rPr>
          <w:rFonts w:asciiTheme="minorEastAsia" w:eastAsiaTheme="minorEastAsia" w:hAnsiTheme="minorEastAsia" w:hint="eastAsia"/>
          <w:szCs w:val="21"/>
        </w:rPr>
        <w:t>，待该类份额不为零时重新开始计算和披露。</w:t>
      </w:r>
    </w:p>
    <w:p w14:paraId="455EB2C6" w14:textId="77777777" w:rsidR="006B018F" w:rsidRPr="00E97AFD" w:rsidRDefault="006B018F" w:rsidP="006B018F">
      <w:pPr>
        <w:spacing w:line="360" w:lineRule="auto"/>
        <w:ind w:firstLineChars="200" w:firstLine="420"/>
        <w:rPr>
          <w:rFonts w:asciiTheme="minorEastAsia" w:eastAsiaTheme="minorEastAsia" w:hAnsiTheme="minorEastAsia"/>
          <w:bCs/>
          <w:szCs w:val="21"/>
          <w:lang w:val="zh-CN"/>
        </w:rPr>
      </w:pP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w:t>
      </w:r>
      <w:r w:rsidRPr="00E97AFD">
        <w:rPr>
          <w:rFonts w:asciiTheme="minorEastAsia" w:eastAsiaTheme="minorEastAsia" w:hAnsiTheme="minorEastAsia" w:hint="eastAsia"/>
          <w:bCs/>
          <w:szCs w:val="21"/>
          <w:lang w:val="zh-CN"/>
        </w:rPr>
        <w:t>在开始办理基金份额申购或者赎回后，基金管理人应不晚于每个开放日的次日，通过指定网站、基金销售机构网站或者营业网点，披露开放日的每万份基金已实现收益和</w:t>
      </w:r>
      <w:r w:rsidRPr="00E97AFD">
        <w:rPr>
          <w:rFonts w:asciiTheme="minorEastAsia" w:eastAsiaTheme="minorEastAsia" w:hAnsiTheme="minorEastAsia"/>
          <w:bCs/>
          <w:szCs w:val="21"/>
          <w:lang w:val="zh-CN"/>
        </w:rPr>
        <w:t>7</w:t>
      </w:r>
      <w:r w:rsidRPr="00E97AFD">
        <w:rPr>
          <w:rFonts w:asciiTheme="minorEastAsia" w:eastAsiaTheme="minorEastAsia" w:hAnsiTheme="minorEastAsia" w:hint="eastAsia"/>
          <w:bCs/>
          <w:szCs w:val="21"/>
          <w:lang w:val="zh-CN"/>
        </w:rPr>
        <w:t>日年化收益率。</w:t>
      </w:r>
      <w:r w:rsidRPr="00E97AFD">
        <w:rPr>
          <w:rFonts w:asciiTheme="minorEastAsia" w:eastAsiaTheme="minorEastAsia" w:hAnsiTheme="minorEastAsia" w:hint="eastAsia"/>
          <w:bCs/>
          <w:szCs w:val="21"/>
        </w:rPr>
        <w:t>若遇法定节假日，于节假日结束后第</w:t>
      </w: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个自然日，公告节假日期间的基金份额每万份基金已实现收益、节假日最后一日的</w:t>
      </w:r>
      <w:r w:rsidRPr="00E97AFD">
        <w:rPr>
          <w:rFonts w:asciiTheme="minorEastAsia" w:eastAsiaTheme="minorEastAsia" w:hAnsiTheme="minorEastAsia"/>
          <w:bCs/>
          <w:szCs w:val="21"/>
        </w:rPr>
        <w:t>7</w:t>
      </w:r>
      <w:r w:rsidRPr="00E97AFD">
        <w:rPr>
          <w:rFonts w:asciiTheme="minorEastAsia" w:eastAsiaTheme="minorEastAsia" w:hAnsiTheme="minorEastAsia" w:hint="eastAsia"/>
          <w:bCs/>
          <w:szCs w:val="21"/>
        </w:rPr>
        <w:t>日年化收益率，以及节假日后首个开放日的基金份额每万份基金已实现收益和</w:t>
      </w:r>
      <w:r w:rsidRPr="00E97AFD">
        <w:rPr>
          <w:rFonts w:asciiTheme="minorEastAsia" w:eastAsiaTheme="minorEastAsia" w:hAnsiTheme="minorEastAsia"/>
          <w:bCs/>
          <w:szCs w:val="21"/>
        </w:rPr>
        <w:t>7</w:t>
      </w:r>
      <w:r w:rsidRPr="00E97AFD">
        <w:rPr>
          <w:rFonts w:asciiTheme="minorEastAsia" w:eastAsiaTheme="minorEastAsia" w:hAnsiTheme="minorEastAsia" w:hint="eastAsia"/>
          <w:bCs/>
          <w:szCs w:val="21"/>
        </w:rPr>
        <w:t>日年化收益率。</w:t>
      </w:r>
    </w:p>
    <w:p w14:paraId="5CFD274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w:t>
      </w:r>
      <w:r w:rsidRPr="00E97AFD">
        <w:rPr>
          <w:rFonts w:asciiTheme="minorEastAsia" w:eastAsiaTheme="minorEastAsia" w:hAnsiTheme="minorEastAsia" w:hint="eastAsia"/>
          <w:bCs/>
          <w:szCs w:val="21"/>
          <w:lang w:val="zh-CN"/>
        </w:rPr>
        <w:t>基金管理人应当在不晚于半年度和年度最后一日的次日，在指定网站披露半年度和年度最后一日的每万份基金已实现收益和</w:t>
      </w:r>
      <w:r w:rsidRPr="00E97AFD">
        <w:rPr>
          <w:rFonts w:asciiTheme="minorEastAsia" w:eastAsiaTheme="minorEastAsia" w:hAnsiTheme="minorEastAsia"/>
          <w:bCs/>
          <w:szCs w:val="21"/>
          <w:lang w:val="zh-CN"/>
        </w:rPr>
        <w:t>7</w:t>
      </w:r>
      <w:r w:rsidRPr="00E97AFD">
        <w:rPr>
          <w:rFonts w:asciiTheme="minorEastAsia" w:eastAsiaTheme="minorEastAsia" w:hAnsiTheme="minorEastAsia" w:hint="eastAsia"/>
          <w:bCs/>
          <w:szCs w:val="21"/>
          <w:lang w:val="zh-CN"/>
        </w:rPr>
        <w:t>日年化收益率。</w:t>
      </w:r>
    </w:p>
    <w:p w14:paraId="76D998D9"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（五）基金定期报告，包括基金年度报告、基金中期报告和基金季度报告</w:t>
      </w:r>
    </w:p>
    <w:p w14:paraId="14C9C1E8"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1B20AB8A"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基金管理人应当在上半年结束之日起两个月内，编制完成基金中期报告，将中期报告登载在指定网站上，并将中期报告提示性公告登载在指定报刊上。</w:t>
      </w:r>
    </w:p>
    <w:p w14:paraId="4F6180D5"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基金管理人应当在季度结束之日起</w:t>
      </w:r>
      <w:r w:rsidRPr="00E97AFD">
        <w:rPr>
          <w:rFonts w:asciiTheme="minorEastAsia" w:eastAsiaTheme="minorEastAsia" w:hAnsiTheme="minorEastAsia"/>
          <w:bCs/>
          <w:szCs w:val="21"/>
        </w:rPr>
        <w:t>15</w:t>
      </w:r>
      <w:r w:rsidRPr="00E97AFD">
        <w:rPr>
          <w:rFonts w:asciiTheme="minorEastAsia" w:eastAsiaTheme="minorEastAsia" w:hAnsiTheme="minorEastAsia" w:hint="eastAsia"/>
          <w:bCs/>
          <w:szCs w:val="21"/>
        </w:rPr>
        <w:t>个工作日内，编制完成基金季度报告，将季度报告登载在指定网站上，并将季度报告提示性公告登载在指定报刊上。</w:t>
      </w:r>
    </w:p>
    <w:p w14:paraId="6A9851F4"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《基金合同》生效不足</w:t>
      </w: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个月的，基金管理人可以不编制当期季度报告、中期报告或者年度报告。</w:t>
      </w:r>
    </w:p>
    <w:p w14:paraId="708CF107"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报告期内出现单一投资者持有基金份额比例达到或超过</w:t>
      </w:r>
      <w:r w:rsidRPr="00E97AFD">
        <w:rPr>
          <w:rFonts w:asciiTheme="minorEastAsia" w:eastAsiaTheme="minorEastAsia" w:hAnsiTheme="minorEastAsia"/>
          <w:bCs/>
          <w:szCs w:val="21"/>
        </w:rPr>
        <w:t>20%</w:t>
      </w:r>
      <w:r w:rsidRPr="00E97AFD">
        <w:rPr>
          <w:rFonts w:asciiTheme="minorEastAsia" w:eastAsiaTheme="minorEastAsia" w:hAnsiTheme="minorEastAsia" w:hint="eastAsia"/>
          <w:bCs/>
          <w:szCs w:val="21"/>
        </w:rPr>
        <w:t>的情形，基金管理人应当在季度报告、中期报告、年度报告等定期报告文件中披露该投资者的类别、报告期末持有份额及占比、报告期内持有份额变化情况及产品的特有风险，中国证监会认定的特殊情形除外。</w:t>
      </w:r>
    </w:p>
    <w:p w14:paraId="6A078F41"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基金管理人应当在本基金年度报告、中期报告中，至少披露报告期末基金前</w:t>
      </w: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名份额</w:t>
      </w:r>
      <w:r w:rsidRPr="00E97AFD">
        <w:rPr>
          <w:rFonts w:asciiTheme="minorEastAsia" w:eastAsiaTheme="minorEastAsia" w:hAnsiTheme="minorEastAsia" w:hint="eastAsia"/>
          <w:bCs/>
          <w:szCs w:val="21"/>
        </w:rPr>
        <w:lastRenderedPageBreak/>
        <w:t>持有人的类别、持有份额及占总份额的比例等信息。</w:t>
      </w:r>
    </w:p>
    <w:p w14:paraId="3F0F983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基金持续运作过程中，基金管理人应当在基金年度报告和中期报告中披露基金组合资产情况及其流动性风险分析等。</w:t>
      </w:r>
    </w:p>
    <w:p w14:paraId="54503E04"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（六）临时报告</w:t>
      </w:r>
    </w:p>
    <w:p w14:paraId="256801D6"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本基金发生重大事件，有关信息披露义务人应当在</w:t>
      </w: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日内编制临时报告书，予以公告，并登载在指定报刊和指定网站上。</w:t>
      </w:r>
    </w:p>
    <w:p w14:paraId="221B352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前款所称重大事件，是指可能对基金份额持有人权益或者基金份额的价格产生重大影响的下列事件：</w:t>
      </w:r>
    </w:p>
    <w:p w14:paraId="08D3CF4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、基金份额持有人大会的召开及决定的事项；</w:t>
      </w:r>
    </w:p>
    <w:p w14:paraId="40C4692E"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、基金合同终止、基金清算；</w:t>
      </w:r>
    </w:p>
    <w:p w14:paraId="4A03E9FE"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、转换基金运作方式、基金合并；</w:t>
      </w:r>
    </w:p>
    <w:p w14:paraId="13349EC7"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4</w:t>
      </w:r>
      <w:r w:rsidRPr="00E97AFD">
        <w:rPr>
          <w:rFonts w:asciiTheme="minorEastAsia" w:eastAsiaTheme="minorEastAsia" w:hAnsiTheme="minorEastAsia" w:hint="eastAsia"/>
          <w:bCs/>
          <w:szCs w:val="21"/>
        </w:rPr>
        <w:t>、更换基金管理人、基金托管人、基金份额登记机构，基金改聘会计师事务所；</w:t>
      </w:r>
    </w:p>
    <w:p w14:paraId="64BBE22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5</w:t>
      </w:r>
      <w:r w:rsidRPr="00E97AFD">
        <w:rPr>
          <w:rFonts w:asciiTheme="minorEastAsia" w:eastAsiaTheme="minorEastAsia" w:hAnsiTheme="minorEastAsia" w:hint="eastAsia"/>
          <w:bCs/>
          <w:szCs w:val="21"/>
        </w:rPr>
        <w:t>、基金管理人委托基金服务机构代为办理基金的份额登记、核算、估值等事项，基金托管人委托基金服务机构代为办理基金的核算、估值、复核等事项；</w:t>
      </w:r>
    </w:p>
    <w:p w14:paraId="16E0C6CB"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6</w:t>
      </w:r>
      <w:r w:rsidRPr="00E97AFD">
        <w:rPr>
          <w:rFonts w:asciiTheme="minorEastAsia" w:eastAsiaTheme="minorEastAsia" w:hAnsiTheme="minorEastAsia" w:hint="eastAsia"/>
          <w:bCs/>
          <w:szCs w:val="21"/>
        </w:rPr>
        <w:t>、基金管理人、基金托管人的法定名称、住所发生变更；</w:t>
      </w:r>
    </w:p>
    <w:p w14:paraId="4837298B"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7</w:t>
      </w:r>
      <w:r w:rsidRPr="00E97AFD">
        <w:rPr>
          <w:rFonts w:asciiTheme="minorEastAsia" w:eastAsiaTheme="minorEastAsia" w:hAnsiTheme="minorEastAsia" w:hint="eastAsia"/>
          <w:bCs/>
          <w:szCs w:val="21"/>
        </w:rPr>
        <w:t>、基金管理公司变更持有百分之五以上股权的股东、基金管理人的实际控制人变更；</w:t>
      </w:r>
    </w:p>
    <w:p w14:paraId="0741A47F"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8</w:t>
      </w:r>
      <w:r w:rsidRPr="00E97AFD">
        <w:rPr>
          <w:rFonts w:asciiTheme="minorEastAsia" w:eastAsiaTheme="minorEastAsia" w:hAnsiTheme="minorEastAsia" w:hint="eastAsia"/>
          <w:bCs/>
          <w:szCs w:val="21"/>
        </w:rPr>
        <w:t>、基金募集期延长或提前结束募集；</w:t>
      </w:r>
    </w:p>
    <w:p w14:paraId="7C505E4C"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9</w:t>
      </w:r>
      <w:r w:rsidRPr="00E97AFD">
        <w:rPr>
          <w:rFonts w:asciiTheme="minorEastAsia" w:eastAsiaTheme="minorEastAsia" w:hAnsiTheme="minorEastAsia" w:hint="eastAsia"/>
          <w:bCs/>
          <w:szCs w:val="21"/>
        </w:rPr>
        <w:t>、基金管理人的高级管理人员、基金经理和基金托管人专门基金托管部门负责人发生变动；</w:t>
      </w:r>
    </w:p>
    <w:p w14:paraId="323E725C"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、基金管理人的董事在最近</w:t>
      </w:r>
      <w:r w:rsidRPr="00E97AFD">
        <w:rPr>
          <w:rFonts w:asciiTheme="minorEastAsia" w:eastAsiaTheme="minorEastAsia" w:hAnsiTheme="minorEastAsia"/>
          <w:bCs/>
          <w:szCs w:val="21"/>
        </w:rPr>
        <w:t>12</w:t>
      </w:r>
      <w:r w:rsidRPr="00E97AFD">
        <w:rPr>
          <w:rFonts w:asciiTheme="minorEastAsia" w:eastAsiaTheme="minorEastAsia" w:hAnsiTheme="minorEastAsia" w:hint="eastAsia"/>
          <w:bCs/>
          <w:szCs w:val="21"/>
        </w:rPr>
        <w:t>个月内变更超过百分之五十，基金管理人、基金托管人专门基金托管部门的主要业务人员在最近</w:t>
      </w:r>
      <w:r w:rsidRPr="00E97AFD">
        <w:rPr>
          <w:rFonts w:asciiTheme="minorEastAsia" w:eastAsiaTheme="minorEastAsia" w:hAnsiTheme="minorEastAsia"/>
          <w:bCs/>
          <w:szCs w:val="21"/>
        </w:rPr>
        <w:t>12</w:t>
      </w:r>
      <w:r w:rsidRPr="00E97AFD">
        <w:rPr>
          <w:rFonts w:asciiTheme="minorEastAsia" w:eastAsiaTheme="minorEastAsia" w:hAnsiTheme="minorEastAsia" w:hint="eastAsia"/>
          <w:bCs/>
          <w:szCs w:val="21"/>
        </w:rPr>
        <w:t>个月内变动超过百分之三十；</w:t>
      </w:r>
    </w:p>
    <w:p w14:paraId="20B60ADE"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11</w:t>
      </w:r>
      <w:r w:rsidRPr="00E97AFD">
        <w:rPr>
          <w:rFonts w:asciiTheme="minorEastAsia" w:eastAsiaTheme="minorEastAsia" w:hAnsiTheme="minorEastAsia" w:hint="eastAsia"/>
          <w:bCs/>
          <w:szCs w:val="21"/>
        </w:rPr>
        <w:t>、涉及基金管理业务、基金财产、基金托管业务的诉讼或者仲裁；</w:t>
      </w:r>
    </w:p>
    <w:p w14:paraId="02CB9927"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12</w:t>
      </w:r>
      <w:r w:rsidRPr="00E97AFD">
        <w:rPr>
          <w:rFonts w:asciiTheme="minorEastAsia" w:eastAsiaTheme="minorEastAsia" w:hAnsiTheme="minorEastAsia"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57BF30FA"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13</w:t>
      </w:r>
      <w:r w:rsidRPr="00E97AFD">
        <w:rPr>
          <w:rFonts w:asciiTheme="minorEastAsia" w:eastAsiaTheme="minorEastAsia" w:hAnsiTheme="minorEastAsia" w:hint="eastAsia"/>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5CC6CF6C"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14</w:t>
      </w:r>
      <w:r w:rsidRPr="00E97AFD">
        <w:rPr>
          <w:rFonts w:asciiTheme="minorEastAsia" w:eastAsiaTheme="minorEastAsia" w:hAnsiTheme="minorEastAsia" w:hint="eastAsia"/>
          <w:bCs/>
          <w:szCs w:val="21"/>
        </w:rPr>
        <w:t>、基金收益分配事项；</w:t>
      </w:r>
    </w:p>
    <w:p w14:paraId="52104297"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15</w:t>
      </w:r>
      <w:r w:rsidRPr="00E97AFD">
        <w:rPr>
          <w:rFonts w:asciiTheme="minorEastAsia" w:eastAsiaTheme="minorEastAsia" w:hAnsiTheme="minorEastAsia" w:hint="eastAsia"/>
          <w:bCs/>
          <w:szCs w:val="21"/>
        </w:rPr>
        <w:t>、管理费、托管费、销售服务费等费用计提标准、计提方式和费率发生变更；</w:t>
      </w:r>
    </w:p>
    <w:p w14:paraId="54D78B52"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lastRenderedPageBreak/>
        <w:t>16</w:t>
      </w:r>
      <w:r w:rsidRPr="00E97AFD">
        <w:rPr>
          <w:rFonts w:asciiTheme="minorEastAsia" w:eastAsiaTheme="minorEastAsia" w:hAnsiTheme="minorEastAsia" w:hint="eastAsia"/>
          <w:bCs/>
          <w:szCs w:val="21"/>
        </w:rPr>
        <w:t>、基金资产净值计算错误达基金资产净值百分之零点五；</w:t>
      </w:r>
    </w:p>
    <w:p w14:paraId="6C08BB47"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17</w:t>
      </w:r>
      <w:r w:rsidRPr="00E97AFD">
        <w:rPr>
          <w:rFonts w:asciiTheme="minorEastAsia" w:eastAsiaTheme="minorEastAsia" w:hAnsiTheme="minorEastAsia" w:hint="eastAsia"/>
          <w:bCs/>
          <w:szCs w:val="21"/>
        </w:rPr>
        <w:t>、当“摊余成本法”计算的基金资产净值与“影子定价”确定的基金资产净值偏离度绝对值达到或超过</w:t>
      </w:r>
      <w:r w:rsidRPr="00E97AFD">
        <w:rPr>
          <w:rFonts w:asciiTheme="minorEastAsia" w:eastAsiaTheme="minorEastAsia" w:hAnsiTheme="minorEastAsia"/>
          <w:bCs/>
          <w:szCs w:val="21"/>
        </w:rPr>
        <w:t>0.5%</w:t>
      </w:r>
      <w:r w:rsidRPr="00E97AFD">
        <w:rPr>
          <w:rFonts w:asciiTheme="minorEastAsia" w:eastAsiaTheme="minorEastAsia" w:hAnsiTheme="minorEastAsia" w:hint="eastAsia"/>
          <w:bCs/>
          <w:szCs w:val="21"/>
        </w:rPr>
        <w:t>的情形；</w:t>
      </w:r>
    </w:p>
    <w:p w14:paraId="2605819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18</w:t>
      </w:r>
      <w:r w:rsidRPr="00E97AFD">
        <w:rPr>
          <w:rFonts w:asciiTheme="minorEastAsia" w:eastAsiaTheme="minorEastAsia" w:hAnsiTheme="minorEastAsia" w:hint="eastAsia"/>
          <w:bCs/>
          <w:szCs w:val="21"/>
        </w:rPr>
        <w:t>、本基金开始办理申购、赎回；</w:t>
      </w:r>
    </w:p>
    <w:p w14:paraId="3C4A3063"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19</w:t>
      </w:r>
      <w:r w:rsidRPr="00E97AFD">
        <w:rPr>
          <w:rFonts w:asciiTheme="minorEastAsia" w:eastAsiaTheme="minorEastAsia" w:hAnsiTheme="minorEastAsia" w:hint="eastAsia"/>
          <w:bCs/>
          <w:szCs w:val="21"/>
        </w:rPr>
        <w:t>、本基金暂停接受申购、赎回申请或重新接受申购、赎回申请；</w:t>
      </w:r>
    </w:p>
    <w:p w14:paraId="052F2354"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20</w:t>
      </w:r>
      <w:r w:rsidRPr="00E97AFD">
        <w:rPr>
          <w:rFonts w:asciiTheme="minorEastAsia" w:eastAsiaTheme="minorEastAsia" w:hAnsiTheme="minorEastAsia" w:hint="eastAsia"/>
          <w:bCs/>
          <w:szCs w:val="21"/>
        </w:rPr>
        <w:t>、调整基金份额类别的设置；</w:t>
      </w:r>
    </w:p>
    <w:p w14:paraId="7C6B0D6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21</w:t>
      </w:r>
      <w:r w:rsidRPr="00E97AFD">
        <w:rPr>
          <w:rFonts w:asciiTheme="minorEastAsia" w:eastAsiaTheme="minorEastAsia" w:hAnsiTheme="minorEastAsia" w:hint="eastAsia"/>
          <w:bCs/>
          <w:szCs w:val="21"/>
        </w:rPr>
        <w:t>、基金推出新业务或服务；</w:t>
      </w:r>
    </w:p>
    <w:p w14:paraId="31EF0C7A"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22</w:t>
      </w:r>
      <w:r w:rsidRPr="00E97AFD">
        <w:rPr>
          <w:rFonts w:asciiTheme="minorEastAsia" w:eastAsiaTheme="minorEastAsia" w:hAnsiTheme="minorEastAsia" w:hint="eastAsia"/>
          <w:bCs/>
          <w:szCs w:val="21"/>
        </w:rPr>
        <w:t>、基金信息披露义务人认为可能对基金份额持有人权益或者基金份额的价格产生重大影响的其他事项或中国证监会规定的其他事项。</w:t>
      </w:r>
    </w:p>
    <w:p w14:paraId="3ABE8427"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（七）澄清公告</w:t>
      </w:r>
    </w:p>
    <w:p w14:paraId="39E0B239"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在《基金合同》存续期限内，任何公共媒体中出现的或者在市场上流传的消息可能对基金资产净值产生误导性影响或者引起较大波动，以及可能损害基金份额持有人权益的，相关信息披露义务人知悉后应当立即对该消息进行公开澄清，并将有关情况立即报告中国证监会。</w:t>
      </w:r>
    </w:p>
    <w:p w14:paraId="7C21F751"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（八）基金份额持有人大会决议</w:t>
      </w:r>
    </w:p>
    <w:p w14:paraId="3E19CA9F"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基金份额持有人大会决定的事项，应当依法报国务院证券监督管理机构备案，并予以公告。</w:t>
      </w:r>
    </w:p>
    <w:p w14:paraId="7E7F1AB0"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（九）清算报告</w:t>
      </w:r>
    </w:p>
    <w:p w14:paraId="6D2FC579"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5CB7B6C1"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（十）中国证监会规定的其他信息。</w:t>
      </w:r>
    </w:p>
    <w:p w14:paraId="0EEAF770"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六、信息披露事务管理</w:t>
      </w:r>
    </w:p>
    <w:p w14:paraId="672337B0"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基金管理人、基金托管人应当建立健全信息披露管理制度，指定专门部门及高级管理人员负责管理信息披露事务。</w:t>
      </w:r>
    </w:p>
    <w:p w14:paraId="4D1C3706"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基金信息披露义务人公开披露基金信息，应当符合中国证监会相关基金信息披露内容与格式准则等法规的规定。</w:t>
      </w:r>
    </w:p>
    <w:p w14:paraId="4E77C416"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基金托管人应当按照相关法律法规、中国证监会的规定和《基金合同》的约定，对基金管理人编制的基金资产净值、每万份基金已实现收益、</w:t>
      </w:r>
      <w:r w:rsidRPr="00E97AFD">
        <w:rPr>
          <w:rFonts w:asciiTheme="minorEastAsia" w:eastAsiaTheme="minorEastAsia" w:hAnsiTheme="minorEastAsia"/>
          <w:bCs/>
          <w:szCs w:val="21"/>
        </w:rPr>
        <w:t>7</w:t>
      </w:r>
      <w:r w:rsidRPr="00E97AFD">
        <w:rPr>
          <w:rFonts w:asciiTheme="minorEastAsia" w:eastAsiaTheme="minorEastAsia" w:hAnsiTheme="minorEastAsia" w:hint="eastAsia"/>
          <w:bCs/>
          <w:szCs w:val="21"/>
        </w:rPr>
        <w:t>日年化收益率、基金份额申购赎回价格、基金定期报告、更新的招募说明书、基金产品资料概要、基金清算报告等公开披露的相关基金信息进行复核、审查，并向基金管理人进行书面或电子确认。</w:t>
      </w:r>
    </w:p>
    <w:p w14:paraId="63AA50D7"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lastRenderedPageBreak/>
        <w:t>基金管理人、基金托管人应当在指定报刊中选择一家报刊披露本基金信息。基金管理人、基金托管人应当向中国证监会基金电子披露网站报送拟披露的基金信息，并保证相关报送信息的真实、准确、完整、及时。</w:t>
      </w:r>
    </w:p>
    <w:p w14:paraId="17EC2193"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14:paraId="58D0B33B"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978CC6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七、信息披露文件的存放与查阅</w:t>
      </w:r>
    </w:p>
    <w:p w14:paraId="08C7AF05" w14:textId="32300561" w:rsidR="008B416E" w:rsidRPr="00E97AFD" w:rsidRDefault="006B018F"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依法必须披露的信息发布后，基金管理人、基金托管人应当按照相关法律法规规定将信息置备于公司办公场所，供社会公众查阅、复制。</w:t>
      </w:r>
    </w:p>
    <w:p w14:paraId="6F91FD73" w14:textId="77777777" w:rsidR="008B416E" w:rsidRPr="00E97AFD" w:rsidRDefault="008B416E" w:rsidP="00966694">
      <w:pPr>
        <w:snapToGrid w:val="0"/>
        <w:spacing w:line="360" w:lineRule="auto"/>
        <w:ind w:firstLineChars="200" w:firstLine="420"/>
        <w:rPr>
          <w:rFonts w:asciiTheme="minorEastAsia" w:eastAsiaTheme="minorEastAsia" w:hAnsiTheme="minorEastAsia"/>
          <w:szCs w:val="21"/>
        </w:rPr>
      </w:pPr>
    </w:p>
    <w:p w14:paraId="4EB50C2E" w14:textId="77777777" w:rsidR="00BA4B87" w:rsidRPr="00E97AFD" w:rsidRDefault="00BA4B87" w:rsidP="00966694">
      <w:pPr>
        <w:pStyle w:val="1"/>
        <w:snapToGrid w:val="0"/>
        <w:spacing w:beforeLines="0" w:afterLines="0" w:line="360" w:lineRule="auto"/>
        <w:ind w:firstLine="600"/>
        <w:rPr>
          <w:rFonts w:asciiTheme="minorEastAsia" w:eastAsiaTheme="minorEastAsia" w:hAnsiTheme="minorEastAsia"/>
          <w:b/>
        </w:rPr>
      </w:pPr>
      <w:r w:rsidRPr="00E97AFD">
        <w:rPr>
          <w:rFonts w:asciiTheme="minorEastAsia" w:eastAsiaTheme="minorEastAsia" w:hAnsiTheme="minorEastAsia"/>
          <w:sz w:val="30"/>
        </w:rPr>
        <w:br w:type="column"/>
      </w:r>
      <w:bookmarkStart w:id="77" w:name="_Toc43371990"/>
      <w:r w:rsidR="00D708BF" w:rsidRPr="00E97AFD">
        <w:rPr>
          <w:rFonts w:asciiTheme="minorEastAsia" w:eastAsiaTheme="minorEastAsia" w:hAnsiTheme="minorEastAsia" w:hint="eastAsia"/>
          <w:b/>
          <w:sz w:val="30"/>
        </w:rPr>
        <w:lastRenderedPageBreak/>
        <w:t>二十</w:t>
      </w:r>
      <w:r w:rsidRPr="00E97AFD">
        <w:rPr>
          <w:rFonts w:asciiTheme="minorEastAsia" w:eastAsiaTheme="minorEastAsia" w:hAnsiTheme="minorEastAsia"/>
          <w:b/>
          <w:sz w:val="30"/>
        </w:rPr>
        <w:t>、风险揭示</w:t>
      </w:r>
      <w:bookmarkEnd w:id="77"/>
    </w:p>
    <w:p w14:paraId="12A10DAA" w14:textId="77777777" w:rsidR="0047523D" w:rsidRPr="00E97AFD" w:rsidRDefault="00421B98"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0047523D" w:rsidRPr="00E97AFD">
        <w:rPr>
          <w:rFonts w:asciiTheme="minorEastAsia" w:eastAsiaTheme="minorEastAsia" w:hAnsiTheme="minorEastAsia" w:hint="eastAsia"/>
          <w:bCs/>
          <w:szCs w:val="21"/>
        </w:rPr>
        <w:t>一</w:t>
      </w:r>
      <w:r w:rsidRPr="00E97AFD">
        <w:rPr>
          <w:rFonts w:asciiTheme="minorEastAsia" w:eastAsiaTheme="minorEastAsia" w:hAnsiTheme="minorEastAsia" w:hint="eastAsia"/>
          <w:bCs/>
          <w:szCs w:val="21"/>
        </w:rPr>
        <w:t>)</w:t>
      </w:r>
      <w:r w:rsidR="0047523D" w:rsidRPr="00E97AFD">
        <w:rPr>
          <w:rFonts w:asciiTheme="minorEastAsia" w:eastAsiaTheme="minorEastAsia" w:hAnsiTheme="minorEastAsia" w:hint="eastAsia"/>
          <w:bCs/>
          <w:szCs w:val="21"/>
        </w:rPr>
        <w:t>市场风险</w:t>
      </w:r>
    </w:p>
    <w:p w14:paraId="4795FB23" w14:textId="77777777" w:rsidR="00BA4B87" w:rsidRPr="00E97AFD" w:rsidRDefault="00BA4B87"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本基金主要投资于</w:t>
      </w:r>
      <w:r w:rsidR="00B42BD8" w:rsidRPr="00E97AFD">
        <w:rPr>
          <w:rFonts w:asciiTheme="minorEastAsia" w:eastAsiaTheme="minorEastAsia" w:hAnsiTheme="minorEastAsia" w:hint="eastAsia"/>
          <w:bCs/>
          <w:szCs w:val="21"/>
        </w:rPr>
        <w:t>具有良好流动性的金融工具</w:t>
      </w:r>
      <w:r w:rsidRPr="00E97AFD">
        <w:rPr>
          <w:rFonts w:asciiTheme="minorEastAsia" w:eastAsiaTheme="minorEastAsia" w:hAnsiTheme="minorEastAsia"/>
          <w:bCs/>
          <w:szCs w:val="21"/>
        </w:rPr>
        <w:t>，</w:t>
      </w:r>
      <w:r w:rsidR="00B42BD8" w:rsidRPr="00E97AFD">
        <w:rPr>
          <w:rFonts w:asciiTheme="minorEastAsia" w:eastAsiaTheme="minorEastAsia" w:hAnsiTheme="minorEastAsia"/>
          <w:bCs/>
          <w:szCs w:val="21"/>
        </w:rPr>
        <w:t>而</w:t>
      </w:r>
      <w:r w:rsidR="00B42BD8" w:rsidRPr="00E97AFD">
        <w:rPr>
          <w:rFonts w:asciiTheme="minorEastAsia" w:eastAsiaTheme="minorEastAsia" w:hAnsiTheme="minorEastAsia" w:hint="eastAsia"/>
          <w:bCs/>
          <w:szCs w:val="21"/>
        </w:rPr>
        <w:t>其</w:t>
      </w:r>
      <w:r w:rsidR="00B42BD8" w:rsidRPr="00E97AFD">
        <w:rPr>
          <w:rFonts w:asciiTheme="minorEastAsia" w:eastAsiaTheme="minorEastAsia" w:hAnsiTheme="minorEastAsia"/>
          <w:bCs/>
          <w:szCs w:val="21"/>
        </w:rPr>
        <w:t>价格因受到经济因素</w:t>
      </w:r>
      <w:r w:rsidRPr="00E97AFD">
        <w:rPr>
          <w:rFonts w:asciiTheme="minorEastAsia" w:eastAsiaTheme="minorEastAsia" w:hAnsiTheme="minorEastAsia"/>
          <w:bCs/>
          <w:szCs w:val="21"/>
        </w:rPr>
        <w:t>、政治因素、投资者心理和交易制度等各种因素的影响而产生波动，从而导致基金收益水平发生变化，产生风险。主要的风险因素包括：</w:t>
      </w:r>
    </w:p>
    <w:p w14:paraId="5FD05963" w14:textId="77777777" w:rsidR="00BA4B87" w:rsidRPr="00E97AFD" w:rsidRDefault="00BA4B87"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w:t>
      </w:r>
      <w:r w:rsidR="008A168E" w:rsidRPr="00E97AFD">
        <w:rPr>
          <w:rFonts w:asciiTheme="minorEastAsia" w:eastAsiaTheme="minorEastAsia" w:hAnsiTheme="minorEastAsia"/>
          <w:bCs/>
          <w:szCs w:val="21"/>
        </w:rPr>
        <w:t>、</w:t>
      </w:r>
      <w:r w:rsidRPr="00E97AFD">
        <w:rPr>
          <w:rFonts w:asciiTheme="minorEastAsia" w:eastAsiaTheme="minorEastAsia" w:hAnsiTheme="minorEastAsia"/>
          <w:bCs/>
          <w:szCs w:val="21"/>
        </w:rPr>
        <w:t>政策风险</w:t>
      </w:r>
    </w:p>
    <w:p w14:paraId="5702057A" w14:textId="77777777" w:rsidR="00BA4B87" w:rsidRPr="00E97AFD" w:rsidRDefault="00BA4B87"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因国家宏观政策(如货币政策、财政政策、行业政策、地区发展政策等)发生变化，导致市场价格波动而产生风险。</w:t>
      </w:r>
    </w:p>
    <w:p w14:paraId="03990359" w14:textId="77777777" w:rsidR="00BA4B87" w:rsidRPr="00E97AFD" w:rsidRDefault="00BA4B87"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2</w:t>
      </w:r>
      <w:r w:rsidR="008A168E" w:rsidRPr="00E97AFD">
        <w:rPr>
          <w:rFonts w:asciiTheme="minorEastAsia" w:eastAsiaTheme="minorEastAsia" w:hAnsiTheme="minorEastAsia"/>
          <w:bCs/>
          <w:szCs w:val="21"/>
        </w:rPr>
        <w:t>、</w:t>
      </w:r>
      <w:r w:rsidRPr="00E97AFD">
        <w:rPr>
          <w:rFonts w:asciiTheme="minorEastAsia" w:eastAsiaTheme="minorEastAsia" w:hAnsiTheme="minorEastAsia"/>
          <w:bCs/>
          <w:szCs w:val="21"/>
        </w:rPr>
        <w:t>利率风险</w:t>
      </w:r>
    </w:p>
    <w:p w14:paraId="202221A2" w14:textId="77777777" w:rsidR="00BA4B87" w:rsidRPr="00E97AFD" w:rsidRDefault="00BA4B87"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利率风险主要是指因金融市场利率的波动而导致证券市场价格和收益率变动的风险。利率直接影响着债券的价格和收益率，影响着企业的融资成本和利润。本基金主要投资</w:t>
      </w:r>
      <w:r w:rsidR="00B42BD8" w:rsidRPr="00E97AFD">
        <w:rPr>
          <w:rFonts w:asciiTheme="minorEastAsia" w:eastAsiaTheme="minorEastAsia" w:hAnsiTheme="minorEastAsia" w:hint="eastAsia"/>
          <w:bCs/>
          <w:szCs w:val="21"/>
        </w:rPr>
        <w:t>固定收益类金融工具</w:t>
      </w:r>
      <w:r w:rsidRPr="00E97AFD">
        <w:rPr>
          <w:rFonts w:asciiTheme="minorEastAsia" w:eastAsiaTheme="minorEastAsia" w:hAnsiTheme="minorEastAsia"/>
          <w:bCs/>
          <w:szCs w:val="21"/>
        </w:rPr>
        <w:t>，其收益水平直接受到利率变化的影响。</w:t>
      </w:r>
    </w:p>
    <w:p w14:paraId="58711573" w14:textId="77777777" w:rsidR="00BA4B87" w:rsidRPr="00E97AFD" w:rsidRDefault="00BA4B87"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3</w:t>
      </w:r>
      <w:r w:rsidR="008A168E" w:rsidRPr="00E97AFD">
        <w:rPr>
          <w:rFonts w:asciiTheme="minorEastAsia" w:eastAsiaTheme="minorEastAsia" w:hAnsiTheme="minorEastAsia"/>
          <w:bCs/>
          <w:szCs w:val="21"/>
        </w:rPr>
        <w:t>、</w:t>
      </w:r>
      <w:r w:rsidRPr="00E97AFD">
        <w:rPr>
          <w:rFonts w:asciiTheme="minorEastAsia" w:eastAsiaTheme="minorEastAsia" w:hAnsiTheme="minorEastAsia"/>
          <w:bCs/>
          <w:szCs w:val="21"/>
        </w:rPr>
        <w:t>再投资风险</w:t>
      </w:r>
    </w:p>
    <w:p w14:paraId="0550AF34" w14:textId="77777777" w:rsidR="00BA4B87" w:rsidRPr="00E97AFD" w:rsidRDefault="00BA4B87"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债券、票据</w:t>
      </w:r>
      <w:r w:rsidR="00DC7940" w:rsidRPr="00E97AFD">
        <w:rPr>
          <w:rFonts w:asciiTheme="minorEastAsia" w:eastAsiaTheme="minorEastAsia" w:hAnsiTheme="minorEastAsia" w:hint="eastAsia"/>
          <w:bCs/>
          <w:szCs w:val="21"/>
        </w:rPr>
        <w:t>、定期存款</w:t>
      </w:r>
      <w:r w:rsidRPr="00E97AFD">
        <w:rPr>
          <w:rFonts w:asciiTheme="minorEastAsia" w:eastAsiaTheme="minorEastAsia" w:hAnsiTheme="minorEastAsia"/>
          <w:bCs/>
          <w:szCs w:val="21"/>
        </w:rPr>
        <w:t>偿付本息后以及回购到期后可能由于市场利率的下降面临资金再投资的收益率低于原来利率，由此本基金面临再投资风险。</w:t>
      </w:r>
    </w:p>
    <w:p w14:paraId="035E09E1" w14:textId="77777777" w:rsidR="00BA4B87" w:rsidRPr="00E97AFD" w:rsidRDefault="00BA4B87"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4</w:t>
      </w:r>
      <w:r w:rsidR="008A168E" w:rsidRPr="00E97AFD">
        <w:rPr>
          <w:rFonts w:asciiTheme="minorEastAsia" w:eastAsiaTheme="minorEastAsia" w:hAnsiTheme="minorEastAsia"/>
          <w:bCs/>
          <w:szCs w:val="21"/>
        </w:rPr>
        <w:t>、</w:t>
      </w:r>
      <w:r w:rsidRPr="00E97AFD">
        <w:rPr>
          <w:rFonts w:asciiTheme="minorEastAsia" w:eastAsiaTheme="minorEastAsia" w:hAnsiTheme="minorEastAsia"/>
          <w:bCs/>
          <w:szCs w:val="21"/>
        </w:rPr>
        <w:t>信用风险</w:t>
      </w:r>
    </w:p>
    <w:p w14:paraId="49ADA1C1" w14:textId="77777777" w:rsidR="00BA4B87" w:rsidRPr="00E97AFD" w:rsidRDefault="00BA4B87"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信用风险主要指债券</w:t>
      </w:r>
      <w:r w:rsidR="00B42BD8" w:rsidRPr="00E97AFD">
        <w:rPr>
          <w:rFonts w:asciiTheme="minorEastAsia" w:eastAsiaTheme="minorEastAsia" w:hAnsiTheme="minorEastAsia" w:hint="eastAsia"/>
          <w:bCs/>
          <w:szCs w:val="21"/>
        </w:rPr>
        <w:t>发行主体</w:t>
      </w:r>
      <w:r w:rsidRPr="00E97AFD">
        <w:rPr>
          <w:rFonts w:asciiTheme="minorEastAsia" w:eastAsiaTheme="minorEastAsia" w:hAnsiTheme="minorEastAsia"/>
          <w:bCs/>
          <w:szCs w:val="21"/>
        </w:rPr>
        <w:t>、票据发行主体</w:t>
      </w:r>
      <w:r w:rsidR="00B42BD8" w:rsidRPr="00E97AFD">
        <w:rPr>
          <w:rFonts w:asciiTheme="minorEastAsia" w:eastAsiaTheme="minorEastAsia" w:hAnsiTheme="minorEastAsia" w:hint="eastAsia"/>
          <w:bCs/>
          <w:szCs w:val="21"/>
        </w:rPr>
        <w:t>、存款银行</w:t>
      </w:r>
      <w:r w:rsidRPr="00E97AFD">
        <w:rPr>
          <w:rFonts w:asciiTheme="minorEastAsia" w:eastAsiaTheme="minorEastAsia" w:hAnsiTheme="minorEastAsia"/>
          <w:bCs/>
          <w:szCs w:val="21"/>
        </w:rPr>
        <w:t>信用状况可能恶化而可能产生的到期不能兑付的风险。</w:t>
      </w:r>
    </w:p>
    <w:p w14:paraId="2523389D" w14:textId="77777777" w:rsidR="00BA4B87" w:rsidRPr="00E97AFD" w:rsidRDefault="004C3F19"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5</w:t>
      </w:r>
      <w:r w:rsidR="008A168E" w:rsidRPr="00E97AFD">
        <w:rPr>
          <w:rFonts w:asciiTheme="minorEastAsia" w:eastAsiaTheme="minorEastAsia" w:hAnsiTheme="minorEastAsia"/>
          <w:bCs/>
          <w:szCs w:val="21"/>
        </w:rPr>
        <w:t>、</w:t>
      </w:r>
      <w:r w:rsidR="00BA4B87" w:rsidRPr="00E97AFD">
        <w:rPr>
          <w:rFonts w:asciiTheme="minorEastAsia" w:eastAsiaTheme="minorEastAsia" w:hAnsiTheme="minorEastAsia"/>
          <w:bCs/>
          <w:szCs w:val="21"/>
        </w:rPr>
        <w:t>经营风险</w:t>
      </w:r>
    </w:p>
    <w:p w14:paraId="533FAE29" w14:textId="77777777" w:rsidR="00BA4B87" w:rsidRPr="00E97AFD" w:rsidRDefault="00B42BD8"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债券</w:t>
      </w:r>
      <w:r w:rsidRPr="00E97AFD">
        <w:rPr>
          <w:rFonts w:asciiTheme="minorEastAsia" w:eastAsiaTheme="minorEastAsia" w:hAnsiTheme="minorEastAsia" w:hint="eastAsia"/>
          <w:bCs/>
          <w:szCs w:val="21"/>
        </w:rPr>
        <w:t>发行主体</w:t>
      </w:r>
      <w:r w:rsidR="00BA4B87" w:rsidRPr="00E97AFD">
        <w:rPr>
          <w:rFonts w:asciiTheme="minorEastAsia" w:eastAsiaTheme="minorEastAsia" w:hAnsiTheme="minorEastAsia"/>
          <w:bCs/>
          <w:szCs w:val="21"/>
        </w:rPr>
        <w:t>的经营活动受多种因素影响。如果</w:t>
      </w:r>
      <w:r w:rsidRPr="00E97AFD">
        <w:rPr>
          <w:rFonts w:asciiTheme="minorEastAsia" w:eastAsiaTheme="minorEastAsia" w:hAnsiTheme="minorEastAsia"/>
          <w:bCs/>
          <w:szCs w:val="21"/>
        </w:rPr>
        <w:t>债券</w:t>
      </w:r>
      <w:r w:rsidRPr="00E97AFD">
        <w:rPr>
          <w:rFonts w:asciiTheme="minorEastAsia" w:eastAsiaTheme="minorEastAsia" w:hAnsiTheme="minorEastAsia" w:hint="eastAsia"/>
          <w:bCs/>
          <w:szCs w:val="21"/>
        </w:rPr>
        <w:t>发行主体</w:t>
      </w:r>
      <w:r w:rsidR="00BA4B87" w:rsidRPr="00E97AFD">
        <w:rPr>
          <w:rFonts w:asciiTheme="minorEastAsia" w:eastAsiaTheme="minorEastAsia" w:hAnsiTheme="minorEastAsia"/>
          <w:bCs/>
          <w:szCs w:val="21"/>
        </w:rPr>
        <w:t>经营不善，其债券价格可能下跌；同时，其偿债能力也会受到影响。</w:t>
      </w:r>
    </w:p>
    <w:p w14:paraId="4D092D8A" w14:textId="77777777" w:rsidR="00BA4B87" w:rsidRPr="00E97AFD" w:rsidRDefault="00BA4B87" w:rsidP="00966694">
      <w:pPr>
        <w:snapToGrid w:val="0"/>
        <w:spacing w:line="360" w:lineRule="auto"/>
        <w:ind w:firstLineChars="200" w:firstLine="420"/>
        <w:rPr>
          <w:rFonts w:asciiTheme="minorEastAsia" w:eastAsiaTheme="minorEastAsia" w:hAnsiTheme="minorEastAsia"/>
          <w:bCs/>
          <w:szCs w:val="21"/>
        </w:rPr>
      </w:pPr>
      <w:bookmarkStart w:id="78" w:name="_Toc327734902"/>
      <w:r w:rsidRPr="00E97AFD">
        <w:rPr>
          <w:rFonts w:asciiTheme="minorEastAsia" w:eastAsiaTheme="minorEastAsia" w:hAnsiTheme="minorEastAsia"/>
          <w:bCs/>
          <w:szCs w:val="21"/>
        </w:rPr>
        <w:t>(二)管理风险</w:t>
      </w:r>
      <w:bookmarkEnd w:id="78"/>
    </w:p>
    <w:p w14:paraId="7424EE62" w14:textId="77777777" w:rsidR="00BA4B87" w:rsidRPr="00E97AFD" w:rsidRDefault="00BA4B87"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w:t>
      </w:r>
      <w:r w:rsidR="008A168E" w:rsidRPr="00E97AFD">
        <w:rPr>
          <w:rFonts w:asciiTheme="minorEastAsia" w:eastAsiaTheme="minorEastAsia" w:hAnsiTheme="minorEastAsia"/>
          <w:bCs/>
          <w:szCs w:val="21"/>
        </w:rPr>
        <w:t>、</w:t>
      </w:r>
      <w:r w:rsidRPr="00E97AFD">
        <w:rPr>
          <w:rFonts w:asciiTheme="minorEastAsia" w:eastAsiaTheme="minorEastAsia" w:hAnsiTheme="minorEastAsia"/>
          <w:bCs/>
          <w:szCs w:val="21"/>
        </w:rPr>
        <w:t>在基金管理运作过程中，基金管理人的知识、经验、判断、决策、技能等，会影响其对信息的占有以及对经济形势、证券价格走势的判断，从而影响基金收益水平；</w:t>
      </w:r>
    </w:p>
    <w:p w14:paraId="47DA0AFB" w14:textId="77777777" w:rsidR="00BA4B87" w:rsidRPr="00E97AFD" w:rsidRDefault="00BA4B87"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2</w:t>
      </w:r>
      <w:r w:rsidR="008A168E" w:rsidRPr="00E97AFD">
        <w:rPr>
          <w:rFonts w:asciiTheme="minorEastAsia" w:eastAsiaTheme="minorEastAsia" w:hAnsiTheme="minorEastAsia"/>
          <w:bCs/>
          <w:szCs w:val="21"/>
        </w:rPr>
        <w:t>、</w:t>
      </w:r>
      <w:r w:rsidRPr="00E97AFD">
        <w:rPr>
          <w:rFonts w:asciiTheme="minorEastAsia" w:eastAsiaTheme="minorEastAsia" w:hAnsiTheme="minorEastAsia"/>
          <w:bCs/>
          <w:szCs w:val="21"/>
        </w:rPr>
        <w:t>基金管理人的管理手段和管理技术等因素的变化也会影响基金收益水平。</w:t>
      </w:r>
    </w:p>
    <w:p w14:paraId="12E40FE2" w14:textId="77777777" w:rsidR="00BA4B87" w:rsidRPr="00E97AFD" w:rsidRDefault="00BA4B87" w:rsidP="00966694">
      <w:pPr>
        <w:snapToGrid w:val="0"/>
        <w:spacing w:line="360" w:lineRule="auto"/>
        <w:ind w:firstLineChars="200" w:firstLine="420"/>
        <w:rPr>
          <w:rFonts w:asciiTheme="minorEastAsia" w:eastAsiaTheme="minorEastAsia" w:hAnsiTheme="minorEastAsia"/>
          <w:bCs/>
          <w:szCs w:val="21"/>
        </w:rPr>
      </w:pPr>
      <w:bookmarkStart w:id="79" w:name="_Toc327734903"/>
      <w:r w:rsidRPr="00E97AFD">
        <w:rPr>
          <w:rFonts w:asciiTheme="minorEastAsia" w:eastAsiaTheme="minorEastAsia" w:hAnsiTheme="minorEastAsia"/>
          <w:bCs/>
          <w:szCs w:val="21"/>
        </w:rPr>
        <w:t>(三)流动性风险</w:t>
      </w:r>
      <w:bookmarkEnd w:id="79"/>
    </w:p>
    <w:p w14:paraId="52421CA1" w14:textId="77777777" w:rsidR="00BA22C8" w:rsidRPr="00E97AFD" w:rsidRDefault="00BA22C8" w:rsidP="00BA22C8">
      <w:pPr>
        <w:adjustRightInd w:val="0"/>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1、流动性风险评估</w:t>
      </w:r>
    </w:p>
    <w:p w14:paraId="4D5129EC" w14:textId="77777777" w:rsidR="00BA22C8" w:rsidRPr="00E97AFD" w:rsidRDefault="00BA22C8" w:rsidP="00BA22C8">
      <w:pPr>
        <w:adjustRightInd w:val="0"/>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本基金为货币市场基金，投资于现金，期限在一年以内（含一年）的银行存款、债券回购、中央银行票据、同业存单，剩余期限在397天以内（含397天）的债券、非金融企业债务融资工具、资产支持证券，以及法律法规或中国证监会、中国人民银行认可的其他具有良好流动性的货币市场工具。上述投资标的一般情况下具有良好的流动性，但在特殊情况下，也存在部分企业债、资产证券化等债券品种交投不活跃、成交量不足的情形，此时如果基金赎回量较大，可能会影响基金的流动性。</w:t>
      </w:r>
    </w:p>
    <w:p w14:paraId="3DC22FFB" w14:textId="77777777" w:rsidR="00BA22C8" w:rsidRPr="00E97AFD" w:rsidRDefault="00BA22C8" w:rsidP="00BA22C8">
      <w:pPr>
        <w:adjustRightInd w:val="0"/>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2、巨额赎回情形下的流动性风险管理措施</w:t>
      </w:r>
    </w:p>
    <w:p w14:paraId="5DB78394" w14:textId="77777777" w:rsidR="00BA22C8" w:rsidRPr="00E97AFD" w:rsidRDefault="00BA22C8" w:rsidP="00BA22C8">
      <w:pPr>
        <w:adjustRightInd w:val="0"/>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lastRenderedPageBreak/>
        <w:t>当本基金发生巨额赎回时，基金管理人可以根据基金当时的资产组合状况决定全额赎回或部分延期赎回；此外，如出现连续两个或两个以上开放日发生巨额赎回，可暂停接受投资人的赎回申请或延缓支付赎回款项；当本基金发生巨额赎回且单个基金份额持有人的赎回申请超过上一开放日基金总份额10%的，基金管理人有权先行对该单个基金份额持有人超出该比例的赎回申请实施延期办理。具体情形、程序见招募说明书“基金份额的申购、赎回”之“巨额赎回的认定及处理方式”。</w:t>
      </w:r>
    </w:p>
    <w:p w14:paraId="643FA4F9" w14:textId="77777777" w:rsidR="00BA22C8" w:rsidRPr="00E97AFD" w:rsidRDefault="00BA22C8" w:rsidP="00BA22C8">
      <w:pPr>
        <w:adjustRightInd w:val="0"/>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发生上述情形时，投资人面临无法全部赎回或无法及时获得赎回资金的风险。在本基金暂停或延期办理投资者赎回申请的情况下，投资者未能赎回的基金份额还将面临万份基金已实现收益和七日年化收益率波动的风险。</w:t>
      </w:r>
    </w:p>
    <w:p w14:paraId="78A8C6FC" w14:textId="77777777" w:rsidR="00BA22C8" w:rsidRPr="00E97AFD" w:rsidRDefault="00BA22C8" w:rsidP="00BA22C8">
      <w:pPr>
        <w:adjustRightInd w:val="0"/>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3、除巨额赎回情形外实施备用的流动性风险管理工具的情形、程序及对投资者的潜在影响</w:t>
      </w:r>
    </w:p>
    <w:p w14:paraId="7DE6AC47" w14:textId="77777777" w:rsidR="00BA22C8" w:rsidRPr="00E97AFD" w:rsidRDefault="00BA22C8" w:rsidP="00BA22C8">
      <w:pPr>
        <w:adjustRightInd w:val="0"/>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除巨额赎回情形外，本基金备用流动性风险管理工具包括但不限于暂停接受赎回申请、延缓支付赎回款项、收取强制赎回费用、暂停基金估值以及证监会认定的其他措施。</w:t>
      </w:r>
    </w:p>
    <w:p w14:paraId="156C0E04" w14:textId="77777777" w:rsidR="00BA22C8" w:rsidRPr="00E97AFD" w:rsidRDefault="00BA22C8" w:rsidP="00BA22C8">
      <w:pPr>
        <w:adjustRightInd w:val="0"/>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暂停接受赎回申请、延缓支付赎回款项等工具的情形、程序见招募说明书“基金份额的申购、赎回”之“拒绝或暂停申购、暂停赎回或延缓支付赎回款项的情形及处理”的相关规定。若本基金暂停赎回申请，投资者在暂停赎回期间将无法赎回其持有的基金份额。若本基金延缓支付赎回款项，赎回款支付时间将后延，可能对投资者的资金安排带来不利影响。</w:t>
      </w:r>
    </w:p>
    <w:p w14:paraId="6D626A6B" w14:textId="77777777" w:rsidR="00BA22C8" w:rsidRPr="00E97AFD" w:rsidRDefault="00BA22C8" w:rsidP="00BA22C8">
      <w:pPr>
        <w:adjustRightInd w:val="0"/>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发生“基金份额的申购、赎回”之“基金的申购费和赎回费”中“强制赎回费用”规定的情形之一时，本基金对当日单个基金份额持有人申请赎回基金份额超过基金总份额1%以上的赎回申请（指超过基金总份额1%以上的部分）征收1%的强制赎回费用，并将上述赎回费用全额计入基金财产。基金管理人与基金托管人协商确认上述做法无益于基金利益最大化的情形除外。</w:t>
      </w:r>
    </w:p>
    <w:p w14:paraId="73998933" w14:textId="77777777" w:rsidR="00BA22C8" w:rsidRPr="00E97AFD" w:rsidRDefault="00BA22C8" w:rsidP="00BA22C8">
      <w:pPr>
        <w:adjustRightInd w:val="0"/>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暂停基金估值的情形、程序见招募说明书“基金资产的估值”之“暂停估值的情形”的相关规定。若本基金暂停基金估值，一方面投资者将无法知晓本基金的万份基金已实现收益和七日年化收益率，另一方面基金将延缓支付赎回款项或暂停接受基金申购赎回申请，延缓支付赎回款项可能影响投资者的资金安排，暂停接受基金申购赎回申请将导致投资者无法申购或赎回本基金。</w:t>
      </w:r>
    </w:p>
    <w:p w14:paraId="64314CF5" w14:textId="77777777" w:rsidR="00BA22C8" w:rsidRPr="00E97AFD" w:rsidRDefault="00BA22C8" w:rsidP="00BA22C8">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w:t>
      </w:r>
      <w:r w:rsidRPr="00E97AFD">
        <w:rPr>
          <w:rFonts w:asciiTheme="minorEastAsia" w:eastAsiaTheme="minorEastAsia" w:hAnsiTheme="minorEastAsia" w:hint="eastAsia"/>
          <w:bCs/>
          <w:szCs w:val="21"/>
        </w:rPr>
        <w:t>四</w:t>
      </w:r>
      <w:r w:rsidRPr="00E97AFD">
        <w:rPr>
          <w:rFonts w:asciiTheme="minorEastAsia" w:eastAsiaTheme="minorEastAsia" w:hAnsiTheme="minorEastAsia"/>
          <w:bCs/>
          <w:szCs w:val="21"/>
        </w:rPr>
        <w:t>)</w:t>
      </w:r>
      <w:r w:rsidRPr="00E97AFD">
        <w:rPr>
          <w:rFonts w:asciiTheme="minorEastAsia" w:eastAsiaTheme="minorEastAsia" w:hAnsiTheme="minorEastAsia" w:hint="eastAsia"/>
          <w:bCs/>
          <w:szCs w:val="21"/>
        </w:rPr>
        <w:t>特有风险</w:t>
      </w:r>
    </w:p>
    <w:p w14:paraId="52622E57" w14:textId="77777777" w:rsidR="00BA22C8" w:rsidRPr="00E97AFD" w:rsidRDefault="00BA22C8" w:rsidP="00BA22C8">
      <w:pPr>
        <w:adjustRightInd w:val="0"/>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1、估值的风险：</w:t>
      </w:r>
    </w:p>
    <w:p w14:paraId="1B98A98E" w14:textId="77777777" w:rsidR="00BA22C8" w:rsidRPr="00E97AFD" w:rsidRDefault="00BA22C8" w:rsidP="00BA22C8">
      <w:pPr>
        <w:adjustRightInd w:val="0"/>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本基金的估值过程中，发生影子定价法确定的基金资产净值与摊余成本法计算的基金资产净值的正偏离度绝对值达到0.5%时，本基金可能暂停接受申购申请。</w:t>
      </w:r>
    </w:p>
    <w:p w14:paraId="4AAD8048" w14:textId="77777777" w:rsidR="00BA22C8" w:rsidRPr="00E97AFD" w:rsidRDefault="00BA22C8" w:rsidP="00BA22C8">
      <w:pPr>
        <w:adjustRightInd w:val="0"/>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本基金的估值过程中，当“影子定价”确定的基金资产净值与“摊余成本法”计算的基金资产净值的负偏离度绝对值达到0.5%时，基金管理人应当使用风险准备金或者固有资金弥补潜在资产损失，将负偏离度绝对值控制在0.5%以内。当负偏离度绝对值连续两个交易</w:t>
      </w:r>
      <w:r w:rsidRPr="00E97AFD">
        <w:rPr>
          <w:rFonts w:asciiTheme="minorEastAsia" w:eastAsiaTheme="minorEastAsia" w:hAnsiTheme="minorEastAsia" w:hint="eastAsia"/>
          <w:bCs/>
          <w:szCs w:val="21"/>
        </w:rPr>
        <w:lastRenderedPageBreak/>
        <w:t>日超过0.5%时，基金管理人应当采用公允价值估值方法对持有投资组合的账面价值进行调整，或者采取暂停接受所有赎回申请并终止基金合同进行财产清算等措施。由此，本基金面临基金资产净值波动的风险，或者本基金合同终止的风险。</w:t>
      </w:r>
    </w:p>
    <w:p w14:paraId="7D1F1FDF" w14:textId="77777777" w:rsidR="00BA22C8" w:rsidRPr="00E97AFD" w:rsidRDefault="00BA22C8" w:rsidP="00BA22C8">
      <w:pPr>
        <w:adjustRightInd w:val="0"/>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2、投资组合平均剩余期限变动的风险</w:t>
      </w:r>
    </w:p>
    <w:p w14:paraId="2E16A66C" w14:textId="77777777" w:rsidR="00A6711E" w:rsidRPr="00E97AFD" w:rsidRDefault="00BA22C8"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一般情况下，本基金投资组合的平均剩余期限不得超过120天，平均剩余存续期不得超过240天。但本基金还将根据份额持有人集中度情况对本基金的投资组合实施调整，并遵守以下要求：（1）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2）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14:paraId="35FB532E" w14:textId="2FED6D3B" w:rsidR="00AC6FF9" w:rsidRPr="00E97AFD" w:rsidRDefault="00A1365A" w:rsidP="00AC6FF9">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w:t>
      </w:r>
      <w:bookmarkStart w:id="80" w:name="_Toc327734905"/>
      <w:r w:rsidR="00BA4B87" w:rsidRPr="00E97AFD">
        <w:rPr>
          <w:rFonts w:asciiTheme="minorEastAsia" w:eastAsiaTheme="minorEastAsia" w:hAnsiTheme="minorEastAsia"/>
          <w:bCs/>
          <w:szCs w:val="21"/>
        </w:rPr>
        <w:t>五</w:t>
      </w:r>
      <w:r w:rsidRPr="00E97AFD">
        <w:rPr>
          <w:rFonts w:asciiTheme="minorEastAsia" w:eastAsiaTheme="minorEastAsia" w:hAnsiTheme="minorEastAsia"/>
          <w:bCs/>
          <w:szCs w:val="21"/>
        </w:rPr>
        <w:t>)</w:t>
      </w:r>
      <w:r w:rsidR="00AC6FF9" w:rsidRPr="00E97AFD">
        <w:rPr>
          <w:rFonts w:asciiTheme="minorEastAsia" w:eastAsiaTheme="minorEastAsia" w:hAnsiTheme="minorEastAsia" w:hint="eastAsia"/>
          <w:bCs/>
          <w:szCs w:val="21"/>
        </w:rPr>
        <w:t>本基金法律文件中涉及基金风险特征的表述与销售机构对基金的风险评级可能不一致的风险</w:t>
      </w:r>
    </w:p>
    <w:p w14:paraId="05B2CC4E" w14:textId="77777777" w:rsidR="00AC6FF9" w:rsidRPr="00E97AFD" w:rsidRDefault="00AC6FF9" w:rsidP="00AC6FF9">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14:paraId="37546F7A" w14:textId="77777777" w:rsidR="00BA4B87" w:rsidRPr="00E97AFD" w:rsidRDefault="00AC6FF9" w:rsidP="00AC6FF9">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（六）</w:t>
      </w:r>
      <w:r w:rsidR="00BA4B87" w:rsidRPr="00E97AFD">
        <w:rPr>
          <w:rFonts w:asciiTheme="minorEastAsia" w:eastAsiaTheme="minorEastAsia" w:hAnsiTheme="minorEastAsia"/>
          <w:bCs/>
          <w:szCs w:val="21"/>
        </w:rPr>
        <w:t>其他风险</w:t>
      </w:r>
      <w:bookmarkEnd w:id="80"/>
    </w:p>
    <w:p w14:paraId="3D457C6E" w14:textId="77777777" w:rsidR="007D39FE" w:rsidRPr="00E97AFD" w:rsidRDefault="007D39F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、本基金力争战胜业绩比较基准，但本基金的收益水平有可能不能达到或超过业绩比较基准，基金份额持有人面临无法获得目标收益率甚至本金亏损的风险；</w:t>
      </w:r>
    </w:p>
    <w:p w14:paraId="2DC34B06" w14:textId="77777777" w:rsidR="0084186C" w:rsidRPr="00E97AFD" w:rsidRDefault="007D39F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w:t>
      </w:r>
      <w:r w:rsidR="0084186C" w:rsidRPr="00E97AFD">
        <w:rPr>
          <w:rFonts w:asciiTheme="minorEastAsia" w:eastAsiaTheme="minorEastAsia" w:hAnsiTheme="minorEastAsia" w:hint="eastAsia"/>
          <w:bCs/>
          <w:szCs w:val="21"/>
        </w:rPr>
        <w:t>因固定收益类金融工具主要在场外市场进行交易，场外市场交易现阶段</w:t>
      </w:r>
      <w:r w:rsidR="005118FF" w:rsidRPr="00E97AFD">
        <w:rPr>
          <w:rFonts w:asciiTheme="minorEastAsia" w:eastAsiaTheme="minorEastAsia" w:hAnsiTheme="minorEastAsia" w:hint="eastAsia"/>
          <w:bCs/>
          <w:szCs w:val="21"/>
        </w:rPr>
        <w:t>自动化</w:t>
      </w:r>
      <w:r w:rsidR="0084186C" w:rsidRPr="00E97AFD">
        <w:rPr>
          <w:rFonts w:asciiTheme="minorEastAsia" w:eastAsiaTheme="minorEastAsia" w:hAnsiTheme="minorEastAsia" w:hint="eastAsia"/>
          <w:bCs/>
          <w:szCs w:val="21"/>
        </w:rPr>
        <w:t>程度较</w:t>
      </w:r>
      <w:r w:rsidR="005118FF" w:rsidRPr="00E97AFD">
        <w:rPr>
          <w:rFonts w:asciiTheme="minorEastAsia" w:eastAsiaTheme="minorEastAsia" w:hAnsiTheme="minorEastAsia" w:hint="eastAsia"/>
          <w:bCs/>
          <w:szCs w:val="21"/>
        </w:rPr>
        <w:t>场内市场</w:t>
      </w:r>
      <w:r w:rsidR="0084186C" w:rsidRPr="00E97AFD">
        <w:rPr>
          <w:rFonts w:asciiTheme="minorEastAsia" w:eastAsiaTheme="minorEastAsia" w:hAnsiTheme="minorEastAsia" w:hint="eastAsia"/>
          <w:bCs/>
          <w:szCs w:val="21"/>
        </w:rPr>
        <w:t>低，本基金</w:t>
      </w:r>
      <w:r w:rsidR="005118FF" w:rsidRPr="00E97AFD">
        <w:rPr>
          <w:rFonts w:asciiTheme="minorEastAsia" w:eastAsiaTheme="minorEastAsia" w:hAnsiTheme="minorEastAsia" w:hint="eastAsia"/>
          <w:bCs/>
          <w:szCs w:val="21"/>
        </w:rPr>
        <w:t>在投资运作过程中可能面临操作风险；</w:t>
      </w:r>
    </w:p>
    <w:p w14:paraId="3821EE76" w14:textId="77777777" w:rsidR="007D39FE" w:rsidRPr="00E97AFD" w:rsidRDefault="0026182C"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3</w:t>
      </w:r>
      <w:r w:rsidR="0084186C" w:rsidRPr="00E97AFD">
        <w:rPr>
          <w:rFonts w:asciiTheme="minorEastAsia" w:eastAsiaTheme="minorEastAsia" w:hAnsiTheme="minorEastAsia" w:hint="eastAsia"/>
          <w:bCs/>
          <w:szCs w:val="21"/>
        </w:rPr>
        <w:t>、</w:t>
      </w:r>
      <w:r w:rsidR="007D39FE" w:rsidRPr="00E97AFD">
        <w:rPr>
          <w:rFonts w:asciiTheme="minorEastAsia" w:eastAsiaTheme="minorEastAsia" w:hAnsiTheme="minorEastAsia" w:hint="eastAsia"/>
          <w:bCs/>
          <w:szCs w:val="21"/>
        </w:rPr>
        <w:t>因战争、自然灾害等不可抗力导致的基金管理人、基金托管人、基金</w:t>
      </w:r>
      <w:r w:rsidR="00856FF8" w:rsidRPr="00E97AFD">
        <w:rPr>
          <w:rFonts w:asciiTheme="minorEastAsia" w:eastAsiaTheme="minorEastAsia" w:hAnsiTheme="minorEastAsia" w:hint="eastAsia"/>
          <w:bCs/>
          <w:szCs w:val="21"/>
        </w:rPr>
        <w:t>销售</w:t>
      </w:r>
      <w:r w:rsidR="007D39FE" w:rsidRPr="00E97AFD">
        <w:rPr>
          <w:rFonts w:asciiTheme="minorEastAsia" w:eastAsiaTheme="minorEastAsia" w:hAnsiTheme="minorEastAsia" w:hint="eastAsia"/>
          <w:bCs/>
          <w:szCs w:val="21"/>
        </w:rPr>
        <w:t>机构等机构无法正常工作，从而影响基金运作的风险；</w:t>
      </w:r>
    </w:p>
    <w:p w14:paraId="2CBE0EF7" w14:textId="785AF4D6" w:rsidR="005118FF" w:rsidRPr="00E97AFD" w:rsidRDefault="0026182C" w:rsidP="00E77D83">
      <w:pPr>
        <w:snapToGrid w:val="0"/>
        <w:spacing w:line="360" w:lineRule="auto"/>
        <w:ind w:firstLineChars="200" w:firstLine="420"/>
        <w:rPr>
          <w:rFonts w:asciiTheme="minorEastAsia" w:eastAsiaTheme="minorEastAsia" w:hAnsiTheme="minorEastAsia"/>
          <w:kern w:val="0"/>
          <w:szCs w:val="21"/>
        </w:rPr>
      </w:pPr>
      <w:r w:rsidRPr="00E97AFD">
        <w:rPr>
          <w:rFonts w:asciiTheme="minorEastAsia" w:eastAsiaTheme="minorEastAsia" w:hAnsiTheme="minorEastAsia" w:hint="eastAsia"/>
          <w:bCs/>
          <w:szCs w:val="21"/>
        </w:rPr>
        <w:t>4</w:t>
      </w:r>
      <w:r w:rsidR="007D39FE" w:rsidRPr="00E97AFD">
        <w:rPr>
          <w:rFonts w:asciiTheme="minorEastAsia" w:eastAsiaTheme="minorEastAsia" w:hAnsiTheme="minorEastAsia" w:hint="eastAsia"/>
          <w:bCs/>
          <w:szCs w:val="21"/>
        </w:rPr>
        <w:t>、因金融市场危机、代理商违约、基金托管人违约等超出基金管理人自身控制能力的因素出现，可能导致基金或者基金份额持有人利益受损的风险。</w:t>
      </w:r>
    </w:p>
    <w:p w14:paraId="1250E1E4" w14:textId="77777777" w:rsidR="00BA4B87" w:rsidRPr="00E97AFD" w:rsidRDefault="00BA4B87" w:rsidP="00966694">
      <w:pPr>
        <w:pStyle w:val="1"/>
        <w:snapToGrid w:val="0"/>
        <w:spacing w:beforeLines="0" w:afterLines="0" w:line="360" w:lineRule="auto"/>
        <w:ind w:firstLine="600"/>
        <w:rPr>
          <w:rFonts w:asciiTheme="minorEastAsia" w:eastAsiaTheme="minorEastAsia" w:hAnsiTheme="minorEastAsia"/>
          <w:b/>
        </w:rPr>
      </w:pPr>
      <w:r w:rsidRPr="00E97AFD">
        <w:rPr>
          <w:rFonts w:asciiTheme="minorEastAsia" w:eastAsiaTheme="minorEastAsia" w:hAnsiTheme="minorEastAsia"/>
          <w:sz w:val="30"/>
        </w:rPr>
        <w:br w:type="column"/>
      </w:r>
      <w:bookmarkStart w:id="81" w:name="_Toc43371991"/>
      <w:r w:rsidR="001A0AE7" w:rsidRPr="00E97AFD">
        <w:rPr>
          <w:rFonts w:asciiTheme="minorEastAsia" w:eastAsiaTheme="minorEastAsia" w:hAnsiTheme="minorEastAsia" w:hint="eastAsia"/>
          <w:b/>
          <w:sz w:val="30"/>
        </w:rPr>
        <w:lastRenderedPageBreak/>
        <w:t>二十</w:t>
      </w:r>
      <w:r w:rsidR="00D708BF" w:rsidRPr="00E97AFD">
        <w:rPr>
          <w:rFonts w:asciiTheme="minorEastAsia" w:eastAsiaTheme="minorEastAsia" w:hAnsiTheme="minorEastAsia" w:hint="eastAsia"/>
          <w:b/>
          <w:sz w:val="30"/>
        </w:rPr>
        <w:t>一</w:t>
      </w:r>
      <w:r w:rsidRPr="00E97AFD">
        <w:rPr>
          <w:rFonts w:asciiTheme="minorEastAsia" w:eastAsiaTheme="minorEastAsia" w:hAnsiTheme="minorEastAsia"/>
          <w:b/>
          <w:sz w:val="30"/>
        </w:rPr>
        <w:t>、基金合同的变更、终止与基金财产的清算</w:t>
      </w:r>
      <w:bookmarkEnd w:id="81"/>
    </w:p>
    <w:p w14:paraId="43F6983B" w14:textId="77777777" w:rsidR="00531DAE" w:rsidRPr="00E97AFD" w:rsidRDefault="00531DAE" w:rsidP="00966694">
      <w:pPr>
        <w:snapToGrid w:val="0"/>
        <w:spacing w:line="360" w:lineRule="auto"/>
        <w:ind w:firstLineChars="200" w:firstLine="420"/>
        <w:rPr>
          <w:rFonts w:asciiTheme="minorEastAsia" w:eastAsiaTheme="minorEastAsia" w:hAnsiTheme="minorEastAsia"/>
          <w:bCs/>
          <w:szCs w:val="21"/>
        </w:rPr>
      </w:pPr>
      <w:bookmarkStart w:id="82" w:name="_Toc79392639"/>
      <w:r w:rsidRPr="00E97AFD">
        <w:rPr>
          <w:rFonts w:asciiTheme="minorEastAsia" w:eastAsiaTheme="minorEastAsia" w:hAnsiTheme="minorEastAsia"/>
          <w:bCs/>
          <w:szCs w:val="21"/>
        </w:rPr>
        <w:t>一、《基金合同》的变更</w:t>
      </w:r>
      <w:bookmarkEnd w:id="82"/>
    </w:p>
    <w:p w14:paraId="663AF64F" w14:textId="77777777" w:rsidR="00531DAE" w:rsidRPr="00E97AFD" w:rsidRDefault="00531DA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1、变更基金合同</w:t>
      </w:r>
      <w:r w:rsidRPr="00E97AFD">
        <w:rPr>
          <w:rFonts w:asciiTheme="minorEastAsia" w:eastAsiaTheme="minorEastAsia" w:hAnsiTheme="minorEastAsia" w:hint="eastAsia"/>
          <w:bCs/>
          <w:szCs w:val="21"/>
        </w:rPr>
        <w:t>涉及</w:t>
      </w:r>
      <w:r w:rsidRPr="00E97AFD">
        <w:rPr>
          <w:rFonts w:asciiTheme="minorEastAsia" w:eastAsiaTheme="minorEastAsia" w:hAnsiTheme="minorEastAsia"/>
          <w:bCs/>
          <w:szCs w:val="21"/>
        </w:rPr>
        <w:t>法律法规规定或</w:t>
      </w:r>
      <w:r w:rsidR="00FF5048" w:rsidRPr="00E97AFD">
        <w:rPr>
          <w:rFonts w:asciiTheme="minorEastAsia" w:eastAsiaTheme="minorEastAsia" w:hAnsiTheme="minorEastAsia"/>
          <w:bCs/>
          <w:szCs w:val="21"/>
        </w:rPr>
        <w:t>基金合同</w:t>
      </w:r>
      <w:r w:rsidRPr="00E97AFD">
        <w:rPr>
          <w:rFonts w:asciiTheme="minorEastAsia" w:eastAsiaTheme="minorEastAsia" w:hAnsiTheme="minorEastAsia"/>
          <w:bCs/>
          <w:szCs w:val="21"/>
        </w:rPr>
        <w:t>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F081D98" w14:textId="546FAEC0" w:rsidR="00531DAE" w:rsidRPr="00E97AFD" w:rsidRDefault="00531DA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2、关于《基金合同》变更的基金份额持有人大会决议经中国证监会</w:t>
      </w:r>
      <w:r w:rsidRPr="00E97AFD">
        <w:rPr>
          <w:rFonts w:asciiTheme="minorEastAsia" w:eastAsiaTheme="minorEastAsia" w:hAnsiTheme="minorEastAsia" w:hint="eastAsia"/>
          <w:bCs/>
          <w:szCs w:val="21"/>
        </w:rPr>
        <w:t>备案后</w:t>
      </w:r>
      <w:r w:rsidRPr="00E97AFD">
        <w:rPr>
          <w:rFonts w:asciiTheme="minorEastAsia" w:eastAsiaTheme="minorEastAsia" w:hAnsiTheme="minorEastAsia"/>
          <w:bCs/>
          <w:szCs w:val="21"/>
        </w:rPr>
        <w:t>生效，自决议生效之日起在</w:t>
      </w:r>
      <w:r w:rsidRPr="00E97AFD">
        <w:rPr>
          <w:rFonts w:asciiTheme="minorEastAsia" w:eastAsiaTheme="minorEastAsia" w:hAnsiTheme="minorEastAsia" w:hint="eastAsia"/>
          <w:bCs/>
          <w:szCs w:val="21"/>
        </w:rPr>
        <w:t>指定</w:t>
      </w:r>
      <w:r w:rsidR="006B018F" w:rsidRPr="00E97AFD">
        <w:rPr>
          <w:rFonts w:asciiTheme="minorEastAsia" w:eastAsiaTheme="minorEastAsia" w:hAnsiTheme="minorEastAsia" w:hint="eastAsia"/>
          <w:bCs/>
          <w:szCs w:val="21"/>
        </w:rPr>
        <w:t>媒介</w:t>
      </w:r>
      <w:r w:rsidRPr="00E97AFD">
        <w:rPr>
          <w:rFonts w:asciiTheme="minorEastAsia" w:eastAsiaTheme="minorEastAsia" w:hAnsiTheme="minorEastAsia"/>
          <w:bCs/>
          <w:szCs w:val="21"/>
        </w:rPr>
        <w:t>公告。</w:t>
      </w:r>
    </w:p>
    <w:p w14:paraId="75645BCF" w14:textId="77777777" w:rsidR="00531DAE" w:rsidRPr="00E97AFD" w:rsidRDefault="00531DA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二、《基金合同》的终止事由</w:t>
      </w:r>
    </w:p>
    <w:p w14:paraId="2622FD53" w14:textId="77777777" w:rsidR="008B416E" w:rsidRPr="00E97AFD" w:rsidRDefault="008B41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有下列情形之一的，《基金合同》应当终止：</w:t>
      </w:r>
    </w:p>
    <w:p w14:paraId="275D2D00" w14:textId="77777777" w:rsidR="008B416E" w:rsidRPr="00E97AFD" w:rsidRDefault="008B41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1、基金份额持有人大会决定终止的；</w:t>
      </w:r>
    </w:p>
    <w:p w14:paraId="3C94164B" w14:textId="77777777" w:rsidR="008B416E" w:rsidRPr="00E97AFD" w:rsidRDefault="008B41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2、基金管理人、基金托管人职责终止，在6个月内没有新基金管理人、新基金托管人承接的；</w:t>
      </w:r>
    </w:p>
    <w:p w14:paraId="1828050E" w14:textId="77777777" w:rsidR="008B416E" w:rsidRPr="00E97AFD" w:rsidRDefault="008B416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3、《基金合同》约定的其他情形；</w:t>
      </w:r>
    </w:p>
    <w:p w14:paraId="52569A57" w14:textId="77777777" w:rsidR="00531DAE" w:rsidRPr="00E97AFD" w:rsidRDefault="00730FD5"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4</w:t>
      </w:r>
      <w:r w:rsidR="008B416E" w:rsidRPr="00E97AFD">
        <w:rPr>
          <w:rFonts w:asciiTheme="minorEastAsia" w:eastAsiaTheme="minorEastAsia" w:hAnsiTheme="minorEastAsia" w:hint="eastAsia"/>
          <w:bCs/>
          <w:szCs w:val="21"/>
        </w:rPr>
        <w:t>、相关法律法规和中国证监会规定的其他情况。</w:t>
      </w:r>
    </w:p>
    <w:p w14:paraId="5F6BD48B" w14:textId="77777777" w:rsidR="00531DAE" w:rsidRPr="00E97AFD" w:rsidRDefault="00531DA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三、基金财产的清算</w:t>
      </w:r>
    </w:p>
    <w:p w14:paraId="46C5C9A3" w14:textId="77777777" w:rsidR="00531DAE" w:rsidRPr="00E97AFD" w:rsidRDefault="00531DA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1、基金财产清算小组：自出现《基金合同》终止事由之日起30个工作日内成立清算小组，基金管理人组织基金财产清算小组并在中国证监会的监督下进行基金清算。</w:t>
      </w:r>
    </w:p>
    <w:p w14:paraId="2CD556B2" w14:textId="77777777" w:rsidR="00531DAE" w:rsidRPr="00E97AFD" w:rsidRDefault="00531DA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F6BB466" w14:textId="77777777" w:rsidR="00531DAE" w:rsidRPr="00E97AFD" w:rsidRDefault="00531DA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3、基金财产清算小组职责：基金财产清算小组负责基金财产的保管、清理、估价、变现和分配。基金财产清算小组可以依法进行必要的民事活动。</w:t>
      </w:r>
    </w:p>
    <w:p w14:paraId="31F45657" w14:textId="77777777" w:rsidR="00531DAE" w:rsidRPr="00E97AFD" w:rsidRDefault="00531DA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4、基金财产清算程序：</w:t>
      </w:r>
    </w:p>
    <w:p w14:paraId="05A124AC" w14:textId="77777777" w:rsidR="00531DAE" w:rsidRPr="00E97AFD" w:rsidRDefault="00531DA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（1）《基金合同》终止情形出现时，由基金财产清算小组统一接管基金；</w:t>
      </w:r>
    </w:p>
    <w:p w14:paraId="12087E87" w14:textId="77777777" w:rsidR="00531DAE" w:rsidRPr="00E97AFD" w:rsidRDefault="00531DA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（2）对基金财产和债权债务进行清理和确认；</w:t>
      </w:r>
    </w:p>
    <w:p w14:paraId="6AEAC2AE" w14:textId="77777777" w:rsidR="00531DAE" w:rsidRPr="00E97AFD" w:rsidRDefault="00531DA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（3）对基金财产进行估值和变现；</w:t>
      </w:r>
    </w:p>
    <w:p w14:paraId="4B3B6B8C" w14:textId="77777777" w:rsidR="00531DAE" w:rsidRPr="00E97AFD" w:rsidRDefault="00531DA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（4）制作清算报告；</w:t>
      </w:r>
    </w:p>
    <w:p w14:paraId="4199A7B6" w14:textId="77777777" w:rsidR="00531DAE" w:rsidRPr="00E97AFD" w:rsidRDefault="00531DA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（5）聘请会计师事务所对清算报告进行外部审计，聘请律师事务所对清算报告出具法律意见书；</w:t>
      </w:r>
    </w:p>
    <w:p w14:paraId="3EC3C064" w14:textId="77777777" w:rsidR="00531DAE" w:rsidRPr="00E97AFD" w:rsidRDefault="00531DA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（6）将清算报告报中国证监会备案并公告。</w:t>
      </w:r>
    </w:p>
    <w:p w14:paraId="76B89CE8" w14:textId="77777777" w:rsidR="00531DAE" w:rsidRPr="00E97AFD" w:rsidRDefault="00531DA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（7）对基金财产进行分配；</w:t>
      </w:r>
    </w:p>
    <w:p w14:paraId="236875A8" w14:textId="77777777" w:rsidR="00262F3A" w:rsidRPr="00E97AFD" w:rsidRDefault="00262F3A"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5、基金财产清算的期限为</w:t>
      </w:r>
      <w:r w:rsidRPr="00E97AFD">
        <w:rPr>
          <w:rFonts w:asciiTheme="minorEastAsia" w:eastAsiaTheme="minorEastAsia" w:hAnsiTheme="minorEastAsia" w:hint="eastAsia"/>
          <w:bCs/>
          <w:szCs w:val="21"/>
        </w:rPr>
        <w:t>6</w:t>
      </w:r>
      <w:r w:rsidRPr="00E97AFD">
        <w:rPr>
          <w:rFonts w:asciiTheme="minorEastAsia" w:eastAsiaTheme="minorEastAsia" w:hAnsiTheme="minorEastAsia"/>
          <w:bCs/>
          <w:szCs w:val="21"/>
        </w:rPr>
        <w:t>个月。</w:t>
      </w:r>
    </w:p>
    <w:p w14:paraId="79766DCB" w14:textId="77777777" w:rsidR="00531DAE" w:rsidRPr="00E97AFD" w:rsidRDefault="00531DA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四、清算费用</w:t>
      </w:r>
    </w:p>
    <w:p w14:paraId="4F5EF4B0" w14:textId="77777777" w:rsidR="00531DAE" w:rsidRPr="00E97AFD" w:rsidRDefault="00531DA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清算费用是指基金财产清算小组在进行基金清算过程中发生的所有合理费用，清算费用</w:t>
      </w:r>
      <w:r w:rsidRPr="00E97AFD">
        <w:rPr>
          <w:rFonts w:asciiTheme="minorEastAsia" w:eastAsiaTheme="minorEastAsia" w:hAnsiTheme="minorEastAsia"/>
          <w:bCs/>
          <w:szCs w:val="21"/>
        </w:rPr>
        <w:lastRenderedPageBreak/>
        <w:t>由基金财产清算小组优先从基金财产中支付。</w:t>
      </w:r>
    </w:p>
    <w:p w14:paraId="08DDEC2B" w14:textId="77777777" w:rsidR="00531DAE" w:rsidRPr="00E97AFD" w:rsidRDefault="00531DA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五、基金财产清算剩余资产的分配</w:t>
      </w:r>
    </w:p>
    <w:p w14:paraId="44B9D422" w14:textId="77777777" w:rsidR="00531DAE" w:rsidRPr="00E97AFD" w:rsidRDefault="00531DA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依据基金财产清算的分配方案，将基金财产清算后的全部剩余资产扣除基金财产清算费用、交纳所欠税款并清偿基金债务后，按基金份额持有人持有的基金份额比例进行分配。</w:t>
      </w:r>
    </w:p>
    <w:p w14:paraId="280C0421" w14:textId="77777777" w:rsidR="00531DAE" w:rsidRPr="00E97AFD" w:rsidRDefault="00531DA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六、基金财产清算的公告</w:t>
      </w:r>
    </w:p>
    <w:p w14:paraId="70072F6A" w14:textId="77777777" w:rsidR="00531DAE" w:rsidRPr="00E97AFD" w:rsidRDefault="00531DA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97AFD">
        <w:rPr>
          <w:rFonts w:asciiTheme="minorEastAsia" w:eastAsiaTheme="minorEastAsia" w:hAnsiTheme="minorEastAsia" w:hint="eastAsia"/>
          <w:bCs/>
          <w:szCs w:val="21"/>
        </w:rPr>
        <w:t>5</w:t>
      </w:r>
      <w:r w:rsidRPr="00E97AFD">
        <w:rPr>
          <w:rFonts w:asciiTheme="minorEastAsia" w:eastAsiaTheme="minorEastAsia" w:hAnsiTheme="minorEastAsia"/>
          <w:bCs/>
          <w:szCs w:val="21"/>
        </w:rPr>
        <w:t>个工作日内由基金财产清算小组进行公告。</w:t>
      </w:r>
    </w:p>
    <w:p w14:paraId="5EB2F602" w14:textId="77777777" w:rsidR="00531DAE" w:rsidRPr="00E97AFD" w:rsidRDefault="00531DA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七、基金财产清算账册及文件的保存</w:t>
      </w:r>
    </w:p>
    <w:p w14:paraId="1294985A" w14:textId="77777777" w:rsidR="00531DAE" w:rsidRPr="00E97AFD" w:rsidRDefault="00531DAE" w:rsidP="00966694">
      <w:pPr>
        <w:snapToGri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基金财产清算账册及有关文件由基金托管人保存</w:t>
      </w:r>
      <w:r w:rsidRPr="00E97AFD">
        <w:rPr>
          <w:rFonts w:asciiTheme="minorEastAsia" w:eastAsiaTheme="minorEastAsia" w:hAnsiTheme="minorEastAsia" w:hint="eastAsia"/>
          <w:bCs/>
          <w:szCs w:val="21"/>
        </w:rPr>
        <w:t>15</w:t>
      </w:r>
      <w:r w:rsidRPr="00E97AFD">
        <w:rPr>
          <w:rFonts w:asciiTheme="minorEastAsia" w:eastAsiaTheme="minorEastAsia" w:hAnsiTheme="minorEastAsia"/>
          <w:bCs/>
          <w:szCs w:val="21"/>
        </w:rPr>
        <w:t>年以上。</w:t>
      </w:r>
    </w:p>
    <w:p w14:paraId="69A55E34" w14:textId="77777777" w:rsidR="00531DAE" w:rsidRPr="00E97AFD" w:rsidRDefault="00531DAE" w:rsidP="00966694">
      <w:pPr>
        <w:snapToGrid w:val="0"/>
        <w:spacing w:line="360" w:lineRule="auto"/>
        <w:ind w:firstLineChars="200" w:firstLine="420"/>
        <w:rPr>
          <w:rFonts w:asciiTheme="minorEastAsia" w:eastAsiaTheme="minorEastAsia" w:hAnsiTheme="minorEastAsia"/>
          <w:bCs/>
          <w:szCs w:val="21"/>
        </w:rPr>
      </w:pPr>
    </w:p>
    <w:p w14:paraId="081BE2DC" w14:textId="77777777" w:rsidR="00B71DD8" w:rsidRPr="00E97AFD" w:rsidRDefault="00B71DD8" w:rsidP="00966694">
      <w:pPr>
        <w:snapToGrid w:val="0"/>
        <w:spacing w:line="360" w:lineRule="auto"/>
        <w:ind w:firstLineChars="200" w:firstLine="420"/>
        <w:rPr>
          <w:rFonts w:asciiTheme="minorEastAsia" w:eastAsiaTheme="minorEastAsia" w:hAnsiTheme="minorEastAsia"/>
          <w:bCs/>
          <w:szCs w:val="21"/>
        </w:rPr>
      </w:pPr>
    </w:p>
    <w:p w14:paraId="30DACFF7" w14:textId="77777777" w:rsidR="00B71DD8" w:rsidRPr="00E97AFD" w:rsidRDefault="00B71DD8" w:rsidP="00966694">
      <w:pPr>
        <w:snapToGrid w:val="0"/>
        <w:spacing w:line="360" w:lineRule="auto"/>
        <w:ind w:firstLineChars="200" w:firstLine="420"/>
        <w:rPr>
          <w:rFonts w:asciiTheme="minorEastAsia" w:eastAsiaTheme="minorEastAsia" w:hAnsiTheme="minorEastAsia"/>
          <w:bCs/>
          <w:szCs w:val="21"/>
        </w:rPr>
      </w:pPr>
    </w:p>
    <w:p w14:paraId="5568F97E" w14:textId="77777777" w:rsidR="00BA4B87" w:rsidRPr="00E97AFD" w:rsidRDefault="00BA4B87" w:rsidP="00966694">
      <w:pPr>
        <w:pStyle w:val="1"/>
        <w:snapToGrid w:val="0"/>
        <w:spacing w:beforeLines="0" w:afterLines="0" w:line="360" w:lineRule="auto"/>
        <w:ind w:firstLine="600"/>
        <w:rPr>
          <w:rFonts w:asciiTheme="minorEastAsia" w:eastAsiaTheme="minorEastAsia" w:hAnsiTheme="minorEastAsia"/>
          <w:b/>
          <w:kern w:val="44"/>
          <w:sz w:val="28"/>
          <w:szCs w:val="44"/>
        </w:rPr>
      </w:pPr>
      <w:r w:rsidRPr="00E97AFD">
        <w:rPr>
          <w:rFonts w:asciiTheme="minorEastAsia" w:eastAsiaTheme="minorEastAsia" w:hAnsiTheme="minorEastAsia"/>
          <w:sz w:val="30"/>
        </w:rPr>
        <w:br w:type="column"/>
      </w:r>
      <w:bookmarkStart w:id="83" w:name="_Toc43371992"/>
      <w:r w:rsidR="00D708BF" w:rsidRPr="00E97AFD">
        <w:rPr>
          <w:rFonts w:asciiTheme="minorEastAsia" w:eastAsiaTheme="minorEastAsia" w:hAnsiTheme="minorEastAsia"/>
          <w:b/>
          <w:sz w:val="30"/>
        </w:rPr>
        <w:lastRenderedPageBreak/>
        <w:t>二十</w:t>
      </w:r>
      <w:r w:rsidR="00D708BF" w:rsidRPr="00E97AFD">
        <w:rPr>
          <w:rFonts w:asciiTheme="minorEastAsia" w:eastAsiaTheme="minorEastAsia" w:hAnsiTheme="minorEastAsia" w:hint="eastAsia"/>
          <w:b/>
          <w:sz w:val="30"/>
        </w:rPr>
        <w:t>二</w:t>
      </w:r>
      <w:r w:rsidRPr="00E97AFD">
        <w:rPr>
          <w:rFonts w:asciiTheme="minorEastAsia" w:eastAsiaTheme="minorEastAsia" w:hAnsiTheme="minorEastAsia"/>
          <w:b/>
          <w:sz w:val="30"/>
        </w:rPr>
        <w:t>、基金合同的内容摘要</w:t>
      </w:r>
      <w:bookmarkEnd w:id="83"/>
    </w:p>
    <w:p w14:paraId="37382A8B" w14:textId="77777777" w:rsidR="006B018F" w:rsidRPr="00E97AFD" w:rsidRDefault="006B018F" w:rsidP="00966694">
      <w:pPr>
        <w:snapToGrid w:val="0"/>
        <w:spacing w:line="360" w:lineRule="auto"/>
        <w:ind w:firstLineChars="200" w:firstLine="420"/>
        <w:rPr>
          <w:rFonts w:asciiTheme="minorEastAsia" w:eastAsiaTheme="minorEastAsia" w:hAnsiTheme="minorEastAsia" w:cs="宋体"/>
          <w:kern w:val="0"/>
          <w:szCs w:val="21"/>
        </w:rPr>
      </w:pPr>
    </w:p>
    <w:p w14:paraId="00C4F330" w14:textId="77777777" w:rsidR="006B018F" w:rsidRPr="00E97AFD" w:rsidRDefault="006B018F" w:rsidP="00966694">
      <w:pPr>
        <w:snapToGrid w:val="0"/>
        <w:spacing w:line="360" w:lineRule="auto"/>
        <w:ind w:firstLineChars="200" w:firstLine="420"/>
        <w:rPr>
          <w:rFonts w:asciiTheme="minorEastAsia" w:eastAsiaTheme="minorEastAsia" w:hAnsiTheme="minorEastAsia" w:cs="宋体"/>
          <w:kern w:val="0"/>
          <w:szCs w:val="21"/>
        </w:rPr>
      </w:pPr>
    </w:p>
    <w:p w14:paraId="1EB22001" w14:textId="77777777" w:rsidR="006B018F" w:rsidRPr="00E97AFD" w:rsidRDefault="006B018F" w:rsidP="006B018F">
      <w:pPr>
        <w:spacing w:line="360" w:lineRule="auto"/>
        <w:ind w:firstLineChars="200" w:firstLine="420"/>
        <w:rPr>
          <w:rFonts w:asciiTheme="minorEastAsia" w:eastAsiaTheme="minorEastAsia" w:hAnsiTheme="minorEastAsia" w:cs="宋体"/>
          <w:kern w:val="0"/>
          <w:szCs w:val="21"/>
        </w:rPr>
      </w:pPr>
      <w:r w:rsidRPr="00E97AFD">
        <w:rPr>
          <w:rFonts w:asciiTheme="minorEastAsia" w:eastAsiaTheme="minorEastAsia" w:hAnsiTheme="minorEastAsia" w:cs="宋体" w:hint="eastAsia"/>
          <w:kern w:val="0"/>
          <w:szCs w:val="21"/>
        </w:rPr>
        <w:t>一、基金份额持有人、基金管理人和基金托管人的权利、义务</w:t>
      </w:r>
    </w:p>
    <w:p w14:paraId="3282763F" w14:textId="77777777" w:rsidR="006B018F" w:rsidRPr="00E97AFD" w:rsidRDefault="006B018F" w:rsidP="006B018F">
      <w:pPr>
        <w:spacing w:line="360" w:lineRule="auto"/>
        <w:ind w:firstLineChars="200" w:firstLine="420"/>
        <w:rPr>
          <w:rFonts w:asciiTheme="minorEastAsia" w:eastAsiaTheme="minorEastAsia" w:hAnsiTheme="minorEastAsia" w:cs="宋体"/>
          <w:kern w:val="0"/>
          <w:szCs w:val="21"/>
        </w:rPr>
      </w:pPr>
      <w:r w:rsidRPr="00E97AFD">
        <w:rPr>
          <w:rFonts w:asciiTheme="minorEastAsia" w:eastAsiaTheme="minorEastAsia" w:hAnsiTheme="minorEastAsia" w:hint="eastAsia"/>
          <w:bCs/>
          <w:szCs w:val="21"/>
        </w:rPr>
        <w:t>（一）基金份额持有人</w:t>
      </w:r>
      <w:r w:rsidRPr="00E97AFD">
        <w:rPr>
          <w:rFonts w:asciiTheme="minorEastAsia" w:eastAsiaTheme="minorEastAsia" w:hAnsiTheme="minorEastAsia" w:cs="宋体" w:hint="eastAsia"/>
          <w:kern w:val="0"/>
          <w:szCs w:val="21"/>
        </w:rPr>
        <w:t>的权利、义务</w:t>
      </w:r>
    </w:p>
    <w:p w14:paraId="51FF107C"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41285314"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同一类别每份基金份额具有同等的合法权益。</w:t>
      </w:r>
    </w:p>
    <w:p w14:paraId="43080952"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、根据《基金法》、《运作办法》及其他有关规定，基金份额持有人的权利包括但不限于：</w:t>
      </w:r>
    </w:p>
    <w:p w14:paraId="265A6D93"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）分享基金财产收益；</w:t>
      </w:r>
    </w:p>
    <w:p w14:paraId="762A719F"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）参与分配清算后的剩余基金财产；</w:t>
      </w:r>
    </w:p>
    <w:p w14:paraId="5555DD11"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）依法申请赎回其持有的基金份额；</w:t>
      </w:r>
    </w:p>
    <w:p w14:paraId="5A0EBC33"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4</w:t>
      </w:r>
      <w:r w:rsidRPr="00E97AFD">
        <w:rPr>
          <w:rFonts w:asciiTheme="minorEastAsia" w:eastAsiaTheme="minorEastAsia" w:hAnsiTheme="minorEastAsia" w:hint="eastAsia"/>
          <w:bCs/>
          <w:szCs w:val="21"/>
        </w:rPr>
        <w:t>）按照规定要求召开基金份额持有人大会或者召集基金份额持有人大会；</w:t>
      </w:r>
    </w:p>
    <w:p w14:paraId="0256E75E"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5</w:t>
      </w:r>
      <w:r w:rsidRPr="00E97AFD">
        <w:rPr>
          <w:rFonts w:asciiTheme="minorEastAsia" w:eastAsiaTheme="minorEastAsia" w:hAnsiTheme="minorEastAsia" w:hint="eastAsia"/>
          <w:bCs/>
          <w:szCs w:val="21"/>
        </w:rPr>
        <w:t>）出席或者委派代表出席基金份额持有人大会，对基金份额持有人大会审议事项行使表决权；</w:t>
      </w:r>
    </w:p>
    <w:p w14:paraId="5AF6B7C5"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6</w:t>
      </w:r>
      <w:r w:rsidRPr="00E97AFD">
        <w:rPr>
          <w:rFonts w:asciiTheme="minorEastAsia" w:eastAsiaTheme="minorEastAsia" w:hAnsiTheme="minorEastAsia" w:hint="eastAsia"/>
          <w:bCs/>
          <w:szCs w:val="21"/>
        </w:rPr>
        <w:t>）查阅或者复制公开披露的基金信息资料；</w:t>
      </w:r>
    </w:p>
    <w:p w14:paraId="45F4EA5E"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7</w:t>
      </w:r>
      <w:r w:rsidRPr="00E97AFD">
        <w:rPr>
          <w:rFonts w:asciiTheme="minorEastAsia" w:eastAsiaTheme="minorEastAsia" w:hAnsiTheme="minorEastAsia" w:hint="eastAsia"/>
          <w:bCs/>
          <w:szCs w:val="21"/>
        </w:rPr>
        <w:t>）监督基金管理人的投资运作；</w:t>
      </w:r>
    </w:p>
    <w:p w14:paraId="5FCFF4E8"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8</w:t>
      </w:r>
      <w:r w:rsidRPr="00E97AFD">
        <w:rPr>
          <w:rFonts w:asciiTheme="minorEastAsia" w:eastAsiaTheme="minorEastAsia" w:hAnsiTheme="minorEastAsia" w:hint="eastAsia"/>
          <w:bCs/>
          <w:szCs w:val="21"/>
        </w:rPr>
        <w:t>）对基金管理人、基金托管人、基金服务机构损害其合法权益的行为依法提起诉讼或仲裁；</w:t>
      </w:r>
    </w:p>
    <w:p w14:paraId="47F3638A"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9</w:t>
      </w:r>
      <w:r w:rsidRPr="00E97AFD">
        <w:rPr>
          <w:rFonts w:asciiTheme="minorEastAsia" w:eastAsiaTheme="minorEastAsia" w:hAnsiTheme="minorEastAsia" w:hint="eastAsia"/>
          <w:bCs/>
          <w:szCs w:val="21"/>
        </w:rPr>
        <w:t>）法律法规及中国证监会规定的和《基金合同》约定的其他权利。</w:t>
      </w:r>
    </w:p>
    <w:p w14:paraId="5F3E7741"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、根据《基金法》、《运作办法》及其他有关规定，基金份额持有人的义务包括但不限于：</w:t>
      </w:r>
    </w:p>
    <w:p w14:paraId="7A71D572"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）认真阅读并遵守《基金合同》；</w:t>
      </w:r>
    </w:p>
    <w:p w14:paraId="7C1678A3"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）了解所投资基金产品，了解自身风险承受能力，自行承担投资风险；</w:t>
      </w:r>
    </w:p>
    <w:p w14:paraId="051EF9BB"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）关注基金信息披露，及时行使权利和履行义务；</w:t>
      </w:r>
    </w:p>
    <w:p w14:paraId="105F3FCC"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4</w:t>
      </w:r>
      <w:r w:rsidRPr="00E97AFD">
        <w:rPr>
          <w:rFonts w:asciiTheme="minorEastAsia" w:eastAsiaTheme="minorEastAsia" w:hAnsiTheme="minorEastAsia" w:hint="eastAsia"/>
          <w:bCs/>
          <w:szCs w:val="21"/>
        </w:rPr>
        <w:t>）缴纳基金认购、申购款项及法律法规和《基金合同》所规定的费用；</w:t>
      </w:r>
    </w:p>
    <w:p w14:paraId="311F25D0"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5</w:t>
      </w:r>
      <w:r w:rsidRPr="00E97AFD">
        <w:rPr>
          <w:rFonts w:asciiTheme="minorEastAsia" w:eastAsiaTheme="minorEastAsia" w:hAnsiTheme="minorEastAsia" w:hint="eastAsia"/>
          <w:bCs/>
          <w:szCs w:val="21"/>
        </w:rPr>
        <w:t>）在其持有的基金份额范围内，承担基金亏损或者《基金合同》终止的有限责任；</w:t>
      </w:r>
    </w:p>
    <w:p w14:paraId="12FA78F4"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lastRenderedPageBreak/>
        <w:t>（</w:t>
      </w:r>
      <w:r w:rsidRPr="00E97AFD">
        <w:rPr>
          <w:rFonts w:asciiTheme="minorEastAsia" w:eastAsiaTheme="minorEastAsia" w:hAnsiTheme="minorEastAsia"/>
          <w:bCs/>
          <w:szCs w:val="21"/>
        </w:rPr>
        <w:t>6</w:t>
      </w:r>
      <w:r w:rsidRPr="00E97AFD">
        <w:rPr>
          <w:rFonts w:asciiTheme="minorEastAsia" w:eastAsiaTheme="minorEastAsia" w:hAnsiTheme="minorEastAsia" w:hint="eastAsia"/>
          <w:bCs/>
          <w:szCs w:val="21"/>
        </w:rPr>
        <w:t>）不从事任何有损基金及其他《基金合同》当事人合法权益的活动；</w:t>
      </w:r>
    </w:p>
    <w:p w14:paraId="2DFEDAB2"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7</w:t>
      </w:r>
      <w:r w:rsidRPr="00E97AFD">
        <w:rPr>
          <w:rFonts w:asciiTheme="minorEastAsia" w:eastAsiaTheme="minorEastAsia" w:hAnsiTheme="minorEastAsia" w:hint="eastAsia"/>
          <w:bCs/>
          <w:szCs w:val="21"/>
        </w:rPr>
        <w:t>）执行生效的基金份额持有人大会的决定；</w:t>
      </w:r>
    </w:p>
    <w:p w14:paraId="25189F08"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8</w:t>
      </w:r>
      <w:r w:rsidRPr="00E97AFD">
        <w:rPr>
          <w:rFonts w:asciiTheme="minorEastAsia" w:eastAsiaTheme="minorEastAsia" w:hAnsiTheme="minorEastAsia" w:hint="eastAsia"/>
          <w:bCs/>
          <w:szCs w:val="21"/>
        </w:rPr>
        <w:t>）返还在基金交易过程中因任何原因获得的不当得利；</w:t>
      </w:r>
    </w:p>
    <w:p w14:paraId="3C99AA82"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9</w:t>
      </w:r>
      <w:r w:rsidRPr="00E97AFD">
        <w:rPr>
          <w:rFonts w:asciiTheme="minorEastAsia" w:eastAsiaTheme="minorEastAsia" w:hAnsiTheme="minorEastAsia" w:hint="eastAsia"/>
          <w:bCs/>
          <w:szCs w:val="21"/>
        </w:rPr>
        <w:t>）法律法规及中国证监会规定的和《基金合同》约定的其他义务。</w:t>
      </w:r>
    </w:p>
    <w:p w14:paraId="6E2F0455"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（二）</w:t>
      </w:r>
      <w:r w:rsidRPr="00E97AFD">
        <w:rPr>
          <w:rFonts w:asciiTheme="minorEastAsia" w:eastAsiaTheme="minorEastAsia" w:hAnsiTheme="minorEastAsia"/>
          <w:bCs/>
          <w:szCs w:val="21"/>
        </w:rPr>
        <w:tab/>
      </w:r>
      <w:r w:rsidRPr="00E97AFD">
        <w:rPr>
          <w:rFonts w:asciiTheme="minorEastAsia" w:eastAsiaTheme="minorEastAsia" w:hAnsiTheme="minorEastAsia" w:hint="eastAsia"/>
          <w:bCs/>
          <w:szCs w:val="21"/>
        </w:rPr>
        <w:t>基金管理人的权利与义务</w:t>
      </w:r>
    </w:p>
    <w:p w14:paraId="1CC6192E"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、根据《基金法》、《运作办法》及其他有关规定，基金管理人的权利包括但不限于：</w:t>
      </w:r>
    </w:p>
    <w:p w14:paraId="76C0CD8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）依法募集资金；</w:t>
      </w:r>
    </w:p>
    <w:p w14:paraId="5D9AA43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）自《基金合同》生效之日起，根据法律法规和《基金合同》独立运用并管理基金财产；</w:t>
      </w:r>
    </w:p>
    <w:p w14:paraId="109BA87B"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）依照《基金合同》收取基金管理费以及法律法规规定或中国证监会批准的其他费用；</w:t>
      </w:r>
    </w:p>
    <w:p w14:paraId="3E9B34E0"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4</w:t>
      </w:r>
      <w:r w:rsidRPr="00E97AFD">
        <w:rPr>
          <w:rFonts w:asciiTheme="minorEastAsia" w:eastAsiaTheme="minorEastAsia" w:hAnsiTheme="minorEastAsia" w:hint="eastAsia"/>
          <w:bCs/>
          <w:szCs w:val="21"/>
        </w:rPr>
        <w:t>）销售基金份额；</w:t>
      </w:r>
    </w:p>
    <w:p w14:paraId="63484612"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5</w:t>
      </w:r>
      <w:r w:rsidRPr="00E97AFD">
        <w:rPr>
          <w:rFonts w:asciiTheme="minorEastAsia" w:eastAsiaTheme="minorEastAsia" w:hAnsiTheme="minorEastAsia" w:hint="eastAsia"/>
          <w:bCs/>
          <w:szCs w:val="21"/>
        </w:rPr>
        <w:t>）召集基金份额持有人大会；</w:t>
      </w:r>
    </w:p>
    <w:p w14:paraId="66B5126E"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6</w:t>
      </w:r>
      <w:r w:rsidRPr="00E97AFD">
        <w:rPr>
          <w:rFonts w:asciiTheme="minorEastAsia" w:eastAsiaTheme="minorEastAsia" w:hAnsiTheme="minorEastAsia"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14:paraId="4B90E365"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7</w:t>
      </w:r>
      <w:r w:rsidRPr="00E97AFD">
        <w:rPr>
          <w:rFonts w:asciiTheme="minorEastAsia" w:eastAsiaTheme="minorEastAsia" w:hAnsiTheme="minorEastAsia" w:hint="eastAsia"/>
          <w:bCs/>
          <w:szCs w:val="21"/>
        </w:rPr>
        <w:t>）在基金托管人更换时，提名新的基金托管人；</w:t>
      </w:r>
    </w:p>
    <w:p w14:paraId="107086F1" w14:textId="4A579CD8"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8</w:t>
      </w:r>
      <w:r w:rsidRPr="00E97AFD">
        <w:rPr>
          <w:rFonts w:asciiTheme="minorEastAsia" w:eastAsiaTheme="minorEastAsia" w:hAnsiTheme="minorEastAsia" w:hint="eastAsia"/>
          <w:bCs/>
          <w:szCs w:val="21"/>
        </w:rPr>
        <w:t>）选择、更换基金销售机构，对基金销售机构的相关行为进行监督和处理；</w:t>
      </w:r>
    </w:p>
    <w:p w14:paraId="47F57895" w14:textId="1E28EC54"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9</w:t>
      </w:r>
      <w:r w:rsidRPr="00E97AFD">
        <w:rPr>
          <w:rFonts w:asciiTheme="minorEastAsia" w:eastAsiaTheme="minorEastAsia" w:hAnsiTheme="minorEastAsia" w:hint="eastAsia"/>
          <w:bCs/>
          <w:szCs w:val="21"/>
        </w:rPr>
        <w:t>）担任或委托其他符合条件的机构担任基金登记机构办理基金登记业务并获得《基金合同》规定的费用；</w:t>
      </w:r>
    </w:p>
    <w:p w14:paraId="2F1FCC57"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）依据《基金合同》及有关法律规定决定基金收益的分配方案；</w:t>
      </w:r>
      <w:r w:rsidRPr="00E97AFD">
        <w:rPr>
          <w:rFonts w:asciiTheme="minorEastAsia" w:eastAsiaTheme="minorEastAsia" w:hAnsiTheme="minorEastAsia"/>
          <w:bCs/>
          <w:szCs w:val="21"/>
        </w:rPr>
        <w:tab/>
      </w:r>
    </w:p>
    <w:p w14:paraId="71EEE1C5" w14:textId="22FF0E89"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11</w:t>
      </w:r>
      <w:r w:rsidRPr="00E97AFD">
        <w:rPr>
          <w:rFonts w:asciiTheme="minorEastAsia" w:eastAsiaTheme="minorEastAsia" w:hAnsiTheme="minorEastAsia" w:hint="eastAsia"/>
          <w:bCs/>
          <w:szCs w:val="21"/>
        </w:rPr>
        <w:t>）在《基金合同》约定的范围内，拒绝或暂停受理申购、赎回和转换申请；</w:t>
      </w:r>
    </w:p>
    <w:p w14:paraId="74583D4C" w14:textId="2DDD6434"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12</w:t>
      </w:r>
      <w:r w:rsidRPr="00E97AFD">
        <w:rPr>
          <w:rFonts w:asciiTheme="minorEastAsia" w:eastAsiaTheme="minorEastAsia" w:hAnsiTheme="minorEastAsia" w:hint="eastAsia"/>
          <w:bCs/>
          <w:szCs w:val="21"/>
        </w:rPr>
        <w:t>）在不违反法律法规和监管规定且对基金份额持有人利益无实质不利影响的前提下，为支付本基金应付的赎回、交易清算等款项，基金管理人有权代表基金份额持有人以基金资产作为抵押进行融资；</w:t>
      </w:r>
    </w:p>
    <w:p w14:paraId="78347AD3"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13</w:t>
      </w:r>
      <w:r w:rsidRPr="00E97AFD">
        <w:rPr>
          <w:rFonts w:asciiTheme="minorEastAsia" w:eastAsiaTheme="minorEastAsia" w:hAnsiTheme="minorEastAsia" w:hint="eastAsia"/>
          <w:bCs/>
          <w:szCs w:val="21"/>
        </w:rPr>
        <w:t>）以基金管理人的名义，代表基金份额持有人的利益行使诉讼权利或者实施其他法律行为；</w:t>
      </w:r>
      <w:r w:rsidRPr="00E97AFD">
        <w:rPr>
          <w:rFonts w:asciiTheme="minorEastAsia" w:eastAsiaTheme="minorEastAsia" w:hAnsiTheme="minorEastAsia"/>
          <w:bCs/>
          <w:szCs w:val="21"/>
        </w:rPr>
        <w:tab/>
      </w:r>
    </w:p>
    <w:p w14:paraId="1058F85A"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14</w:t>
      </w:r>
      <w:r w:rsidRPr="00E97AFD">
        <w:rPr>
          <w:rFonts w:asciiTheme="minorEastAsia" w:eastAsiaTheme="minorEastAsia" w:hAnsiTheme="minorEastAsia" w:hint="eastAsia"/>
          <w:bCs/>
          <w:szCs w:val="21"/>
        </w:rPr>
        <w:t>）选择、更换律师事务所、会计师事务所、证券经纪商或其他为基金提供服务的外部机构；</w:t>
      </w:r>
      <w:r w:rsidRPr="00E97AFD">
        <w:rPr>
          <w:rFonts w:asciiTheme="minorEastAsia" w:eastAsiaTheme="minorEastAsia" w:hAnsiTheme="minorEastAsia"/>
          <w:bCs/>
          <w:szCs w:val="21"/>
        </w:rPr>
        <w:tab/>
      </w:r>
    </w:p>
    <w:p w14:paraId="403C4660"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15</w:t>
      </w:r>
      <w:r w:rsidRPr="00E97AFD">
        <w:rPr>
          <w:rFonts w:asciiTheme="minorEastAsia" w:eastAsiaTheme="minorEastAsia" w:hAnsiTheme="minorEastAsia" w:hint="eastAsia"/>
          <w:bCs/>
          <w:szCs w:val="21"/>
        </w:rPr>
        <w:t>）在符合有关法律、法规的前提下，制订和调整有关基金认购、申购、赎回、转换、</w:t>
      </w:r>
      <w:r w:rsidRPr="00E97AFD">
        <w:rPr>
          <w:rFonts w:asciiTheme="minorEastAsia" w:eastAsiaTheme="minorEastAsia" w:hAnsiTheme="minorEastAsia" w:hint="eastAsia"/>
          <w:bCs/>
          <w:szCs w:val="21"/>
        </w:rPr>
        <w:lastRenderedPageBreak/>
        <w:t>非交易过户、转托管和收益分配等的业务规则；</w:t>
      </w:r>
    </w:p>
    <w:p w14:paraId="636494C2"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16</w:t>
      </w:r>
      <w:r w:rsidRPr="00E97AFD">
        <w:rPr>
          <w:rFonts w:asciiTheme="minorEastAsia" w:eastAsiaTheme="minorEastAsia" w:hAnsiTheme="minorEastAsia" w:hint="eastAsia"/>
          <w:bCs/>
          <w:szCs w:val="21"/>
        </w:rPr>
        <w:t>）法律法规及中国证监会规定的和《基金合同》约定的其他权利。</w:t>
      </w:r>
    </w:p>
    <w:p w14:paraId="24ABC60C"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、根据《基金法》、《运作办法》及其他有关规定，基金管理人的义务包括但不限于：</w:t>
      </w:r>
    </w:p>
    <w:p w14:paraId="6CD97F97"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）依法募集资金，办理或者委托经中国证监会认定的其他机构办理基金份额的发售、申购、赎回和登记事宜；</w:t>
      </w:r>
    </w:p>
    <w:p w14:paraId="6F00BDC3"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）办理基金备案手续；</w:t>
      </w:r>
    </w:p>
    <w:p w14:paraId="0A7CD010"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）自《基金合同》生效之日起</w:t>
      </w:r>
      <w:r w:rsidRPr="00E97AFD">
        <w:rPr>
          <w:rFonts w:asciiTheme="minorEastAsia" w:eastAsiaTheme="minorEastAsia" w:hAnsiTheme="minorEastAsia"/>
          <w:bCs/>
          <w:szCs w:val="21"/>
        </w:rPr>
        <w:t>,</w:t>
      </w:r>
      <w:r w:rsidRPr="00E97AFD">
        <w:rPr>
          <w:rFonts w:asciiTheme="minorEastAsia" w:eastAsiaTheme="minorEastAsia" w:hAnsiTheme="minorEastAsia" w:hint="eastAsia"/>
          <w:bCs/>
          <w:szCs w:val="21"/>
        </w:rPr>
        <w:t>以诚实信用、谨慎勤勉的原则管理和运用基金财产；</w:t>
      </w:r>
    </w:p>
    <w:p w14:paraId="7146B0C7"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4</w:t>
      </w:r>
      <w:r w:rsidRPr="00E97AFD">
        <w:rPr>
          <w:rFonts w:asciiTheme="minorEastAsia" w:eastAsiaTheme="minorEastAsia" w:hAnsiTheme="minorEastAsia" w:hint="eastAsia"/>
          <w:bCs/>
          <w:szCs w:val="21"/>
        </w:rPr>
        <w:t>）配备足够的具有专业资格的人员进行基金投资分析、决策，以专业化的经营方式管理和运作基金财产；</w:t>
      </w:r>
    </w:p>
    <w:p w14:paraId="3FF8C09F"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5</w:t>
      </w:r>
      <w:r w:rsidRPr="00E97AFD">
        <w:rPr>
          <w:rFonts w:asciiTheme="minorEastAsia" w:eastAsiaTheme="minorEastAsia" w:hAnsiTheme="minorEastAsia" w:hint="eastAsia"/>
          <w:bCs/>
          <w:szCs w:val="21"/>
        </w:rPr>
        <w:t>）建立健全内部风险控制、监察与稽核、财务管理及人事管理等制度，保证所管理的基金财产和基金管理人的财产相互独立</w:t>
      </w:r>
      <w:r w:rsidRPr="00E97AFD">
        <w:rPr>
          <w:rFonts w:asciiTheme="minorEastAsia" w:eastAsiaTheme="minorEastAsia" w:hAnsiTheme="minorEastAsia"/>
          <w:bCs/>
          <w:szCs w:val="21"/>
        </w:rPr>
        <w:t>,</w:t>
      </w:r>
      <w:r w:rsidRPr="00E97AFD">
        <w:rPr>
          <w:rFonts w:asciiTheme="minorEastAsia" w:eastAsiaTheme="minorEastAsia" w:hAnsiTheme="minorEastAsia" w:hint="eastAsia"/>
          <w:bCs/>
          <w:szCs w:val="21"/>
        </w:rPr>
        <w:t>对所管理的不同基金分别管理，分别记账，进行证券投资；</w:t>
      </w:r>
    </w:p>
    <w:p w14:paraId="45027731"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6</w:t>
      </w:r>
      <w:r w:rsidRPr="00E97AFD">
        <w:rPr>
          <w:rFonts w:asciiTheme="minorEastAsia" w:eastAsiaTheme="minorEastAsia" w:hAnsiTheme="minorEastAsia" w:hint="eastAsia"/>
          <w:bCs/>
          <w:szCs w:val="21"/>
        </w:rPr>
        <w:t>）除依据《基金法》、《基金合同》及其他有关规定外</w:t>
      </w:r>
      <w:r w:rsidRPr="00E97AFD">
        <w:rPr>
          <w:rFonts w:asciiTheme="minorEastAsia" w:eastAsiaTheme="minorEastAsia" w:hAnsiTheme="minorEastAsia"/>
          <w:bCs/>
          <w:szCs w:val="21"/>
        </w:rPr>
        <w:t>,</w:t>
      </w:r>
      <w:r w:rsidRPr="00E97AFD">
        <w:rPr>
          <w:rFonts w:asciiTheme="minorEastAsia" w:eastAsiaTheme="minorEastAsia" w:hAnsiTheme="minorEastAsia" w:hint="eastAsia"/>
          <w:bCs/>
          <w:szCs w:val="21"/>
        </w:rPr>
        <w:t>不得利用基金财产为自己及任何第三人谋取利益，不得委托第三人运作基金财产；</w:t>
      </w:r>
    </w:p>
    <w:p w14:paraId="0AA36E11"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7</w:t>
      </w: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ab/>
      </w:r>
      <w:r w:rsidRPr="00E97AFD">
        <w:rPr>
          <w:rFonts w:asciiTheme="minorEastAsia" w:eastAsiaTheme="minorEastAsia" w:hAnsiTheme="minorEastAsia" w:hint="eastAsia"/>
          <w:bCs/>
          <w:szCs w:val="21"/>
        </w:rPr>
        <w:t>依法接受基金托管人的监督；</w:t>
      </w:r>
    </w:p>
    <w:p w14:paraId="3AC23ECB"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8</w:t>
      </w:r>
      <w:r w:rsidRPr="00E97AFD">
        <w:rPr>
          <w:rFonts w:asciiTheme="minorEastAsia" w:eastAsiaTheme="minorEastAsia" w:hAnsiTheme="minorEastAsia" w:hint="eastAsia"/>
          <w:bCs/>
          <w:szCs w:val="21"/>
        </w:rPr>
        <w:t>）采取适当合理的措施使计算基金份额认购、申购、赎回和注销价格的方法符合《基金合同》等法律文件的规定，按有关规定计算并公告各类基金份额的每万份基金已实现收益和七日年化收益率；</w:t>
      </w:r>
    </w:p>
    <w:p w14:paraId="48EFC990"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9</w:t>
      </w:r>
      <w:r w:rsidRPr="00E97AFD">
        <w:rPr>
          <w:rFonts w:asciiTheme="minorEastAsia" w:eastAsiaTheme="minorEastAsia" w:hAnsiTheme="minorEastAsia" w:hint="eastAsia"/>
          <w:bCs/>
          <w:szCs w:val="21"/>
        </w:rPr>
        <w:t>）进行基金会计核算并编制基金财务会计报告；</w:t>
      </w:r>
    </w:p>
    <w:p w14:paraId="32146EA8"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）编制季度报告、中期报告和年度报告；</w:t>
      </w:r>
    </w:p>
    <w:p w14:paraId="54E5F899"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11</w:t>
      </w: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ab/>
      </w:r>
      <w:r w:rsidRPr="00E97AFD">
        <w:rPr>
          <w:rFonts w:asciiTheme="minorEastAsia" w:eastAsiaTheme="minorEastAsia" w:hAnsiTheme="minorEastAsia" w:hint="eastAsia"/>
          <w:bCs/>
          <w:szCs w:val="21"/>
        </w:rPr>
        <w:t>严格按照《基金法》、《基金合同》及其他有关规定，履行信息披露及报告义务；</w:t>
      </w:r>
    </w:p>
    <w:p w14:paraId="157EF00F"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12</w:t>
      </w:r>
      <w:r w:rsidRPr="00E97AFD">
        <w:rPr>
          <w:rFonts w:asciiTheme="minorEastAsia" w:eastAsiaTheme="minorEastAsia" w:hAnsiTheme="minorEastAsia" w:hint="eastAsia"/>
          <w:bCs/>
          <w:szCs w:val="21"/>
        </w:rPr>
        <w:t>）保守基金商业秘密，不泄露基金投资计划、投资意向等。除《基金法》、《基金合同》及其他有关规定另有规定外，在基金信息公开披露前应予保密，不向他人泄露；</w:t>
      </w:r>
    </w:p>
    <w:p w14:paraId="41CC2732"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13</w:t>
      </w:r>
      <w:r w:rsidRPr="00E97AFD">
        <w:rPr>
          <w:rFonts w:asciiTheme="minorEastAsia" w:eastAsiaTheme="minorEastAsia" w:hAnsiTheme="minorEastAsia" w:hint="eastAsia"/>
          <w:bCs/>
          <w:szCs w:val="21"/>
        </w:rPr>
        <w:t>）按《基金合同》的约定确定基金收益分配方案，及时向基金份额持有人分配基金收益；</w:t>
      </w:r>
    </w:p>
    <w:p w14:paraId="50088866"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14</w:t>
      </w:r>
      <w:r w:rsidRPr="00E97AFD">
        <w:rPr>
          <w:rFonts w:asciiTheme="minorEastAsia" w:eastAsiaTheme="minorEastAsia" w:hAnsiTheme="minorEastAsia" w:hint="eastAsia"/>
          <w:bCs/>
          <w:szCs w:val="21"/>
        </w:rPr>
        <w:t>）按规定受理申购与赎回申请，及时、足额支付赎回款项；</w:t>
      </w:r>
    </w:p>
    <w:p w14:paraId="726585B9"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15</w:t>
      </w:r>
      <w:r w:rsidRPr="00E97AFD">
        <w:rPr>
          <w:rFonts w:asciiTheme="minorEastAsia" w:eastAsiaTheme="minorEastAsia" w:hAnsiTheme="minorEastAsia" w:hint="eastAsia"/>
          <w:bCs/>
          <w:szCs w:val="21"/>
        </w:rPr>
        <w:t>）依据《基金法》、《基金合同》及其他有关规定召集基金份额持有人大会或配合基金托管人、基金份额持有人依法召集基金份额持有人大会；</w:t>
      </w:r>
    </w:p>
    <w:p w14:paraId="3BC7EDCA"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16</w:t>
      </w:r>
      <w:r w:rsidRPr="00E97AFD">
        <w:rPr>
          <w:rFonts w:asciiTheme="minorEastAsia" w:eastAsiaTheme="minorEastAsia" w:hAnsiTheme="minorEastAsia" w:hint="eastAsia"/>
          <w:bCs/>
          <w:szCs w:val="21"/>
        </w:rPr>
        <w:t>）按规定保存基金财产管理业务活动的会计账册、报表、记录和其他相关资料</w:t>
      </w:r>
      <w:r w:rsidRPr="00E97AFD">
        <w:rPr>
          <w:rFonts w:asciiTheme="minorEastAsia" w:eastAsiaTheme="minorEastAsia" w:hAnsiTheme="minorEastAsia"/>
          <w:bCs/>
          <w:szCs w:val="21"/>
        </w:rPr>
        <w:t>15</w:t>
      </w:r>
      <w:r w:rsidRPr="00E97AFD">
        <w:rPr>
          <w:rFonts w:asciiTheme="minorEastAsia" w:eastAsiaTheme="minorEastAsia" w:hAnsiTheme="minorEastAsia" w:hint="eastAsia"/>
          <w:bCs/>
          <w:szCs w:val="21"/>
        </w:rPr>
        <w:t>年以上；</w:t>
      </w:r>
    </w:p>
    <w:p w14:paraId="7FFA214A"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lastRenderedPageBreak/>
        <w:t>（</w:t>
      </w:r>
      <w:r w:rsidRPr="00E97AFD">
        <w:rPr>
          <w:rFonts w:asciiTheme="minorEastAsia" w:eastAsiaTheme="minorEastAsia" w:hAnsiTheme="minorEastAsia"/>
          <w:bCs/>
          <w:szCs w:val="21"/>
        </w:rPr>
        <w:t>17</w:t>
      </w:r>
      <w:r w:rsidRPr="00E97AFD">
        <w:rPr>
          <w:rFonts w:asciiTheme="minorEastAsia" w:eastAsiaTheme="minorEastAsia" w:hAnsiTheme="minorEastAsia"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9DC1BF4"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18</w:t>
      </w:r>
      <w:r w:rsidRPr="00E97AFD">
        <w:rPr>
          <w:rFonts w:asciiTheme="minorEastAsia" w:eastAsiaTheme="minorEastAsia" w:hAnsiTheme="minorEastAsia" w:hint="eastAsia"/>
          <w:bCs/>
          <w:szCs w:val="21"/>
        </w:rPr>
        <w:t>）组织并参加基金财产清算小组</w:t>
      </w:r>
      <w:r w:rsidRPr="00E97AFD">
        <w:rPr>
          <w:rFonts w:asciiTheme="minorEastAsia" w:eastAsiaTheme="minorEastAsia" w:hAnsiTheme="minorEastAsia"/>
          <w:bCs/>
          <w:szCs w:val="21"/>
        </w:rPr>
        <w:t>,</w:t>
      </w:r>
      <w:r w:rsidRPr="00E97AFD">
        <w:rPr>
          <w:rFonts w:asciiTheme="minorEastAsia" w:eastAsiaTheme="minorEastAsia" w:hAnsiTheme="minorEastAsia" w:hint="eastAsia"/>
          <w:bCs/>
          <w:szCs w:val="21"/>
        </w:rPr>
        <w:t>参与基金财产的保管、清理、估价、变现和分配；</w:t>
      </w:r>
    </w:p>
    <w:p w14:paraId="4C293416"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19</w:t>
      </w:r>
      <w:r w:rsidRPr="00E97AFD">
        <w:rPr>
          <w:rFonts w:asciiTheme="minorEastAsia" w:eastAsiaTheme="minorEastAsia" w:hAnsiTheme="minorEastAsia" w:hint="eastAsia"/>
          <w:bCs/>
          <w:szCs w:val="21"/>
        </w:rPr>
        <w:t>）面临解散、依法被撤销或者被依法宣告破产时，及时报告中国证监会并通知基金托管人；</w:t>
      </w:r>
    </w:p>
    <w:p w14:paraId="63BFFEAA"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20</w:t>
      </w:r>
      <w:r w:rsidRPr="00E97AFD">
        <w:rPr>
          <w:rFonts w:asciiTheme="minorEastAsia" w:eastAsiaTheme="minorEastAsia" w:hAnsiTheme="minorEastAsia" w:hint="eastAsia"/>
          <w:bCs/>
          <w:szCs w:val="21"/>
        </w:rPr>
        <w:t>）因违反《基金合同》导致基金财产的损失或损害基金份额持有人合法权益时，应当承担赔偿责任，其赔偿责任不因其退任而免除；</w:t>
      </w:r>
    </w:p>
    <w:p w14:paraId="5799B552"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21</w:t>
      </w:r>
      <w:r w:rsidRPr="00E97AFD">
        <w:rPr>
          <w:rFonts w:asciiTheme="minorEastAsia" w:eastAsiaTheme="minorEastAsia" w:hAnsiTheme="minorEastAsia" w:hint="eastAsia"/>
          <w:bCs/>
          <w:szCs w:val="21"/>
        </w:rPr>
        <w:t>）监督基金托管人按法律法规和《基金合同》规定履行自己的义务，基金托管人违反《基金合同》造成基金财产损失时，基金管理人应为基金份额持有人利益向基金托管人追偿；</w:t>
      </w:r>
    </w:p>
    <w:p w14:paraId="3ECDE467"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22</w:t>
      </w:r>
      <w:r w:rsidRPr="00E97AFD">
        <w:rPr>
          <w:rFonts w:asciiTheme="minorEastAsia" w:eastAsiaTheme="minorEastAsia" w:hAnsiTheme="minorEastAsia" w:hint="eastAsia"/>
          <w:bCs/>
          <w:szCs w:val="21"/>
        </w:rPr>
        <w:t>）当基金管理人将其义务委托第三方处理时，应当对第三方处理有关基金事务的行为承担责任；</w:t>
      </w:r>
    </w:p>
    <w:p w14:paraId="7BC0268B"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23</w:t>
      </w:r>
      <w:r w:rsidRPr="00E97AFD">
        <w:rPr>
          <w:rFonts w:asciiTheme="minorEastAsia" w:eastAsiaTheme="minorEastAsia" w:hAnsiTheme="minorEastAsia" w:hint="eastAsia"/>
          <w:bCs/>
          <w:szCs w:val="21"/>
        </w:rPr>
        <w:t>）以基金管理人名义，代表基金份额持有人利益行使诉讼权利或实施其他法律行为；</w:t>
      </w:r>
      <w:r w:rsidRPr="00E97AFD">
        <w:rPr>
          <w:rFonts w:asciiTheme="minorEastAsia" w:eastAsiaTheme="minorEastAsia" w:hAnsiTheme="minorEastAsia"/>
          <w:bCs/>
          <w:szCs w:val="21"/>
        </w:rPr>
        <w:tab/>
      </w:r>
    </w:p>
    <w:p w14:paraId="1593AE9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24</w:t>
      </w:r>
      <w:r w:rsidRPr="00E97AFD">
        <w:rPr>
          <w:rFonts w:asciiTheme="minorEastAsia" w:eastAsiaTheme="minorEastAsia" w:hAnsiTheme="minorEastAsia" w:hint="eastAsia"/>
          <w:bCs/>
          <w:szCs w:val="21"/>
        </w:rPr>
        <w:t>）基金管理人在募集期间未能达到基金的备案条件，《基金合同》不能生效，基金管理人承担全部募集费用，将已募集资金并加计银行同期存款利息在基金募集期结束后</w:t>
      </w:r>
      <w:r w:rsidRPr="00E97AFD">
        <w:rPr>
          <w:rFonts w:asciiTheme="minorEastAsia" w:eastAsiaTheme="minorEastAsia" w:hAnsiTheme="minorEastAsia"/>
          <w:bCs/>
          <w:szCs w:val="21"/>
        </w:rPr>
        <w:t>30</w:t>
      </w:r>
      <w:r w:rsidRPr="00E97AFD">
        <w:rPr>
          <w:rFonts w:asciiTheme="minorEastAsia" w:eastAsiaTheme="minorEastAsia" w:hAnsiTheme="minorEastAsia" w:hint="eastAsia"/>
          <w:bCs/>
          <w:szCs w:val="21"/>
        </w:rPr>
        <w:t>日内退还基金认购人；</w:t>
      </w:r>
    </w:p>
    <w:p w14:paraId="5D9E8A49"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25</w:t>
      </w:r>
      <w:r w:rsidRPr="00E97AFD">
        <w:rPr>
          <w:rFonts w:asciiTheme="minorEastAsia" w:eastAsiaTheme="minorEastAsia" w:hAnsiTheme="minorEastAsia" w:hint="eastAsia"/>
          <w:bCs/>
          <w:szCs w:val="21"/>
        </w:rPr>
        <w:t>）执行生效的基金份额持有人大会的决议；</w:t>
      </w:r>
    </w:p>
    <w:p w14:paraId="262BF6C7"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26</w:t>
      </w:r>
      <w:r w:rsidRPr="00E97AFD">
        <w:rPr>
          <w:rFonts w:asciiTheme="minorEastAsia" w:eastAsiaTheme="minorEastAsia" w:hAnsiTheme="minorEastAsia" w:hint="eastAsia"/>
          <w:bCs/>
          <w:szCs w:val="21"/>
        </w:rPr>
        <w:t>）建立并保存基金份额持有人名册；</w:t>
      </w:r>
    </w:p>
    <w:p w14:paraId="7FA6E51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27</w:t>
      </w:r>
      <w:r w:rsidRPr="00E97AFD">
        <w:rPr>
          <w:rFonts w:asciiTheme="minorEastAsia" w:eastAsiaTheme="minorEastAsia" w:hAnsiTheme="minorEastAsia" w:hint="eastAsia"/>
          <w:bCs/>
          <w:szCs w:val="21"/>
        </w:rPr>
        <w:t>）法律法规及中国证监会规定的和《基金合同》约定的其他义务。</w:t>
      </w:r>
    </w:p>
    <w:p w14:paraId="40B08BE9"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（三）基金托管人的权利与义务</w:t>
      </w:r>
    </w:p>
    <w:p w14:paraId="4FF44595"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、根据《基金法》、《运作办法》及其他有关规定，基金托管人的权利包括但不限于：</w:t>
      </w:r>
    </w:p>
    <w:p w14:paraId="691E3A18"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）自《基金合同》生效之日起，依法律法规和《基金合同》的规定安全保管基金财产；</w:t>
      </w:r>
    </w:p>
    <w:p w14:paraId="47A7AA2C"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）依《基金合同》约定获得基金托管费以及法律法规规定或监管部门批准的其他费用；</w:t>
      </w:r>
    </w:p>
    <w:p w14:paraId="063832B4"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4FDD944"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lastRenderedPageBreak/>
        <w:t>（</w:t>
      </w:r>
      <w:r w:rsidRPr="00E97AFD">
        <w:rPr>
          <w:rFonts w:asciiTheme="minorEastAsia" w:eastAsiaTheme="minorEastAsia" w:hAnsiTheme="minorEastAsia"/>
          <w:bCs/>
          <w:szCs w:val="21"/>
        </w:rPr>
        <w:t>4</w:t>
      </w:r>
      <w:r w:rsidRPr="00E97AFD">
        <w:rPr>
          <w:rFonts w:asciiTheme="minorEastAsia" w:eastAsiaTheme="minorEastAsia" w:hAnsiTheme="minorEastAsia" w:hint="eastAsia"/>
          <w:bCs/>
          <w:szCs w:val="21"/>
        </w:rPr>
        <w:t>）根据相关市场规则，为基金开设证券账户、为基金办理证券交易资金清算。</w:t>
      </w:r>
    </w:p>
    <w:p w14:paraId="0984D02F"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5</w:t>
      </w:r>
      <w:r w:rsidRPr="00E97AFD">
        <w:rPr>
          <w:rFonts w:asciiTheme="minorEastAsia" w:eastAsiaTheme="minorEastAsia" w:hAnsiTheme="minorEastAsia" w:hint="eastAsia"/>
          <w:bCs/>
          <w:szCs w:val="21"/>
        </w:rPr>
        <w:t>）提议召开或召集基金份额持有人大会；</w:t>
      </w:r>
    </w:p>
    <w:p w14:paraId="473363AE"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6</w:t>
      </w:r>
      <w:r w:rsidRPr="00E97AFD">
        <w:rPr>
          <w:rFonts w:asciiTheme="minorEastAsia" w:eastAsiaTheme="minorEastAsia" w:hAnsiTheme="minorEastAsia" w:hint="eastAsia"/>
          <w:bCs/>
          <w:szCs w:val="21"/>
        </w:rPr>
        <w:t>）在基金管理人更换时，提名新的基金管理人；</w:t>
      </w:r>
    </w:p>
    <w:p w14:paraId="1983E46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7</w:t>
      </w:r>
      <w:r w:rsidRPr="00E97AFD">
        <w:rPr>
          <w:rFonts w:asciiTheme="minorEastAsia" w:eastAsiaTheme="minorEastAsia" w:hAnsiTheme="minorEastAsia" w:hint="eastAsia"/>
          <w:bCs/>
          <w:szCs w:val="21"/>
        </w:rPr>
        <w:t>）法律法规及中国证监会规定的和《基金合同》约定的其他权利。</w:t>
      </w:r>
    </w:p>
    <w:p w14:paraId="73DEF7BF"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、根据《基金法》、《运作办法》及其他有关规定，基金托管人的义务包括但不限于：</w:t>
      </w:r>
    </w:p>
    <w:p w14:paraId="4BD34589"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）以诚实信用、勤勉尽责的原则持有并安全保管基金财产；</w:t>
      </w:r>
    </w:p>
    <w:p w14:paraId="031F6906"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）设立专门的基金托管部门，具有符合要求的营业场所，配备足够的、合格的熟悉基金托管业务的专职人员，负责基金财产托管事宜；</w:t>
      </w:r>
    </w:p>
    <w:p w14:paraId="670CACE5"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C51C35A"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4</w:t>
      </w:r>
      <w:r w:rsidRPr="00E97AFD">
        <w:rPr>
          <w:rFonts w:asciiTheme="minorEastAsia" w:eastAsiaTheme="minorEastAsia" w:hAnsiTheme="minorEastAsia" w:hint="eastAsia"/>
          <w:bCs/>
          <w:szCs w:val="21"/>
        </w:rPr>
        <w:t>）除依据《基金法》、《基金合同》及其他有关规定外，不得利用基金财产为自己及任何第三人谋取利益，不得委托第三人托管基金财产；</w:t>
      </w:r>
    </w:p>
    <w:p w14:paraId="17C055B3"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5</w:t>
      </w:r>
      <w:r w:rsidRPr="00E97AFD">
        <w:rPr>
          <w:rFonts w:asciiTheme="minorEastAsia" w:eastAsiaTheme="minorEastAsia" w:hAnsiTheme="minorEastAsia" w:hint="eastAsia"/>
          <w:bCs/>
          <w:szCs w:val="21"/>
        </w:rPr>
        <w:t>）保管由基金管理人代表基金签订的与基金有关的重大合同及有关凭证；</w:t>
      </w:r>
    </w:p>
    <w:p w14:paraId="48A46D33"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6</w:t>
      </w:r>
      <w:r w:rsidRPr="00E97AFD">
        <w:rPr>
          <w:rFonts w:asciiTheme="minorEastAsia" w:eastAsiaTheme="minorEastAsia" w:hAnsiTheme="minorEastAsia" w:hint="eastAsia"/>
          <w:bCs/>
          <w:szCs w:val="21"/>
        </w:rPr>
        <w:t>）按规定开设基金财产的资金账户和证券账户</w:t>
      </w:r>
      <w:r w:rsidRPr="00E97AFD">
        <w:rPr>
          <w:rFonts w:asciiTheme="minorEastAsia" w:eastAsiaTheme="minorEastAsia" w:hAnsiTheme="minorEastAsia"/>
          <w:bCs/>
          <w:szCs w:val="21"/>
        </w:rPr>
        <w:t>,</w:t>
      </w:r>
      <w:r w:rsidRPr="00E97AFD">
        <w:rPr>
          <w:rFonts w:asciiTheme="minorEastAsia" w:eastAsiaTheme="minorEastAsia" w:hAnsiTheme="minorEastAsia" w:hint="eastAsia"/>
          <w:bCs/>
          <w:szCs w:val="21"/>
        </w:rPr>
        <w:t>按照《基金合同》的约定，根据基金管理人的投资指令，及时办理清算、交割事宜；</w:t>
      </w:r>
    </w:p>
    <w:p w14:paraId="66FE07B4"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7</w:t>
      </w:r>
      <w:r w:rsidRPr="00E97AFD">
        <w:rPr>
          <w:rFonts w:asciiTheme="minorEastAsia" w:eastAsiaTheme="minorEastAsia" w:hAnsiTheme="minorEastAsia" w:hint="eastAsia"/>
          <w:bCs/>
          <w:szCs w:val="21"/>
        </w:rPr>
        <w:t>）保守基金商业秘密，除《基金法》、《基金合同》及其他有关规定另有规定外，在基金信息公开披露前予以保密，不得向他人泄露；</w:t>
      </w:r>
    </w:p>
    <w:p w14:paraId="3A7A7DDA"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8</w:t>
      </w:r>
      <w:r w:rsidRPr="00E97AFD">
        <w:rPr>
          <w:rFonts w:asciiTheme="minorEastAsia" w:eastAsiaTheme="minorEastAsia" w:hAnsiTheme="minorEastAsia" w:hint="eastAsia"/>
          <w:bCs/>
          <w:szCs w:val="21"/>
        </w:rPr>
        <w:t>）复核、审查基金管理人计算的基金资产净值、各类基金份额的每万份基金已实现收益和七日年化收益率；</w:t>
      </w:r>
    </w:p>
    <w:p w14:paraId="083AD889"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9</w:t>
      </w:r>
      <w:r w:rsidRPr="00E97AFD">
        <w:rPr>
          <w:rFonts w:asciiTheme="minorEastAsia" w:eastAsiaTheme="minorEastAsia" w:hAnsiTheme="minorEastAsia" w:hint="eastAsia"/>
          <w:bCs/>
          <w:szCs w:val="21"/>
        </w:rPr>
        <w:t>）办理与基金托管业务活动有关的信息披露事项；</w:t>
      </w:r>
    </w:p>
    <w:p w14:paraId="5491A60F"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29C6051"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11</w:t>
      </w:r>
      <w:r w:rsidRPr="00E97AFD">
        <w:rPr>
          <w:rFonts w:asciiTheme="minorEastAsia" w:eastAsiaTheme="minorEastAsia" w:hAnsiTheme="minorEastAsia" w:hint="eastAsia"/>
          <w:bCs/>
          <w:szCs w:val="21"/>
        </w:rPr>
        <w:t>）保存基金托管业务活动的记录、账册、报表和其他相关资料</w:t>
      </w:r>
      <w:r w:rsidRPr="00E97AFD">
        <w:rPr>
          <w:rFonts w:asciiTheme="minorEastAsia" w:eastAsiaTheme="minorEastAsia" w:hAnsiTheme="minorEastAsia" w:hint="eastAsia"/>
          <w:szCs w:val="21"/>
        </w:rPr>
        <w:t>15</w:t>
      </w:r>
      <w:r w:rsidRPr="00E97AFD">
        <w:rPr>
          <w:rFonts w:asciiTheme="minorEastAsia" w:eastAsiaTheme="minorEastAsia" w:hAnsiTheme="minorEastAsia" w:hint="eastAsia"/>
          <w:bCs/>
          <w:szCs w:val="21"/>
        </w:rPr>
        <w:t>年以上；</w:t>
      </w:r>
    </w:p>
    <w:p w14:paraId="7427FF94"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12</w:t>
      </w:r>
      <w:r w:rsidRPr="00E97AFD">
        <w:rPr>
          <w:rFonts w:asciiTheme="minorEastAsia" w:eastAsiaTheme="minorEastAsia" w:hAnsiTheme="minorEastAsia" w:hint="eastAsia"/>
          <w:bCs/>
          <w:szCs w:val="21"/>
        </w:rPr>
        <w:t>）建立并保存基金份额持有人名册；</w:t>
      </w:r>
    </w:p>
    <w:p w14:paraId="3D84D038"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13</w:t>
      </w:r>
      <w:r w:rsidRPr="00E97AFD">
        <w:rPr>
          <w:rFonts w:asciiTheme="minorEastAsia" w:eastAsiaTheme="minorEastAsia" w:hAnsiTheme="minorEastAsia" w:hint="eastAsia"/>
          <w:bCs/>
          <w:szCs w:val="21"/>
        </w:rPr>
        <w:t>）按规定制作相关账册并与基金管理人核对；</w:t>
      </w:r>
    </w:p>
    <w:p w14:paraId="2B34CD23"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14</w:t>
      </w:r>
      <w:r w:rsidRPr="00E97AFD">
        <w:rPr>
          <w:rFonts w:asciiTheme="minorEastAsia" w:eastAsiaTheme="minorEastAsia" w:hAnsiTheme="minorEastAsia" w:hint="eastAsia"/>
          <w:bCs/>
          <w:szCs w:val="21"/>
        </w:rPr>
        <w:t>）依据基金管理人的指令或有关规定向基金份额持有人支付基金收益和赎回款项；</w:t>
      </w:r>
    </w:p>
    <w:p w14:paraId="23AE748F"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15</w:t>
      </w:r>
      <w:r w:rsidRPr="00E97AFD">
        <w:rPr>
          <w:rFonts w:asciiTheme="minorEastAsia" w:eastAsiaTheme="minorEastAsia" w:hAnsiTheme="minorEastAsia" w:hint="eastAsia"/>
          <w:bCs/>
          <w:szCs w:val="21"/>
        </w:rPr>
        <w:t>）依据《基金法》、《基金合同》及其他有关规定，召集基金份额持有人大会或配合</w:t>
      </w:r>
      <w:r w:rsidRPr="00E97AFD">
        <w:rPr>
          <w:rFonts w:asciiTheme="minorEastAsia" w:eastAsiaTheme="minorEastAsia" w:hAnsiTheme="minorEastAsia" w:hint="eastAsia"/>
          <w:bCs/>
          <w:szCs w:val="21"/>
        </w:rPr>
        <w:lastRenderedPageBreak/>
        <w:t>基金份额持有人依法召集基金份额持有人大会；</w:t>
      </w:r>
    </w:p>
    <w:p w14:paraId="76BA584E"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16</w:t>
      </w:r>
      <w:r w:rsidRPr="00E97AFD">
        <w:rPr>
          <w:rFonts w:asciiTheme="minorEastAsia" w:eastAsiaTheme="minorEastAsia" w:hAnsiTheme="minorEastAsia" w:hint="eastAsia"/>
          <w:bCs/>
          <w:szCs w:val="21"/>
        </w:rPr>
        <w:t>）按照法律法规和《基金合同》的规定监督基金管理人的投资运作；</w:t>
      </w:r>
    </w:p>
    <w:p w14:paraId="65DA97A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17</w:t>
      </w:r>
      <w:r w:rsidRPr="00E97AFD">
        <w:rPr>
          <w:rFonts w:asciiTheme="minorEastAsia" w:eastAsiaTheme="minorEastAsia" w:hAnsiTheme="minorEastAsia" w:hint="eastAsia"/>
          <w:bCs/>
          <w:szCs w:val="21"/>
        </w:rPr>
        <w:t>）参加基金财产清算小组，参与基金财产的保管、清理、估价、变现和分配；</w:t>
      </w:r>
    </w:p>
    <w:p w14:paraId="0DF9C50E"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18</w:t>
      </w:r>
      <w:r w:rsidRPr="00E97AFD">
        <w:rPr>
          <w:rFonts w:asciiTheme="minorEastAsia" w:eastAsiaTheme="minorEastAsia" w:hAnsiTheme="minorEastAsia" w:hint="eastAsia"/>
          <w:bCs/>
          <w:szCs w:val="21"/>
        </w:rPr>
        <w:t>）面临解散、依法被撤销或者被依法宣告破产时，及时报告中国证监会和银行监管机构，并通知基金管理人；</w:t>
      </w:r>
    </w:p>
    <w:p w14:paraId="42097191"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19</w:t>
      </w:r>
      <w:r w:rsidRPr="00E97AFD">
        <w:rPr>
          <w:rFonts w:asciiTheme="minorEastAsia" w:eastAsiaTheme="minorEastAsia" w:hAnsiTheme="minorEastAsia" w:hint="eastAsia"/>
          <w:bCs/>
          <w:szCs w:val="21"/>
        </w:rPr>
        <w:t>）因违反《基金合同》导致基金财产损失时，应承担赔偿责任，其赔偿责任不因其退任而免除；</w:t>
      </w:r>
    </w:p>
    <w:p w14:paraId="7F56AC73"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20</w:t>
      </w:r>
      <w:r w:rsidRPr="00E97AFD">
        <w:rPr>
          <w:rFonts w:asciiTheme="minorEastAsia" w:eastAsiaTheme="minorEastAsia" w:hAnsiTheme="minorEastAsia" w:hint="eastAsia"/>
          <w:bCs/>
          <w:szCs w:val="21"/>
        </w:rPr>
        <w:t>）按规定监督基金管理人按法律法规和《基金合同》规定履行自己的义务，基金管理人因违反《基金合同》造成基金财产损失时，应为基金份额持有人利益向基金管理人追偿；</w:t>
      </w:r>
    </w:p>
    <w:p w14:paraId="3B22C3BE"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21</w:t>
      </w:r>
      <w:r w:rsidRPr="00E97AFD">
        <w:rPr>
          <w:rFonts w:asciiTheme="minorEastAsia" w:eastAsiaTheme="minorEastAsia" w:hAnsiTheme="minorEastAsia" w:hint="eastAsia"/>
          <w:bCs/>
          <w:szCs w:val="21"/>
        </w:rPr>
        <w:t>）执行生效的基金份额持有人大会的决定；</w:t>
      </w:r>
    </w:p>
    <w:p w14:paraId="3FBC358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22</w:t>
      </w:r>
      <w:r w:rsidRPr="00E97AFD">
        <w:rPr>
          <w:rFonts w:asciiTheme="minorEastAsia" w:eastAsiaTheme="minorEastAsia" w:hAnsiTheme="minorEastAsia" w:hint="eastAsia"/>
          <w:bCs/>
          <w:szCs w:val="21"/>
        </w:rPr>
        <w:t>）法律法规及中国证监会规定的和《基金合同》约定的其他义务。</w:t>
      </w:r>
    </w:p>
    <w:p w14:paraId="325F40C9" w14:textId="77777777" w:rsidR="006B018F" w:rsidRPr="00E97AFD" w:rsidRDefault="006B018F" w:rsidP="006B018F">
      <w:pPr>
        <w:spacing w:line="360" w:lineRule="auto"/>
        <w:ind w:firstLineChars="200" w:firstLine="420"/>
        <w:rPr>
          <w:rFonts w:asciiTheme="minorEastAsia" w:eastAsiaTheme="minorEastAsia" w:hAnsiTheme="minorEastAsia" w:cs="宋体"/>
          <w:kern w:val="0"/>
          <w:szCs w:val="21"/>
          <w:shd w:val="clear" w:color="auto" w:fill="FFFFFF"/>
        </w:rPr>
      </w:pPr>
      <w:r w:rsidRPr="00E97AFD">
        <w:rPr>
          <w:rFonts w:asciiTheme="minorEastAsia" w:eastAsiaTheme="minorEastAsia" w:hAnsiTheme="minorEastAsia" w:cs="宋体" w:hint="eastAsia"/>
          <w:kern w:val="0"/>
          <w:szCs w:val="21"/>
          <w:shd w:val="clear" w:color="auto" w:fill="FFFFFF"/>
        </w:rPr>
        <w:t>二、基金份额持有人大会召集、议事及表决的程序和规则</w:t>
      </w:r>
    </w:p>
    <w:p w14:paraId="0B451B57"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基金份额持有人大会由基金份额持有人组成，基金份额持有人的合法授权代表有权代表基金份额持有人出席会议并表决。基金份额持有人持有的每一基金份额拥有平等的投票权。</w:t>
      </w:r>
    </w:p>
    <w:p w14:paraId="7536948C"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（一）召开事由</w:t>
      </w:r>
    </w:p>
    <w:p w14:paraId="49EDA4B0"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、当出现或需要决定下列事由之一的，应当召开基金份额持有人大会：</w:t>
      </w:r>
    </w:p>
    <w:p w14:paraId="3CD3C815"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）终止《基金合同》，但基金合同另有约定的情形除外；</w:t>
      </w:r>
    </w:p>
    <w:p w14:paraId="23AFA6CC"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）更换基金管理人；</w:t>
      </w:r>
    </w:p>
    <w:p w14:paraId="249E996E"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）更换基金托管人；</w:t>
      </w:r>
    </w:p>
    <w:p w14:paraId="7370E913"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4</w:t>
      </w:r>
      <w:r w:rsidRPr="00E97AFD">
        <w:rPr>
          <w:rFonts w:asciiTheme="minorEastAsia" w:eastAsiaTheme="minorEastAsia" w:hAnsiTheme="minorEastAsia" w:hint="eastAsia"/>
          <w:bCs/>
          <w:szCs w:val="21"/>
        </w:rPr>
        <w:t>）转换基金运作方式；</w:t>
      </w:r>
    </w:p>
    <w:p w14:paraId="4DAA6F1E"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5</w:t>
      </w:r>
      <w:r w:rsidRPr="00E97AFD">
        <w:rPr>
          <w:rFonts w:asciiTheme="minorEastAsia" w:eastAsiaTheme="minorEastAsia" w:hAnsiTheme="minorEastAsia" w:hint="eastAsia"/>
          <w:bCs/>
          <w:szCs w:val="21"/>
        </w:rPr>
        <w:t>）提高基金管理人、基金托管人的报酬标准；</w:t>
      </w:r>
    </w:p>
    <w:p w14:paraId="1E75BD6C"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6</w:t>
      </w:r>
      <w:r w:rsidRPr="00E97AFD">
        <w:rPr>
          <w:rFonts w:asciiTheme="minorEastAsia" w:eastAsiaTheme="minorEastAsia" w:hAnsiTheme="minorEastAsia" w:hint="eastAsia"/>
          <w:bCs/>
          <w:szCs w:val="21"/>
        </w:rPr>
        <w:t>）变更基金类别；</w:t>
      </w:r>
    </w:p>
    <w:p w14:paraId="25F0A4D0"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7</w:t>
      </w:r>
      <w:r w:rsidRPr="00E97AFD">
        <w:rPr>
          <w:rFonts w:asciiTheme="minorEastAsia" w:eastAsiaTheme="minorEastAsia" w:hAnsiTheme="minorEastAsia" w:hint="eastAsia"/>
          <w:bCs/>
          <w:szCs w:val="21"/>
        </w:rPr>
        <w:t>）本基金与其他基金的合并；</w:t>
      </w:r>
    </w:p>
    <w:p w14:paraId="1BEF8B78"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8</w:t>
      </w:r>
      <w:r w:rsidRPr="00E97AFD">
        <w:rPr>
          <w:rFonts w:asciiTheme="minorEastAsia" w:eastAsiaTheme="minorEastAsia" w:hAnsiTheme="minorEastAsia" w:hint="eastAsia"/>
          <w:bCs/>
          <w:szCs w:val="21"/>
        </w:rPr>
        <w:t>）变更基金投资目标、范围或策略；</w:t>
      </w:r>
    </w:p>
    <w:p w14:paraId="4FC62E25"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9</w:t>
      </w:r>
      <w:r w:rsidRPr="00E97AFD">
        <w:rPr>
          <w:rFonts w:asciiTheme="minorEastAsia" w:eastAsiaTheme="minorEastAsia" w:hAnsiTheme="minorEastAsia" w:hint="eastAsia"/>
          <w:bCs/>
          <w:szCs w:val="21"/>
        </w:rPr>
        <w:t>）变更基金份额持有人大会程序；</w:t>
      </w:r>
    </w:p>
    <w:p w14:paraId="00E51A16"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）基金管理人或基金托管人要求召开基金份额持有人大会；</w:t>
      </w:r>
    </w:p>
    <w:p w14:paraId="70266CE5"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11</w:t>
      </w:r>
      <w:r w:rsidRPr="00E97AFD">
        <w:rPr>
          <w:rFonts w:asciiTheme="minorEastAsia" w:eastAsiaTheme="minorEastAsia" w:hAnsiTheme="minorEastAsia" w:hint="eastAsia"/>
          <w:bCs/>
          <w:szCs w:val="21"/>
        </w:rPr>
        <w:t>）单独或合计持有本基金总份额</w:t>
      </w: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以上（含</w:t>
      </w: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）基金份额的基金份额持有人（以基金管理人收到提议当日的基金份额计算，下同）就同一事项书面要求召开基金份额持有人大会；</w:t>
      </w:r>
    </w:p>
    <w:p w14:paraId="0D2C8229"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12</w:t>
      </w:r>
      <w:r w:rsidRPr="00E97AFD">
        <w:rPr>
          <w:rFonts w:asciiTheme="minorEastAsia" w:eastAsiaTheme="minorEastAsia" w:hAnsiTheme="minorEastAsia" w:hint="eastAsia"/>
          <w:bCs/>
          <w:szCs w:val="21"/>
        </w:rPr>
        <w:t>）对基金当事人权利和义务产生重大影响的其他事项；</w:t>
      </w:r>
    </w:p>
    <w:p w14:paraId="7F8A0C5F"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lastRenderedPageBreak/>
        <w:t>（</w:t>
      </w:r>
      <w:r w:rsidRPr="00E97AFD">
        <w:rPr>
          <w:rFonts w:asciiTheme="minorEastAsia" w:eastAsiaTheme="minorEastAsia" w:hAnsiTheme="minorEastAsia"/>
          <w:bCs/>
          <w:szCs w:val="21"/>
        </w:rPr>
        <w:t>13</w:t>
      </w:r>
      <w:r w:rsidRPr="00E97AFD">
        <w:rPr>
          <w:rFonts w:asciiTheme="minorEastAsia" w:eastAsiaTheme="minorEastAsia" w:hAnsiTheme="minorEastAsia" w:hint="eastAsia"/>
          <w:bCs/>
          <w:szCs w:val="21"/>
        </w:rPr>
        <w:t>）法律法规、《基金合同》或中国证监会规定的其他应当召开基金份额持有人大会的事项。</w:t>
      </w:r>
    </w:p>
    <w:p w14:paraId="6E09A287"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、以下情况可由基金管理人和基金托管人协商后修改，不需召开基金份额持有人大会：</w:t>
      </w:r>
    </w:p>
    <w:p w14:paraId="02AD055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）调低基金管理费、基金托管费</w:t>
      </w:r>
      <w:r w:rsidRPr="00E97AFD">
        <w:rPr>
          <w:rFonts w:asciiTheme="minorEastAsia" w:eastAsiaTheme="minorEastAsia" w:hAnsiTheme="minorEastAsia" w:hint="eastAsia"/>
          <w:szCs w:val="21"/>
        </w:rPr>
        <w:t>和其他应由基金承担的费用</w:t>
      </w:r>
      <w:r w:rsidRPr="00E97AFD">
        <w:rPr>
          <w:rFonts w:asciiTheme="minorEastAsia" w:eastAsiaTheme="minorEastAsia" w:hAnsiTheme="minorEastAsia" w:hint="eastAsia"/>
          <w:bCs/>
          <w:szCs w:val="21"/>
        </w:rPr>
        <w:t>；</w:t>
      </w:r>
    </w:p>
    <w:p w14:paraId="42B37F0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）法律法规要求增加的基金费用的收取；</w:t>
      </w:r>
    </w:p>
    <w:p w14:paraId="7B1DED63"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）在法律法规和本基金合同规定的范围内调低基金的销售服务费率或变更收费方式；</w:t>
      </w:r>
    </w:p>
    <w:p w14:paraId="4628F3B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4</w:t>
      </w:r>
      <w:r w:rsidRPr="00E97AFD">
        <w:rPr>
          <w:rFonts w:asciiTheme="minorEastAsia" w:eastAsiaTheme="minorEastAsia" w:hAnsiTheme="minorEastAsia" w:hint="eastAsia"/>
          <w:bCs/>
          <w:szCs w:val="21"/>
        </w:rPr>
        <w:t>）因相应的法律法规发生变动而应当对《基金合同》进行修改；</w:t>
      </w:r>
    </w:p>
    <w:p w14:paraId="2C1B6E68"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5</w:t>
      </w:r>
      <w:r w:rsidRPr="00E97AFD">
        <w:rPr>
          <w:rFonts w:asciiTheme="minorEastAsia" w:eastAsiaTheme="minorEastAsia" w:hAnsiTheme="minorEastAsia" w:hint="eastAsia"/>
          <w:bCs/>
          <w:szCs w:val="21"/>
        </w:rPr>
        <w:t>）对《基金合同》的修改对基金份额持有人利益无实质性不利影响或修改不涉及《基金合同》当事人权利义务关系发生重大变化；</w:t>
      </w:r>
    </w:p>
    <w:p w14:paraId="33674FF8"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6</w:t>
      </w:r>
      <w:r w:rsidRPr="00E97AFD">
        <w:rPr>
          <w:rFonts w:asciiTheme="minorEastAsia" w:eastAsiaTheme="minorEastAsia" w:hAnsiTheme="minorEastAsia" w:hint="eastAsia"/>
          <w:bCs/>
          <w:szCs w:val="21"/>
        </w:rPr>
        <w:t>）当影子定价确定的基金资产净值与摊余成本法计算的基金资产净值的负偏离度绝对值连续两个交易日超过</w:t>
      </w:r>
      <w:r w:rsidRPr="00E97AFD">
        <w:rPr>
          <w:rFonts w:asciiTheme="minorEastAsia" w:eastAsiaTheme="minorEastAsia" w:hAnsiTheme="minorEastAsia"/>
          <w:bCs/>
          <w:szCs w:val="21"/>
        </w:rPr>
        <w:t>0.5%</w:t>
      </w:r>
      <w:r w:rsidRPr="00E97AFD">
        <w:rPr>
          <w:rFonts w:asciiTheme="minorEastAsia" w:eastAsiaTheme="minorEastAsia" w:hAnsiTheme="minorEastAsia" w:hint="eastAsia"/>
          <w:bCs/>
          <w:szCs w:val="21"/>
        </w:rPr>
        <w:t>，且基金管理人决定暂停接受所有赎回申请并终止基金合同，则基金合同将根据第十九部分的约定进行基金财产清算并终止。</w:t>
      </w:r>
    </w:p>
    <w:p w14:paraId="1D739BD0"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7</w:t>
      </w:r>
      <w:r w:rsidRPr="00E97AFD">
        <w:rPr>
          <w:rFonts w:asciiTheme="minorEastAsia" w:eastAsiaTheme="minorEastAsia" w:hAnsiTheme="minorEastAsia" w:hint="eastAsia"/>
          <w:bCs/>
          <w:szCs w:val="21"/>
        </w:rPr>
        <w:t>）按照法律法规和《基金合同》规定不需召开基金份额持有人大会的以外的其他情形。</w:t>
      </w:r>
    </w:p>
    <w:p w14:paraId="772D2F4F"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（二）会议召集人及召集方式</w:t>
      </w:r>
    </w:p>
    <w:p w14:paraId="1B7CE51C"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、除法律法规规定或《基金合同》另有约定外，基金份额持有人大会由基金管理人召集；</w:t>
      </w:r>
    </w:p>
    <w:p w14:paraId="216E1CF2"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、基金管理人未按规定召集或不能召开时，由基金托管人召集；</w:t>
      </w:r>
    </w:p>
    <w:p w14:paraId="1859251E" w14:textId="4E282E1E"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、基金托管人认为有必要召开基金份额持有人大会的，应当向基金管理人提出书面提议。基金管理人应当自收到书面提议之日起</w:t>
      </w: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日内决定是否召集，并书面告知基金托管人。基金管理人决定召集的，应当自出具书面决定之日起</w:t>
      </w:r>
    </w:p>
    <w:p w14:paraId="2EF1A207"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60</w:t>
      </w:r>
      <w:r w:rsidRPr="00E97AFD">
        <w:rPr>
          <w:rFonts w:asciiTheme="minorEastAsia" w:eastAsiaTheme="minorEastAsia" w:hAnsiTheme="minorEastAsia" w:hint="eastAsia"/>
          <w:bCs/>
          <w:szCs w:val="21"/>
        </w:rPr>
        <w:t>日内召开；基金管理人决定不召集，基金托管人仍认为有必要召开的，应当由基金托管人自行召集。</w:t>
      </w:r>
    </w:p>
    <w:p w14:paraId="06E1ADE1"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4</w:t>
      </w:r>
      <w:r w:rsidRPr="00E97AFD">
        <w:rPr>
          <w:rFonts w:asciiTheme="minorEastAsia" w:eastAsiaTheme="minorEastAsia" w:hAnsiTheme="minorEastAsia" w:hint="eastAsia"/>
          <w:bCs/>
          <w:szCs w:val="21"/>
        </w:rPr>
        <w:t>、代表基金份额</w:t>
      </w: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以上（含</w:t>
      </w: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）的基金份额持有人就同一事项书面要求召开基金份额持有人大会，应当向基金管理人提出书面提议。基金管理人应当自收到书面提议之日起</w:t>
      </w: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日内决定是否召集，并书面告知提出提议的基金份额持有人代表和基金托管人。基金管理人决定召集的，应当自出具书面决定之日起</w:t>
      </w:r>
    </w:p>
    <w:p w14:paraId="1AD84138"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60</w:t>
      </w:r>
      <w:r w:rsidRPr="00E97AFD">
        <w:rPr>
          <w:rFonts w:asciiTheme="minorEastAsia" w:eastAsiaTheme="minorEastAsia" w:hAnsiTheme="minorEastAsia" w:hint="eastAsia"/>
          <w:bCs/>
          <w:szCs w:val="21"/>
        </w:rPr>
        <w:t>日内召开；基金管理人决定不召集，代表基金份额</w:t>
      </w: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以上（含</w:t>
      </w: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）的基金份额持有人仍认为有必要召开的，应当向基金托管人提出书面提议。基金托管人应当自收到书面提议之日起</w:t>
      </w: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日内决定是否召集，并书面告知提出提议的基金份额持有人代表和基金管理人；</w:t>
      </w:r>
      <w:r w:rsidRPr="00E97AFD">
        <w:rPr>
          <w:rFonts w:asciiTheme="minorEastAsia" w:eastAsiaTheme="minorEastAsia" w:hAnsiTheme="minorEastAsia" w:hint="eastAsia"/>
          <w:bCs/>
          <w:szCs w:val="21"/>
        </w:rPr>
        <w:lastRenderedPageBreak/>
        <w:t>基金托管人决定召集的，应当自出具书面决定之日起</w:t>
      </w:r>
      <w:r w:rsidRPr="00E97AFD">
        <w:rPr>
          <w:rFonts w:asciiTheme="minorEastAsia" w:eastAsiaTheme="minorEastAsia" w:hAnsiTheme="minorEastAsia"/>
          <w:bCs/>
          <w:szCs w:val="21"/>
        </w:rPr>
        <w:t>60</w:t>
      </w:r>
      <w:r w:rsidRPr="00E97AFD">
        <w:rPr>
          <w:rFonts w:asciiTheme="minorEastAsia" w:eastAsiaTheme="minorEastAsia" w:hAnsiTheme="minorEastAsia" w:hint="eastAsia"/>
          <w:bCs/>
          <w:szCs w:val="21"/>
        </w:rPr>
        <w:t>日内召开。</w:t>
      </w:r>
    </w:p>
    <w:p w14:paraId="754AC8D3"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5</w:t>
      </w:r>
      <w:r w:rsidRPr="00E97AFD">
        <w:rPr>
          <w:rFonts w:asciiTheme="minorEastAsia" w:eastAsiaTheme="minorEastAsia" w:hAnsiTheme="minorEastAsia" w:hint="eastAsia"/>
          <w:bCs/>
          <w:szCs w:val="21"/>
        </w:rPr>
        <w:t>、代表基金份额</w:t>
      </w: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以上（含</w:t>
      </w: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）的基金份额持有人就同一事项要求召开基金份额持有人大会，而基金管理人、基金托管人都不召集的，单独或合计代表基金份额</w:t>
      </w: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以上（含</w:t>
      </w: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）的基金份额持有人有权自行召集，并至少提前</w:t>
      </w:r>
      <w:r w:rsidRPr="00E97AFD">
        <w:rPr>
          <w:rFonts w:asciiTheme="minorEastAsia" w:eastAsiaTheme="minorEastAsia" w:hAnsiTheme="minorEastAsia"/>
          <w:bCs/>
          <w:szCs w:val="21"/>
        </w:rPr>
        <w:t>30</w:t>
      </w:r>
      <w:r w:rsidRPr="00E97AFD">
        <w:rPr>
          <w:rFonts w:asciiTheme="minorEastAsia" w:eastAsiaTheme="minorEastAsia" w:hAnsiTheme="minorEastAsia" w:hint="eastAsia"/>
          <w:bCs/>
          <w:szCs w:val="21"/>
        </w:rPr>
        <w:t>日报中国证监会备案。基金份额持有人依法自行召集基金份额持有人大会的，基金管理人、基金托管人应当配合，不得阻碍、干扰。</w:t>
      </w:r>
    </w:p>
    <w:p w14:paraId="51072B6E"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6</w:t>
      </w:r>
      <w:r w:rsidRPr="00E97AFD">
        <w:rPr>
          <w:rFonts w:asciiTheme="minorEastAsia" w:eastAsiaTheme="minorEastAsia" w:hAnsiTheme="minorEastAsia" w:hint="eastAsia"/>
          <w:bCs/>
          <w:szCs w:val="21"/>
        </w:rPr>
        <w:t>、基金份额持有人会议的召集人负责选择确定开会时间、地点、方式和权益登记日。</w:t>
      </w:r>
    </w:p>
    <w:p w14:paraId="1B1A00A4"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（三）召开基金份额持有人大会的通知时间、通知内容、通知方式</w:t>
      </w:r>
    </w:p>
    <w:p w14:paraId="4F9759B6"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、召开基金份额持有人大会，召集人应于会议召开前</w:t>
      </w:r>
      <w:r w:rsidRPr="00E97AFD">
        <w:rPr>
          <w:rFonts w:asciiTheme="minorEastAsia" w:eastAsiaTheme="minorEastAsia" w:hAnsiTheme="minorEastAsia"/>
          <w:bCs/>
          <w:szCs w:val="21"/>
        </w:rPr>
        <w:t>30</w:t>
      </w:r>
      <w:r w:rsidRPr="00E97AFD">
        <w:rPr>
          <w:rFonts w:asciiTheme="minorEastAsia" w:eastAsiaTheme="minorEastAsia" w:hAnsiTheme="minorEastAsia" w:hint="eastAsia"/>
          <w:bCs/>
          <w:szCs w:val="21"/>
        </w:rPr>
        <w:t>日，在指定媒介公告。基金份额持有人大会通知应至少载明以下内容：</w:t>
      </w:r>
    </w:p>
    <w:p w14:paraId="7C59758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）会议召开的时间、地点和会议形式；</w:t>
      </w:r>
    </w:p>
    <w:p w14:paraId="0EFFABA5"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）会议拟审议的事项、议事程序和表决方式；</w:t>
      </w:r>
    </w:p>
    <w:p w14:paraId="01689184"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）有权出席基金份额持有人大会的基金份额持有人的权益登记日；</w:t>
      </w:r>
    </w:p>
    <w:p w14:paraId="23A32DC0"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4</w:t>
      </w:r>
      <w:r w:rsidRPr="00E97AFD">
        <w:rPr>
          <w:rFonts w:asciiTheme="minorEastAsia" w:eastAsiaTheme="minorEastAsia" w:hAnsiTheme="minorEastAsia" w:hint="eastAsia"/>
          <w:bCs/>
          <w:szCs w:val="21"/>
        </w:rPr>
        <w:t>）授权委托证明的内容要求（包括但不限于代理人身份，代理权限和代理有效期限等）、送达时间和地点</w:t>
      </w:r>
      <w:r w:rsidRPr="00E97AFD">
        <w:rPr>
          <w:rFonts w:asciiTheme="minorEastAsia" w:eastAsiaTheme="minorEastAsia" w:hAnsiTheme="minorEastAsia"/>
          <w:bCs/>
          <w:szCs w:val="21"/>
        </w:rPr>
        <w:t>;</w:t>
      </w:r>
    </w:p>
    <w:p w14:paraId="461EEC74"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5</w:t>
      </w:r>
      <w:r w:rsidRPr="00E97AFD">
        <w:rPr>
          <w:rFonts w:asciiTheme="minorEastAsia" w:eastAsiaTheme="minorEastAsia" w:hAnsiTheme="minorEastAsia" w:hint="eastAsia"/>
          <w:bCs/>
          <w:szCs w:val="21"/>
        </w:rPr>
        <w:t>）会务常设联系人姓名及联系电话；</w:t>
      </w:r>
    </w:p>
    <w:p w14:paraId="2B61EAFB"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6</w:t>
      </w:r>
      <w:r w:rsidRPr="00E97AFD">
        <w:rPr>
          <w:rFonts w:asciiTheme="minorEastAsia" w:eastAsiaTheme="minorEastAsia" w:hAnsiTheme="minorEastAsia" w:hint="eastAsia"/>
          <w:bCs/>
          <w:szCs w:val="21"/>
        </w:rPr>
        <w:t>）出席会议者必须准备的文件和必须履行的手续；</w:t>
      </w:r>
    </w:p>
    <w:p w14:paraId="66807041"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7</w:t>
      </w:r>
      <w:r w:rsidRPr="00E97AFD">
        <w:rPr>
          <w:rFonts w:asciiTheme="minorEastAsia" w:eastAsiaTheme="minorEastAsia" w:hAnsiTheme="minorEastAsia" w:hint="eastAsia"/>
          <w:bCs/>
          <w:szCs w:val="21"/>
        </w:rPr>
        <w:t>）召集人需要通知的其他事项。</w:t>
      </w:r>
    </w:p>
    <w:p w14:paraId="685F5BFB"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D589B61"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3B4DA0FF"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（四）基金份额持有人出席会议的方式</w:t>
      </w:r>
    </w:p>
    <w:p w14:paraId="2C26186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基金份额持有人大会可通过现场开会方式、通讯开会方式及法律法规、中国证监会允许的其他方式召开，会议的召开方式由会议召集人确定。</w:t>
      </w:r>
    </w:p>
    <w:p w14:paraId="4C83D381"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、现场开会。由基金份额持有人本人出席或以代理投票授权委托证明委派代表出席，</w:t>
      </w:r>
      <w:r w:rsidRPr="00E97AFD">
        <w:rPr>
          <w:rFonts w:asciiTheme="minorEastAsia" w:eastAsiaTheme="minorEastAsia" w:hAnsiTheme="minorEastAsia" w:hint="eastAsia"/>
          <w:bCs/>
          <w:szCs w:val="21"/>
        </w:rPr>
        <w:lastRenderedPageBreak/>
        <w:t>现场开会时基金管理人和基金托管人的授权代表应当列席基金份额持有人大会，基金管理人或托管人不派代表列席的，不影响表决效力。现场开会同时符合以下条件时，可以进行基金份额持有人大会议程：</w:t>
      </w:r>
    </w:p>
    <w:p w14:paraId="7855E7C2"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亲自出席会议者持有有关证明文件、受托出席会议者出示的委托人的代理投票授权委托证明及有关证明文件符合法律法规、《基金合同》和会议通知的规定，并且持有基金份额的凭证与基金管理人持有的登记资料相符；</w:t>
      </w:r>
    </w:p>
    <w:p w14:paraId="12A8ECE6"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）经核对，到会者在权益登记日代表的有效的基金份额不少于本基金在权益登记日基金总份额的</w:t>
      </w:r>
      <w:r w:rsidRPr="00E97AFD">
        <w:rPr>
          <w:rFonts w:asciiTheme="minorEastAsia" w:eastAsiaTheme="minorEastAsia" w:hAnsiTheme="minorEastAsia"/>
          <w:bCs/>
          <w:szCs w:val="21"/>
        </w:rPr>
        <w:t>50%</w:t>
      </w:r>
      <w:r w:rsidRPr="00E97AFD">
        <w:rPr>
          <w:rFonts w:asciiTheme="minorEastAsia" w:eastAsiaTheme="minorEastAsia" w:hAnsiTheme="minorEastAsia" w:hint="eastAsia"/>
          <w:bCs/>
          <w:szCs w:val="21"/>
        </w:rPr>
        <w:t>（含</w:t>
      </w:r>
      <w:r w:rsidRPr="00E97AFD">
        <w:rPr>
          <w:rFonts w:asciiTheme="minorEastAsia" w:eastAsiaTheme="minorEastAsia" w:hAnsiTheme="minorEastAsia"/>
          <w:bCs/>
          <w:szCs w:val="21"/>
        </w:rPr>
        <w:t>50%</w:t>
      </w:r>
      <w:r w:rsidRPr="00E97AFD">
        <w:rPr>
          <w:rFonts w:asciiTheme="minorEastAsia" w:eastAsiaTheme="minorEastAsia" w:hAnsiTheme="minorEastAsia" w:hint="eastAsia"/>
          <w:bCs/>
          <w:szCs w:val="21"/>
        </w:rPr>
        <w:t>）。</w:t>
      </w:r>
    </w:p>
    <w:p w14:paraId="7594EAEC"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、通讯开会。通讯开会系指基金份额持有人将其对表决事项的投票以书面形式在表决截至日以前送达至召集人指定的地址。通讯开会应以书面方式进行表决。</w:t>
      </w:r>
    </w:p>
    <w:p w14:paraId="6D0568DA"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在同时符合以下条件时，通讯开会的方式视为有效：</w:t>
      </w:r>
    </w:p>
    <w:p w14:paraId="03945CA0"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）会议召集人按《基金合同》约定公布会议通知后，在</w:t>
      </w: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个工作日内连续公布相关提示性公告；</w:t>
      </w:r>
    </w:p>
    <w:p w14:paraId="6DB2091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2149711"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）本人直接出具书面意见或授权他人代表出具书面意见的，基金份额持有人所持有的基金份额不小于在权益登记日基金总份额的</w:t>
      </w:r>
      <w:r w:rsidRPr="00E97AFD">
        <w:rPr>
          <w:rFonts w:asciiTheme="minorEastAsia" w:eastAsiaTheme="minorEastAsia" w:hAnsiTheme="minorEastAsia"/>
          <w:bCs/>
          <w:szCs w:val="21"/>
        </w:rPr>
        <w:t>50%</w:t>
      </w:r>
      <w:r w:rsidRPr="00E97AFD">
        <w:rPr>
          <w:rFonts w:asciiTheme="minorEastAsia" w:eastAsiaTheme="minorEastAsia" w:hAnsiTheme="minorEastAsia" w:hint="eastAsia"/>
          <w:bCs/>
          <w:szCs w:val="21"/>
        </w:rPr>
        <w:t>（含</w:t>
      </w:r>
      <w:r w:rsidRPr="00E97AFD">
        <w:rPr>
          <w:rFonts w:asciiTheme="minorEastAsia" w:eastAsiaTheme="minorEastAsia" w:hAnsiTheme="minorEastAsia"/>
          <w:bCs/>
          <w:szCs w:val="21"/>
        </w:rPr>
        <w:t>50%</w:t>
      </w:r>
      <w:r w:rsidRPr="00E97AFD">
        <w:rPr>
          <w:rFonts w:asciiTheme="minorEastAsia" w:eastAsiaTheme="minorEastAsia" w:hAnsiTheme="minorEastAsia" w:hint="eastAsia"/>
          <w:bCs/>
          <w:szCs w:val="21"/>
        </w:rPr>
        <w:t>）；</w:t>
      </w:r>
    </w:p>
    <w:p w14:paraId="4AF458FE"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4</w:t>
      </w:r>
      <w:r w:rsidRPr="00E97AFD">
        <w:rPr>
          <w:rFonts w:asciiTheme="minorEastAsia" w:eastAsiaTheme="minorEastAsia" w:hAnsiTheme="minorEastAsia" w:hint="eastAsia"/>
          <w:bCs/>
          <w:szCs w:val="21"/>
        </w:rPr>
        <w:t>）上述第（</w:t>
      </w: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14:paraId="1B06DEBE"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、重新召集基金份额持有人大会的条件</w:t>
      </w:r>
    </w:p>
    <w:p w14:paraId="719BEA06"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基金份额持有人大会应当有代表二分之一以上基金份额的持有人参加，方可召开。</w:t>
      </w:r>
    </w:p>
    <w:p w14:paraId="056DE191"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6373350A"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lastRenderedPageBreak/>
        <w:t>4</w:t>
      </w:r>
      <w:r w:rsidRPr="00E97AFD">
        <w:rPr>
          <w:rFonts w:asciiTheme="minorEastAsia" w:eastAsiaTheme="minorEastAsia" w:hAnsiTheme="minorEastAsia"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55C6B7C5"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5</w:t>
      </w:r>
      <w:r w:rsidRPr="00E97AFD">
        <w:rPr>
          <w:rFonts w:asciiTheme="minorEastAsia" w:eastAsiaTheme="minorEastAsia" w:hAnsiTheme="minorEastAsia" w:hint="eastAsia"/>
          <w:bCs/>
          <w:szCs w:val="21"/>
        </w:rPr>
        <w:t>、基金份额持有人授权他人代为出席会议并表决的，授权方式可以采用书面、网络、电话、短信或其他方式，具体方式在会议通知中列明。</w:t>
      </w:r>
    </w:p>
    <w:p w14:paraId="4384D310"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（五）议事内容与程序</w:t>
      </w:r>
    </w:p>
    <w:p w14:paraId="59A1E620"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、议事内容及提案权</w:t>
      </w:r>
    </w:p>
    <w:p w14:paraId="3306473F"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2E80BC3"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基金份额持有人大会的召集人发出召集会议的通知后，对原有提案的修改应当在基金份额持有人大会召开前及时公告。</w:t>
      </w:r>
    </w:p>
    <w:p w14:paraId="6B180371"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基金份额持有人大会不得对未事先公告的议事内容进行表决。</w:t>
      </w:r>
    </w:p>
    <w:p w14:paraId="1348EA75"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、议事程序</w:t>
      </w:r>
    </w:p>
    <w:p w14:paraId="6F574D43"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）现场开会</w:t>
      </w:r>
    </w:p>
    <w:p w14:paraId="033BFD7A"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97AFD">
        <w:rPr>
          <w:rFonts w:asciiTheme="minorEastAsia" w:eastAsiaTheme="minorEastAsia" w:hAnsiTheme="minorEastAsia"/>
          <w:bCs/>
          <w:szCs w:val="21"/>
        </w:rPr>
        <w:t>50%</w:t>
      </w:r>
      <w:r w:rsidRPr="00E97AFD">
        <w:rPr>
          <w:rFonts w:asciiTheme="minorEastAsia" w:eastAsiaTheme="minorEastAsia" w:hAnsiTheme="minorEastAsia" w:hint="eastAsia"/>
          <w:bCs/>
          <w:szCs w:val="21"/>
        </w:rPr>
        <w:t>以上（含</w:t>
      </w:r>
      <w:r w:rsidRPr="00E97AFD">
        <w:rPr>
          <w:rFonts w:asciiTheme="minorEastAsia" w:eastAsiaTheme="minorEastAsia" w:hAnsiTheme="minorEastAsia"/>
          <w:bCs/>
          <w:szCs w:val="21"/>
        </w:rPr>
        <w:t>50%</w:t>
      </w:r>
      <w:r w:rsidRPr="00E97AFD">
        <w:rPr>
          <w:rFonts w:asciiTheme="minorEastAsia" w:eastAsiaTheme="minorEastAsia" w:hAnsiTheme="minorEastAsia" w:hint="eastAsia"/>
          <w:bCs/>
          <w:szCs w:val="21"/>
        </w:rPr>
        <w:t>）选举产生一名基金份额持有人作为该次基金份额持有人大会的主持人。基金管理人和基金托管人拒不出席或主持基金份额持有人大会，不影响基金份额持有人大会作出的决议的效力。</w:t>
      </w:r>
    </w:p>
    <w:p w14:paraId="2F77E7CB"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会议召集人应当制作出席会议人员的签名册。签名册载明参加会议人员姓名（或单位名称）、身份证明文件号码、持有或代表有表决权的基金份额、委托人姓名（或单位名称）和联系方式等事项。</w:t>
      </w:r>
    </w:p>
    <w:p w14:paraId="2604329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）通讯开会</w:t>
      </w:r>
    </w:p>
    <w:p w14:paraId="0A166FAE"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在通讯开会的情况下，首先由召集人提前</w:t>
      </w:r>
      <w:r w:rsidRPr="00E97AFD">
        <w:rPr>
          <w:rFonts w:asciiTheme="minorEastAsia" w:eastAsiaTheme="minorEastAsia" w:hAnsiTheme="minorEastAsia"/>
          <w:bCs/>
          <w:szCs w:val="21"/>
        </w:rPr>
        <w:t>30</w:t>
      </w:r>
      <w:r w:rsidRPr="00E97AFD">
        <w:rPr>
          <w:rFonts w:asciiTheme="minorEastAsia" w:eastAsiaTheme="minorEastAsia" w:hAnsiTheme="minorEastAsia" w:hint="eastAsia"/>
          <w:bCs/>
          <w:szCs w:val="21"/>
        </w:rPr>
        <w:t>日公布提案，在所通知的表决截止日期后</w:t>
      </w: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个工作日内在公证机关监督下由召集人统计全部有效表决，在公证机关监督下形成决议。</w:t>
      </w:r>
    </w:p>
    <w:p w14:paraId="19C713FF"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（六）表决</w:t>
      </w:r>
    </w:p>
    <w:p w14:paraId="0556D071"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基金份额持有人所持每份基金份额有一票表决权。</w:t>
      </w:r>
    </w:p>
    <w:p w14:paraId="6E87385E"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lastRenderedPageBreak/>
        <w:t>基金份额持有人大会决议分为一般决议和特别决议：</w:t>
      </w:r>
    </w:p>
    <w:p w14:paraId="548A6CA0"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、一般决议，一般决议须经参加大会的基金份额持有人或其代理人所持表决权的</w:t>
      </w:r>
      <w:r w:rsidRPr="00E97AFD">
        <w:rPr>
          <w:rFonts w:asciiTheme="minorEastAsia" w:eastAsiaTheme="minorEastAsia" w:hAnsiTheme="minorEastAsia"/>
          <w:bCs/>
          <w:szCs w:val="21"/>
        </w:rPr>
        <w:t>50%</w:t>
      </w:r>
      <w:r w:rsidRPr="00E97AFD">
        <w:rPr>
          <w:rFonts w:asciiTheme="minorEastAsia" w:eastAsiaTheme="minorEastAsia" w:hAnsiTheme="minorEastAsia" w:hint="eastAsia"/>
          <w:bCs/>
          <w:szCs w:val="21"/>
        </w:rPr>
        <w:t>以上（含</w:t>
      </w:r>
      <w:r w:rsidRPr="00E97AFD">
        <w:rPr>
          <w:rFonts w:asciiTheme="minorEastAsia" w:eastAsiaTheme="minorEastAsia" w:hAnsiTheme="minorEastAsia"/>
          <w:bCs/>
          <w:szCs w:val="21"/>
        </w:rPr>
        <w:t>50%</w:t>
      </w:r>
      <w:r w:rsidRPr="00E97AFD">
        <w:rPr>
          <w:rFonts w:asciiTheme="minorEastAsia" w:eastAsiaTheme="minorEastAsia" w:hAnsiTheme="minorEastAsia" w:hint="eastAsia"/>
          <w:bCs/>
          <w:szCs w:val="21"/>
        </w:rPr>
        <w:t>）通过方为有效；除下列第</w:t>
      </w: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项所规定的须以特别决议通过事项以外的其他事项均以一般决议的方式通过。</w:t>
      </w:r>
    </w:p>
    <w:p w14:paraId="5D762757"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特别决议，特别决议应当经参加大会的基金份额持有人或其代理人所持表决权的三分之二以上（含三分之二）通过方可做出。除基金合同另有约定外，转换基金运作方式、更换基金管理人或者基金托管人、终止《基金合同》、与其他基金合并以特别决议通过方为有效。</w:t>
      </w:r>
    </w:p>
    <w:p w14:paraId="18D0200E"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基金份额持有人大会采取记名方式进行投票表决。</w:t>
      </w:r>
    </w:p>
    <w:p w14:paraId="036A7EB3"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78B42B0"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基金份额持有人大会的各项提案或同一项提案内并列的各项议题应当分开审议、逐项表决。</w:t>
      </w:r>
    </w:p>
    <w:p w14:paraId="248A337B"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（七）计票</w:t>
      </w:r>
    </w:p>
    <w:p w14:paraId="64E5AB7B"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、现场开会</w:t>
      </w:r>
    </w:p>
    <w:p w14:paraId="59F0778E"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92775AC"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）监票人应当在基金份额持有人表决后立即进行清点并由大会主持人当场公布计票结果。</w:t>
      </w:r>
    </w:p>
    <w:p w14:paraId="79DA47AF"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5FCFCAF"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4</w:t>
      </w:r>
      <w:r w:rsidRPr="00E97AFD">
        <w:rPr>
          <w:rFonts w:asciiTheme="minorEastAsia" w:eastAsiaTheme="minorEastAsia" w:hAnsiTheme="minorEastAsia" w:hint="eastAsia"/>
          <w:bCs/>
          <w:szCs w:val="21"/>
        </w:rPr>
        <w:t>）计票过程应由公证机关予以公证</w:t>
      </w:r>
      <w:r w:rsidRPr="00E97AFD">
        <w:rPr>
          <w:rFonts w:asciiTheme="minorEastAsia" w:eastAsiaTheme="minorEastAsia" w:hAnsiTheme="minorEastAsia"/>
          <w:bCs/>
          <w:szCs w:val="21"/>
        </w:rPr>
        <w:t>,</w:t>
      </w:r>
      <w:r w:rsidRPr="00E97AFD">
        <w:rPr>
          <w:rFonts w:asciiTheme="minorEastAsia" w:eastAsiaTheme="minorEastAsia" w:hAnsiTheme="minorEastAsia" w:hint="eastAsia"/>
          <w:bCs/>
          <w:szCs w:val="21"/>
        </w:rPr>
        <w:t>基金管理人或基金托管人拒不出席大会的，不影响计票的效力。</w:t>
      </w:r>
    </w:p>
    <w:p w14:paraId="1576A603"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lastRenderedPageBreak/>
        <w:t>2</w:t>
      </w:r>
      <w:r w:rsidRPr="00E97AFD">
        <w:rPr>
          <w:rFonts w:asciiTheme="minorEastAsia" w:eastAsiaTheme="minorEastAsia" w:hAnsiTheme="minorEastAsia" w:hint="eastAsia"/>
          <w:bCs/>
          <w:szCs w:val="21"/>
        </w:rPr>
        <w:t>、通讯开会</w:t>
      </w:r>
    </w:p>
    <w:p w14:paraId="03CB6BCE"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2DF35F7B"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（八）生效与公告</w:t>
      </w:r>
    </w:p>
    <w:p w14:paraId="6CA2BA83"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基金份额持有人大会的决议，召集人应当自通过之日起</w:t>
      </w:r>
      <w:r w:rsidRPr="00E97AFD">
        <w:rPr>
          <w:rFonts w:asciiTheme="minorEastAsia" w:eastAsiaTheme="minorEastAsia" w:hAnsiTheme="minorEastAsia"/>
          <w:bCs/>
          <w:szCs w:val="21"/>
        </w:rPr>
        <w:t>5</w:t>
      </w:r>
      <w:r w:rsidRPr="00E97AFD">
        <w:rPr>
          <w:rFonts w:asciiTheme="minorEastAsia" w:eastAsiaTheme="minorEastAsia" w:hAnsiTheme="minorEastAsia" w:hint="eastAsia"/>
          <w:bCs/>
          <w:szCs w:val="21"/>
        </w:rPr>
        <w:t>日内报中国证监会核准或者备案。</w:t>
      </w:r>
    </w:p>
    <w:p w14:paraId="39DA22B6"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基金份额持有人大会的决议自中国证监会依法完成备案之日起生效。</w:t>
      </w:r>
    </w:p>
    <w:p w14:paraId="007261FC"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基金份额持有人大会决议自生效之日起</w:t>
      </w: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日内在指定媒介上公告。如果采用通讯方式进行表决，在公告基金份额持有人大会决议时，必须将公证书全文、公证机构、公证员姓名等一同公告。</w:t>
      </w:r>
    </w:p>
    <w:p w14:paraId="3F25A70F"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2286D23A" w14:textId="77777777" w:rsidR="006B018F" w:rsidRPr="00E97AFD" w:rsidRDefault="006B018F" w:rsidP="006B018F">
      <w:pPr>
        <w:spacing w:line="360" w:lineRule="auto"/>
        <w:ind w:firstLineChars="200" w:firstLine="420"/>
        <w:rPr>
          <w:rFonts w:asciiTheme="minorEastAsia" w:eastAsiaTheme="minorEastAsia" w:hAnsiTheme="minorEastAsia" w:cs="宋体"/>
          <w:kern w:val="0"/>
          <w:szCs w:val="21"/>
          <w:shd w:val="clear" w:color="auto" w:fill="FFFFFF"/>
        </w:rPr>
      </w:pPr>
      <w:r w:rsidRPr="00E97AFD">
        <w:rPr>
          <w:rFonts w:asciiTheme="minorEastAsia" w:eastAsiaTheme="minorEastAsia" w:hAnsiTheme="minorEastAsia" w:cs="宋体" w:hint="eastAsia"/>
          <w:kern w:val="0"/>
          <w:szCs w:val="21"/>
          <w:shd w:val="clear" w:color="auto" w:fill="FFFFFF"/>
        </w:rPr>
        <w:t>三、基金收益分配原则、执行方式</w:t>
      </w:r>
    </w:p>
    <w:p w14:paraId="293BCFF7" w14:textId="77777777" w:rsidR="006B018F" w:rsidRPr="00E97AFD" w:rsidRDefault="006B018F" w:rsidP="006B018F">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w:t>
      </w:r>
      <w:r w:rsidRPr="00E97AFD">
        <w:rPr>
          <w:rFonts w:asciiTheme="minorEastAsia" w:eastAsiaTheme="minorEastAsia" w:hAnsiTheme="minorEastAsia" w:hint="eastAsia"/>
          <w:szCs w:val="21"/>
        </w:rPr>
        <w:t>一</w:t>
      </w:r>
      <w:r w:rsidRPr="00E97AFD">
        <w:rPr>
          <w:rFonts w:asciiTheme="minorEastAsia" w:eastAsiaTheme="minorEastAsia" w:hAnsiTheme="minorEastAsia"/>
          <w:szCs w:val="21"/>
        </w:rPr>
        <w:t>)基金利润的构成</w:t>
      </w:r>
    </w:p>
    <w:p w14:paraId="76A608D9" w14:textId="77777777" w:rsidR="006B018F" w:rsidRPr="00E97AFD" w:rsidRDefault="006B018F" w:rsidP="006B018F">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基金利润指基金利息收入、投资收益、公允价值变动收益和其他收入扣除相关费用后的余额；基金已实现收益指基金利润减去公允价值变动损益后的余额。</w:t>
      </w:r>
    </w:p>
    <w:p w14:paraId="5AAE7008" w14:textId="77777777" w:rsidR="006B018F" w:rsidRPr="00E97AFD" w:rsidRDefault="006B018F" w:rsidP="006B018F">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(二)收益分配原则</w:t>
      </w:r>
    </w:p>
    <w:p w14:paraId="710CBED7" w14:textId="77777777" w:rsidR="006B018F" w:rsidRPr="00E97AFD" w:rsidRDefault="006B018F" w:rsidP="006B018F">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本基金收益分配应遵循下列原则：</w:t>
      </w:r>
    </w:p>
    <w:p w14:paraId="11023971" w14:textId="77777777" w:rsidR="006B018F" w:rsidRPr="00E97AFD" w:rsidRDefault="006B018F" w:rsidP="006B018F">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1.本基金同一类别内的每份基金份额享有同等分配权；</w:t>
      </w:r>
    </w:p>
    <w:p w14:paraId="1D6256EE" w14:textId="77777777" w:rsidR="006B018F" w:rsidRPr="00E97AFD" w:rsidRDefault="006B018F" w:rsidP="006B018F">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2.本基金收益分配方式为红利再投资，免收再投资的费用；</w:t>
      </w:r>
    </w:p>
    <w:p w14:paraId="60ADA8BF" w14:textId="767E1FE5" w:rsidR="006B018F" w:rsidRPr="00E97AFD" w:rsidRDefault="006B018F" w:rsidP="006B018F">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3.本基金根据每日基金收益情况，以基金已实现收益为基准，为投资人每日计算当日收益并分配（该收益将会计确认为实收基金，参与下一日的收益分配）。通常情况下，本基金的收益支付方式为按月支付，对于可支持按日支付的销售机构，本基金的收益支付方式经基金管理人和销售机构双方协商一致后可以按日支付。不论何种支付方式，当日收益均参与下一日的收益分配，不影响基金份额持有人实际获得的投资收益。投资人当日收益分配的计算保留到小数点后2位，小数点后第3</w:t>
      </w:r>
      <w:r w:rsidRPr="00E97AFD">
        <w:rPr>
          <w:rFonts w:asciiTheme="minorEastAsia" w:eastAsiaTheme="minorEastAsia" w:hAnsiTheme="minorEastAsia" w:hint="eastAsia"/>
          <w:szCs w:val="21"/>
        </w:rPr>
        <w:t>位按去尾原则处理，因去尾形成的余额进行再次分配，直到分完为止；</w:t>
      </w:r>
    </w:p>
    <w:p w14:paraId="012FA1C0" w14:textId="77777777" w:rsidR="006B018F" w:rsidRPr="00E97AFD" w:rsidRDefault="006B018F" w:rsidP="006B018F">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lastRenderedPageBreak/>
        <w:t>4.本基金根据每日收益情况，将当日收益全部分配，若当日已实现收益大于零时，为</w:t>
      </w:r>
      <w:r w:rsidRPr="00E97AFD">
        <w:rPr>
          <w:rFonts w:asciiTheme="minorEastAsia" w:eastAsiaTheme="minorEastAsia" w:hAnsiTheme="minorEastAsia" w:hint="eastAsia"/>
          <w:szCs w:val="21"/>
        </w:rPr>
        <w:t>投资人记正收益；若当日已实现收益小于零时，为投资人记负收益；若当日已实现收益等于零时，当日投资人不记收益；</w:t>
      </w:r>
    </w:p>
    <w:p w14:paraId="1B5CE79E" w14:textId="77777777" w:rsidR="006B018F" w:rsidRPr="00E97AFD" w:rsidRDefault="006B018F" w:rsidP="006B018F">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5.本基金每日进行收益计算并分配时，定期累计收益支付方式只采用红利再投资(即红利</w:t>
      </w:r>
      <w:r w:rsidRPr="00E97AFD">
        <w:rPr>
          <w:rFonts w:asciiTheme="minorEastAsia" w:eastAsiaTheme="minorEastAsia" w:hAnsiTheme="minorEastAsia" w:hint="eastAsia"/>
          <w:szCs w:val="21"/>
        </w:rPr>
        <w:t>转基金份额</w:t>
      </w:r>
      <w:r w:rsidRPr="00E97AFD">
        <w:rPr>
          <w:rFonts w:asciiTheme="minorEastAsia" w:eastAsiaTheme="minorEastAsia" w:hAnsiTheme="minorEastAsia"/>
          <w:szCs w:val="21"/>
        </w:rPr>
        <w:t>)方式，投资人可通过赎回基金份额获得现金收益；若投资人在定期累计收益支付时，其累计收益为正值，则为投资人增加相应的基金份额，其累计收益为负值，则缩减投资人基金份额；</w:t>
      </w:r>
    </w:p>
    <w:p w14:paraId="562E59F6" w14:textId="77777777" w:rsidR="006B018F" w:rsidRPr="00E97AFD" w:rsidRDefault="006B018F" w:rsidP="006B018F">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6.当日申购的基金份额自下一个工作日起，享有基金的收益分配权益；当日赎回的基金份额自下一个工作日起，不享有基金的收益分配权益；</w:t>
      </w:r>
    </w:p>
    <w:p w14:paraId="4B3E153C" w14:textId="77777777" w:rsidR="006B018F" w:rsidRPr="00E97AFD" w:rsidRDefault="006B018F" w:rsidP="006B018F">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7．在不违反法律法规且对基金份额持有人利益无实质不利影响的前提下，基金管理人可调整基金收益的分配原则和支付方式，不需召开基金份额持有人大会审议；</w:t>
      </w:r>
    </w:p>
    <w:p w14:paraId="27C17F4E" w14:textId="77777777" w:rsidR="006B018F" w:rsidRPr="00E97AFD" w:rsidRDefault="006B018F" w:rsidP="006B018F">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8.法律法规或监管机构另有规定的从其规定。</w:t>
      </w:r>
    </w:p>
    <w:p w14:paraId="453DAB60" w14:textId="77777777" w:rsidR="006B018F" w:rsidRPr="00E97AFD" w:rsidRDefault="006B018F" w:rsidP="006B018F">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(三)收益分配方案</w:t>
      </w:r>
    </w:p>
    <w:p w14:paraId="69E46C1F" w14:textId="77777777" w:rsidR="006B018F" w:rsidRPr="00E97AFD" w:rsidRDefault="006B018F" w:rsidP="006B018F">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本基金</w:t>
      </w:r>
      <w:r w:rsidRPr="00E97AFD">
        <w:rPr>
          <w:rFonts w:asciiTheme="minorEastAsia" w:eastAsiaTheme="minorEastAsia" w:hAnsiTheme="minorEastAsia" w:hint="eastAsia"/>
          <w:szCs w:val="21"/>
        </w:rPr>
        <w:t>每日进行收益分配</w:t>
      </w:r>
      <w:r w:rsidRPr="00E97AFD">
        <w:rPr>
          <w:rFonts w:asciiTheme="minorEastAsia" w:eastAsiaTheme="minorEastAsia" w:hAnsiTheme="minorEastAsia"/>
          <w:szCs w:val="21"/>
        </w:rPr>
        <w:t>，基金管理人不另行公告基金收益分配方案。</w:t>
      </w:r>
    </w:p>
    <w:p w14:paraId="7B14D0D4" w14:textId="77777777" w:rsidR="006B018F" w:rsidRPr="00E97AFD" w:rsidRDefault="006B018F" w:rsidP="006B018F">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(四)收益分配的时间和程序</w:t>
      </w:r>
    </w:p>
    <w:p w14:paraId="689C409C" w14:textId="77777777" w:rsidR="006B018F" w:rsidRPr="00E97AFD" w:rsidRDefault="006B018F" w:rsidP="006B018F">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本基金每日进行收益分配。</w:t>
      </w:r>
    </w:p>
    <w:p w14:paraId="4D679A94" w14:textId="77777777" w:rsidR="006B018F" w:rsidRPr="00E97AFD" w:rsidRDefault="006B018F" w:rsidP="006B018F">
      <w:pPr>
        <w:spacing w:line="360" w:lineRule="auto"/>
        <w:ind w:firstLineChars="200" w:firstLine="420"/>
        <w:rPr>
          <w:rFonts w:asciiTheme="minorEastAsia" w:eastAsiaTheme="minorEastAsia" w:hAnsiTheme="minorEastAsia" w:cs="宋体"/>
          <w:kern w:val="0"/>
          <w:szCs w:val="21"/>
          <w:shd w:val="clear" w:color="auto" w:fill="FFFFFF"/>
        </w:rPr>
      </w:pPr>
      <w:r w:rsidRPr="00E97AFD">
        <w:rPr>
          <w:rFonts w:asciiTheme="minorEastAsia" w:eastAsiaTheme="minorEastAsia" w:hAnsiTheme="minorEastAsia" w:hint="eastAsia"/>
          <w:szCs w:val="21"/>
        </w:rPr>
        <w:t>通常情况下，本基金每月例行对累计实现的收益进行收益结转</w:t>
      </w:r>
      <w:r w:rsidRPr="00E97AFD">
        <w:rPr>
          <w:rFonts w:asciiTheme="minorEastAsia" w:eastAsiaTheme="minorEastAsia" w:hAnsiTheme="minorEastAsia"/>
          <w:szCs w:val="21"/>
        </w:rPr>
        <w:t>(例行的收益结转不再另行公告)；对于可支持按日支付的销售机构，本基金的收益支付方式经基金管理人和销售机构双方协商一致后可以按日支付。</w:t>
      </w:r>
    </w:p>
    <w:p w14:paraId="1AA20DEA" w14:textId="77777777" w:rsidR="006B018F" w:rsidRPr="00E97AFD" w:rsidRDefault="006B018F" w:rsidP="006B018F">
      <w:pPr>
        <w:spacing w:line="360" w:lineRule="auto"/>
        <w:ind w:firstLineChars="200" w:firstLine="420"/>
        <w:rPr>
          <w:rFonts w:asciiTheme="minorEastAsia" w:eastAsiaTheme="minorEastAsia" w:hAnsiTheme="minorEastAsia" w:cs="宋体"/>
          <w:kern w:val="0"/>
          <w:szCs w:val="21"/>
          <w:shd w:val="clear" w:color="auto" w:fill="FFFFFF"/>
        </w:rPr>
      </w:pPr>
      <w:r w:rsidRPr="00E97AFD">
        <w:rPr>
          <w:rFonts w:asciiTheme="minorEastAsia" w:eastAsiaTheme="minorEastAsia" w:hAnsiTheme="minorEastAsia" w:cs="宋体" w:hint="eastAsia"/>
          <w:kern w:val="0"/>
          <w:szCs w:val="21"/>
          <w:shd w:val="clear" w:color="auto" w:fill="FFFFFF"/>
        </w:rPr>
        <w:t>四、与基金财产管理、运用有关费用的提取、支付方式与比例</w:t>
      </w:r>
    </w:p>
    <w:p w14:paraId="55FC7DEF"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（一）基金费用的种类</w:t>
      </w:r>
    </w:p>
    <w:p w14:paraId="52780EF1"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、基金管理人的管理费；</w:t>
      </w:r>
    </w:p>
    <w:p w14:paraId="62E21A93"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、基金托管人的托管费；</w:t>
      </w:r>
    </w:p>
    <w:p w14:paraId="1722703E"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、销售服务费；</w:t>
      </w:r>
    </w:p>
    <w:p w14:paraId="1F38B126"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4</w:t>
      </w:r>
      <w:r w:rsidRPr="00E97AFD">
        <w:rPr>
          <w:rFonts w:asciiTheme="minorEastAsia" w:eastAsiaTheme="minorEastAsia" w:hAnsiTheme="minorEastAsia" w:hint="eastAsia"/>
          <w:bCs/>
          <w:szCs w:val="21"/>
        </w:rPr>
        <w:t>、《基金合同》生效后与基金相关的信息披露费用；</w:t>
      </w:r>
    </w:p>
    <w:p w14:paraId="5CF0C23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5</w:t>
      </w:r>
      <w:r w:rsidRPr="00E97AFD">
        <w:rPr>
          <w:rFonts w:asciiTheme="minorEastAsia" w:eastAsiaTheme="minorEastAsia" w:hAnsiTheme="minorEastAsia" w:hint="eastAsia"/>
          <w:bCs/>
          <w:szCs w:val="21"/>
        </w:rPr>
        <w:t>、《基金合同》生效后与基金相关的会计师费、律师费、诉讼费和仲裁费；</w:t>
      </w:r>
    </w:p>
    <w:p w14:paraId="1B588A49"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6</w:t>
      </w:r>
      <w:r w:rsidRPr="00E97AFD">
        <w:rPr>
          <w:rFonts w:asciiTheme="minorEastAsia" w:eastAsiaTheme="minorEastAsia" w:hAnsiTheme="minorEastAsia" w:hint="eastAsia"/>
          <w:bCs/>
          <w:szCs w:val="21"/>
        </w:rPr>
        <w:t>、基金份额持有人大会费用；</w:t>
      </w:r>
    </w:p>
    <w:p w14:paraId="2EBDCA1E"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7</w:t>
      </w:r>
      <w:r w:rsidRPr="00E97AFD">
        <w:rPr>
          <w:rFonts w:asciiTheme="minorEastAsia" w:eastAsiaTheme="minorEastAsia" w:hAnsiTheme="minorEastAsia" w:hint="eastAsia"/>
          <w:bCs/>
          <w:szCs w:val="21"/>
        </w:rPr>
        <w:t>、基金的证券交易费用；</w:t>
      </w:r>
    </w:p>
    <w:p w14:paraId="41FFB232"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8</w:t>
      </w:r>
      <w:r w:rsidRPr="00E97AFD">
        <w:rPr>
          <w:rFonts w:asciiTheme="minorEastAsia" w:eastAsiaTheme="minorEastAsia" w:hAnsiTheme="minorEastAsia" w:hint="eastAsia"/>
          <w:bCs/>
          <w:szCs w:val="21"/>
        </w:rPr>
        <w:t>、基金的银行汇划费用；</w:t>
      </w:r>
    </w:p>
    <w:p w14:paraId="09640514"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9</w:t>
      </w:r>
      <w:r w:rsidRPr="00E97AFD">
        <w:rPr>
          <w:rFonts w:asciiTheme="minorEastAsia" w:eastAsiaTheme="minorEastAsia" w:hAnsiTheme="minorEastAsia" w:hint="eastAsia"/>
          <w:bCs/>
          <w:szCs w:val="21"/>
        </w:rPr>
        <w:t>、证券账户开户费用、银行账户维护费用；</w:t>
      </w:r>
    </w:p>
    <w:p w14:paraId="5D238CBB"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lastRenderedPageBreak/>
        <w:t>10</w:t>
      </w:r>
      <w:r w:rsidRPr="00E97AFD">
        <w:rPr>
          <w:rFonts w:asciiTheme="minorEastAsia" w:eastAsiaTheme="minorEastAsia" w:hAnsiTheme="minorEastAsia" w:hint="eastAsia"/>
          <w:bCs/>
          <w:szCs w:val="21"/>
        </w:rPr>
        <w:t>、按照国家有关规定和《基金合同》约定，可以在基金财产中列支的其他费用。</w:t>
      </w:r>
    </w:p>
    <w:p w14:paraId="37DAD22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（二）基金费用计提方法、计提标准和支付方式</w:t>
      </w:r>
    </w:p>
    <w:p w14:paraId="60BDE5EE" w14:textId="5F9A7CB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、基金管理人的管理费</w:t>
      </w:r>
    </w:p>
    <w:p w14:paraId="702AD6A4"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本基金的管理费按前一日基金资产净值的</w:t>
      </w:r>
      <w:r w:rsidRPr="00E97AFD">
        <w:rPr>
          <w:rFonts w:asciiTheme="minorEastAsia" w:eastAsiaTheme="minorEastAsia" w:hAnsiTheme="minorEastAsia"/>
          <w:bCs/>
          <w:szCs w:val="21"/>
        </w:rPr>
        <w:t>0.33%</w:t>
      </w:r>
      <w:r w:rsidRPr="00E97AFD">
        <w:rPr>
          <w:rFonts w:asciiTheme="minorEastAsia" w:eastAsiaTheme="minorEastAsia" w:hAnsiTheme="minorEastAsia" w:hint="eastAsia"/>
          <w:bCs/>
          <w:szCs w:val="21"/>
        </w:rPr>
        <w:t>年费率计提。管理费的计算方法如下：</w:t>
      </w:r>
    </w:p>
    <w:p w14:paraId="36794318"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H</w:t>
      </w: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E×0.33%÷</w:t>
      </w:r>
      <w:r w:rsidRPr="00E97AFD">
        <w:rPr>
          <w:rFonts w:asciiTheme="minorEastAsia" w:eastAsiaTheme="minorEastAsia" w:hAnsiTheme="minorEastAsia" w:hint="eastAsia"/>
          <w:bCs/>
          <w:szCs w:val="21"/>
        </w:rPr>
        <w:t>当年天数</w:t>
      </w:r>
    </w:p>
    <w:p w14:paraId="650FD0C0"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H</w:t>
      </w:r>
      <w:r w:rsidRPr="00E97AFD">
        <w:rPr>
          <w:rFonts w:asciiTheme="minorEastAsia" w:eastAsiaTheme="minorEastAsia" w:hAnsiTheme="minorEastAsia" w:hint="eastAsia"/>
          <w:bCs/>
          <w:szCs w:val="21"/>
        </w:rPr>
        <w:t>为每日应计提的基金管理费</w:t>
      </w:r>
    </w:p>
    <w:p w14:paraId="2AC83835"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E</w:t>
      </w:r>
      <w:r w:rsidRPr="00E97AFD">
        <w:rPr>
          <w:rFonts w:asciiTheme="minorEastAsia" w:eastAsiaTheme="minorEastAsia" w:hAnsiTheme="minorEastAsia" w:hint="eastAsia"/>
          <w:bCs/>
          <w:szCs w:val="21"/>
        </w:rPr>
        <w:t>为前一日的基金资产净值</w:t>
      </w:r>
    </w:p>
    <w:p w14:paraId="5E2116A7"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szCs w:val="21"/>
        </w:rPr>
        <w:t>基金管理费每日计提，按月支付。由基金托管人根据与基金管理人核对一致的财务数据，自动在月初</w:t>
      </w:r>
      <w:r w:rsidRPr="00E97AFD">
        <w:rPr>
          <w:rFonts w:asciiTheme="minorEastAsia" w:eastAsiaTheme="minorEastAsia" w:hAnsiTheme="minorEastAsia"/>
          <w:szCs w:val="21"/>
        </w:rPr>
        <w:t>5</w:t>
      </w:r>
      <w:r w:rsidRPr="00E97AFD">
        <w:rPr>
          <w:rFonts w:asciiTheme="minorEastAsia" w:eastAsiaTheme="minorEastAsia" w:hAnsiTheme="minorEastAsia" w:hint="eastAsia"/>
          <w:szCs w:val="21"/>
        </w:rPr>
        <w:t>个工作日内、按照指定的帐户路径进行资金支付，基金管理人无需再出具资金划拨指令。若遇法定节假日、休息日等，支付日期顺延。费用自动扣划后，基金管理人应进行核对，如发现数据不符，及时联系基金托管人协商解决</w:t>
      </w:r>
      <w:r w:rsidRPr="00E97AFD">
        <w:rPr>
          <w:rFonts w:asciiTheme="minorEastAsia" w:eastAsiaTheme="minorEastAsia" w:hAnsiTheme="minorEastAsia" w:hint="eastAsia"/>
          <w:bCs/>
          <w:szCs w:val="21"/>
        </w:rPr>
        <w:t>。</w:t>
      </w:r>
    </w:p>
    <w:p w14:paraId="366EF6DC"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、基金托管人的托管费</w:t>
      </w:r>
    </w:p>
    <w:p w14:paraId="5A0128DE"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本基金的托管费按前一日基金资产净值的</w:t>
      </w:r>
      <w:r w:rsidRPr="00E97AFD">
        <w:rPr>
          <w:rFonts w:asciiTheme="minorEastAsia" w:eastAsiaTheme="minorEastAsia" w:hAnsiTheme="minorEastAsia"/>
          <w:bCs/>
          <w:szCs w:val="21"/>
        </w:rPr>
        <w:t>0.10%</w:t>
      </w:r>
      <w:r w:rsidRPr="00E97AFD">
        <w:rPr>
          <w:rFonts w:asciiTheme="minorEastAsia" w:eastAsiaTheme="minorEastAsia" w:hAnsiTheme="minorEastAsia" w:hint="eastAsia"/>
          <w:bCs/>
          <w:szCs w:val="21"/>
        </w:rPr>
        <w:t>的年费率计提。托管费的计算方法如下：</w:t>
      </w:r>
    </w:p>
    <w:p w14:paraId="7989A968"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H</w:t>
      </w: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E×0.10%÷</w:t>
      </w:r>
      <w:r w:rsidRPr="00E97AFD">
        <w:rPr>
          <w:rFonts w:asciiTheme="minorEastAsia" w:eastAsiaTheme="minorEastAsia" w:hAnsiTheme="minorEastAsia" w:hint="eastAsia"/>
          <w:bCs/>
          <w:szCs w:val="21"/>
        </w:rPr>
        <w:t>当年天数</w:t>
      </w:r>
    </w:p>
    <w:p w14:paraId="3134F60A"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H</w:t>
      </w:r>
      <w:r w:rsidRPr="00E97AFD">
        <w:rPr>
          <w:rFonts w:asciiTheme="minorEastAsia" w:eastAsiaTheme="minorEastAsia" w:hAnsiTheme="minorEastAsia" w:hint="eastAsia"/>
          <w:bCs/>
          <w:szCs w:val="21"/>
        </w:rPr>
        <w:t>为每日应计提的基金托管费</w:t>
      </w:r>
    </w:p>
    <w:p w14:paraId="57CFAFD4"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E</w:t>
      </w:r>
      <w:r w:rsidRPr="00E97AFD">
        <w:rPr>
          <w:rFonts w:asciiTheme="minorEastAsia" w:eastAsiaTheme="minorEastAsia" w:hAnsiTheme="minorEastAsia" w:hint="eastAsia"/>
          <w:bCs/>
          <w:szCs w:val="21"/>
        </w:rPr>
        <w:t>为前一日的基金资产净值</w:t>
      </w:r>
    </w:p>
    <w:p w14:paraId="55993BD2"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szCs w:val="21"/>
        </w:rPr>
        <w:t>基金托管费每日计提，按月支付。由基金托管人根据与基金管理人核对一致的财务数据，自动在月初</w:t>
      </w:r>
      <w:r w:rsidRPr="00E97AFD">
        <w:rPr>
          <w:rFonts w:asciiTheme="minorEastAsia" w:eastAsiaTheme="minorEastAsia" w:hAnsiTheme="minorEastAsia"/>
          <w:szCs w:val="21"/>
        </w:rPr>
        <w:t>5</w:t>
      </w:r>
      <w:r w:rsidRPr="00E97AFD">
        <w:rPr>
          <w:rFonts w:asciiTheme="minorEastAsia" w:eastAsiaTheme="minorEastAsia" w:hAnsiTheme="minorEastAsia" w:hint="eastAsia"/>
          <w:szCs w:val="21"/>
        </w:rPr>
        <w:t>个工作日内、按照指定的帐户路径进行资金支付，基金管理人无需再出具资金划拨指令。若遇法定节假日、休息日等，支付日期顺延。费用自动扣划后，基金管理人应进行核对，如发现数据不符，及时联系基金托管人协商解决</w:t>
      </w:r>
      <w:r w:rsidRPr="00E97AFD">
        <w:rPr>
          <w:rFonts w:asciiTheme="minorEastAsia" w:eastAsiaTheme="minorEastAsia" w:hAnsiTheme="minorEastAsia" w:hint="eastAsia"/>
          <w:bCs/>
          <w:szCs w:val="21"/>
        </w:rPr>
        <w:t>。</w:t>
      </w:r>
    </w:p>
    <w:p w14:paraId="7298BF07" w14:textId="77777777" w:rsidR="006B018F" w:rsidRPr="00E97AFD" w:rsidRDefault="006B018F" w:rsidP="006B018F">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3.基金销售服务费</w:t>
      </w:r>
    </w:p>
    <w:p w14:paraId="68E56447" w14:textId="44AF614E" w:rsidR="006B018F" w:rsidRPr="00E97AFD" w:rsidRDefault="006B018F" w:rsidP="006B018F">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本基金</w:t>
      </w:r>
      <w:r w:rsidRPr="00E97AFD">
        <w:rPr>
          <w:rFonts w:asciiTheme="minorEastAsia" w:eastAsiaTheme="minorEastAsia" w:hAnsiTheme="minorEastAsia"/>
          <w:szCs w:val="21"/>
        </w:rPr>
        <w:t>A类基金份额的年销售服务费率为0.25%，B类基金份额的年销售服务费率为0.01%。两类基金份额的销售服务费计提的计算公式相同，具体如下：</w:t>
      </w:r>
    </w:p>
    <w:p w14:paraId="4344F7FF" w14:textId="77777777" w:rsidR="006B018F" w:rsidRPr="00E97AFD" w:rsidRDefault="006B018F" w:rsidP="006B018F">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H＝E×年销售服务费率÷当年天数</w:t>
      </w:r>
    </w:p>
    <w:p w14:paraId="47EAC34F" w14:textId="77777777" w:rsidR="006B018F" w:rsidRPr="00E97AFD" w:rsidRDefault="006B018F" w:rsidP="006B018F">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H为每日该类基金份额应计提的基金销售服务费</w:t>
      </w:r>
    </w:p>
    <w:p w14:paraId="14538717" w14:textId="77777777" w:rsidR="006B018F" w:rsidRPr="00E97AFD" w:rsidRDefault="006B018F" w:rsidP="006B018F">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szCs w:val="21"/>
        </w:rPr>
        <w:t>E为前一日该类基金份额的基金资产净值</w:t>
      </w:r>
    </w:p>
    <w:p w14:paraId="63724B94"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szCs w:val="21"/>
        </w:rPr>
        <w:t>销售服务费每日计提，按月支付。由基金托管人根据与基金管理人核对一致的财务数据，自动在月初五个工作日内、按照指定的帐户路径进行资金支付，基金管理人无需再出具资金划拨指令。若遇法定节假日、休息日等，支付日期顺延。费用自动扣划后，基金管理人应进行核对，如发现数据不符，及时联系基金托管人协商解决。</w:t>
      </w:r>
    </w:p>
    <w:p w14:paraId="32CA5EE2"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szCs w:val="21"/>
        </w:rPr>
        <w:lastRenderedPageBreak/>
        <w:t>销售服务费可用于本基金市场推广、销售以及基金份额持有人服务等各项费用。</w:t>
      </w:r>
    </w:p>
    <w:p w14:paraId="18A6D015"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上述“（一）基金费用的种类中第</w:t>
      </w:r>
      <w:r w:rsidRPr="00E97AFD">
        <w:rPr>
          <w:rFonts w:asciiTheme="minorEastAsia" w:eastAsiaTheme="minorEastAsia" w:hAnsiTheme="minorEastAsia"/>
          <w:bCs/>
          <w:szCs w:val="21"/>
        </w:rPr>
        <w:t>4－10项费用”，根据有关法规及相应协议规</w:t>
      </w:r>
      <w:r w:rsidRPr="00E97AFD">
        <w:rPr>
          <w:rFonts w:asciiTheme="minorEastAsia" w:eastAsiaTheme="minorEastAsia" w:hAnsiTheme="minorEastAsia" w:hint="eastAsia"/>
          <w:bCs/>
          <w:szCs w:val="21"/>
        </w:rPr>
        <w:t>定，按费用实际支出金额列入当期费用，由基金托管人从基金财产中支付。</w:t>
      </w:r>
    </w:p>
    <w:p w14:paraId="52897026"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三、不列入基金费用的项目</w:t>
      </w:r>
    </w:p>
    <w:p w14:paraId="7DA03652"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下列费用不列入基金费用：</w:t>
      </w:r>
    </w:p>
    <w:p w14:paraId="0650E3C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、基金管理人和基金托管人因未履行或未完全履行义务导致的费用支出或基金财产的损失；</w:t>
      </w:r>
    </w:p>
    <w:p w14:paraId="683FD443"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、基金管理人和基金托管人处理与基金运作无关的事项发生的费用；</w:t>
      </w:r>
    </w:p>
    <w:p w14:paraId="73BEEF4B"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、《基金合同》生效前的相关费用；</w:t>
      </w:r>
    </w:p>
    <w:p w14:paraId="7EEF1218"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4</w:t>
      </w:r>
      <w:r w:rsidRPr="00E97AFD">
        <w:rPr>
          <w:rFonts w:asciiTheme="minorEastAsia" w:eastAsiaTheme="minorEastAsia" w:hAnsiTheme="minorEastAsia" w:hint="eastAsia"/>
          <w:bCs/>
          <w:szCs w:val="21"/>
        </w:rPr>
        <w:t>、其他根据相关法律法规及中国证监会的有关规定不得列入基金费用的项目。</w:t>
      </w:r>
    </w:p>
    <w:p w14:paraId="34961AAE"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（四）费用调整</w:t>
      </w:r>
    </w:p>
    <w:p w14:paraId="7D8A57B4"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szCs w:val="21"/>
        </w:rPr>
        <w:t>基金管理人和基金托管人协商一致后，可按照基金发展情况，并根据法律法规规定和基金合同约定，调整基金管理费率、基金托管费率或基金销售服务费率等相关费率。</w:t>
      </w:r>
    </w:p>
    <w:p w14:paraId="3F539412"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（五）基金税收</w:t>
      </w:r>
    </w:p>
    <w:p w14:paraId="04643DCD" w14:textId="77777777" w:rsidR="006B018F" w:rsidRPr="00E97AFD" w:rsidRDefault="006B018F" w:rsidP="006B018F">
      <w:pPr>
        <w:spacing w:line="360" w:lineRule="auto"/>
        <w:ind w:firstLineChars="200" w:firstLine="420"/>
        <w:rPr>
          <w:rFonts w:asciiTheme="minorEastAsia" w:eastAsiaTheme="minorEastAsia" w:hAnsiTheme="minorEastAsia" w:cs="宋体"/>
          <w:kern w:val="0"/>
          <w:szCs w:val="21"/>
          <w:shd w:val="clear" w:color="auto" w:fill="FFFFFF"/>
        </w:rPr>
      </w:pPr>
      <w:r w:rsidRPr="00E97AFD">
        <w:rPr>
          <w:rFonts w:asciiTheme="minorEastAsia" w:eastAsiaTheme="minorEastAsia" w:hAnsiTheme="minorEastAsia" w:hint="eastAsia"/>
          <w:bCs/>
          <w:szCs w:val="21"/>
        </w:rPr>
        <w:t>本基金运作过程中涉及的各纳税主体，其纳税义务按国家税收法律、法规执行。</w:t>
      </w:r>
    </w:p>
    <w:p w14:paraId="14A38AFC" w14:textId="77777777" w:rsidR="006B018F" w:rsidRPr="00E97AFD" w:rsidRDefault="006B018F" w:rsidP="006B018F">
      <w:pPr>
        <w:spacing w:line="360" w:lineRule="auto"/>
        <w:ind w:firstLineChars="200" w:firstLine="420"/>
        <w:rPr>
          <w:rFonts w:asciiTheme="minorEastAsia" w:eastAsiaTheme="minorEastAsia" w:hAnsiTheme="minorEastAsia" w:cs="宋体"/>
          <w:kern w:val="0"/>
          <w:szCs w:val="21"/>
          <w:shd w:val="clear" w:color="auto" w:fill="FFFFFF"/>
        </w:rPr>
      </w:pPr>
      <w:r w:rsidRPr="00E97AFD">
        <w:rPr>
          <w:rFonts w:asciiTheme="minorEastAsia" w:eastAsiaTheme="minorEastAsia" w:hAnsiTheme="minorEastAsia" w:cs="宋体" w:hint="eastAsia"/>
          <w:kern w:val="0"/>
          <w:szCs w:val="21"/>
          <w:shd w:val="clear" w:color="auto" w:fill="FFFFFF"/>
        </w:rPr>
        <w:t>五、基金财产的投资方向和投资限制</w:t>
      </w:r>
    </w:p>
    <w:p w14:paraId="6117B126"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（一）投资目标</w:t>
      </w:r>
    </w:p>
    <w:p w14:paraId="64F3E335" w14:textId="7B409485"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在有效控制投资风险和保持高流动性的基础上，力争获得高于业绩比较基准的投资回报。</w:t>
      </w:r>
    </w:p>
    <w:p w14:paraId="7B605160"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（二）投资范围</w:t>
      </w:r>
    </w:p>
    <w:p w14:paraId="391ECA02"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szCs w:val="21"/>
        </w:rPr>
        <w:t>本基金的投资范围为具有良好流动性的金融工具，包括现金，期限在一年以内（含一年）的银行存款、债券回购、中央银行票据、同业存单，剩余期限在</w:t>
      </w:r>
      <w:r w:rsidRPr="00E97AFD">
        <w:rPr>
          <w:rFonts w:asciiTheme="minorEastAsia" w:eastAsiaTheme="minorEastAsia" w:hAnsiTheme="minorEastAsia"/>
          <w:szCs w:val="21"/>
        </w:rPr>
        <w:t>397</w:t>
      </w:r>
      <w:r w:rsidRPr="00E97AFD">
        <w:rPr>
          <w:rFonts w:asciiTheme="minorEastAsia" w:eastAsiaTheme="minorEastAsia" w:hAnsiTheme="minorEastAsia" w:hint="eastAsia"/>
          <w:szCs w:val="21"/>
        </w:rPr>
        <w:t>天以内（含</w:t>
      </w:r>
      <w:r w:rsidRPr="00E97AFD">
        <w:rPr>
          <w:rFonts w:asciiTheme="minorEastAsia" w:eastAsiaTheme="minorEastAsia" w:hAnsiTheme="minorEastAsia"/>
          <w:szCs w:val="21"/>
        </w:rPr>
        <w:t>397</w:t>
      </w:r>
      <w:r w:rsidRPr="00E97AFD">
        <w:rPr>
          <w:rFonts w:asciiTheme="minorEastAsia" w:eastAsiaTheme="minorEastAsia" w:hAnsiTheme="minorEastAsia" w:hint="eastAsia"/>
          <w:szCs w:val="21"/>
        </w:rPr>
        <w:t>天）的债券、非金融企业债务融资工具、资产支持证券，以及法律法规或中国证监会、中国人民银行认可的其他具有良好流动性的货币市场工具</w:t>
      </w:r>
      <w:r w:rsidRPr="00E97AFD">
        <w:rPr>
          <w:rFonts w:asciiTheme="minorEastAsia" w:eastAsiaTheme="minorEastAsia" w:hAnsiTheme="minorEastAsia" w:hint="eastAsia"/>
          <w:bCs/>
          <w:szCs w:val="21"/>
        </w:rPr>
        <w:t>。</w:t>
      </w:r>
    </w:p>
    <w:p w14:paraId="6D388B8F"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如法律法规或监管机构以后对货币市场基金的投资范围与限制进行调整，本基金将随之调整。</w:t>
      </w:r>
    </w:p>
    <w:p w14:paraId="2D4EEF2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（三）投资限制</w:t>
      </w:r>
    </w:p>
    <w:p w14:paraId="483A5F7F" w14:textId="778EB3A4"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、本基金不得投资于以下金融工具：</w:t>
      </w:r>
    </w:p>
    <w:p w14:paraId="026E764A" w14:textId="388E8833"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）股票；</w:t>
      </w:r>
    </w:p>
    <w:p w14:paraId="62BC9E9E" w14:textId="4F0BDC7A"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）可转换债券、可交换债券；</w:t>
      </w:r>
    </w:p>
    <w:p w14:paraId="791DF3E8" w14:textId="151606E5"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）以定期存款利率为基准利率的浮动利率债券，已进入最后一个利率调整期的除外；</w:t>
      </w:r>
    </w:p>
    <w:p w14:paraId="0D22FA54" w14:textId="0913391D"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lastRenderedPageBreak/>
        <w:t>（</w:t>
      </w:r>
      <w:r w:rsidRPr="00E97AFD">
        <w:rPr>
          <w:rFonts w:asciiTheme="minorEastAsia" w:eastAsiaTheme="minorEastAsia" w:hAnsiTheme="minorEastAsia"/>
          <w:bCs/>
          <w:szCs w:val="21"/>
        </w:rPr>
        <w:t>4</w:t>
      </w:r>
      <w:r w:rsidRPr="00E97AFD">
        <w:rPr>
          <w:rFonts w:asciiTheme="minorEastAsia" w:eastAsiaTheme="minorEastAsia" w:hAnsiTheme="minorEastAsia" w:hint="eastAsia"/>
          <w:bCs/>
          <w:szCs w:val="21"/>
        </w:rPr>
        <w:t>）信用等级在</w:t>
      </w:r>
      <w:r w:rsidRPr="00E97AFD">
        <w:rPr>
          <w:rFonts w:asciiTheme="minorEastAsia" w:eastAsiaTheme="minorEastAsia" w:hAnsiTheme="minorEastAsia"/>
          <w:bCs/>
          <w:szCs w:val="21"/>
        </w:rPr>
        <w:t>AA+</w:t>
      </w:r>
      <w:r w:rsidRPr="00E97AFD">
        <w:rPr>
          <w:rFonts w:asciiTheme="minorEastAsia" w:eastAsiaTheme="minorEastAsia" w:hAnsiTheme="minorEastAsia" w:hint="eastAsia"/>
          <w:bCs/>
          <w:szCs w:val="21"/>
        </w:rPr>
        <w:t>级以下的债券与非金融企业债务融资工具；</w:t>
      </w:r>
    </w:p>
    <w:p w14:paraId="11EA237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5</w:t>
      </w:r>
      <w:r w:rsidRPr="00E97AFD">
        <w:rPr>
          <w:rFonts w:asciiTheme="minorEastAsia" w:eastAsiaTheme="minorEastAsia" w:hAnsiTheme="minorEastAsia" w:hint="eastAsia"/>
          <w:bCs/>
          <w:szCs w:val="21"/>
        </w:rPr>
        <w:t>）中国证监会、中国人民银行禁止投资的其他金融工具。</w:t>
      </w:r>
    </w:p>
    <w:p w14:paraId="5E602403"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法律法规或监管部门取消或变更上述限制后，本基金不受上述规定的限制并以最新规定为准。</w:t>
      </w:r>
    </w:p>
    <w:p w14:paraId="29526A5F" w14:textId="4182D0AC"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、本基金的投资组合将遵循以下比例限制：</w:t>
      </w:r>
    </w:p>
    <w:p w14:paraId="59C78BD6"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）本基金投资组合的平均剩余期限不得超过</w:t>
      </w:r>
      <w:r w:rsidRPr="00E97AFD">
        <w:rPr>
          <w:rFonts w:asciiTheme="minorEastAsia" w:eastAsiaTheme="minorEastAsia" w:hAnsiTheme="minorEastAsia"/>
          <w:bCs/>
          <w:szCs w:val="21"/>
        </w:rPr>
        <w:t>120</w:t>
      </w:r>
      <w:r w:rsidRPr="00E97AFD">
        <w:rPr>
          <w:rFonts w:asciiTheme="minorEastAsia" w:eastAsiaTheme="minorEastAsia" w:hAnsiTheme="minorEastAsia" w:hint="eastAsia"/>
          <w:bCs/>
          <w:szCs w:val="21"/>
        </w:rPr>
        <w:t>天，平均剩余存续期不得超过</w:t>
      </w:r>
      <w:r w:rsidRPr="00E97AFD">
        <w:rPr>
          <w:rFonts w:asciiTheme="minorEastAsia" w:eastAsiaTheme="minorEastAsia" w:hAnsiTheme="minorEastAsia"/>
          <w:bCs/>
          <w:szCs w:val="21"/>
        </w:rPr>
        <w:t>240</w:t>
      </w:r>
      <w:r w:rsidRPr="00E97AFD">
        <w:rPr>
          <w:rFonts w:asciiTheme="minorEastAsia" w:eastAsiaTheme="minorEastAsia" w:hAnsiTheme="minorEastAsia" w:hint="eastAsia"/>
          <w:bCs/>
          <w:szCs w:val="21"/>
        </w:rPr>
        <w:t>天；</w:t>
      </w:r>
    </w:p>
    <w:p w14:paraId="574C7BF7"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）本基金持有同一机构发行的债券、非金融企业债务融资工具及其作为原始权益人的资产支持证券占基金资产净值的比例合计不得超过</w:t>
      </w: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，国债、中央银行票据、政策性金融债券除外；</w:t>
      </w:r>
    </w:p>
    <w:p w14:paraId="2C3C89CC"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）本基金持有一家公司发行的证券，其市值不得超过基金资产净值的</w:t>
      </w: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；本基金与由基金管理人管理的其他全部基金持有一家公司发行的证券，不得超过该证券的</w:t>
      </w: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w:t>
      </w:r>
    </w:p>
    <w:p w14:paraId="297F337F"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4</w:t>
      </w:r>
      <w:r w:rsidRPr="00E97AFD">
        <w:rPr>
          <w:rFonts w:asciiTheme="minorEastAsia" w:eastAsiaTheme="minorEastAsia" w:hAnsiTheme="minorEastAsia" w:hint="eastAsia"/>
          <w:bCs/>
          <w:szCs w:val="21"/>
        </w:rPr>
        <w:t>）本基金投资于有固定期限银行存款的比例，不得超过基金资产净值的</w:t>
      </w:r>
      <w:r w:rsidRPr="00E97AFD">
        <w:rPr>
          <w:rFonts w:asciiTheme="minorEastAsia" w:eastAsiaTheme="minorEastAsia" w:hAnsiTheme="minorEastAsia"/>
          <w:bCs/>
          <w:szCs w:val="21"/>
        </w:rPr>
        <w:t>30%</w:t>
      </w:r>
      <w:r w:rsidRPr="00E97AFD">
        <w:rPr>
          <w:rFonts w:asciiTheme="minorEastAsia" w:eastAsiaTheme="minorEastAsia" w:hAnsiTheme="minorEastAsia" w:hint="eastAsia"/>
          <w:bCs/>
          <w:szCs w:val="21"/>
        </w:rPr>
        <w:t>，但投资于有存款期限，根据协议可提前支取的银行存款不受上述比例限制；本基金投资于具有基金托管人资格的同一商业银行的银行存款、同业存单占基金资产净值的比例合计不得超过</w:t>
      </w:r>
      <w:r w:rsidRPr="00E97AFD">
        <w:rPr>
          <w:rFonts w:asciiTheme="minorEastAsia" w:eastAsiaTheme="minorEastAsia" w:hAnsiTheme="minorEastAsia"/>
          <w:bCs/>
          <w:szCs w:val="21"/>
        </w:rPr>
        <w:t>20%</w:t>
      </w:r>
      <w:r w:rsidRPr="00E97AFD">
        <w:rPr>
          <w:rFonts w:asciiTheme="minorEastAsia" w:eastAsiaTheme="minorEastAsia" w:hAnsiTheme="minorEastAsia" w:hint="eastAsia"/>
          <w:bCs/>
          <w:szCs w:val="21"/>
        </w:rPr>
        <w:t>，投资于不具有基金托管人资格的同一商业银行的银行存款、同业存单占基金资产净值的比例合计不得超过</w:t>
      </w:r>
      <w:r w:rsidRPr="00E97AFD">
        <w:rPr>
          <w:rFonts w:asciiTheme="minorEastAsia" w:eastAsiaTheme="minorEastAsia" w:hAnsiTheme="minorEastAsia"/>
          <w:bCs/>
          <w:szCs w:val="21"/>
        </w:rPr>
        <w:t>5%</w:t>
      </w:r>
    </w:p>
    <w:p w14:paraId="0FE7678E"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5</w:t>
      </w:r>
      <w:r w:rsidRPr="00E97AFD">
        <w:rPr>
          <w:rFonts w:asciiTheme="minorEastAsia" w:eastAsiaTheme="minorEastAsia" w:hAnsiTheme="minorEastAsia" w:hint="eastAsia"/>
          <w:bCs/>
          <w:szCs w:val="21"/>
        </w:rPr>
        <w:t>）本基金应保持足够比例的流动性资产以应对潜在的赎回要求，其投资组合应当符合下列规定：</w:t>
      </w:r>
    </w:p>
    <w:p w14:paraId="3B7C72F3" w14:textId="528C26BB"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）现金、国债、中央银行票据、政策性金融债券占基金资产净值的比例合计不得低于</w:t>
      </w:r>
      <w:r w:rsidRPr="00E97AFD">
        <w:rPr>
          <w:rFonts w:asciiTheme="minorEastAsia" w:eastAsiaTheme="minorEastAsia" w:hAnsiTheme="minorEastAsia"/>
          <w:bCs/>
          <w:szCs w:val="21"/>
        </w:rPr>
        <w:t>5%</w:t>
      </w:r>
      <w:r w:rsidRPr="00E97AFD">
        <w:rPr>
          <w:rFonts w:asciiTheme="minorEastAsia" w:eastAsiaTheme="minorEastAsia" w:hAnsiTheme="minorEastAsia" w:hint="eastAsia"/>
          <w:bCs/>
          <w:szCs w:val="21"/>
        </w:rPr>
        <w:t>，其中现金不包括结算备付金、存出保证金、应收申购款等；</w:t>
      </w:r>
    </w:p>
    <w:p w14:paraId="3052AF3E" w14:textId="65B6C260"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）现金、国债、中央银行票据、政策性金融债券以及五个交易日内到期的其他金融工具占基金资产净值的比例合计不得低于</w:t>
      </w: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w:t>
      </w:r>
    </w:p>
    <w:p w14:paraId="6F19A4A1" w14:textId="2F4BD30A"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）到期日在</w:t>
      </w: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个交易日以上的逆回购、银行定期存款等流动性受限资产投资占基金资产净值的比例合计不得超过</w:t>
      </w:r>
      <w:r w:rsidRPr="00E97AFD">
        <w:rPr>
          <w:rFonts w:asciiTheme="minorEastAsia" w:eastAsiaTheme="minorEastAsia" w:hAnsiTheme="minorEastAsia"/>
          <w:bCs/>
          <w:szCs w:val="21"/>
        </w:rPr>
        <w:t>30%</w:t>
      </w:r>
      <w:r w:rsidRPr="00E97AFD">
        <w:rPr>
          <w:rFonts w:asciiTheme="minorEastAsia" w:eastAsiaTheme="minorEastAsia" w:hAnsiTheme="minorEastAsia" w:hint="eastAsia"/>
          <w:bCs/>
          <w:szCs w:val="21"/>
        </w:rPr>
        <w:t>；</w:t>
      </w:r>
    </w:p>
    <w:p w14:paraId="45CD9CCA"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4</w:t>
      </w:r>
      <w:r w:rsidRPr="00E97AFD">
        <w:rPr>
          <w:rFonts w:asciiTheme="minorEastAsia" w:eastAsiaTheme="minorEastAsia" w:hAnsiTheme="minorEastAsia" w:hint="eastAsia"/>
          <w:bCs/>
          <w:szCs w:val="21"/>
        </w:rPr>
        <w:t>）除发生巨额赎回、连续</w:t>
      </w: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个交易日累计赎回</w:t>
      </w:r>
      <w:r w:rsidRPr="00E97AFD">
        <w:rPr>
          <w:rFonts w:asciiTheme="minorEastAsia" w:eastAsiaTheme="minorEastAsia" w:hAnsiTheme="minorEastAsia"/>
          <w:bCs/>
          <w:szCs w:val="21"/>
        </w:rPr>
        <w:t>20%</w:t>
      </w:r>
      <w:r w:rsidRPr="00E97AFD">
        <w:rPr>
          <w:rFonts w:asciiTheme="minorEastAsia" w:eastAsiaTheme="minorEastAsia" w:hAnsiTheme="minorEastAsia" w:hint="eastAsia"/>
          <w:bCs/>
          <w:szCs w:val="21"/>
        </w:rPr>
        <w:t>以上或者连续</w:t>
      </w:r>
      <w:r w:rsidRPr="00E97AFD">
        <w:rPr>
          <w:rFonts w:asciiTheme="minorEastAsia" w:eastAsiaTheme="minorEastAsia" w:hAnsiTheme="minorEastAsia"/>
          <w:bCs/>
          <w:szCs w:val="21"/>
        </w:rPr>
        <w:t>5</w:t>
      </w:r>
      <w:r w:rsidRPr="00E97AFD">
        <w:rPr>
          <w:rFonts w:asciiTheme="minorEastAsia" w:eastAsiaTheme="minorEastAsia" w:hAnsiTheme="minorEastAsia" w:hint="eastAsia"/>
          <w:bCs/>
          <w:szCs w:val="21"/>
        </w:rPr>
        <w:t>个交易日累计赎回</w:t>
      </w:r>
      <w:r w:rsidRPr="00E97AFD">
        <w:rPr>
          <w:rFonts w:asciiTheme="minorEastAsia" w:eastAsiaTheme="minorEastAsia" w:hAnsiTheme="minorEastAsia"/>
          <w:bCs/>
          <w:szCs w:val="21"/>
        </w:rPr>
        <w:t>30%</w:t>
      </w:r>
      <w:r w:rsidRPr="00E97AFD">
        <w:rPr>
          <w:rFonts w:asciiTheme="minorEastAsia" w:eastAsiaTheme="minorEastAsia" w:hAnsiTheme="minorEastAsia" w:hint="eastAsia"/>
          <w:bCs/>
          <w:szCs w:val="21"/>
        </w:rPr>
        <w:t>以上的情形外，本基金债券正回购的资金余额占基金资产净值的比例不得超过</w:t>
      </w:r>
      <w:r w:rsidRPr="00E97AFD">
        <w:rPr>
          <w:rFonts w:asciiTheme="minorEastAsia" w:eastAsiaTheme="minorEastAsia" w:hAnsiTheme="minorEastAsia"/>
          <w:bCs/>
          <w:szCs w:val="21"/>
        </w:rPr>
        <w:t>20%</w:t>
      </w:r>
      <w:r w:rsidRPr="00E97AFD">
        <w:rPr>
          <w:rFonts w:asciiTheme="minorEastAsia" w:eastAsiaTheme="minorEastAsia" w:hAnsiTheme="minorEastAsia" w:hint="eastAsia"/>
          <w:bCs/>
          <w:szCs w:val="21"/>
        </w:rPr>
        <w:t>；</w:t>
      </w:r>
    </w:p>
    <w:p w14:paraId="7C04C539"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6</w:t>
      </w:r>
      <w:r w:rsidRPr="00E97AFD">
        <w:rPr>
          <w:rFonts w:asciiTheme="minorEastAsia" w:eastAsiaTheme="minorEastAsia" w:hAnsiTheme="minorEastAsia" w:hint="eastAsia"/>
          <w:bCs/>
          <w:szCs w:val="21"/>
        </w:rPr>
        <w:t>）本基金基金总资产不得超过基金净资产的</w:t>
      </w:r>
      <w:r w:rsidRPr="00E97AFD">
        <w:rPr>
          <w:rFonts w:asciiTheme="minorEastAsia" w:eastAsiaTheme="minorEastAsia" w:hAnsiTheme="minorEastAsia"/>
          <w:bCs/>
          <w:szCs w:val="21"/>
        </w:rPr>
        <w:t>140%</w:t>
      </w:r>
      <w:r w:rsidRPr="00E97AFD">
        <w:rPr>
          <w:rFonts w:asciiTheme="minorEastAsia" w:eastAsiaTheme="minorEastAsia" w:hAnsiTheme="minorEastAsia" w:hint="eastAsia"/>
          <w:bCs/>
          <w:szCs w:val="21"/>
        </w:rPr>
        <w:t>；</w:t>
      </w:r>
    </w:p>
    <w:p w14:paraId="5E0F25B9"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7</w:t>
      </w:r>
      <w:r w:rsidRPr="00E97AFD">
        <w:rPr>
          <w:rFonts w:asciiTheme="minorEastAsia" w:eastAsiaTheme="minorEastAsia" w:hAnsiTheme="minorEastAsia" w:hint="eastAsia"/>
          <w:bCs/>
          <w:szCs w:val="21"/>
        </w:rPr>
        <w:t>）本基金在全国银行间同业市场的债券回购最长期限为</w:t>
      </w: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年，债券回购到期后不得展期；</w:t>
      </w:r>
    </w:p>
    <w:p w14:paraId="06271A87"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lastRenderedPageBreak/>
        <w:t>（</w:t>
      </w:r>
      <w:r w:rsidRPr="00E97AFD">
        <w:rPr>
          <w:rFonts w:asciiTheme="minorEastAsia" w:eastAsiaTheme="minorEastAsia" w:hAnsiTheme="minorEastAsia"/>
          <w:bCs/>
          <w:szCs w:val="21"/>
        </w:rPr>
        <w:t>8</w:t>
      </w:r>
      <w:r w:rsidRPr="00E97AFD">
        <w:rPr>
          <w:rFonts w:asciiTheme="minorEastAsia" w:eastAsiaTheme="minorEastAsia" w:hAnsiTheme="minorEastAsia" w:hint="eastAsia"/>
          <w:bCs/>
          <w:szCs w:val="21"/>
        </w:rPr>
        <w:t>）本基金投资于同一原始权益人的各类资产支持证券的比例，不得超过基金资产净值的</w:t>
      </w: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；本基金持有的全部资产支持证券，其市值不得超过基金资产净值的</w:t>
      </w:r>
      <w:r w:rsidRPr="00E97AFD">
        <w:rPr>
          <w:rFonts w:asciiTheme="minorEastAsia" w:eastAsiaTheme="minorEastAsia" w:hAnsiTheme="minorEastAsia"/>
          <w:bCs/>
          <w:szCs w:val="21"/>
        </w:rPr>
        <w:t>20%</w:t>
      </w:r>
      <w:r w:rsidRPr="00E97AFD">
        <w:rPr>
          <w:rFonts w:asciiTheme="minorEastAsia" w:eastAsiaTheme="minorEastAsia" w:hAnsiTheme="minorEastAsia" w:hint="eastAsia"/>
          <w:bCs/>
          <w:szCs w:val="21"/>
        </w:rPr>
        <w:t>；本基金持有的同一</w:t>
      </w:r>
      <w:r w:rsidRPr="00E97AFD">
        <w:rPr>
          <w:rFonts w:asciiTheme="minorEastAsia" w:eastAsiaTheme="minorEastAsia" w:hAnsiTheme="minorEastAsia"/>
          <w:bCs/>
          <w:szCs w:val="21"/>
        </w:rPr>
        <w:t>(</w:t>
      </w:r>
      <w:r w:rsidRPr="00E97AFD">
        <w:rPr>
          <w:rFonts w:asciiTheme="minorEastAsia" w:eastAsiaTheme="minorEastAsia" w:hAnsiTheme="minorEastAsia" w:hint="eastAsia"/>
          <w:bCs/>
          <w:szCs w:val="21"/>
        </w:rPr>
        <w:t>指同一信用级别</w:t>
      </w:r>
      <w:r w:rsidRPr="00E97AFD">
        <w:rPr>
          <w:rFonts w:asciiTheme="minorEastAsia" w:eastAsiaTheme="minorEastAsia" w:hAnsiTheme="minorEastAsia"/>
          <w:bCs/>
          <w:szCs w:val="21"/>
        </w:rPr>
        <w:t>)</w:t>
      </w:r>
      <w:r w:rsidRPr="00E97AFD">
        <w:rPr>
          <w:rFonts w:asciiTheme="minorEastAsia" w:eastAsiaTheme="minorEastAsia" w:hAnsiTheme="minorEastAsia" w:hint="eastAsia"/>
          <w:bCs/>
          <w:szCs w:val="21"/>
        </w:rPr>
        <w:t>资产支持证券的比例，不得超过该资产支持证券规模的</w:t>
      </w: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；本基金管理人管理的全部基金投资于同一原始权益人的各类资产支持证券，不得超过其各类资产支持证券合计规模的</w:t>
      </w: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w:t>
      </w:r>
    </w:p>
    <w:p w14:paraId="25316B3C"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本基金应投资于信用级别评级为</w:t>
      </w:r>
      <w:r w:rsidRPr="00E97AFD">
        <w:rPr>
          <w:rFonts w:asciiTheme="minorEastAsia" w:eastAsiaTheme="minorEastAsia" w:hAnsiTheme="minorEastAsia"/>
          <w:bCs/>
          <w:szCs w:val="21"/>
        </w:rPr>
        <w:t>AAA</w:t>
      </w:r>
      <w:r w:rsidRPr="00E97AFD">
        <w:rPr>
          <w:rFonts w:asciiTheme="minorEastAsia" w:eastAsiaTheme="minorEastAsia" w:hAnsiTheme="minorEastAsia" w:hint="eastAsia"/>
          <w:bCs/>
          <w:szCs w:val="21"/>
        </w:rPr>
        <w:t>以上</w:t>
      </w:r>
      <w:r w:rsidRPr="00E97AFD">
        <w:rPr>
          <w:rFonts w:asciiTheme="minorEastAsia" w:eastAsiaTheme="minorEastAsia" w:hAnsiTheme="minorEastAsia"/>
          <w:bCs/>
          <w:szCs w:val="21"/>
        </w:rPr>
        <w:t>(</w:t>
      </w:r>
      <w:r w:rsidRPr="00E97AFD">
        <w:rPr>
          <w:rFonts w:asciiTheme="minorEastAsia" w:eastAsiaTheme="minorEastAsia" w:hAnsiTheme="minorEastAsia" w:hint="eastAsia"/>
          <w:bCs/>
          <w:szCs w:val="21"/>
        </w:rPr>
        <w:t>含</w:t>
      </w:r>
      <w:r w:rsidRPr="00E97AFD">
        <w:rPr>
          <w:rFonts w:asciiTheme="minorEastAsia" w:eastAsiaTheme="minorEastAsia" w:hAnsiTheme="minorEastAsia"/>
          <w:bCs/>
          <w:szCs w:val="21"/>
        </w:rPr>
        <w:t>AAA)</w:t>
      </w:r>
      <w:r w:rsidRPr="00E97AFD">
        <w:rPr>
          <w:rFonts w:asciiTheme="minorEastAsia" w:eastAsiaTheme="minorEastAsia" w:hAnsiTheme="minorEastAsia" w:hint="eastAsia"/>
          <w:bCs/>
          <w:szCs w:val="21"/>
        </w:rPr>
        <w:t>的资产支持证券。基金持有资产支持证券期间，如果其信用等级下降、不再符合投资标准，应在评级报告发布之日起</w:t>
      </w: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个月内予以全部卖出；</w:t>
      </w:r>
    </w:p>
    <w:p w14:paraId="73EBAD7E"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9</w:t>
      </w:r>
      <w:r w:rsidRPr="00E97AFD">
        <w:rPr>
          <w:rFonts w:asciiTheme="minorEastAsia" w:eastAsiaTheme="minorEastAsia" w:hAnsiTheme="minorEastAsia" w:hint="eastAsia"/>
          <w:bCs/>
          <w:szCs w:val="21"/>
        </w:rPr>
        <w:t>）本基金投资的债券与非金融企业债务融资工具须具有评级资质的资信评级机构进行持续信用评级，信用评级主要参照最近一个会计年度的主体信用评级，如果对发行人同时有两家以上境内机构评级的，应采用孰低原则确定其评级，并结合基金管理人内部信用评级进行独立判断与认定；</w:t>
      </w:r>
    </w:p>
    <w:p w14:paraId="336BACAA" w14:textId="0AEBEB45"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）本基金主动投资于流动性受限资产的市值合计不得超过基金资产净值的</w:t>
      </w: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。因证券市场波动、证券停牌、基金规模变动等基金管理人之外的因素致使基金不符合前款所规定比例限制的，基金管理人不得主动新增流动性受限资产的投资。</w:t>
      </w:r>
    </w:p>
    <w:p w14:paraId="44CBD332" w14:textId="17AD783B"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11</w:t>
      </w:r>
      <w:r w:rsidRPr="00E97AFD">
        <w:rPr>
          <w:rFonts w:asciiTheme="minorEastAsia" w:eastAsiaTheme="minorEastAsia" w:hAnsiTheme="minorEastAsia" w:hint="eastAsia"/>
          <w:bCs/>
          <w:szCs w:val="21"/>
        </w:rPr>
        <w:t>）本基金投资于主体信用评级低于</w:t>
      </w:r>
      <w:r w:rsidRPr="00E97AFD">
        <w:rPr>
          <w:rFonts w:asciiTheme="minorEastAsia" w:eastAsiaTheme="minorEastAsia" w:hAnsiTheme="minorEastAsia"/>
          <w:bCs/>
          <w:szCs w:val="21"/>
        </w:rPr>
        <w:t>AAA</w:t>
      </w:r>
      <w:r w:rsidRPr="00E97AFD">
        <w:rPr>
          <w:rFonts w:asciiTheme="minorEastAsia" w:eastAsiaTheme="minorEastAsia" w:hAnsiTheme="minorEastAsia" w:hint="eastAsia"/>
          <w:bCs/>
          <w:szCs w:val="21"/>
        </w:rPr>
        <w:t>的机构发行的金融工具占基金资产净值的比例合计不得超过</w:t>
      </w: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，其中单一机构发行的金融工具占基金资产净值的比例合计不得超过</w:t>
      </w: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。前述金融工具包括债券、非金融企业债务融资工具、银行存款、同业存单、相关机构作为原始权益人的资产支持证券及中国证监会认定的其他品种。本基金拟投资于主体信用评级低于</w:t>
      </w:r>
      <w:r w:rsidRPr="00E97AFD">
        <w:rPr>
          <w:rFonts w:asciiTheme="minorEastAsia" w:eastAsiaTheme="minorEastAsia" w:hAnsiTheme="minorEastAsia"/>
          <w:bCs/>
          <w:szCs w:val="21"/>
        </w:rPr>
        <w:t>AA+</w:t>
      </w:r>
      <w:r w:rsidRPr="00E97AFD">
        <w:rPr>
          <w:rFonts w:asciiTheme="minorEastAsia" w:eastAsiaTheme="minorEastAsia" w:hAnsiTheme="minorEastAsia" w:hint="eastAsia"/>
          <w:bCs/>
          <w:szCs w:val="21"/>
        </w:rPr>
        <w:t>的商业银行的银行存款与同业存单的，应当经基金管理人董事会审议批准，相关交易应当事先征得基金托管人的同意，并作为重大事项履行信息披露程序。</w:t>
      </w:r>
    </w:p>
    <w:p w14:paraId="5A71EC0C"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12</w:t>
      </w:r>
      <w:r w:rsidRPr="00E97AFD">
        <w:rPr>
          <w:rFonts w:asciiTheme="minorEastAsia" w:eastAsiaTheme="minorEastAsia" w:hAnsiTheme="minorEastAsia" w:hint="eastAsia"/>
          <w:bCs/>
          <w:szCs w:val="21"/>
        </w:rPr>
        <w:t>）本基金根据份额持有人集中度情况对本基金的投资组合实施调整，并遵守以下要求：</w:t>
      </w:r>
    </w:p>
    <w:p w14:paraId="5F795BC1" w14:textId="74EA31D1"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）当本基金前</w:t>
      </w: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名份额持有人的持有份额合计超过基金总份额的</w:t>
      </w:r>
      <w:r w:rsidRPr="00E97AFD">
        <w:rPr>
          <w:rFonts w:asciiTheme="minorEastAsia" w:eastAsiaTheme="minorEastAsia" w:hAnsiTheme="minorEastAsia"/>
          <w:bCs/>
          <w:szCs w:val="21"/>
        </w:rPr>
        <w:t>50%</w:t>
      </w:r>
      <w:r w:rsidRPr="00E97AFD">
        <w:rPr>
          <w:rFonts w:asciiTheme="minorEastAsia" w:eastAsiaTheme="minorEastAsia" w:hAnsiTheme="minorEastAsia" w:hint="eastAsia"/>
          <w:bCs/>
          <w:szCs w:val="21"/>
        </w:rPr>
        <w:t>时，本基金投资组合的平均剩余期限不得超过</w:t>
      </w:r>
      <w:r w:rsidRPr="00E97AFD">
        <w:rPr>
          <w:rFonts w:asciiTheme="minorEastAsia" w:eastAsiaTheme="minorEastAsia" w:hAnsiTheme="minorEastAsia"/>
          <w:bCs/>
          <w:szCs w:val="21"/>
        </w:rPr>
        <w:t>60</w:t>
      </w:r>
      <w:r w:rsidRPr="00E97AFD">
        <w:rPr>
          <w:rFonts w:asciiTheme="minorEastAsia" w:eastAsiaTheme="minorEastAsia" w:hAnsiTheme="minorEastAsia" w:hint="eastAsia"/>
          <w:bCs/>
          <w:szCs w:val="21"/>
        </w:rPr>
        <w:t>天，平均剩余存续期不得超过</w:t>
      </w:r>
      <w:r w:rsidRPr="00E97AFD">
        <w:rPr>
          <w:rFonts w:asciiTheme="minorEastAsia" w:eastAsiaTheme="minorEastAsia" w:hAnsiTheme="minorEastAsia"/>
          <w:bCs/>
          <w:szCs w:val="21"/>
        </w:rPr>
        <w:t>120</w:t>
      </w:r>
      <w:r w:rsidRPr="00E97AFD">
        <w:rPr>
          <w:rFonts w:asciiTheme="minorEastAsia" w:eastAsiaTheme="minorEastAsia" w:hAnsiTheme="minorEastAsia" w:hint="eastAsia"/>
          <w:bCs/>
          <w:szCs w:val="21"/>
        </w:rPr>
        <w:t>天；投资组合中现金、国债、中央银行票据、政策性金融债券以及</w:t>
      </w:r>
      <w:r w:rsidRPr="00E97AFD">
        <w:rPr>
          <w:rFonts w:asciiTheme="minorEastAsia" w:eastAsiaTheme="minorEastAsia" w:hAnsiTheme="minorEastAsia"/>
          <w:bCs/>
          <w:szCs w:val="21"/>
        </w:rPr>
        <w:t>5</w:t>
      </w:r>
      <w:r w:rsidRPr="00E97AFD">
        <w:rPr>
          <w:rFonts w:asciiTheme="minorEastAsia" w:eastAsiaTheme="minorEastAsia" w:hAnsiTheme="minorEastAsia" w:hint="eastAsia"/>
          <w:bCs/>
          <w:szCs w:val="21"/>
        </w:rPr>
        <w:t>个交易日内到期的其他金融工具占基金资产净值的比例合计不得低于</w:t>
      </w:r>
      <w:r w:rsidRPr="00E97AFD">
        <w:rPr>
          <w:rFonts w:asciiTheme="minorEastAsia" w:eastAsiaTheme="minorEastAsia" w:hAnsiTheme="minorEastAsia"/>
          <w:bCs/>
          <w:szCs w:val="21"/>
        </w:rPr>
        <w:t>30%</w:t>
      </w:r>
      <w:r w:rsidRPr="00E97AFD">
        <w:rPr>
          <w:rFonts w:asciiTheme="minorEastAsia" w:eastAsiaTheme="minorEastAsia" w:hAnsiTheme="minorEastAsia" w:hint="eastAsia"/>
          <w:bCs/>
          <w:szCs w:val="21"/>
        </w:rPr>
        <w:t>。</w:t>
      </w:r>
    </w:p>
    <w:p w14:paraId="4DC1DB52" w14:textId="57861C94"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）当本基金前</w:t>
      </w: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名份额持有人的持有份额合计超过基金总份额的</w:t>
      </w:r>
      <w:r w:rsidRPr="00E97AFD">
        <w:rPr>
          <w:rFonts w:asciiTheme="minorEastAsia" w:eastAsiaTheme="minorEastAsia" w:hAnsiTheme="minorEastAsia"/>
          <w:bCs/>
          <w:szCs w:val="21"/>
        </w:rPr>
        <w:t>20%</w:t>
      </w:r>
      <w:r w:rsidRPr="00E97AFD">
        <w:rPr>
          <w:rFonts w:asciiTheme="minorEastAsia" w:eastAsiaTheme="minorEastAsia" w:hAnsiTheme="minorEastAsia" w:hint="eastAsia"/>
          <w:bCs/>
          <w:szCs w:val="21"/>
        </w:rPr>
        <w:t>时，本基金投资组合的平均剩余期限不得超过</w:t>
      </w:r>
      <w:r w:rsidRPr="00E97AFD">
        <w:rPr>
          <w:rFonts w:asciiTheme="minorEastAsia" w:eastAsiaTheme="minorEastAsia" w:hAnsiTheme="minorEastAsia"/>
          <w:bCs/>
          <w:szCs w:val="21"/>
        </w:rPr>
        <w:t>90</w:t>
      </w:r>
      <w:r w:rsidRPr="00E97AFD">
        <w:rPr>
          <w:rFonts w:asciiTheme="minorEastAsia" w:eastAsiaTheme="minorEastAsia" w:hAnsiTheme="minorEastAsia" w:hint="eastAsia"/>
          <w:bCs/>
          <w:szCs w:val="21"/>
        </w:rPr>
        <w:t>天，平均剩余存续期不得超过</w:t>
      </w:r>
      <w:r w:rsidRPr="00E97AFD">
        <w:rPr>
          <w:rFonts w:asciiTheme="minorEastAsia" w:eastAsiaTheme="minorEastAsia" w:hAnsiTheme="minorEastAsia"/>
          <w:bCs/>
          <w:szCs w:val="21"/>
        </w:rPr>
        <w:t>180</w:t>
      </w:r>
      <w:r w:rsidRPr="00E97AFD">
        <w:rPr>
          <w:rFonts w:asciiTheme="minorEastAsia" w:eastAsiaTheme="minorEastAsia" w:hAnsiTheme="minorEastAsia" w:hint="eastAsia"/>
          <w:bCs/>
          <w:szCs w:val="21"/>
        </w:rPr>
        <w:t>天；投资组合中现金、国债、中央银行票据、政策性金融债券以及</w:t>
      </w:r>
      <w:r w:rsidRPr="00E97AFD">
        <w:rPr>
          <w:rFonts w:asciiTheme="minorEastAsia" w:eastAsiaTheme="minorEastAsia" w:hAnsiTheme="minorEastAsia"/>
          <w:bCs/>
          <w:szCs w:val="21"/>
        </w:rPr>
        <w:t>5</w:t>
      </w:r>
      <w:r w:rsidRPr="00E97AFD">
        <w:rPr>
          <w:rFonts w:asciiTheme="minorEastAsia" w:eastAsiaTheme="minorEastAsia" w:hAnsiTheme="minorEastAsia" w:hint="eastAsia"/>
          <w:bCs/>
          <w:szCs w:val="21"/>
        </w:rPr>
        <w:t>个交易日内到期的其他金融工具占基金资产净</w:t>
      </w:r>
      <w:r w:rsidRPr="00E97AFD">
        <w:rPr>
          <w:rFonts w:asciiTheme="minorEastAsia" w:eastAsiaTheme="minorEastAsia" w:hAnsiTheme="minorEastAsia" w:hint="eastAsia"/>
          <w:bCs/>
          <w:szCs w:val="21"/>
        </w:rPr>
        <w:lastRenderedPageBreak/>
        <w:t>值的比例合计不得低于</w:t>
      </w:r>
      <w:r w:rsidRPr="00E97AFD">
        <w:rPr>
          <w:rFonts w:asciiTheme="minorEastAsia" w:eastAsiaTheme="minorEastAsia" w:hAnsiTheme="minorEastAsia"/>
          <w:bCs/>
          <w:szCs w:val="21"/>
        </w:rPr>
        <w:t>20%</w:t>
      </w:r>
      <w:r w:rsidRPr="00E97AFD">
        <w:rPr>
          <w:rFonts w:asciiTheme="minorEastAsia" w:eastAsiaTheme="minorEastAsia" w:hAnsiTheme="minorEastAsia" w:hint="eastAsia"/>
          <w:bCs/>
          <w:szCs w:val="21"/>
        </w:rPr>
        <w:t>。</w:t>
      </w:r>
    </w:p>
    <w:p w14:paraId="2107BB52"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13</w:t>
      </w:r>
      <w:r w:rsidRPr="00E97AFD">
        <w:rPr>
          <w:rFonts w:asciiTheme="minorEastAsia" w:eastAsiaTheme="minorEastAsia" w:hAnsiTheme="minorEastAsia" w:hint="eastAsia"/>
          <w:bCs/>
          <w:szCs w:val="21"/>
        </w:rPr>
        <w:t>）本基金与私募类证券资管产品及中国证监会认定的其他主体为交易对手开展逆回购交易的，可接受质押品的资质要求应当与基金合同约定的投资范围保持一致。</w:t>
      </w:r>
    </w:p>
    <w:p w14:paraId="40AA0D29"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14</w:t>
      </w:r>
      <w:r w:rsidRPr="00E97AFD">
        <w:rPr>
          <w:rFonts w:asciiTheme="minorEastAsia" w:eastAsiaTheme="minorEastAsia" w:hAnsiTheme="minorEastAsia" w:hint="eastAsia"/>
          <w:bCs/>
          <w:szCs w:val="21"/>
        </w:rPr>
        <w:t>）中国证监会规定的其他比例限制。</w:t>
      </w:r>
    </w:p>
    <w:p w14:paraId="56C7A59A"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除第（</w:t>
      </w: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5</w:t>
      </w:r>
      <w:r w:rsidRPr="00E97AFD">
        <w:rPr>
          <w:rFonts w:asciiTheme="minorEastAsia" w:eastAsiaTheme="minorEastAsia" w:hAnsiTheme="minorEastAsia" w:hint="eastAsia"/>
          <w:bCs/>
          <w:szCs w:val="21"/>
        </w:rPr>
        <w:t>）之</w:t>
      </w: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13</w:t>
      </w:r>
      <w:r w:rsidRPr="00E97AFD">
        <w:rPr>
          <w:rFonts w:asciiTheme="minorEastAsia" w:eastAsiaTheme="minorEastAsia" w:hAnsiTheme="minorEastAsia" w:hint="eastAsia"/>
          <w:bCs/>
          <w:szCs w:val="21"/>
        </w:rPr>
        <w:t>）项外，因市场波动、基金规模变动等基金管理人之外的因素致使基金投资不符合上述规定投资比例的，基金管理人应当在</w:t>
      </w:r>
      <w:r w:rsidRPr="00E97AFD">
        <w:rPr>
          <w:rFonts w:asciiTheme="minorEastAsia" w:eastAsiaTheme="minorEastAsia" w:hAnsiTheme="minorEastAsia"/>
          <w:bCs/>
          <w:szCs w:val="21"/>
        </w:rPr>
        <w:t>10</w:t>
      </w:r>
      <w:r w:rsidRPr="00E97AFD">
        <w:rPr>
          <w:rFonts w:asciiTheme="minorEastAsia" w:eastAsiaTheme="minorEastAsia" w:hAnsiTheme="minorEastAsia" w:hint="eastAsia"/>
          <w:bCs/>
          <w:szCs w:val="21"/>
        </w:rPr>
        <w:t>个交易日内进行调整，但中国证监会规定或上述条款另有约定的特殊情形除外。法律法规另有规定的，从其规定。</w:t>
      </w:r>
    </w:p>
    <w:p w14:paraId="4428D844"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、若法律法规或中国证监会的相关规定发生修改或变更，以修改或变更后的规定为准。</w:t>
      </w:r>
    </w:p>
    <w:p w14:paraId="6DFD81F1"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基金管理人应当自基金合同生效之日起</w:t>
      </w:r>
      <w:r w:rsidRPr="00E97AFD">
        <w:rPr>
          <w:rFonts w:asciiTheme="minorEastAsia" w:eastAsiaTheme="minorEastAsia" w:hAnsiTheme="minorEastAsia"/>
          <w:bCs/>
          <w:szCs w:val="21"/>
        </w:rPr>
        <w:t>6</w:t>
      </w:r>
      <w:r w:rsidRPr="00E97AFD">
        <w:rPr>
          <w:rFonts w:asciiTheme="minorEastAsia" w:eastAsiaTheme="minorEastAsia" w:hAnsiTheme="minorEastAsia" w:hint="eastAsia"/>
          <w:bCs/>
          <w:szCs w:val="21"/>
        </w:rPr>
        <w:t>个月内使基金的投资组合比例符合基金合同的有关约定。期间，基金的投资范围、投资策略应当符合基金合同的约定。基金托管人对基金的投资的监督与检查自本基金合同生效之日起。</w:t>
      </w:r>
    </w:p>
    <w:p w14:paraId="316EE134"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4</w:t>
      </w:r>
      <w:r w:rsidRPr="00E97AFD">
        <w:rPr>
          <w:rFonts w:asciiTheme="minorEastAsia" w:eastAsiaTheme="minorEastAsia" w:hAnsiTheme="minorEastAsia" w:hint="eastAsia"/>
          <w:bCs/>
          <w:szCs w:val="21"/>
        </w:rPr>
        <w:t>、投资组合平均剩余期限和剩余存续期限的计算</w:t>
      </w:r>
    </w:p>
    <w:p w14:paraId="05C25C0A"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）平均剩余期限（天）的计算公式如下：</w:t>
      </w:r>
    </w:p>
    <w:p w14:paraId="0C519E70"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（Σ投资于金融工具产生的资产×剩余期限</w:t>
      </w:r>
      <w:r w:rsidRPr="00E97AFD">
        <w:rPr>
          <w:rFonts w:asciiTheme="minorEastAsia" w:eastAsiaTheme="minorEastAsia" w:hAnsiTheme="minorEastAsia"/>
          <w:bCs/>
          <w:szCs w:val="21"/>
        </w:rPr>
        <w:t>-</w:t>
      </w:r>
      <w:r w:rsidRPr="00E97AFD">
        <w:rPr>
          <w:rFonts w:asciiTheme="minorEastAsia" w:eastAsiaTheme="minorEastAsia" w:hAnsiTheme="minorEastAsia" w:hint="eastAsia"/>
          <w:bCs/>
          <w:szCs w:val="21"/>
        </w:rPr>
        <w:t>Σ投资于金融工具产生的负债×剩余期限</w:t>
      </w:r>
      <w:r w:rsidRPr="00E97AFD">
        <w:rPr>
          <w:rFonts w:asciiTheme="minorEastAsia" w:eastAsiaTheme="minorEastAsia" w:hAnsiTheme="minorEastAsia"/>
          <w:bCs/>
          <w:szCs w:val="21"/>
        </w:rPr>
        <w:t>+</w:t>
      </w:r>
      <w:r w:rsidRPr="00E97AFD">
        <w:rPr>
          <w:rFonts w:asciiTheme="minorEastAsia" w:eastAsiaTheme="minorEastAsia" w:hAnsiTheme="minorEastAsia" w:hint="eastAsia"/>
          <w:bCs/>
          <w:szCs w:val="21"/>
        </w:rPr>
        <w:t>债券正回购×剩余期限）</w:t>
      </w:r>
      <w:r w:rsidRPr="00E97AFD">
        <w:rPr>
          <w:rFonts w:asciiTheme="minorEastAsia" w:eastAsiaTheme="minorEastAsia" w:hAnsiTheme="minorEastAsia"/>
          <w:bCs/>
          <w:szCs w:val="21"/>
        </w:rPr>
        <w:t>/</w:t>
      </w:r>
      <w:r w:rsidRPr="00E97AFD">
        <w:rPr>
          <w:rFonts w:asciiTheme="minorEastAsia" w:eastAsiaTheme="minorEastAsia" w:hAnsiTheme="minorEastAsia" w:hint="eastAsia"/>
          <w:bCs/>
          <w:szCs w:val="21"/>
        </w:rPr>
        <w:t>（投资于金融工具产生的资产</w:t>
      </w:r>
      <w:r w:rsidRPr="00E97AFD">
        <w:rPr>
          <w:rFonts w:asciiTheme="minorEastAsia" w:eastAsiaTheme="minorEastAsia" w:hAnsiTheme="minorEastAsia"/>
          <w:bCs/>
          <w:szCs w:val="21"/>
        </w:rPr>
        <w:t>-</w:t>
      </w:r>
      <w:r w:rsidRPr="00E97AFD">
        <w:rPr>
          <w:rFonts w:asciiTheme="minorEastAsia" w:eastAsiaTheme="minorEastAsia" w:hAnsiTheme="minorEastAsia" w:hint="eastAsia"/>
          <w:bCs/>
          <w:szCs w:val="21"/>
        </w:rPr>
        <w:t>投资于金融工具产生的负债</w:t>
      </w:r>
      <w:r w:rsidRPr="00E97AFD">
        <w:rPr>
          <w:rFonts w:asciiTheme="minorEastAsia" w:eastAsiaTheme="minorEastAsia" w:hAnsiTheme="minorEastAsia"/>
          <w:bCs/>
          <w:szCs w:val="21"/>
        </w:rPr>
        <w:t>+</w:t>
      </w:r>
      <w:r w:rsidRPr="00E97AFD">
        <w:rPr>
          <w:rFonts w:asciiTheme="minorEastAsia" w:eastAsiaTheme="minorEastAsia" w:hAnsiTheme="minorEastAsia" w:hint="eastAsia"/>
          <w:bCs/>
          <w:szCs w:val="21"/>
        </w:rPr>
        <w:t>债券正回购）</w:t>
      </w:r>
    </w:p>
    <w:p w14:paraId="3237E802"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）平均剩余存续期限的计算公式如下：</w:t>
      </w:r>
    </w:p>
    <w:p w14:paraId="25CC6CD8"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（Σ投资于金融工具产生的资产×剩余存续期限</w:t>
      </w:r>
      <w:r w:rsidRPr="00E97AFD">
        <w:rPr>
          <w:rFonts w:asciiTheme="minorEastAsia" w:eastAsiaTheme="minorEastAsia" w:hAnsiTheme="minorEastAsia"/>
          <w:bCs/>
          <w:szCs w:val="21"/>
        </w:rPr>
        <w:t>-</w:t>
      </w:r>
      <w:r w:rsidRPr="00E97AFD">
        <w:rPr>
          <w:rFonts w:asciiTheme="minorEastAsia" w:eastAsiaTheme="minorEastAsia" w:hAnsiTheme="minorEastAsia" w:hint="eastAsia"/>
          <w:bCs/>
          <w:szCs w:val="21"/>
        </w:rPr>
        <w:t>Σ投资于金融工具产生的负债×剩余存续期限</w:t>
      </w:r>
      <w:r w:rsidRPr="00E97AFD">
        <w:rPr>
          <w:rFonts w:asciiTheme="minorEastAsia" w:eastAsiaTheme="minorEastAsia" w:hAnsiTheme="minorEastAsia"/>
          <w:bCs/>
          <w:szCs w:val="21"/>
        </w:rPr>
        <w:t>+</w:t>
      </w:r>
      <w:r w:rsidRPr="00E97AFD">
        <w:rPr>
          <w:rFonts w:asciiTheme="minorEastAsia" w:eastAsiaTheme="minorEastAsia" w:hAnsiTheme="minorEastAsia" w:hint="eastAsia"/>
          <w:bCs/>
          <w:szCs w:val="21"/>
        </w:rPr>
        <w:t>债券正回购×剩余存续期限）</w:t>
      </w:r>
      <w:r w:rsidRPr="00E97AFD">
        <w:rPr>
          <w:rFonts w:asciiTheme="minorEastAsia" w:eastAsiaTheme="minorEastAsia" w:hAnsiTheme="minorEastAsia"/>
          <w:bCs/>
          <w:szCs w:val="21"/>
        </w:rPr>
        <w:t>/</w:t>
      </w:r>
      <w:r w:rsidRPr="00E97AFD">
        <w:rPr>
          <w:rFonts w:asciiTheme="minorEastAsia" w:eastAsiaTheme="minorEastAsia" w:hAnsiTheme="minorEastAsia" w:hint="eastAsia"/>
          <w:bCs/>
          <w:szCs w:val="21"/>
        </w:rPr>
        <w:t>（投资于金融工具产生的资产</w:t>
      </w:r>
      <w:r w:rsidRPr="00E97AFD">
        <w:rPr>
          <w:rFonts w:asciiTheme="minorEastAsia" w:eastAsiaTheme="minorEastAsia" w:hAnsiTheme="minorEastAsia"/>
          <w:bCs/>
          <w:szCs w:val="21"/>
        </w:rPr>
        <w:t>-</w:t>
      </w:r>
      <w:r w:rsidRPr="00E97AFD">
        <w:rPr>
          <w:rFonts w:asciiTheme="minorEastAsia" w:eastAsiaTheme="minorEastAsia" w:hAnsiTheme="minorEastAsia" w:hint="eastAsia"/>
          <w:bCs/>
          <w:szCs w:val="21"/>
        </w:rPr>
        <w:t>投资于金融工具产生的负债</w:t>
      </w:r>
      <w:r w:rsidRPr="00E97AFD">
        <w:rPr>
          <w:rFonts w:asciiTheme="minorEastAsia" w:eastAsiaTheme="minorEastAsia" w:hAnsiTheme="minorEastAsia"/>
          <w:bCs/>
          <w:szCs w:val="21"/>
        </w:rPr>
        <w:t>+</w:t>
      </w:r>
      <w:r w:rsidRPr="00E97AFD">
        <w:rPr>
          <w:rFonts w:asciiTheme="minorEastAsia" w:eastAsiaTheme="minorEastAsia" w:hAnsiTheme="minorEastAsia" w:hint="eastAsia"/>
          <w:bCs/>
          <w:szCs w:val="21"/>
        </w:rPr>
        <w:t>债券正回购）</w:t>
      </w:r>
    </w:p>
    <w:p w14:paraId="2E786553"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）各类资产和负债剩余期限和平均剩余存续期限的确定</w:t>
      </w:r>
    </w:p>
    <w:p w14:paraId="5BD3E63C"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）银行活期存款、清算备付金、交易保证金的剩余期限和剩余存续期限为</w:t>
      </w:r>
      <w:r w:rsidRPr="00E97AFD">
        <w:rPr>
          <w:rFonts w:asciiTheme="minorEastAsia" w:eastAsiaTheme="minorEastAsia" w:hAnsiTheme="minorEastAsia"/>
          <w:bCs/>
          <w:szCs w:val="21"/>
        </w:rPr>
        <w:t>0</w:t>
      </w:r>
      <w:r w:rsidRPr="00E97AFD">
        <w:rPr>
          <w:rFonts w:asciiTheme="minorEastAsia" w:eastAsiaTheme="minorEastAsia" w:hAnsiTheme="minorEastAsia" w:hint="eastAsia"/>
          <w:bCs/>
          <w:szCs w:val="21"/>
        </w:rPr>
        <w:t>天；证券清算款的剩余期限和剩余存续期限以计算日至交收日的剩余交易日天数计算；</w:t>
      </w:r>
    </w:p>
    <w:p w14:paraId="6B3477C4" w14:textId="4F034B22"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14:paraId="56E39097"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）银行定期存款、同业存单的剩余期限和剩余存续期限以计算日至协议到期日的实际剩余天数计算；有存款期限，根据协议可提前支取且没有利息损失的银行存款，剩余期限和</w:t>
      </w:r>
      <w:r w:rsidRPr="00E97AFD">
        <w:rPr>
          <w:rFonts w:asciiTheme="minorEastAsia" w:eastAsiaTheme="minorEastAsia" w:hAnsiTheme="minorEastAsia" w:hint="eastAsia"/>
          <w:bCs/>
          <w:szCs w:val="21"/>
        </w:rPr>
        <w:lastRenderedPageBreak/>
        <w:t>剩余存续期限以计算日至协议到期日的实际剩余天数计算；银行通知存款的剩余期限和剩余存续期限以存款协议中约定的通知期计算；</w:t>
      </w:r>
    </w:p>
    <w:p w14:paraId="732ECA64"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4</w:t>
      </w:r>
      <w:r w:rsidRPr="00E97AFD">
        <w:rPr>
          <w:rFonts w:asciiTheme="minorEastAsia" w:eastAsiaTheme="minorEastAsia" w:hAnsiTheme="minorEastAsia" w:hint="eastAsia"/>
          <w:bCs/>
          <w:szCs w:val="21"/>
        </w:rPr>
        <w:t>）中央银行票据的剩余期限和剩余存续期限以计算日至中央银行票据到期日的实际剩余天数计算；</w:t>
      </w:r>
    </w:p>
    <w:p w14:paraId="651760DA"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5</w:t>
      </w:r>
      <w:r w:rsidRPr="00E97AFD">
        <w:rPr>
          <w:rFonts w:asciiTheme="minorEastAsia" w:eastAsiaTheme="minorEastAsia" w:hAnsiTheme="minorEastAsia" w:hint="eastAsia"/>
          <w:bCs/>
          <w:szCs w:val="21"/>
        </w:rPr>
        <w:t>）组合中债券的剩余期限和剩余存续期限是指计算日至债券到期日为止所剩余的天数，以下情况除外：</w:t>
      </w:r>
    </w:p>
    <w:p w14:paraId="4CEB7538"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A</w:t>
      </w:r>
      <w:r w:rsidRPr="00E97AFD">
        <w:rPr>
          <w:rFonts w:asciiTheme="minorEastAsia" w:eastAsiaTheme="minorEastAsia" w:hAnsiTheme="minorEastAsia" w:hint="eastAsia"/>
          <w:bCs/>
          <w:szCs w:val="21"/>
        </w:rPr>
        <w:t>、允许投资的可变利率或浮动利率债券的剩余期限以计算日至下一个利率调整日的实际剩余天数计算。</w:t>
      </w:r>
    </w:p>
    <w:p w14:paraId="7FFCC001"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B</w:t>
      </w:r>
      <w:r w:rsidRPr="00E97AFD">
        <w:rPr>
          <w:rFonts w:asciiTheme="minorEastAsia" w:eastAsiaTheme="minorEastAsia" w:hAnsiTheme="minorEastAsia" w:hint="eastAsia"/>
          <w:bCs/>
          <w:szCs w:val="21"/>
        </w:rPr>
        <w:t>、允许投资的可变利率或浮动利率债券的剩余存续期限以计算日至债券到期日的实际剩余天数计算。</w:t>
      </w:r>
    </w:p>
    <w:p w14:paraId="1E5EDE53" w14:textId="4C719B3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平均剩余期限的计算结果保留至整数位，小数点后四舍五入。如法律法规或中国证监会对剩余期限计算方法另有规定的从其规定。</w:t>
      </w:r>
    </w:p>
    <w:p w14:paraId="3883E8A6"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5</w:t>
      </w:r>
      <w:r w:rsidRPr="00E97AFD">
        <w:rPr>
          <w:rFonts w:asciiTheme="minorEastAsia" w:eastAsiaTheme="minorEastAsia" w:hAnsiTheme="minorEastAsia" w:hint="eastAsia"/>
          <w:bCs/>
          <w:szCs w:val="21"/>
        </w:rPr>
        <w:t>、禁止行为</w:t>
      </w:r>
    </w:p>
    <w:p w14:paraId="3781019F"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为维护基金份额持有人的合法权益，基金财产不得用于下列投资或者活动：</w:t>
      </w:r>
    </w:p>
    <w:p w14:paraId="6B27F804"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）承销证券；</w:t>
      </w:r>
    </w:p>
    <w:p w14:paraId="7762A7B0"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）违反规定向他人贷款或者提供担保；</w:t>
      </w:r>
    </w:p>
    <w:p w14:paraId="1EC7FD0E"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）从事承担无限责任的投资；</w:t>
      </w:r>
    </w:p>
    <w:p w14:paraId="7943CE23"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4</w:t>
      </w:r>
      <w:r w:rsidRPr="00E97AFD">
        <w:rPr>
          <w:rFonts w:asciiTheme="minorEastAsia" w:eastAsiaTheme="minorEastAsia" w:hAnsiTheme="minorEastAsia" w:hint="eastAsia"/>
          <w:bCs/>
          <w:szCs w:val="21"/>
        </w:rPr>
        <w:t>）向其基金管理人、基金托管人出资；</w:t>
      </w:r>
    </w:p>
    <w:p w14:paraId="3947FC91"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5</w:t>
      </w:r>
      <w:r w:rsidRPr="00E97AFD">
        <w:rPr>
          <w:rFonts w:asciiTheme="minorEastAsia" w:eastAsiaTheme="minorEastAsia" w:hAnsiTheme="minorEastAsia" w:hint="eastAsia"/>
          <w:bCs/>
          <w:szCs w:val="21"/>
        </w:rPr>
        <w:t>）从事内幕交易、操纵证券交易价格及其他不正当的证券交易活动；</w:t>
      </w:r>
    </w:p>
    <w:p w14:paraId="19B1173A"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6</w:t>
      </w:r>
      <w:r w:rsidRPr="00E97AFD">
        <w:rPr>
          <w:rFonts w:asciiTheme="minorEastAsia" w:eastAsiaTheme="minorEastAsia" w:hAnsiTheme="minorEastAsia" w:hint="eastAsia"/>
          <w:bCs/>
          <w:szCs w:val="21"/>
        </w:rPr>
        <w:t>）法律、行政法规和中国证监会规定禁止的其他活动。</w:t>
      </w:r>
    </w:p>
    <w:p w14:paraId="39D4C9A9" w14:textId="77777777" w:rsidR="006B018F" w:rsidRPr="00E97AFD" w:rsidRDefault="006B018F" w:rsidP="006B018F">
      <w:pPr>
        <w:spacing w:line="360" w:lineRule="auto"/>
        <w:ind w:firstLineChars="200" w:firstLine="420"/>
        <w:rPr>
          <w:rFonts w:asciiTheme="minorEastAsia" w:eastAsiaTheme="minorEastAsia" w:hAnsiTheme="minorEastAsia" w:cs="宋体"/>
          <w:kern w:val="0"/>
          <w:szCs w:val="21"/>
          <w:shd w:val="clear" w:color="auto" w:fill="FFFFFF"/>
        </w:rPr>
      </w:pPr>
      <w:r w:rsidRPr="00E97AFD">
        <w:rPr>
          <w:rFonts w:asciiTheme="minorEastAsia" w:eastAsiaTheme="minorEastAsia" w:hAnsiTheme="minorEastAsia" w:hint="eastAsia"/>
          <w:bCs/>
          <w:szCs w:val="21"/>
        </w:rPr>
        <w:t>法律法规或监管部门取消上述限制，则本基金投资不再受相关限制。</w:t>
      </w:r>
    </w:p>
    <w:p w14:paraId="33493E13"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六、基金资产净值的计算方法和公告方式</w:t>
      </w:r>
    </w:p>
    <w:p w14:paraId="1BDF250A"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（一）基金资产总值</w:t>
      </w:r>
    </w:p>
    <w:p w14:paraId="5A9CA4B5"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基金资产总值是指购买的各类证券及票据价值、银行存款本息和基金应收的申购基金款以及其他投资所形成的价值总和。</w:t>
      </w:r>
    </w:p>
    <w:p w14:paraId="466796CF"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（二）基金资产净值</w:t>
      </w:r>
    </w:p>
    <w:p w14:paraId="0F1161F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基金资产净值是指基金资产总值减去基金负债后的价值。</w:t>
      </w:r>
    </w:p>
    <w:p w14:paraId="28E8D1C5"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（三）基金每万份基金已实现收益和</w:t>
      </w:r>
      <w:r w:rsidRPr="00E97AFD">
        <w:rPr>
          <w:rFonts w:asciiTheme="minorEastAsia" w:eastAsiaTheme="minorEastAsia" w:hAnsiTheme="minorEastAsia"/>
          <w:bCs/>
          <w:szCs w:val="21"/>
        </w:rPr>
        <w:t>7</w:t>
      </w:r>
      <w:r w:rsidRPr="00E97AFD">
        <w:rPr>
          <w:rFonts w:asciiTheme="minorEastAsia" w:eastAsiaTheme="minorEastAsia" w:hAnsiTheme="minorEastAsia" w:hint="eastAsia"/>
          <w:bCs/>
          <w:szCs w:val="21"/>
        </w:rPr>
        <w:t>日年化收益率信息</w:t>
      </w:r>
    </w:p>
    <w:p w14:paraId="06C44883"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、本基金的基金合同生效后，在开始办理基金份额申购或者赎回前，基金管理人将至少每周</w:t>
      </w:r>
      <w:r w:rsidRPr="00E97AFD">
        <w:rPr>
          <w:rFonts w:asciiTheme="minorEastAsia" w:eastAsiaTheme="minorEastAsia" w:hAnsiTheme="minorEastAsia" w:hint="eastAsia"/>
          <w:szCs w:val="21"/>
        </w:rPr>
        <w:t>在指定网站披露</w:t>
      </w:r>
      <w:r w:rsidRPr="00E97AFD">
        <w:rPr>
          <w:rFonts w:asciiTheme="minorEastAsia" w:eastAsiaTheme="minorEastAsia" w:hAnsiTheme="minorEastAsia" w:hint="eastAsia"/>
          <w:bCs/>
          <w:szCs w:val="21"/>
        </w:rPr>
        <w:t>一次基金的每万份基金已实现收益和</w:t>
      </w:r>
      <w:r w:rsidRPr="00E97AFD">
        <w:rPr>
          <w:rFonts w:asciiTheme="minorEastAsia" w:eastAsiaTheme="minorEastAsia" w:hAnsiTheme="minorEastAsia"/>
          <w:bCs/>
          <w:szCs w:val="21"/>
        </w:rPr>
        <w:t>7</w:t>
      </w:r>
      <w:r w:rsidRPr="00E97AFD">
        <w:rPr>
          <w:rFonts w:asciiTheme="minorEastAsia" w:eastAsiaTheme="minorEastAsia" w:hAnsiTheme="minorEastAsia" w:hint="eastAsia"/>
          <w:bCs/>
          <w:szCs w:val="21"/>
        </w:rPr>
        <w:t>日年化收益率；</w:t>
      </w:r>
    </w:p>
    <w:p w14:paraId="331E8A2E"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lastRenderedPageBreak/>
        <w:t>每万份基金已实现收益和</w:t>
      </w:r>
      <w:r w:rsidRPr="00E97AFD">
        <w:rPr>
          <w:rFonts w:asciiTheme="minorEastAsia" w:eastAsiaTheme="minorEastAsia" w:hAnsiTheme="minorEastAsia"/>
          <w:bCs/>
          <w:szCs w:val="21"/>
        </w:rPr>
        <w:t>7</w:t>
      </w:r>
      <w:r w:rsidRPr="00E97AFD">
        <w:rPr>
          <w:rFonts w:asciiTheme="minorEastAsia" w:eastAsiaTheme="minorEastAsia" w:hAnsiTheme="minorEastAsia" w:hint="eastAsia"/>
          <w:bCs/>
          <w:szCs w:val="21"/>
        </w:rPr>
        <w:t>日年化收益率的计算方法如下：</w:t>
      </w:r>
    </w:p>
    <w:p w14:paraId="35A7D037"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每万份基金已实现收益＝当日该类基金份额的已实现收益</w:t>
      </w:r>
      <w:r w:rsidRPr="00E97AFD">
        <w:rPr>
          <w:rFonts w:asciiTheme="minorEastAsia" w:eastAsiaTheme="minorEastAsia" w:hAnsiTheme="minorEastAsia"/>
          <w:bCs/>
          <w:szCs w:val="21"/>
        </w:rPr>
        <w:t>/</w:t>
      </w:r>
      <w:r w:rsidRPr="00E97AFD">
        <w:rPr>
          <w:rFonts w:asciiTheme="minorEastAsia" w:eastAsiaTheme="minorEastAsia" w:hAnsiTheme="minorEastAsia" w:hint="eastAsia"/>
          <w:bCs/>
          <w:szCs w:val="21"/>
        </w:rPr>
        <w:t>当日该类基金份额总额×</w:t>
      </w:r>
      <w:r w:rsidRPr="00E97AFD">
        <w:rPr>
          <w:rFonts w:asciiTheme="minorEastAsia" w:eastAsiaTheme="minorEastAsia" w:hAnsiTheme="minorEastAsia"/>
          <w:bCs/>
          <w:szCs w:val="21"/>
        </w:rPr>
        <w:t>10000</w:t>
      </w:r>
      <w:r w:rsidRPr="00E97AFD">
        <w:rPr>
          <w:rFonts w:asciiTheme="minorEastAsia" w:eastAsiaTheme="minorEastAsia" w:hAnsiTheme="minorEastAsia" w:hint="eastAsia"/>
          <w:bCs/>
          <w:szCs w:val="21"/>
        </w:rPr>
        <w:t>。</w:t>
      </w:r>
      <w:r w:rsidRPr="00E97AFD">
        <w:rPr>
          <w:rFonts w:asciiTheme="minorEastAsia" w:eastAsiaTheme="minorEastAsia" w:hAnsiTheme="minorEastAsia" w:hint="eastAsia"/>
          <w:szCs w:val="21"/>
        </w:rPr>
        <w:t>其中，当日分配的基金收益自其下一日起享有分红权益，自下一日起纳入基金份额总数的计算</w:t>
      </w:r>
      <w:r w:rsidRPr="00E97AFD">
        <w:rPr>
          <w:rFonts w:asciiTheme="minorEastAsia" w:eastAsiaTheme="minorEastAsia" w:hAnsiTheme="minorEastAsia" w:hint="eastAsia"/>
          <w:bCs/>
          <w:szCs w:val="21"/>
        </w:rPr>
        <w:t>；收益的精度为以四舍五入的方法保留小数点后</w:t>
      </w:r>
      <w:r w:rsidRPr="00E97AFD">
        <w:rPr>
          <w:rFonts w:asciiTheme="minorEastAsia" w:eastAsiaTheme="minorEastAsia" w:hAnsiTheme="minorEastAsia"/>
          <w:bCs/>
          <w:szCs w:val="21"/>
        </w:rPr>
        <w:t>4位。</w:t>
      </w:r>
    </w:p>
    <w:p w14:paraId="01EBAF17"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7</w:t>
      </w:r>
      <w:r w:rsidRPr="00E97AFD">
        <w:rPr>
          <w:rFonts w:asciiTheme="minorEastAsia" w:eastAsiaTheme="minorEastAsia" w:hAnsiTheme="minorEastAsia" w:hint="eastAsia"/>
          <w:bCs/>
          <w:szCs w:val="21"/>
          <w:lang w:val="zh-CN"/>
        </w:rPr>
        <w:t>日年化收益率</w:t>
      </w:r>
      <w:r w:rsidRPr="00E97AFD">
        <w:rPr>
          <w:rFonts w:asciiTheme="minorEastAsia" w:eastAsiaTheme="minorEastAsia" w:hAnsiTheme="minorEastAsia"/>
          <w:bCs/>
          <w:szCs w:val="21"/>
        </w:rPr>
        <w:t>=</w:t>
      </w:r>
      <w:r w:rsidRPr="00E97AFD">
        <w:rPr>
          <w:rFonts w:asciiTheme="minorEastAsia" w:eastAsiaTheme="minorEastAsia" w:hAnsiTheme="minorEastAsia"/>
          <w:bCs/>
          <w:szCs w:val="21"/>
        </w:rPr>
        <w:object w:dxaOrig="3480" w:dyaOrig="880" w14:anchorId="479A9D62">
          <v:shape id="_x0000_i1026" type="#_x0000_t75" style="width:174pt;height:44.25pt;mso-position-horizontal-relative:page;mso-position-vertical-relative:page" o:ole="">
            <v:imagedata r:id="rId20" o:title=""/>
          </v:shape>
          <o:OLEObject Type="Embed" ProgID="Equation.DSMT4" ShapeID="_x0000_i1026" DrawAspect="Content" ObjectID="_1654002544" r:id="rId22"/>
        </w:object>
      </w:r>
    </w:p>
    <w:p w14:paraId="49A8C86B" w14:textId="77777777" w:rsidR="006B018F" w:rsidRPr="00E97AFD" w:rsidRDefault="006B018F" w:rsidP="006B018F">
      <w:pPr>
        <w:spacing w:line="360" w:lineRule="auto"/>
        <w:ind w:firstLineChars="200" w:firstLine="420"/>
        <w:rPr>
          <w:rFonts w:asciiTheme="minorEastAsia" w:eastAsiaTheme="minorEastAsia" w:hAnsiTheme="minorEastAsia"/>
          <w:bCs/>
          <w:szCs w:val="21"/>
          <w:lang w:val="zh-CN"/>
        </w:rPr>
      </w:pPr>
      <w:r w:rsidRPr="00E97AFD">
        <w:rPr>
          <w:rFonts w:asciiTheme="minorEastAsia" w:eastAsiaTheme="minorEastAsia" w:hAnsiTheme="minorEastAsia" w:hint="eastAsia"/>
          <w:bCs/>
          <w:szCs w:val="21"/>
          <w:lang w:val="zh-CN"/>
        </w:rPr>
        <w:t>其中，</w:t>
      </w:r>
      <w:r w:rsidRPr="00E97AFD">
        <w:rPr>
          <w:rFonts w:asciiTheme="minorEastAsia" w:eastAsiaTheme="minorEastAsia" w:hAnsiTheme="minorEastAsia"/>
          <w:bCs/>
          <w:szCs w:val="21"/>
          <w:lang w:val="zh-CN"/>
        </w:rPr>
        <w:t>Ri</w:t>
      </w:r>
      <w:r w:rsidRPr="00E97AFD">
        <w:rPr>
          <w:rFonts w:asciiTheme="minorEastAsia" w:eastAsiaTheme="minorEastAsia" w:hAnsiTheme="minorEastAsia" w:hint="eastAsia"/>
          <w:bCs/>
          <w:szCs w:val="21"/>
          <w:lang w:val="zh-CN"/>
        </w:rPr>
        <w:t>为最近第</w:t>
      </w:r>
      <w:r w:rsidRPr="00E97AFD">
        <w:rPr>
          <w:rFonts w:asciiTheme="minorEastAsia" w:eastAsiaTheme="minorEastAsia" w:hAnsiTheme="minorEastAsia"/>
          <w:bCs/>
          <w:szCs w:val="21"/>
          <w:lang w:val="zh-CN"/>
        </w:rPr>
        <w:t>i</w:t>
      </w:r>
      <w:r w:rsidRPr="00E97AFD">
        <w:rPr>
          <w:rFonts w:asciiTheme="minorEastAsia" w:eastAsiaTheme="minorEastAsia" w:hAnsiTheme="minorEastAsia" w:hint="eastAsia"/>
          <w:bCs/>
          <w:szCs w:val="21"/>
          <w:lang w:val="zh-CN"/>
        </w:rPr>
        <w:t>个自然日</w:t>
      </w:r>
      <w:r w:rsidRPr="00E97AFD">
        <w:rPr>
          <w:rFonts w:asciiTheme="minorEastAsia" w:eastAsiaTheme="minorEastAsia" w:hAnsiTheme="minorEastAsia"/>
          <w:bCs/>
          <w:szCs w:val="21"/>
          <w:lang w:val="zh-CN"/>
        </w:rPr>
        <w:t>(</w:t>
      </w:r>
      <w:r w:rsidRPr="00E97AFD">
        <w:rPr>
          <w:rFonts w:asciiTheme="minorEastAsia" w:eastAsiaTheme="minorEastAsia" w:hAnsiTheme="minorEastAsia" w:hint="eastAsia"/>
          <w:bCs/>
          <w:szCs w:val="21"/>
          <w:lang w:val="zh-CN"/>
        </w:rPr>
        <w:t>包括计算当日</w:t>
      </w:r>
      <w:r w:rsidRPr="00E97AFD">
        <w:rPr>
          <w:rFonts w:asciiTheme="minorEastAsia" w:eastAsiaTheme="minorEastAsia" w:hAnsiTheme="minorEastAsia"/>
          <w:bCs/>
          <w:szCs w:val="21"/>
          <w:lang w:val="zh-CN"/>
        </w:rPr>
        <w:t>)</w:t>
      </w:r>
      <w:r w:rsidRPr="00E97AFD">
        <w:rPr>
          <w:rFonts w:asciiTheme="minorEastAsia" w:eastAsiaTheme="minorEastAsia" w:hAnsiTheme="minorEastAsia" w:hint="eastAsia"/>
          <w:bCs/>
          <w:szCs w:val="21"/>
          <w:lang w:val="zh-CN"/>
        </w:rPr>
        <w:t>的每万份基金已实现收益。</w:t>
      </w:r>
    </w:p>
    <w:p w14:paraId="6B1D7A27"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lang w:val="zh-CN"/>
        </w:rPr>
        <w:t>每万份基金已实现收益采用四舍五入保留至小数点后第</w:t>
      </w:r>
      <w:r w:rsidRPr="00E97AFD">
        <w:rPr>
          <w:rFonts w:asciiTheme="minorEastAsia" w:eastAsiaTheme="minorEastAsia" w:hAnsiTheme="minorEastAsia"/>
          <w:bCs/>
          <w:szCs w:val="21"/>
          <w:lang w:val="zh-CN"/>
        </w:rPr>
        <w:t>4</w:t>
      </w:r>
      <w:r w:rsidRPr="00E97AFD">
        <w:rPr>
          <w:rFonts w:asciiTheme="minorEastAsia" w:eastAsiaTheme="minorEastAsia" w:hAnsiTheme="minorEastAsia" w:hint="eastAsia"/>
          <w:bCs/>
          <w:szCs w:val="21"/>
          <w:lang w:val="zh-CN"/>
        </w:rPr>
        <w:t>位，</w:t>
      </w:r>
      <w:r w:rsidRPr="00E97AFD">
        <w:rPr>
          <w:rFonts w:asciiTheme="minorEastAsia" w:eastAsiaTheme="minorEastAsia" w:hAnsiTheme="minorEastAsia"/>
          <w:bCs/>
          <w:szCs w:val="21"/>
          <w:lang w:val="zh-CN"/>
        </w:rPr>
        <w:t>7</w:t>
      </w:r>
      <w:r w:rsidRPr="00E97AFD">
        <w:rPr>
          <w:rFonts w:asciiTheme="minorEastAsia" w:eastAsiaTheme="minorEastAsia" w:hAnsiTheme="minorEastAsia" w:hint="eastAsia"/>
          <w:bCs/>
          <w:szCs w:val="21"/>
          <w:lang w:val="zh-CN"/>
        </w:rPr>
        <w:t>日年化收益率采用四舍五入保留至百分号内小数点后第</w:t>
      </w:r>
      <w:r w:rsidRPr="00E97AFD">
        <w:rPr>
          <w:rFonts w:asciiTheme="minorEastAsia" w:eastAsiaTheme="minorEastAsia" w:hAnsiTheme="minorEastAsia"/>
          <w:bCs/>
          <w:szCs w:val="21"/>
          <w:lang w:val="zh-CN"/>
        </w:rPr>
        <w:t>3</w:t>
      </w:r>
      <w:r w:rsidRPr="00E97AFD">
        <w:rPr>
          <w:rFonts w:asciiTheme="minorEastAsia" w:eastAsiaTheme="minorEastAsia" w:hAnsiTheme="minorEastAsia" w:hint="eastAsia"/>
          <w:bCs/>
          <w:szCs w:val="21"/>
          <w:lang w:val="zh-CN"/>
        </w:rPr>
        <w:t>位。</w:t>
      </w:r>
    </w:p>
    <w:p w14:paraId="64E40D5F" w14:textId="77777777" w:rsidR="006B018F" w:rsidRPr="00E97AFD" w:rsidRDefault="006B018F" w:rsidP="006B018F">
      <w:pPr>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如果基金成立不足七日，按类似规则计算。当任一类基金份额为零时，将暂停计算和披露该类基金份额的每万份基金已实现收益、</w:t>
      </w:r>
      <w:r w:rsidRPr="00E97AFD">
        <w:rPr>
          <w:rFonts w:asciiTheme="minorEastAsia" w:eastAsiaTheme="minorEastAsia" w:hAnsiTheme="minorEastAsia"/>
          <w:szCs w:val="21"/>
        </w:rPr>
        <w:t>7日年化收益率</w:t>
      </w:r>
      <w:r w:rsidRPr="00E97AFD">
        <w:rPr>
          <w:rFonts w:asciiTheme="minorEastAsia" w:eastAsiaTheme="minorEastAsia" w:hAnsiTheme="minorEastAsia" w:hint="eastAsia"/>
          <w:szCs w:val="21"/>
        </w:rPr>
        <w:t>，待该类份额不为零时重新开始计算和披露。</w:t>
      </w:r>
    </w:p>
    <w:p w14:paraId="1BE1E23C" w14:textId="77777777" w:rsidR="006B018F" w:rsidRPr="00E97AFD" w:rsidRDefault="006B018F" w:rsidP="006B018F">
      <w:pPr>
        <w:spacing w:line="360" w:lineRule="auto"/>
        <w:ind w:firstLineChars="200" w:firstLine="420"/>
        <w:rPr>
          <w:rFonts w:asciiTheme="minorEastAsia" w:eastAsiaTheme="minorEastAsia" w:hAnsiTheme="minorEastAsia"/>
          <w:bCs/>
          <w:szCs w:val="21"/>
          <w:lang w:val="zh-CN"/>
        </w:rPr>
      </w:pP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w:t>
      </w:r>
      <w:r w:rsidRPr="00E97AFD">
        <w:rPr>
          <w:rFonts w:asciiTheme="minorEastAsia" w:eastAsiaTheme="minorEastAsia" w:hAnsiTheme="minorEastAsia" w:hint="eastAsia"/>
          <w:bCs/>
          <w:szCs w:val="21"/>
          <w:lang w:val="zh-CN"/>
        </w:rPr>
        <w:t>在开始办理基金份额申购或者赎回后，基金管理人应不晚于每个开放日的次日，通过指定网站、基金销售机构网站或者营业网点，披露开放日的每万份基金已实现收益和</w:t>
      </w:r>
      <w:r w:rsidRPr="00E97AFD">
        <w:rPr>
          <w:rFonts w:asciiTheme="minorEastAsia" w:eastAsiaTheme="minorEastAsia" w:hAnsiTheme="minorEastAsia"/>
          <w:bCs/>
          <w:szCs w:val="21"/>
          <w:lang w:val="zh-CN"/>
        </w:rPr>
        <w:t>7</w:t>
      </w:r>
      <w:r w:rsidRPr="00E97AFD">
        <w:rPr>
          <w:rFonts w:asciiTheme="minorEastAsia" w:eastAsiaTheme="minorEastAsia" w:hAnsiTheme="minorEastAsia" w:hint="eastAsia"/>
          <w:bCs/>
          <w:szCs w:val="21"/>
          <w:lang w:val="zh-CN"/>
        </w:rPr>
        <w:t>日年化收益率。</w:t>
      </w:r>
      <w:r w:rsidRPr="00E97AFD">
        <w:rPr>
          <w:rFonts w:asciiTheme="minorEastAsia" w:eastAsiaTheme="minorEastAsia" w:hAnsiTheme="minorEastAsia" w:hint="eastAsia"/>
          <w:bCs/>
          <w:szCs w:val="21"/>
        </w:rPr>
        <w:t>若遇法定节假日，于节假日结束后第</w:t>
      </w: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个自然日，公告节假日期间的基金份额每万份基金已实现收益、节假日最后一日的</w:t>
      </w:r>
      <w:r w:rsidRPr="00E97AFD">
        <w:rPr>
          <w:rFonts w:asciiTheme="minorEastAsia" w:eastAsiaTheme="minorEastAsia" w:hAnsiTheme="minorEastAsia"/>
          <w:bCs/>
          <w:szCs w:val="21"/>
        </w:rPr>
        <w:t>7</w:t>
      </w:r>
      <w:r w:rsidRPr="00E97AFD">
        <w:rPr>
          <w:rFonts w:asciiTheme="minorEastAsia" w:eastAsiaTheme="minorEastAsia" w:hAnsiTheme="minorEastAsia" w:hint="eastAsia"/>
          <w:bCs/>
          <w:szCs w:val="21"/>
        </w:rPr>
        <w:t>日年化收益率，以及节假日后首个开放日的基金份额每万份基金已实现收益和</w:t>
      </w:r>
      <w:r w:rsidRPr="00E97AFD">
        <w:rPr>
          <w:rFonts w:asciiTheme="minorEastAsia" w:eastAsiaTheme="minorEastAsia" w:hAnsiTheme="minorEastAsia"/>
          <w:bCs/>
          <w:szCs w:val="21"/>
        </w:rPr>
        <w:t>7</w:t>
      </w:r>
      <w:r w:rsidRPr="00E97AFD">
        <w:rPr>
          <w:rFonts w:asciiTheme="minorEastAsia" w:eastAsiaTheme="minorEastAsia" w:hAnsiTheme="minorEastAsia" w:hint="eastAsia"/>
          <w:bCs/>
          <w:szCs w:val="21"/>
        </w:rPr>
        <w:t>日年化收益率。</w:t>
      </w:r>
    </w:p>
    <w:p w14:paraId="43B0E0C7"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w:t>
      </w:r>
      <w:r w:rsidRPr="00E97AFD">
        <w:rPr>
          <w:rFonts w:asciiTheme="minorEastAsia" w:eastAsiaTheme="minorEastAsia" w:hAnsiTheme="minorEastAsia" w:hint="eastAsia"/>
          <w:bCs/>
          <w:szCs w:val="21"/>
          <w:lang w:val="zh-CN"/>
        </w:rPr>
        <w:t>基金管理人应当在不晚于半年度和年度最后一日的次日，在指定网站披露半年度和年度最后一日的每万份基金已实现收益和</w:t>
      </w:r>
      <w:r w:rsidRPr="00E97AFD">
        <w:rPr>
          <w:rFonts w:asciiTheme="minorEastAsia" w:eastAsiaTheme="minorEastAsia" w:hAnsiTheme="minorEastAsia"/>
          <w:bCs/>
          <w:szCs w:val="21"/>
          <w:lang w:val="zh-CN"/>
        </w:rPr>
        <w:t>7</w:t>
      </w:r>
      <w:r w:rsidRPr="00E97AFD">
        <w:rPr>
          <w:rFonts w:asciiTheme="minorEastAsia" w:eastAsiaTheme="minorEastAsia" w:hAnsiTheme="minorEastAsia" w:hint="eastAsia"/>
          <w:bCs/>
          <w:szCs w:val="21"/>
          <w:lang w:val="zh-CN"/>
        </w:rPr>
        <w:t>日年化收益率。</w:t>
      </w:r>
    </w:p>
    <w:p w14:paraId="73AC08FB" w14:textId="77777777" w:rsidR="006B018F" w:rsidRPr="00E97AFD" w:rsidRDefault="006B018F" w:rsidP="006B018F">
      <w:pPr>
        <w:spacing w:line="360" w:lineRule="auto"/>
        <w:ind w:firstLineChars="200" w:firstLine="420"/>
        <w:rPr>
          <w:rFonts w:asciiTheme="minorEastAsia" w:eastAsiaTheme="minorEastAsia" w:hAnsiTheme="minorEastAsia" w:cs="宋体"/>
          <w:kern w:val="0"/>
          <w:szCs w:val="21"/>
        </w:rPr>
      </w:pPr>
      <w:r w:rsidRPr="00E97AFD">
        <w:rPr>
          <w:rFonts w:asciiTheme="minorEastAsia" w:eastAsiaTheme="minorEastAsia" w:hAnsiTheme="minorEastAsia" w:cs="宋体" w:hint="eastAsia"/>
          <w:kern w:val="0"/>
          <w:szCs w:val="21"/>
        </w:rPr>
        <w:t>七、基金合同解除和终止的事由、程序以及基金财产清算方式</w:t>
      </w:r>
    </w:p>
    <w:p w14:paraId="29E18B75"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（一）《基金合同》的变更</w:t>
      </w:r>
    </w:p>
    <w:p w14:paraId="4CAFCE29" w14:textId="77777777" w:rsidR="006B018F" w:rsidRPr="00E97AFD" w:rsidRDefault="006B018F" w:rsidP="006B018F">
      <w:pPr>
        <w:autoSpaceDE w:val="0"/>
        <w:autoSpaceDN w:val="0"/>
        <w:adjustRightIn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F84DFC0" w14:textId="3D5C6F49"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、关于《基金合同》变更的基金份额持有人大会决议经中国证监会完成备案后生效，自决议生效之日起</w:t>
      </w: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日内在指定媒介公告。</w:t>
      </w:r>
    </w:p>
    <w:p w14:paraId="77888EF4"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（二）《基金合同》的终止事由</w:t>
      </w:r>
    </w:p>
    <w:p w14:paraId="4CE12E69"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有下列情形之一的，《基金合同》应当终止：</w:t>
      </w:r>
    </w:p>
    <w:p w14:paraId="75BE5113"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、基金份额持有人大会决定终止的；</w:t>
      </w:r>
    </w:p>
    <w:p w14:paraId="21394B6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lastRenderedPageBreak/>
        <w:t>2</w:t>
      </w:r>
      <w:r w:rsidRPr="00E97AFD">
        <w:rPr>
          <w:rFonts w:asciiTheme="minorEastAsia" w:eastAsiaTheme="minorEastAsia" w:hAnsiTheme="minorEastAsia" w:hint="eastAsia"/>
          <w:bCs/>
          <w:szCs w:val="21"/>
        </w:rPr>
        <w:t>、基金管理人、基金托管人职责终止，在</w:t>
      </w:r>
      <w:r w:rsidRPr="00E97AFD">
        <w:rPr>
          <w:rFonts w:asciiTheme="minorEastAsia" w:eastAsiaTheme="minorEastAsia" w:hAnsiTheme="minorEastAsia"/>
          <w:bCs/>
          <w:szCs w:val="21"/>
        </w:rPr>
        <w:t>6</w:t>
      </w:r>
      <w:r w:rsidRPr="00E97AFD">
        <w:rPr>
          <w:rFonts w:asciiTheme="minorEastAsia" w:eastAsiaTheme="minorEastAsia" w:hAnsiTheme="minorEastAsia" w:hint="eastAsia"/>
          <w:bCs/>
          <w:szCs w:val="21"/>
        </w:rPr>
        <w:t>个月内没有新基金管理人、新基金托管人承接的；</w:t>
      </w:r>
    </w:p>
    <w:p w14:paraId="2E0F6273"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、《基金合同》约定的其他情形；</w:t>
      </w:r>
    </w:p>
    <w:p w14:paraId="1F40A50E"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4</w:t>
      </w:r>
      <w:r w:rsidRPr="00E97AFD">
        <w:rPr>
          <w:rFonts w:asciiTheme="minorEastAsia" w:eastAsiaTheme="minorEastAsia" w:hAnsiTheme="minorEastAsia" w:hint="eastAsia"/>
          <w:bCs/>
          <w:szCs w:val="21"/>
        </w:rPr>
        <w:t>、相关法律法规和中国证监会规定的其他情况。</w:t>
      </w:r>
    </w:p>
    <w:p w14:paraId="0E08C44F"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（三）基金财产的清算</w:t>
      </w:r>
    </w:p>
    <w:p w14:paraId="015FC359"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、基金财产清算小组：自出现《基金合同》终止事由之日起</w:t>
      </w:r>
      <w:r w:rsidRPr="00E97AFD">
        <w:rPr>
          <w:rFonts w:asciiTheme="minorEastAsia" w:eastAsiaTheme="minorEastAsia" w:hAnsiTheme="minorEastAsia"/>
          <w:bCs/>
          <w:szCs w:val="21"/>
        </w:rPr>
        <w:t>30</w:t>
      </w:r>
      <w:r w:rsidRPr="00E97AFD">
        <w:rPr>
          <w:rFonts w:asciiTheme="minorEastAsia" w:eastAsiaTheme="minorEastAsia" w:hAnsiTheme="minorEastAsia" w:hint="eastAsia"/>
          <w:bCs/>
          <w:szCs w:val="21"/>
        </w:rPr>
        <w:t>个工作日内成立清算小组，基金管理人组织基金财产清算小组并在中国证监会的监督下进行基金清算。</w:t>
      </w:r>
    </w:p>
    <w:p w14:paraId="51D5ED18"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6F5A1AA"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、基金财产清算小组职责：基金财产清算小组负责基金财产的保管、清理、估价、变现和分配。基金财产清算小组可以依法进行必要的民事活动。</w:t>
      </w:r>
    </w:p>
    <w:p w14:paraId="6847C3EF"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4</w:t>
      </w:r>
      <w:r w:rsidRPr="00E97AFD">
        <w:rPr>
          <w:rFonts w:asciiTheme="minorEastAsia" w:eastAsiaTheme="minorEastAsia" w:hAnsiTheme="minorEastAsia" w:hint="eastAsia"/>
          <w:bCs/>
          <w:szCs w:val="21"/>
        </w:rPr>
        <w:t>、基金财产清算程序：</w:t>
      </w:r>
    </w:p>
    <w:p w14:paraId="2434851D"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）《基金合同》终止情形出现时，由基金财产清算小组统一接管基金；</w:t>
      </w:r>
    </w:p>
    <w:p w14:paraId="0DE3627C"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）对基金财产和债权债务进行清理和确认；</w:t>
      </w:r>
    </w:p>
    <w:p w14:paraId="6745E452"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）对基金财产进行估值和变现；</w:t>
      </w:r>
    </w:p>
    <w:p w14:paraId="7F54FD3F"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4</w:t>
      </w:r>
      <w:r w:rsidRPr="00E97AFD">
        <w:rPr>
          <w:rFonts w:asciiTheme="minorEastAsia" w:eastAsiaTheme="minorEastAsia" w:hAnsiTheme="minorEastAsia" w:hint="eastAsia"/>
          <w:bCs/>
          <w:szCs w:val="21"/>
        </w:rPr>
        <w:t>）制作清算报告；</w:t>
      </w:r>
    </w:p>
    <w:p w14:paraId="7A844375"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5</w:t>
      </w:r>
      <w:r w:rsidRPr="00E97AFD">
        <w:rPr>
          <w:rFonts w:asciiTheme="minorEastAsia" w:eastAsiaTheme="minorEastAsia" w:hAnsiTheme="minorEastAsia" w:hint="eastAsia"/>
          <w:bCs/>
          <w:szCs w:val="21"/>
        </w:rPr>
        <w:t>）聘请会计师事务所对清算报告进行外部审计，聘请律师事务所对清算报告出具法律意见书；</w:t>
      </w:r>
    </w:p>
    <w:p w14:paraId="3F1CDD29"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6</w:t>
      </w:r>
      <w:r w:rsidRPr="00E97AFD">
        <w:rPr>
          <w:rFonts w:asciiTheme="minorEastAsia" w:eastAsiaTheme="minorEastAsia" w:hAnsiTheme="minorEastAsia" w:hint="eastAsia"/>
          <w:bCs/>
          <w:szCs w:val="21"/>
        </w:rPr>
        <w:t>）将清算报告报中国证监会备案并公告；</w:t>
      </w:r>
    </w:p>
    <w:p w14:paraId="515D38E6"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w:t>
      </w:r>
      <w:r w:rsidRPr="00E97AFD">
        <w:rPr>
          <w:rFonts w:asciiTheme="minorEastAsia" w:eastAsiaTheme="minorEastAsia" w:hAnsiTheme="minorEastAsia"/>
          <w:bCs/>
          <w:szCs w:val="21"/>
        </w:rPr>
        <w:t>7</w:t>
      </w:r>
      <w:r w:rsidRPr="00E97AFD">
        <w:rPr>
          <w:rFonts w:asciiTheme="minorEastAsia" w:eastAsiaTheme="minorEastAsia" w:hAnsiTheme="minorEastAsia" w:hint="eastAsia"/>
          <w:bCs/>
          <w:szCs w:val="21"/>
        </w:rPr>
        <w:t>）对基金财产进行分配。</w:t>
      </w:r>
    </w:p>
    <w:p w14:paraId="005CA294"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5</w:t>
      </w:r>
      <w:r w:rsidRPr="00E97AFD">
        <w:rPr>
          <w:rFonts w:asciiTheme="minorEastAsia" w:eastAsiaTheme="minorEastAsia" w:hAnsiTheme="minorEastAsia" w:hint="eastAsia"/>
          <w:bCs/>
          <w:szCs w:val="21"/>
        </w:rPr>
        <w:t>、基金财产清算的期限为</w:t>
      </w:r>
      <w:r w:rsidRPr="00E97AFD">
        <w:rPr>
          <w:rFonts w:asciiTheme="minorEastAsia" w:eastAsiaTheme="minorEastAsia" w:hAnsiTheme="minorEastAsia"/>
          <w:bCs/>
          <w:szCs w:val="21"/>
        </w:rPr>
        <w:t>6</w:t>
      </w:r>
      <w:r w:rsidRPr="00E97AFD">
        <w:rPr>
          <w:rFonts w:asciiTheme="minorEastAsia" w:eastAsiaTheme="minorEastAsia" w:hAnsiTheme="minorEastAsia" w:hint="eastAsia"/>
          <w:bCs/>
          <w:szCs w:val="21"/>
        </w:rPr>
        <w:t>个月。</w:t>
      </w:r>
    </w:p>
    <w:p w14:paraId="7CD5C521"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（四）清算费用</w:t>
      </w:r>
    </w:p>
    <w:p w14:paraId="2FF87A21"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清算费用是指基金财产清算小组在进行基金清算过程中发生的所有合理费用，清算费用由基金财产清算小组优先从基金财产中支付。</w:t>
      </w:r>
    </w:p>
    <w:p w14:paraId="6A71FE81"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（五）基金财产清算剩余资产的分配</w:t>
      </w:r>
    </w:p>
    <w:p w14:paraId="323D95BF"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依据基金财产清算的分配方案，将基金财产清算后的全部剩余资产扣除基金财产清算费用、交纳所欠税款并清偿基金债务后，按基金份额持有人持有的基金份额比例进行分配。</w:t>
      </w:r>
    </w:p>
    <w:p w14:paraId="7FA69607"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（六）基金财产清算的公告</w:t>
      </w:r>
    </w:p>
    <w:p w14:paraId="34D67BFC"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清算过程中的有关重大事项须及时公告；基金财产清算报告经会计师事务所审计并由律</w:t>
      </w:r>
      <w:r w:rsidRPr="00E97AFD">
        <w:rPr>
          <w:rFonts w:asciiTheme="minorEastAsia" w:eastAsiaTheme="minorEastAsia" w:hAnsiTheme="minorEastAsia" w:hint="eastAsia"/>
          <w:bCs/>
          <w:szCs w:val="21"/>
        </w:rPr>
        <w:lastRenderedPageBreak/>
        <w:t>师事务所出具法律意见书后报中国证监会备案并公告。基金财产清算公告于基金财产清算报告报中国证监会备案后</w:t>
      </w:r>
      <w:r w:rsidRPr="00E97AFD">
        <w:rPr>
          <w:rFonts w:asciiTheme="minorEastAsia" w:eastAsiaTheme="minorEastAsia" w:hAnsiTheme="minorEastAsia"/>
          <w:bCs/>
          <w:szCs w:val="21"/>
        </w:rPr>
        <w:t>5</w:t>
      </w:r>
      <w:r w:rsidRPr="00E97AFD">
        <w:rPr>
          <w:rFonts w:asciiTheme="minorEastAsia" w:eastAsiaTheme="minorEastAsia" w:hAnsiTheme="minorEastAsia" w:hint="eastAsia"/>
          <w:bCs/>
          <w:szCs w:val="21"/>
        </w:rPr>
        <w:t>个工作日内由基金财产清算小组进行公告。</w:t>
      </w:r>
    </w:p>
    <w:p w14:paraId="235F4CB0"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（七）基金财产清算账册及文件的保存</w:t>
      </w:r>
    </w:p>
    <w:p w14:paraId="1A0DC31F" w14:textId="77777777" w:rsidR="006B018F" w:rsidRPr="00E97AFD" w:rsidRDefault="006B018F" w:rsidP="006B018F">
      <w:pPr>
        <w:spacing w:line="360" w:lineRule="auto"/>
        <w:ind w:firstLineChars="200" w:firstLine="420"/>
        <w:rPr>
          <w:rFonts w:asciiTheme="minorEastAsia" w:eastAsiaTheme="minorEastAsia" w:hAnsiTheme="minorEastAsia" w:cs="宋体"/>
          <w:kern w:val="0"/>
          <w:szCs w:val="21"/>
        </w:rPr>
      </w:pPr>
      <w:r w:rsidRPr="00E97AFD">
        <w:rPr>
          <w:rFonts w:asciiTheme="minorEastAsia" w:eastAsiaTheme="minorEastAsia" w:hAnsiTheme="minorEastAsia" w:hint="eastAsia"/>
          <w:bCs/>
          <w:szCs w:val="21"/>
        </w:rPr>
        <w:t>基金财产清算账册及有关文件由基金托管人保存</w:t>
      </w:r>
      <w:r w:rsidRPr="00E97AFD">
        <w:rPr>
          <w:rFonts w:asciiTheme="minorEastAsia" w:eastAsiaTheme="minorEastAsia" w:hAnsiTheme="minorEastAsia"/>
          <w:bCs/>
          <w:szCs w:val="21"/>
        </w:rPr>
        <w:t>15</w:t>
      </w:r>
      <w:r w:rsidRPr="00E97AFD">
        <w:rPr>
          <w:rFonts w:asciiTheme="minorEastAsia" w:eastAsiaTheme="minorEastAsia" w:hAnsiTheme="minorEastAsia" w:hint="eastAsia"/>
          <w:bCs/>
          <w:szCs w:val="21"/>
        </w:rPr>
        <w:t>年以上。</w:t>
      </w:r>
    </w:p>
    <w:p w14:paraId="1D03452B" w14:textId="77777777" w:rsidR="006B018F" w:rsidRPr="00E97AFD" w:rsidRDefault="006B018F" w:rsidP="006B018F">
      <w:pPr>
        <w:spacing w:line="360" w:lineRule="auto"/>
        <w:ind w:firstLineChars="200" w:firstLine="420"/>
        <w:rPr>
          <w:rFonts w:asciiTheme="minorEastAsia" w:eastAsiaTheme="minorEastAsia" w:hAnsiTheme="minorEastAsia" w:cs="宋体"/>
          <w:kern w:val="0"/>
          <w:szCs w:val="21"/>
        </w:rPr>
      </w:pPr>
      <w:r w:rsidRPr="00E97AFD">
        <w:rPr>
          <w:rFonts w:asciiTheme="minorEastAsia" w:eastAsiaTheme="minorEastAsia" w:hAnsiTheme="minorEastAsia" w:cs="宋体" w:hint="eastAsia"/>
          <w:kern w:val="0"/>
          <w:szCs w:val="21"/>
        </w:rPr>
        <w:t>（八）争议解决方式</w:t>
      </w:r>
    </w:p>
    <w:p w14:paraId="21815259"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w:t>
      </w:r>
      <w:r w:rsidRPr="00E97AFD">
        <w:rPr>
          <w:rFonts w:asciiTheme="minorEastAsia" w:eastAsiaTheme="minorEastAsia" w:hAnsiTheme="minorEastAsia" w:hint="eastAsia"/>
          <w:szCs w:val="21"/>
        </w:rPr>
        <w:t>仲裁费用由败诉方承担，除非仲裁裁决另有决定。</w:t>
      </w:r>
    </w:p>
    <w:p w14:paraId="7940DDFF"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争议处理期间，基金合同当事人应恪守各自的职责，继续忠实、勤勉、尽责地履行基金合同规定的义务，维护基金份额持有人的合法权益。</w:t>
      </w:r>
    </w:p>
    <w:p w14:paraId="48916C48" w14:textId="77777777" w:rsidR="006B018F" w:rsidRPr="00E97AFD" w:rsidRDefault="006B018F" w:rsidP="006B018F">
      <w:pPr>
        <w:spacing w:line="360" w:lineRule="auto"/>
        <w:ind w:firstLineChars="200" w:firstLine="420"/>
        <w:rPr>
          <w:rFonts w:asciiTheme="minorEastAsia" w:eastAsiaTheme="minorEastAsia" w:hAnsiTheme="minorEastAsia" w:cs="宋体"/>
          <w:kern w:val="0"/>
          <w:szCs w:val="21"/>
        </w:rPr>
      </w:pPr>
      <w:r w:rsidRPr="00E97AFD">
        <w:rPr>
          <w:rFonts w:asciiTheme="minorEastAsia" w:eastAsiaTheme="minorEastAsia" w:hAnsiTheme="minorEastAsia" w:hint="eastAsia"/>
          <w:bCs/>
          <w:szCs w:val="21"/>
        </w:rPr>
        <w:t>《基金合同》受中国法律管辖。</w:t>
      </w:r>
    </w:p>
    <w:p w14:paraId="0DF3EEAF" w14:textId="77777777" w:rsidR="006B018F" w:rsidRPr="00E97AFD" w:rsidRDefault="006B018F" w:rsidP="006B018F">
      <w:pPr>
        <w:autoSpaceDE w:val="0"/>
        <w:autoSpaceDN w:val="0"/>
        <w:adjustRightInd w:val="0"/>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cs="宋体" w:hint="eastAsia"/>
          <w:kern w:val="0"/>
          <w:szCs w:val="21"/>
        </w:rPr>
        <w:t>九、基金合同存放地和投资者取得基金合同的方式</w:t>
      </w:r>
    </w:p>
    <w:p w14:paraId="621871F5"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hint="eastAsia"/>
          <w:bCs/>
          <w:szCs w:val="21"/>
        </w:rPr>
        <w:t>《基金合同》是约定基金当事人之间、基金与基金当事人之间权利义务关系的法律文件。</w:t>
      </w:r>
    </w:p>
    <w:p w14:paraId="5ED8C1A8"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1</w:t>
      </w:r>
      <w:r w:rsidRPr="00E97AFD">
        <w:rPr>
          <w:rFonts w:asciiTheme="minorEastAsia" w:eastAsiaTheme="minorEastAsia" w:hAnsiTheme="minorEastAsia" w:hint="eastAsia"/>
          <w:bCs/>
          <w:szCs w:val="21"/>
        </w:rPr>
        <w:t>、《基金合同》经基金管理人、基金托管人双方盖章以及双方法定代表人或授权代表签字或盖章并在募集结束后经基金管理人向中国证监会办理基金备案手续，并经中国证监会书面确认后生效。</w:t>
      </w:r>
    </w:p>
    <w:p w14:paraId="3C8A3B53"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2</w:t>
      </w:r>
      <w:r w:rsidRPr="00E97AFD">
        <w:rPr>
          <w:rFonts w:asciiTheme="minorEastAsia" w:eastAsiaTheme="minorEastAsia" w:hAnsiTheme="minorEastAsia" w:hint="eastAsia"/>
          <w:bCs/>
          <w:szCs w:val="21"/>
        </w:rPr>
        <w:t>、《基金合同》的有效期自其生效之日起至基金财产清算结果报中国证监会备案并公告之日止。</w:t>
      </w:r>
    </w:p>
    <w:p w14:paraId="1E12AB35"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3</w:t>
      </w:r>
      <w:r w:rsidRPr="00E97AFD">
        <w:rPr>
          <w:rFonts w:asciiTheme="minorEastAsia" w:eastAsiaTheme="minorEastAsia" w:hAnsiTheme="minorEastAsia" w:hint="eastAsia"/>
          <w:bCs/>
          <w:szCs w:val="21"/>
        </w:rPr>
        <w:t>、《基金合同》自生效之日起对包括基金管理人、基金托管人和基金份额持有人在内的《基金合同》各方当事人具有同等的法律约束力。</w:t>
      </w:r>
    </w:p>
    <w:p w14:paraId="4D3ED1BE" w14:textId="77777777" w:rsidR="006B018F" w:rsidRPr="00E97AFD" w:rsidRDefault="006B018F" w:rsidP="006B018F">
      <w:pPr>
        <w:spacing w:line="360" w:lineRule="auto"/>
        <w:ind w:firstLineChars="200" w:firstLine="420"/>
        <w:rPr>
          <w:rFonts w:asciiTheme="minorEastAsia" w:eastAsiaTheme="minorEastAsia" w:hAnsiTheme="minorEastAsia"/>
          <w:bCs/>
          <w:szCs w:val="21"/>
        </w:rPr>
      </w:pPr>
      <w:r w:rsidRPr="00E97AFD">
        <w:rPr>
          <w:rFonts w:asciiTheme="minorEastAsia" w:eastAsiaTheme="minorEastAsia" w:hAnsiTheme="minorEastAsia"/>
          <w:bCs/>
          <w:szCs w:val="21"/>
        </w:rPr>
        <w:t>4</w:t>
      </w:r>
      <w:r w:rsidRPr="00E97AFD">
        <w:rPr>
          <w:rFonts w:asciiTheme="minorEastAsia" w:eastAsiaTheme="minorEastAsia" w:hAnsiTheme="minorEastAsia" w:hint="eastAsia"/>
          <w:bCs/>
          <w:szCs w:val="21"/>
        </w:rPr>
        <w:t>、《基金合同》正本一式六份，除上报有关监管机构一式二份外，基金管理人、基金托管人各持有二份，每份具有同等的法律效力。</w:t>
      </w:r>
    </w:p>
    <w:p w14:paraId="079A9EB1" w14:textId="451BC7EB" w:rsidR="005C57AD" w:rsidRPr="00E97AFD" w:rsidRDefault="006B018F" w:rsidP="00966694">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bCs/>
          <w:szCs w:val="21"/>
        </w:rPr>
        <w:t>5</w:t>
      </w:r>
      <w:r w:rsidRPr="00E97AFD">
        <w:rPr>
          <w:rFonts w:asciiTheme="minorEastAsia" w:eastAsiaTheme="minorEastAsia" w:hAnsiTheme="minorEastAsia" w:hint="eastAsia"/>
          <w:bCs/>
          <w:szCs w:val="21"/>
        </w:rPr>
        <w:t>、《基金合同》可印制成册，供投资者在基金管理人、基金托管人、销售机构的办公场所和营业场所查阅。</w:t>
      </w:r>
    </w:p>
    <w:p w14:paraId="51C6B3A2" w14:textId="77777777" w:rsidR="005C57AD" w:rsidRPr="00E97AFD" w:rsidRDefault="005C57AD" w:rsidP="00966694">
      <w:pPr>
        <w:snapToGrid w:val="0"/>
        <w:spacing w:line="360" w:lineRule="auto"/>
        <w:ind w:firstLine="420"/>
        <w:rPr>
          <w:rFonts w:asciiTheme="minorEastAsia" w:eastAsiaTheme="minorEastAsia" w:hAnsiTheme="minorEastAsia"/>
        </w:rPr>
      </w:pPr>
    </w:p>
    <w:p w14:paraId="4EE624B1" w14:textId="77777777" w:rsidR="00BA4B87" w:rsidRPr="00E97AFD" w:rsidRDefault="00BA4B87" w:rsidP="00966694">
      <w:pPr>
        <w:pStyle w:val="1"/>
        <w:snapToGrid w:val="0"/>
        <w:spacing w:beforeLines="0" w:afterLines="0" w:line="360" w:lineRule="auto"/>
        <w:ind w:firstLine="600"/>
        <w:rPr>
          <w:rFonts w:asciiTheme="minorEastAsia" w:eastAsiaTheme="minorEastAsia" w:hAnsiTheme="minorEastAsia"/>
          <w:b/>
          <w:bCs/>
          <w:szCs w:val="20"/>
        </w:rPr>
      </w:pPr>
      <w:r w:rsidRPr="00E97AFD">
        <w:rPr>
          <w:rFonts w:asciiTheme="minorEastAsia" w:eastAsiaTheme="minorEastAsia" w:hAnsiTheme="minorEastAsia"/>
          <w:sz w:val="30"/>
        </w:rPr>
        <w:br w:type="page"/>
      </w:r>
      <w:bookmarkStart w:id="84" w:name="_Toc43371993"/>
      <w:r w:rsidR="00D708BF" w:rsidRPr="00E97AFD">
        <w:rPr>
          <w:rFonts w:asciiTheme="minorEastAsia" w:eastAsiaTheme="minorEastAsia" w:hAnsiTheme="minorEastAsia"/>
          <w:b/>
          <w:sz w:val="30"/>
        </w:rPr>
        <w:lastRenderedPageBreak/>
        <w:t>二十</w:t>
      </w:r>
      <w:r w:rsidR="00D708BF" w:rsidRPr="00E97AFD">
        <w:rPr>
          <w:rFonts w:asciiTheme="minorEastAsia" w:eastAsiaTheme="minorEastAsia" w:hAnsiTheme="minorEastAsia" w:hint="eastAsia"/>
          <w:b/>
          <w:sz w:val="30"/>
        </w:rPr>
        <w:t>三</w:t>
      </w:r>
      <w:r w:rsidRPr="00E97AFD">
        <w:rPr>
          <w:rFonts w:asciiTheme="minorEastAsia" w:eastAsiaTheme="minorEastAsia" w:hAnsiTheme="minorEastAsia"/>
          <w:b/>
          <w:sz w:val="30"/>
        </w:rPr>
        <w:t>、基金托管协议的内容摘要</w:t>
      </w:r>
      <w:bookmarkEnd w:id="84"/>
    </w:p>
    <w:p w14:paraId="6E1A8825"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一、托管协议当事人</w:t>
      </w:r>
    </w:p>
    <w:p w14:paraId="0AE5D839"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（一）基金管理人</w:t>
      </w:r>
    </w:p>
    <w:p w14:paraId="2EA4C206"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名称：易方达基金管理有限公司</w:t>
      </w:r>
    </w:p>
    <w:p w14:paraId="01B42651"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注册地址：</w:t>
      </w:r>
      <w:r w:rsidR="005A384F" w:rsidRPr="00E97AFD">
        <w:rPr>
          <w:rFonts w:asciiTheme="minorEastAsia" w:eastAsiaTheme="minorEastAsia" w:hAnsiTheme="minorEastAsia" w:hint="eastAsia"/>
          <w:szCs w:val="21"/>
        </w:rPr>
        <w:t>广东省珠海市横琴新区宝华路6号105室－42891（集中办公区）</w:t>
      </w:r>
    </w:p>
    <w:p w14:paraId="772EA57F"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办公地址：广东省广州市</w:t>
      </w:r>
      <w:r w:rsidR="008A2AFA" w:rsidRPr="00E97AFD">
        <w:rPr>
          <w:rFonts w:asciiTheme="minorEastAsia" w:eastAsiaTheme="minorEastAsia" w:hAnsiTheme="minorEastAsia" w:hint="eastAsia"/>
          <w:szCs w:val="21"/>
        </w:rPr>
        <w:t>天河区</w:t>
      </w:r>
      <w:r w:rsidRPr="00E97AFD">
        <w:rPr>
          <w:rFonts w:asciiTheme="minorEastAsia" w:eastAsiaTheme="minorEastAsia" w:hAnsiTheme="minorEastAsia" w:hint="eastAsia"/>
          <w:szCs w:val="21"/>
        </w:rPr>
        <w:t>珠江新城珠江东路30号广州银行大厦40-43楼</w:t>
      </w:r>
    </w:p>
    <w:p w14:paraId="5390028F"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邮政编码：510620</w:t>
      </w:r>
    </w:p>
    <w:p w14:paraId="56BEF772"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法定代表人：</w:t>
      </w:r>
      <w:r w:rsidR="00684B56" w:rsidRPr="00E97AFD">
        <w:rPr>
          <w:rFonts w:asciiTheme="minorEastAsia" w:eastAsiaTheme="minorEastAsia" w:hAnsiTheme="minorEastAsia" w:hint="eastAsia"/>
          <w:szCs w:val="21"/>
        </w:rPr>
        <w:t>刘晓艳</w:t>
      </w:r>
    </w:p>
    <w:p w14:paraId="7727C5E6"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成立日期：2001年4月17日</w:t>
      </w:r>
    </w:p>
    <w:p w14:paraId="4BE00190"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批准设立机关及批准设立文号：</w:t>
      </w:r>
      <w:r w:rsidR="008A2AFA" w:rsidRPr="00E97AFD">
        <w:rPr>
          <w:rFonts w:asciiTheme="minorEastAsia" w:eastAsiaTheme="minorEastAsia" w:hAnsiTheme="minorEastAsia" w:hint="eastAsia"/>
        </w:rPr>
        <w:t>中国证券监督管理委员会，</w:t>
      </w:r>
      <w:r w:rsidRPr="00E97AFD">
        <w:rPr>
          <w:rFonts w:asciiTheme="minorEastAsia" w:eastAsiaTheme="minorEastAsia" w:hAnsiTheme="minorEastAsia" w:hint="eastAsia"/>
          <w:szCs w:val="21"/>
        </w:rPr>
        <w:t>证监基</w:t>
      </w:r>
      <w:r w:rsidR="008A2AFA" w:rsidRPr="00E97AFD">
        <w:rPr>
          <w:rFonts w:asciiTheme="minorEastAsia" w:eastAsiaTheme="minorEastAsia" w:hAnsiTheme="minorEastAsia" w:hint="eastAsia"/>
          <w:szCs w:val="21"/>
        </w:rPr>
        <w:t>金</w:t>
      </w:r>
      <w:r w:rsidRPr="00E97AFD">
        <w:rPr>
          <w:rFonts w:asciiTheme="minorEastAsia" w:eastAsiaTheme="minorEastAsia" w:hAnsiTheme="minorEastAsia" w:hint="eastAsia"/>
          <w:szCs w:val="21"/>
        </w:rPr>
        <w:t>字［2001］4号</w:t>
      </w:r>
    </w:p>
    <w:p w14:paraId="6BA8D8A3"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组织形式：有限责任公司</w:t>
      </w:r>
    </w:p>
    <w:p w14:paraId="478BD190" w14:textId="3B524269" w:rsidR="005C57AD" w:rsidRPr="00E97AFD" w:rsidRDefault="0020683B"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注册资本：13,244.2万元人民币</w:t>
      </w:r>
    </w:p>
    <w:p w14:paraId="59F34DF6"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存续期间：持续经营</w:t>
      </w:r>
    </w:p>
    <w:p w14:paraId="6602CF99"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经营范围：</w:t>
      </w:r>
      <w:r w:rsidR="005A384F" w:rsidRPr="00E97AFD">
        <w:rPr>
          <w:rFonts w:asciiTheme="minorEastAsia" w:eastAsiaTheme="minorEastAsia" w:hAnsiTheme="minorEastAsia" w:hint="eastAsia"/>
          <w:szCs w:val="21"/>
        </w:rPr>
        <w:t>公开募集证券投资基金管理、基金销售、特定客户资产管理</w:t>
      </w:r>
    </w:p>
    <w:p w14:paraId="14E31CBE"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（二）基金托管人</w:t>
      </w:r>
    </w:p>
    <w:p w14:paraId="67D257AC"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名称：中国建设银行股份有限公司(简称：中国建设银行)</w:t>
      </w:r>
    </w:p>
    <w:p w14:paraId="0B7A5999"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住所：北京市西城区金融大街25号</w:t>
      </w:r>
    </w:p>
    <w:p w14:paraId="6FCBFC93"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办公地址：北京市西城区闹市口大街1号院1号楼</w:t>
      </w:r>
    </w:p>
    <w:p w14:paraId="7FA583DE"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邮政编码：100033</w:t>
      </w:r>
    </w:p>
    <w:p w14:paraId="0BC0CE38"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法定代表人：</w:t>
      </w:r>
      <w:r w:rsidR="009A7532" w:rsidRPr="00E97AFD">
        <w:rPr>
          <w:rFonts w:asciiTheme="minorEastAsia" w:eastAsiaTheme="minorEastAsia" w:hAnsiTheme="minorEastAsia" w:hint="eastAsia"/>
          <w:szCs w:val="21"/>
        </w:rPr>
        <w:t>田国立</w:t>
      </w:r>
    </w:p>
    <w:p w14:paraId="7EB3E37A"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成立日期：2004年09月17日</w:t>
      </w:r>
    </w:p>
    <w:p w14:paraId="562AB4CF"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基金托管业务批准文号：中国证监会证监基字[1998]12号</w:t>
      </w:r>
    </w:p>
    <w:p w14:paraId="3F673BD8"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组织形式：股份有限公司</w:t>
      </w:r>
    </w:p>
    <w:p w14:paraId="766FB4B8"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注册资本：</w:t>
      </w:r>
      <w:r w:rsidR="009A7532" w:rsidRPr="00E97AFD">
        <w:rPr>
          <w:rFonts w:asciiTheme="minorEastAsia" w:eastAsiaTheme="minorEastAsia" w:hAnsiTheme="minorEastAsia" w:hint="eastAsia"/>
          <w:szCs w:val="21"/>
        </w:rPr>
        <w:t>贰仟伍佰亿壹仟零玖拾柒万柒仟肆佰捌拾陆元整</w:t>
      </w:r>
    </w:p>
    <w:p w14:paraId="3674DC39"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存续期间：持续经营</w:t>
      </w:r>
    </w:p>
    <w:p w14:paraId="3C314768"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498D2C4F"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二、基金托管人对基金管理人的业务监督和核查</w:t>
      </w:r>
    </w:p>
    <w:p w14:paraId="47E9B022" w14:textId="77777777" w:rsidR="00F465AB" w:rsidRPr="00E97AFD" w:rsidRDefault="00F465AB"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w:t>
      </w:r>
      <w:r w:rsidRPr="00E97AFD">
        <w:rPr>
          <w:rFonts w:asciiTheme="minorEastAsia" w:eastAsiaTheme="minorEastAsia" w:hAnsiTheme="minorEastAsia" w:hint="eastAsia"/>
          <w:szCs w:val="21"/>
        </w:rPr>
        <w:lastRenderedPageBreak/>
        <w:t>际投资是否符合《基金合同》关于证券选择标准的约定进行监督，对存在疑义的事项进行核查。</w:t>
      </w:r>
    </w:p>
    <w:p w14:paraId="6B16F598" w14:textId="77777777" w:rsidR="00F465AB" w:rsidRPr="00E97AFD" w:rsidRDefault="00F465AB"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本基金的投资范围为具有良好流动性的金融工具，包括现金，通知存款，一年以内（含一年）的银行定期存款和大额存单，短期融资券，剩余期限在397天以内（含397天）的债券、中期票据、资产支持证券，期限在一年以内（含一年）的债券回购，剩余期限在一年以内（含一年）中央银行票据以及法律法规或中国证监会允许货币市场基金投资的其他金融工具。</w:t>
      </w:r>
    </w:p>
    <w:p w14:paraId="6AD8C1FA" w14:textId="77777777" w:rsidR="00F465AB" w:rsidRPr="00E97AFD" w:rsidRDefault="00F465AB"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如法律法规或监管机构以后对货币市场基金的投资范围与限制进行调整，本基金将随之调整。</w:t>
      </w:r>
    </w:p>
    <w:p w14:paraId="1896741B" w14:textId="77777777" w:rsidR="00F465AB" w:rsidRPr="00E97AFD" w:rsidRDefault="00F465AB"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（二）基金托管人根据有关法律法规的规定及《基金合同》的约定，对基金投资、融资比例进行监督。基金托管人按下述比例和调整期限进行监督：</w:t>
      </w:r>
    </w:p>
    <w:p w14:paraId="5EF0F305" w14:textId="77777777" w:rsidR="00EC0A99" w:rsidRPr="00E97AFD" w:rsidRDefault="00EC0A99" w:rsidP="00EC0A99">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1、本基金不得投资于以下金融工具：</w:t>
      </w:r>
    </w:p>
    <w:p w14:paraId="5CA7DE08" w14:textId="77777777" w:rsidR="00EC0A99" w:rsidRPr="00E97AFD" w:rsidRDefault="00EC0A99" w:rsidP="00EC0A99">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（1）股票；</w:t>
      </w:r>
    </w:p>
    <w:p w14:paraId="2EFDC33B" w14:textId="77777777" w:rsidR="00EC0A99" w:rsidRPr="00E97AFD" w:rsidRDefault="00EC0A99" w:rsidP="00EC0A99">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（2）可转换债券、可交换债券；</w:t>
      </w:r>
    </w:p>
    <w:p w14:paraId="58377E9B" w14:textId="77777777" w:rsidR="00EC0A99" w:rsidRPr="00E97AFD" w:rsidRDefault="00EC0A99" w:rsidP="00EC0A99">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（3）以定期存款利率为基准利率的浮动利率债券，已进入最后一个利率调整期的除外；</w:t>
      </w:r>
    </w:p>
    <w:p w14:paraId="6400E7C8" w14:textId="77777777" w:rsidR="00EC0A99" w:rsidRPr="00E97AFD" w:rsidRDefault="00EC0A99" w:rsidP="00EC0A99">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（4）信用等级在AA+级以下的债券与非金融企业债务融资工具；</w:t>
      </w:r>
    </w:p>
    <w:p w14:paraId="11C8DDF1" w14:textId="77777777" w:rsidR="00EC0A99" w:rsidRPr="00E97AFD" w:rsidRDefault="00EC0A99" w:rsidP="00EC0A99">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（5）中国证监会、中国人民银行禁止投资的其他金融工具。</w:t>
      </w:r>
    </w:p>
    <w:p w14:paraId="61F72ACF" w14:textId="77777777" w:rsidR="00EC0A99" w:rsidRPr="00E97AFD" w:rsidRDefault="00EC0A99" w:rsidP="00EC0A99">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法律法规或监管部门取消或变更上述限制后，本基金不受上述规定的限制并以最新规定为准。</w:t>
      </w:r>
    </w:p>
    <w:p w14:paraId="6232333E" w14:textId="77777777" w:rsidR="00EC0A99" w:rsidRPr="00E97AFD" w:rsidRDefault="00EC0A99" w:rsidP="00EC0A99">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2、本基金的投资组合将遵循以下比例限制：</w:t>
      </w:r>
    </w:p>
    <w:p w14:paraId="3AE4CEE1" w14:textId="77777777" w:rsidR="00EC0A99" w:rsidRPr="00E97AFD" w:rsidRDefault="00EC0A99" w:rsidP="00EC0A99">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（1）本基金投资组合的平均剩余期限不得超过120天，平均剩余存续期不得超过240天；</w:t>
      </w:r>
    </w:p>
    <w:p w14:paraId="76E16327" w14:textId="77777777" w:rsidR="00EC0A99" w:rsidRPr="00E97AFD" w:rsidRDefault="00EC0A99" w:rsidP="00EC0A99">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（2）本基金持有同一机构发行的债券、非金融企业债务融资工具及其作为原始权益人的资产支持证券占基金资产净值的比例合计不得超过10%，国债、中央银行票据、政策性金融债券除外；</w:t>
      </w:r>
    </w:p>
    <w:p w14:paraId="3FA5D211" w14:textId="77777777" w:rsidR="00EC0A99" w:rsidRPr="00E97AFD" w:rsidRDefault="00EC0A99" w:rsidP="00EC0A99">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（3）本基金持有一家公司发行的证券，其市值不得超过基金资产净值的10%；本基金与由基金管理人管理的其他全部基金持有一家公司发行的证券，不得超过该证券的10%；</w:t>
      </w:r>
    </w:p>
    <w:p w14:paraId="5778BC9A" w14:textId="77777777" w:rsidR="00EC0A99" w:rsidRPr="00E97AFD" w:rsidRDefault="00EC0A99" w:rsidP="00EC0A99">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4）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4DE84566" w14:textId="77777777" w:rsidR="00EC0A99" w:rsidRPr="00E97AFD" w:rsidRDefault="00EC0A99" w:rsidP="00EC0A99">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（5）本基金应保持足够比例的流动性资产以应对潜在的赎回要求，其投资组合应当符合下列规定：</w:t>
      </w:r>
    </w:p>
    <w:p w14:paraId="62BB31A5" w14:textId="77777777" w:rsidR="00EC0A99" w:rsidRPr="00E97AFD" w:rsidRDefault="00EC0A99" w:rsidP="00EC0A99">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lastRenderedPageBreak/>
        <w:t>1）现金、国债、中央银行票据、政策性金融债券占基金资产净值的比例合计不得低于5%，其中现金不包括结算备付金、存出保证金、应收申购款等；</w:t>
      </w:r>
    </w:p>
    <w:p w14:paraId="426C6DBE" w14:textId="77777777" w:rsidR="00EC0A99" w:rsidRPr="00E97AFD" w:rsidRDefault="00EC0A99" w:rsidP="00EC0A99">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2）现金、国债、中央银行票据、政策性金融债券以及五个交易日内到期的其他金融工具占基金资产净值的比例合计不得低于10%；</w:t>
      </w:r>
    </w:p>
    <w:p w14:paraId="54BAF3F4" w14:textId="77777777" w:rsidR="00EC0A99" w:rsidRPr="00E97AFD" w:rsidRDefault="00EC0A99" w:rsidP="00EC0A99">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3）到期日在10个交易日以上的逆回购、银行定期存款等流动性受限资产投资占基金资产净值的比例合计不得超过30%；</w:t>
      </w:r>
    </w:p>
    <w:p w14:paraId="232DC0FE" w14:textId="77777777" w:rsidR="00EC0A99" w:rsidRPr="00E97AFD" w:rsidRDefault="00EC0A99" w:rsidP="00EC0A99">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4）除发生巨额赎回、连续3个交易日累计赎回20%以上或者连续5个交易日累计赎回30%以上的情形外，本基金债券正回购的资金余额占基金资产净值的比例不得超过20%；</w:t>
      </w:r>
    </w:p>
    <w:p w14:paraId="2D519296" w14:textId="77777777" w:rsidR="00EC0A99" w:rsidRPr="00E97AFD" w:rsidRDefault="00EC0A99" w:rsidP="00EC0A99">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（6）本基金基金总资产不得超过基金净资产的140%；</w:t>
      </w:r>
    </w:p>
    <w:p w14:paraId="2D7154D1" w14:textId="77777777" w:rsidR="00EC0A99" w:rsidRPr="00E97AFD" w:rsidRDefault="00EC0A99" w:rsidP="00EC0A99">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（7）本基金在全国银行间同业市场的债券回购最长期限为1年，债券回购到期后不得展期；</w:t>
      </w:r>
    </w:p>
    <w:p w14:paraId="6FCFA4F9" w14:textId="77777777" w:rsidR="00EC0A99" w:rsidRPr="00E97AFD" w:rsidRDefault="00EC0A99" w:rsidP="00EC0A99">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8）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14:paraId="0BF8D680" w14:textId="77777777" w:rsidR="00EC0A99" w:rsidRPr="00E97AFD" w:rsidRDefault="00EC0A99" w:rsidP="00EC0A99">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本基金应投资于信用级别评级为AAA以上(含AAA)的资产支持证券。基金持有资产支持证券期间，如果其信用等级下降、不再符合投资标准，应在评级报告发布之日起3个月内予以全部卖出；</w:t>
      </w:r>
    </w:p>
    <w:p w14:paraId="6449B1A8" w14:textId="77777777" w:rsidR="00EC0A99" w:rsidRPr="00E97AFD" w:rsidRDefault="00EC0A99" w:rsidP="00EC0A99">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9）本基金投资的债券与非金融企业债务融资工具须具有评级资质的资信评级机构进行持续信用评级，信用评级主要参照最近一个会计年度的主体信用评级，如果对发行人同时有两家以上境内机构评级的，应采用孰低原则确定其评级，并结合基金管理人内部信用评级进行独立判断与认定；</w:t>
      </w:r>
    </w:p>
    <w:p w14:paraId="7A316CF8" w14:textId="77777777" w:rsidR="00EC0A99" w:rsidRPr="00E97AFD" w:rsidRDefault="00EC0A99" w:rsidP="00EC0A99">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10）本基金主动投资于流动性受限资产的市值合计不得超过基金资产净值的10%。因证券市场波动、证券停牌、基金规模变动等基金管理人之外的因素致使基金不符合前款所规定比例限制的，基金管理人不得主动新增流动性受限资产的投资。</w:t>
      </w:r>
    </w:p>
    <w:p w14:paraId="552E585C" w14:textId="77777777" w:rsidR="00EC0A99" w:rsidRPr="00E97AFD" w:rsidRDefault="00EC0A99" w:rsidP="00EC0A99">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11）本基金投资于主体信用评级低于AAA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本基金拟投资于主体信用评级低于AA+的商业银行的银行存款与同业存单的，应当经基金管理人董事会审议批准，相关交易应当事先征得基金托管人的同意，并作为重大事项履行信息披露程序。</w:t>
      </w:r>
    </w:p>
    <w:p w14:paraId="6E009B69" w14:textId="77777777" w:rsidR="00EC0A99" w:rsidRPr="00E97AFD" w:rsidRDefault="00EC0A99" w:rsidP="00EC0A99">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（12）本基金根据份额持有人集中度情况对本基金的投资组合实施调整，并遵守以下要求：</w:t>
      </w:r>
    </w:p>
    <w:p w14:paraId="2856EAC1" w14:textId="77777777" w:rsidR="00EC0A99" w:rsidRPr="00E97AFD" w:rsidRDefault="00EC0A99" w:rsidP="00EC0A99">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lastRenderedPageBreak/>
        <w:t>1）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14:paraId="2978BF43" w14:textId="77777777" w:rsidR="00EC0A99" w:rsidRPr="00E97AFD" w:rsidRDefault="00EC0A99" w:rsidP="00EC0A99">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14:paraId="184E3C51" w14:textId="77777777" w:rsidR="00EC0A99" w:rsidRPr="00E97AFD" w:rsidRDefault="00EC0A99" w:rsidP="00EC0A99">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（13）本基金与私募类证券资管产品及中国证监会认定的其他主体为交易对手开展逆回购交易的，可接受质押品的资质要求应当与基金合同约定的投资范围保持一致。</w:t>
      </w:r>
    </w:p>
    <w:p w14:paraId="0C6CB423" w14:textId="77777777" w:rsidR="00EC0A99" w:rsidRPr="00E97AFD" w:rsidRDefault="00EC0A99" w:rsidP="00EC0A99">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（14）中国证监会规定的其他比例限制。</w:t>
      </w:r>
    </w:p>
    <w:p w14:paraId="41476BD8" w14:textId="77777777" w:rsidR="00EC0A99" w:rsidRPr="00E97AFD" w:rsidRDefault="00EC0A99" w:rsidP="00EC0A99">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除第（1）、（5）之1）、（10）、（13）项外，因市场波动、基金规模变动等基金管理人之外的因素致使基金投资不符合上述规定投资比例的，基金管理人应当在10个交易日内进行调整，但中国证监会规定或上述条款另有约定的特殊情形除外。法律法规另有规定的，从其规定。</w:t>
      </w:r>
    </w:p>
    <w:p w14:paraId="6C012218" w14:textId="77777777" w:rsidR="00EC0A99" w:rsidRPr="00E97AFD" w:rsidRDefault="00EC0A99" w:rsidP="00EC0A99">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3、若法律法规或中国证监会的相关规定发生修改或变更，以修改或变更后的规定为准。</w:t>
      </w:r>
    </w:p>
    <w:p w14:paraId="0285F0C1" w14:textId="77777777" w:rsidR="00EC0A99" w:rsidRPr="00E97AFD" w:rsidRDefault="00EC0A99" w:rsidP="00EC0A99">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基金管理人应当自基金合同生效之日起6个月内使基金的投资组合比例符合基金合同的有关约定。基金托管人对基金的投资的监督与检查自本基金合同生效之日起。</w:t>
      </w:r>
    </w:p>
    <w:p w14:paraId="6771BD4E" w14:textId="77777777" w:rsidR="00F465AB" w:rsidRPr="00E97AFD" w:rsidRDefault="00EC0A99"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取消上述限制的，本基金不受上述限制。</w:t>
      </w:r>
    </w:p>
    <w:p w14:paraId="11784517" w14:textId="77777777" w:rsidR="00F465AB" w:rsidRPr="00E97AFD" w:rsidRDefault="00F465AB"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三）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14:paraId="4DFF2F1D" w14:textId="77777777" w:rsidR="00F465AB" w:rsidRPr="00E97AFD" w:rsidRDefault="00F465AB"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14:paraId="51BF485F" w14:textId="77777777" w:rsidR="00F465AB" w:rsidRPr="00E97AFD" w:rsidRDefault="00F465AB"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（四）基金托管人根据有关法律法规的规定及《基金合同》的约定，对基金管理人参与银行间债券市场进行监督。基金管理人应在基金投资运作之前向基金托管人提供符合法律法</w:t>
      </w:r>
      <w:r w:rsidRPr="00E97AFD">
        <w:rPr>
          <w:rFonts w:asciiTheme="minorEastAsia" w:eastAsiaTheme="minorEastAsia" w:hAnsiTheme="minorEastAsia" w:hint="eastAsia"/>
          <w:szCs w:val="21"/>
        </w:rPr>
        <w:lastRenderedPageBreak/>
        <w:t>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32484060" w14:textId="77777777" w:rsidR="00F465AB" w:rsidRPr="00E97AFD" w:rsidRDefault="00F465AB"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8DA70E1" w14:textId="77777777" w:rsidR="00F465AB" w:rsidRPr="00E97AFD" w:rsidRDefault="00F465AB"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五）基金托管人根据有关法律法规的规定及《基金合同》的约定，对基金资产净值计算、每万份基金已实现收益、7日年化收益率、应收资金到账、基金费用开支及收入确定、基金收益分配、相关信息披露、基金宣传推介材料中登载基金业绩表现数据等进行监督和核查。</w:t>
      </w:r>
    </w:p>
    <w:p w14:paraId="0F291E97" w14:textId="77777777" w:rsidR="00F465AB" w:rsidRPr="00E97AFD" w:rsidRDefault="00F465AB"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78738D5" w14:textId="77777777" w:rsidR="00F465AB" w:rsidRPr="00E97AFD" w:rsidRDefault="00F465AB"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99C2323" w14:textId="77777777" w:rsidR="00F465AB" w:rsidRPr="00E97AFD" w:rsidRDefault="00F465AB"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（八）若基金托管人发现基金管理人依据交易程序已经生效的指令违反法律、行政法规和其他有关规定，或者违反《基金合同》约定的，应当立即通知基金管理人，由此造成的损失由基金管理人承担。</w:t>
      </w:r>
    </w:p>
    <w:p w14:paraId="55FCD4CC" w14:textId="77777777" w:rsidR="005C57AD" w:rsidRPr="00E97AFD" w:rsidRDefault="00F465AB"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（九）基金托管人发现基金管理人有重大违规行为，应及时报告中国证监会，同时通知</w:t>
      </w:r>
      <w:r w:rsidRPr="00E97AFD">
        <w:rPr>
          <w:rFonts w:asciiTheme="minorEastAsia" w:eastAsiaTheme="minorEastAsia" w:hAnsiTheme="minorEastAsia" w:hint="eastAsia"/>
          <w:szCs w:val="21"/>
        </w:rPr>
        <w:lastRenderedPageBreak/>
        <w:t>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F7C8334"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三、基金管理人对基金托管人的业务核查</w:t>
      </w:r>
    </w:p>
    <w:p w14:paraId="46C24DB6" w14:textId="77777777" w:rsidR="00C56391" w:rsidRPr="00E97AFD" w:rsidRDefault="00C56391"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一）基金管理人对基金托管人履行托管职责情况进行核查，核查事项包括基金托管人安全保管基金财产、开设基金财产的资金账户和证券账户、复核基金管理人计算的基金资产净值、基金份额的每万份基金已实现收益、7日年化收益率根据基金管理人指令办理清算交收、相关信息披露和监督基金投资运作等行为。</w:t>
      </w:r>
    </w:p>
    <w:p w14:paraId="272C2792" w14:textId="77777777" w:rsidR="00C56391" w:rsidRPr="00E97AFD" w:rsidRDefault="00C56391"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3F6C775" w14:textId="77777777" w:rsidR="005C57AD" w:rsidRPr="00E97AFD" w:rsidRDefault="00C56391"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D4EAEEB"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四、基金财产的保管</w:t>
      </w:r>
    </w:p>
    <w:p w14:paraId="1E9937ED"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（一）基金财产保管的原则</w:t>
      </w:r>
    </w:p>
    <w:p w14:paraId="77034EAB" w14:textId="77777777" w:rsidR="00B764D6" w:rsidRPr="00E97AFD" w:rsidRDefault="00C94C2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w:t>
      </w:r>
      <w:r w:rsidR="00B764D6" w:rsidRPr="00E97AFD">
        <w:rPr>
          <w:rFonts w:asciiTheme="minorEastAsia" w:eastAsiaTheme="minorEastAsia" w:hAnsiTheme="minorEastAsia" w:hint="eastAsia"/>
          <w:szCs w:val="21"/>
        </w:rPr>
        <w:t>基金财产应独立于基金管理人、基金托管人的固有财产。</w:t>
      </w:r>
    </w:p>
    <w:p w14:paraId="54EDF293"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w:t>
      </w:r>
      <w:r w:rsidR="00C94C22" w:rsidRPr="00E97AFD">
        <w:rPr>
          <w:rFonts w:asciiTheme="minorEastAsia" w:eastAsiaTheme="minorEastAsia" w:hAnsiTheme="minorEastAsia" w:hint="eastAsia"/>
          <w:szCs w:val="21"/>
        </w:rPr>
        <w:t>、</w:t>
      </w:r>
      <w:r w:rsidRPr="00E97AFD">
        <w:rPr>
          <w:rFonts w:asciiTheme="minorEastAsia" w:eastAsiaTheme="minorEastAsia" w:hAnsiTheme="minorEastAsia" w:hint="eastAsia"/>
          <w:szCs w:val="21"/>
        </w:rPr>
        <w:t>基金托管人应安全保管基金财产。</w:t>
      </w:r>
    </w:p>
    <w:p w14:paraId="477FE65E" w14:textId="77777777" w:rsidR="00B764D6" w:rsidRPr="00E97AFD" w:rsidRDefault="00C94C2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3、</w:t>
      </w:r>
      <w:r w:rsidR="00B764D6" w:rsidRPr="00E97AFD">
        <w:rPr>
          <w:rFonts w:asciiTheme="minorEastAsia" w:eastAsiaTheme="minorEastAsia" w:hAnsiTheme="minorEastAsia" w:hint="eastAsia"/>
          <w:szCs w:val="21"/>
        </w:rPr>
        <w:t>基金托管人按照规定开设基金财产的资金账户和证券账户。</w:t>
      </w:r>
    </w:p>
    <w:p w14:paraId="10B56C62" w14:textId="77777777" w:rsidR="00B764D6" w:rsidRPr="00E97AFD" w:rsidRDefault="00C94C2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4、</w:t>
      </w:r>
      <w:r w:rsidR="00B764D6" w:rsidRPr="00E97AFD">
        <w:rPr>
          <w:rFonts w:asciiTheme="minorEastAsia" w:eastAsiaTheme="minorEastAsia" w:hAnsiTheme="minorEastAsia" w:hint="eastAsia"/>
          <w:szCs w:val="21"/>
        </w:rPr>
        <w:t>基金托管人对所托管的不同基金财产分别设置账户，确保基金财产的完整与独立。</w:t>
      </w:r>
    </w:p>
    <w:p w14:paraId="1B0BA2FA" w14:textId="77777777" w:rsidR="00B764D6" w:rsidRPr="00E97AFD" w:rsidRDefault="00C94C2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5、</w:t>
      </w:r>
      <w:r w:rsidR="00B764D6" w:rsidRPr="00E97AFD">
        <w:rPr>
          <w:rFonts w:asciiTheme="minorEastAsia" w:eastAsiaTheme="minorEastAsia" w:hAnsiTheme="minorEastAsia" w:hint="eastAsia"/>
          <w:szCs w:val="21"/>
        </w:rPr>
        <w:t>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托管资产开户银行扣收结算费和账户维护费等费用）。</w:t>
      </w:r>
    </w:p>
    <w:p w14:paraId="28780D37" w14:textId="77777777" w:rsidR="00B764D6" w:rsidRPr="00E97AFD" w:rsidRDefault="00C94C2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6、</w:t>
      </w:r>
      <w:r w:rsidR="00B764D6" w:rsidRPr="00E97AFD">
        <w:rPr>
          <w:rFonts w:asciiTheme="minorEastAsia" w:eastAsiaTheme="minorEastAsia" w:hAnsiTheme="minorEastAsia" w:hint="eastAsia"/>
          <w:szCs w:val="21"/>
        </w:rPr>
        <w:t>对于因为基金投资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w:t>
      </w:r>
      <w:r w:rsidR="00B764D6" w:rsidRPr="00E97AFD">
        <w:rPr>
          <w:rFonts w:asciiTheme="minorEastAsia" w:eastAsiaTheme="minorEastAsia" w:hAnsiTheme="minorEastAsia" w:hint="eastAsia"/>
          <w:szCs w:val="21"/>
        </w:rPr>
        <w:lastRenderedPageBreak/>
        <w:t>产的损失，基金托管人对此不承担任何责任。</w:t>
      </w:r>
    </w:p>
    <w:p w14:paraId="209FB9E5" w14:textId="77777777" w:rsidR="00B764D6" w:rsidRPr="00E97AFD" w:rsidRDefault="00C94C2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7、</w:t>
      </w:r>
      <w:r w:rsidR="00B764D6" w:rsidRPr="00E97AFD">
        <w:rPr>
          <w:rFonts w:asciiTheme="minorEastAsia" w:eastAsiaTheme="minorEastAsia" w:hAnsiTheme="minorEastAsia" w:hint="eastAsia"/>
          <w:szCs w:val="21"/>
        </w:rPr>
        <w:t>除依据法律法规和《基金合同》的规定外，基金托管人不得委托第三人托管基金财产。</w:t>
      </w:r>
    </w:p>
    <w:p w14:paraId="2AAB4189"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（二）基金募集期间及募集资金的验资</w:t>
      </w:r>
    </w:p>
    <w:p w14:paraId="06FDF938" w14:textId="77777777" w:rsidR="00B764D6" w:rsidRPr="00E97AFD" w:rsidRDefault="00C94C2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w:t>
      </w:r>
      <w:r w:rsidR="00B764D6" w:rsidRPr="00E97AFD">
        <w:rPr>
          <w:rFonts w:asciiTheme="minorEastAsia" w:eastAsiaTheme="minorEastAsia" w:hAnsiTheme="minorEastAsia" w:hint="eastAsia"/>
          <w:szCs w:val="21"/>
        </w:rPr>
        <w:t>基金募集期间募集的资金应存于基金管理人开设的基金募集专户，在基金募集行为结束前，任何人不得动用。</w:t>
      </w:r>
    </w:p>
    <w:p w14:paraId="584E81A7" w14:textId="77777777" w:rsidR="00B764D6" w:rsidRPr="00E97AFD" w:rsidRDefault="00C94C2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w:t>
      </w:r>
      <w:r w:rsidR="00B764D6" w:rsidRPr="00E97AFD">
        <w:rPr>
          <w:rFonts w:asciiTheme="minorEastAsia" w:eastAsiaTheme="minorEastAsia" w:hAnsiTheme="minorEastAsia" w:hint="eastAsia"/>
          <w:szCs w:val="21"/>
        </w:rPr>
        <w:t>基金募集期满或基金停止募集时，募集的基金份额总额、基金募集金额、基金份额持有人人数符合《基金法》、《运作办法》等有关规定后，基金管理人应将属于基金财产的全部资金划入基金托管人以本基金的名义开立的基金银行账户，由基金管理人同时在规定时间内，聘请具有从事证券相关业务资格的会计师事务所进行验资，出具验资报告，验资报告中需对基金募集的资金进行确认。出具的验资报告由参加验资的2名或2名以上中国注册会计师签字方为有效。</w:t>
      </w:r>
    </w:p>
    <w:p w14:paraId="56D0D93B" w14:textId="77777777" w:rsidR="00B764D6" w:rsidRPr="00E97AFD" w:rsidRDefault="00C94C2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3、</w:t>
      </w:r>
      <w:r w:rsidR="00B764D6" w:rsidRPr="00E97AFD">
        <w:rPr>
          <w:rFonts w:asciiTheme="minorEastAsia" w:eastAsiaTheme="minorEastAsia" w:hAnsiTheme="minorEastAsia" w:hint="eastAsia"/>
          <w:szCs w:val="21"/>
        </w:rPr>
        <w:t>若基金募集期限届满，未能达到《基金合同》生效的条件，由基金管理人按规定办理退款等事宜，基金托管人应提供必要协助。</w:t>
      </w:r>
    </w:p>
    <w:p w14:paraId="252A860D"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（三）基金银行账户的开立和管理</w:t>
      </w:r>
    </w:p>
    <w:p w14:paraId="6B655D7D" w14:textId="77777777" w:rsidR="00B764D6" w:rsidRPr="00E97AFD" w:rsidRDefault="00C94C2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w:t>
      </w:r>
      <w:r w:rsidR="00B764D6" w:rsidRPr="00E97AFD">
        <w:rPr>
          <w:rFonts w:asciiTheme="minorEastAsia" w:eastAsiaTheme="minorEastAsia" w:hAnsiTheme="minorEastAsia" w:hint="eastAsia"/>
          <w:szCs w:val="21"/>
        </w:rPr>
        <w:t>基金托管人应以本基金的名义在其营业机构开立基金的银行账户，并根据基金管理人合法合规的指令办理资金收付。本基金的银行预留印鉴由基金托管人保管和使用。</w:t>
      </w:r>
    </w:p>
    <w:p w14:paraId="2AC06A2A" w14:textId="77777777" w:rsidR="00B764D6" w:rsidRPr="00E97AFD" w:rsidRDefault="00C94C2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w:t>
      </w:r>
      <w:r w:rsidR="00B764D6" w:rsidRPr="00E97AFD">
        <w:rPr>
          <w:rFonts w:asciiTheme="minorEastAsia" w:eastAsiaTheme="minorEastAsia" w:hAnsiTheme="minorEastAsia" w:hint="eastAsia"/>
          <w:szCs w:val="21"/>
        </w:rPr>
        <w:t>基金银行账户的开立和使用，限于满足开展本基金业务的需要。基金托管人和基金管理人不得假借本基金的名义开立任何其他银行账户；亦不得使用基金的任何账户进行本基金业务以外的活动。</w:t>
      </w:r>
    </w:p>
    <w:p w14:paraId="32B59A83" w14:textId="77777777" w:rsidR="00B764D6" w:rsidRPr="00E97AFD" w:rsidRDefault="00C94C2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3、</w:t>
      </w:r>
      <w:r w:rsidR="00B764D6" w:rsidRPr="00E97AFD">
        <w:rPr>
          <w:rFonts w:asciiTheme="minorEastAsia" w:eastAsiaTheme="minorEastAsia" w:hAnsiTheme="minorEastAsia" w:hint="eastAsia"/>
          <w:szCs w:val="21"/>
        </w:rPr>
        <w:t>基金银行账户的开立和管理应符合银行业监督管理机构的有关规定。</w:t>
      </w:r>
    </w:p>
    <w:p w14:paraId="7BF5517A" w14:textId="77777777" w:rsidR="00B764D6" w:rsidRPr="00E97AFD" w:rsidRDefault="00C94C2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4、</w:t>
      </w:r>
      <w:r w:rsidR="00B764D6" w:rsidRPr="00E97AFD">
        <w:rPr>
          <w:rFonts w:asciiTheme="minorEastAsia" w:eastAsiaTheme="minorEastAsia" w:hAnsiTheme="minorEastAsia" w:hint="eastAsia"/>
          <w:szCs w:val="21"/>
        </w:rPr>
        <w:t>在符合法律法规规定的条件下，基金托管人可以通过基金托管人专用账户办理基金资产的支付。</w:t>
      </w:r>
    </w:p>
    <w:p w14:paraId="0D43B6E0"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（四）基金证券账户和结算备付金账户的开立和管理</w:t>
      </w:r>
    </w:p>
    <w:p w14:paraId="79CB6518" w14:textId="77777777" w:rsidR="00B764D6" w:rsidRPr="00E97AFD" w:rsidRDefault="00C94C2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w:t>
      </w:r>
      <w:r w:rsidR="00B764D6" w:rsidRPr="00E97AFD">
        <w:rPr>
          <w:rFonts w:asciiTheme="minorEastAsia" w:eastAsiaTheme="minorEastAsia" w:hAnsiTheme="minorEastAsia" w:hint="eastAsia"/>
          <w:szCs w:val="21"/>
        </w:rPr>
        <w:t>基金托管人在中国证券登记结算有限责任公司上海分公司、深圳分公司为基金开立基金托管人与基金联名的证券账户。</w:t>
      </w:r>
    </w:p>
    <w:p w14:paraId="0AF252FE" w14:textId="77777777" w:rsidR="00B764D6" w:rsidRPr="00E97AFD" w:rsidRDefault="00C94C2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w:t>
      </w:r>
      <w:r w:rsidR="00B764D6" w:rsidRPr="00E97AFD">
        <w:rPr>
          <w:rFonts w:asciiTheme="minorEastAsia" w:eastAsiaTheme="minorEastAsia" w:hAnsiTheme="minorEastAsia" w:hint="eastAsia"/>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D6684C3" w14:textId="77777777" w:rsidR="00B764D6" w:rsidRPr="00E97AFD" w:rsidRDefault="00C94C2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3、</w:t>
      </w:r>
      <w:r w:rsidR="00B764D6" w:rsidRPr="00E97AFD">
        <w:rPr>
          <w:rFonts w:asciiTheme="minorEastAsia" w:eastAsiaTheme="minorEastAsia" w:hAnsiTheme="minorEastAsia" w:hint="eastAsia"/>
          <w:szCs w:val="21"/>
        </w:rPr>
        <w:t>基金证券账户的开立和证券账户卡的保管由基金托管人负责，账户资产的管理和运用由基金管理人负责。</w:t>
      </w:r>
    </w:p>
    <w:p w14:paraId="30FFDFF1" w14:textId="77777777" w:rsidR="00B764D6" w:rsidRPr="00E97AFD" w:rsidRDefault="00C94C2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4、</w:t>
      </w:r>
      <w:r w:rsidR="00B764D6" w:rsidRPr="00E97AFD">
        <w:rPr>
          <w:rFonts w:asciiTheme="minorEastAsia" w:eastAsiaTheme="minorEastAsia" w:hAnsiTheme="minorEastAsia" w:hint="eastAsia"/>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w:t>
      </w:r>
      <w:r w:rsidR="00B764D6" w:rsidRPr="00E97AFD">
        <w:rPr>
          <w:rFonts w:asciiTheme="minorEastAsia" w:eastAsiaTheme="minorEastAsia" w:hAnsiTheme="minorEastAsia" w:hint="eastAsia"/>
          <w:szCs w:val="21"/>
        </w:rPr>
        <w:lastRenderedPageBreak/>
        <w:t>券登记结算有限责任公司的规定执行。</w:t>
      </w:r>
    </w:p>
    <w:p w14:paraId="633EF5BE" w14:textId="77777777" w:rsidR="00B764D6" w:rsidRPr="00E97AFD" w:rsidRDefault="00C94C2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5、</w:t>
      </w:r>
      <w:r w:rsidR="00B764D6" w:rsidRPr="00E97AFD">
        <w:rPr>
          <w:rFonts w:asciiTheme="minorEastAsia" w:eastAsiaTheme="minorEastAsia" w:hAnsiTheme="minorEastAsia" w:hint="eastAsia"/>
          <w:szCs w:val="21"/>
        </w:rPr>
        <w:t>若中国证监会或其他监管机构在本托管协议订立日之后允许基金从事其他投资品种的投资业务，涉及相关账户的开立、使用的，若无相关规定，则基金托管人比照上述关于账户开立、使用的规定执行。</w:t>
      </w:r>
    </w:p>
    <w:p w14:paraId="01666806"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（五）债券托管专户的开设和管理</w:t>
      </w:r>
    </w:p>
    <w:p w14:paraId="50B1542B"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合同》生效后，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3DF6D2FC"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（六）其他账户的开立和管理</w:t>
      </w:r>
    </w:p>
    <w:p w14:paraId="4108D8ED" w14:textId="77777777" w:rsidR="00B764D6" w:rsidRPr="00E97AFD" w:rsidRDefault="00C94C2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w:t>
      </w:r>
      <w:r w:rsidR="00B764D6" w:rsidRPr="00E97AFD">
        <w:rPr>
          <w:rFonts w:asciiTheme="minorEastAsia" w:eastAsiaTheme="minorEastAsia" w:hAnsiTheme="minorEastAsia" w:hint="eastAsia"/>
          <w:szCs w:val="21"/>
        </w:rPr>
        <w:t>因业务发展需要而开立的其他账户，可以根据法律法规和《基金合同》的规定，由基金托管人负责开立。新账户按有关规定使用并管理。</w:t>
      </w:r>
    </w:p>
    <w:p w14:paraId="0B76CB9A" w14:textId="77777777" w:rsidR="00B764D6" w:rsidRPr="00E97AFD" w:rsidRDefault="00C94C2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w:t>
      </w:r>
      <w:r w:rsidR="00B764D6" w:rsidRPr="00E97AFD">
        <w:rPr>
          <w:rFonts w:asciiTheme="minorEastAsia" w:eastAsiaTheme="minorEastAsia" w:hAnsiTheme="minorEastAsia" w:hint="eastAsia"/>
          <w:szCs w:val="21"/>
        </w:rPr>
        <w:t>法律法规等有关规定对相关账户的开立和管理另有规定的，从其规定办理。</w:t>
      </w:r>
    </w:p>
    <w:p w14:paraId="676D7BB4"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（七）基金财产投资的有关有价凭证等的保管</w:t>
      </w:r>
    </w:p>
    <w:p w14:paraId="6E2FA166"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财产投资的有关实物证券、银行定期存款证实书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344FAD4F"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（八）与基金财产有关的重大合同的保管</w:t>
      </w:r>
    </w:p>
    <w:p w14:paraId="6FB86EDC" w14:textId="77777777" w:rsidR="005C57AD"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保管期限为《基金合同》终止后15年。</w:t>
      </w:r>
    </w:p>
    <w:p w14:paraId="1181F2D9"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五、基金资产净值计算和会计核算</w:t>
      </w:r>
    </w:p>
    <w:p w14:paraId="414E2B4D"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（一）基金资产净值、基金份额的每万份基金已实现收益、7日年化收益率的计算、复核与完成的时间及程序</w:t>
      </w:r>
    </w:p>
    <w:p w14:paraId="6EDFF2D9" w14:textId="77777777" w:rsidR="00B764D6" w:rsidRPr="00E97AFD" w:rsidRDefault="00C94C2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w:t>
      </w:r>
      <w:r w:rsidR="00B764D6" w:rsidRPr="00E97AFD">
        <w:rPr>
          <w:rFonts w:asciiTheme="minorEastAsia" w:eastAsiaTheme="minorEastAsia" w:hAnsiTheme="minorEastAsia" w:hint="eastAsia"/>
          <w:szCs w:val="21"/>
        </w:rPr>
        <w:t>每万份基金已实现收益和7日年化收益率的计算方法如下：</w:t>
      </w:r>
    </w:p>
    <w:p w14:paraId="207472C8"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每万份基金已实现收益＝当日该类基金份额的已实现收益</w:t>
      </w:r>
      <w:r w:rsidRPr="00E97AFD">
        <w:rPr>
          <w:rFonts w:asciiTheme="minorEastAsia" w:eastAsiaTheme="minorEastAsia" w:hAnsiTheme="minorEastAsia"/>
          <w:szCs w:val="21"/>
        </w:rPr>
        <w:t>/</w:t>
      </w:r>
      <w:r w:rsidRPr="00E97AFD">
        <w:rPr>
          <w:rFonts w:asciiTheme="minorEastAsia" w:eastAsiaTheme="minorEastAsia" w:hAnsiTheme="minorEastAsia" w:hint="eastAsia"/>
          <w:szCs w:val="21"/>
        </w:rPr>
        <w:t>当日该类基金份额总额×10000。其中，当日分配的基金收益自其下一日起享有分红权益，自下一日起纳入基金份额总数的计算；收益的精度为以四舍五入的方法保留小数点后4位。</w:t>
      </w:r>
    </w:p>
    <w:p w14:paraId="2E64378D"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lastRenderedPageBreak/>
        <w:t>7日年化收益率=</w:t>
      </w:r>
      <w:r w:rsidRPr="00E97AFD">
        <w:rPr>
          <w:rFonts w:asciiTheme="minorEastAsia" w:eastAsiaTheme="minorEastAsia" w:hAnsiTheme="minorEastAsia"/>
          <w:szCs w:val="21"/>
        </w:rPr>
        <w:object w:dxaOrig="3480" w:dyaOrig="880" w14:anchorId="0A305CD5">
          <v:shape id="_x0000_i1027" type="#_x0000_t75" style="width:172.5pt;height:43.5pt;mso-position-horizontal-relative:page;mso-position-vertical-relative:page" o:ole="">
            <v:imagedata r:id="rId20" o:title=""/>
          </v:shape>
          <o:OLEObject Type="Embed" ProgID="Equation.DSMT4" ShapeID="_x0000_i1027" DrawAspect="Content" ObjectID="_1654002545" r:id="rId23"/>
        </w:object>
      </w:r>
    </w:p>
    <w:p w14:paraId="55B3EE58"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其中，Ri为最近第i个自然日(包括计算当日)的每万份基金已实现收益。</w:t>
      </w:r>
    </w:p>
    <w:p w14:paraId="72CB82CD"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每万份基金已实现收益采用四舍五入保留至小数点后第4位，7日年化收益率采用四舍五入保留至百分号内小数点后第3位。</w:t>
      </w:r>
    </w:p>
    <w:p w14:paraId="0465F4B4"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如果基金成立不足七日，按类似规则计算。当任一类基金份额为零时，将暂停计算和披露该类基金份额的每万份基金已实现收益、</w:t>
      </w:r>
      <w:r w:rsidRPr="00E97AFD">
        <w:rPr>
          <w:rFonts w:asciiTheme="minorEastAsia" w:eastAsiaTheme="minorEastAsia" w:hAnsiTheme="minorEastAsia"/>
          <w:szCs w:val="21"/>
        </w:rPr>
        <w:t>7</w:t>
      </w:r>
      <w:r w:rsidRPr="00E97AFD">
        <w:rPr>
          <w:rFonts w:asciiTheme="minorEastAsia" w:eastAsiaTheme="minorEastAsia" w:hAnsiTheme="minorEastAsia" w:hint="eastAsia"/>
          <w:szCs w:val="21"/>
        </w:rPr>
        <w:t>日年化收益率，待该类份额不为零时重新开始计算和披露。</w:t>
      </w:r>
    </w:p>
    <w:p w14:paraId="5669452D"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每个交易日计算基金资产净值、基金份额的每万份基金已实现收益和7日年化收益率，并按规定公告。</w:t>
      </w:r>
    </w:p>
    <w:p w14:paraId="1F8FBA7F"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基金管理人应每交易日对基金资产估值。但基金管理人根据法律法规或《基金合同》的规定暂停估值时除外。基金管理人每个交易日对基金资产估值后，将基金资产净值、基金份额的每万份基金已实现收益、7日年化收益率结果发送基金托管人，经基金托管人复核无误后，由基金管理人按规定对外公布。</w:t>
      </w:r>
    </w:p>
    <w:p w14:paraId="67F26A3C"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（二）基金资产估值方法和特殊情形的处理</w:t>
      </w:r>
    </w:p>
    <w:p w14:paraId="59E2604E"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1.估值对象</w:t>
      </w:r>
    </w:p>
    <w:p w14:paraId="5C956860"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基金所拥有的各类证券和银行存款本息、应收款项、其它投资等资产及负债。</w:t>
      </w:r>
    </w:p>
    <w:p w14:paraId="6AD2151F"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2.估值方法</w:t>
      </w:r>
    </w:p>
    <w:p w14:paraId="188135D5"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本基金估值采用“摊余成本法”，即计价对象以买入成本列示，按照票面利率或协议利率并考虑其买入时的溢价与折价，在剩余存续期内按照实际利率法摊销，每日计提损益。本基金不采用市场利率和上市交易的债券和票据的市价计算基金资产净值。</w:t>
      </w:r>
    </w:p>
    <w:p w14:paraId="2FFAF1B0" w14:textId="1E262959"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投资组合的摊余成本与其他可参考公允价值指标产生重大偏离的，可按其他公允指标对组合的账面价值进行调整。当“影子定价”确定的基金资产净值与“摊余成本法”计算的基金资产净值的负偏离度绝对值达到或超过0.25%时，基金管理人应当在5个交易日内将负偏离度绝对值调整到0.25%以内。当正偏离度绝对值达到0.5%时，基金管理人应当暂停接受申购并在5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p>
    <w:p w14:paraId="4916C773"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lastRenderedPageBreak/>
        <w:t>（3）如有充足理由表明按上述方法进行估值不能客观反映其公允价值的，基金管理人可根据具体情况与基金托管人商定后，按最能反映公允价值的价格估值。</w:t>
      </w:r>
    </w:p>
    <w:p w14:paraId="09EE70CE"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（4）相关法律法规以及监管部门有强制规定的，从其规定。如有新增事项，按国家最新规定估值。</w:t>
      </w:r>
    </w:p>
    <w:p w14:paraId="1B6A4323"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569E6750"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5EE3A7D"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3.特殊情形的处理</w:t>
      </w:r>
    </w:p>
    <w:p w14:paraId="6F467964"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基金管理人、基金托管人按估值方法的第（2）、（3）项进行估值时，所造成的误差不作为基金资产估值错误处理。</w:t>
      </w:r>
    </w:p>
    <w:p w14:paraId="7DABE311"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（三）基金估值错误的处理方式</w:t>
      </w:r>
    </w:p>
    <w:p w14:paraId="4632F930"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基金估值出现错误时，基金管理人应当立即予以纠正，通报基金托管人，并采取合理的措施防止损失进一步扩大；错误偏差达到基金资产净值的0.25%时，基金管理人应当通报基金托管人并报中国证监会备案；错误偏差达到基金资产净值的0.5%时，基金管理人应当公告；当发生净值计算错误时，由基金管理人负责处理，由此给基金份额持有人和基金造成损失的，应由基金管理人先行赔付，基金管理人按差错情形，有权向其他当事人追偿。</w:t>
      </w:r>
    </w:p>
    <w:p w14:paraId="2C8E8393"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当因基金管理人和基金托管人原因基金资产净值、每万份基金已实现收益出现估值错误给基金和基金份额持有人造成损失需要进行赔偿时，基金管理人和基金托管人应根据实际情况界定双方承担的责任，经确认后按以下条款进行赔偿：</w:t>
      </w:r>
    </w:p>
    <w:p w14:paraId="725A6FC6"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本基金的基金会计责任方由基金管理人担任，与本基金有关的会计问题，如经双方在平等基础上充分讨论后，尚不能达成一致时，按基金管理人的建议执行，若基金托管人已提出合理意见而基金管理人未采纳的，由此给基金份额持有人和基金财产造成的直接损失，由基金管理人负责赔付。</w:t>
      </w:r>
    </w:p>
    <w:p w14:paraId="127EE2D0"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若基金管理人计算的基金资产净值、每万份基金已实现收益已由基金托管人复核确认后公告，而且基金托管人未对计算过程提出疑义或要求基金管理人书面说明，基金资产净值、每万份基金已实现收益出错且造成基金份额持有人直接损失的，应根据法律法规的规定对投资者或基金支付赔偿金，就实际向投资者或基金支付的赔偿金额，基金管理人与基金托管人按照管理费和托管费的比例各自承担相应的责任。</w:t>
      </w:r>
    </w:p>
    <w:p w14:paraId="28CFFDFC"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（3）如基金管理人和基金托管人对基金资产净值、每万份基金已实现收益的计算结果，虽然多次重新计算和核对，尚不能达成一致时，为避免不能按时公布基金资产净值、每万份</w:t>
      </w:r>
      <w:r w:rsidRPr="00E97AFD">
        <w:rPr>
          <w:rFonts w:asciiTheme="minorEastAsia" w:eastAsiaTheme="minorEastAsia" w:hAnsiTheme="minorEastAsia" w:hint="eastAsia"/>
          <w:szCs w:val="21"/>
        </w:rPr>
        <w:lastRenderedPageBreak/>
        <w:t>基金已实现收益的情形，以基金管理人的计算结果对外公布，若基金托管人已提出合理意见而基金管理人未采纳的，由此给基金份额持有人和基金造成的直接损失，由基金管理人负责赔付。</w:t>
      </w:r>
    </w:p>
    <w:p w14:paraId="4E4F7DC5"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（4）由于基金管理人提供的信息错误（包括但不限于基金申购或赎回金额等），进而导致基金资产净值计算错误而引起的基金份额持有人和基金财产的损失，由基金管理人负责赔付。</w:t>
      </w:r>
    </w:p>
    <w:p w14:paraId="5A98C482"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3.由于证券交易所、登记结算公司、存款银行发送的数据错误，有关会计制度变化或由于其他不可抗力原因，基金管理人和基金托管人虽然已经采取必要、适当、合理的措施进行检查，但是未能发现该错误而造成的基金资产净值计算错误，基金管理人、基金托管人免除赔偿责任。但基金管理人、基金托管人应积极采取必要的措施消除由此造成的影响。</w:t>
      </w:r>
    </w:p>
    <w:p w14:paraId="31B7962E"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4.基金管理人和基金托管人由于各自技术系统设置而产生的净值计算尾差，以基金管理人计算结果为准。</w:t>
      </w:r>
    </w:p>
    <w:p w14:paraId="6B092C37"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5.前述内容如法律法规或者监管部门另有规定的，从其规定。如果行业另有通行做法，双方当事人应本着平等和保护基金份额持有人利益的原则进行协商。</w:t>
      </w:r>
    </w:p>
    <w:p w14:paraId="59F21B16"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（四）暂停估值与公告的情形</w:t>
      </w:r>
    </w:p>
    <w:p w14:paraId="3806046B"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1.基金投资所涉及的证券交易市场遇法定节假日或因其他原因暂停营业时；</w:t>
      </w:r>
    </w:p>
    <w:p w14:paraId="59E44626"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2.因不可抗力致使基金管理人、基金托管人无法准确评估基金资产价值时；</w:t>
      </w:r>
    </w:p>
    <w:p w14:paraId="2564125F" w14:textId="4514B49D"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3.当前一估值日基金资产净值50%以上的资产出现无可参考的活跃市场价格且采用估值技术仍导致公允价值存在重大不确定性时，经与基金托管人协商一致的；</w:t>
      </w:r>
    </w:p>
    <w:p w14:paraId="0B2195F0"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4.中国证监会和基金合同认定的其它情形。</w:t>
      </w:r>
    </w:p>
    <w:p w14:paraId="2281E058"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（五）基金会计制度</w:t>
      </w:r>
    </w:p>
    <w:p w14:paraId="6B8866BC"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按国家有关部门规定的会计制度执行。</w:t>
      </w:r>
    </w:p>
    <w:p w14:paraId="6ADA212C"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（六）基金账册的建立</w:t>
      </w:r>
    </w:p>
    <w:p w14:paraId="4D377DF5"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管理人进行基金会计核算并编制基金财务会计报告。基金管理人和基金托管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64E80C46"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（七）基金财务报表与报告的编制和复核</w:t>
      </w:r>
    </w:p>
    <w:p w14:paraId="352BC554"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1.财务报表的编制</w:t>
      </w:r>
    </w:p>
    <w:p w14:paraId="6B3DF092"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基金财务报表由基金管理人编制，基金托管人复核。</w:t>
      </w:r>
    </w:p>
    <w:p w14:paraId="4242EEB3"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2.报表复核</w:t>
      </w:r>
    </w:p>
    <w:p w14:paraId="1CCC24F8"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基金托管人在收到基金管理人编制的基金财务报表后，进行独立的复核。核对不符时，应及时通知基金管理人共同查出原因，进行调整，直至双方数据完全一致。</w:t>
      </w:r>
    </w:p>
    <w:p w14:paraId="5EB2ECB3"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3.财务报表的编制与复核时间安排</w:t>
      </w:r>
    </w:p>
    <w:p w14:paraId="112F681F"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lastRenderedPageBreak/>
        <w:t>（1）报表的编制</w:t>
      </w:r>
    </w:p>
    <w:p w14:paraId="62BA1F9D"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基金管理人应当在每月结束后5个工作日内完成月度报表的编制；基金管理人应当在每年结束之日起三个月内，编制完成基金年度报告；基金管理人应当在上半年结束之日起两个月内，编制完成基金中期报告；基金管理人应当在季度结束之日起15个工作日内，编制完成基金季度报告。《基金合同》生效不足2个月的，基金管理人可以不编制当期季度报告、中期报告或者年度报告。</w:t>
      </w:r>
    </w:p>
    <w:p w14:paraId="195BA646"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（2）报表的复核</w:t>
      </w:r>
    </w:p>
    <w:p w14:paraId="6C0695E8"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3B1D440" w14:textId="77777777" w:rsidR="00A20BA0" w:rsidRPr="00E97AFD" w:rsidRDefault="00A20BA0" w:rsidP="00A20BA0">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基金管理人应留足充分的时间，便于基金托管人复核相关报表及报告。</w:t>
      </w:r>
    </w:p>
    <w:p w14:paraId="78E02299" w14:textId="445D599B" w:rsidR="005C57AD" w:rsidRPr="00E97AFD" w:rsidRDefault="00A20BA0"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（八）基金管理人应在编制季度报告、中期报告或者年度报告之前及时向基金托管人提供基金业绩比较基准的基础数据和编制结果。</w:t>
      </w:r>
    </w:p>
    <w:p w14:paraId="499C4829"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六、基金份额持有人名册的登记与保管</w:t>
      </w:r>
    </w:p>
    <w:p w14:paraId="0B891B0C"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25DF6025" w14:textId="77777777" w:rsidR="005C57AD"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在基金托管人要求或编制半年报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05783B8B"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七、争议解决方式</w:t>
      </w:r>
    </w:p>
    <w:p w14:paraId="7090FDA3"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除非仲裁裁决另有决定。</w:t>
      </w:r>
    </w:p>
    <w:p w14:paraId="055F549F"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争议处理期间，双方当事人应恪守基金管理人和基金托管人职责，各自继续忠实、勤勉、尽责地履行《基金合同》和本托管协议规定的义务，维护基金份额持有人的合法权益。</w:t>
      </w:r>
    </w:p>
    <w:p w14:paraId="353E1BB9"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本协议受中国法律管辖。</w:t>
      </w:r>
    </w:p>
    <w:p w14:paraId="2ABA5862"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八、托管协议的变更、终止与基金财产的清算</w:t>
      </w:r>
    </w:p>
    <w:p w14:paraId="49DD68B7"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（一）托管协议的变更程序</w:t>
      </w:r>
    </w:p>
    <w:p w14:paraId="4E070866"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lastRenderedPageBreak/>
        <w:t>本协议双方当事人经协商一致，可以对协议进行修改。修改后的新协议，其内容不得与《基金合同》的规定有任何冲突。</w:t>
      </w:r>
    </w:p>
    <w:p w14:paraId="7EDA1BAD"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（二）基金托管协议终止出现的情形</w:t>
      </w:r>
    </w:p>
    <w:p w14:paraId="1064A7E6" w14:textId="77777777" w:rsidR="00B764D6" w:rsidRPr="00E97AFD" w:rsidRDefault="00C94C2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w:t>
      </w:r>
      <w:r w:rsidR="00B764D6" w:rsidRPr="00E97AFD">
        <w:rPr>
          <w:rFonts w:asciiTheme="minorEastAsia" w:eastAsiaTheme="minorEastAsia" w:hAnsiTheme="minorEastAsia" w:hint="eastAsia"/>
          <w:szCs w:val="21"/>
        </w:rPr>
        <w:t>《基金合同》终止；</w:t>
      </w:r>
    </w:p>
    <w:p w14:paraId="0089D356" w14:textId="77777777" w:rsidR="00B764D6" w:rsidRPr="00E97AFD" w:rsidRDefault="00C94C2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w:t>
      </w:r>
      <w:r w:rsidR="00B764D6" w:rsidRPr="00E97AFD">
        <w:rPr>
          <w:rFonts w:asciiTheme="minorEastAsia" w:eastAsiaTheme="minorEastAsia" w:hAnsiTheme="minorEastAsia" w:hint="eastAsia"/>
          <w:szCs w:val="21"/>
        </w:rPr>
        <w:t>基金托管人解散、依法被撤销、破产或由其他基金托管人接管基金资产；</w:t>
      </w:r>
    </w:p>
    <w:p w14:paraId="427D473C" w14:textId="77777777" w:rsidR="00B764D6" w:rsidRPr="00E97AFD" w:rsidRDefault="00C94C2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3、</w:t>
      </w:r>
      <w:r w:rsidR="00B764D6" w:rsidRPr="00E97AFD">
        <w:rPr>
          <w:rFonts w:asciiTheme="minorEastAsia" w:eastAsiaTheme="minorEastAsia" w:hAnsiTheme="minorEastAsia" w:hint="eastAsia"/>
          <w:szCs w:val="21"/>
        </w:rPr>
        <w:t>基金管理人解散、依法被撤销、破产或由其他基金管理人接管基金管理权；</w:t>
      </w:r>
    </w:p>
    <w:p w14:paraId="5B229D17" w14:textId="77777777" w:rsidR="00B764D6" w:rsidRPr="00E97AFD" w:rsidRDefault="00C94C2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4、</w:t>
      </w:r>
      <w:r w:rsidR="00B764D6" w:rsidRPr="00E97AFD">
        <w:rPr>
          <w:rFonts w:asciiTheme="minorEastAsia" w:eastAsiaTheme="minorEastAsia" w:hAnsiTheme="minorEastAsia" w:hint="eastAsia"/>
          <w:szCs w:val="21"/>
        </w:rPr>
        <w:t>发生法律法规或《基金合同》规定的终止事项。</w:t>
      </w:r>
    </w:p>
    <w:p w14:paraId="59F16DEB"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（三）基金财产的清算</w:t>
      </w:r>
    </w:p>
    <w:p w14:paraId="1E12C629"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w:t>
      </w:r>
      <w:r w:rsidR="00C94C22" w:rsidRPr="00E97AFD">
        <w:rPr>
          <w:rFonts w:asciiTheme="minorEastAsia" w:eastAsiaTheme="minorEastAsia" w:hAnsiTheme="minorEastAsia" w:hint="eastAsia"/>
          <w:szCs w:val="21"/>
        </w:rPr>
        <w:t>、</w:t>
      </w:r>
      <w:r w:rsidRPr="00E97AFD">
        <w:rPr>
          <w:rFonts w:asciiTheme="minorEastAsia" w:eastAsiaTheme="minorEastAsia" w:hAnsiTheme="minorEastAsia" w:hint="eastAsia"/>
          <w:szCs w:val="21"/>
        </w:rPr>
        <w:t>基金财产清算小组：自出现《基金合同》终止事由之日起30个工作日内成立清算小组，基金管理人组织基金财产清算小组并在中国证监会的监督下进行基金清算。</w:t>
      </w:r>
    </w:p>
    <w:p w14:paraId="5148DB0D" w14:textId="77777777" w:rsidR="00B764D6" w:rsidRPr="00E97AFD" w:rsidRDefault="00C94C2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w:t>
      </w:r>
      <w:r w:rsidR="00B764D6" w:rsidRPr="00E97AFD">
        <w:rPr>
          <w:rFonts w:asciiTheme="minorEastAsia" w:eastAsiaTheme="minorEastAsia" w:hAnsiTheme="minorEastAsia" w:hint="eastAsia"/>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308587D" w14:textId="77777777" w:rsidR="00B764D6" w:rsidRPr="00E97AFD" w:rsidRDefault="00C94C2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3、</w:t>
      </w:r>
      <w:r w:rsidR="00B764D6" w:rsidRPr="00E97AFD">
        <w:rPr>
          <w:rFonts w:asciiTheme="minorEastAsia" w:eastAsiaTheme="minorEastAsia" w:hAnsiTheme="minorEastAsia" w:hint="eastAsia"/>
          <w:szCs w:val="21"/>
        </w:rPr>
        <w:t>基金财产清算小组职责：基金财产清算小组负责基金财产的保管、清理、估价、变现和分配。基金财产清算小组可以依法进行必要的民事活动。</w:t>
      </w:r>
    </w:p>
    <w:p w14:paraId="22379A4A" w14:textId="77777777" w:rsidR="00B764D6" w:rsidRPr="00E97AFD" w:rsidRDefault="00C94C2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4、</w:t>
      </w:r>
      <w:r w:rsidR="00B764D6" w:rsidRPr="00E97AFD">
        <w:rPr>
          <w:rFonts w:asciiTheme="minorEastAsia" w:eastAsiaTheme="minorEastAsia" w:hAnsiTheme="minorEastAsia" w:hint="eastAsia"/>
          <w:szCs w:val="21"/>
        </w:rPr>
        <w:t>基金财产清算程序：</w:t>
      </w:r>
    </w:p>
    <w:p w14:paraId="4A26CB7E"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(1)《基金合同》终止情形出现时，由基金财产清算小组统一接管基金；</w:t>
      </w:r>
    </w:p>
    <w:p w14:paraId="4D598CF8"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(2)对基金财产和债权债务进行清理和确认；</w:t>
      </w:r>
    </w:p>
    <w:p w14:paraId="7F81EB05"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(3)对基金财产进行估值和变现；</w:t>
      </w:r>
    </w:p>
    <w:p w14:paraId="3622125B"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(4)制作清算报告；</w:t>
      </w:r>
    </w:p>
    <w:p w14:paraId="54270A7E"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(5)聘请会计师事务所对清算报告进行外部审计，聘请律师事务所对清算报告出具法律意见书；</w:t>
      </w:r>
    </w:p>
    <w:p w14:paraId="78CA7104"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(6)将清算结果报中国证监会备案并公告；</w:t>
      </w:r>
    </w:p>
    <w:p w14:paraId="095EA037"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(7)对基金财产进行分配。</w:t>
      </w:r>
    </w:p>
    <w:p w14:paraId="0E3517E7" w14:textId="77777777" w:rsidR="00B764D6" w:rsidRPr="00E97AFD" w:rsidRDefault="00C94C2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5、</w:t>
      </w:r>
      <w:r w:rsidR="00B764D6" w:rsidRPr="00E97AFD">
        <w:rPr>
          <w:rFonts w:asciiTheme="minorEastAsia" w:eastAsiaTheme="minorEastAsia" w:hAnsiTheme="minorEastAsia" w:hint="eastAsia"/>
          <w:szCs w:val="21"/>
        </w:rPr>
        <w:t>基金财产清算的期限为6个月。</w:t>
      </w:r>
    </w:p>
    <w:p w14:paraId="25E2BC0E" w14:textId="77777777" w:rsidR="00B764D6" w:rsidRPr="00E97AFD" w:rsidRDefault="00C94C2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6、</w:t>
      </w:r>
      <w:r w:rsidR="00B764D6" w:rsidRPr="00E97AFD">
        <w:rPr>
          <w:rFonts w:asciiTheme="minorEastAsia" w:eastAsiaTheme="minorEastAsia" w:hAnsiTheme="minorEastAsia" w:hint="eastAsia"/>
          <w:szCs w:val="21"/>
        </w:rPr>
        <w:t>清算费用</w:t>
      </w:r>
    </w:p>
    <w:p w14:paraId="06553557"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清算费用是指基金财产清算小组在进行基金清算过程中发生的所有合理费用，清算费用由基金财产清算小组优先从基金财产中支付。</w:t>
      </w:r>
    </w:p>
    <w:p w14:paraId="0DEBEC54" w14:textId="77777777" w:rsidR="00B764D6" w:rsidRPr="00E97AFD" w:rsidRDefault="00C94C2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7、</w:t>
      </w:r>
      <w:r w:rsidR="00B764D6" w:rsidRPr="00E97AFD">
        <w:rPr>
          <w:rFonts w:asciiTheme="minorEastAsia" w:eastAsiaTheme="minorEastAsia" w:hAnsiTheme="minorEastAsia" w:hint="eastAsia"/>
          <w:szCs w:val="21"/>
        </w:rPr>
        <w:t>基金财产清算剩余资产的分配：</w:t>
      </w:r>
    </w:p>
    <w:p w14:paraId="2ED5FBF4"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依据基金财产清算的分配方案，将基金财产清算后的全部剩余资产扣除基金财产清算费用、交纳所欠税款并清偿基金债务后，按基金份额持有人持有的基金份额比例进行分配。</w:t>
      </w:r>
    </w:p>
    <w:p w14:paraId="622F8446" w14:textId="77777777" w:rsidR="00B764D6" w:rsidRPr="00E97AFD" w:rsidRDefault="00C94C2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8、</w:t>
      </w:r>
      <w:r w:rsidR="00B764D6" w:rsidRPr="00E97AFD">
        <w:rPr>
          <w:rFonts w:asciiTheme="minorEastAsia" w:eastAsiaTheme="minorEastAsia" w:hAnsiTheme="minorEastAsia" w:hint="eastAsia"/>
          <w:szCs w:val="21"/>
        </w:rPr>
        <w:t>基金财产清算的公告</w:t>
      </w:r>
    </w:p>
    <w:p w14:paraId="53F259F4" w14:textId="77777777" w:rsidR="00B764D6"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清算过程中的有关重大事项须及时公告；基金财产清算报告经会计师事务所审计、并由律师事务所出具法律意见书后，报中国证监会备案并公告。基金财产清算公告于基金财产清</w:t>
      </w:r>
      <w:r w:rsidRPr="00E97AFD">
        <w:rPr>
          <w:rFonts w:asciiTheme="minorEastAsia" w:eastAsiaTheme="minorEastAsia" w:hAnsiTheme="minorEastAsia" w:hint="eastAsia"/>
          <w:szCs w:val="21"/>
        </w:rPr>
        <w:lastRenderedPageBreak/>
        <w:t>算报告报中国证监会备案后5个工作日内由基金财产清算小组进行公告。</w:t>
      </w:r>
    </w:p>
    <w:p w14:paraId="1371CE65" w14:textId="77777777" w:rsidR="00B764D6" w:rsidRPr="00E97AFD" w:rsidRDefault="00C94C22"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9、</w:t>
      </w:r>
      <w:r w:rsidR="00B764D6" w:rsidRPr="00E97AFD">
        <w:rPr>
          <w:rFonts w:asciiTheme="minorEastAsia" w:eastAsiaTheme="minorEastAsia" w:hAnsiTheme="minorEastAsia" w:hint="eastAsia"/>
          <w:szCs w:val="21"/>
        </w:rPr>
        <w:t>基金财产清算账册及文件的保存</w:t>
      </w:r>
    </w:p>
    <w:p w14:paraId="1007A99F" w14:textId="77777777" w:rsidR="00DD6D95" w:rsidRPr="00E97AFD" w:rsidRDefault="00B764D6" w:rsidP="00966694">
      <w:pPr>
        <w:snapToGrid w:val="0"/>
        <w:spacing w:line="360" w:lineRule="auto"/>
        <w:ind w:firstLineChars="200" w:firstLine="420"/>
        <w:rPr>
          <w:rFonts w:asciiTheme="minorEastAsia" w:eastAsiaTheme="minorEastAsia" w:hAnsiTheme="minorEastAsia"/>
          <w:szCs w:val="21"/>
        </w:rPr>
      </w:pPr>
      <w:r w:rsidRPr="00E97AFD">
        <w:rPr>
          <w:rFonts w:asciiTheme="minorEastAsia" w:eastAsiaTheme="minorEastAsia" w:hAnsiTheme="minorEastAsia" w:hint="eastAsia"/>
          <w:szCs w:val="21"/>
        </w:rPr>
        <w:t>基金财产清算账册及有关文件由基金托管人保存15年以上。</w:t>
      </w:r>
    </w:p>
    <w:p w14:paraId="110303B1"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p>
    <w:p w14:paraId="3BB1695B" w14:textId="77777777" w:rsidR="005C57AD" w:rsidRPr="00E97AFD" w:rsidRDefault="005C57AD" w:rsidP="00966694">
      <w:pPr>
        <w:snapToGrid w:val="0"/>
        <w:spacing w:line="360" w:lineRule="auto"/>
        <w:ind w:firstLineChars="200" w:firstLine="420"/>
        <w:rPr>
          <w:rFonts w:asciiTheme="minorEastAsia" w:eastAsiaTheme="minorEastAsia" w:hAnsiTheme="minorEastAsia"/>
          <w:szCs w:val="21"/>
        </w:rPr>
      </w:pPr>
    </w:p>
    <w:p w14:paraId="2023898C" w14:textId="77777777" w:rsidR="00BA4B87" w:rsidRPr="00E97AFD" w:rsidRDefault="00D708BF" w:rsidP="00966694">
      <w:pPr>
        <w:pStyle w:val="1"/>
        <w:pageBreakBefore/>
        <w:snapToGrid w:val="0"/>
        <w:spacing w:beforeLines="0" w:afterLines="0" w:line="360" w:lineRule="auto"/>
        <w:ind w:firstLine="602"/>
        <w:rPr>
          <w:rFonts w:asciiTheme="minorEastAsia" w:eastAsiaTheme="minorEastAsia" w:hAnsiTheme="minorEastAsia"/>
          <w:b/>
          <w:bCs/>
        </w:rPr>
      </w:pPr>
      <w:bookmarkStart w:id="85" w:name="_Toc43371994"/>
      <w:r w:rsidRPr="00E97AFD">
        <w:rPr>
          <w:rFonts w:asciiTheme="minorEastAsia" w:eastAsiaTheme="minorEastAsia" w:hAnsiTheme="minorEastAsia"/>
          <w:b/>
          <w:sz w:val="30"/>
        </w:rPr>
        <w:lastRenderedPageBreak/>
        <w:t>二十</w:t>
      </w:r>
      <w:r w:rsidRPr="00E97AFD">
        <w:rPr>
          <w:rFonts w:asciiTheme="minorEastAsia" w:eastAsiaTheme="minorEastAsia" w:hAnsiTheme="minorEastAsia" w:hint="eastAsia"/>
          <w:b/>
          <w:sz w:val="30"/>
        </w:rPr>
        <w:t>四</w:t>
      </w:r>
      <w:r w:rsidR="00BA4B87" w:rsidRPr="00E97AFD">
        <w:rPr>
          <w:rFonts w:asciiTheme="minorEastAsia" w:eastAsiaTheme="minorEastAsia" w:hAnsiTheme="minorEastAsia"/>
          <w:b/>
          <w:sz w:val="30"/>
        </w:rPr>
        <w:t>、对基金份额持有人的服务</w:t>
      </w:r>
      <w:bookmarkEnd w:id="85"/>
    </w:p>
    <w:p w14:paraId="0E609043" w14:textId="77777777" w:rsidR="002A1A17" w:rsidRPr="00E97AFD" w:rsidRDefault="002A1A17" w:rsidP="00966694">
      <w:pPr>
        <w:pStyle w:val="ac"/>
        <w:autoSpaceDE w:val="0"/>
        <w:autoSpaceDN w:val="0"/>
        <w:adjustRightInd w:val="0"/>
        <w:snapToGrid w:val="0"/>
        <w:spacing w:after="0" w:line="360" w:lineRule="auto"/>
        <w:ind w:firstLineChars="200"/>
        <w:rPr>
          <w:rFonts w:asciiTheme="minorEastAsia" w:eastAsiaTheme="minorEastAsia" w:hAnsiTheme="minorEastAsia"/>
        </w:rPr>
      </w:pPr>
      <w:r w:rsidRPr="00E97AFD">
        <w:rPr>
          <w:rFonts w:asciiTheme="minorEastAsia" w:eastAsiaTheme="minorEastAsia" w:hAnsiTheme="minorEastAsia"/>
        </w:rPr>
        <w:t>基金管理人承诺为基金份额持有人提供一系列的服务。以下是主要的服务内容，基金管理人根据基金份额持有人的需要和市场的变化，有权增加、修改这些服务项目：</w:t>
      </w:r>
    </w:p>
    <w:p w14:paraId="298B09FF" w14:textId="77777777" w:rsidR="002A1A17" w:rsidRPr="00E97AFD" w:rsidRDefault="002A1A17" w:rsidP="00966694">
      <w:pPr>
        <w:pStyle w:val="ac"/>
        <w:autoSpaceDE w:val="0"/>
        <w:autoSpaceDN w:val="0"/>
        <w:adjustRightInd w:val="0"/>
        <w:snapToGrid w:val="0"/>
        <w:spacing w:after="0" w:line="360" w:lineRule="auto"/>
        <w:ind w:firstLineChars="200"/>
        <w:rPr>
          <w:rFonts w:asciiTheme="minorEastAsia" w:eastAsiaTheme="minorEastAsia" w:hAnsiTheme="minorEastAsia"/>
        </w:rPr>
      </w:pPr>
      <w:r w:rsidRPr="00E97AFD">
        <w:rPr>
          <w:rFonts w:asciiTheme="minorEastAsia" w:eastAsiaTheme="minorEastAsia" w:hAnsiTheme="minorEastAsia"/>
        </w:rPr>
        <w:t>(一)基金份额持有人投资交易确认服务</w:t>
      </w:r>
    </w:p>
    <w:p w14:paraId="560B4331" w14:textId="77777777" w:rsidR="00FE4683" w:rsidRPr="00E97AFD" w:rsidRDefault="002A1A17" w:rsidP="00966694">
      <w:pPr>
        <w:pStyle w:val="aa"/>
        <w:snapToGrid w:val="0"/>
        <w:spacing w:line="360" w:lineRule="auto"/>
        <w:ind w:firstLineChars="200"/>
        <w:rPr>
          <w:rFonts w:asciiTheme="minorEastAsia" w:eastAsiaTheme="minorEastAsia" w:hAnsiTheme="minorEastAsia"/>
        </w:rPr>
      </w:pPr>
      <w:r w:rsidRPr="00E97AFD">
        <w:rPr>
          <w:rFonts w:asciiTheme="minorEastAsia" w:eastAsiaTheme="minorEastAsia" w:hAnsiTheme="minorEastAsia"/>
        </w:rPr>
        <w:t>基金登记机构保留基金份额持有人名册上列明的所有基金份额持有人的基金交易记录。</w:t>
      </w:r>
    </w:p>
    <w:p w14:paraId="091D9A8D" w14:textId="77777777" w:rsidR="002360EF" w:rsidRPr="00E97AFD" w:rsidRDefault="002360EF" w:rsidP="00966694">
      <w:pPr>
        <w:pStyle w:val="aa"/>
        <w:snapToGrid w:val="0"/>
        <w:spacing w:line="360" w:lineRule="auto"/>
        <w:ind w:firstLineChars="200"/>
        <w:rPr>
          <w:rFonts w:asciiTheme="minorEastAsia" w:eastAsiaTheme="minorEastAsia" w:hAnsiTheme="minorEastAsia"/>
          <w:szCs w:val="21"/>
        </w:rPr>
      </w:pPr>
      <w:r w:rsidRPr="00E97AFD">
        <w:rPr>
          <w:rFonts w:asciiTheme="minorEastAsia" w:eastAsiaTheme="minorEastAsia" w:hAnsiTheme="minorEastAsia" w:hint="eastAsia"/>
        </w:rPr>
        <w:t>基金管理人直销网点应根据在基金管理人直销网点进行交易的投资者的要求提供成交确认单。基金非直销销售机构应根据在销售</w:t>
      </w:r>
      <w:r w:rsidRPr="00E97AFD">
        <w:rPr>
          <w:rFonts w:asciiTheme="minorEastAsia" w:eastAsiaTheme="minorEastAsia" w:hAnsiTheme="minorEastAsia" w:hint="eastAsia"/>
          <w:szCs w:val="21"/>
        </w:rPr>
        <w:t>网点进行交易的投资者的要求提供成交确认单。</w:t>
      </w:r>
    </w:p>
    <w:p w14:paraId="4FBECE57" w14:textId="77777777" w:rsidR="002A1A17" w:rsidRPr="00E97AFD" w:rsidRDefault="002A1A17" w:rsidP="00966694">
      <w:pPr>
        <w:pStyle w:val="ac"/>
        <w:autoSpaceDE w:val="0"/>
        <w:autoSpaceDN w:val="0"/>
        <w:adjustRightInd w:val="0"/>
        <w:snapToGrid w:val="0"/>
        <w:spacing w:after="0" w:line="360" w:lineRule="auto"/>
        <w:ind w:firstLineChars="200"/>
        <w:rPr>
          <w:rFonts w:asciiTheme="minorEastAsia" w:eastAsiaTheme="minorEastAsia" w:hAnsiTheme="minorEastAsia"/>
        </w:rPr>
      </w:pPr>
      <w:r w:rsidRPr="00E97AFD">
        <w:rPr>
          <w:rFonts w:asciiTheme="minorEastAsia" w:eastAsiaTheme="minorEastAsia" w:hAnsiTheme="minorEastAsia"/>
        </w:rPr>
        <w:t>(二)基金份额持有人交易记录查询服务</w:t>
      </w:r>
    </w:p>
    <w:p w14:paraId="65FEC582" w14:textId="77777777" w:rsidR="002A1A17" w:rsidRPr="00E97AFD" w:rsidRDefault="002A1A17" w:rsidP="00966694">
      <w:pPr>
        <w:pStyle w:val="ac"/>
        <w:autoSpaceDE w:val="0"/>
        <w:autoSpaceDN w:val="0"/>
        <w:adjustRightInd w:val="0"/>
        <w:snapToGrid w:val="0"/>
        <w:spacing w:after="0" w:line="360" w:lineRule="auto"/>
        <w:ind w:firstLineChars="200"/>
        <w:rPr>
          <w:rFonts w:asciiTheme="minorEastAsia" w:eastAsiaTheme="minorEastAsia" w:hAnsiTheme="minorEastAsia"/>
        </w:rPr>
      </w:pPr>
      <w:r w:rsidRPr="00E97AFD">
        <w:rPr>
          <w:rFonts w:asciiTheme="minorEastAsia" w:eastAsiaTheme="minorEastAsia" w:hAnsiTheme="minorEastAsia"/>
        </w:rPr>
        <w:t>本基金份额持有人可通过基金管理人的客户服务中心查询历史交易记录。</w:t>
      </w:r>
    </w:p>
    <w:p w14:paraId="79EBE743" w14:textId="77777777" w:rsidR="002A1A17" w:rsidRPr="00E97AFD" w:rsidRDefault="002A1A17" w:rsidP="00966694">
      <w:pPr>
        <w:pStyle w:val="ac"/>
        <w:autoSpaceDE w:val="0"/>
        <w:autoSpaceDN w:val="0"/>
        <w:adjustRightInd w:val="0"/>
        <w:snapToGrid w:val="0"/>
        <w:spacing w:after="0" w:line="360" w:lineRule="auto"/>
        <w:ind w:firstLineChars="200"/>
        <w:rPr>
          <w:rFonts w:asciiTheme="minorEastAsia" w:eastAsiaTheme="minorEastAsia" w:hAnsiTheme="minorEastAsia"/>
        </w:rPr>
      </w:pPr>
      <w:r w:rsidRPr="00E97AFD">
        <w:rPr>
          <w:rFonts w:asciiTheme="minorEastAsia" w:eastAsiaTheme="minorEastAsia" w:hAnsiTheme="minorEastAsia"/>
        </w:rPr>
        <w:t>(三)基金份额持有人的对账单服务</w:t>
      </w:r>
    </w:p>
    <w:p w14:paraId="6A13E9C7" w14:textId="77777777" w:rsidR="002A1A17" w:rsidRPr="00E97AFD" w:rsidRDefault="002A1A17" w:rsidP="00966694">
      <w:pPr>
        <w:pStyle w:val="ac"/>
        <w:autoSpaceDE w:val="0"/>
        <w:autoSpaceDN w:val="0"/>
        <w:adjustRightInd w:val="0"/>
        <w:snapToGrid w:val="0"/>
        <w:spacing w:after="0" w:line="360" w:lineRule="auto"/>
        <w:ind w:firstLineChars="200"/>
        <w:rPr>
          <w:rFonts w:asciiTheme="minorEastAsia" w:eastAsiaTheme="minorEastAsia" w:hAnsiTheme="minorEastAsia"/>
        </w:rPr>
      </w:pPr>
      <w:r w:rsidRPr="00E97AFD">
        <w:rPr>
          <w:rFonts w:asciiTheme="minorEastAsia" w:eastAsiaTheme="minorEastAsia" w:hAnsiTheme="minorEastAsia"/>
        </w:rPr>
        <w:t>1、基金份额持有人可登录本公司网站(</w:t>
      </w:r>
      <w:hyperlink r:id="rId24" w:history="1">
        <w:r w:rsidRPr="00E97AFD">
          <w:rPr>
            <w:rFonts w:asciiTheme="minorEastAsia" w:eastAsiaTheme="minorEastAsia" w:hAnsiTheme="minorEastAsia"/>
          </w:rPr>
          <w:t>http://www.efunds.com.cn</w:t>
        </w:r>
      </w:hyperlink>
      <w:r w:rsidRPr="00E97AFD">
        <w:rPr>
          <w:rFonts w:asciiTheme="minorEastAsia" w:eastAsiaTheme="minorEastAsia" w:hAnsiTheme="minorEastAsia"/>
        </w:rPr>
        <w:t>)查阅对账单。</w:t>
      </w:r>
    </w:p>
    <w:p w14:paraId="18FC5BA0" w14:textId="19FA6A82" w:rsidR="002360EF" w:rsidRPr="00E97AFD" w:rsidRDefault="002A1A17" w:rsidP="00966694">
      <w:pPr>
        <w:pStyle w:val="ac"/>
        <w:autoSpaceDE w:val="0"/>
        <w:autoSpaceDN w:val="0"/>
        <w:adjustRightInd w:val="0"/>
        <w:snapToGrid w:val="0"/>
        <w:spacing w:after="0" w:line="360" w:lineRule="auto"/>
        <w:ind w:firstLineChars="200"/>
        <w:rPr>
          <w:rFonts w:asciiTheme="minorEastAsia" w:eastAsiaTheme="minorEastAsia" w:hAnsiTheme="minorEastAsia"/>
        </w:rPr>
      </w:pPr>
      <w:r w:rsidRPr="00E97AFD">
        <w:rPr>
          <w:rFonts w:asciiTheme="minorEastAsia" w:eastAsiaTheme="minorEastAsia" w:hAnsiTheme="minorEastAsia"/>
        </w:rPr>
        <w:t>2、基金份额持有人也可向本公司定制电子对账单。</w:t>
      </w:r>
    </w:p>
    <w:p w14:paraId="2453C4EB" w14:textId="77777777" w:rsidR="002A1A17" w:rsidRPr="00E97AFD" w:rsidRDefault="002A1A17" w:rsidP="00966694">
      <w:pPr>
        <w:pStyle w:val="ac"/>
        <w:autoSpaceDE w:val="0"/>
        <w:autoSpaceDN w:val="0"/>
        <w:adjustRightInd w:val="0"/>
        <w:snapToGrid w:val="0"/>
        <w:spacing w:after="0" w:line="360" w:lineRule="auto"/>
        <w:ind w:firstLineChars="200"/>
        <w:rPr>
          <w:rFonts w:asciiTheme="minorEastAsia" w:eastAsiaTheme="minorEastAsia" w:hAnsiTheme="minorEastAsia"/>
        </w:rPr>
      </w:pPr>
      <w:r w:rsidRPr="00E97AFD">
        <w:rPr>
          <w:rFonts w:asciiTheme="minorEastAsia" w:eastAsiaTheme="minorEastAsia" w:hAnsiTheme="minorEastAsia"/>
        </w:rPr>
        <w:t>具体查阅和定制账单的方法可参见本公司网站或拨打客服热线咨询。</w:t>
      </w:r>
    </w:p>
    <w:p w14:paraId="3CB64343" w14:textId="77777777" w:rsidR="002360EF" w:rsidRPr="00E97AFD" w:rsidRDefault="002360EF" w:rsidP="00966694">
      <w:pPr>
        <w:pStyle w:val="ac"/>
        <w:autoSpaceDE w:val="0"/>
        <w:autoSpaceDN w:val="0"/>
        <w:adjustRightInd w:val="0"/>
        <w:snapToGrid w:val="0"/>
        <w:spacing w:after="0" w:line="360" w:lineRule="auto"/>
        <w:ind w:firstLineChars="200"/>
        <w:rPr>
          <w:rFonts w:asciiTheme="minorEastAsia" w:eastAsiaTheme="minorEastAsia" w:hAnsiTheme="minorEastAsia"/>
        </w:rPr>
      </w:pPr>
      <w:r w:rsidRPr="00E97AFD">
        <w:rPr>
          <w:rFonts w:asciiTheme="minorEastAsia" w:eastAsiaTheme="minorEastAsia" w:hAnsiTheme="minorEastAsia" w:hint="eastAsia"/>
        </w:rPr>
        <w:t>（四）定期定额投资计划</w:t>
      </w:r>
    </w:p>
    <w:p w14:paraId="373F3DA7" w14:textId="77777777" w:rsidR="002360EF" w:rsidRPr="00E97AFD" w:rsidRDefault="002360EF" w:rsidP="00966694">
      <w:pPr>
        <w:pStyle w:val="ac"/>
        <w:autoSpaceDE w:val="0"/>
        <w:autoSpaceDN w:val="0"/>
        <w:adjustRightInd w:val="0"/>
        <w:snapToGrid w:val="0"/>
        <w:spacing w:after="0" w:line="360" w:lineRule="auto"/>
        <w:ind w:firstLineChars="200"/>
        <w:rPr>
          <w:rFonts w:asciiTheme="minorEastAsia" w:eastAsiaTheme="minorEastAsia" w:hAnsiTheme="minorEastAsia"/>
        </w:rPr>
      </w:pPr>
      <w:r w:rsidRPr="00E97AFD">
        <w:rPr>
          <w:rFonts w:asciiTheme="minorEastAsia" w:eastAsiaTheme="minorEastAsia" w:hAnsiTheme="minorEastAsia" w:hint="eastAsia"/>
          <w:kern w:val="0"/>
        </w:rPr>
        <w:t>基金管理人可利用非直销销售机构网点和本公司网上交易系统为投资者提供定期定额投资的</w:t>
      </w:r>
      <w:r w:rsidRPr="00E97AFD">
        <w:rPr>
          <w:rFonts w:asciiTheme="minorEastAsia" w:eastAsiaTheme="minorEastAsia" w:hAnsiTheme="minorEastAsia" w:hint="eastAsia"/>
          <w:kern w:val="0"/>
          <w:szCs w:val="21"/>
        </w:rPr>
        <w:t>服务（本公司网上交易系统的定期定额投资服务目前仅对个人投资者开通）。</w:t>
      </w:r>
      <w:r w:rsidRPr="00E97AFD">
        <w:rPr>
          <w:rFonts w:asciiTheme="minorEastAsia" w:eastAsiaTheme="minorEastAsia" w:hAnsiTheme="minorEastAsia" w:hint="eastAsia"/>
        </w:rPr>
        <w:t>通过定期定额投资计划，投资者可以通过固定的渠道，定期定额申购基金份额，具体实施方法见有关公告。</w:t>
      </w:r>
    </w:p>
    <w:p w14:paraId="102D011E" w14:textId="77777777" w:rsidR="002A1A17" w:rsidRPr="00E97AFD" w:rsidRDefault="002A1A17" w:rsidP="00966694">
      <w:pPr>
        <w:pStyle w:val="ac"/>
        <w:autoSpaceDE w:val="0"/>
        <w:autoSpaceDN w:val="0"/>
        <w:adjustRightInd w:val="0"/>
        <w:snapToGrid w:val="0"/>
        <w:spacing w:after="0" w:line="360" w:lineRule="auto"/>
        <w:ind w:firstLineChars="200"/>
        <w:rPr>
          <w:rFonts w:asciiTheme="minorEastAsia" w:eastAsiaTheme="minorEastAsia" w:hAnsiTheme="minorEastAsia"/>
        </w:rPr>
      </w:pPr>
      <w:r w:rsidRPr="00E97AFD">
        <w:rPr>
          <w:rFonts w:asciiTheme="minorEastAsia" w:eastAsiaTheme="minorEastAsia" w:hAnsiTheme="minorEastAsia"/>
        </w:rPr>
        <w:t>(</w:t>
      </w:r>
      <w:r w:rsidR="002360EF" w:rsidRPr="00E97AFD">
        <w:rPr>
          <w:rFonts w:asciiTheme="minorEastAsia" w:eastAsiaTheme="minorEastAsia" w:hAnsiTheme="minorEastAsia" w:hint="eastAsia"/>
        </w:rPr>
        <w:t>五</w:t>
      </w:r>
      <w:r w:rsidRPr="00E97AFD">
        <w:rPr>
          <w:rFonts w:asciiTheme="minorEastAsia" w:eastAsiaTheme="minorEastAsia" w:hAnsiTheme="minorEastAsia"/>
        </w:rPr>
        <w:t>)资讯服务</w:t>
      </w:r>
    </w:p>
    <w:p w14:paraId="2990A062" w14:textId="77777777" w:rsidR="002A1A17" w:rsidRPr="00E97AFD" w:rsidRDefault="002A1A17" w:rsidP="00966694">
      <w:pPr>
        <w:pStyle w:val="ac"/>
        <w:autoSpaceDE w:val="0"/>
        <w:autoSpaceDN w:val="0"/>
        <w:adjustRightInd w:val="0"/>
        <w:snapToGrid w:val="0"/>
        <w:spacing w:after="0" w:line="360" w:lineRule="auto"/>
        <w:ind w:firstLineChars="200"/>
        <w:rPr>
          <w:rFonts w:asciiTheme="minorEastAsia" w:eastAsiaTheme="minorEastAsia" w:hAnsiTheme="minorEastAsia"/>
        </w:rPr>
      </w:pPr>
      <w:r w:rsidRPr="00E97AFD">
        <w:rPr>
          <w:rFonts w:asciiTheme="minorEastAsia" w:eastAsiaTheme="minorEastAsia" w:hAnsiTheme="minorEastAsia"/>
        </w:rPr>
        <w:t>1、客户服务电话</w:t>
      </w:r>
    </w:p>
    <w:p w14:paraId="2C65AA31" w14:textId="77777777" w:rsidR="002A1A17" w:rsidRPr="00E97AFD" w:rsidRDefault="00856FF8" w:rsidP="00966694">
      <w:pPr>
        <w:pStyle w:val="ac"/>
        <w:autoSpaceDE w:val="0"/>
        <w:autoSpaceDN w:val="0"/>
        <w:adjustRightInd w:val="0"/>
        <w:snapToGrid w:val="0"/>
        <w:spacing w:after="0" w:line="360" w:lineRule="auto"/>
        <w:ind w:firstLineChars="200"/>
        <w:rPr>
          <w:rFonts w:asciiTheme="minorEastAsia" w:eastAsiaTheme="minorEastAsia" w:hAnsiTheme="minorEastAsia"/>
        </w:rPr>
      </w:pPr>
      <w:r w:rsidRPr="00E97AFD">
        <w:rPr>
          <w:rFonts w:asciiTheme="minorEastAsia" w:eastAsiaTheme="minorEastAsia" w:hAnsiTheme="minorEastAsia" w:hint="eastAsia"/>
          <w:kern w:val="0"/>
          <w:szCs w:val="21"/>
        </w:rPr>
        <w:t>投资者如果想了解申购与赎回的交易情况、基金账户余额、基金产品与服务等信息</w:t>
      </w:r>
      <w:r w:rsidR="001D3DBF" w:rsidRPr="00E97AFD">
        <w:rPr>
          <w:rFonts w:asciiTheme="minorEastAsia" w:eastAsiaTheme="minorEastAsia" w:hAnsiTheme="minorEastAsia" w:hint="eastAsia"/>
          <w:kern w:val="0"/>
          <w:szCs w:val="21"/>
        </w:rPr>
        <w:t>，</w:t>
      </w:r>
      <w:r w:rsidR="001D3DBF" w:rsidRPr="00E97AFD">
        <w:rPr>
          <w:rFonts w:asciiTheme="minorEastAsia" w:eastAsiaTheme="minorEastAsia" w:hAnsiTheme="minorEastAsia" w:hint="eastAsia"/>
          <w:kern w:val="0"/>
        </w:rPr>
        <w:t>或反馈投资过程中需要投诉与建议的情况</w:t>
      </w:r>
      <w:r w:rsidRPr="00E97AFD">
        <w:rPr>
          <w:rFonts w:asciiTheme="minorEastAsia" w:eastAsiaTheme="minorEastAsia" w:hAnsiTheme="minorEastAsia"/>
        </w:rPr>
        <w:t>，可拨打如下电话：4008818088</w:t>
      </w:r>
      <w:r w:rsidRPr="00E97AFD">
        <w:rPr>
          <w:rFonts w:asciiTheme="minorEastAsia" w:eastAsiaTheme="minorEastAsia" w:hAnsiTheme="minorEastAsia" w:hint="eastAsia"/>
        </w:rPr>
        <w:t>（</w:t>
      </w:r>
      <w:r w:rsidRPr="00E97AFD">
        <w:rPr>
          <w:rFonts w:asciiTheme="minorEastAsia" w:eastAsiaTheme="minorEastAsia" w:hAnsiTheme="minorEastAsia"/>
        </w:rPr>
        <w:t>免长途话费</w:t>
      </w:r>
      <w:r w:rsidRPr="00E97AFD">
        <w:rPr>
          <w:rFonts w:asciiTheme="minorEastAsia" w:eastAsiaTheme="minorEastAsia" w:hAnsiTheme="minorEastAsia" w:hint="eastAsia"/>
        </w:rPr>
        <w:t>）</w:t>
      </w:r>
      <w:r w:rsidR="002A1A17" w:rsidRPr="00E97AFD">
        <w:rPr>
          <w:rFonts w:asciiTheme="minorEastAsia" w:eastAsiaTheme="minorEastAsia" w:hAnsiTheme="minorEastAsia"/>
        </w:rPr>
        <w:t>。</w:t>
      </w:r>
      <w:r w:rsidR="001D3DBF" w:rsidRPr="00E97AFD">
        <w:rPr>
          <w:rFonts w:asciiTheme="minorEastAsia" w:eastAsiaTheme="minorEastAsia" w:hAnsiTheme="minorEastAsia" w:hint="eastAsia"/>
          <w:kern w:val="0"/>
          <w:szCs w:val="21"/>
        </w:rPr>
        <w:t>投资者如果认为自己不能准确理解本基金《招募说明书》、《基金合同》的具体内容，也可拨打上述电话详询。</w:t>
      </w:r>
    </w:p>
    <w:p w14:paraId="533EE46E" w14:textId="77777777" w:rsidR="002A1A17" w:rsidRPr="00E97AFD" w:rsidRDefault="002A1A17" w:rsidP="00966694">
      <w:pPr>
        <w:pStyle w:val="ac"/>
        <w:autoSpaceDE w:val="0"/>
        <w:autoSpaceDN w:val="0"/>
        <w:adjustRightInd w:val="0"/>
        <w:snapToGrid w:val="0"/>
        <w:spacing w:after="0" w:line="360" w:lineRule="auto"/>
        <w:ind w:firstLineChars="200"/>
        <w:rPr>
          <w:rFonts w:asciiTheme="minorEastAsia" w:eastAsiaTheme="minorEastAsia" w:hAnsiTheme="minorEastAsia"/>
        </w:rPr>
      </w:pPr>
      <w:r w:rsidRPr="00E97AFD">
        <w:rPr>
          <w:rFonts w:asciiTheme="minorEastAsia" w:eastAsiaTheme="minorEastAsia" w:hAnsiTheme="minorEastAsia"/>
        </w:rPr>
        <w:t>2、互联网站及电子信箱</w:t>
      </w:r>
    </w:p>
    <w:p w14:paraId="2ECE2681" w14:textId="77777777" w:rsidR="002A1A17" w:rsidRPr="00E97AFD" w:rsidRDefault="002A1A17" w:rsidP="00966694">
      <w:pPr>
        <w:pStyle w:val="ac"/>
        <w:autoSpaceDE w:val="0"/>
        <w:autoSpaceDN w:val="0"/>
        <w:adjustRightInd w:val="0"/>
        <w:snapToGrid w:val="0"/>
        <w:spacing w:after="0" w:line="360" w:lineRule="auto"/>
        <w:ind w:firstLineChars="200"/>
        <w:rPr>
          <w:rFonts w:asciiTheme="minorEastAsia" w:eastAsiaTheme="minorEastAsia" w:hAnsiTheme="minorEastAsia"/>
        </w:rPr>
      </w:pPr>
      <w:r w:rsidRPr="00E97AFD">
        <w:rPr>
          <w:rFonts w:asciiTheme="minorEastAsia" w:eastAsiaTheme="minorEastAsia" w:hAnsiTheme="minorEastAsia"/>
        </w:rPr>
        <w:t>网址：</w:t>
      </w:r>
      <w:hyperlink r:id="rId25" w:history="1">
        <w:r w:rsidRPr="00E97AFD">
          <w:rPr>
            <w:rFonts w:asciiTheme="minorEastAsia" w:eastAsiaTheme="minorEastAsia" w:hAnsiTheme="minorEastAsia"/>
          </w:rPr>
          <w:t>http://www.efunds.com.cn</w:t>
        </w:r>
      </w:hyperlink>
    </w:p>
    <w:p w14:paraId="35A7F4D6" w14:textId="77777777" w:rsidR="002A1A17" w:rsidRPr="00E97AFD" w:rsidRDefault="002A1A17" w:rsidP="00966694">
      <w:pPr>
        <w:pStyle w:val="ac"/>
        <w:autoSpaceDE w:val="0"/>
        <w:autoSpaceDN w:val="0"/>
        <w:adjustRightInd w:val="0"/>
        <w:snapToGrid w:val="0"/>
        <w:spacing w:after="0" w:line="360" w:lineRule="auto"/>
        <w:ind w:firstLineChars="200"/>
        <w:rPr>
          <w:rFonts w:asciiTheme="minorEastAsia" w:eastAsiaTheme="minorEastAsia" w:hAnsiTheme="minorEastAsia"/>
        </w:rPr>
      </w:pPr>
      <w:r w:rsidRPr="00E97AFD">
        <w:rPr>
          <w:rFonts w:asciiTheme="minorEastAsia" w:eastAsiaTheme="minorEastAsia" w:hAnsiTheme="minorEastAsia"/>
        </w:rPr>
        <w:t>电子信箱：</w:t>
      </w:r>
      <w:hyperlink r:id="rId26" w:history="1">
        <w:r w:rsidRPr="00E97AFD">
          <w:rPr>
            <w:rFonts w:asciiTheme="minorEastAsia" w:eastAsiaTheme="minorEastAsia" w:hAnsiTheme="minorEastAsia"/>
          </w:rPr>
          <w:t>service@efunds.com.cn</w:t>
        </w:r>
      </w:hyperlink>
    </w:p>
    <w:p w14:paraId="076884A5" w14:textId="77777777" w:rsidR="00BA4B87" w:rsidRPr="00E97AFD" w:rsidRDefault="00BA4B87" w:rsidP="00966694">
      <w:pPr>
        <w:snapToGrid w:val="0"/>
        <w:spacing w:line="360" w:lineRule="auto"/>
        <w:ind w:firstLine="420"/>
        <w:rPr>
          <w:rFonts w:asciiTheme="minorEastAsia" w:eastAsiaTheme="minorEastAsia" w:hAnsiTheme="minorEastAsia"/>
        </w:rPr>
      </w:pPr>
    </w:p>
    <w:p w14:paraId="4FB56BAF" w14:textId="77777777" w:rsidR="00BA4B87" w:rsidRPr="00E97AFD" w:rsidRDefault="00D708BF" w:rsidP="00966694">
      <w:pPr>
        <w:pStyle w:val="1"/>
        <w:pageBreakBefore/>
        <w:snapToGrid w:val="0"/>
        <w:spacing w:beforeLines="0" w:afterLines="0" w:line="360" w:lineRule="auto"/>
        <w:ind w:firstLineChars="850" w:firstLine="2560"/>
        <w:jc w:val="both"/>
        <w:rPr>
          <w:rFonts w:asciiTheme="minorEastAsia" w:eastAsiaTheme="minorEastAsia" w:hAnsiTheme="minorEastAsia"/>
          <w:b/>
        </w:rPr>
      </w:pPr>
      <w:bookmarkStart w:id="86" w:name="_Toc43371995"/>
      <w:r w:rsidRPr="00E97AFD">
        <w:rPr>
          <w:rFonts w:asciiTheme="minorEastAsia" w:eastAsiaTheme="minorEastAsia" w:hAnsiTheme="minorEastAsia"/>
          <w:b/>
          <w:sz w:val="30"/>
        </w:rPr>
        <w:lastRenderedPageBreak/>
        <w:t>二十</w:t>
      </w:r>
      <w:r w:rsidRPr="00E97AFD">
        <w:rPr>
          <w:rFonts w:asciiTheme="minorEastAsia" w:eastAsiaTheme="minorEastAsia" w:hAnsiTheme="minorEastAsia" w:hint="eastAsia"/>
          <w:b/>
          <w:sz w:val="30"/>
        </w:rPr>
        <w:t>五</w:t>
      </w:r>
      <w:r w:rsidR="00BA4B87" w:rsidRPr="00E97AFD">
        <w:rPr>
          <w:rFonts w:asciiTheme="minorEastAsia" w:eastAsiaTheme="minorEastAsia" w:hAnsiTheme="minorEastAsia"/>
          <w:b/>
          <w:sz w:val="30"/>
        </w:rPr>
        <w:t>、其他应披露事项</w:t>
      </w:r>
      <w:bookmarkEnd w:id="86"/>
    </w:p>
    <w:tbl>
      <w:tblPr>
        <w:tblW w:w="8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8"/>
        <w:gridCol w:w="1625"/>
      </w:tblGrid>
      <w:tr w:rsidR="004503EC" w:rsidRPr="00E97AFD" w14:paraId="2BDBA69F" w14:textId="77777777" w:rsidTr="00531722">
        <w:trPr>
          <w:trHeight w:val="765"/>
        </w:trPr>
        <w:tc>
          <w:tcPr>
            <w:tcW w:w="6798" w:type="dxa"/>
            <w:tcBorders>
              <w:top w:val="single" w:sz="4" w:space="0" w:color="auto"/>
              <w:left w:val="single" w:sz="4" w:space="0" w:color="auto"/>
              <w:bottom w:val="single" w:sz="4" w:space="0" w:color="auto"/>
              <w:right w:val="single" w:sz="4" w:space="0" w:color="auto"/>
            </w:tcBorders>
            <w:vAlign w:val="center"/>
            <w:hideMark/>
          </w:tcPr>
          <w:p w14:paraId="7DF0E5D2" w14:textId="577267DD" w:rsidR="00424D1C" w:rsidRPr="00E97AFD" w:rsidRDefault="0027563B" w:rsidP="006B018F">
            <w:pPr>
              <w:spacing w:line="360" w:lineRule="auto"/>
              <w:ind w:firstLineChars="200" w:firstLine="420"/>
              <w:jc w:val="center"/>
              <w:rPr>
                <w:rFonts w:asciiTheme="minorEastAsia" w:eastAsiaTheme="minorEastAsia" w:hAnsiTheme="minorEastAsia"/>
                <w:szCs w:val="21"/>
              </w:rPr>
            </w:pPr>
            <w:r w:rsidRPr="00E97AFD">
              <w:rPr>
                <w:rFonts w:asciiTheme="minorEastAsia" w:eastAsiaTheme="minorEastAsia" w:hAnsiTheme="minorEastAsia" w:hint="eastAsia"/>
                <w:szCs w:val="21"/>
              </w:rPr>
              <w:t>公告事项</w:t>
            </w:r>
          </w:p>
        </w:tc>
        <w:tc>
          <w:tcPr>
            <w:tcW w:w="1625" w:type="dxa"/>
            <w:tcBorders>
              <w:top w:val="single" w:sz="4" w:space="0" w:color="auto"/>
              <w:left w:val="single" w:sz="4" w:space="0" w:color="auto"/>
              <w:bottom w:val="single" w:sz="4" w:space="0" w:color="auto"/>
              <w:right w:val="single" w:sz="4" w:space="0" w:color="auto"/>
            </w:tcBorders>
            <w:vAlign w:val="center"/>
            <w:hideMark/>
          </w:tcPr>
          <w:p w14:paraId="1DADB3E9" w14:textId="5B076811" w:rsidR="00424D1C" w:rsidRPr="00E97AFD" w:rsidRDefault="0027563B" w:rsidP="00B41264">
            <w:pPr>
              <w:spacing w:line="360" w:lineRule="auto"/>
              <w:jc w:val="center"/>
              <w:rPr>
                <w:rFonts w:asciiTheme="minorEastAsia" w:eastAsiaTheme="minorEastAsia" w:hAnsiTheme="minorEastAsia"/>
                <w:szCs w:val="21"/>
              </w:rPr>
            </w:pPr>
            <w:r w:rsidRPr="00E97AFD">
              <w:rPr>
                <w:rFonts w:asciiTheme="minorEastAsia" w:eastAsiaTheme="minorEastAsia" w:hAnsiTheme="minorEastAsia" w:hint="eastAsia"/>
                <w:szCs w:val="21"/>
              </w:rPr>
              <w:t>披露日期</w:t>
            </w:r>
          </w:p>
        </w:tc>
      </w:tr>
      <w:tr w:rsidR="0027563B" w:rsidRPr="00E97AFD" w14:paraId="18FAF143" w14:textId="77777777" w:rsidTr="00E97AFD">
        <w:tc>
          <w:tcPr>
            <w:tcW w:w="6798" w:type="dxa"/>
            <w:vAlign w:val="bottom"/>
          </w:tcPr>
          <w:p w14:paraId="2493E559" w14:textId="46304BC3" w:rsidR="0027563B" w:rsidRPr="00E97AFD" w:rsidRDefault="0027563B" w:rsidP="0027563B">
            <w:pPr>
              <w:jc w:val="left"/>
              <w:rPr>
                <w:rFonts w:asciiTheme="minorEastAsia" w:eastAsiaTheme="minorEastAsia" w:hAnsiTheme="minorEastAsia"/>
                <w:szCs w:val="21"/>
              </w:rPr>
            </w:pPr>
            <w:r w:rsidRPr="00E97AFD">
              <w:rPr>
                <w:rFonts w:asciiTheme="minorEastAsia" w:eastAsiaTheme="minorEastAsia" w:hAnsiTheme="minorEastAsia" w:hint="eastAsia"/>
                <w:szCs w:val="21"/>
              </w:rPr>
              <w:t>易方达基金管理有限公司关于旗下部分开放式基金增加中信建投证券为销售机构的公告</w:t>
            </w:r>
          </w:p>
        </w:tc>
        <w:tc>
          <w:tcPr>
            <w:tcW w:w="1625" w:type="dxa"/>
            <w:vAlign w:val="center"/>
          </w:tcPr>
          <w:p w14:paraId="58D25B07" w14:textId="45D74DC8" w:rsidR="0027563B" w:rsidRPr="00E97AFD" w:rsidRDefault="0027563B" w:rsidP="00E97AFD">
            <w:pPr>
              <w:jc w:val="center"/>
              <w:rPr>
                <w:rFonts w:asciiTheme="minorEastAsia" w:eastAsiaTheme="minorEastAsia" w:hAnsiTheme="minorEastAsia"/>
                <w:szCs w:val="21"/>
              </w:rPr>
            </w:pPr>
            <w:r w:rsidRPr="00E97AFD">
              <w:rPr>
                <w:rFonts w:asciiTheme="minorEastAsia" w:eastAsiaTheme="minorEastAsia" w:hAnsiTheme="minorEastAsia" w:hint="eastAsia"/>
                <w:szCs w:val="21"/>
              </w:rPr>
              <w:t>2019-06-28</w:t>
            </w:r>
          </w:p>
        </w:tc>
      </w:tr>
      <w:tr w:rsidR="0027563B" w:rsidRPr="00E97AFD" w14:paraId="05295B84" w14:textId="77777777" w:rsidTr="00E97AFD">
        <w:tc>
          <w:tcPr>
            <w:tcW w:w="6798" w:type="dxa"/>
            <w:vAlign w:val="bottom"/>
          </w:tcPr>
          <w:p w14:paraId="6E066962" w14:textId="6FCFD89B" w:rsidR="0027563B" w:rsidRPr="00E97AFD" w:rsidRDefault="0027563B" w:rsidP="0027563B">
            <w:pPr>
              <w:jc w:val="left"/>
              <w:rPr>
                <w:rFonts w:asciiTheme="minorEastAsia" w:eastAsiaTheme="minorEastAsia" w:hAnsiTheme="minorEastAsia"/>
                <w:szCs w:val="21"/>
              </w:rPr>
            </w:pPr>
            <w:r w:rsidRPr="00E97AFD">
              <w:rPr>
                <w:rFonts w:asciiTheme="minorEastAsia" w:eastAsiaTheme="minorEastAsia" w:hAnsiTheme="minorEastAsia" w:hint="eastAsia"/>
                <w:szCs w:val="21"/>
              </w:rPr>
              <w:t>易方达基金管理有限公司关于旗下部分开放式基金增加广发银行为销售机构的公告</w:t>
            </w:r>
          </w:p>
        </w:tc>
        <w:tc>
          <w:tcPr>
            <w:tcW w:w="1625" w:type="dxa"/>
            <w:vAlign w:val="center"/>
          </w:tcPr>
          <w:p w14:paraId="0705D0D6" w14:textId="13B5A22E" w:rsidR="0027563B" w:rsidRPr="00E97AFD" w:rsidRDefault="0027563B" w:rsidP="00E97AFD">
            <w:pPr>
              <w:jc w:val="center"/>
              <w:rPr>
                <w:rFonts w:asciiTheme="minorEastAsia" w:eastAsiaTheme="minorEastAsia" w:hAnsiTheme="minorEastAsia"/>
                <w:szCs w:val="21"/>
              </w:rPr>
            </w:pPr>
            <w:r w:rsidRPr="00E97AFD">
              <w:rPr>
                <w:rFonts w:asciiTheme="minorEastAsia" w:eastAsiaTheme="minorEastAsia" w:hAnsiTheme="minorEastAsia" w:hint="eastAsia"/>
                <w:szCs w:val="21"/>
              </w:rPr>
              <w:t>2019-07-10</w:t>
            </w:r>
          </w:p>
        </w:tc>
      </w:tr>
      <w:tr w:rsidR="0027563B" w:rsidRPr="00E97AFD" w14:paraId="2CC1F6BA" w14:textId="77777777" w:rsidTr="00E97AFD">
        <w:tc>
          <w:tcPr>
            <w:tcW w:w="6798" w:type="dxa"/>
            <w:vAlign w:val="bottom"/>
          </w:tcPr>
          <w:p w14:paraId="1EA88C28" w14:textId="11732DD9" w:rsidR="0027563B" w:rsidRPr="00E97AFD" w:rsidRDefault="0027563B" w:rsidP="0027563B">
            <w:pPr>
              <w:jc w:val="left"/>
              <w:rPr>
                <w:rFonts w:asciiTheme="minorEastAsia" w:eastAsiaTheme="minorEastAsia" w:hAnsiTheme="minorEastAsia"/>
                <w:szCs w:val="21"/>
              </w:rPr>
            </w:pPr>
            <w:r w:rsidRPr="00E97AFD">
              <w:rPr>
                <w:rFonts w:asciiTheme="minorEastAsia" w:eastAsiaTheme="minorEastAsia" w:hAnsiTheme="minorEastAsia" w:hint="eastAsia"/>
                <w:szCs w:val="21"/>
              </w:rPr>
              <w:t>易方达基金管理有限公司关于暂停北京加和基金销售有限公司办理旗下基金相关销售业务的公告</w:t>
            </w:r>
          </w:p>
        </w:tc>
        <w:tc>
          <w:tcPr>
            <w:tcW w:w="1625" w:type="dxa"/>
            <w:vAlign w:val="center"/>
          </w:tcPr>
          <w:p w14:paraId="43158CA9" w14:textId="0AB2AA6A" w:rsidR="0027563B" w:rsidRPr="00E97AFD" w:rsidRDefault="0027563B" w:rsidP="00E97AFD">
            <w:pPr>
              <w:jc w:val="center"/>
              <w:rPr>
                <w:rFonts w:asciiTheme="minorEastAsia" w:eastAsiaTheme="minorEastAsia" w:hAnsiTheme="minorEastAsia"/>
                <w:szCs w:val="21"/>
              </w:rPr>
            </w:pPr>
            <w:r w:rsidRPr="00E97AFD">
              <w:rPr>
                <w:rFonts w:asciiTheme="minorEastAsia" w:eastAsiaTheme="minorEastAsia" w:hAnsiTheme="minorEastAsia" w:hint="eastAsia"/>
                <w:szCs w:val="21"/>
              </w:rPr>
              <w:t>2019-08-14</w:t>
            </w:r>
          </w:p>
        </w:tc>
      </w:tr>
      <w:tr w:rsidR="0027563B" w:rsidRPr="00E97AFD" w14:paraId="0B00E7B1" w14:textId="77777777" w:rsidTr="00E97AFD">
        <w:tc>
          <w:tcPr>
            <w:tcW w:w="6798" w:type="dxa"/>
            <w:vAlign w:val="bottom"/>
          </w:tcPr>
          <w:p w14:paraId="2823146A" w14:textId="03404A0D" w:rsidR="0027563B" w:rsidRPr="00E97AFD" w:rsidRDefault="0027563B" w:rsidP="0027563B">
            <w:pPr>
              <w:jc w:val="left"/>
              <w:rPr>
                <w:rFonts w:asciiTheme="minorEastAsia" w:eastAsiaTheme="minorEastAsia" w:hAnsiTheme="minorEastAsia"/>
                <w:szCs w:val="21"/>
              </w:rPr>
            </w:pPr>
            <w:r w:rsidRPr="00E97AFD">
              <w:rPr>
                <w:rFonts w:asciiTheme="minorEastAsia" w:eastAsiaTheme="minorEastAsia" w:hAnsiTheme="minorEastAsia" w:hint="eastAsia"/>
                <w:szCs w:val="21"/>
              </w:rPr>
              <w:t>易方达基金管理有限公司关于暂停和谐保险销售有限公司办理旗下基金相关销售业务的公告</w:t>
            </w:r>
          </w:p>
        </w:tc>
        <w:tc>
          <w:tcPr>
            <w:tcW w:w="1625" w:type="dxa"/>
            <w:vAlign w:val="center"/>
          </w:tcPr>
          <w:p w14:paraId="64D2EDFD" w14:textId="54658846" w:rsidR="0027563B" w:rsidRPr="00E97AFD" w:rsidRDefault="0027563B" w:rsidP="00E97AFD">
            <w:pPr>
              <w:jc w:val="center"/>
              <w:rPr>
                <w:rFonts w:asciiTheme="minorEastAsia" w:eastAsiaTheme="minorEastAsia" w:hAnsiTheme="minorEastAsia"/>
                <w:szCs w:val="21"/>
              </w:rPr>
            </w:pPr>
            <w:r w:rsidRPr="00E97AFD">
              <w:rPr>
                <w:rFonts w:asciiTheme="minorEastAsia" w:eastAsiaTheme="minorEastAsia" w:hAnsiTheme="minorEastAsia" w:hint="eastAsia"/>
                <w:szCs w:val="21"/>
              </w:rPr>
              <w:t>2019-08-14</w:t>
            </w:r>
          </w:p>
        </w:tc>
      </w:tr>
      <w:tr w:rsidR="0027563B" w:rsidRPr="00E97AFD" w14:paraId="0D6D48F5" w14:textId="77777777" w:rsidTr="00E97AFD">
        <w:tc>
          <w:tcPr>
            <w:tcW w:w="6798" w:type="dxa"/>
            <w:vAlign w:val="bottom"/>
          </w:tcPr>
          <w:p w14:paraId="3CC5308A" w14:textId="5629BE12" w:rsidR="0027563B" w:rsidRPr="00E97AFD" w:rsidRDefault="0027563B" w:rsidP="0027563B">
            <w:pPr>
              <w:jc w:val="left"/>
              <w:rPr>
                <w:rFonts w:asciiTheme="minorEastAsia" w:eastAsiaTheme="minorEastAsia" w:hAnsiTheme="minorEastAsia"/>
                <w:szCs w:val="21"/>
              </w:rPr>
            </w:pPr>
            <w:r w:rsidRPr="00E97AFD">
              <w:rPr>
                <w:rFonts w:asciiTheme="minorEastAsia" w:eastAsiaTheme="minorEastAsia" w:hAnsiTheme="minorEastAsia" w:hint="eastAsia"/>
                <w:szCs w:val="21"/>
              </w:rPr>
              <w:t>易方达基金管理有限公司关于暂停上海凯石财富基金销售有限公司办理旗下基金相关销售业务的公告</w:t>
            </w:r>
          </w:p>
        </w:tc>
        <w:tc>
          <w:tcPr>
            <w:tcW w:w="1625" w:type="dxa"/>
            <w:vAlign w:val="center"/>
          </w:tcPr>
          <w:p w14:paraId="73E403A8" w14:textId="1A6DA4D0" w:rsidR="0027563B" w:rsidRPr="00E97AFD" w:rsidRDefault="0027563B" w:rsidP="00E97AFD">
            <w:pPr>
              <w:jc w:val="center"/>
              <w:rPr>
                <w:rFonts w:asciiTheme="minorEastAsia" w:eastAsiaTheme="minorEastAsia" w:hAnsiTheme="minorEastAsia"/>
                <w:szCs w:val="21"/>
              </w:rPr>
            </w:pPr>
            <w:r w:rsidRPr="00E97AFD">
              <w:rPr>
                <w:rFonts w:asciiTheme="minorEastAsia" w:eastAsiaTheme="minorEastAsia" w:hAnsiTheme="minorEastAsia" w:hint="eastAsia"/>
                <w:szCs w:val="21"/>
              </w:rPr>
              <w:t>2019-08-14</w:t>
            </w:r>
          </w:p>
        </w:tc>
      </w:tr>
      <w:tr w:rsidR="0027563B" w:rsidRPr="00E97AFD" w14:paraId="30670154" w14:textId="77777777" w:rsidTr="00E97AFD">
        <w:tc>
          <w:tcPr>
            <w:tcW w:w="6798" w:type="dxa"/>
            <w:vAlign w:val="bottom"/>
          </w:tcPr>
          <w:p w14:paraId="34949B79" w14:textId="7B588518" w:rsidR="0027563B" w:rsidRPr="00E97AFD" w:rsidRDefault="0027563B" w:rsidP="0027563B">
            <w:pPr>
              <w:jc w:val="left"/>
              <w:rPr>
                <w:rFonts w:asciiTheme="minorEastAsia" w:eastAsiaTheme="minorEastAsia" w:hAnsiTheme="minorEastAsia"/>
                <w:szCs w:val="21"/>
              </w:rPr>
            </w:pPr>
            <w:r w:rsidRPr="00E97AFD">
              <w:rPr>
                <w:rFonts w:asciiTheme="minorEastAsia" w:eastAsiaTheme="minorEastAsia" w:hAnsiTheme="minorEastAsia" w:hint="eastAsia"/>
                <w:szCs w:val="21"/>
              </w:rPr>
              <w:t>易方达基金管理有限公司关于暂停厦门市鑫鼎盛控股有限公司办理旗下基金相关销售业务的公告</w:t>
            </w:r>
          </w:p>
        </w:tc>
        <w:tc>
          <w:tcPr>
            <w:tcW w:w="1625" w:type="dxa"/>
            <w:vAlign w:val="center"/>
          </w:tcPr>
          <w:p w14:paraId="441D3AD6" w14:textId="0DF6D924" w:rsidR="0027563B" w:rsidRPr="00E97AFD" w:rsidRDefault="0027563B" w:rsidP="00E97AFD">
            <w:pPr>
              <w:jc w:val="center"/>
              <w:rPr>
                <w:rFonts w:asciiTheme="minorEastAsia" w:eastAsiaTheme="minorEastAsia" w:hAnsiTheme="minorEastAsia"/>
                <w:szCs w:val="21"/>
              </w:rPr>
            </w:pPr>
            <w:r w:rsidRPr="00E97AFD">
              <w:rPr>
                <w:rFonts w:asciiTheme="minorEastAsia" w:eastAsiaTheme="minorEastAsia" w:hAnsiTheme="minorEastAsia" w:hint="eastAsia"/>
                <w:szCs w:val="21"/>
              </w:rPr>
              <w:t>2019-08-14</w:t>
            </w:r>
          </w:p>
        </w:tc>
      </w:tr>
      <w:tr w:rsidR="0027563B" w:rsidRPr="00E97AFD" w14:paraId="610341B9" w14:textId="77777777" w:rsidTr="00E97AFD">
        <w:tc>
          <w:tcPr>
            <w:tcW w:w="6798" w:type="dxa"/>
            <w:vAlign w:val="bottom"/>
          </w:tcPr>
          <w:p w14:paraId="7AAAC855" w14:textId="51F4F173" w:rsidR="0027563B" w:rsidRPr="00E97AFD" w:rsidRDefault="0027563B" w:rsidP="0027563B">
            <w:pPr>
              <w:jc w:val="left"/>
              <w:rPr>
                <w:rFonts w:asciiTheme="minorEastAsia" w:eastAsiaTheme="minorEastAsia" w:hAnsiTheme="minorEastAsia"/>
                <w:szCs w:val="21"/>
              </w:rPr>
            </w:pPr>
            <w:r w:rsidRPr="00E97AFD">
              <w:rPr>
                <w:rFonts w:asciiTheme="minorEastAsia" w:eastAsiaTheme="minorEastAsia" w:hAnsiTheme="minorEastAsia" w:hint="eastAsia"/>
                <w:szCs w:val="21"/>
              </w:rPr>
              <w:t>易方达基金管理有限公司关于易方达天天增利货币市场基金A类基金份额增加微众银行为销售机构的公告</w:t>
            </w:r>
          </w:p>
        </w:tc>
        <w:tc>
          <w:tcPr>
            <w:tcW w:w="1625" w:type="dxa"/>
            <w:vAlign w:val="center"/>
          </w:tcPr>
          <w:p w14:paraId="04D45666" w14:textId="3CDFAB89" w:rsidR="0027563B" w:rsidRPr="00E97AFD" w:rsidRDefault="0027563B" w:rsidP="00E97AFD">
            <w:pPr>
              <w:jc w:val="center"/>
              <w:rPr>
                <w:rFonts w:asciiTheme="minorEastAsia" w:eastAsiaTheme="minorEastAsia" w:hAnsiTheme="minorEastAsia"/>
                <w:szCs w:val="21"/>
              </w:rPr>
            </w:pPr>
            <w:r w:rsidRPr="00E97AFD">
              <w:rPr>
                <w:rFonts w:asciiTheme="minorEastAsia" w:eastAsiaTheme="minorEastAsia" w:hAnsiTheme="minorEastAsia" w:hint="eastAsia"/>
                <w:szCs w:val="21"/>
              </w:rPr>
              <w:t>2019-08-21</w:t>
            </w:r>
          </w:p>
        </w:tc>
      </w:tr>
      <w:tr w:rsidR="0027563B" w:rsidRPr="00E97AFD" w14:paraId="1BADB3B9" w14:textId="77777777" w:rsidTr="00E97AFD">
        <w:tc>
          <w:tcPr>
            <w:tcW w:w="6798" w:type="dxa"/>
            <w:vAlign w:val="bottom"/>
          </w:tcPr>
          <w:p w14:paraId="54FD38A9" w14:textId="6BC469AE" w:rsidR="0027563B" w:rsidRPr="00E97AFD" w:rsidRDefault="0027563B" w:rsidP="0027563B">
            <w:pPr>
              <w:jc w:val="left"/>
              <w:rPr>
                <w:rFonts w:asciiTheme="minorEastAsia" w:eastAsiaTheme="minorEastAsia" w:hAnsiTheme="minorEastAsia"/>
                <w:szCs w:val="21"/>
              </w:rPr>
            </w:pPr>
            <w:r w:rsidRPr="00E97AFD">
              <w:rPr>
                <w:rFonts w:asciiTheme="minorEastAsia" w:eastAsiaTheme="minorEastAsia" w:hAnsiTheme="minorEastAsia" w:hint="eastAsia"/>
                <w:szCs w:val="21"/>
              </w:rPr>
              <w:t>易方达基金管理有限公司关于暂停长春发展农村商业银行股份有限公司办理旗下基金销售业务的公告</w:t>
            </w:r>
          </w:p>
        </w:tc>
        <w:tc>
          <w:tcPr>
            <w:tcW w:w="1625" w:type="dxa"/>
            <w:vAlign w:val="center"/>
          </w:tcPr>
          <w:p w14:paraId="11739F29" w14:textId="691719EA" w:rsidR="0027563B" w:rsidRPr="00E97AFD" w:rsidRDefault="0027563B" w:rsidP="00E97AFD">
            <w:pPr>
              <w:jc w:val="center"/>
              <w:rPr>
                <w:rFonts w:asciiTheme="minorEastAsia" w:eastAsiaTheme="minorEastAsia" w:hAnsiTheme="minorEastAsia"/>
                <w:szCs w:val="21"/>
              </w:rPr>
            </w:pPr>
            <w:r w:rsidRPr="00E97AFD">
              <w:rPr>
                <w:rFonts w:asciiTheme="minorEastAsia" w:eastAsiaTheme="minorEastAsia" w:hAnsiTheme="minorEastAsia" w:hint="eastAsia"/>
                <w:szCs w:val="21"/>
              </w:rPr>
              <w:t>2019-08-23</w:t>
            </w:r>
          </w:p>
        </w:tc>
      </w:tr>
      <w:tr w:rsidR="0027563B" w:rsidRPr="00E97AFD" w14:paraId="35224E81" w14:textId="77777777" w:rsidTr="00E97AFD">
        <w:tc>
          <w:tcPr>
            <w:tcW w:w="6798" w:type="dxa"/>
            <w:vAlign w:val="bottom"/>
          </w:tcPr>
          <w:p w14:paraId="71D49326" w14:textId="364A20D1" w:rsidR="0027563B" w:rsidRPr="00E97AFD" w:rsidRDefault="0027563B" w:rsidP="0027563B">
            <w:pPr>
              <w:jc w:val="left"/>
              <w:rPr>
                <w:rFonts w:asciiTheme="minorEastAsia" w:eastAsiaTheme="minorEastAsia" w:hAnsiTheme="minorEastAsia"/>
                <w:szCs w:val="21"/>
              </w:rPr>
            </w:pPr>
            <w:r w:rsidRPr="00E97AFD">
              <w:rPr>
                <w:rFonts w:asciiTheme="minorEastAsia" w:eastAsiaTheme="minorEastAsia" w:hAnsiTheme="minorEastAsia" w:hint="eastAsia"/>
                <w:szCs w:val="21"/>
              </w:rPr>
              <w:t>易方达基金管理有限公司旗下基金季度报告提示性公告</w:t>
            </w:r>
          </w:p>
        </w:tc>
        <w:tc>
          <w:tcPr>
            <w:tcW w:w="1625" w:type="dxa"/>
            <w:vAlign w:val="center"/>
          </w:tcPr>
          <w:p w14:paraId="031E1BEF" w14:textId="54D9C099" w:rsidR="0027563B" w:rsidRPr="00E97AFD" w:rsidRDefault="0027563B" w:rsidP="00E97AFD">
            <w:pPr>
              <w:jc w:val="center"/>
              <w:rPr>
                <w:rFonts w:asciiTheme="minorEastAsia" w:eastAsiaTheme="minorEastAsia" w:hAnsiTheme="minorEastAsia"/>
                <w:szCs w:val="21"/>
              </w:rPr>
            </w:pPr>
            <w:r w:rsidRPr="00E97AFD">
              <w:rPr>
                <w:rFonts w:asciiTheme="minorEastAsia" w:eastAsiaTheme="minorEastAsia" w:hAnsiTheme="minorEastAsia" w:hint="eastAsia"/>
                <w:szCs w:val="21"/>
              </w:rPr>
              <w:t>2019-10-24</w:t>
            </w:r>
          </w:p>
        </w:tc>
      </w:tr>
      <w:tr w:rsidR="0027563B" w:rsidRPr="00E97AFD" w14:paraId="25C26F6D" w14:textId="77777777" w:rsidTr="00E97AFD">
        <w:tc>
          <w:tcPr>
            <w:tcW w:w="6798" w:type="dxa"/>
            <w:vAlign w:val="bottom"/>
          </w:tcPr>
          <w:p w14:paraId="002A8AEE" w14:textId="40BEA325" w:rsidR="0027563B" w:rsidRPr="00E97AFD" w:rsidRDefault="0027563B" w:rsidP="0027563B">
            <w:pPr>
              <w:jc w:val="left"/>
              <w:rPr>
                <w:rFonts w:asciiTheme="minorEastAsia" w:eastAsiaTheme="minorEastAsia" w:hAnsiTheme="minorEastAsia"/>
                <w:szCs w:val="21"/>
              </w:rPr>
            </w:pPr>
            <w:r w:rsidRPr="00E97AFD">
              <w:rPr>
                <w:rFonts w:asciiTheme="minorEastAsia" w:eastAsiaTheme="minorEastAsia" w:hAnsiTheme="minorEastAsia" w:hint="eastAsia"/>
                <w:szCs w:val="21"/>
              </w:rPr>
              <w:t>易方达基金管理有限公司旗下部分开放式基金增加中邮证券为销售机构的公告</w:t>
            </w:r>
          </w:p>
        </w:tc>
        <w:tc>
          <w:tcPr>
            <w:tcW w:w="1625" w:type="dxa"/>
            <w:vAlign w:val="center"/>
          </w:tcPr>
          <w:p w14:paraId="7B206B54" w14:textId="6C859C0E" w:rsidR="0027563B" w:rsidRPr="00E97AFD" w:rsidRDefault="0027563B" w:rsidP="00E97AFD">
            <w:pPr>
              <w:jc w:val="center"/>
              <w:rPr>
                <w:rFonts w:asciiTheme="minorEastAsia" w:eastAsiaTheme="minorEastAsia" w:hAnsiTheme="minorEastAsia"/>
                <w:szCs w:val="21"/>
              </w:rPr>
            </w:pPr>
            <w:r w:rsidRPr="00E97AFD">
              <w:rPr>
                <w:rFonts w:asciiTheme="minorEastAsia" w:eastAsiaTheme="minorEastAsia" w:hAnsiTheme="minorEastAsia" w:hint="eastAsia"/>
                <w:szCs w:val="21"/>
              </w:rPr>
              <w:t>2019-11-20</w:t>
            </w:r>
          </w:p>
        </w:tc>
      </w:tr>
      <w:tr w:rsidR="0027563B" w:rsidRPr="00E97AFD" w14:paraId="7F9D7D4A" w14:textId="77777777" w:rsidTr="00E97AFD">
        <w:tc>
          <w:tcPr>
            <w:tcW w:w="6798" w:type="dxa"/>
            <w:vAlign w:val="bottom"/>
          </w:tcPr>
          <w:p w14:paraId="0479CB66" w14:textId="75D47AF1" w:rsidR="0027563B" w:rsidRPr="00E97AFD" w:rsidRDefault="0027563B" w:rsidP="0027563B">
            <w:pPr>
              <w:jc w:val="left"/>
              <w:rPr>
                <w:rFonts w:asciiTheme="minorEastAsia" w:eastAsiaTheme="minorEastAsia" w:hAnsiTheme="minorEastAsia"/>
                <w:szCs w:val="21"/>
              </w:rPr>
            </w:pPr>
            <w:r w:rsidRPr="00E97AFD">
              <w:rPr>
                <w:rFonts w:asciiTheme="minorEastAsia" w:eastAsiaTheme="minorEastAsia" w:hAnsiTheme="minorEastAsia" w:hint="eastAsia"/>
                <w:szCs w:val="21"/>
              </w:rPr>
              <w:t>易方达基金管理有限公司关于公司股权变更的公告</w:t>
            </w:r>
          </w:p>
        </w:tc>
        <w:tc>
          <w:tcPr>
            <w:tcW w:w="1625" w:type="dxa"/>
            <w:vAlign w:val="center"/>
          </w:tcPr>
          <w:p w14:paraId="4F7CBE4D" w14:textId="7049C124" w:rsidR="0027563B" w:rsidRPr="00E97AFD" w:rsidRDefault="0027563B" w:rsidP="00E97AFD">
            <w:pPr>
              <w:jc w:val="center"/>
              <w:rPr>
                <w:rFonts w:asciiTheme="minorEastAsia" w:eastAsiaTheme="minorEastAsia" w:hAnsiTheme="minorEastAsia"/>
                <w:szCs w:val="21"/>
              </w:rPr>
            </w:pPr>
            <w:r w:rsidRPr="00E97AFD">
              <w:rPr>
                <w:rFonts w:asciiTheme="minorEastAsia" w:eastAsiaTheme="minorEastAsia" w:hAnsiTheme="minorEastAsia" w:hint="eastAsia"/>
                <w:szCs w:val="21"/>
              </w:rPr>
              <w:t>2019-12-31</w:t>
            </w:r>
          </w:p>
        </w:tc>
      </w:tr>
      <w:tr w:rsidR="0027563B" w:rsidRPr="00E97AFD" w14:paraId="65A03EA5" w14:textId="77777777" w:rsidTr="00E97AFD">
        <w:tc>
          <w:tcPr>
            <w:tcW w:w="6798" w:type="dxa"/>
            <w:vAlign w:val="bottom"/>
          </w:tcPr>
          <w:p w14:paraId="1EE20120" w14:textId="04EA9AE5" w:rsidR="0027563B" w:rsidRPr="00E97AFD" w:rsidRDefault="0027563B" w:rsidP="0027563B">
            <w:pPr>
              <w:jc w:val="left"/>
              <w:rPr>
                <w:rFonts w:asciiTheme="minorEastAsia" w:eastAsiaTheme="minorEastAsia" w:hAnsiTheme="minorEastAsia"/>
                <w:szCs w:val="21"/>
              </w:rPr>
            </w:pPr>
            <w:r w:rsidRPr="00E97AFD">
              <w:rPr>
                <w:rFonts w:asciiTheme="minorEastAsia" w:eastAsiaTheme="minorEastAsia" w:hAnsiTheme="minorEastAsia" w:hint="eastAsia"/>
                <w:szCs w:val="21"/>
              </w:rPr>
              <w:t>易方达基金管理有限公司关于易方达天天增利货币市场基金根据《公开募集证券投资基金信息披露管理办法》修订基金合同、托管协议部分条款的公告</w:t>
            </w:r>
          </w:p>
        </w:tc>
        <w:tc>
          <w:tcPr>
            <w:tcW w:w="1625" w:type="dxa"/>
            <w:vAlign w:val="center"/>
          </w:tcPr>
          <w:p w14:paraId="5F51F13B" w14:textId="541BA79C" w:rsidR="0027563B" w:rsidRPr="00E97AFD" w:rsidRDefault="0027563B" w:rsidP="00E97AFD">
            <w:pPr>
              <w:jc w:val="center"/>
              <w:rPr>
                <w:rFonts w:asciiTheme="minorEastAsia" w:eastAsiaTheme="minorEastAsia" w:hAnsiTheme="minorEastAsia"/>
                <w:szCs w:val="21"/>
              </w:rPr>
            </w:pPr>
            <w:r w:rsidRPr="00E97AFD">
              <w:rPr>
                <w:rFonts w:asciiTheme="minorEastAsia" w:eastAsiaTheme="minorEastAsia" w:hAnsiTheme="minorEastAsia" w:hint="eastAsia"/>
                <w:szCs w:val="21"/>
              </w:rPr>
              <w:t>2019-12-31</w:t>
            </w:r>
          </w:p>
        </w:tc>
      </w:tr>
      <w:tr w:rsidR="0027563B" w:rsidRPr="00E97AFD" w14:paraId="24045258" w14:textId="77777777" w:rsidTr="00E97AFD">
        <w:tc>
          <w:tcPr>
            <w:tcW w:w="6798" w:type="dxa"/>
            <w:vAlign w:val="bottom"/>
          </w:tcPr>
          <w:p w14:paraId="2F24B3FC" w14:textId="148F3A4B" w:rsidR="0027563B" w:rsidRPr="00E97AFD" w:rsidRDefault="0027563B" w:rsidP="0027563B">
            <w:pPr>
              <w:jc w:val="left"/>
              <w:rPr>
                <w:rFonts w:asciiTheme="minorEastAsia" w:eastAsiaTheme="minorEastAsia" w:hAnsiTheme="minorEastAsia"/>
                <w:szCs w:val="21"/>
              </w:rPr>
            </w:pPr>
            <w:r w:rsidRPr="00E97AFD">
              <w:rPr>
                <w:rFonts w:asciiTheme="minorEastAsia" w:eastAsiaTheme="minorEastAsia" w:hAnsiTheme="minorEastAsia" w:hint="eastAsia"/>
                <w:szCs w:val="21"/>
              </w:rPr>
              <w:t>易方达基金管理有限公司旗下基金2019年第4季度报告提示性公告</w:t>
            </w:r>
          </w:p>
        </w:tc>
        <w:tc>
          <w:tcPr>
            <w:tcW w:w="1625" w:type="dxa"/>
            <w:vAlign w:val="center"/>
          </w:tcPr>
          <w:p w14:paraId="2E1984B1" w14:textId="0E575049" w:rsidR="0027563B" w:rsidRPr="00E97AFD" w:rsidRDefault="0027563B" w:rsidP="00E97AFD">
            <w:pPr>
              <w:jc w:val="center"/>
              <w:rPr>
                <w:rFonts w:asciiTheme="minorEastAsia" w:eastAsiaTheme="minorEastAsia" w:hAnsiTheme="minorEastAsia"/>
                <w:szCs w:val="21"/>
              </w:rPr>
            </w:pPr>
            <w:r w:rsidRPr="00E97AFD">
              <w:rPr>
                <w:rFonts w:asciiTheme="minorEastAsia" w:eastAsiaTheme="minorEastAsia" w:hAnsiTheme="minorEastAsia" w:hint="eastAsia"/>
                <w:szCs w:val="21"/>
              </w:rPr>
              <w:t>2020-01-18</w:t>
            </w:r>
          </w:p>
        </w:tc>
      </w:tr>
      <w:tr w:rsidR="0027563B" w:rsidRPr="00E97AFD" w14:paraId="6E0A0493" w14:textId="77777777" w:rsidTr="00E97AFD">
        <w:tc>
          <w:tcPr>
            <w:tcW w:w="6798" w:type="dxa"/>
            <w:vAlign w:val="bottom"/>
          </w:tcPr>
          <w:p w14:paraId="26837B70" w14:textId="0D7D99CF" w:rsidR="0027563B" w:rsidRPr="00E97AFD" w:rsidRDefault="0027563B" w:rsidP="0027563B">
            <w:pPr>
              <w:jc w:val="left"/>
              <w:rPr>
                <w:rFonts w:asciiTheme="minorEastAsia" w:eastAsiaTheme="minorEastAsia" w:hAnsiTheme="minorEastAsia"/>
                <w:szCs w:val="21"/>
              </w:rPr>
            </w:pPr>
            <w:r w:rsidRPr="00E97AFD">
              <w:rPr>
                <w:rFonts w:asciiTheme="minorEastAsia" w:eastAsiaTheme="minorEastAsia" w:hAnsiTheme="minorEastAsia" w:hint="eastAsia"/>
                <w:szCs w:val="21"/>
              </w:rPr>
              <w:t>易方达基金管理有限公司关于旗下基金2020年1月31日不开放申购、赎回、转换、定期定额投资等业务的提示性公告</w:t>
            </w:r>
          </w:p>
        </w:tc>
        <w:tc>
          <w:tcPr>
            <w:tcW w:w="1625" w:type="dxa"/>
            <w:vAlign w:val="center"/>
          </w:tcPr>
          <w:p w14:paraId="1D234B3C" w14:textId="2F0869BA" w:rsidR="0027563B" w:rsidRPr="00E97AFD" w:rsidRDefault="0027563B" w:rsidP="00E97AFD">
            <w:pPr>
              <w:jc w:val="center"/>
              <w:rPr>
                <w:rFonts w:asciiTheme="minorEastAsia" w:eastAsiaTheme="minorEastAsia" w:hAnsiTheme="minorEastAsia"/>
                <w:szCs w:val="21"/>
              </w:rPr>
            </w:pPr>
            <w:r w:rsidRPr="00E97AFD">
              <w:rPr>
                <w:rFonts w:asciiTheme="minorEastAsia" w:eastAsiaTheme="minorEastAsia" w:hAnsiTheme="minorEastAsia" w:hint="eastAsia"/>
                <w:szCs w:val="21"/>
              </w:rPr>
              <w:t>2020-01-30</w:t>
            </w:r>
          </w:p>
        </w:tc>
      </w:tr>
      <w:tr w:rsidR="0027563B" w:rsidRPr="00E97AFD" w14:paraId="4623F1A8" w14:textId="77777777" w:rsidTr="00E97AFD">
        <w:tc>
          <w:tcPr>
            <w:tcW w:w="6798" w:type="dxa"/>
            <w:vAlign w:val="bottom"/>
          </w:tcPr>
          <w:p w14:paraId="0F9363CA" w14:textId="27824047" w:rsidR="0027563B" w:rsidRPr="00E97AFD" w:rsidRDefault="0027563B" w:rsidP="0027563B">
            <w:pPr>
              <w:jc w:val="left"/>
              <w:rPr>
                <w:rFonts w:asciiTheme="minorEastAsia" w:eastAsiaTheme="minorEastAsia" w:hAnsiTheme="minorEastAsia"/>
                <w:szCs w:val="21"/>
              </w:rPr>
            </w:pPr>
            <w:r w:rsidRPr="00E97AFD">
              <w:rPr>
                <w:rFonts w:asciiTheme="minorEastAsia" w:eastAsiaTheme="minorEastAsia" w:hAnsiTheme="minorEastAsia" w:hint="eastAsia"/>
                <w:szCs w:val="21"/>
              </w:rPr>
              <w:t>易方达基金管理有限公司及全资子公司投资旗下基金相关事宜的公告</w:t>
            </w:r>
          </w:p>
        </w:tc>
        <w:tc>
          <w:tcPr>
            <w:tcW w:w="1625" w:type="dxa"/>
            <w:vAlign w:val="center"/>
          </w:tcPr>
          <w:p w14:paraId="246808BD" w14:textId="1E45EE9E" w:rsidR="0027563B" w:rsidRPr="00E97AFD" w:rsidRDefault="0027563B" w:rsidP="00E97AFD">
            <w:pPr>
              <w:jc w:val="center"/>
              <w:rPr>
                <w:rFonts w:asciiTheme="minorEastAsia" w:eastAsiaTheme="minorEastAsia" w:hAnsiTheme="minorEastAsia"/>
                <w:szCs w:val="21"/>
              </w:rPr>
            </w:pPr>
            <w:r w:rsidRPr="00E97AFD">
              <w:rPr>
                <w:rFonts w:asciiTheme="minorEastAsia" w:eastAsiaTheme="minorEastAsia" w:hAnsiTheme="minorEastAsia" w:hint="eastAsia"/>
                <w:szCs w:val="21"/>
              </w:rPr>
              <w:t>2020-02-04</w:t>
            </w:r>
          </w:p>
        </w:tc>
      </w:tr>
      <w:tr w:rsidR="0027563B" w:rsidRPr="00E97AFD" w14:paraId="39116803" w14:textId="77777777" w:rsidTr="00E97AFD">
        <w:tc>
          <w:tcPr>
            <w:tcW w:w="6798" w:type="dxa"/>
            <w:vAlign w:val="bottom"/>
          </w:tcPr>
          <w:p w14:paraId="4CC7F3D0" w14:textId="35A159C7" w:rsidR="0027563B" w:rsidRPr="00E97AFD" w:rsidRDefault="0027563B" w:rsidP="0027563B">
            <w:pPr>
              <w:jc w:val="left"/>
              <w:rPr>
                <w:rFonts w:asciiTheme="minorEastAsia" w:eastAsiaTheme="minorEastAsia" w:hAnsiTheme="minorEastAsia"/>
                <w:szCs w:val="21"/>
              </w:rPr>
            </w:pPr>
            <w:r w:rsidRPr="00E97AFD">
              <w:rPr>
                <w:rFonts w:asciiTheme="minorEastAsia" w:eastAsiaTheme="minorEastAsia" w:hAnsiTheme="minorEastAsia" w:hint="eastAsia"/>
                <w:szCs w:val="21"/>
              </w:rPr>
              <w:t>易方达基金管理有限公司旗下部分开放式基金增加华瑞保险销售为销售机构、参加华瑞保险销售费率优惠活动的公告</w:t>
            </w:r>
          </w:p>
        </w:tc>
        <w:tc>
          <w:tcPr>
            <w:tcW w:w="1625" w:type="dxa"/>
            <w:vAlign w:val="center"/>
          </w:tcPr>
          <w:p w14:paraId="2DE1589E" w14:textId="4BEE3A18" w:rsidR="0027563B" w:rsidRPr="00E97AFD" w:rsidRDefault="0027563B" w:rsidP="00E97AFD">
            <w:pPr>
              <w:jc w:val="center"/>
              <w:rPr>
                <w:rFonts w:asciiTheme="minorEastAsia" w:eastAsiaTheme="minorEastAsia" w:hAnsiTheme="minorEastAsia"/>
                <w:szCs w:val="21"/>
              </w:rPr>
            </w:pPr>
            <w:r w:rsidRPr="00E97AFD">
              <w:rPr>
                <w:rFonts w:asciiTheme="minorEastAsia" w:eastAsiaTheme="minorEastAsia" w:hAnsiTheme="minorEastAsia" w:hint="eastAsia"/>
                <w:szCs w:val="21"/>
              </w:rPr>
              <w:t>2020-03-23</w:t>
            </w:r>
          </w:p>
        </w:tc>
      </w:tr>
      <w:tr w:rsidR="0027563B" w:rsidRPr="00E97AFD" w14:paraId="46E6F15F" w14:textId="77777777" w:rsidTr="00E97AFD">
        <w:tc>
          <w:tcPr>
            <w:tcW w:w="6798" w:type="dxa"/>
            <w:vAlign w:val="bottom"/>
          </w:tcPr>
          <w:p w14:paraId="5BCA4102" w14:textId="666C1B74" w:rsidR="0027563B" w:rsidRPr="00E97AFD" w:rsidRDefault="0027563B" w:rsidP="0027563B">
            <w:pPr>
              <w:jc w:val="left"/>
              <w:rPr>
                <w:rFonts w:asciiTheme="minorEastAsia" w:eastAsiaTheme="minorEastAsia" w:hAnsiTheme="minorEastAsia"/>
                <w:szCs w:val="21"/>
              </w:rPr>
            </w:pPr>
            <w:r w:rsidRPr="00E97AFD">
              <w:rPr>
                <w:rFonts w:asciiTheme="minorEastAsia" w:eastAsiaTheme="minorEastAsia" w:hAnsiTheme="minorEastAsia" w:hint="eastAsia"/>
                <w:szCs w:val="21"/>
              </w:rPr>
              <w:t>易方达基金管理有限公司关于提醒投资者及时提供或更新身份信息资料的公告</w:t>
            </w:r>
          </w:p>
        </w:tc>
        <w:tc>
          <w:tcPr>
            <w:tcW w:w="1625" w:type="dxa"/>
            <w:vAlign w:val="center"/>
          </w:tcPr>
          <w:p w14:paraId="792CCDFA" w14:textId="24E76C9F" w:rsidR="0027563B" w:rsidRPr="00E97AFD" w:rsidRDefault="0027563B" w:rsidP="00E97AFD">
            <w:pPr>
              <w:jc w:val="center"/>
              <w:rPr>
                <w:rFonts w:asciiTheme="minorEastAsia" w:eastAsiaTheme="minorEastAsia" w:hAnsiTheme="minorEastAsia"/>
                <w:szCs w:val="21"/>
              </w:rPr>
            </w:pPr>
            <w:r w:rsidRPr="00E97AFD">
              <w:rPr>
                <w:rFonts w:asciiTheme="minorEastAsia" w:eastAsiaTheme="minorEastAsia" w:hAnsiTheme="minorEastAsia" w:hint="eastAsia"/>
                <w:szCs w:val="21"/>
              </w:rPr>
              <w:t>2020-04-10</w:t>
            </w:r>
          </w:p>
        </w:tc>
      </w:tr>
      <w:tr w:rsidR="0027563B" w:rsidRPr="00E97AFD" w14:paraId="6154FE30" w14:textId="77777777" w:rsidTr="00E97AFD">
        <w:tc>
          <w:tcPr>
            <w:tcW w:w="6798" w:type="dxa"/>
            <w:vAlign w:val="bottom"/>
          </w:tcPr>
          <w:p w14:paraId="6ACAA941" w14:textId="7C89EC99" w:rsidR="0027563B" w:rsidRPr="00E97AFD" w:rsidRDefault="0027563B" w:rsidP="0027563B">
            <w:pPr>
              <w:jc w:val="left"/>
              <w:rPr>
                <w:rFonts w:asciiTheme="minorEastAsia" w:eastAsiaTheme="minorEastAsia" w:hAnsiTheme="minorEastAsia"/>
                <w:szCs w:val="21"/>
              </w:rPr>
            </w:pPr>
            <w:r w:rsidRPr="00E97AFD">
              <w:rPr>
                <w:rFonts w:asciiTheme="minorEastAsia" w:eastAsiaTheme="minorEastAsia" w:hAnsiTheme="minorEastAsia" w:hint="eastAsia"/>
                <w:szCs w:val="21"/>
              </w:rPr>
              <w:t>易方达基金管理有限公司旗下部分开放式基金增加金海九州为销售机构、参加金海九州费率优惠活动的公告</w:t>
            </w:r>
          </w:p>
        </w:tc>
        <w:tc>
          <w:tcPr>
            <w:tcW w:w="1625" w:type="dxa"/>
            <w:vAlign w:val="center"/>
          </w:tcPr>
          <w:p w14:paraId="7BCC2283" w14:textId="2FD57950" w:rsidR="0027563B" w:rsidRPr="00E97AFD" w:rsidRDefault="0027563B" w:rsidP="00E97AFD">
            <w:pPr>
              <w:jc w:val="center"/>
              <w:rPr>
                <w:rFonts w:asciiTheme="minorEastAsia" w:eastAsiaTheme="minorEastAsia" w:hAnsiTheme="minorEastAsia"/>
                <w:szCs w:val="21"/>
              </w:rPr>
            </w:pPr>
            <w:r w:rsidRPr="00E97AFD">
              <w:rPr>
                <w:rFonts w:asciiTheme="minorEastAsia" w:eastAsiaTheme="minorEastAsia" w:hAnsiTheme="minorEastAsia" w:hint="eastAsia"/>
                <w:szCs w:val="21"/>
              </w:rPr>
              <w:t>2020-04-28</w:t>
            </w:r>
          </w:p>
        </w:tc>
      </w:tr>
      <w:tr w:rsidR="0027563B" w:rsidRPr="00E97AFD" w14:paraId="24555851" w14:textId="77777777" w:rsidTr="00E97AFD">
        <w:tc>
          <w:tcPr>
            <w:tcW w:w="6798" w:type="dxa"/>
            <w:vAlign w:val="bottom"/>
          </w:tcPr>
          <w:p w14:paraId="05AE2EF3" w14:textId="36D4B918" w:rsidR="0027563B" w:rsidRPr="00E97AFD" w:rsidRDefault="0027563B" w:rsidP="00E97AFD">
            <w:pPr>
              <w:autoSpaceDE w:val="0"/>
              <w:autoSpaceDN w:val="0"/>
              <w:adjustRightInd w:val="0"/>
              <w:jc w:val="left"/>
              <w:rPr>
                <w:rFonts w:asciiTheme="minorEastAsia" w:eastAsiaTheme="minorEastAsia" w:hAnsiTheme="minorEastAsia"/>
                <w:szCs w:val="21"/>
              </w:rPr>
            </w:pPr>
            <w:r w:rsidRPr="00E97AFD">
              <w:rPr>
                <w:rFonts w:asciiTheme="minorEastAsia" w:eastAsiaTheme="minorEastAsia" w:hAnsiTheme="minorEastAsia" w:cs="宋体" w:hint="eastAsia"/>
                <w:kern w:val="0"/>
                <w:szCs w:val="21"/>
              </w:rPr>
              <w:t>易方达基金管理有限公司旗下部分开放式基金增加中信证券华南为销售机构的公告</w:t>
            </w:r>
          </w:p>
        </w:tc>
        <w:tc>
          <w:tcPr>
            <w:tcW w:w="1625" w:type="dxa"/>
            <w:vAlign w:val="center"/>
          </w:tcPr>
          <w:p w14:paraId="064BC871" w14:textId="37108B75" w:rsidR="0027563B" w:rsidRPr="00E97AFD" w:rsidRDefault="0027563B" w:rsidP="00E97AFD">
            <w:pPr>
              <w:jc w:val="center"/>
              <w:rPr>
                <w:rFonts w:asciiTheme="minorEastAsia" w:eastAsiaTheme="minorEastAsia" w:hAnsiTheme="minorEastAsia"/>
                <w:szCs w:val="21"/>
              </w:rPr>
            </w:pPr>
            <w:r w:rsidRPr="00E97AFD">
              <w:rPr>
                <w:rFonts w:asciiTheme="minorEastAsia" w:eastAsiaTheme="minorEastAsia" w:hAnsiTheme="minorEastAsia" w:hint="eastAsia"/>
                <w:szCs w:val="21"/>
              </w:rPr>
              <w:t>2020-04-30</w:t>
            </w:r>
          </w:p>
        </w:tc>
      </w:tr>
    </w:tbl>
    <w:p w14:paraId="2F397ED7" w14:textId="77777777" w:rsidR="00AE32D3" w:rsidRPr="00E97AFD" w:rsidRDefault="00CA2A8F" w:rsidP="00966694">
      <w:pPr>
        <w:snapToGrid w:val="0"/>
        <w:spacing w:line="360" w:lineRule="auto"/>
        <w:rPr>
          <w:rFonts w:asciiTheme="minorEastAsia" w:eastAsiaTheme="minorEastAsia" w:hAnsiTheme="minorEastAsia"/>
          <w:szCs w:val="21"/>
        </w:rPr>
      </w:pPr>
      <w:r w:rsidRPr="00E97AFD">
        <w:rPr>
          <w:rFonts w:asciiTheme="minorEastAsia" w:eastAsiaTheme="minorEastAsia" w:hAnsiTheme="minorEastAsia" w:hint="eastAsia"/>
          <w:szCs w:val="21"/>
        </w:rPr>
        <w:t>注：以上公告事项披露在指定媒介及基金管理人网站上。</w:t>
      </w:r>
    </w:p>
    <w:p w14:paraId="4BC3DA91" w14:textId="77777777" w:rsidR="00665937" w:rsidRPr="00E97AFD" w:rsidRDefault="00665937" w:rsidP="00966694">
      <w:pPr>
        <w:snapToGrid w:val="0"/>
        <w:spacing w:line="360" w:lineRule="auto"/>
        <w:rPr>
          <w:rFonts w:asciiTheme="minorEastAsia" w:eastAsiaTheme="minorEastAsia" w:hAnsiTheme="minorEastAsia"/>
        </w:rPr>
        <w:sectPr w:rsidR="00665937" w:rsidRPr="00E97AFD" w:rsidSect="006945E6">
          <w:headerReference w:type="default" r:id="rId27"/>
          <w:pgSz w:w="11906" w:h="16838" w:code="9"/>
          <w:pgMar w:top="1440" w:right="1800" w:bottom="1440" w:left="1800" w:header="720" w:footer="720" w:gutter="0"/>
          <w:cols w:space="720"/>
          <w:titlePg/>
          <w:docGrid w:type="lines" w:linePitch="312"/>
        </w:sectPr>
      </w:pPr>
    </w:p>
    <w:p w14:paraId="33A4CC10" w14:textId="77777777" w:rsidR="00BA4B87" w:rsidRPr="00E97AFD" w:rsidRDefault="00D708BF" w:rsidP="00966694">
      <w:pPr>
        <w:pStyle w:val="1"/>
        <w:snapToGrid w:val="0"/>
        <w:spacing w:beforeLines="0" w:afterLines="0" w:line="360" w:lineRule="auto"/>
        <w:ind w:firstLine="602"/>
        <w:rPr>
          <w:rFonts w:asciiTheme="minorEastAsia" w:eastAsiaTheme="minorEastAsia" w:hAnsiTheme="minorEastAsia"/>
          <w:b/>
          <w:bCs/>
          <w:szCs w:val="20"/>
        </w:rPr>
      </w:pPr>
      <w:bookmarkStart w:id="87" w:name="_Toc43371996"/>
      <w:r w:rsidRPr="00E97AFD">
        <w:rPr>
          <w:rFonts w:asciiTheme="minorEastAsia" w:eastAsiaTheme="minorEastAsia" w:hAnsiTheme="minorEastAsia"/>
          <w:b/>
          <w:sz w:val="30"/>
        </w:rPr>
        <w:lastRenderedPageBreak/>
        <w:t>二十</w:t>
      </w:r>
      <w:r w:rsidRPr="00E97AFD">
        <w:rPr>
          <w:rFonts w:asciiTheme="minorEastAsia" w:eastAsiaTheme="minorEastAsia" w:hAnsiTheme="minorEastAsia" w:hint="eastAsia"/>
          <w:b/>
          <w:sz w:val="30"/>
        </w:rPr>
        <w:t>六</w:t>
      </w:r>
      <w:r w:rsidR="00BA4B87" w:rsidRPr="00E97AFD">
        <w:rPr>
          <w:rFonts w:asciiTheme="minorEastAsia" w:eastAsiaTheme="minorEastAsia" w:hAnsiTheme="minorEastAsia"/>
          <w:b/>
          <w:sz w:val="30"/>
        </w:rPr>
        <w:t>、招募说明书的存放及查阅方式</w:t>
      </w:r>
      <w:bookmarkEnd w:id="87"/>
    </w:p>
    <w:p w14:paraId="54353E0E" w14:textId="77777777" w:rsidR="00BA4B87" w:rsidRPr="00E97AFD" w:rsidRDefault="00BA4B87" w:rsidP="00966694">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rPr>
        <w:t>本招募说明书存放在基金管理人、基金托管人及基金</w:t>
      </w:r>
      <w:r w:rsidR="00AF2936" w:rsidRPr="00E97AFD">
        <w:rPr>
          <w:rFonts w:asciiTheme="minorEastAsia" w:eastAsiaTheme="minorEastAsia" w:hAnsiTheme="minorEastAsia" w:hint="eastAsia"/>
        </w:rPr>
        <w:t>销售</w:t>
      </w:r>
      <w:r w:rsidRPr="00E97AFD">
        <w:rPr>
          <w:rFonts w:asciiTheme="minorEastAsia" w:eastAsiaTheme="minorEastAsia" w:hAnsiTheme="minorEastAsia"/>
        </w:rPr>
        <w:t>机构处，投资者可在营业时间免费查阅，也可按工本费购买复印件。</w:t>
      </w:r>
    </w:p>
    <w:p w14:paraId="199A7A6D" w14:textId="77777777" w:rsidR="00BA4B87" w:rsidRPr="00E97AFD" w:rsidRDefault="00BA4B87" w:rsidP="00966694">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rPr>
        <w:t>基金管理人和基金托管人保证文本的内容与公告的内容完全一致。</w:t>
      </w:r>
    </w:p>
    <w:p w14:paraId="56576B2F" w14:textId="77777777" w:rsidR="00BA4B87" w:rsidRPr="00E97AFD" w:rsidRDefault="00BA4B87" w:rsidP="00966694">
      <w:pPr>
        <w:pStyle w:val="1"/>
        <w:snapToGrid w:val="0"/>
        <w:spacing w:beforeLines="0" w:afterLines="0" w:line="360" w:lineRule="auto"/>
        <w:ind w:firstLine="600"/>
        <w:rPr>
          <w:rFonts w:asciiTheme="minorEastAsia" w:eastAsiaTheme="minorEastAsia" w:hAnsiTheme="minorEastAsia"/>
          <w:b/>
          <w:bCs/>
          <w:szCs w:val="20"/>
        </w:rPr>
      </w:pPr>
      <w:r w:rsidRPr="00E97AFD">
        <w:rPr>
          <w:rFonts w:asciiTheme="minorEastAsia" w:eastAsiaTheme="minorEastAsia" w:hAnsiTheme="minorEastAsia"/>
          <w:sz w:val="30"/>
        </w:rPr>
        <w:br w:type="column"/>
      </w:r>
      <w:bookmarkStart w:id="88" w:name="_Toc43371997"/>
      <w:r w:rsidR="00D708BF" w:rsidRPr="00E97AFD">
        <w:rPr>
          <w:rFonts w:asciiTheme="minorEastAsia" w:eastAsiaTheme="minorEastAsia" w:hAnsiTheme="minorEastAsia"/>
          <w:b/>
          <w:sz w:val="30"/>
        </w:rPr>
        <w:lastRenderedPageBreak/>
        <w:t>二十</w:t>
      </w:r>
      <w:r w:rsidR="00D708BF" w:rsidRPr="00E97AFD">
        <w:rPr>
          <w:rFonts w:asciiTheme="minorEastAsia" w:eastAsiaTheme="minorEastAsia" w:hAnsiTheme="minorEastAsia" w:hint="eastAsia"/>
          <w:b/>
          <w:sz w:val="30"/>
        </w:rPr>
        <w:t>七</w:t>
      </w:r>
      <w:r w:rsidRPr="00E97AFD">
        <w:rPr>
          <w:rFonts w:asciiTheme="minorEastAsia" w:eastAsiaTheme="minorEastAsia" w:hAnsiTheme="minorEastAsia"/>
          <w:b/>
          <w:sz w:val="30"/>
        </w:rPr>
        <w:t>、备查文件</w:t>
      </w:r>
      <w:bookmarkEnd w:id="88"/>
    </w:p>
    <w:p w14:paraId="72B7BDC4" w14:textId="77777777" w:rsidR="00BA4B87" w:rsidRPr="00E97AFD" w:rsidRDefault="003B592E" w:rsidP="00966694">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rPr>
        <w:t>1、</w:t>
      </w:r>
      <w:r w:rsidR="00BA4B87" w:rsidRPr="00E97AFD">
        <w:rPr>
          <w:rFonts w:asciiTheme="minorEastAsia" w:eastAsiaTheme="minorEastAsia" w:hAnsiTheme="minorEastAsia"/>
        </w:rPr>
        <w:t>中国证监会核准</w:t>
      </w:r>
      <w:r w:rsidR="00872236" w:rsidRPr="00E97AFD">
        <w:rPr>
          <w:rFonts w:asciiTheme="minorEastAsia" w:eastAsiaTheme="minorEastAsia" w:hAnsiTheme="minorEastAsia"/>
        </w:rPr>
        <w:t>易方达</w:t>
      </w:r>
      <w:r w:rsidR="00196408" w:rsidRPr="00E97AFD">
        <w:rPr>
          <w:rFonts w:asciiTheme="minorEastAsia" w:eastAsiaTheme="minorEastAsia" w:hAnsiTheme="minorEastAsia"/>
        </w:rPr>
        <w:t>天天增利</w:t>
      </w:r>
      <w:r w:rsidR="00B66608" w:rsidRPr="00E97AFD">
        <w:rPr>
          <w:rFonts w:asciiTheme="minorEastAsia" w:eastAsiaTheme="minorEastAsia" w:hAnsiTheme="minorEastAsia"/>
        </w:rPr>
        <w:t>货币市场基金</w:t>
      </w:r>
      <w:r w:rsidR="00BA4B87" w:rsidRPr="00E97AFD">
        <w:rPr>
          <w:rFonts w:asciiTheme="minorEastAsia" w:eastAsiaTheme="minorEastAsia" w:hAnsiTheme="minorEastAsia"/>
        </w:rPr>
        <w:t>募集的文件；</w:t>
      </w:r>
    </w:p>
    <w:p w14:paraId="0DF8044A" w14:textId="77777777" w:rsidR="00BA4B87" w:rsidRPr="00E97AFD" w:rsidRDefault="003B592E" w:rsidP="00966694">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rPr>
        <w:t>2、</w:t>
      </w:r>
      <w:r w:rsidR="00BA4B87" w:rsidRPr="00E97AFD">
        <w:rPr>
          <w:rFonts w:asciiTheme="minorEastAsia" w:eastAsiaTheme="minorEastAsia" w:hAnsiTheme="minorEastAsia"/>
        </w:rPr>
        <w:t>《</w:t>
      </w:r>
      <w:r w:rsidR="00872236" w:rsidRPr="00E97AFD">
        <w:rPr>
          <w:rFonts w:asciiTheme="minorEastAsia" w:eastAsiaTheme="minorEastAsia" w:hAnsiTheme="minorEastAsia"/>
        </w:rPr>
        <w:t>易方达</w:t>
      </w:r>
      <w:r w:rsidR="00196408" w:rsidRPr="00E97AFD">
        <w:rPr>
          <w:rFonts w:asciiTheme="minorEastAsia" w:eastAsiaTheme="minorEastAsia" w:hAnsiTheme="minorEastAsia"/>
        </w:rPr>
        <w:t>天天增利</w:t>
      </w:r>
      <w:r w:rsidR="00B66608" w:rsidRPr="00E97AFD">
        <w:rPr>
          <w:rFonts w:asciiTheme="minorEastAsia" w:eastAsiaTheme="minorEastAsia" w:hAnsiTheme="minorEastAsia"/>
        </w:rPr>
        <w:t>货币市场基金</w:t>
      </w:r>
      <w:r w:rsidR="00BA4B87" w:rsidRPr="00E97AFD">
        <w:rPr>
          <w:rFonts w:asciiTheme="minorEastAsia" w:eastAsiaTheme="minorEastAsia" w:hAnsiTheme="minorEastAsia"/>
        </w:rPr>
        <w:t>基金合同》；</w:t>
      </w:r>
    </w:p>
    <w:p w14:paraId="7EC93690" w14:textId="77777777" w:rsidR="00BA4B87" w:rsidRPr="00E97AFD" w:rsidRDefault="003B592E" w:rsidP="00966694">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rPr>
        <w:t>3、</w:t>
      </w:r>
      <w:r w:rsidR="00BA4B87" w:rsidRPr="00E97AFD">
        <w:rPr>
          <w:rFonts w:asciiTheme="minorEastAsia" w:eastAsiaTheme="minorEastAsia" w:hAnsiTheme="minorEastAsia"/>
        </w:rPr>
        <w:t>《</w:t>
      </w:r>
      <w:r w:rsidR="00872236" w:rsidRPr="00E97AFD">
        <w:rPr>
          <w:rFonts w:asciiTheme="minorEastAsia" w:eastAsiaTheme="minorEastAsia" w:hAnsiTheme="minorEastAsia"/>
        </w:rPr>
        <w:t>易方达</w:t>
      </w:r>
      <w:r w:rsidR="00196408" w:rsidRPr="00E97AFD">
        <w:rPr>
          <w:rFonts w:asciiTheme="minorEastAsia" w:eastAsiaTheme="minorEastAsia" w:hAnsiTheme="minorEastAsia"/>
        </w:rPr>
        <w:t>天天增利</w:t>
      </w:r>
      <w:r w:rsidR="00B66608" w:rsidRPr="00E97AFD">
        <w:rPr>
          <w:rFonts w:asciiTheme="minorEastAsia" w:eastAsiaTheme="minorEastAsia" w:hAnsiTheme="minorEastAsia"/>
        </w:rPr>
        <w:t>货币市场基金</w:t>
      </w:r>
      <w:r w:rsidR="00BA4B87" w:rsidRPr="00E97AFD">
        <w:rPr>
          <w:rFonts w:asciiTheme="minorEastAsia" w:eastAsiaTheme="minorEastAsia" w:hAnsiTheme="minorEastAsia"/>
        </w:rPr>
        <w:t>托管协议》；</w:t>
      </w:r>
    </w:p>
    <w:p w14:paraId="083F2E8C" w14:textId="77777777" w:rsidR="00BA4B87" w:rsidRPr="00E97AFD" w:rsidRDefault="003B592E" w:rsidP="00966694">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rPr>
        <w:t>4、</w:t>
      </w:r>
      <w:r w:rsidR="00BA4B87" w:rsidRPr="00E97AFD">
        <w:rPr>
          <w:rFonts w:asciiTheme="minorEastAsia" w:eastAsiaTheme="minorEastAsia" w:hAnsiTheme="minorEastAsia"/>
        </w:rPr>
        <w:t>《易方达基金管理有限公司开放式基金业务规则》；</w:t>
      </w:r>
    </w:p>
    <w:p w14:paraId="7AE96AA0" w14:textId="77777777" w:rsidR="00BA4B87" w:rsidRPr="00E97AFD" w:rsidRDefault="003B592E" w:rsidP="00966694">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rPr>
        <w:t>5、</w:t>
      </w:r>
      <w:r w:rsidR="00BA4B87" w:rsidRPr="00E97AFD">
        <w:rPr>
          <w:rFonts w:asciiTheme="minorEastAsia" w:eastAsiaTheme="minorEastAsia" w:hAnsiTheme="minorEastAsia"/>
        </w:rPr>
        <w:t>法律意见书；</w:t>
      </w:r>
    </w:p>
    <w:p w14:paraId="67AC7E0C" w14:textId="77777777" w:rsidR="00BA4B87" w:rsidRPr="00E97AFD" w:rsidRDefault="003B592E" w:rsidP="00966694">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rPr>
        <w:t>6、</w:t>
      </w:r>
      <w:r w:rsidR="00BA4B87" w:rsidRPr="00E97AFD">
        <w:rPr>
          <w:rFonts w:asciiTheme="minorEastAsia" w:eastAsiaTheme="minorEastAsia" w:hAnsiTheme="minorEastAsia"/>
        </w:rPr>
        <w:t>基金管理人业务资格批件、营业执照；</w:t>
      </w:r>
    </w:p>
    <w:p w14:paraId="5F6C915C" w14:textId="77777777" w:rsidR="00BA4B87" w:rsidRPr="00E97AFD" w:rsidRDefault="003B592E" w:rsidP="00966694">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rPr>
        <w:t>7、</w:t>
      </w:r>
      <w:r w:rsidR="00BA4B87" w:rsidRPr="00E97AFD">
        <w:rPr>
          <w:rFonts w:asciiTheme="minorEastAsia" w:eastAsiaTheme="minorEastAsia" w:hAnsiTheme="minorEastAsia"/>
        </w:rPr>
        <w:t>基金托管人业务资格批件、营业执照。</w:t>
      </w:r>
    </w:p>
    <w:p w14:paraId="6311720D" w14:textId="77777777" w:rsidR="00BA4B87" w:rsidRPr="00E97AFD" w:rsidRDefault="00BA4B87" w:rsidP="00966694">
      <w:pPr>
        <w:snapToGrid w:val="0"/>
        <w:spacing w:line="360" w:lineRule="auto"/>
        <w:ind w:firstLineChars="200" w:firstLine="420"/>
        <w:rPr>
          <w:rFonts w:asciiTheme="minorEastAsia" w:eastAsiaTheme="minorEastAsia" w:hAnsiTheme="minorEastAsia"/>
        </w:rPr>
      </w:pPr>
      <w:r w:rsidRPr="00E97AFD">
        <w:rPr>
          <w:rFonts w:asciiTheme="minorEastAsia" w:eastAsiaTheme="minorEastAsia" w:hAnsiTheme="minorEastAsia"/>
        </w:rPr>
        <w:t>存放地点：基金管理人、基金托管人处</w:t>
      </w:r>
    </w:p>
    <w:p w14:paraId="2F5151B0" w14:textId="77777777" w:rsidR="00BA4B87" w:rsidRPr="00E97AFD" w:rsidRDefault="00BA4B87" w:rsidP="00966694">
      <w:pPr>
        <w:pStyle w:val="a6"/>
        <w:snapToGrid w:val="0"/>
        <w:spacing w:line="360" w:lineRule="auto"/>
        <w:ind w:firstLine="420"/>
        <w:rPr>
          <w:rFonts w:asciiTheme="minorEastAsia" w:eastAsiaTheme="minorEastAsia" w:hAnsiTheme="minorEastAsia"/>
          <w:sz w:val="21"/>
        </w:rPr>
      </w:pPr>
      <w:r w:rsidRPr="00E97AFD">
        <w:rPr>
          <w:rFonts w:asciiTheme="minorEastAsia" w:eastAsiaTheme="minorEastAsia" w:hAnsiTheme="minorEastAsia"/>
          <w:sz w:val="21"/>
        </w:rPr>
        <w:t>查阅方式：投资者可在营业时间免费查阅，也可按工本费购买复印件。</w:t>
      </w:r>
    </w:p>
    <w:p w14:paraId="5DB7952B" w14:textId="77777777" w:rsidR="00BA4B87" w:rsidRPr="00E97AFD" w:rsidRDefault="00BA4B87" w:rsidP="00966694">
      <w:pPr>
        <w:pStyle w:val="a6"/>
        <w:snapToGrid w:val="0"/>
        <w:spacing w:line="360" w:lineRule="auto"/>
        <w:ind w:firstLine="420"/>
        <w:rPr>
          <w:rFonts w:asciiTheme="minorEastAsia" w:eastAsiaTheme="minorEastAsia" w:hAnsiTheme="minorEastAsia"/>
          <w:sz w:val="21"/>
        </w:rPr>
      </w:pPr>
    </w:p>
    <w:p w14:paraId="66E2705B" w14:textId="77777777" w:rsidR="00BA4B87" w:rsidRPr="00E97AFD" w:rsidRDefault="00BA4B87" w:rsidP="00966694">
      <w:pPr>
        <w:pStyle w:val="a6"/>
        <w:snapToGrid w:val="0"/>
        <w:spacing w:line="360" w:lineRule="auto"/>
        <w:ind w:firstLine="420"/>
        <w:rPr>
          <w:rFonts w:asciiTheme="minorEastAsia" w:eastAsiaTheme="minorEastAsia" w:hAnsiTheme="minorEastAsia"/>
          <w:sz w:val="21"/>
        </w:rPr>
      </w:pPr>
    </w:p>
    <w:p w14:paraId="17FD35D1" w14:textId="77777777" w:rsidR="00106AF3" w:rsidRPr="00E97AFD" w:rsidRDefault="00106AF3" w:rsidP="00966694">
      <w:pPr>
        <w:pStyle w:val="a6"/>
        <w:snapToGrid w:val="0"/>
        <w:spacing w:line="360" w:lineRule="auto"/>
        <w:ind w:firstLine="420"/>
        <w:jc w:val="right"/>
        <w:rPr>
          <w:rFonts w:asciiTheme="minorEastAsia" w:eastAsiaTheme="minorEastAsia" w:hAnsiTheme="minorEastAsia"/>
          <w:sz w:val="21"/>
        </w:rPr>
      </w:pPr>
      <w:bookmarkStart w:id="89" w:name="_Toc38438350"/>
      <w:bookmarkStart w:id="90" w:name="_Toc38438687"/>
      <w:bookmarkStart w:id="91" w:name="_Toc38439024"/>
      <w:bookmarkStart w:id="92" w:name="_Toc38439361"/>
      <w:bookmarkStart w:id="93" w:name="_Toc38439698"/>
      <w:bookmarkStart w:id="94" w:name="_Toc38440035"/>
      <w:bookmarkStart w:id="95" w:name="_Toc38440372"/>
      <w:bookmarkStart w:id="96" w:name="_Toc38440904"/>
      <w:bookmarkStart w:id="97" w:name="_Toc38441236"/>
      <w:bookmarkStart w:id="98" w:name="_Toc38441568"/>
      <w:bookmarkStart w:id="99" w:name="_Toc38441896"/>
      <w:bookmarkStart w:id="100" w:name="_Toc38442228"/>
      <w:bookmarkStart w:id="101" w:name="_Toc38442560"/>
      <w:bookmarkStart w:id="102" w:name="_Toc38442891"/>
      <w:bookmarkStart w:id="103" w:name="_Toc38443222"/>
      <w:bookmarkStart w:id="104" w:name="_Toc38443553"/>
      <w:bookmarkStart w:id="105" w:name="_Toc38443883"/>
      <w:bookmarkStart w:id="106" w:name="_Toc38438351"/>
      <w:bookmarkStart w:id="107" w:name="_Toc38438688"/>
      <w:bookmarkStart w:id="108" w:name="_Toc38439025"/>
      <w:bookmarkStart w:id="109" w:name="_Toc38439362"/>
      <w:bookmarkStart w:id="110" w:name="_Toc38439699"/>
      <w:bookmarkStart w:id="111" w:name="_Toc38440036"/>
      <w:bookmarkStart w:id="112" w:name="_Toc38440373"/>
      <w:bookmarkStart w:id="113" w:name="_Toc38440905"/>
      <w:bookmarkStart w:id="114" w:name="_Toc38441237"/>
      <w:bookmarkStart w:id="115" w:name="_Toc38441569"/>
      <w:bookmarkStart w:id="116" w:name="_Toc38441897"/>
      <w:bookmarkStart w:id="117" w:name="_Toc38442229"/>
      <w:bookmarkStart w:id="118" w:name="_Toc38442561"/>
      <w:bookmarkStart w:id="119" w:name="_Toc38442892"/>
      <w:bookmarkStart w:id="120" w:name="_Toc38443223"/>
      <w:bookmarkStart w:id="121" w:name="_Toc38443554"/>
      <w:bookmarkStart w:id="122" w:name="_Toc38443884"/>
      <w:bookmarkStart w:id="123" w:name="_Toc38438352"/>
      <w:bookmarkStart w:id="124" w:name="_Toc38438689"/>
      <w:bookmarkStart w:id="125" w:name="_Toc38439026"/>
      <w:bookmarkStart w:id="126" w:name="_Toc38439363"/>
      <w:bookmarkStart w:id="127" w:name="_Toc38439700"/>
      <w:bookmarkStart w:id="128" w:name="_Toc38440037"/>
      <w:bookmarkStart w:id="129" w:name="_Toc38440374"/>
      <w:bookmarkStart w:id="130" w:name="_Toc38440906"/>
      <w:bookmarkStart w:id="131" w:name="_Toc38441238"/>
      <w:bookmarkStart w:id="132" w:name="_Toc38441570"/>
      <w:bookmarkStart w:id="133" w:name="_Toc38441898"/>
      <w:bookmarkStart w:id="134" w:name="_Toc38442230"/>
      <w:bookmarkStart w:id="135" w:name="_Toc38442562"/>
      <w:bookmarkStart w:id="136" w:name="_Toc38442893"/>
      <w:bookmarkStart w:id="137" w:name="_Toc38443224"/>
      <w:bookmarkStart w:id="138" w:name="_Toc38443555"/>
      <w:bookmarkStart w:id="139" w:name="_Toc38443885"/>
      <w:bookmarkStart w:id="140" w:name="_Toc38438353"/>
      <w:bookmarkStart w:id="141" w:name="_Toc38438690"/>
      <w:bookmarkStart w:id="142" w:name="_Toc38439027"/>
      <w:bookmarkStart w:id="143" w:name="_Toc38439364"/>
      <w:bookmarkStart w:id="144" w:name="_Toc38439701"/>
      <w:bookmarkStart w:id="145" w:name="_Toc38440038"/>
      <w:bookmarkStart w:id="146" w:name="_Toc38440375"/>
      <w:bookmarkStart w:id="147" w:name="_Toc38440907"/>
      <w:bookmarkStart w:id="148" w:name="_Toc38441239"/>
      <w:bookmarkStart w:id="149" w:name="_Toc38441571"/>
      <w:bookmarkStart w:id="150" w:name="_Toc38441899"/>
      <w:bookmarkStart w:id="151" w:name="_Toc38442231"/>
      <w:bookmarkStart w:id="152" w:name="_Toc38442563"/>
      <w:bookmarkStart w:id="153" w:name="_Toc38442894"/>
      <w:bookmarkStart w:id="154" w:name="_Toc38443225"/>
      <w:bookmarkStart w:id="155" w:name="_Toc38443556"/>
      <w:bookmarkStart w:id="156" w:name="_Toc38443886"/>
      <w:bookmarkStart w:id="157" w:name="_Toc38438354"/>
      <w:bookmarkStart w:id="158" w:name="_Toc38438691"/>
      <w:bookmarkStart w:id="159" w:name="_Toc38439028"/>
      <w:bookmarkStart w:id="160" w:name="_Toc38439365"/>
      <w:bookmarkStart w:id="161" w:name="_Toc38439702"/>
      <w:bookmarkStart w:id="162" w:name="_Toc38440039"/>
      <w:bookmarkStart w:id="163" w:name="_Toc38440376"/>
      <w:bookmarkStart w:id="164" w:name="_Toc38440908"/>
      <w:bookmarkStart w:id="165" w:name="_Toc38441240"/>
      <w:bookmarkStart w:id="166" w:name="_Toc38441572"/>
      <w:bookmarkStart w:id="167" w:name="_Toc38441900"/>
      <w:bookmarkStart w:id="168" w:name="_Toc38442232"/>
      <w:bookmarkStart w:id="169" w:name="_Toc38442564"/>
      <w:bookmarkStart w:id="170" w:name="_Toc38442895"/>
      <w:bookmarkStart w:id="171" w:name="_Toc38443226"/>
      <w:bookmarkStart w:id="172" w:name="_Toc38443557"/>
      <w:bookmarkStart w:id="173" w:name="_Toc38443887"/>
      <w:bookmarkStart w:id="174" w:name="_Toc38438355"/>
      <w:bookmarkStart w:id="175" w:name="_Toc38438692"/>
      <w:bookmarkStart w:id="176" w:name="_Toc38439029"/>
      <w:bookmarkStart w:id="177" w:name="_Toc38439366"/>
      <w:bookmarkStart w:id="178" w:name="_Toc38439703"/>
      <w:bookmarkStart w:id="179" w:name="_Toc38440040"/>
      <w:bookmarkStart w:id="180" w:name="_Toc38440377"/>
      <w:bookmarkStart w:id="181" w:name="_Toc38440909"/>
      <w:bookmarkStart w:id="182" w:name="_Toc38441241"/>
      <w:bookmarkStart w:id="183" w:name="_Toc38441573"/>
      <w:bookmarkStart w:id="184" w:name="_Toc38441901"/>
      <w:bookmarkStart w:id="185" w:name="_Toc38442233"/>
      <w:bookmarkStart w:id="186" w:name="_Toc38442565"/>
      <w:bookmarkStart w:id="187" w:name="_Toc38442896"/>
      <w:bookmarkStart w:id="188" w:name="_Toc38443227"/>
      <w:bookmarkStart w:id="189" w:name="_Toc38443558"/>
      <w:bookmarkStart w:id="190" w:name="_Toc38443888"/>
      <w:bookmarkStart w:id="191" w:name="_Toc38438356"/>
      <w:bookmarkStart w:id="192" w:name="_Toc38438693"/>
      <w:bookmarkStart w:id="193" w:name="_Toc38439030"/>
      <w:bookmarkStart w:id="194" w:name="_Toc38439367"/>
      <w:bookmarkStart w:id="195" w:name="_Toc38439704"/>
      <w:bookmarkStart w:id="196" w:name="_Toc38440041"/>
      <w:bookmarkStart w:id="197" w:name="_Toc38440378"/>
      <w:bookmarkStart w:id="198" w:name="_Toc38440910"/>
      <w:bookmarkStart w:id="199" w:name="_Toc38441242"/>
      <w:bookmarkStart w:id="200" w:name="_Toc38441574"/>
      <w:bookmarkStart w:id="201" w:name="_Toc38441902"/>
      <w:bookmarkStart w:id="202" w:name="_Toc38442234"/>
      <w:bookmarkStart w:id="203" w:name="_Toc38442566"/>
      <w:bookmarkStart w:id="204" w:name="_Toc38442897"/>
      <w:bookmarkStart w:id="205" w:name="_Toc38443228"/>
      <w:bookmarkStart w:id="206" w:name="_Toc38443559"/>
      <w:bookmarkStart w:id="207" w:name="_Toc38443889"/>
      <w:bookmarkStart w:id="208" w:name="_Toc38438357"/>
      <w:bookmarkStart w:id="209" w:name="_Toc38438694"/>
      <w:bookmarkStart w:id="210" w:name="_Toc38439031"/>
      <w:bookmarkStart w:id="211" w:name="_Toc38439368"/>
      <w:bookmarkStart w:id="212" w:name="_Toc38439705"/>
      <w:bookmarkStart w:id="213" w:name="_Toc38440042"/>
      <w:bookmarkStart w:id="214" w:name="_Toc38440379"/>
      <w:bookmarkStart w:id="215" w:name="_Toc38440911"/>
      <w:bookmarkStart w:id="216" w:name="_Toc38441243"/>
      <w:bookmarkStart w:id="217" w:name="_Toc38441575"/>
      <w:bookmarkStart w:id="218" w:name="_Toc38441903"/>
      <w:bookmarkStart w:id="219" w:name="_Toc38442235"/>
      <w:bookmarkStart w:id="220" w:name="_Toc38442567"/>
      <w:bookmarkStart w:id="221" w:name="_Toc38442898"/>
      <w:bookmarkStart w:id="222" w:name="_Toc38443229"/>
      <w:bookmarkStart w:id="223" w:name="_Toc38443560"/>
      <w:bookmarkStart w:id="224" w:name="_Toc38443890"/>
      <w:bookmarkStart w:id="225" w:name="_Toc38438358"/>
      <w:bookmarkStart w:id="226" w:name="_Toc38438695"/>
      <w:bookmarkStart w:id="227" w:name="_Toc38439032"/>
      <w:bookmarkStart w:id="228" w:name="_Toc38439369"/>
      <w:bookmarkStart w:id="229" w:name="_Toc38439706"/>
      <w:bookmarkStart w:id="230" w:name="_Toc38440043"/>
      <w:bookmarkStart w:id="231" w:name="_Toc38440380"/>
      <w:bookmarkStart w:id="232" w:name="_Toc38440912"/>
      <w:bookmarkStart w:id="233" w:name="_Toc38441244"/>
      <w:bookmarkStart w:id="234" w:name="_Toc38441576"/>
      <w:bookmarkStart w:id="235" w:name="_Toc38441904"/>
      <w:bookmarkStart w:id="236" w:name="_Toc38442236"/>
      <w:bookmarkStart w:id="237" w:name="_Toc38442568"/>
      <w:bookmarkStart w:id="238" w:name="_Toc38442899"/>
      <w:bookmarkStart w:id="239" w:name="_Toc38443230"/>
      <w:bookmarkStart w:id="240" w:name="_Toc38443561"/>
      <w:bookmarkStart w:id="241" w:name="_Toc38443891"/>
      <w:bookmarkStart w:id="242" w:name="_Toc38438359"/>
      <w:bookmarkStart w:id="243" w:name="_Toc38438696"/>
      <w:bookmarkStart w:id="244" w:name="_Toc38439033"/>
      <w:bookmarkStart w:id="245" w:name="_Toc38439370"/>
      <w:bookmarkStart w:id="246" w:name="_Toc38439707"/>
      <w:bookmarkStart w:id="247" w:name="_Toc38440044"/>
      <w:bookmarkStart w:id="248" w:name="_Toc38440381"/>
      <w:bookmarkStart w:id="249" w:name="_Toc38440913"/>
      <w:bookmarkStart w:id="250" w:name="_Toc38441245"/>
      <w:bookmarkStart w:id="251" w:name="_Toc38441577"/>
      <w:bookmarkStart w:id="252" w:name="_Toc38441905"/>
      <w:bookmarkStart w:id="253" w:name="_Toc38442237"/>
      <w:bookmarkStart w:id="254" w:name="_Toc38442569"/>
      <w:bookmarkStart w:id="255" w:name="_Toc38442900"/>
      <w:bookmarkStart w:id="256" w:name="_Toc38443231"/>
      <w:bookmarkStart w:id="257" w:name="_Toc38443562"/>
      <w:bookmarkStart w:id="258" w:name="_Toc38443892"/>
      <w:bookmarkStart w:id="259" w:name="_Toc38438360"/>
      <w:bookmarkStart w:id="260" w:name="_Toc38438697"/>
      <w:bookmarkStart w:id="261" w:name="_Toc38439034"/>
      <w:bookmarkStart w:id="262" w:name="_Toc38439371"/>
      <w:bookmarkStart w:id="263" w:name="_Toc38439708"/>
      <w:bookmarkStart w:id="264" w:name="_Toc38440045"/>
      <w:bookmarkStart w:id="265" w:name="_Toc38440382"/>
      <w:bookmarkStart w:id="266" w:name="_Toc38440914"/>
      <w:bookmarkStart w:id="267" w:name="_Toc38441246"/>
      <w:bookmarkStart w:id="268" w:name="_Toc38441578"/>
      <w:bookmarkStart w:id="269" w:name="_Toc38441906"/>
      <w:bookmarkStart w:id="270" w:name="_Toc38442238"/>
      <w:bookmarkStart w:id="271" w:name="_Toc38442570"/>
      <w:bookmarkStart w:id="272" w:name="_Toc38442901"/>
      <w:bookmarkStart w:id="273" w:name="_Toc38443232"/>
      <w:bookmarkStart w:id="274" w:name="_Toc38443563"/>
      <w:bookmarkStart w:id="275" w:name="_Toc38443893"/>
      <w:bookmarkStart w:id="276" w:name="_Toc38438361"/>
      <w:bookmarkStart w:id="277" w:name="_Toc38438698"/>
      <w:bookmarkStart w:id="278" w:name="_Toc38439035"/>
      <w:bookmarkStart w:id="279" w:name="_Toc38439372"/>
      <w:bookmarkStart w:id="280" w:name="_Toc38439709"/>
      <w:bookmarkStart w:id="281" w:name="_Toc38440046"/>
      <w:bookmarkStart w:id="282" w:name="_Toc38440383"/>
      <w:bookmarkStart w:id="283" w:name="_Toc38440915"/>
      <w:bookmarkStart w:id="284" w:name="_Toc38441247"/>
      <w:bookmarkStart w:id="285" w:name="_Toc38441579"/>
      <w:bookmarkStart w:id="286" w:name="_Toc38441907"/>
      <w:bookmarkStart w:id="287" w:name="_Toc38442239"/>
      <w:bookmarkStart w:id="288" w:name="_Toc38442571"/>
      <w:bookmarkStart w:id="289" w:name="_Toc38442902"/>
      <w:bookmarkStart w:id="290" w:name="_Toc38443233"/>
      <w:bookmarkStart w:id="291" w:name="_Toc38443564"/>
      <w:bookmarkStart w:id="292" w:name="_Toc38443894"/>
      <w:bookmarkStart w:id="293" w:name="_Toc38438362"/>
      <w:bookmarkStart w:id="294" w:name="_Toc38438699"/>
      <w:bookmarkStart w:id="295" w:name="_Toc38439036"/>
      <w:bookmarkStart w:id="296" w:name="_Toc38439373"/>
      <w:bookmarkStart w:id="297" w:name="_Toc38439710"/>
      <w:bookmarkStart w:id="298" w:name="_Toc38440047"/>
      <w:bookmarkStart w:id="299" w:name="_Toc38440384"/>
      <w:bookmarkStart w:id="300" w:name="_Toc38440916"/>
      <w:bookmarkStart w:id="301" w:name="_Toc38441248"/>
      <w:bookmarkStart w:id="302" w:name="_Toc38441580"/>
      <w:bookmarkStart w:id="303" w:name="_Toc38441908"/>
      <w:bookmarkStart w:id="304" w:name="_Toc38442240"/>
      <w:bookmarkStart w:id="305" w:name="_Toc38442572"/>
      <w:bookmarkStart w:id="306" w:name="_Toc38442903"/>
      <w:bookmarkStart w:id="307" w:name="_Toc38443234"/>
      <w:bookmarkStart w:id="308" w:name="_Toc38443565"/>
      <w:bookmarkStart w:id="309" w:name="_Toc38443895"/>
      <w:bookmarkStart w:id="310" w:name="_Toc38438363"/>
      <w:bookmarkStart w:id="311" w:name="_Toc38438700"/>
      <w:bookmarkStart w:id="312" w:name="_Toc38439037"/>
      <w:bookmarkStart w:id="313" w:name="_Toc38439374"/>
      <w:bookmarkStart w:id="314" w:name="_Toc38439711"/>
      <w:bookmarkStart w:id="315" w:name="_Toc38440048"/>
      <w:bookmarkStart w:id="316" w:name="_Toc38440385"/>
      <w:bookmarkStart w:id="317" w:name="_Toc38440917"/>
      <w:bookmarkStart w:id="318" w:name="_Toc38441249"/>
      <w:bookmarkStart w:id="319" w:name="_Toc38441581"/>
      <w:bookmarkStart w:id="320" w:name="_Toc38441909"/>
      <w:bookmarkStart w:id="321" w:name="_Toc38442241"/>
      <w:bookmarkStart w:id="322" w:name="_Toc38442573"/>
      <w:bookmarkStart w:id="323" w:name="_Toc38442904"/>
      <w:bookmarkStart w:id="324" w:name="_Toc38443235"/>
      <w:bookmarkStart w:id="325" w:name="_Toc38443566"/>
      <w:bookmarkStart w:id="326" w:name="_Toc38443896"/>
      <w:bookmarkStart w:id="327" w:name="_Toc38438364"/>
      <w:bookmarkStart w:id="328" w:name="_Toc38438701"/>
      <w:bookmarkStart w:id="329" w:name="_Toc38439038"/>
      <w:bookmarkStart w:id="330" w:name="_Toc38439375"/>
      <w:bookmarkStart w:id="331" w:name="_Toc38439712"/>
      <w:bookmarkStart w:id="332" w:name="_Toc38440049"/>
      <w:bookmarkStart w:id="333" w:name="_Toc38440386"/>
      <w:bookmarkStart w:id="334" w:name="_Toc38440918"/>
      <w:bookmarkStart w:id="335" w:name="_Toc38441250"/>
      <w:bookmarkStart w:id="336" w:name="_Toc38441582"/>
      <w:bookmarkStart w:id="337" w:name="_Toc38441910"/>
      <w:bookmarkStart w:id="338" w:name="_Toc38442242"/>
      <w:bookmarkStart w:id="339" w:name="_Toc38442574"/>
      <w:bookmarkStart w:id="340" w:name="_Toc38442905"/>
      <w:bookmarkStart w:id="341" w:name="_Toc38443236"/>
      <w:bookmarkStart w:id="342" w:name="_Toc38443567"/>
      <w:bookmarkStart w:id="343" w:name="_Toc38443897"/>
      <w:bookmarkStart w:id="344" w:name="_Toc38438365"/>
      <w:bookmarkStart w:id="345" w:name="_Toc38438702"/>
      <w:bookmarkStart w:id="346" w:name="_Toc38439039"/>
      <w:bookmarkStart w:id="347" w:name="_Toc38439376"/>
      <w:bookmarkStart w:id="348" w:name="_Toc38439713"/>
      <w:bookmarkStart w:id="349" w:name="_Toc38440050"/>
      <w:bookmarkStart w:id="350" w:name="_Toc38440387"/>
      <w:bookmarkStart w:id="351" w:name="_Toc38440919"/>
      <w:bookmarkStart w:id="352" w:name="_Toc38441251"/>
      <w:bookmarkStart w:id="353" w:name="_Toc38441583"/>
      <w:bookmarkStart w:id="354" w:name="_Toc38441911"/>
      <w:bookmarkStart w:id="355" w:name="_Toc38442243"/>
      <w:bookmarkStart w:id="356" w:name="_Toc38442575"/>
      <w:bookmarkStart w:id="357" w:name="_Toc38442906"/>
      <w:bookmarkStart w:id="358" w:name="_Toc38443237"/>
      <w:bookmarkStart w:id="359" w:name="_Toc38443568"/>
      <w:bookmarkStart w:id="360" w:name="_Toc38443898"/>
      <w:bookmarkStart w:id="361" w:name="_Toc38438366"/>
      <w:bookmarkStart w:id="362" w:name="_Toc38438703"/>
      <w:bookmarkStart w:id="363" w:name="_Toc38439040"/>
      <w:bookmarkStart w:id="364" w:name="_Toc38439377"/>
      <w:bookmarkStart w:id="365" w:name="_Toc38439714"/>
      <w:bookmarkStart w:id="366" w:name="_Toc38440051"/>
      <w:bookmarkStart w:id="367" w:name="_Toc38440388"/>
      <w:bookmarkStart w:id="368" w:name="_Toc38440920"/>
      <w:bookmarkStart w:id="369" w:name="_Toc38441252"/>
      <w:bookmarkStart w:id="370" w:name="_Toc38441584"/>
      <w:bookmarkStart w:id="371" w:name="_Toc38441912"/>
      <w:bookmarkStart w:id="372" w:name="_Toc38442244"/>
      <w:bookmarkStart w:id="373" w:name="_Toc38442576"/>
      <w:bookmarkStart w:id="374" w:name="_Toc38442907"/>
      <w:bookmarkStart w:id="375" w:name="_Toc38443238"/>
      <w:bookmarkStart w:id="376" w:name="_Toc38443569"/>
      <w:bookmarkStart w:id="377" w:name="_Toc38443899"/>
      <w:bookmarkStart w:id="378" w:name="_Toc38438367"/>
      <w:bookmarkStart w:id="379" w:name="_Toc38438704"/>
      <w:bookmarkStart w:id="380" w:name="_Toc38439041"/>
      <w:bookmarkStart w:id="381" w:name="_Toc38439378"/>
      <w:bookmarkStart w:id="382" w:name="_Toc38439715"/>
      <w:bookmarkStart w:id="383" w:name="_Toc38440052"/>
      <w:bookmarkStart w:id="384" w:name="_Toc38440389"/>
      <w:bookmarkStart w:id="385" w:name="_Toc38440921"/>
      <w:bookmarkStart w:id="386" w:name="_Toc38441253"/>
      <w:bookmarkStart w:id="387" w:name="_Toc38441585"/>
      <w:bookmarkStart w:id="388" w:name="_Toc38441913"/>
      <w:bookmarkStart w:id="389" w:name="_Toc38442245"/>
      <w:bookmarkStart w:id="390" w:name="_Toc38442577"/>
      <w:bookmarkStart w:id="391" w:name="_Toc38442908"/>
      <w:bookmarkStart w:id="392" w:name="_Toc38443239"/>
      <w:bookmarkStart w:id="393" w:name="_Toc38443570"/>
      <w:bookmarkStart w:id="394" w:name="_Toc38443900"/>
      <w:bookmarkStart w:id="395" w:name="_Toc38438368"/>
      <w:bookmarkStart w:id="396" w:name="_Toc38438705"/>
      <w:bookmarkStart w:id="397" w:name="_Toc38439042"/>
      <w:bookmarkStart w:id="398" w:name="_Toc38439379"/>
      <w:bookmarkStart w:id="399" w:name="_Toc38439716"/>
      <w:bookmarkStart w:id="400" w:name="_Toc38440053"/>
      <w:bookmarkStart w:id="401" w:name="_Toc38440390"/>
      <w:bookmarkStart w:id="402" w:name="_Toc38440922"/>
      <w:bookmarkStart w:id="403" w:name="_Toc38441254"/>
      <w:bookmarkStart w:id="404" w:name="_Toc38441586"/>
      <w:bookmarkStart w:id="405" w:name="_Toc38441914"/>
      <w:bookmarkStart w:id="406" w:name="_Toc38442246"/>
      <w:bookmarkStart w:id="407" w:name="_Toc38442578"/>
      <w:bookmarkStart w:id="408" w:name="_Toc38442909"/>
      <w:bookmarkStart w:id="409" w:name="_Toc38443240"/>
      <w:bookmarkStart w:id="410" w:name="_Toc38443571"/>
      <w:bookmarkStart w:id="411" w:name="_Toc38443901"/>
      <w:bookmarkStart w:id="412" w:name="_Toc38438369"/>
      <w:bookmarkStart w:id="413" w:name="_Toc38438706"/>
      <w:bookmarkStart w:id="414" w:name="_Toc38439043"/>
      <w:bookmarkStart w:id="415" w:name="_Toc38439380"/>
      <w:bookmarkStart w:id="416" w:name="_Toc38439717"/>
      <w:bookmarkStart w:id="417" w:name="_Toc38440054"/>
      <w:bookmarkStart w:id="418" w:name="_Toc38440391"/>
      <w:bookmarkStart w:id="419" w:name="_Toc38440923"/>
      <w:bookmarkStart w:id="420" w:name="_Toc38441255"/>
      <w:bookmarkStart w:id="421" w:name="_Toc38441587"/>
      <w:bookmarkStart w:id="422" w:name="_Toc38441915"/>
      <w:bookmarkStart w:id="423" w:name="_Toc38442247"/>
      <w:bookmarkStart w:id="424" w:name="_Toc38442579"/>
      <w:bookmarkStart w:id="425" w:name="_Toc38442910"/>
      <w:bookmarkStart w:id="426" w:name="_Toc38443241"/>
      <w:bookmarkStart w:id="427" w:name="_Toc38443572"/>
      <w:bookmarkStart w:id="428" w:name="_Toc38443902"/>
      <w:bookmarkStart w:id="429" w:name="_Toc38438371"/>
      <w:bookmarkStart w:id="430" w:name="_Toc38438708"/>
      <w:bookmarkStart w:id="431" w:name="_Toc38439045"/>
      <w:bookmarkStart w:id="432" w:name="_Toc38439382"/>
      <w:bookmarkStart w:id="433" w:name="_Toc38439719"/>
      <w:bookmarkStart w:id="434" w:name="_Toc38440056"/>
      <w:bookmarkStart w:id="435" w:name="_Toc38440393"/>
      <w:bookmarkStart w:id="436" w:name="_Toc38440925"/>
      <w:bookmarkStart w:id="437" w:name="_Toc38441257"/>
      <w:bookmarkStart w:id="438" w:name="_Toc38441589"/>
      <w:bookmarkStart w:id="439" w:name="_Toc38441917"/>
      <w:bookmarkStart w:id="440" w:name="_Toc38442249"/>
      <w:bookmarkStart w:id="441" w:name="_Toc38442581"/>
      <w:bookmarkStart w:id="442" w:name="_Toc38442912"/>
      <w:bookmarkStart w:id="443" w:name="_Toc38443243"/>
      <w:bookmarkStart w:id="444" w:name="_Toc38443574"/>
      <w:bookmarkStart w:id="445" w:name="_Toc38443904"/>
      <w:bookmarkStart w:id="446" w:name="_Toc38438372"/>
      <w:bookmarkStart w:id="447" w:name="_Toc38438709"/>
      <w:bookmarkStart w:id="448" w:name="_Toc38439046"/>
      <w:bookmarkStart w:id="449" w:name="_Toc38439383"/>
      <w:bookmarkStart w:id="450" w:name="_Toc38439720"/>
      <w:bookmarkStart w:id="451" w:name="_Toc38440057"/>
      <w:bookmarkStart w:id="452" w:name="_Toc38440394"/>
      <w:bookmarkStart w:id="453" w:name="_Toc38440926"/>
      <w:bookmarkStart w:id="454" w:name="_Toc38441258"/>
      <w:bookmarkStart w:id="455" w:name="_Toc38441590"/>
      <w:bookmarkStart w:id="456" w:name="_Toc38441918"/>
      <w:bookmarkStart w:id="457" w:name="_Toc38442250"/>
      <w:bookmarkStart w:id="458" w:name="_Toc38442582"/>
      <w:bookmarkStart w:id="459" w:name="_Toc38442913"/>
      <w:bookmarkStart w:id="460" w:name="_Toc38443244"/>
      <w:bookmarkStart w:id="461" w:name="_Toc38443575"/>
      <w:bookmarkStart w:id="462" w:name="_Toc38443905"/>
      <w:bookmarkStart w:id="463" w:name="_Toc38438373"/>
      <w:bookmarkStart w:id="464" w:name="_Toc38438710"/>
      <w:bookmarkStart w:id="465" w:name="_Toc38439047"/>
      <w:bookmarkStart w:id="466" w:name="_Toc38439384"/>
      <w:bookmarkStart w:id="467" w:name="_Toc38439721"/>
      <w:bookmarkStart w:id="468" w:name="_Toc38440058"/>
      <w:bookmarkStart w:id="469" w:name="_Toc38440395"/>
      <w:bookmarkStart w:id="470" w:name="_Toc38440927"/>
      <w:bookmarkStart w:id="471" w:name="_Toc38441259"/>
      <w:bookmarkStart w:id="472" w:name="_Toc38441591"/>
      <w:bookmarkStart w:id="473" w:name="_Toc38441919"/>
      <w:bookmarkStart w:id="474" w:name="_Toc38442251"/>
      <w:bookmarkStart w:id="475" w:name="_Toc38442583"/>
      <w:bookmarkStart w:id="476" w:name="_Toc38442914"/>
      <w:bookmarkStart w:id="477" w:name="_Toc38443245"/>
      <w:bookmarkStart w:id="478" w:name="_Toc38443576"/>
      <w:bookmarkStart w:id="479" w:name="_Toc38443906"/>
      <w:bookmarkStart w:id="480" w:name="_Toc38438374"/>
      <w:bookmarkStart w:id="481" w:name="_Toc38438711"/>
      <w:bookmarkStart w:id="482" w:name="_Toc38439048"/>
      <w:bookmarkStart w:id="483" w:name="_Toc38439385"/>
      <w:bookmarkStart w:id="484" w:name="_Toc38439722"/>
      <w:bookmarkStart w:id="485" w:name="_Toc38440059"/>
      <w:bookmarkStart w:id="486" w:name="_Toc38440396"/>
      <w:bookmarkStart w:id="487" w:name="_Toc38440928"/>
      <w:bookmarkStart w:id="488" w:name="_Toc38441260"/>
      <w:bookmarkStart w:id="489" w:name="_Toc38441592"/>
      <w:bookmarkStart w:id="490" w:name="_Toc38441920"/>
      <w:bookmarkStart w:id="491" w:name="_Toc38442252"/>
      <w:bookmarkStart w:id="492" w:name="_Toc38442584"/>
      <w:bookmarkStart w:id="493" w:name="_Toc38442915"/>
      <w:bookmarkStart w:id="494" w:name="_Toc38443246"/>
      <w:bookmarkStart w:id="495" w:name="_Toc38443577"/>
      <w:bookmarkStart w:id="496" w:name="_Toc38443907"/>
      <w:bookmarkStart w:id="497" w:name="_Toc38438375"/>
      <w:bookmarkStart w:id="498" w:name="_Toc38438712"/>
      <w:bookmarkStart w:id="499" w:name="_Toc38439049"/>
      <w:bookmarkStart w:id="500" w:name="_Toc38439386"/>
      <w:bookmarkStart w:id="501" w:name="_Toc38439723"/>
      <w:bookmarkStart w:id="502" w:name="_Toc38440060"/>
      <w:bookmarkStart w:id="503" w:name="_Toc38440397"/>
      <w:bookmarkStart w:id="504" w:name="_Toc38440929"/>
      <w:bookmarkStart w:id="505" w:name="_Toc38441261"/>
      <w:bookmarkStart w:id="506" w:name="_Toc38441593"/>
      <w:bookmarkStart w:id="507" w:name="_Toc38441921"/>
      <w:bookmarkStart w:id="508" w:name="_Toc38442253"/>
      <w:bookmarkStart w:id="509" w:name="_Toc38442585"/>
      <w:bookmarkStart w:id="510" w:name="_Toc38442916"/>
      <w:bookmarkStart w:id="511" w:name="_Toc38443247"/>
      <w:bookmarkStart w:id="512" w:name="_Toc38443578"/>
      <w:bookmarkStart w:id="513" w:name="_Toc38443908"/>
      <w:bookmarkStart w:id="514" w:name="_Toc38438376"/>
      <w:bookmarkStart w:id="515" w:name="_Toc38438713"/>
      <w:bookmarkStart w:id="516" w:name="_Toc38439050"/>
      <w:bookmarkStart w:id="517" w:name="_Toc38439387"/>
      <w:bookmarkStart w:id="518" w:name="_Toc38439724"/>
      <w:bookmarkStart w:id="519" w:name="_Toc38440061"/>
      <w:bookmarkStart w:id="520" w:name="_Toc38440398"/>
      <w:bookmarkStart w:id="521" w:name="_Toc38440930"/>
      <w:bookmarkStart w:id="522" w:name="_Toc38441262"/>
      <w:bookmarkStart w:id="523" w:name="_Toc38441594"/>
      <w:bookmarkStart w:id="524" w:name="_Toc38441922"/>
      <w:bookmarkStart w:id="525" w:name="_Toc38442254"/>
      <w:bookmarkStart w:id="526" w:name="_Toc38442586"/>
      <w:bookmarkStart w:id="527" w:name="_Toc38442917"/>
      <w:bookmarkStart w:id="528" w:name="_Toc38443248"/>
      <w:bookmarkStart w:id="529" w:name="_Toc38443579"/>
      <w:bookmarkStart w:id="530" w:name="_Toc38443909"/>
      <w:bookmarkStart w:id="531" w:name="_Toc38438377"/>
      <w:bookmarkStart w:id="532" w:name="_Toc38438714"/>
      <w:bookmarkStart w:id="533" w:name="_Toc38439051"/>
      <w:bookmarkStart w:id="534" w:name="_Toc38439388"/>
      <w:bookmarkStart w:id="535" w:name="_Toc38439725"/>
      <w:bookmarkStart w:id="536" w:name="_Toc38440062"/>
      <w:bookmarkStart w:id="537" w:name="_Toc38440399"/>
      <w:bookmarkStart w:id="538" w:name="_Toc38440931"/>
      <w:bookmarkStart w:id="539" w:name="_Toc38441263"/>
      <w:bookmarkStart w:id="540" w:name="_Toc38441595"/>
      <w:bookmarkStart w:id="541" w:name="_Toc38441923"/>
      <w:bookmarkStart w:id="542" w:name="_Toc38442255"/>
      <w:bookmarkStart w:id="543" w:name="_Toc38442587"/>
      <w:bookmarkStart w:id="544" w:name="_Toc38442918"/>
      <w:bookmarkStart w:id="545" w:name="_Toc38443249"/>
      <w:bookmarkStart w:id="546" w:name="_Toc38443580"/>
      <w:bookmarkStart w:id="547" w:name="_Toc38443910"/>
      <w:bookmarkStart w:id="548" w:name="_Toc38438378"/>
      <w:bookmarkStart w:id="549" w:name="_Toc38438715"/>
      <w:bookmarkStart w:id="550" w:name="_Toc38439052"/>
      <w:bookmarkStart w:id="551" w:name="_Toc38439389"/>
      <w:bookmarkStart w:id="552" w:name="_Toc38439726"/>
      <w:bookmarkStart w:id="553" w:name="_Toc38440063"/>
      <w:bookmarkStart w:id="554" w:name="_Toc38440400"/>
      <w:bookmarkStart w:id="555" w:name="_Toc38440932"/>
      <w:bookmarkStart w:id="556" w:name="_Toc38441264"/>
      <w:bookmarkStart w:id="557" w:name="_Toc38441596"/>
      <w:bookmarkStart w:id="558" w:name="_Toc38441924"/>
      <w:bookmarkStart w:id="559" w:name="_Toc38442256"/>
      <w:bookmarkStart w:id="560" w:name="_Toc38442588"/>
      <w:bookmarkStart w:id="561" w:name="_Toc38442919"/>
      <w:bookmarkStart w:id="562" w:name="_Toc38443250"/>
      <w:bookmarkStart w:id="563" w:name="_Toc38443581"/>
      <w:bookmarkStart w:id="564" w:name="_Toc38443911"/>
      <w:bookmarkStart w:id="565" w:name="_Toc38438379"/>
      <w:bookmarkStart w:id="566" w:name="_Toc38438716"/>
      <w:bookmarkStart w:id="567" w:name="_Toc38439053"/>
      <w:bookmarkStart w:id="568" w:name="_Toc38439390"/>
      <w:bookmarkStart w:id="569" w:name="_Toc38439727"/>
      <w:bookmarkStart w:id="570" w:name="_Toc38440064"/>
      <w:bookmarkStart w:id="571" w:name="_Toc38440401"/>
      <w:bookmarkStart w:id="572" w:name="_Toc38440933"/>
      <w:bookmarkStart w:id="573" w:name="_Toc38441265"/>
      <w:bookmarkStart w:id="574" w:name="_Toc38441597"/>
      <w:bookmarkStart w:id="575" w:name="_Toc38441925"/>
      <w:bookmarkStart w:id="576" w:name="_Toc38442257"/>
      <w:bookmarkStart w:id="577" w:name="_Toc38442589"/>
      <w:bookmarkStart w:id="578" w:name="_Toc38442920"/>
      <w:bookmarkStart w:id="579" w:name="_Toc38443251"/>
      <w:bookmarkStart w:id="580" w:name="_Toc38443582"/>
      <w:bookmarkStart w:id="581" w:name="_Toc38443912"/>
      <w:bookmarkStart w:id="582" w:name="_Toc38438380"/>
      <w:bookmarkStart w:id="583" w:name="_Toc38438717"/>
      <w:bookmarkStart w:id="584" w:name="_Toc38439054"/>
      <w:bookmarkStart w:id="585" w:name="_Toc38439391"/>
      <w:bookmarkStart w:id="586" w:name="_Toc38439728"/>
      <w:bookmarkStart w:id="587" w:name="_Toc38440065"/>
      <w:bookmarkStart w:id="588" w:name="_Toc38440402"/>
      <w:bookmarkStart w:id="589" w:name="_Toc38440934"/>
      <w:bookmarkStart w:id="590" w:name="_Toc38441266"/>
      <w:bookmarkStart w:id="591" w:name="_Toc38441598"/>
      <w:bookmarkStart w:id="592" w:name="_Toc38441926"/>
      <w:bookmarkStart w:id="593" w:name="_Toc38442258"/>
      <w:bookmarkStart w:id="594" w:name="_Toc38442590"/>
      <w:bookmarkStart w:id="595" w:name="_Toc38442921"/>
      <w:bookmarkStart w:id="596" w:name="_Toc38443252"/>
      <w:bookmarkStart w:id="597" w:name="_Toc38443583"/>
      <w:bookmarkStart w:id="598" w:name="_Toc38443913"/>
      <w:bookmarkStart w:id="599" w:name="_Toc38438381"/>
      <w:bookmarkStart w:id="600" w:name="_Toc38438718"/>
      <w:bookmarkStart w:id="601" w:name="_Toc38439055"/>
      <w:bookmarkStart w:id="602" w:name="_Toc38439392"/>
      <w:bookmarkStart w:id="603" w:name="_Toc38439729"/>
      <w:bookmarkStart w:id="604" w:name="_Toc38440066"/>
      <w:bookmarkStart w:id="605" w:name="_Toc38440403"/>
      <w:bookmarkStart w:id="606" w:name="_Toc38440935"/>
      <w:bookmarkStart w:id="607" w:name="_Toc38441267"/>
      <w:bookmarkStart w:id="608" w:name="_Toc38441599"/>
      <w:bookmarkStart w:id="609" w:name="_Toc38441927"/>
      <w:bookmarkStart w:id="610" w:name="_Toc38442259"/>
      <w:bookmarkStart w:id="611" w:name="_Toc38442591"/>
      <w:bookmarkStart w:id="612" w:name="_Toc38442922"/>
      <w:bookmarkStart w:id="613" w:name="_Toc38443253"/>
      <w:bookmarkStart w:id="614" w:name="_Toc38443584"/>
      <w:bookmarkStart w:id="615" w:name="_Toc38443914"/>
      <w:bookmarkStart w:id="616" w:name="_Toc38438382"/>
      <w:bookmarkStart w:id="617" w:name="_Toc38438719"/>
      <w:bookmarkStart w:id="618" w:name="_Toc38439056"/>
      <w:bookmarkStart w:id="619" w:name="_Toc38439393"/>
      <w:bookmarkStart w:id="620" w:name="_Toc38439730"/>
      <w:bookmarkStart w:id="621" w:name="_Toc38440067"/>
      <w:bookmarkStart w:id="622" w:name="_Toc38440404"/>
      <w:bookmarkStart w:id="623" w:name="_Toc38440936"/>
      <w:bookmarkStart w:id="624" w:name="_Toc38441268"/>
      <w:bookmarkStart w:id="625" w:name="_Toc38441600"/>
      <w:bookmarkStart w:id="626" w:name="_Toc38441928"/>
      <w:bookmarkStart w:id="627" w:name="_Toc38442260"/>
      <w:bookmarkStart w:id="628" w:name="_Toc38442592"/>
      <w:bookmarkStart w:id="629" w:name="_Toc38442923"/>
      <w:bookmarkStart w:id="630" w:name="_Toc38443254"/>
      <w:bookmarkStart w:id="631" w:name="_Toc38443585"/>
      <w:bookmarkStart w:id="632" w:name="_Toc38443915"/>
      <w:bookmarkStart w:id="633" w:name="_Toc38438383"/>
      <w:bookmarkStart w:id="634" w:name="_Toc38438720"/>
      <w:bookmarkStart w:id="635" w:name="_Toc38439057"/>
      <w:bookmarkStart w:id="636" w:name="_Toc38439394"/>
      <w:bookmarkStart w:id="637" w:name="_Toc38439731"/>
      <w:bookmarkStart w:id="638" w:name="_Toc38440068"/>
      <w:bookmarkStart w:id="639" w:name="_Toc38440405"/>
      <w:bookmarkStart w:id="640" w:name="_Toc38440937"/>
      <w:bookmarkStart w:id="641" w:name="_Toc38441269"/>
      <w:bookmarkStart w:id="642" w:name="_Toc38441601"/>
      <w:bookmarkStart w:id="643" w:name="_Toc38441929"/>
      <w:bookmarkStart w:id="644" w:name="_Toc38442261"/>
      <w:bookmarkStart w:id="645" w:name="_Toc38442593"/>
      <w:bookmarkStart w:id="646" w:name="_Toc38442924"/>
      <w:bookmarkStart w:id="647" w:name="_Toc38443255"/>
      <w:bookmarkStart w:id="648" w:name="_Toc38443586"/>
      <w:bookmarkStart w:id="649" w:name="_Toc38443916"/>
      <w:bookmarkStart w:id="650" w:name="_Toc38438384"/>
      <w:bookmarkStart w:id="651" w:name="_Toc38438721"/>
      <w:bookmarkStart w:id="652" w:name="_Toc38439058"/>
      <w:bookmarkStart w:id="653" w:name="_Toc38439395"/>
      <w:bookmarkStart w:id="654" w:name="_Toc38439732"/>
      <w:bookmarkStart w:id="655" w:name="_Toc38440069"/>
      <w:bookmarkStart w:id="656" w:name="_Toc38440406"/>
      <w:bookmarkStart w:id="657" w:name="_Toc38440938"/>
      <w:bookmarkStart w:id="658" w:name="_Toc38441270"/>
      <w:bookmarkStart w:id="659" w:name="_Toc38441602"/>
      <w:bookmarkStart w:id="660" w:name="_Toc38441930"/>
      <w:bookmarkStart w:id="661" w:name="_Toc38442262"/>
      <w:bookmarkStart w:id="662" w:name="_Toc38442594"/>
      <w:bookmarkStart w:id="663" w:name="_Toc38442925"/>
      <w:bookmarkStart w:id="664" w:name="_Toc38443256"/>
      <w:bookmarkStart w:id="665" w:name="_Toc38443587"/>
      <w:bookmarkStart w:id="666" w:name="_Toc38443917"/>
      <w:bookmarkStart w:id="667" w:name="_Toc38438385"/>
      <w:bookmarkStart w:id="668" w:name="_Toc38438722"/>
      <w:bookmarkStart w:id="669" w:name="_Toc38439059"/>
      <w:bookmarkStart w:id="670" w:name="_Toc38439396"/>
      <w:bookmarkStart w:id="671" w:name="_Toc38439733"/>
      <w:bookmarkStart w:id="672" w:name="_Toc38440070"/>
      <w:bookmarkStart w:id="673" w:name="_Toc38440407"/>
      <w:bookmarkStart w:id="674" w:name="_Toc38440939"/>
      <w:bookmarkStart w:id="675" w:name="_Toc38441271"/>
      <w:bookmarkStart w:id="676" w:name="_Toc38441603"/>
      <w:bookmarkStart w:id="677" w:name="_Toc38441931"/>
      <w:bookmarkStart w:id="678" w:name="_Toc38442263"/>
      <w:bookmarkStart w:id="679" w:name="_Toc38442595"/>
      <w:bookmarkStart w:id="680" w:name="_Toc38442926"/>
      <w:bookmarkStart w:id="681" w:name="_Toc38443257"/>
      <w:bookmarkStart w:id="682" w:name="_Toc38443588"/>
      <w:bookmarkStart w:id="683" w:name="_Toc38443918"/>
      <w:bookmarkStart w:id="684" w:name="_Toc38438386"/>
      <w:bookmarkStart w:id="685" w:name="_Toc38438723"/>
      <w:bookmarkStart w:id="686" w:name="_Toc38439060"/>
      <w:bookmarkStart w:id="687" w:name="_Toc38439397"/>
      <w:bookmarkStart w:id="688" w:name="_Toc38439734"/>
      <w:bookmarkStart w:id="689" w:name="_Toc38440071"/>
      <w:bookmarkStart w:id="690" w:name="_Toc38440408"/>
      <w:bookmarkStart w:id="691" w:name="_Toc38440940"/>
      <w:bookmarkStart w:id="692" w:name="_Toc38441272"/>
      <w:bookmarkStart w:id="693" w:name="_Toc38441604"/>
      <w:bookmarkStart w:id="694" w:name="_Toc38441932"/>
      <w:bookmarkStart w:id="695" w:name="_Toc38442264"/>
      <w:bookmarkStart w:id="696" w:name="_Toc38442596"/>
      <w:bookmarkStart w:id="697" w:name="_Toc38442927"/>
      <w:bookmarkStart w:id="698" w:name="_Toc38443258"/>
      <w:bookmarkStart w:id="699" w:name="_Toc38443589"/>
      <w:bookmarkStart w:id="700" w:name="_Toc38443919"/>
      <w:bookmarkStart w:id="701" w:name="_Toc38438387"/>
      <w:bookmarkStart w:id="702" w:name="_Toc38438724"/>
      <w:bookmarkStart w:id="703" w:name="_Toc38439061"/>
      <w:bookmarkStart w:id="704" w:name="_Toc38439398"/>
      <w:bookmarkStart w:id="705" w:name="_Toc38439735"/>
      <w:bookmarkStart w:id="706" w:name="_Toc38440072"/>
      <w:bookmarkStart w:id="707" w:name="_Toc38440409"/>
      <w:bookmarkStart w:id="708" w:name="_Toc38440941"/>
      <w:bookmarkStart w:id="709" w:name="_Toc38441273"/>
      <w:bookmarkStart w:id="710" w:name="_Toc38441605"/>
      <w:bookmarkStart w:id="711" w:name="_Toc38441933"/>
      <w:bookmarkStart w:id="712" w:name="_Toc38442265"/>
      <w:bookmarkStart w:id="713" w:name="_Toc38442597"/>
      <w:bookmarkStart w:id="714" w:name="_Toc38442928"/>
      <w:bookmarkStart w:id="715" w:name="_Toc38443259"/>
      <w:bookmarkStart w:id="716" w:name="_Toc38443590"/>
      <w:bookmarkStart w:id="717" w:name="_Toc38443920"/>
      <w:bookmarkStart w:id="718" w:name="_Toc38438388"/>
      <w:bookmarkStart w:id="719" w:name="_Toc38438725"/>
      <w:bookmarkStart w:id="720" w:name="_Toc38439062"/>
      <w:bookmarkStart w:id="721" w:name="_Toc38439399"/>
      <w:bookmarkStart w:id="722" w:name="_Toc38439736"/>
      <w:bookmarkStart w:id="723" w:name="_Toc38440073"/>
      <w:bookmarkStart w:id="724" w:name="_Toc38440410"/>
      <w:bookmarkStart w:id="725" w:name="_Toc38440942"/>
      <w:bookmarkStart w:id="726" w:name="_Toc38441274"/>
      <w:bookmarkStart w:id="727" w:name="_Toc38441606"/>
      <w:bookmarkStart w:id="728" w:name="_Toc38441934"/>
      <w:bookmarkStart w:id="729" w:name="_Toc38442266"/>
      <w:bookmarkStart w:id="730" w:name="_Toc38442598"/>
      <w:bookmarkStart w:id="731" w:name="_Toc38442929"/>
      <w:bookmarkStart w:id="732" w:name="_Toc38443260"/>
      <w:bookmarkStart w:id="733" w:name="_Toc38443591"/>
      <w:bookmarkStart w:id="734" w:name="_Toc38443921"/>
      <w:bookmarkStart w:id="735" w:name="_Toc38438389"/>
      <w:bookmarkStart w:id="736" w:name="_Toc38438726"/>
      <w:bookmarkStart w:id="737" w:name="_Toc38439063"/>
      <w:bookmarkStart w:id="738" w:name="_Toc38439400"/>
      <w:bookmarkStart w:id="739" w:name="_Toc38439737"/>
      <w:bookmarkStart w:id="740" w:name="_Toc38440074"/>
      <w:bookmarkStart w:id="741" w:name="_Toc38440411"/>
      <w:bookmarkStart w:id="742" w:name="_Toc38440943"/>
      <w:bookmarkStart w:id="743" w:name="_Toc38441275"/>
      <w:bookmarkStart w:id="744" w:name="_Toc38441607"/>
      <w:bookmarkStart w:id="745" w:name="_Toc38441935"/>
      <w:bookmarkStart w:id="746" w:name="_Toc38442267"/>
      <w:bookmarkStart w:id="747" w:name="_Toc38442599"/>
      <w:bookmarkStart w:id="748" w:name="_Toc38442930"/>
      <w:bookmarkStart w:id="749" w:name="_Toc38443261"/>
      <w:bookmarkStart w:id="750" w:name="_Toc38443592"/>
      <w:bookmarkStart w:id="751" w:name="_Toc38443922"/>
      <w:bookmarkStart w:id="752" w:name="_Toc38438390"/>
      <w:bookmarkStart w:id="753" w:name="_Toc38438727"/>
      <w:bookmarkStart w:id="754" w:name="_Toc38439064"/>
      <w:bookmarkStart w:id="755" w:name="_Toc38439401"/>
      <w:bookmarkStart w:id="756" w:name="_Toc38439738"/>
      <w:bookmarkStart w:id="757" w:name="_Toc38440075"/>
      <w:bookmarkStart w:id="758" w:name="_Toc38440412"/>
      <w:bookmarkStart w:id="759" w:name="_Toc38440944"/>
      <w:bookmarkStart w:id="760" w:name="_Toc38441276"/>
      <w:bookmarkStart w:id="761" w:name="_Toc38441608"/>
      <w:bookmarkStart w:id="762" w:name="_Toc38441936"/>
      <w:bookmarkStart w:id="763" w:name="_Toc38442268"/>
      <w:bookmarkStart w:id="764" w:name="_Toc38442600"/>
      <w:bookmarkStart w:id="765" w:name="_Toc38442931"/>
      <w:bookmarkStart w:id="766" w:name="_Toc38443262"/>
      <w:bookmarkStart w:id="767" w:name="_Toc38443593"/>
      <w:bookmarkStart w:id="768" w:name="_Toc38443923"/>
      <w:bookmarkStart w:id="769" w:name="_Toc38438391"/>
      <w:bookmarkStart w:id="770" w:name="_Toc38438728"/>
      <w:bookmarkStart w:id="771" w:name="_Toc38439065"/>
      <w:bookmarkStart w:id="772" w:name="_Toc38439402"/>
      <w:bookmarkStart w:id="773" w:name="_Toc38439739"/>
      <w:bookmarkStart w:id="774" w:name="_Toc38440076"/>
      <w:bookmarkStart w:id="775" w:name="_Toc38440413"/>
      <w:bookmarkStart w:id="776" w:name="_Toc38440945"/>
      <w:bookmarkStart w:id="777" w:name="_Toc38441277"/>
      <w:bookmarkStart w:id="778" w:name="_Toc38441609"/>
      <w:bookmarkStart w:id="779" w:name="_Toc38441937"/>
      <w:bookmarkStart w:id="780" w:name="_Toc38442269"/>
      <w:bookmarkStart w:id="781" w:name="_Toc38442601"/>
      <w:bookmarkStart w:id="782" w:name="_Toc38442932"/>
      <w:bookmarkStart w:id="783" w:name="_Toc38443263"/>
      <w:bookmarkStart w:id="784" w:name="_Toc38443594"/>
      <w:bookmarkStart w:id="785" w:name="_Toc38443924"/>
      <w:bookmarkStart w:id="786" w:name="_Toc38438392"/>
      <w:bookmarkStart w:id="787" w:name="_Toc38438729"/>
      <w:bookmarkStart w:id="788" w:name="_Toc38439066"/>
      <w:bookmarkStart w:id="789" w:name="_Toc38439403"/>
      <w:bookmarkStart w:id="790" w:name="_Toc38439740"/>
      <w:bookmarkStart w:id="791" w:name="_Toc38440077"/>
      <w:bookmarkStart w:id="792" w:name="_Toc38440414"/>
      <w:bookmarkStart w:id="793" w:name="_Toc38440946"/>
      <w:bookmarkStart w:id="794" w:name="_Toc38441278"/>
      <w:bookmarkStart w:id="795" w:name="_Toc38441610"/>
      <w:bookmarkStart w:id="796" w:name="_Toc38441938"/>
      <w:bookmarkStart w:id="797" w:name="_Toc38442270"/>
      <w:bookmarkStart w:id="798" w:name="_Toc38442602"/>
      <w:bookmarkStart w:id="799" w:name="_Toc38442933"/>
      <w:bookmarkStart w:id="800" w:name="_Toc38443264"/>
      <w:bookmarkStart w:id="801" w:name="_Toc38443595"/>
      <w:bookmarkStart w:id="802" w:name="_Toc38443925"/>
      <w:bookmarkStart w:id="803" w:name="_Toc38438393"/>
      <w:bookmarkStart w:id="804" w:name="_Toc38438730"/>
      <w:bookmarkStart w:id="805" w:name="_Toc38439067"/>
      <w:bookmarkStart w:id="806" w:name="_Toc38439404"/>
      <w:bookmarkStart w:id="807" w:name="_Toc38439741"/>
      <w:bookmarkStart w:id="808" w:name="_Toc38440078"/>
      <w:bookmarkStart w:id="809" w:name="_Toc38440415"/>
      <w:bookmarkStart w:id="810" w:name="_Toc38440947"/>
      <w:bookmarkStart w:id="811" w:name="_Toc38441279"/>
      <w:bookmarkStart w:id="812" w:name="_Toc38441611"/>
      <w:bookmarkStart w:id="813" w:name="_Toc38441939"/>
      <w:bookmarkStart w:id="814" w:name="_Toc38442271"/>
      <w:bookmarkStart w:id="815" w:name="_Toc38442603"/>
      <w:bookmarkStart w:id="816" w:name="_Toc38442934"/>
      <w:bookmarkStart w:id="817" w:name="_Toc38443265"/>
      <w:bookmarkStart w:id="818" w:name="_Toc38443596"/>
      <w:bookmarkStart w:id="819" w:name="_Toc38443926"/>
      <w:bookmarkStart w:id="820" w:name="_Toc38438394"/>
      <w:bookmarkStart w:id="821" w:name="_Toc38438731"/>
      <w:bookmarkStart w:id="822" w:name="_Toc38439068"/>
      <w:bookmarkStart w:id="823" w:name="_Toc38439405"/>
      <w:bookmarkStart w:id="824" w:name="_Toc38439742"/>
      <w:bookmarkStart w:id="825" w:name="_Toc38440079"/>
      <w:bookmarkStart w:id="826" w:name="_Toc38440416"/>
      <w:bookmarkStart w:id="827" w:name="_Toc38440948"/>
      <w:bookmarkStart w:id="828" w:name="_Toc38441280"/>
      <w:bookmarkStart w:id="829" w:name="_Toc38441612"/>
      <w:bookmarkStart w:id="830" w:name="_Toc38441940"/>
      <w:bookmarkStart w:id="831" w:name="_Toc38442272"/>
      <w:bookmarkStart w:id="832" w:name="_Toc38442604"/>
      <w:bookmarkStart w:id="833" w:name="_Toc38442935"/>
      <w:bookmarkStart w:id="834" w:name="_Toc38443266"/>
      <w:bookmarkStart w:id="835" w:name="_Toc38443597"/>
      <w:bookmarkStart w:id="836" w:name="_Toc38443927"/>
      <w:bookmarkStart w:id="837" w:name="_Toc38438395"/>
      <w:bookmarkStart w:id="838" w:name="_Toc38438732"/>
      <w:bookmarkStart w:id="839" w:name="_Toc38439069"/>
      <w:bookmarkStart w:id="840" w:name="_Toc38439406"/>
      <w:bookmarkStart w:id="841" w:name="_Toc38439743"/>
      <w:bookmarkStart w:id="842" w:name="_Toc38440080"/>
      <w:bookmarkStart w:id="843" w:name="_Toc38440417"/>
      <w:bookmarkStart w:id="844" w:name="_Toc38440949"/>
      <w:bookmarkStart w:id="845" w:name="_Toc38441281"/>
      <w:bookmarkStart w:id="846" w:name="_Toc38441613"/>
      <w:bookmarkStart w:id="847" w:name="_Toc38441941"/>
      <w:bookmarkStart w:id="848" w:name="_Toc38442273"/>
      <w:bookmarkStart w:id="849" w:name="_Toc38442605"/>
      <w:bookmarkStart w:id="850" w:name="_Toc38442936"/>
      <w:bookmarkStart w:id="851" w:name="_Toc38443267"/>
      <w:bookmarkStart w:id="852" w:name="_Toc38443598"/>
      <w:bookmarkStart w:id="853" w:name="_Toc38443928"/>
      <w:bookmarkStart w:id="854" w:name="_Toc38438396"/>
      <w:bookmarkStart w:id="855" w:name="_Toc38438733"/>
      <w:bookmarkStart w:id="856" w:name="_Toc38439070"/>
      <w:bookmarkStart w:id="857" w:name="_Toc38439407"/>
      <w:bookmarkStart w:id="858" w:name="_Toc38439744"/>
      <w:bookmarkStart w:id="859" w:name="_Toc38440081"/>
      <w:bookmarkStart w:id="860" w:name="_Toc38440418"/>
      <w:bookmarkStart w:id="861" w:name="_Toc38440950"/>
      <w:bookmarkStart w:id="862" w:name="_Toc38441282"/>
      <w:bookmarkStart w:id="863" w:name="_Toc38441614"/>
      <w:bookmarkStart w:id="864" w:name="_Toc38441942"/>
      <w:bookmarkStart w:id="865" w:name="_Toc38442274"/>
      <w:bookmarkStart w:id="866" w:name="_Toc38442606"/>
      <w:bookmarkStart w:id="867" w:name="_Toc38442937"/>
      <w:bookmarkStart w:id="868" w:name="_Toc38443268"/>
      <w:bookmarkStart w:id="869" w:name="_Toc38443599"/>
      <w:bookmarkStart w:id="870" w:name="_Toc38443929"/>
      <w:bookmarkStart w:id="871" w:name="_Toc38438397"/>
      <w:bookmarkStart w:id="872" w:name="_Toc38438734"/>
      <w:bookmarkStart w:id="873" w:name="_Toc38439071"/>
      <w:bookmarkStart w:id="874" w:name="_Toc38439408"/>
      <w:bookmarkStart w:id="875" w:name="_Toc38439745"/>
      <w:bookmarkStart w:id="876" w:name="_Toc38440082"/>
      <w:bookmarkStart w:id="877" w:name="_Toc38440419"/>
      <w:bookmarkStart w:id="878" w:name="_Toc38440951"/>
      <w:bookmarkStart w:id="879" w:name="_Toc38441283"/>
      <w:bookmarkStart w:id="880" w:name="_Toc38441615"/>
      <w:bookmarkStart w:id="881" w:name="_Toc38441943"/>
      <w:bookmarkStart w:id="882" w:name="_Toc38442275"/>
      <w:bookmarkStart w:id="883" w:name="_Toc38442607"/>
      <w:bookmarkStart w:id="884" w:name="_Toc38442938"/>
      <w:bookmarkStart w:id="885" w:name="_Toc38443269"/>
      <w:bookmarkStart w:id="886" w:name="_Toc38443600"/>
      <w:bookmarkStart w:id="887" w:name="_Toc38443930"/>
      <w:bookmarkStart w:id="888" w:name="_Toc38438398"/>
      <w:bookmarkStart w:id="889" w:name="_Toc38438735"/>
      <w:bookmarkStart w:id="890" w:name="_Toc38439072"/>
      <w:bookmarkStart w:id="891" w:name="_Toc38439409"/>
      <w:bookmarkStart w:id="892" w:name="_Toc38439746"/>
      <w:bookmarkStart w:id="893" w:name="_Toc38440083"/>
      <w:bookmarkStart w:id="894" w:name="_Toc38440420"/>
      <w:bookmarkStart w:id="895" w:name="_Toc38440952"/>
      <w:bookmarkStart w:id="896" w:name="_Toc38441284"/>
      <w:bookmarkStart w:id="897" w:name="_Toc38441616"/>
      <w:bookmarkStart w:id="898" w:name="_Toc38441944"/>
      <w:bookmarkStart w:id="899" w:name="_Toc38442276"/>
      <w:bookmarkStart w:id="900" w:name="_Toc38442608"/>
      <w:bookmarkStart w:id="901" w:name="_Toc38442939"/>
      <w:bookmarkStart w:id="902" w:name="_Toc38443270"/>
      <w:bookmarkStart w:id="903" w:name="_Toc38443601"/>
      <w:bookmarkStart w:id="904" w:name="_Toc38443931"/>
      <w:bookmarkStart w:id="905" w:name="_Toc38438400"/>
      <w:bookmarkStart w:id="906" w:name="_Toc38438737"/>
      <w:bookmarkStart w:id="907" w:name="_Toc38439074"/>
      <w:bookmarkStart w:id="908" w:name="_Toc38439411"/>
      <w:bookmarkStart w:id="909" w:name="_Toc38439748"/>
      <w:bookmarkStart w:id="910" w:name="_Toc38440085"/>
      <w:bookmarkStart w:id="911" w:name="_Toc38440422"/>
      <w:bookmarkStart w:id="912" w:name="_Toc38440954"/>
      <w:bookmarkStart w:id="913" w:name="_Toc38441286"/>
      <w:bookmarkStart w:id="914" w:name="_Toc38441618"/>
      <w:bookmarkStart w:id="915" w:name="_Toc38441946"/>
      <w:bookmarkStart w:id="916" w:name="_Toc38442278"/>
      <w:bookmarkStart w:id="917" w:name="_Toc38442610"/>
      <w:bookmarkStart w:id="918" w:name="_Toc38442941"/>
      <w:bookmarkStart w:id="919" w:name="_Toc38443272"/>
      <w:bookmarkStart w:id="920" w:name="_Toc38443603"/>
      <w:bookmarkStart w:id="921" w:name="_Toc38443933"/>
      <w:bookmarkStart w:id="922" w:name="_Toc38438401"/>
      <w:bookmarkStart w:id="923" w:name="_Toc38438738"/>
      <w:bookmarkStart w:id="924" w:name="_Toc38439075"/>
      <w:bookmarkStart w:id="925" w:name="_Toc38439412"/>
      <w:bookmarkStart w:id="926" w:name="_Toc38439749"/>
      <w:bookmarkStart w:id="927" w:name="_Toc38440086"/>
      <w:bookmarkStart w:id="928" w:name="_Toc38440423"/>
      <w:bookmarkStart w:id="929" w:name="_Toc38440955"/>
      <w:bookmarkStart w:id="930" w:name="_Toc38441287"/>
      <w:bookmarkStart w:id="931" w:name="_Toc38441619"/>
      <w:bookmarkStart w:id="932" w:name="_Toc38441947"/>
      <w:bookmarkStart w:id="933" w:name="_Toc38442279"/>
      <w:bookmarkStart w:id="934" w:name="_Toc38442611"/>
      <w:bookmarkStart w:id="935" w:name="_Toc38442942"/>
      <w:bookmarkStart w:id="936" w:name="_Toc38443273"/>
      <w:bookmarkStart w:id="937" w:name="_Toc38443604"/>
      <w:bookmarkStart w:id="938" w:name="_Toc38443934"/>
      <w:bookmarkStart w:id="939" w:name="_Toc38438402"/>
      <w:bookmarkStart w:id="940" w:name="_Toc38438739"/>
      <w:bookmarkStart w:id="941" w:name="_Toc38439076"/>
      <w:bookmarkStart w:id="942" w:name="_Toc38439413"/>
      <w:bookmarkStart w:id="943" w:name="_Toc38439750"/>
      <w:bookmarkStart w:id="944" w:name="_Toc38440087"/>
      <w:bookmarkStart w:id="945" w:name="_Toc38440424"/>
      <w:bookmarkStart w:id="946" w:name="_Toc38440956"/>
      <w:bookmarkStart w:id="947" w:name="_Toc38441288"/>
      <w:bookmarkStart w:id="948" w:name="_Toc38441620"/>
      <w:bookmarkStart w:id="949" w:name="_Toc38441948"/>
      <w:bookmarkStart w:id="950" w:name="_Toc38442280"/>
      <w:bookmarkStart w:id="951" w:name="_Toc38442612"/>
      <w:bookmarkStart w:id="952" w:name="_Toc38442943"/>
      <w:bookmarkStart w:id="953" w:name="_Toc38443274"/>
      <w:bookmarkStart w:id="954" w:name="_Toc38443605"/>
      <w:bookmarkStart w:id="955" w:name="_Toc38443935"/>
      <w:bookmarkStart w:id="956" w:name="_Toc38438404"/>
      <w:bookmarkStart w:id="957" w:name="_Toc38438741"/>
      <w:bookmarkStart w:id="958" w:name="_Toc38439078"/>
      <w:bookmarkStart w:id="959" w:name="_Toc38439415"/>
      <w:bookmarkStart w:id="960" w:name="_Toc38439752"/>
      <w:bookmarkStart w:id="961" w:name="_Toc38440089"/>
      <w:bookmarkStart w:id="962" w:name="_Toc38440426"/>
      <w:bookmarkStart w:id="963" w:name="_Toc38440958"/>
      <w:bookmarkStart w:id="964" w:name="_Toc38441290"/>
      <w:bookmarkStart w:id="965" w:name="_Toc38441622"/>
      <w:bookmarkStart w:id="966" w:name="_Toc38441950"/>
      <w:bookmarkStart w:id="967" w:name="_Toc38442282"/>
      <w:bookmarkStart w:id="968" w:name="_Toc38442614"/>
      <w:bookmarkStart w:id="969" w:name="_Toc38442945"/>
      <w:bookmarkStart w:id="970" w:name="_Toc38443276"/>
      <w:bookmarkStart w:id="971" w:name="_Toc38443607"/>
      <w:bookmarkStart w:id="972" w:name="_Toc38443937"/>
      <w:bookmarkStart w:id="973" w:name="_Toc38438405"/>
      <w:bookmarkStart w:id="974" w:name="_Toc38438742"/>
      <w:bookmarkStart w:id="975" w:name="_Toc38439079"/>
      <w:bookmarkStart w:id="976" w:name="_Toc38439416"/>
      <w:bookmarkStart w:id="977" w:name="_Toc38439753"/>
      <w:bookmarkStart w:id="978" w:name="_Toc38440090"/>
      <w:bookmarkStart w:id="979" w:name="_Toc38440427"/>
      <w:bookmarkStart w:id="980" w:name="_Toc38440959"/>
      <w:bookmarkStart w:id="981" w:name="_Toc38441291"/>
      <w:bookmarkStart w:id="982" w:name="_Toc38441623"/>
      <w:bookmarkStart w:id="983" w:name="_Toc38441951"/>
      <w:bookmarkStart w:id="984" w:name="_Toc38442283"/>
      <w:bookmarkStart w:id="985" w:name="_Toc38442615"/>
      <w:bookmarkStart w:id="986" w:name="_Toc38442946"/>
      <w:bookmarkStart w:id="987" w:name="_Toc38443277"/>
      <w:bookmarkStart w:id="988" w:name="_Toc38443608"/>
      <w:bookmarkStart w:id="989" w:name="_Toc38443938"/>
      <w:bookmarkStart w:id="990" w:name="_Toc38438406"/>
      <w:bookmarkStart w:id="991" w:name="_Toc38438743"/>
      <w:bookmarkStart w:id="992" w:name="_Toc38439080"/>
      <w:bookmarkStart w:id="993" w:name="_Toc38439417"/>
      <w:bookmarkStart w:id="994" w:name="_Toc38439754"/>
      <w:bookmarkStart w:id="995" w:name="_Toc38440091"/>
      <w:bookmarkStart w:id="996" w:name="_Toc38440428"/>
      <w:bookmarkStart w:id="997" w:name="_Toc38440960"/>
      <w:bookmarkStart w:id="998" w:name="_Toc38441292"/>
      <w:bookmarkStart w:id="999" w:name="_Toc38441624"/>
      <w:bookmarkStart w:id="1000" w:name="_Toc38441952"/>
      <w:bookmarkStart w:id="1001" w:name="_Toc38442284"/>
      <w:bookmarkStart w:id="1002" w:name="_Toc38442616"/>
      <w:bookmarkStart w:id="1003" w:name="_Toc38442947"/>
      <w:bookmarkStart w:id="1004" w:name="_Toc38443278"/>
      <w:bookmarkStart w:id="1005" w:name="_Toc38443609"/>
      <w:bookmarkStart w:id="1006" w:name="_Toc38443939"/>
      <w:bookmarkStart w:id="1007" w:name="_Toc38438407"/>
      <w:bookmarkStart w:id="1008" w:name="_Toc38438744"/>
      <w:bookmarkStart w:id="1009" w:name="_Toc38439081"/>
      <w:bookmarkStart w:id="1010" w:name="_Toc38439418"/>
      <w:bookmarkStart w:id="1011" w:name="_Toc38439755"/>
      <w:bookmarkStart w:id="1012" w:name="_Toc38440092"/>
      <w:bookmarkStart w:id="1013" w:name="_Toc38440429"/>
      <w:bookmarkStart w:id="1014" w:name="_Toc38440961"/>
      <w:bookmarkStart w:id="1015" w:name="_Toc38441293"/>
      <w:bookmarkStart w:id="1016" w:name="_Toc38441625"/>
      <w:bookmarkStart w:id="1017" w:name="_Toc38441953"/>
      <w:bookmarkStart w:id="1018" w:name="_Toc38442285"/>
      <w:bookmarkStart w:id="1019" w:name="_Toc38442617"/>
      <w:bookmarkStart w:id="1020" w:name="_Toc38442948"/>
      <w:bookmarkStart w:id="1021" w:name="_Toc38443279"/>
      <w:bookmarkStart w:id="1022" w:name="_Toc38443610"/>
      <w:bookmarkStart w:id="1023" w:name="_Toc38443940"/>
      <w:bookmarkStart w:id="1024" w:name="_Toc38438408"/>
      <w:bookmarkStart w:id="1025" w:name="_Toc38438745"/>
      <w:bookmarkStart w:id="1026" w:name="_Toc38439082"/>
      <w:bookmarkStart w:id="1027" w:name="_Toc38439419"/>
      <w:bookmarkStart w:id="1028" w:name="_Toc38439756"/>
      <w:bookmarkStart w:id="1029" w:name="_Toc38440093"/>
      <w:bookmarkStart w:id="1030" w:name="_Toc38440430"/>
      <w:bookmarkStart w:id="1031" w:name="_Toc38440962"/>
      <w:bookmarkStart w:id="1032" w:name="_Toc38441294"/>
      <w:bookmarkStart w:id="1033" w:name="_Toc38441626"/>
      <w:bookmarkStart w:id="1034" w:name="_Toc38441954"/>
      <w:bookmarkStart w:id="1035" w:name="_Toc38442286"/>
      <w:bookmarkStart w:id="1036" w:name="_Toc38442618"/>
      <w:bookmarkStart w:id="1037" w:name="_Toc38442949"/>
      <w:bookmarkStart w:id="1038" w:name="_Toc38443280"/>
      <w:bookmarkStart w:id="1039" w:name="_Toc38443611"/>
      <w:bookmarkStart w:id="1040" w:name="_Toc38443941"/>
      <w:bookmarkStart w:id="1041" w:name="_Toc38438409"/>
      <w:bookmarkStart w:id="1042" w:name="_Toc38438746"/>
      <w:bookmarkStart w:id="1043" w:name="_Toc38439083"/>
      <w:bookmarkStart w:id="1044" w:name="_Toc38439420"/>
      <w:bookmarkStart w:id="1045" w:name="_Toc38439757"/>
      <w:bookmarkStart w:id="1046" w:name="_Toc38440094"/>
      <w:bookmarkStart w:id="1047" w:name="_Toc38440431"/>
      <w:bookmarkStart w:id="1048" w:name="_Toc38440963"/>
      <w:bookmarkStart w:id="1049" w:name="_Toc38441295"/>
      <w:bookmarkStart w:id="1050" w:name="_Toc38441627"/>
      <w:bookmarkStart w:id="1051" w:name="_Toc38441955"/>
      <w:bookmarkStart w:id="1052" w:name="_Toc38442287"/>
      <w:bookmarkStart w:id="1053" w:name="_Toc38442619"/>
      <w:bookmarkStart w:id="1054" w:name="_Toc38442950"/>
      <w:bookmarkStart w:id="1055" w:name="_Toc38443281"/>
      <w:bookmarkStart w:id="1056" w:name="_Toc38443612"/>
      <w:bookmarkStart w:id="1057" w:name="_Toc38443942"/>
      <w:bookmarkStart w:id="1058" w:name="_Toc38438410"/>
      <w:bookmarkStart w:id="1059" w:name="_Toc38438747"/>
      <w:bookmarkStart w:id="1060" w:name="_Toc38439084"/>
      <w:bookmarkStart w:id="1061" w:name="_Toc38439421"/>
      <w:bookmarkStart w:id="1062" w:name="_Toc38439758"/>
      <w:bookmarkStart w:id="1063" w:name="_Toc38440095"/>
      <w:bookmarkStart w:id="1064" w:name="_Toc38440432"/>
      <w:bookmarkStart w:id="1065" w:name="_Toc38440964"/>
      <w:bookmarkStart w:id="1066" w:name="_Toc38441296"/>
      <w:bookmarkStart w:id="1067" w:name="_Toc38441628"/>
      <w:bookmarkStart w:id="1068" w:name="_Toc38441956"/>
      <w:bookmarkStart w:id="1069" w:name="_Toc38442288"/>
      <w:bookmarkStart w:id="1070" w:name="_Toc38442620"/>
      <w:bookmarkStart w:id="1071" w:name="_Toc38442951"/>
      <w:bookmarkStart w:id="1072" w:name="_Toc38443282"/>
      <w:bookmarkStart w:id="1073" w:name="_Toc38443613"/>
      <w:bookmarkStart w:id="1074" w:name="_Toc38443943"/>
      <w:bookmarkStart w:id="1075" w:name="_Toc38438411"/>
      <w:bookmarkStart w:id="1076" w:name="_Toc38438748"/>
      <w:bookmarkStart w:id="1077" w:name="_Toc38439085"/>
      <w:bookmarkStart w:id="1078" w:name="_Toc38439422"/>
      <w:bookmarkStart w:id="1079" w:name="_Toc38439759"/>
      <w:bookmarkStart w:id="1080" w:name="_Toc38440096"/>
      <w:bookmarkStart w:id="1081" w:name="_Toc38440433"/>
      <w:bookmarkStart w:id="1082" w:name="_Toc38440965"/>
      <w:bookmarkStart w:id="1083" w:name="_Toc38441297"/>
      <w:bookmarkStart w:id="1084" w:name="_Toc38441629"/>
      <w:bookmarkStart w:id="1085" w:name="_Toc38441957"/>
      <w:bookmarkStart w:id="1086" w:name="_Toc38442289"/>
      <w:bookmarkStart w:id="1087" w:name="_Toc38442621"/>
      <w:bookmarkStart w:id="1088" w:name="_Toc38442952"/>
      <w:bookmarkStart w:id="1089" w:name="_Toc38443283"/>
      <w:bookmarkStart w:id="1090" w:name="_Toc38443614"/>
      <w:bookmarkStart w:id="1091" w:name="_Toc38443944"/>
      <w:bookmarkStart w:id="1092" w:name="_Toc38438412"/>
      <w:bookmarkStart w:id="1093" w:name="_Toc38438749"/>
      <w:bookmarkStart w:id="1094" w:name="_Toc38439086"/>
      <w:bookmarkStart w:id="1095" w:name="_Toc38439423"/>
      <w:bookmarkStart w:id="1096" w:name="_Toc38439760"/>
      <w:bookmarkStart w:id="1097" w:name="_Toc38440097"/>
      <w:bookmarkStart w:id="1098" w:name="_Toc38440434"/>
      <w:bookmarkStart w:id="1099" w:name="_Toc38440966"/>
      <w:bookmarkStart w:id="1100" w:name="_Toc38441298"/>
      <w:bookmarkStart w:id="1101" w:name="_Toc38441630"/>
      <w:bookmarkStart w:id="1102" w:name="_Toc38441958"/>
      <w:bookmarkStart w:id="1103" w:name="_Toc38442290"/>
      <w:bookmarkStart w:id="1104" w:name="_Toc38442622"/>
      <w:bookmarkStart w:id="1105" w:name="_Toc38442953"/>
      <w:bookmarkStart w:id="1106" w:name="_Toc38443284"/>
      <w:bookmarkStart w:id="1107" w:name="_Toc38443615"/>
      <w:bookmarkStart w:id="1108" w:name="_Toc38443945"/>
      <w:bookmarkStart w:id="1109" w:name="_Toc38438413"/>
      <w:bookmarkStart w:id="1110" w:name="_Toc38438750"/>
      <w:bookmarkStart w:id="1111" w:name="_Toc38439087"/>
      <w:bookmarkStart w:id="1112" w:name="_Toc38439424"/>
      <w:bookmarkStart w:id="1113" w:name="_Toc38439761"/>
      <w:bookmarkStart w:id="1114" w:name="_Toc38440098"/>
      <w:bookmarkStart w:id="1115" w:name="_Toc38440435"/>
      <w:bookmarkStart w:id="1116" w:name="_Toc38440967"/>
      <w:bookmarkStart w:id="1117" w:name="_Toc38441299"/>
      <w:bookmarkStart w:id="1118" w:name="_Toc38441631"/>
      <w:bookmarkStart w:id="1119" w:name="_Toc38441959"/>
      <w:bookmarkStart w:id="1120" w:name="_Toc38442291"/>
      <w:bookmarkStart w:id="1121" w:name="_Toc38442623"/>
      <w:bookmarkStart w:id="1122" w:name="_Toc38442954"/>
      <w:bookmarkStart w:id="1123" w:name="_Toc38443285"/>
      <w:bookmarkStart w:id="1124" w:name="_Toc38443616"/>
      <w:bookmarkStart w:id="1125" w:name="_Toc38443946"/>
      <w:bookmarkStart w:id="1126" w:name="_Toc38438414"/>
      <w:bookmarkStart w:id="1127" w:name="_Toc38438751"/>
      <w:bookmarkStart w:id="1128" w:name="_Toc38439088"/>
      <w:bookmarkStart w:id="1129" w:name="_Toc38439425"/>
      <w:bookmarkStart w:id="1130" w:name="_Toc38439762"/>
      <w:bookmarkStart w:id="1131" w:name="_Toc38440099"/>
      <w:bookmarkStart w:id="1132" w:name="_Toc38440436"/>
      <w:bookmarkStart w:id="1133" w:name="_Toc38440968"/>
      <w:bookmarkStart w:id="1134" w:name="_Toc38441300"/>
      <w:bookmarkStart w:id="1135" w:name="_Toc38441632"/>
      <w:bookmarkStart w:id="1136" w:name="_Toc38441960"/>
      <w:bookmarkStart w:id="1137" w:name="_Toc38442292"/>
      <w:bookmarkStart w:id="1138" w:name="_Toc38442624"/>
      <w:bookmarkStart w:id="1139" w:name="_Toc38442955"/>
      <w:bookmarkStart w:id="1140" w:name="_Toc38443286"/>
      <w:bookmarkStart w:id="1141" w:name="_Toc38443617"/>
      <w:bookmarkStart w:id="1142" w:name="_Toc38443947"/>
      <w:bookmarkStart w:id="1143" w:name="_Toc38438415"/>
      <w:bookmarkStart w:id="1144" w:name="_Toc38438752"/>
      <w:bookmarkStart w:id="1145" w:name="_Toc38439089"/>
      <w:bookmarkStart w:id="1146" w:name="_Toc38439426"/>
      <w:bookmarkStart w:id="1147" w:name="_Toc38439763"/>
      <w:bookmarkStart w:id="1148" w:name="_Toc38440100"/>
      <w:bookmarkStart w:id="1149" w:name="_Toc38440437"/>
      <w:bookmarkStart w:id="1150" w:name="_Toc38440969"/>
      <w:bookmarkStart w:id="1151" w:name="_Toc38441301"/>
      <w:bookmarkStart w:id="1152" w:name="_Toc38441633"/>
      <w:bookmarkStart w:id="1153" w:name="_Toc38441961"/>
      <w:bookmarkStart w:id="1154" w:name="_Toc38442293"/>
      <w:bookmarkStart w:id="1155" w:name="_Toc38442625"/>
      <w:bookmarkStart w:id="1156" w:name="_Toc38442956"/>
      <w:bookmarkStart w:id="1157" w:name="_Toc38443287"/>
      <w:bookmarkStart w:id="1158" w:name="_Toc38443618"/>
      <w:bookmarkStart w:id="1159" w:name="_Toc38443948"/>
      <w:bookmarkStart w:id="1160" w:name="_Toc38438416"/>
      <w:bookmarkStart w:id="1161" w:name="_Toc38438753"/>
      <w:bookmarkStart w:id="1162" w:name="_Toc38439090"/>
      <w:bookmarkStart w:id="1163" w:name="_Toc38439427"/>
      <w:bookmarkStart w:id="1164" w:name="_Toc38439764"/>
      <w:bookmarkStart w:id="1165" w:name="_Toc38440101"/>
      <w:bookmarkStart w:id="1166" w:name="_Toc38440438"/>
      <w:bookmarkStart w:id="1167" w:name="_Toc38440970"/>
      <w:bookmarkStart w:id="1168" w:name="_Toc38441302"/>
      <w:bookmarkStart w:id="1169" w:name="_Toc38441634"/>
      <w:bookmarkStart w:id="1170" w:name="_Toc38441962"/>
      <w:bookmarkStart w:id="1171" w:name="_Toc38442294"/>
      <w:bookmarkStart w:id="1172" w:name="_Toc38442626"/>
      <w:bookmarkStart w:id="1173" w:name="_Toc38442957"/>
      <w:bookmarkStart w:id="1174" w:name="_Toc38443288"/>
      <w:bookmarkStart w:id="1175" w:name="_Toc38443619"/>
      <w:bookmarkStart w:id="1176" w:name="_Toc38443949"/>
      <w:bookmarkStart w:id="1177" w:name="_Toc38438417"/>
      <w:bookmarkStart w:id="1178" w:name="_Toc38438754"/>
      <w:bookmarkStart w:id="1179" w:name="_Toc38439091"/>
      <w:bookmarkStart w:id="1180" w:name="_Toc38439428"/>
      <w:bookmarkStart w:id="1181" w:name="_Toc38439765"/>
      <w:bookmarkStart w:id="1182" w:name="_Toc38440102"/>
      <w:bookmarkStart w:id="1183" w:name="_Toc38440439"/>
      <w:bookmarkStart w:id="1184" w:name="_Toc38440971"/>
      <w:bookmarkStart w:id="1185" w:name="_Toc38441303"/>
      <w:bookmarkStart w:id="1186" w:name="_Toc38441635"/>
      <w:bookmarkStart w:id="1187" w:name="_Toc38441963"/>
      <w:bookmarkStart w:id="1188" w:name="_Toc38442295"/>
      <w:bookmarkStart w:id="1189" w:name="_Toc38442627"/>
      <w:bookmarkStart w:id="1190" w:name="_Toc38442958"/>
      <w:bookmarkStart w:id="1191" w:name="_Toc38443289"/>
      <w:bookmarkStart w:id="1192" w:name="_Toc38443620"/>
      <w:bookmarkStart w:id="1193" w:name="_Toc38443950"/>
      <w:bookmarkStart w:id="1194" w:name="_Toc38438418"/>
      <w:bookmarkStart w:id="1195" w:name="_Toc38438755"/>
      <w:bookmarkStart w:id="1196" w:name="_Toc38439092"/>
      <w:bookmarkStart w:id="1197" w:name="_Toc38439429"/>
      <w:bookmarkStart w:id="1198" w:name="_Toc38439766"/>
      <w:bookmarkStart w:id="1199" w:name="_Toc38440103"/>
      <w:bookmarkStart w:id="1200" w:name="_Toc38440440"/>
      <w:bookmarkStart w:id="1201" w:name="_Toc38440972"/>
      <w:bookmarkStart w:id="1202" w:name="_Toc38441304"/>
      <w:bookmarkStart w:id="1203" w:name="_Toc38441636"/>
      <w:bookmarkStart w:id="1204" w:name="_Toc38441964"/>
      <w:bookmarkStart w:id="1205" w:name="_Toc38442296"/>
      <w:bookmarkStart w:id="1206" w:name="_Toc38442628"/>
      <w:bookmarkStart w:id="1207" w:name="_Toc38442959"/>
      <w:bookmarkStart w:id="1208" w:name="_Toc38443290"/>
      <w:bookmarkStart w:id="1209" w:name="_Toc38443621"/>
      <w:bookmarkStart w:id="1210" w:name="_Toc38443951"/>
      <w:bookmarkStart w:id="1211" w:name="_Toc38438419"/>
      <w:bookmarkStart w:id="1212" w:name="_Toc38438756"/>
      <w:bookmarkStart w:id="1213" w:name="_Toc38439093"/>
      <w:bookmarkStart w:id="1214" w:name="_Toc38439430"/>
      <w:bookmarkStart w:id="1215" w:name="_Toc38439767"/>
      <w:bookmarkStart w:id="1216" w:name="_Toc38440104"/>
      <w:bookmarkStart w:id="1217" w:name="_Toc38440441"/>
      <w:bookmarkStart w:id="1218" w:name="_Toc38440973"/>
      <w:bookmarkStart w:id="1219" w:name="_Toc38441305"/>
      <w:bookmarkStart w:id="1220" w:name="_Toc38441637"/>
      <w:bookmarkStart w:id="1221" w:name="_Toc38441965"/>
      <w:bookmarkStart w:id="1222" w:name="_Toc38442297"/>
      <w:bookmarkStart w:id="1223" w:name="_Toc38442629"/>
      <w:bookmarkStart w:id="1224" w:name="_Toc38442960"/>
      <w:bookmarkStart w:id="1225" w:name="_Toc38443291"/>
      <w:bookmarkStart w:id="1226" w:name="_Toc38443622"/>
      <w:bookmarkStart w:id="1227" w:name="_Toc38443952"/>
      <w:bookmarkStart w:id="1228" w:name="_Toc38438420"/>
      <w:bookmarkStart w:id="1229" w:name="_Toc38438757"/>
      <w:bookmarkStart w:id="1230" w:name="_Toc38439094"/>
      <w:bookmarkStart w:id="1231" w:name="_Toc38439431"/>
      <w:bookmarkStart w:id="1232" w:name="_Toc38439768"/>
      <w:bookmarkStart w:id="1233" w:name="_Toc38440105"/>
      <w:bookmarkStart w:id="1234" w:name="_Toc38440442"/>
      <w:bookmarkStart w:id="1235" w:name="_Toc38440974"/>
      <w:bookmarkStart w:id="1236" w:name="_Toc38441306"/>
      <w:bookmarkStart w:id="1237" w:name="_Toc38441638"/>
      <w:bookmarkStart w:id="1238" w:name="_Toc38441966"/>
      <w:bookmarkStart w:id="1239" w:name="_Toc38442298"/>
      <w:bookmarkStart w:id="1240" w:name="_Toc38442630"/>
      <w:bookmarkStart w:id="1241" w:name="_Toc38442961"/>
      <w:bookmarkStart w:id="1242" w:name="_Toc38443292"/>
      <w:bookmarkStart w:id="1243" w:name="_Toc38443623"/>
      <w:bookmarkStart w:id="1244" w:name="_Toc38443953"/>
      <w:bookmarkStart w:id="1245" w:name="_Toc38438421"/>
      <w:bookmarkStart w:id="1246" w:name="_Toc38438758"/>
      <w:bookmarkStart w:id="1247" w:name="_Toc38439095"/>
      <w:bookmarkStart w:id="1248" w:name="_Toc38439432"/>
      <w:bookmarkStart w:id="1249" w:name="_Toc38439769"/>
      <w:bookmarkStart w:id="1250" w:name="_Toc38440106"/>
      <w:bookmarkStart w:id="1251" w:name="_Toc38440443"/>
      <w:bookmarkStart w:id="1252" w:name="_Toc38440975"/>
      <w:bookmarkStart w:id="1253" w:name="_Toc38441307"/>
      <w:bookmarkStart w:id="1254" w:name="_Toc38441639"/>
      <w:bookmarkStart w:id="1255" w:name="_Toc38441967"/>
      <w:bookmarkStart w:id="1256" w:name="_Toc38442299"/>
      <w:bookmarkStart w:id="1257" w:name="_Toc38442631"/>
      <w:bookmarkStart w:id="1258" w:name="_Toc38442962"/>
      <w:bookmarkStart w:id="1259" w:name="_Toc38443293"/>
      <w:bookmarkStart w:id="1260" w:name="_Toc38443624"/>
      <w:bookmarkStart w:id="1261" w:name="_Toc38443954"/>
      <w:bookmarkStart w:id="1262" w:name="_Toc38438422"/>
      <w:bookmarkStart w:id="1263" w:name="_Toc38438759"/>
      <w:bookmarkStart w:id="1264" w:name="_Toc38439096"/>
      <w:bookmarkStart w:id="1265" w:name="_Toc38439433"/>
      <w:bookmarkStart w:id="1266" w:name="_Toc38439770"/>
      <w:bookmarkStart w:id="1267" w:name="_Toc38440107"/>
      <w:bookmarkStart w:id="1268" w:name="_Toc38440444"/>
      <w:bookmarkStart w:id="1269" w:name="_Toc38440976"/>
      <w:bookmarkStart w:id="1270" w:name="_Toc38441308"/>
      <w:bookmarkStart w:id="1271" w:name="_Toc38441640"/>
      <w:bookmarkStart w:id="1272" w:name="_Toc38441968"/>
      <w:bookmarkStart w:id="1273" w:name="_Toc38442300"/>
      <w:bookmarkStart w:id="1274" w:name="_Toc38442632"/>
      <w:bookmarkStart w:id="1275" w:name="_Toc38442963"/>
      <w:bookmarkStart w:id="1276" w:name="_Toc38443294"/>
      <w:bookmarkStart w:id="1277" w:name="_Toc38443625"/>
      <w:bookmarkStart w:id="1278" w:name="_Toc38443955"/>
      <w:bookmarkStart w:id="1279" w:name="_Toc38438423"/>
      <w:bookmarkStart w:id="1280" w:name="_Toc38438760"/>
      <w:bookmarkStart w:id="1281" w:name="_Toc38439097"/>
      <w:bookmarkStart w:id="1282" w:name="_Toc38439434"/>
      <w:bookmarkStart w:id="1283" w:name="_Toc38439771"/>
      <w:bookmarkStart w:id="1284" w:name="_Toc38440108"/>
      <w:bookmarkStart w:id="1285" w:name="_Toc38440445"/>
      <w:bookmarkStart w:id="1286" w:name="_Toc38440977"/>
      <w:bookmarkStart w:id="1287" w:name="_Toc38441309"/>
      <w:bookmarkStart w:id="1288" w:name="_Toc38441641"/>
      <w:bookmarkStart w:id="1289" w:name="_Toc38441969"/>
      <w:bookmarkStart w:id="1290" w:name="_Toc38442301"/>
      <w:bookmarkStart w:id="1291" w:name="_Toc38442633"/>
      <w:bookmarkStart w:id="1292" w:name="_Toc38442964"/>
      <w:bookmarkStart w:id="1293" w:name="_Toc38443295"/>
      <w:bookmarkStart w:id="1294" w:name="_Toc38443626"/>
      <w:bookmarkStart w:id="1295" w:name="_Toc38443956"/>
      <w:bookmarkStart w:id="1296" w:name="_Toc38438424"/>
      <w:bookmarkStart w:id="1297" w:name="_Toc38438761"/>
      <w:bookmarkStart w:id="1298" w:name="_Toc38439098"/>
      <w:bookmarkStart w:id="1299" w:name="_Toc38439435"/>
      <w:bookmarkStart w:id="1300" w:name="_Toc38439772"/>
      <w:bookmarkStart w:id="1301" w:name="_Toc38440109"/>
      <w:bookmarkStart w:id="1302" w:name="_Toc38440446"/>
      <w:bookmarkStart w:id="1303" w:name="_Toc38440978"/>
      <w:bookmarkStart w:id="1304" w:name="_Toc38441310"/>
      <w:bookmarkStart w:id="1305" w:name="_Toc38441642"/>
      <w:bookmarkStart w:id="1306" w:name="_Toc38441970"/>
      <w:bookmarkStart w:id="1307" w:name="_Toc38442302"/>
      <w:bookmarkStart w:id="1308" w:name="_Toc38442634"/>
      <w:bookmarkStart w:id="1309" w:name="_Toc38442965"/>
      <w:bookmarkStart w:id="1310" w:name="_Toc38443296"/>
      <w:bookmarkStart w:id="1311" w:name="_Toc38443627"/>
      <w:bookmarkStart w:id="1312" w:name="_Toc38443957"/>
      <w:bookmarkStart w:id="1313" w:name="_Toc38438425"/>
      <w:bookmarkStart w:id="1314" w:name="_Toc38438762"/>
      <w:bookmarkStart w:id="1315" w:name="_Toc38439099"/>
      <w:bookmarkStart w:id="1316" w:name="_Toc38439436"/>
      <w:bookmarkStart w:id="1317" w:name="_Toc38439773"/>
      <w:bookmarkStart w:id="1318" w:name="_Toc38440110"/>
      <w:bookmarkStart w:id="1319" w:name="_Toc38440447"/>
      <w:bookmarkStart w:id="1320" w:name="_Toc38440979"/>
      <w:bookmarkStart w:id="1321" w:name="_Toc38441311"/>
      <w:bookmarkStart w:id="1322" w:name="_Toc38441643"/>
      <w:bookmarkStart w:id="1323" w:name="_Toc38441971"/>
      <w:bookmarkStart w:id="1324" w:name="_Toc38442303"/>
      <w:bookmarkStart w:id="1325" w:name="_Toc38442635"/>
      <w:bookmarkStart w:id="1326" w:name="_Toc38442966"/>
      <w:bookmarkStart w:id="1327" w:name="_Toc38443297"/>
      <w:bookmarkStart w:id="1328" w:name="_Toc38443628"/>
      <w:bookmarkStart w:id="1329" w:name="_Toc38443958"/>
      <w:bookmarkStart w:id="1330" w:name="_Toc38438426"/>
      <w:bookmarkStart w:id="1331" w:name="_Toc38438763"/>
      <w:bookmarkStart w:id="1332" w:name="_Toc38439100"/>
      <w:bookmarkStart w:id="1333" w:name="_Toc38439437"/>
      <w:bookmarkStart w:id="1334" w:name="_Toc38439774"/>
      <w:bookmarkStart w:id="1335" w:name="_Toc38440111"/>
      <w:bookmarkStart w:id="1336" w:name="_Toc38440448"/>
      <w:bookmarkStart w:id="1337" w:name="_Toc38440980"/>
      <w:bookmarkStart w:id="1338" w:name="_Toc38441312"/>
      <w:bookmarkStart w:id="1339" w:name="_Toc38441644"/>
      <w:bookmarkStart w:id="1340" w:name="_Toc38441972"/>
      <w:bookmarkStart w:id="1341" w:name="_Toc38442304"/>
      <w:bookmarkStart w:id="1342" w:name="_Toc38442636"/>
      <w:bookmarkStart w:id="1343" w:name="_Toc38442967"/>
      <w:bookmarkStart w:id="1344" w:name="_Toc38443298"/>
      <w:bookmarkStart w:id="1345" w:name="_Toc38443629"/>
      <w:bookmarkStart w:id="1346" w:name="_Toc38443959"/>
      <w:bookmarkStart w:id="1347" w:name="_Toc38438427"/>
      <w:bookmarkStart w:id="1348" w:name="_Toc38438764"/>
      <w:bookmarkStart w:id="1349" w:name="_Toc38439101"/>
      <w:bookmarkStart w:id="1350" w:name="_Toc38439438"/>
      <w:bookmarkStart w:id="1351" w:name="_Toc38439775"/>
      <w:bookmarkStart w:id="1352" w:name="_Toc38440112"/>
      <w:bookmarkStart w:id="1353" w:name="_Toc38440449"/>
      <w:bookmarkStart w:id="1354" w:name="_Toc38440981"/>
      <w:bookmarkStart w:id="1355" w:name="_Toc38441313"/>
      <w:bookmarkStart w:id="1356" w:name="_Toc38441645"/>
      <w:bookmarkStart w:id="1357" w:name="_Toc38441973"/>
      <w:bookmarkStart w:id="1358" w:name="_Toc38442305"/>
      <w:bookmarkStart w:id="1359" w:name="_Toc38442637"/>
      <w:bookmarkStart w:id="1360" w:name="_Toc38442968"/>
      <w:bookmarkStart w:id="1361" w:name="_Toc38443299"/>
      <w:bookmarkStart w:id="1362" w:name="_Toc38443630"/>
      <w:bookmarkStart w:id="1363" w:name="_Toc38443960"/>
      <w:bookmarkStart w:id="1364" w:name="_Toc38438428"/>
      <w:bookmarkStart w:id="1365" w:name="_Toc38438765"/>
      <w:bookmarkStart w:id="1366" w:name="_Toc38439102"/>
      <w:bookmarkStart w:id="1367" w:name="_Toc38439439"/>
      <w:bookmarkStart w:id="1368" w:name="_Toc38439776"/>
      <w:bookmarkStart w:id="1369" w:name="_Toc38440113"/>
      <w:bookmarkStart w:id="1370" w:name="_Toc38440450"/>
      <w:bookmarkStart w:id="1371" w:name="_Toc38440982"/>
      <w:bookmarkStart w:id="1372" w:name="_Toc38441314"/>
      <w:bookmarkStart w:id="1373" w:name="_Toc38441646"/>
      <w:bookmarkStart w:id="1374" w:name="_Toc38441974"/>
      <w:bookmarkStart w:id="1375" w:name="_Toc38442306"/>
      <w:bookmarkStart w:id="1376" w:name="_Toc38442638"/>
      <w:bookmarkStart w:id="1377" w:name="_Toc38442969"/>
      <w:bookmarkStart w:id="1378" w:name="_Toc38443300"/>
      <w:bookmarkStart w:id="1379" w:name="_Toc38443631"/>
      <w:bookmarkStart w:id="1380" w:name="_Toc38443961"/>
      <w:bookmarkStart w:id="1381" w:name="_Toc38438429"/>
      <w:bookmarkStart w:id="1382" w:name="_Toc38438766"/>
      <w:bookmarkStart w:id="1383" w:name="_Toc38439103"/>
      <w:bookmarkStart w:id="1384" w:name="_Toc38439440"/>
      <w:bookmarkStart w:id="1385" w:name="_Toc38439777"/>
      <w:bookmarkStart w:id="1386" w:name="_Toc38440114"/>
      <w:bookmarkStart w:id="1387" w:name="_Toc38440451"/>
      <w:bookmarkStart w:id="1388" w:name="_Toc38440983"/>
      <w:bookmarkStart w:id="1389" w:name="_Toc38441315"/>
      <w:bookmarkStart w:id="1390" w:name="_Toc38441647"/>
      <w:bookmarkStart w:id="1391" w:name="_Toc38441975"/>
      <w:bookmarkStart w:id="1392" w:name="_Toc38442307"/>
      <w:bookmarkStart w:id="1393" w:name="_Toc38442639"/>
      <w:bookmarkStart w:id="1394" w:name="_Toc38442970"/>
      <w:bookmarkStart w:id="1395" w:name="_Toc38443301"/>
      <w:bookmarkStart w:id="1396" w:name="_Toc38443632"/>
      <w:bookmarkStart w:id="1397" w:name="_Toc38443962"/>
      <w:bookmarkStart w:id="1398" w:name="_Toc38438430"/>
      <w:bookmarkStart w:id="1399" w:name="_Toc38438767"/>
      <w:bookmarkStart w:id="1400" w:name="_Toc38439104"/>
      <w:bookmarkStart w:id="1401" w:name="_Toc38439441"/>
      <w:bookmarkStart w:id="1402" w:name="_Toc38439778"/>
      <w:bookmarkStart w:id="1403" w:name="_Toc38440115"/>
      <w:bookmarkStart w:id="1404" w:name="_Toc38440452"/>
      <w:bookmarkStart w:id="1405" w:name="_Toc38440984"/>
      <w:bookmarkStart w:id="1406" w:name="_Toc38441316"/>
      <w:bookmarkStart w:id="1407" w:name="_Toc38441648"/>
      <w:bookmarkStart w:id="1408" w:name="_Toc38441976"/>
      <w:bookmarkStart w:id="1409" w:name="_Toc38442308"/>
      <w:bookmarkStart w:id="1410" w:name="_Toc38442640"/>
      <w:bookmarkStart w:id="1411" w:name="_Toc38442971"/>
      <w:bookmarkStart w:id="1412" w:name="_Toc38443302"/>
      <w:bookmarkStart w:id="1413" w:name="_Toc38443633"/>
      <w:bookmarkStart w:id="1414" w:name="_Toc38443963"/>
      <w:bookmarkStart w:id="1415" w:name="_Toc38438431"/>
      <w:bookmarkStart w:id="1416" w:name="_Toc38438768"/>
      <w:bookmarkStart w:id="1417" w:name="_Toc38439105"/>
      <w:bookmarkStart w:id="1418" w:name="_Toc38439442"/>
      <w:bookmarkStart w:id="1419" w:name="_Toc38439779"/>
      <w:bookmarkStart w:id="1420" w:name="_Toc38440116"/>
      <w:bookmarkStart w:id="1421" w:name="_Toc38440453"/>
      <w:bookmarkStart w:id="1422" w:name="_Toc38440985"/>
      <w:bookmarkStart w:id="1423" w:name="_Toc38441317"/>
      <w:bookmarkStart w:id="1424" w:name="_Toc38441649"/>
      <w:bookmarkStart w:id="1425" w:name="_Toc38441977"/>
      <w:bookmarkStart w:id="1426" w:name="_Toc38442309"/>
      <w:bookmarkStart w:id="1427" w:name="_Toc38442641"/>
      <w:bookmarkStart w:id="1428" w:name="_Toc38442972"/>
      <w:bookmarkStart w:id="1429" w:name="_Toc38443303"/>
      <w:bookmarkStart w:id="1430" w:name="_Toc38443634"/>
      <w:bookmarkStart w:id="1431" w:name="_Toc38443964"/>
      <w:bookmarkStart w:id="1432" w:name="_Toc38438432"/>
      <w:bookmarkStart w:id="1433" w:name="_Toc38438769"/>
      <w:bookmarkStart w:id="1434" w:name="_Toc38439106"/>
      <w:bookmarkStart w:id="1435" w:name="_Toc38439443"/>
      <w:bookmarkStart w:id="1436" w:name="_Toc38439780"/>
      <w:bookmarkStart w:id="1437" w:name="_Toc38440117"/>
      <w:bookmarkStart w:id="1438" w:name="_Toc38440454"/>
      <w:bookmarkStart w:id="1439" w:name="_Toc38440986"/>
      <w:bookmarkStart w:id="1440" w:name="_Toc38441318"/>
      <w:bookmarkStart w:id="1441" w:name="_Toc38441650"/>
      <w:bookmarkStart w:id="1442" w:name="_Toc38441978"/>
      <w:bookmarkStart w:id="1443" w:name="_Toc38442310"/>
      <w:bookmarkStart w:id="1444" w:name="_Toc38442642"/>
      <w:bookmarkStart w:id="1445" w:name="_Toc38442973"/>
      <w:bookmarkStart w:id="1446" w:name="_Toc38443304"/>
      <w:bookmarkStart w:id="1447" w:name="_Toc38443635"/>
      <w:bookmarkStart w:id="1448" w:name="_Toc38443965"/>
      <w:bookmarkStart w:id="1449" w:name="_Toc38438433"/>
      <w:bookmarkStart w:id="1450" w:name="_Toc38438770"/>
      <w:bookmarkStart w:id="1451" w:name="_Toc38439107"/>
      <w:bookmarkStart w:id="1452" w:name="_Toc38439444"/>
      <w:bookmarkStart w:id="1453" w:name="_Toc38439781"/>
      <w:bookmarkStart w:id="1454" w:name="_Toc38440118"/>
      <w:bookmarkStart w:id="1455" w:name="_Toc38440455"/>
      <w:bookmarkStart w:id="1456" w:name="_Toc38440987"/>
      <w:bookmarkStart w:id="1457" w:name="_Toc38441319"/>
      <w:bookmarkStart w:id="1458" w:name="_Toc38441651"/>
      <w:bookmarkStart w:id="1459" w:name="_Toc38441979"/>
      <w:bookmarkStart w:id="1460" w:name="_Toc38442311"/>
      <w:bookmarkStart w:id="1461" w:name="_Toc38442643"/>
      <w:bookmarkStart w:id="1462" w:name="_Toc38442974"/>
      <w:bookmarkStart w:id="1463" w:name="_Toc38443305"/>
      <w:bookmarkStart w:id="1464" w:name="_Toc38443636"/>
      <w:bookmarkStart w:id="1465" w:name="_Toc38443966"/>
      <w:bookmarkStart w:id="1466" w:name="_Toc38438434"/>
      <w:bookmarkStart w:id="1467" w:name="_Toc38438771"/>
      <w:bookmarkStart w:id="1468" w:name="_Toc38439108"/>
      <w:bookmarkStart w:id="1469" w:name="_Toc38439445"/>
      <w:bookmarkStart w:id="1470" w:name="_Toc38439782"/>
      <w:bookmarkStart w:id="1471" w:name="_Toc38440119"/>
      <w:bookmarkStart w:id="1472" w:name="_Toc38440456"/>
      <w:bookmarkStart w:id="1473" w:name="_Toc38440988"/>
      <w:bookmarkStart w:id="1474" w:name="_Toc38441320"/>
      <w:bookmarkStart w:id="1475" w:name="_Toc38441652"/>
      <w:bookmarkStart w:id="1476" w:name="_Toc38441980"/>
      <w:bookmarkStart w:id="1477" w:name="_Toc38442312"/>
      <w:bookmarkStart w:id="1478" w:name="_Toc38442644"/>
      <w:bookmarkStart w:id="1479" w:name="_Toc38442975"/>
      <w:bookmarkStart w:id="1480" w:name="_Toc38443306"/>
      <w:bookmarkStart w:id="1481" w:name="_Toc38443637"/>
      <w:bookmarkStart w:id="1482" w:name="_Toc38443967"/>
      <w:bookmarkStart w:id="1483" w:name="_Toc38438435"/>
      <w:bookmarkStart w:id="1484" w:name="_Toc38438772"/>
      <w:bookmarkStart w:id="1485" w:name="_Toc38439109"/>
      <w:bookmarkStart w:id="1486" w:name="_Toc38439446"/>
      <w:bookmarkStart w:id="1487" w:name="_Toc38439783"/>
      <w:bookmarkStart w:id="1488" w:name="_Toc38440120"/>
      <w:bookmarkStart w:id="1489" w:name="_Toc38440457"/>
      <w:bookmarkStart w:id="1490" w:name="_Toc38440989"/>
      <w:bookmarkStart w:id="1491" w:name="_Toc38441321"/>
      <w:bookmarkStart w:id="1492" w:name="_Toc38441653"/>
      <w:bookmarkStart w:id="1493" w:name="_Toc38441981"/>
      <w:bookmarkStart w:id="1494" w:name="_Toc38442313"/>
      <w:bookmarkStart w:id="1495" w:name="_Toc38442645"/>
      <w:bookmarkStart w:id="1496" w:name="_Toc38442976"/>
      <w:bookmarkStart w:id="1497" w:name="_Toc38443307"/>
      <w:bookmarkStart w:id="1498" w:name="_Toc38443638"/>
      <w:bookmarkStart w:id="1499" w:name="_Toc38443968"/>
      <w:bookmarkStart w:id="1500" w:name="_Toc38438436"/>
      <w:bookmarkStart w:id="1501" w:name="_Toc38438773"/>
      <w:bookmarkStart w:id="1502" w:name="_Toc38439110"/>
      <w:bookmarkStart w:id="1503" w:name="_Toc38439447"/>
      <w:bookmarkStart w:id="1504" w:name="_Toc38439784"/>
      <w:bookmarkStart w:id="1505" w:name="_Toc38440121"/>
      <w:bookmarkStart w:id="1506" w:name="_Toc38440458"/>
      <w:bookmarkStart w:id="1507" w:name="_Toc38440990"/>
      <w:bookmarkStart w:id="1508" w:name="_Toc38441322"/>
      <w:bookmarkStart w:id="1509" w:name="_Toc38441654"/>
      <w:bookmarkStart w:id="1510" w:name="_Toc38441982"/>
      <w:bookmarkStart w:id="1511" w:name="_Toc38442314"/>
      <w:bookmarkStart w:id="1512" w:name="_Toc38442646"/>
      <w:bookmarkStart w:id="1513" w:name="_Toc38442977"/>
      <w:bookmarkStart w:id="1514" w:name="_Toc38443308"/>
      <w:bookmarkStart w:id="1515" w:name="_Toc38443639"/>
      <w:bookmarkStart w:id="1516" w:name="_Toc38443969"/>
      <w:bookmarkStart w:id="1517" w:name="_Toc38438437"/>
      <w:bookmarkStart w:id="1518" w:name="_Toc38438774"/>
      <w:bookmarkStart w:id="1519" w:name="_Toc38439111"/>
      <w:bookmarkStart w:id="1520" w:name="_Toc38439448"/>
      <w:bookmarkStart w:id="1521" w:name="_Toc38439785"/>
      <w:bookmarkStart w:id="1522" w:name="_Toc38440122"/>
      <w:bookmarkStart w:id="1523" w:name="_Toc38440459"/>
      <w:bookmarkStart w:id="1524" w:name="_Toc38440991"/>
      <w:bookmarkStart w:id="1525" w:name="_Toc38441323"/>
      <w:bookmarkStart w:id="1526" w:name="_Toc38441655"/>
      <w:bookmarkStart w:id="1527" w:name="_Toc38441983"/>
      <w:bookmarkStart w:id="1528" w:name="_Toc38442315"/>
      <w:bookmarkStart w:id="1529" w:name="_Toc38442647"/>
      <w:bookmarkStart w:id="1530" w:name="_Toc38442978"/>
      <w:bookmarkStart w:id="1531" w:name="_Toc38443309"/>
      <w:bookmarkStart w:id="1532" w:name="_Toc38443640"/>
      <w:bookmarkStart w:id="1533" w:name="_Toc38443970"/>
      <w:bookmarkStart w:id="1534" w:name="_Toc38438438"/>
      <w:bookmarkStart w:id="1535" w:name="_Toc38438775"/>
      <w:bookmarkStart w:id="1536" w:name="_Toc38439112"/>
      <w:bookmarkStart w:id="1537" w:name="_Toc38439449"/>
      <w:bookmarkStart w:id="1538" w:name="_Toc38439786"/>
      <w:bookmarkStart w:id="1539" w:name="_Toc38440123"/>
      <w:bookmarkStart w:id="1540" w:name="_Toc38440460"/>
      <w:bookmarkStart w:id="1541" w:name="_Toc38440992"/>
      <w:bookmarkStart w:id="1542" w:name="_Toc38441324"/>
      <w:bookmarkStart w:id="1543" w:name="_Toc38441656"/>
      <w:bookmarkStart w:id="1544" w:name="_Toc38441984"/>
      <w:bookmarkStart w:id="1545" w:name="_Toc38442316"/>
      <w:bookmarkStart w:id="1546" w:name="_Toc38442648"/>
      <w:bookmarkStart w:id="1547" w:name="_Toc38442979"/>
      <w:bookmarkStart w:id="1548" w:name="_Toc38443310"/>
      <w:bookmarkStart w:id="1549" w:name="_Toc38443641"/>
      <w:bookmarkStart w:id="1550" w:name="_Toc38443971"/>
      <w:bookmarkStart w:id="1551" w:name="_Toc38438439"/>
      <w:bookmarkStart w:id="1552" w:name="_Toc38438776"/>
      <w:bookmarkStart w:id="1553" w:name="_Toc38439113"/>
      <w:bookmarkStart w:id="1554" w:name="_Toc38439450"/>
      <w:bookmarkStart w:id="1555" w:name="_Toc38439787"/>
      <w:bookmarkStart w:id="1556" w:name="_Toc38440124"/>
      <w:bookmarkStart w:id="1557" w:name="_Toc38440461"/>
      <w:bookmarkStart w:id="1558" w:name="_Toc38440993"/>
      <w:bookmarkStart w:id="1559" w:name="_Toc38441325"/>
      <w:bookmarkStart w:id="1560" w:name="_Toc38441657"/>
      <w:bookmarkStart w:id="1561" w:name="_Toc38441985"/>
      <w:bookmarkStart w:id="1562" w:name="_Toc38442317"/>
      <w:bookmarkStart w:id="1563" w:name="_Toc38442649"/>
      <w:bookmarkStart w:id="1564" w:name="_Toc38442980"/>
      <w:bookmarkStart w:id="1565" w:name="_Toc38443311"/>
      <w:bookmarkStart w:id="1566" w:name="_Toc38443642"/>
      <w:bookmarkStart w:id="1567" w:name="_Toc38443972"/>
      <w:bookmarkStart w:id="1568" w:name="_Toc38438440"/>
      <w:bookmarkStart w:id="1569" w:name="_Toc38438777"/>
      <w:bookmarkStart w:id="1570" w:name="_Toc38439114"/>
      <w:bookmarkStart w:id="1571" w:name="_Toc38439451"/>
      <w:bookmarkStart w:id="1572" w:name="_Toc38439788"/>
      <w:bookmarkStart w:id="1573" w:name="_Toc38440125"/>
      <w:bookmarkStart w:id="1574" w:name="_Toc38440462"/>
      <w:bookmarkStart w:id="1575" w:name="_Toc38440994"/>
      <w:bookmarkStart w:id="1576" w:name="_Toc38441326"/>
      <w:bookmarkStart w:id="1577" w:name="_Toc38441658"/>
      <w:bookmarkStart w:id="1578" w:name="_Toc38441986"/>
      <w:bookmarkStart w:id="1579" w:name="_Toc38442318"/>
      <w:bookmarkStart w:id="1580" w:name="_Toc38442650"/>
      <w:bookmarkStart w:id="1581" w:name="_Toc38442981"/>
      <w:bookmarkStart w:id="1582" w:name="_Toc38443312"/>
      <w:bookmarkStart w:id="1583" w:name="_Toc38443643"/>
      <w:bookmarkStart w:id="1584" w:name="_Toc38443973"/>
      <w:bookmarkStart w:id="1585" w:name="_Toc38438441"/>
      <w:bookmarkStart w:id="1586" w:name="_Toc38438778"/>
      <w:bookmarkStart w:id="1587" w:name="_Toc38439115"/>
      <w:bookmarkStart w:id="1588" w:name="_Toc38439452"/>
      <w:bookmarkStart w:id="1589" w:name="_Toc38439789"/>
      <w:bookmarkStart w:id="1590" w:name="_Toc38440126"/>
      <w:bookmarkStart w:id="1591" w:name="_Toc38440463"/>
      <w:bookmarkStart w:id="1592" w:name="_Toc38440995"/>
      <w:bookmarkStart w:id="1593" w:name="_Toc38441327"/>
      <w:bookmarkStart w:id="1594" w:name="_Toc38441659"/>
      <w:bookmarkStart w:id="1595" w:name="_Toc38441987"/>
      <w:bookmarkStart w:id="1596" w:name="_Toc38442319"/>
      <w:bookmarkStart w:id="1597" w:name="_Toc38442651"/>
      <w:bookmarkStart w:id="1598" w:name="_Toc38442982"/>
      <w:bookmarkStart w:id="1599" w:name="_Toc38443313"/>
      <w:bookmarkStart w:id="1600" w:name="_Toc38443644"/>
      <w:bookmarkStart w:id="1601" w:name="_Toc38443974"/>
      <w:bookmarkStart w:id="1602" w:name="_Toc38438442"/>
      <w:bookmarkStart w:id="1603" w:name="_Toc38438779"/>
      <w:bookmarkStart w:id="1604" w:name="_Toc38439116"/>
      <w:bookmarkStart w:id="1605" w:name="_Toc38439453"/>
      <w:bookmarkStart w:id="1606" w:name="_Toc38439790"/>
      <w:bookmarkStart w:id="1607" w:name="_Toc38440127"/>
      <w:bookmarkStart w:id="1608" w:name="_Toc38440464"/>
      <w:bookmarkStart w:id="1609" w:name="_Toc38440996"/>
      <w:bookmarkStart w:id="1610" w:name="_Toc38441328"/>
      <w:bookmarkStart w:id="1611" w:name="_Toc38441660"/>
      <w:bookmarkStart w:id="1612" w:name="_Toc38441988"/>
      <w:bookmarkStart w:id="1613" w:name="_Toc38442320"/>
      <w:bookmarkStart w:id="1614" w:name="_Toc38442652"/>
      <w:bookmarkStart w:id="1615" w:name="_Toc38442983"/>
      <w:bookmarkStart w:id="1616" w:name="_Toc38443314"/>
      <w:bookmarkStart w:id="1617" w:name="_Toc38443645"/>
      <w:bookmarkStart w:id="1618" w:name="_Toc38443975"/>
      <w:bookmarkStart w:id="1619" w:name="_Toc38438443"/>
      <w:bookmarkStart w:id="1620" w:name="_Toc38438780"/>
      <w:bookmarkStart w:id="1621" w:name="_Toc38439117"/>
      <w:bookmarkStart w:id="1622" w:name="_Toc38439454"/>
      <w:bookmarkStart w:id="1623" w:name="_Toc38439791"/>
      <w:bookmarkStart w:id="1624" w:name="_Toc38440128"/>
      <w:bookmarkStart w:id="1625" w:name="_Toc38440465"/>
      <w:bookmarkStart w:id="1626" w:name="_Toc38440997"/>
      <w:bookmarkStart w:id="1627" w:name="_Toc38441329"/>
      <w:bookmarkStart w:id="1628" w:name="_Toc38441661"/>
      <w:bookmarkStart w:id="1629" w:name="_Toc38441989"/>
      <w:bookmarkStart w:id="1630" w:name="_Toc38442321"/>
      <w:bookmarkStart w:id="1631" w:name="_Toc38442653"/>
      <w:bookmarkStart w:id="1632" w:name="_Toc38442984"/>
      <w:bookmarkStart w:id="1633" w:name="_Toc38443315"/>
      <w:bookmarkStart w:id="1634" w:name="_Toc38443646"/>
      <w:bookmarkStart w:id="1635" w:name="_Toc38443976"/>
      <w:bookmarkStart w:id="1636" w:name="_Toc38438444"/>
      <w:bookmarkStart w:id="1637" w:name="_Toc38438781"/>
      <w:bookmarkStart w:id="1638" w:name="_Toc38439118"/>
      <w:bookmarkStart w:id="1639" w:name="_Toc38439455"/>
      <w:bookmarkStart w:id="1640" w:name="_Toc38439792"/>
      <w:bookmarkStart w:id="1641" w:name="_Toc38440129"/>
      <w:bookmarkStart w:id="1642" w:name="_Toc38440466"/>
      <w:bookmarkStart w:id="1643" w:name="_Toc38440998"/>
      <w:bookmarkStart w:id="1644" w:name="_Toc38441330"/>
      <w:bookmarkStart w:id="1645" w:name="_Toc38441662"/>
      <w:bookmarkStart w:id="1646" w:name="_Toc38441990"/>
      <w:bookmarkStart w:id="1647" w:name="_Toc38442322"/>
      <w:bookmarkStart w:id="1648" w:name="_Toc38442654"/>
      <w:bookmarkStart w:id="1649" w:name="_Toc38442985"/>
      <w:bookmarkStart w:id="1650" w:name="_Toc38443316"/>
      <w:bookmarkStart w:id="1651" w:name="_Toc38443647"/>
      <w:bookmarkStart w:id="1652" w:name="_Toc38443977"/>
      <w:bookmarkStart w:id="1653" w:name="_Toc38438445"/>
      <w:bookmarkStart w:id="1654" w:name="_Toc38438782"/>
      <w:bookmarkStart w:id="1655" w:name="_Toc38439119"/>
      <w:bookmarkStart w:id="1656" w:name="_Toc38439456"/>
      <w:bookmarkStart w:id="1657" w:name="_Toc38439793"/>
      <w:bookmarkStart w:id="1658" w:name="_Toc38440130"/>
      <w:bookmarkStart w:id="1659" w:name="_Toc38440467"/>
      <w:bookmarkStart w:id="1660" w:name="_Toc38440999"/>
      <w:bookmarkStart w:id="1661" w:name="_Toc38441331"/>
      <w:bookmarkStart w:id="1662" w:name="_Toc38441663"/>
      <w:bookmarkStart w:id="1663" w:name="_Toc38441991"/>
      <w:bookmarkStart w:id="1664" w:name="_Toc38442323"/>
      <w:bookmarkStart w:id="1665" w:name="_Toc38442655"/>
      <w:bookmarkStart w:id="1666" w:name="_Toc38442986"/>
      <w:bookmarkStart w:id="1667" w:name="_Toc38443317"/>
      <w:bookmarkStart w:id="1668" w:name="_Toc38443648"/>
      <w:bookmarkStart w:id="1669" w:name="_Toc38443978"/>
      <w:bookmarkStart w:id="1670" w:name="_Toc38438446"/>
      <w:bookmarkStart w:id="1671" w:name="_Toc38438783"/>
      <w:bookmarkStart w:id="1672" w:name="_Toc38439120"/>
      <w:bookmarkStart w:id="1673" w:name="_Toc38439457"/>
      <w:bookmarkStart w:id="1674" w:name="_Toc38439794"/>
      <w:bookmarkStart w:id="1675" w:name="_Toc38440131"/>
      <w:bookmarkStart w:id="1676" w:name="_Toc38440468"/>
      <w:bookmarkStart w:id="1677" w:name="_Toc38441000"/>
      <w:bookmarkStart w:id="1678" w:name="_Toc38441332"/>
      <w:bookmarkStart w:id="1679" w:name="_Toc38441664"/>
      <w:bookmarkStart w:id="1680" w:name="_Toc38441992"/>
      <w:bookmarkStart w:id="1681" w:name="_Toc38442324"/>
      <w:bookmarkStart w:id="1682" w:name="_Toc38442656"/>
      <w:bookmarkStart w:id="1683" w:name="_Toc38442987"/>
      <w:bookmarkStart w:id="1684" w:name="_Toc38443318"/>
      <w:bookmarkStart w:id="1685" w:name="_Toc38443649"/>
      <w:bookmarkStart w:id="1686" w:name="_Toc38443979"/>
      <w:bookmarkStart w:id="1687" w:name="_Toc38438447"/>
      <w:bookmarkStart w:id="1688" w:name="_Toc38438784"/>
      <w:bookmarkStart w:id="1689" w:name="_Toc38439121"/>
      <w:bookmarkStart w:id="1690" w:name="_Toc38439458"/>
      <w:bookmarkStart w:id="1691" w:name="_Toc38439795"/>
      <w:bookmarkStart w:id="1692" w:name="_Toc38440132"/>
      <w:bookmarkStart w:id="1693" w:name="_Toc38440469"/>
      <w:bookmarkStart w:id="1694" w:name="_Toc38441001"/>
      <w:bookmarkStart w:id="1695" w:name="_Toc38441333"/>
      <w:bookmarkStart w:id="1696" w:name="_Toc38441665"/>
      <w:bookmarkStart w:id="1697" w:name="_Toc38441993"/>
      <w:bookmarkStart w:id="1698" w:name="_Toc38442325"/>
      <w:bookmarkStart w:id="1699" w:name="_Toc38442657"/>
      <w:bookmarkStart w:id="1700" w:name="_Toc38442988"/>
      <w:bookmarkStart w:id="1701" w:name="_Toc38443319"/>
      <w:bookmarkStart w:id="1702" w:name="_Toc38443650"/>
      <w:bookmarkStart w:id="1703" w:name="_Toc38443980"/>
      <w:bookmarkStart w:id="1704" w:name="_Toc38438448"/>
      <w:bookmarkStart w:id="1705" w:name="_Toc38438785"/>
      <w:bookmarkStart w:id="1706" w:name="_Toc38439122"/>
      <w:bookmarkStart w:id="1707" w:name="_Toc38439459"/>
      <w:bookmarkStart w:id="1708" w:name="_Toc38439796"/>
      <w:bookmarkStart w:id="1709" w:name="_Toc38440133"/>
      <w:bookmarkStart w:id="1710" w:name="_Toc38440470"/>
      <w:bookmarkStart w:id="1711" w:name="_Toc38441002"/>
      <w:bookmarkStart w:id="1712" w:name="_Toc38441334"/>
      <w:bookmarkStart w:id="1713" w:name="_Toc38441666"/>
      <w:bookmarkStart w:id="1714" w:name="_Toc38441994"/>
      <w:bookmarkStart w:id="1715" w:name="_Toc38442326"/>
      <w:bookmarkStart w:id="1716" w:name="_Toc38442658"/>
      <w:bookmarkStart w:id="1717" w:name="_Toc38442989"/>
      <w:bookmarkStart w:id="1718" w:name="_Toc38443320"/>
      <w:bookmarkStart w:id="1719" w:name="_Toc38443651"/>
      <w:bookmarkStart w:id="1720" w:name="_Toc38443981"/>
      <w:bookmarkStart w:id="1721" w:name="_Toc38438449"/>
      <w:bookmarkStart w:id="1722" w:name="_Toc38438786"/>
      <w:bookmarkStart w:id="1723" w:name="_Toc38439123"/>
      <w:bookmarkStart w:id="1724" w:name="_Toc38439460"/>
      <w:bookmarkStart w:id="1725" w:name="_Toc38439797"/>
      <w:bookmarkStart w:id="1726" w:name="_Toc38440134"/>
      <w:bookmarkStart w:id="1727" w:name="_Toc38440471"/>
      <w:bookmarkStart w:id="1728" w:name="_Toc38441003"/>
      <w:bookmarkStart w:id="1729" w:name="_Toc38441335"/>
      <w:bookmarkStart w:id="1730" w:name="_Toc38441667"/>
      <w:bookmarkStart w:id="1731" w:name="_Toc38441995"/>
      <w:bookmarkStart w:id="1732" w:name="_Toc38442327"/>
      <w:bookmarkStart w:id="1733" w:name="_Toc38442659"/>
      <w:bookmarkStart w:id="1734" w:name="_Toc38442990"/>
      <w:bookmarkStart w:id="1735" w:name="_Toc38443321"/>
      <w:bookmarkStart w:id="1736" w:name="_Toc38443652"/>
      <w:bookmarkStart w:id="1737" w:name="_Toc38443982"/>
      <w:bookmarkStart w:id="1738" w:name="_Toc38438450"/>
      <w:bookmarkStart w:id="1739" w:name="_Toc38438787"/>
      <w:bookmarkStart w:id="1740" w:name="_Toc38439124"/>
      <w:bookmarkStart w:id="1741" w:name="_Toc38439461"/>
      <w:bookmarkStart w:id="1742" w:name="_Toc38439798"/>
      <w:bookmarkStart w:id="1743" w:name="_Toc38440135"/>
      <w:bookmarkStart w:id="1744" w:name="_Toc38440472"/>
      <w:bookmarkStart w:id="1745" w:name="_Toc38441004"/>
      <w:bookmarkStart w:id="1746" w:name="_Toc38441336"/>
      <w:bookmarkStart w:id="1747" w:name="_Toc38441668"/>
      <w:bookmarkStart w:id="1748" w:name="_Toc38441996"/>
      <w:bookmarkStart w:id="1749" w:name="_Toc38442328"/>
      <w:bookmarkStart w:id="1750" w:name="_Toc38442660"/>
      <w:bookmarkStart w:id="1751" w:name="_Toc38442991"/>
      <w:bookmarkStart w:id="1752" w:name="_Toc38443322"/>
      <w:bookmarkStart w:id="1753" w:name="_Toc38443653"/>
      <w:bookmarkStart w:id="1754" w:name="_Toc38443983"/>
      <w:bookmarkStart w:id="1755" w:name="_Toc38438451"/>
      <w:bookmarkStart w:id="1756" w:name="_Toc38438788"/>
      <w:bookmarkStart w:id="1757" w:name="_Toc38439125"/>
      <w:bookmarkStart w:id="1758" w:name="_Toc38439462"/>
      <w:bookmarkStart w:id="1759" w:name="_Toc38439799"/>
      <w:bookmarkStart w:id="1760" w:name="_Toc38440136"/>
      <w:bookmarkStart w:id="1761" w:name="_Toc38440473"/>
      <w:bookmarkStart w:id="1762" w:name="_Toc38441005"/>
      <w:bookmarkStart w:id="1763" w:name="_Toc38441337"/>
      <w:bookmarkStart w:id="1764" w:name="_Toc38441669"/>
      <w:bookmarkStart w:id="1765" w:name="_Toc38441997"/>
      <w:bookmarkStart w:id="1766" w:name="_Toc38442329"/>
      <w:bookmarkStart w:id="1767" w:name="_Toc38442661"/>
      <w:bookmarkStart w:id="1768" w:name="_Toc38442992"/>
      <w:bookmarkStart w:id="1769" w:name="_Toc38443323"/>
      <w:bookmarkStart w:id="1770" w:name="_Toc38443654"/>
      <w:bookmarkStart w:id="1771" w:name="_Toc38443984"/>
      <w:bookmarkStart w:id="1772" w:name="_Toc38438452"/>
      <w:bookmarkStart w:id="1773" w:name="_Toc38438789"/>
      <w:bookmarkStart w:id="1774" w:name="_Toc38439126"/>
      <w:bookmarkStart w:id="1775" w:name="_Toc38439463"/>
      <w:bookmarkStart w:id="1776" w:name="_Toc38439800"/>
      <w:bookmarkStart w:id="1777" w:name="_Toc38440137"/>
      <w:bookmarkStart w:id="1778" w:name="_Toc38440474"/>
      <w:bookmarkStart w:id="1779" w:name="_Toc38441006"/>
      <w:bookmarkStart w:id="1780" w:name="_Toc38441338"/>
      <w:bookmarkStart w:id="1781" w:name="_Toc38441670"/>
      <w:bookmarkStart w:id="1782" w:name="_Toc38441998"/>
      <w:bookmarkStart w:id="1783" w:name="_Toc38442330"/>
      <w:bookmarkStart w:id="1784" w:name="_Toc38442662"/>
      <w:bookmarkStart w:id="1785" w:name="_Toc38442993"/>
      <w:bookmarkStart w:id="1786" w:name="_Toc38443324"/>
      <w:bookmarkStart w:id="1787" w:name="_Toc38443655"/>
      <w:bookmarkStart w:id="1788" w:name="_Toc38443985"/>
      <w:bookmarkStart w:id="1789" w:name="_Toc38438453"/>
      <w:bookmarkStart w:id="1790" w:name="_Toc38438790"/>
      <w:bookmarkStart w:id="1791" w:name="_Toc38439127"/>
      <w:bookmarkStart w:id="1792" w:name="_Toc38439464"/>
      <w:bookmarkStart w:id="1793" w:name="_Toc38439801"/>
      <w:bookmarkStart w:id="1794" w:name="_Toc38440138"/>
      <w:bookmarkStart w:id="1795" w:name="_Toc38440475"/>
      <w:bookmarkStart w:id="1796" w:name="_Toc38441007"/>
      <w:bookmarkStart w:id="1797" w:name="_Toc38441339"/>
      <w:bookmarkStart w:id="1798" w:name="_Toc38441671"/>
      <w:bookmarkStart w:id="1799" w:name="_Toc38441999"/>
      <w:bookmarkStart w:id="1800" w:name="_Toc38442331"/>
      <w:bookmarkStart w:id="1801" w:name="_Toc38442663"/>
      <w:bookmarkStart w:id="1802" w:name="_Toc38442994"/>
      <w:bookmarkStart w:id="1803" w:name="_Toc38443325"/>
      <w:bookmarkStart w:id="1804" w:name="_Toc38443656"/>
      <w:bookmarkStart w:id="1805" w:name="_Toc38443986"/>
      <w:bookmarkStart w:id="1806" w:name="_Toc38438454"/>
      <w:bookmarkStart w:id="1807" w:name="_Toc38438791"/>
      <w:bookmarkStart w:id="1808" w:name="_Toc38439128"/>
      <w:bookmarkStart w:id="1809" w:name="_Toc38439465"/>
      <w:bookmarkStart w:id="1810" w:name="_Toc38439802"/>
      <w:bookmarkStart w:id="1811" w:name="_Toc38440139"/>
      <w:bookmarkStart w:id="1812" w:name="_Toc38440476"/>
      <w:bookmarkStart w:id="1813" w:name="_Toc38441008"/>
      <w:bookmarkStart w:id="1814" w:name="_Toc38441340"/>
      <w:bookmarkStart w:id="1815" w:name="_Toc38441672"/>
      <w:bookmarkStart w:id="1816" w:name="_Toc38442000"/>
      <w:bookmarkStart w:id="1817" w:name="_Toc38442332"/>
      <w:bookmarkStart w:id="1818" w:name="_Toc38442664"/>
      <w:bookmarkStart w:id="1819" w:name="_Toc38442995"/>
      <w:bookmarkStart w:id="1820" w:name="_Toc38443326"/>
      <w:bookmarkStart w:id="1821" w:name="_Toc38443657"/>
      <w:bookmarkStart w:id="1822" w:name="_Toc38443987"/>
      <w:bookmarkStart w:id="1823" w:name="_Toc38438455"/>
      <w:bookmarkStart w:id="1824" w:name="_Toc38438792"/>
      <w:bookmarkStart w:id="1825" w:name="_Toc38439129"/>
      <w:bookmarkStart w:id="1826" w:name="_Toc38439466"/>
      <w:bookmarkStart w:id="1827" w:name="_Toc38439803"/>
      <w:bookmarkStart w:id="1828" w:name="_Toc38440140"/>
      <w:bookmarkStart w:id="1829" w:name="_Toc38440477"/>
      <w:bookmarkStart w:id="1830" w:name="_Toc38441009"/>
      <w:bookmarkStart w:id="1831" w:name="_Toc38441341"/>
      <w:bookmarkStart w:id="1832" w:name="_Toc38441673"/>
      <w:bookmarkStart w:id="1833" w:name="_Toc38442001"/>
      <w:bookmarkStart w:id="1834" w:name="_Toc38442333"/>
      <w:bookmarkStart w:id="1835" w:name="_Toc38442665"/>
      <w:bookmarkStart w:id="1836" w:name="_Toc38442996"/>
      <w:bookmarkStart w:id="1837" w:name="_Toc38443327"/>
      <w:bookmarkStart w:id="1838" w:name="_Toc38443658"/>
      <w:bookmarkStart w:id="1839" w:name="_Toc38443988"/>
      <w:bookmarkStart w:id="1840" w:name="_Toc38438456"/>
      <w:bookmarkStart w:id="1841" w:name="_Toc38438793"/>
      <w:bookmarkStart w:id="1842" w:name="_Toc38439130"/>
      <w:bookmarkStart w:id="1843" w:name="_Toc38439467"/>
      <w:bookmarkStart w:id="1844" w:name="_Toc38439804"/>
      <w:bookmarkStart w:id="1845" w:name="_Toc38440141"/>
      <w:bookmarkStart w:id="1846" w:name="_Toc38440478"/>
      <w:bookmarkStart w:id="1847" w:name="_Toc38441010"/>
      <w:bookmarkStart w:id="1848" w:name="_Toc38441342"/>
      <w:bookmarkStart w:id="1849" w:name="_Toc38441674"/>
      <w:bookmarkStart w:id="1850" w:name="_Toc38442002"/>
      <w:bookmarkStart w:id="1851" w:name="_Toc38442334"/>
      <w:bookmarkStart w:id="1852" w:name="_Toc38442666"/>
      <w:bookmarkStart w:id="1853" w:name="_Toc38442997"/>
      <w:bookmarkStart w:id="1854" w:name="_Toc38443328"/>
      <w:bookmarkStart w:id="1855" w:name="_Toc38443659"/>
      <w:bookmarkStart w:id="1856" w:name="_Toc38443989"/>
      <w:bookmarkStart w:id="1857" w:name="_Toc38438457"/>
      <w:bookmarkStart w:id="1858" w:name="_Toc38438794"/>
      <w:bookmarkStart w:id="1859" w:name="_Toc38439131"/>
      <w:bookmarkStart w:id="1860" w:name="_Toc38439468"/>
      <w:bookmarkStart w:id="1861" w:name="_Toc38439805"/>
      <w:bookmarkStart w:id="1862" w:name="_Toc38440142"/>
      <w:bookmarkStart w:id="1863" w:name="_Toc38440479"/>
      <w:bookmarkStart w:id="1864" w:name="_Toc38441011"/>
      <w:bookmarkStart w:id="1865" w:name="_Toc38441343"/>
      <w:bookmarkStart w:id="1866" w:name="_Toc38441675"/>
      <w:bookmarkStart w:id="1867" w:name="_Toc38442003"/>
      <w:bookmarkStart w:id="1868" w:name="_Toc38442335"/>
      <w:bookmarkStart w:id="1869" w:name="_Toc38442667"/>
      <w:bookmarkStart w:id="1870" w:name="_Toc38442998"/>
      <w:bookmarkStart w:id="1871" w:name="_Toc38443329"/>
      <w:bookmarkStart w:id="1872" w:name="_Toc38443660"/>
      <w:bookmarkStart w:id="1873" w:name="_Toc38443990"/>
      <w:bookmarkStart w:id="1874" w:name="_Toc38438458"/>
      <w:bookmarkStart w:id="1875" w:name="_Toc38438795"/>
      <w:bookmarkStart w:id="1876" w:name="_Toc38439132"/>
      <w:bookmarkStart w:id="1877" w:name="_Toc38439469"/>
      <w:bookmarkStart w:id="1878" w:name="_Toc38439806"/>
      <w:bookmarkStart w:id="1879" w:name="_Toc38440143"/>
      <w:bookmarkStart w:id="1880" w:name="_Toc38440480"/>
      <w:bookmarkStart w:id="1881" w:name="_Toc38441012"/>
      <w:bookmarkStart w:id="1882" w:name="_Toc38441344"/>
      <w:bookmarkStart w:id="1883" w:name="_Toc38441676"/>
      <w:bookmarkStart w:id="1884" w:name="_Toc38442004"/>
      <w:bookmarkStart w:id="1885" w:name="_Toc38442336"/>
      <w:bookmarkStart w:id="1886" w:name="_Toc38442668"/>
      <w:bookmarkStart w:id="1887" w:name="_Toc38442999"/>
      <w:bookmarkStart w:id="1888" w:name="_Toc38443330"/>
      <w:bookmarkStart w:id="1889" w:name="_Toc38443661"/>
      <w:bookmarkStart w:id="1890" w:name="_Toc38443991"/>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r w:rsidRPr="00E97AFD">
        <w:rPr>
          <w:rFonts w:asciiTheme="minorEastAsia" w:eastAsiaTheme="minorEastAsia" w:hAnsiTheme="minorEastAsia"/>
          <w:sz w:val="21"/>
        </w:rPr>
        <w:t>易方达基金管理有限公司</w:t>
      </w:r>
    </w:p>
    <w:p w14:paraId="680655D6" w14:textId="19CDAC95" w:rsidR="00BA4B87" w:rsidRPr="00E97AFD" w:rsidRDefault="0027563B" w:rsidP="004503EC">
      <w:pPr>
        <w:pStyle w:val="a6"/>
        <w:snapToGrid w:val="0"/>
        <w:spacing w:line="360" w:lineRule="auto"/>
        <w:ind w:right="420" w:firstLine="420"/>
        <w:jc w:val="right"/>
        <w:rPr>
          <w:rFonts w:asciiTheme="minorEastAsia" w:eastAsiaTheme="minorEastAsia" w:hAnsiTheme="minorEastAsia"/>
          <w:sz w:val="21"/>
        </w:rPr>
      </w:pPr>
      <w:r w:rsidRPr="00E97AFD">
        <w:rPr>
          <w:rFonts w:asciiTheme="minorEastAsia" w:eastAsiaTheme="minorEastAsia" w:hAnsiTheme="minorEastAsia"/>
          <w:sz w:val="21"/>
        </w:rPr>
        <w:t>2020年6月</w:t>
      </w:r>
      <w:r w:rsidR="00E97AFD" w:rsidRPr="00E97AFD">
        <w:rPr>
          <w:rFonts w:asciiTheme="minorEastAsia" w:eastAsiaTheme="minorEastAsia" w:hAnsiTheme="minorEastAsia"/>
          <w:sz w:val="21"/>
        </w:rPr>
        <w:t>19</w:t>
      </w:r>
      <w:r w:rsidRPr="00E97AFD">
        <w:rPr>
          <w:rFonts w:asciiTheme="minorEastAsia" w:eastAsiaTheme="minorEastAsia" w:hAnsiTheme="minorEastAsia"/>
          <w:sz w:val="21"/>
        </w:rPr>
        <w:t>日</w:t>
      </w:r>
    </w:p>
    <w:sectPr w:rsidR="00BA4B87" w:rsidRPr="00E97AFD" w:rsidSect="006945E6">
      <w:pgSz w:w="11906" w:h="16838" w:code="9"/>
      <w:pgMar w:top="1440" w:right="1800" w:bottom="1440" w:left="1800" w:header="720" w:footer="720" w:gutter="0"/>
      <w:cols w:space="720"/>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34213" w14:textId="77777777" w:rsidR="00ED43D3" w:rsidRDefault="00ED43D3">
      <w:r>
        <w:separator/>
      </w:r>
    </w:p>
  </w:endnote>
  <w:endnote w:type="continuationSeparator" w:id="0">
    <w:p w14:paraId="35AB60F8" w14:textId="77777777" w:rsidR="00ED43D3" w:rsidRDefault="00ED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肆">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t.祯畴S.">
    <w:altName w:val="宋体"/>
    <w:panose1 w:val="00000000000000000000"/>
    <w:charset w:val="86"/>
    <w:family w:val="roman"/>
    <w:notTrueType/>
    <w:pitch w:val="default"/>
    <w:sig w:usb0="00000001" w:usb1="080E0000" w:usb2="00000010" w:usb3="00000000" w:csb0="00040000" w:csb1="00000000"/>
  </w:font>
  <w:font w:name="宋体S.....">
    <w:altName w:val="Arial Unicode MS"/>
    <w:panose1 w:val="00000000000000000000"/>
    <w:charset w:val="86"/>
    <w:family w:val="roman"/>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iti SC Light">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48032" w14:textId="77777777" w:rsidR="009A5D7B" w:rsidRDefault="009A5D7B">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2E74D" w14:textId="77777777" w:rsidR="009A5D7B" w:rsidRDefault="009A5D7B" w:rsidP="004C0F6D">
    <w:pPr>
      <w:pStyle w:val="a9"/>
      <w:framePr w:wrap="around" w:vAnchor="text" w:hAnchor="margin" w:xAlign="center" w:y="1"/>
      <w:ind w:firstLineChars="0" w:firstLine="0"/>
      <w:rPr>
        <w:rStyle w:val="a8"/>
      </w:rPr>
    </w:pPr>
  </w:p>
  <w:p w14:paraId="61802E37" w14:textId="77777777" w:rsidR="009A5D7B" w:rsidRDefault="009A5D7B" w:rsidP="00834747">
    <w:pPr>
      <w:pStyle w:val="a9"/>
      <w:ind w:rightChars="171" w:right="359"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C60FF" w14:textId="77777777" w:rsidR="009A5D7B" w:rsidRDefault="009A5D7B">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1375E" w14:textId="77777777" w:rsidR="009A5D7B" w:rsidRDefault="009A5D7B" w:rsidP="004C0F6D">
    <w:pPr>
      <w:pStyle w:val="a9"/>
      <w:framePr w:wrap="around" w:vAnchor="text" w:hAnchor="margin" w:xAlign="center" w:y="1"/>
      <w:ind w:firstLineChars="0" w:firstLine="0"/>
      <w:rPr>
        <w:rStyle w:val="a8"/>
      </w:rPr>
    </w:pPr>
    <w:r>
      <w:rPr>
        <w:rStyle w:val="a8"/>
      </w:rPr>
      <w:fldChar w:fldCharType="begin"/>
    </w:r>
    <w:r>
      <w:rPr>
        <w:rStyle w:val="a8"/>
      </w:rPr>
      <w:instrText xml:space="preserve">PAGE  </w:instrText>
    </w:r>
    <w:r>
      <w:rPr>
        <w:rStyle w:val="a8"/>
      </w:rPr>
      <w:fldChar w:fldCharType="separate"/>
    </w:r>
    <w:r w:rsidR="00B1134A">
      <w:rPr>
        <w:rStyle w:val="a8"/>
        <w:noProof/>
      </w:rPr>
      <w:t>I</w:t>
    </w:r>
    <w:r>
      <w:rPr>
        <w:rStyle w:val="a8"/>
      </w:rPr>
      <w:fldChar w:fldCharType="end"/>
    </w:r>
  </w:p>
  <w:p w14:paraId="1E25FEEC" w14:textId="77777777" w:rsidR="009A5D7B" w:rsidRDefault="009A5D7B" w:rsidP="00834747">
    <w:pPr>
      <w:pStyle w:val="a9"/>
      <w:ind w:rightChars="171" w:right="359"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10A9A" w14:textId="77777777" w:rsidR="009A5D7B" w:rsidRDefault="009A5D7B" w:rsidP="00034D92">
    <w:pPr>
      <w:pStyle w:val="a9"/>
      <w:framePr w:wrap="around" w:vAnchor="text" w:hAnchor="page" w:x="5746" w:y="5"/>
      <w:ind w:firstLineChars="0" w:firstLine="0"/>
      <w:rPr>
        <w:rStyle w:val="a8"/>
      </w:rPr>
    </w:pPr>
    <w:r>
      <w:rPr>
        <w:rStyle w:val="a8"/>
      </w:rPr>
      <w:fldChar w:fldCharType="begin"/>
    </w:r>
    <w:r>
      <w:rPr>
        <w:rStyle w:val="a8"/>
      </w:rPr>
      <w:instrText xml:space="preserve">PAGE  </w:instrText>
    </w:r>
    <w:r>
      <w:rPr>
        <w:rStyle w:val="a8"/>
      </w:rPr>
      <w:fldChar w:fldCharType="separate"/>
    </w:r>
    <w:r w:rsidR="00B1134A">
      <w:rPr>
        <w:rStyle w:val="a8"/>
        <w:noProof/>
      </w:rPr>
      <w:t>17</w:t>
    </w:r>
    <w:r>
      <w:rPr>
        <w:rStyle w:val="a8"/>
      </w:rPr>
      <w:fldChar w:fldCharType="end"/>
    </w:r>
  </w:p>
  <w:p w14:paraId="54E0A9DC" w14:textId="77777777" w:rsidR="009A5D7B" w:rsidRDefault="009A5D7B">
    <w:pPr>
      <w:pStyle w:val="a9"/>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9A0DE" w14:textId="77777777" w:rsidR="00ED43D3" w:rsidRDefault="00ED43D3">
      <w:r>
        <w:separator/>
      </w:r>
    </w:p>
  </w:footnote>
  <w:footnote w:type="continuationSeparator" w:id="0">
    <w:p w14:paraId="25B00DDB" w14:textId="77777777" w:rsidR="00ED43D3" w:rsidRDefault="00ED4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CE599" w14:textId="77777777" w:rsidR="009A5D7B" w:rsidRDefault="009A5D7B">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27CFB" w14:textId="77777777" w:rsidR="00A619D8" w:rsidRDefault="00A619D8" w:rsidP="00E97AFD">
    <w:pPr>
      <w:pStyle w:val="a7"/>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C0FC0" w14:textId="77777777" w:rsidR="009A5D7B" w:rsidRDefault="009A5D7B" w:rsidP="004503EC">
    <w:pPr>
      <w:pStyle w:val="a7"/>
      <w:pBdr>
        <w:bottom w:val="none" w:sz="0" w:space="0" w:color="auto"/>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6BD4E" w14:textId="77777777" w:rsidR="009A5D7B" w:rsidRPr="00371108" w:rsidRDefault="009A5D7B" w:rsidP="00257E9C">
    <w:pPr>
      <w:pStyle w:val="a7"/>
      <w:pBdr>
        <w:bottom w:val="none" w:sz="0" w:space="0" w:color="auto"/>
      </w:pBdr>
      <w:tabs>
        <w:tab w:val="clear" w:pos="4153"/>
        <w:tab w:val="center" w:pos="360"/>
      </w:tabs>
      <w:wordWrap w:val="0"/>
      <w:ind w:firstLineChars="0" w:firstLine="0"/>
      <w:jc w:val="right"/>
      <w:rPr>
        <w:rFonts w:ascii="宋体" w:eastAsia="宋体" w:hAnsi="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EA883" w14:textId="77777777" w:rsidR="009A5D7B" w:rsidRDefault="009A5D7B">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1.5pt;height:17.25pt;visibility:visible;mso-wrap-style:square" o:bullet="t">
        <v:imagedata r:id="rId1" o:title=""/>
      </v:shape>
    </w:pict>
  </w:numPicBullet>
  <w:abstractNum w:abstractNumId="0" w15:restartNumberingAfterBreak="0">
    <w:nsid w:val="FFFFFF7C"/>
    <w:multiLevelType w:val="singleLevel"/>
    <w:tmpl w:val="6AB66A80"/>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D77EA536"/>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D722BE4C"/>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596E522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C2A01F00"/>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C636976C"/>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2CAC36EC"/>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7AE64CA6"/>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F97EE8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FA001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000001"/>
    <w:multiLevelType w:val="singleLevel"/>
    <w:tmpl w:val="00000001"/>
    <w:lvl w:ilvl="0">
      <w:start w:val="1"/>
      <w:numFmt w:val="bullet"/>
      <w:lvlText w:val=""/>
      <w:lvlJc w:val="left"/>
      <w:pPr>
        <w:tabs>
          <w:tab w:val="num" w:pos="360"/>
        </w:tabs>
        <w:ind w:left="360" w:hanging="360"/>
      </w:pPr>
      <w:rPr>
        <w:rFonts w:ascii="Symbol" w:hAnsi="Symbol" w:hint="default"/>
        <w:color w:val="auto"/>
      </w:rPr>
    </w:lvl>
  </w:abstractNum>
  <w:abstractNum w:abstractNumId="11" w15:restartNumberingAfterBreak="0">
    <w:nsid w:val="02A63ECB"/>
    <w:multiLevelType w:val="singleLevel"/>
    <w:tmpl w:val="2136817C"/>
    <w:lvl w:ilvl="0">
      <w:start w:val="1"/>
      <w:numFmt w:val="decimal"/>
      <w:pStyle w:val="Listbullet"/>
      <w:lvlText w:val="(%1)"/>
      <w:lvlJc w:val="left"/>
      <w:pPr>
        <w:tabs>
          <w:tab w:val="num" w:pos="425"/>
        </w:tabs>
        <w:ind w:left="425" w:hanging="425"/>
      </w:pPr>
      <w:rPr>
        <w:rFonts w:hint="eastAsia"/>
      </w:rPr>
    </w:lvl>
  </w:abstractNum>
  <w:abstractNum w:abstractNumId="12" w15:restartNumberingAfterBreak="0">
    <w:nsid w:val="06DA78B9"/>
    <w:multiLevelType w:val="hybridMultilevel"/>
    <w:tmpl w:val="FEA6D152"/>
    <w:lvl w:ilvl="0" w:tplc="04090019">
      <w:start w:val="1"/>
      <w:numFmt w:val="lowerLetter"/>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3" w15:restartNumberingAfterBreak="0">
    <w:nsid w:val="06EF2B8A"/>
    <w:multiLevelType w:val="hybridMultilevel"/>
    <w:tmpl w:val="1860661A"/>
    <w:lvl w:ilvl="0" w:tplc="129ADA6E">
      <w:start w:val="1"/>
      <w:numFmt w:val="japaneseCounting"/>
      <w:lvlText w:val="%1、"/>
      <w:lvlJc w:val="left"/>
      <w:pPr>
        <w:tabs>
          <w:tab w:val="num" w:pos="720"/>
        </w:tabs>
        <w:ind w:left="720" w:hanging="720"/>
      </w:pPr>
      <w:rPr>
        <w:rFonts w:hint="eastAsia"/>
      </w:rPr>
    </w:lvl>
    <w:lvl w:ilvl="1" w:tplc="7BD2BFA8">
      <w:start w:val="1"/>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5" w15:restartNumberingAfterBreak="0">
    <w:nsid w:val="1AB70BA6"/>
    <w:multiLevelType w:val="hybridMultilevel"/>
    <w:tmpl w:val="0F2A35AE"/>
    <w:lvl w:ilvl="0" w:tplc="35F09A1C">
      <w:start w:val="1"/>
      <w:numFmt w:val="chineseCountingThousand"/>
      <w:lvlText w:val="（%1）."/>
      <w:lvlJc w:val="left"/>
      <w:pPr>
        <w:tabs>
          <w:tab w:val="num" w:pos="1140"/>
        </w:tabs>
        <w:ind w:left="0" w:firstLine="420"/>
      </w:pPr>
      <w:rPr>
        <w:rFonts w:hint="eastAsia"/>
        <w:sz w:val="24"/>
      </w:rPr>
    </w:lvl>
    <w:lvl w:ilvl="1" w:tplc="9F5E5A14">
      <w:start w:val="1"/>
      <w:numFmt w:val="decimal"/>
      <w:lvlText w:val="%2."/>
      <w:lvlJc w:val="left"/>
      <w:pPr>
        <w:tabs>
          <w:tab w:val="num" w:pos="780"/>
        </w:tabs>
        <w:ind w:left="0" w:firstLine="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17" w15:restartNumberingAfterBreak="0">
    <w:nsid w:val="2FF62962"/>
    <w:multiLevelType w:val="hybridMultilevel"/>
    <w:tmpl w:val="4A761B7A"/>
    <w:lvl w:ilvl="0" w:tplc="116EEAB8">
      <w:start w:val="1"/>
      <w:numFmt w:val="decimal"/>
      <w:lvlText w:val="%1."/>
      <w:lvlJc w:val="left"/>
      <w:pPr>
        <w:tabs>
          <w:tab w:val="num" w:pos="900"/>
        </w:tabs>
        <w:ind w:left="-27" w:firstLine="567"/>
      </w:pPr>
      <w:rPr>
        <w:rFonts w:ascii="Times New Roman" w:hAnsi="Times New Roman" w:cs="Times New Roman" w:hint="default"/>
      </w:rPr>
    </w:lvl>
    <w:lvl w:ilvl="1" w:tplc="95265114">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370576A8"/>
    <w:multiLevelType w:val="hybridMultilevel"/>
    <w:tmpl w:val="D26E75DE"/>
    <w:lvl w:ilvl="0" w:tplc="2566FE30">
      <w:start w:val="1"/>
      <w:numFmt w:val="bullet"/>
      <w:lvlText w:val=""/>
      <w:lvlPicBulletId w:val="0"/>
      <w:lvlJc w:val="left"/>
      <w:pPr>
        <w:tabs>
          <w:tab w:val="num" w:pos="420"/>
        </w:tabs>
        <w:ind w:left="420" w:firstLine="0"/>
      </w:pPr>
      <w:rPr>
        <w:rFonts w:ascii="Symbol" w:hAnsi="Symbol" w:hint="default"/>
      </w:rPr>
    </w:lvl>
    <w:lvl w:ilvl="1" w:tplc="0514538A" w:tentative="1">
      <w:start w:val="1"/>
      <w:numFmt w:val="bullet"/>
      <w:lvlText w:val=""/>
      <w:lvlJc w:val="left"/>
      <w:pPr>
        <w:tabs>
          <w:tab w:val="num" w:pos="840"/>
        </w:tabs>
        <w:ind w:left="840" w:firstLine="0"/>
      </w:pPr>
      <w:rPr>
        <w:rFonts w:ascii="Symbol" w:hAnsi="Symbol" w:hint="default"/>
      </w:rPr>
    </w:lvl>
    <w:lvl w:ilvl="2" w:tplc="55FAB818" w:tentative="1">
      <w:start w:val="1"/>
      <w:numFmt w:val="bullet"/>
      <w:lvlText w:val=""/>
      <w:lvlJc w:val="left"/>
      <w:pPr>
        <w:tabs>
          <w:tab w:val="num" w:pos="1260"/>
        </w:tabs>
        <w:ind w:left="1260" w:firstLine="0"/>
      </w:pPr>
      <w:rPr>
        <w:rFonts w:ascii="Symbol" w:hAnsi="Symbol" w:hint="default"/>
      </w:rPr>
    </w:lvl>
    <w:lvl w:ilvl="3" w:tplc="E2CA1922" w:tentative="1">
      <w:start w:val="1"/>
      <w:numFmt w:val="bullet"/>
      <w:lvlText w:val=""/>
      <w:lvlJc w:val="left"/>
      <w:pPr>
        <w:tabs>
          <w:tab w:val="num" w:pos="1680"/>
        </w:tabs>
        <w:ind w:left="1680" w:firstLine="0"/>
      </w:pPr>
      <w:rPr>
        <w:rFonts w:ascii="Symbol" w:hAnsi="Symbol" w:hint="default"/>
      </w:rPr>
    </w:lvl>
    <w:lvl w:ilvl="4" w:tplc="83002F6C" w:tentative="1">
      <w:start w:val="1"/>
      <w:numFmt w:val="bullet"/>
      <w:lvlText w:val=""/>
      <w:lvlJc w:val="left"/>
      <w:pPr>
        <w:tabs>
          <w:tab w:val="num" w:pos="2100"/>
        </w:tabs>
        <w:ind w:left="2100" w:firstLine="0"/>
      </w:pPr>
      <w:rPr>
        <w:rFonts w:ascii="Symbol" w:hAnsi="Symbol" w:hint="default"/>
      </w:rPr>
    </w:lvl>
    <w:lvl w:ilvl="5" w:tplc="B82864F0" w:tentative="1">
      <w:start w:val="1"/>
      <w:numFmt w:val="bullet"/>
      <w:lvlText w:val=""/>
      <w:lvlJc w:val="left"/>
      <w:pPr>
        <w:tabs>
          <w:tab w:val="num" w:pos="2520"/>
        </w:tabs>
        <w:ind w:left="2520" w:firstLine="0"/>
      </w:pPr>
      <w:rPr>
        <w:rFonts w:ascii="Symbol" w:hAnsi="Symbol" w:hint="default"/>
      </w:rPr>
    </w:lvl>
    <w:lvl w:ilvl="6" w:tplc="B8922DFC" w:tentative="1">
      <w:start w:val="1"/>
      <w:numFmt w:val="bullet"/>
      <w:lvlText w:val=""/>
      <w:lvlJc w:val="left"/>
      <w:pPr>
        <w:tabs>
          <w:tab w:val="num" w:pos="2940"/>
        </w:tabs>
        <w:ind w:left="2940" w:firstLine="0"/>
      </w:pPr>
      <w:rPr>
        <w:rFonts w:ascii="Symbol" w:hAnsi="Symbol" w:hint="default"/>
      </w:rPr>
    </w:lvl>
    <w:lvl w:ilvl="7" w:tplc="7D522BC0" w:tentative="1">
      <w:start w:val="1"/>
      <w:numFmt w:val="bullet"/>
      <w:lvlText w:val=""/>
      <w:lvlJc w:val="left"/>
      <w:pPr>
        <w:tabs>
          <w:tab w:val="num" w:pos="3360"/>
        </w:tabs>
        <w:ind w:left="3360" w:firstLine="0"/>
      </w:pPr>
      <w:rPr>
        <w:rFonts w:ascii="Symbol" w:hAnsi="Symbol" w:hint="default"/>
      </w:rPr>
    </w:lvl>
    <w:lvl w:ilvl="8" w:tplc="E570B56C" w:tentative="1">
      <w:start w:val="1"/>
      <w:numFmt w:val="bullet"/>
      <w:lvlText w:val=""/>
      <w:lvlJc w:val="left"/>
      <w:pPr>
        <w:tabs>
          <w:tab w:val="num" w:pos="3780"/>
        </w:tabs>
        <w:ind w:left="3780" w:firstLine="0"/>
      </w:pPr>
      <w:rPr>
        <w:rFonts w:ascii="Symbol" w:hAnsi="Symbol" w:hint="default"/>
      </w:rPr>
    </w:lvl>
  </w:abstractNum>
  <w:abstractNum w:abstractNumId="19" w15:restartNumberingAfterBreak="0">
    <w:nsid w:val="37296806"/>
    <w:multiLevelType w:val="hybridMultilevel"/>
    <w:tmpl w:val="0E4CF03C"/>
    <w:lvl w:ilvl="0" w:tplc="7960D7AE">
      <w:start w:val="1"/>
      <w:numFmt w:val="decimal"/>
      <w:lvlText w:val="%1、"/>
      <w:lvlJc w:val="left"/>
      <w:pPr>
        <w:tabs>
          <w:tab w:val="num" w:pos="900"/>
        </w:tabs>
        <w:ind w:left="900" w:hanging="480"/>
      </w:pPr>
      <w:rPr>
        <w:rFonts w:eastAsia="肆"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0" w15:restartNumberingAfterBreak="0">
    <w:nsid w:val="37E46BB2"/>
    <w:multiLevelType w:val="hybridMultilevel"/>
    <w:tmpl w:val="3BAA6728"/>
    <w:lvl w:ilvl="0" w:tplc="7960D7AE">
      <w:start w:val="1"/>
      <w:numFmt w:val="decimal"/>
      <w:lvlText w:val="%1、"/>
      <w:lvlJc w:val="left"/>
      <w:pPr>
        <w:tabs>
          <w:tab w:val="num" w:pos="900"/>
        </w:tabs>
        <w:ind w:left="900" w:hanging="480"/>
      </w:pPr>
      <w:rPr>
        <w:rFonts w:eastAsia="肆"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388E68AD"/>
    <w:multiLevelType w:val="hybridMultilevel"/>
    <w:tmpl w:val="0A4EB93A"/>
    <w:lvl w:ilvl="0" w:tplc="5D0875D8">
      <w:start w:val="1"/>
      <w:numFmt w:val="chineseCountingThousand"/>
      <w:lvlText w:val="（%1）."/>
      <w:lvlJc w:val="left"/>
      <w:pPr>
        <w:tabs>
          <w:tab w:val="num" w:pos="1140"/>
        </w:tabs>
        <w:ind w:left="0" w:firstLine="420"/>
      </w:pPr>
      <w:rPr>
        <w:rFonts w:hint="eastAsia"/>
      </w:rPr>
    </w:lvl>
    <w:lvl w:ilvl="1" w:tplc="012E9C98">
      <w:start w:val="1"/>
      <w:numFmt w:val="decimal"/>
      <w:lvlText w:val="%2."/>
      <w:lvlJc w:val="left"/>
      <w:pPr>
        <w:tabs>
          <w:tab w:val="num" w:pos="780"/>
        </w:tabs>
        <w:ind w:left="0" w:firstLine="420"/>
      </w:pPr>
      <w:rPr>
        <w:rFonts w:hint="eastAsia"/>
      </w:rPr>
    </w:lvl>
    <w:lvl w:ilvl="2" w:tplc="67DE0988">
      <w:start w:val="1"/>
      <w:numFmt w:val="decimal"/>
      <w:lvlText w:val="(%3)"/>
      <w:lvlJc w:val="left"/>
      <w:pPr>
        <w:tabs>
          <w:tab w:val="num" w:pos="1200"/>
        </w:tabs>
        <w:ind w:left="420" w:firstLine="420"/>
      </w:pPr>
      <w:rPr>
        <w:rFonts w:ascii="宋体" w:eastAsia="宋体" w:hint="eastAsia"/>
        <w:b w:val="0"/>
        <w:i w:val="0"/>
        <w:sz w:val="21"/>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34C0486"/>
    <w:multiLevelType w:val="hybridMultilevel"/>
    <w:tmpl w:val="6D92F278"/>
    <w:lvl w:ilvl="0" w:tplc="5D0875D8">
      <w:start w:val="1"/>
      <w:numFmt w:val="chineseCountingThousand"/>
      <w:lvlText w:val="（%1）."/>
      <w:lvlJc w:val="left"/>
      <w:pPr>
        <w:tabs>
          <w:tab w:val="num" w:pos="1140"/>
        </w:tabs>
        <w:ind w:left="0" w:firstLine="420"/>
      </w:pPr>
      <w:rPr>
        <w:rFonts w:hint="eastAsia"/>
      </w:rPr>
    </w:lvl>
    <w:lvl w:ilvl="1" w:tplc="85DCE3DC">
      <w:start w:val="1"/>
      <w:numFmt w:val="decimal"/>
      <w:lvlText w:val="%2."/>
      <w:lvlJc w:val="left"/>
      <w:pPr>
        <w:tabs>
          <w:tab w:val="num" w:pos="780"/>
        </w:tabs>
        <w:ind w:left="0" w:firstLine="420"/>
      </w:pPr>
      <w:rPr>
        <w:rFonts w:hint="eastAsia"/>
      </w:rPr>
    </w:lvl>
    <w:lvl w:ilvl="2" w:tplc="C8DE7F70">
      <w:start w:val="1"/>
      <w:numFmt w:val="decimal"/>
      <w:lvlText w:val="（%3）"/>
      <w:lvlJc w:val="left"/>
      <w:pPr>
        <w:tabs>
          <w:tab w:val="num" w:pos="1560"/>
        </w:tabs>
        <w:ind w:left="420" w:firstLine="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56C7310"/>
    <w:multiLevelType w:val="hybridMultilevel"/>
    <w:tmpl w:val="2EC46E02"/>
    <w:lvl w:ilvl="0" w:tplc="FFFFFFFF">
      <w:start w:val="1"/>
      <w:numFmt w:val="japaneseCounting"/>
      <w:lvlText w:val="%1、"/>
      <w:lvlJc w:val="left"/>
      <w:pPr>
        <w:tabs>
          <w:tab w:val="num" w:pos="720"/>
        </w:tabs>
        <w:ind w:left="720"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4" w15:restartNumberingAfterBreak="0">
    <w:nsid w:val="480810E9"/>
    <w:multiLevelType w:val="multilevel"/>
    <w:tmpl w:val="40A20F34"/>
    <w:lvl w:ilvl="0">
      <w:start w:val="1"/>
      <w:numFmt w:val="none"/>
      <w:lvlText w:val=""/>
      <w:lvlJc w:val="left"/>
      <w:pPr>
        <w:tabs>
          <w:tab w:val="num" w:pos="425"/>
        </w:tabs>
        <w:ind w:left="0" w:firstLine="0"/>
      </w:pPr>
      <w:rPr>
        <w:rFonts w:hint="eastAsia"/>
      </w:rPr>
    </w:lvl>
    <w:lvl w:ilvl="1">
      <w:start w:val="1"/>
      <w:numFmt w:val="chineseCountingThousand"/>
      <w:lvlText w:val="%2、"/>
      <w:lvlJc w:val="left"/>
      <w:pPr>
        <w:tabs>
          <w:tab w:val="num" w:pos="1276"/>
        </w:tabs>
        <w:ind w:left="851" w:firstLine="0"/>
      </w:pPr>
      <w:rPr>
        <w:rFonts w:hint="eastAsia"/>
      </w:rPr>
    </w:lvl>
    <w:lvl w:ilvl="2">
      <w:start w:val="1"/>
      <w:numFmt w:val="chineseCountingThousand"/>
      <w:lvlText w:val="（%3）"/>
      <w:lvlJc w:val="left"/>
      <w:pPr>
        <w:tabs>
          <w:tab w:val="num" w:pos="2126"/>
        </w:tabs>
        <w:ind w:left="1701" w:firstLine="0"/>
      </w:pPr>
      <w:rPr>
        <w:rFonts w:hint="eastAsia"/>
      </w:rPr>
    </w:lvl>
    <w:lvl w:ilvl="3">
      <w:start w:val="1"/>
      <w:numFmt w:val="lowerLetter"/>
      <w:lvlText w:val="%4)"/>
      <w:lvlJc w:val="left"/>
      <w:pPr>
        <w:tabs>
          <w:tab w:val="num" w:pos="2976"/>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25" w15:restartNumberingAfterBreak="0">
    <w:nsid w:val="4965689A"/>
    <w:multiLevelType w:val="hybridMultilevel"/>
    <w:tmpl w:val="50B6B61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6"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15:restartNumberingAfterBreak="0">
    <w:nsid w:val="4C9109DF"/>
    <w:multiLevelType w:val="hybridMultilevel"/>
    <w:tmpl w:val="0D3C1AC2"/>
    <w:lvl w:ilvl="0" w:tplc="892A96B2">
      <w:start w:val="1"/>
      <w:numFmt w:val="decimal"/>
      <w:lvlText w:val="%1、"/>
      <w:lvlJc w:val="left"/>
      <w:pPr>
        <w:tabs>
          <w:tab w:val="num" w:pos="900"/>
        </w:tabs>
        <w:ind w:left="900" w:hanging="420"/>
      </w:pPr>
      <w:rPr>
        <w:rFonts w:hint="eastAsia"/>
      </w:rPr>
    </w:lvl>
    <w:lvl w:ilvl="1" w:tplc="5742121A">
      <w:start w:val="1"/>
      <w:numFmt w:val="decimalEnclosedCircle"/>
      <w:lvlText w:val="%2"/>
      <w:lvlJc w:val="left"/>
      <w:pPr>
        <w:tabs>
          <w:tab w:val="num" w:pos="1260"/>
        </w:tabs>
        <w:ind w:left="1260" w:hanging="360"/>
      </w:pPr>
      <w:rPr>
        <w:rFonts w:ascii="宋体" w:hAnsi="宋体"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15:restartNumberingAfterBreak="0">
    <w:nsid w:val="532465A0"/>
    <w:multiLevelType w:val="hybridMultilevel"/>
    <w:tmpl w:val="9AE4CDEA"/>
    <w:lvl w:ilvl="0" w:tplc="77962930">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9" w15:restartNumberingAfterBreak="0">
    <w:nsid w:val="53EB22A3"/>
    <w:multiLevelType w:val="hybridMultilevel"/>
    <w:tmpl w:val="B3D6975C"/>
    <w:lvl w:ilvl="0" w:tplc="841C8DC8">
      <w:start w:val="1"/>
      <w:numFmt w:val="decimal"/>
      <w:lvlText w:val="（%1）"/>
      <w:lvlJc w:val="left"/>
      <w:pPr>
        <w:tabs>
          <w:tab w:val="num" w:pos="1134"/>
        </w:tabs>
        <w:ind w:left="1134" w:hanging="714"/>
      </w:pPr>
      <w:rPr>
        <w:rFonts w:hint="eastAsia"/>
      </w:rPr>
    </w:lvl>
    <w:lvl w:ilvl="1" w:tplc="329A9606">
      <w:start w:val="1"/>
      <w:numFmt w:val="low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56C20CF4"/>
    <w:multiLevelType w:val="multilevel"/>
    <w:tmpl w:val="4350DE18"/>
    <w:lvl w:ilvl="0">
      <w:start w:val="1"/>
      <w:numFmt w:val="decimal"/>
      <w:lvlText w:val="%1、"/>
      <w:lvlJc w:val="left"/>
      <w:pPr>
        <w:tabs>
          <w:tab w:val="num" w:pos="2160"/>
        </w:tabs>
        <w:ind w:left="2160" w:hanging="480"/>
      </w:pPr>
      <w:rPr>
        <w:rFonts w:eastAsia="肆" w:hint="eastAsia"/>
      </w:rPr>
    </w:lvl>
    <w:lvl w:ilvl="1">
      <w:start w:val="1"/>
      <w:numFmt w:val="lowerLetter"/>
      <w:lvlText w:val="%2)"/>
      <w:lvlJc w:val="left"/>
      <w:pPr>
        <w:tabs>
          <w:tab w:val="num" w:pos="2520"/>
        </w:tabs>
        <w:ind w:left="2520" w:hanging="420"/>
      </w:pPr>
    </w:lvl>
    <w:lvl w:ilvl="2">
      <w:start w:val="1"/>
      <w:numFmt w:val="lowerRoman"/>
      <w:lvlText w:val="%3."/>
      <w:lvlJc w:val="right"/>
      <w:pPr>
        <w:tabs>
          <w:tab w:val="num" w:pos="2940"/>
        </w:tabs>
        <w:ind w:left="2940" w:hanging="420"/>
      </w:pPr>
    </w:lvl>
    <w:lvl w:ilvl="3">
      <w:start w:val="1"/>
      <w:numFmt w:val="decimal"/>
      <w:lvlText w:val="%4."/>
      <w:lvlJc w:val="left"/>
      <w:pPr>
        <w:tabs>
          <w:tab w:val="num" w:pos="3360"/>
        </w:tabs>
        <w:ind w:left="3360" w:hanging="420"/>
      </w:pPr>
    </w:lvl>
    <w:lvl w:ilvl="4">
      <w:start w:val="1"/>
      <w:numFmt w:val="lowerLetter"/>
      <w:lvlText w:val="%5)"/>
      <w:lvlJc w:val="left"/>
      <w:pPr>
        <w:tabs>
          <w:tab w:val="num" w:pos="3780"/>
        </w:tabs>
        <w:ind w:left="3780" w:hanging="420"/>
      </w:pPr>
    </w:lvl>
    <w:lvl w:ilvl="5">
      <w:start w:val="1"/>
      <w:numFmt w:val="lowerRoman"/>
      <w:lvlText w:val="%6."/>
      <w:lvlJc w:val="right"/>
      <w:pPr>
        <w:tabs>
          <w:tab w:val="num" w:pos="4200"/>
        </w:tabs>
        <w:ind w:left="4200" w:hanging="420"/>
      </w:pPr>
    </w:lvl>
    <w:lvl w:ilvl="6">
      <w:start w:val="1"/>
      <w:numFmt w:val="decimal"/>
      <w:lvlText w:val="%7."/>
      <w:lvlJc w:val="left"/>
      <w:pPr>
        <w:tabs>
          <w:tab w:val="num" w:pos="4620"/>
        </w:tabs>
        <w:ind w:left="4620" w:hanging="420"/>
      </w:pPr>
    </w:lvl>
    <w:lvl w:ilvl="7">
      <w:start w:val="1"/>
      <w:numFmt w:val="lowerLetter"/>
      <w:lvlText w:val="%8)"/>
      <w:lvlJc w:val="left"/>
      <w:pPr>
        <w:tabs>
          <w:tab w:val="num" w:pos="5040"/>
        </w:tabs>
        <w:ind w:left="5040" w:hanging="420"/>
      </w:pPr>
    </w:lvl>
    <w:lvl w:ilvl="8">
      <w:start w:val="1"/>
      <w:numFmt w:val="lowerRoman"/>
      <w:lvlText w:val="%9."/>
      <w:lvlJc w:val="right"/>
      <w:pPr>
        <w:tabs>
          <w:tab w:val="num" w:pos="5460"/>
        </w:tabs>
        <w:ind w:left="5460" w:hanging="420"/>
      </w:pPr>
    </w:lvl>
  </w:abstractNum>
  <w:abstractNum w:abstractNumId="32" w15:restartNumberingAfterBreak="0">
    <w:nsid w:val="5B1E64C3"/>
    <w:multiLevelType w:val="multilevel"/>
    <w:tmpl w:val="56CC4BCE"/>
    <w:lvl w:ilvl="0">
      <w:start w:val="1"/>
      <w:numFmt w:val="none"/>
      <w:lvlText w:val="三、"/>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5DBA05E8"/>
    <w:multiLevelType w:val="hybridMultilevel"/>
    <w:tmpl w:val="6EE23A6A"/>
    <w:lvl w:ilvl="0" w:tplc="0409001B">
      <w:start w:val="1"/>
      <w:numFmt w:val="lowerRoman"/>
      <w:lvlText w:val="%1."/>
      <w:lvlJc w:val="right"/>
      <w:pPr>
        <w:tabs>
          <w:tab w:val="num" w:pos="900"/>
        </w:tabs>
        <w:ind w:left="900" w:hanging="48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5E5E11DD"/>
    <w:multiLevelType w:val="hybridMultilevel"/>
    <w:tmpl w:val="7A34AD50"/>
    <w:lvl w:ilvl="0" w:tplc="7960D7AE">
      <w:start w:val="1"/>
      <w:numFmt w:val="decimal"/>
      <w:lvlText w:val="%1、"/>
      <w:lvlJc w:val="left"/>
      <w:pPr>
        <w:tabs>
          <w:tab w:val="num" w:pos="900"/>
        </w:tabs>
        <w:ind w:left="900" w:hanging="480"/>
      </w:pPr>
      <w:rPr>
        <w:rFonts w:eastAsia="肆" w:hint="eastAsia"/>
      </w:rPr>
    </w:lvl>
    <w:lvl w:ilvl="1" w:tplc="A328D27E">
      <w:numFmt w:val="none"/>
      <w:lvlText w:val=""/>
      <w:lvlJc w:val="left"/>
      <w:pPr>
        <w:tabs>
          <w:tab w:val="num" w:pos="360"/>
        </w:tabs>
      </w:pPr>
    </w:lvl>
    <w:lvl w:ilvl="2" w:tplc="BB80C800">
      <w:numFmt w:val="none"/>
      <w:lvlText w:val=""/>
      <w:lvlJc w:val="left"/>
      <w:pPr>
        <w:tabs>
          <w:tab w:val="num" w:pos="360"/>
        </w:tabs>
      </w:pPr>
    </w:lvl>
    <w:lvl w:ilvl="3" w:tplc="21505FDA">
      <w:numFmt w:val="none"/>
      <w:lvlText w:val=""/>
      <w:lvlJc w:val="left"/>
      <w:pPr>
        <w:tabs>
          <w:tab w:val="num" w:pos="360"/>
        </w:tabs>
      </w:pPr>
    </w:lvl>
    <w:lvl w:ilvl="4" w:tplc="B5063910">
      <w:numFmt w:val="none"/>
      <w:lvlText w:val=""/>
      <w:lvlJc w:val="left"/>
      <w:pPr>
        <w:tabs>
          <w:tab w:val="num" w:pos="360"/>
        </w:tabs>
      </w:pPr>
    </w:lvl>
    <w:lvl w:ilvl="5" w:tplc="913E6AD2">
      <w:numFmt w:val="none"/>
      <w:lvlText w:val=""/>
      <w:lvlJc w:val="left"/>
      <w:pPr>
        <w:tabs>
          <w:tab w:val="num" w:pos="360"/>
        </w:tabs>
      </w:pPr>
    </w:lvl>
    <w:lvl w:ilvl="6" w:tplc="87E61C3A">
      <w:numFmt w:val="none"/>
      <w:lvlText w:val=""/>
      <w:lvlJc w:val="left"/>
      <w:pPr>
        <w:tabs>
          <w:tab w:val="num" w:pos="360"/>
        </w:tabs>
      </w:pPr>
    </w:lvl>
    <w:lvl w:ilvl="7" w:tplc="5FD62720">
      <w:numFmt w:val="none"/>
      <w:lvlText w:val=""/>
      <w:lvlJc w:val="left"/>
      <w:pPr>
        <w:tabs>
          <w:tab w:val="num" w:pos="360"/>
        </w:tabs>
      </w:pPr>
    </w:lvl>
    <w:lvl w:ilvl="8" w:tplc="5A5CFE96">
      <w:numFmt w:val="none"/>
      <w:lvlText w:val=""/>
      <w:lvlJc w:val="left"/>
      <w:pPr>
        <w:tabs>
          <w:tab w:val="num" w:pos="360"/>
        </w:tabs>
      </w:pPr>
    </w:lvl>
  </w:abstractNum>
  <w:abstractNum w:abstractNumId="35" w15:restartNumberingAfterBreak="0">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6"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37" w15:restartNumberingAfterBreak="0">
    <w:nsid w:val="67D51DFF"/>
    <w:multiLevelType w:val="hybridMultilevel"/>
    <w:tmpl w:val="B7A4913C"/>
    <w:lvl w:ilvl="0" w:tplc="1E54F69A">
      <w:start w:val="1"/>
      <w:numFmt w:val="japaneseCounting"/>
      <w:lvlText w:val="%1、"/>
      <w:lvlJc w:val="left"/>
      <w:pPr>
        <w:tabs>
          <w:tab w:val="num" w:pos="480"/>
        </w:tabs>
        <w:ind w:left="480" w:hanging="480"/>
      </w:pPr>
      <w:rPr>
        <w:rFonts w:hint="eastAsia"/>
        <w:lang w:val="en-US"/>
      </w:rPr>
    </w:lvl>
    <w:lvl w:ilvl="1" w:tplc="1E54F69A">
      <w:start w:val="1"/>
      <w:numFmt w:val="japaneseCounting"/>
      <w:lvlText w:val="%2、"/>
      <w:lvlJc w:val="left"/>
      <w:pPr>
        <w:tabs>
          <w:tab w:val="num" w:pos="480"/>
        </w:tabs>
        <w:ind w:left="480" w:hanging="480"/>
      </w:pPr>
      <w:rPr>
        <w:rFonts w:hint="eastAsia"/>
        <w:lang w:val="en-US"/>
      </w:rPr>
    </w:lvl>
    <w:lvl w:ilvl="2" w:tplc="04090011">
      <w:start w:val="1"/>
      <w:numFmt w:val="decimal"/>
      <w:lvlText w:val="%3)"/>
      <w:lvlJc w:val="left"/>
      <w:pPr>
        <w:tabs>
          <w:tab w:val="num" w:pos="1260"/>
        </w:tabs>
        <w:ind w:left="1260" w:hanging="420"/>
      </w:pPr>
    </w:lvl>
    <w:lvl w:ilvl="3" w:tplc="0409000B">
      <w:start w:val="1"/>
      <w:numFmt w:val="bullet"/>
      <w:lvlText w:val=""/>
      <w:lvlJc w:val="left"/>
      <w:pPr>
        <w:tabs>
          <w:tab w:val="num" w:pos="1680"/>
        </w:tabs>
        <w:ind w:left="1680" w:hanging="420"/>
      </w:pPr>
      <w:rPr>
        <w:rFonts w:ascii="Wingdings" w:hAnsi="Wingdings" w:hint="default"/>
      </w:rPr>
    </w:lvl>
    <w:lvl w:ilvl="4" w:tplc="04090019">
      <w:start w:val="1"/>
      <w:numFmt w:val="lowerLetter"/>
      <w:lvlText w:val="%5)"/>
      <w:lvlJc w:val="left"/>
      <w:pPr>
        <w:tabs>
          <w:tab w:val="num" w:pos="2100"/>
        </w:tabs>
        <w:ind w:left="2100" w:hanging="420"/>
      </w:pPr>
    </w:lvl>
    <w:lvl w:ilvl="5" w:tplc="CEB0B0CC">
      <w:start w:val="1"/>
      <w:numFmt w:val="decimal"/>
      <w:lvlText w:val="（%6）"/>
      <w:lvlJc w:val="left"/>
      <w:pPr>
        <w:tabs>
          <w:tab w:val="num" w:pos="2820"/>
        </w:tabs>
        <w:ind w:left="2820" w:hanging="72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6C390FF8"/>
    <w:multiLevelType w:val="hybridMultilevel"/>
    <w:tmpl w:val="91840896"/>
    <w:lvl w:ilvl="0" w:tplc="E3C0E748">
      <w:start w:val="1"/>
      <w:numFmt w:val="decimal"/>
      <w:lvlText w:val="%1."/>
      <w:lvlJc w:val="left"/>
      <w:pPr>
        <w:tabs>
          <w:tab w:val="num" w:pos="900"/>
        </w:tabs>
        <w:ind w:left="-27" w:firstLine="567"/>
      </w:pPr>
      <w:rPr>
        <w:rFonts w:hint="eastAsia"/>
      </w:rPr>
    </w:lvl>
    <w:lvl w:ilvl="1" w:tplc="B858AA0E">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41" w15:restartNumberingAfterBreak="0">
    <w:nsid w:val="73123D9C"/>
    <w:multiLevelType w:val="hybridMultilevel"/>
    <w:tmpl w:val="8682A73C"/>
    <w:lvl w:ilvl="0" w:tplc="7960D7AE">
      <w:start w:val="1"/>
      <w:numFmt w:val="decimal"/>
      <w:lvlText w:val="%1、"/>
      <w:lvlJc w:val="left"/>
      <w:pPr>
        <w:tabs>
          <w:tab w:val="num" w:pos="900"/>
        </w:tabs>
        <w:ind w:left="900" w:hanging="480"/>
      </w:pPr>
      <w:rPr>
        <w:rFonts w:eastAsia="肆"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2" w15:restartNumberingAfterBreak="0">
    <w:nsid w:val="77B4748A"/>
    <w:multiLevelType w:val="hybridMultilevel"/>
    <w:tmpl w:val="806C3D62"/>
    <w:lvl w:ilvl="0" w:tplc="99AA8908">
      <w:start w:val="1"/>
      <w:numFmt w:val="decimal"/>
      <w:lvlText w:val="%1."/>
      <w:lvlJc w:val="left"/>
      <w:pPr>
        <w:tabs>
          <w:tab w:val="num" w:pos="780"/>
        </w:tabs>
        <w:ind w:left="420" w:firstLine="0"/>
      </w:pPr>
      <w:rPr>
        <w:rFonts w:hint="eastAsia"/>
      </w:rPr>
    </w:lvl>
    <w:lvl w:ilvl="1" w:tplc="271E205C">
      <w:start w:val="1"/>
      <w:numFmt w:val="decimal"/>
      <w:lvlText w:val="（%2）"/>
      <w:lvlJc w:val="left"/>
      <w:pPr>
        <w:tabs>
          <w:tab w:val="num" w:pos="851"/>
        </w:tabs>
        <w:ind w:left="851" w:hanging="567"/>
      </w:pPr>
      <w:rPr>
        <w:rFonts w:hint="eastAsia"/>
      </w:rPr>
    </w:lvl>
    <w:lvl w:ilvl="2" w:tplc="23888C08">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7E531937"/>
    <w:multiLevelType w:val="hybridMultilevel"/>
    <w:tmpl w:val="EB885994"/>
    <w:lvl w:ilvl="0" w:tplc="9F5E5A14">
      <w:start w:val="1"/>
      <w:numFmt w:val="decimal"/>
      <w:lvlText w:val="%1."/>
      <w:lvlJc w:val="left"/>
      <w:pPr>
        <w:tabs>
          <w:tab w:val="num" w:pos="780"/>
        </w:tabs>
        <w:ind w:left="0" w:firstLine="420"/>
      </w:pPr>
      <w:rPr>
        <w:rFonts w:hint="eastAsia"/>
      </w:rPr>
    </w:lvl>
    <w:lvl w:ilvl="1" w:tplc="D618D024">
      <w:start w:val="1"/>
      <w:numFmt w:val="decimal"/>
      <w:lvlText w:val="(%2)"/>
      <w:lvlJc w:val="left"/>
      <w:pPr>
        <w:tabs>
          <w:tab w:val="num" w:pos="780"/>
        </w:tabs>
        <w:ind w:left="0" w:firstLine="420"/>
      </w:pPr>
      <w:rPr>
        <w:rFonts w:ascii="宋体" w:eastAsia="宋体" w:hint="eastAsia"/>
        <w:b w:val="0"/>
        <w:i w:val="0"/>
        <w:sz w:val="21"/>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15:restartNumberingAfterBreak="0">
    <w:nsid w:val="7EE602AC"/>
    <w:multiLevelType w:val="hybridMultilevel"/>
    <w:tmpl w:val="6652E13E"/>
    <w:lvl w:ilvl="0" w:tplc="8C2A9336">
      <w:start w:val="1"/>
      <w:numFmt w:val="decimal"/>
      <w:lvlText w:val="（%1）"/>
      <w:lvlJc w:val="left"/>
      <w:pPr>
        <w:tabs>
          <w:tab w:val="num" w:pos="2100"/>
        </w:tabs>
        <w:ind w:left="2100" w:hanging="420"/>
      </w:pPr>
      <w:rPr>
        <w:rFonts w:hint="eastAsia"/>
        <w:b w:val="0"/>
        <w:sz w:val="21"/>
        <w:szCs w:val="21"/>
      </w:rPr>
    </w:lvl>
    <w:lvl w:ilvl="1" w:tplc="04090019" w:tentative="1">
      <w:start w:val="1"/>
      <w:numFmt w:val="lowerLetter"/>
      <w:lvlText w:val="%2)"/>
      <w:lvlJc w:val="left"/>
      <w:pPr>
        <w:tabs>
          <w:tab w:val="num" w:pos="2520"/>
        </w:tabs>
        <w:ind w:left="2520" w:hanging="420"/>
      </w:pPr>
    </w:lvl>
    <w:lvl w:ilvl="2" w:tplc="0409001B" w:tentative="1">
      <w:start w:val="1"/>
      <w:numFmt w:val="lowerRoman"/>
      <w:lvlText w:val="%3."/>
      <w:lvlJc w:val="righ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9" w:tentative="1">
      <w:start w:val="1"/>
      <w:numFmt w:val="lowerLetter"/>
      <w:lvlText w:val="%5)"/>
      <w:lvlJc w:val="left"/>
      <w:pPr>
        <w:tabs>
          <w:tab w:val="num" w:pos="3780"/>
        </w:tabs>
        <w:ind w:left="3780" w:hanging="420"/>
      </w:pPr>
    </w:lvl>
    <w:lvl w:ilvl="5" w:tplc="0409001B" w:tentative="1">
      <w:start w:val="1"/>
      <w:numFmt w:val="lowerRoman"/>
      <w:lvlText w:val="%6."/>
      <w:lvlJc w:val="righ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9" w:tentative="1">
      <w:start w:val="1"/>
      <w:numFmt w:val="lowerLetter"/>
      <w:lvlText w:val="%8)"/>
      <w:lvlJc w:val="left"/>
      <w:pPr>
        <w:tabs>
          <w:tab w:val="num" w:pos="5040"/>
        </w:tabs>
        <w:ind w:left="5040" w:hanging="420"/>
      </w:pPr>
    </w:lvl>
    <w:lvl w:ilvl="8" w:tplc="0409001B" w:tentative="1">
      <w:start w:val="1"/>
      <w:numFmt w:val="lowerRoman"/>
      <w:lvlText w:val="%9."/>
      <w:lvlJc w:val="right"/>
      <w:pPr>
        <w:tabs>
          <w:tab w:val="num" w:pos="5460"/>
        </w:tabs>
        <w:ind w:left="5460" w:hanging="420"/>
      </w:pPr>
    </w:lvl>
  </w:abstractNum>
  <w:num w:numId="1">
    <w:abstractNumId w:val="11"/>
  </w:num>
  <w:num w:numId="2">
    <w:abstractNumId w:val="14"/>
  </w:num>
  <w:num w:numId="3">
    <w:abstractNumId w:val="23"/>
  </w:num>
  <w:num w:numId="4">
    <w:abstractNumId w:val="16"/>
  </w:num>
  <w:num w:numId="5">
    <w:abstractNumId w:val="24"/>
  </w:num>
  <w:num w:numId="6">
    <w:abstractNumId w:val="36"/>
  </w:num>
  <w:num w:numId="7">
    <w:abstractNumId w:val="26"/>
  </w:num>
  <w:num w:numId="8">
    <w:abstractNumId w:val="20"/>
  </w:num>
  <w:num w:numId="9">
    <w:abstractNumId w:val="30"/>
  </w:num>
  <w:num w:numId="10">
    <w:abstractNumId w:val="42"/>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34"/>
  </w:num>
  <w:num w:numId="22">
    <w:abstractNumId w:val="22"/>
  </w:num>
  <w:num w:numId="23">
    <w:abstractNumId w:val="21"/>
  </w:num>
  <w:num w:numId="24">
    <w:abstractNumId w:val="43"/>
  </w:num>
  <w:num w:numId="25">
    <w:abstractNumId w:val="15"/>
  </w:num>
  <w:num w:numId="26">
    <w:abstractNumId w:val="39"/>
  </w:num>
  <w:num w:numId="27">
    <w:abstractNumId w:val="29"/>
  </w:num>
  <w:num w:numId="28">
    <w:abstractNumId w:val="28"/>
  </w:num>
  <w:num w:numId="29">
    <w:abstractNumId w:val="19"/>
  </w:num>
  <w:num w:numId="30">
    <w:abstractNumId w:val="41"/>
  </w:num>
  <w:num w:numId="31">
    <w:abstractNumId w:val="13"/>
  </w:num>
  <w:num w:numId="32">
    <w:abstractNumId w:val="27"/>
  </w:num>
  <w:num w:numId="33">
    <w:abstractNumId w:val="12"/>
  </w:num>
  <w:num w:numId="34">
    <w:abstractNumId w:val="44"/>
  </w:num>
  <w:num w:numId="35">
    <w:abstractNumId w:val="38"/>
  </w:num>
  <w:num w:numId="36">
    <w:abstractNumId w:val="32"/>
  </w:num>
  <w:num w:numId="37">
    <w:abstractNumId w:val="35"/>
  </w:num>
  <w:num w:numId="38">
    <w:abstractNumId w:val="31"/>
  </w:num>
  <w:num w:numId="39">
    <w:abstractNumId w:val="37"/>
  </w:num>
  <w:num w:numId="40">
    <w:abstractNumId w:val="33"/>
  </w:num>
  <w:num w:numId="41">
    <w:abstractNumId w:val="40"/>
  </w:num>
  <w:num w:numId="42">
    <w:abstractNumId w:val="25"/>
  </w:num>
  <w:num w:numId="43">
    <w:abstractNumId w:val="17"/>
  </w:num>
  <w:num w:numId="44">
    <w:abstractNumId w:val="10"/>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4B87"/>
    <w:rsid w:val="0000266B"/>
    <w:rsid w:val="00002FDE"/>
    <w:rsid w:val="00003E90"/>
    <w:rsid w:val="00004523"/>
    <w:rsid w:val="00004A3C"/>
    <w:rsid w:val="000059BE"/>
    <w:rsid w:val="00006FA9"/>
    <w:rsid w:val="0000724B"/>
    <w:rsid w:val="00010185"/>
    <w:rsid w:val="0001041B"/>
    <w:rsid w:val="000119F8"/>
    <w:rsid w:val="0001356E"/>
    <w:rsid w:val="00013699"/>
    <w:rsid w:val="00015D84"/>
    <w:rsid w:val="0001622F"/>
    <w:rsid w:val="000162C3"/>
    <w:rsid w:val="00020018"/>
    <w:rsid w:val="000209D7"/>
    <w:rsid w:val="00022FEE"/>
    <w:rsid w:val="0002668A"/>
    <w:rsid w:val="0002694B"/>
    <w:rsid w:val="00030638"/>
    <w:rsid w:val="00031061"/>
    <w:rsid w:val="000335F6"/>
    <w:rsid w:val="00034D92"/>
    <w:rsid w:val="000374BD"/>
    <w:rsid w:val="00040F37"/>
    <w:rsid w:val="000410B1"/>
    <w:rsid w:val="000417ED"/>
    <w:rsid w:val="000419E3"/>
    <w:rsid w:val="000467C2"/>
    <w:rsid w:val="00046A2F"/>
    <w:rsid w:val="00047B44"/>
    <w:rsid w:val="0005000F"/>
    <w:rsid w:val="00052C9F"/>
    <w:rsid w:val="00053030"/>
    <w:rsid w:val="0005321F"/>
    <w:rsid w:val="00055032"/>
    <w:rsid w:val="000553C5"/>
    <w:rsid w:val="00055884"/>
    <w:rsid w:val="0005633C"/>
    <w:rsid w:val="0005667E"/>
    <w:rsid w:val="00056C0A"/>
    <w:rsid w:val="0006020D"/>
    <w:rsid w:val="00060454"/>
    <w:rsid w:val="00060943"/>
    <w:rsid w:val="000610A1"/>
    <w:rsid w:val="00061A4B"/>
    <w:rsid w:val="00061CFB"/>
    <w:rsid w:val="00062004"/>
    <w:rsid w:val="000620C4"/>
    <w:rsid w:val="00062E45"/>
    <w:rsid w:val="00063634"/>
    <w:rsid w:val="000640EF"/>
    <w:rsid w:val="000658E9"/>
    <w:rsid w:val="000673DD"/>
    <w:rsid w:val="000674F1"/>
    <w:rsid w:val="0007041F"/>
    <w:rsid w:val="00073E42"/>
    <w:rsid w:val="00074B7B"/>
    <w:rsid w:val="00076F24"/>
    <w:rsid w:val="0007767A"/>
    <w:rsid w:val="00077BD0"/>
    <w:rsid w:val="00081423"/>
    <w:rsid w:val="000835C3"/>
    <w:rsid w:val="00085B3A"/>
    <w:rsid w:val="000864A5"/>
    <w:rsid w:val="00087C08"/>
    <w:rsid w:val="00090469"/>
    <w:rsid w:val="0009153F"/>
    <w:rsid w:val="00091AE3"/>
    <w:rsid w:val="000924F6"/>
    <w:rsid w:val="00093C12"/>
    <w:rsid w:val="0009469F"/>
    <w:rsid w:val="000955B2"/>
    <w:rsid w:val="000958BC"/>
    <w:rsid w:val="00095DB2"/>
    <w:rsid w:val="00096B39"/>
    <w:rsid w:val="00096E36"/>
    <w:rsid w:val="00097569"/>
    <w:rsid w:val="000A195F"/>
    <w:rsid w:val="000A420F"/>
    <w:rsid w:val="000A53A4"/>
    <w:rsid w:val="000A77A9"/>
    <w:rsid w:val="000B1562"/>
    <w:rsid w:val="000B1AC9"/>
    <w:rsid w:val="000B249F"/>
    <w:rsid w:val="000B2B07"/>
    <w:rsid w:val="000B2D1A"/>
    <w:rsid w:val="000B3E29"/>
    <w:rsid w:val="000B4169"/>
    <w:rsid w:val="000B46DC"/>
    <w:rsid w:val="000C1CAC"/>
    <w:rsid w:val="000C243D"/>
    <w:rsid w:val="000C2919"/>
    <w:rsid w:val="000C2C37"/>
    <w:rsid w:val="000C2D98"/>
    <w:rsid w:val="000C3945"/>
    <w:rsid w:val="000C79CF"/>
    <w:rsid w:val="000D03B5"/>
    <w:rsid w:val="000D1870"/>
    <w:rsid w:val="000D7412"/>
    <w:rsid w:val="000D7A47"/>
    <w:rsid w:val="000E1F7F"/>
    <w:rsid w:val="000E283A"/>
    <w:rsid w:val="000E46D7"/>
    <w:rsid w:val="000F414B"/>
    <w:rsid w:val="000F6947"/>
    <w:rsid w:val="00103A33"/>
    <w:rsid w:val="00103AE5"/>
    <w:rsid w:val="0010655B"/>
    <w:rsid w:val="001065D4"/>
    <w:rsid w:val="00106AF3"/>
    <w:rsid w:val="001138AD"/>
    <w:rsid w:val="00114D89"/>
    <w:rsid w:val="0011645D"/>
    <w:rsid w:val="001176C5"/>
    <w:rsid w:val="00120B5E"/>
    <w:rsid w:val="00120CC1"/>
    <w:rsid w:val="00125037"/>
    <w:rsid w:val="001318DA"/>
    <w:rsid w:val="00132535"/>
    <w:rsid w:val="00132C86"/>
    <w:rsid w:val="001347A5"/>
    <w:rsid w:val="00135B31"/>
    <w:rsid w:val="00135E76"/>
    <w:rsid w:val="001404C8"/>
    <w:rsid w:val="001444F7"/>
    <w:rsid w:val="00145079"/>
    <w:rsid w:val="00146C0A"/>
    <w:rsid w:val="00147833"/>
    <w:rsid w:val="00150866"/>
    <w:rsid w:val="00152152"/>
    <w:rsid w:val="00155662"/>
    <w:rsid w:val="00157140"/>
    <w:rsid w:val="00157BA1"/>
    <w:rsid w:val="00157F9D"/>
    <w:rsid w:val="00161D88"/>
    <w:rsid w:val="001624C3"/>
    <w:rsid w:val="00163592"/>
    <w:rsid w:val="0016381A"/>
    <w:rsid w:val="00164A69"/>
    <w:rsid w:val="00164ED4"/>
    <w:rsid w:val="00164EE8"/>
    <w:rsid w:val="00166A18"/>
    <w:rsid w:val="00170D48"/>
    <w:rsid w:val="00172105"/>
    <w:rsid w:val="0017368D"/>
    <w:rsid w:val="00174A2E"/>
    <w:rsid w:val="001769C4"/>
    <w:rsid w:val="001777F6"/>
    <w:rsid w:val="00185F20"/>
    <w:rsid w:val="0018635C"/>
    <w:rsid w:val="00190305"/>
    <w:rsid w:val="001922A2"/>
    <w:rsid w:val="001930AD"/>
    <w:rsid w:val="00193187"/>
    <w:rsid w:val="00194C12"/>
    <w:rsid w:val="001952D0"/>
    <w:rsid w:val="0019543C"/>
    <w:rsid w:val="00196157"/>
    <w:rsid w:val="00196408"/>
    <w:rsid w:val="001A0AE7"/>
    <w:rsid w:val="001A116E"/>
    <w:rsid w:val="001A1E0F"/>
    <w:rsid w:val="001A44D0"/>
    <w:rsid w:val="001A4888"/>
    <w:rsid w:val="001A5037"/>
    <w:rsid w:val="001A5992"/>
    <w:rsid w:val="001A59A8"/>
    <w:rsid w:val="001A5D8C"/>
    <w:rsid w:val="001A6C69"/>
    <w:rsid w:val="001B1BEC"/>
    <w:rsid w:val="001B2AEB"/>
    <w:rsid w:val="001B6831"/>
    <w:rsid w:val="001C057B"/>
    <w:rsid w:val="001C1D1C"/>
    <w:rsid w:val="001C465E"/>
    <w:rsid w:val="001C513F"/>
    <w:rsid w:val="001C51A6"/>
    <w:rsid w:val="001C555F"/>
    <w:rsid w:val="001C5A87"/>
    <w:rsid w:val="001C6884"/>
    <w:rsid w:val="001D0E93"/>
    <w:rsid w:val="001D2A4F"/>
    <w:rsid w:val="001D3DBF"/>
    <w:rsid w:val="001D4B9C"/>
    <w:rsid w:val="001D622E"/>
    <w:rsid w:val="001E0664"/>
    <w:rsid w:val="001E3849"/>
    <w:rsid w:val="001E3FD2"/>
    <w:rsid w:val="001E4C2E"/>
    <w:rsid w:val="001E4EBB"/>
    <w:rsid w:val="001E5840"/>
    <w:rsid w:val="001F0125"/>
    <w:rsid w:val="001F046C"/>
    <w:rsid w:val="001F12B2"/>
    <w:rsid w:val="001F3F96"/>
    <w:rsid w:val="001F41B6"/>
    <w:rsid w:val="001F5DDD"/>
    <w:rsid w:val="001F6359"/>
    <w:rsid w:val="0020065D"/>
    <w:rsid w:val="00200FCE"/>
    <w:rsid w:val="00202543"/>
    <w:rsid w:val="0020683B"/>
    <w:rsid w:val="0020709B"/>
    <w:rsid w:val="00211EE0"/>
    <w:rsid w:val="00212536"/>
    <w:rsid w:val="00212A8F"/>
    <w:rsid w:val="00212E15"/>
    <w:rsid w:val="00214437"/>
    <w:rsid w:val="00214760"/>
    <w:rsid w:val="0021491A"/>
    <w:rsid w:val="00214A68"/>
    <w:rsid w:val="00215065"/>
    <w:rsid w:val="00216D22"/>
    <w:rsid w:val="0021732E"/>
    <w:rsid w:val="002179DB"/>
    <w:rsid w:val="002213EA"/>
    <w:rsid w:val="00221C87"/>
    <w:rsid w:val="002242CC"/>
    <w:rsid w:val="00224477"/>
    <w:rsid w:val="0022545D"/>
    <w:rsid w:val="00225BC3"/>
    <w:rsid w:val="0022644D"/>
    <w:rsid w:val="002265C2"/>
    <w:rsid w:val="00226CE4"/>
    <w:rsid w:val="00226FBE"/>
    <w:rsid w:val="00232FB6"/>
    <w:rsid w:val="00233E25"/>
    <w:rsid w:val="0023420D"/>
    <w:rsid w:val="00234812"/>
    <w:rsid w:val="002360EF"/>
    <w:rsid w:val="00240110"/>
    <w:rsid w:val="00242832"/>
    <w:rsid w:val="002434E9"/>
    <w:rsid w:val="0024405B"/>
    <w:rsid w:val="00244275"/>
    <w:rsid w:val="00244A4B"/>
    <w:rsid w:val="00244BC7"/>
    <w:rsid w:val="00244E97"/>
    <w:rsid w:val="00251415"/>
    <w:rsid w:val="00251A63"/>
    <w:rsid w:val="00253472"/>
    <w:rsid w:val="00253B1E"/>
    <w:rsid w:val="0025451A"/>
    <w:rsid w:val="00254CE1"/>
    <w:rsid w:val="00256664"/>
    <w:rsid w:val="002567AE"/>
    <w:rsid w:val="00257A68"/>
    <w:rsid w:val="00257E9C"/>
    <w:rsid w:val="00260637"/>
    <w:rsid w:val="002607EB"/>
    <w:rsid w:val="0026182C"/>
    <w:rsid w:val="0026186E"/>
    <w:rsid w:val="002629AD"/>
    <w:rsid w:val="00262F3A"/>
    <w:rsid w:val="002630E5"/>
    <w:rsid w:val="00263C50"/>
    <w:rsid w:val="00266B39"/>
    <w:rsid w:val="0027061E"/>
    <w:rsid w:val="00271129"/>
    <w:rsid w:val="0027563B"/>
    <w:rsid w:val="00276C50"/>
    <w:rsid w:val="00277576"/>
    <w:rsid w:val="00280DE0"/>
    <w:rsid w:val="00283D42"/>
    <w:rsid w:val="00284D70"/>
    <w:rsid w:val="0028645D"/>
    <w:rsid w:val="00291EC8"/>
    <w:rsid w:val="00292810"/>
    <w:rsid w:val="002938C2"/>
    <w:rsid w:val="00293935"/>
    <w:rsid w:val="00293CEB"/>
    <w:rsid w:val="00295AF2"/>
    <w:rsid w:val="00295C50"/>
    <w:rsid w:val="00295DBC"/>
    <w:rsid w:val="002967FD"/>
    <w:rsid w:val="002A045B"/>
    <w:rsid w:val="002A1A17"/>
    <w:rsid w:val="002A1D23"/>
    <w:rsid w:val="002A31EB"/>
    <w:rsid w:val="002A34DC"/>
    <w:rsid w:val="002A358A"/>
    <w:rsid w:val="002A518C"/>
    <w:rsid w:val="002A5D30"/>
    <w:rsid w:val="002A6C6A"/>
    <w:rsid w:val="002A7D78"/>
    <w:rsid w:val="002B087F"/>
    <w:rsid w:val="002B115A"/>
    <w:rsid w:val="002B1524"/>
    <w:rsid w:val="002B2254"/>
    <w:rsid w:val="002B3739"/>
    <w:rsid w:val="002B5FE4"/>
    <w:rsid w:val="002B6190"/>
    <w:rsid w:val="002C0B55"/>
    <w:rsid w:val="002C1966"/>
    <w:rsid w:val="002C23FE"/>
    <w:rsid w:val="002C4237"/>
    <w:rsid w:val="002C4369"/>
    <w:rsid w:val="002C54A5"/>
    <w:rsid w:val="002C66C4"/>
    <w:rsid w:val="002C7E84"/>
    <w:rsid w:val="002D1AD3"/>
    <w:rsid w:val="002D3F0A"/>
    <w:rsid w:val="002D42CE"/>
    <w:rsid w:val="002D4B6E"/>
    <w:rsid w:val="002D4D63"/>
    <w:rsid w:val="002D53DF"/>
    <w:rsid w:val="002D5655"/>
    <w:rsid w:val="002D625A"/>
    <w:rsid w:val="002D6830"/>
    <w:rsid w:val="002D6B11"/>
    <w:rsid w:val="002D7991"/>
    <w:rsid w:val="002E0F69"/>
    <w:rsid w:val="002E3851"/>
    <w:rsid w:val="002E3DA3"/>
    <w:rsid w:val="002E55B7"/>
    <w:rsid w:val="002E681B"/>
    <w:rsid w:val="002F0325"/>
    <w:rsid w:val="002F0B5A"/>
    <w:rsid w:val="002F10F5"/>
    <w:rsid w:val="002F116F"/>
    <w:rsid w:val="002F3DCE"/>
    <w:rsid w:val="002F62DA"/>
    <w:rsid w:val="002F6B43"/>
    <w:rsid w:val="002F72F1"/>
    <w:rsid w:val="00300A25"/>
    <w:rsid w:val="003015DB"/>
    <w:rsid w:val="00301930"/>
    <w:rsid w:val="003028F5"/>
    <w:rsid w:val="00303148"/>
    <w:rsid w:val="00305CB8"/>
    <w:rsid w:val="00307456"/>
    <w:rsid w:val="00310064"/>
    <w:rsid w:val="00312475"/>
    <w:rsid w:val="00313164"/>
    <w:rsid w:val="003151E6"/>
    <w:rsid w:val="00315C02"/>
    <w:rsid w:val="0031729D"/>
    <w:rsid w:val="003173D1"/>
    <w:rsid w:val="00317546"/>
    <w:rsid w:val="00317980"/>
    <w:rsid w:val="00320778"/>
    <w:rsid w:val="00322A0F"/>
    <w:rsid w:val="0032312B"/>
    <w:rsid w:val="0032452F"/>
    <w:rsid w:val="00324612"/>
    <w:rsid w:val="00324D06"/>
    <w:rsid w:val="00324DAA"/>
    <w:rsid w:val="003278BD"/>
    <w:rsid w:val="003278E7"/>
    <w:rsid w:val="003301E1"/>
    <w:rsid w:val="00330DE1"/>
    <w:rsid w:val="00331853"/>
    <w:rsid w:val="00335D43"/>
    <w:rsid w:val="00336179"/>
    <w:rsid w:val="00336E2B"/>
    <w:rsid w:val="00336FF7"/>
    <w:rsid w:val="00341691"/>
    <w:rsid w:val="003467E6"/>
    <w:rsid w:val="003508D2"/>
    <w:rsid w:val="003513E8"/>
    <w:rsid w:val="00351D13"/>
    <w:rsid w:val="0035575C"/>
    <w:rsid w:val="003564A2"/>
    <w:rsid w:val="00360D28"/>
    <w:rsid w:val="00361ABE"/>
    <w:rsid w:val="003624DD"/>
    <w:rsid w:val="003641B1"/>
    <w:rsid w:val="003647F2"/>
    <w:rsid w:val="00364DC9"/>
    <w:rsid w:val="003656D0"/>
    <w:rsid w:val="00367A56"/>
    <w:rsid w:val="00367D7B"/>
    <w:rsid w:val="00367E73"/>
    <w:rsid w:val="00370AF0"/>
    <w:rsid w:val="00371108"/>
    <w:rsid w:val="00371F54"/>
    <w:rsid w:val="003721A8"/>
    <w:rsid w:val="0037283A"/>
    <w:rsid w:val="00372C60"/>
    <w:rsid w:val="00373276"/>
    <w:rsid w:val="00373B37"/>
    <w:rsid w:val="003758D9"/>
    <w:rsid w:val="003769A7"/>
    <w:rsid w:val="003777B8"/>
    <w:rsid w:val="00377DB7"/>
    <w:rsid w:val="00377E71"/>
    <w:rsid w:val="003856F5"/>
    <w:rsid w:val="00385D84"/>
    <w:rsid w:val="0038642B"/>
    <w:rsid w:val="00392131"/>
    <w:rsid w:val="0039370E"/>
    <w:rsid w:val="00393C14"/>
    <w:rsid w:val="003943F4"/>
    <w:rsid w:val="00394B56"/>
    <w:rsid w:val="003954FF"/>
    <w:rsid w:val="003962C2"/>
    <w:rsid w:val="003969B0"/>
    <w:rsid w:val="003A00E4"/>
    <w:rsid w:val="003A0598"/>
    <w:rsid w:val="003A0E2F"/>
    <w:rsid w:val="003A4626"/>
    <w:rsid w:val="003B0C2D"/>
    <w:rsid w:val="003B2791"/>
    <w:rsid w:val="003B2979"/>
    <w:rsid w:val="003B4094"/>
    <w:rsid w:val="003B592E"/>
    <w:rsid w:val="003B637F"/>
    <w:rsid w:val="003B73F0"/>
    <w:rsid w:val="003B7D5C"/>
    <w:rsid w:val="003C0875"/>
    <w:rsid w:val="003C1F97"/>
    <w:rsid w:val="003C21AB"/>
    <w:rsid w:val="003C3BC4"/>
    <w:rsid w:val="003C4059"/>
    <w:rsid w:val="003C431D"/>
    <w:rsid w:val="003C608B"/>
    <w:rsid w:val="003C6F6C"/>
    <w:rsid w:val="003D12A9"/>
    <w:rsid w:val="003D1FEA"/>
    <w:rsid w:val="003D2D21"/>
    <w:rsid w:val="003D2F8D"/>
    <w:rsid w:val="003D35FC"/>
    <w:rsid w:val="003D3B6F"/>
    <w:rsid w:val="003D4703"/>
    <w:rsid w:val="003D7500"/>
    <w:rsid w:val="003D7D7F"/>
    <w:rsid w:val="003E0E9A"/>
    <w:rsid w:val="003E11AD"/>
    <w:rsid w:val="003E1AB7"/>
    <w:rsid w:val="003E315E"/>
    <w:rsid w:val="003E3D06"/>
    <w:rsid w:val="003E6F50"/>
    <w:rsid w:val="003E7CBF"/>
    <w:rsid w:val="003E7F0D"/>
    <w:rsid w:val="003F01C6"/>
    <w:rsid w:val="003F0697"/>
    <w:rsid w:val="003F1172"/>
    <w:rsid w:val="003F19EB"/>
    <w:rsid w:val="003F1E18"/>
    <w:rsid w:val="003F3A37"/>
    <w:rsid w:val="003F4654"/>
    <w:rsid w:val="003F6B42"/>
    <w:rsid w:val="003F7DD5"/>
    <w:rsid w:val="00401154"/>
    <w:rsid w:val="00401BBA"/>
    <w:rsid w:val="00401F67"/>
    <w:rsid w:val="004027A6"/>
    <w:rsid w:val="00407B6B"/>
    <w:rsid w:val="0041062F"/>
    <w:rsid w:val="00410FB4"/>
    <w:rsid w:val="004121BE"/>
    <w:rsid w:val="004133D4"/>
    <w:rsid w:val="004164C3"/>
    <w:rsid w:val="00417F69"/>
    <w:rsid w:val="00420669"/>
    <w:rsid w:val="00421835"/>
    <w:rsid w:val="00421B98"/>
    <w:rsid w:val="00422464"/>
    <w:rsid w:val="00422E9F"/>
    <w:rsid w:val="00423D6E"/>
    <w:rsid w:val="00424D1C"/>
    <w:rsid w:val="00424D8B"/>
    <w:rsid w:val="00426638"/>
    <w:rsid w:val="004300A8"/>
    <w:rsid w:val="00430F0E"/>
    <w:rsid w:val="004327CF"/>
    <w:rsid w:val="00432D6D"/>
    <w:rsid w:val="004363E0"/>
    <w:rsid w:val="00437B7D"/>
    <w:rsid w:val="0044087D"/>
    <w:rsid w:val="00441A0B"/>
    <w:rsid w:val="00441BCF"/>
    <w:rsid w:val="00442707"/>
    <w:rsid w:val="00442D62"/>
    <w:rsid w:val="004437D0"/>
    <w:rsid w:val="00444489"/>
    <w:rsid w:val="004449CE"/>
    <w:rsid w:val="00444DB0"/>
    <w:rsid w:val="00445E1B"/>
    <w:rsid w:val="004503EC"/>
    <w:rsid w:val="004549AC"/>
    <w:rsid w:val="00460D6A"/>
    <w:rsid w:val="00461ADF"/>
    <w:rsid w:val="00461C99"/>
    <w:rsid w:val="00462E2E"/>
    <w:rsid w:val="00463163"/>
    <w:rsid w:val="00464732"/>
    <w:rsid w:val="0046619F"/>
    <w:rsid w:val="00472C0D"/>
    <w:rsid w:val="0047523D"/>
    <w:rsid w:val="004761CA"/>
    <w:rsid w:val="00476562"/>
    <w:rsid w:val="00481D97"/>
    <w:rsid w:val="00484145"/>
    <w:rsid w:val="0048430C"/>
    <w:rsid w:val="0048496B"/>
    <w:rsid w:val="00485594"/>
    <w:rsid w:val="00485A2F"/>
    <w:rsid w:val="00485FB7"/>
    <w:rsid w:val="004872AA"/>
    <w:rsid w:val="0049097F"/>
    <w:rsid w:val="00490DA4"/>
    <w:rsid w:val="004910E5"/>
    <w:rsid w:val="00493030"/>
    <w:rsid w:val="00493758"/>
    <w:rsid w:val="00494A0A"/>
    <w:rsid w:val="00495C4B"/>
    <w:rsid w:val="004963C4"/>
    <w:rsid w:val="004A08B7"/>
    <w:rsid w:val="004A25ED"/>
    <w:rsid w:val="004A3E71"/>
    <w:rsid w:val="004A3F5D"/>
    <w:rsid w:val="004A4C9B"/>
    <w:rsid w:val="004A75F2"/>
    <w:rsid w:val="004B1A29"/>
    <w:rsid w:val="004B3D16"/>
    <w:rsid w:val="004B3F2B"/>
    <w:rsid w:val="004B3FBB"/>
    <w:rsid w:val="004B618C"/>
    <w:rsid w:val="004B6C3B"/>
    <w:rsid w:val="004B7DC9"/>
    <w:rsid w:val="004C0F6D"/>
    <w:rsid w:val="004C2EDE"/>
    <w:rsid w:val="004C30A6"/>
    <w:rsid w:val="004C3BA4"/>
    <w:rsid w:val="004C3F19"/>
    <w:rsid w:val="004C6B69"/>
    <w:rsid w:val="004C6CB4"/>
    <w:rsid w:val="004D061F"/>
    <w:rsid w:val="004D20FA"/>
    <w:rsid w:val="004D2B9E"/>
    <w:rsid w:val="004D4BB8"/>
    <w:rsid w:val="004D4E4B"/>
    <w:rsid w:val="004D55C8"/>
    <w:rsid w:val="004E0440"/>
    <w:rsid w:val="004E0833"/>
    <w:rsid w:val="004E2BF8"/>
    <w:rsid w:val="004E3259"/>
    <w:rsid w:val="004E4E44"/>
    <w:rsid w:val="004F04B1"/>
    <w:rsid w:val="004F0A87"/>
    <w:rsid w:val="004F36EF"/>
    <w:rsid w:val="004F482F"/>
    <w:rsid w:val="004F4FB9"/>
    <w:rsid w:val="004F51D4"/>
    <w:rsid w:val="004F58B7"/>
    <w:rsid w:val="004F6F9C"/>
    <w:rsid w:val="004F70EB"/>
    <w:rsid w:val="0050025F"/>
    <w:rsid w:val="00503088"/>
    <w:rsid w:val="005034DE"/>
    <w:rsid w:val="00505827"/>
    <w:rsid w:val="00506745"/>
    <w:rsid w:val="0051067A"/>
    <w:rsid w:val="005118FF"/>
    <w:rsid w:val="0051196D"/>
    <w:rsid w:val="00517F35"/>
    <w:rsid w:val="0052177C"/>
    <w:rsid w:val="00524536"/>
    <w:rsid w:val="00524616"/>
    <w:rsid w:val="00524D02"/>
    <w:rsid w:val="0052525D"/>
    <w:rsid w:val="00525AD5"/>
    <w:rsid w:val="0052677C"/>
    <w:rsid w:val="00526AAE"/>
    <w:rsid w:val="00527245"/>
    <w:rsid w:val="005304B2"/>
    <w:rsid w:val="00531722"/>
    <w:rsid w:val="00531DAE"/>
    <w:rsid w:val="005323BE"/>
    <w:rsid w:val="00532F60"/>
    <w:rsid w:val="00537D3C"/>
    <w:rsid w:val="005415A9"/>
    <w:rsid w:val="005423C8"/>
    <w:rsid w:val="00544E8E"/>
    <w:rsid w:val="00547620"/>
    <w:rsid w:val="005476ED"/>
    <w:rsid w:val="00547A9E"/>
    <w:rsid w:val="00547CB9"/>
    <w:rsid w:val="005515C4"/>
    <w:rsid w:val="005515E6"/>
    <w:rsid w:val="0055183F"/>
    <w:rsid w:val="005525ED"/>
    <w:rsid w:val="00560018"/>
    <w:rsid w:val="00560926"/>
    <w:rsid w:val="00562BB0"/>
    <w:rsid w:val="0056427E"/>
    <w:rsid w:val="00565C04"/>
    <w:rsid w:val="0056667E"/>
    <w:rsid w:val="00566D73"/>
    <w:rsid w:val="0056736B"/>
    <w:rsid w:val="005704D7"/>
    <w:rsid w:val="00572D9D"/>
    <w:rsid w:val="005742B4"/>
    <w:rsid w:val="00574FB9"/>
    <w:rsid w:val="00576868"/>
    <w:rsid w:val="005777C4"/>
    <w:rsid w:val="005805DA"/>
    <w:rsid w:val="00580FE0"/>
    <w:rsid w:val="0058112B"/>
    <w:rsid w:val="005838FD"/>
    <w:rsid w:val="00583BD2"/>
    <w:rsid w:val="005849C3"/>
    <w:rsid w:val="005911F2"/>
    <w:rsid w:val="00591577"/>
    <w:rsid w:val="005931D8"/>
    <w:rsid w:val="00593CFE"/>
    <w:rsid w:val="00596249"/>
    <w:rsid w:val="00597078"/>
    <w:rsid w:val="005A384F"/>
    <w:rsid w:val="005A52A4"/>
    <w:rsid w:val="005A62BE"/>
    <w:rsid w:val="005A69F6"/>
    <w:rsid w:val="005A6B3E"/>
    <w:rsid w:val="005A743E"/>
    <w:rsid w:val="005A7855"/>
    <w:rsid w:val="005B0A4B"/>
    <w:rsid w:val="005B43D5"/>
    <w:rsid w:val="005B5CEB"/>
    <w:rsid w:val="005B5F4C"/>
    <w:rsid w:val="005C0518"/>
    <w:rsid w:val="005C06C9"/>
    <w:rsid w:val="005C079E"/>
    <w:rsid w:val="005C23A3"/>
    <w:rsid w:val="005C27BC"/>
    <w:rsid w:val="005C2CFC"/>
    <w:rsid w:val="005C2DBE"/>
    <w:rsid w:val="005C5783"/>
    <w:rsid w:val="005C57AD"/>
    <w:rsid w:val="005C617B"/>
    <w:rsid w:val="005C7A00"/>
    <w:rsid w:val="005D17B9"/>
    <w:rsid w:val="005D286E"/>
    <w:rsid w:val="005D3E64"/>
    <w:rsid w:val="005D4945"/>
    <w:rsid w:val="005D5358"/>
    <w:rsid w:val="005D54C5"/>
    <w:rsid w:val="005D5998"/>
    <w:rsid w:val="005D7560"/>
    <w:rsid w:val="005D761A"/>
    <w:rsid w:val="005E0E6A"/>
    <w:rsid w:val="005E2D40"/>
    <w:rsid w:val="005E3769"/>
    <w:rsid w:val="005E3848"/>
    <w:rsid w:val="005E6884"/>
    <w:rsid w:val="005E6F6B"/>
    <w:rsid w:val="005E75C1"/>
    <w:rsid w:val="005E7A25"/>
    <w:rsid w:val="005F03A3"/>
    <w:rsid w:val="005F1331"/>
    <w:rsid w:val="005F1645"/>
    <w:rsid w:val="005F2545"/>
    <w:rsid w:val="005F2F23"/>
    <w:rsid w:val="005F4355"/>
    <w:rsid w:val="005F4A38"/>
    <w:rsid w:val="005F56F8"/>
    <w:rsid w:val="005F7E39"/>
    <w:rsid w:val="0060014E"/>
    <w:rsid w:val="00600405"/>
    <w:rsid w:val="006013B6"/>
    <w:rsid w:val="00602285"/>
    <w:rsid w:val="00604484"/>
    <w:rsid w:val="006045E4"/>
    <w:rsid w:val="00611D4A"/>
    <w:rsid w:val="00612577"/>
    <w:rsid w:val="00612B2F"/>
    <w:rsid w:val="00612BAE"/>
    <w:rsid w:val="00613A29"/>
    <w:rsid w:val="006140A9"/>
    <w:rsid w:val="006141EE"/>
    <w:rsid w:val="006162BE"/>
    <w:rsid w:val="00616FDF"/>
    <w:rsid w:val="00617EE8"/>
    <w:rsid w:val="00620217"/>
    <w:rsid w:val="00620F20"/>
    <w:rsid w:val="00621CE5"/>
    <w:rsid w:val="006223CC"/>
    <w:rsid w:val="006229ED"/>
    <w:rsid w:val="006233D0"/>
    <w:rsid w:val="00626A0B"/>
    <w:rsid w:val="00626CF6"/>
    <w:rsid w:val="00626F0A"/>
    <w:rsid w:val="0062796F"/>
    <w:rsid w:val="006319B4"/>
    <w:rsid w:val="00633B49"/>
    <w:rsid w:val="00635484"/>
    <w:rsid w:val="00635EE4"/>
    <w:rsid w:val="006367A2"/>
    <w:rsid w:val="006368EA"/>
    <w:rsid w:val="006370C2"/>
    <w:rsid w:val="0064033C"/>
    <w:rsid w:val="00640377"/>
    <w:rsid w:val="00642556"/>
    <w:rsid w:val="006444A0"/>
    <w:rsid w:val="00650844"/>
    <w:rsid w:val="00650A4B"/>
    <w:rsid w:val="00651FA4"/>
    <w:rsid w:val="00653292"/>
    <w:rsid w:val="006539A7"/>
    <w:rsid w:val="006548E1"/>
    <w:rsid w:val="006558BB"/>
    <w:rsid w:val="00655C99"/>
    <w:rsid w:val="00656ECD"/>
    <w:rsid w:val="006612EE"/>
    <w:rsid w:val="00663E8C"/>
    <w:rsid w:val="00664A22"/>
    <w:rsid w:val="00665937"/>
    <w:rsid w:val="00666E8F"/>
    <w:rsid w:val="006708E2"/>
    <w:rsid w:val="00672AEA"/>
    <w:rsid w:val="00675047"/>
    <w:rsid w:val="00677E81"/>
    <w:rsid w:val="0068014D"/>
    <w:rsid w:val="00681379"/>
    <w:rsid w:val="00682228"/>
    <w:rsid w:val="00683802"/>
    <w:rsid w:val="0068422A"/>
    <w:rsid w:val="00684B56"/>
    <w:rsid w:val="00685D02"/>
    <w:rsid w:val="00686A43"/>
    <w:rsid w:val="006941BA"/>
    <w:rsid w:val="006942EF"/>
    <w:rsid w:val="006945E6"/>
    <w:rsid w:val="0069522F"/>
    <w:rsid w:val="0069527F"/>
    <w:rsid w:val="006962DF"/>
    <w:rsid w:val="00696AD9"/>
    <w:rsid w:val="006A155B"/>
    <w:rsid w:val="006A1A39"/>
    <w:rsid w:val="006A1FFC"/>
    <w:rsid w:val="006A266A"/>
    <w:rsid w:val="006A380C"/>
    <w:rsid w:val="006A5506"/>
    <w:rsid w:val="006A60EA"/>
    <w:rsid w:val="006B018F"/>
    <w:rsid w:val="006B0442"/>
    <w:rsid w:val="006B2A1D"/>
    <w:rsid w:val="006B2EA3"/>
    <w:rsid w:val="006B3334"/>
    <w:rsid w:val="006B495E"/>
    <w:rsid w:val="006B5890"/>
    <w:rsid w:val="006B5C8E"/>
    <w:rsid w:val="006B6B71"/>
    <w:rsid w:val="006C0032"/>
    <w:rsid w:val="006C0A6E"/>
    <w:rsid w:val="006C26BE"/>
    <w:rsid w:val="006C3ED4"/>
    <w:rsid w:val="006D070E"/>
    <w:rsid w:val="006D2BCF"/>
    <w:rsid w:val="006D2F63"/>
    <w:rsid w:val="006D3562"/>
    <w:rsid w:val="006D3773"/>
    <w:rsid w:val="006D46ED"/>
    <w:rsid w:val="006D4B42"/>
    <w:rsid w:val="006D4DDD"/>
    <w:rsid w:val="006D5375"/>
    <w:rsid w:val="006D65EE"/>
    <w:rsid w:val="006D7D67"/>
    <w:rsid w:val="006E0781"/>
    <w:rsid w:val="006E1CFE"/>
    <w:rsid w:val="006E245B"/>
    <w:rsid w:val="006E2E46"/>
    <w:rsid w:val="006E4C39"/>
    <w:rsid w:val="006E6F7C"/>
    <w:rsid w:val="006E72F0"/>
    <w:rsid w:val="006E7315"/>
    <w:rsid w:val="006F335D"/>
    <w:rsid w:val="006F7DE4"/>
    <w:rsid w:val="0070147D"/>
    <w:rsid w:val="00701811"/>
    <w:rsid w:val="007044E8"/>
    <w:rsid w:val="00706D4B"/>
    <w:rsid w:val="007103A9"/>
    <w:rsid w:val="00712A55"/>
    <w:rsid w:val="00712F2A"/>
    <w:rsid w:val="0071332F"/>
    <w:rsid w:val="00713748"/>
    <w:rsid w:val="00716317"/>
    <w:rsid w:val="00717E1C"/>
    <w:rsid w:val="007225C0"/>
    <w:rsid w:val="00723805"/>
    <w:rsid w:val="0072382D"/>
    <w:rsid w:val="007246C5"/>
    <w:rsid w:val="00725050"/>
    <w:rsid w:val="007251CE"/>
    <w:rsid w:val="0072540E"/>
    <w:rsid w:val="00725D70"/>
    <w:rsid w:val="00726B94"/>
    <w:rsid w:val="00726F81"/>
    <w:rsid w:val="00727CF5"/>
    <w:rsid w:val="00730FD5"/>
    <w:rsid w:val="007316B0"/>
    <w:rsid w:val="0073271D"/>
    <w:rsid w:val="00733912"/>
    <w:rsid w:val="007344DF"/>
    <w:rsid w:val="00737648"/>
    <w:rsid w:val="0073793E"/>
    <w:rsid w:val="00737AAC"/>
    <w:rsid w:val="00741576"/>
    <w:rsid w:val="00742A93"/>
    <w:rsid w:val="00743AC5"/>
    <w:rsid w:val="00744C72"/>
    <w:rsid w:val="00745A7C"/>
    <w:rsid w:val="00746A7E"/>
    <w:rsid w:val="00747571"/>
    <w:rsid w:val="00747F92"/>
    <w:rsid w:val="00757767"/>
    <w:rsid w:val="0076227F"/>
    <w:rsid w:val="00762360"/>
    <w:rsid w:val="00762E69"/>
    <w:rsid w:val="00764B7D"/>
    <w:rsid w:val="00764DD9"/>
    <w:rsid w:val="00766320"/>
    <w:rsid w:val="00772259"/>
    <w:rsid w:val="00772D08"/>
    <w:rsid w:val="00775BA4"/>
    <w:rsid w:val="00776263"/>
    <w:rsid w:val="007764EC"/>
    <w:rsid w:val="00776D39"/>
    <w:rsid w:val="00780802"/>
    <w:rsid w:val="00780D6C"/>
    <w:rsid w:val="007822C3"/>
    <w:rsid w:val="007825F1"/>
    <w:rsid w:val="00782C56"/>
    <w:rsid w:val="00785F72"/>
    <w:rsid w:val="00786A4D"/>
    <w:rsid w:val="0079032B"/>
    <w:rsid w:val="007908D3"/>
    <w:rsid w:val="00791584"/>
    <w:rsid w:val="007916EE"/>
    <w:rsid w:val="0079243E"/>
    <w:rsid w:val="00792D02"/>
    <w:rsid w:val="007931CF"/>
    <w:rsid w:val="00794947"/>
    <w:rsid w:val="0079551A"/>
    <w:rsid w:val="007958B7"/>
    <w:rsid w:val="0079638E"/>
    <w:rsid w:val="007966E3"/>
    <w:rsid w:val="0079768D"/>
    <w:rsid w:val="0079797C"/>
    <w:rsid w:val="007A06DA"/>
    <w:rsid w:val="007A1DD0"/>
    <w:rsid w:val="007A2AFC"/>
    <w:rsid w:val="007A4AA0"/>
    <w:rsid w:val="007A4E13"/>
    <w:rsid w:val="007A57CD"/>
    <w:rsid w:val="007A6CE0"/>
    <w:rsid w:val="007A7CF7"/>
    <w:rsid w:val="007B0784"/>
    <w:rsid w:val="007B1898"/>
    <w:rsid w:val="007B2058"/>
    <w:rsid w:val="007B7E25"/>
    <w:rsid w:val="007C180D"/>
    <w:rsid w:val="007C2F0B"/>
    <w:rsid w:val="007C3506"/>
    <w:rsid w:val="007C480D"/>
    <w:rsid w:val="007C62CC"/>
    <w:rsid w:val="007C6384"/>
    <w:rsid w:val="007D0C47"/>
    <w:rsid w:val="007D0E22"/>
    <w:rsid w:val="007D18A6"/>
    <w:rsid w:val="007D39FE"/>
    <w:rsid w:val="007D3A86"/>
    <w:rsid w:val="007D6164"/>
    <w:rsid w:val="007D73D1"/>
    <w:rsid w:val="007D7554"/>
    <w:rsid w:val="007E0035"/>
    <w:rsid w:val="007E03B7"/>
    <w:rsid w:val="007E2217"/>
    <w:rsid w:val="007E2A3F"/>
    <w:rsid w:val="007E37C7"/>
    <w:rsid w:val="007E3BF8"/>
    <w:rsid w:val="007E421C"/>
    <w:rsid w:val="007E5B08"/>
    <w:rsid w:val="007F06A5"/>
    <w:rsid w:val="007F06FB"/>
    <w:rsid w:val="007F14CC"/>
    <w:rsid w:val="007F64E2"/>
    <w:rsid w:val="007F7DED"/>
    <w:rsid w:val="00800110"/>
    <w:rsid w:val="008018F5"/>
    <w:rsid w:val="00803C5E"/>
    <w:rsid w:val="00803CC2"/>
    <w:rsid w:val="008041E3"/>
    <w:rsid w:val="00804604"/>
    <w:rsid w:val="0080632D"/>
    <w:rsid w:val="0080687E"/>
    <w:rsid w:val="00806A09"/>
    <w:rsid w:val="00807618"/>
    <w:rsid w:val="008111EB"/>
    <w:rsid w:val="0081132F"/>
    <w:rsid w:val="00812737"/>
    <w:rsid w:val="00812BA2"/>
    <w:rsid w:val="00813869"/>
    <w:rsid w:val="0081455A"/>
    <w:rsid w:val="00815F6A"/>
    <w:rsid w:val="00821B12"/>
    <w:rsid w:val="00823933"/>
    <w:rsid w:val="008258A6"/>
    <w:rsid w:val="00827E71"/>
    <w:rsid w:val="00827F9E"/>
    <w:rsid w:val="00832ECE"/>
    <w:rsid w:val="00834747"/>
    <w:rsid w:val="00835CF4"/>
    <w:rsid w:val="00836B23"/>
    <w:rsid w:val="0084186C"/>
    <w:rsid w:val="008419AE"/>
    <w:rsid w:val="00843FC8"/>
    <w:rsid w:val="00844482"/>
    <w:rsid w:val="0084462C"/>
    <w:rsid w:val="00845A45"/>
    <w:rsid w:val="00846259"/>
    <w:rsid w:val="00847EDC"/>
    <w:rsid w:val="008500C2"/>
    <w:rsid w:val="00850442"/>
    <w:rsid w:val="00852F25"/>
    <w:rsid w:val="008531A1"/>
    <w:rsid w:val="00853864"/>
    <w:rsid w:val="00853EA2"/>
    <w:rsid w:val="008543D8"/>
    <w:rsid w:val="00854B45"/>
    <w:rsid w:val="00856C84"/>
    <w:rsid w:val="00856FF8"/>
    <w:rsid w:val="00857161"/>
    <w:rsid w:val="00857396"/>
    <w:rsid w:val="00857EB1"/>
    <w:rsid w:val="00860DF5"/>
    <w:rsid w:val="008628E5"/>
    <w:rsid w:val="00864233"/>
    <w:rsid w:val="0086629F"/>
    <w:rsid w:val="008701C9"/>
    <w:rsid w:val="00872236"/>
    <w:rsid w:val="00872D22"/>
    <w:rsid w:val="00873BE7"/>
    <w:rsid w:val="008748AC"/>
    <w:rsid w:val="00874AA4"/>
    <w:rsid w:val="00875DBC"/>
    <w:rsid w:val="0088006A"/>
    <w:rsid w:val="00880C36"/>
    <w:rsid w:val="008815FD"/>
    <w:rsid w:val="008816CB"/>
    <w:rsid w:val="0088221A"/>
    <w:rsid w:val="00884427"/>
    <w:rsid w:val="00887328"/>
    <w:rsid w:val="0088732B"/>
    <w:rsid w:val="00890102"/>
    <w:rsid w:val="00891702"/>
    <w:rsid w:val="008935A4"/>
    <w:rsid w:val="0089431C"/>
    <w:rsid w:val="00895FF2"/>
    <w:rsid w:val="00897003"/>
    <w:rsid w:val="00897B2D"/>
    <w:rsid w:val="008A0828"/>
    <w:rsid w:val="008A0C7B"/>
    <w:rsid w:val="008A168E"/>
    <w:rsid w:val="008A1779"/>
    <w:rsid w:val="008A17D6"/>
    <w:rsid w:val="008A1C09"/>
    <w:rsid w:val="008A2AFA"/>
    <w:rsid w:val="008A4E68"/>
    <w:rsid w:val="008A60F7"/>
    <w:rsid w:val="008A7482"/>
    <w:rsid w:val="008A7DA4"/>
    <w:rsid w:val="008B34C9"/>
    <w:rsid w:val="008B416E"/>
    <w:rsid w:val="008B4C39"/>
    <w:rsid w:val="008B5267"/>
    <w:rsid w:val="008B6117"/>
    <w:rsid w:val="008B63D7"/>
    <w:rsid w:val="008B654C"/>
    <w:rsid w:val="008B7221"/>
    <w:rsid w:val="008C0259"/>
    <w:rsid w:val="008C039A"/>
    <w:rsid w:val="008C0418"/>
    <w:rsid w:val="008C0866"/>
    <w:rsid w:val="008C08C3"/>
    <w:rsid w:val="008C1D3B"/>
    <w:rsid w:val="008C2362"/>
    <w:rsid w:val="008C7E51"/>
    <w:rsid w:val="008C7F86"/>
    <w:rsid w:val="008D0878"/>
    <w:rsid w:val="008D1CBE"/>
    <w:rsid w:val="008D4032"/>
    <w:rsid w:val="008D47DB"/>
    <w:rsid w:val="008D7686"/>
    <w:rsid w:val="008D7E8A"/>
    <w:rsid w:val="008E0DB9"/>
    <w:rsid w:val="008E24C6"/>
    <w:rsid w:val="008E2E65"/>
    <w:rsid w:val="008E356B"/>
    <w:rsid w:val="008E35EA"/>
    <w:rsid w:val="008E4352"/>
    <w:rsid w:val="008E46C7"/>
    <w:rsid w:val="008E4A08"/>
    <w:rsid w:val="008E4CCD"/>
    <w:rsid w:val="008E6011"/>
    <w:rsid w:val="008E640C"/>
    <w:rsid w:val="008E6FB1"/>
    <w:rsid w:val="008F14A0"/>
    <w:rsid w:val="008F2942"/>
    <w:rsid w:val="008F2CC9"/>
    <w:rsid w:val="008F6919"/>
    <w:rsid w:val="008F6EFA"/>
    <w:rsid w:val="009009C3"/>
    <w:rsid w:val="00900C00"/>
    <w:rsid w:val="00904133"/>
    <w:rsid w:val="00904C5A"/>
    <w:rsid w:val="009050BC"/>
    <w:rsid w:val="00905780"/>
    <w:rsid w:val="009059EF"/>
    <w:rsid w:val="009062A8"/>
    <w:rsid w:val="0090665E"/>
    <w:rsid w:val="009113A3"/>
    <w:rsid w:val="00911B63"/>
    <w:rsid w:val="0091210F"/>
    <w:rsid w:val="00912ED1"/>
    <w:rsid w:val="0091345C"/>
    <w:rsid w:val="009145E6"/>
    <w:rsid w:val="009148C8"/>
    <w:rsid w:val="00914A15"/>
    <w:rsid w:val="00915D38"/>
    <w:rsid w:val="00916FC5"/>
    <w:rsid w:val="00917AAA"/>
    <w:rsid w:val="00917C98"/>
    <w:rsid w:val="00920CCE"/>
    <w:rsid w:val="0092375B"/>
    <w:rsid w:val="00923885"/>
    <w:rsid w:val="00923DBF"/>
    <w:rsid w:val="00924CC4"/>
    <w:rsid w:val="0092581D"/>
    <w:rsid w:val="00931084"/>
    <w:rsid w:val="009317FF"/>
    <w:rsid w:val="00932A9B"/>
    <w:rsid w:val="00935489"/>
    <w:rsid w:val="00935CE5"/>
    <w:rsid w:val="00940E19"/>
    <w:rsid w:val="00943928"/>
    <w:rsid w:val="009455A5"/>
    <w:rsid w:val="00945CFB"/>
    <w:rsid w:val="009512BC"/>
    <w:rsid w:val="00952576"/>
    <w:rsid w:val="0095413D"/>
    <w:rsid w:val="00957E4B"/>
    <w:rsid w:val="00957F2C"/>
    <w:rsid w:val="00960373"/>
    <w:rsid w:val="00960EF9"/>
    <w:rsid w:val="00961E25"/>
    <w:rsid w:val="00963F4A"/>
    <w:rsid w:val="009648D4"/>
    <w:rsid w:val="00964BE4"/>
    <w:rsid w:val="009665BB"/>
    <w:rsid w:val="00966694"/>
    <w:rsid w:val="00967182"/>
    <w:rsid w:val="00967563"/>
    <w:rsid w:val="00967D27"/>
    <w:rsid w:val="00970B89"/>
    <w:rsid w:val="00972780"/>
    <w:rsid w:val="0098318A"/>
    <w:rsid w:val="009853C4"/>
    <w:rsid w:val="00986F01"/>
    <w:rsid w:val="009900DB"/>
    <w:rsid w:val="0099034C"/>
    <w:rsid w:val="00991018"/>
    <w:rsid w:val="009917F5"/>
    <w:rsid w:val="00991EB1"/>
    <w:rsid w:val="00992FE4"/>
    <w:rsid w:val="00995881"/>
    <w:rsid w:val="00996DC2"/>
    <w:rsid w:val="00997B5C"/>
    <w:rsid w:val="009A038A"/>
    <w:rsid w:val="009A2173"/>
    <w:rsid w:val="009A3158"/>
    <w:rsid w:val="009A3C38"/>
    <w:rsid w:val="009A5D7B"/>
    <w:rsid w:val="009A7532"/>
    <w:rsid w:val="009A7C47"/>
    <w:rsid w:val="009B0752"/>
    <w:rsid w:val="009B111D"/>
    <w:rsid w:val="009B2781"/>
    <w:rsid w:val="009B2C38"/>
    <w:rsid w:val="009B2E01"/>
    <w:rsid w:val="009B3528"/>
    <w:rsid w:val="009B3727"/>
    <w:rsid w:val="009B3887"/>
    <w:rsid w:val="009B7CA3"/>
    <w:rsid w:val="009B7E44"/>
    <w:rsid w:val="009C074D"/>
    <w:rsid w:val="009C0BDD"/>
    <w:rsid w:val="009C4DFA"/>
    <w:rsid w:val="009C575F"/>
    <w:rsid w:val="009C688B"/>
    <w:rsid w:val="009C6BF0"/>
    <w:rsid w:val="009D1E5A"/>
    <w:rsid w:val="009D3B89"/>
    <w:rsid w:val="009D4BBE"/>
    <w:rsid w:val="009D5DFD"/>
    <w:rsid w:val="009E2B22"/>
    <w:rsid w:val="009E3D56"/>
    <w:rsid w:val="009E5793"/>
    <w:rsid w:val="009E689B"/>
    <w:rsid w:val="009F114D"/>
    <w:rsid w:val="009F1162"/>
    <w:rsid w:val="009F14A0"/>
    <w:rsid w:val="009F24D2"/>
    <w:rsid w:val="009F3A4B"/>
    <w:rsid w:val="009F48A1"/>
    <w:rsid w:val="009F6A37"/>
    <w:rsid w:val="009F703B"/>
    <w:rsid w:val="009F7D8C"/>
    <w:rsid w:val="009F7DEB"/>
    <w:rsid w:val="00A0328A"/>
    <w:rsid w:val="00A0347C"/>
    <w:rsid w:val="00A05FB4"/>
    <w:rsid w:val="00A0771F"/>
    <w:rsid w:val="00A129FD"/>
    <w:rsid w:val="00A13092"/>
    <w:rsid w:val="00A1365A"/>
    <w:rsid w:val="00A143E8"/>
    <w:rsid w:val="00A15A6A"/>
    <w:rsid w:val="00A16965"/>
    <w:rsid w:val="00A16A30"/>
    <w:rsid w:val="00A173D2"/>
    <w:rsid w:val="00A20AB9"/>
    <w:rsid w:val="00A20BA0"/>
    <w:rsid w:val="00A22536"/>
    <w:rsid w:val="00A22886"/>
    <w:rsid w:val="00A22D7A"/>
    <w:rsid w:val="00A23277"/>
    <w:rsid w:val="00A2578B"/>
    <w:rsid w:val="00A25AEE"/>
    <w:rsid w:val="00A26104"/>
    <w:rsid w:val="00A26107"/>
    <w:rsid w:val="00A277EA"/>
    <w:rsid w:val="00A27C89"/>
    <w:rsid w:val="00A30592"/>
    <w:rsid w:val="00A30E47"/>
    <w:rsid w:val="00A310F8"/>
    <w:rsid w:val="00A31A7E"/>
    <w:rsid w:val="00A324AA"/>
    <w:rsid w:val="00A32BF6"/>
    <w:rsid w:val="00A32FD5"/>
    <w:rsid w:val="00A34BBE"/>
    <w:rsid w:val="00A362E9"/>
    <w:rsid w:val="00A36CA0"/>
    <w:rsid w:val="00A42962"/>
    <w:rsid w:val="00A44241"/>
    <w:rsid w:val="00A45EF6"/>
    <w:rsid w:val="00A46181"/>
    <w:rsid w:val="00A47CA6"/>
    <w:rsid w:val="00A47FCE"/>
    <w:rsid w:val="00A531C2"/>
    <w:rsid w:val="00A53DD8"/>
    <w:rsid w:val="00A5618D"/>
    <w:rsid w:val="00A56770"/>
    <w:rsid w:val="00A57382"/>
    <w:rsid w:val="00A574B0"/>
    <w:rsid w:val="00A60153"/>
    <w:rsid w:val="00A619D8"/>
    <w:rsid w:val="00A61A88"/>
    <w:rsid w:val="00A62024"/>
    <w:rsid w:val="00A63241"/>
    <w:rsid w:val="00A64BB5"/>
    <w:rsid w:val="00A6711E"/>
    <w:rsid w:val="00A6774A"/>
    <w:rsid w:val="00A70BE1"/>
    <w:rsid w:val="00A70EB7"/>
    <w:rsid w:val="00A724AB"/>
    <w:rsid w:val="00A736B3"/>
    <w:rsid w:val="00A74625"/>
    <w:rsid w:val="00A7564C"/>
    <w:rsid w:val="00A75E7E"/>
    <w:rsid w:val="00A76269"/>
    <w:rsid w:val="00A7659F"/>
    <w:rsid w:val="00A80568"/>
    <w:rsid w:val="00A81141"/>
    <w:rsid w:val="00A81BF1"/>
    <w:rsid w:val="00A81E78"/>
    <w:rsid w:val="00A8280C"/>
    <w:rsid w:val="00A8353F"/>
    <w:rsid w:val="00A849B9"/>
    <w:rsid w:val="00A84F87"/>
    <w:rsid w:val="00A85194"/>
    <w:rsid w:val="00A87FE1"/>
    <w:rsid w:val="00A90EB9"/>
    <w:rsid w:val="00A91F78"/>
    <w:rsid w:val="00A93466"/>
    <w:rsid w:val="00A93A43"/>
    <w:rsid w:val="00A960A7"/>
    <w:rsid w:val="00AA11F1"/>
    <w:rsid w:val="00AA23F9"/>
    <w:rsid w:val="00AA2FA1"/>
    <w:rsid w:val="00AA64C2"/>
    <w:rsid w:val="00AA6728"/>
    <w:rsid w:val="00AB0133"/>
    <w:rsid w:val="00AB0595"/>
    <w:rsid w:val="00AB11FC"/>
    <w:rsid w:val="00AB2463"/>
    <w:rsid w:val="00AB591C"/>
    <w:rsid w:val="00AB5B52"/>
    <w:rsid w:val="00AB5F22"/>
    <w:rsid w:val="00AB6514"/>
    <w:rsid w:val="00AB7188"/>
    <w:rsid w:val="00AC1A53"/>
    <w:rsid w:val="00AC6FF9"/>
    <w:rsid w:val="00AD1F16"/>
    <w:rsid w:val="00AD2786"/>
    <w:rsid w:val="00AD3122"/>
    <w:rsid w:val="00AD32D9"/>
    <w:rsid w:val="00AD5570"/>
    <w:rsid w:val="00AD5A99"/>
    <w:rsid w:val="00AD7BB9"/>
    <w:rsid w:val="00AD7D4D"/>
    <w:rsid w:val="00AE17E7"/>
    <w:rsid w:val="00AE32D3"/>
    <w:rsid w:val="00AE33C8"/>
    <w:rsid w:val="00AE3596"/>
    <w:rsid w:val="00AE35AA"/>
    <w:rsid w:val="00AE56F4"/>
    <w:rsid w:val="00AE69DE"/>
    <w:rsid w:val="00AE6E36"/>
    <w:rsid w:val="00AE7668"/>
    <w:rsid w:val="00AF08E9"/>
    <w:rsid w:val="00AF1062"/>
    <w:rsid w:val="00AF1CAD"/>
    <w:rsid w:val="00AF28D8"/>
    <w:rsid w:val="00AF2936"/>
    <w:rsid w:val="00AF548D"/>
    <w:rsid w:val="00AF578F"/>
    <w:rsid w:val="00AF7D08"/>
    <w:rsid w:val="00B002D3"/>
    <w:rsid w:val="00B00D23"/>
    <w:rsid w:val="00B01705"/>
    <w:rsid w:val="00B01CC0"/>
    <w:rsid w:val="00B03F88"/>
    <w:rsid w:val="00B049BA"/>
    <w:rsid w:val="00B050D0"/>
    <w:rsid w:val="00B05DB7"/>
    <w:rsid w:val="00B06E8B"/>
    <w:rsid w:val="00B1134A"/>
    <w:rsid w:val="00B11B56"/>
    <w:rsid w:val="00B14FCF"/>
    <w:rsid w:val="00B16E6A"/>
    <w:rsid w:val="00B20935"/>
    <w:rsid w:val="00B2172E"/>
    <w:rsid w:val="00B21AE8"/>
    <w:rsid w:val="00B221B4"/>
    <w:rsid w:val="00B2266C"/>
    <w:rsid w:val="00B2288A"/>
    <w:rsid w:val="00B2398D"/>
    <w:rsid w:val="00B239DE"/>
    <w:rsid w:val="00B2624E"/>
    <w:rsid w:val="00B26963"/>
    <w:rsid w:val="00B270A5"/>
    <w:rsid w:val="00B27FCF"/>
    <w:rsid w:val="00B30B3B"/>
    <w:rsid w:val="00B30D64"/>
    <w:rsid w:val="00B33144"/>
    <w:rsid w:val="00B3422C"/>
    <w:rsid w:val="00B35304"/>
    <w:rsid w:val="00B35F11"/>
    <w:rsid w:val="00B361B2"/>
    <w:rsid w:val="00B366FD"/>
    <w:rsid w:val="00B37B27"/>
    <w:rsid w:val="00B37DF2"/>
    <w:rsid w:val="00B404A3"/>
    <w:rsid w:val="00B41264"/>
    <w:rsid w:val="00B414BE"/>
    <w:rsid w:val="00B41568"/>
    <w:rsid w:val="00B41626"/>
    <w:rsid w:val="00B41880"/>
    <w:rsid w:val="00B41C60"/>
    <w:rsid w:val="00B42BD8"/>
    <w:rsid w:val="00B43618"/>
    <w:rsid w:val="00B43B28"/>
    <w:rsid w:val="00B43DA4"/>
    <w:rsid w:val="00B4444D"/>
    <w:rsid w:val="00B44918"/>
    <w:rsid w:val="00B45306"/>
    <w:rsid w:val="00B47401"/>
    <w:rsid w:val="00B5243A"/>
    <w:rsid w:val="00B5402F"/>
    <w:rsid w:val="00B5509E"/>
    <w:rsid w:val="00B55E67"/>
    <w:rsid w:val="00B568B2"/>
    <w:rsid w:val="00B57119"/>
    <w:rsid w:val="00B6257D"/>
    <w:rsid w:val="00B6270A"/>
    <w:rsid w:val="00B62E0B"/>
    <w:rsid w:val="00B654A8"/>
    <w:rsid w:val="00B66313"/>
    <w:rsid w:val="00B66608"/>
    <w:rsid w:val="00B66874"/>
    <w:rsid w:val="00B66CC8"/>
    <w:rsid w:val="00B709C2"/>
    <w:rsid w:val="00B71DD8"/>
    <w:rsid w:val="00B72360"/>
    <w:rsid w:val="00B73050"/>
    <w:rsid w:val="00B737AE"/>
    <w:rsid w:val="00B7468F"/>
    <w:rsid w:val="00B764D6"/>
    <w:rsid w:val="00B80A60"/>
    <w:rsid w:val="00B81452"/>
    <w:rsid w:val="00B818D1"/>
    <w:rsid w:val="00B81BEB"/>
    <w:rsid w:val="00B83B23"/>
    <w:rsid w:val="00B84C98"/>
    <w:rsid w:val="00B860DB"/>
    <w:rsid w:val="00B86DA3"/>
    <w:rsid w:val="00B9157A"/>
    <w:rsid w:val="00B92089"/>
    <w:rsid w:val="00B933DC"/>
    <w:rsid w:val="00B93896"/>
    <w:rsid w:val="00B95C61"/>
    <w:rsid w:val="00B96087"/>
    <w:rsid w:val="00B96263"/>
    <w:rsid w:val="00B977EB"/>
    <w:rsid w:val="00BA064C"/>
    <w:rsid w:val="00BA1C55"/>
    <w:rsid w:val="00BA2050"/>
    <w:rsid w:val="00BA22C8"/>
    <w:rsid w:val="00BA279D"/>
    <w:rsid w:val="00BA2C14"/>
    <w:rsid w:val="00BA3873"/>
    <w:rsid w:val="00BA40E2"/>
    <w:rsid w:val="00BA4B00"/>
    <w:rsid w:val="00BA4B87"/>
    <w:rsid w:val="00BA50C2"/>
    <w:rsid w:val="00BA5645"/>
    <w:rsid w:val="00BA5EBD"/>
    <w:rsid w:val="00BA6655"/>
    <w:rsid w:val="00BA6E03"/>
    <w:rsid w:val="00BA746E"/>
    <w:rsid w:val="00BA7960"/>
    <w:rsid w:val="00BA7D18"/>
    <w:rsid w:val="00BB3DC7"/>
    <w:rsid w:val="00BB3FAF"/>
    <w:rsid w:val="00BB56A2"/>
    <w:rsid w:val="00BC1C03"/>
    <w:rsid w:val="00BC2649"/>
    <w:rsid w:val="00BC2B7D"/>
    <w:rsid w:val="00BC31EF"/>
    <w:rsid w:val="00BC31FD"/>
    <w:rsid w:val="00BC35D8"/>
    <w:rsid w:val="00BC498F"/>
    <w:rsid w:val="00BD06DE"/>
    <w:rsid w:val="00BD3066"/>
    <w:rsid w:val="00BD3E76"/>
    <w:rsid w:val="00BD50CD"/>
    <w:rsid w:val="00BD51D3"/>
    <w:rsid w:val="00BD5ACD"/>
    <w:rsid w:val="00BD63D3"/>
    <w:rsid w:val="00BD69F8"/>
    <w:rsid w:val="00BD6E3C"/>
    <w:rsid w:val="00BE17EB"/>
    <w:rsid w:val="00BE2773"/>
    <w:rsid w:val="00BE2EE5"/>
    <w:rsid w:val="00BE3BD3"/>
    <w:rsid w:val="00BE4337"/>
    <w:rsid w:val="00BE47CE"/>
    <w:rsid w:val="00BE5BDA"/>
    <w:rsid w:val="00BF0A17"/>
    <w:rsid w:val="00BF0CBF"/>
    <w:rsid w:val="00BF1567"/>
    <w:rsid w:val="00BF1A03"/>
    <w:rsid w:val="00BF3A49"/>
    <w:rsid w:val="00BF4204"/>
    <w:rsid w:val="00BF4A86"/>
    <w:rsid w:val="00BF663F"/>
    <w:rsid w:val="00BF7823"/>
    <w:rsid w:val="00C00450"/>
    <w:rsid w:val="00C00CF1"/>
    <w:rsid w:val="00C00F5E"/>
    <w:rsid w:val="00C014AA"/>
    <w:rsid w:val="00C01E1C"/>
    <w:rsid w:val="00C0536B"/>
    <w:rsid w:val="00C05517"/>
    <w:rsid w:val="00C05B2E"/>
    <w:rsid w:val="00C05C75"/>
    <w:rsid w:val="00C10390"/>
    <w:rsid w:val="00C11092"/>
    <w:rsid w:val="00C112C9"/>
    <w:rsid w:val="00C12447"/>
    <w:rsid w:val="00C126C4"/>
    <w:rsid w:val="00C12BCB"/>
    <w:rsid w:val="00C143CA"/>
    <w:rsid w:val="00C15193"/>
    <w:rsid w:val="00C15377"/>
    <w:rsid w:val="00C16317"/>
    <w:rsid w:val="00C1763C"/>
    <w:rsid w:val="00C209E6"/>
    <w:rsid w:val="00C20A1B"/>
    <w:rsid w:val="00C21398"/>
    <w:rsid w:val="00C218F6"/>
    <w:rsid w:val="00C21E8F"/>
    <w:rsid w:val="00C226CE"/>
    <w:rsid w:val="00C25A83"/>
    <w:rsid w:val="00C26435"/>
    <w:rsid w:val="00C279AD"/>
    <w:rsid w:val="00C302D2"/>
    <w:rsid w:val="00C30DBF"/>
    <w:rsid w:val="00C31609"/>
    <w:rsid w:val="00C3751C"/>
    <w:rsid w:val="00C401C6"/>
    <w:rsid w:val="00C431B5"/>
    <w:rsid w:val="00C44461"/>
    <w:rsid w:val="00C44E27"/>
    <w:rsid w:val="00C44FC1"/>
    <w:rsid w:val="00C4543B"/>
    <w:rsid w:val="00C46639"/>
    <w:rsid w:val="00C4694B"/>
    <w:rsid w:val="00C54058"/>
    <w:rsid w:val="00C545FE"/>
    <w:rsid w:val="00C55D8F"/>
    <w:rsid w:val="00C56391"/>
    <w:rsid w:val="00C56C93"/>
    <w:rsid w:val="00C606F9"/>
    <w:rsid w:val="00C607C5"/>
    <w:rsid w:val="00C6123D"/>
    <w:rsid w:val="00C61F79"/>
    <w:rsid w:val="00C62ED4"/>
    <w:rsid w:val="00C63364"/>
    <w:rsid w:val="00C64104"/>
    <w:rsid w:val="00C64F3B"/>
    <w:rsid w:val="00C65C6D"/>
    <w:rsid w:val="00C676FF"/>
    <w:rsid w:val="00C71451"/>
    <w:rsid w:val="00C71BD6"/>
    <w:rsid w:val="00C72E57"/>
    <w:rsid w:val="00C73EB3"/>
    <w:rsid w:val="00C75523"/>
    <w:rsid w:val="00C75765"/>
    <w:rsid w:val="00C76D3E"/>
    <w:rsid w:val="00C76D97"/>
    <w:rsid w:val="00C8049D"/>
    <w:rsid w:val="00C81217"/>
    <w:rsid w:val="00C8218F"/>
    <w:rsid w:val="00C82DF0"/>
    <w:rsid w:val="00C8515F"/>
    <w:rsid w:val="00C931BF"/>
    <w:rsid w:val="00C94346"/>
    <w:rsid w:val="00C94C22"/>
    <w:rsid w:val="00C95A0D"/>
    <w:rsid w:val="00C961FC"/>
    <w:rsid w:val="00C97536"/>
    <w:rsid w:val="00CA2A8F"/>
    <w:rsid w:val="00CB013C"/>
    <w:rsid w:val="00CB02A9"/>
    <w:rsid w:val="00CB04FF"/>
    <w:rsid w:val="00CB09E3"/>
    <w:rsid w:val="00CB133E"/>
    <w:rsid w:val="00CB4F48"/>
    <w:rsid w:val="00CB5A82"/>
    <w:rsid w:val="00CB719A"/>
    <w:rsid w:val="00CC2F32"/>
    <w:rsid w:val="00CC31C5"/>
    <w:rsid w:val="00CC393E"/>
    <w:rsid w:val="00CC45AD"/>
    <w:rsid w:val="00CC79F4"/>
    <w:rsid w:val="00CD4FE9"/>
    <w:rsid w:val="00CD6A7D"/>
    <w:rsid w:val="00CE0536"/>
    <w:rsid w:val="00CE240E"/>
    <w:rsid w:val="00CE56E4"/>
    <w:rsid w:val="00CE6A06"/>
    <w:rsid w:val="00CE7C40"/>
    <w:rsid w:val="00CF055C"/>
    <w:rsid w:val="00CF1705"/>
    <w:rsid w:val="00CF2C35"/>
    <w:rsid w:val="00CF50CB"/>
    <w:rsid w:val="00CF535A"/>
    <w:rsid w:val="00CF6304"/>
    <w:rsid w:val="00CF69A7"/>
    <w:rsid w:val="00CF76BF"/>
    <w:rsid w:val="00D00300"/>
    <w:rsid w:val="00D019DA"/>
    <w:rsid w:val="00D0274B"/>
    <w:rsid w:val="00D06106"/>
    <w:rsid w:val="00D07BB0"/>
    <w:rsid w:val="00D1035C"/>
    <w:rsid w:val="00D11E16"/>
    <w:rsid w:val="00D11F86"/>
    <w:rsid w:val="00D14644"/>
    <w:rsid w:val="00D156E7"/>
    <w:rsid w:val="00D23F32"/>
    <w:rsid w:val="00D24749"/>
    <w:rsid w:val="00D2527C"/>
    <w:rsid w:val="00D25794"/>
    <w:rsid w:val="00D25F72"/>
    <w:rsid w:val="00D27BC3"/>
    <w:rsid w:val="00D37B99"/>
    <w:rsid w:val="00D43820"/>
    <w:rsid w:val="00D43F2D"/>
    <w:rsid w:val="00D46A5B"/>
    <w:rsid w:val="00D46EEB"/>
    <w:rsid w:val="00D47FEF"/>
    <w:rsid w:val="00D51853"/>
    <w:rsid w:val="00D52221"/>
    <w:rsid w:val="00D53AAE"/>
    <w:rsid w:val="00D53C4A"/>
    <w:rsid w:val="00D5413D"/>
    <w:rsid w:val="00D55E50"/>
    <w:rsid w:val="00D56182"/>
    <w:rsid w:val="00D577B9"/>
    <w:rsid w:val="00D660C9"/>
    <w:rsid w:val="00D663C3"/>
    <w:rsid w:val="00D66BBA"/>
    <w:rsid w:val="00D66E1B"/>
    <w:rsid w:val="00D6715A"/>
    <w:rsid w:val="00D67B1C"/>
    <w:rsid w:val="00D708BF"/>
    <w:rsid w:val="00D70AE0"/>
    <w:rsid w:val="00D70BBC"/>
    <w:rsid w:val="00D80F3C"/>
    <w:rsid w:val="00D81322"/>
    <w:rsid w:val="00D81899"/>
    <w:rsid w:val="00D82802"/>
    <w:rsid w:val="00D8280C"/>
    <w:rsid w:val="00D8593E"/>
    <w:rsid w:val="00D86078"/>
    <w:rsid w:val="00D869D0"/>
    <w:rsid w:val="00D87F09"/>
    <w:rsid w:val="00D9197A"/>
    <w:rsid w:val="00D94556"/>
    <w:rsid w:val="00DA12DC"/>
    <w:rsid w:val="00DA2098"/>
    <w:rsid w:val="00DA26A3"/>
    <w:rsid w:val="00DA6434"/>
    <w:rsid w:val="00DA72BA"/>
    <w:rsid w:val="00DB0D7A"/>
    <w:rsid w:val="00DB12FA"/>
    <w:rsid w:val="00DB23EA"/>
    <w:rsid w:val="00DB29F6"/>
    <w:rsid w:val="00DB4390"/>
    <w:rsid w:val="00DB553A"/>
    <w:rsid w:val="00DC1326"/>
    <w:rsid w:val="00DC1D1F"/>
    <w:rsid w:val="00DC3533"/>
    <w:rsid w:val="00DC7940"/>
    <w:rsid w:val="00DC7F6E"/>
    <w:rsid w:val="00DD1D35"/>
    <w:rsid w:val="00DD21AF"/>
    <w:rsid w:val="00DD34D1"/>
    <w:rsid w:val="00DD5378"/>
    <w:rsid w:val="00DD637B"/>
    <w:rsid w:val="00DD6D95"/>
    <w:rsid w:val="00DE0271"/>
    <w:rsid w:val="00DE05FC"/>
    <w:rsid w:val="00DE090D"/>
    <w:rsid w:val="00DE14E6"/>
    <w:rsid w:val="00DE1B1C"/>
    <w:rsid w:val="00DE5084"/>
    <w:rsid w:val="00DE57B6"/>
    <w:rsid w:val="00DE6702"/>
    <w:rsid w:val="00DE6E70"/>
    <w:rsid w:val="00DF6BBF"/>
    <w:rsid w:val="00DF7593"/>
    <w:rsid w:val="00E009BD"/>
    <w:rsid w:val="00E01035"/>
    <w:rsid w:val="00E039BA"/>
    <w:rsid w:val="00E04262"/>
    <w:rsid w:val="00E049AF"/>
    <w:rsid w:val="00E10F8A"/>
    <w:rsid w:val="00E1249D"/>
    <w:rsid w:val="00E1322D"/>
    <w:rsid w:val="00E132EC"/>
    <w:rsid w:val="00E134EE"/>
    <w:rsid w:val="00E15100"/>
    <w:rsid w:val="00E1528F"/>
    <w:rsid w:val="00E158EE"/>
    <w:rsid w:val="00E17CD4"/>
    <w:rsid w:val="00E20CA7"/>
    <w:rsid w:val="00E23330"/>
    <w:rsid w:val="00E238B1"/>
    <w:rsid w:val="00E24B12"/>
    <w:rsid w:val="00E24E2B"/>
    <w:rsid w:val="00E26EBE"/>
    <w:rsid w:val="00E272A5"/>
    <w:rsid w:val="00E301A0"/>
    <w:rsid w:val="00E34575"/>
    <w:rsid w:val="00E34F0F"/>
    <w:rsid w:val="00E36186"/>
    <w:rsid w:val="00E3634C"/>
    <w:rsid w:val="00E37D01"/>
    <w:rsid w:val="00E37D54"/>
    <w:rsid w:val="00E41463"/>
    <w:rsid w:val="00E43DD5"/>
    <w:rsid w:val="00E44F43"/>
    <w:rsid w:val="00E510B7"/>
    <w:rsid w:val="00E51D51"/>
    <w:rsid w:val="00E521AE"/>
    <w:rsid w:val="00E5273B"/>
    <w:rsid w:val="00E528BE"/>
    <w:rsid w:val="00E53182"/>
    <w:rsid w:val="00E53A3B"/>
    <w:rsid w:val="00E54BDC"/>
    <w:rsid w:val="00E568AD"/>
    <w:rsid w:val="00E57D3A"/>
    <w:rsid w:val="00E61446"/>
    <w:rsid w:val="00E6328E"/>
    <w:rsid w:val="00E63669"/>
    <w:rsid w:val="00E63AC5"/>
    <w:rsid w:val="00E6634B"/>
    <w:rsid w:val="00E673FA"/>
    <w:rsid w:val="00E701B1"/>
    <w:rsid w:val="00E70C4C"/>
    <w:rsid w:val="00E70FCF"/>
    <w:rsid w:val="00E73C56"/>
    <w:rsid w:val="00E77666"/>
    <w:rsid w:val="00E77D83"/>
    <w:rsid w:val="00E77E64"/>
    <w:rsid w:val="00E801E2"/>
    <w:rsid w:val="00E804E2"/>
    <w:rsid w:val="00E82250"/>
    <w:rsid w:val="00E82697"/>
    <w:rsid w:val="00E82F8A"/>
    <w:rsid w:val="00E8300B"/>
    <w:rsid w:val="00E836D1"/>
    <w:rsid w:val="00E8375E"/>
    <w:rsid w:val="00E85C63"/>
    <w:rsid w:val="00E861B4"/>
    <w:rsid w:val="00E865B8"/>
    <w:rsid w:val="00E91B9E"/>
    <w:rsid w:val="00E92AB7"/>
    <w:rsid w:val="00E9367C"/>
    <w:rsid w:val="00E93BC4"/>
    <w:rsid w:val="00E9438D"/>
    <w:rsid w:val="00E95359"/>
    <w:rsid w:val="00E95F0A"/>
    <w:rsid w:val="00E96DFD"/>
    <w:rsid w:val="00E97AFD"/>
    <w:rsid w:val="00EA094B"/>
    <w:rsid w:val="00EA0B3F"/>
    <w:rsid w:val="00EA27C1"/>
    <w:rsid w:val="00EA58FD"/>
    <w:rsid w:val="00EB0832"/>
    <w:rsid w:val="00EB18D6"/>
    <w:rsid w:val="00EB45C3"/>
    <w:rsid w:val="00EC0869"/>
    <w:rsid w:val="00EC0A99"/>
    <w:rsid w:val="00EC28D7"/>
    <w:rsid w:val="00EC2CE2"/>
    <w:rsid w:val="00EC3609"/>
    <w:rsid w:val="00EC4822"/>
    <w:rsid w:val="00EC4C1F"/>
    <w:rsid w:val="00EC5245"/>
    <w:rsid w:val="00EC78EA"/>
    <w:rsid w:val="00ED0CCA"/>
    <w:rsid w:val="00ED1858"/>
    <w:rsid w:val="00ED25F8"/>
    <w:rsid w:val="00ED2941"/>
    <w:rsid w:val="00ED3374"/>
    <w:rsid w:val="00ED3FF1"/>
    <w:rsid w:val="00ED43D3"/>
    <w:rsid w:val="00ED674A"/>
    <w:rsid w:val="00ED75A3"/>
    <w:rsid w:val="00EE0300"/>
    <w:rsid w:val="00EE0F21"/>
    <w:rsid w:val="00EE18BF"/>
    <w:rsid w:val="00EE2464"/>
    <w:rsid w:val="00EE2D03"/>
    <w:rsid w:val="00EE3CF9"/>
    <w:rsid w:val="00EE5C23"/>
    <w:rsid w:val="00EE678D"/>
    <w:rsid w:val="00EE73E2"/>
    <w:rsid w:val="00EF0A7C"/>
    <w:rsid w:val="00EF3304"/>
    <w:rsid w:val="00EF3CAC"/>
    <w:rsid w:val="00EF3DD0"/>
    <w:rsid w:val="00EF4132"/>
    <w:rsid w:val="00EF5049"/>
    <w:rsid w:val="00EF58D9"/>
    <w:rsid w:val="00F00F6D"/>
    <w:rsid w:val="00F01E94"/>
    <w:rsid w:val="00F02F52"/>
    <w:rsid w:val="00F0463B"/>
    <w:rsid w:val="00F0522C"/>
    <w:rsid w:val="00F055B9"/>
    <w:rsid w:val="00F05DD8"/>
    <w:rsid w:val="00F06F7D"/>
    <w:rsid w:val="00F1047C"/>
    <w:rsid w:val="00F139F0"/>
    <w:rsid w:val="00F13B15"/>
    <w:rsid w:val="00F14066"/>
    <w:rsid w:val="00F144BB"/>
    <w:rsid w:val="00F149FE"/>
    <w:rsid w:val="00F16056"/>
    <w:rsid w:val="00F16433"/>
    <w:rsid w:val="00F16E6E"/>
    <w:rsid w:val="00F170A8"/>
    <w:rsid w:val="00F17DCD"/>
    <w:rsid w:val="00F20EBB"/>
    <w:rsid w:val="00F2348B"/>
    <w:rsid w:val="00F2379D"/>
    <w:rsid w:val="00F23D67"/>
    <w:rsid w:val="00F25658"/>
    <w:rsid w:val="00F25CE4"/>
    <w:rsid w:val="00F25F8A"/>
    <w:rsid w:val="00F2668D"/>
    <w:rsid w:val="00F274C7"/>
    <w:rsid w:val="00F305E3"/>
    <w:rsid w:val="00F30E7C"/>
    <w:rsid w:val="00F32B6D"/>
    <w:rsid w:val="00F33779"/>
    <w:rsid w:val="00F33CD5"/>
    <w:rsid w:val="00F343FC"/>
    <w:rsid w:val="00F3703F"/>
    <w:rsid w:val="00F4145F"/>
    <w:rsid w:val="00F41B7C"/>
    <w:rsid w:val="00F424B8"/>
    <w:rsid w:val="00F42B7B"/>
    <w:rsid w:val="00F42CE5"/>
    <w:rsid w:val="00F43521"/>
    <w:rsid w:val="00F446F5"/>
    <w:rsid w:val="00F4513E"/>
    <w:rsid w:val="00F465AB"/>
    <w:rsid w:val="00F46AAC"/>
    <w:rsid w:val="00F503F1"/>
    <w:rsid w:val="00F50D72"/>
    <w:rsid w:val="00F526EF"/>
    <w:rsid w:val="00F52AA9"/>
    <w:rsid w:val="00F5543F"/>
    <w:rsid w:val="00F55AB1"/>
    <w:rsid w:val="00F573C5"/>
    <w:rsid w:val="00F63CAF"/>
    <w:rsid w:val="00F646EA"/>
    <w:rsid w:val="00F670AE"/>
    <w:rsid w:val="00F67D11"/>
    <w:rsid w:val="00F72CAB"/>
    <w:rsid w:val="00F75C45"/>
    <w:rsid w:val="00F76CBF"/>
    <w:rsid w:val="00F76CE1"/>
    <w:rsid w:val="00F7721B"/>
    <w:rsid w:val="00F773A9"/>
    <w:rsid w:val="00F810CF"/>
    <w:rsid w:val="00F81823"/>
    <w:rsid w:val="00F82D98"/>
    <w:rsid w:val="00F84158"/>
    <w:rsid w:val="00F85ECF"/>
    <w:rsid w:val="00F86E0A"/>
    <w:rsid w:val="00F928CA"/>
    <w:rsid w:val="00F93A9B"/>
    <w:rsid w:val="00F94276"/>
    <w:rsid w:val="00F94640"/>
    <w:rsid w:val="00F9534B"/>
    <w:rsid w:val="00F954B2"/>
    <w:rsid w:val="00F9620C"/>
    <w:rsid w:val="00F9631C"/>
    <w:rsid w:val="00F97AEA"/>
    <w:rsid w:val="00FA0770"/>
    <w:rsid w:val="00FA242D"/>
    <w:rsid w:val="00FA2CA0"/>
    <w:rsid w:val="00FA420D"/>
    <w:rsid w:val="00FA5F27"/>
    <w:rsid w:val="00FB0034"/>
    <w:rsid w:val="00FB1678"/>
    <w:rsid w:val="00FB46FE"/>
    <w:rsid w:val="00FB56C8"/>
    <w:rsid w:val="00FB7A90"/>
    <w:rsid w:val="00FB7B5D"/>
    <w:rsid w:val="00FC0129"/>
    <w:rsid w:val="00FC0401"/>
    <w:rsid w:val="00FC24F6"/>
    <w:rsid w:val="00FC3F34"/>
    <w:rsid w:val="00FC7C63"/>
    <w:rsid w:val="00FD00A1"/>
    <w:rsid w:val="00FD0F40"/>
    <w:rsid w:val="00FD1CB1"/>
    <w:rsid w:val="00FD4991"/>
    <w:rsid w:val="00FD5440"/>
    <w:rsid w:val="00FD5A2E"/>
    <w:rsid w:val="00FD690C"/>
    <w:rsid w:val="00FD704F"/>
    <w:rsid w:val="00FE2174"/>
    <w:rsid w:val="00FE34F0"/>
    <w:rsid w:val="00FE386C"/>
    <w:rsid w:val="00FE4683"/>
    <w:rsid w:val="00FE4693"/>
    <w:rsid w:val="00FE5A77"/>
    <w:rsid w:val="00FE6027"/>
    <w:rsid w:val="00FE67B0"/>
    <w:rsid w:val="00FE68DD"/>
    <w:rsid w:val="00FE7D2A"/>
    <w:rsid w:val="00FF0903"/>
    <w:rsid w:val="00FF1A2C"/>
    <w:rsid w:val="00FF20F5"/>
    <w:rsid w:val="00FF3402"/>
    <w:rsid w:val="00FF5048"/>
    <w:rsid w:val="00FF5E39"/>
    <w:rsid w:val="00FF5FED"/>
    <w:rsid w:val="00FF7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6C02FE7"/>
  <w15:docId w15:val="{8E4A06CA-BA2A-407C-AEA7-2358CFCC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2832"/>
    <w:pPr>
      <w:widowControl w:val="0"/>
      <w:jc w:val="both"/>
    </w:pPr>
    <w:rPr>
      <w:kern w:val="2"/>
      <w:sz w:val="21"/>
      <w:szCs w:val="24"/>
    </w:rPr>
  </w:style>
  <w:style w:type="paragraph" w:styleId="1">
    <w:name w:val="heading 1"/>
    <w:aliases w:val="Heading 0,H1,PIM 1,Heading 11,level 1,Level 1 Head,h1,123321,Level 1 Topic Heading"/>
    <w:basedOn w:val="a0"/>
    <w:next w:val="a0"/>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qFormat/>
    <w:rsid w:val="00BA4B87"/>
    <w:pPr>
      <w:numPr>
        <w:ilvl w:val="2"/>
        <w:numId w:val="6"/>
      </w:numPr>
      <w:spacing w:before="260" w:after="260" w:line="416" w:lineRule="auto"/>
      <w:outlineLvl w:val="2"/>
    </w:pPr>
    <w:rPr>
      <w:rFonts w:ascii="仿宋_GB2312" w:eastAsia="仿宋_GB2312"/>
      <w:sz w:val="24"/>
      <w:szCs w:val="20"/>
    </w:rPr>
  </w:style>
  <w:style w:type="paragraph" w:styleId="4">
    <w:name w:val="heading 4"/>
    <w:basedOn w:val="a0"/>
    <w:next w:val="a0"/>
    <w:qFormat/>
    <w:rsid w:val="00BA4B87"/>
    <w:pPr>
      <w:keepNext/>
      <w:keepLines/>
      <w:numPr>
        <w:ilvl w:val="3"/>
        <w:numId w:val="4"/>
      </w:numPr>
      <w:spacing w:before="280" w:after="290" w:line="376" w:lineRule="auto"/>
      <w:outlineLvl w:val="3"/>
    </w:pPr>
    <w:rPr>
      <w:rFonts w:ascii="Arial" w:eastAsia="黑体" w:hAnsi="Arial"/>
      <w:b/>
      <w:bCs/>
      <w:sz w:val="28"/>
      <w:szCs w:val="28"/>
    </w:rPr>
  </w:style>
  <w:style w:type="paragraph" w:styleId="5">
    <w:name w:val="heading 5"/>
    <w:basedOn w:val="a0"/>
    <w:next w:val="a0"/>
    <w:qFormat/>
    <w:rsid w:val="00BA4B87"/>
    <w:pPr>
      <w:keepNext/>
      <w:keepLines/>
      <w:numPr>
        <w:ilvl w:val="4"/>
        <w:numId w:val="4"/>
      </w:numPr>
      <w:spacing w:before="280" w:after="290" w:line="376" w:lineRule="auto"/>
      <w:ind w:firstLineChars="200" w:firstLine="200"/>
      <w:outlineLvl w:val="4"/>
    </w:pPr>
    <w:rPr>
      <w:b/>
      <w:bCs/>
      <w:sz w:val="28"/>
      <w:szCs w:val="28"/>
    </w:rPr>
  </w:style>
  <w:style w:type="paragraph" w:styleId="6">
    <w:name w:val="heading 6"/>
    <w:basedOn w:val="a0"/>
    <w:next w:val="a0"/>
    <w:qFormat/>
    <w:rsid w:val="00BA4B87"/>
    <w:pPr>
      <w:keepNext/>
      <w:keepLines/>
      <w:numPr>
        <w:ilvl w:val="5"/>
        <w:numId w:val="4"/>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qFormat/>
    <w:rsid w:val="00BA4B87"/>
    <w:pPr>
      <w:keepNext/>
      <w:keepLines/>
      <w:numPr>
        <w:ilvl w:val="6"/>
        <w:numId w:val="4"/>
      </w:numPr>
      <w:spacing w:before="240" w:after="64" w:line="320" w:lineRule="auto"/>
      <w:ind w:firstLineChars="200" w:firstLine="200"/>
      <w:outlineLvl w:val="6"/>
    </w:pPr>
    <w:rPr>
      <w:b/>
      <w:bCs/>
      <w:sz w:val="24"/>
    </w:rPr>
  </w:style>
  <w:style w:type="paragraph" w:styleId="8">
    <w:name w:val="heading 8"/>
    <w:basedOn w:val="a0"/>
    <w:next w:val="a0"/>
    <w:qFormat/>
    <w:rsid w:val="00BA4B87"/>
    <w:pPr>
      <w:keepNext/>
      <w:keepLines/>
      <w:numPr>
        <w:ilvl w:val="7"/>
        <w:numId w:val="4"/>
      </w:numPr>
      <w:spacing w:before="240" w:after="64" w:line="320" w:lineRule="auto"/>
      <w:ind w:firstLineChars="200" w:firstLine="200"/>
      <w:outlineLvl w:val="7"/>
    </w:pPr>
    <w:rPr>
      <w:rFonts w:ascii="Arial" w:eastAsia="黑体" w:hAnsi="Arial"/>
      <w:sz w:val="24"/>
    </w:rPr>
  </w:style>
  <w:style w:type="paragraph" w:styleId="9">
    <w:name w:val="heading 9"/>
    <w:basedOn w:val="a0"/>
    <w:next w:val="a0"/>
    <w:qFormat/>
    <w:rsid w:val="00BA4B87"/>
    <w:pPr>
      <w:keepNext/>
      <w:keepLines/>
      <w:numPr>
        <w:ilvl w:val="8"/>
        <w:numId w:val="4"/>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2"/>
      </w:numPr>
      <w:spacing w:before="447" w:after="447"/>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4"/>
      </w:numPr>
      <w:spacing w:beforeLines="100" w:afterLines="100"/>
      <w:outlineLvl w:val="1"/>
    </w:pPr>
    <w:rPr>
      <w:rFonts w:ascii="Arial" w:hAnsi="Arial"/>
      <w:b/>
      <w:bCs/>
      <w:sz w:val="28"/>
      <w:szCs w:val="20"/>
    </w:rPr>
  </w:style>
  <w:style w:type="paragraph" w:styleId="a">
    <w:name w:val="Body Text"/>
    <w:basedOn w:val="a0"/>
    <w:rsid w:val="00BA4B87"/>
    <w:pPr>
      <w:numPr>
        <w:ilvl w:val="1"/>
        <w:numId w:val="7"/>
      </w:numPr>
      <w:tabs>
        <w:tab w:val="num" w:pos="0"/>
      </w:tabs>
      <w:autoSpaceDE w:val="0"/>
      <w:autoSpaceDN w:val="0"/>
      <w:adjustRightInd w:val="0"/>
      <w:ind w:left="0" w:firstLine="540"/>
      <w:jc w:val="left"/>
    </w:pPr>
    <w:rPr>
      <w:rFonts w:ascii="宋体"/>
      <w:kern w:val="0"/>
      <w:sz w:val="24"/>
    </w:rPr>
  </w:style>
  <w:style w:type="paragraph" w:styleId="a4">
    <w:name w:val="Normal Indent"/>
    <w:aliases w:val="正文缩进1,ALT+Z"/>
    <w:basedOn w:val="a0"/>
    <w:rsid w:val="00BA4B87"/>
    <w:pPr>
      <w:ind w:firstLine="420"/>
    </w:pPr>
    <w:rPr>
      <w:szCs w:val="20"/>
    </w:rPr>
  </w:style>
  <w:style w:type="character" w:styleId="a5">
    <w:name w:val="Hyperlink"/>
    <w:basedOn w:val="a1"/>
    <w:uiPriority w:val="99"/>
    <w:rsid w:val="00BA4B87"/>
    <w:rPr>
      <w:color w:val="0000FF"/>
      <w:u w:val="single"/>
    </w:rPr>
  </w:style>
  <w:style w:type="paragraph" w:styleId="10">
    <w:name w:val="toc 1"/>
    <w:basedOn w:val="a0"/>
    <w:next w:val="a0"/>
    <w:autoRedefine/>
    <w:uiPriority w:val="39"/>
    <w:rsid w:val="00BA4B87"/>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
    <w:rsid w:val="00BA4B87"/>
    <w:pPr>
      <w:ind w:firstLineChars="200" w:firstLine="200"/>
    </w:pPr>
    <w:rPr>
      <w:rFonts w:ascii="宋体" w:hAnsi="Courier New"/>
      <w:sz w:val="24"/>
      <w:szCs w:val="21"/>
    </w:rPr>
  </w:style>
  <w:style w:type="paragraph" w:styleId="a7">
    <w:name w:val="header"/>
    <w:basedOn w:val="a0"/>
    <w:link w:val="Char0"/>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8">
    <w:name w:val="page number"/>
    <w:basedOn w:val="a1"/>
    <w:rsid w:val="00BA4B87"/>
  </w:style>
  <w:style w:type="paragraph" w:styleId="a9">
    <w:name w:val="footer"/>
    <w:basedOn w:val="a0"/>
    <w:link w:val="Char1"/>
    <w:uiPriority w:val="99"/>
    <w:rsid w:val="00BA4B87"/>
    <w:pPr>
      <w:tabs>
        <w:tab w:val="center" w:pos="4153"/>
        <w:tab w:val="right" w:pos="8306"/>
      </w:tabs>
      <w:snapToGrid w:val="0"/>
      <w:ind w:firstLineChars="200" w:firstLine="200"/>
      <w:jc w:val="left"/>
    </w:pPr>
    <w:rPr>
      <w:rFonts w:eastAsia="仿宋_GB2312"/>
      <w:sz w:val="18"/>
      <w:szCs w:val="20"/>
    </w:rPr>
  </w:style>
  <w:style w:type="character" w:customStyle="1" w:styleId="da">
    <w:name w:val="da"/>
    <w:basedOn w:val="a1"/>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semiHidden/>
    <w:rsid w:val="00BA4B87"/>
    <w:pPr>
      <w:ind w:firstLineChars="200" w:firstLine="200"/>
    </w:pPr>
    <w:rPr>
      <w:sz w:val="18"/>
      <w:szCs w:val="18"/>
    </w:rPr>
  </w:style>
  <w:style w:type="paragraph" w:styleId="ac">
    <w:name w:val="Body Text First Indent"/>
    <w:basedOn w:val="a"/>
    <w:link w:val="Char2"/>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styleId="ad">
    <w:name w:val="annotation reference"/>
    <w:basedOn w:val="a1"/>
    <w:rsid w:val="00BA4B87"/>
    <w:rPr>
      <w:sz w:val="21"/>
      <w:szCs w:val="21"/>
    </w:rPr>
  </w:style>
  <w:style w:type="paragraph" w:styleId="ae">
    <w:name w:val="annotation text"/>
    <w:basedOn w:val="a0"/>
    <w:link w:val="Char3"/>
    <w:rsid w:val="00BA4B87"/>
    <w:pPr>
      <w:jc w:val="left"/>
    </w:pPr>
  </w:style>
  <w:style w:type="character" w:customStyle="1" w:styleId="Char3">
    <w:name w:val="批注文字 Char"/>
    <w:basedOn w:val="a1"/>
    <w:link w:val="ae"/>
    <w:rsid w:val="00BA4B87"/>
    <w:rPr>
      <w:rFonts w:eastAsia="宋体"/>
      <w:kern w:val="2"/>
      <w:sz w:val="21"/>
      <w:szCs w:val="24"/>
      <w:lang w:val="en-US" w:eastAsia="zh-CN" w:bidi="ar-SA"/>
    </w:rPr>
  </w:style>
  <w:style w:type="character" w:styleId="af">
    <w:name w:val="Strong"/>
    <w:basedOn w:val="a1"/>
    <w:uiPriority w:val="22"/>
    <w:qFormat/>
    <w:rsid w:val="00BA4B87"/>
    <w:rPr>
      <w:b/>
      <w:bCs/>
    </w:rPr>
  </w:style>
  <w:style w:type="character" w:customStyle="1" w:styleId="read">
    <w:name w:val="read"/>
    <w:basedOn w:val="a1"/>
    <w:rsid w:val="00BA4B87"/>
  </w:style>
  <w:style w:type="character" w:customStyle="1" w:styleId="unnamed11">
    <w:name w:val="unnamed11"/>
    <w:basedOn w:val="a1"/>
    <w:rsid w:val="00BD3066"/>
    <w:rPr>
      <w:rFonts w:ascii="宋体" w:eastAsia="宋体" w:hAnsi="宋体" w:hint="eastAsia"/>
      <w:sz w:val="18"/>
      <w:szCs w:val="18"/>
    </w:rPr>
  </w:style>
  <w:style w:type="character" w:customStyle="1" w:styleId="CharChar1">
    <w:name w:val="Char Char1"/>
    <w:basedOn w:val="a1"/>
    <w:rsid w:val="003656D0"/>
    <w:rPr>
      <w:rFonts w:eastAsia="宋体"/>
      <w:kern w:val="2"/>
      <w:sz w:val="21"/>
      <w:szCs w:val="24"/>
      <w:lang w:val="en-US" w:eastAsia="zh-CN" w:bidi="ar-SA"/>
    </w:rPr>
  </w:style>
  <w:style w:type="paragraph" w:styleId="af0">
    <w:name w:val="annotation subject"/>
    <w:basedOn w:val="ae"/>
    <w:next w:val="ae"/>
    <w:semiHidden/>
    <w:rsid w:val="009009C3"/>
    <w:rPr>
      <w:b/>
      <w:bCs/>
    </w:rPr>
  </w:style>
  <w:style w:type="paragraph" w:styleId="30">
    <w:name w:val="toc 3"/>
    <w:basedOn w:val="a0"/>
    <w:next w:val="a0"/>
    <w:autoRedefine/>
    <w:uiPriority w:val="39"/>
    <w:rsid w:val="00972780"/>
    <w:pPr>
      <w:ind w:leftChars="400" w:left="840"/>
    </w:pPr>
  </w:style>
  <w:style w:type="paragraph" w:styleId="af1">
    <w:name w:val="Document Map"/>
    <w:basedOn w:val="a0"/>
    <w:link w:val="Char4"/>
    <w:rsid w:val="00685D02"/>
    <w:rPr>
      <w:rFonts w:ascii="宋体"/>
      <w:sz w:val="18"/>
      <w:szCs w:val="18"/>
    </w:rPr>
  </w:style>
  <w:style w:type="character" w:customStyle="1" w:styleId="Char4">
    <w:name w:val="文档结构图 Char"/>
    <w:basedOn w:val="a1"/>
    <w:link w:val="af1"/>
    <w:rsid w:val="00685D02"/>
    <w:rPr>
      <w:rFonts w:ascii="宋体"/>
      <w:kern w:val="2"/>
      <w:sz w:val="18"/>
      <w:szCs w:val="18"/>
    </w:rPr>
  </w:style>
  <w:style w:type="paragraph" w:styleId="af2">
    <w:name w:val="Normal (Web)"/>
    <w:basedOn w:val="a0"/>
    <w:semiHidden/>
    <w:rsid w:val="00125037"/>
    <w:pPr>
      <w:widowControl/>
      <w:spacing w:before="100" w:beforeAutospacing="1" w:after="100" w:afterAutospacing="1"/>
      <w:jc w:val="left"/>
    </w:pPr>
    <w:rPr>
      <w:rFonts w:ascii="宋体" w:hAnsi="宋体" w:cs="宋体"/>
      <w:kern w:val="0"/>
      <w:sz w:val="24"/>
    </w:rPr>
  </w:style>
  <w:style w:type="paragraph" w:styleId="40">
    <w:name w:val="toc 4"/>
    <w:basedOn w:val="a0"/>
    <w:next w:val="a0"/>
    <w:autoRedefine/>
    <w:uiPriority w:val="39"/>
    <w:unhideWhenUsed/>
    <w:rsid w:val="00484145"/>
    <w:pPr>
      <w:ind w:leftChars="600" w:left="1260"/>
    </w:pPr>
    <w:rPr>
      <w:rFonts w:ascii="Calibri" w:hAnsi="Calibri"/>
      <w:szCs w:val="22"/>
    </w:rPr>
  </w:style>
  <w:style w:type="paragraph" w:styleId="50">
    <w:name w:val="toc 5"/>
    <w:basedOn w:val="a0"/>
    <w:next w:val="a0"/>
    <w:autoRedefine/>
    <w:uiPriority w:val="39"/>
    <w:unhideWhenUsed/>
    <w:rsid w:val="00484145"/>
    <w:pPr>
      <w:ind w:leftChars="800" w:left="1680"/>
    </w:pPr>
    <w:rPr>
      <w:rFonts w:ascii="Calibri" w:hAnsi="Calibri"/>
      <w:szCs w:val="22"/>
    </w:rPr>
  </w:style>
  <w:style w:type="paragraph" w:styleId="60">
    <w:name w:val="toc 6"/>
    <w:basedOn w:val="a0"/>
    <w:next w:val="a0"/>
    <w:autoRedefine/>
    <w:uiPriority w:val="39"/>
    <w:unhideWhenUsed/>
    <w:rsid w:val="00484145"/>
    <w:pPr>
      <w:ind w:leftChars="1000" w:left="2100"/>
    </w:pPr>
    <w:rPr>
      <w:rFonts w:ascii="Calibri" w:hAnsi="Calibri"/>
      <w:szCs w:val="22"/>
    </w:rPr>
  </w:style>
  <w:style w:type="paragraph" w:styleId="70">
    <w:name w:val="toc 7"/>
    <w:basedOn w:val="a0"/>
    <w:next w:val="a0"/>
    <w:autoRedefine/>
    <w:uiPriority w:val="39"/>
    <w:unhideWhenUsed/>
    <w:rsid w:val="00484145"/>
    <w:pPr>
      <w:ind w:leftChars="1200" w:left="2520"/>
    </w:pPr>
    <w:rPr>
      <w:rFonts w:ascii="Calibri" w:hAnsi="Calibri"/>
      <w:szCs w:val="22"/>
    </w:rPr>
  </w:style>
  <w:style w:type="paragraph" w:styleId="80">
    <w:name w:val="toc 8"/>
    <w:basedOn w:val="a0"/>
    <w:next w:val="a0"/>
    <w:autoRedefine/>
    <w:uiPriority w:val="39"/>
    <w:unhideWhenUsed/>
    <w:rsid w:val="00484145"/>
    <w:pPr>
      <w:ind w:leftChars="1400" w:left="2940"/>
    </w:pPr>
    <w:rPr>
      <w:rFonts w:ascii="Calibri" w:hAnsi="Calibri"/>
      <w:szCs w:val="22"/>
    </w:rPr>
  </w:style>
  <w:style w:type="paragraph" w:styleId="90">
    <w:name w:val="toc 9"/>
    <w:basedOn w:val="a0"/>
    <w:next w:val="a0"/>
    <w:autoRedefine/>
    <w:uiPriority w:val="39"/>
    <w:unhideWhenUsed/>
    <w:rsid w:val="00484145"/>
    <w:pPr>
      <w:ind w:leftChars="1600" w:left="3360"/>
    </w:pPr>
    <w:rPr>
      <w:rFonts w:ascii="Calibri" w:hAnsi="Calibri"/>
      <w:szCs w:val="22"/>
    </w:rPr>
  </w:style>
  <w:style w:type="paragraph" w:styleId="af3">
    <w:name w:val="Revision"/>
    <w:hidden/>
    <w:uiPriority w:val="99"/>
    <w:semiHidden/>
    <w:rsid w:val="006558BB"/>
    <w:rPr>
      <w:kern w:val="2"/>
      <w:sz w:val="21"/>
      <w:szCs w:val="24"/>
    </w:rPr>
  </w:style>
  <w:style w:type="character" w:styleId="af4">
    <w:name w:val="FollowedHyperlink"/>
    <w:basedOn w:val="a1"/>
    <w:rsid w:val="008D7686"/>
    <w:rPr>
      <w:color w:val="800080"/>
      <w:u w:val="single"/>
    </w:rPr>
  </w:style>
  <w:style w:type="character" w:customStyle="1" w:styleId="heigh1801">
    <w:name w:val="heigh1801"/>
    <w:basedOn w:val="a1"/>
    <w:rsid w:val="00A80568"/>
  </w:style>
  <w:style w:type="paragraph" w:customStyle="1" w:styleId="Default">
    <w:name w:val="Default"/>
    <w:rsid w:val="00F30E7C"/>
    <w:pPr>
      <w:widowControl w:val="0"/>
      <w:autoSpaceDE w:val="0"/>
      <w:autoSpaceDN w:val="0"/>
      <w:adjustRightInd w:val="0"/>
    </w:pPr>
    <w:rPr>
      <w:rFonts w:ascii="宋体t.祯畴S." w:eastAsia="宋体t.祯畴S." w:cs="宋体t.祯畴S."/>
      <w:color w:val="000000"/>
      <w:sz w:val="24"/>
      <w:szCs w:val="24"/>
    </w:rPr>
  </w:style>
  <w:style w:type="table" w:styleId="af5">
    <w:name w:val="Table Grid"/>
    <w:basedOn w:val="a2"/>
    <w:uiPriority w:val="99"/>
    <w:rsid w:val="003E7F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纯文本 Char"/>
    <w:basedOn w:val="a1"/>
    <w:link w:val="a6"/>
    <w:rsid w:val="00D2527C"/>
    <w:rPr>
      <w:rFonts w:ascii="宋体" w:hAnsi="Courier New"/>
      <w:kern w:val="2"/>
      <w:sz w:val="24"/>
      <w:szCs w:val="21"/>
    </w:rPr>
  </w:style>
  <w:style w:type="character" w:customStyle="1" w:styleId="Char0">
    <w:name w:val="页眉 Char"/>
    <w:basedOn w:val="a1"/>
    <w:link w:val="a7"/>
    <w:rsid w:val="009B7CA3"/>
    <w:rPr>
      <w:rFonts w:eastAsia="仿宋_GB2312"/>
      <w:kern w:val="2"/>
      <w:sz w:val="18"/>
    </w:rPr>
  </w:style>
  <w:style w:type="paragraph" w:customStyle="1" w:styleId="Listbullet">
    <w:name w:val="List_bullet"/>
    <w:basedOn w:val="a0"/>
    <w:rsid w:val="004F4FB9"/>
    <w:pPr>
      <w:widowControl/>
      <w:numPr>
        <w:numId w:val="1"/>
      </w:numPr>
      <w:tabs>
        <w:tab w:val="left" w:pos="360"/>
      </w:tabs>
      <w:jc w:val="left"/>
    </w:pPr>
    <w:rPr>
      <w:kern w:val="0"/>
      <w:sz w:val="24"/>
      <w:szCs w:val="20"/>
    </w:rPr>
  </w:style>
  <w:style w:type="character" w:customStyle="1" w:styleId="Char1">
    <w:name w:val="页脚 Char"/>
    <w:basedOn w:val="a1"/>
    <w:link w:val="a9"/>
    <w:uiPriority w:val="99"/>
    <w:rsid w:val="00E26EBE"/>
    <w:rPr>
      <w:rFonts w:eastAsia="仿宋_GB2312"/>
      <w:kern w:val="2"/>
      <w:sz w:val="18"/>
    </w:rPr>
  </w:style>
  <w:style w:type="character" w:customStyle="1" w:styleId="Char2">
    <w:name w:val="正文首行缩进 Char"/>
    <w:basedOn w:val="a1"/>
    <w:link w:val="ac"/>
    <w:rsid w:val="002360EF"/>
    <w:rPr>
      <w:kern w:val="2"/>
      <w:sz w:val="21"/>
      <w:szCs w:val="24"/>
    </w:rPr>
  </w:style>
  <w:style w:type="character" w:customStyle="1" w:styleId="big1">
    <w:name w:val="big1"/>
    <w:basedOn w:val="a1"/>
    <w:rsid w:val="00226CE4"/>
    <w:rPr>
      <w:spacing w:val="360"/>
      <w:sz w:val="22"/>
      <w:szCs w:val="22"/>
    </w:rPr>
  </w:style>
  <w:style w:type="character" w:customStyle="1" w:styleId="Char10">
    <w:name w:val="纯文本 Char1"/>
    <w:basedOn w:val="a1"/>
    <w:semiHidden/>
    <w:locked/>
    <w:rsid w:val="007B2058"/>
    <w:rPr>
      <w:rFonts w:ascii="宋体" w:hAnsi="Courier New" w:cs="Courier New"/>
      <w:kern w:val="2"/>
      <w:sz w:val="21"/>
      <w:szCs w:val="21"/>
    </w:rPr>
  </w:style>
  <w:style w:type="paragraph" w:styleId="af6">
    <w:name w:val="List Paragraph"/>
    <w:basedOn w:val="a0"/>
    <w:uiPriority w:val="34"/>
    <w:qFormat/>
    <w:rsid w:val="00C15377"/>
    <w:pPr>
      <w:ind w:firstLineChars="200" w:firstLine="420"/>
    </w:pPr>
  </w:style>
  <w:style w:type="paragraph" w:styleId="HTML">
    <w:name w:val="HTML Preformatted"/>
    <w:basedOn w:val="a0"/>
    <w:link w:val="HTMLChar"/>
    <w:uiPriority w:val="99"/>
    <w:semiHidden/>
    <w:unhideWhenUsed/>
    <w:rsid w:val="00DE09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semiHidden/>
    <w:rsid w:val="00DE090D"/>
    <w:rPr>
      <w:rFonts w:ascii="宋体" w:hAnsi="宋体"/>
      <w:sz w:val="24"/>
      <w:szCs w:val="24"/>
    </w:rPr>
  </w:style>
  <w:style w:type="paragraph" w:styleId="af7">
    <w:name w:val="Date"/>
    <w:basedOn w:val="a0"/>
    <w:next w:val="a0"/>
    <w:link w:val="Char5"/>
    <w:rsid w:val="001A59A8"/>
    <w:pPr>
      <w:ind w:leftChars="2500" w:left="100"/>
    </w:pPr>
  </w:style>
  <w:style w:type="character" w:customStyle="1" w:styleId="Char5">
    <w:name w:val="日期 Char"/>
    <w:basedOn w:val="a1"/>
    <w:link w:val="af7"/>
    <w:rsid w:val="001A59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3247">
      <w:bodyDiv w:val="1"/>
      <w:marLeft w:val="0"/>
      <w:marRight w:val="0"/>
      <w:marTop w:val="0"/>
      <w:marBottom w:val="0"/>
      <w:divBdr>
        <w:top w:val="none" w:sz="0" w:space="0" w:color="auto"/>
        <w:left w:val="none" w:sz="0" w:space="0" w:color="auto"/>
        <w:bottom w:val="none" w:sz="0" w:space="0" w:color="auto"/>
        <w:right w:val="none" w:sz="0" w:space="0" w:color="auto"/>
      </w:divBdr>
    </w:div>
    <w:div w:id="45036736">
      <w:bodyDiv w:val="1"/>
      <w:marLeft w:val="0"/>
      <w:marRight w:val="0"/>
      <w:marTop w:val="0"/>
      <w:marBottom w:val="0"/>
      <w:divBdr>
        <w:top w:val="none" w:sz="0" w:space="0" w:color="auto"/>
        <w:left w:val="none" w:sz="0" w:space="0" w:color="auto"/>
        <w:bottom w:val="none" w:sz="0" w:space="0" w:color="auto"/>
        <w:right w:val="none" w:sz="0" w:space="0" w:color="auto"/>
      </w:divBdr>
    </w:div>
    <w:div w:id="56245570">
      <w:bodyDiv w:val="1"/>
      <w:marLeft w:val="0"/>
      <w:marRight w:val="0"/>
      <w:marTop w:val="0"/>
      <w:marBottom w:val="0"/>
      <w:divBdr>
        <w:top w:val="none" w:sz="0" w:space="0" w:color="auto"/>
        <w:left w:val="none" w:sz="0" w:space="0" w:color="auto"/>
        <w:bottom w:val="none" w:sz="0" w:space="0" w:color="auto"/>
        <w:right w:val="none" w:sz="0" w:space="0" w:color="auto"/>
      </w:divBdr>
    </w:div>
    <w:div w:id="70545355">
      <w:bodyDiv w:val="1"/>
      <w:marLeft w:val="0"/>
      <w:marRight w:val="0"/>
      <w:marTop w:val="0"/>
      <w:marBottom w:val="0"/>
      <w:divBdr>
        <w:top w:val="none" w:sz="0" w:space="0" w:color="auto"/>
        <w:left w:val="none" w:sz="0" w:space="0" w:color="auto"/>
        <w:bottom w:val="none" w:sz="0" w:space="0" w:color="auto"/>
        <w:right w:val="none" w:sz="0" w:space="0" w:color="auto"/>
      </w:divBdr>
    </w:div>
    <w:div w:id="90245031">
      <w:bodyDiv w:val="1"/>
      <w:marLeft w:val="0"/>
      <w:marRight w:val="0"/>
      <w:marTop w:val="0"/>
      <w:marBottom w:val="0"/>
      <w:divBdr>
        <w:top w:val="none" w:sz="0" w:space="0" w:color="auto"/>
        <w:left w:val="none" w:sz="0" w:space="0" w:color="auto"/>
        <w:bottom w:val="none" w:sz="0" w:space="0" w:color="auto"/>
        <w:right w:val="none" w:sz="0" w:space="0" w:color="auto"/>
      </w:divBdr>
    </w:div>
    <w:div w:id="95373302">
      <w:bodyDiv w:val="1"/>
      <w:marLeft w:val="0"/>
      <w:marRight w:val="0"/>
      <w:marTop w:val="0"/>
      <w:marBottom w:val="0"/>
      <w:divBdr>
        <w:top w:val="none" w:sz="0" w:space="0" w:color="auto"/>
        <w:left w:val="none" w:sz="0" w:space="0" w:color="auto"/>
        <w:bottom w:val="none" w:sz="0" w:space="0" w:color="auto"/>
        <w:right w:val="none" w:sz="0" w:space="0" w:color="auto"/>
      </w:divBdr>
    </w:div>
    <w:div w:id="107746475">
      <w:bodyDiv w:val="1"/>
      <w:marLeft w:val="0"/>
      <w:marRight w:val="0"/>
      <w:marTop w:val="0"/>
      <w:marBottom w:val="0"/>
      <w:divBdr>
        <w:top w:val="none" w:sz="0" w:space="0" w:color="auto"/>
        <w:left w:val="none" w:sz="0" w:space="0" w:color="auto"/>
        <w:bottom w:val="none" w:sz="0" w:space="0" w:color="auto"/>
        <w:right w:val="none" w:sz="0" w:space="0" w:color="auto"/>
      </w:divBdr>
    </w:div>
    <w:div w:id="112985614">
      <w:bodyDiv w:val="1"/>
      <w:marLeft w:val="0"/>
      <w:marRight w:val="0"/>
      <w:marTop w:val="0"/>
      <w:marBottom w:val="0"/>
      <w:divBdr>
        <w:top w:val="none" w:sz="0" w:space="0" w:color="auto"/>
        <w:left w:val="none" w:sz="0" w:space="0" w:color="auto"/>
        <w:bottom w:val="none" w:sz="0" w:space="0" w:color="auto"/>
        <w:right w:val="none" w:sz="0" w:space="0" w:color="auto"/>
      </w:divBdr>
    </w:div>
    <w:div w:id="118304620">
      <w:bodyDiv w:val="1"/>
      <w:marLeft w:val="0"/>
      <w:marRight w:val="0"/>
      <w:marTop w:val="0"/>
      <w:marBottom w:val="0"/>
      <w:divBdr>
        <w:top w:val="none" w:sz="0" w:space="0" w:color="auto"/>
        <w:left w:val="none" w:sz="0" w:space="0" w:color="auto"/>
        <w:bottom w:val="none" w:sz="0" w:space="0" w:color="auto"/>
        <w:right w:val="none" w:sz="0" w:space="0" w:color="auto"/>
      </w:divBdr>
    </w:div>
    <w:div w:id="134571420">
      <w:bodyDiv w:val="1"/>
      <w:marLeft w:val="0"/>
      <w:marRight w:val="0"/>
      <w:marTop w:val="0"/>
      <w:marBottom w:val="0"/>
      <w:divBdr>
        <w:top w:val="none" w:sz="0" w:space="0" w:color="auto"/>
        <w:left w:val="none" w:sz="0" w:space="0" w:color="auto"/>
        <w:bottom w:val="none" w:sz="0" w:space="0" w:color="auto"/>
        <w:right w:val="none" w:sz="0" w:space="0" w:color="auto"/>
      </w:divBdr>
    </w:div>
    <w:div w:id="151800795">
      <w:bodyDiv w:val="1"/>
      <w:marLeft w:val="0"/>
      <w:marRight w:val="0"/>
      <w:marTop w:val="0"/>
      <w:marBottom w:val="0"/>
      <w:divBdr>
        <w:top w:val="none" w:sz="0" w:space="0" w:color="auto"/>
        <w:left w:val="none" w:sz="0" w:space="0" w:color="auto"/>
        <w:bottom w:val="none" w:sz="0" w:space="0" w:color="auto"/>
        <w:right w:val="none" w:sz="0" w:space="0" w:color="auto"/>
      </w:divBdr>
    </w:div>
    <w:div w:id="195967700">
      <w:bodyDiv w:val="1"/>
      <w:marLeft w:val="0"/>
      <w:marRight w:val="0"/>
      <w:marTop w:val="0"/>
      <w:marBottom w:val="0"/>
      <w:divBdr>
        <w:top w:val="none" w:sz="0" w:space="0" w:color="auto"/>
        <w:left w:val="none" w:sz="0" w:space="0" w:color="auto"/>
        <w:bottom w:val="none" w:sz="0" w:space="0" w:color="auto"/>
        <w:right w:val="none" w:sz="0" w:space="0" w:color="auto"/>
      </w:divBdr>
    </w:div>
    <w:div w:id="206189129">
      <w:bodyDiv w:val="1"/>
      <w:marLeft w:val="0"/>
      <w:marRight w:val="0"/>
      <w:marTop w:val="0"/>
      <w:marBottom w:val="0"/>
      <w:divBdr>
        <w:top w:val="none" w:sz="0" w:space="0" w:color="auto"/>
        <w:left w:val="none" w:sz="0" w:space="0" w:color="auto"/>
        <w:bottom w:val="none" w:sz="0" w:space="0" w:color="auto"/>
        <w:right w:val="none" w:sz="0" w:space="0" w:color="auto"/>
      </w:divBdr>
    </w:div>
    <w:div w:id="228276063">
      <w:bodyDiv w:val="1"/>
      <w:marLeft w:val="0"/>
      <w:marRight w:val="0"/>
      <w:marTop w:val="0"/>
      <w:marBottom w:val="0"/>
      <w:divBdr>
        <w:top w:val="none" w:sz="0" w:space="0" w:color="auto"/>
        <w:left w:val="none" w:sz="0" w:space="0" w:color="auto"/>
        <w:bottom w:val="none" w:sz="0" w:space="0" w:color="auto"/>
        <w:right w:val="none" w:sz="0" w:space="0" w:color="auto"/>
      </w:divBdr>
    </w:div>
    <w:div w:id="274018647">
      <w:bodyDiv w:val="1"/>
      <w:marLeft w:val="0"/>
      <w:marRight w:val="0"/>
      <w:marTop w:val="0"/>
      <w:marBottom w:val="0"/>
      <w:divBdr>
        <w:top w:val="none" w:sz="0" w:space="0" w:color="auto"/>
        <w:left w:val="none" w:sz="0" w:space="0" w:color="auto"/>
        <w:bottom w:val="none" w:sz="0" w:space="0" w:color="auto"/>
        <w:right w:val="none" w:sz="0" w:space="0" w:color="auto"/>
      </w:divBdr>
    </w:div>
    <w:div w:id="274991519">
      <w:bodyDiv w:val="1"/>
      <w:marLeft w:val="0"/>
      <w:marRight w:val="0"/>
      <w:marTop w:val="0"/>
      <w:marBottom w:val="0"/>
      <w:divBdr>
        <w:top w:val="none" w:sz="0" w:space="0" w:color="auto"/>
        <w:left w:val="none" w:sz="0" w:space="0" w:color="auto"/>
        <w:bottom w:val="none" w:sz="0" w:space="0" w:color="auto"/>
        <w:right w:val="none" w:sz="0" w:space="0" w:color="auto"/>
      </w:divBdr>
    </w:div>
    <w:div w:id="292177882">
      <w:bodyDiv w:val="1"/>
      <w:marLeft w:val="0"/>
      <w:marRight w:val="0"/>
      <w:marTop w:val="0"/>
      <w:marBottom w:val="0"/>
      <w:divBdr>
        <w:top w:val="none" w:sz="0" w:space="0" w:color="auto"/>
        <w:left w:val="none" w:sz="0" w:space="0" w:color="auto"/>
        <w:bottom w:val="none" w:sz="0" w:space="0" w:color="auto"/>
        <w:right w:val="none" w:sz="0" w:space="0" w:color="auto"/>
      </w:divBdr>
    </w:div>
    <w:div w:id="329258958">
      <w:bodyDiv w:val="1"/>
      <w:marLeft w:val="0"/>
      <w:marRight w:val="0"/>
      <w:marTop w:val="0"/>
      <w:marBottom w:val="0"/>
      <w:divBdr>
        <w:top w:val="none" w:sz="0" w:space="0" w:color="auto"/>
        <w:left w:val="none" w:sz="0" w:space="0" w:color="auto"/>
        <w:bottom w:val="none" w:sz="0" w:space="0" w:color="auto"/>
        <w:right w:val="none" w:sz="0" w:space="0" w:color="auto"/>
      </w:divBdr>
    </w:div>
    <w:div w:id="365757610">
      <w:bodyDiv w:val="1"/>
      <w:marLeft w:val="0"/>
      <w:marRight w:val="0"/>
      <w:marTop w:val="0"/>
      <w:marBottom w:val="0"/>
      <w:divBdr>
        <w:top w:val="none" w:sz="0" w:space="0" w:color="auto"/>
        <w:left w:val="none" w:sz="0" w:space="0" w:color="auto"/>
        <w:bottom w:val="none" w:sz="0" w:space="0" w:color="auto"/>
        <w:right w:val="none" w:sz="0" w:space="0" w:color="auto"/>
      </w:divBdr>
    </w:div>
    <w:div w:id="391971457">
      <w:bodyDiv w:val="1"/>
      <w:marLeft w:val="0"/>
      <w:marRight w:val="0"/>
      <w:marTop w:val="0"/>
      <w:marBottom w:val="0"/>
      <w:divBdr>
        <w:top w:val="none" w:sz="0" w:space="0" w:color="auto"/>
        <w:left w:val="none" w:sz="0" w:space="0" w:color="auto"/>
        <w:bottom w:val="none" w:sz="0" w:space="0" w:color="auto"/>
        <w:right w:val="none" w:sz="0" w:space="0" w:color="auto"/>
      </w:divBdr>
    </w:div>
    <w:div w:id="398676871">
      <w:bodyDiv w:val="1"/>
      <w:marLeft w:val="0"/>
      <w:marRight w:val="0"/>
      <w:marTop w:val="0"/>
      <w:marBottom w:val="0"/>
      <w:divBdr>
        <w:top w:val="none" w:sz="0" w:space="0" w:color="auto"/>
        <w:left w:val="none" w:sz="0" w:space="0" w:color="auto"/>
        <w:bottom w:val="none" w:sz="0" w:space="0" w:color="auto"/>
        <w:right w:val="none" w:sz="0" w:space="0" w:color="auto"/>
      </w:divBdr>
    </w:div>
    <w:div w:id="404500950">
      <w:bodyDiv w:val="1"/>
      <w:marLeft w:val="0"/>
      <w:marRight w:val="0"/>
      <w:marTop w:val="0"/>
      <w:marBottom w:val="0"/>
      <w:divBdr>
        <w:top w:val="none" w:sz="0" w:space="0" w:color="auto"/>
        <w:left w:val="none" w:sz="0" w:space="0" w:color="auto"/>
        <w:bottom w:val="none" w:sz="0" w:space="0" w:color="auto"/>
        <w:right w:val="none" w:sz="0" w:space="0" w:color="auto"/>
      </w:divBdr>
    </w:div>
    <w:div w:id="425929709">
      <w:bodyDiv w:val="1"/>
      <w:marLeft w:val="0"/>
      <w:marRight w:val="0"/>
      <w:marTop w:val="0"/>
      <w:marBottom w:val="0"/>
      <w:divBdr>
        <w:top w:val="none" w:sz="0" w:space="0" w:color="auto"/>
        <w:left w:val="none" w:sz="0" w:space="0" w:color="auto"/>
        <w:bottom w:val="none" w:sz="0" w:space="0" w:color="auto"/>
        <w:right w:val="none" w:sz="0" w:space="0" w:color="auto"/>
      </w:divBdr>
    </w:div>
    <w:div w:id="442388828">
      <w:bodyDiv w:val="1"/>
      <w:marLeft w:val="0"/>
      <w:marRight w:val="0"/>
      <w:marTop w:val="0"/>
      <w:marBottom w:val="0"/>
      <w:divBdr>
        <w:top w:val="none" w:sz="0" w:space="0" w:color="auto"/>
        <w:left w:val="none" w:sz="0" w:space="0" w:color="auto"/>
        <w:bottom w:val="none" w:sz="0" w:space="0" w:color="auto"/>
        <w:right w:val="none" w:sz="0" w:space="0" w:color="auto"/>
      </w:divBdr>
    </w:div>
    <w:div w:id="446853660">
      <w:bodyDiv w:val="1"/>
      <w:marLeft w:val="0"/>
      <w:marRight w:val="0"/>
      <w:marTop w:val="0"/>
      <w:marBottom w:val="0"/>
      <w:divBdr>
        <w:top w:val="none" w:sz="0" w:space="0" w:color="auto"/>
        <w:left w:val="none" w:sz="0" w:space="0" w:color="auto"/>
        <w:bottom w:val="none" w:sz="0" w:space="0" w:color="auto"/>
        <w:right w:val="none" w:sz="0" w:space="0" w:color="auto"/>
      </w:divBdr>
    </w:div>
    <w:div w:id="451049702">
      <w:bodyDiv w:val="1"/>
      <w:marLeft w:val="0"/>
      <w:marRight w:val="0"/>
      <w:marTop w:val="0"/>
      <w:marBottom w:val="0"/>
      <w:divBdr>
        <w:top w:val="none" w:sz="0" w:space="0" w:color="auto"/>
        <w:left w:val="none" w:sz="0" w:space="0" w:color="auto"/>
        <w:bottom w:val="none" w:sz="0" w:space="0" w:color="auto"/>
        <w:right w:val="none" w:sz="0" w:space="0" w:color="auto"/>
      </w:divBdr>
    </w:div>
    <w:div w:id="455954062">
      <w:bodyDiv w:val="1"/>
      <w:marLeft w:val="0"/>
      <w:marRight w:val="0"/>
      <w:marTop w:val="0"/>
      <w:marBottom w:val="0"/>
      <w:divBdr>
        <w:top w:val="none" w:sz="0" w:space="0" w:color="auto"/>
        <w:left w:val="none" w:sz="0" w:space="0" w:color="auto"/>
        <w:bottom w:val="none" w:sz="0" w:space="0" w:color="auto"/>
        <w:right w:val="none" w:sz="0" w:space="0" w:color="auto"/>
      </w:divBdr>
    </w:div>
    <w:div w:id="475998535">
      <w:bodyDiv w:val="1"/>
      <w:marLeft w:val="0"/>
      <w:marRight w:val="0"/>
      <w:marTop w:val="0"/>
      <w:marBottom w:val="0"/>
      <w:divBdr>
        <w:top w:val="none" w:sz="0" w:space="0" w:color="auto"/>
        <w:left w:val="none" w:sz="0" w:space="0" w:color="auto"/>
        <w:bottom w:val="none" w:sz="0" w:space="0" w:color="auto"/>
        <w:right w:val="none" w:sz="0" w:space="0" w:color="auto"/>
      </w:divBdr>
    </w:div>
    <w:div w:id="482697922">
      <w:bodyDiv w:val="1"/>
      <w:marLeft w:val="0"/>
      <w:marRight w:val="0"/>
      <w:marTop w:val="0"/>
      <w:marBottom w:val="0"/>
      <w:divBdr>
        <w:top w:val="none" w:sz="0" w:space="0" w:color="auto"/>
        <w:left w:val="none" w:sz="0" w:space="0" w:color="auto"/>
        <w:bottom w:val="none" w:sz="0" w:space="0" w:color="auto"/>
        <w:right w:val="none" w:sz="0" w:space="0" w:color="auto"/>
      </w:divBdr>
    </w:div>
    <w:div w:id="483352072">
      <w:bodyDiv w:val="1"/>
      <w:marLeft w:val="0"/>
      <w:marRight w:val="0"/>
      <w:marTop w:val="0"/>
      <w:marBottom w:val="0"/>
      <w:divBdr>
        <w:top w:val="none" w:sz="0" w:space="0" w:color="auto"/>
        <w:left w:val="none" w:sz="0" w:space="0" w:color="auto"/>
        <w:bottom w:val="none" w:sz="0" w:space="0" w:color="auto"/>
        <w:right w:val="none" w:sz="0" w:space="0" w:color="auto"/>
      </w:divBdr>
    </w:div>
    <w:div w:id="486552850">
      <w:bodyDiv w:val="1"/>
      <w:marLeft w:val="0"/>
      <w:marRight w:val="0"/>
      <w:marTop w:val="0"/>
      <w:marBottom w:val="0"/>
      <w:divBdr>
        <w:top w:val="none" w:sz="0" w:space="0" w:color="auto"/>
        <w:left w:val="none" w:sz="0" w:space="0" w:color="auto"/>
        <w:bottom w:val="none" w:sz="0" w:space="0" w:color="auto"/>
        <w:right w:val="none" w:sz="0" w:space="0" w:color="auto"/>
      </w:divBdr>
    </w:div>
    <w:div w:id="518004877">
      <w:bodyDiv w:val="1"/>
      <w:marLeft w:val="0"/>
      <w:marRight w:val="0"/>
      <w:marTop w:val="0"/>
      <w:marBottom w:val="0"/>
      <w:divBdr>
        <w:top w:val="none" w:sz="0" w:space="0" w:color="auto"/>
        <w:left w:val="none" w:sz="0" w:space="0" w:color="auto"/>
        <w:bottom w:val="none" w:sz="0" w:space="0" w:color="auto"/>
        <w:right w:val="none" w:sz="0" w:space="0" w:color="auto"/>
      </w:divBdr>
    </w:div>
    <w:div w:id="526137444">
      <w:bodyDiv w:val="1"/>
      <w:marLeft w:val="0"/>
      <w:marRight w:val="0"/>
      <w:marTop w:val="0"/>
      <w:marBottom w:val="0"/>
      <w:divBdr>
        <w:top w:val="none" w:sz="0" w:space="0" w:color="auto"/>
        <w:left w:val="none" w:sz="0" w:space="0" w:color="auto"/>
        <w:bottom w:val="none" w:sz="0" w:space="0" w:color="auto"/>
        <w:right w:val="none" w:sz="0" w:space="0" w:color="auto"/>
      </w:divBdr>
    </w:div>
    <w:div w:id="533344482">
      <w:bodyDiv w:val="1"/>
      <w:marLeft w:val="0"/>
      <w:marRight w:val="0"/>
      <w:marTop w:val="0"/>
      <w:marBottom w:val="0"/>
      <w:divBdr>
        <w:top w:val="none" w:sz="0" w:space="0" w:color="auto"/>
        <w:left w:val="none" w:sz="0" w:space="0" w:color="auto"/>
        <w:bottom w:val="none" w:sz="0" w:space="0" w:color="auto"/>
        <w:right w:val="none" w:sz="0" w:space="0" w:color="auto"/>
      </w:divBdr>
    </w:div>
    <w:div w:id="543712295">
      <w:bodyDiv w:val="1"/>
      <w:marLeft w:val="0"/>
      <w:marRight w:val="0"/>
      <w:marTop w:val="0"/>
      <w:marBottom w:val="0"/>
      <w:divBdr>
        <w:top w:val="none" w:sz="0" w:space="0" w:color="auto"/>
        <w:left w:val="none" w:sz="0" w:space="0" w:color="auto"/>
        <w:bottom w:val="none" w:sz="0" w:space="0" w:color="auto"/>
        <w:right w:val="none" w:sz="0" w:space="0" w:color="auto"/>
      </w:divBdr>
    </w:div>
    <w:div w:id="555312755">
      <w:bodyDiv w:val="1"/>
      <w:marLeft w:val="0"/>
      <w:marRight w:val="0"/>
      <w:marTop w:val="0"/>
      <w:marBottom w:val="0"/>
      <w:divBdr>
        <w:top w:val="none" w:sz="0" w:space="0" w:color="auto"/>
        <w:left w:val="none" w:sz="0" w:space="0" w:color="auto"/>
        <w:bottom w:val="none" w:sz="0" w:space="0" w:color="auto"/>
        <w:right w:val="none" w:sz="0" w:space="0" w:color="auto"/>
      </w:divBdr>
    </w:div>
    <w:div w:id="564536131">
      <w:bodyDiv w:val="1"/>
      <w:marLeft w:val="0"/>
      <w:marRight w:val="0"/>
      <w:marTop w:val="0"/>
      <w:marBottom w:val="0"/>
      <w:divBdr>
        <w:top w:val="none" w:sz="0" w:space="0" w:color="auto"/>
        <w:left w:val="none" w:sz="0" w:space="0" w:color="auto"/>
        <w:bottom w:val="none" w:sz="0" w:space="0" w:color="auto"/>
        <w:right w:val="none" w:sz="0" w:space="0" w:color="auto"/>
      </w:divBdr>
    </w:div>
    <w:div w:id="590941178">
      <w:bodyDiv w:val="1"/>
      <w:marLeft w:val="0"/>
      <w:marRight w:val="0"/>
      <w:marTop w:val="0"/>
      <w:marBottom w:val="0"/>
      <w:divBdr>
        <w:top w:val="none" w:sz="0" w:space="0" w:color="auto"/>
        <w:left w:val="none" w:sz="0" w:space="0" w:color="auto"/>
        <w:bottom w:val="none" w:sz="0" w:space="0" w:color="auto"/>
        <w:right w:val="none" w:sz="0" w:space="0" w:color="auto"/>
      </w:divBdr>
    </w:div>
    <w:div w:id="590970538">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608977343">
      <w:bodyDiv w:val="1"/>
      <w:marLeft w:val="0"/>
      <w:marRight w:val="0"/>
      <w:marTop w:val="0"/>
      <w:marBottom w:val="0"/>
      <w:divBdr>
        <w:top w:val="none" w:sz="0" w:space="0" w:color="auto"/>
        <w:left w:val="none" w:sz="0" w:space="0" w:color="auto"/>
        <w:bottom w:val="none" w:sz="0" w:space="0" w:color="auto"/>
        <w:right w:val="none" w:sz="0" w:space="0" w:color="auto"/>
      </w:divBdr>
    </w:div>
    <w:div w:id="640693228">
      <w:bodyDiv w:val="1"/>
      <w:marLeft w:val="0"/>
      <w:marRight w:val="0"/>
      <w:marTop w:val="0"/>
      <w:marBottom w:val="0"/>
      <w:divBdr>
        <w:top w:val="none" w:sz="0" w:space="0" w:color="auto"/>
        <w:left w:val="none" w:sz="0" w:space="0" w:color="auto"/>
        <w:bottom w:val="none" w:sz="0" w:space="0" w:color="auto"/>
        <w:right w:val="none" w:sz="0" w:space="0" w:color="auto"/>
      </w:divBdr>
    </w:div>
    <w:div w:id="645427333">
      <w:bodyDiv w:val="1"/>
      <w:marLeft w:val="0"/>
      <w:marRight w:val="0"/>
      <w:marTop w:val="0"/>
      <w:marBottom w:val="0"/>
      <w:divBdr>
        <w:top w:val="none" w:sz="0" w:space="0" w:color="auto"/>
        <w:left w:val="none" w:sz="0" w:space="0" w:color="auto"/>
        <w:bottom w:val="none" w:sz="0" w:space="0" w:color="auto"/>
        <w:right w:val="none" w:sz="0" w:space="0" w:color="auto"/>
      </w:divBdr>
    </w:div>
    <w:div w:id="664213064">
      <w:bodyDiv w:val="1"/>
      <w:marLeft w:val="0"/>
      <w:marRight w:val="0"/>
      <w:marTop w:val="0"/>
      <w:marBottom w:val="0"/>
      <w:divBdr>
        <w:top w:val="none" w:sz="0" w:space="0" w:color="auto"/>
        <w:left w:val="none" w:sz="0" w:space="0" w:color="auto"/>
        <w:bottom w:val="none" w:sz="0" w:space="0" w:color="auto"/>
        <w:right w:val="none" w:sz="0" w:space="0" w:color="auto"/>
      </w:divBdr>
    </w:div>
    <w:div w:id="666859441">
      <w:bodyDiv w:val="1"/>
      <w:marLeft w:val="0"/>
      <w:marRight w:val="0"/>
      <w:marTop w:val="0"/>
      <w:marBottom w:val="0"/>
      <w:divBdr>
        <w:top w:val="none" w:sz="0" w:space="0" w:color="auto"/>
        <w:left w:val="none" w:sz="0" w:space="0" w:color="auto"/>
        <w:bottom w:val="none" w:sz="0" w:space="0" w:color="auto"/>
        <w:right w:val="none" w:sz="0" w:space="0" w:color="auto"/>
      </w:divBdr>
    </w:div>
    <w:div w:id="669333684">
      <w:bodyDiv w:val="1"/>
      <w:marLeft w:val="0"/>
      <w:marRight w:val="0"/>
      <w:marTop w:val="0"/>
      <w:marBottom w:val="0"/>
      <w:divBdr>
        <w:top w:val="none" w:sz="0" w:space="0" w:color="auto"/>
        <w:left w:val="none" w:sz="0" w:space="0" w:color="auto"/>
        <w:bottom w:val="none" w:sz="0" w:space="0" w:color="auto"/>
        <w:right w:val="none" w:sz="0" w:space="0" w:color="auto"/>
      </w:divBdr>
    </w:div>
    <w:div w:id="680933839">
      <w:bodyDiv w:val="1"/>
      <w:marLeft w:val="0"/>
      <w:marRight w:val="0"/>
      <w:marTop w:val="0"/>
      <w:marBottom w:val="0"/>
      <w:divBdr>
        <w:top w:val="none" w:sz="0" w:space="0" w:color="auto"/>
        <w:left w:val="none" w:sz="0" w:space="0" w:color="auto"/>
        <w:bottom w:val="none" w:sz="0" w:space="0" w:color="auto"/>
        <w:right w:val="none" w:sz="0" w:space="0" w:color="auto"/>
      </w:divBdr>
    </w:div>
    <w:div w:id="714617733">
      <w:bodyDiv w:val="1"/>
      <w:marLeft w:val="0"/>
      <w:marRight w:val="0"/>
      <w:marTop w:val="0"/>
      <w:marBottom w:val="0"/>
      <w:divBdr>
        <w:top w:val="none" w:sz="0" w:space="0" w:color="auto"/>
        <w:left w:val="none" w:sz="0" w:space="0" w:color="auto"/>
        <w:bottom w:val="none" w:sz="0" w:space="0" w:color="auto"/>
        <w:right w:val="none" w:sz="0" w:space="0" w:color="auto"/>
      </w:divBdr>
    </w:div>
    <w:div w:id="790247696">
      <w:bodyDiv w:val="1"/>
      <w:marLeft w:val="0"/>
      <w:marRight w:val="0"/>
      <w:marTop w:val="0"/>
      <w:marBottom w:val="0"/>
      <w:divBdr>
        <w:top w:val="none" w:sz="0" w:space="0" w:color="auto"/>
        <w:left w:val="none" w:sz="0" w:space="0" w:color="auto"/>
        <w:bottom w:val="none" w:sz="0" w:space="0" w:color="auto"/>
        <w:right w:val="none" w:sz="0" w:space="0" w:color="auto"/>
      </w:divBdr>
    </w:div>
    <w:div w:id="811752524">
      <w:bodyDiv w:val="1"/>
      <w:marLeft w:val="0"/>
      <w:marRight w:val="0"/>
      <w:marTop w:val="0"/>
      <w:marBottom w:val="0"/>
      <w:divBdr>
        <w:top w:val="none" w:sz="0" w:space="0" w:color="auto"/>
        <w:left w:val="none" w:sz="0" w:space="0" w:color="auto"/>
        <w:bottom w:val="none" w:sz="0" w:space="0" w:color="auto"/>
        <w:right w:val="none" w:sz="0" w:space="0" w:color="auto"/>
      </w:divBdr>
    </w:div>
    <w:div w:id="823859779">
      <w:bodyDiv w:val="1"/>
      <w:marLeft w:val="0"/>
      <w:marRight w:val="0"/>
      <w:marTop w:val="0"/>
      <w:marBottom w:val="0"/>
      <w:divBdr>
        <w:top w:val="none" w:sz="0" w:space="0" w:color="auto"/>
        <w:left w:val="none" w:sz="0" w:space="0" w:color="auto"/>
        <w:bottom w:val="none" w:sz="0" w:space="0" w:color="auto"/>
        <w:right w:val="none" w:sz="0" w:space="0" w:color="auto"/>
      </w:divBdr>
    </w:div>
    <w:div w:id="832531616">
      <w:bodyDiv w:val="1"/>
      <w:marLeft w:val="0"/>
      <w:marRight w:val="0"/>
      <w:marTop w:val="0"/>
      <w:marBottom w:val="0"/>
      <w:divBdr>
        <w:top w:val="none" w:sz="0" w:space="0" w:color="auto"/>
        <w:left w:val="none" w:sz="0" w:space="0" w:color="auto"/>
        <w:bottom w:val="none" w:sz="0" w:space="0" w:color="auto"/>
        <w:right w:val="none" w:sz="0" w:space="0" w:color="auto"/>
      </w:divBdr>
    </w:div>
    <w:div w:id="847984067">
      <w:bodyDiv w:val="1"/>
      <w:marLeft w:val="0"/>
      <w:marRight w:val="0"/>
      <w:marTop w:val="0"/>
      <w:marBottom w:val="0"/>
      <w:divBdr>
        <w:top w:val="none" w:sz="0" w:space="0" w:color="auto"/>
        <w:left w:val="none" w:sz="0" w:space="0" w:color="auto"/>
        <w:bottom w:val="none" w:sz="0" w:space="0" w:color="auto"/>
        <w:right w:val="none" w:sz="0" w:space="0" w:color="auto"/>
      </w:divBdr>
    </w:div>
    <w:div w:id="874120471">
      <w:bodyDiv w:val="1"/>
      <w:marLeft w:val="0"/>
      <w:marRight w:val="0"/>
      <w:marTop w:val="0"/>
      <w:marBottom w:val="0"/>
      <w:divBdr>
        <w:top w:val="none" w:sz="0" w:space="0" w:color="auto"/>
        <w:left w:val="none" w:sz="0" w:space="0" w:color="auto"/>
        <w:bottom w:val="none" w:sz="0" w:space="0" w:color="auto"/>
        <w:right w:val="none" w:sz="0" w:space="0" w:color="auto"/>
      </w:divBdr>
    </w:div>
    <w:div w:id="875234085">
      <w:bodyDiv w:val="1"/>
      <w:marLeft w:val="0"/>
      <w:marRight w:val="0"/>
      <w:marTop w:val="0"/>
      <w:marBottom w:val="0"/>
      <w:divBdr>
        <w:top w:val="none" w:sz="0" w:space="0" w:color="auto"/>
        <w:left w:val="none" w:sz="0" w:space="0" w:color="auto"/>
        <w:bottom w:val="none" w:sz="0" w:space="0" w:color="auto"/>
        <w:right w:val="none" w:sz="0" w:space="0" w:color="auto"/>
      </w:divBdr>
    </w:div>
    <w:div w:id="878932924">
      <w:bodyDiv w:val="1"/>
      <w:marLeft w:val="0"/>
      <w:marRight w:val="0"/>
      <w:marTop w:val="0"/>
      <w:marBottom w:val="0"/>
      <w:divBdr>
        <w:top w:val="none" w:sz="0" w:space="0" w:color="auto"/>
        <w:left w:val="none" w:sz="0" w:space="0" w:color="auto"/>
        <w:bottom w:val="none" w:sz="0" w:space="0" w:color="auto"/>
        <w:right w:val="none" w:sz="0" w:space="0" w:color="auto"/>
      </w:divBdr>
    </w:div>
    <w:div w:id="879589227">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919876297">
      <w:bodyDiv w:val="1"/>
      <w:marLeft w:val="0"/>
      <w:marRight w:val="0"/>
      <w:marTop w:val="0"/>
      <w:marBottom w:val="0"/>
      <w:divBdr>
        <w:top w:val="none" w:sz="0" w:space="0" w:color="auto"/>
        <w:left w:val="none" w:sz="0" w:space="0" w:color="auto"/>
        <w:bottom w:val="none" w:sz="0" w:space="0" w:color="auto"/>
        <w:right w:val="none" w:sz="0" w:space="0" w:color="auto"/>
      </w:divBdr>
    </w:div>
    <w:div w:id="941063919">
      <w:bodyDiv w:val="1"/>
      <w:marLeft w:val="0"/>
      <w:marRight w:val="0"/>
      <w:marTop w:val="0"/>
      <w:marBottom w:val="0"/>
      <w:divBdr>
        <w:top w:val="none" w:sz="0" w:space="0" w:color="auto"/>
        <w:left w:val="none" w:sz="0" w:space="0" w:color="auto"/>
        <w:bottom w:val="none" w:sz="0" w:space="0" w:color="auto"/>
        <w:right w:val="none" w:sz="0" w:space="0" w:color="auto"/>
      </w:divBdr>
    </w:div>
    <w:div w:id="990908941">
      <w:bodyDiv w:val="1"/>
      <w:marLeft w:val="0"/>
      <w:marRight w:val="0"/>
      <w:marTop w:val="0"/>
      <w:marBottom w:val="0"/>
      <w:divBdr>
        <w:top w:val="none" w:sz="0" w:space="0" w:color="auto"/>
        <w:left w:val="none" w:sz="0" w:space="0" w:color="auto"/>
        <w:bottom w:val="none" w:sz="0" w:space="0" w:color="auto"/>
        <w:right w:val="none" w:sz="0" w:space="0" w:color="auto"/>
      </w:divBdr>
    </w:div>
    <w:div w:id="992562484">
      <w:bodyDiv w:val="1"/>
      <w:marLeft w:val="0"/>
      <w:marRight w:val="0"/>
      <w:marTop w:val="0"/>
      <w:marBottom w:val="0"/>
      <w:divBdr>
        <w:top w:val="none" w:sz="0" w:space="0" w:color="auto"/>
        <w:left w:val="none" w:sz="0" w:space="0" w:color="auto"/>
        <w:bottom w:val="none" w:sz="0" w:space="0" w:color="auto"/>
        <w:right w:val="none" w:sz="0" w:space="0" w:color="auto"/>
      </w:divBdr>
    </w:div>
    <w:div w:id="1035888875">
      <w:bodyDiv w:val="1"/>
      <w:marLeft w:val="0"/>
      <w:marRight w:val="0"/>
      <w:marTop w:val="0"/>
      <w:marBottom w:val="0"/>
      <w:divBdr>
        <w:top w:val="none" w:sz="0" w:space="0" w:color="auto"/>
        <w:left w:val="none" w:sz="0" w:space="0" w:color="auto"/>
        <w:bottom w:val="none" w:sz="0" w:space="0" w:color="auto"/>
        <w:right w:val="none" w:sz="0" w:space="0" w:color="auto"/>
      </w:divBdr>
    </w:div>
    <w:div w:id="1048186094">
      <w:bodyDiv w:val="1"/>
      <w:marLeft w:val="0"/>
      <w:marRight w:val="0"/>
      <w:marTop w:val="0"/>
      <w:marBottom w:val="0"/>
      <w:divBdr>
        <w:top w:val="none" w:sz="0" w:space="0" w:color="auto"/>
        <w:left w:val="none" w:sz="0" w:space="0" w:color="auto"/>
        <w:bottom w:val="none" w:sz="0" w:space="0" w:color="auto"/>
        <w:right w:val="none" w:sz="0" w:space="0" w:color="auto"/>
      </w:divBdr>
    </w:div>
    <w:div w:id="1061321954">
      <w:bodyDiv w:val="1"/>
      <w:marLeft w:val="0"/>
      <w:marRight w:val="0"/>
      <w:marTop w:val="0"/>
      <w:marBottom w:val="0"/>
      <w:divBdr>
        <w:top w:val="none" w:sz="0" w:space="0" w:color="auto"/>
        <w:left w:val="none" w:sz="0" w:space="0" w:color="auto"/>
        <w:bottom w:val="none" w:sz="0" w:space="0" w:color="auto"/>
        <w:right w:val="none" w:sz="0" w:space="0" w:color="auto"/>
      </w:divBdr>
    </w:div>
    <w:div w:id="1070346988">
      <w:bodyDiv w:val="1"/>
      <w:marLeft w:val="0"/>
      <w:marRight w:val="0"/>
      <w:marTop w:val="0"/>
      <w:marBottom w:val="0"/>
      <w:divBdr>
        <w:top w:val="none" w:sz="0" w:space="0" w:color="auto"/>
        <w:left w:val="none" w:sz="0" w:space="0" w:color="auto"/>
        <w:bottom w:val="none" w:sz="0" w:space="0" w:color="auto"/>
        <w:right w:val="none" w:sz="0" w:space="0" w:color="auto"/>
      </w:divBdr>
    </w:div>
    <w:div w:id="1094134158">
      <w:bodyDiv w:val="1"/>
      <w:marLeft w:val="0"/>
      <w:marRight w:val="0"/>
      <w:marTop w:val="0"/>
      <w:marBottom w:val="0"/>
      <w:divBdr>
        <w:top w:val="none" w:sz="0" w:space="0" w:color="auto"/>
        <w:left w:val="none" w:sz="0" w:space="0" w:color="auto"/>
        <w:bottom w:val="none" w:sz="0" w:space="0" w:color="auto"/>
        <w:right w:val="none" w:sz="0" w:space="0" w:color="auto"/>
      </w:divBdr>
    </w:div>
    <w:div w:id="1096944702">
      <w:bodyDiv w:val="1"/>
      <w:marLeft w:val="0"/>
      <w:marRight w:val="0"/>
      <w:marTop w:val="0"/>
      <w:marBottom w:val="0"/>
      <w:divBdr>
        <w:top w:val="none" w:sz="0" w:space="0" w:color="auto"/>
        <w:left w:val="none" w:sz="0" w:space="0" w:color="auto"/>
        <w:bottom w:val="none" w:sz="0" w:space="0" w:color="auto"/>
        <w:right w:val="none" w:sz="0" w:space="0" w:color="auto"/>
      </w:divBdr>
    </w:div>
    <w:div w:id="1108232817">
      <w:bodyDiv w:val="1"/>
      <w:marLeft w:val="0"/>
      <w:marRight w:val="0"/>
      <w:marTop w:val="0"/>
      <w:marBottom w:val="0"/>
      <w:divBdr>
        <w:top w:val="none" w:sz="0" w:space="0" w:color="auto"/>
        <w:left w:val="none" w:sz="0" w:space="0" w:color="auto"/>
        <w:bottom w:val="none" w:sz="0" w:space="0" w:color="auto"/>
        <w:right w:val="none" w:sz="0" w:space="0" w:color="auto"/>
      </w:divBdr>
    </w:div>
    <w:div w:id="1122917057">
      <w:bodyDiv w:val="1"/>
      <w:marLeft w:val="0"/>
      <w:marRight w:val="0"/>
      <w:marTop w:val="0"/>
      <w:marBottom w:val="0"/>
      <w:divBdr>
        <w:top w:val="none" w:sz="0" w:space="0" w:color="auto"/>
        <w:left w:val="none" w:sz="0" w:space="0" w:color="auto"/>
        <w:bottom w:val="none" w:sz="0" w:space="0" w:color="auto"/>
        <w:right w:val="none" w:sz="0" w:space="0" w:color="auto"/>
      </w:divBdr>
    </w:div>
    <w:div w:id="1192959146">
      <w:bodyDiv w:val="1"/>
      <w:marLeft w:val="0"/>
      <w:marRight w:val="0"/>
      <w:marTop w:val="0"/>
      <w:marBottom w:val="0"/>
      <w:divBdr>
        <w:top w:val="none" w:sz="0" w:space="0" w:color="auto"/>
        <w:left w:val="none" w:sz="0" w:space="0" w:color="auto"/>
        <w:bottom w:val="none" w:sz="0" w:space="0" w:color="auto"/>
        <w:right w:val="none" w:sz="0" w:space="0" w:color="auto"/>
      </w:divBdr>
    </w:div>
    <w:div w:id="1204756745">
      <w:bodyDiv w:val="1"/>
      <w:marLeft w:val="0"/>
      <w:marRight w:val="0"/>
      <w:marTop w:val="0"/>
      <w:marBottom w:val="0"/>
      <w:divBdr>
        <w:top w:val="none" w:sz="0" w:space="0" w:color="auto"/>
        <w:left w:val="none" w:sz="0" w:space="0" w:color="auto"/>
        <w:bottom w:val="none" w:sz="0" w:space="0" w:color="auto"/>
        <w:right w:val="none" w:sz="0" w:space="0" w:color="auto"/>
      </w:divBdr>
    </w:div>
    <w:div w:id="1211191892">
      <w:bodyDiv w:val="1"/>
      <w:marLeft w:val="0"/>
      <w:marRight w:val="0"/>
      <w:marTop w:val="0"/>
      <w:marBottom w:val="0"/>
      <w:divBdr>
        <w:top w:val="none" w:sz="0" w:space="0" w:color="auto"/>
        <w:left w:val="none" w:sz="0" w:space="0" w:color="auto"/>
        <w:bottom w:val="none" w:sz="0" w:space="0" w:color="auto"/>
        <w:right w:val="none" w:sz="0" w:space="0" w:color="auto"/>
      </w:divBdr>
    </w:div>
    <w:div w:id="1241791205">
      <w:bodyDiv w:val="1"/>
      <w:marLeft w:val="0"/>
      <w:marRight w:val="0"/>
      <w:marTop w:val="0"/>
      <w:marBottom w:val="0"/>
      <w:divBdr>
        <w:top w:val="none" w:sz="0" w:space="0" w:color="auto"/>
        <w:left w:val="none" w:sz="0" w:space="0" w:color="auto"/>
        <w:bottom w:val="none" w:sz="0" w:space="0" w:color="auto"/>
        <w:right w:val="none" w:sz="0" w:space="0" w:color="auto"/>
      </w:divBdr>
    </w:div>
    <w:div w:id="1249927706">
      <w:bodyDiv w:val="1"/>
      <w:marLeft w:val="0"/>
      <w:marRight w:val="0"/>
      <w:marTop w:val="0"/>
      <w:marBottom w:val="0"/>
      <w:divBdr>
        <w:top w:val="none" w:sz="0" w:space="0" w:color="auto"/>
        <w:left w:val="none" w:sz="0" w:space="0" w:color="auto"/>
        <w:bottom w:val="none" w:sz="0" w:space="0" w:color="auto"/>
        <w:right w:val="none" w:sz="0" w:space="0" w:color="auto"/>
      </w:divBdr>
    </w:div>
    <w:div w:id="1268612151">
      <w:bodyDiv w:val="1"/>
      <w:marLeft w:val="0"/>
      <w:marRight w:val="0"/>
      <w:marTop w:val="0"/>
      <w:marBottom w:val="0"/>
      <w:divBdr>
        <w:top w:val="none" w:sz="0" w:space="0" w:color="auto"/>
        <w:left w:val="none" w:sz="0" w:space="0" w:color="auto"/>
        <w:bottom w:val="none" w:sz="0" w:space="0" w:color="auto"/>
        <w:right w:val="none" w:sz="0" w:space="0" w:color="auto"/>
      </w:divBdr>
    </w:div>
    <w:div w:id="1270546829">
      <w:bodyDiv w:val="1"/>
      <w:marLeft w:val="0"/>
      <w:marRight w:val="0"/>
      <w:marTop w:val="0"/>
      <w:marBottom w:val="0"/>
      <w:divBdr>
        <w:top w:val="none" w:sz="0" w:space="0" w:color="auto"/>
        <w:left w:val="none" w:sz="0" w:space="0" w:color="auto"/>
        <w:bottom w:val="none" w:sz="0" w:space="0" w:color="auto"/>
        <w:right w:val="none" w:sz="0" w:space="0" w:color="auto"/>
      </w:divBdr>
    </w:div>
    <w:div w:id="1313682876">
      <w:bodyDiv w:val="1"/>
      <w:marLeft w:val="0"/>
      <w:marRight w:val="0"/>
      <w:marTop w:val="0"/>
      <w:marBottom w:val="0"/>
      <w:divBdr>
        <w:top w:val="none" w:sz="0" w:space="0" w:color="auto"/>
        <w:left w:val="none" w:sz="0" w:space="0" w:color="auto"/>
        <w:bottom w:val="none" w:sz="0" w:space="0" w:color="auto"/>
        <w:right w:val="none" w:sz="0" w:space="0" w:color="auto"/>
      </w:divBdr>
    </w:div>
    <w:div w:id="1364985183">
      <w:bodyDiv w:val="1"/>
      <w:marLeft w:val="0"/>
      <w:marRight w:val="0"/>
      <w:marTop w:val="0"/>
      <w:marBottom w:val="0"/>
      <w:divBdr>
        <w:top w:val="none" w:sz="0" w:space="0" w:color="auto"/>
        <w:left w:val="none" w:sz="0" w:space="0" w:color="auto"/>
        <w:bottom w:val="none" w:sz="0" w:space="0" w:color="auto"/>
        <w:right w:val="none" w:sz="0" w:space="0" w:color="auto"/>
      </w:divBdr>
    </w:div>
    <w:div w:id="1418403423">
      <w:bodyDiv w:val="1"/>
      <w:marLeft w:val="0"/>
      <w:marRight w:val="0"/>
      <w:marTop w:val="0"/>
      <w:marBottom w:val="0"/>
      <w:divBdr>
        <w:top w:val="none" w:sz="0" w:space="0" w:color="auto"/>
        <w:left w:val="none" w:sz="0" w:space="0" w:color="auto"/>
        <w:bottom w:val="none" w:sz="0" w:space="0" w:color="auto"/>
        <w:right w:val="none" w:sz="0" w:space="0" w:color="auto"/>
      </w:divBdr>
    </w:div>
    <w:div w:id="1420639309">
      <w:bodyDiv w:val="1"/>
      <w:marLeft w:val="0"/>
      <w:marRight w:val="0"/>
      <w:marTop w:val="0"/>
      <w:marBottom w:val="0"/>
      <w:divBdr>
        <w:top w:val="none" w:sz="0" w:space="0" w:color="auto"/>
        <w:left w:val="none" w:sz="0" w:space="0" w:color="auto"/>
        <w:bottom w:val="none" w:sz="0" w:space="0" w:color="auto"/>
        <w:right w:val="none" w:sz="0" w:space="0" w:color="auto"/>
      </w:divBdr>
    </w:div>
    <w:div w:id="1439833721">
      <w:bodyDiv w:val="1"/>
      <w:marLeft w:val="0"/>
      <w:marRight w:val="0"/>
      <w:marTop w:val="0"/>
      <w:marBottom w:val="0"/>
      <w:divBdr>
        <w:top w:val="none" w:sz="0" w:space="0" w:color="auto"/>
        <w:left w:val="none" w:sz="0" w:space="0" w:color="auto"/>
        <w:bottom w:val="none" w:sz="0" w:space="0" w:color="auto"/>
        <w:right w:val="none" w:sz="0" w:space="0" w:color="auto"/>
      </w:divBdr>
    </w:div>
    <w:div w:id="1484159944">
      <w:bodyDiv w:val="1"/>
      <w:marLeft w:val="0"/>
      <w:marRight w:val="0"/>
      <w:marTop w:val="0"/>
      <w:marBottom w:val="0"/>
      <w:divBdr>
        <w:top w:val="none" w:sz="0" w:space="0" w:color="auto"/>
        <w:left w:val="none" w:sz="0" w:space="0" w:color="auto"/>
        <w:bottom w:val="none" w:sz="0" w:space="0" w:color="auto"/>
        <w:right w:val="none" w:sz="0" w:space="0" w:color="auto"/>
      </w:divBdr>
    </w:div>
    <w:div w:id="1491095742">
      <w:bodyDiv w:val="1"/>
      <w:marLeft w:val="0"/>
      <w:marRight w:val="0"/>
      <w:marTop w:val="0"/>
      <w:marBottom w:val="0"/>
      <w:divBdr>
        <w:top w:val="none" w:sz="0" w:space="0" w:color="auto"/>
        <w:left w:val="none" w:sz="0" w:space="0" w:color="auto"/>
        <w:bottom w:val="none" w:sz="0" w:space="0" w:color="auto"/>
        <w:right w:val="none" w:sz="0" w:space="0" w:color="auto"/>
      </w:divBdr>
    </w:div>
    <w:div w:id="1531260784">
      <w:bodyDiv w:val="1"/>
      <w:marLeft w:val="0"/>
      <w:marRight w:val="0"/>
      <w:marTop w:val="0"/>
      <w:marBottom w:val="0"/>
      <w:divBdr>
        <w:top w:val="none" w:sz="0" w:space="0" w:color="auto"/>
        <w:left w:val="none" w:sz="0" w:space="0" w:color="auto"/>
        <w:bottom w:val="none" w:sz="0" w:space="0" w:color="auto"/>
        <w:right w:val="none" w:sz="0" w:space="0" w:color="auto"/>
      </w:divBdr>
    </w:div>
    <w:div w:id="1534148304">
      <w:bodyDiv w:val="1"/>
      <w:marLeft w:val="0"/>
      <w:marRight w:val="0"/>
      <w:marTop w:val="0"/>
      <w:marBottom w:val="0"/>
      <w:divBdr>
        <w:top w:val="none" w:sz="0" w:space="0" w:color="auto"/>
        <w:left w:val="none" w:sz="0" w:space="0" w:color="auto"/>
        <w:bottom w:val="none" w:sz="0" w:space="0" w:color="auto"/>
        <w:right w:val="none" w:sz="0" w:space="0" w:color="auto"/>
      </w:divBdr>
    </w:div>
    <w:div w:id="1535118393">
      <w:bodyDiv w:val="1"/>
      <w:marLeft w:val="0"/>
      <w:marRight w:val="0"/>
      <w:marTop w:val="0"/>
      <w:marBottom w:val="0"/>
      <w:divBdr>
        <w:top w:val="none" w:sz="0" w:space="0" w:color="auto"/>
        <w:left w:val="none" w:sz="0" w:space="0" w:color="auto"/>
        <w:bottom w:val="none" w:sz="0" w:space="0" w:color="auto"/>
        <w:right w:val="none" w:sz="0" w:space="0" w:color="auto"/>
      </w:divBdr>
    </w:div>
    <w:div w:id="1549562522">
      <w:bodyDiv w:val="1"/>
      <w:marLeft w:val="0"/>
      <w:marRight w:val="0"/>
      <w:marTop w:val="0"/>
      <w:marBottom w:val="0"/>
      <w:divBdr>
        <w:top w:val="none" w:sz="0" w:space="0" w:color="auto"/>
        <w:left w:val="none" w:sz="0" w:space="0" w:color="auto"/>
        <w:bottom w:val="none" w:sz="0" w:space="0" w:color="auto"/>
        <w:right w:val="none" w:sz="0" w:space="0" w:color="auto"/>
      </w:divBdr>
    </w:div>
    <w:div w:id="1549804448">
      <w:bodyDiv w:val="1"/>
      <w:marLeft w:val="0"/>
      <w:marRight w:val="0"/>
      <w:marTop w:val="0"/>
      <w:marBottom w:val="0"/>
      <w:divBdr>
        <w:top w:val="none" w:sz="0" w:space="0" w:color="auto"/>
        <w:left w:val="none" w:sz="0" w:space="0" w:color="auto"/>
        <w:bottom w:val="none" w:sz="0" w:space="0" w:color="auto"/>
        <w:right w:val="none" w:sz="0" w:space="0" w:color="auto"/>
      </w:divBdr>
    </w:div>
    <w:div w:id="1556508756">
      <w:bodyDiv w:val="1"/>
      <w:marLeft w:val="0"/>
      <w:marRight w:val="0"/>
      <w:marTop w:val="0"/>
      <w:marBottom w:val="0"/>
      <w:divBdr>
        <w:top w:val="none" w:sz="0" w:space="0" w:color="auto"/>
        <w:left w:val="none" w:sz="0" w:space="0" w:color="auto"/>
        <w:bottom w:val="none" w:sz="0" w:space="0" w:color="auto"/>
        <w:right w:val="none" w:sz="0" w:space="0" w:color="auto"/>
      </w:divBdr>
    </w:div>
    <w:div w:id="1601525192">
      <w:bodyDiv w:val="1"/>
      <w:marLeft w:val="0"/>
      <w:marRight w:val="0"/>
      <w:marTop w:val="0"/>
      <w:marBottom w:val="0"/>
      <w:divBdr>
        <w:top w:val="none" w:sz="0" w:space="0" w:color="auto"/>
        <w:left w:val="none" w:sz="0" w:space="0" w:color="auto"/>
        <w:bottom w:val="none" w:sz="0" w:space="0" w:color="auto"/>
        <w:right w:val="none" w:sz="0" w:space="0" w:color="auto"/>
      </w:divBdr>
    </w:div>
    <w:div w:id="1602179496">
      <w:bodyDiv w:val="1"/>
      <w:marLeft w:val="0"/>
      <w:marRight w:val="0"/>
      <w:marTop w:val="0"/>
      <w:marBottom w:val="0"/>
      <w:divBdr>
        <w:top w:val="none" w:sz="0" w:space="0" w:color="auto"/>
        <w:left w:val="none" w:sz="0" w:space="0" w:color="auto"/>
        <w:bottom w:val="none" w:sz="0" w:space="0" w:color="auto"/>
        <w:right w:val="none" w:sz="0" w:space="0" w:color="auto"/>
      </w:divBdr>
    </w:div>
    <w:div w:id="1604222786">
      <w:bodyDiv w:val="1"/>
      <w:marLeft w:val="0"/>
      <w:marRight w:val="0"/>
      <w:marTop w:val="0"/>
      <w:marBottom w:val="0"/>
      <w:divBdr>
        <w:top w:val="none" w:sz="0" w:space="0" w:color="auto"/>
        <w:left w:val="none" w:sz="0" w:space="0" w:color="auto"/>
        <w:bottom w:val="none" w:sz="0" w:space="0" w:color="auto"/>
        <w:right w:val="none" w:sz="0" w:space="0" w:color="auto"/>
      </w:divBdr>
    </w:div>
    <w:div w:id="1610699423">
      <w:bodyDiv w:val="1"/>
      <w:marLeft w:val="0"/>
      <w:marRight w:val="0"/>
      <w:marTop w:val="0"/>
      <w:marBottom w:val="0"/>
      <w:divBdr>
        <w:top w:val="none" w:sz="0" w:space="0" w:color="auto"/>
        <w:left w:val="none" w:sz="0" w:space="0" w:color="auto"/>
        <w:bottom w:val="none" w:sz="0" w:space="0" w:color="auto"/>
        <w:right w:val="none" w:sz="0" w:space="0" w:color="auto"/>
      </w:divBdr>
    </w:div>
    <w:div w:id="1619945872">
      <w:bodyDiv w:val="1"/>
      <w:marLeft w:val="0"/>
      <w:marRight w:val="0"/>
      <w:marTop w:val="0"/>
      <w:marBottom w:val="0"/>
      <w:divBdr>
        <w:top w:val="none" w:sz="0" w:space="0" w:color="auto"/>
        <w:left w:val="none" w:sz="0" w:space="0" w:color="auto"/>
        <w:bottom w:val="none" w:sz="0" w:space="0" w:color="auto"/>
        <w:right w:val="none" w:sz="0" w:space="0" w:color="auto"/>
      </w:divBdr>
    </w:div>
    <w:div w:id="1644852902">
      <w:bodyDiv w:val="1"/>
      <w:marLeft w:val="0"/>
      <w:marRight w:val="0"/>
      <w:marTop w:val="0"/>
      <w:marBottom w:val="0"/>
      <w:divBdr>
        <w:top w:val="none" w:sz="0" w:space="0" w:color="auto"/>
        <w:left w:val="none" w:sz="0" w:space="0" w:color="auto"/>
        <w:bottom w:val="none" w:sz="0" w:space="0" w:color="auto"/>
        <w:right w:val="none" w:sz="0" w:space="0" w:color="auto"/>
      </w:divBdr>
    </w:div>
    <w:div w:id="1656836864">
      <w:bodyDiv w:val="1"/>
      <w:marLeft w:val="0"/>
      <w:marRight w:val="0"/>
      <w:marTop w:val="0"/>
      <w:marBottom w:val="0"/>
      <w:divBdr>
        <w:top w:val="none" w:sz="0" w:space="0" w:color="auto"/>
        <w:left w:val="none" w:sz="0" w:space="0" w:color="auto"/>
        <w:bottom w:val="none" w:sz="0" w:space="0" w:color="auto"/>
        <w:right w:val="none" w:sz="0" w:space="0" w:color="auto"/>
      </w:divBdr>
    </w:div>
    <w:div w:id="1659188820">
      <w:bodyDiv w:val="1"/>
      <w:marLeft w:val="0"/>
      <w:marRight w:val="0"/>
      <w:marTop w:val="0"/>
      <w:marBottom w:val="0"/>
      <w:divBdr>
        <w:top w:val="none" w:sz="0" w:space="0" w:color="auto"/>
        <w:left w:val="none" w:sz="0" w:space="0" w:color="auto"/>
        <w:bottom w:val="none" w:sz="0" w:space="0" w:color="auto"/>
        <w:right w:val="none" w:sz="0" w:space="0" w:color="auto"/>
      </w:divBdr>
    </w:div>
    <w:div w:id="1682703717">
      <w:bodyDiv w:val="1"/>
      <w:marLeft w:val="0"/>
      <w:marRight w:val="0"/>
      <w:marTop w:val="0"/>
      <w:marBottom w:val="0"/>
      <w:divBdr>
        <w:top w:val="none" w:sz="0" w:space="0" w:color="auto"/>
        <w:left w:val="none" w:sz="0" w:space="0" w:color="auto"/>
        <w:bottom w:val="none" w:sz="0" w:space="0" w:color="auto"/>
        <w:right w:val="none" w:sz="0" w:space="0" w:color="auto"/>
      </w:divBdr>
    </w:div>
    <w:div w:id="1698695310">
      <w:bodyDiv w:val="1"/>
      <w:marLeft w:val="0"/>
      <w:marRight w:val="0"/>
      <w:marTop w:val="0"/>
      <w:marBottom w:val="0"/>
      <w:divBdr>
        <w:top w:val="none" w:sz="0" w:space="0" w:color="auto"/>
        <w:left w:val="none" w:sz="0" w:space="0" w:color="auto"/>
        <w:bottom w:val="none" w:sz="0" w:space="0" w:color="auto"/>
        <w:right w:val="none" w:sz="0" w:space="0" w:color="auto"/>
      </w:divBdr>
    </w:div>
    <w:div w:id="1721436405">
      <w:bodyDiv w:val="1"/>
      <w:marLeft w:val="0"/>
      <w:marRight w:val="0"/>
      <w:marTop w:val="0"/>
      <w:marBottom w:val="0"/>
      <w:divBdr>
        <w:top w:val="none" w:sz="0" w:space="0" w:color="auto"/>
        <w:left w:val="none" w:sz="0" w:space="0" w:color="auto"/>
        <w:bottom w:val="none" w:sz="0" w:space="0" w:color="auto"/>
        <w:right w:val="none" w:sz="0" w:space="0" w:color="auto"/>
      </w:divBdr>
    </w:div>
    <w:div w:id="1725179316">
      <w:bodyDiv w:val="1"/>
      <w:marLeft w:val="0"/>
      <w:marRight w:val="0"/>
      <w:marTop w:val="0"/>
      <w:marBottom w:val="0"/>
      <w:divBdr>
        <w:top w:val="none" w:sz="0" w:space="0" w:color="auto"/>
        <w:left w:val="none" w:sz="0" w:space="0" w:color="auto"/>
        <w:bottom w:val="none" w:sz="0" w:space="0" w:color="auto"/>
        <w:right w:val="none" w:sz="0" w:space="0" w:color="auto"/>
      </w:divBdr>
    </w:div>
    <w:div w:id="1746605887">
      <w:bodyDiv w:val="1"/>
      <w:marLeft w:val="0"/>
      <w:marRight w:val="0"/>
      <w:marTop w:val="0"/>
      <w:marBottom w:val="0"/>
      <w:divBdr>
        <w:top w:val="none" w:sz="0" w:space="0" w:color="auto"/>
        <w:left w:val="none" w:sz="0" w:space="0" w:color="auto"/>
        <w:bottom w:val="none" w:sz="0" w:space="0" w:color="auto"/>
        <w:right w:val="none" w:sz="0" w:space="0" w:color="auto"/>
      </w:divBdr>
    </w:div>
    <w:div w:id="1768304959">
      <w:bodyDiv w:val="1"/>
      <w:marLeft w:val="0"/>
      <w:marRight w:val="0"/>
      <w:marTop w:val="0"/>
      <w:marBottom w:val="0"/>
      <w:divBdr>
        <w:top w:val="none" w:sz="0" w:space="0" w:color="auto"/>
        <w:left w:val="none" w:sz="0" w:space="0" w:color="auto"/>
        <w:bottom w:val="none" w:sz="0" w:space="0" w:color="auto"/>
        <w:right w:val="none" w:sz="0" w:space="0" w:color="auto"/>
      </w:divBdr>
    </w:div>
    <w:div w:id="1783258172">
      <w:bodyDiv w:val="1"/>
      <w:marLeft w:val="0"/>
      <w:marRight w:val="0"/>
      <w:marTop w:val="0"/>
      <w:marBottom w:val="0"/>
      <w:divBdr>
        <w:top w:val="none" w:sz="0" w:space="0" w:color="auto"/>
        <w:left w:val="none" w:sz="0" w:space="0" w:color="auto"/>
        <w:bottom w:val="none" w:sz="0" w:space="0" w:color="auto"/>
        <w:right w:val="none" w:sz="0" w:space="0" w:color="auto"/>
      </w:divBdr>
    </w:div>
    <w:div w:id="1789273815">
      <w:bodyDiv w:val="1"/>
      <w:marLeft w:val="0"/>
      <w:marRight w:val="0"/>
      <w:marTop w:val="0"/>
      <w:marBottom w:val="0"/>
      <w:divBdr>
        <w:top w:val="none" w:sz="0" w:space="0" w:color="auto"/>
        <w:left w:val="none" w:sz="0" w:space="0" w:color="auto"/>
        <w:bottom w:val="none" w:sz="0" w:space="0" w:color="auto"/>
        <w:right w:val="none" w:sz="0" w:space="0" w:color="auto"/>
      </w:divBdr>
    </w:div>
    <w:div w:id="1811749073">
      <w:bodyDiv w:val="1"/>
      <w:marLeft w:val="0"/>
      <w:marRight w:val="0"/>
      <w:marTop w:val="0"/>
      <w:marBottom w:val="0"/>
      <w:divBdr>
        <w:top w:val="none" w:sz="0" w:space="0" w:color="auto"/>
        <w:left w:val="none" w:sz="0" w:space="0" w:color="auto"/>
        <w:bottom w:val="none" w:sz="0" w:space="0" w:color="auto"/>
        <w:right w:val="none" w:sz="0" w:space="0" w:color="auto"/>
      </w:divBdr>
    </w:div>
    <w:div w:id="1846746169">
      <w:bodyDiv w:val="1"/>
      <w:marLeft w:val="0"/>
      <w:marRight w:val="0"/>
      <w:marTop w:val="0"/>
      <w:marBottom w:val="0"/>
      <w:divBdr>
        <w:top w:val="none" w:sz="0" w:space="0" w:color="auto"/>
        <w:left w:val="none" w:sz="0" w:space="0" w:color="auto"/>
        <w:bottom w:val="none" w:sz="0" w:space="0" w:color="auto"/>
        <w:right w:val="none" w:sz="0" w:space="0" w:color="auto"/>
      </w:divBdr>
    </w:div>
    <w:div w:id="1862695737">
      <w:bodyDiv w:val="1"/>
      <w:marLeft w:val="0"/>
      <w:marRight w:val="0"/>
      <w:marTop w:val="0"/>
      <w:marBottom w:val="0"/>
      <w:divBdr>
        <w:top w:val="none" w:sz="0" w:space="0" w:color="auto"/>
        <w:left w:val="none" w:sz="0" w:space="0" w:color="auto"/>
        <w:bottom w:val="none" w:sz="0" w:space="0" w:color="auto"/>
        <w:right w:val="none" w:sz="0" w:space="0" w:color="auto"/>
      </w:divBdr>
    </w:div>
    <w:div w:id="1885019074">
      <w:bodyDiv w:val="1"/>
      <w:marLeft w:val="0"/>
      <w:marRight w:val="0"/>
      <w:marTop w:val="0"/>
      <w:marBottom w:val="0"/>
      <w:divBdr>
        <w:top w:val="none" w:sz="0" w:space="0" w:color="auto"/>
        <w:left w:val="none" w:sz="0" w:space="0" w:color="auto"/>
        <w:bottom w:val="none" w:sz="0" w:space="0" w:color="auto"/>
        <w:right w:val="none" w:sz="0" w:space="0" w:color="auto"/>
      </w:divBdr>
    </w:div>
    <w:div w:id="1905022363">
      <w:bodyDiv w:val="1"/>
      <w:marLeft w:val="0"/>
      <w:marRight w:val="0"/>
      <w:marTop w:val="0"/>
      <w:marBottom w:val="0"/>
      <w:divBdr>
        <w:top w:val="none" w:sz="0" w:space="0" w:color="auto"/>
        <w:left w:val="none" w:sz="0" w:space="0" w:color="auto"/>
        <w:bottom w:val="none" w:sz="0" w:space="0" w:color="auto"/>
        <w:right w:val="none" w:sz="0" w:space="0" w:color="auto"/>
      </w:divBdr>
    </w:div>
    <w:div w:id="1944650024">
      <w:bodyDiv w:val="1"/>
      <w:marLeft w:val="0"/>
      <w:marRight w:val="0"/>
      <w:marTop w:val="0"/>
      <w:marBottom w:val="0"/>
      <w:divBdr>
        <w:top w:val="none" w:sz="0" w:space="0" w:color="auto"/>
        <w:left w:val="none" w:sz="0" w:space="0" w:color="auto"/>
        <w:bottom w:val="none" w:sz="0" w:space="0" w:color="auto"/>
        <w:right w:val="none" w:sz="0" w:space="0" w:color="auto"/>
      </w:divBdr>
    </w:div>
    <w:div w:id="1945989387">
      <w:bodyDiv w:val="1"/>
      <w:marLeft w:val="0"/>
      <w:marRight w:val="0"/>
      <w:marTop w:val="0"/>
      <w:marBottom w:val="0"/>
      <w:divBdr>
        <w:top w:val="none" w:sz="0" w:space="0" w:color="auto"/>
        <w:left w:val="none" w:sz="0" w:space="0" w:color="auto"/>
        <w:bottom w:val="none" w:sz="0" w:space="0" w:color="auto"/>
        <w:right w:val="none" w:sz="0" w:space="0" w:color="auto"/>
      </w:divBdr>
    </w:div>
    <w:div w:id="1999528425">
      <w:bodyDiv w:val="1"/>
      <w:marLeft w:val="0"/>
      <w:marRight w:val="0"/>
      <w:marTop w:val="0"/>
      <w:marBottom w:val="0"/>
      <w:divBdr>
        <w:top w:val="none" w:sz="0" w:space="0" w:color="auto"/>
        <w:left w:val="none" w:sz="0" w:space="0" w:color="auto"/>
        <w:bottom w:val="none" w:sz="0" w:space="0" w:color="auto"/>
        <w:right w:val="none" w:sz="0" w:space="0" w:color="auto"/>
      </w:divBdr>
    </w:div>
    <w:div w:id="2059935698">
      <w:bodyDiv w:val="1"/>
      <w:marLeft w:val="0"/>
      <w:marRight w:val="0"/>
      <w:marTop w:val="0"/>
      <w:marBottom w:val="0"/>
      <w:divBdr>
        <w:top w:val="none" w:sz="0" w:space="0" w:color="auto"/>
        <w:left w:val="none" w:sz="0" w:space="0" w:color="auto"/>
        <w:bottom w:val="none" w:sz="0" w:space="0" w:color="auto"/>
        <w:right w:val="none" w:sz="0" w:space="0" w:color="auto"/>
      </w:divBdr>
    </w:div>
    <w:div w:id="2060667222">
      <w:bodyDiv w:val="1"/>
      <w:marLeft w:val="0"/>
      <w:marRight w:val="0"/>
      <w:marTop w:val="0"/>
      <w:marBottom w:val="0"/>
      <w:divBdr>
        <w:top w:val="none" w:sz="0" w:space="0" w:color="auto"/>
        <w:left w:val="none" w:sz="0" w:space="0" w:color="auto"/>
        <w:bottom w:val="none" w:sz="0" w:space="0" w:color="auto"/>
        <w:right w:val="none" w:sz="0" w:space="0" w:color="auto"/>
      </w:divBdr>
    </w:div>
    <w:div w:id="2080594407">
      <w:bodyDiv w:val="1"/>
      <w:marLeft w:val="0"/>
      <w:marRight w:val="0"/>
      <w:marTop w:val="0"/>
      <w:marBottom w:val="0"/>
      <w:divBdr>
        <w:top w:val="none" w:sz="0" w:space="0" w:color="auto"/>
        <w:left w:val="none" w:sz="0" w:space="0" w:color="auto"/>
        <w:bottom w:val="none" w:sz="0" w:space="0" w:color="auto"/>
        <w:right w:val="none" w:sz="0" w:space="0" w:color="auto"/>
      </w:divBdr>
    </w:div>
    <w:div w:id="2082751471">
      <w:bodyDiv w:val="1"/>
      <w:marLeft w:val="0"/>
      <w:marRight w:val="0"/>
      <w:marTop w:val="0"/>
      <w:marBottom w:val="0"/>
      <w:divBdr>
        <w:top w:val="none" w:sz="0" w:space="0" w:color="auto"/>
        <w:left w:val="none" w:sz="0" w:space="0" w:color="auto"/>
        <w:bottom w:val="none" w:sz="0" w:space="0" w:color="auto"/>
        <w:right w:val="none" w:sz="0" w:space="0" w:color="auto"/>
      </w:divBdr>
    </w:div>
    <w:div w:id="2084526360">
      <w:bodyDiv w:val="1"/>
      <w:marLeft w:val="0"/>
      <w:marRight w:val="0"/>
      <w:marTop w:val="0"/>
      <w:marBottom w:val="0"/>
      <w:divBdr>
        <w:top w:val="none" w:sz="0" w:space="0" w:color="auto"/>
        <w:left w:val="none" w:sz="0" w:space="0" w:color="auto"/>
        <w:bottom w:val="none" w:sz="0" w:space="0" w:color="auto"/>
        <w:right w:val="none" w:sz="0" w:space="0" w:color="auto"/>
      </w:divBdr>
    </w:div>
    <w:div w:id="2131318513">
      <w:bodyDiv w:val="1"/>
      <w:marLeft w:val="0"/>
      <w:marRight w:val="0"/>
      <w:marTop w:val="0"/>
      <w:marBottom w:val="0"/>
      <w:divBdr>
        <w:top w:val="none" w:sz="0" w:space="0" w:color="auto"/>
        <w:left w:val="none" w:sz="0" w:space="0" w:color="auto"/>
        <w:bottom w:val="none" w:sz="0" w:space="0" w:color="auto"/>
        <w:right w:val="none" w:sz="0" w:space="0" w:color="auto"/>
      </w:divBdr>
    </w:div>
    <w:div w:id="2145807267">
      <w:bodyDiv w:val="1"/>
      <w:marLeft w:val="0"/>
      <w:marRight w:val="0"/>
      <w:marTop w:val="0"/>
      <w:marBottom w:val="0"/>
      <w:divBdr>
        <w:top w:val="none" w:sz="0" w:space="0" w:color="auto"/>
        <w:left w:val="none" w:sz="0" w:space="0" w:color="auto"/>
        <w:bottom w:val="none" w:sz="0" w:space="0" w:color="auto"/>
        <w:right w:val="none" w:sz="0" w:space="0" w:color="auto"/>
      </w:divBdr>
    </w:div>
    <w:div w:id="214646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yperlink" Target="mailto:service@efunds.com.cn" TargetMode="Externa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funds.com.cn" TargetMode="External"/><Relationship Id="rId25" Type="http://schemas.openxmlformats.org/officeDocument/2006/relationships/hyperlink" Target="http://www.efunds.com.cn" TargetMode="External"/><Relationship Id="rId2" Type="http://schemas.openxmlformats.org/officeDocument/2006/relationships/customXml" Target="../customXml/item1.xml"/><Relationship Id="rId16" Type="http://schemas.openxmlformats.org/officeDocument/2006/relationships/hyperlink" Target="https://www.qcc.com/firm_54813a9d966ad1869761c8afeaa0002e.html" TargetMode="External"/><Relationship Id="rId20" Type="http://schemas.openxmlformats.org/officeDocument/2006/relationships/image" Target="media/image2.w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efunds.com.cn"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oleObject" Target="embeddings/oleObject3.bin"/><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2.bin"/><Relationship Id="rId27" Type="http://schemas.openxmlformats.org/officeDocument/2006/relationships/header" Target="head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06522-82AF-4FBE-90A1-82697D68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17956</Words>
  <Characters>102352</Characters>
  <Application>Microsoft Office Word</Application>
  <DocSecurity>0</DocSecurity>
  <Lines>852</Lines>
  <Paragraphs>240</Paragraphs>
  <ScaleCrop>false</ScaleCrop>
  <Company>E FUND</Company>
  <LinksUpToDate>false</LinksUpToDate>
  <CharactersWithSpaces>120068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徐晶</dc:creator>
  <cp:lastModifiedBy>陈红</cp:lastModifiedBy>
  <cp:revision>7</cp:revision>
  <cp:lastPrinted>2013-09-09T03:12:00Z</cp:lastPrinted>
  <dcterms:created xsi:type="dcterms:W3CDTF">2020-06-12T01:17:00Z</dcterms:created>
  <dcterms:modified xsi:type="dcterms:W3CDTF">2020-06-18T08:22:00Z</dcterms:modified>
</cp:coreProperties>
</file>