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40C73E" w14:textId="716113A9" w:rsidR="008D5E9D" w:rsidRPr="00252711" w:rsidRDefault="00F34EED" w:rsidP="00252711">
      <w:pPr>
        <w:pStyle w:val="a4"/>
        <w:adjustRightInd w:val="0"/>
        <w:spacing w:line="560" w:lineRule="exact"/>
        <w:jc w:val="center"/>
        <w:rPr>
          <w:rFonts w:hAnsi="宋体" w:hint="default"/>
          <w:b/>
          <w:sz w:val="28"/>
          <w:szCs w:val="32"/>
        </w:rPr>
      </w:pPr>
      <w:r>
        <w:rPr>
          <w:rFonts w:hAnsi="宋体"/>
          <w:b/>
          <w:sz w:val="28"/>
          <w:szCs w:val="32"/>
        </w:rPr>
        <w:t>南方荣尊定期开放混合型证券投资基金</w:t>
      </w:r>
    </w:p>
    <w:p w14:paraId="2B28555D" w14:textId="77777777" w:rsidR="00D75F90" w:rsidRPr="005A6061" w:rsidRDefault="00D75F90" w:rsidP="00343F7F">
      <w:pPr>
        <w:pStyle w:val="a4"/>
        <w:adjustRightInd w:val="0"/>
        <w:snapToGrid w:val="0"/>
        <w:spacing w:line="560" w:lineRule="exact"/>
        <w:jc w:val="center"/>
        <w:rPr>
          <w:rFonts w:hAnsi="宋体" w:hint="default"/>
          <w:b/>
          <w:sz w:val="28"/>
          <w:szCs w:val="32"/>
        </w:rPr>
      </w:pPr>
      <w:r w:rsidRPr="005A6061">
        <w:rPr>
          <w:rFonts w:hAnsi="宋体"/>
          <w:b/>
          <w:sz w:val="28"/>
          <w:szCs w:val="32"/>
        </w:rPr>
        <w:t>基金份额持有人大会表决结果暨决议生效的公告</w:t>
      </w:r>
    </w:p>
    <w:p w14:paraId="455FA155" w14:textId="77777777" w:rsidR="00AB53C9" w:rsidRDefault="00AB53C9" w:rsidP="00F20E89">
      <w:pPr>
        <w:adjustRightInd w:val="0"/>
        <w:snapToGrid w:val="0"/>
        <w:spacing w:line="360" w:lineRule="auto"/>
        <w:rPr>
          <w:rFonts w:ascii="微软雅黑" w:eastAsia="微软雅黑" w:hAnsi="微软雅黑" w:cs="Arial"/>
          <w:color w:val="666666"/>
          <w:szCs w:val="21"/>
        </w:rPr>
      </w:pPr>
    </w:p>
    <w:p w14:paraId="00BD1DD6" w14:textId="05AF309C" w:rsidR="00CD1D80" w:rsidRDefault="0030418C" w:rsidP="00F20E89">
      <w:pPr>
        <w:adjustRightInd w:val="0"/>
        <w:snapToGrid w:val="0"/>
        <w:spacing w:line="360" w:lineRule="auto"/>
        <w:ind w:firstLine="480"/>
        <w:rPr>
          <w:rFonts w:ascii="宋体" w:hAnsi="宋体"/>
          <w:szCs w:val="21"/>
        </w:rPr>
      </w:pPr>
      <w:r w:rsidRPr="00DD5D7B">
        <w:rPr>
          <w:rFonts w:ascii="宋体" w:hAnsi="宋体" w:hint="eastAsia"/>
          <w:szCs w:val="21"/>
        </w:rPr>
        <w:t>根据《中华人民共和国证券投资基金法》、《公开募集证券投资基金运作管理办法》和《</w:t>
      </w:r>
      <w:r w:rsidR="00F34EED">
        <w:rPr>
          <w:rFonts w:ascii="宋体" w:hAnsi="宋体" w:hint="eastAsia"/>
          <w:szCs w:val="21"/>
        </w:rPr>
        <w:t>南方荣尊定期开放混合型证券投资基金</w:t>
      </w:r>
      <w:r w:rsidR="00AD7419">
        <w:rPr>
          <w:rFonts w:ascii="宋体" w:hAnsi="宋体" w:hint="eastAsia"/>
          <w:szCs w:val="21"/>
        </w:rPr>
        <w:t>基金合同》</w:t>
      </w:r>
      <w:r w:rsidR="00EB6B8B" w:rsidRPr="00AB53C9">
        <w:rPr>
          <w:rFonts w:ascii="宋体" w:hAnsi="宋体" w:hint="eastAsia"/>
          <w:szCs w:val="21"/>
        </w:rPr>
        <w:t>（以下简称“</w:t>
      </w:r>
      <w:r w:rsidR="00EB6B8B">
        <w:rPr>
          <w:rFonts w:ascii="宋体" w:hAnsi="宋体" w:hint="eastAsia"/>
          <w:szCs w:val="21"/>
        </w:rPr>
        <w:t>基金合同</w:t>
      </w:r>
      <w:r w:rsidR="00EB6B8B" w:rsidRPr="00AB53C9">
        <w:rPr>
          <w:rFonts w:ascii="宋体" w:hAnsi="宋体" w:hint="eastAsia"/>
          <w:szCs w:val="21"/>
        </w:rPr>
        <w:t>”）</w:t>
      </w:r>
      <w:r w:rsidRPr="00DD5D7B">
        <w:rPr>
          <w:rFonts w:ascii="宋体" w:hAnsi="宋体" w:hint="eastAsia"/>
          <w:szCs w:val="21"/>
        </w:rPr>
        <w:t>的有关规定，</w:t>
      </w:r>
      <w:r w:rsidR="00AB53C9" w:rsidRPr="00AB53C9">
        <w:rPr>
          <w:rFonts w:ascii="宋体" w:hAnsi="宋体" w:hint="eastAsia"/>
          <w:szCs w:val="21"/>
        </w:rPr>
        <w:t>现将</w:t>
      </w:r>
      <w:r w:rsidR="00F34EED">
        <w:rPr>
          <w:rFonts w:ascii="宋体" w:hAnsi="宋体" w:hint="eastAsia"/>
          <w:szCs w:val="21"/>
        </w:rPr>
        <w:t>南方荣尊定期开放混合型证券投资基金</w:t>
      </w:r>
      <w:r w:rsidR="00AB53C9" w:rsidRPr="00AB53C9">
        <w:rPr>
          <w:rFonts w:ascii="宋体" w:hAnsi="宋体" w:hint="eastAsia"/>
          <w:szCs w:val="21"/>
        </w:rPr>
        <w:t>（以下简称“本基金”）基金份额持有人大会的决议及相关事项公告如下：</w:t>
      </w:r>
    </w:p>
    <w:p w14:paraId="7741B795" w14:textId="77777777" w:rsidR="003A77C0" w:rsidRPr="003A77C0" w:rsidRDefault="00AB53C9" w:rsidP="00F20E89">
      <w:pPr>
        <w:widowControl/>
        <w:adjustRightInd w:val="0"/>
        <w:snapToGrid w:val="0"/>
        <w:spacing w:line="360" w:lineRule="auto"/>
        <w:ind w:firstLine="480"/>
        <w:jc w:val="left"/>
        <w:outlineLvl w:val="0"/>
        <w:rPr>
          <w:rFonts w:ascii="宋体" w:hAnsi="宋体"/>
          <w:b/>
          <w:szCs w:val="21"/>
        </w:rPr>
      </w:pPr>
      <w:r w:rsidRPr="00AB53C9">
        <w:rPr>
          <w:rFonts w:ascii="宋体" w:hAnsi="宋体" w:hint="eastAsia"/>
          <w:b/>
          <w:szCs w:val="21"/>
        </w:rPr>
        <w:t>一、本次基金份额持有人大会会议情况</w:t>
      </w:r>
    </w:p>
    <w:p w14:paraId="2F2CB51C" w14:textId="36C8A718" w:rsidR="00F436C9" w:rsidRDefault="00C03035" w:rsidP="00F20E89">
      <w:pPr>
        <w:widowControl/>
        <w:adjustRightInd w:val="0"/>
        <w:snapToGrid w:val="0"/>
        <w:spacing w:line="360" w:lineRule="auto"/>
        <w:ind w:firstLine="480"/>
        <w:jc w:val="left"/>
        <w:rPr>
          <w:rFonts w:ascii="宋体" w:hAnsi="宋体"/>
          <w:szCs w:val="21"/>
        </w:rPr>
      </w:pPr>
      <w:r>
        <w:rPr>
          <w:rFonts w:ascii="宋体" w:hAnsi="宋体" w:hint="eastAsia"/>
          <w:szCs w:val="21"/>
        </w:rPr>
        <w:t>南方</w:t>
      </w:r>
      <w:r w:rsidRPr="00C03035">
        <w:rPr>
          <w:rFonts w:ascii="宋体" w:hAnsi="宋体" w:hint="eastAsia"/>
          <w:szCs w:val="21"/>
        </w:rPr>
        <w:t>基金管理</w:t>
      </w:r>
      <w:r>
        <w:rPr>
          <w:rFonts w:ascii="宋体" w:hAnsi="宋体" w:hint="eastAsia"/>
          <w:szCs w:val="21"/>
        </w:rPr>
        <w:t>股份</w:t>
      </w:r>
      <w:r w:rsidRPr="00C03035">
        <w:rPr>
          <w:rFonts w:ascii="宋体" w:hAnsi="宋体" w:hint="eastAsia"/>
          <w:szCs w:val="21"/>
        </w:rPr>
        <w:t>有限公司（以下简称“本公司”</w:t>
      </w:r>
      <w:r w:rsidR="0066031F">
        <w:rPr>
          <w:rFonts w:ascii="宋体" w:hAnsi="宋体" w:hint="eastAsia"/>
          <w:szCs w:val="21"/>
        </w:rPr>
        <w:t>或“</w:t>
      </w:r>
      <w:r w:rsidR="0066031F" w:rsidRPr="000D29DF">
        <w:rPr>
          <w:rFonts w:ascii="宋体" w:hAnsi="宋体" w:hint="eastAsia"/>
          <w:szCs w:val="21"/>
        </w:rPr>
        <w:t>基金管理人</w:t>
      </w:r>
      <w:r w:rsidR="0066031F">
        <w:rPr>
          <w:rFonts w:ascii="宋体" w:hAnsi="宋体" w:hint="eastAsia"/>
          <w:szCs w:val="21"/>
        </w:rPr>
        <w:t>”</w:t>
      </w:r>
      <w:r w:rsidRPr="00C03035">
        <w:rPr>
          <w:rFonts w:ascii="宋体" w:hAnsi="宋体" w:hint="eastAsia"/>
          <w:szCs w:val="21"/>
        </w:rPr>
        <w:t>）旗下</w:t>
      </w:r>
      <w:r w:rsidR="00F34EED">
        <w:rPr>
          <w:rFonts w:ascii="宋体" w:hAnsi="宋体" w:hint="eastAsia"/>
          <w:szCs w:val="21"/>
        </w:rPr>
        <w:t>南方荣尊定期开放混合型证券投资基金</w:t>
      </w:r>
      <w:r w:rsidR="00AB53C9" w:rsidRPr="00AB53C9">
        <w:rPr>
          <w:rFonts w:ascii="宋体" w:hAnsi="宋体" w:hint="eastAsia"/>
          <w:szCs w:val="21"/>
        </w:rPr>
        <w:t>以通讯开会方式召开了基金份额持有人大会，</w:t>
      </w:r>
      <w:r w:rsidR="008D5E9D" w:rsidRPr="00080687">
        <w:rPr>
          <w:rFonts w:ascii="宋体" w:hAnsi="宋体" w:hint="eastAsia"/>
          <w:szCs w:val="21"/>
        </w:rPr>
        <w:t>权益登记日为</w:t>
      </w:r>
      <w:r w:rsidR="00CD1226">
        <w:rPr>
          <w:rFonts w:ascii="宋体" w:hAnsi="宋体"/>
          <w:szCs w:val="21"/>
        </w:rPr>
        <w:t>2020年</w:t>
      </w:r>
      <w:r w:rsidR="00B9183B">
        <w:rPr>
          <w:rFonts w:ascii="宋体" w:hAnsi="宋体"/>
          <w:szCs w:val="21"/>
        </w:rPr>
        <w:t>4</w:t>
      </w:r>
      <w:r w:rsidR="00CD1226">
        <w:rPr>
          <w:rFonts w:ascii="宋体" w:hAnsi="宋体"/>
          <w:szCs w:val="21"/>
        </w:rPr>
        <w:t>月</w:t>
      </w:r>
      <w:r w:rsidR="00B9183B">
        <w:rPr>
          <w:rFonts w:ascii="宋体" w:hAnsi="宋体"/>
          <w:szCs w:val="21"/>
        </w:rPr>
        <w:t>21</w:t>
      </w:r>
      <w:r w:rsidR="00CD1226">
        <w:rPr>
          <w:rFonts w:ascii="宋体" w:hAnsi="宋体"/>
          <w:szCs w:val="21"/>
        </w:rPr>
        <w:t>日</w:t>
      </w:r>
      <w:r w:rsidR="008D5E9D" w:rsidRPr="00080687">
        <w:rPr>
          <w:rFonts w:ascii="宋体" w:hAnsi="宋体" w:hint="eastAsia"/>
          <w:szCs w:val="21"/>
        </w:rPr>
        <w:t>。</w:t>
      </w:r>
      <w:r w:rsidR="00AB53C9" w:rsidRPr="00080687">
        <w:rPr>
          <w:rFonts w:ascii="宋体" w:hAnsi="宋体" w:hint="eastAsia"/>
          <w:szCs w:val="21"/>
        </w:rPr>
        <w:t>大会表决投票时间</w:t>
      </w:r>
      <w:r w:rsidR="00AB6079" w:rsidRPr="00080687">
        <w:rPr>
          <w:rFonts w:ascii="宋体" w:hAnsi="宋体" w:hint="eastAsia"/>
          <w:szCs w:val="21"/>
        </w:rPr>
        <w:t>自</w:t>
      </w:r>
      <w:r w:rsidR="00CD1226">
        <w:rPr>
          <w:rFonts w:ascii="宋体" w:hAnsi="宋体"/>
          <w:szCs w:val="21"/>
        </w:rPr>
        <w:t>2020年</w:t>
      </w:r>
      <w:r w:rsidR="00B9183B">
        <w:rPr>
          <w:rFonts w:ascii="宋体" w:hAnsi="宋体"/>
          <w:szCs w:val="21"/>
        </w:rPr>
        <w:t>4</w:t>
      </w:r>
      <w:r w:rsidR="00CD1226">
        <w:rPr>
          <w:rFonts w:ascii="宋体" w:hAnsi="宋体"/>
          <w:szCs w:val="21"/>
        </w:rPr>
        <w:t>月</w:t>
      </w:r>
      <w:r w:rsidR="00B9183B">
        <w:rPr>
          <w:rFonts w:ascii="宋体" w:hAnsi="宋体"/>
          <w:szCs w:val="21"/>
        </w:rPr>
        <w:t>21</w:t>
      </w:r>
      <w:r w:rsidR="00CD1226">
        <w:rPr>
          <w:rFonts w:ascii="宋体" w:hAnsi="宋体"/>
          <w:szCs w:val="21"/>
        </w:rPr>
        <w:t>日</w:t>
      </w:r>
      <w:r w:rsidR="00AB6079" w:rsidRPr="00080687">
        <w:rPr>
          <w:rFonts w:ascii="宋体" w:hAnsi="宋体" w:hint="eastAsia"/>
          <w:szCs w:val="21"/>
        </w:rPr>
        <w:t>起至</w:t>
      </w:r>
      <w:r w:rsidR="00CD1226">
        <w:rPr>
          <w:rFonts w:ascii="宋体" w:hAnsi="宋体"/>
          <w:szCs w:val="21"/>
        </w:rPr>
        <w:t>2020年</w:t>
      </w:r>
      <w:r w:rsidR="00B9183B">
        <w:rPr>
          <w:rFonts w:ascii="宋体" w:hAnsi="宋体"/>
          <w:szCs w:val="21"/>
        </w:rPr>
        <w:t>5</w:t>
      </w:r>
      <w:r w:rsidR="00CD1226">
        <w:rPr>
          <w:rFonts w:ascii="宋体" w:hAnsi="宋体"/>
          <w:szCs w:val="21"/>
        </w:rPr>
        <w:t>月</w:t>
      </w:r>
      <w:r w:rsidR="00B9183B">
        <w:rPr>
          <w:rFonts w:ascii="宋体" w:hAnsi="宋体"/>
          <w:szCs w:val="21"/>
        </w:rPr>
        <w:t>20</w:t>
      </w:r>
      <w:r w:rsidR="00CD1226">
        <w:rPr>
          <w:rFonts w:ascii="宋体" w:hAnsi="宋体"/>
          <w:szCs w:val="21"/>
        </w:rPr>
        <w:t>日</w:t>
      </w:r>
      <w:r w:rsidR="00AB6079" w:rsidRPr="00080687">
        <w:rPr>
          <w:rFonts w:ascii="宋体" w:hAnsi="宋体"/>
          <w:szCs w:val="21"/>
        </w:rPr>
        <w:t>17：00</w:t>
      </w:r>
      <w:r w:rsidRPr="00080687">
        <w:rPr>
          <w:rFonts w:ascii="宋体" w:hAnsi="宋体" w:hint="eastAsia"/>
          <w:szCs w:val="21"/>
        </w:rPr>
        <w:t>止（投票表决时间以基金管理人收到表决票时间为准）</w:t>
      </w:r>
      <w:r w:rsidR="00AB53C9" w:rsidRPr="00080687">
        <w:rPr>
          <w:rFonts w:ascii="宋体" w:hAnsi="宋体" w:hint="eastAsia"/>
          <w:szCs w:val="21"/>
        </w:rPr>
        <w:t>。</w:t>
      </w:r>
      <w:r w:rsidR="00CD1226">
        <w:rPr>
          <w:rFonts w:ascii="宋体" w:hAnsi="宋体"/>
          <w:szCs w:val="21"/>
        </w:rPr>
        <w:t>2020年</w:t>
      </w:r>
      <w:r w:rsidR="00B9183B">
        <w:rPr>
          <w:rFonts w:ascii="宋体" w:hAnsi="宋体"/>
          <w:szCs w:val="21"/>
        </w:rPr>
        <w:t>5</w:t>
      </w:r>
      <w:r w:rsidR="00CD1226">
        <w:rPr>
          <w:rFonts w:ascii="宋体" w:hAnsi="宋体"/>
          <w:szCs w:val="21"/>
        </w:rPr>
        <w:t>月</w:t>
      </w:r>
      <w:r w:rsidR="00B9183B">
        <w:rPr>
          <w:rFonts w:ascii="宋体" w:hAnsi="宋体"/>
          <w:szCs w:val="21"/>
        </w:rPr>
        <w:t>21</w:t>
      </w:r>
      <w:r w:rsidR="00CD1226">
        <w:rPr>
          <w:rFonts w:ascii="宋体" w:hAnsi="宋体"/>
          <w:szCs w:val="21"/>
        </w:rPr>
        <w:t>日</w:t>
      </w:r>
      <w:r w:rsidR="00707732" w:rsidRPr="00080687">
        <w:rPr>
          <w:rFonts w:ascii="宋体" w:hAnsi="宋体" w:hint="eastAsia"/>
          <w:szCs w:val="21"/>
        </w:rPr>
        <w:t>，</w:t>
      </w:r>
      <w:r w:rsidR="00EB0487" w:rsidRPr="00EB0487">
        <w:rPr>
          <w:rFonts w:ascii="宋体" w:hAnsi="宋体" w:hint="eastAsia"/>
          <w:szCs w:val="21"/>
        </w:rPr>
        <w:t>在本基金的基金托管人</w:t>
      </w:r>
      <w:r w:rsidR="00AB6079">
        <w:rPr>
          <w:rFonts w:ascii="宋体" w:hAnsi="宋体" w:hint="eastAsia"/>
          <w:szCs w:val="21"/>
        </w:rPr>
        <w:t>中国</w:t>
      </w:r>
      <w:r w:rsidR="00C47CFA">
        <w:rPr>
          <w:rFonts w:ascii="宋体" w:hAnsi="宋体" w:hint="eastAsia"/>
          <w:szCs w:val="21"/>
        </w:rPr>
        <w:t>工商</w:t>
      </w:r>
      <w:r w:rsidR="00AB6079" w:rsidRPr="00657078">
        <w:rPr>
          <w:rFonts w:ascii="宋体" w:hAnsi="宋体" w:hint="eastAsia"/>
          <w:szCs w:val="21"/>
        </w:rPr>
        <w:t>银行股份有限公司</w:t>
      </w:r>
      <w:r w:rsidR="00EB0487" w:rsidRPr="00AB53C9">
        <w:rPr>
          <w:rFonts w:ascii="宋体" w:hAnsi="宋体" w:hint="eastAsia"/>
          <w:szCs w:val="21"/>
        </w:rPr>
        <w:t>授权代表的监督</w:t>
      </w:r>
      <w:r w:rsidR="00EB0487">
        <w:rPr>
          <w:rFonts w:ascii="宋体" w:hAnsi="宋体" w:hint="eastAsia"/>
          <w:szCs w:val="21"/>
        </w:rPr>
        <w:t>下</w:t>
      </w:r>
      <w:r w:rsidR="00EB0487" w:rsidRPr="00EB0487">
        <w:rPr>
          <w:rFonts w:ascii="宋体" w:hAnsi="宋体" w:hint="eastAsia"/>
          <w:szCs w:val="21"/>
        </w:rPr>
        <w:t>，基金管理人对本次大会表决进行了计票，</w:t>
      </w:r>
      <w:r w:rsidR="00EB0487">
        <w:rPr>
          <w:rFonts w:ascii="宋体" w:hAnsi="宋体" w:hint="eastAsia"/>
          <w:szCs w:val="21"/>
        </w:rPr>
        <w:t>上海市通力律师事务所</w:t>
      </w:r>
      <w:r w:rsidR="00EB0487" w:rsidRPr="00EB0487">
        <w:rPr>
          <w:rFonts w:ascii="宋体" w:hAnsi="宋体" w:hint="eastAsia"/>
          <w:szCs w:val="21"/>
        </w:rPr>
        <w:t>对计票过程进行了见证，</w:t>
      </w:r>
      <w:r w:rsidR="009F277C">
        <w:rPr>
          <w:rFonts w:ascii="宋体" w:hAnsi="宋体" w:hint="eastAsia"/>
          <w:szCs w:val="21"/>
        </w:rPr>
        <w:t>北京市中信</w:t>
      </w:r>
      <w:r w:rsidR="00EB0487" w:rsidRPr="002B409C">
        <w:rPr>
          <w:rFonts w:ascii="宋体" w:hAnsi="宋体" w:hint="eastAsia"/>
          <w:szCs w:val="21"/>
        </w:rPr>
        <w:t>公证处</w:t>
      </w:r>
      <w:r w:rsidR="00EB0487" w:rsidRPr="00EB0487">
        <w:rPr>
          <w:rFonts w:ascii="宋体" w:hAnsi="宋体" w:hint="eastAsia"/>
          <w:szCs w:val="21"/>
        </w:rPr>
        <w:t>对计票过程及结果进行了公证。</w:t>
      </w:r>
    </w:p>
    <w:p w14:paraId="612CAEE3" w14:textId="63D274AA" w:rsidR="00EB0487" w:rsidRPr="007A4D6B" w:rsidRDefault="00EB0487" w:rsidP="00C03035">
      <w:pPr>
        <w:widowControl/>
        <w:adjustRightInd w:val="0"/>
        <w:snapToGrid w:val="0"/>
        <w:spacing w:line="360" w:lineRule="auto"/>
        <w:ind w:firstLine="480"/>
        <w:jc w:val="left"/>
        <w:rPr>
          <w:rFonts w:ascii="宋体" w:hAnsi="宋体"/>
          <w:szCs w:val="21"/>
        </w:rPr>
      </w:pPr>
      <w:r w:rsidRPr="007A4D6B">
        <w:rPr>
          <w:rFonts w:ascii="宋体" w:hAnsi="宋体" w:hint="eastAsia"/>
          <w:szCs w:val="21"/>
        </w:rPr>
        <w:t>经统计，本次基金份额持有人大会</w:t>
      </w:r>
      <w:r w:rsidR="00C03035" w:rsidRPr="007A4D6B">
        <w:rPr>
          <w:rFonts w:hint="eastAsia"/>
          <w:szCs w:val="21"/>
        </w:rPr>
        <w:t>出具表决意见</w:t>
      </w:r>
      <w:r w:rsidR="00C03035" w:rsidRPr="007A4D6B">
        <w:rPr>
          <w:rFonts w:ascii="宋体" w:hAnsi="宋体" w:hint="eastAsia"/>
          <w:szCs w:val="21"/>
        </w:rPr>
        <w:t>的基金份额持有人</w:t>
      </w:r>
      <w:r w:rsidR="00974CCA" w:rsidRPr="007A4D6B">
        <w:rPr>
          <w:rFonts w:ascii="宋体" w:hAnsi="宋体"/>
          <w:szCs w:val="21"/>
        </w:rPr>
        <w:t>或其</w:t>
      </w:r>
      <w:r w:rsidR="005A21A1" w:rsidRPr="007A4D6B">
        <w:rPr>
          <w:rFonts w:ascii="宋体" w:hAnsi="宋体" w:hint="eastAsia"/>
          <w:szCs w:val="21"/>
        </w:rPr>
        <w:t>代理人</w:t>
      </w:r>
      <w:r w:rsidR="00C03035" w:rsidRPr="007A4D6B">
        <w:rPr>
          <w:rFonts w:ascii="宋体" w:hAnsi="宋体" w:hint="eastAsia"/>
          <w:szCs w:val="21"/>
        </w:rPr>
        <w:t>所代表</w:t>
      </w:r>
      <w:r w:rsidR="00C03035" w:rsidRPr="007A4D6B">
        <w:rPr>
          <w:rFonts w:ascii="宋体" w:hAnsi="宋体"/>
          <w:szCs w:val="21"/>
        </w:rPr>
        <w:t>的</w:t>
      </w:r>
      <w:r w:rsidR="00C03035" w:rsidRPr="007A4D6B">
        <w:rPr>
          <w:rFonts w:ascii="宋体" w:hAnsi="宋体" w:hint="eastAsia"/>
          <w:szCs w:val="21"/>
        </w:rPr>
        <w:t>基金份额</w:t>
      </w:r>
      <w:r w:rsidRPr="007A4D6B">
        <w:rPr>
          <w:rFonts w:ascii="宋体" w:hAnsi="宋体" w:hint="eastAsia"/>
          <w:szCs w:val="21"/>
        </w:rPr>
        <w:t>共计</w:t>
      </w:r>
      <w:r w:rsidR="00A91371" w:rsidRPr="00A91371">
        <w:rPr>
          <w:rFonts w:ascii="宋体" w:hAnsi="宋体"/>
          <w:szCs w:val="21"/>
        </w:rPr>
        <w:t>27,745,854.54</w:t>
      </w:r>
      <w:r w:rsidRPr="007A4D6B">
        <w:rPr>
          <w:rFonts w:ascii="宋体" w:hAnsi="宋体" w:hint="eastAsia"/>
          <w:szCs w:val="21"/>
        </w:rPr>
        <w:t>份，</w:t>
      </w:r>
      <w:r w:rsidR="008D5E9D" w:rsidRPr="007A4D6B">
        <w:rPr>
          <w:rFonts w:ascii="宋体" w:hAnsi="宋体" w:hint="eastAsia"/>
          <w:szCs w:val="21"/>
        </w:rPr>
        <w:t>占权益登记日本基金基金总份额份的</w:t>
      </w:r>
      <w:r w:rsidR="00F77856" w:rsidRPr="00F77856">
        <w:rPr>
          <w:rFonts w:ascii="宋体" w:hAnsi="宋体"/>
          <w:szCs w:val="21"/>
        </w:rPr>
        <w:t>57.43%</w:t>
      </w:r>
      <w:r w:rsidRPr="007A4D6B">
        <w:rPr>
          <w:rFonts w:ascii="宋体" w:hAnsi="宋体" w:hint="eastAsia"/>
          <w:szCs w:val="21"/>
        </w:rPr>
        <w:t>，达到法定开会条件，符合《中华人民共和国证券投资基金法》、《公开募集证券投资基金运作管理办法》和《</w:t>
      </w:r>
      <w:r w:rsidR="00F34EED" w:rsidRPr="007A4D6B">
        <w:rPr>
          <w:rFonts w:ascii="宋体" w:hAnsi="宋体" w:hint="eastAsia"/>
          <w:szCs w:val="21"/>
        </w:rPr>
        <w:t>南方荣尊定期开放混合型证券投资基金</w:t>
      </w:r>
      <w:r w:rsidR="008D5E9D" w:rsidRPr="007A4D6B">
        <w:rPr>
          <w:rFonts w:ascii="宋体" w:hAnsi="宋体" w:hint="eastAsia"/>
          <w:szCs w:val="21"/>
        </w:rPr>
        <w:t>基金合同</w:t>
      </w:r>
      <w:r w:rsidRPr="007A4D6B">
        <w:rPr>
          <w:rFonts w:ascii="宋体" w:hAnsi="宋体" w:hint="eastAsia"/>
          <w:szCs w:val="21"/>
        </w:rPr>
        <w:t>》的有关规定。</w:t>
      </w:r>
    </w:p>
    <w:p w14:paraId="0A3E31C1" w14:textId="323A58C4" w:rsidR="00EB0487" w:rsidRDefault="00AB53C9" w:rsidP="00F24BE1">
      <w:pPr>
        <w:widowControl/>
        <w:adjustRightInd w:val="0"/>
        <w:snapToGrid w:val="0"/>
        <w:spacing w:line="360" w:lineRule="auto"/>
        <w:ind w:firstLine="480"/>
        <w:rPr>
          <w:rFonts w:ascii="宋体" w:hAnsi="宋体"/>
          <w:szCs w:val="21"/>
        </w:rPr>
      </w:pPr>
      <w:r w:rsidRPr="007A4D6B">
        <w:rPr>
          <w:rFonts w:ascii="宋体" w:hAnsi="宋体" w:hint="eastAsia"/>
          <w:szCs w:val="21"/>
        </w:rPr>
        <w:t>会议审议了《</w:t>
      </w:r>
      <w:r w:rsidR="004E2861" w:rsidRPr="007A4D6B">
        <w:rPr>
          <w:rFonts w:ascii="宋体" w:hAnsi="宋体" w:hint="eastAsia"/>
          <w:szCs w:val="21"/>
        </w:rPr>
        <w:t>关于南方荣尊定期开放混合型证券投资基金转型有关事项的议案</w:t>
      </w:r>
      <w:r w:rsidRPr="007A4D6B">
        <w:rPr>
          <w:rFonts w:ascii="宋体" w:hAnsi="宋体" w:hint="eastAsia"/>
          <w:szCs w:val="21"/>
        </w:rPr>
        <w:t>》（以下简称“本次会议议案”），并由</w:t>
      </w:r>
      <w:r w:rsidR="00C03035" w:rsidRPr="007A4D6B">
        <w:rPr>
          <w:rFonts w:ascii="宋体" w:hAnsi="宋体" w:hint="eastAsia"/>
          <w:szCs w:val="21"/>
        </w:rPr>
        <w:t>出具表决意见的基金份额持有人</w:t>
      </w:r>
      <w:r w:rsidR="00974CCA" w:rsidRPr="007A4D6B">
        <w:rPr>
          <w:rFonts w:ascii="宋体" w:hAnsi="宋体"/>
          <w:szCs w:val="21"/>
        </w:rPr>
        <w:t>或其</w:t>
      </w:r>
      <w:r w:rsidR="000D29DF" w:rsidRPr="007A4D6B">
        <w:rPr>
          <w:rFonts w:ascii="宋体" w:hAnsi="宋体" w:hint="eastAsia"/>
          <w:szCs w:val="21"/>
        </w:rPr>
        <w:t>代理人</w:t>
      </w:r>
      <w:r w:rsidRPr="007A4D6B">
        <w:rPr>
          <w:rFonts w:ascii="宋体" w:hAnsi="宋体" w:hint="eastAsia"/>
          <w:szCs w:val="21"/>
        </w:rPr>
        <w:t>对本次会议议案进行表决。表决结果为：</w:t>
      </w:r>
      <w:r w:rsidR="0042461B" w:rsidRPr="0042461B">
        <w:rPr>
          <w:rFonts w:ascii="宋体" w:hAnsi="宋体"/>
          <w:szCs w:val="21"/>
        </w:rPr>
        <w:t>26,121,254.63</w:t>
      </w:r>
      <w:r w:rsidR="008D5E9D" w:rsidRPr="007A4D6B">
        <w:rPr>
          <w:rFonts w:ascii="宋体" w:hAnsi="宋体" w:hint="eastAsia"/>
          <w:szCs w:val="21"/>
        </w:rPr>
        <w:t>份基金份额同意，</w:t>
      </w:r>
      <w:r w:rsidR="0042461B" w:rsidRPr="0042461B">
        <w:rPr>
          <w:rFonts w:ascii="宋体" w:hAnsi="宋体"/>
          <w:szCs w:val="21"/>
        </w:rPr>
        <w:t>20,011.61</w:t>
      </w:r>
      <w:r w:rsidR="008D5E9D" w:rsidRPr="007A4D6B">
        <w:rPr>
          <w:rFonts w:ascii="宋体" w:hAnsi="宋体" w:hint="eastAsia"/>
          <w:szCs w:val="21"/>
        </w:rPr>
        <w:t>份基金份额反对，</w:t>
      </w:r>
      <w:r w:rsidR="0042461B" w:rsidRPr="0042461B">
        <w:rPr>
          <w:rFonts w:ascii="宋体" w:hAnsi="宋体"/>
          <w:szCs w:val="21"/>
        </w:rPr>
        <w:t>1,604,588.30</w:t>
      </w:r>
      <w:r w:rsidR="008D5E9D" w:rsidRPr="007A4D6B">
        <w:rPr>
          <w:rFonts w:ascii="宋体" w:hAnsi="宋体" w:hint="eastAsia"/>
          <w:szCs w:val="21"/>
        </w:rPr>
        <w:t>份基金份额弃权</w:t>
      </w:r>
      <w:r w:rsidR="00EB0487" w:rsidRPr="007A4D6B">
        <w:rPr>
          <w:rFonts w:ascii="宋体" w:hAnsi="宋体" w:hint="eastAsia"/>
          <w:szCs w:val="21"/>
        </w:rPr>
        <w:t>。同意本次大会议案的基金份额</w:t>
      </w:r>
      <w:r w:rsidR="00C03035" w:rsidRPr="007A4D6B">
        <w:rPr>
          <w:rFonts w:ascii="宋体" w:hAnsi="宋体" w:hint="eastAsia"/>
          <w:szCs w:val="21"/>
        </w:rPr>
        <w:t>占出具表决意见的基金份额持有人</w:t>
      </w:r>
      <w:r w:rsidR="00974CCA" w:rsidRPr="007A4D6B">
        <w:rPr>
          <w:rFonts w:ascii="宋体" w:hAnsi="宋体"/>
          <w:szCs w:val="21"/>
        </w:rPr>
        <w:t>或其</w:t>
      </w:r>
      <w:r w:rsidR="00C03035" w:rsidRPr="007A4D6B">
        <w:rPr>
          <w:rFonts w:ascii="宋体" w:hAnsi="宋体" w:hint="eastAsia"/>
          <w:szCs w:val="21"/>
        </w:rPr>
        <w:t>代理人所代表的基金份额总数的</w:t>
      </w:r>
      <w:r w:rsidR="00EB0487" w:rsidRPr="007A4D6B">
        <w:rPr>
          <w:rFonts w:ascii="宋体" w:hAnsi="宋体" w:hint="eastAsia"/>
          <w:szCs w:val="21"/>
        </w:rPr>
        <w:t>的</w:t>
      </w:r>
      <w:r w:rsidR="00C03035" w:rsidRPr="007A4D6B">
        <w:rPr>
          <w:rFonts w:hAnsi="宋体"/>
          <w:szCs w:val="21"/>
        </w:rPr>
        <w:t>三分之二</w:t>
      </w:r>
      <w:r w:rsidR="00EB0487" w:rsidRPr="007A4D6B">
        <w:rPr>
          <w:rFonts w:ascii="宋体" w:hAnsi="宋体" w:hint="eastAsia"/>
          <w:szCs w:val="21"/>
        </w:rPr>
        <w:t>以上，符合《中华人民共和国证券投资基金法》、《公开募集证券投资基金运作管理办法》和《</w:t>
      </w:r>
      <w:r w:rsidR="00F34EED" w:rsidRPr="007A4D6B">
        <w:rPr>
          <w:rFonts w:ascii="宋体" w:hAnsi="宋体" w:hint="eastAsia"/>
          <w:szCs w:val="21"/>
        </w:rPr>
        <w:t>南方荣尊定期开放混合型证券投资基金</w:t>
      </w:r>
      <w:r w:rsidR="00EB0487" w:rsidRPr="007A4D6B">
        <w:rPr>
          <w:rFonts w:ascii="宋体" w:hAnsi="宋体" w:hint="eastAsia"/>
          <w:szCs w:val="21"/>
        </w:rPr>
        <w:t>基金合同》的有关规定，本次会议议案获得通过。</w:t>
      </w:r>
    </w:p>
    <w:p w14:paraId="0F077330" w14:textId="28051CDD" w:rsidR="00C70C9D" w:rsidRDefault="00296A32" w:rsidP="00C70C9D">
      <w:pPr>
        <w:widowControl/>
        <w:adjustRightInd w:val="0"/>
        <w:snapToGrid w:val="0"/>
        <w:spacing w:line="360" w:lineRule="auto"/>
        <w:ind w:firstLine="480"/>
        <w:jc w:val="left"/>
        <w:rPr>
          <w:rFonts w:ascii="宋体" w:hAnsi="宋体"/>
          <w:szCs w:val="21"/>
        </w:rPr>
      </w:pPr>
      <w:r w:rsidRPr="00296A32">
        <w:rPr>
          <w:rFonts w:ascii="宋体" w:hAnsi="宋体" w:hint="eastAsia"/>
          <w:szCs w:val="21"/>
        </w:rPr>
        <w:t>本次基金份额持有人大会费用由基金资产列支，本次基金份额持有人大会律师费</w:t>
      </w:r>
      <w:r w:rsidR="00271EF5">
        <w:rPr>
          <w:rFonts w:ascii="宋体" w:hAnsi="宋体"/>
          <w:szCs w:val="21"/>
        </w:rPr>
        <w:t>1</w:t>
      </w:r>
      <w:r w:rsidRPr="00296A32">
        <w:rPr>
          <w:rFonts w:ascii="宋体" w:hAnsi="宋体" w:hint="eastAsia"/>
          <w:szCs w:val="21"/>
        </w:rPr>
        <w:t>万元，公证费</w:t>
      </w:r>
      <w:r w:rsidR="00271EF5">
        <w:rPr>
          <w:rFonts w:ascii="宋体" w:hAnsi="宋体"/>
          <w:szCs w:val="21"/>
        </w:rPr>
        <w:t>4</w:t>
      </w:r>
      <w:r w:rsidRPr="00296A32">
        <w:rPr>
          <w:rFonts w:ascii="宋体" w:hAnsi="宋体" w:hint="eastAsia"/>
          <w:szCs w:val="21"/>
        </w:rPr>
        <w:t>万元，合计为</w:t>
      </w:r>
      <w:r w:rsidR="00271EF5">
        <w:rPr>
          <w:rFonts w:ascii="宋体" w:hAnsi="宋体"/>
          <w:szCs w:val="21"/>
        </w:rPr>
        <w:t>5</w:t>
      </w:r>
      <w:r w:rsidRPr="00296A32">
        <w:rPr>
          <w:rFonts w:ascii="宋体" w:hAnsi="宋体" w:hint="eastAsia"/>
          <w:szCs w:val="21"/>
        </w:rPr>
        <w:t>万元。</w:t>
      </w:r>
    </w:p>
    <w:p w14:paraId="7DB1B0CF" w14:textId="77777777" w:rsidR="00AB53C9" w:rsidRPr="00AB53C9" w:rsidRDefault="00AB53C9" w:rsidP="00F20E89">
      <w:pPr>
        <w:widowControl/>
        <w:adjustRightInd w:val="0"/>
        <w:snapToGrid w:val="0"/>
        <w:spacing w:line="360" w:lineRule="auto"/>
        <w:ind w:firstLine="480"/>
        <w:jc w:val="left"/>
        <w:outlineLvl w:val="0"/>
        <w:rPr>
          <w:rFonts w:ascii="宋体" w:hAnsi="宋体"/>
          <w:b/>
          <w:szCs w:val="21"/>
        </w:rPr>
      </w:pPr>
      <w:r w:rsidRPr="00AB53C9">
        <w:rPr>
          <w:rFonts w:ascii="宋体" w:hAnsi="宋体" w:hint="eastAsia"/>
          <w:b/>
          <w:szCs w:val="21"/>
        </w:rPr>
        <w:t>二、本次基金份额持有人大会决议的生效</w:t>
      </w:r>
    </w:p>
    <w:p w14:paraId="24D8E465" w14:textId="224C43CD" w:rsidR="00F23474" w:rsidRDefault="00AB53C9" w:rsidP="00F20E89">
      <w:pPr>
        <w:widowControl/>
        <w:adjustRightInd w:val="0"/>
        <w:snapToGrid w:val="0"/>
        <w:spacing w:line="360" w:lineRule="auto"/>
        <w:ind w:firstLine="480"/>
        <w:jc w:val="left"/>
        <w:rPr>
          <w:rFonts w:ascii="宋体" w:hAnsi="宋体"/>
          <w:szCs w:val="21"/>
        </w:rPr>
      </w:pPr>
      <w:r w:rsidRPr="00AB53C9">
        <w:rPr>
          <w:rFonts w:ascii="宋体" w:hAnsi="宋体" w:hint="eastAsia"/>
          <w:szCs w:val="21"/>
        </w:rPr>
        <w:t>根据《公开募集证券投资基金运作管理办法》的规定，基金份额持有人大会决定的</w:t>
      </w:r>
      <w:r w:rsidR="005226F5">
        <w:rPr>
          <w:rFonts w:ascii="宋体" w:hAnsi="宋体" w:hint="eastAsia"/>
          <w:szCs w:val="21"/>
        </w:rPr>
        <w:t>事项自表决通过之日起生效，</w:t>
      </w:r>
      <w:r w:rsidR="00707732" w:rsidRPr="00080687">
        <w:rPr>
          <w:rFonts w:ascii="宋体" w:hAnsi="宋体" w:hint="eastAsia"/>
          <w:szCs w:val="21"/>
        </w:rPr>
        <w:t>本次会议决议生效日为</w:t>
      </w:r>
      <w:r w:rsidR="00CD1226">
        <w:rPr>
          <w:rFonts w:ascii="宋体" w:hAnsi="宋体"/>
          <w:szCs w:val="21"/>
        </w:rPr>
        <w:t>2020年</w:t>
      </w:r>
      <w:r w:rsidR="00A1336C">
        <w:rPr>
          <w:rFonts w:ascii="宋体" w:hAnsi="宋体"/>
          <w:szCs w:val="21"/>
        </w:rPr>
        <w:t>5</w:t>
      </w:r>
      <w:r w:rsidR="00CD1226">
        <w:rPr>
          <w:rFonts w:ascii="宋体" w:hAnsi="宋体"/>
          <w:szCs w:val="21"/>
        </w:rPr>
        <w:t>月</w:t>
      </w:r>
      <w:r w:rsidR="000968A0">
        <w:rPr>
          <w:rFonts w:ascii="宋体" w:hAnsi="宋体"/>
          <w:szCs w:val="21"/>
        </w:rPr>
        <w:t>21</w:t>
      </w:r>
      <w:r w:rsidR="00CD1226">
        <w:rPr>
          <w:rFonts w:ascii="宋体" w:hAnsi="宋体"/>
          <w:szCs w:val="21"/>
        </w:rPr>
        <w:t>日</w:t>
      </w:r>
      <w:r w:rsidR="005226F5" w:rsidRPr="00080687">
        <w:rPr>
          <w:rFonts w:ascii="宋体" w:hAnsi="宋体" w:hint="eastAsia"/>
          <w:szCs w:val="21"/>
        </w:rPr>
        <w:t>。</w:t>
      </w:r>
      <w:r w:rsidR="00707732" w:rsidRPr="00080687">
        <w:rPr>
          <w:rFonts w:ascii="宋体" w:hAnsi="宋体" w:hint="eastAsia"/>
          <w:szCs w:val="21"/>
        </w:rPr>
        <w:t>基金管理人将于表决通过之日起</w:t>
      </w:r>
      <w:r w:rsidR="00707732" w:rsidRPr="00080687">
        <w:rPr>
          <w:rFonts w:ascii="宋体" w:hAnsi="宋体"/>
          <w:szCs w:val="21"/>
        </w:rPr>
        <w:t>5日内报中国证监会备案。本次会议通过的表决事项为本公司于</w:t>
      </w:r>
      <w:r w:rsidR="00CD1226">
        <w:rPr>
          <w:rFonts w:ascii="宋体" w:hAnsi="宋体"/>
          <w:szCs w:val="21"/>
        </w:rPr>
        <w:t>2020年</w:t>
      </w:r>
      <w:r w:rsidR="007B4657">
        <w:rPr>
          <w:rFonts w:ascii="宋体" w:hAnsi="宋体"/>
          <w:szCs w:val="21"/>
        </w:rPr>
        <w:t>4</w:t>
      </w:r>
      <w:r w:rsidR="00CD1226">
        <w:rPr>
          <w:rFonts w:ascii="宋体" w:hAnsi="宋体"/>
          <w:szCs w:val="21"/>
        </w:rPr>
        <w:t>月</w:t>
      </w:r>
      <w:r w:rsidR="007B4657">
        <w:rPr>
          <w:rFonts w:ascii="宋体" w:hAnsi="宋体"/>
          <w:szCs w:val="21"/>
        </w:rPr>
        <w:t>21</w:t>
      </w:r>
      <w:r w:rsidR="00CD1226">
        <w:rPr>
          <w:rFonts w:ascii="宋体" w:hAnsi="宋体"/>
          <w:szCs w:val="21"/>
        </w:rPr>
        <w:t>日</w:t>
      </w:r>
      <w:r w:rsidR="000D29DF" w:rsidRPr="00080687">
        <w:rPr>
          <w:rFonts w:ascii="宋体" w:hAnsi="宋体" w:hint="eastAsia"/>
          <w:szCs w:val="21"/>
        </w:rPr>
        <w:t>在</w:t>
      </w:r>
      <w:r w:rsidR="00950022" w:rsidRPr="007E013C">
        <w:rPr>
          <w:rFonts w:ascii="宋体" w:hAnsi="宋体" w:hint="eastAsia"/>
          <w:szCs w:val="21"/>
        </w:rPr>
        <w:t>《</w:t>
      </w:r>
      <w:r w:rsidR="00646036" w:rsidRPr="00646036">
        <w:rPr>
          <w:rFonts w:ascii="宋体" w:hAnsi="宋体" w:hint="eastAsia"/>
          <w:szCs w:val="21"/>
        </w:rPr>
        <w:t>上海证券</w:t>
      </w:r>
      <w:r w:rsidR="00950022" w:rsidRPr="007E013C">
        <w:rPr>
          <w:rFonts w:ascii="宋体" w:hAnsi="宋体" w:hint="eastAsia"/>
          <w:szCs w:val="21"/>
        </w:rPr>
        <w:t>报》</w:t>
      </w:r>
      <w:r w:rsidR="000D29DF" w:rsidRPr="007E013C">
        <w:rPr>
          <w:rFonts w:ascii="宋体" w:hAnsi="宋体" w:hint="eastAsia"/>
          <w:szCs w:val="21"/>
        </w:rPr>
        <w:t>及基金管理人网站</w:t>
      </w:r>
      <w:r w:rsidR="000D29DF" w:rsidRPr="000D29DF">
        <w:rPr>
          <w:rFonts w:ascii="宋体" w:hAnsi="宋体" w:hint="eastAsia"/>
          <w:szCs w:val="21"/>
        </w:rPr>
        <w:t>（www.nffund.com）发布</w:t>
      </w:r>
      <w:r w:rsidR="0066031F">
        <w:rPr>
          <w:rFonts w:ascii="宋体" w:hAnsi="宋体" w:hint="eastAsia"/>
          <w:szCs w:val="21"/>
        </w:rPr>
        <w:t>的</w:t>
      </w:r>
      <w:r w:rsidR="000D29DF" w:rsidRPr="000D29DF">
        <w:rPr>
          <w:rFonts w:ascii="宋体" w:hAnsi="宋体" w:hint="eastAsia"/>
          <w:szCs w:val="21"/>
        </w:rPr>
        <w:t>《南方基金管理股份有限</w:t>
      </w:r>
      <w:r w:rsidR="000D29DF" w:rsidRPr="000D29DF">
        <w:rPr>
          <w:rFonts w:ascii="宋体" w:hAnsi="宋体" w:hint="eastAsia"/>
          <w:szCs w:val="21"/>
        </w:rPr>
        <w:lastRenderedPageBreak/>
        <w:t>公司关于以通讯方式召开</w:t>
      </w:r>
      <w:r w:rsidR="00F34EED">
        <w:rPr>
          <w:rFonts w:ascii="宋体" w:hAnsi="宋体" w:hint="eastAsia"/>
          <w:szCs w:val="21"/>
        </w:rPr>
        <w:t>南方荣尊定期开放混合型证券投资基金</w:t>
      </w:r>
      <w:r w:rsidR="000D29DF" w:rsidRPr="000D29DF">
        <w:rPr>
          <w:rFonts w:ascii="宋体" w:hAnsi="宋体" w:hint="eastAsia"/>
          <w:szCs w:val="21"/>
        </w:rPr>
        <w:t>基金份额持有人大会的公告》</w:t>
      </w:r>
      <w:r w:rsidR="00707732" w:rsidRPr="00707732">
        <w:rPr>
          <w:rFonts w:ascii="宋体" w:hAnsi="宋体" w:hint="eastAsia"/>
          <w:szCs w:val="21"/>
        </w:rPr>
        <w:t>之附件《</w:t>
      </w:r>
      <w:r w:rsidR="004E2861">
        <w:rPr>
          <w:rFonts w:ascii="宋体" w:hAnsi="宋体" w:hint="eastAsia"/>
          <w:szCs w:val="21"/>
        </w:rPr>
        <w:t>关于南方荣尊定期开放混合型证券投资基金转型有关事项的议案</w:t>
      </w:r>
      <w:r w:rsidR="008D5E9D" w:rsidRPr="007530AE">
        <w:rPr>
          <w:rFonts w:ascii="宋体" w:hAnsi="宋体" w:hint="eastAsia"/>
          <w:szCs w:val="21"/>
        </w:rPr>
        <w:t>》</w:t>
      </w:r>
      <w:r w:rsidR="00707732" w:rsidRPr="00707732">
        <w:rPr>
          <w:rFonts w:ascii="宋体" w:hAnsi="宋体" w:hint="eastAsia"/>
          <w:szCs w:val="21"/>
        </w:rPr>
        <w:t>。</w:t>
      </w:r>
    </w:p>
    <w:p w14:paraId="2FCBA77E" w14:textId="77777777" w:rsidR="00532CE5" w:rsidRPr="00AB53C9" w:rsidRDefault="00532CE5" w:rsidP="00532CE5">
      <w:pPr>
        <w:widowControl/>
        <w:adjustRightInd w:val="0"/>
        <w:snapToGrid w:val="0"/>
        <w:spacing w:line="360" w:lineRule="auto"/>
        <w:ind w:firstLine="480"/>
        <w:jc w:val="left"/>
        <w:outlineLvl w:val="0"/>
        <w:rPr>
          <w:rFonts w:ascii="宋体" w:hAnsi="宋体"/>
          <w:b/>
          <w:szCs w:val="21"/>
        </w:rPr>
      </w:pPr>
      <w:r w:rsidRPr="00AB53C9">
        <w:rPr>
          <w:rFonts w:ascii="宋体" w:hAnsi="宋体" w:hint="eastAsia"/>
          <w:b/>
          <w:szCs w:val="21"/>
        </w:rPr>
        <w:t>三、持有人大会决议相关事项的实施情况</w:t>
      </w:r>
    </w:p>
    <w:p w14:paraId="32E557C7" w14:textId="77777777" w:rsidR="00532CE5" w:rsidRDefault="00532CE5" w:rsidP="00532CE5">
      <w:pPr>
        <w:widowControl/>
        <w:adjustRightInd w:val="0"/>
        <w:snapToGrid w:val="0"/>
        <w:spacing w:line="360" w:lineRule="auto"/>
        <w:ind w:firstLine="465"/>
        <w:jc w:val="left"/>
        <w:rPr>
          <w:rFonts w:ascii="宋体" w:hAnsi="宋体"/>
          <w:szCs w:val="21"/>
        </w:rPr>
      </w:pPr>
      <w:r w:rsidRPr="00AB53C9">
        <w:rPr>
          <w:rFonts w:ascii="宋体" w:hAnsi="宋体" w:hint="eastAsia"/>
          <w:szCs w:val="21"/>
        </w:rPr>
        <w:t>1、</w:t>
      </w:r>
      <w:r>
        <w:rPr>
          <w:rFonts w:ascii="宋体" w:hAnsi="宋体" w:hint="eastAsia"/>
          <w:szCs w:val="21"/>
        </w:rPr>
        <w:t>关于法律文件的修订</w:t>
      </w:r>
    </w:p>
    <w:p w14:paraId="23654051" w14:textId="1C28CA3B" w:rsidR="00532CE5" w:rsidRDefault="00532CE5" w:rsidP="00532CE5">
      <w:pPr>
        <w:widowControl/>
        <w:adjustRightInd w:val="0"/>
        <w:snapToGrid w:val="0"/>
        <w:spacing w:line="360" w:lineRule="auto"/>
        <w:ind w:firstLine="465"/>
        <w:jc w:val="left"/>
        <w:rPr>
          <w:rFonts w:ascii="宋体" w:hAnsi="宋体"/>
          <w:szCs w:val="21"/>
        </w:rPr>
      </w:pPr>
      <w:r w:rsidRPr="00E555AD">
        <w:rPr>
          <w:rFonts w:ascii="宋体" w:hAnsi="宋体" w:hint="eastAsia"/>
          <w:szCs w:val="21"/>
        </w:rPr>
        <w:t>根据《关于</w:t>
      </w:r>
      <w:r w:rsidR="008B2538">
        <w:rPr>
          <w:rFonts w:ascii="宋体" w:hAnsi="宋体" w:hint="eastAsia"/>
          <w:szCs w:val="21"/>
        </w:rPr>
        <w:t>南方荣尊定期开放混合型证券投资基金</w:t>
      </w:r>
      <w:r w:rsidRPr="00E555AD">
        <w:rPr>
          <w:rFonts w:ascii="宋体" w:hAnsi="宋体" w:hint="eastAsia"/>
          <w:szCs w:val="21"/>
        </w:rPr>
        <w:t>转型有关事项的议案》以及相关法律法规的规定，经与基金托管人</w:t>
      </w:r>
      <w:r>
        <w:rPr>
          <w:rFonts w:ascii="宋体" w:hAnsi="宋体" w:hint="eastAsia"/>
          <w:szCs w:val="21"/>
        </w:rPr>
        <w:t>中国</w:t>
      </w:r>
      <w:r w:rsidR="008B2538">
        <w:rPr>
          <w:rFonts w:ascii="宋体" w:hAnsi="宋体" w:hint="eastAsia"/>
          <w:szCs w:val="21"/>
        </w:rPr>
        <w:t>工商</w:t>
      </w:r>
      <w:r w:rsidRPr="00E555AD">
        <w:rPr>
          <w:rFonts w:ascii="宋体" w:hAnsi="宋体" w:hint="eastAsia"/>
          <w:szCs w:val="21"/>
        </w:rPr>
        <w:t>银行股份有限公司协商一致，基金管理人已将《</w:t>
      </w:r>
      <w:r w:rsidR="008B2538">
        <w:rPr>
          <w:rFonts w:ascii="宋体" w:hAnsi="宋体" w:hint="eastAsia"/>
          <w:szCs w:val="21"/>
        </w:rPr>
        <w:t>南方荣尊定期开放混合型证券投资基金</w:t>
      </w:r>
      <w:r w:rsidRPr="00E555AD">
        <w:rPr>
          <w:rFonts w:ascii="宋体" w:hAnsi="宋体" w:hint="eastAsia"/>
          <w:szCs w:val="21"/>
        </w:rPr>
        <w:t>基金合同》、《</w:t>
      </w:r>
      <w:r w:rsidR="008B2538">
        <w:rPr>
          <w:rFonts w:ascii="宋体" w:hAnsi="宋体" w:hint="eastAsia"/>
          <w:szCs w:val="21"/>
        </w:rPr>
        <w:t>南方荣尊定期开放混合型证券投资基金</w:t>
      </w:r>
      <w:r w:rsidRPr="00E555AD">
        <w:rPr>
          <w:rFonts w:ascii="宋体" w:hAnsi="宋体" w:hint="eastAsia"/>
          <w:szCs w:val="21"/>
        </w:rPr>
        <w:t>托管协议》分别修订为《</w:t>
      </w:r>
      <w:r w:rsidR="00B71D5C">
        <w:rPr>
          <w:rFonts w:ascii="宋体" w:hAnsi="宋体" w:hint="eastAsia"/>
          <w:szCs w:val="21"/>
        </w:rPr>
        <w:t>南方荣尊混合型证券投资基金</w:t>
      </w:r>
      <w:r w:rsidRPr="00E555AD">
        <w:rPr>
          <w:rFonts w:ascii="宋体" w:hAnsi="宋体" w:hint="eastAsia"/>
          <w:szCs w:val="21"/>
        </w:rPr>
        <w:t>基金合同》、《</w:t>
      </w:r>
      <w:r w:rsidR="00B71D5C">
        <w:rPr>
          <w:rFonts w:ascii="宋体" w:hAnsi="宋体" w:hint="eastAsia"/>
          <w:szCs w:val="21"/>
        </w:rPr>
        <w:t>南方荣尊混合型证券投资基金</w:t>
      </w:r>
      <w:r w:rsidRPr="00E555AD">
        <w:rPr>
          <w:rFonts w:ascii="宋体" w:hAnsi="宋体" w:hint="eastAsia"/>
          <w:szCs w:val="21"/>
        </w:rPr>
        <w:t>托管协议》，并据此编制《</w:t>
      </w:r>
      <w:r w:rsidR="00B71D5C">
        <w:rPr>
          <w:rFonts w:ascii="宋体" w:hAnsi="宋体" w:hint="eastAsia"/>
          <w:szCs w:val="21"/>
        </w:rPr>
        <w:t>南方荣尊混合型证券投资基金</w:t>
      </w:r>
      <w:r>
        <w:rPr>
          <w:rFonts w:ascii="宋体" w:hAnsi="宋体" w:hint="eastAsia"/>
          <w:szCs w:val="21"/>
        </w:rPr>
        <w:t>招募说明书》。前述法律文件已报中国证监会审核并获</w:t>
      </w:r>
      <w:r w:rsidRPr="00E555AD">
        <w:rPr>
          <w:rFonts w:ascii="宋体" w:hAnsi="宋体" w:hint="eastAsia"/>
          <w:szCs w:val="21"/>
        </w:rPr>
        <w:t>《关于准予</w:t>
      </w:r>
      <w:r w:rsidR="008B2538">
        <w:rPr>
          <w:rFonts w:ascii="宋体" w:hAnsi="宋体" w:hint="eastAsia"/>
          <w:szCs w:val="21"/>
        </w:rPr>
        <w:t>南方荣尊定期开放混合型证券投资基金</w:t>
      </w:r>
      <w:r w:rsidRPr="00E555AD">
        <w:rPr>
          <w:rFonts w:ascii="宋体" w:hAnsi="宋体" w:hint="eastAsia"/>
          <w:szCs w:val="21"/>
        </w:rPr>
        <w:t>变更注册的批复》（证监许可[201</w:t>
      </w:r>
      <w:r>
        <w:rPr>
          <w:rFonts w:ascii="宋体" w:hAnsi="宋体"/>
          <w:szCs w:val="21"/>
        </w:rPr>
        <w:t>9</w:t>
      </w:r>
      <w:r>
        <w:rPr>
          <w:rFonts w:ascii="宋体" w:hAnsi="宋体" w:hint="eastAsia"/>
          <w:szCs w:val="21"/>
        </w:rPr>
        <w:t>]</w:t>
      </w:r>
      <w:r>
        <w:rPr>
          <w:rFonts w:ascii="宋体" w:hAnsi="宋体"/>
          <w:szCs w:val="21"/>
        </w:rPr>
        <w:t>1</w:t>
      </w:r>
      <w:r w:rsidR="00E737FE">
        <w:rPr>
          <w:rFonts w:ascii="宋体" w:hAnsi="宋体"/>
          <w:szCs w:val="21"/>
        </w:rPr>
        <w:t>983</w:t>
      </w:r>
      <w:r w:rsidRPr="00E555AD">
        <w:rPr>
          <w:rFonts w:ascii="宋体" w:hAnsi="宋体" w:hint="eastAsia"/>
          <w:szCs w:val="21"/>
        </w:rPr>
        <w:t>号文）。</w:t>
      </w:r>
    </w:p>
    <w:p w14:paraId="7E6120CA" w14:textId="55824D89" w:rsidR="00532CE5" w:rsidRPr="00A4312D" w:rsidRDefault="00532CE5" w:rsidP="00532CE5">
      <w:pPr>
        <w:widowControl/>
        <w:adjustRightInd w:val="0"/>
        <w:snapToGrid w:val="0"/>
        <w:spacing w:line="360" w:lineRule="auto"/>
        <w:ind w:firstLine="465"/>
        <w:jc w:val="left"/>
        <w:rPr>
          <w:rFonts w:ascii="宋体" w:hAnsi="宋体"/>
          <w:szCs w:val="21"/>
        </w:rPr>
      </w:pPr>
      <w:r w:rsidRPr="00A4312D">
        <w:rPr>
          <w:rFonts w:ascii="宋体" w:hAnsi="宋体" w:hint="eastAsia"/>
          <w:szCs w:val="21"/>
        </w:rPr>
        <w:t>修订和更新后的文件于</w:t>
      </w:r>
      <w:r w:rsidR="00C7525B">
        <w:rPr>
          <w:rFonts w:ascii="宋体" w:hAnsi="宋体"/>
          <w:szCs w:val="21"/>
        </w:rPr>
        <w:t>2020</w:t>
      </w:r>
      <w:r w:rsidRPr="00A4312D">
        <w:rPr>
          <w:rFonts w:ascii="宋体" w:hAnsi="宋体" w:hint="eastAsia"/>
          <w:szCs w:val="21"/>
        </w:rPr>
        <w:t>年</w:t>
      </w:r>
      <w:r w:rsidR="00CD798D">
        <w:rPr>
          <w:rFonts w:ascii="宋体" w:hAnsi="宋体"/>
          <w:szCs w:val="21"/>
        </w:rPr>
        <w:t>6</w:t>
      </w:r>
      <w:r w:rsidRPr="00A4312D">
        <w:rPr>
          <w:rFonts w:ascii="宋体" w:hAnsi="宋体" w:hint="eastAsia"/>
          <w:szCs w:val="21"/>
        </w:rPr>
        <w:t>月</w:t>
      </w:r>
      <w:r w:rsidR="00CD798D">
        <w:rPr>
          <w:rFonts w:ascii="宋体" w:hAnsi="宋体"/>
          <w:szCs w:val="21"/>
        </w:rPr>
        <w:t>19</w:t>
      </w:r>
      <w:r w:rsidRPr="00A4312D">
        <w:rPr>
          <w:rFonts w:ascii="宋体" w:hAnsi="宋体" w:hint="eastAsia"/>
          <w:szCs w:val="21"/>
        </w:rPr>
        <w:t>日生效，自该日起，</w:t>
      </w:r>
      <w:r w:rsidRPr="00E555AD">
        <w:rPr>
          <w:rFonts w:ascii="宋体" w:hAnsi="宋体" w:hint="eastAsia"/>
          <w:szCs w:val="21"/>
        </w:rPr>
        <w:t>《</w:t>
      </w:r>
      <w:r w:rsidR="00B71D5C">
        <w:rPr>
          <w:rFonts w:ascii="宋体" w:hAnsi="宋体" w:hint="eastAsia"/>
          <w:szCs w:val="21"/>
        </w:rPr>
        <w:t>南方荣尊混合型证券投资基金</w:t>
      </w:r>
      <w:r w:rsidRPr="00E555AD">
        <w:rPr>
          <w:rFonts w:ascii="宋体" w:hAnsi="宋体" w:hint="eastAsia"/>
          <w:szCs w:val="21"/>
        </w:rPr>
        <w:t>基金合同》生效，本基金基金合同当事人将按照《</w:t>
      </w:r>
      <w:r w:rsidR="00B71D5C">
        <w:rPr>
          <w:rFonts w:ascii="宋体" w:hAnsi="宋体" w:hint="eastAsia"/>
          <w:szCs w:val="21"/>
        </w:rPr>
        <w:t>南方荣尊混合型证券投资基金</w:t>
      </w:r>
      <w:r w:rsidRPr="00E555AD">
        <w:rPr>
          <w:rFonts w:ascii="宋体" w:hAnsi="宋体" w:hint="eastAsia"/>
          <w:szCs w:val="21"/>
        </w:rPr>
        <w:t>基金合同》享有权利并承担义务</w:t>
      </w:r>
      <w:r w:rsidRPr="00A4312D">
        <w:rPr>
          <w:rFonts w:ascii="宋体" w:hAnsi="宋体" w:hint="eastAsia"/>
          <w:szCs w:val="21"/>
        </w:rPr>
        <w:t xml:space="preserve">。 </w:t>
      </w:r>
    </w:p>
    <w:p w14:paraId="6F33DC84" w14:textId="77777777" w:rsidR="00532CE5" w:rsidRPr="00E555AD" w:rsidRDefault="00532CE5" w:rsidP="00532CE5">
      <w:pPr>
        <w:widowControl/>
        <w:adjustRightInd w:val="0"/>
        <w:snapToGrid w:val="0"/>
        <w:spacing w:line="360" w:lineRule="auto"/>
        <w:ind w:firstLine="465"/>
        <w:jc w:val="left"/>
        <w:rPr>
          <w:rFonts w:ascii="宋体" w:hAnsi="宋体"/>
          <w:szCs w:val="21"/>
        </w:rPr>
      </w:pPr>
      <w:r>
        <w:rPr>
          <w:rFonts w:ascii="宋体" w:hAnsi="宋体"/>
          <w:szCs w:val="21"/>
        </w:rPr>
        <w:t>2</w:t>
      </w:r>
      <w:r>
        <w:rPr>
          <w:rFonts w:ascii="宋体" w:hAnsi="宋体" w:hint="eastAsia"/>
          <w:szCs w:val="21"/>
        </w:rPr>
        <w:t>、</w:t>
      </w:r>
      <w:r w:rsidRPr="00A4312D">
        <w:rPr>
          <w:rFonts w:ascii="宋体" w:hAnsi="宋体" w:hint="eastAsia"/>
          <w:szCs w:val="21"/>
        </w:rPr>
        <w:t>转型方案实施的安排</w:t>
      </w:r>
    </w:p>
    <w:p w14:paraId="339FACF7" w14:textId="4A8922CA" w:rsidR="00532CE5" w:rsidRDefault="00532CE5" w:rsidP="00532CE5">
      <w:pPr>
        <w:widowControl/>
        <w:adjustRightInd w:val="0"/>
        <w:snapToGrid w:val="0"/>
        <w:spacing w:line="360" w:lineRule="auto"/>
        <w:ind w:firstLine="465"/>
        <w:jc w:val="left"/>
        <w:rPr>
          <w:rFonts w:ascii="宋体" w:hAnsi="宋体"/>
          <w:szCs w:val="21"/>
        </w:rPr>
      </w:pPr>
      <w:r w:rsidRPr="00A4312D">
        <w:rPr>
          <w:rFonts w:ascii="宋体" w:hAnsi="宋体" w:hint="eastAsia"/>
          <w:szCs w:val="21"/>
        </w:rPr>
        <w:t>本次持有人大会决议生效后，本基金的选择期为</w:t>
      </w:r>
      <w:r w:rsidR="00C7525B">
        <w:rPr>
          <w:rFonts w:ascii="宋体" w:hAnsi="宋体"/>
          <w:szCs w:val="21"/>
        </w:rPr>
        <w:t>2020</w:t>
      </w:r>
      <w:r w:rsidRPr="00A4312D">
        <w:rPr>
          <w:rFonts w:ascii="宋体" w:hAnsi="宋体" w:hint="eastAsia"/>
          <w:szCs w:val="21"/>
        </w:rPr>
        <w:t>年</w:t>
      </w:r>
      <w:r w:rsidR="00C7525B">
        <w:rPr>
          <w:rFonts w:ascii="宋体" w:hAnsi="宋体"/>
          <w:szCs w:val="21"/>
        </w:rPr>
        <w:t>5</w:t>
      </w:r>
      <w:r w:rsidRPr="00A4312D">
        <w:rPr>
          <w:rFonts w:ascii="宋体" w:hAnsi="宋体" w:hint="eastAsia"/>
          <w:szCs w:val="21"/>
        </w:rPr>
        <w:t>月</w:t>
      </w:r>
      <w:r w:rsidR="00C7525B">
        <w:rPr>
          <w:rFonts w:ascii="宋体" w:hAnsi="宋体" w:hint="eastAsia"/>
          <w:szCs w:val="21"/>
        </w:rPr>
        <w:t>22</w:t>
      </w:r>
      <w:r w:rsidRPr="00A4312D">
        <w:rPr>
          <w:rFonts w:ascii="宋体" w:hAnsi="宋体" w:hint="eastAsia"/>
          <w:szCs w:val="21"/>
        </w:rPr>
        <w:t>日至</w:t>
      </w:r>
      <w:r w:rsidR="00C7525B">
        <w:rPr>
          <w:rFonts w:ascii="宋体" w:hAnsi="宋体"/>
          <w:szCs w:val="21"/>
        </w:rPr>
        <w:t>2020</w:t>
      </w:r>
      <w:r w:rsidRPr="00A4312D">
        <w:rPr>
          <w:rFonts w:ascii="宋体" w:hAnsi="宋体" w:hint="eastAsia"/>
          <w:szCs w:val="21"/>
        </w:rPr>
        <w:t>年</w:t>
      </w:r>
      <w:r w:rsidR="00C7525B">
        <w:rPr>
          <w:rFonts w:ascii="宋体" w:hAnsi="宋体"/>
          <w:szCs w:val="21"/>
        </w:rPr>
        <w:t>6</w:t>
      </w:r>
      <w:r w:rsidRPr="00A4312D">
        <w:rPr>
          <w:rFonts w:ascii="宋体" w:hAnsi="宋体" w:hint="eastAsia"/>
          <w:szCs w:val="21"/>
        </w:rPr>
        <w:t>月</w:t>
      </w:r>
      <w:r w:rsidR="00C7525B">
        <w:rPr>
          <w:rFonts w:ascii="宋体" w:hAnsi="宋体"/>
          <w:szCs w:val="21"/>
        </w:rPr>
        <w:t>18</w:t>
      </w:r>
      <w:r w:rsidRPr="00A4312D">
        <w:rPr>
          <w:rFonts w:ascii="宋体" w:hAnsi="宋体" w:hint="eastAsia"/>
          <w:szCs w:val="21"/>
        </w:rPr>
        <w:t>日。选择期期间，</w:t>
      </w:r>
      <w:r>
        <w:rPr>
          <w:rFonts w:ascii="宋体" w:hAnsi="宋体" w:hint="eastAsia"/>
          <w:szCs w:val="21"/>
        </w:rPr>
        <w:t>投资人可以办理基金份额的</w:t>
      </w:r>
      <w:r w:rsidR="001D66C8">
        <w:rPr>
          <w:rFonts w:ascii="宋体" w:hAnsi="宋体" w:hint="eastAsia"/>
          <w:szCs w:val="21"/>
        </w:rPr>
        <w:t>申购、</w:t>
      </w:r>
      <w:r w:rsidRPr="00E252DB">
        <w:rPr>
          <w:rFonts w:ascii="宋体" w:hAnsi="宋体" w:hint="eastAsia"/>
          <w:szCs w:val="21"/>
        </w:rPr>
        <w:t>赎回</w:t>
      </w:r>
      <w:r>
        <w:rPr>
          <w:rFonts w:ascii="宋体" w:hAnsi="宋体" w:hint="eastAsia"/>
          <w:szCs w:val="21"/>
        </w:rPr>
        <w:t>与转换业务</w:t>
      </w:r>
      <w:r w:rsidRPr="00E252DB">
        <w:rPr>
          <w:rFonts w:ascii="宋体" w:hAnsi="宋体" w:hint="eastAsia"/>
          <w:szCs w:val="21"/>
        </w:rPr>
        <w:t>，</w:t>
      </w:r>
      <w:r w:rsidRPr="00A4312D">
        <w:rPr>
          <w:rFonts w:ascii="宋体" w:hAnsi="宋体" w:hint="eastAsia"/>
          <w:szCs w:val="21"/>
        </w:rPr>
        <w:t>原基金份额持有人可以将持有的部分基金份额或全部基金份额赎回或转换转出。</w:t>
      </w:r>
      <w:r w:rsidR="003923CE">
        <w:rPr>
          <w:rFonts w:ascii="宋体" w:hAnsi="宋体" w:hint="eastAsia"/>
          <w:szCs w:val="21"/>
        </w:rPr>
        <w:t>此外，</w:t>
      </w:r>
      <w:r w:rsidR="005874EE">
        <w:rPr>
          <w:rFonts w:ascii="宋体" w:hAnsi="宋体" w:hint="eastAsia"/>
          <w:szCs w:val="21"/>
        </w:rPr>
        <w:t>在选择期</w:t>
      </w:r>
      <w:r w:rsidR="0029275F">
        <w:rPr>
          <w:rFonts w:ascii="宋体" w:hAnsi="宋体" w:hint="eastAsia"/>
          <w:szCs w:val="21"/>
        </w:rPr>
        <w:t>内</w:t>
      </w:r>
      <w:r w:rsidR="005874EE">
        <w:rPr>
          <w:rFonts w:ascii="宋体" w:hAnsi="宋体" w:hint="eastAsia"/>
          <w:szCs w:val="21"/>
        </w:rPr>
        <w:t>，</w:t>
      </w:r>
      <w:r w:rsidR="003923CE">
        <w:rPr>
          <w:rFonts w:ascii="宋体" w:hAnsi="宋体"/>
          <w:szCs w:val="21"/>
        </w:rPr>
        <w:t>根据</w:t>
      </w:r>
      <w:r w:rsidR="003923CE" w:rsidRPr="00E555AD">
        <w:rPr>
          <w:rFonts w:ascii="宋体" w:hAnsi="宋体" w:hint="eastAsia"/>
          <w:szCs w:val="21"/>
        </w:rPr>
        <w:t>《</w:t>
      </w:r>
      <w:r w:rsidR="003923CE">
        <w:rPr>
          <w:rFonts w:ascii="宋体" w:hAnsi="宋体" w:hint="eastAsia"/>
          <w:szCs w:val="21"/>
        </w:rPr>
        <w:t>南方荣尊定期开放混合型证券投资基金</w:t>
      </w:r>
      <w:r w:rsidR="003923CE" w:rsidRPr="00E555AD">
        <w:rPr>
          <w:rFonts w:ascii="宋体" w:hAnsi="宋体" w:hint="eastAsia"/>
          <w:szCs w:val="21"/>
        </w:rPr>
        <w:t>基金合同》</w:t>
      </w:r>
      <w:r w:rsidR="003923CE">
        <w:rPr>
          <w:rFonts w:ascii="宋体" w:hAnsi="宋体" w:hint="eastAsia"/>
          <w:szCs w:val="21"/>
        </w:rPr>
        <w:t>约定，</w:t>
      </w:r>
      <w:r w:rsidR="00E40492" w:rsidRPr="00E40492">
        <w:rPr>
          <w:rFonts w:ascii="宋体" w:hAnsi="宋体" w:hint="eastAsia"/>
          <w:szCs w:val="21"/>
        </w:rPr>
        <w:t>本基金</w:t>
      </w:r>
      <w:r w:rsidR="005874EE">
        <w:rPr>
          <w:rFonts w:ascii="宋体" w:hAnsi="宋体" w:hint="eastAsia"/>
          <w:szCs w:val="21"/>
        </w:rPr>
        <w:t>仍</w:t>
      </w:r>
      <w:r w:rsidR="00E40492" w:rsidRPr="00E40492">
        <w:rPr>
          <w:rFonts w:ascii="宋体" w:hAnsi="宋体" w:hint="eastAsia"/>
          <w:szCs w:val="21"/>
        </w:rPr>
        <w:t>为定期开放基金，</w:t>
      </w:r>
      <w:r w:rsidR="005874EE">
        <w:rPr>
          <w:rFonts w:ascii="宋体" w:hAnsi="宋体" w:hint="eastAsia"/>
          <w:szCs w:val="21"/>
        </w:rPr>
        <w:t>并</w:t>
      </w:r>
      <w:r w:rsidR="003923CE">
        <w:rPr>
          <w:rFonts w:ascii="宋体" w:hAnsi="宋体" w:hint="eastAsia"/>
          <w:szCs w:val="21"/>
        </w:rPr>
        <w:t>将自2020年5月22日起进入开放期</w:t>
      </w:r>
      <w:r w:rsidR="005874EE">
        <w:rPr>
          <w:rFonts w:ascii="宋体" w:hAnsi="宋体" w:hint="eastAsia"/>
          <w:szCs w:val="21"/>
        </w:rPr>
        <w:t>。</w:t>
      </w:r>
      <w:r w:rsidR="0029275F">
        <w:rPr>
          <w:rFonts w:ascii="宋体" w:hAnsi="宋体" w:hint="eastAsia"/>
          <w:szCs w:val="21"/>
        </w:rPr>
        <w:t>本基金</w:t>
      </w:r>
      <w:r w:rsidR="005874EE" w:rsidRPr="005874EE">
        <w:rPr>
          <w:rFonts w:ascii="宋体" w:hAnsi="宋体" w:hint="eastAsia"/>
          <w:szCs w:val="21"/>
        </w:rPr>
        <w:t>本个开放期时间为2020年5月22日至2020年6月18日，开放期工作日的交易时间，本基金接受投资人的申购、赎回和转换申请。</w:t>
      </w:r>
      <w:r w:rsidRPr="00A4312D">
        <w:rPr>
          <w:rFonts w:ascii="宋体" w:hAnsi="宋体" w:hint="eastAsia"/>
          <w:szCs w:val="21"/>
        </w:rPr>
        <w:t>对于在</w:t>
      </w:r>
      <w:r w:rsidR="001E001C" w:rsidRPr="005874EE">
        <w:rPr>
          <w:rFonts w:ascii="宋体" w:hAnsi="宋体" w:hint="eastAsia"/>
          <w:szCs w:val="21"/>
        </w:rPr>
        <w:t>2020年5月22日至2020年6月18日</w:t>
      </w:r>
      <w:r w:rsidR="001E001C">
        <w:rPr>
          <w:rFonts w:ascii="宋体" w:hAnsi="宋体" w:hint="eastAsia"/>
          <w:szCs w:val="21"/>
        </w:rPr>
        <w:t>期间</w:t>
      </w:r>
      <w:r w:rsidR="00FE16F3">
        <w:rPr>
          <w:rFonts w:ascii="宋体" w:hAnsi="宋体" w:hint="eastAsia"/>
          <w:szCs w:val="21"/>
        </w:rPr>
        <w:t>申购成功或</w:t>
      </w:r>
      <w:r w:rsidRPr="00A4312D">
        <w:rPr>
          <w:rFonts w:ascii="宋体" w:hAnsi="宋体" w:hint="eastAsia"/>
          <w:szCs w:val="21"/>
        </w:rPr>
        <w:t>未申请赎回的基金份额将于</w:t>
      </w:r>
      <w:r w:rsidR="00CB1384">
        <w:rPr>
          <w:rFonts w:ascii="宋体" w:hAnsi="宋体"/>
          <w:szCs w:val="21"/>
        </w:rPr>
        <w:t>2020</w:t>
      </w:r>
      <w:r w:rsidRPr="00A4312D">
        <w:rPr>
          <w:rFonts w:ascii="宋体" w:hAnsi="宋体" w:hint="eastAsia"/>
          <w:szCs w:val="21"/>
        </w:rPr>
        <w:t>年</w:t>
      </w:r>
      <w:r w:rsidR="00CB1384">
        <w:rPr>
          <w:rFonts w:ascii="宋体" w:hAnsi="宋体"/>
          <w:szCs w:val="21"/>
        </w:rPr>
        <w:t>6</w:t>
      </w:r>
      <w:r w:rsidRPr="00A4312D">
        <w:rPr>
          <w:rFonts w:ascii="宋体" w:hAnsi="宋体" w:hint="eastAsia"/>
          <w:szCs w:val="21"/>
        </w:rPr>
        <w:t>月</w:t>
      </w:r>
      <w:r w:rsidR="00CB1384">
        <w:rPr>
          <w:rFonts w:ascii="宋体" w:hAnsi="宋体"/>
          <w:szCs w:val="21"/>
        </w:rPr>
        <w:t>19</w:t>
      </w:r>
      <w:r w:rsidRPr="00A4312D">
        <w:rPr>
          <w:rFonts w:ascii="宋体" w:hAnsi="宋体" w:hint="eastAsia"/>
          <w:szCs w:val="21"/>
        </w:rPr>
        <w:t>日起自动变更为转型后的基金份额。</w:t>
      </w:r>
    </w:p>
    <w:p w14:paraId="0FBB40B2" w14:textId="0B5DE769" w:rsidR="00532CE5" w:rsidRDefault="00532CE5" w:rsidP="00532CE5">
      <w:pPr>
        <w:widowControl/>
        <w:adjustRightInd w:val="0"/>
        <w:snapToGrid w:val="0"/>
        <w:spacing w:line="360" w:lineRule="auto"/>
        <w:ind w:firstLine="465"/>
        <w:jc w:val="left"/>
        <w:rPr>
          <w:rFonts w:ascii="宋体" w:hAnsi="宋体"/>
          <w:szCs w:val="21"/>
        </w:rPr>
      </w:pPr>
      <w:r w:rsidRPr="00C750E2">
        <w:rPr>
          <w:rFonts w:ascii="宋体" w:hAnsi="宋体" w:hint="eastAsia"/>
          <w:szCs w:val="21"/>
        </w:rPr>
        <w:t>转型后的基金名称将变更为</w:t>
      </w:r>
      <w:r w:rsidR="00B71D5C">
        <w:rPr>
          <w:rFonts w:ascii="宋体" w:hAnsi="宋体" w:hint="eastAsia"/>
          <w:szCs w:val="21"/>
        </w:rPr>
        <w:t>南方荣尊混合型证券投资基金</w:t>
      </w:r>
      <w:r w:rsidRPr="00C750E2">
        <w:rPr>
          <w:rFonts w:ascii="宋体" w:hAnsi="宋体" w:hint="eastAsia"/>
          <w:szCs w:val="21"/>
        </w:rPr>
        <w:t>，基金简称和基金代码不变（</w:t>
      </w:r>
      <w:r>
        <w:rPr>
          <w:rFonts w:ascii="宋体" w:hAnsi="宋体" w:hint="eastAsia"/>
          <w:szCs w:val="21"/>
        </w:rPr>
        <w:t>南方</w:t>
      </w:r>
      <w:r w:rsidR="009466AC">
        <w:rPr>
          <w:rFonts w:ascii="宋体" w:hAnsi="宋体" w:hint="eastAsia"/>
          <w:szCs w:val="21"/>
        </w:rPr>
        <w:t>荣尊</w:t>
      </w:r>
      <w:r>
        <w:rPr>
          <w:rFonts w:ascii="宋体" w:hAnsi="宋体" w:hint="eastAsia"/>
          <w:szCs w:val="21"/>
        </w:rPr>
        <w:t>A：</w:t>
      </w:r>
      <w:r w:rsidRPr="003D3391">
        <w:rPr>
          <w:rFonts w:ascii="宋体" w:hAnsi="宋体"/>
          <w:szCs w:val="21"/>
        </w:rPr>
        <w:t>00</w:t>
      </w:r>
      <w:r w:rsidR="00145263">
        <w:rPr>
          <w:rFonts w:ascii="宋体" w:hAnsi="宋体"/>
          <w:szCs w:val="21"/>
        </w:rPr>
        <w:t>3938</w:t>
      </w:r>
      <w:r>
        <w:rPr>
          <w:rFonts w:ascii="宋体" w:hAnsi="宋体" w:hint="eastAsia"/>
          <w:szCs w:val="21"/>
        </w:rPr>
        <w:t>；</w:t>
      </w:r>
      <w:r>
        <w:rPr>
          <w:rFonts w:ascii="宋体" w:hAnsi="宋体"/>
          <w:szCs w:val="21"/>
        </w:rPr>
        <w:t>南方</w:t>
      </w:r>
      <w:r w:rsidR="009466AC">
        <w:rPr>
          <w:rFonts w:ascii="宋体" w:hAnsi="宋体" w:hint="eastAsia"/>
          <w:szCs w:val="21"/>
        </w:rPr>
        <w:t>荣尊</w:t>
      </w:r>
      <w:r>
        <w:rPr>
          <w:rFonts w:ascii="宋体" w:hAnsi="宋体" w:hint="eastAsia"/>
          <w:szCs w:val="21"/>
        </w:rPr>
        <w:t>C：00</w:t>
      </w:r>
      <w:r w:rsidR="00145263">
        <w:rPr>
          <w:rFonts w:ascii="宋体" w:hAnsi="宋体"/>
          <w:szCs w:val="21"/>
        </w:rPr>
        <w:t>3939</w:t>
      </w:r>
      <w:r>
        <w:rPr>
          <w:rFonts w:ascii="宋体" w:hAnsi="宋体" w:hint="eastAsia"/>
          <w:szCs w:val="21"/>
        </w:rPr>
        <w:t>）</w:t>
      </w:r>
      <w:r w:rsidRPr="00C750E2">
        <w:rPr>
          <w:rFonts w:ascii="宋体" w:hAnsi="宋体" w:hint="eastAsia"/>
          <w:szCs w:val="21"/>
        </w:rPr>
        <w:t>。</w:t>
      </w:r>
    </w:p>
    <w:p w14:paraId="1DADB2A6" w14:textId="055E0C02" w:rsidR="00532CE5" w:rsidRDefault="00532CE5" w:rsidP="00532CE5">
      <w:pPr>
        <w:widowControl/>
        <w:adjustRightInd w:val="0"/>
        <w:snapToGrid w:val="0"/>
        <w:spacing w:line="360" w:lineRule="auto"/>
        <w:ind w:firstLine="420"/>
        <w:jc w:val="left"/>
        <w:rPr>
          <w:rFonts w:ascii="宋体" w:hAnsi="宋体"/>
          <w:szCs w:val="21"/>
        </w:rPr>
      </w:pPr>
      <w:r w:rsidRPr="00F8322E">
        <w:rPr>
          <w:rFonts w:ascii="宋体" w:hAnsi="宋体" w:hint="eastAsia"/>
          <w:szCs w:val="21"/>
        </w:rPr>
        <w:t>在</w:t>
      </w:r>
      <w:r w:rsidR="003A7EB7" w:rsidRPr="005874EE">
        <w:rPr>
          <w:rFonts w:ascii="宋体" w:hAnsi="宋体" w:hint="eastAsia"/>
          <w:szCs w:val="21"/>
        </w:rPr>
        <w:t>2020年5月22日至2020年6月18日</w:t>
      </w:r>
      <w:r w:rsidR="003A7EB7">
        <w:rPr>
          <w:rFonts w:ascii="宋体" w:hAnsi="宋体" w:hint="eastAsia"/>
          <w:szCs w:val="21"/>
        </w:rPr>
        <w:t>期间</w:t>
      </w:r>
      <w:r w:rsidRPr="00F8322E">
        <w:rPr>
          <w:rFonts w:ascii="宋体" w:hAnsi="宋体" w:hint="eastAsia"/>
          <w:szCs w:val="21"/>
        </w:rPr>
        <w:t>，投资人选择</w:t>
      </w:r>
      <w:r w:rsidR="00A04961">
        <w:rPr>
          <w:rFonts w:ascii="宋体" w:hAnsi="宋体" w:hint="eastAsia"/>
          <w:szCs w:val="21"/>
        </w:rPr>
        <w:t>申购、</w:t>
      </w:r>
      <w:r w:rsidRPr="00F8322E">
        <w:rPr>
          <w:rFonts w:ascii="宋体" w:hAnsi="宋体" w:hint="eastAsia"/>
          <w:szCs w:val="21"/>
        </w:rPr>
        <w:t>赎回或转换的，费率及相关业务规则按照转型前的《</w:t>
      </w:r>
      <w:r w:rsidR="008B2538">
        <w:rPr>
          <w:rFonts w:ascii="宋体" w:hAnsi="宋体" w:hint="eastAsia"/>
          <w:szCs w:val="21"/>
        </w:rPr>
        <w:t>南方荣尊定期开放混合型证券投资基金</w:t>
      </w:r>
      <w:r w:rsidRPr="00F8322E">
        <w:rPr>
          <w:rFonts w:ascii="宋体" w:hAnsi="宋体" w:hint="eastAsia"/>
          <w:szCs w:val="21"/>
        </w:rPr>
        <w:t>招募说明书》的约定执行。</w:t>
      </w:r>
    </w:p>
    <w:p w14:paraId="6AC94A18" w14:textId="7BF7646A" w:rsidR="002B7DB9" w:rsidRDefault="002B7DB9" w:rsidP="00532CE5">
      <w:pPr>
        <w:widowControl/>
        <w:adjustRightInd w:val="0"/>
        <w:snapToGrid w:val="0"/>
        <w:spacing w:line="360" w:lineRule="auto"/>
        <w:ind w:firstLine="420"/>
        <w:jc w:val="left"/>
        <w:rPr>
          <w:rFonts w:ascii="宋体" w:hAnsi="宋体"/>
          <w:szCs w:val="21"/>
        </w:rPr>
      </w:pPr>
      <w:r>
        <w:rPr>
          <w:rFonts w:ascii="宋体" w:hAnsi="宋体" w:hint="eastAsia"/>
          <w:szCs w:val="21"/>
        </w:rPr>
        <w:t>3、</w:t>
      </w:r>
      <w:r>
        <w:rPr>
          <w:rFonts w:ascii="宋体" w:hAnsi="宋体"/>
          <w:szCs w:val="21"/>
        </w:rPr>
        <w:t>转型后</w:t>
      </w:r>
      <w:r>
        <w:rPr>
          <w:rFonts w:ascii="宋体" w:hAnsi="宋体" w:hint="eastAsia"/>
          <w:szCs w:val="21"/>
        </w:rPr>
        <w:t>申购、</w:t>
      </w:r>
      <w:r>
        <w:rPr>
          <w:rFonts w:ascii="宋体" w:hAnsi="宋体"/>
          <w:szCs w:val="21"/>
        </w:rPr>
        <w:t>赎回</w:t>
      </w:r>
      <w:r>
        <w:rPr>
          <w:rFonts w:ascii="宋体" w:hAnsi="宋体" w:hint="eastAsia"/>
          <w:szCs w:val="21"/>
        </w:rPr>
        <w:t>等业务的安排</w:t>
      </w:r>
    </w:p>
    <w:p w14:paraId="5CD437D5" w14:textId="79C2D06D" w:rsidR="002B7DB9" w:rsidRPr="002B7DB9" w:rsidRDefault="002B7DB9" w:rsidP="00532CE5">
      <w:pPr>
        <w:widowControl/>
        <w:adjustRightInd w:val="0"/>
        <w:snapToGrid w:val="0"/>
        <w:spacing w:line="360" w:lineRule="auto"/>
        <w:ind w:firstLine="420"/>
        <w:jc w:val="left"/>
        <w:rPr>
          <w:rFonts w:ascii="宋体" w:hAnsi="宋体"/>
          <w:szCs w:val="21"/>
        </w:rPr>
      </w:pPr>
      <w:r w:rsidRPr="002B7DB9">
        <w:rPr>
          <w:rFonts w:ascii="宋体" w:hAnsi="宋体" w:hint="eastAsia"/>
          <w:szCs w:val="21"/>
        </w:rPr>
        <w:t>《南方荣尊混合型证券投资基金基金合同》生效</w:t>
      </w:r>
      <w:r>
        <w:rPr>
          <w:rFonts w:ascii="宋体" w:hAnsi="宋体" w:hint="eastAsia"/>
          <w:szCs w:val="21"/>
        </w:rPr>
        <w:t>之日（</w:t>
      </w:r>
      <w:r>
        <w:rPr>
          <w:rFonts w:ascii="宋体" w:hAnsi="宋体"/>
          <w:szCs w:val="21"/>
        </w:rPr>
        <w:t>即</w:t>
      </w:r>
      <w:r>
        <w:rPr>
          <w:rFonts w:ascii="宋体" w:hAnsi="宋体" w:hint="eastAsia"/>
          <w:szCs w:val="21"/>
        </w:rPr>
        <w:t>2020年6月19日）</w:t>
      </w:r>
      <w:r>
        <w:rPr>
          <w:rFonts w:ascii="宋体" w:hAnsi="宋体"/>
          <w:szCs w:val="21"/>
        </w:rPr>
        <w:t>起</w:t>
      </w:r>
      <w:r>
        <w:rPr>
          <w:rFonts w:ascii="宋体" w:hAnsi="宋体" w:hint="eastAsia"/>
          <w:szCs w:val="21"/>
        </w:rPr>
        <w:t>，</w:t>
      </w:r>
      <w:r w:rsidRPr="002B7DB9">
        <w:rPr>
          <w:rFonts w:ascii="宋体" w:hAnsi="宋体" w:hint="eastAsia"/>
          <w:szCs w:val="21"/>
        </w:rPr>
        <w:t>南方荣尊混合型证券投资基金</w:t>
      </w:r>
      <w:r>
        <w:rPr>
          <w:rFonts w:ascii="宋体" w:hAnsi="宋体" w:hint="eastAsia"/>
          <w:szCs w:val="21"/>
        </w:rPr>
        <w:t>的申购、</w:t>
      </w:r>
      <w:r>
        <w:rPr>
          <w:rFonts w:ascii="宋体" w:hAnsi="宋体"/>
          <w:szCs w:val="21"/>
        </w:rPr>
        <w:t>赎回</w:t>
      </w:r>
      <w:r>
        <w:rPr>
          <w:rFonts w:ascii="宋体" w:hAnsi="宋体" w:hint="eastAsia"/>
          <w:szCs w:val="21"/>
        </w:rPr>
        <w:t>和转换业务将继续开放，</w:t>
      </w:r>
      <w:r w:rsidR="00764D7B">
        <w:rPr>
          <w:rFonts w:ascii="宋体" w:hAnsi="宋体" w:hint="eastAsia"/>
          <w:szCs w:val="21"/>
        </w:rPr>
        <w:t>费率及相关业务规则按照转型后</w:t>
      </w:r>
      <w:r w:rsidR="00C17EE5" w:rsidRPr="00C17EE5">
        <w:rPr>
          <w:rFonts w:ascii="宋体" w:hAnsi="宋体" w:hint="eastAsia"/>
          <w:szCs w:val="21"/>
        </w:rPr>
        <w:t>的《南方荣尊混合型证券投资基金招募说明书》的约定执行</w:t>
      </w:r>
      <w:r w:rsidR="00C17EE5">
        <w:rPr>
          <w:rFonts w:ascii="宋体" w:hAnsi="宋体" w:hint="eastAsia"/>
          <w:szCs w:val="21"/>
        </w:rPr>
        <w:t>，</w:t>
      </w:r>
      <w:r>
        <w:rPr>
          <w:rFonts w:ascii="宋体" w:hAnsi="宋体" w:hint="eastAsia"/>
          <w:szCs w:val="21"/>
        </w:rPr>
        <w:t>并自</w:t>
      </w:r>
      <w:r w:rsidRPr="002B7DB9">
        <w:rPr>
          <w:rFonts w:ascii="宋体" w:hAnsi="宋体" w:hint="eastAsia"/>
          <w:szCs w:val="21"/>
        </w:rPr>
        <w:t>《南方荣尊混合型证券投资基金基金合同》</w:t>
      </w:r>
      <w:r>
        <w:rPr>
          <w:rFonts w:ascii="宋体" w:hAnsi="宋体" w:hint="eastAsia"/>
          <w:szCs w:val="21"/>
        </w:rPr>
        <w:t>生效之日起不超过3个月开始办理定投等相关业务，</w:t>
      </w:r>
      <w:r w:rsidR="009716D0">
        <w:rPr>
          <w:rFonts w:ascii="宋体" w:hAnsi="宋体" w:hint="eastAsia"/>
          <w:szCs w:val="21"/>
        </w:rPr>
        <w:t>具体业务的办理时间和安排将另行公告。</w:t>
      </w:r>
    </w:p>
    <w:p w14:paraId="0EC3759A" w14:textId="77777777" w:rsidR="00AB53C9" w:rsidRPr="00AB53C9" w:rsidRDefault="00AB53C9" w:rsidP="00F20E89">
      <w:pPr>
        <w:adjustRightInd w:val="0"/>
        <w:snapToGrid w:val="0"/>
        <w:spacing w:line="360" w:lineRule="auto"/>
        <w:ind w:firstLineChars="200" w:firstLine="422"/>
        <w:outlineLvl w:val="0"/>
        <w:rPr>
          <w:rFonts w:ascii="宋体" w:hAnsi="宋体"/>
          <w:b/>
          <w:bCs/>
          <w:szCs w:val="21"/>
        </w:rPr>
      </w:pPr>
      <w:r w:rsidRPr="00AB53C9">
        <w:rPr>
          <w:rFonts w:ascii="宋体" w:hAnsi="宋体" w:hint="eastAsia"/>
          <w:b/>
          <w:bCs/>
          <w:szCs w:val="21"/>
        </w:rPr>
        <w:lastRenderedPageBreak/>
        <w:t>四、备查文件</w:t>
      </w:r>
    </w:p>
    <w:p w14:paraId="7B834C3D" w14:textId="0E87FE75" w:rsidR="00AB53C9" w:rsidRDefault="00AB53C9" w:rsidP="00F20E89">
      <w:pPr>
        <w:adjustRightInd w:val="0"/>
        <w:snapToGrid w:val="0"/>
        <w:spacing w:line="360" w:lineRule="auto"/>
        <w:ind w:firstLineChars="200" w:firstLine="420"/>
        <w:rPr>
          <w:rFonts w:ascii="宋体" w:hAnsi="宋体"/>
          <w:bCs/>
          <w:szCs w:val="21"/>
        </w:rPr>
      </w:pPr>
      <w:r w:rsidRPr="00AB53C9">
        <w:rPr>
          <w:rFonts w:ascii="宋体" w:hAnsi="宋体" w:hint="eastAsia"/>
          <w:bCs/>
          <w:szCs w:val="21"/>
        </w:rPr>
        <w:t>1、《</w:t>
      </w:r>
      <w:r w:rsidR="000D29DF" w:rsidRPr="008F7200">
        <w:rPr>
          <w:rFonts w:ascii="宋体" w:hAnsi="宋体"/>
          <w:szCs w:val="21"/>
        </w:rPr>
        <w:t>南方基金管理</w:t>
      </w:r>
      <w:r w:rsidR="000D29DF">
        <w:rPr>
          <w:rFonts w:ascii="宋体" w:hAnsi="宋体" w:hint="eastAsia"/>
          <w:szCs w:val="21"/>
        </w:rPr>
        <w:t>股份</w:t>
      </w:r>
      <w:r w:rsidR="000D29DF" w:rsidRPr="008F7200">
        <w:rPr>
          <w:rFonts w:ascii="宋体" w:hAnsi="宋体"/>
          <w:szCs w:val="21"/>
        </w:rPr>
        <w:t>有限公司关于以通讯方式召开</w:t>
      </w:r>
      <w:r w:rsidR="00F34EED">
        <w:rPr>
          <w:rFonts w:ascii="宋体" w:hAnsi="宋体" w:hint="eastAsia"/>
          <w:szCs w:val="21"/>
        </w:rPr>
        <w:t>南方荣尊定期开放混合型证券投资基金</w:t>
      </w:r>
      <w:r w:rsidR="000D29DF" w:rsidRPr="008F7200">
        <w:rPr>
          <w:rFonts w:ascii="宋体" w:hAnsi="宋体"/>
          <w:szCs w:val="21"/>
        </w:rPr>
        <w:t>基金份额持有人大会</w:t>
      </w:r>
      <w:r w:rsidR="000D29DF">
        <w:rPr>
          <w:rFonts w:ascii="宋体" w:hAnsi="宋体" w:hint="eastAsia"/>
          <w:szCs w:val="21"/>
        </w:rPr>
        <w:t>的</w:t>
      </w:r>
      <w:r w:rsidR="000D29DF" w:rsidRPr="008F7200">
        <w:rPr>
          <w:rFonts w:ascii="宋体" w:hAnsi="宋体"/>
          <w:szCs w:val="21"/>
        </w:rPr>
        <w:t>公告</w:t>
      </w:r>
      <w:r w:rsidR="00AD7419">
        <w:rPr>
          <w:rFonts w:ascii="宋体" w:hAnsi="宋体" w:hint="eastAsia"/>
          <w:bCs/>
          <w:szCs w:val="21"/>
        </w:rPr>
        <w:t>》</w:t>
      </w:r>
    </w:p>
    <w:p w14:paraId="398CDFFF" w14:textId="6D56B108" w:rsidR="000D0191" w:rsidRDefault="006B6208" w:rsidP="00613478">
      <w:pPr>
        <w:adjustRightInd w:val="0"/>
        <w:snapToGrid w:val="0"/>
        <w:spacing w:line="360" w:lineRule="auto"/>
        <w:ind w:left="60" w:firstLineChars="200" w:firstLine="420"/>
        <w:rPr>
          <w:rFonts w:ascii="宋体" w:hAnsi="宋体"/>
          <w:bCs/>
          <w:szCs w:val="21"/>
        </w:rPr>
      </w:pPr>
      <w:r>
        <w:rPr>
          <w:rFonts w:ascii="宋体" w:hAnsi="宋体" w:hint="eastAsia"/>
          <w:bCs/>
          <w:szCs w:val="21"/>
        </w:rPr>
        <w:t>2、</w:t>
      </w:r>
      <w:r w:rsidR="00AB53C9" w:rsidRPr="00AB53C9">
        <w:rPr>
          <w:rFonts w:ascii="宋体" w:hAnsi="宋体" w:hint="eastAsia"/>
          <w:bCs/>
          <w:szCs w:val="21"/>
        </w:rPr>
        <w:t>《公证书》</w:t>
      </w:r>
    </w:p>
    <w:p w14:paraId="025EF661" w14:textId="77777777" w:rsidR="005A7E0F" w:rsidRDefault="005A7E0F" w:rsidP="00F20E89">
      <w:pPr>
        <w:widowControl/>
        <w:adjustRightInd w:val="0"/>
        <w:snapToGrid w:val="0"/>
        <w:spacing w:line="360" w:lineRule="auto"/>
        <w:ind w:firstLine="480"/>
        <w:jc w:val="left"/>
        <w:rPr>
          <w:rFonts w:ascii="宋体" w:hAnsi="宋体"/>
          <w:bCs/>
          <w:szCs w:val="21"/>
        </w:rPr>
      </w:pPr>
    </w:p>
    <w:p w14:paraId="226F5F50" w14:textId="47C8EDFE" w:rsidR="000D0191" w:rsidRDefault="00AB53C9" w:rsidP="00F20E89">
      <w:pPr>
        <w:widowControl/>
        <w:adjustRightInd w:val="0"/>
        <w:snapToGrid w:val="0"/>
        <w:spacing w:line="360" w:lineRule="auto"/>
        <w:ind w:firstLine="480"/>
        <w:jc w:val="left"/>
        <w:rPr>
          <w:rFonts w:ascii="微软雅黑" w:eastAsia="微软雅黑" w:hAnsi="微软雅黑" w:cs="Arial"/>
          <w:color w:val="595757"/>
          <w:kern w:val="0"/>
          <w:szCs w:val="21"/>
        </w:rPr>
      </w:pPr>
      <w:r w:rsidRPr="00AB53C9">
        <w:rPr>
          <w:rFonts w:ascii="宋体" w:hAnsi="宋体" w:hint="eastAsia"/>
          <w:bCs/>
          <w:szCs w:val="21"/>
        </w:rPr>
        <w:t>特此公告。</w:t>
      </w:r>
      <w:r w:rsidRPr="00AB53C9">
        <w:rPr>
          <w:rFonts w:ascii="微软雅黑" w:eastAsia="微软雅黑" w:hAnsi="微软雅黑" w:cs="Arial" w:hint="eastAsia"/>
          <w:color w:val="595757"/>
          <w:kern w:val="0"/>
          <w:szCs w:val="21"/>
        </w:rPr>
        <w:t> </w:t>
      </w:r>
    </w:p>
    <w:p w14:paraId="58B0C7B3" w14:textId="77777777" w:rsidR="005A7E0F" w:rsidRDefault="005A7E0F" w:rsidP="00F20E89">
      <w:pPr>
        <w:widowControl/>
        <w:adjustRightInd w:val="0"/>
        <w:snapToGrid w:val="0"/>
        <w:spacing w:line="360" w:lineRule="auto"/>
        <w:ind w:firstLine="482"/>
        <w:jc w:val="right"/>
        <w:rPr>
          <w:rFonts w:ascii="宋体" w:hAnsi="宋体"/>
          <w:bCs/>
          <w:szCs w:val="21"/>
        </w:rPr>
      </w:pPr>
    </w:p>
    <w:p w14:paraId="25A84A52" w14:textId="009B163D" w:rsidR="00AB53C9" w:rsidRPr="00AB53C9" w:rsidRDefault="00463EDF" w:rsidP="00F20E89">
      <w:pPr>
        <w:widowControl/>
        <w:adjustRightInd w:val="0"/>
        <w:snapToGrid w:val="0"/>
        <w:spacing w:line="360" w:lineRule="auto"/>
        <w:ind w:firstLine="482"/>
        <w:jc w:val="right"/>
        <w:rPr>
          <w:rFonts w:ascii="宋体" w:hAnsi="宋体"/>
          <w:bCs/>
          <w:szCs w:val="21"/>
        </w:rPr>
      </w:pPr>
      <w:r>
        <w:rPr>
          <w:rFonts w:ascii="宋体" w:hAnsi="宋体" w:hint="eastAsia"/>
          <w:bCs/>
          <w:szCs w:val="21"/>
        </w:rPr>
        <w:t>南方基金管理股份有限公司</w:t>
      </w:r>
    </w:p>
    <w:p w14:paraId="4437DF7D" w14:textId="79F96F06" w:rsidR="00AB53C9" w:rsidRDefault="00F0579D" w:rsidP="00F20E89">
      <w:pPr>
        <w:widowControl/>
        <w:adjustRightInd w:val="0"/>
        <w:snapToGrid w:val="0"/>
        <w:spacing w:line="360" w:lineRule="auto"/>
        <w:ind w:firstLine="482"/>
        <w:jc w:val="right"/>
        <w:rPr>
          <w:rFonts w:ascii="宋体" w:hAnsi="宋体"/>
          <w:bCs/>
          <w:szCs w:val="21"/>
        </w:rPr>
      </w:pPr>
      <w:r>
        <w:rPr>
          <w:rFonts w:ascii="宋体" w:hAnsi="宋体" w:hint="eastAsia"/>
          <w:bCs/>
          <w:szCs w:val="21"/>
        </w:rPr>
        <w:t>2020</w:t>
      </w:r>
      <w:r w:rsidR="00E97626" w:rsidRPr="00AB53C9">
        <w:rPr>
          <w:rFonts w:ascii="宋体" w:hAnsi="宋体" w:hint="eastAsia"/>
          <w:bCs/>
          <w:szCs w:val="21"/>
        </w:rPr>
        <w:t>年</w:t>
      </w:r>
      <w:r>
        <w:rPr>
          <w:rFonts w:ascii="宋体" w:hAnsi="宋体" w:hint="eastAsia"/>
          <w:bCs/>
          <w:szCs w:val="21"/>
        </w:rPr>
        <w:t>5</w:t>
      </w:r>
      <w:r w:rsidR="00CD1D80" w:rsidRPr="00AB53C9">
        <w:rPr>
          <w:rFonts w:ascii="宋体" w:hAnsi="宋体" w:hint="eastAsia"/>
          <w:bCs/>
          <w:szCs w:val="21"/>
        </w:rPr>
        <w:t>月</w:t>
      </w:r>
      <w:r>
        <w:rPr>
          <w:rFonts w:ascii="宋体" w:hAnsi="宋体" w:hint="eastAsia"/>
          <w:bCs/>
          <w:szCs w:val="21"/>
        </w:rPr>
        <w:t>22</w:t>
      </w:r>
      <w:r w:rsidR="00AB53C9" w:rsidRPr="00AB53C9">
        <w:rPr>
          <w:rFonts w:ascii="宋体" w:hAnsi="宋体" w:hint="eastAsia"/>
          <w:bCs/>
          <w:szCs w:val="21"/>
        </w:rPr>
        <w:t>日</w:t>
      </w:r>
    </w:p>
    <w:p w14:paraId="11BD884C" w14:textId="77777777" w:rsidR="002328D0" w:rsidRDefault="002328D0" w:rsidP="00284F5D">
      <w:pPr>
        <w:widowControl/>
        <w:adjustRightInd w:val="0"/>
        <w:snapToGrid w:val="0"/>
        <w:spacing w:line="360" w:lineRule="auto"/>
        <w:ind w:firstLine="482"/>
        <w:jc w:val="left"/>
        <w:rPr>
          <w:rFonts w:ascii="宋体" w:hAnsi="宋体"/>
          <w:bCs/>
          <w:szCs w:val="21"/>
        </w:rPr>
      </w:pPr>
    </w:p>
    <w:p w14:paraId="2E85A4FD" w14:textId="39F34CB4" w:rsidR="00FC00EC" w:rsidRDefault="00FC00EC">
      <w:pPr>
        <w:widowControl/>
        <w:jc w:val="left"/>
        <w:rPr>
          <w:rFonts w:ascii="宋体" w:hAnsi="宋体"/>
          <w:bCs/>
          <w:szCs w:val="21"/>
        </w:rPr>
      </w:pPr>
      <w:r>
        <w:rPr>
          <w:rFonts w:ascii="宋体" w:hAnsi="宋体"/>
          <w:bCs/>
          <w:szCs w:val="21"/>
        </w:rPr>
        <w:br w:type="page"/>
      </w:r>
    </w:p>
    <w:p w14:paraId="45D26B42" w14:textId="0761371A" w:rsidR="00FC00EC" w:rsidRDefault="00FB6C8D" w:rsidP="00284F5D">
      <w:pPr>
        <w:widowControl/>
        <w:adjustRightInd w:val="0"/>
        <w:snapToGrid w:val="0"/>
        <w:spacing w:line="360" w:lineRule="auto"/>
        <w:ind w:firstLine="482"/>
        <w:jc w:val="left"/>
        <w:rPr>
          <w:rFonts w:ascii="宋体" w:hAnsi="宋体"/>
          <w:bCs/>
          <w:szCs w:val="21"/>
        </w:rPr>
      </w:pPr>
      <w:bookmarkStart w:id="0" w:name="_GoBack"/>
      <w:bookmarkEnd w:id="0"/>
      <w:r>
        <w:rPr>
          <w:noProof/>
        </w:rPr>
        <w:lastRenderedPageBreak/>
        <w:drawing>
          <wp:anchor distT="0" distB="0" distL="114300" distR="114300" simplePos="0" relativeHeight="251659264" behindDoc="0" locked="0" layoutInCell="1" allowOverlap="1" wp14:anchorId="378BA621" wp14:editId="15148541">
            <wp:simplePos x="0" y="0"/>
            <wp:positionH relativeFrom="column">
              <wp:posOffset>-152400</wp:posOffset>
            </wp:positionH>
            <wp:positionV relativeFrom="paragraph">
              <wp:posOffset>219075</wp:posOffset>
            </wp:positionV>
            <wp:extent cx="5274310" cy="6958965"/>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274310" cy="6958965"/>
                    </a:xfrm>
                    <a:prstGeom prst="rect">
                      <a:avLst/>
                    </a:prstGeom>
                  </pic:spPr>
                </pic:pic>
              </a:graphicData>
            </a:graphic>
          </wp:anchor>
        </w:drawing>
      </w:r>
    </w:p>
    <w:p w14:paraId="724E3A56" w14:textId="77777777" w:rsidR="00FC00EC" w:rsidRDefault="00FC00EC">
      <w:pPr>
        <w:widowControl/>
        <w:jc w:val="left"/>
        <w:rPr>
          <w:rFonts w:ascii="宋体" w:hAnsi="宋体"/>
          <w:bCs/>
          <w:szCs w:val="21"/>
        </w:rPr>
      </w:pPr>
      <w:r>
        <w:rPr>
          <w:rFonts w:ascii="宋体" w:hAnsi="宋体"/>
          <w:bCs/>
          <w:szCs w:val="21"/>
        </w:rPr>
        <w:br w:type="page"/>
      </w:r>
    </w:p>
    <w:p w14:paraId="642DB297" w14:textId="40580F17" w:rsidR="00FC00EC" w:rsidRDefault="00FC00EC" w:rsidP="00284F5D">
      <w:pPr>
        <w:widowControl/>
        <w:adjustRightInd w:val="0"/>
        <w:snapToGrid w:val="0"/>
        <w:spacing w:line="360" w:lineRule="auto"/>
        <w:ind w:firstLine="482"/>
        <w:jc w:val="left"/>
        <w:rPr>
          <w:rFonts w:ascii="宋体" w:hAnsi="宋体"/>
          <w:bCs/>
          <w:szCs w:val="21"/>
        </w:rPr>
      </w:pPr>
      <w:r w:rsidRPr="00FC00EC">
        <w:rPr>
          <w:rFonts w:ascii="宋体" w:hAnsi="宋体"/>
          <w:bCs/>
          <w:noProof/>
          <w:szCs w:val="21"/>
        </w:rPr>
        <w:lastRenderedPageBreak/>
        <w:drawing>
          <wp:inline distT="0" distB="0" distL="0" distR="0" wp14:anchorId="0AF6A689" wp14:editId="5EA25420">
            <wp:extent cx="5274310" cy="7453118"/>
            <wp:effectExtent l="0" t="0" r="0" b="0"/>
            <wp:docPr id="8" name="图片 8" descr="D:\办公文件\产品变更注册\南方荣尊-工行\8、持有人大会材料\决议生效及备案材料\公证书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办公文件\产品变更注册\南方荣尊-工行\8、持有人大会材料\决议生效及备案材料\公证书_页面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7453118"/>
                    </a:xfrm>
                    <a:prstGeom prst="rect">
                      <a:avLst/>
                    </a:prstGeom>
                    <a:noFill/>
                    <a:ln>
                      <a:noFill/>
                    </a:ln>
                  </pic:spPr>
                </pic:pic>
              </a:graphicData>
            </a:graphic>
          </wp:inline>
        </w:drawing>
      </w:r>
    </w:p>
    <w:p w14:paraId="0D47B010" w14:textId="77777777" w:rsidR="00FC00EC" w:rsidRDefault="00FC00EC">
      <w:pPr>
        <w:widowControl/>
        <w:jc w:val="left"/>
        <w:rPr>
          <w:rFonts w:ascii="宋体" w:hAnsi="宋体"/>
          <w:bCs/>
          <w:szCs w:val="21"/>
        </w:rPr>
      </w:pPr>
      <w:r>
        <w:rPr>
          <w:rFonts w:ascii="宋体" w:hAnsi="宋体"/>
          <w:bCs/>
          <w:szCs w:val="21"/>
        </w:rPr>
        <w:br w:type="page"/>
      </w:r>
    </w:p>
    <w:p w14:paraId="64F5AF6F" w14:textId="0E243B5A" w:rsidR="00FC00EC" w:rsidRDefault="00FC00EC" w:rsidP="00284F5D">
      <w:pPr>
        <w:widowControl/>
        <w:adjustRightInd w:val="0"/>
        <w:snapToGrid w:val="0"/>
        <w:spacing w:line="360" w:lineRule="auto"/>
        <w:ind w:firstLine="482"/>
        <w:jc w:val="left"/>
        <w:rPr>
          <w:rFonts w:ascii="宋体" w:hAnsi="宋体"/>
          <w:bCs/>
          <w:szCs w:val="21"/>
        </w:rPr>
      </w:pPr>
      <w:r w:rsidRPr="00FC00EC">
        <w:rPr>
          <w:rFonts w:ascii="宋体" w:hAnsi="宋体"/>
          <w:bCs/>
          <w:noProof/>
          <w:szCs w:val="21"/>
        </w:rPr>
        <w:lastRenderedPageBreak/>
        <w:drawing>
          <wp:inline distT="0" distB="0" distL="0" distR="0" wp14:anchorId="63BB41EE" wp14:editId="43BDB86D">
            <wp:extent cx="5274310" cy="7453118"/>
            <wp:effectExtent l="0" t="0" r="0" b="0"/>
            <wp:docPr id="9" name="图片 9" descr="D:\办公文件\产品变更注册\南方荣尊-工行\8、持有人大会材料\决议生效及备案材料\公证书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办公文件\产品变更注册\南方荣尊-工行\8、持有人大会材料\决议生效及备案材料\公证书_页面_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7453118"/>
                    </a:xfrm>
                    <a:prstGeom prst="rect">
                      <a:avLst/>
                    </a:prstGeom>
                    <a:noFill/>
                    <a:ln>
                      <a:noFill/>
                    </a:ln>
                  </pic:spPr>
                </pic:pic>
              </a:graphicData>
            </a:graphic>
          </wp:inline>
        </w:drawing>
      </w:r>
    </w:p>
    <w:p w14:paraId="1F0597E8" w14:textId="77777777" w:rsidR="00FC00EC" w:rsidRDefault="00FC00EC">
      <w:pPr>
        <w:widowControl/>
        <w:jc w:val="left"/>
        <w:rPr>
          <w:rFonts w:ascii="宋体" w:hAnsi="宋体"/>
          <w:bCs/>
          <w:szCs w:val="21"/>
        </w:rPr>
      </w:pPr>
      <w:r>
        <w:rPr>
          <w:rFonts w:ascii="宋体" w:hAnsi="宋体"/>
          <w:bCs/>
          <w:szCs w:val="21"/>
        </w:rPr>
        <w:br w:type="page"/>
      </w:r>
    </w:p>
    <w:p w14:paraId="53C6D69E" w14:textId="72453BF8" w:rsidR="00FC00EC" w:rsidRDefault="00FC00EC" w:rsidP="00284F5D">
      <w:pPr>
        <w:widowControl/>
        <w:adjustRightInd w:val="0"/>
        <w:snapToGrid w:val="0"/>
        <w:spacing w:line="360" w:lineRule="auto"/>
        <w:ind w:firstLine="482"/>
        <w:jc w:val="left"/>
        <w:rPr>
          <w:rFonts w:ascii="宋体" w:hAnsi="宋体"/>
          <w:bCs/>
          <w:szCs w:val="21"/>
        </w:rPr>
      </w:pPr>
      <w:r w:rsidRPr="00FC00EC">
        <w:rPr>
          <w:rFonts w:ascii="宋体" w:hAnsi="宋体"/>
          <w:bCs/>
          <w:noProof/>
          <w:szCs w:val="21"/>
        </w:rPr>
        <w:lastRenderedPageBreak/>
        <w:drawing>
          <wp:inline distT="0" distB="0" distL="0" distR="0" wp14:anchorId="52944A79" wp14:editId="5B76037D">
            <wp:extent cx="5274310" cy="7453118"/>
            <wp:effectExtent l="0" t="0" r="0" b="0"/>
            <wp:docPr id="10" name="图片 10" descr="D:\办公文件\产品变更注册\南方荣尊-工行\8、持有人大会材料\决议生效及备案材料\公证书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办公文件\产品变更注册\南方荣尊-工行\8、持有人大会材料\决议生效及备案材料\公证书_页面_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7453118"/>
                    </a:xfrm>
                    <a:prstGeom prst="rect">
                      <a:avLst/>
                    </a:prstGeom>
                    <a:noFill/>
                    <a:ln>
                      <a:noFill/>
                    </a:ln>
                  </pic:spPr>
                </pic:pic>
              </a:graphicData>
            </a:graphic>
          </wp:inline>
        </w:drawing>
      </w:r>
    </w:p>
    <w:p w14:paraId="651A8D88" w14:textId="77777777" w:rsidR="00FC00EC" w:rsidRDefault="00FC00EC">
      <w:pPr>
        <w:widowControl/>
        <w:jc w:val="left"/>
        <w:rPr>
          <w:rFonts w:ascii="宋体" w:hAnsi="宋体"/>
          <w:bCs/>
          <w:szCs w:val="21"/>
        </w:rPr>
      </w:pPr>
      <w:r>
        <w:rPr>
          <w:rFonts w:ascii="宋体" w:hAnsi="宋体"/>
          <w:bCs/>
          <w:szCs w:val="21"/>
        </w:rPr>
        <w:br w:type="page"/>
      </w:r>
    </w:p>
    <w:p w14:paraId="53B217BB" w14:textId="53B10288" w:rsidR="00284F5D" w:rsidRPr="00AD7419" w:rsidRDefault="00FC00EC" w:rsidP="00284F5D">
      <w:pPr>
        <w:widowControl/>
        <w:adjustRightInd w:val="0"/>
        <w:snapToGrid w:val="0"/>
        <w:spacing w:line="360" w:lineRule="auto"/>
        <w:ind w:firstLine="482"/>
        <w:jc w:val="left"/>
        <w:rPr>
          <w:rFonts w:ascii="宋体" w:hAnsi="宋体" w:hint="eastAsia"/>
          <w:bCs/>
          <w:szCs w:val="21"/>
        </w:rPr>
      </w:pPr>
      <w:r w:rsidRPr="00FC00EC">
        <w:rPr>
          <w:rFonts w:ascii="宋体" w:hAnsi="宋体"/>
          <w:bCs/>
          <w:noProof/>
          <w:szCs w:val="21"/>
        </w:rPr>
        <w:lastRenderedPageBreak/>
        <w:drawing>
          <wp:anchor distT="0" distB="0" distL="114300" distR="114300" simplePos="0" relativeHeight="251658240" behindDoc="0" locked="0" layoutInCell="1" allowOverlap="1" wp14:anchorId="053D9F17" wp14:editId="1FE51E0C">
            <wp:simplePos x="0" y="0"/>
            <wp:positionH relativeFrom="column">
              <wp:posOffset>-412750</wp:posOffset>
            </wp:positionH>
            <wp:positionV relativeFrom="paragraph">
              <wp:posOffset>161925</wp:posOffset>
            </wp:positionV>
            <wp:extent cx="6248400" cy="8829675"/>
            <wp:effectExtent l="0" t="0" r="0" b="0"/>
            <wp:wrapTopAndBottom/>
            <wp:docPr id="11" name="图片 11" descr="D:\办公文件\产品变更注册\南方荣尊-工行\8、持有人大会材料\决议生效及备案材料\公证书_页面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办公文件\产品变更注册\南方荣尊-工行\8、持有人大会材料\决议生效及备案材料\公证书_页面_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8400" cy="88296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84F5D" w:rsidRPr="00AD7419" w:rsidSect="00F732E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81D599" w14:textId="77777777" w:rsidR="00B52157" w:rsidRDefault="00B52157" w:rsidP="00463EDF">
      <w:r>
        <w:separator/>
      </w:r>
    </w:p>
  </w:endnote>
  <w:endnote w:type="continuationSeparator" w:id="0">
    <w:p w14:paraId="1D49D5C5" w14:textId="77777777" w:rsidR="00B52157" w:rsidRDefault="00B52157" w:rsidP="00463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BDDBA8" w14:textId="77777777" w:rsidR="00B52157" w:rsidRDefault="00B52157" w:rsidP="00463EDF">
      <w:r>
        <w:separator/>
      </w:r>
    </w:p>
  </w:footnote>
  <w:footnote w:type="continuationSeparator" w:id="0">
    <w:p w14:paraId="120164EE" w14:textId="77777777" w:rsidR="00B52157" w:rsidRDefault="00B52157" w:rsidP="00463E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B53C9"/>
    <w:rsid w:val="00003885"/>
    <w:rsid w:val="0000494D"/>
    <w:rsid w:val="00011B2F"/>
    <w:rsid w:val="00021111"/>
    <w:rsid w:val="0004266D"/>
    <w:rsid w:val="0005033C"/>
    <w:rsid w:val="00080687"/>
    <w:rsid w:val="0008173C"/>
    <w:rsid w:val="00094A20"/>
    <w:rsid w:val="000968A0"/>
    <w:rsid w:val="000A4731"/>
    <w:rsid w:val="000C6230"/>
    <w:rsid w:val="000D0191"/>
    <w:rsid w:val="000D29DF"/>
    <w:rsid w:val="000D51B1"/>
    <w:rsid w:val="00136318"/>
    <w:rsid w:val="00145263"/>
    <w:rsid w:val="0017302B"/>
    <w:rsid w:val="0018227B"/>
    <w:rsid w:val="00192374"/>
    <w:rsid w:val="0019311B"/>
    <w:rsid w:val="001A787C"/>
    <w:rsid w:val="001D66C8"/>
    <w:rsid w:val="001E001C"/>
    <w:rsid w:val="001F6B8F"/>
    <w:rsid w:val="00224DF4"/>
    <w:rsid w:val="002328D0"/>
    <w:rsid w:val="00252711"/>
    <w:rsid w:val="00253273"/>
    <w:rsid w:val="00271EF5"/>
    <w:rsid w:val="00284F5D"/>
    <w:rsid w:val="00285B1D"/>
    <w:rsid w:val="0029275F"/>
    <w:rsid w:val="00296A32"/>
    <w:rsid w:val="002B7DB9"/>
    <w:rsid w:val="0030418C"/>
    <w:rsid w:val="00343F7F"/>
    <w:rsid w:val="003923CE"/>
    <w:rsid w:val="003A0BD9"/>
    <w:rsid w:val="003A77C0"/>
    <w:rsid w:val="003A7AB0"/>
    <w:rsid w:val="003A7EB7"/>
    <w:rsid w:val="003C7600"/>
    <w:rsid w:val="003D68D3"/>
    <w:rsid w:val="003F291A"/>
    <w:rsid w:val="00417E58"/>
    <w:rsid w:val="0042461B"/>
    <w:rsid w:val="0045133A"/>
    <w:rsid w:val="004560AC"/>
    <w:rsid w:val="00463EDF"/>
    <w:rsid w:val="00474A12"/>
    <w:rsid w:val="00481371"/>
    <w:rsid w:val="004C290F"/>
    <w:rsid w:val="004D66D7"/>
    <w:rsid w:val="004E139D"/>
    <w:rsid w:val="004E2861"/>
    <w:rsid w:val="004F1302"/>
    <w:rsid w:val="004F3A93"/>
    <w:rsid w:val="005066D5"/>
    <w:rsid w:val="005226F5"/>
    <w:rsid w:val="00532CE5"/>
    <w:rsid w:val="0054640E"/>
    <w:rsid w:val="005616B1"/>
    <w:rsid w:val="0058495C"/>
    <w:rsid w:val="005874EE"/>
    <w:rsid w:val="005954C9"/>
    <w:rsid w:val="005A21A1"/>
    <w:rsid w:val="005A6061"/>
    <w:rsid w:val="005A7E0F"/>
    <w:rsid w:val="005B0A6E"/>
    <w:rsid w:val="005B2BE7"/>
    <w:rsid w:val="005C1C7D"/>
    <w:rsid w:val="005D1E83"/>
    <w:rsid w:val="00613478"/>
    <w:rsid w:val="0062597F"/>
    <w:rsid w:val="00634B36"/>
    <w:rsid w:val="006438DC"/>
    <w:rsid w:val="00646036"/>
    <w:rsid w:val="0066031F"/>
    <w:rsid w:val="0066567D"/>
    <w:rsid w:val="00667F41"/>
    <w:rsid w:val="006B568E"/>
    <w:rsid w:val="006B6208"/>
    <w:rsid w:val="006C451C"/>
    <w:rsid w:val="006C475A"/>
    <w:rsid w:val="007076BF"/>
    <w:rsid w:val="00707732"/>
    <w:rsid w:val="00742323"/>
    <w:rsid w:val="007424D7"/>
    <w:rsid w:val="007433EA"/>
    <w:rsid w:val="00744A24"/>
    <w:rsid w:val="007554E8"/>
    <w:rsid w:val="00764D7B"/>
    <w:rsid w:val="00797D5B"/>
    <w:rsid w:val="007A3770"/>
    <w:rsid w:val="007A4D6B"/>
    <w:rsid w:val="007A533F"/>
    <w:rsid w:val="007B4657"/>
    <w:rsid w:val="007B5E94"/>
    <w:rsid w:val="007D4209"/>
    <w:rsid w:val="007D7B22"/>
    <w:rsid w:val="007E013C"/>
    <w:rsid w:val="007E6545"/>
    <w:rsid w:val="007F4B66"/>
    <w:rsid w:val="00804865"/>
    <w:rsid w:val="00850DB3"/>
    <w:rsid w:val="0085634A"/>
    <w:rsid w:val="0088098D"/>
    <w:rsid w:val="00890D61"/>
    <w:rsid w:val="008B2538"/>
    <w:rsid w:val="008C72CE"/>
    <w:rsid w:val="008D5E9D"/>
    <w:rsid w:val="008D7688"/>
    <w:rsid w:val="008F6894"/>
    <w:rsid w:val="00936F83"/>
    <w:rsid w:val="00945965"/>
    <w:rsid w:val="009466AC"/>
    <w:rsid w:val="00950022"/>
    <w:rsid w:val="009716D0"/>
    <w:rsid w:val="00974CCA"/>
    <w:rsid w:val="00991062"/>
    <w:rsid w:val="0099156D"/>
    <w:rsid w:val="009C61FD"/>
    <w:rsid w:val="009D01CC"/>
    <w:rsid w:val="009D12BF"/>
    <w:rsid w:val="009F277C"/>
    <w:rsid w:val="00A04961"/>
    <w:rsid w:val="00A1336C"/>
    <w:rsid w:val="00A2049C"/>
    <w:rsid w:val="00A50515"/>
    <w:rsid w:val="00A91371"/>
    <w:rsid w:val="00AA2452"/>
    <w:rsid w:val="00AB53C9"/>
    <w:rsid w:val="00AB6079"/>
    <w:rsid w:val="00AB6D44"/>
    <w:rsid w:val="00AD1BCA"/>
    <w:rsid w:val="00AD3E7F"/>
    <w:rsid w:val="00AD7419"/>
    <w:rsid w:val="00B0023B"/>
    <w:rsid w:val="00B014FE"/>
    <w:rsid w:val="00B1434C"/>
    <w:rsid w:val="00B40505"/>
    <w:rsid w:val="00B52157"/>
    <w:rsid w:val="00B56546"/>
    <w:rsid w:val="00B70270"/>
    <w:rsid w:val="00B71D5C"/>
    <w:rsid w:val="00B71DC3"/>
    <w:rsid w:val="00B9183B"/>
    <w:rsid w:val="00BA2121"/>
    <w:rsid w:val="00BB35AB"/>
    <w:rsid w:val="00BB6114"/>
    <w:rsid w:val="00BB67E3"/>
    <w:rsid w:val="00BE20F0"/>
    <w:rsid w:val="00C03035"/>
    <w:rsid w:val="00C17EE5"/>
    <w:rsid w:val="00C25788"/>
    <w:rsid w:val="00C3008A"/>
    <w:rsid w:val="00C47CFA"/>
    <w:rsid w:val="00C70C9D"/>
    <w:rsid w:val="00C7525B"/>
    <w:rsid w:val="00C84515"/>
    <w:rsid w:val="00C909B7"/>
    <w:rsid w:val="00C91549"/>
    <w:rsid w:val="00C94BF6"/>
    <w:rsid w:val="00CB1384"/>
    <w:rsid w:val="00CD1226"/>
    <w:rsid w:val="00CD1D80"/>
    <w:rsid w:val="00CD70FD"/>
    <w:rsid w:val="00CD798D"/>
    <w:rsid w:val="00CE146F"/>
    <w:rsid w:val="00CE5498"/>
    <w:rsid w:val="00CF5FE5"/>
    <w:rsid w:val="00D15B11"/>
    <w:rsid w:val="00D23CAE"/>
    <w:rsid w:val="00D669EA"/>
    <w:rsid w:val="00D75F90"/>
    <w:rsid w:val="00D851F9"/>
    <w:rsid w:val="00DA159B"/>
    <w:rsid w:val="00DA49EF"/>
    <w:rsid w:val="00DB6F55"/>
    <w:rsid w:val="00DC1A9B"/>
    <w:rsid w:val="00DD6A7B"/>
    <w:rsid w:val="00DE6992"/>
    <w:rsid w:val="00DF4FF3"/>
    <w:rsid w:val="00E10048"/>
    <w:rsid w:val="00E1642F"/>
    <w:rsid w:val="00E218EF"/>
    <w:rsid w:val="00E30CB1"/>
    <w:rsid w:val="00E40492"/>
    <w:rsid w:val="00E71DA1"/>
    <w:rsid w:val="00E737FE"/>
    <w:rsid w:val="00E83463"/>
    <w:rsid w:val="00E96EAC"/>
    <w:rsid w:val="00E97626"/>
    <w:rsid w:val="00EB0487"/>
    <w:rsid w:val="00EB3E9C"/>
    <w:rsid w:val="00EB6B8B"/>
    <w:rsid w:val="00EB7F09"/>
    <w:rsid w:val="00ED5C86"/>
    <w:rsid w:val="00EE3134"/>
    <w:rsid w:val="00F0579D"/>
    <w:rsid w:val="00F20E89"/>
    <w:rsid w:val="00F23474"/>
    <w:rsid w:val="00F24527"/>
    <w:rsid w:val="00F24BE1"/>
    <w:rsid w:val="00F34EED"/>
    <w:rsid w:val="00F3597B"/>
    <w:rsid w:val="00F42D14"/>
    <w:rsid w:val="00F436C9"/>
    <w:rsid w:val="00F717C3"/>
    <w:rsid w:val="00F732E2"/>
    <w:rsid w:val="00F77856"/>
    <w:rsid w:val="00F92C84"/>
    <w:rsid w:val="00FA37F7"/>
    <w:rsid w:val="00FB2F6A"/>
    <w:rsid w:val="00FB6C8D"/>
    <w:rsid w:val="00FC00EC"/>
    <w:rsid w:val="00FD5CBE"/>
    <w:rsid w:val="00FE16F3"/>
    <w:rsid w:val="00FE243C"/>
    <w:rsid w:val="00FF50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213247"/>
  <w15:docId w15:val="{BBCF2C1B-3DED-4651-8586-C3D00DA90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32E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B53C9"/>
    <w:pPr>
      <w:widowControl/>
      <w:spacing w:before="100" w:beforeAutospacing="1" w:after="100" w:afterAutospacing="1"/>
      <w:jc w:val="left"/>
    </w:pPr>
    <w:rPr>
      <w:rFonts w:ascii="宋体" w:eastAsia="宋体" w:hAnsi="宋体" w:cs="宋体"/>
      <w:kern w:val="0"/>
      <w:sz w:val="24"/>
      <w:szCs w:val="24"/>
    </w:rPr>
  </w:style>
  <w:style w:type="paragraph" w:styleId="a4">
    <w:name w:val="Plain Text"/>
    <w:basedOn w:val="a"/>
    <w:link w:val="a5"/>
    <w:rsid w:val="00D75F90"/>
    <w:rPr>
      <w:rFonts w:ascii="宋体" w:eastAsia="宋体" w:hAnsi="Courier New" w:cs="Times New Roman" w:hint="eastAsia"/>
      <w:szCs w:val="20"/>
    </w:rPr>
  </w:style>
  <w:style w:type="character" w:customStyle="1" w:styleId="a5">
    <w:name w:val="纯文本 字符"/>
    <w:basedOn w:val="a0"/>
    <w:link w:val="a4"/>
    <w:rsid w:val="00D75F90"/>
    <w:rPr>
      <w:rFonts w:ascii="宋体" w:eastAsia="宋体" w:hAnsi="Courier New" w:cs="Times New Roman"/>
      <w:szCs w:val="20"/>
    </w:rPr>
  </w:style>
  <w:style w:type="character" w:styleId="a6">
    <w:name w:val="annotation reference"/>
    <w:basedOn w:val="a0"/>
    <w:uiPriority w:val="99"/>
    <w:semiHidden/>
    <w:unhideWhenUsed/>
    <w:rsid w:val="0030418C"/>
    <w:rPr>
      <w:sz w:val="21"/>
      <w:szCs w:val="21"/>
    </w:rPr>
  </w:style>
  <w:style w:type="paragraph" w:styleId="a7">
    <w:name w:val="annotation text"/>
    <w:basedOn w:val="a"/>
    <w:link w:val="a8"/>
    <w:uiPriority w:val="99"/>
    <w:semiHidden/>
    <w:unhideWhenUsed/>
    <w:rsid w:val="0030418C"/>
    <w:pPr>
      <w:jc w:val="left"/>
    </w:pPr>
  </w:style>
  <w:style w:type="character" w:customStyle="1" w:styleId="a8">
    <w:name w:val="批注文字 字符"/>
    <w:basedOn w:val="a0"/>
    <w:link w:val="a7"/>
    <w:uiPriority w:val="99"/>
    <w:semiHidden/>
    <w:rsid w:val="0030418C"/>
  </w:style>
  <w:style w:type="paragraph" w:styleId="a9">
    <w:name w:val="annotation subject"/>
    <w:basedOn w:val="a7"/>
    <w:next w:val="a7"/>
    <w:link w:val="aa"/>
    <w:uiPriority w:val="99"/>
    <w:semiHidden/>
    <w:unhideWhenUsed/>
    <w:rsid w:val="0030418C"/>
    <w:rPr>
      <w:b/>
      <w:bCs/>
    </w:rPr>
  </w:style>
  <w:style w:type="character" w:customStyle="1" w:styleId="aa">
    <w:name w:val="批注主题 字符"/>
    <w:basedOn w:val="a8"/>
    <w:link w:val="a9"/>
    <w:uiPriority w:val="99"/>
    <w:semiHidden/>
    <w:rsid w:val="0030418C"/>
    <w:rPr>
      <w:b/>
      <w:bCs/>
    </w:rPr>
  </w:style>
  <w:style w:type="paragraph" w:styleId="ab">
    <w:name w:val="Balloon Text"/>
    <w:basedOn w:val="a"/>
    <w:link w:val="ac"/>
    <w:uiPriority w:val="99"/>
    <w:semiHidden/>
    <w:unhideWhenUsed/>
    <w:rsid w:val="0030418C"/>
    <w:rPr>
      <w:sz w:val="18"/>
      <w:szCs w:val="18"/>
    </w:rPr>
  </w:style>
  <w:style w:type="character" w:customStyle="1" w:styleId="ac">
    <w:name w:val="批注框文本 字符"/>
    <w:basedOn w:val="a0"/>
    <w:link w:val="ab"/>
    <w:uiPriority w:val="99"/>
    <w:semiHidden/>
    <w:rsid w:val="0030418C"/>
    <w:rPr>
      <w:sz w:val="18"/>
      <w:szCs w:val="18"/>
    </w:rPr>
  </w:style>
  <w:style w:type="character" w:styleId="ad">
    <w:name w:val="Hyperlink"/>
    <w:basedOn w:val="a0"/>
    <w:uiPriority w:val="99"/>
    <w:unhideWhenUsed/>
    <w:rsid w:val="00707732"/>
    <w:rPr>
      <w:color w:val="0000FF" w:themeColor="hyperlink"/>
      <w:u w:val="single"/>
    </w:rPr>
  </w:style>
  <w:style w:type="paragraph" w:styleId="ae">
    <w:name w:val="Document Map"/>
    <w:basedOn w:val="a"/>
    <w:link w:val="af"/>
    <w:uiPriority w:val="99"/>
    <w:semiHidden/>
    <w:unhideWhenUsed/>
    <w:rsid w:val="005066D5"/>
    <w:rPr>
      <w:rFonts w:ascii="宋体" w:eastAsia="宋体"/>
      <w:sz w:val="18"/>
      <w:szCs w:val="18"/>
    </w:rPr>
  </w:style>
  <w:style w:type="character" w:customStyle="1" w:styleId="af">
    <w:name w:val="文档结构图 字符"/>
    <w:basedOn w:val="a0"/>
    <w:link w:val="ae"/>
    <w:uiPriority w:val="99"/>
    <w:semiHidden/>
    <w:rsid w:val="005066D5"/>
    <w:rPr>
      <w:rFonts w:ascii="宋体" w:eastAsia="宋体"/>
      <w:sz w:val="18"/>
      <w:szCs w:val="18"/>
    </w:rPr>
  </w:style>
  <w:style w:type="paragraph" w:styleId="af0">
    <w:name w:val="Date"/>
    <w:basedOn w:val="a"/>
    <w:next w:val="a"/>
    <w:link w:val="af1"/>
    <w:uiPriority w:val="99"/>
    <w:semiHidden/>
    <w:unhideWhenUsed/>
    <w:rsid w:val="00284F5D"/>
    <w:pPr>
      <w:ind w:leftChars="2500" w:left="100"/>
    </w:pPr>
  </w:style>
  <w:style w:type="character" w:customStyle="1" w:styleId="af1">
    <w:name w:val="日期 字符"/>
    <w:basedOn w:val="a0"/>
    <w:link w:val="af0"/>
    <w:uiPriority w:val="99"/>
    <w:semiHidden/>
    <w:rsid w:val="00284F5D"/>
  </w:style>
  <w:style w:type="paragraph" w:styleId="af2">
    <w:name w:val="header"/>
    <w:basedOn w:val="a"/>
    <w:link w:val="af3"/>
    <w:uiPriority w:val="99"/>
    <w:unhideWhenUsed/>
    <w:rsid w:val="00463EDF"/>
    <w:pPr>
      <w:pBdr>
        <w:bottom w:val="single" w:sz="6" w:space="1" w:color="auto"/>
      </w:pBdr>
      <w:tabs>
        <w:tab w:val="center" w:pos="4153"/>
        <w:tab w:val="right" w:pos="8306"/>
      </w:tabs>
      <w:snapToGrid w:val="0"/>
      <w:jc w:val="center"/>
    </w:pPr>
    <w:rPr>
      <w:sz w:val="18"/>
      <w:szCs w:val="18"/>
    </w:rPr>
  </w:style>
  <w:style w:type="character" w:customStyle="1" w:styleId="af3">
    <w:name w:val="页眉 字符"/>
    <w:basedOn w:val="a0"/>
    <w:link w:val="af2"/>
    <w:uiPriority w:val="99"/>
    <w:rsid w:val="00463EDF"/>
    <w:rPr>
      <w:sz w:val="18"/>
      <w:szCs w:val="18"/>
    </w:rPr>
  </w:style>
  <w:style w:type="paragraph" w:styleId="af4">
    <w:name w:val="footer"/>
    <w:basedOn w:val="a"/>
    <w:link w:val="af5"/>
    <w:uiPriority w:val="99"/>
    <w:unhideWhenUsed/>
    <w:rsid w:val="00463EDF"/>
    <w:pPr>
      <w:tabs>
        <w:tab w:val="center" w:pos="4153"/>
        <w:tab w:val="right" w:pos="8306"/>
      </w:tabs>
      <w:snapToGrid w:val="0"/>
      <w:jc w:val="left"/>
    </w:pPr>
    <w:rPr>
      <w:sz w:val="18"/>
      <w:szCs w:val="18"/>
    </w:rPr>
  </w:style>
  <w:style w:type="character" w:customStyle="1" w:styleId="af5">
    <w:name w:val="页脚 字符"/>
    <w:basedOn w:val="a0"/>
    <w:link w:val="af4"/>
    <w:uiPriority w:val="99"/>
    <w:rsid w:val="00463ED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005929">
      <w:bodyDiv w:val="1"/>
      <w:marLeft w:val="0"/>
      <w:marRight w:val="0"/>
      <w:marTop w:val="0"/>
      <w:marBottom w:val="0"/>
      <w:divBdr>
        <w:top w:val="none" w:sz="0" w:space="0" w:color="auto"/>
        <w:left w:val="none" w:sz="0" w:space="0" w:color="auto"/>
        <w:bottom w:val="none" w:sz="0" w:space="0" w:color="auto"/>
        <w:right w:val="none" w:sz="0" w:space="0" w:color="auto"/>
      </w:divBdr>
    </w:div>
    <w:div w:id="1310865869">
      <w:bodyDiv w:val="1"/>
      <w:marLeft w:val="0"/>
      <w:marRight w:val="0"/>
      <w:marTop w:val="0"/>
      <w:marBottom w:val="0"/>
      <w:divBdr>
        <w:top w:val="none" w:sz="0" w:space="0" w:color="auto"/>
        <w:left w:val="none" w:sz="0" w:space="0" w:color="auto"/>
        <w:bottom w:val="none" w:sz="0" w:space="0" w:color="auto"/>
        <w:right w:val="none" w:sz="0" w:space="0" w:color="auto"/>
      </w:divBdr>
      <w:divsChild>
        <w:div w:id="1322614034">
          <w:marLeft w:val="0"/>
          <w:marRight w:val="0"/>
          <w:marTop w:val="0"/>
          <w:marBottom w:val="0"/>
          <w:divBdr>
            <w:top w:val="none" w:sz="0" w:space="0" w:color="auto"/>
            <w:left w:val="none" w:sz="0" w:space="0" w:color="auto"/>
            <w:bottom w:val="none" w:sz="0" w:space="0" w:color="auto"/>
            <w:right w:val="none" w:sz="0" w:space="0" w:color="auto"/>
          </w:divBdr>
          <w:divsChild>
            <w:div w:id="602030297">
              <w:marLeft w:val="0"/>
              <w:marRight w:val="0"/>
              <w:marTop w:val="0"/>
              <w:marBottom w:val="0"/>
              <w:divBdr>
                <w:top w:val="none" w:sz="0" w:space="0" w:color="auto"/>
                <w:left w:val="none" w:sz="0" w:space="0" w:color="auto"/>
                <w:bottom w:val="none" w:sz="0" w:space="0" w:color="auto"/>
                <w:right w:val="none" w:sz="0" w:space="0" w:color="auto"/>
              </w:divBdr>
              <w:divsChild>
                <w:div w:id="396903246">
                  <w:marLeft w:val="0"/>
                  <w:marRight w:val="0"/>
                  <w:marTop w:val="0"/>
                  <w:marBottom w:val="0"/>
                  <w:divBdr>
                    <w:top w:val="none" w:sz="0" w:space="0" w:color="auto"/>
                    <w:left w:val="none" w:sz="0" w:space="0" w:color="auto"/>
                    <w:bottom w:val="none" w:sz="0" w:space="0" w:color="auto"/>
                    <w:right w:val="none" w:sz="0" w:space="0" w:color="auto"/>
                  </w:divBdr>
                  <w:divsChild>
                    <w:div w:id="94550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5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AA7C4-4D5E-4355-AED9-DC886304C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756</TotalTime>
  <Pages>8</Pages>
  <Words>353</Words>
  <Characters>2016</Characters>
  <Application>Microsoft Office Word</Application>
  <DocSecurity>0</DocSecurity>
  <Lines>16</Lines>
  <Paragraphs>4</Paragraphs>
  <ScaleCrop>false</ScaleCrop>
  <Company/>
  <LinksUpToDate>false</LinksUpToDate>
  <CharactersWithSpaces>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陈艳群</dc:creator>
  <cp:lastModifiedBy>张栩铭</cp:lastModifiedBy>
  <cp:revision>183</cp:revision>
  <dcterms:created xsi:type="dcterms:W3CDTF">2017-06-20T05:42:00Z</dcterms:created>
  <dcterms:modified xsi:type="dcterms:W3CDTF">2020-05-21T03:45:00Z</dcterms:modified>
</cp:coreProperties>
</file>