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E19" w:rsidRPr="0087389D" w:rsidRDefault="00940E19" w:rsidP="00265870">
      <w:pPr>
        <w:tabs>
          <w:tab w:val="left" w:pos="1890"/>
        </w:tabs>
        <w:snapToGrid w:val="0"/>
        <w:spacing w:line="360" w:lineRule="auto"/>
        <w:rPr>
          <w:rFonts w:asciiTheme="minorEastAsia" w:eastAsiaTheme="minorEastAsia" w:hAnsiTheme="minorEastAsia"/>
          <w:i/>
          <w:iCs/>
          <w:sz w:val="24"/>
        </w:rPr>
      </w:pPr>
    </w:p>
    <w:p w:rsidR="00BA4B87" w:rsidRPr="0087389D" w:rsidRDefault="00BA4B87" w:rsidP="00265870">
      <w:pPr>
        <w:tabs>
          <w:tab w:val="left" w:pos="1890"/>
        </w:tabs>
        <w:snapToGrid w:val="0"/>
        <w:spacing w:line="360" w:lineRule="auto"/>
        <w:rPr>
          <w:rFonts w:asciiTheme="minorEastAsia" w:eastAsiaTheme="minorEastAsia" w:hAnsiTheme="minorEastAsia"/>
          <w:i/>
          <w:iCs/>
          <w:sz w:val="28"/>
          <w:szCs w:val="28"/>
        </w:rPr>
      </w:pPr>
    </w:p>
    <w:p w:rsidR="00BA4B87" w:rsidRPr="0087389D" w:rsidRDefault="00BA4B87" w:rsidP="00265870">
      <w:pPr>
        <w:snapToGrid w:val="0"/>
        <w:spacing w:line="360" w:lineRule="auto"/>
        <w:ind w:firstLine="881"/>
        <w:jc w:val="center"/>
        <w:rPr>
          <w:rFonts w:asciiTheme="minorEastAsia" w:eastAsiaTheme="minorEastAsia" w:hAnsiTheme="minorEastAsia"/>
          <w:b/>
          <w:sz w:val="44"/>
        </w:rPr>
      </w:pPr>
    </w:p>
    <w:p w:rsidR="00BA4B87" w:rsidRPr="0087389D" w:rsidRDefault="00BA4B87" w:rsidP="00265870">
      <w:pPr>
        <w:snapToGrid w:val="0"/>
        <w:spacing w:line="360" w:lineRule="auto"/>
        <w:ind w:firstLine="881"/>
        <w:jc w:val="center"/>
        <w:rPr>
          <w:rFonts w:asciiTheme="minorEastAsia" w:eastAsiaTheme="minorEastAsia" w:hAnsiTheme="minorEastAsia"/>
          <w:b/>
          <w:sz w:val="44"/>
        </w:rPr>
      </w:pPr>
    </w:p>
    <w:p w:rsidR="00BA4B87" w:rsidRPr="0087389D" w:rsidRDefault="00B66608" w:rsidP="00265870">
      <w:pPr>
        <w:snapToGrid w:val="0"/>
        <w:spacing w:line="360" w:lineRule="auto"/>
        <w:jc w:val="center"/>
        <w:rPr>
          <w:rFonts w:asciiTheme="minorEastAsia" w:eastAsiaTheme="minorEastAsia" w:hAnsiTheme="minorEastAsia"/>
          <w:b/>
          <w:sz w:val="44"/>
        </w:rPr>
      </w:pPr>
      <w:r w:rsidRPr="0087389D">
        <w:rPr>
          <w:rFonts w:asciiTheme="minorEastAsia" w:eastAsiaTheme="minorEastAsia" w:hAnsiTheme="minorEastAsia"/>
          <w:b/>
          <w:sz w:val="44"/>
        </w:rPr>
        <w:t>易方达</w:t>
      </w:r>
      <w:r w:rsidR="00F64EC4" w:rsidRPr="0087389D">
        <w:rPr>
          <w:rFonts w:asciiTheme="minorEastAsia" w:eastAsiaTheme="minorEastAsia" w:hAnsiTheme="minorEastAsia" w:hint="eastAsia"/>
          <w:b/>
          <w:sz w:val="44"/>
        </w:rPr>
        <w:t>财富快线</w:t>
      </w:r>
      <w:r w:rsidRPr="0087389D">
        <w:rPr>
          <w:rFonts w:asciiTheme="minorEastAsia" w:eastAsiaTheme="minorEastAsia" w:hAnsiTheme="minorEastAsia"/>
          <w:b/>
          <w:sz w:val="44"/>
        </w:rPr>
        <w:t>货币市场基金</w:t>
      </w:r>
    </w:p>
    <w:p w:rsidR="00BA4B87" w:rsidRPr="0087389D" w:rsidRDefault="005C4DFC" w:rsidP="00265870">
      <w:pPr>
        <w:snapToGrid w:val="0"/>
        <w:spacing w:line="360" w:lineRule="auto"/>
        <w:jc w:val="center"/>
        <w:rPr>
          <w:rFonts w:asciiTheme="minorEastAsia" w:eastAsiaTheme="minorEastAsia" w:hAnsiTheme="minorEastAsia"/>
          <w:b/>
          <w:sz w:val="44"/>
        </w:rPr>
      </w:pPr>
      <w:r w:rsidRPr="0087389D">
        <w:rPr>
          <w:rFonts w:asciiTheme="minorEastAsia" w:eastAsiaTheme="minorEastAsia" w:hAnsiTheme="minorEastAsia" w:hint="eastAsia"/>
          <w:b/>
          <w:sz w:val="44"/>
        </w:rPr>
        <w:t>更新的</w:t>
      </w:r>
      <w:r w:rsidR="00BA4B87" w:rsidRPr="0087389D">
        <w:rPr>
          <w:rFonts w:asciiTheme="minorEastAsia" w:eastAsiaTheme="minorEastAsia" w:hAnsiTheme="minorEastAsia"/>
          <w:b/>
          <w:sz w:val="44"/>
        </w:rPr>
        <w:t>招募说明书</w:t>
      </w:r>
    </w:p>
    <w:p w:rsidR="00BA4B87" w:rsidRPr="0087389D" w:rsidRDefault="00BA4B87" w:rsidP="00265870">
      <w:pPr>
        <w:snapToGrid w:val="0"/>
        <w:spacing w:line="360" w:lineRule="auto"/>
        <w:ind w:leftChars="800" w:left="1680" w:firstLine="181"/>
        <w:rPr>
          <w:rFonts w:asciiTheme="minorEastAsia" w:eastAsiaTheme="minorEastAsia" w:hAnsiTheme="minorEastAsia"/>
          <w:sz w:val="30"/>
          <w:szCs w:val="30"/>
        </w:rPr>
      </w:pPr>
    </w:p>
    <w:p w:rsidR="00992FE4" w:rsidRPr="0087389D" w:rsidRDefault="00992FE4" w:rsidP="00265870">
      <w:pPr>
        <w:snapToGrid w:val="0"/>
        <w:spacing w:line="360" w:lineRule="auto"/>
        <w:ind w:leftChars="800" w:left="1680" w:firstLine="181"/>
        <w:rPr>
          <w:rFonts w:asciiTheme="minorEastAsia" w:eastAsiaTheme="minorEastAsia" w:hAnsiTheme="minorEastAsia"/>
          <w:sz w:val="30"/>
          <w:szCs w:val="30"/>
        </w:rPr>
      </w:pPr>
    </w:p>
    <w:p w:rsidR="00BA4B87" w:rsidRPr="0087389D" w:rsidRDefault="00BA4B87" w:rsidP="00265870">
      <w:pPr>
        <w:snapToGrid w:val="0"/>
        <w:spacing w:line="360" w:lineRule="auto"/>
        <w:ind w:leftChars="800" w:left="1680"/>
        <w:rPr>
          <w:rFonts w:asciiTheme="minorEastAsia" w:eastAsiaTheme="minorEastAsia" w:hAnsiTheme="minorEastAsia"/>
          <w:sz w:val="30"/>
          <w:szCs w:val="30"/>
        </w:rPr>
      </w:pPr>
    </w:p>
    <w:p w:rsidR="00FA5B52" w:rsidRPr="0087389D" w:rsidRDefault="00FA5B52" w:rsidP="00265870">
      <w:pPr>
        <w:snapToGrid w:val="0"/>
        <w:spacing w:line="360" w:lineRule="auto"/>
        <w:ind w:leftChars="800" w:left="1680"/>
        <w:rPr>
          <w:rFonts w:asciiTheme="minorEastAsia" w:eastAsiaTheme="minorEastAsia" w:hAnsiTheme="minorEastAsia"/>
          <w:sz w:val="30"/>
          <w:szCs w:val="30"/>
        </w:rPr>
      </w:pPr>
    </w:p>
    <w:p w:rsidR="00BA4B87" w:rsidRPr="0087389D" w:rsidRDefault="00BA4B87" w:rsidP="00265870">
      <w:pPr>
        <w:snapToGrid w:val="0"/>
        <w:spacing w:line="360" w:lineRule="auto"/>
        <w:ind w:leftChars="800" w:left="1680"/>
        <w:rPr>
          <w:rFonts w:asciiTheme="minorEastAsia" w:eastAsiaTheme="minorEastAsia" w:hAnsiTheme="minorEastAsia"/>
          <w:sz w:val="30"/>
          <w:szCs w:val="30"/>
        </w:rPr>
      </w:pPr>
    </w:p>
    <w:p w:rsidR="00BA4B87" w:rsidRPr="0087389D" w:rsidRDefault="00BA4B87" w:rsidP="00265870">
      <w:pPr>
        <w:snapToGrid w:val="0"/>
        <w:spacing w:line="360" w:lineRule="auto"/>
        <w:ind w:leftChars="800" w:left="1680"/>
        <w:rPr>
          <w:rFonts w:asciiTheme="minorEastAsia" w:eastAsiaTheme="minorEastAsia" w:hAnsiTheme="minorEastAsia"/>
          <w:sz w:val="30"/>
          <w:szCs w:val="30"/>
        </w:rPr>
      </w:pPr>
    </w:p>
    <w:p w:rsidR="00265870" w:rsidRPr="0087389D" w:rsidRDefault="00265870" w:rsidP="00265870">
      <w:pPr>
        <w:snapToGrid w:val="0"/>
        <w:spacing w:line="360" w:lineRule="auto"/>
        <w:ind w:leftChars="800" w:left="1680"/>
        <w:rPr>
          <w:rFonts w:asciiTheme="minorEastAsia" w:eastAsiaTheme="minorEastAsia" w:hAnsiTheme="minorEastAsia"/>
          <w:sz w:val="30"/>
          <w:szCs w:val="30"/>
        </w:rPr>
      </w:pPr>
    </w:p>
    <w:p w:rsidR="00265870" w:rsidRPr="0087389D" w:rsidRDefault="00265870" w:rsidP="00265870">
      <w:pPr>
        <w:snapToGrid w:val="0"/>
        <w:spacing w:line="360" w:lineRule="auto"/>
        <w:ind w:leftChars="800" w:left="1680"/>
        <w:rPr>
          <w:rFonts w:asciiTheme="minorEastAsia" w:eastAsiaTheme="minorEastAsia" w:hAnsiTheme="minorEastAsia"/>
          <w:sz w:val="30"/>
          <w:szCs w:val="30"/>
        </w:rPr>
      </w:pPr>
    </w:p>
    <w:p w:rsidR="00BA4B87" w:rsidRPr="0087389D" w:rsidRDefault="00BA4B87" w:rsidP="00265870">
      <w:pPr>
        <w:snapToGrid w:val="0"/>
        <w:spacing w:line="360" w:lineRule="auto"/>
        <w:ind w:leftChars="800" w:left="1680"/>
        <w:rPr>
          <w:rFonts w:asciiTheme="minorEastAsia" w:eastAsiaTheme="minorEastAsia" w:hAnsiTheme="minorEastAsia"/>
          <w:sz w:val="30"/>
          <w:szCs w:val="30"/>
        </w:rPr>
      </w:pPr>
    </w:p>
    <w:p w:rsidR="00BA4B87" w:rsidRPr="0087389D" w:rsidRDefault="00BA4B87" w:rsidP="00265870">
      <w:pPr>
        <w:snapToGrid w:val="0"/>
        <w:spacing w:line="360" w:lineRule="auto"/>
        <w:ind w:leftChars="686" w:left="1679" w:hangingChars="74" w:hanging="238"/>
        <w:rPr>
          <w:rFonts w:asciiTheme="minorEastAsia" w:eastAsiaTheme="minorEastAsia" w:hAnsiTheme="minorEastAsia"/>
          <w:b/>
          <w:sz w:val="32"/>
          <w:szCs w:val="32"/>
        </w:rPr>
      </w:pPr>
      <w:r w:rsidRPr="0087389D">
        <w:rPr>
          <w:rFonts w:asciiTheme="minorEastAsia" w:eastAsiaTheme="minorEastAsia" w:hAnsiTheme="minorEastAsia"/>
          <w:b/>
          <w:sz w:val="32"/>
          <w:szCs w:val="32"/>
        </w:rPr>
        <w:t>基金管理人：易方达基金管理有限公司</w:t>
      </w:r>
    </w:p>
    <w:p w:rsidR="00BA4B87" w:rsidRPr="0087389D" w:rsidRDefault="00BA4B87" w:rsidP="00265870">
      <w:pPr>
        <w:snapToGrid w:val="0"/>
        <w:spacing w:line="360" w:lineRule="auto"/>
        <w:ind w:leftChars="686" w:left="1679" w:hangingChars="74" w:hanging="238"/>
        <w:rPr>
          <w:rFonts w:asciiTheme="minorEastAsia" w:eastAsiaTheme="minorEastAsia" w:hAnsiTheme="minorEastAsia"/>
          <w:b/>
          <w:sz w:val="32"/>
          <w:szCs w:val="32"/>
        </w:rPr>
      </w:pPr>
      <w:r w:rsidRPr="0087389D">
        <w:rPr>
          <w:rFonts w:asciiTheme="minorEastAsia" w:eastAsiaTheme="minorEastAsia" w:hAnsiTheme="minorEastAsia"/>
          <w:b/>
          <w:sz w:val="32"/>
          <w:szCs w:val="32"/>
        </w:rPr>
        <w:t>基金托管人：</w:t>
      </w:r>
      <w:r w:rsidR="001D0E93" w:rsidRPr="0087389D">
        <w:rPr>
          <w:rFonts w:asciiTheme="minorEastAsia" w:eastAsiaTheme="minorEastAsia" w:hAnsiTheme="minorEastAsia" w:hint="eastAsia"/>
          <w:b/>
          <w:sz w:val="32"/>
          <w:szCs w:val="32"/>
        </w:rPr>
        <w:t>中国</w:t>
      </w:r>
      <w:r w:rsidR="00F64EC4" w:rsidRPr="0087389D">
        <w:rPr>
          <w:rFonts w:asciiTheme="minorEastAsia" w:eastAsiaTheme="minorEastAsia" w:hAnsiTheme="minorEastAsia" w:hint="eastAsia"/>
          <w:b/>
          <w:sz w:val="32"/>
          <w:szCs w:val="32"/>
        </w:rPr>
        <w:t>邮政储蓄</w:t>
      </w:r>
      <w:r w:rsidR="001D0E93" w:rsidRPr="0087389D">
        <w:rPr>
          <w:rFonts w:asciiTheme="minorEastAsia" w:eastAsiaTheme="minorEastAsia" w:hAnsiTheme="minorEastAsia" w:hint="eastAsia"/>
          <w:b/>
          <w:sz w:val="32"/>
          <w:szCs w:val="32"/>
        </w:rPr>
        <w:t>银行股份有限公司</w:t>
      </w:r>
    </w:p>
    <w:p w:rsidR="00BA4B87" w:rsidRPr="0087389D" w:rsidRDefault="00BA4B87" w:rsidP="00265870">
      <w:pPr>
        <w:snapToGrid w:val="0"/>
        <w:spacing w:line="360" w:lineRule="auto"/>
        <w:ind w:firstLine="561"/>
        <w:rPr>
          <w:rFonts w:asciiTheme="minorEastAsia" w:eastAsiaTheme="minorEastAsia" w:hAnsiTheme="minorEastAsia"/>
          <w:b/>
          <w:sz w:val="24"/>
        </w:rPr>
      </w:pPr>
    </w:p>
    <w:p w:rsidR="00E17B2F" w:rsidRPr="0087389D" w:rsidRDefault="00E17B2F" w:rsidP="00265870">
      <w:pPr>
        <w:snapToGrid w:val="0"/>
        <w:spacing w:line="360" w:lineRule="auto"/>
        <w:jc w:val="center"/>
        <w:rPr>
          <w:rFonts w:asciiTheme="minorEastAsia" w:eastAsiaTheme="minorEastAsia" w:hAnsiTheme="minorEastAsia"/>
          <w:b/>
          <w:bCs/>
          <w:sz w:val="28"/>
        </w:rPr>
      </w:pPr>
      <w:r w:rsidRPr="0087389D">
        <w:rPr>
          <w:rFonts w:asciiTheme="minorEastAsia" w:eastAsiaTheme="minorEastAsia" w:hAnsiTheme="minorEastAsia" w:hint="eastAsia"/>
          <w:b/>
          <w:bCs/>
          <w:sz w:val="28"/>
        </w:rPr>
        <w:t>二○二○年五月</w:t>
      </w:r>
    </w:p>
    <w:p w:rsidR="00CD58E5" w:rsidRPr="0087389D" w:rsidRDefault="00CD58E5" w:rsidP="00265870">
      <w:pPr>
        <w:snapToGrid w:val="0"/>
        <w:spacing w:line="360" w:lineRule="auto"/>
        <w:jc w:val="center"/>
        <w:rPr>
          <w:rFonts w:asciiTheme="minorEastAsia" w:eastAsiaTheme="minorEastAsia" w:hAnsiTheme="minorEastAsia"/>
          <w:b/>
          <w:bCs/>
          <w:sz w:val="28"/>
        </w:rPr>
      </w:pPr>
    </w:p>
    <w:p w:rsidR="00CD58E5" w:rsidRPr="0087389D" w:rsidRDefault="00CD58E5" w:rsidP="00265870">
      <w:pPr>
        <w:snapToGrid w:val="0"/>
        <w:spacing w:line="360" w:lineRule="auto"/>
        <w:jc w:val="center"/>
        <w:rPr>
          <w:rFonts w:asciiTheme="minorEastAsia" w:eastAsiaTheme="minorEastAsia" w:hAnsiTheme="minorEastAsia"/>
          <w:b/>
          <w:bCs/>
          <w:sz w:val="28"/>
        </w:rPr>
      </w:pPr>
    </w:p>
    <w:p w:rsidR="00CD58E5" w:rsidRPr="0087389D" w:rsidRDefault="00CD58E5" w:rsidP="00265870">
      <w:pPr>
        <w:snapToGrid w:val="0"/>
        <w:spacing w:line="360" w:lineRule="auto"/>
        <w:jc w:val="center"/>
        <w:rPr>
          <w:rFonts w:asciiTheme="minorEastAsia" w:eastAsiaTheme="minorEastAsia" w:hAnsiTheme="minorEastAsia"/>
          <w:b/>
          <w:bCs/>
          <w:sz w:val="28"/>
        </w:rPr>
      </w:pPr>
    </w:p>
    <w:p w:rsidR="00BA4B87" w:rsidRPr="0087389D" w:rsidRDefault="00BA4B87" w:rsidP="00265870">
      <w:pPr>
        <w:snapToGrid w:val="0"/>
        <w:spacing w:line="360" w:lineRule="auto"/>
        <w:jc w:val="center"/>
        <w:rPr>
          <w:rFonts w:asciiTheme="minorEastAsia" w:eastAsiaTheme="minorEastAsia" w:hAnsiTheme="minorEastAsia"/>
          <w:b/>
          <w:sz w:val="28"/>
          <w:szCs w:val="28"/>
        </w:rPr>
      </w:pPr>
      <w:r w:rsidRPr="0087389D">
        <w:rPr>
          <w:rFonts w:asciiTheme="minorEastAsia" w:eastAsiaTheme="minorEastAsia" w:hAnsiTheme="minorEastAsia"/>
          <w:b/>
          <w:sz w:val="28"/>
          <w:szCs w:val="28"/>
        </w:rPr>
        <w:lastRenderedPageBreak/>
        <w:t>重要提示</w:t>
      </w:r>
    </w:p>
    <w:p w:rsidR="00BA4B87" w:rsidRPr="0087389D" w:rsidRDefault="00BA4B87" w:rsidP="00265870">
      <w:pPr>
        <w:snapToGrid w:val="0"/>
        <w:spacing w:line="360" w:lineRule="auto"/>
        <w:ind w:firstLineChars="200" w:firstLine="422"/>
        <w:rPr>
          <w:rFonts w:asciiTheme="minorEastAsia" w:eastAsiaTheme="minorEastAsia" w:hAnsiTheme="minorEastAsia"/>
          <w:b/>
          <w:szCs w:val="21"/>
        </w:rPr>
      </w:pPr>
      <w:r w:rsidRPr="0087389D">
        <w:rPr>
          <w:rFonts w:asciiTheme="minorEastAsia" w:eastAsiaTheme="minorEastAsia" w:hAnsiTheme="minorEastAsia"/>
          <w:b/>
          <w:szCs w:val="21"/>
        </w:rPr>
        <w:t>本基金根据</w:t>
      </w:r>
      <w:r w:rsidR="004D4547" w:rsidRPr="0087389D">
        <w:rPr>
          <w:rFonts w:asciiTheme="minorEastAsia" w:eastAsiaTheme="minorEastAsia" w:hAnsiTheme="minorEastAsia"/>
          <w:b/>
          <w:szCs w:val="21"/>
        </w:rPr>
        <w:t>201</w:t>
      </w:r>
      <w:r w:rsidR="004D4547" w:rsidRPr="0087389D">
        <w:rPr>
          <w:rFonts w:asciiTheme="minorEastAsia" w:eastAsiaTheme="minorEastAsia" w:hAnsiTheme="minorEastAsia" w:hint="eastAsia"/>
          <w:b/>
          <w:szCs w:val="21"/>
        </w:rPr>
        <w:t>4</w:t>
      </w:r>
      <w:r w:rsidR="00461ADF" w:rsidRPr="0087389D">
        <w:rPr>
          <w:rFonts w:asciiTheme="minorEastAsia" w:eastAsiaTheme="minorEastAsia" w:hAnsiTheme="minorEastAsia"/>
          <w:b/>
          <w:szCs w:val="21"/>
        </w:rPr>
        <w:t>年</w:t>
      </w:r>
      <w:r w:rsidR="009E6D56" w:rsidRPr="0087389D">
        <w:rPr>
          <w:rFonts w:asciiTheme="minorEastAsia" w:eastAsiaTheme="minorEastAsia" w:hAnsiTheme="minorEastAsia" w:hint="eastAsia"/>
          <w:b/>
          <w:szCs w:val="21"/>
        </w:rPr>
        <w:t>5</w:t>
      </w:r>
      <w:r w:rsidRPr="0087389D">
        <w:rPr>
          <w:rFonts w:asciiTheme="minorEastAsia" w:eastAsiaTheme="minorEastAsia" w:hAnsiTheme="minorEastAsia"/>
          <w:b/>
          <w:szCs w:val="21"/>
        </w:rPr>
        <w:t>月</w:t>
      </w:r>
      <w:r w:rsidR="009E6D56" w:rsidRPr="0087389D">
        <w:rPr>
          <w:rFonts w:asciiTheme="minorEastAsia" w:eastAsiaTheme="minorEastAsia" w:hAnsiTheme="minorEastAsia" w:hint="eastAsia"/>
          <w:b/>
          <w:szCs w:val="21"/>
        </w:rPr>
        <w:t>12</w:t>
      </w:r>
      <w:r w:rsidRPr="0087389D">
        <w:rPr>
          <w:rFonts w:asciiTheme="minorEastAsia" w:eastAsiaTheme="minorEastAsia" w:hAnsiTheme="minorEastAsia"/>
          <w:b/>
          <w:szCs w:val="21"/>
        </w:rPr>
        <w:t>日中国证券监督管理委员会《关于核准</w:t>
      </w:r>
      <w:r w:rsidR="00872236" w:rsidRPr="0087389D">
        <w:rPr>
          <w:rFonts w:asciiTheme="minorEastAsia" w:eastAsiaTheme="minorEastAsia" w:hAnsiTheme="minorEastAsia"/>
          <w:b/>
          <w:szCs w:val="21"/>
        </w:rPr>
        <w:t>易方达</w:t>
      </w:r>
      <w:r w:rsidR="00F64EC4" w:rsidRPr="0087389D">
        <w:rPr>
          <w:rFonts w:asciiTheme="minorEastAsia" w:eastAsiaTheme="minorEastAsia" w:hAnsiTheme="minorEastAsia"/>
          <w:b/>
          <w:szCs w:val="21"/>
        </w:rPr>
        <w:t>财富快线</w:t>
      </w:r>
      <w:r w:rsidR="00B66608" w:rsidRPr="0087389D">
        <w:rPr>
          <w:rFonts w:asciiTheme="minorEastAsia" w:eastAsiaTheme="minorEastAsia" w:hAnsiTheme="minorEastAsia"/>
          <w:b/>
          <w:szCs w:val="21"/>
        </w:rPr>
        <w:t>货币市场基金</w:t>
      </w:r>
      <w:r w:rsidRPr="0087389D">
        <w:rPr>
          <w:rFonts w:asciiTheme="minorEastAsia" w:eastAsiaTheme="minorEastAsia" w:hAnsiTheme="minorEastAsia"/>
          <w:b/>
          <w:szCs w:val="21"/>
        </w:rPr>
        <w:t>募集的批复》</w:t>
      </w:r>
      <w:r w:rsidR="00B329B1" w:rsidRPr="0087389D">
        <w:rPr>
          <w:rFonts w:asciiTheme="minorEastAsia" w:eastAsiaTheme="minorEastAsia" w:hAnsiTheme="minorEastAsia"/>
          <w:b/>
          <w:szCs w:val="21"/>
        </w:rPr>
        <w:t>（</w:t>
      </w:r>
      <w:r w:rsidRPr="0087389D">
        <w:rPr>
          <w:rFonts w:asciiTheme="minorEastAsia" w:eastAsiaTheme="minorEastAsia" w:hAnsiTheme="minorEastAsia"/>
          <w:b/>
          <w:szCs w:val="21"/>
        </w:rPr>
        <w:t>证监许可</w:t>
      </w:r>
      <w:r w:rsidR="00EB0832" w:rsidRPr="0087389D">
        <w:rPr>
          <w:rFonts w:asciiTheme="minorEastAsia" w:eastAsiaTheme="minorEastAsia" w:hAnsiTheme="minorEastAsia" w:hint="eastAsia"/>
          <w:b/>
          <w:szCs w:val="21"/>
        </w:rPr>
        <w:t>【</w:t>
      </w:r>
      <w:r w:rsidR="001D0E93" w:rsidRPr="0087389D">
        <w:rPr>
          <w:rFonts w:asciiTheme="minorEastAsia" w:eastAsiaTheme="minorEastAsia" w:hAnsiTheme="minorEastAsia"/>
          <w:b/>
          <w:szCs w:val="21"/>
        </w:rPr>
        <w:t>201</w:t>
      </w:r>
      <w:r w:rsidR="001D0E93" w:rsidRPr="0087389D">
        <w:rPr>
          <w:rFonts w:asciiTheme="minorEastAsia" w:eastAsiaTheme="minorEastAsia" w:hAnsiTheme="minorEastAsia" w:hint="eastAsia"/>
          <w:b/>
          <w:szCs w:val="21"/>
        </w:rPr>
        <w:t>4</w:t>
      </w:r>
      <w:r w:rsidR="009E6D56" w:rsidRPr="0087389D">
        <w:rPr>
          <w:rFonts w:asciiTheme="minorEastAsia" w:eastAsiaTheme="minorEastAsia" w:hAnsiTheme="minorEastAsia" w:hint="eastAsia"/>
          <w:b/>
          <w:szCs w:val="21"/>
        </w:rPr>
        <w:t>】473</w:t>
      </w:r>
      <w:r w:rsidRPr="0087389D">
        <w:rPr>
          <w:rFonts w:asciiTheme="minorEastAsia" w:eastAsiaTheme="minorEastAsia" w:hAnsiTheme="minorEastAsia"/>
          <w:b/>
          <w:szCs w:val="21"/>
        </w:rPr>
        <w:t>号</w:t>
      </w:r>
      <w:r w:rsidR="00B329B1" w:rsidRPr="0087389D">
        <w:rPr>
          <w:rFonts w:asciiTheme="minorEastAsia" w:eastAsiaTheme="minorEastAsia" w:hAnsiTheme="minorEastAsia"/>
          <w:b/>
          <w:szCs w:val="21"/>
        </w:rPr>
        <w:t>）</w:t>
      </w:r>
      <w:r w:rsidRPr="0087389D">
        <w:rPr>
          <w:rFonts w:asciiTheme="minorEastAsia" w:eastAsiaTheme="minorEastAsia" w:hAnsiTheme="minorEastAsia"/>
          <w:b/>
          <w:szCs w:val="21"/>
        </w:rPr>
        <w:t>和</w:t>
      </w:r>
      <w:r w:rsidR="001D0E93" w:rsidRPr="0087389D">
        <w:rPr>
          <w:rFonts w:asciiTheme="minorEastAsia" w:eastAsiaTheme="minorEastAsia" w:hAnsiTheme="minorEastAsia"/>
          <w:b/>
          <w:szCs w:val="21"/>
        </w:rPr>
        <w:t>201</w:t>
      </w:r>
      <w:r w:rsidR="001D0E93" w:rsidRPr="0087389D">
        <w:rPr>
          <w:rFonts w:asciiTheme="minorEastAsia" w:eastAsiaTheme="minorEastAsia" w:hAnsiTheme="minorEastAsia" w:hint="eastAsia"/>
          <w:b/>
          <w:szCs w:val="21"/>
        </w:rPr>
        <w:t>4</w:t>
      </w:r>
      <w:r w:rsidR="00461ADF" w:rsidRPr="0087389D">
        <w:rPr>
          <w:rFonts w:asciiTheme="minorEastAsia" w:eastAsiaTheme="minorEastAsia" w:hAnsiTheme="minorEastAsia"/>
          <w:b/>
          <w:szCs w:val="21"/>
        </w:rPr>
        <w:t>年</w:t>
      </w:r>
      <w:r w:rsidR="00473B8F" w:rsidRPr="0087389D">
        <w:rPr>
          <w:rFonts w:asciiTheme="minorEastAsia" w:eastAsiaTheme="minorEastAsia" w:hAnsiTheme="minorEastAsia" w:hint="eastAsia"/>
          <w:b/>
          <w:szCs w:val="21"/>
        </w:rPr>
        <w:t>5</w:t>
      </w:r>
      <w:r w:rsidRPr="0087389D">
        <w:rPr>
          <w:rFonts w:asciiTheme="minorEastAsia" w:eastAsiaTheme="minorEastAsia" w:hAnsiTheme="minorEastAsia"/>
          <w:b/>
          <w:szCs w:val="21"/>
        </w:rPr>
        <w:t>月</w:t>
      </w:r>
      <w:r w:rsidR="00473B8F" w:rsidRPr="0087389D">
        <w:rPr>
          <w:rFonts w:asciiTheme="minorEastAsia" w:eastAsiaTheme="minorEastAsia" w:hAnsiTheme="minorEastAsia" w:hint="eastAsia"/>
          <w:b/>
          <w:szCs w:val="21"/>
        </w:rPr>
        <w:t>27</w:t>
      </w:r>
      <w:r w:rsidRPr="0087389D">
        <w:rPr>
          <w:rFonts w:asciiTheme="minorEastAsia" w:eastAsiaTheme="minorEastAsia" w:hAnsiTheme="minorEastAsia"/>
          <w:b/>
          <w:szCs w:val="21"/>
        </w:rPr>
        <w:t>日《关于</w:t>
      </w:r>
      <w:r w:rsidR="00872236" w:rsidRPr="0087389D">
        <w:rPr>
          <w:rFonts w:asciiTheme="minorEastAsia" w:eastAsiaTheme="minorEastAsia" w:hAnsiTheme="minorEastAsia"/>
          <w:b/>
          <w:szCs w:val="21"/>
        </w:rPr>
        <w:t>易方达</w:t>
      </w:r>
      <w:r w:rsidR="00F64EC4" w:rsidRPr="0087389D">
        <w:rPr>
          <w:rFonts w:asciiTheme="minorEastAsia" w:eastAsiaTheme="minorEastAsia" w:hAnsiTheme="minorEastAsia"/>
          <w:b/>
          <w:szCs w:val="21"/>
        </w:rPr>
        <w:t>财富快线</w:t>
      </w:r>
      <w:r w:rsidR="00B66608" w:rsidRPr="0087389D">
        <w:rPr>
          <w:rFonts w:asciiTheme="minorEastAsia" w:eastAsiaTheme="minorEastAsia" w:hAnsiTheme="minorEastAsia"/>
          <w:b/>
          <w:szCs w:val="21"/>
        </w:rPr>
        <w:t>货币市场基金</w:t>
      </w:r>
      <w:r w:rsidRPr="0087389D">
        <w:rPr>
          <w:rFonts w:asciiTheme="minorEastAsia" w:eastAsiaTheme="minorEastAsia" w:hAnsiTheme="minorEastAsia"/>
          <w:b/>
          <w:szCs w:val="21"/>
        </w:rPr>
        <w:t>募集时间安排的确认函》</w:t>
      </w:r>
      <w:r w:rsidR="00B329B1" w:rsidRPr="0087389D">
        <w:rPr>
          <w:rFonts w:asciiTheme="minorEastAsia" w:eastAsiaTheme="minorEastAsia" w:hAnsiTheme="minorEastAsia"/>
          <w:b/>
          <w:szCs w:val="21"/>
        </w:rPr>
        <w:t>（</w:t>
      </w:r>
      <w:r w:rsidR="00473B8F" w:rsidRPr="0087389D">
        <w:rPr>
          <w:rFonts w:asciiTheme="minorEastAsia" w:eastAsiaTheme="minorEastAsia" w:hAnsiTheme="minorEastAsia" w:hint="eastAsia"/>
          <w:b/>
          <w:szCs w:val="21"/>
        </w:rPr>
        <w:t>证券基金机构监管部</w:t>
      </w:r>
      <w:r w:rsidRPr="0087389D">
        <w:rPr>
          <w:rFonts w:asciiTheme="minorEastAsia" w:eastAsiaTheme="minorEastAsia" w:hAnsiTheme="minorEastAsia"/>
          <w:b/>
          <w:szCs w:val="21"/>
        </w:rPr>
        <w:t>部函</w:t>
      </w:r>
      <w:r w:rsidR="00473B8F" w:rsidRPr="0087389D">
        <w:rPr>
          <w:rFonts w:asciiTheme="minorEastAsia" w:eastAsiaTheme="minorEastAsia" w:hAnsiTheme="minorEastAsia" w:hint="eastAsia"/>
          <w:b/>
          <w:szCs w:val="21"/>
        </w:rPr>
        <w:t>【</w:t>
      </w:r>
      <w:r w:rsidR="001D0E93" w:rsidRPr="0087389D">
        <w:rPr>
          <w:rFonts w:asciiTheme="minorEastAsia" w:eastAsiaTheme="minorEastAsia" w:hAnsiTheme="minorEastAsia"/>
          <w:b/>
          <w:szCs w:val="21"/>
        </w:rPr>
        <w:t>201</w:t>
      </w:r>
      <w:r w:rsidR="001D0E93" w:rsidRPr="0087389D">
        <w:rPr>
          <w:rFonts w:asciiTheme="minorEastAsia" w:eastAsiaTheme="minorEastAsia" w:hAnsiTheme="minorEastAsia" w:hint="eastAsia"/>
          <w:b/>
          <w:szCs w:val="21"/>
        </w:rPr>
        <w:t>4</w:t>
      </w:r>
      <w:r w:rsidR="00473B8F" w:rsidRPr="0087389D">
        <w:rPr>
          <w:rFonts w:asciiTheme="minorEastAsia" w:eastAsiaTheme="minorEastAsia" w:hAnsiTheme="minorEastAsia" w:hint="eastAsia"/>
          <w:b/>
          <w:szCs w:val="21"/>
        </w:rPr>
        <w:t>】344</w:t>
      </w:r>
      <w:r w:rsidRPr="0087389D">
        <w:rPr>
          <w:rFonts w:asciiTheme="minorEastAsia" w:eastAsiaTheme="minorEastAsia" w:hAnsiTheme="minorEastAsia"/>
          <w:b/>
          <w:szCs w:val="21"/>
        </w:rPr>
        <w:t>号</w:t>
      </w:r>
      <w:r w:rsidR="00B329B1" w:rsidRPr="0087389D">
        <w:rPr>
          <w:rFonts w:asciiTheme="minorEastAsia" w:eastAsiaTheme="minorEastAsia" w:hAnsiTheme="minorEastAsia"/>
          <w:b/>
          <w:szCs w:val="21"/>
        </w:rPr>
        <w:t>）</w:t>
      </w:r>
      <w:r w:rsidRPr="0087389D">
        <w:rPr>
          <w:rFonts w:asciiTheme="minorEastAsia" w:eastAsiaTheme="minorEastAsia" w:hAnsiTheme="minorEastAsia"/>
          <w:b/>
          <w:szCs w:val="21"/>
        </w:rPr>
        <w:t>进行募集。</w:t>
      </w:r>
      <w:r w:rsidR="00A547E3" w:rsidRPr="0087389D">
        <w:rPr>
          <w:rFonts w:asciiTheme="minorEastAsia" w:eastAsiaTheme="minorEastAsia" w:hAnsiTheme="minorEastAsia" w:hint="eastAsia"/>
          <w:b/>
          <w:szCs w:val="21"/>
        </w:rPr>
        <w:t>本基金基金合同于2014年6月17日正式生效。</w:t>
      </w:r>
    </w:p>
    <w:p w:rsidR="00BA4B87" w:rsidRPr="0087389D" w:rsidRDefault="00BA4B87" w:rsidP="00265870">
      <w:pPr>
        <w:snapToGrid w:val="0"/>
        <w:spacing w:line="360" w:lineRule="auto"/>
        <w:ind w:firstLineChars="200" w:firstLine="422"/>
        <w:rPr>
          <w:rFonts w:asciiTheme="minorEastAsia" w:eastAsiaTheme="minorEastAsia" w:hAnsiTheme="minorEastAsia"/>
          <w:b/>
          <w:szCs w:val="21"/>
        </w:rPr>
      </w:pPr>
      <w:r w:rsidRPr="0087389D">
        <w:rPr>
          <w:rFonts w:asciiTheme="minorEastAsia" w:eastAsiaTheme="minorEastAsia" w:hAnsiTheme="minorEastAsia"/>
          <w:b/>
          <w:szCs w:val="21"/>
        </w:rPr>
        <w:t>基金管理人保证《招募说明书》的内容真实、准确、完整。本《招募说明书》经中国证监会</w:t>
      </w:r>
      <w:r w:rsidR="00E34575" w:rsidRPr="0087389D">
        <w:rPr>
          <w:rFonts w:asciiTheme="minorEastAsia" w:eastAsiaTheme="minorEastAsia" w:hAnsiTheme="minorEastAsia" w:hint="eastAsia"/>
          <w:b/>
          <w:szCs w:val="21"/>
        </w:rPr>
        <w:t>注册</w:t>
      </w:r>
      <w:r w:rsidRPr="0087389D">
        <w:rPr>
          <w:rFonts w:asciiTheme="minorEastAsia" w:eastAsiaTheme="minorEastAsia" w:hAnsiTheme="minorEastAsia"/>
          <w:b/>
          <w:szCs w:val="21"/>
        </w:rPr>
        <w:t>，</w:t>
      </w:r>
      <w:r w:rsidR="008B416E" w:rsidRPr="0087389D">
        <w:rPr>
          <w:rFonts w:asciiTheme="minorEastAsia" w:eastAsiaTheme="minorEastAsia" w:hAnsiTheme="minorEastAsia"/>
          <w:b/>
          <w:szCs w:val="21"/>
        </w:rPr>
        <w:t>但中国证监会对本基金募集的</w:t>
      </w:r>
      <w:r w:rsidR="008B416E" w:rsidRPr="0087389D">
        <w:rPr>
          <w:rFonts w:asciiTheme="minorEastAsia" w:eastAsiaTheme="minorEastAsia" w:hAnsiTheme="minorEastAsia" w:hint="eastAsia"/>
          <w:b/>
          <w:szCs w:val="21"/>
        </w:rPr>
        <w:t>注册</w:t>
      </w:r>
      <w:r w:rsidRPr="0087389D">
        <w:rPr>
          <w:rFonts w:asciiTheme="minorEastAsia" w:eastAsiaTheme="minorEastAsia" w:hAnsiTheme="minorEastAsia"/>
          <w:b/>
          <w:szCs w:val="21"/>
        </w:rPr>
        <w:t>，并不表明其对本基金的价值和收益作出实质性判断或保证，也不表明投资于本基金没有风险。</w:t>
      </w:r>
    </w:p>
    <w:p w:rsidR="00635484" w:rsidRPr="0087389D" w:rsidRDefault="009F7DEB" w:rsidP="00265870">
      <w:pPr>
        <w:snapToGrid w:val="0"/>
        <w:spacing w:line="360" w:lineRule="auto"/>
        <w:ind w:firstLineChars="200" w:firstLine="422"/>
        <w:rPr>
          <w:rFonts w:asciiTheme="minorEastAsia" w:eastAsiaTheme="minorEastAsia" w:hAnsiTheme="minorEastAsia"/>
          <w:b/>
          <w:szCs w:val="21"/>
        </w:rPr>
      </w:pPr>
      <w:r w:rsidRPr="0087389D">
        <w:rPr>
          <w:rFonts w:asciiTheme="minorEastAsia" w:eastAsiaTheme="minorEastAsia" w:hAnsiTheme="minorEastAsia" w:hint="eastAsia"/>
          <w:b/>
          <w:szCs w:val="21"/>
        </w:rPr>
        <w:t>本基金为货币市场基金，</w:t>
      </w:r>
      <w:r w:rsidR="00C143CA" w:rsidRPr="0087389D">
        <w:rPr>
          <w:rFonts w:asciiTheme="minorEastAsia" w:eastAsiaTheme="minorEastAsia" w:hAnsiTheme="minorEastAsia" w:hint="eastAsia"/>
          <w:b/>
          <w:szCs w:val="21"/>
        </w:rPr>
        <w:t>预期风险和预期收益均低于股票型基金、混合型基金及债券型基金，</w:t>
      </w:r>
      <w:r w:rsidRPr="0087389D">
        <w:rPr>
          <w:rFonts w:asciiTheme="minorEastAsia" w:eastAsiaTheme="minorEastAsia" w:hAnsiTheme="minorEastAsia" w:hint="eastAsia"/>
          <w:b/>
          <w:szCs w:val="21"/>
        </w:rPr>
        <w:t>属证券投资基金中的较低风险收益品种</w:t>
      </w:r>
      <w:r w:rsidR="00635484" w:rsidRPr="0087389D">
        <w:rPr>
          <w:rFonts w:asciiTheme="minorEastAsia" w:eastAsiaTheme="minorEastAsia" w:hAnsiTheme="minorEastAsia" w:hint="eastAsia"/>
          <w:b/>
          <w:szCs w:val="21"/>
        </w:rPr>
        <w:t>。投资者购买本货币市场基金并不等于将资金作为存款存放在银行或存款类金融机构，基金管理人不保证基金一定盈利，也不保证最低收益。投资者在投资本基金前，应全面了解本基金的产品特性，充分考虑自身的风险承受能力，理性判断市场，并承担基金投资中出现的各类风险，包括：</w:t>
      </w:r>
      <w:r w:rsidR="005A6CD3" w:rsidRPr="0087389D">
        <w:rPr>
          <w:rFonts w:asciiTheme="minorEastAsia" w:eastAsiaTheme="minorEastAsia" w:hAnsiTheme="minorEastAsia" w:hint="eastAsia"/>
          <w:b/>
          <w:szCs w:val="21"/>
        </w:rPr>
        <w:t>因整体政治、经济、社会等环境因素对证券市场价格产生影响的市场风险，因金融市场利率的波动而导致证券市场价格和收益率变动的利率风险，因债券和票据发行主体信用状况恶化而可能产生的到期不能兑付的信用风险，基金管理人在基金管理实施过程中产生的基金管理风险，因发生特定情况收取强制赎回费用的风险，由于投资者连续大量赎回基金份额产生的流动性风险，本基金管理现金头寸时有可能存在现金不足的风险或现金过多而带来的机会成本风险，因影子定价确定的基金资产净值与摊余成本法确定的基金资产净值偏离度达到一定程度而导致暂停申购，或者暂停赎回并终止基金合同的风险</w:t>
      </w:r>
      <w:r w:rsidR="00254030" w:rsidRPr="0087389D">
        <w:rPr>
          <w:rFonts w:asciiTheme="minorEastAsia" w:eastAsiaTheme="minorEastAsia" w:hAnsiTheme="minorEastAsia" w:hint="eastAsia"/>
          <w:b/>
        </w:rPr>
        <w:t>、</w:t>
      </w:r>
      <w:r w:rsidR="00254030" w:rsidRPr="0087389D">
        <w:rPr>
          <w:rFonts w:asciiTheme="minorEastAsia" w:eastAsiaTheme="minorEastAsia" w:hAnsiTheme="minorEastAsia" w:hint="eastAsia"/>
          <w:b/>
          <w:bCs/>
        </w:rPr>
        <w:t>本基金法律文件中涉及基金风险特征的表述与销售机构对基金的风险评级可能不一致的风险</w:t>
      </w:r>
      <w:r w:rsidR="005A6CD3" w:rsidRPr="0087389D">
        <w:rPr>
          <w:rFonts w:asciiTheme="minorEastAsia" w:eastAsiaTheme="minorEastAsia" w:hAnsiTheme="minorEastAsia" w:hint="eastAsia"/>
          <w:b/>
          <w:szCs w:val="21"/>
        </w:rPr>
        <w:t>等等</w:t>
      </w:r>
      <w:r w:rsidR="00B43618" w:rsidRPr="0087389D">
        <w:rPr>
          <w:rFonts w:asciiTheme="minorEastAsia" w:eastAsiaTheme="minorEastAsia" w:hAnsiTheme="minorEastAsia" w:hint="eastAsia"/>
          <w:b/>
          <w:szCs w:val="21"/>
        </w:rPr>
        <w:t>。投资人</w:t>
      </w:r>
      <w:r w:rsidR="00635484" w:rsidRPr="0087389D">
        <w:rPr>
          <w:rFonts w:asciiTheme="minorEastAsia" w:eastAsiaTheme="minorEastAsia" w:hAnsiTheme="minorEastAsia" w:hint="eastAsia"/>
          <w:b/>
          <w:szCs w:val="21"/>
        </w:rPr>
        <w:t>在投资本基金之前，请仔细阅读本基金的</w:t>
      </w:r>
      <w:r w:rsidR="00417F69" w:rsidRPr="0087389D">
        <w:rPr>
          <w:rFonts w:asciiTheme="minorEastAsia" w:eastAsiaTheme="minorEastAsia" w:hAnsiTheme="minorEastAsia" w:hint="eastAsia"/>
          <w:b/>
          <w:szCs w:val="21"/>
        </w:rPr>
        <w:t>《</w:t>
      </w:r>
      <w:r w:rsidR="00635484" w:rsidRPr="0087389D">
        <w:rPr>
          <w:rFonts w:asciiTheme="minorEastAsia" w:eastAsiaTheme="minorEastAsia" w:hAnsiTheme="minorEastAsia" w:hint="eastAsia"/>
          <w:b/>
          <w:szCs w:val="21"/>
        </w:rPr>
        <w:t>招募说明书</w:t>
      </w:r>
      <w:r w:rsidR="00417F69" w:rsidRPr="0087389D">
        <w:rPr>
          <w:rFonts w:asciiTheme="minorEastAsia" w:eastAsiaTheme="minorEastAsia" w:hAnsiTheme="minorEastAsia" w:hint="eastAsia"/>
          <w:b/>
          <w:szCs w:val="21"/>
        </w:rPr>
        <w:t>》</w:t>
      </w:r>
      <w:r w:rsidR="00254030" w:rsidRPr="0087389D">
        <w:rPr>
          <w:rFonts w:asciiTheme="minorEastAsia" w:eastAsiaTheme="minorEastAsia" w:hAnsiTheme="minorEastAsia" w:hint="eastAsia"/>
          <w:b/>
          <w:szCs w:val="21"/>
        </w:rPr>
        <w:t>、</w:t>
      </w:r>
      <w:r w:rsidR="00417F69" w:rsidRPr="0087389D">
        <w:rPr>
          <w:rFonts w:asciiTheme="minorEastAsia" w:eastAsiaTheme="minorEastAsia" w:hAnsiTheme="minorEastAsia" w:hint="eastAsia"/>
          <w:b/>
          <w:szCs w:val="21"/>
        </w:rPr>
        <w:t>《</w:t>
      </w:r>
      <w:r w:rsidR="00635484" w:rsidRPr="0087389D">
        <w:rPr>
          <w:rFonts w:asciiTheme="minorEastAsia" w:eastAsiaTheme="minorEastAsia" w:hAnsiTheme="minorEastAsia" w:hint="eastAsia"/>
          <w:b/>
          <w:szCs w:val="21"/>
        </w:rPr>
        <w:t>基金合同</w:t>
      </w:r>
      <w:r w:rsidR="00417F69" w:rsidRPr="0087389D">
        <w:rPr>
          <w:rFonts w:asciiTheme="minorEastAsia" w:eastAsiaTheme="minorEastAsia" w:hAnsiTheme="minorEastAsia" w:hint="eastAsia"/>
          <w:b/>
          <w:szCs w:val="21"/>
        </w:rPr>
        <w:t>》</w:t>
      </w:r>
      <w:r w:rsidR="00254030" w:rsidRPr="0087389D">
        <w:rPr>
          <w:rFonts w:asciiTheme="minorEastAsia" w:eastAsiaTheme="minorEastAsia" w:hAnsiTheme="minorEastAsia"/>
          <w:b/>
          <w:szCs w:val="21"/>
        </w:rPr>
        <w:t>和基金产品资料概要</w:t>
      </w:r>
      <w:r w:rsidR="00254030" w:rsidRPr="0087389D">
        <w:rPr>
          <w:rFonts w:asciiTheme="minorEastAsia" w:eastAsiaTheme="minorEastAsia" w:hAnsiTheme="minorEastAsia" w:hint="eastAsia"/>
          <w:b/>
        </w:rPr>
        <w:t>等信息披露文件</w:t>
      </w:r>
      <w:r w:rsidR="00635484" w:rsidRPr="0087389D">
        <w:rPr>
          <w:rFonts w:asciiTheme="minorEastAsia" w:eastAsiaTheme="minorEastAsia" w:hAnsiTheme="minorEastAsia" w:hint="eastAsia"/>
          <w:b/>
          <w:szCs w:val="21"/>
        </w:rPr>
        <w:t>，全面认识本基金的风险收益特征和产品特性，并充分考虑自身的风险承受能力，理性判断市场，谨慎做出投资决策。</w:t>
      </w:r>
    </w:p>
    <w:p w:rsidR="00BA4B87" w:rsidRPr="0087389D" w:rsidRDefault="00DC44CB" w:rsidP="00265870">
      <w:pPr>
        <w:snapToGrid w:val="0"/>
        <w:spacing w:line="360" w:lineRule="auto"/>
        <w:ind w:firstLineChars="200" w:firstLine="422"/>
        <w:rPr>
          <w:rFonts w:asciiTheme="minorEastAsia" w:eastAsiaTheme="minorEastAsia" w:hAnsiTheme="minorEastAsia"/>
          <w:b/>
          <w:szCs w:val="21"/>
        </w:rPr>
      </w:pPr>
      <w:r w:rsidRPr="0087389D">
        <w:rPr>
          <w:rFonts w:asciiTheme="minorEastAsia" w:eastAsiaTheme="minorEastAsia" w:hAnsiTheme="minorEastAsia"/>
          <w:b/>
          <w:szCs w:val="21"/>
        </w:rPr>
        <w:t>基金不同于银行储蓄</w:t>
      </w:r>
      <w:r w:rsidR="00BA4B87" w:rsidRPr="0087389D">
        <w:rPr>
          <w:rFonts w:asciiTheme="minorEastAsia" w:eastAsiaTheme="minorEastAsia" w:hAnsiTheme="minorEastAsia"/>
          <w:b/>
          <w:szCs w:val="21"/>
        </w:rPr>
        <w:t>，基金</w:t>
      </w:r>
      <w:r w:rsidR="0007767A" w:rsidRPr="0087389D">
        <w:rPr>
          <w:rFonts w:asciiTheme="minorEastAsia" w:eastAsiaTheme="minorEastAsia" w:hAnsiTheme="minorEastAsia"/>
          <w:b/>
          <w:szCs w:val="21"/>
        </w:rPr>
        <w:t>投资者</w:t>
      </w:r>
      <w:r w:rsidR="00BA4B87" w:rsidRPr="0087389D">
        <w:rPr>
          <w:rFonts w:asciiTheme="minorEastAsia" w:eastAsiaTheme="minorEastAsia" w:hAnsiTheme="minorEastAsia"/>
          <w:b/>
          <w:szCs w:val="21"/>
        </w:rPr>
        <w:t>有可能获得较高的收益，也有可能损失本金。投资有风险，</w:t>
      </w:r>
      <w:r w:rsidR="0007767A" w:rsidRPr="0087389D">
        <w:rPr>
          <w:rFonts w:asciiTheme="minorEastAsia" w:eastAsiaTheme="minorEastAsia" w:hAnsiTheme="minorEastAsia"/>
          <w:b/>
          <w:szCs w:val="21"/>
        </w:rPr>
        <w:t>投资者</w:t>
      </w:r>
      <w:r w:rsidR="00BA4B87" w:rsidRPr="0087389D">
        <w:rPr>
          <w:rFonts w:asciiTheme="minorEastAsia" w:eastAsiaTheme="minorEastAsia" w:hAnsiTheme="minorEastAsia"/>
          <w:b/>
          <w:szCs w:val="21"/>
        </w:rPr>
        <w:t>在进行投资决策前，请仔细阅读本基金的《招募说明书》及《基金合同》。</w:t>
      </w:r>
    </w:p>
    <w:p w:rsidR="00FC38B3" w:rsidRPr="0087389D" w:rsidRDefault="00E272A5" w:rsidP="00265870">
      <w:pPr>
        <w:snapToGrid w:val="0"/>
        <w:spacing w:line="360" w:lineRule="auto"/>
        <w:ind w:firstLineChars="200" w:firstLine="422"/>
        <w:rPr>
          <w:rFonts w:asciiTheme="minorEastAsia" w:eastAsiaTheme="minorEastAsia" w:hAnsiTheme="minorEastAsia"/>
          <w:b/>
          <w:szCs w:val="21"/>
        </w:rPr>
      </w:pPr>
      <w:r w:rsidRPr="0087389D">
        <w:rPr>
          <w:rFonts w:asciiTheme="minorEastAsia" w:eastAsiaTheme="minorEastAsia" w:hAnsiTheme="minorEastAsia" w:hint="eastAsia"/>
          <w:b/>
          <w:szCs w:val="21"/>
        </w:rPr>
        <w:t>基金的过往业绩并不预示其未来表现。</w:t>
      </w:r>
      <w:r w:rsidR="009D4BBE" w:rsidRPr="0087389D">
        <w:rPr>
          <w:rFonts w:asciiTheme="minorEastAsia" w:eastAsiaTheme="minorEastAsia" w:hAnsiTheme="minorEastAsia" w:hint="eastAsia"/>
          <w:b/>
          <w:szCs w:val="21"/>
        </w:rPr>
        <w:t>基金管理人依照恪尽职守、诚实信用、谨慎勤勉的原则管理和运用基金资产，但不保证基金一定盈利，也不保证最低收益。</w:t>
      </w:r>
    </w:p>
    <w:p w:rsidR="00254030" w:rsidRPr="0087389D" w:rsidRDefault="00254030" w:rsidP="00D82F04">
      <w:pPr>
        <w:adjustRightInd w:val="0"/>
        <w:snapToGrid w:val="0"/>
        <w:spacing w:line="360" w:lineRule="auto"/>
        <w:ind w:firstLineChars="200" w:firstLine="422"/>
        <w:rPr>
          <w:rFonts w:asciiTheme="minorEastAsia" w:eastAsiaTheme="minorEastAsia" w:hAnsiTheme="minorEastAsia"/>
          <w:b/>
        </w:rPr>
      </w:pPr>
      <w:r w:rsidRPr="0087389D">
        <w:rPr>
          <w:rFonts w:asciiTheme="minorEastAsia" w:eastAsiaTheme="minorEastAsia" w:hAnsiTheme="minorEastAsia" w:hint="eastAsia"/>
          <w:b/>
        </w:rPr>
        <w:t>基金合同约定的基金产品资料概要编制、披露与更新要求，自《信息披露办法》实施之日起一年后开始执行。</w:t>
      </w:r>
    </w:p>
    <w:p w:rsidR="00D82F04" w:rsidRPr="0087389D" w:rsidRDefault="00D82F04" w:rsidP="00D82F04">
      <w:pPr>
        <w:adjustRightInd w:val="0"/>
        <w:snapToGrid w:val="0"/>
        <w:spacing w:line="360" w:lineRule="auto"/>
        <w:ind w:firstLineChars="200" w:firstLine="422"/>
        <w:rPr>
          <w:rFonts w:asciiTheme="minorEastAsia" w:eastAsiaTheme="minorEastAsia" w:hAnsiTheme="minorEastAsia"/>
          <w:b/>
          <w:szCs w:val="21"/>
        </w:rPr>
      </w:pPr>
      <w:r w:rsidRPr="0087389D">
        <w:rPr>
          <w:rFonts w:asciiTheme="minorEastAsia" w:eastAsiaTheme="minorEastAsia" w:hAnsiTheme="minorEastAsia" w:hint="eastAsia"/>
          <w:b/>
          <w:szCs w:val="21"/>
        </w:rPr>
        <w:t>除非另有说明，</w:t>
      </w:r>
      <w:r w:rsidR="00E17B2F" w:rsidRPr="0087389D">
        <w:rPr>
          <w:rFonts w:asciiTheme="minorEastAsia" w:eastAsiaTheme="minorEastAsia" w:hAnsiTheme="minorEastAsia" w:hint="eastAsia"/>
          <w:b/>
          <w:szCs w:val="21"/>
        </w:rPr>
        <w:t>本招募说明书所载内容截止日为2020年4月16日</w:t>
      </w:r>
      <w:r w:rsidRPr="0087389D">
        <w:rPr>
          <w:rFonts w:asciiTheme="minorEastAsia" w:eastAsiaTheme="minorEastAsia" w:hAnsiTheme="minorEastAsia" w:hint="eastAsia"/>
          <w:b/>
          <w:szCs w:val="21"/>
        </w:rPr>
        <w:t>，</w:t>
      </w:r>
      <w:r w:rsidR="00E17B2F" w:rsidRPr="0087389D">
        <w:rPr>
          <w:rFonts w:asciiTheme="minorEastAsia" w:eastAsiaTheme="minorEastAsia" w:hAnsiTheme="minorEastAsia" w:hint="eastAsia"/>
          <w:b/>
          <w:szCs w:val="21"/>
        </w:rPr>
        <w:t>有关财务数据截止日为2020年3月31日</w:t>
      </w:r>
      <w:r w:rsidRPr="0087389D">
        <w:rPr>
          <w:rFonts w:asciiTheme="minorEastAsia" w:eastAsiaTheme="minorEastAsia" w:hAnsiTheme="minorEastAsia" w:hint="eastAsia"/>
          <w:b/>
          <w:szCs w:val="21"/>
        </w:rPr>
        <w:t>，</w:t>
      </w:r>
      <w:r w:rsidR="00E17B2F" w:rsidRPr="0087389D">
        <w:rPr>
          <w:rFonts w:asciiTheme="minorEastAsia" w:eastAsiaTheme="minorEastAsia" w:hAnsiTheme="minorEastAsia" w:hint="eastAsia"/>
          <w:b/>
          <w:szCs w:val="21"/>
        </w:rPr>
        <w:t>净值表现截止日为2019年12月31日</w:t>
      </w:r>
      <w:r w:rsidRPr="0087389D">
        <w:rPr>
          <w:rFonts w:asciiTheme="minorEastAsia" w:eastAsiaTheme="minorEastAsia" w:hAnsiTheme="minorEastAsia" w:hint="eastAsia"/>
          <w:b/>
          <w:szCs w:val="21"/>
        </w:rPr>
        <w:t>。（本报告中财务数据未</w:t>
      </w:r>
      <w:r w:rsidRPr="0087389D">
        <w:rPr>
          <w:rFonts w:asciiTheme="minorEastAsia" w:eastAsiaTheme="minorEastAsia" w:hAnsiTheme="minorEastAsia" w:hint="eastAsia"/>
          <w:b/>
          <w:szCs w:val="21"/>
        </w:rPr>
        <w:lastRenderedPageBreak/>
        <w:t>经审计）</w:t>
      </w:r>
    </w:p>
    <w:p w:rsidR="00FC38B3" w:rsidRPr="0087389D" w:rsidRDefault="00FC38B3" w:rsidP="00265870">
      <w:pPr>
        <w:snapToGrid w:val="0"/>
        <w:spacing w:line="360" w:lineRule="auto"/>
        <w:ind w:firstLineChars="200" w:firstLine="422"/>
        <w:rPr>
          <w:rFonts w:asciiTheme="minorEastAsia" w:eastAsiaTheme="minorEastAsia" w:hAnsiTheme="minorEastAsia"/>
          <w:b/>
          <w:szCs w:val="21"/>
        </w:rPr>
      </w:pPr>
    </w:p>
    <w:p w:rsidR="00EE1A74" w:rsidRPr="0087389D" w:rsidRDefault="00EE1A74" w:rsidP="00265870">
      <w:pPr>
        <w:adjustRightInd w:val="0"/>
        <w:snapToGrid w:val="0"/>
        <w:spacing w:line="360" w:lineRule="auto"/>
        <w:jc w:val="center"/>
        <w:rPr>
          <w:rFonts w:asciiTheme="minorEastAsia" w:eastAsiaTheme="minorEastAsia" w:hAnsiTheme="minorEastAsia"/>
          <w:b/>
          <w:szCs w:val="21"/>
        </w:rPr>
        <w:sectPr w:rsidR="00EE1A74" w:rsidRPr="0087389D" w:rsidSect="00834747">
          <w:headerReference w:type="even" r:id="rId9"/>
          <w:headerReference w:type="default" r:id="rId10"/>
          <w:footerReference w:type="even" r:id="rId11"/>
          <w:footerReference w:type="default" r:id="rId12"/>
          <w:headerReference w:type="first" r:id="rId13"/>
          <w:footerReference w:type="first" r:id="rId14"/>
          <w:pgSz w:w="11906" w:h="16838" w:code="9"/>
          <w:pgMar w:top="1701" w:right="1814" w:bottom="1701" w:left="1814" w:header="1134" w:footer="1247" w:gutter="0"/>
          <w:pgNumType w:start="1"/>
          <w:cols w:space="720"/>
          <w:docGrid w:type="lines" w:linePitch="305"/>
        </w:sectPr>
      </w:pPr>
    </w:p>
    <w:p w:rsidR="00AA313B" w:rsidRPr="0087389D" w:rsidRDefault="00AA313B" w:rsidP="00265870">
      <w:pPr>
        <w:pStyle w:val="TOC"/>
        <w:snapToGrid w:val="0"/>
        <w:spacing w:line="360" w:lineRule="auto"/>
        <w:jc w:val="center"/>
        <w:rPr>
          <w:rFonts w:asciiTheme="minorEastAsia" w:eastAsiaTheme="minorEastAsia" w:hAnsiTheme="minorEastAsia"/>
          <w:color w:val="auto"/>
        </w:rPr>
      </w:pPr>
      <w:r w:rsidRPr="0087389D">
        <w:rPr>
          <w:rFonts w:asciiTheme="minorEastAsia" w:eastAsiaTheme="minorEastAsia" w:hAnsiTheme="minorEastAsia"/>
          <w:color w:val="auto"/>
          <w:lang w:val="zh-CN"/>
        </w:rPr>
        <w:lastRenderedPageBreak/>
        <w:t>目录</w:t>
      </w:r>
    </w:p>
    <w:p w:rsidR="0087389D" w:rsidRPr="0087389D" w:rsidRDefault="005D17B7">
      <w:pPr>
        <w:pStyle w:val="10"/>
        <w:rPr>
          <w:rFonts w:asciiTheme="minorEastAsia" w:eastAsiaTheme="minorEastAsia" w:hAnsiTheme="minorEastAsia" w:cstheme="minorBidi"/>
          <w:caps w:val="0"/>
          <w:color w:val="auto"/>
          <w:sz w:val="21"/>
          <w:szCs w:val="22"/>
        </w:rPr>
      </w:pPr>
      <w:r w:rsidRPr="0087389D">
        <w:rPr>
          <w:rFonts w:asciiTheme="minorEastAsia" w:eastAsiaTheme="minorEastAsia" w:hAnsiTheme="minorEastAsia"/>
          <w:color w:val="auto"/>
        </w:rPr>
        <w:fldChar w:fldCharType="begin"/>
      </w:r>
      <w:r w:rsidR="00AA313B" w:rsidRPr="0087389D">
        <w:rPr>
          <w:rFonts w:asciiTheme="minorEastAsia" w:eastAsiaTheme="minorEastAsia" w:hAnsiTheme="minorEastAsia"/>
          <w:color w:val="auto"/>
        </w:rPr>
        <w:instrText xml:space="preserve"> TOC \o "1-3" \h \z \u </w:instrText>
      </w:r>
      <w:r w:rsidRPr="0087389D">
        <w:rPr>
          <w:rFonts w:asciiTheme="minorEastAsia" w:eastAsiaTheme="minorEastAsia" w:hAnsiTheme="minorEastAsia"/>
          <w:color w:val="auto"/>
        </w:rPr>
        <w:fldChar w:fldCharType="separate"/>
      </w:r>
      <w:hyperlink w:anchor="_Toc41644959" w:history="1">
        <w:r w:rsidR="0087389D" w:rsidRPr="0087389D">
          <w:rPr>
            <w:rStyle w:val="a5"/>
            <w:rFonts w:asciiTheme="minorEastAsia" w:eastAsiaTheme="minorEastAsia" w:hAnsiTheme="minorEastAsia" w:hint="eastAsia"/>
            <w:b/>
            <w:color w:val="auto"/>
            <w:u w:val="none"/>
          </w:rPr>
          <w:t>一、绪言</w:t>
        </w:r>
        <w:r w:rsidR="0087389D" w:rsidRPr="0087389D">
          <w:rPr>
            <w:rFonts w:asciiTheme="minorEastAsia" w:eastAsiaTheme="minorEastAsia" w:hAnsiTheme="minorEastAsia"/>
            <w:webHidden/>
            <w:color w:val="auto"/>
          </w:rPr>
          <w:tab/>
        </w:r>
        <w:r w:rsidR="0087389D" w:rsidRPr="0087389D">
          <w:rPr>
            <w:rFonts w:asciiTheme="minorEastAsia" w:eastAsiaTheme="minorEastAsia" w:hAnsiTheme="minorEastAsia"/>
            <w:webHidden/>
            <w:color w:val="auto"/>
          </w:rPr>
          <w:fldChar w:fldCharType="begin"/>
        </w:r>
        <w:r w:rsidR="0087389D" w:rsidRPr="0087389D">
          <w:rPr>
            <w:rFonts w:asciiTheme="minorEastAsia" w:eastAsiaTheme="minorEastAsia" w:hAnsiTheme="minorEastAsia"/>
            <w:webHidden/>
            <w:color w:val="auto"/>
          </w:rPr>
          <w:instrText xml:space="preserve"> PAGEREF _Toc41644959 \h </w:instrText>
        </w:r>
        <w:r w:rsidR="0087389D" w:rsidRPr="0087389D">
          <w:rPr>
            <w:rFonts w:asciiTheme="minorEastAsia" w:eastAsiaTheme="minorEastAsia" w:hAnsiTheme="minorEastAsia"/>
            <w:webHidden/>
            <w:color w:val="auto"/>
          </w:rPr>
        </w:r>
        <w:r w:rsidR="0087389D" w:rsidRPr="0087389D">
          <w:rPr>
            <w:rFonts w:asciiTheme="minorEastAsia" w:eastAsiaTheme="minorEastAsia" w:hAnsiTheme="minorEastAsia"/>
            <w:webHidden/>
            <w:color w:val="auto"/>
          </w:rPr>
          <w:fldChar w:fldCharType="separate"/>
        </w:r>
        <w:r w:rsidR="0087389D">
          <w:rPr>
            <w:rFonts w:asciiTheme="minorEastAsia" w:eastAsiaTheme="minorEastAsia" w:hAnsiTheme="minorEastAsia"/>
            <w:webHidden/>
            <w:color w:val="auto"/>
          </w:rPr>
          <w:t>1</w:t>
        </w:r>
        <w:r w:rsidR="0087389D" w:rsidRPr="0087389D">
          <w:rPr>
            <w:rFonts w:asciiTheme="minorEastAsia" w:eastAsiaTheme="minorEastAsia" w:hAnsiTheme="minorEastAsia"/>
            <w:webHidden/>
            <w:color w:val="auto"/>
          </w:rPr>
          <w:fldChar w:fldCharType="end"/>
        </w:r>
      </w:hyperlink>
    </w:p>
    <w:p w:rsidR="0087389D" w:rsidRPr="0087389D" w:rsidRDefault="000A07D6">
      <w:pPr>
        <w:pStyle w:val="10"/>
        <w:rPr>
          <w:rFonts w:asciiTheme="minorEastAsia" w:eastAsiaTheme="minorEastAsia" w:hAnsiTheme="minorEastAsia" w:cstheme="minorBidi"/>
          <w:caps w:val="0"/>
          <w:color w:val="auto"/>
          <w:sz w:val="21"/>
          <w:szCs w:val="22"/>
        </w:rPr>
      </w:pPr>
      <w:hyperlink w:anchor="_Toc41644960" w:history="1">
        <w:r w:rsidR="0087389D" w:rsidRPr="0087389D">
          <w:rPr>
            <w:rStyle w:val="a5"/>
            <w:rFonts w:asciiTheme="minorEastAsia" w:eastAsiaTheme="minorEastAsia" w:hAnsiTheme="minorEastAsia" w:hint="eastAsia"/>
            <w:b/>
            <w:color w:val="auto"/>
            <w:u w:val="none"/>
          </w:rPr>
          <w:t>二、释义</w:t>
        </w:r>
        <w:r w:rsidR="0087389D" w:rsidRPr="0087389D">
          <w:rPr>
            <w:rFonts w:asciiTheme="minorEastAsia" w:eastAsiaTheme="minorEastAsia" w:hAnsiTheme="minorEastAsia"/>
            <w:webHidden/>
            <w:color w:val="auto"/>
          </w:rPr>
          <w:tab/>
        </w:r>
        <w:r w:rsidR="0087389D" w:rsidRPr="0087389D">
          <w:rPr>
            <w:rFonts w:asciiTheme="minorEastAsia" w:eastAsiaTheme="minorEastAsia" w:hAnsiTheme="minorEastAsia"/>
            <w:webHidden/>
            <w:color w:val="auto"/>
          </w:rPr>
          <w:fldChar w:fldCharType="begin"/>
        </w:r>
        <w:r w:rsidR="0087389D" w:rsidRPr="0087389D">
          <w:rPr>
            <w:rFonts w:asciiTheme="minorEastAsia" w:eastAsiaTheme="minorEastAsia" w:hAnsiTheme="minorEastAsia"/>
            <w:webHidden/>
            <w:color w:val="auto"/>
          </w:rPr>
          <w:instrText xml:space="preserve"> PAGEREF _Toc41644960 \h </w:instrText>
        </w:r>
        <w:r w:rsidR="0087389D" w:rsidRPr="0087389D">
          <w:rPr>
            <w:rFonts w:asciiTheme="minorEastAsia" w:eastAsiaTheme="minorEastAsia" w:hAnsiTheme="minorEastAsia"/>
            <w:webHidden/>
            <w:color w:val="auto"/>
          </w:rPr>
        </w:r>
        <w:r w:rsidR="0087389D" w:rsidRPr="0087389D">
          <w:rPr>
            <w:rFonts w:asciiTheme="minorEastAsia" w:eastAsiaTheme="minorEastAsia" w:hAnsiTheme="minorEastAsia"/>
            <w:webHidden/>
            <w:color w:val="auto"/>
          </w:rPr>
          <w:fldChar w:fldCharType="separate"/>
        </w:r>
        <w:r w:rsidR="0087389D">
          <w:rPr>
            <w:rFonts w:asciiTheme="minorEastAsia" w:eastAsiaTheme="minorEastAsia" w:hAnsiTheme="minorEastAsia"/>
            <w:webHidden/>
            <w:color w:val="auto"/>
          </w:rPr>
          <w:t>2</w:t>
        </w:r>
        <w:r w:rsidR="0087389D" w:rsidRPr="0087389D">
          <w:rPr>
            <w:rFonts w:asciiTheme="minorEastAsia" w:eastAsiaTheme="minorEastAsia" w:hAnsiTheme="minorEastAsia"/>
            <w:webHidden/>
            <w:color w:val="auto"/>
          </w:rPr>
          <w:fldChar w:fldCharType="end"/>
        </w:r>
      </w:hyperlink>
    </w:p>
    <w:p w:rsidR="0087389D" w:rsidRPr="0087389D" w:rsidRDefault="000A07D6">
      <w:pPr>
        <w:pStyle w:val="10"/>
        <w:rPr>
          <w:rFonts w:asciiTheme="minorEastAsia" w:eastAsiaTheme="minorEastAsia" w:hAnsiTheme="minorEastAsia" w:cstheme="minorBidi"/>
          <w:caps w:val="0"/>
          <w:color w:val="auto"/>
          <w:sz w:val="21"/>
          <w:szCs w:val="22"/>
        </w:rPr>
      </w:pPr>
      <w:hyperlink w:anchor="_Toc41644961" w:history="1">
        <w:r w:rsidR="0087389D" w:rsidRPr="0087389D">
          <w:rPr>
            <w:rStyle w:val="a5"/>
            <w:rFonts w:asciiTheme="minorEastAsia" w:eastAsiaTheme="minorEastAsia" w:hAnsiTheme="minorEastAsia" w:hint="eastAsia"/>
            <w:b/>
            <w:color w:val="auto"/>
            <w:u w:val="none"/>
          </w:rPr>
          <w:t>三、基金管理人</w:t>
        </w:r>
        <w:r w:rsidR="0087389D" w:rsidRPr="0087389D">
          <w:rPr>
            <w:rFonts w:asciiTheme="minorEastAsia" w:eastAsiaTheme="minorEastAsia" w:hAnsiTheme="minorEastAsia"/>
            <w:webHidden/>
            <w:color w:val="auto"/>
          </w:rPr>
          <w:tab/>
        </w:r>
        <w:r w:rsidR="0087389D" w:rsidRPr="0087389D">
          <w:rPr>
            <w:rFonts w:asciiTheme="minorEastAsia" w:eastAsiaTheme="minorEastAsia" w:hAnsiTheme="minorEastAsia"/>
            <w:webHidden/>
            <w:color w:val="auto"/>
          </w:rPr>
          <w:fldChar w:fldCharType="begin"/>
        </w:r>
        <w:r w:rsidR="0087389D" w:rsidRPr="0087389D">
          <w:rPr>
            <w:rFonts w:asciiTheme="minorEastAsia" w:eastAsiaTheme="minorEastAsia" w:hAnsiTheme="minorEastAsia"/>
            <w:webHidden/>
            <w:color w:val="auto"/>
          </w:rPr>
          <w:instrText xml:space="preserve"> PAGEREF _Toc41644961 \h </w:instrText>
        </w:r>
        <w:r w:rsidR="0087389D" w:rsidRPr="0087389D">
          <w:rPr>
            <w:rFonts w:asciiTheme="minorEastAsia" w:eastAsiaTheme="minorEastAsia" w:hAnsiTheme="minorEastAsia"/>
            <w:webHidden/>
            <w:color w:val="auto"/>
          </w:rPr>
        </w:r>
        <w:r w:rsidR="0087389D" w:rsidRPr="0087389D">
          <w:rPr>
            <w:rFonts w:asciiTheme="minorEastAsia" w:eastAsiaTheme="minorEastAsia" w:hAnsiTheme="minorEastAsia"/>
            <w:webHidden/>
            <w:color w:val="auto"/>
          </w:rPr>
          <w:fldChar w:fldCharType="separate"/>
        </w:r>
        <w:r w:rsidR="0087389D">
          <w:rPr>
            <w:rFonts w:asciiTheme="minorEastAsia" w:eastAsiaTheme="minorEastAsia" w:hAnsiTheme="minorEastAsia"/>
            <w:webHidden/>
            <w:color w:val="auto"/>
          </w:rPr>
          <w:t>6</w:t>
        </w:r>
        <w:r w:rsidR="0087389D" w:rsidRPr="0087389D">
          <w:rPr>
            <w:rFonts w:asciiTheme="minorEastAsia" w:eastAsiaTheme="minorEastAsia" w:hAnsiTheme="minorEastAsia"/>
            <w:webHidden/>
            <w:color w:val="auto"/>
          </w:rPr>
          <w:fldChar w:fldCharType="end"/>
        </w:r>
      </w:hyperlink>
    </w:p>
    <w:p w:rsidR="0087389D" w:rsidRPr="0087389D" w:rsidRDefault="000A07D6">
      <w:pPr>
        <w:pStyle w:val="10"/>
        <w:rPr>
          <w:rFonts w:asciiTheme="minorEastAsia" w:eastAsiaTheme="minorEastAsia" w:hAnsiTheme="minorEastAsia" w:cstheme="minorBidi"/>
          <w:caps w:val="0"/>
          <w:color w:val="auto"/>
          <w:sz w:val="21"/>
          <w:szCs w:val="22"/>
        </w:rPr>
      </w:pPr>
      <w:hyperlink w:anchor="_Toc41644962" w:history="1">
        <w:r w:rsidR="0087389D" w:rsidRPr="0087389D">
          <w:rPr>
            <w:rStyle w:val="a5"/>
            <w:rFonts w:asciiTheme="minorEastAsia" w:eastAsiaTheme="minorEastAsia" w:hAnsiTheme="minorEastAsia" w:hint="eastAsia"/>
            <w:b/>
            <w:color w:val="auto"/>
            <w:u w:val="none"/>
          </w:rPr>
          <w:t>四、基金托管人</w:t>
        </w:r>
        <w:r w:rsidR="0087389D" w:rsidRPr="0087389D">
          <w:rPr>
            <w:rFonts w:asciiTheme="minorEastAsia" w:eastAsiaTheme="minorEastAsia" w:hAnsiTheme="minorEastAsia"/>
            <w:webHidden/>
            <w:color w:val="auto"/>
          </w:rPr>
          <w:tab/>
        </w:r>
        <w:r w:rsidR="0087389D" w:rsidRPr="0087389D">
          <w:rPr>
            <w:rFonts w:asciiTheme="minorEastAsia" w:eastAsiaTheme="minorEastAsia" w:hAnsiTheme="minorEastAsia"/>
            <w:webHidden/>
            <w:color w:val="auto"/>
          </w:rPr>
          <w:fldChar w:fldCharType="begin"/>
        </w:r>
        <w:r w:rsidR="0087389D" w:rsidRPr="0087389D">
          <w:rPr>
            <w:rFonts w:asciiTheme="minorEastAsia" w:eastAsiaTheme="minorEastAsia" w:hAnsiTheme="minorEastAsia"/>
            <w:webHidden/>
            <w:color w:val="auto"/>
          </w:rPr>
          <w:instrText xml:space="preserve"> PAGEREF _Toc41644962 \h </w:instrText>
        </w:r>
        <w:r w:rsidR="0087389D" w:rsidRPr="0087389D">
          <w:rPr>
            <w:rFonts w:asciiTheme="minorEastAsia" w:eastAsiaTheme="minorEastAsia" w:hAnsiTheme="minorEastAsia"/>
            <w:webHidden/>
            <w:color w:val="auto"/>
          </w:rPr>
        </w:r>
        <w:r w:rsidR="0087389D" w:rsidRPr="0087389D">
          <w:rPr>
            <w:rFonts w:asciiTheme="minorEastAsia" w:eastAsiaTheme="minorEastAsia" w:hAnsiTheme="minorEastAsia"/>
            <w:webHidden/>
            <w:color w:val="auto"/>
          </w:rPr>
          <w:fldChar w:fldCharType="separate"/>
        </w:r>
        <w:r w:rsidR="0087389D">
          <w:rPr>
            <w:rFonts w:asciiTheme="minorEastAsia" w:eastAsiaTheme="minorEastAsia" w:hAnsiTheme="minorEastAsia"/>
            <w:webHidden/>
            <w:color w:val="auto"/>
          </w:rPr>
          <w:t>18</w:t>
        </w:r>
        <w:r w:rsidR="0087389D" w:rsidRPr="0087389D">
          <w:rPr>
            <w:rFonts w:asciiTheme="minorEastAsia" w:eastAsiaTheme="minorEastAsia" w:hAnsiTheme="minorEastAsia"/>
            <w:webHidden/>
            <w:color w:val="auto"/>
          </w:rPr>
          <w:fldChar w:fldCharType="end"/>
        </w:r>
      </w:hyperlink>
    </w:p>
    <w:p w:rsidR="0087389D" w:rsidRPr="0087389D" w:rsidRDefault="000A07D6">
      <w:pPr>
        <w:pStyle w:val="10"/>
        <w:rPr>
          <w:rFonts w:asciiTheme="minorEastAsia" w:eastAsiaTheme="minorEastAsia" w:hAnsiTheme="minorEastAsia" w:cstheme="minorBidi"/>
          <w:caps w:val="0"/>
          <w:color w:val="auto"/>
          <w:sz w:val="21"/>
          <w:szCs w:val="22"/>
        </w:rPr>
      </w:pPr>
      <w:hyperlink w:anchor="_Toc41644963" w:history="1">
        <w:r w:rsidR="0087389D" w:rsidRPr="0087389D">
          <w:rPr>
            <w:rStyle w:val="a5"/>
            <w:rFonts w:asciiTheme="minorEastAsia" w:eastAsiaTheme="minorEastAsia" w:hAnsiTheme="minorEastAsia" w:hint="eastAsia"/>
            <w:b/>
            <w:color w:val="auto"/>
            <w:u w:val="none"/>
          </w:rPr>
          <w:t>五、相关服务机构</w:t>
        </w:r>
        <w:r w:rsidR="0087389D" w:rsidRPr="0087389D">
          <w:rPr>
            <w:rFonts w:asciiTheme="minorEastAsia" w:eastAsiaTheme="minorEastAsia" w:hAnsiTheme="minorEastAsia"/>
            <w:webHidden/>
            <w:color w:val="auto"/>
          </w:rPr>
          <w:tab/>
        </w:r>
        <w:r w:rsidR="0087389D" w:rsidRPr="0087389D">
          <w:rPr>
            <w:rFonts w:asciiTheme="minorEastAsia" w:eastAsiaTheme="minorEastAsia" w:hAnsiTheme="minorEastAsia"/>
            <w:webHidden/>
            <w:color w:val="auto"/>
          </w:rPr>
          <w:fldChar w:fldCharType="begin"/>
        </w:r>
        <w:r w:rsidR="0087389D" w:rsidRPr="0087389D">
          <w:rPr>
            <w:rFonts w:asciiTheme="minorEastAsia" w:eastAsiaTheme="minorEastAsia" w:hAnsiTheme="minorEastAsia"/>
            <w:webHidden/>
            <w:color w:val="auto"/>
          </w:rPr>
          <w:instrText xml:space="preserve"> PAGEREF _Toc41644963 \h </w:instrText>
        </w:r>
        <w:r w:rsidR="0087389D" w:rsidRPr="0087389D">
          <w:rPr>
            <w:rFonts w:asciiTheme="minorEastAsia" w:eastAsiaTheme="minorEastAsia" w:hAnsiTheme="minorEastAsia"/>
            <w:webHidden/>
            <w:color w:val="auto"/>
          </w:rPr>
        </w:r>
        <w:r w:rsidR="0087389D" w:rsidRPr="0087389D">
          <w:rPr>
            <w:rFonts w:asciiTheme="minorEastAsia" w:eastAsiaTheme="minorEastAsia" w:hAnsiTheme="minorEastAsia"/>
            <w:webHidden/>
            <w:color w:val="auto"/>
          </w:rPr>
          <w:fldChar w:fldCharType="separate"/>
        </w:r>
        <w:r w:rsidR="0087389D">
          <w:rPr>
            <w:rFonts w:asciiTheme="minorEastAsia" w:eastAsiaTheme="minorEastAsia" w:hAnsiTheme="minorEastAsia"/>
            <w:webHidden/>
            <w:color w:val="auto"/>
          </w:rPr>
          <w:t>20</w:t>
        </w:r>
        <w:r w:rsidR="0087389D" w:rsidRPr="0087389D">
          <w:rPr>
            <w:rFonts w:asciiTheme="minorEastAsia" w:eastAsiaTheme="minorEastAsia" w:hAnsiTheme="minorEastAsia"/>
            <w:webHidden/>
            <w:color w:val="auto"/>
          </w:rPr>
          <w:fldChar w:fldCharType="end"/>
        </w:r>
      </w:hyperlink>
    </w:p>
    <w:p w:rsidR="0087389D" w:rsidRPr="0087389D" w:rsidRDefault="000A07D6">
      <w:pPr>
        <w:pStyle w:val="10"/>
        <w:rPr>
          <w:rFonts w:asciiTheme="minorEastAsia" w:eastAsiaTheme="minorEastAsia" w:hAnsiTheme="minorEastAsia" w:cstheme="minorBidi"/>
          <w:caps w:val="0"/>
          <w:color w:val="auto"/>
          <w:sz w:val="21"/>
          <w:szCs w:val="22"/>
        </w:rPr>
      </w:pPr>
      <w:hyperlink w:anchor="_Toc41644964" w:history="1">
        <w:r w:rsidR="0087389D" w:rsidRPr="0087389D">
          <w:rPr>
            <w:rStyle w:val="a5"/>
            <w:rFonts w:asciiTheme="minorEastAsia" w:eastAsiaTheme="minorEastAsia" w:hAnsiTheme="minorEastAsia" w:hint="eastAsia"/>
            <w:b/>
            <w:bCs/>
            <w:color w:val="auto"/>
            <w:u w:val="none"/>
          </w:rPr>
          <w:t>六、基金份额的分类</w:t>
        </w:r>
        <w:r w:rsidR="0087389D" w:rsidRPr="0087389D">
          <w:rPr>
            <w:rFonts w:asciiTheme="minorEastAsia" w:eastAsiaTheme="minorEastAsia" w:hAnsiTheme="minorEastAsia"/>
            <w:webHidden/>
            <w:color w:val="auto"/>
          </w:rPr>
          <w:tab/>
        </w:r>
        <w:r w:rsidR="0087389D" w:rsidRPr="0087389D">
          <w:rPr>
            <w:rFonts w:asciiTheme="minorEastAsia" w:eastAsiaTheme="minorEastAsia" w:hAnsiTheme="minorEastAsia"/>
            <w:webHidden/>
            <w:color w:val="auto"/>
          </w:rPr>
          <w:fldChar w:fldCharType="begin"/>
        </w:r>
        <w:r w:rsidR="0087389D" w:rsidRPr="0087389D">
          <w:rPr>
            <w:rFonts w:asciiTheme="minorEastAsia" w:eastAsiaTheme="minorEastAsia" w:hAnsiTheme="minorEastAsia"/>
            <w:webHidden/>
            <w:color w:val="auto"/>
          </w:rPr>
          <w:instrText xml:space="preserve"> PAGEREF _Toc41644964 \h </w:instrText>
        </w:r>
        <w:r w:rsidR="0087389D" w:rsidRPr="0087389D">
          <w:rPr>
            <w:rFonts w:asciiTheme="minorEastAsia" w:eastAsiaTheme="minorEastAsia" w:hAnsiTheme="minorEastAsia"/>
            <w:webHidden/>
            <w:color w:val="auto"/>
          </w:rPr>
        </w:r>
        <w:r w:rsidR="0087389D" w:rsidRPr="0087389D">
          <w:rPr>
            <w:rFonts w:asciiTheme="minorEastAsia" w:eastAsiaTheme="minorEastAsia" w:hAnsiTheme="minorEastAsia"/>
            <w:webHidden/>
            <w:color w:val="auto"/>
          </w:rPr>
          <w:fldChar w:fldCharType="separate"/>
        </w:r>
        <w:r w:rsidR="0087389D">
          <w:rPr>
            <w:rFonts w:asciiTheme="minorEastAsia" w:eastAsiaTheme="minorEastAsia" w:hAnsiTheme="minorEastAsia"/>
            <w:webHidden/>
            <w:color w:val="auto"/>
          </w:rPr>
          <w:t>77</w:t>
        </w:r>
        <w:r w:rsidR="0087389D" w:rsidRPr="0087389D">
          <w:rPr>
            <w:rFonts w:asciiTheme="minorEastAsia" w:eastAsiaTheme="minorEastAsia" w:hAnsiTheme="minorEastAsia"/>
            <w:webHidden/>
            <w:color w:val="auto"/>
          </w:rPr>
          <w:fldChar w:fldCharType="end"/>
        </w:r>
      </w:hyperlink>
    </w:p>
    <w:p w:rsidR="0087389D" w:rsidRPr="0087389D" w:rsidRDefault="000A07D6">
      <w:pPr>
        <w:pStyle w:val="10"/>
        <w:rPr>
          <w:rFonts w:asciiTheme="minorEastAsia" w:eastAsiaTheme="minorEastAsia" w:hAnsiTheme="minorEastAsia" w:cstheme="minorBidi"/>
          <w:caps w:val="0"/>
          <w:color w:val="auto"/>
          <w:sz w:val="21"/>
          <w:szCs w:val="22"/>
        </w:rPr>
      </w:pPr>
      <w:hyperlink w:anchor="_Toc41644965" w:history="1">
        <w:r w:rsidR="0087389D" w:rsidRPr="0087389D">
          <w:rPr>
            <w:rStyle w:val="a5"/>
            <w:rFonts w:asciiTheme="minorEastAsia" w:eastAsiaTheme="minorEastAsia" w:hAnsiTheme="minorEastAsia" w:hint="eastAsia"/>
            <w:b/>
            <w:bCs/>
            <w:color w:val="auto"/>
            <w:u w:val="none"/>
          </w:rPr>
          <w:t>七、基金的募集</w:t>
        </w:r>
        <w:r w:rsidR="0087389D" w:rsidRPr="0087389D">
          <w:rPr>
            <w:rFonts w:asciiTheme="minorEastAsia" w:eastAsiaTheme="minorEastAsia" w:hAnsiTheme="minorEastAsia"/>
            <w:webHidden/>
            <w:color w:val="auto"/>
          </w:rPr>
          <w:tab/>
        </w:r>
        <w:r w:rsidR="0087389D" w:rsidRPr="0087389D">
          <w:rPr>
            <w:rFonts w:asciiTheme="minorEastAsia" w:eastAsiaTheme="minorEastAsia" w:hAnsiTheme="minorEastAsia"/>
            <w:webHidden/>
            <w:color w:val="auto"/>
          </w:rPr>
          <w:fldChar w:fldCharType="begin"/>
        </w:r>
        <w:r w:rsidR="0087389D" w:rsidRPr="0087389D">
          <w:rPr>
            <w:rFonts w:asciiTheme="minorEastAsia" w:eastAsiaTheme="minorEastAsia" w:hAnsiTheme="minorEastAsia"/>
            <w:webHidden/>
            <w:color w:val="auto"/>
          </w:rPr>
          <w:instrText xml:space="preserve"> PAGEREF _Toc41644965 \h </w:instrText>
        </w:r>
        <w:r w:rsidR="0087389D" w:rsidRPr="0087389D">
          <w:rPr>
            <w:rFonts w:asciiTheme="minorEastAsia" w:eastAsiaTheme="minorEastAsia" w:hAnsiTheme="minorEastAsia"/>
            <w:webHidden/>
            <w:color w:val="auto"/>
          </w:rPr>
        </w:r>
        <w:r w:rsidR="0087389D" w:rsidRPr="0087389D">
          <w:rPr>
            <w:rFonts w:asciiTheme="minorEastAsia" w:eastAsiaTheme="minorEastAsia" w:hAnsiTheme="minorEastAsia"/>
            <w:webHidden/>
            <w:color w:val="auto"/>
          </w:rPr>
          <w:fldChar w:fldCharType="separate"/>
        </w:r>
        <w:r w:rsidR="0087389D">
          <w:rPr>
            <w:rFonts w:asciiTheme="minorEastAsia" w:eastAsiaTheme="minorEastAsia" w:hAnsiTheme="minorEastAsia"/>
            <w:webHidden/>
            <w:color w:val="auto"/>
          </w:rPr>
          <w:t>78</w:t>
        </w:r>
        <w:r w:rsidR="0087389D" w:rsidRPr="0087389D">
          <w:rPr>
            <w:rFonts w:asciiTheme="minorEastAsia" w:eastAsiaTheme="minorEastAsia" w:hAnsiTheme="minorEastAsia"/>
            <w:webHidden/>
            <w:color w:val="auto"/>
          </w:rPr>
          <w:fldChar w:fldCharType="end"/>
        </w:r>
      </w:hyperlink>
    </w:p>
    <w:p w:rsidR="0087389D" w:rsidRPr="0087389D" w:rsidRDefault="000A07D6">
      <w:pPr>
        <w:pStyle w:val="10"/>
        <w:rPr>
          <w:rFonts w:asciiTheme="minorEastAsia" w:eastAsiaTheme="minorEastAsia" w:hAnsiTheme="minorEastAsia" w:cstheme="minorBidi"/>
          <w:caps w:val="0"/>
          <w:color w:val="auto"/>
          <w:sz w:val="21"/>
          <w:szCs w:val="22"/>
        </w:rPr>
      </w:pPr>
      <w:hyperlink w:anchor="_Toc41644966" w:history="1">
        <w:r w:rsidR="0087389D" w:rsidRPr="0087389D">
          <w:rPr>
            <w:rStyle w:val="a5"/>
            <w:rFonts w:asciiTheme="minorEastAsia" w:eastAsiaTheme="minorEastAsia" w:hAnsiTheme="minorEastAsia" w:hint="eastAsia"/>
            <w:b/>
            <w:color w:val="auto"/>
            <w:u w:val="none"/>
          </w:rPr>
          <w:t>八、基金合同的生效</w:t>
        </w:r>
        <w:r w:rsidR="0087389D" w:rsidRPr="0087389D">
          <w:rPr>
            <w:rFonts w:asciiTheme="minorEastAsia" w:eastAsiaTheme="minorEastAsia" w:hAnsiTheme="minorEastAsia"/>
            <w:webHidden/>
            <w:color w:val="auto"/>
          </w:rPr>
          <w:tab/>
        </w:r>
        <w:r w:rsidR="0087389D" w:rsidRPr="0087389D">
          <w:rPr>
            <w:rFonts w:asciiTheme="minorEastAsia" w:eastAsiaTheme="minorEastAsia" w:hAnsiTheme="minorEastAsia"/>
            <w:webHidden/>
            <w:color w:val="auto"/>
          </w:rPr>
          <w:fldChar w:fldCharType="begin"/>
        </w:r>
        <w:r w:rsidR="0087389D" w:rsidRPr="0087389D">
          <w:rPr>
            <w:rFonts w:asciiTheme="minorEastAsia" w:eastAsiaTheme="minorEastAsia" w:hAnsiTheme="minorEastAsia"/>
            <w:webHidden/>
            <w:color w:val="auto"/>
          </w:rPr>
          <w:instrText xml:space="preserve"> PAGEREF _Toc41644966 \h </w:instrText>
        </w:r>
        <w:r w:rsidR="0087389D" w:rsidRPr="0087389D">
          <w:rPr>
            <w:rFonts w:asciiTheme="minorEastAsia" w:eastAsiaTheme="minorEastAsia" w:hAnsiTheme="minorEastAsia"/>
            <w:webHidden/>
            <w:color w:val="auto"/>
          </w:rPr>
        </w:r>
        <w:r w:rsidR="0087389D" w:rsidRPr="0087389D">
          <w:rPr>
            <w:rFonts w:asciiTheme="minorEastAsia" w:eastAsiaTheme="minorEastAsia" w:hAnsiTheme="minorEastAsia"/>
            <w:webHidden/>
            <w:color w:val="auto"/>
          </w:rPr>
          <w:fldChar w:fldCharType="separate"/>
        </w:r>
        <w:r w:rsidR="0087389D">
          <w:rPr>
            <w:rFonts w:asciiTheme="minorEastAsia" w:eastAsiaTheme="minorEastAsia" w:hAnsiTheme="minorEastAsia"/>
            <w:webHidden/>
            <w:color w:val="auto"/>
          </w:rPr>
          <w:t>79</w:t>
        </w:r>
        <w:r w:rsidR="0087389D" w:rsidRPr="0087389D">
          <w:rPr>
            <w:rFonts w:asciiTheme="minorEastAsia" w:eastAsiaTheme="minorEastAsia" w:hAnsiTheme="minorEastAsia"/>
            <w:webHidden/>
            <w:color w:val="auto"/>
          </w:rPr>
          <w:fldChar w:fldCharType="end"/>
        </w:r>
      </w:hyperlink>
    </w:p>
    <w:p w:rsidR="0087389D" w:rsidRPr="0087389D" w:rsidRDefault="000A07D6">
      <w:pPr>
        <w:pStyle w:val="10"/>
        <w:rPr>
          <w:rFonts w:asciiTheme="minorEastAsia" w:eastAsiaTheme="minorEastAsia" w:hAnsiTheme="minorEastAsia" w:cstheme="minorBidi"/>
          <w:caps w:val="0"/>
          <w:color w:val="auto"/>
          <w:sz w:val="21"/>
          <w:szCs w:val="22"/>
        </w:rPr>
      </w:pPr>
      <w:hyperlink w:anchor="_Toc41644967" w:history="1">
        <w:r w:rsidR="0087389D" w:rsidRPr="0087389D">
          <w:rPr>
            <w:rStyle w:val="a5"/>
            <w:rFonts w:asciiTheme="minorEastAsia" w:eastAsiaTheme="minorEastAsia" w:hAnsiTheme="minorEastAsia" w:hint="eastAsia"/>
            <w:b/>
            <w:color w:val="auto"/>
            <w:u w:val="none"/>
          </w:rPr>
          <w:t>九、基金份额的申购、赎回</w:t>
        </w:r>
        <w:r w:rsidR="0087389D" w:rsidRPr="0087389D">
          <w:rPr>
            <w:rFonts w:asciiTheme="minorEastAsia" w:eastAsiaTheme="minorEastAsia" w:hAnsiTheme="minorEastAsia"/>
            <w:webHidden/>
            <w:color w:val="auto"/>
          </w:rPr>
          <w:tab/>
        </w:r>
        <w:r w:rsidR="0087389D" w:rsidRPr="0087389D">
          <w:rPr>
            <w:rFonts w:asciiTheme="minorEastAsia" w:eastAsiaTheme="minorEastAsia" w:hAnsiTheme="minorEastAsia"/>
            <w:webHidden/>
            <w:color w:val="auto"/>
          </w:rPr>
          <w:fldChar w:fldCharType="begin"/>
        </w:r>
        <w:r w:rsidR="0087389D" w:rsidRPr="0087389D">
          <w:rPr>
            <w:rFonts w:asciiTheme="minorEastAsia" w:eastAsiaTheme="minorEastAsia" w:hAnsiTheme="minorEastAsia"/>
            <w:webHidden/>
            <w:color w:val="auto"/>
          </w:rPr>
          <w:instrText xml:space="preserve"> PAGEREF _Toc41644967 \h </w:instrText>
        </w:r>
        <w:r w:rsidR="0087389D" w:rsidRPr="0087389D">
          <w:rPr>
            <w:rFonts w:asciiTheme="minorEastAsia" w:eastAsiaTheme="minorEastAsia" w:hAnsiTheme="minorEastAsia"/>
            <w:webHidden/>
            <w:color w:val="auto"/>
          </w:rPr>
        </w:r>
        <w:r w:rsidR="0087389D" w:rsidRPr="0087389D">
          <w:rPr>
            <w:rFonts w:asciiTheme="minorEastAsia" w:eastAsiaTheme="minorEastAsia" w:hAnsiTheme="minorEastAsia"/>
            <w:webHidden/>
            <w:color w:val="auto"/>
          </w:rPr>
          <w:fldChar w:fldCharType="separate"/>
        </w:r>
        <w:r w:rsidR="0087389D">
          <w:rPr>
            <w:rFonts w:asciiTheme="minorEastAsia" w:eastAsiaTheme="minorEastAsia" w:hAnsiTheme="minorEastAsia"/>
            <w:webHidden/>
            <w:color w:val="auto"/>
          </w:rPr>
          <w:t>80</w:t>
        </w:r>
        <w:r w:rsidR="0087389D" w:rsidRPr="0087389D">
          <w:rPr>
            <w:rFonts w:asciiTheme="minorEastAsia" w:eastAsiaTheme="minorEastAsia" w:hAnsiTheme="minorEastAsia"/>
            <w:webHidden/>
            <w:color w:val="auto"/>
          </w:rPr>
          <w:fldChar w:fldCharType="end"/>
        </w:r>
      </w:hyperlink>
    </w:p>
    <w:p w:rsidR="0087389D" w:rsidRPr="0087389D" w:rsidRDefault="000A07D6">
      <w:pPr>
        <w:pStyle w:val="10"/>
        <w:rPr>
          <w:rFonts w:asciiTheme="minorEastAsia" w:eastAsiaTheme="minorEastAsia" w:hAnsiTheme="minorEastAsia" w:cstheme="minorBidi"/>
          <w:caps w:val="0"/>
          <w:color w:val="auto"/>
          <w:sz w:val="21"/>
          <w:szCs w:val="22"/>
        </w:rPr>
      </w:pPr>
      <w:hyperlink w:anchor="_Toc41644968" w:history="1">
        <w:r w:rsidR="0087389D" w:rsidRPr="0087389D">
          <w:rPr>
            <w:rStyle w:val="a5"/>
            <w:rFonts w:asciiTheme="minorEastAsia" w:eastAsiaTheme="minorEastAsia" w:hAnsiTheme="minorEastAsia" w:hint="eastAsia"/>
            <w:b/>
            <w:color w:val="auto"/>
            <w:u w:val="none"/>
          </w:rPr>
          <w:t>十、基金的转换</w:t>
        </w:r>
        <w:r w:rsidR="0087389D" w:rsidRPr="0087389D">
          <w:rPr>
            <w:rFonts w:asciiTheme="minorEastAsia" w:eastAsiaTheme="minorEastAsia" w:hAnsiTheme="minorEastAsia"/>
            <w:webHidden/>
            <w:color w:val="auto"/>
          </w:rPr>
          <w:tab/>
        </w:r>
        <w:r w:rsidR="0087389D" w:rsidRPr="0087389D">
          <w:rPr>
            <w:rFonts w:asciiTheme="minorEastAsia" w:eastAsiaTheme="minorEastAsia" w:hAnsiTheme="minorEastAsia"/>
            <w:webHidden/>
            <w:color w:val="auto"/>
          </w:rPr>
          <w:fldChar w:fldCharType="begin"/>
        </w:r>
        <w:r w:rsidR="0087389D" w:rsidRPr="0087389D">
          <w:rPr>
            <w:rFonts w:asciiTheme="minorEastAsia" w:eastAsiaTheme="minorEastAsia" w:hAnsiTheme="minorEastAsia"/>
            <w:webHidden/>
            <w:color w:val="auto"/>
          </w:rPr>
          <w:instrText xml:space="preserve"> PAGEREF _Toc41644968 \h </w:instrText>
        </w:r>
        <w:r w:rsidR="0087389D" w:rsidRPr="0087389D">
          <w:rPr>
            <w:rFonts w:asciiTheme="minorEastAsia" w:eastAsiaTheme="minorEastAsia" w:hAnsiTheme="minorEastAsia"/>
            <w:webHidden/>
            <w:color w:val="auto"/>
          </w:rPr>
        </w:r>
        <w:r w:rsidR="0087389D" w:rsidRPr="0087389D">
          <w:rPr>
            <w:rFonts w:asciiTheme="minorEastAsia" w:eastAsiaTheme="minorEastAsia" w:hAnsiTheme="minorEastAsia"/>
            <w:webHidden/>
            <w:color w:val="auto"/>
          </w:rPr>
          <w:fldChar w:fldCharType="separate"/>
        </w:r>
        <w:r w:rsidR="0087389D">
          <w:rPr>
            <w:rFonts w:asciiTheme="minorEastAsia" w:eastAsiaTheme="minorEastAsia" w:hAnsiTheme="minorEastAsia"/>
            <w:webHidden/>
            <w:color w:val="auto"/>
          </w:rPr>
          <w:t>88</w:t>
        </w:r>
        <w:r w:rsidR="0087389D" w:rsidRPr="0087389D">
          <w:rPr>
            <w:rFonts w:asciiTheme="minorEastAsia" w:eastAsiaTheme="minorEastAsia" w:hAnsiTheme="minorEastAsia"/>
            <w:webHidden/>
            <w:color w:val="auto"/>
          </w:rPr>
          <w:fldChar w:fldCharType="end"/>
        </w:r>
      </w:hyperlink>
    </w:p>
    <w:p w:rsidR="0087389D" w:rsidRPr="0087389D" w:rsidRDefault="000A07D6">
      <w:pPr>
        <w:pStyle w:val="10"/>
        <w:rPr>
          <w:rFonts w:asciiTheme="minorEastAsia" w:eastAsiaTheme="minorEastAsia" w:hAnsiTheme="minorEastAsia" w:cstheme="minorBidi"/>
          <w:caps w:val="0"/>
          <w:color w:val="auto"/>
          <w:sz w:val="21"/>
          <w:szCs w:val="22"/>
        </w:rPr>
      </w:pPr>
      <w:hyperlink w:anchor="_Toc41644969" w:history="1">
        <w:r w:rsidR="0087389D" w:rsidRPr="0087389D">
          <w:rPr>
            <w:rStyle w:val="a5"/>
            <w:rFonts w:asciiTheme="minorEastAsia" w:eastAsiaTheme="minorEastAsia" w:hAnsiTheme="minorEastAsia" w:hint="eastAsia"/>
            <w:b/>
            <w:color w:val="auto"/>
            <w:u w:val="none"/>
          </w:rPr>
          <w:t>十一、基金的转托管、非交易过户、冻结与解冻</w:t>
        </w:r>
        <w:r w:rsidR="0087389D" w:rsidRPr="0087389D">
          <w:rPr>
            <w:rFonts w:asciiTheme="minorEastAsia" w:eastAsiaTheme="minorEastAsia" w:hAnsiTheme="minorEastAsia"/>
            <w:webHidden/>
            <w:color w:val="auto"/>
          </w:rPr>
          <w:tab/>
        </w:r>
        <w:r w:rsidR="0087389D" w:rsidRPr="0087389D">
          <w:rPr>
            <w:rFonts w:asciiTheme="minorEastAsia" w:eastAsiaTheme="minorEastAsia" w:hAnsiTheme="minorEastAsia"/>
            <w:webHidden/>
            <w:color w:val="auto"/>
          </w:rPr>
          <w:fldChar w:fldCharType="begin"/>
        </w:r>
        <w:r w:rsidR="0087389D" w:rsidRPr="0087389D">
          <w:rPr>
            <w:rFonts w:asciiTheme="minorEastAsia" w:eastAsiaTheme="minorEastAsia" w:hAnsiTheme="minorEastAsia"/>
            <w:webHidden/>
            <w:color w:val="auto"/>
          </w:rPr>
          <w:instrText xml:space="preserve"> PAGEREF _Toc41644969 \h </w:instrText>
        </w:r>
        <w:r w:rsidR="0087389D" w:rsidRPr="0087389D">
          <w:rPr>
            <w:rFonts w:asciiTheme="minorEastAsia" w:eastAsiaTheme="minorEastAsia" w:hAnsiTheme="minorEastAsia"/>
            <w:webHidden/>
            <w:color w:val="auto"/>
          </w:rPr>
        </w:r>
        <w:r w:rsidR="0087389D" w:rsidRPr="0087389D">
          <w:rPr>
            <w:rFonts w:asciiTheme="minorEastAsia" w:eastAsiaTheme="minorEastAsia" w:hAnsiTheme="minorEastAsia"/>
            <w:webHidden/>
            <w:color w:val="auto"/>
          </w:rPr>
          <w:fldChar w:fldCharType="separate"/>
        </w:r>
        <w:r w:rsidR="0087389D">
          <w:rPr>
            <w:rFonts w:asciiTheme="minorEastAsia" w:eastAsiaTheme="minorEastAsia" w:hAnsiTheme="minorEastAsia"/>
            <w:webHidden/>
            <w:color w:val="auto"/>
          </w:rPr>
          <w:t>94</w:t>
        </w:r>
        <w:r w:rsidR="0087389D" w:rsidRPr="0087389D">
          <w:rPr>
            <w:rFonts w:asciiTheme="minorEastAsia" w:eastAsiaTheme="minorEastAsia" w:hAnsiTheme="minorEastAsia"/>
            <w:webHidden/>
            <w:color w:val="auto"/>
          </w:rPr>
          <w:fldChar w:fldCharType="end"/>
        </w:r>
      </w:hyperlink>
    </w:p>
    <w:p w:rsidR="0087389D" w:rsidRPr="0087389D" w:rsidRDefault="000A07D6">
      <w:pPr>
        <w:pStyle w:val="10"/>
        <w:rPr>
          <w:rFonts w:asciiTheme="minorEastAsia" w:eastAsiaTheme="minorEastAsia" w:hAnsiTheme="minorEastAsia" w:cstheme="minorBidi"/>
          <w:caps w:val="0"/>
          <w:color w:val="auto"/>
          <w:sz w:val="21"/>
          <w:szCs w:val="22"/>
        </w:rPr>
      </w:pPr>
      <w:hyperlink w:anchor="_Toc41644970" w:history="1">
        <w:r w:rsidR="0087389D" w:rsidRPr="0087389D">
          <w:rPr>
            <w:rStyle w:val="a5"/>
            <w:rFonts w:asciiTheme="minorEastAsia" w:eastAsiaTheme="minorEastAsia" w:hAnsiTheme="minorEastAsia" w:hint="eastAsia"/>
            <w:b/>
            <w:color w:val="auto"/>
            <w:u w:val="none"/>
          </w:rPr>
          <w:t>十二、基金的投资</w:t>
        </w:r>
        <w:r w:rsidR="0087389D" w:rsidRPr="0087389D">
          <w:rPr>
            <w:rFonts w:asciiTheme="minorEastAsia" w:eastAsiaTheme="minorEastAsia" w:hAnsiTheme="minorEastAsia"/>
            <w:webHidden/>
            <w:color w:val="auto"/>
          </w:rPr>
          <w:tab/>
        </w:r>
        <w:r w:rsidR="0087389D" w:rsidRPr="0087389D">
          <w:rPr>
            <w:rFonts w:asciiTheme="minorEastAsia" w:eastAsiaTheme="minorEastAsia" w:hAnsiTheme="minorEastAsia"/>
            <w:webHidden/>
            <w:color w:val="auto"/>
          </w:rPr>
          <w:fldChar w:fldCharType="begin"/>
        </w:r>
        <w:r w:rsidR="0087389D" w:rsidRPr="0087389D">
          <w:rPr>
            <w:rFonts w:asciiTheme="minorEastAsia" w:eastAsiaTheme="minorEastAsia" w:hAnsiTheme="minorEastAsia"/>
            <w:webHidden/>
            <w:color w:val="auto"/>
          </w:rPr>
          <w:instrText xml:space="preserve"> PAGEREF _Toc41644970 \h </w:instrText>
        </w:r>
        <w:r w:rsidR="0087389D" w:rsidRPr="0087389D">
          <w:rPr>
            <w:rFonts w:asciiTheme="minorEastAsia" w:eastAsiaTheme="minorEastAsia" w:hAnsiTheme="minorEastAsia"/>
            <w:webHidden/>
            <w:color w:val="auto"/>
          </w:rPr>
        </w:r>
        <w:r w:rsidR="0087389D" w:rsidRPr="0087389D">
          <w:rPr>
            <w:rFonts w:asciiTheme="minorEastAsia" w:eastAsiaTheme="minorEastAsia" w:hAnsiTheme="minorEastAsia"/>
            <w:webHidden/>
            <w:color w:val="auto"/>
          </w:rPr>
          <w:fldChar w:fldCharType="separate"/>
        </w:r>
        <w:r w:rsidR="0087389D">
          <w:rPr>
            <w:rFonts w:asciiTheme="minorEastAsia" w:eastAsiaTheme="minorEastAsia" w:hAnsiTheme="minorEastAsia"/>
            <w:webHidden/>
            <w:color w:val="auto"/>
          </w:rPr>
          <w:t>95</w:t>
        </w:r>
        <w:r w:rsidR="0087389D" w:rsidRPr="0087389D">
          <w:rPr>
            <w:rFonts w:asciiTheme="minorEastAsia" w:eastAsiaTheme="minorEastAsia" w:hAnsiTheme="minorEastAsia"/>
            <w:webHidden/>
            <w:color w:val="auto"/>
          </w:rPr>
          <w:fldChar w:fldCharType="end"/>
        </w:r>
      </w:hyperlink>
    </w:p>
    <w:p w:rsidR="0087389D" w:rsidRPr="0087389D" w:rsidRDefault="000A07D6">
      <w:pPr>
        <w:pStyle w:val="10"/>
        <w:rPr>
          <w:rFonts w:asciiTheme="minorEastAsia" w:eastAsiaTheme="minorEastAsia" w:hAnsiTheme="minorEastAsia" w:cstheme="minorBidi"/>
          <w:caps w:val="0"/>
          <w:color w:val="auto"/>
          <w:sz w:val="21"/>
          <w:szCs w:val="22"/>
        </w:rPr>
      </w:pPr>
      <w:hyperlink w:anchor="_Toc41644971" w:history="1">
        <w:r w:rsidR="0087389D" w:rsidRPr="0087389D">
          <w:rPr>
            <w:rStyle w:val="a5"/>
            <w:rFonts w:asciiTheme="minorEastAsia" w:eastAsiaTheme="minorEastAsia" w:hAnsiTheme="minorEastAsia" w:hint="eastAsia"/>
            <w:b/>
            <w:color w:val="auto"/>
            <w:u w:val="none"/>
          </w:rPr>
          <w:t>十三、基金的业绩</w:t>
        </w:r>
        <w:r w:rsidR="0087389D" w:rsidRPr="0087389D">
          <w:rPr>
            <w:rFonts w:asciiTheme="minorEastAsia" w:eastAsiaTheme="minorEastAsia" w:hAnsiTheme="minorEastAsia"/>
            <w:webHidden/>
            <w:color w:val="auto"/>
          </w:rPr>
          <w:tab/>
        </w:r>
        <w:r w:rsidR="0087389D" w:rsidRPr="0087389D">
          <w:rPr>
            <w:rFonts w:asciiTheme="minorEastAsia" w:eastAsiaTheme="minorEastAsia" w:hAnsiTheme="minorEastAsia"/>
            <w:webHidden/>
            <w:color w:val="auto"/>
          </w:rPr>
          <w:fldChar w:fldCharType="begin"/>
        </w:r>
        <w:r w:rsidR="0087389D" w:rsidRPr="0087389D">
          <w:rPr>
            <w:rFonts w:asciiTheme="minorEastAsia" w:eastAsiaTheme="minorEastAsia" w:hAnsiTheme="minorEastAsia"/>
            <w:webHidden/>
            <w:color w:val="auto"/>
          </w:rPr>
          <w:instrText xml:space="preserve"> PAGEREF _Toc41644971 \h </w:instrText>
        </w:r>
        <w:r w:rsidR="0087389D" w:rsidRPr="0087389D">
          <w:rPr>
            <w:rFonts w:asciiTheme="minorEastAsia" w:eastAsiaTheme="minorEastAsia" w:hAnsiTheme="minorEastAsia"/>
            <w:webHidden/>
            <w:color w:val="auto"/>
          </w:rPr>
        </w:r>
        <w:r w:rsidR="0087389D" w:rsidRPr="0087389D">
          <w:rPr>
            <w:rFonts w:asciiTheme="minorEastAsia" w:eastAsiaTheme="minorEastAsia" w:hAnsiTheme="minorEastAsia"/>
            <w:webHidden/>
            <w:color w:val="auto"/>
          </w:rPr>
          <w:fldChar w:fldCharType="separate"/>
        </w:r>
        <w:r w:rsidR="0087389D">
          <w:rPr>
            <w:rFonts w:asciiTheme="minorEastAsia" w:eastAsiaTheme="minorEastAsia" w:hAnsiTheme="minorEastAsia"/>
            <w:webHidden/>
            <w:color w:val="auto"/>
          </w:rPr>
          <w:t>107</w:t>
        </w:r>
        <w:r w:rsidR="0087389D" w:rsidRPr="0087389D">
          <w:rPr>
            <w:rFonts w:asciiTheme="minorEastAsia" w:eastAsiaTheme="minorEastAsia" w:hAnsiTheme="minorEastAsia"/>
            <w:webHidden/>
            <w:color w:val="auto"/>
          </w:rPr>
          <w:fldChar w:fldCharType="end"/>
        </w:r>
      </w:hyperlink>
    </w:p>
    <w:p w:rsidR="0087389D" w:rsidRPr="0087389D" w:rsidRDefault="000A07D6">
      <w:pPr>
        <w:pStyle w:val="10"/>
        <w:rPr>
          <w:rFonts w:asciiTheme="minorEastAsia" w:eastAsiaTheme="minorEastAsia" w:hAnsiTheme="minorEastAsia" w:cstheme="minorBidi"/>
          <w:caps w:val="0"/>
          <w:color w:val="auto"/>
          <w:sz w:val="21"/>
          <w:szCs w:val="22"/>
        </w:rPr>
      </w:pPr>
      <w:hyperlink w:anchor="_Toc41644972" w:history="1">
        <w:r w:rsidR="0087389D" w:rsidRPr="0087389D">
          <w:rPr>
            <w:rStyle w:val="a5"/>
            <w:rFonts w:asciiTheme="minorEastAsia" w:eastAsiaTheme="minorEastAsia" w:hAnsiTheme="minorEastAsia" w:hint="eastAsia"/>
            <w:b/>
            <w:color w:val="auto"/>
            <w:u w:val="none"/>
          </w:rPr>
          <w:t>十四、基金的财产</w:t>
        </w:r>
        <w:r w:rsidR="0087389D" w:rsidRPr="0087389D">
          <w:rPr>
            <w:rFonts w:asciiTheme="minorEastAsia" w:eastAsiaTheme="minorEastAsia" w:hAnsiTheme="minorEastAsia"/>
            <w:webHidden/>
            <w:color w:val="auto"/>
          </w:rPr>
          <w:tab/>
        </w:r>
        <w:r w:rsidR="0087389D" w:rsidRPr="0087389D">
          <w:rPr>
            <w:rFonts w:asciiTheme="minorEastAsia" w:eastAsiaTheme="minorEastAsia" w:hAnsiTheme="minorEastAsia"/>
            <w:webHidden/>
            <w:color w:val="auto"/>
          </w:rPr>
          <w:fldChar w:fldCharType="begin"/>
        </w:r>
        <w:r w:rsidR="0087389D" w:rsidRPr="0087389D">
          <w:rPr>
            <w:rFonts w:asciiTheme="minorEastAsia" w:eastAsiaTheme="minorEastAsia" w:hAnsiTheme="minorEastAsia"/>
            <w:webHidden/>
            <w:color w:val="auto"/>
          </w:rPr>
          <w:instrText xml:space="preserve"> PAGEREF _Toc41644972 \h </w:instrText>
        </w:r>
        <w:r w:rsidR="0087389D" w:rsidRPr="0087389D">
          <w:rPr>
            <w:rFonts w:asciiTheme="minorEastAsia" w:eastAsiaTheme="minorEastAsia" w:hAnsiTheme="minorEastAsia"/>
            <w:webHidden/>
            <w:color w:val="auto"/>
          </w:rPr>
        </w:r>
        <w:r w:rsidR="0087389D" w:rsidRPr="0087389D">
          <w:rPr>
            <w:rFonts w:asciiTheme="minorEastAsia" w:eastAsiaTheme="minorEastAsia" w:hAnsiTheme="minorEastAsia"/>
            <w:webHidden/>
            <w:color w:val="auto"/>
          </w:rPr>
          <w:fldChar w:fldCharType="separate"/>
        </w:r>
        <w:r w:rsidR="0087389D">
          <w:rPr>
            <w:rFonts w:asciiTheme="minorEastAsia" w:eastAsiaTheme="minorEastAsia" w:hAnsiTheme="minorEastAsia"/>
            <w:webHidden/>
            <w:color w:val="auto"/>
          </w:rPr>
          <w:t>110</w:t>
        </w:r>
        <w:r w:rsidR="0087389D" w:rsidRPr="0087389D">
          <w:rPr>
            <w:rFonts w:asciiTheme="minorEastAsia" w:eastAsiaTheme="minorEastAsia" w:hAnsiTheme="minorEastAsia"/>
            <w:webHidden/>
            <w:color w:val="auto"/>
          </w:rPr>
          <w:fldChar w:fldCharType="end"/>
        </w:r>
      </w:hyperlink>
    </w:p>
    <w:p w:rsidR="0087389D" w:rsidRPr="0087389D" w:rsidRDefault="000A07D6">
      <w:pPr>
        <w:pStyle w:val="10"/>
        <w:rPr>
          <w:rFonts w:asciiTheme="minorEastAsia" w:eastAsiaTheme="minorEastAsia" w:hAnsiTheme="minorEastAsia" w:cstheme="minorBidi"/>
          <w:caps w:val="0"/>
          <w:color w:val="auto"/>
          <w:sz w:val="21"/>
          <w:szCs w:val="22"/>
        </w:rPr>
      </w:pPr>
      <w:hyperlink w:anchor="_Toc41644973" w:history="1">
        <w:r w:rsidR="0087389D" w:rsidRPr="0087389D">
          <w:rPr>
            <w:rStyle w:val="a5"/>
            <w:rFonts w:asciiTheme="minorEastAsia" w:eastAsiaTheme="minorEastAsia" w:hAnsiTheme="minorEastAsia" w:hint="eastAsia"/>
            <w:b/>
            <w:color w:val="auto"/>
            <w:u w:val="none"/>
          </w:rPr>
          <w:t>十五、基金资产的估值</w:t>
        </w:r>
        <w:r w:rsidR="0087389D" w:rsidRPr="0087389D">
          <w:rPr>
            <w:rFonts w:asciiTheme="minorEastAsia" w:eastAsiaTheme="minorEastAsia" w:hAnsiTheme="minorEastAsia"/>
            <w:webHidden/>
            <w:color w:val="auto"/>
          </w:rPr>
          <w:tab/>
        </w:r>
        <w:r w:rsidR="0087389D" w:rsidRPr="0087389D">
          <w:rPr>
            <w:rFonts w:asciiTheme="minorEastAsia" w:eastAsiaTheme="minorEastAsia" w:hAnsiTheme="minorEastAsia"/>
            <w:webHidden/>
            <w:color w:val="auto"/>
          </w:rPr>
          <w:fldChar w:fldCharType="begin"/>
        </w:r>
        <w:r w:rsidR="0087389D" w:rsidRPr="0087389D">
          <w:rPr>
            <w:rFonts w:asciiTheme="minorEastAsia" w:eastAsiaTheme="minorEastAsia" w:hAnsiTheme="minorEastAsia"/>
            <w:webHidden/>
            <w:color w:val="auto"/>
          </w:rPr>
          <w:instrText xml:space="preserve"> PAGEREF _Toc41644973 \h </w:instrText>
        </w:r>
        <w:r w:rsidR="0087389D" w:rsidRPr="0087389D">
          <w:rPr>
            <w:rFonts w:asciiTheme="minorEastAsia" w:eastAsiaTheme="minorEastAsia" w:hAnsiTheme="minorEastAsia"/>
            <w:webHidden/>
            <w:color w:val="auto"/>
          </w:rPr>
        </w:r>
        <w:r w:rsidR="0087389D" w:rsidRPr="0087389D">
          <w:rPr>
            <w:rFonts w:asciiTheme="minorEastAsia" w:eastAsiaTheme="minorEastAsia" w:hAnsiTheme="minorEastAsia"/>
            <w:webHidden/>
            <w:color w:val="auto"/>
          </w:rPr>
          <w:fldChar w:fldCharType="separate"/>
        </w:r>
        <w:r w:rsidR="0087389D">
          <w:rPr>
            <w:rFonts w:asciiTheme="minorEastAsia" w:eastAsiaTheme="minorEastAsia" w:hAnsiTheme="minorEastAsia"/>
            <w:webHidden/>
            <w:color w:val="auto"/>
          </w:rPr>
          <w:t>111</w:t>
        </w:r>
        <w:r w:rsidR="0087389D" w:rsidRPr="0087389D">
          <w:rPr>
            <w:rFonts w:asciiTheme="minorEastAsia" w:eastAsiaTheme="minorEastAsia" w:hAnsiTheme="minorEastAsia"/>
            <w:webHidden/>
            <w:color w:val="auto"/>
          </w:rPr>
          <w:fldChar w:fldCharType="end"/>
        </w:r>
      </w:hyperlink>
    </w:p>
    <w:p w:rsidR="0087389D" w:rsidRPr="0087389D" w:rsidRDefault="000A07D6">
      <w:pPr>
        <w:pStyle w:val="10"/>
        <w:rPr>
          <w:rFonts w:asciiTheme="minorEastAsia" w:eastAsiaTheme="minorEastAsia" w:hAnsiTheme="minorEastAsia" w:cstheme="minorBidi"/>
          <w:caps w:val="0"/>
          <w:color w:val="auto"/>
          <w:sz w:val="21"/>
          <w:szCs w:val="22"/>
        </w:rPr>
      </w:pPr>
      <w:hyperlink w:anchor="_Toc41644974" w:history="1">
        <w:r w:rsidR="0087389D" w:rsidRPr="0087389D">
          <w:rPr>
            <w:rStyle w:val="a5"/>
            <w:rFonts w:asciiTheme="minorEastAsia" w:eastAsiaTheme="minorEastAsia" w:hAnsiTheme="minorEastAsia" w:hint="eastAsia"/>
            <w:b/>
            <w:color w:val="auto"/>
            <w:u w:val="none"/>
          </w:rPr>
          <w:t>十六、基金的收益分配</w:t>
        </w:r>
        <w:r w:rsidR="0087389D" w:rsidRPr="0087389D">
          <w:rPr>
            <w:rFonts w:asciiTheme="minorEastAsia" w:eastAsiaTheme="minorEastAsia" w:hAnsiTheme="minorEastAsia"/>
            <w:webHidden/>
            <w:color w:val="auto"/>
          </w:rPr>
          <w:tab/>
        </w:r>
        <w:r w:rsidR="0087389D" w:rsidRPr="0087389D">
          <w:rPr>
            <w:rFonts w:asciiTheme="minorEastAsia" w:eastAsiaTheme="minorEastAsia" w:hAnsiTheme="minorEastAsia"/>
            <w:webHidden/>
            <w:color w:val="auto"/>
          </w:rPr>
          <w:fldChar w:fldCharType="begin"/>
        </w:r>
        <w:r w:rsidR="0087389D" w:rsidRPr="0087389D">
          <w:rPr>
            <w:rFonts w:asciiTheme="minorEastAsia" w:eastAsiaTheme="minorEastAsia" w:hAnsiTheme="minorEastAsia"/>
            <w:webHidden/>
            <w:color w:val="auto"/>
          </w:rPr>
          <w:instrText xml:space="preserve"> PAGEREF _Toc41644974 \h </w:instrText>
        </w:r>
        <w:r w:rsidR="0087389D" w:rsidRPr="0087389D">
          <w:rPr>
            <w:rFonts w:asciiTheme="minorEastAsia" w:eastAsiaTheme="minorEastAsia" w:hAnsiTheme="minorEastAsia"/>
            <w:webHidden/>
            <w:color w:val="auto"/>
          </w:rPr>
        </w:r>
        <w:r w:rsidR="0087389D" w:rsidRPr="0087389D">
          <w:rPr>
            <w:rFonts w:asciiTheme="minorEastAsia" w:eastAsiaTheme="minorEastAsia" w:hAnsiTheme="minorEastAsia"/>
            <w:webHidden/>
            <w:color w:val="auto"/>
          </w:rPr>
          <w:fldChar w:fldCharType="separate"/>
        </w:r>
        <w:r w:rsidR="0087389D">
          <w:rPr>
            <w:rFonts w:asciiTheme="minorEastAsia" w:eastAsiaTheme="minorEastAsia" w:hAnsiTheme="minorEastAsia"/>
            <w:webHidden/>
            <w:color w:val="auto"/>
          </w:rPr>
          <w:t>115</w:t>
        </w:r>
        <w:r w:rsidR="0087389D" w:rsidRPr="0087389D">
          <w:rPr>
            <w:rFonts w:asciiTheme="minorEastAsia" w:eastAsiaTheme="minorEastAsia" w:hAnsiTheme="minorEastAsia"/>
            <w:webHidden/>
            <w:color w:val="auto"/>
          </w:rPr>
          <w:fldChar w:fldCharType="end"/>
        </w:r>
      </w:hyperlink>
    </w:p>
    <w:p w:rsidR="0087389D" w:rsidRPr="0087389D" w:rsidRDefault="000A07D6">
      <w:pPr>
        <w:pStyle w:val="10"/>
        <w:rPr>
          <w:rFonts w:asciiTheme="minorEastAsia" w:eastAsiaTheme="minorEastAsia" w:hAnsiTheme="minorEastAsia" w:cstheme="minorBidi"/>
          <w:caps w:val="0"/>
          <w:color w:val="auto"/>
          <w:sz w:val="21"/>
          <w:szCs w:val="22"/>
        </w:rPr>
      </w:pPr>
      <w:hyperlink w:anchor="_Toc41644975" w:history="1">
        <w:r w:rsidR="0087389D" w:rsidRPr="0087389D">
          <w:rPr>
            <w:rStyle w:val="a5"/>
            <w:rFonts w:asciiTheme="minorEastAsia" w:eastAsiaTheme="minorEastAsia" w:hAnsiTheme="minorEastAsia" w:hint="eastAsia"/>
            <w:b/>
            <w:color w:val="auto"/>
            <w:u w:val="none"/>
          </w:rPr>
          <w:t>十七、基金的费用与税收</w:t>
        </w:r>
        <w:r w:rsidR="0087389D" w:rsidRPr="0087389D">
          <w:rPr>
            <w:rFonts w:asciiTheme="minorEastAsia" w:eastAsiaTheme="minorEastAsia" w:hAnsiTheme="minorEastAsia"/>
            <w:webHidden/>
            <w:color w:val="auto"/>
          </w:rPr>
          <w:tab/>
        </w:r>
        <w:r w:rsidR="0087389D" w:rsidRPr="0087389D">
          <w:rPr>
            <w:rFonts w:asciiTheme="minorEastAsia" w:eastAsiaTheme="minorEastAsia" w:hAnsiTheme="minorEastAsia"/>
            <w:webHidden/>
            <w:color w:val="auto"/>
          </w:rPr>
          <w:fldChar w:fldCharType="begin"/>
        </w:r>
        <w:r w:rsidR="0087389D" w:rsidRPr="0087389D">
          <w:rPr>
            <w:rFonts w:asciiTheme="minorEastAsia" w:eastAsiaTheme="minorEastAsia" w:hAnsiTheme="minorEastAsia"/>
            <w:webHidden/>
            <w:color w:val="auto"/>
          </w:rPr>
          <w:instrText xml:space="preserve"> PAGEREF _Toc41644975 \h </w:instrText>
        </w:r>
        <w:r w:rsidR="0087389D" w:rsidRPr="0087389D">
          <w:rPr>
            <w:rFonts w:asciiTheme="minorEastAsia" w:eastAsiaTheme="minorEastAsia" w:hAnsiTheme="minorEastAsia"/>
            <w:webHidden/>
            <w:color w:val="auto"/>
          </w:rPr>
        </w:r>
        <w:r w:rsidR="0087389D" w:rsidRPr="0087389D">
          <w:rPr>
            <w:rFonts w:asciiTheme="minorEastAsia" w:eastAsiaTheme="minorEastAsia" w:hAnsiTheme="minorEastAsia"/>
            <w:webHidden/>
            <w:color w:val="auto"/>
          </w:rPr>
          <w:fldChar w:fldCharType="separate"/>
        </w:r>
        <w:r w:rsidR="0087389D">
          <w:rPr>
            <w:rFonts w:asciiTheme="minorEastAsia" w:eastAsiaTheme="minorEastAsia" w:hAnsiTheme="minorEastAsia"/>
            <w:webHidden/>
            <w:color w:val="auto"/>
          </w:rPr>
          <w:t>117</w:t>
        </w:r>
        <w:r w:rsidR="0087389D" w:rsidRPr="0087389D">
          <w:rPr>
            <w:rFonts w:asciiTheme="minorEastAsia" w:eastAsiaTheme="minorEastAsia" w:hAnsiTheme="minorEastAsia"/>
            <w:webHidden/>
            <w:color w:val="auto"/>
          </w:rPr>
          <w:fldChar w:fldCharType="end"/>
        </w:r>
      </w:hyperlink>
    </w:p>
    <w:p w:rsidR="0087389D" w:rsidRPr="0087389D" w:rsidRDefault="000A07D6">
      <w:pPr>
        <w:pStyle w:val="10"/>
        <w:rPr>
          <w:rFonts w:asciiTheme="minorEastAsia" w:eastAsiaTheme="minorEastAsia" w:hAnsiTheme="minorEastAsia" w:cstheme="minorBidi"/>
          <w:caps w:val="0"/>
          <w:color w:val="auto"/>
          <w:sz w:val="21"/>
          <w:szCs w:val="22"/>
        </w:rPr>
      </w:pPr>
      <w:hyperlink w:anchor="_Toc41644976" w:history="1">
        <w:r w:rsidR="0087389D" w:rsidRPr="0087389D">
          <w:rPr>
            <w:rStyle w:val="a5"/>
            <w:rFonts w:asciiTheme="minorEastAsia" w:eastAsiaTheme="minorEastAsia" w:hAnsiTheme="minorEastAsia" w:hint="eastAsia"/>
            <w:b/>
            <w:color w:val="auto"/>
            <w:u w:val="none"/>
          </w:rPr>
          <w:t>十八、基金的会计与审计</w:t>
        </w:r>
        <w:r w:rsidR="0087389D" w:rsidRPr="0087389D">
          <w:rPr>
            <w:rFonts w:asciiTheme="minorEastAsia" w:eastAsiaTheme="minorEastAsia" w:hAnsiTheme="minorEastAsia"/>
            <w:webHidden/>
            <w:color w:val="auto"/>
          </w:rPr>
          <w:tab/>
        </w:r>
        <w:r w:rsidR="0087389D" w:rsidRPr="0087389D">
          <w:rPr>
            <w:rFonts w:asciiTheme="minorEastAsia" w:eastAsiaTheme="minorEastAsia" w:hAnsiTheme="minorEastAsia"/>
            <w:webHidden/>
            <w:color w:val="auto"/>
          </w:rPr>
          <w:fldChar w:fldCharType="begin"/>
        </w:r>
        <w:r w:rsidR="0087389D" w:rsidRPr="0087389D">
          <w:rPr>
            <w:rFonts w:asciiTheme="minorEastAsia" w:eastAsiaTheme="minorEastAsia" w:hAnsiTheme="minorEastAsia"/>
            <w:webHidden/>
            <w:color w:val="auto"/>
          </w:rPr>
          <w:instrText xml:space="preserve"> PAGEREF _Toc41644976 \h </w:instrText>
        </w:r>
        <w:r w:rsidR="0087389D" w:rsidRPr="0087389D">
          <w:rPr>
            <w:rFonts w:asciiTheme="minorEastAsia" w:eastAsiaTheme="minorEastAsia" w:hAnsiTheme="minorEastAsia"/>
            <w:webHidden/>
            <w:color w:val="auto"/>
          </w:rPr>
        </w:r>
        <w:r w:rsidR="0087389D" w:rsidRPr="0087389D">
          <w:rPr>
            <w:rFonts w:asciiTheme="minorEastAsia" w:eastAsiaTheme="minorEastAsia" w:hAnsiTheme="minorEastAsia"/>
            <w:webHidden/>
            <w:color w:val="auto"/>
          </w:rPr>
          <w:fldChar w:fldCharType="separate"/>
        </w:r>
        <w:r w:rsidR="0087389D">
          <w:rPr>
            <w:rFonts w:asciiTheme="minorEastAsia" w:eastAsiaTheme="minorEastAsia" w:hAnsiTheme="minorEastAsia"/>
            <w:webHidden/>
            <w:color w:val="auto"/>
          </w:rPr>
          <w:t>120</w:t>
        </w:r>
        <w:r w:rsidR="0087389D" w:rsidRPr="0087389D">
          <w:rPr>
            <w:rFonts w:asciiTheme="minorEastAsia" w:eastAsiaTheme="minorEastAsia" w:hAnsiTheme="minorEastAsia"/>
            <w:webHidden/>
            <w:color w:val="auto"/>
          </w:rPr>
          <w:fldChar w:fldCharType="end"/>
        </w:r>
      </w:hyperlink>
    </w:p>
    <w:p w:rsidR="0087389D" w:rsidRPr="0087389D" w:rsidRDefault="000A07D6">
      <w:pPr>
        <w:pStyle w:val="10"/>
        <w:rPr>
          <w:rFonts w:asciiTheme="minorEastAsia" w:eastAsiaTheme="minorEastAsia" w:hAnsiTheme="minorEastAsia" w:cstheme="minorBidi"/>
          <w:caps w:val="0"/>
          <w:color w:val="auto"/>
          <w:sz w:val="21"/>
          <w:szCs w:val="22"/>
        </w:rPr>
      </w:pPr>
      <w:hyperlink w:anchor="_Toc41644977" w:history="1">
        <w:r w:rsidR="0087389D" w:rsidRPr="0087389D">
          <w:rPr>
            <w:rStyle w:val="a5"/>
            <w:rFonts w:asciiTheme="minorEastAsia" w:eastAsiaTheme="minorEastAsia" w:hAnsiTheme="minorEastAsia" w:hint="eastAsia"/>
            <w:b/>
            <w:color w:val="auto"/>
            <w:u w:val="none"/>
          </w:rPr>
          <w:t>十九、基金的信息披露</w:t>
        </w:r>
        <w:r w:rsidR="0087389D" w:rsidRPr="0087389D">
          <w:rPr>
            <w:rFonts w:asciiTheme="minorEastAsia" w:eastAsiaTheme="minorEastAsia" w:hAnsiTheme="minorEastAsia"/>
            <w:webHidden/>
            <w:color w:val="auto"/>
          </w:rPr>
          <w:tab/>
        </w:r>
        <w:r w:rsidR="0087389D" w:rsidRPr="0087389D">
          <w:rPr>
            <w:rFonts w:asciiTheme="minorEastAsia" w:eastAsiaTheme="minorEastAsia" w:hAnsiTheme="minorEastAsia"/>
            <w:webHidden/>
            <w:color w:val="auto"/>
          </w:rPr>
          <w:fldChar w:fldCharType="begin"/>
        </w:r>
        <w:r w:rsidR="0087389D" w:rsidRPr="0087389D">
          <w:rPr>
            <w:rFonts w:asciiTheme="minorEastAsia" w:eastAsiaTheme="minorEastAsia" w:hAnsiTheme="minorEastAsia"/>
            <w:webHidden/>
            <w:color w:val="auto"/>
          </w:rPr>
          <w:instrText xml:space="preserve"> PAGEREF _Toc41644977 \h </w:instrText>
        </w:r>
        <w:r w:rsidR="0087389D" w:rsidRPr="0087389D">
          <w:rPr>
            <w:rFonts w:asciiTheme="minorEastAsia" w:eastAsiaTheme="minorEastAsia" w:hAnsiTheme="minorEastAsia"/>
            <w:webHidden/>
            <w:color w:val="auto"/>
          </w:rPr>
        </w:r>
        <w:r w:rsidR="0087389D" w:rsidRPr="0087389D">
          <w:rPr>
            <w:rFonts w:asciiTheme="minorEastAsia" w:eastAsiaTheme="minorEastAsia" w:hAnsiTheme="minorEastAsia"/>
            <w:webHidden/>
            <w:color w:val="auto"/>
          </w:rPr>
          <w:fldChar w:fldCharType="separate"/>
        </w:r>
        <w:r w:rsidR="0087389D">
          <w:rPr>
            <w:rFonts w:asciiTheme="minorEastAsia" w:eastAsiaTheme="minorEastAsia" w:hAnsiTheme="minorEastAsia"/>
            <w:webHidden/>
            <w:color w:val="auto"/>
          </w:rPr>
          <w:t>121</w:t>
        </w:r>
        <w:r w:rsidR="0087389D" w:rsidRPr="0087389D">
          <w:rPr>
            <w:rFonts w:asciiTheme="minorEastAsia" w:eastAsiaTheme="minorEastAsia" w:hAnsiTheme="minorEastAsia"/>
            <w:webHidden/>
            <w:color w:val="auto"/>
          </w:rPr>
          <w:fldChar w:fldCharType="end"/>
        </w:r>
      </w:hyperlink>
    </w:p>
    <w:p w:rsidR="0087389D" w:rsidRPr="0087389D" w:rsidRDefault="000A07D6">
      <w:pPr>
        <w:pStyle w:val="10"/>
        <w:rPr>
          <w:rFonts w:asciiTheme="minorEastAsia" w:eastAsiaTheme="minorEastAsia" w:hAnsiTheme="minorEastAsia" w:cstheme="minorBidi"/>
          <w:caps w:val="0"/>
          <w:color w:val="auto"/>
          <w:sz w:val="21"/>
          <w:szCs w:val="22"/>
        </w:rPr>
      </w:pPr>
      <w:hyperlink w:anchor="_Toc41644978" w:history="1">
        <w:r w:rsidR="0087389D" w:rsidRPr="0087389D">
          <w:rPr>
            <w:rStyle w:val="a5"/>
            <w:rFonts w:asciiTheme="minorEastAsia" w:eastAsiaTheme="minorEastAsia" w:hAnsiTheme="minorEastAsia" w:hint="eastAsia"/>
            <w:b/>
            <w:color w:val="auto"/>
            <w:u w:val="none"/>
          </w:rPr>
          <w:t>二十、风险揭示</w:t>
        </w:r>
        <w:r w:rsidR="0087389D" w:rsidRPr="0087389D">
          <w:rPr>
            <w:rFonts w:asciiTheme="minorEastAsia" w:eastAsiaTheme="minorEastAsia" w:hAnsiTheme="minorEastAsia"/>
            <w:webHidden/>
            <w:color w:val="auto"/>
          </w:rPr>
          <w:tab/>
        </w:r>
        <w:r w:rsidR="0087389D" w:rsidRPr="0087389D">
          <w:rPr>
            <w:rFonts w:asciiTheme="minorEastAsia" w:eastAsiaTheme="minorEastAsia" w:hAnsiTheme="minorEastAsia"/>
            <w:webHidden/>
            <w:color w:val="auto"/>
          </w:rPr>
          <w:fldChar w:fldCharType="begin"/>
        </w:r>
        <w:r w:rsidR="0087389D" w:rsidRPr="0087389D">
          <w:rPr>
            <w:rFonts w:asciiTheme="minorEastAsia" w:eastAsiaTheme="minorEastAsia" w:hAnsiTheme="minorEastAsia"/>
            <w:webHidden/>
            <w:color w:val="auto"/>
          </w:rPr>
          <w:instrText xml:space="preserve"> PAGEREF _Toc41644978 \h </w:instrText>
        </w:r>
        <w:r w:rsidR="0087389D" w:rsidRPr="0087389D">
          <w:rPr>
            <w:rFonts w:asciiTheme="minorEastAsia" w:eastAsiaTheme="minorEastAsia" w:hAnsiTheme="minorEastAsia"/>
            <w:webHidden/>
            <w:color w:val="auto"/>
          </w:rPr>
        </w:r>
        <w:r w:rsidR="0087389D" w:rsidRPr="0087389D">
          <w:rPr>
            <w:rFonts w:asciiTheme="minorEastAsia" w:eastAsiaTheme="minorEastAsia" w:hAnsiTheme="minorEastAsia"/>
            <w:webHidden/>
            <w:color w:val="auto"/>
          </w:rPr>
          <w:fldChar w:fldCharType="separate"/>
        </w:r>
        <w:r w:rsidR="0087389D">
          <w:rPr>
            <w:rFonts w:asciiTheme="minorEastAsia" w:eastAsiaTheme="minorEastAsia" w:hAnsiTheme="minorEastAsia"/>
            <w:webHidden/>
            <w:color w:val="auto"/>
          </w:rPr>
          <w:t>126</w:t>
        </w:r>
        <w:r w:rsidR="0087389D" w:rsidRPr="0087389D">
          <w:rPr>
            <w:rFonts w:asciiTheme="minorEastAsia" w:eastAsiaTheme="minorEastAsia" w:hAnsiTheme="minorEastAsia"/>
            <w:webHidden/>
            <w:color w:val="auto"/>
          </w:rPr>
          <w:fldChar w:fldCharType="end"/>
        </w:r>
      </w:hyperlink>
    </w:p>
    <w:p w:rsidR="0087389D" w:rsidRPr="0087389D" w:rsidRDefault="000A07D6">
      <w:pPr>
        <w:pStyle w:val="10"/>
        <w:rPr>
          <w:rFonts w:asciiTheme="minorEastAsia" w:eastAsiaTheme="minorEastAsia" w:hAnsiTheme="minorEastAsia" w:cstheme="minorBidi"/>
          <w:caps w:val="0"/>
          <w:color w:val="auto"/>
          <w:sz w:val="21"/>
          <w:szCs w:val="22"/>
        </w:rPr>
      </w:pPr>
      <w:hyperlink w:anchor="_Toc41644979" w:history="1">
        <w:r w:rsidR="0087389D" w:rsidRPr="0087389D">
          <w:rPr>
            <w:rStyle w:val="a5"/>
            <w:rFonts w:asciiTheme="minorEastAsia" w:eastAsiaTheme="minorEastAsia" w:hAnsiTheme="minorEastAsia" w:hint="eastAsia"/>
            <w:b/>
            <w:color w:val="auto"/>
            <w:u w:val="none"/>
          </w:rPr>
          <w:t>二十一、基金合同的变更、终止与基金财产的清算</w:t>
        </w:r>
        <w:r w:rsidR="0087389D" w:rsidRPr="0087389D">
          <w:rPr>
            <w:rFonts w:asciiTheme="minorEastAsia" w:eastAsiaTheme="minorEastAsia" w:hAnsiTheme="minorEastAsia"/>
            <w:webHidden/>
            <w:color w:val="auto"/>
          </w:rPr>
          <w:tab/>
        </w:r>
        <w:r w:rsidR="0087389D" w:rsidRPr="0087389D">
          <w:rPr>
            <w:rFonts w:asciiTheme="minorEastAsia" w:eastAsiaTheme="minorEastAsia" w:hAnsiTheme="minorEastAsia"/>
            <w:webHidden/>
            <w:color w:val="auto"/>
          </w:rPr>
          <w:fldChar w:fldCharType="begin"/>
        </w:r>
        <w:r w:rsidR="0087389D" w:rsidRPr="0087389D">
          <w:rPr>
            <w:rFonts w:asciiTheme="minorEastAsia" w:eastAsiaTheme="minorEastAsia" w:hAnsiTheme="minorEastAsia"/>
            <w:webHidden/>
            <w:color w:val="auto"/>
          </w:rPr>
          <w:instrText xml:space="preserve"> PAGEREF _Toc41644979 \h </w:instrText>
        </w:r>
        <w:r w:rsidR="0087389D" w:rsidRPr="0087389D">
          <w:rPr>
            <w:rFonts w:asciiTheme="minorEastAsia" w:eastAsiaTheme="minorEastAsia" w:hAnsiTheme="minorEastAsia"/>
            <w:webHidden/>
            <w:color w:val="auto"/>
          </w:rPr>
        </w:r>
        <w:r w:rsidR="0087389D" w:rsidRPr="0087389D">
          <w:rPr>
            <w:rFonts w:asciiTheme="minorEastAsia" w:eastAsiaTheme="minorEastAsia" w:hAnsiTheme="minorEastAsia"/>
            <w:webHidden/>
            <w:color w:val="auto"/>
          </w:rPr>
          <w:fldChar w:fldCharType="separate"/>
        </w:r>
        <w:r w:rsidR="0087389D">
          <w:rPr>
            <w:rFonts w:asciiTheme="minorEastAsia" w:eastAsiaTheme="minorEastAsia" w:hAnsiTheme="minorEastAsia"/>
            <w:webHidden/>
            <w:color w:val="auto"/>
          </w:rPr>
          <w:t>129</w:t>
        </w:r>
        <w:r w:rsidR="0087389D" w:rsidRPr="0087389D">
          <w:rPr>
            <w:rFonts w:asciiTheme="minorEastAsia" w:eastAsiaTheme="minorEastAsia" w:hAnsiTheme="minorEastAsia"/>
            <w:webHidden/>
            <w:color w:val="auto"/>
          </w:rPr>
          <w:fldChar w:fldCharType="end"/>
        </w:r>
      </w:hyperlink>
    </w:p>
    <w:p w:rsidR="0087389D" w:rsidRPr="0087389D" w:rsidRDefault="000A07D6">
      <w:pPr>
        <w:pStyle w:val="10"/>
        <w:rPr>
          <w:rFonts w:asciiTheme="minorEastAsia" w:eastAsiaTheme="minorEastAsia" w:hAnsiTheme="minorEastAsia" w:cstheme="minorBidi"/>
          <w:caps w:val="0"/>
          <w:color w:val="auto"/>
          <w:sz w:val="21"/>
          <w:szCs w:val="22"/>
        </w:rPr>
      </w:pPr>
      <w:hyperlink w:anchor="_Toc41644980" w:history="1">
        <w:r w:rsidR="0087389D" w:rsidRPr="0087389D">
          <w:rPr>
            <w:rStyle w:val="a5"/>
            <w:rFonts w:asciiTheme="minorEastAsia" w:eastAsiaTheme="minorEastAsia" w:hAnsiTheme="minorEastAsia" w:hint="eastAsia"/>
            <w:b/>
            <w:color w:val="auto"/>
            <w:u w:val="none"/>
          </w:rPr>
          <w:t>二十二、基金合同的内容摘要</w:t>
        </w:r>
        <w:r w:rsidR="0087389D" w:rsidRPr="0087389D">
          <w:rPr>
            <w:rFonts w:asciiTheme="minorEastAsia" w:eastAsiaTheme="minorEastAsia" w:hAnsiTheme="minorEastAsia"/>
            <w:webHidden/>
            <w:color w:val="auto"/>
          </w:rPr>
          <w:tab/>
        </w:r>
        <w:r w:rsidR="0087389D" w:rsidRPr="0087389D">
          <w:rPr>
            <w:rFonts w:asciiTheme="minorEastAsia" w:eastAsiaTheme="minorEastAsia" w:hAnsiTheme="minorEastAsia"/>
            <w:webHidden/>
            <w:color w:val="auto"/>
          </w:rPr>
          <w:fldChar w:fldCharType="begin"/>
        </w:r>
        <w:r w:rsidR="0087389D" w:rsidRPr="0087389D">
          <w:rPr>
            <w:rFonts w:asciiTheme="minorEastAsia" w:eastAsiaTheme="minorEastAsia" w:hAnsiTheme="minorEastAsia"/>
            <w:webHidden/>
            <w:color w:val="auto"/>
          </w:rPr>
          <w:instrText xml:space="preserve"> PAGEREF _Toc41644980 \h </w:instrText>
        </w:r>
        <w:r w:rsidR="0087389D" w:rsidRPr="0087389D">
          <w:rPr>
            <w:rFonts w:asciiTheme="minorEastAsia" w:eastAsiaTheme="minorEastAsia" w:hAnsiTheme="minorEastAsia"/>
            <w:webHidden/>
            <w:color w:val="auto"/>
          </w:rPr>
        </w:r>
        <w:r w:rsidR="0087389D" w:rsidRPr="0087389D">
          <w:rPr>
            <w:rFonts w:asciiTheme="minorEastAsia" w:eastAsiaTheme="minorEastAsia" w:hAnsiTheme="minorEastAsia"/>
            <w:webHidden/>
            <w:color w:val="auto"/>
          </w:rPr>
          <w:fldChar w:fldCharType="separate"/>
        </w:r>
        <w:r w:rsidR="0087389D">
          <w:rPr>
            <w:rFonts w:asciiTheme="minorEastAsia" w:eastAsiaTheme="minorEastAsia" w:hAnsiTheme="minorEastAsia"/>
            <w:webHidden/>
            <w:color w:val="auto"/>
          </w:rPr>
          <w:t>131</w:t>
        </w:r>
        <w:r w:rsidR="0087389D" w:rsidRPr="0087389D">
          <w:rPr>
            <w:rFonts w:asciiTheme="minorEastAsia" w:eastAsiaTheme="minorEastAsia" w:hAnsiTheme="minorEastAsia"/>
            <w:webHidden/>
            <w:color w:val="auto"/>
          </w:rPr>
          <w:fldChar w:fldCharType="end"/>
        </w:r>
      </w:hyperlink>
    </w:p>
    <w:p w:rsidR="0087389D" w:rsidRPr="0087389D" w:rsidRDefault="000A07D6">
      <w:pPr>
        <w:pStyle w:val="10"/>
        <w:rPr>
          <w:rFonts w:asciiTheme="minorEastAsia" w:eastAsiaTheme="minorEastAsia" w:hAnsiTheme="minorEastAsia" w:cstheme="minorBidi"/>
          <w:caps w:val="0"/>
          <w:color w:val="auto"/>
          <w:sz w:val="21"/>
          <w:szCs w:val="22"/>
        </w:rPr>
      </w:pPr>
      <w:hyperlink w:anchor="_Toc41644981" w:history="1">
        <w:r w:rsidR="0087389D" w:rsidRPr="0087389D">
          <w:rPr>
            <w:rStyle w:val="a5"/>
            <w:rFonts w:asciiTheme="minorEastAsia" w:eastAsiaTheme="minorEastAsia" w:hAnsiTheme="minorEastAsia" w:hint="eastAsia"/>
            <w:b/>
            <w:color w:val="auto"/>
            <w:u w:val="none"/>
          </w:rPr>
          <w:t>二十三、基金托管协议的内容摘要</w:t>
        </w:r>
        <w:r w:rsidR="0087389D" w:rsidRPr="0087389D">
          <w:rPr>
            <w:rFonts w:asciiTheme="minorEastAsia" w:eastAsiaTheme="minorEastAsia" w:hAnsiTheme="minorEastAsia"/>
            <w:webHidden/>
            <w:color w:val="auto"/>
          </w:rPr>
          <w:tab/>
        </w:r>
        <w:r w:rsidR="0087389D" w:rsidRPr="0087389D">
          <w:rPr>
            <w:rFonts w:asciiTheme="minorEastAsia" w:eastAsiaTheme="minorEastAsia" w:hAnsiTheme="minorEastAsia"/>
            <w:webHidden/>
            <w:color w:val="auto"/>
          </w:rPr>
          <w:fldChar w:fldCharType="begin"/>
        </w:r>
        <w:r w:rsidR="0087389D" w:rsidRPr="0087389D">
          <w:rPr>
            <w:rFonts w:asciiTheme="minorEastAsia" w:eastAsiaTheme="minorEastAsia" w:hAnsiTheme="minorEastAsia"/>
            <w:webHidden/>
            <w:color w:val="auto"/>
          </w:rPr>
          <w:instrText xml:space="preserve"> PAGEREF _Toc41644981 \h </w:instrText>
        </w:r>
        <w:r w:rsidR="0087389D" w:rsidRPr="0087389D">
          <w:rPr>
            <w:rFonts w:asciiTheme="minorEastAsia" w:eastAsiaTheme="minorEastAsia" w:hAnsiTheme="minorEastAsia"/>
            <w:webHidden/>
            <w:color w:val="auto"/>
          </w:rPr>
        </w:r>
        <w:r w:rsidR="0087389D" w:rsidRPr="0087389D">
          <w:rPr>
            <w:rFonts w:asciiTheme="minorEastAsia" w:eastAsiaTheme="minorEastAsia" w:hAnsiTheme="minorEastAsia"/>
            <w:webHidden/>
            <w:color w:val="auto"/>
          </w:rPr>
          <w:fldChar w:fldCharType="separate"/>
        </w:r>
        <w:r w:rsidR="0087389D">
          <w:rPr>
            <w:rFonts w:asciiTheme="minorEastAsia" w:eastAsiaTheme="minorEastAsia" w:hAnsiTheme="minorEastAsia"/>
            <w:webHidden/>
            <w:color w:val="auto"/>
          </w:rPr>
          <w:t>144</w:t>
        </w:r>
        <w:r w:rsidR="0087389D" w:rsidRPr="0087389D">
          <w:rPr>
            <w:rFonts w:asciiTheme="minorEastAsia" w:eastAsiaTheme="minorEastAsia" w:hAnsiTheme="minorEastAsia"/>
            <w:webHidden/>
            <w:color w:val="auto"/>
          </w:rPr>
          <w:fldChar w:fldCharType="end"/>
        </w:r>
      </w:hyperlink>
    </w:p>
    <w:p w:rsidR="0087389D" w:rsidRPr="0087389D" w:rsidRDefault="000A07D6">
      <w:pPr>
        <w:pStyle w:val="10"/>
        <w:rPr>
          <w:rFonts w:asciiTheme="minorEastAsia" w:eastAsiaTheme="minorEastAsia" w:hAnsiTheme="minorEastAsia" w:cstheme="minorBidi"/>
          <w:caps w:val="0"/>
          <w:color w:val="auto"/>
          <w:sz w:val="21"/>
          <w:szCs w:val="22"/>
        </w:rPr>
      </w:pPr>
      <w:hyperlink w:anchor="_Toc41644982" w:history="1">
        <w:r w:rsidR="0087389D" w:rsidRPr="0087389D">
          <w:rPr>
            <w:rStyle w:val="a5"/>
            <w:rFonts w:asciiTheme="minorEastAsia" w:eastAsiaTheme="minorEastAsia" w:hAnsiTheme="minorEastAsia" w:hint="eastAsia"/>
            <w:b/>
            <w:color w:val="auto"/>
            <w:u w:val="none"/>
          </w:rPr>
          <w:t>二十四、对基金份额持有人的服务</w:t>
        </w:r>
        <w:r w:rsidR="0087389D" w:rsidRPr="0087389D">
          <w:rPr>
            <w:rFonts w:asciiTheme="minorEastAsia" w:eastAsiaTheme="minorEastAsia" w:hAnsiTheme="minorEastAsia"/>
            <w:webHidden/>
            <w:color w:val="auto"/>
          </w:rPr>
          <w:tab/>
        </w:r>
        <w:r w:rsidR="0087389D" w:rsidRPr="0087389D">
          <w:rPr>
            <w:rFonts w:asciiTheme="minorEastAsia" w:eastAsiaTheme="minorEastAsia" w:hAnsiTheme="minorEastAsia"/>
            <w:webHidden/>
            <w:color w:val="auto"/>
          </w:rPr>
          <w:fldChar w:fldCharType="begin"/>
        </w:r>
        <w:r w:rsidR="0087389D" w:rsidRPr="0087389D">
          <w:rPr>
            <w:rFonts w:asciiTheme="minorEastAsia" w:eastAsiaTheme="minorEastAsia" w:hAnsiTheme="minorEastAsia"/>
            <w:webHidden/>
            <w:color w:val="auto"/>
          </w:rPr>
          <w:instrText xml:space="preserve"> PAGEREF _Toc41644982 \h </w:instrText>
        </w:r>
        <w:r w:rsidR="0087389D" w:rsidRPr="0087389D">
          <w:rPr>
            <w:rFonts w:asciiTheme="minorEastAsia" w:eastAsiaTheme="minorEastAsia" w:hAnsiTheme="minorEastAsia"/>
            <w:webHidden/>
            <w:color w:val="auto"/>
          </w:rPr>
        </w:r>
        <w:r w:rsidR="0087389D" w:rsidRPr="0087389D">
          <w:rPr>
            <w:rFonts w:asciiTheme="minorEastAsia" w:eastAsiaTheme="minorEastAsia" w:hAnsiTheme="minorEastAsia"/>
            <w:webHidden/>
            <w:color w:val="auto"/>
          </w:rPr>
          <w:fldChar w:fldCharType="separate"/>
        </w:r>
        <w:r w:rsidR="0087389D">
          <w:rPr>
            <w:rFonts w:asciiTheme="minorEastAsia" w:eastAsiaTheme="minorEastAsia" w:hAnsiTheme="minorEastAsia"/>
            <w:webHidden/>
            <w:color w:val="auto"/>
          </w:rPr>
          <w:t>160</w:t>
        </w:r>
        <w:r w:rsidR="0087389D" w:rsidRPr="0087389D">
          <w:rPr>
            <w:rFonts w:asciiTheme="minorEastAsia" w:eastAsiaTheme="minorEastAsia" w:hAnsiTheme="minorEastAsia"/>
            <w:webHidden/>
            <w:color w:val="auto"/>
          </w:rPr>
          <w:fldChar w:fldCharType="end"/>
        </w:r>
      </w:hyperlink>
    </w:p>
    <w:p w:rsidR="0087389D" w:rsidRPr="0087389D" w:rsidRDefault="000A07D6">
      <w:pPr>
        <w:pStyle w:val="10"/>
        <w:rPr>
          <w:rFonts w:asciiTheme="minorEastAsia" w:eastAsiaTheme="minorEastAsia" w:hAnsiTheme="minorEastAsia" w:cstheme="minorBidi"/>
          <w:caps w:val="0"/>
          <w:color w:val="auto"/>
          <w:sz w:val="21"/>
          <w:szCs w:val="22"/>
        </w:rPr>
      </w:pPr>
      <w:hyperlink w:anchor="_Toc41644983" w:history="1">
        <w:r w:rsidR="0087389D" w:rsidRPr="0087389D">
          <w:rPr>
            <w:rStyle w:val="a5"/>
            <w:rFonts w:asciiTheme="minorEastAsia" w:eastAsiaTheme="minorEastAsia" w:hAnsiTheme="minorEastAsia" w:hint="eastAsia"/>
            <w:b/>
            <w:color w:val="auto"/>
            <w:u w:val="none"/>
          </w:rPr>
          <w:t>二十五、其他应披露事项</w:t>
        </w:r>
        <w:r w:rsidR="0087389D" w:rsidRPr="0087389D">
          <w:rPr>
            <w:rFonts w:asciiTheme="minorEastAsia" w:eastAsiaTheme="minorEastAsia" w:hAnsiTheme="minorEastAsia"/>
            <w:webHidden/>
            <w:color w:val="auto"/>
          </w:rPr>
          <w:tab/>
        </w:r>
        <w:r w:rsidR="0087389D" w:rsidRPr="0087389D">
          <w:rPr>
            <w:rFonts w:asciiTheme="minorEastAsia" w:eastAsiaTheme="minorEastAsia" w:hAnsiTheme="minorEastAsia"/>
            <w:webHidden/>
            <w:color w:val="auto"/>
          </w:rPr>
          <w:fldChar w:fldCharType="begin"/>
        </w:r>
        <w:r w:rsidR="0087389D" w:rsidRPr="0087389D">
          <w:rPr>
            <w:rFonts w:asciiTheme="minorEastAsia" w:eastAsiaTheme="minorEastAsia" w:hAnsiTheme="minorEastAsia"/>
            <w:webHidden/>
            <w:color w:val="auto"/>
          </w:rPr>
          <w:instrText xml:space="preserve"> PAGEREF _Toc41644983 \h </w:instrText>
        </w:r>
        <w:r w:rsidR="0087389D" w:rsidRPr="0087389D">
          <w:rPr>
            <w:rFonts w:asciiTheme="minorEastAsia" w:eastAsiaTheme="minorEastAsia" w:hAnsiTheme="minorEastAsia"/>
            <w:webHidden/>
            <w:color w:val="auto"/>
          </w:rPr>
        </w:r>
        <w:r w:rsidR="0087389D" w:rsidRPr="0087389D">
          <w:rPr>
            <w:rFonts w:asciiTheme="minorEastAsia" w:eastAsiaTheme="minorEastAsia" w:hAnsiTheme="minorEastAsia"/>
            <w:webHidden/>
            <w:color w:val="auto"/>
          </w:rPr>
          <w:fldChar w:fldCharType="separate"/>
        </w:r>
        <w:r w:rsidR="0087389D">
          <w:rPr>
            <w:rFonts w:asciiTheme="minorEastAsia" w:eastAsiaTheme="minorEastAsia" w:hAnsiTheme="minorEastAsia"/>
            <w:webHidden/>
            <w:color w:val="auto"/>
          </w:rPr>
          <w:t>161</w:t>
        </w:r>
        <w:r w:rsidR="0087389D" w:rsidRPr="0087389D">
          <w:rPr>
            <w:rFonts w:asciiTheme="minorEastAsia" w:eastAsiaTheme="minorEastAsia" w:hAnsiTheme="minorEastAsia"/>
            <w:webHidden/>
            <w:color w:val="auto"/>
          </w:rPr>
          <w:fldChar w:fldCharType="end"/>
        </w:r>
      </w:hyperlink>
    </w:p>
    <w:p w:rsidR="0087389D" w:rsidRPr="0087389D" w:rsidRDefault="000A07D6">
      <w:pPr>
        <w:pStyle w:val="10"/>
        <w:rPr>
          <w:rFonts w:asciiTheme="minorEastAsia" w:eastAsiaTheme="minorEastAsia" w:hAnsiTheme="minorEastAsia" w:cstheme="minorBidi"/>
          <w:caps w:val="0"/>
          <w:color w:val="auto"/>
          <w:sz w:val="21"/>
          <w:szCs w:val="22"/>
        </w:rPr>
      </w:pPr>
      <w:hyperlink w:anchor="_Toc41644984" w:history="1">
        <w:r w:rsidR="0087389D" w:rsidRPr="0087389D">
          <w:rPr>
            <w:rStyle w:val="a5"/>
            <w:rFonts w:asciiTheme="minorEastAsia" w:eastAsiaTheme="minorEastAsia" w:hAnsiTheme="minorEastAsia" w:hint="eastAsia"/>
            <w:b/>
            <w:color w:val="auto"/>
            <w:u w:val="none"/>
          </w:rPr>
          <w:t>二十六、招募说明书的存放及查阅方式</w:t>
        </w:r>
        <w:r w:rsidR="0087389D" w:rsidRPr="0087389D">
          <w:rPr>
            <w:rFonts w:asciiTheme="minorEastAsia" w:eastAsiaTheme="minorEastAsia" w:hAnsiTheme="minorEastAsia"/>
            <w:webHidden/>
            <w:color w:val="auto"/>
          </w:rPr>
          <w:tab/>
        </w:r>
        <w:r w:rsidR="0087389D" w:rsidRPr="0087389D">
          <w:rPr>
            <w:rFonts w:asciiTheme="minorEastAsia" w:eastAsiaTheme="minorEastAsia" w:hAnsiTheme="minorEastAsia"/>
            <w:webHidden/>
            <w:color w:val="auto"/>
          </w:rPr>
          <w:fldChar w:fldCharType="begin"/>
        </w:r>
        <w:r w:rsidR="0087389D" w:rsidRPr="0087389D">
          <w:rPr>
            <w:rFonts w:asciiTheme="minorEastAsia" w:eastAsiaTheme="minorEastAsia" w:hAnsiTheme="minorEastAsia"/>
            <w:webHidden/>
            <w:color w:val="auto"/>
          </w:rPr>
          <w:instrText xml:space="preserve"> PAGEREF _Toc41644984 \h </w:instrText>
        </w:r>
        <w:r w:rsidR="0087389D" w:rsidRPr="0087389D">
          <w:rPr>
            <w:rFonts w:asciiTheme="minorEastAsia" w:eastAsiaTheme="minorEastAsia" w:hAnsiTheme="minorEastAsia"/>
            <w:webHidden/>
            <w:color w:val="auto"/>
          </w:rPr>
        </w:r>
        <w:r w:rsidR="0087389D" w:rsidRPr="0087389D">
          <w:rPr>
            <w:rFonts w:asciiTheme="minorEastAsia" w:eastAsiaTheme="minorEastAsia" w:hAnsiTheme="minorEastAsia"/>
            <w:webHidden/>
            <w:color w:val="auto"/>
          </w:rPr>
          <w:fldChar w:fldCharType="separate"/>
        </w:r>
        <w:r w:rsidR="0087389D">
          <w:rPr>
            <w:rFonts w:asciiTheme="minorEastAsia" w:eastAsiaTheme="minorEastAsia" w:hAnsiTheme="minorEastAsia"/>
            <w:webHidden/>
            <w:color w:val="auto"/>
          </w:rPr>
          <w:t>163</w:t>
        </w:r>
        <w:r w:rsidR="0087389D" w:rsidRPr="0087389D">
          <w:rPr>
            <w:rFonts w:asciiTheme="minorEastAsia" w:eastAsiaTheme="minorEastAsia" w:hAnsiTheme="minorEastAsia"/>
            <w:webHidden/>
            <w:color w:val="auto"/>
          </w:rPr>
          <w:fldChar w:fldCharType="end"/>
        </w:r>
      </w:hyperlink>
    </w:p>
    <w:p w:rsidR="0087389D" w:rsidRPr="0087389D" w:rsidRDefault="000A07D6">
      <w:pPr>
        <w:pStyle w:val="10"/>
        <w:rPr>
          <w:rFonts w:asciiTheme="minorEastAsia" w:eastAsiaTheme="minorEastAsia" w:hAnsiTheme="minorEastAsia" w:cstheme="minorBidi"/>
          <w:caps w:val="0"/>
          <w:color w:val="auto"/>
          <w:sz w:val="21"/>
          <w:szCs w:val="22"/>
        </w:rPr>
      </w:pPr>
      <w:hyperlink w:anchor="_Toc41644985" w:history="1">
        <w:r w:rsidR="0087389D" w:rsidRPr="0087389D">
          <w:rPr>
            <w:rStyle w:val="a5"/>
            <w:rFonts w:asciiTheme="minorEastAsia" w:eastAsiaTheme="minorEastAsia" w:hAnsiTheme="minorEastAsia" w:hint="eastAsia"/>
            <w:b/>
            <w:color w:val="auto"/>
            <w:u w:val="none"/>
          </w:rPr>
          <w:t>二十七、备查文件</w:t>
        </w:r>
        <w:r w:rsidR="0087389D" w:rsidRPr="0087389D">
          <w:rPr>
            <w:rFonts w:asciiTheme="minorEastAsia" w:eastAsiaTheme="minorEastAsia" w:hAnsiTheme="minorEastAsia"/>
            <w:webHidden/>
            <w:color w:val="auto"/>
          </w:rPr>
          <w:tab/>
        </w:r>
        <w:r w:rsidR="0087389D" w:rsidRPr="0087389D">
          <w:rPr>
            <w:rFonts w:asciiTheme="minorEastAsia" w:eastAsiaTheme="minorEastAsia" w:hAnsiTheme="minorEastAsia"/>
            <w:webHidden/>
            <w:color w:val="auto"/>
          </w:rPr>
          <w:fldChar w:fldCharType="begin"/>
        </w:r>
        <w:r w:rsidR="0087389D" w:rsidRPr="0087389D">
          <w:rPr>
            <w:rFonts w:asciiTheme="minorEastAsia" w:eastAsiaTheme="minorEastAsia" w:hAnsiTheme="minorEastAsia"/>
            <w:webHidden/>
            <w:color w:val="auto"/>
          </w:rPr>
          <w:instrText xml:space="preserve"> PAGEREF _Toc41644985 \h </w:instrText>
        </w:r>
        <w:r w:rsidR="0087389D" w:rsidRPr="0087389D">
          <w:rPr>
            <w:rFonts w:asciiTheme="minorEastAsia" w:eastAsiaTheme="minorEastAsia" w:hAnsiTheme="minorEastAsia"/>
            <w:webHidden/>
            <w:color w:val="auto"/>
          </w:rPr>
        </w:r>
        <w:r w:rsidR="0087389D" w:rsidRPr="0087389D">
          <w:rPr>
            <w:rFonts w:asciiTheme="minorEastAsia" w:eastAsiaTheme="minorEastAsia" w:hAnsiTheme="minorEastAsia"/>
            <w:webHidden/>
            <w:color w:val="auto"/>
          </w:rPr>
          <w:fldChar w:fldCharType="separate"/>
        </w:r>
        <w:r w:rsidR="0087389D">
          <w:rPr>
            <w:rFonts w:asciiTheme="minorEastAsia" w:eastAsiaTheme="minorEastAsia" w:hAnsiTheme="minorEastAsia"/>
            <w:webHidden/>
            <w:color w:val="auto"/>
          </w:rPr>
          <w:t>164</w:t>
        </w:r>
        <w:r w:rsidR="0087389D" w:rsidRPr="0087389D">
          <w:rPr>
            <w:rFonts w:asciiTheme="minorEastAsia" w:eastAsiaTheme="minorEastAsia" w:hAnsiTheme="minorEastAsia"/>
            <w:webHidden/>
            <w:color w:val="auto"/>
          </w:rPr>
          <w:fldChar w:fldCharType="end"/>
        </w:r>
      </w:hyperlink>
    </w:p>
    <w:p w:rsidR="00BA4B87" w:rsidRPr="0087389D" w:rsidRDefault="005D17B7" w:rsidP="00265870">
      <w:pPr>
        <w:snapToGrid w:val="0"/>
        <w:spacing w:line="360" w:lineRule="auto"/>
        <w:rPr>
          <w:rFonts w:asciiTheme="minorEastAsia" w:eastAsiaTheme="minorEastAsia" w:hAnsiTheme="minorEastAsia"/>
        </w:rPr>
        <w:sectPr w:rsidR="00BA4B87" w:rsidRPr="0087389D" w:rsidSect="00EE1A74">
          <w:footerReference w:type="default" r:id="rId15"/>
          <w:pgSz w:w="11906" w:h="16838" w:code="9"/>
          <w:pgMar w:top="1701" w:right="1814" w:bottom="1701" w:left="1814" w:header="1134" w:footer="1247" w:gutter="0"/>
          <w:pgNumType w:fmt="upperRoman" w:start="1"/>
          <w:cols w:space="720"/>
          <w:docGrid w:type="lines" w:linePitch="305"/>
        </w:sectPr>
      </w:pPr>
      <w:r w:rsidRPr="0087389D">
        <w:rPr>
          <w:rFonts w:asciiTheme="minorEastAsia" w:eastAsiaTheme="minorEastAsia" w:hAnsiTheme="minorEastAsia"/>
        </w:rPr>
        <w:fldChar w:fldCharType="end"/>
      </w:r>
    </w:p>
    <w:p w:rsidR="00BA4B87" w:rsidRPr="0087389D" w:rsidRDefault="00BA4B87" w:rsidP="00603BD9">
      <w:pPr>
        <w:pStyle w:val="111"/>
        <w:pageBreakBefore w:val="0"/>
        <w:snapToGrid w:val="0"/>
        <w:spacing w:beforeLines="0" w:afterLines="0" w:line="360" w:lineRule="auto"/>
        <w:ind w:firstLine="602"/>
        <w:rPr>
          <w:rFonts w:asciiTheme="minorEastAsia" w:eastAsiaTheme="minorEastAsia" w:hAnsiTheme="minorEastAsia"/>
          <w:b/>
          <w:sz w:val="30"/>
        </w:rPr>
      </w:pPr>
      <w:bookmarkStart w:id="0" w:name="_Toc361403730"/>
      <w:bookmarkStart w:id="1" w:name="_Toc41644959"/>
      <w:r w:rsidRPr="0087389D">
        <w:rPr>
          <w:rFonts w:asciiTheme="minorEastAsia" w:eastAsiaTheme="minorEastAsia" w:hAnsiTheme="minorEastAsia"/>
          <w:b/>
          <w:sz w:val="30"/>
        </w:rPr>
        <w:lastRenderedPageBreak/>
        <w:t>一、绪言</w:t>
      </w:r>
      <w:bookmarkEnd w:id="0"/>
      <w:bookmarkEnd w:id="1"/>
    </w:p>
    <w:p w:rsidR="00BA4B87" w:rsidRPr="0087389D" w:rsidRDefault="00BA4B87" w:rsidP="00555CE7">
      <w:pPr>
        <w:snapToGrid w:val="0"/>
        <w:spacing w:line="360" w:lineRule="auto"/>
        <w:ind w:firstLine="420"/>
        <w:rPr>
          <w:rFonts w:asciiTheme="minorEastAsia" w:eastAsiaTheme="minorEastAsia" w:hAnsiTheme="minorEastAsia"/>
        </w:rPr>
      </w:pPr>
      <w:r w:rsidRPr="0087389D">
        <w:rPr>
          <w:rFonts w:asciiTheme="minorEastAsia" w:eastAsiaTheme="minorEastAsia" w:hAnsiTheme="minorEastAsia"/>
        </w:rPr>
        <w:t>本招募说明书依据《中华人民共和国证券投资基金法》</w:t>
      </w:r>
      <w:r w:rsidR="00B329B1" w:rsidRPr="0087389D">
        <w:rPr>
          <w:rFonts w:asciiTheme="minorEastAsia" w:eastAsiaTheme="minorEastAsia" w:hAnsiTheme="minorEastAsia"/>
        </w:rPr>
        <w:t>（</w:t>
      </w:r>
      <w:r w:rsidRPr="0087389D">
        <w:rPr>
          <w:rFonts w:asciiTheme="minorEastAsia" w:eastAsiaTheme="minorEastAsia" w:hAnsiTheme="minorEastAsia"/>
        </w:rPr>
        <w:t>以下简称《基金法》</w:t>
      </w:r>
      <w:r w:rsidR="00B329B1" w:rsidRPr="0087389D">
        <w:rPr>
          <w:rFonts w:asciiTheme="minorEastAsia" w:eastAsiaTheme="minorEastAsia" w:hAnsiTheme="minorEastAsia"/>
        </w:rPr>
        <w:t>）</w:t>
      </w:r>
      <w:r w:rsidRPr="0087389D">
        <w:rPr>
          <w:rFonts w:asciiTheme="minorEastAsia" w:eastAsiaTheme="minorEastAsia" w:hAnsiTheme="minorEastAsia"/>
        </w:rPr>
        <w:t>、《</w:t>
      </w:r>
      <w:r w:rsidR="001B77B7" w:rsidRPr="0087389D">
        <w:rPr>
          <w:rFonts w:asciiTheme="minorEastAsia" w:eastAsiaTheme="minorEastAsia" w:hAnsiTheme="minorEastAsia" w:hint="eastAsia"/>
        </w:rPr>
        <w:t>公开募集</w:t>
      </w:r>
      <w:r w:rsidRPr="0087389D">
        <w:rPr>
          <w:rFonts w:asciiTheme="minorEastAsia" w:eastAsiaTheme="minorEastAsia" w:hAnsiTheme="minorEastAsia"/>
        </w:rPr>
        <w:t>证券投资基金运作管理办法》</w:t>
      </w:r>
      <w:r w:rsidR="00B329B1" w:rsidRPr="0087389D">
        <w:rPr>
          <w:rFonts w:asciiTheme="minorEastAsia" w:eastAsiaTheme="minorEastAsia" w:hAnsiTheme="minorEastAsia"/>
        </w:rPr>
        <w:t>（</w:t>
      </w:r>
      <w:r w:rsidRPr="0087389D">
        <w:rPr>
          <w:rFonts w:asciiTheme="minorEastAsia" w:eastAsiaTheme="minorEastAsia" w:hAnsiTheme="minorEastAsia"/>
        </w:rPr>
        <w:t>以下简称《运作办法》</w:t>
      </w:r>
      <w:r w:rsidR="00B329B1" w:rsidRPr="0087389D">
        <w:rPr>
          <w:rFonts w:asciiTheme="minorEastAsia" w:eastAsiaTheme="minorEastAsia" w:hAnsiTheme="minorEastAsia"/>
        </w:rPr>
        <w:t>）</w:t>
      </w:r>
      <w:r w:rsidRPr="0087389D">
        <w:rPr>
          <w:rFonts w:asciiTheme="minorEastAsia" w:eastAsiaTheme="minorEastAsia" w:hAnsiTheme="minorEastAsia"/>
        </w:rPr>
        <w:t>、《证券投资基金销售管理办法》</w:t>
      </w:r>
      <w:r w:rsidR="00B329B1" w:rsidRPr="0087389D">
        <w:rPr>
          <w:rFonts w:asciiTheme="minorEastAsia" w:eastAsiaTheme="minorEastAsia" w:hAnsiTheme="minorEastAsia"/>
        </w:rPr>
        <w:t>（</w:t>
      </w:r>
      <w:r w:rsidRPr="0087389D">
        <w:rPr>
          <w:rFonts w:asciiTheme="minorEastAsia" w:eastAsiaTheme="minorEastAsia" w:hAnsiTheme="minorEastAsia"/>
        </w:rPr>
        <w:t>以下简称《销售办法》</w:t>
      </w:r>
      <w:r w:rsidR="00B329B1" w:rsidRPr="0087389D">
        <w:rPr>
          <w:rFonts w:asciiTheme="minorEastAsia" w:eastAsiaTheme="minorEastAsia" w:hAnsiTheme="minorEastAsia"/>
        </w:rPr>
        <w:t>）</w:t>
      </w:r>
      <w:r w:rsidRPr="0087389D">
        <w:rPr>
          <w:rFonts w:asciiTheme="minorEastAsia" w:eastAsiaTheme="minorEastAsia" w:hAnsiTheme="minorEastAsia"/>
        </w:rPr>
        <w:t>、《</w:t>
      </w:r>
      <w:r w:rsidR="007B1DE8" w:rsidRPr="0087389D">
        <w:rPr>
          <w:rFonts w:asciiTheme="minorEastAsia" w:eastAsiaTheme="minorEastAsia" w:hAnsiTheme="minorEastAsia" w:hint="eastAsia"/>
        </w:rPr>
        <w:t>公开</w:t>
      </w:r>
      <w:r w:rsidR="007B1DE8" w:rsidRPr="0087389D">
        <w:rPr>
          <w:rFonts w:asciiTheme="minorEastAsia" w:eastAsiaTheme="minorEastAsia" w:hAnsiTheme="minorEastAsia"/>
        </w:rPr>
        <w:t>募集</w:t>
      </w:r>
      <w:r w:rsidRPr="0087389D">
        <w:rPr>
          <w:rFonts w:asciiTheme="minorEastAsia" w:eastAsiaTheme="minorEastAsia" w:hAnsiTheme="minorEastAsia"/>
        </w:rPr>
        <w:t>证券投资基金信息披露管理办法》</w:t>
      </w:r>
      <w:r w:rsidR="00B329B1" w:rsidRPr="0087389D">
        <w:rPr>
          <w:rFonts w:asciiTheme="minorEastAsia" w:eastAsiaTheme="minorEastAsia" w:hAnsiTheme="minorEastAsia"/>
        </w:rPr>
        <w:t>（</w:t>
      </w:r>
      <w:r w:rsidRPr="0087389D">
        <w:rPr>
          <w:rFonts w:asciiTheme="minorEastAsia" w:eastAsiaTheme="minorEastAsia" w:hAnsiTheme="minorEastAsia"/>
        </w:rPr>
        <w:t>以下简称《信息披露办法》</w:t>
      </w:r>
      <w:r w:rsidR="00B329B1" w:rsidRPr="0087389D">
        <w:rPr>
          <w:rFonts w:asciiTheme="minorEastAsia" w:eastAsiaTheme="minorEastAsia" w:hAnsiTheme="minorEastAsia"/>
        </w:rPr>
        <w:t>）</w:t>
      </w:r>
      <w:r w:rsidRPr="0087389D">
        <w:rPr>
          <w:rFonts w:asciiTheme="minorEastAsia" w:eastAsiaTheme="minorEastAsia" w:hAnsiTheme="minorEastAsia"/>
        </w:rPr>
        <w:t>、</w:t>
      </w:r>
      <w:r w:rsidR="008762E2" w:rsidRPr="0087389D">
        <w:rPr>
          <w:rFonts w:asciiTheme="minorEastAsia" w:eastAsiaTheme="minorEastAsia" w:hAnsiTheme="minorEastAsia" w:hint="eastAsia"/>
        </w:rPr>
        <w:t>《货币市场基金监督管理办法》、《关于实施＜货币市场基金监督管理办法＞有关问题的规定》</w:t>
      </w:r>
      <w:r w:rsidR="00D71054" w:rsidRPr="0087389D">
        <w:rPr>
          <w:rFonts w:asciiTheme="minorEastAsia" w:eastAsiaTheme="minorEastAsia" w:hAnsiTheme="minorEastAsia" w:hint="eastAsia"/>
        </w:rPr>
        <w:t>、《公开募集开放式证券投资基金流动性风险管理规定》</w:t>
      </w:r>
      <w:r w:rsidR="008762E2" w:rsidRPr="0087389D">
        <w:rPr>
          <w:rFonts w:asciiTheme="minorEastAsia" w:eastAsiaTheme="minorEastAsia" w:hAnsiTheme="minorEastAsia" w:hint="eastAsia"/>
        </w:rPr>
        <w:t>、</w:t>
      </w:r>
      <w:r w:rsidRPr="0087389D">
        <w:rPr>
          <w:rFonts w:asciiTheme="minorEastAsia" w:eastAsiaTheme="minorEastAsia" w:hAnsiTheme="minorEastAsia"/>
        </w:rPr>
        <w:t>《证券投资基金信息披露内容与格式准则第5号&lt;招募说明书的内容与格式&gt;》、《</w:t>
      </w:r>
      <w:r w:rsidR="00872236" w:rsidRPr="0087389D">
        <w:rPr>
          <w:rFonts w:asciiTheme="minorEastAsia" w:eastAsiaTheme="minorEastAsia" w:hAnsiTheme="minorEastAsia"/>
        </w:rPr>
        <w:t>易方达</w:t>
      </w:r>
      <w:r w:rsidR="00F64EC4" w:rsidRPr="0087389D">
        <w:rPr>
          <w:rFonts w:asciiTheme="minorEastAsia" w:eastAsiaTheme="minorEastAsia" w:hAnsiTheme="minorEastAsia"/>
        </w:rPr>
        <w:t>财富快线</w:t>
      </w:r>
      <w:r w:rsidR="00B66608" w:rsidRPr="0087389D">
        <w:rPr>
          <w:rFonts w:asciiTheme="minorEastAsia" w:eastAsiaTheme="minorEastAsia" w:hAnsiTheme="minorEastAsia"/>
        </w:rPr>
        <w:t>货币市场基金</w:t>
      </w:r>
      <w:r w:rsidRPr="0087389D">
        <w:rPr>
          <w:rFonts w:asciiTheme="minorEastAsia" w:eastAsiaTheme="minorEastAsia" w:hAnsiTheme="minorEastAsia"/>
        </w:rPr>
        <w:t>基金合同》</w:t>
      </w:r>
      <w:r w:rsidR="00B329B1" w:rsidRPr="0087389D">
        <w:rPr>
          <w:rFonts w:asciiTheme="minorEastAsia" w:eastAsiaTheme="minorEastAsia" w:hAnsiTheme="minorEastAsia"/>
        </w:rPr>
        <w:t>（</w:t>
      </w:r>
      <w:r w:rsidRPr="0087389D">
        <w:rPr>
          <w:rFonts w:asciiTheme="minorEastAsia" w:eastAsiaTheme="minorEastAsia" w:hAnsiTheme="minorEastAsia"/>
        </w:rPr>
        <w:t>以下简称基金合同</w:t>
      </w:r>
      <w:r w:rsidR="00B329B1" w:rsidRPr="0087389D">
        <w:rPr>
          <w:rFonts w:asciiTheme="minorEastAsia" w:eastAsiaTheme="minorEastAsia" w:hAnsiTheme="minorEastAsia"/>
        </w:rPr>
        <w:t>）</w:t>
      </w:r>
      <w:r w:rsidRPr="0087389D">
        <w:rPr>
          <w:rFonts w:asciiTheme="minorEastAsia" w:eastAsiaTheme="minorEastAsia" w:hAnsiTheme="minorEastAsia"/>
        </w:rPr>
        <w:t>及其它有关规定等编写。</w:t>
      </w:r>
    </w:p>
    <w:p w:rsidR="00BA4B87" w:rsidRPr="0087389D" w:rsidRDefault="00BA4B87" w:rsidP="00555CE7">
      <w:pPr>
        <w:snapToGrid w:val="0"/>
        <w:spacing w:line="360" w:lineRule="auto"/>
        <w:ind w:firstLine="420"/>
        <w:rPr>
          <w:rFonts w:asciiTheme="minorEastAsia" w:eastAsiaTheme="minorEastAsia" w:hAnsiTheme="minorEastAsia"/>
        </w:rPr>
      </w:pPr>
      <w:r w:rsidRPr="0087389D">
        <w:rPr>
          <w:rFonts w:asciiTheme="minorEastAsia" w:eastAsiaTheme="minorEastAsia" w:hAnsiTheme="minor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BA4B87" w:rsidRPr="0087389D" w:rsidRDefault="00BA4B87" w:rsidP="00555CE7">
      <w:pPr>
        <w:snapToGrid w:val="0"/>
        <w:spacing w:line="360" w:lineRule="auto"/>
        <w:ind w:firstLine="420"/>
        <w:rPr>
          <w:rFonts w:asciiTheme="minorEastAsia" w:eastAsiaTheme="minorEastAsia" w:hAnsiTheme="minorEastAsia"/>
        </w:rPr>
      </w:pPr>
      <w:r w:rsidRPr="0087389D">
        <w:rPr>
          <w:rFonts w:asciiTheme="minorEastAsia" w:eastAsiaTheme="minorEastAsia" w:hAnsiTheme="minorEastAsia"/>
        </w:rPr>
        <w:t>本招募说明书根据本基金的基金合同编写，并经中国证监会</w:t>
      </w:r>
      <w:r w:rsidR="00566D73" w:rsidRPr="0087389D">
        <w:rPr>
          <w:rFonts w:asciiTheme="minorEastAsia" w:eastAsiaTheme="minorEastAsia" w:hAnsiTheme="minorEastAsia" w:hint="eastAsia"/>
        </w:rPr>
        <w:t>注册</w:t>
      </w:r>
      <w:r w:rsidRPr="0087389D">
        <w:rPr>
          <w:rFonts w:asciiTheme="minorEastAsia" w:eastAsiaTheme="minorEastAsia" w:hAnsiTheme="minorEastAsia"/>
        </w:rPr>
        <w:t>。基金合同是约定基金当事人之间权利、义务的法律文件。基金</w:t>
      </w:r>
      <w:r w:rsidR="0007767A" w:rsidRPr="0087389D">
        <w:rPr>
          <w:rFonts w:asciiTheme="minorEastAsia" w:eastAsiaTheme="minorEastAsia" w:hAnsiTheme="minorEastAsia"/>
        </w:rPr>
        <w:t>投资者</w:t>
      </w:r>
      <w:r w:rsidRPr="0087389D">
        <w:rPr>
          <w:rFonts w:asciiTheme="minorEastAsia" w:eastAsiaTheme="minorEastAsia" w:hAnsiTheme="minorEastAsia"/>
        </w:rPr>
        <w:t>自依基金合同取得基金份额，即成为基金份额持有人和基金合同的当事人，其持有基金份额的行为本身即表明其对基金合同的承认和接受，并按照《基金法》、基金合同及其他有关规定享有权利、承担义务。基金</w:t>
      </w:r>
      <w:r w:rsidR="0007767A" w:rsidRPr="0087389D">
        <w:rPr>
          <w:rFonts w:asciiTheme="minorEastAsia" w:eastAsiaTheme="minorEastAsia" w:hAnsiTheme="minorEastAsia"/>
        </w:rPr>
        <w:t>投资者</w:t>
      </w:r>
      <w:r w:rsidRPr="0087389D">
        <w:rPr>
          <w:rFonts w:asciiTheme="minorEastAsia" w:eastAsiaTheme="minorEastAsia" w:hAnsiTheme="minorEastAsia"/>
        </w:rPr>
        <w:t>欲了解基金份额持有人的权利和义务，应详细查阅基金合同。</w:t>
      </w:r>
    </w:p>
    <w:p w:rsidR="00BA4B87" w:rsidRPr="0087389D" w:rsidRDefault="00BA4B87" w:rsidP="00555CE7">
      <w:pPr>
        <w:snapToGrid w:val="0"/>
        <w:spacing w:line="360" w:lineRule="auto"/>
        <w:ind w:firstLine="420"/>
        <w:rPr>
          <w:rFonts w:asciiTheme="minorEastAsia" w:eastAsiaTheme="minorEastAsia" w:hAnsiTheme="minorEastAsia"/>
        </w:rPr>
      </w:pPr>
    </w:p>
    <w:p w:rsidR="00BA4B87" w:rsidRPr="0087389D" w:rsidRDefault="00BA4B87" w:rsidP="00555CE7">
      <w:pPr>
        <w:snapToGrid w:val="0"/>
        <w:spacing w:line="360" w:lineRule="auto"/>
        <w:ind w:firstLine="420"/>
        <w:rPr>
          <w:rFonts w:asciiTheme="minorEastAsia" w:eastAsiaTheme="minorEastAsia" w:hAnsiTheme="minorEastAsia"/>
        </w:rPr>
      </w:pPr>
    </w:p>
    <w:p w:rsidR="00BA4B87" w:rsidRPr="0087389D" w:rsidRDefault="00BA4B87" w:rsidP="00555CE7">
      <w:pPr>
        <w:snapToGrid w:val="0"/>
        <w:spacing w:line="360" w:lineRule="auto"/>
        <w:ind w:firstLine="420"/>
        <w:rPr>
          <w:rFonts w:asciiTheme="minorEastAsia" w:eastAsiaTheme="minorEastAsia" w:hAnsiTheme="minorEastAsia"/>
        </w:rPr>
      </w:pPr>
    </w:p>
    <w:p w:rsidR="00BA4B87" w:rsidRPr="0087389D" w:rsidRDefault="00BA4B87" w:rsidP="00555CE7">
      <w:pPr>
        <w:snapToGrid w:val="0"/>
        <w:spacing w:line="360" w:lineRule="auto"/>
        <w:ind w:firstLine="420"/>
        <w:rPr>
          <w:rFonts w:asciiTheme="minorEastAsia" w:eastAsiaTheme="minorEastAsia" w:hAnsiTheme="minorEastAsia"/>
        </w:rPr>
      </w:pPr>
    </w:p>
    <w:p w:rsidR="00BA4B87" w:rsidRPr="0087389D" w:rsidRDefault="00BA4B87" w:rsidP="00555CE7">
      <w:pPr>
        <w:snapToGrid w:val="0"/>
        <w:spacing w:line="360" w:lineRule="auto"/>
        <w:ind w:firstLine="420"/>
        <w:rPr>
          <w:rFonts w:asciiTheme="minorEastAsia" w:eastAsiaTheme="minorEastAsia" w:hAnsiTheme="minorEastAsia"/>
        </w:rPr>
      </w:pPr>
    </w:p>
    <w:p w:rsidR="00BA4B87" w:rsidRPr="0087389D" w:rsidRDefault="00BA4B87" w:rsidP="00555CE7">
      <w:pPr>
        <w:snapToGrid w:val="0"/>
        <w:spacing w:line="360" w:lineRule="auto"/>
        <w:ind w:firstLine="420"/>
        <w:rPr>
          <w:rFonts w:asciiTheme="minorEastAsia" w:eastAsiaTheme="minorEastAsia" w:hAnsiTheme="minorEastAsia"/>
        </w:rPr>
      </w:pPr>
    </w:p>
    <w:p w:rsidR="00BA4B87" w:rsidRPr="0087389D" w:rsidRDefault="00BA4B87" w:rsidP="00555CE7">
      <w:pPr>
        <w:snapToGrid w:val="0"/>
        <w:spacing w:line="360" w:lineRule="auto"/>
        <w:ind w:firstLine="420"/>
        <w:rPr>
          <w:rFonts w:asciiTheme="minorEastAsia" w:eastAsiaTheme="minorEastAsia" w:hAnsiTheme="minorEastAsia"/>
        </w:rPr>
      </w:pPr>
    </w:p>
    <w:p w:rsidR="00BA4B87" w:rsidRPr="0087389D" w:rsidRDefault="00BA4B87" w:rsidP="00555CE7">
      <w:pPr>
        <w:snapToGrid w:val="0"/>
        <w:spacing w:line="360" w:lineRule="auto"/>
        <w:ind w:firstLine="420"/>
        <w:rPr>
          <w:rFonts w:asciiTheme="minorEastAsia" w:eastAsiaTheme="minorEastAsia" w:hAnsiTheme="minorEastAsia"/>
        </w:rPr>
      </w:pPr>
    </w:p>
    <w:p w:rsidR="00BA4B87" w:rsidRPr="0087389D" w:rsidRDefault="00BA4B87" w:rsidP="00555CE7">
      <w:pPr>
        <w:snapToGrid w:val="0"/>
        <w:spacing w:line="360" w:lineRule="auto"/>
        <w:ind w:firstLine="420"/>
        <w:rPr>
          <w:rFonts w:asciiTheme="minorEastAsia" w:eastAsiaTheme="minorEastAsia" w:hAnsiTheme="minorEastAsia"/>
        </w:rPr>
      </w:pPr>
    </w:p>
    <w:p w:rsidR="00BA4B87" w:rsidRPr="0087389D" w:rsidRDefault="00BA4B87" w:rsidP="00555CE7">
      <w:pPr>
        <w:snapToGrid w:val="0"/>
        <w:spacing w:line="360" w:lineRule="auto"/>
        <w:ind w:firstLine="420"/>
        <w:rPr>
          <w:rFonts w:asciiTheme="minorEastAsia" w:eastAsiaTheme="minorEastAsia" w:hAnsiTheme="minorEastAsia"/>
        </w:rPr>
      </w:pPr>
    </w:p>
    <w:p w:rsidR="00BA4B87" w:rsidRPr="0087389D" w:rsidRDefault="00BA4B87" w:rsidP="00555CE7">
      <w:pPr>
        <w:snapToGrid w:val="0"/>
        <w:spacing w:line="360" w:lineRule="auto"/>
        <w:ind w:firstLine="482"/>
        <w:rPr>
          <w:rFonts w:asciiTheme="minorEastAsia" w:eastAsiaTheme="minorEastAsia" w:hAnsiTheme="minorEastAsia"/>
        </w:rPr>
      </w:pPr>
    </w:p>
    <w:p w:rsidR="00BA4B87" w:rsidRPr="0087389D" w:rsidRDefault="00BA4B87" w:rsidP="00555CE7">
      <w:pPr>
        <w:snapToGrid w:val="0"/>
        <w:spacing w:line="360" w:lineRule="auto"/>
        <w:ind w:firstLine="482"/>
        <w:rPr>
          <w:rFonts w:asciiTheme="minorEastAsia" w:eastAsiaTheme="minorEastAsia" w:hAnsiTheme="minorEastAsia"/>
        </w:rPr>
      </w:pPr>
    </w:p>
    <w:p w:rsidR="00BA4B87" w:rsidRPr="0087389D" w:rsidRDefault="00BA4B87" w:rsidP="00555CE7">
      <w:pPr>
        <w:snapToGrid w:val="0"/>
        <w:spacing w:line="360" w:lineRule="auto"/>
        <w:ind w:firstLine="482"/>
        <w:rPr>
          <w:rFonts w:asciiTheme="minorEastAsia" w:eastAsiaTheme="minorEastAsia" w:hAnsiTheme="minorEastAsia"/>
        </w:rPr>
      </w:pPr>
    </w:p>
    <w:p w:rsidR="00265870" w:rsidRPr="0087389D" w:rsidRDefault="00265870" w:rsidP="00555CE7">
      <w:pPr>
        <w:snapToGrid w:val="0"/>
        <w:spacing w:line="360" w:lineRule="auto"/>
        <w:ind w:firstLine="482"/>
        <w:rPr>
          <w:rFonts w:asciiTheme="minorEastAsia" w:eastAsiaTheme="minorEastAsia" w:hAnsiTheme="minorEastAsia"/>
        </w:rPr>
      </w:pPr>
    </w:p>
    <w:p w:rsidR="00265870" w:rsidRPr="0087389D" w:rsidRDefault="00265870" w:rsidP="00555CE7">
      <w:pPr>
        <w:snapToGrid w:val="0"/>
        <w:spacing w:line="360" w:lineRule="auto"/>
        <w:ind w:firstLine="482"/>
        <w:rPr>
          <w:rFonts w:asciiTheme="minorEastAsia" w:eastAsiaTheme="minorEastAsia" w:hAnsiTheme="minorEastAsia"/>
        </w:rPr>
      </w:pPr>
    </w:p>
    <w:p w:rsidR="00265870" w:rsidRPr="0087389D" w:rsidRDefault="00265870" w:rsidP="00555CE7">
      <w:pPr>
        <w:snapToGrid w:val="0"/>
        <w:spacing w:line="360" w:lineRule="auto"/>
        <w:ind w:firstLine="482"/>
        <w:rPr>
          <w:rFonts w:asciiTheme="minorEastAsia" w:eastAsiaTheme="minorEastAsia" w:hAnsiTheme="minorEastAsia"/>
        </w:rPr>
      </w:pPr>
    </w:p>
    <w:p w:rsidR="00BA4B87" w:rsidRPr="0087389D" w:rsidRDefault="00BA4B87" w:rsidP="00555CE7">
      <w:pPr>
        <w:snapToGrid w:val="0"/>
        <w:spacing w:line="360" w:lineRule="auto"/>
        <w:ind w:firstLine="482"/>
        <w:rPr>
          <w:rFonts w:asciiTheme="minorEastAsia" w:eastAsiaTheme="minorEastAsia" w:hAnsiTheme="minorEastAsia"/>
        </w:rPr>
      </w:pPr>
    </w:p>
    <w:p w:rsidR="00BA4B87" w:rsidRPr="0087389D" w:rsidRDefault="00BA4B87" w:rsidP="00555CE7">
      <w:pPr>
        <w:pStyle w:val="111"/>
        <w:pageBreakBefore w:val="0"/>
        <w:snapToGrid w:val="0"/>
        <w:spacing w:beforeLines="0" w:afterLines="0" w:line="360" w:lineRule="auto"/>
        <w:ind w:firstLine="602"/>
        <w:rPr>
          <w:rFonts w:asciiTheme="minorEastAsia" w:eastAsiaTheme="minorEastAsia" w:hAnsiTheme="minorEastAsia"/>
          <w:b/>
          <w:sz w:val="30"/>
        </w:rPr>
      </w:pPr>
      <w:bookmarkStart w:id="2" w:name="_Toc361403731"/>
      <w:bookmarkStart w:id="3" w:name="_Toc41644960"/>
      <w:r w:rsidRPr="0087389D">
        <w:rPr>
          <w:rFonts w:asciiTheme="minorEastAsia" w:eastAsiaTheme="minorEastAsia" w:hAnsiTheme="minorEastAsia"/>
          <w:b/>
          <w:sz w:val="30"/>
        </w:rPr>
        <w:lastRenderedPageBreak/>
        <w:t>二、释义</w:t>
      </w:r>
      <w:bookmarkEnd w:id="2"/>
      <w:bookmarkEnd w:id="3"/>
    </w:p>
    <w:p w:rsidR="00BA4B87" w:rsidRPr="0087389D" w:rsidRDefault="00BA4B87"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szCs w:val="21"/>
        </w:rPr>
        <w:t>本招募说明</w:t>
      </w:r>
      <w:r w:rsidRPr="0087389D">
        <w:rPr>
          <w:rFonts w:asciiTheme="minorEastAsia" w:eastAsiaTheme="minorEastAsia" w:hAnsiTheme="minorEastAsia"/>
        </w:rPr>
        <w:t>书中除非文意另有所指，下列词语有如下含义：</w:t>
      </w:r>
    </w:p>
    <w:p w:rsidR="005A7855" w:rsidRPr="0087389D" w:rsidRDefault="005A7855"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1、基金或本基金：指易方达</w:t>
      </w:r>
      <w:r w:rsidR="00F64EC4" w:rsidRPr="0087389D">
        <w:rPr>
          <w:rFonts w:asciiTheme="minorEastAsia" w:eastAsiaTheme="minorEastAsia" w:hAnsiTheme="minorEastAsia" w:hint="eastAsia"/>
        </w:rPr>
        <w:t>财富快线</w:t>
      </w:r>
      <w:r w:rsidRPr="0087389D">
        <w:rPr>
          <w:rFonts w:asciiTheme="minorEastAsia" w:eastAsiaTheme="minorEastAsia" w:hAnsiTheme="minorEastAsia" w:hint="eastAsia"/>
        </w:rPr>
        <w:t>货币市场基金</w:t>
      </w:r>
    </w:p>
    <w:p w:rsidR="005A7855" w:rsidRPr="0087389D" w:rsidRDefault="005A7855"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2、基金管理人：指易方达基金管理有限公司</w:t>
      </w:r>
    </w:p>
    <w:p w:rsidR="005A7855" w:rsidRPr="0087389D" w:rsidRDefault="005A7855"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3、基金托管人：指中国</w:t>
      </w:r>
      <w:r w:rsidR="00F64EC4" w:rsidRPr="0087389D">
        <w:rPr>
          <w:rFonts w:asciiTheme="minorEastAsia" w:eastAsiaTheme="minorEastAsia" w:hAnsiTheme="minorEastAsia" w:hint="eastAsia"/>
        </w:rPr>
        <w:t>邮政储蓄</w:t>
      </w:r>
      <w:r w:rsidRPr="0087389D">
        <w:rPr>
          <w:rFonts w:asciiTheme="minorEastAsia" w:eastAsiaTheme="minorEastAsia" w:hAnsiTheme="minorEastAsia" w:hint="eastAsia"/>
        </w:rPr>
        <w:t>银行股份有限公司</w:t>
      </w:r>
    </w:p>
    <w:p w:rsidR="005A7855" w:rsidRPr="0087389D" w:rsidRDefault="005A7855"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4、基金合同：指《易方达</w:t>
      </w:r>
      <w:r w:rsidR="00F64EC4" w:rsidRPr="0087389D">
        <w:rPr>
          <w:rFonts w:asciiTheme="minorEastAsia" w:eastAsiaTheme="minorEastAsia" w:hAnsiTheme="minorEastAsia" w:hint="eastAsia"/>
        </w:rPr>
        <w:t>财富快线</w:t>
      </w:r>
      <w:r w:rsidRPr="0087389D">
        <w:rPr>
          <w:rFonts w:asciiTheme="minorEastAsia" w:eastAsiaTheme="minorEastAsia" w:hAnsiTheme="minorEastAsia" w:hint="eastAsia"/>
        </w:rPr>
        <w:t>货币市场基金基金合同》及对基金合同的任何有效修订和补充</w:t>
      </w:r>
    </w:p>
    <w:p w:rsidR="005A7855" w:rsidRPr="0087389D" w:rsidRDefault="005A7855"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5、托管协议：指基金管理人与基金托管人就本基金签订之《易方达</w:t>
      </w:r>
      <w:r w:rsidR="00F64EC4" w:rsidRPr="0087389D">
        <w:rPr>
          <w:rFonts w:asciiTheme="minorEastAsia" w:eastAsiaTheme="minorEastAsia" w:hAnsiTheme="minorEastAsia" w:hint="eastAsia"/>
        </w:rPr>
        <w:t>财富快线</w:t>
      </w:r>
      <w:r w:rsidRPr="0087389D">
        <w:rPr>
          <w:rFonts w:asciiTheme="minorEastAsia" w:eastAsiaTheme="minorEastAsia" w:hAnsiTheme="minorEastAsia" w:hint="eastAsia"/>
        </w:rPr>
        <w:t>货币市场基金托管协议》及对该托管协议的任何有效修订和补充</w:t>
      </w:r>
    </w:p>
    <w:p w:rsidR="005A7855" w:rsidRPr="0087389D" w:rsidRDefault="005A7855"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6、招募说明书：指《易方达</w:t>
      </w:r>
      <w:r w:rsidR="00F64EC4" w:rsidRPr="0087389D">
        <w:rPr>
          <w:rFonts w:asciiTheme="minorEastAsia" w:eastAsiaTheme="minorEastAsia" w:hAnsiTheme="minorEastAsia" w:hint="eastAsia"/>
        </w:rPr>
        <w:t>财富快线</w:t>
      </w:r>
      <w:r w:rsidRPr="0087389D">
        <w:rPr>
          <w:rFonts w:asciiTheme="minorEastAsia" w:eastAsiaTheme="minorEastAsia" w:hAnsiTheme="minorEastAsia" w:hint="eastAsia"/>
        </w:rPr>
        <w:t>货币市场基金招募说明书》及其更新</w:t>
      </w:r>
    </w:p>
    <w:p w:rsidR="00BB04FF" w:rsidRPr="0087389D" w:rsidRDefault="00BB04FF"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7、基金产品资料概要：指《易方达财富快线货币市场基金基金产品资料概要》及其更新</w:t>
      </w:r>
    </w:p>
    <w:p w:rsidR="005A7855" w:rsidRPr="0087389D" w:rsidRDefault="00BB04FF"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8</w:t>
      </w:r>
      <w:r w:rsidR="005A7855" w:rsidRPr="0087389D">
        <w:rPr>
          <w:rFonts w:asciiTheme="minorEastAsia" w:eastAsiaTheme="minorEastAsia" w:hAnsiTheme="minorEastAsia" w:hint="eastAsia"/>
        </w:rPr>
        <w:t>、基金份额发售公告：指《易方达</w:t>
      </w:r>
      <w:r w:rsidR="00F64EC4" w:rsidRPr="0087389D">
        <w:rPr>
          <w:rFonts w:asciiTheme="minorEastAsia" w:eastAsiaTheme="minorEastAsia" w:hAnsiTheme="minorEastAsia" w:hint="eastAsia"/>
        </w:rPr>
        <w:t>财富快线</w:t>
      </w:r>
      <w:r w:rsidR="005A7855" w:rsidRPr="0087389D">
        <w:rPr>
          <w:rFonts w:asciiTheme="minorEastAsia" w:eastAsiaTheme="minorEastAsia" w:hAnsiTheme="minorEastAsia" w:hint="eastAsia"/>
        </w:rPr>
        <w:t>货币市场基金基金份额发售公告》</w:t>
      </w:r>
    </w:p>
    <w:p w:rsidR="005A7855" w:rsidRPr="0087389D" w:rsidRDefault="00BB04FF"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9</w:t>
      </w:r>
      <w:r w:rsidR="005A7855" w:rsidRPr="0087389D">
        <w:rPr>
          <w:rFonts w:asciiTheme="minorEastAsia" w:eastAsiaTheme="minorEastAsia" w:hAnsiTheme="minorEastAsia" w:hint="eastAsia"/>
        </w:rPr>
        <w:t>、法律法规：指中国现行有效并公布实施的法律、行政法规、规范性文件、司法解释、行政规章以及其他对基金合同当事人有约束力的决定、决议、通知等</w:t>
      </w:r>
    </w:p>
    <w:p w:rsidR="005A7855" w:rsidRPr="0087389D" w:rsidRDefault="00BB04FF"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10</w:t>
      </w:r>
      <w:r w:rsidR="005A7855" w:rsidRPr="0087389D">
        <w:rPr>
          <w:rFonts w:asciiTheme="minorEastAsia" w:eastAsiaTheme="minorEastAsia" w:hAnsiTheme="minorEastAsia" w:hint="eastAsia"/>
        </w:rPr>
        <w:t>、《基金法》：指2012年12月28日经第十一届全国人民代表大会常务委员会第三十次会议通过，自2013年6月1日起实施的《中华人民共和国证券投资基金法》及颁布机关对其不时做出的修订</w:t>
      </w:r>
    </w:p>
    <w:p w:rsidR="005A7855" w:rsidRPr="0087389D" w:rsidRDefault="005A7855"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w:t>
      </w:r>
      <w:r w:rsidR="00BB04FF" w:rsidRPr="0087389D">
        <w:rPr>
          <w:rFonts w:asciiTheme="minorEastAsia" w:eastAsiaTheme="minorEastAsia" w:hAnsiTheme="minorEastAsia" w:hint="eastAsia"/>
        </w:rPr>
        <w:t>1</w:t>
      </w:r>
      <w:r w:rsidRPr="0087389D">
        <w:rPr>
          <w:rFonts w:asciiTheme="minorEastAsia" w:eastAsiaTheme="minorEastAsia" w:hAnsiTheme="minorEastAsia" w:hint="eastAsia"/>
        </w:rPr>
        <w:t>、《销售办法》：指中国证监会2013年3月15日颁布、同年6月1日实施的《证券投资基金销售管理办法》及颁布机关对其不时做出的修订</w:t>
      </w:r>
    </w:p>
    <w:p w:rsidR="005A7855" w:rsidRPr="0087389D" w:rsidRDefault="005A7855"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w:t>
      </w:r>
      <w:r w:rsidR="00BB04FF" w:rsidRPr="0087389D">
        <w:rPr>
          <w:rFonts w:asciiTheme="minorEastAsia" w:eastAsiaTheme="minorEastAsia" w:hAnsiTheme="minorEastAsia" w:hint="eastAsia"/>
        </w:rPr>
        <w:t>2</w:t>
      </w:r>
      <w:r w:rsidRPr="0087389D">
        <w:rPr>
          <w:rFonts w:asciiTheme="minorEastAsia" w:eastAsiaTheme="minorEastAsia" w:hAnsiTheme="minorEastAsia" w:hint="eastAsia"/>
        </w:rPr>
        <w:t>、《信息披露办法》：</w:t>
      </w:r>
      <w:r w:rsidR="008B00E7" w:rsidRPr="0087389D">
        <w:rPr>
          <w:rFonts w:asciiTheme="minorEastAsia" w:eastAsiaTheme="minorEastAsia" w:hAnsiTheme="minorEastAsia" w:hint="eastAsia"/>
        </w:rPr>
        <w:t>指中国证监会2019年7月26日颁布、同年9月1日实施的《公开募集证券投资基金信息披露管理办法》及颁布机关对其不时做出的修订</w:t>
      </w:r>
    </w:p>
    <w:p w:rsidR="005A7855" w:rsidRPr="0087389D" w:rsidRDefault="005A7855"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w:t>
      </w:r>
      <w:r w:rsidR="00BB04FF" w:rsidRPr="0087389D">
        <w:rPr>
          <w:rFonts w:asciiTheme="minorEastAsia" w:eastAsiaTheme="minorEastAsia" w:hAnsiTheme="minorEastAsia" w:hint="eastAsia"/>
        </w:rPr>
        <w:t>3</w:t>
      </w:r>
      <w:r w:rsidRPr="0087389D">
        <w:rPr>
          <w:rFonts w:asciiTheme="minorEastAsia" w:eastAsiaTheme="minorEastAsia" w:hAnsiTheme="minorEastAsia" w:hint="eastAsia"/>
        </w:rPr>
        <w:t>、《运作办法》：指中国证监会</w:t>
      </w:r>
      <w:r w:rsidR="001B77B7" w:rsidRPr="0087389D">
        <w:rPr>
          <w:rFonts w:asciiTheme="minorEastAsia" w:eastAsiaTheme="minorEastAsia" w:hAnsiTheme="minorEastAsia" w:hint="eastAsia"/>
        </w:rPr>
        <w:t>2014</w:t>
      </w:r>
      <w:r w:rsidRPr="0087389D">
        <w:rPr>
          <w:rFonts w:asciiTheme="minorEastAsia" w:eastAsiaTheme="minorEastAsia" w:hAnsiTheme="minorEastAsia" w:hint="eastAsia"/>
        </w:rPr>
        <w:t>年</w:t>
      </w:r>
      <w:r w:rsidR="001B77B7" w:rsidRPr="0087389D">
        <w:rPr>
          <w:rFonts w:asciiTheme="minorEastAsia" w:eastAsiaTheme="minorEastAsia" w:hAnsiTheme="minorEastAsia" w:hint="eastAsia"/>
        </w:rPr>
        <w:t>7</w:t>
      </w:r>
      <w:r w:rsidRPr="0087389D">
        <w:rPr>
          <w:rFonts w:asciiTheme="minorEastAsia" w:eastAsiaTheme="minorEastAsia" w:hAnsiTheme="minorEastAsia" w:hint="eastAsia"/>
        </w:rPr>
        <w:t>月</w:t>
      </w:r>
      <w:r w:rsidR="001B77B7" w:rsidRPr="0087389D">
        <w:rPr>
          <w:rFonts w:asciiTheme="minorEastAsia" w:eastAsiaTheme="minorEastAsia" w:hAnsiTheme="minorEastAsia" w:hint="eastAsia"/>
        </w:rPr>
        <w:t>7</w:t>
      </w:r>
      <w:r w:rsidRPr="0087389D">
        <w:rPr>
          <w:rFonts w:asciiTheme="minorEastAsia" w:eastAsiaTheme="minorEastAsia" w:hAnsiTheme="minorEastAsia" w:hint="eastAsia"/>
        </w:rPr>
        <w:t>日颁布、同年</w:t>
      </w:r>
      <w:r w:rsidR="001B77B7" w:rsidRPr="0087389D">
        <w:rPr>
          <w:rFonts w:asciiTheme="minorEastAsia" w:eastAsiaTheme="minorEastAsia" w:hAnsiTheme="minorEastAsia" w:hint="eastAsia"/>
        </w:rPr>
        <w:t>8</w:t>
      </w:r>
      <w:r w:rsidRPr="0087389D">
        <w:rPr>
          <w:rFonts w:asciiTheme="minorEastAsia" w:eastAsiaTheme="minorEastAsia" w:hAnsiTheme="minorEastAsia" w:hint="eastAsia"/>
        </w:rPr>
        <w:t>月</w:t>
      </w:r>
      <w:r w:rsidR="001B77B7" w:rsidRPr="0087389D">
        <w:rPr>
          <w:rFonts w:asciiTheme="minorEastAsia" w:eastAsiaTheme="minorEastAsia" w:hAnsiTheme="minorEastAsia" w:hint="eastAsia"/>
        </w:rPr>
        <w:t>8</w:t>
      </w:r>
      <w:r w:rsidRPr="0087389D">
        <w:rPr>
          <w:rFonts w:asciiTheme="minorEastAsia" w:eastAsiaTheme="minorEastAsia" w:hAnsiTheme="minorEastAsia" w:hint="eastAsia"/>
        </w:rPr>
        <w:t>日实施的《</w:t>
      </w:r>
      <w:r w:rsidR="001B77B7" w:rsidRPr="0087389D">
        <w:rPr>
          <w:rFonts w:asciiTheme="minorEastAsia" w:eastAsiaTheme="minorEastAsia" w:hAnsiTheme="minorEastAsia" w:hint="eastAsia"/>
        </w:rPr>
        <w:t>公开募集</w:t>
      </w:r>
      <w:r w:rsidRPr="0087389D">
        <w:rPr>
          <w:rFonts w:asciiTheme="minorEastAsia" w:eastAsiaTheme="minorEastAsia" w:hAnsiTheme="minorEastAsia" w:hint="eastAsia"/>
        </w:rPr>
        <w:t>证券投资基金运作管理办法》及颁布机关对其不时做出的修订</w:t>
      </w:r>
    </w:p>
    <w:p w:rsidR="00D71054" w:rsidRPr="0087389D" w:rsidRDefault="005A7855" w:rsidP="00D71054">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w:t>
      </w:r>
      <w:r w:rsidR="00BB04FF" w:rsidRPr="0087389D">
        <w:rPr>
          <w:rFonts w:asciiTheme="minorEastAsia" w:eastAsiaTheme="minorEastAsia" w:hAnsiTheme="minorEastAsia" w:hint="eastAsia"/>
        </w:rPr>
        <w:t>4</w:t>
      </w:r>
      <w:r w:rsidRPr="0087389D">
        <w:rPr>
          <w:rFonts w:asciiTheme="minorEastAsia" w:eastAsiaTheme="minorEastAsia" w:hAnsiTheme="minorEastAsia" w:hint="eastAsia"/>
        </w:rPr>
        <w:t>、</w:t>
      </w:r>
      <w:r w:rsidR="00D71054" w:rsidRPr="0087389D">
        <w:rPr>
          <w:rFonts w:asciiTheme="minorEastAsia" w:eastAsiaTheme="minorEastAsia" w:hAnsiTheme="minorEastAsia" w:hint="eastAsia"/>
        </w:rPr>
        <w:t>《管理规定》：指中国证监会2017年8月31日颁布、同年10月1日实施的《公开募集开放式证券投资基金流动性风险管理规定》及颁布机关对其不时做出的修订</w:t>
      </w:r>
    </w:p>
    <w:p w:rsidR="005A7855" w:rsidRPr="0087389D" w:rsidRDefault="00D71054" w:rsidP="00D71054">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w:t>
      </w:r>
      <w:r w:rsidR="00BB04FF" w:rsidRPr="0087389D">
        <w:rPr>
          <w:rFonts w:asciiTheme="minorEastAsia" w:eastAsiaTheme="minorEastAsia" w:hAnsiTheme="minorEastAsia" w:hint="eastAsia"/>
        </w:rPr>
        <w:t>5</w:t>
      </w:r>
      <w:r w:rsidRPr="0087389D">
        <w:rPr>
          <w:rFonts w:asciiTheme="minorEastAsia" w:eastAsiaTheme="minorEastAsia" w:hAnsiTheme="minorEastAsia" w:hint="eastAsia"/>
        </w:rPr>
        <w:t>、</w:t>
      </w:r>
      <w:r w:rsidR="005A7855" w:rsidRPr="0087389D">
        <w:rPr>
          <w:rFonts w:asciiTheme="minorEastAsia" w:eastAsiaTheme="minorEastAsia" w:hAnsiTheme="minorEastAsia" w:hint="eastAsia"/>
        </w:rPr>
        <w:t>中国证监会：指中国证券监督管理委员会</w:t>
      </w:r>
    </w:p>
    <w:p w:rsidR="005A7855" w:rsidRPr="0087389D" w:rsidRDefault="00D71054"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w:t>
      </w:r>
      <w:r w:rsidR="00BB04FF" w:rsidRPr="0087389D">
        <w:rPr>
          <w:rFonts w:asciiTheme="minorEastAsia" w:eastAsiaTheme="minorEastAsia" w:hAnsiTheme="minorEastAsia"/>
        </w:rPr>
        <w:t>6</w:t>
      </w:r>
      <w:r w:rsidR="005A7855" w:rsidRPr="0087389D">
        <w:rPr>
          <w:rFonts w:asciiTheme="minorEastAsia" w:eastAsiaTheme="minorEastAsia" w:hAnsiTheme="minorEastAsia" w:hint="eastAsia"/>
        </w:rPr>
        <w:t>、银行业监督管理机构：指中国人民银行和/或</w:t>
      </w:r>
      <w:r w:rsidR="00056730" w:rsidRPr="0087389D">
        <w:rPr>
          <w:rStyle w:val="da"/>
          <w:rFonts w:asciiTheme="minorEastAsia" w:eastAsiaTheme="minorEastAsia" w:hAnsiTheme="minorEastAsia" w:hint="eastAsia"/>
        </w:rPr>
        <w:t>中国银行保险监督管理委员会</w:t>
      </w:r>
    </w:p>
    <w:p w:rsidR="005A7855" w:rsidRPr="0087389D" w:rsidRDefault="00D71054"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w:t>
      </w:r>
      <w:r w:rsidR="00BB04FF" w:rsidRPr="0087389D">
        <w:rPr>
          <w:rFonts w:asciiTheme="minorEastAsia" w:eastAsiaTheme="minorEastAsia" w:hAnsiTheme="minorEastAsia"/>
        </w:rPr>
        <w:t>7</w:t>
      </w:r>
      <w:r w:rsidR="005A7855" w:rsidRPr="0087389D">
        <w:rPr>
          <w:rFonts w:asciiTheme="minorEastAsia" w:eastAsiaTheme="minorEastAsia" w:hAnsiTheme="minorEastAsia" w:hint="eastAsia"/>
        </w:rPr>
        <w:t>、基金合同当事人：指受基金合同约束，根据基金合同享有权利并承担义务的法律主体，包括基金管理人、基金托管人和基金份额持有人</w:t>
      </w:r>
    </w:p>
    <w:p w:rsidR="005A7855" w:rsidRPr="0087389D" w:rsidRDefault="00D71054"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w:t>
      </w:r>
      <w:r w:rsidR="00BB04FF" w:rsidRPr="0087389D">
        <w:rPr>
          <w:rFonts w:asciiTheme="minorEastAsia" w:eastAsiaTheme="minorEastAsia" w:hAnsiTheme="minorEastAsia"/>
        </w:rPr>
        <w:t>8</w:t>
      </w:r>
      <w:r w:rsidR="005A7855" w:rsidRPr="0087389D">
        <w:rPr>
          <w:rFonts w:asciiTheme="minorEastAsia" w:eastAsiaTheme="minorEastAsia" w:hAnsiTheme="minorEastAsia" w:hint="eastAsia"/>
        </w:rPr>
        <w:t>、个人投资者：指依据有关法律法规规定可投资于证券投资基金的自然人</w:t>
      </w:r>
    </w:p>
    <w:p w:rsidR="005A7855" w:rsidRPr="0087389D" w:rsidRDefault="00D71054"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w:t>
      </w:r>
      <w:r w:rsidR="00BB04FF" w:rsidRPr="0087389D">
        <w:rPr>
          <w:rFonts w:asciiTheme="minorEastAsia" w:eastAsiaTheme="minorEastAsia" w:hAnsiTheme="minorEastAsia"/>
        </w:rPr>
        <w:t>9</w:t>
      </w:r>
      <w:r w:rsidR="005A7855" w:rsidRPr="0087389D">
        <w:rPr>
          <w:rFonts w:asciiTheme="minorEastAsia" w:eastAsiaTheme="minorEastAsia" w:hAnsiTheme="minorEastAsia" w:hint="eastAsia"/>
        </w:rPr>
        <w:t>、机构投资者：指依法可以投资证券投资基金的、在中华人民共和国境内合法登记并存续或经有关政府部门批准设立并存续的企业法人、事业法人、社会团体或其他组织</w:t>
      </w:r>
    </w:p>
    <w:p w:rsidR="005A7855" w:rsidRPr="0087389D" w:rsidRDefault="00BB04FF"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20</w:t>
      </w:r>
      <w:r w:rsidR="005A7855" w:rsidRPr="0087389D">
        <w:rPr>
          <w:rFonts w:asciiTheme="minorEastAsia" w:eastAsiaTheme="minorEastAsia" w:hAnsiTheme="minorEastAsia" w:hint="eastAsia"/>
        </w:rPr>
        <w:t>、投资人：指个人投资者、机构投资者和合格境外机构投资者以及法律法规或中国证</w:t>
      </w:r>
      <w:r w:rsidR="005A7855" w:rsidRPr="0087389D">
        <w:rPr>
          <w:rFonts w:asciiTheme="minorEastAsia" w:eastAsiaTheme="minorEastAsia" w:hAnsiTheme="minorEastAsia" w:hint="eastAsia"/>
        </w:rPr>
        <w:lastRenderedPageBreak/>
        <w:t>监会允许购买证券投资基金的其他投资人的合称</w:t>
      </w:r>
    </w:p>
    <w:p w:rsidR="005A7855" w:rsidRPr="0087389D" w:rsidRDefault="00D71054"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rPr>
        <w:t>2</w:t>
      </w:r>
      <w:r w:rsidR="00BB04FF" w:rsidRPr="0087389D">
        <w:rPr>
          <w:rFonts w:asciiTheme="minorEastAsia" w:eastAsiaTheme="minorEastAsia" w:hAnsiTheme="minorEastAsia"/>
        </w:rPr>
        <w:t>1</w:t>
      </w:r>
      <w:r w:rsidR="005A7855" w:rsidRPr="0087389D">
        <w:rPr>
          <w:rFonts w:asciiTheme="minorEastAsia" w:eastAsiaTheme="minorEastAsia" w:hAnsiTheme="minorEastAsia" w:hint="eastAsia"/>
        </w:rPr>
        <w:t>、基金份额持有人：指依基金合同和招募说明书合法取得基金份额的投资人</w:t>
      </w:r>
    </w:p>
    <w:p w:rsidR="005A7855" w:rsidRPr="0087389D" w:rsidRDefault="00D71054"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2</w:t>
      </w:r>
      <w:r w:rsidR="00BB04FF" w:rsidRPr="0087389D">
        <w:rPr>
          <w:rFonts w:asciiTheme="minorEastAsia" w:eastAsiaTheme="minorEastAsia" w:hAnsiTheme="minorEastAsia"/>
        </w:rPr>
        <w:t>2</w:t>
      </w:r>
      <w:r w:rsidR="005A7855" w:rsidRPr="0087389D">
        <w:rPr>
          <w:rFonts w:asciiTheme="minorEastAsia" w:eastAsiaTheme="minorEastAsia" w:hAnsiTheme="minorEastAsia" w:hint="eastAsia"/>
        </w:rPr>
        <w:t>、基金销售业务：指基金管理人或销售机构宣传推介基金，发售基金份额，办理基金份额的申购、赎回、转换、非交易过户、转托管及定期定额投资等业务</w:t>
      </w:r>
    </w:p>
    <w:p w:rsidR="005A7855" w:rsidRPr="0087389D" w:rsidRDefault="00D71054"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2</w:t>
      </w:r>
      <w:r w:rsidR="00BB04FF" w:rsidRPr="0087389D">
        <w:rPr>
          <w:rFonts w:asciiTheme="minorEastAsia" w:eastAsiaTheme="minorEastAsia" w:hAnsiTheme="minorEastAsia"/>
        </w:rPr>
        <w:t>3</w:t>
      </w:r>
      <w:r w:rsidR="005A7855" w:rsidRPr="0087389D">
        <w:rPr>
          <w:rFonts w:asciiTheme="minorEastAsia" w:eastAsiaTheme="minorEastAsia" w:hAnsiTheme="minorEastAsia" w:hint="eastAsia"/>
        </w:rPr>
        <w:t>、销售机构：指易方达基金管理有限公司以及符合《销售办法》和中国证监会规定的其他条件，取得基金销售业务资格并</w:t>
      </w:r>
      <w:r w:rsidR="00FF1A2C" w:rsidRPr="0087389D">
        <w:rPr>
          <w:rFonts w:asciiTheme="minorEastAsia" w:eastAsiaTheme="minorEastAsia" w:hAnsiTheme="minorEastAsia" w:hint="eastAsia"/>
        </w:rPr>
        <w:t>与基金管理人签订了基金销售服务协议</w:t>
      </w:r>
      <w:r w:rsidR="005A7855" w:rsidRPr="0087389D">
        <w:rPr>
          <w:rFonts w:asciiTheme="minorEastAsia" w:eastAsiaTheme="minorEastAsia" w:hAnsiTheme="minorEastAsia" w:hint="eastAsia"/>
        </w:rPr>
        <w:t>，办理基金销售业务的机构</w:t>
      </w:r>
    </w:p>
    <w:p w:rsidR="006E7315" w:rsidRPr="0087389D" w:rsidRDefault="00D71054" w:rsidP="00555CE7">
      <w:pPr>
        <w:snapToGrid w:val="0"/>
        <w:spacing w:line="360" w:lineRule="auto"/>
        <w:ind w:firstLineChars="200" w:firstLine="420"/>
        <w:rPr>
          <w:rFonts w:asciiTheme="minorEastAsia" w:eastAsiaTheme="minorEastAsia" w:hAnsiTheme="minorEastAsia"/>
        </w:rPr>
      </w:pPr>
      <w:r w:rsidRPr="0087389D">
        <w:rPr>
          <w:rStyle w:val="da"/>
          <w:rFonts w:asciiTheme="minorEastAsia" w:eastAsiaTheme="minorEastAsia" w:hAnsiTheme="minorEastAsia" w:hint="eastAsia"/>
        </w:rPr>
        <w:t>2</w:t>
      </w:r>
      <w:r w:rsidR="00BB04FF" w:rsidRPr="0087389D">
        <w:rPr>
          <w:rStyle w:val="da"/>
          <w:rFonts w:asciiTheme="minorEastAsia" w:eastAsiaTheme="minorEastAsia" w:hAnsiTheme="minorEastAsia"/>
        </w:rPr>
        <w:t>4</w:t>
      </w:r>
      <w:r w:rsidR="006E7315" w:rsidRPr="0087389D">
        <w:rPr>
          <w:rStyle w:val="da"/>
          <w:rFonts w:asciiTheme="minorEastAsia" w:eastAsiaTheme="minorEastAsia" w:hAnsiTheme="minorEastAsia" w:hint="eastAsia"/>
        </w:rPr>
        <w:t>、</w:t>
      </w:r>
      <w:r w:rsidR="006E7315" w:rsidRPr="0087389D">
        <w:rPr>
          <w:rFonts w:asciiTheme="minorEastAsia" w:eastAsiaTheme="minorEastAsia" w:hAnsiTheme="minorEastAsia" w:hint="eastAsia"/>
        </w:rPr>
        <w:t>直销机构：指易方达基金管理有限公司</w:t>
      </w:r>
    </w:p>
    <w:p w:rsidR="006E7315" w:rsidRPr="0087389D" w:rsidRDefault="00D71054" w:rsidP="00555CE7">
      <w:pPr>
        <w:snapToGrid w:val="0"/>
        <w:spacing w:line="360" w:lineRule="auto"/>
        <w:ind w:firstLineChars="200" w:firstLine="420"/>
        <w:rPr>
          <w:rFonts w:asciiTheme="minorEastAsia" w:eastAsiaTheme="minorEastAsia" w:hAnsiTheme="minorEastAsia"/>
        </w:rPr>
      </w:pPr>
      <w:r w:rsidRPr="0087389D">
        <w:rPr>
          <w:rStyle w:val="da"/>
          <w:rFonts w:asciiTheme="minorEastAsia" w:eastAsiaTheme="minorEastAsia" w:hAnsiTheme="minorEastAsia" w:hint="eastAsia"/>
        </w:rPr>
        <w:t>2</w:t>
      </w:r>
      <w:r w:rsidR="00BB04FF" w:rsidRPr="0087389D">
        <w:rPr>
          <w:rStyle w:val="da"/>
          <w:rFonts w:asciiTheme="minorEastAsia" w:eastAsiaTheme="minorEastAsia" w:hAnsiTheme="minorEastAsia"/>
        </w:rPr>
        <w:t>5</w:t>
      </w:r>
      <w:r w:rsidR="006E7315" w:rsidRPr="0087389D">
        <w:rPr>
          <w:rStyle w:val="da"/>
          <w:rFonts w:asciiTheme="minorEastAsia" w:eastAsiaTheme="minorEastAsia" w:hAnsiTheme="minorEastAsia" w:hint="eastAsia"/>
        </w:rPr>
        <w:t>、非直销销售机构</w:t>
      </w:r>
      <w:r w:rsidR="006E7315" w:rsidRPr="0087389D">
        <w:rPr>
          <w:rFonts w:asciiTheme="minorEastAsia" w:eastAsiaTheme="minorEastAsia" w:hAnsiTheme="minorEastAsia" w:hint="eastAsia"/>
        </w:rPr>
        <w:t>：指</w:t>
      </w:r>
      <w:r w:rsidR="006E7315" w:rsidRPr="0087389D">
        <w:rPr>
          <w:rStyle w:val="da"/>
          <w:rFonts w:asciiTheme="minorEastAsia" w:eastAsiaTheme="minorEastAsia" w:hAnsiTheme="minorEastAsia" w:hint="eastAsia"/>
        </w:rPr>
        <w:t>符合《销售办法》和中国证监会规定的其他条件，取得基金销售业务资格并与基金管理人签订了基金销售服务协议，办理基金销售业务的机构</w:t>
      </w:r>
    </w:p>
    <w:p w:rsidR="005A7855" w:rsidRPr="0087389D" w:rsidRDefault="00D71054"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2</w:t>
      </w:r>
      <w:r w:rsidR="00BB04FF" w:rsidRPr="0087389D">
        <w:rPr>
          <w:rFonts w:asciiTheme="minorEastAsia" w:eastAsiaTheme="minorEastAsia" w:hAnsiTheme="minorEastAsia"/>
        </w:rPr>
        <w:t>6</w:t>
      </w:r>
      <w:r w:rsidR="005A7855" w:rsidRPr="0087389D">
        <w:rPr>
          <w:rFonts w:asciiTheme="minorEastAsia" w:eastAsiaTheme="minorEastAsia" w:hAnsiTheme="minorEastAsia" w:hint="eastAsia"/>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5A7855" w:rsidRPr="0087389D" w:rsidRDefault="00D71054"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2</w:t>
      </w:r>
      <w:r w:rsidR="00BB04FF" w:rsidRPr="0087389D">
        <w:rPr>
          <w:rFonts w:asciiTheme="minorEastAsia" w:eastAsiaTheme="minorEastAsia" w:hAnsiTheme="minorEastAsia"/>
        </w:rPr>
        <w:t>7</w:t>
      </w:r>
      <w:r w:rsidR="005A7855" w:rsidRPr="0087389D">
        <w:rPr>
          <w:rFonts w:asciiTheme="minorEastAsia" w:eastAsiaTheme="minorEastAsia" w:hAnsiTheme="minorEastAsia" w:hint="eastAsia"/>
        </w:rPr>
        <w:t>、登记机构：指办理登记业务的机构。基金的登记机构为易方达基金管理有限公司或接受易方达基金管理有限公司委托代为办理登记业务的机构</w:t>
      </w:r>
    </w:p>
    <w:p w:rsidR="005A7855" w:rsidRPr="0087389D" w:rsidRDefault="00D71054"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2</w:t>
      </w:r>
      <w:r w:rsidR="00BB04FF" w:rsidRPr="0087389D">
        <w:rPr>
          <w:rFonts w:asciiTheme="minorEastAsia" w:eastAsiaTheme="minorEastAsia" w:hAnsiTheme="minorEastAsia"/>
        </w:rPr>
        <w:t>8</w:t>
      </w:r>
      <w:r w:rsidR="005A7855" w:rsidRPr="0087389D">
        <w:rPr>
          <w:rFonts w:asciiTheme="minorEastAsia" w:eastAsiaTheme="minorEastAsia" w:hAnsiTheme="minorEastAsia" w:hint="eastAsia"/>
        </w:rPr>
        <w:t>、基金账户：指登记机构为投资人开立的、记录其持有的、基金管理人所管理的基金份额余额及其变动情况的账户</w:t>
      </w:r>
    </w:p>
    <w:p w:rsidR="005A7855" w:rsidRPr="0087389D" w:rsidRDefault="00D71054"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rPr>
        <w:t>2</w:t>
      </w:r>
      <w:r w:rsidR="00BB04FF" w:rsidRPr="0087389D">
        <w:rPr>
          <w:rFonts w:asciiTheme="minorEastAsia" w:eastAsiaTheme="minorEastAsia" w:hAnsiTheme="minorEastAsia"/>
        </w:rPr>
        <w:t>9</w:t>
      </w:r>
      <w:r w:rsidR="005A7855" w:rsidRPr="0087389D">
        <w:rPr>
          <w:rFonts w:asciiTheme="minorEastAsia" w:eastAsiaTheme="minorEastAsia" w:hAnsiTheme="minorEastAsia" w:hint="eastAsia"/>
        </w:rPr>
        <w:t>、基金交易账户：指销售机构为投资人开立的、记录投资人通过该销售机构办理认购、申购、赎回、转换及转托管等业务而引起基金的基金份额变动及结余情况的账户</w:t>
      </w:r>
    </w:p>
    <w:p w:rsidR="005A7855" w:rsidRPr="0087389D" w:rsidRDefault="00BB04FF"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30</w:t>
      </w:r>
      <w:r w:rsidR="005A7855" w:rsidRPr="0087389D">
        <w:rPr>
          <w:rFonts w:asciiTheme="minorEastAsia" w:eastAsiaTheme="minorEastAsia" w:hAnsiTheme="minorEastAsia" w:hint="eastAsia"/>
        </w:rPr>
        <w:t>、基金合同生效日：指基金募集达到法律法规规定及基金合同规定的条件，基金管理人向中国证监会办理基金备案手续完毕，并获得中国证监会书面确认的日期</w:t>
      </w:r>
    </w:p>
    <w:p w:rsidR="005A7855" w:rsidRPr="0087389D" w:rsidRDefault="00D71054"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rPr>
        <w:t>3</w:t>
      </w:r>
      <w:r w:rsidR="00BB04FF" w:rsidRPr="0087389D">
        <w:rPr>
          <w:rFonts w:asciiTheme="minorEastAsia" w:eastAsiaTheme="minorEastAsia" w:hAnsiTheme="minorEastAsia"/>
        </w:rPr>
        <w:t>1</w:t>
      </w:r>
      <w:r w:rsidR="005A7855" w:rsidRPr="0087389D">
        <w:rPr>
          <w:rFonts w:asciiTheme="minorEastAsia" w:eastAsiaTheme="minorEastAsia" w:hAnsiTheme="minorEastAsia" w:hint="eastAsia"/>
        </w:rPr>
        <w:t>、基金合同终止日：指基金合同规定的基金合同终止事由出现后，基金财产清算完毕，清算结果报中国证监会备案并予以公告的日期</w:t>
      </w:r>
    </w:p>
    <w:p w:rsidR="005A7855" w:rsidRPr="0087389D" w:rsidRDefault="00D71054"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3</w:t>
      </w:r>
      <w:r w:rsidR="00BB04FF" w:rsidRPr="0087389D">
        <w:rPr>
          <w:rFonts w:asciiTheme="minorEastAsia" w:eastAsiaTheme="minorEastAsia" w:hAnsiTheme="minorEastAsia"/>
        </w:rPr>
        <w:t>2</w:t>
      </w:r>
      <w:r w:rsidR="005A7855" w:rsidRPr="0087389D">
        <w:rPr>
          <w:rFonts w:asciiTheme="minorEastAsia" w:eastAsiaTheme="minorEastAsia" w:hAnsiTheme="minorEastAsia" w:hint="eastAsia"/>
        </w:rPr>
        <w:t>、基金募集期：指自基金份额发售之日起至发售结束之日止的期间，最长不得超过3个月</w:t>
      </w:r>
    </w:p>
    <w:p w:rsidR="005A7855" w:rsidRPr="0087389D" w:rsidRDefault="00D71054"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3</w:t>
      </w:r>
      <w:r w:rsidR="00BB04FF" w:rsidRPr="0087389D">
        <w:rPr>
          <w:rFonts w:asciiTheme="minorEastAsia" w:eastAsiaTheme="minorEastAsia" w:hAnsiTheme="minorEastAsia"/>
        </w:rPr>
        <w:t>3</w:t>
      </w:r>
      <w:r w:rsidR="005A7855" w:rsidRPr="0087389D">
        <w:rPr>
          <w:rFonts w:asciiTheme="minorEastAsia" w:eastAsiaTheme="minorEastAsia" w:hAnsiTheme="minorEastAsia" w:hint="eastAsia"/>
        </w:rPr>
        <w:t>、存续期：指基金合同生效至终止之间的不定期期限</w:t>
      </w:r>
    </w:p>
    <w:p w:rsidR="005A7855" w:rsidRPr="0087389D" w:rsidRDefault="00D71054"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3</w:t>
      </w:r>
      <w:r w:rsidR="00BB04FF" w:rsidRPr="0087389D">
        <w:rPr>
          <w:rFonts w:asciiTheme="minorEastAsia" w:eastAsiaTheme="minorEastAsia" w:hAnsiTheme="minorEastAsia"/>
        </w:rPr>
        <w:t>4</w:t>
      </w:r>
      <w:r w:rsidR="005A7855" w:rsidRPr="0087389D">
        <w:rPr>
          <w:rFonts w:asciiTheme="minorEastAsia" w:eastAsiaTheme="minorEastAsia" w:hAnsiTheme="minorEastAsia" w:hint="eastAsia"/>
        </w:rPr>
        <w:t>、工作日：指上海证券交易所、深圳证券交易所的正常交易日</w:t>
      </w:r>
    </w:p>
    <w:p w:rsidR="005A7855" w:rsidRPr="0087389D" w:rsidRDefault="00D71054"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3</w:t>
      </w:r>
      <w:r w:rsidR="00BB04FF" w:rsidRPr="0087389D">
        <w:rPr>
          <w:rFonts w:asciiTheme="minorEastAsia" w:eastAsiaTheme="minorEastAsia" w:hAnsiTheme="minorEastAsia"/>
        </w:rPr>
        <w:t>5</w:t>
      </w:r>
      <w:r w:rsidR="005A7855" w:rsidRPr="0087389D">
        <w:rPr>
          <w:rFonts w:asciiTheme="minorEastAsia" w:eastAsiaTheme="minorEastAsia" w:hAnsiTheme="minorEastAsia" w:hint="eastAsia"/>
        </w:rPr>
        <w:t>、T日：指销售机构在规定时间受理投资人申购、赎回或其他业务申请的开放日</w:t>
      </w:r>
    </w:p>
    <w:p w:rsidR="005A7855" w:rsidRPr="0087389D" w:rsidRDefault="00D71054"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3</w:t>
      </w:r>
      <w:r w:rsidR="00BB04FF" w:rsidRPr="0087389D">
        <w:rPr>
          <w:rFonts w:asciiTheme="minorEastAsia" w:eastAsiaTheme="minorEastAsia" w:hAnsiTheme="minorEastAsia"/>
        </w:rPr>
        <w:t>6</w:t>
      </w:r>
      <w:r w:rsidR="005A7855" w:rsidRPr="0087389D">
        <w:rPr>
          <w:rFonts w:asciiTheme="minorEastAsia" w:eastAsiaTheme="minorEastAsia" w:hAnsiTheme="minorEastAsia" w:hint="eastAsia"/>
        </w:rPr>
        <w:t>、T+n日：指自T日起第n个工作日</w:t>
      </w:r>
      <w:r w:rsidR="00B329B1" w:rsidRPr="0087389D">
        <w:rPr>
          <w:rFonts w:asciiTheme="minorEastAsia" w:eastAsiaTheme="minorEastAsia" w:hAnsiTheme="minorEastAsia" w:hint="eastAsia"/>
        </w:rPr>
        <w:t>（</w:t>
      </w:r>
      <w:r w:rsidR="005A7855" w:rsidRPr="0087389D">
        <w:rPr>
          <w:rFonts w:asciiTheme="minorEastAsia" w:eastAsiaTheme="minorEastAsia" w:hAnsiTheme="minorEastAsia" w:hint="eastAsia"/>
        </w:rPr>
        <w:t>不包含T日</w:t>
      </w:r>
      <w:r w:rsidR="00B329B1" w:rsidRPr="0087389D">
        <w:rPr>
          <w:rFonts w:asciiTheme="minorEastAsia" w:eastAsiaTheme="minorEastAsia" w:hAnsiTheme="minorEastAsia" w:hint="eastAsia"/>
        </w:rPr>
        <w:t>）</w:t>
      </w:r>
      <w:r w:rsidR="005A7855" w:rsidRPr="0087389D">
        <w:rPr>
          <w:rFonts w:asciiTheme="minorEastAsia" w:eastAsiaTheme="minorEastAsia" w:hAnsiTheme="minorEastAsia" w:hint="eastAsia"/>
        </w:rPr>
        <w:t>，n为自然数</w:t>
      </w:r>
    </w:p>
    <w:p w:rsidR="005A7855" w:rsidRPr="0087389D" w:rsidRDefault="00D71054"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3</w:t>
      </w:r>
      <w:r w:rsidR="00BB04FF" w:rsidRPr="0087389D">
        <w:rPr>
          <w:rFonts w:asciiTheme="minorEastAsia" w:eastAsiaTheme="minorEastAsia" w:hAnsiTheme="minorEastAsia"/>
        </w:rPr>
        <w:t>7</w:t>
      </w:r>
      <w:r w:rsidR="005A7855" w:rsidRPr="0087389D">
        <w:rPr>
          <w:rFonts w:asciiTheme="minorEastAsia" w:eastAsiaTheme="minorEastAsia" w:hAnsiTheme="minorEastAsia" w:hint="eastAsia"/>
        </w:rPr>
        <w:t>、开放日：指为投资人办理基金份额申购、赎回或其他业务的工作日</w:t>
      </w:r>
    </w:p>
    <w:p w:rsidR="005A7855" w:rsidRPr="0087389D" w:rsidRDefault="00D71054"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3</w:t>
      </w:r>
      <w:r w:rsidR="00BB04FF" w:rsidRPr="0087389D">
        <w:rPr>
          <w:rFonts w:asciiTheme="minorEastAsia" w:eastAsiaTheme="minorEastAsia" w:hAnsiTheme="minorEastAsia"/>
        </w:rPr>
        <w:t>8</w:t>
      </w:r>
      <w:r w:rsidR="005A7855" w:rsidRPr="0087389D">
        <w:rPr>
          <w:rFonts w:asciiTheme="minorEastAsia" w:eastAsiaTheme="minorEastAsia" w:hAnsiTheme="minorEastAsia" w:hint="eastAsia"/>
        </w:rPr>
        <w:t>、开放时间：指开放日基金接受申购、赎回或其他交易的时间段</w:t>
      </w:r>
    </w:p>
    <w:p w:rsidR="005A7855" w:rsidRPr="0087389D" w:rsidRDefault="00D71054"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3</w:t>
      </w:r>
      <w:r w:rsidR="00BB04FF" w:rsidRPr="0087389D">
        <w:rPr>
          <w:rFonts w:asciiTheme="minorEastAsia" w:eastAsiaTheme="minorEastAsia" w:hAnsiTheme="minorEastAsia"/>
        </w:rPr>
        <w:t>9</w:t>
      </w:r>
      <w:r w:rsidR="005A7855" w:rsidRPr="0087389D">
        <w:rPr>
          <w:rFonts w:asciiTheme="minorEastAsia" w:eastAsiaTheme="minorEastAsia" w:hAnsiTheme="minorEastAsia" w:hint="eastAsia"/>
        </w:rPr>
        <w:t>、《业务规则》：指《易方达基金管理有限公司开放式基金业务规则》，是规范基金管理人所管理的开放式证券投资基金登记方面的业务规则，由基金管理人和投资人共同遵守</w:t>
      </w:r>
    </w:p>
    <w:p w:rsidR="005A7855" w:rsidRPr="0087389D" w:rsidRDefault="00BB04FF"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40</w:t>
      </w:r>
      <w:r w:rsidR="005A7855" w:rsidRPr="0087389D">
        <w:rPr>
          <w:rFonts w:asciiTheme="minorEastAsia" w:eastAsiaTheme="minorEastAsia" w:hAnsiTheme="minorEastAsia" w:hint="eastAsia"/>
        </w:rPr>
        <w:t>、认购：指在基金募集期内，投资人根据基金合同和招募说明书的规定申请购买基金</w:t>
      </w:r>
      <w:r w:rsidR="005A7855" w:rsidRPr="0087389D">
        <w:rPr>
          <w:rFonts w:asciiTheme="minorEastAsia" w:eastAsiaTheme="minorEastAsia" w:hAnsiTheme="minorEastAsia" w:hint="eastAsia"/>
        </w:rPr>
        <w:lastRenderedPageBreak/>
        <w:t>份额的行为</w:t>
      </w:r>
    </w:p>
    <w:p w:rsidR="005A7855" w:rsidRPr="0087389D" w:rsidRDefault="00D71054"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rPr>
        <w:t>4</w:t>
      </w:r>
      <w:r w:rsidR="00BB04FF" w:rsidRPr="0087389D">
        <w:rPr>
          <w:rFonts w:asciiTheme="minorEastAsia" w:eastAsiaTheme="minorEastAsia" w:hAnsiTheme="minorEastAsia"/>
        </w:rPr>
        <w:t>1</w:t>
      </w:r>
      <w:r w:rsidR="005A7855" w:rsidRPr="0087389D">
        <w:rPr>
          <w:rFonts w:asciiTheme="minorEastAsia" w:eastAsiaTheme="minorEastAsia" w:hAnsiTheme="minorEastAsia" w:hint="eastAsia"/>
        </w:rPr>
        <w:t>、申购：指基金合同生效后，投资人根据基金合同和招募说明书的规定申请购买基金份额的行为</w:t>
      </w:r>
    </w:p>
    <w:p w:rsidR="005A7855" w:rsidRPr="0087389D" w:rsidRDefault="00D71054"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4</w:t>
      </w:r>
      <w:r w:rsidR="00BB04FF" w:rsidRPr="0087389D">
        <w:rPr>
          <w:rFonts w:asciiTheme="minorEastAsia" w:eastAsiaTheme="minorEastAsia" w:hAnsiTheme="minorEastAsia"/>
        </w:rPr>
        <w:t>2</w:t>
      </w:r>
      <w:r w:rsidR="005A7855" w:rsidRPr="0087389D">
        <w:rPr>
          <w:rFonts w:asciiTheme="minorEastAsia" w:eastAsiaTheme="minorEastAsia" w:hAnsiTheme="minorEastAsia" w:hint="eastAsia"/>
        </w:rPr>
        <w:t>、赎回：指基金合同生效后，基金份额持有人按基金合同规定的条件要求将基金份额兑换为现金的行为</w:t>
      </w:r>
    </w:p>
    <w:p w:rsidR="005A7855" w:rsidRPr="0087389D" w:rsidRDefault="00D71054"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4</w:t>
      </w:r>
      <w:r w:rsidR="00BB04FF" w:rsidRPr="0087389D">
        <w:rPr>
          <w:rFonts w:asciiTheme="minorEastAsia" w:eastAsiaTheme="minorEastAsia" w:hAnsiTheme="minorEastAsia"/>
        </w:rPr>
        <w:t>3</w:t>
      </w:r>
      <w:r w:rsidR="005A7855" w:rsidRPr="0087389D">
        <w:rPr>
          <w:rFonts w:asciiTheme="minorEastAsia" w:eastAsiaTheme="minorEastAsia" w:hAnsiTheme="minorEastAsia" w:hint="eastAsia"/>
        </w:rPr>
        <w:t>、基金转换：指基金份额持有人按照基金合同和基金管理人届时有效公告规定的条件，申请将其持有基金管理人管理的、某一基金的基金份额转换为基金管理人管理的其他基金基金份额的行为</w:t>
      </w:r>
    </w:p>
    <w:p w:rsidR="005A7855" w:rsidRPr="0087389D" w:rsidRDefault="00D71054"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4</w:t>
      </w:r>
      <w:r w:rsidR="00BB04FF" w:rsidRPr="0087389D">
        <w:rPr>
          <w:rFonts w:asciiTheme="minorEastAsia" w:eastAsiaTheme="minorEastAsia" w:hAnsiTheme="minorEastAsia"/>
        </w:rPr>
        <w:t>4</w:t>
      </w:r>
      <w:r w:rsidR="005A7855" w:rsidRPr="0087389D">
        <w:rPr>
          <w:rFonts w:asciiTheme="minorEastAsia" w:eastAsiaTheme="minorEastAsia" w:hAnsiTheme="minorEastAsia" w:hint="eastAsia"/>
        </w:rPr>
        <w:t>、转托管：指基金份额持有人在本基金的不同销售机构之间实施的变更所持基金份额销售机构的操作</w:t>
      </w:r>
    </w:p>
    <w:p w:rsidR="005A7855" w:rsidRPr="0087389D" w:rsidRDefault="00D71054"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4</w:t>
      </w:r>
      <w:r w:rsidR="00BB04FF" w:rsidRPr="0087389D">
        <w:rPr>
          <w:rFonts w:asciiTheme="minorEastAsia" w:eastAsiaTheme="minorEastAsia" w:hAnsiTheme="minorEastAsia"/>
        </w:rPr>
        <w:t>5</w:t>
      </w:r>
      <w:r w:rsidR="005A7855" w:rsidRPr="0087389D">
        <w:rPr>
          <w:rFonts w:asciiTheme="minorEastAsia" w:eastAsiaTheme="minorEastAsia" w:hAnsiTheme="minorEastAsia" w:hint="eastAsia"/>
        </w:rPr>
        <w:t>、定期定额投资计划：指投资人通过有关销售机构提出申请，约定每期申购日、扣款金额及扣款方式，由销售机构于每期约定扣款日在投资人指定银行账户内自动完成扣款及受理基金申购申请的一种投资方式</w:t>
      </w:r>
    </w:p>
    <w:p w:rsidR="005A7855" w:rsidRPr="0087389D" w:rsidRDefault="00D71054"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4</w:t>
      </w:r>
      <w:r w:rsidR="00BB04FF" w:rsidRPr="0087389D">
        <w:rPr>
          <w:rFonts w:asciiTheme="minorEastAsia" w:eastAsiaTheme="minorEastAsia" w:hAnsiTheme="minorEastAsia"/>
        </w:rPr>
        <w:t>6</w:t>
      </w:r>
      <w:r w:rsidR="005A7855" w:rsidRPr="0087389D">
        <w:rPr>
          <w:rFonts w:asciiTheme="minorEastAsia" w:eastAsiaTheme="minorEastAsia" w:hAnsiTheme="minorEastAsia" w:hint="eastAsia"/>
        </w:rPr>
        <w:t>、巨额赎回：指本基金单个开放日，基金净赎回申请</w:t>
      </w:r>
      <w:r w:rsidR="00B329B1" w:rsidRPr="0087389D">
        <w:rPr>
          <w:rFonts w:asciiTheme="minorEastAsia" w:eastAsiaTheme="minorEastAsia" w:hAnsiTheme="minorEastAsia" w:hint="eastAsia"/>
        </w:rPr>
        <w:t>（</w:t>
      </w:r>
      <w:r w:rsidR="005A7855" w:rsidRPr="0087389D">
        <w:rPr>
          <w:rFonts w:asciiTheme="minorEastAsia" w:eastAsiaTheme="minorEastAsia" w:hAnsiTheme="minorEastAsia" w:hint="eastAsia"/>
        </w:rPr>
        <w:t>赎回申请份额总数加上基金转换中转出申请份额总数后扣除申购申请份额总数及基金转换中转入申请份额总数后的余额</w:t>
      </w:r>
      <w:r w:rsidR="00B329B1" w:rsidRPr="0087389D">
        <w:rPr>
          <w:rFonts w:asciiTheme="minorEastAsia" w:eastAsiaTheme="minorEastAsia" w:hAnsiTheme="minorEastAsia" w:hint="eastAsia"/>
        </w:rPr>
        <w:t>）</w:t>
      </w:r>
      <w:r w:rsidR="005A7855" w:rsidRPr="0087389D">
        <w:rPr>
          <w:rFonts w:asciiTheme="minorEastAsia" w:eastAsiaTheme="minorEastAsia" w:hAnsiTheme="minorEastAsia" w:hint="eastAsia"/>
        </w:rPr>
        <w:t>超过上一开放日基金总份额的10%</w:t>
      </w:r>
    </w:p>
    <w:p w:rsidR="005A7855" w:rsidRPr="0087389D" w:rsidRDefault="00D71054"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4</w:t>
      </w:r>
      <w:r w:rsidR="00BB04FF" w:rsidRPr="0087389D">
        <w:rPr>
          <w:rFonts w:asciiTheme="minorEastAsia" w:eastAsiaTheme="minorEastAsia" w:hAnsiTheme="minorEastAsia"/>
        </w:rPr>
        <w:t>7</w:t>
      </w:r>
      <w:r w:rsidR="005A7855" w:rsidRPr="0087389D">
        <w:rPr>
          <w:rFonts w:asciiTheme="minorEastAsia" w:eastAsiaTheme="minorEastAsia" w:hAnsiTheme="minorEastAsia" w:hint="eastAsia"/>
        </w:rPr>
        <w:t>、元：指人民币元</w:t>
      </w:r>
    </w:p>
    <w:p w:rsidR="005A7855" w:rsidRPr="0087389D" w:rsidRDefault="00D71054"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4</w:t>
      </w:r>
      <w:r w:rsidR="00BB04FF" w:rsidRPr="0087389D">
        <w:rPr>
          <w:rFonts w:asciiTheme="minorEastAsia" w:eastAsiaTheme="minorEastAsia" w:hAnsiTheme="minorEastAsia"/>
        </w:rPr>
        <w:t>8</w:t>
      </w:r>
      <w:r w:rsidR="005A7855" w:rsidRPr="0087389D">
        <w:rPr>
          <w:rFonts w:asciiTheme="minorEastAsia" w:eastAsiaTheme="minorEastAsia" w:hAnsiTheme="minorEastAsia" w:hint="eastAsia"/>
        </w:rPr>
        <w:t>、基金收益：指基金投资所得红利、股息、债券利息、买卖证券价差、银行存款利息、已实现的其他合法收入及因运用基金财产带来的成本和费用的节约</w:t>
      </w:r>
    </w:p>
    <w:p w:rsidR="005A7855" w:rsidRPr="0087389D" w:rsidRDefault="00D71054"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4</w:t>
      </w:r>
      <w:r w:rsidR="00BB04FF" w:rsidRPr="0087389D">
        <w:rPr>
          <w:rFonts w:asciiTheme="minorEastAsia" w:eastAsiaTheme="minorEastAsia" w:hAnsiTheme="minorEastAsia"/>
        </w:rPr>
        <w:t>9</w:t>
      </w:r>
      <w:r w:rsidR="005A7855" w:rsidRPr="0087389D">
        <w:rPr>
          <w:rFonts w:asciiTheme="minorEastAsia" w:eastAsiaTheme="minorEastAsia" w:hAnsiTheme="minorEastAsia" w:hint="eastAsia"/>
        </w:rPr>
        <w:t>、摊余成本法：</w:t>
      </w:r>
      <w:r w:rsidR="008762E2" w:rsidRPr="0087389D">
        <w:rPr>
          <w:rFonts w:asciiTheme="minorEastAsia" w:eastAsiaTheme="minorEastAsia" w:hAnsiTheme="minorEastAsia" w:hint="eastAsia"/>
        </w:rPr>
        <w:t>指计价对象以买入成本列示，按照票面利率或协议利率并考虑其买入时的溢价和折价，在剩余存续期内按实际利率法摊销，每日计提损益</w:t>
      </w:r>
    </w:p>
    <w:p w:rsidR="005A7855" w:rsidRPr="0087389D" w:rsidRDefault="00BB04FF"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50</w:t>
      </w:r>
      <w:r w:rsidR="005A7855" w:rsidRPr="0087389D">
        <w:rPr>
          <w:rFonts w:asciiTheme="minorEastAsia" w:eastAsiaTheme="minorEastAsia" w:hAnsiTheme="minorEastAsia" w:hint="eastAsia"/>
        </w:rPr>
        <w:t>、每万份基金已实现收益：指按照相关法规计算的每万份基金份额的日已实现收益</w:t>
      </w:r>
    </w:p>
    <w:p w:rsidR="005A7855" w:rsidRPr="0087389D" w:rsidRDefault="00D71054"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rPr>
        <w:t>5</w:t>
      </w:r>
      <w:r w:rsidR="00BB04FF" w:rsidRPr="0087389D">
        <w:rPr>
          <w:rFonts w:asciiTheme="minorEastAsia" w:eastAsiaTheme="minorEastAsia" w:hAnsiTheme="minorEastAsia"/>
        </w:rPr>
        <w:t>1</w:t>
      </w:r>
      <w:r w:rsidR="005A7855" w:rsidRPr="0087389D">
        <w:rPr>
          <w:rFonts w:asciiTheme="minorEastAsia" w:eastAsiaTheme="minorEastAsia" w:hAnsiTheme="minorEastAsia" w:hint="eastAsia"/>
        </w:rPr>
        <w:t>、7日年化收益率：指以最近7日</w:t>
      </w:r>
      <w:r w:rsidR="00B329B1" w:rsidRPr="0087389D">
        <w:rPr>
          <w:rFonts w:asciiTheme="minorEastAsia" w:eastAsiaTheme="minorEastAsia" w:hAnsiTheme="minorEastAsia" w:hint="eastAsia"/>
        </w:rPr>
        <w:t>（</w:t>
      </w:r>
      <w:r w:rsidR="005A7855" w:rsidRPr="0087389D">
        <w:rPr>
          <w:rFonts w:asciiTheme="minorEastAsia" w:eastAsiaTheme="minorEastAsia" w:hAnsiTheme="minorEastAsia" w:hint="eastAsia"/>
        </w:rPr>
        <w:t>含节假日</w:t>
      </w:r>
      <w:r w:rsidR="00B329B1" w:rsidRPr="0087389D">
        <w:rPr>
          <w:rFonts w:asciiTheme="minorEastAsia" w:eastAsiaTheme="minorEastAsia" w:hAnsiTheme="minorEastAsia" w:hint="eastAsia"/>
        </w:rPr>
        <w:t>）</w:t>
      </w:r>
      <w:r w:rsidR="005A7855" w:rsidRPr="0087389D">
        <w:rPr>
          <w:rFonts w:asciiTheme="minorEastAsia" w:eastAsiaTheme="minorEastAsia" w:hAnsiTheme="minorEastAsia" w:hint="eastAsia"/>
        </w:rPr>
        <w:t>收益所折算的年资产收益率</w:t>
      </w:r>
    </w:p>
    <w:p w:rsidR="005A7855" w:rsidRPr="0087389D" w:rsidRDefault="00D71054"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5</w:t>
      </w:r>
      <w:r w:rsidR="00BB04FF" w:rsidRPr="0087389D">
        <w:rPr>
          <w:rFonts w:asciiTheme="minorEastAsia" w:eastAsiaTheme="minorEastAsia" w:hAnsiTheme="minorEastAsia"/>
        </w:rPr>
        <w:t>2</w:t>
      </w:r>
      <w:r w:rsidR="005A7855" w:rsidRPr="0087389D">
        <w:rPr>
          <w:rFonts w:asciiTheme="minorEastAsia" w:eastAsiaTheme="minorEastAsia" w:hAnsiTheme="minorEastAsia" w:hint="eastAsia"/>
        </w:rPr>
        <w:t>、销售服务费：指本基金用于持续销售和服务基金份额持有人的费用，该笔费用从基金财产中扣除，属于基金的营运费用</w:t>
      </w:r>
    </w:p>
    <w:p w:rsidR="005A7855" w:rsidRPr="0087389D" w:rsidRDefault="00D71054"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5</w:t>
      </w:r>
      <w:r w:rsidR="00BB04FF" w:rsidRPr="0087389D">
        <w:rPr>
          <w:rFonts w:asciiTheme="minorEastAsia" w:eastAsiaTheme="minorEastAsia" w:hAnsiTheme="minorEastAsia"/>
        </w:rPr>
        <w:t>3</w:t>
      </w:r>
      <w:r w:rsidR="005A7855" w:rsidRPr="0087389D">
        <w:rPr>
          <w:rFonts w:asciiTheme="minorEastAsia" w:eastAsiaTheme="minorEastAsia" w:hAnsiTheme="minorEastAsia" w:hint="eastAsia"/>
        </w:rPr>
        <w:t>、基金份额分类：本基金分设</w:t>
      </w:r>
      <w:r w:rsidR="005047DD" w:rsidRPr="0087389D">
        <w:rPr>
          <w:rFonts w:asciiTheme="minorEastAsia" w:eastAsiaTheme="minorEastAsia" w:hAnsiTheme="minorEastAsia" w:hint="eastAsia"/>
        </w:rPr>
        <w:t>三</w:t>
      </w:r>
      <w:r w:rsidR="005A7855" w:rsidRPr="0087389D">
        <w:rPr>
          <w:rFonts w:asciiTheme="minorEastAsia" w:eastAsiaTheme="minorEastAsia" w:hAnsiTheme="minorEastAsia" w:hint="eastAsia"/>
        </w:rPr>
        <w:t>类基金份额：A类基金份额</w:t>
      </w:r>
      <w:r w:rsidR="005047DD" w:rsidRPr="0087389D">
        <w:rPr>
          <w:rFonts w:asciiTheme="minorEastAsia" w:eastAsiaTheme="minorEastAsia" w:hAnsiTheme="minorEastAsia" w:hint="eastAsia"/>
        </w:rPr>
        <w:t>、</w:t>
      </w:r>
      <w:r w:rsidR="005A7855" w:rsidRPr="0087389D">
        <w:rPr>
          <w:rFonts w:asciiTheme="minorEastAsia" w:eastAsiaTheme="minorEastAsia" w:hAnsiTheme="minorEastAsia" w:hint="eastAsia"/>
        </w:rPr>
        <w:t>B类基金份额</w:t>
      </w:r>
      <w:r w:rsidR="005047DD" w:rsidRPr="0087389D">
        <w:rPr>
          <w:rFonts w:asciiTheme="minorEastAsia" w:eastAsiaTheme="minorEastAsia" w:hAnsiTheme="minorEastAsia" w:hint="eastAsia"/>
        </w:rPr>
        <w:t>、</w:t>
      </w:r>
      <w:r w:rsidR="00334A78" w:rsidRPr="0087389D">
        <w:rPr>
          <w:rFonts w:asciiTheme="minorEastAsia" w:eastAsiaTheme="minorEastAsia" w:hAnsiTheme="minorEastAsia" w:hint="eastAsia"/>
        </w:rPr>
        <w:t>Y类</w:t>
      </w:r>
      <w:r w:rsidR="005047DD" w:rsidRPr="0087389D">
        <w:rPr>
          <w:rFonts w:asciiTheme="minorEastAsia" w:eastAsiaTheme="minorEastAsia" w:hAnsiTheme="minorEastAsia" w:hint="eastAsia"/>
        </w:rPr>
        <w:t>基金份额</w:t>
      </w:r>
      <w:r w:rsidR="005A7855" w:rsidRPr="0087389D">
        <w:rPr>
          <w:rFonts w:asciiTheme="minorEastAsia" w:eastAsiaTheme="minorEastAsia" w:hAnsiTheme="minorEastAsia" w:hint="eastAsia"/>
        </w:rPr>
        <w:t>。</w:t>
      </w:r>
      <w:r w:rsidR="005047DD" w:rsidRPr="0087389D">
        <w:rPr>
          <w:rFonts w:asciiTheme="minorEastAsia" w:eastAsiaTheme="minorEastAsia" w:hAnsiTheme="minorEastAsia" w:hint="eastAsia"/>
        </w:rPr>
        <w:t>三</w:t>
      </w:r>
      <w:r w:rsidR="005A7855" w:rsidRPr="0087389D">
        <w:rPr>
          <w:rFonts w:asciiTheme="minorEastAsia" w:eastAsiaTheme="minorEastAsia" w:hAnsiTheme="minorEastAsia" w:hint="eastAsia"/>
        </w:rPr>
        <w:t>类基金份额分设不同的基金代码，并分别公布每万份基金已实现收益和7日年化收益率</w:t>
      </w:r>
    </w:p>
    <w:p w:rsidR="005A7855" w:rsidRPr="0087389D" w:rsidRDefault="00D71054"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5</w:t>
      </w:r>
      <w:r w:rsidR="00BB04FF" w:rsidRPr="0087389D">
        <w:rPr>
          <w:rFonts w:asciiTheme="minorEastAsia" w:eastAsiaTheme="minorEastAsia" w:hAnsiTheme="minorEastAsia"/>
        </w:rPr>
        <w:t>4</w:t>
      </w:r>
      <w:r w:rsidR="005A7855" w:rsidRPr="0087389D">
        <w:rPr>
          <w:rFonts w:asciiTheme="minorEastAsia" w:eastAsiaTheme="minorEastAsia" w:hAnsiTheme="minorEastAsia" w:hint="eastAsia"/>
        </w:rPr>
        <w:t>、A类基金份额：指按照0.25%年费率计提销售服务费的基金份额类别</w:t>
      </w:r>
    </w:p>
    <w:p w:rsidR="005A7855" w:rsidRPr="0087389D" w:rsidRDefault="00D71054"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5</w:t>
      </w:r>
      <w:r w:rsidR="00BB04FF" w:rsidRPr="0087389D">
        <w:rPr>
          <w:rFonts w:asciiTheme="minorEastAsia" w:eastAsiaTheme="minorEastAsia" w:hAnsiTheme="minorEastAsia"/>
        </w:rPr>
        <w:t>5</w:t>
      </w:r>
      <w:r w:rsidR="005A7855" w:rsidRPr="0087389D">
        <w:rPr>
          <w:rFonts w:asciiTheme="minorEastAsia" w:eastAsiaTheme="minorEastAsia" w:hAnsiTheme="minorEastAsia" w:hint="eastAsia"/>
        </w:rPr>
        <w:t>、B类基金份额：指按照0.01%年费率计提销售服务费的基金份额类别</w:t>
      </w:r>
    </w:p>
    <w:p w:rsidR="005047DD" w:rsidRPr="0087389D" w:rsidRDefault="00D71054"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5</w:t>
      </w:r>
      <w:r w:rsidR="00BB04FF" w:rsidRPr="0087389D">
        <w:rPr>
          <w:rFonts w:asciiTheme="minorEastAsia" w:eastAsiaTheme="minorEastAsia" w:hAnsiTheme="minorEastAsia"/>
        </w:rPr>
        <w:t>6</w:t>
      </w:r>
      <w:r w:rsidR="005A7855" w:rsidRPr="0087389D">
        <w:rPr>
          <w:rFonts w:asciiTheme="minorEastAsia" w:eastAsiaTheme="minorEastAsia" w:hAnsiTheme="minorEastAsia" w:hint="eastAsia"/>
        </w:rPr>
        <w:t>、</w:t>
      </w:r>
      <w:r w:rsidR="00334A78" w:rsidRPr="0087389D">
        <w:rPr>
          <w:rFonts w:asciiTheme="minorEastAsia" w:eastAsiaTheme="minorEastAsia" w:hAnsiTheme="minorEastAsia" w:hint="eastAsia"/>
        </w:rPr>
        <w:t>Y类</w:t>
      </w:r>
      <w:r w:rsidR="005047DD" w:rsidRPr="0087389D">
        <w:rPr>
          <w:rFonts w:asciiTheme="minorEastAsia" w:eastAsiaTheme="minorEastAsia" w:hAnsiTheme="minorEastAsia" w:hint="eastAsia"/>
        </w:rPr>
        <w:t>基金份额：指按照0.25%年费率计提销售服务费，并通过基金管理人指定的销售渠道办理申购、赎回等业务的基金份额类别</w:t>
      </w:r>
    </w:p>
    <w:p w:rsidR="005A7855" w:rsidRPr="0087389D" w:rsidRDefault="00D71054"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5</w:t>
      </w:r>
      <w:r w:rsidR="00BB04FF" w:rsidRPr="0087389D">
        <w:rPr>
          <w:rFonts w:asciiTheme="minorEastAsia" w:eastAsiaTheme="minorEastAsia" w:hAnsiTheme="minorEastAsia"/>
        </w:rPr>
        <w:t>7</w:t>
      </w:r>
      <w:r w:rsidR="005047DD" w:rsidRPr="0087389D">
        <w:rPr>
          <w:rFonts w:asciiTheme="minorEastAsia" w:eastAsiaTheme="minorEastAsia" w:hAnsiTheme="minorEastAsia" w:hint="eastAsia"/>
        </w:rPr>
        <w:t>、</w:t>
      </w:r>
      <w:r w:rsidR="005A7855" w:rsidRPr="0087389D">
        <w:rPr>
          <w:rFonts w:asciiTheme="minorEastAsia" w:eastAsiaTheme="minorEastAsia" w:hAnsiTheme="minorEastAsia" w:hint="eastAsia"/>
        </w:rPr>
        <w:t>基金资产总值：指基金拥有的各类有价证券、银行存款本息、基金应收申购款及其他资产的价值总和</w:t>
      </w:r>
    </w:p>
    <w:p w:rsidR="005A7855" w:rsidRPr="0087389D" w:rsidRDefault="00D71054"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lastRenderedPageBreak/>
        <w:t>5</w:t>
      </w:r>
      <w:r w:rsidR="00BB04FF" w:rsidRPr="0087389D">
        <w:rPr>
          <w:rFonts w:asciiTheme="minorEastAsia" w:eastAsiaTheme="minorEastAsia" w:hAnsiTheme="minorEastAsia"/>
        </w:rPr>
        <w:t>8</w:t>
      </w:r>
      <w:r w:rsidR="005A7855" w:rsidRPr="0087389D">
        <w:rPr>
          <w:rFonts w:asciiTheme="minorEastAsia" w:eastAsiaTheme="minorEastAsia" w:hAnsiTheme="minorEastAsia" w:hint="eastAsia"/>
        </w:rPr>
        <w:t>、基金资产净值：指基金资产总值减去基金负债后的价值</w:t>
      </w:r>
    </w:p>
    <w:p w:rsidR="005A7855" w:rsidRPr="0087389D" w:rsidRDefault="00D71054"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5</w:t>
      </w:r>
      <w:r w:rsidR="00BB04FF" w:rsidRPr="0087389D">
        <w:rPr>
          <w:rFonts w:asciiTheme="minorEastAsia" w:eastAsiaTheme="minorEastAsia" w:hAnsiTheme="minorEastAsia"/>
        </w:rPr>
        <w:t>9</w:t>
      </w:r>
      <w:r w:rsidR="005A7855" w:rsidRPr="0087389D">
        <w:rPr>
          <w:rFonts w:asciiTheme="minorEastAsia" w:eastAsiaTheme="minorEastAsia" w:hAnsiTheme="minorEastAsia" w:hint="eastAsia"/>
        </w:rPr>
        <w:t>、基金份额净值：指计算日基金资产净值除以计算日基金份额总数</w:t>
      </w:r>
    </w:p>
    <w:p w:rsidR="005A7855" w:rsidRPr="0087389D" w:rsidRDefault="00BB04FF"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60</w:t>
      </w:r>
      <w:r w:rsidR="005A7855" w:rsidRPr="0087389D">
        <w:rPr>
          <w:rFonts w:asciiTheme="minorEastAsia" w:eastAsiaTheme="minorEastAsia" w:hAnsiTheme="minorEastAsia" w:hint="eastAsia"/>
        </w:rPr>
        <w:t>、基金资产估值：指计算评估基金资产和负债的价值，以确定基金资产净值和每万份基金已实现收益的过程</w:t>
      </w:r>
    </w:p>
    <w:p w:rsidR="005A7855" w:rsidRPr="0087389D" w:rsidRDefault="00D71054"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rPr>
        <w:t>6</w:t>
      </w:r>
      <w:r w:rsidR="00BB04FF" w:rsidRPr="0087389D">
        <w:rPr>
          <w:rFonts w:asciiTheme="minorEastAsia" w:eastAsiaTheme="minorEastAsia" w:hAnsiTheme="minorEastAsia"/>
        </w:rPr>
        <w:t>1</w:t>
      </w:r>
      <w:r w:rsidR="005A7855" w:rsidRPr="0087389D">
        <w:rPr>
          <w:rFonts w:asciiTheme="minorEastAsia" w:eastAsiaTheme="minorEastAsia" w:hAnsiTheme="minorEastAsia" w:hint="eastAsia"/>
        </w:rPr>
        <w:t>、</w:t>
      </w:r>
      <w:r w:rsidR="00BB04FF" w:rsidRPr="0087389D">
        <w:rPr>
          <w:rFonts w:asciiTheme="minorEastAsia" w:eastAsiaTheme="minorEastAsia" w:hAnsiTheme="minorEastAsia" w:hint="eastAsia"/>
        </w:rPr>
        <w:t>指定媒介：指中国证监会指定的用以进行信息披露的全国性报刊及指定互联网网站（包括基金管理人网站、基金托管人网站、中国证监会基金电子披露网站）等媒介</w:t>
      </w:r>
    </w:p>
    <w:p w:rsidR="005A7855" w:rsidRPr="0087389D" w:rsidRDefault="00D71054"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6</w:t>
      </w:r>
      <w:r w:rsidR="00BB04FF" w:rsidRPr="0087389D">
        <w:rPr>
          <w:rFonts w:asciiTheme="minorEastAsia" w:eastAsiaTheme="minorEastAsia" w:hAnsiTheme="minorEastAsia"/>
        </w:rPr>
        <w:t>2</w:t>
      </w:r>
      <w:r w:rsidR="005A7855" w:rsidRPr="0087389D">
        <w:rPr>
          <w:rFonts w:asciiTheme="minorEastAsia" w:eastAsiaTheme="minorEastAsia" w:hAnsiTheme="minorEastAsia" w:hint="eastAsia"/>
        </w:rPr>
        <w:t>、不可抗力：指</w:t>
      </w:r>
      <w:r w:rsidR="00566DFF" w:rsidRPr="0087389D">
        <w:rPr>
          <w:rFonts w:asciiTheme="minorEastAsia" w:eastAsiaTheme="minorEastAsia" w:hAnsiTheme="minorEastAsia" w:hint="eastAsia"/>
        </w:rPr>
        <w:t>基金</w:t>
      </w:r>
      <w:r w:rsidR="005A7855" w:rsidRPr="0087389D">
        <w:rPr>
          <w:rFonts w:asciiTheme="minorEastAsia" w:eastAsiaTheme="minorEastAsia" w:hAnsiTheme="minorEastAsia" w:hint="eastAsia"/>
        </w:rPr>
        <w:t>合同当事人不能预见、不能避免且不能克服的客观事件</w:t>
      </w:r>
    </w:p>
    <w:p w:rsidR="00D71054" w:rsidRPr="0087389D" w:rsidRDefault="00D71054"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6</w:t>
      </w:r>
      <w:r w:rsidR="00BB04FF" w:rsidRPr="0087389D">
        <w:rPr>
          <w:rFonts w:asciiTheme="minorEastAsia" w:eastAsiaTheme="minorEastAsia" w:hAnsiTheme="minorEastAsia"/>
        </w:rPr>
        <w:t>3</w:t>
      </w:r>
      <w:r w:rsidRPr="0087389D">
        <w:rPr>
          <w:rFonts w:asciiTheme="minorEastAsia" w:eastAsiaTheme="minorEastAsia" w:hAnsiTheme="minorEastAsia" w:hint="eastAsia"/>
        </w:rPr>
        <w:t>、流动性受限资产：指由于法律法规、监管、合同或操作障碍等原因无法以合理价格予以变现的资产，包括但不限于到期日在10个交易日以上的逆回购与银行定期存款（含协议约定有条件提前支取的银行存款）、资产支持证券、因发行人债务违约无法进行转让或交易的债券等</w:t>
      </w:r>
    </w:p>
    <w:p w:rsidR="00B66608" w:rsidRPr="0087389D" w:rsidRDefault="00B66608" w:rsidP="00555CE7">
      <w:pPr>
        <w:snapToGrid w:val="0"/>
        <w:spacing w:line="360" w:lineRule="auto"/>
        <w:ind w:firstLine="420"/>
        <w:rPr>
          <w:rFonts w:asciiTheme="minorEastAsia" w:eastAsiaTheme="minorEastAsia" w:hAnsiTheme="minorEastAsia"/>
        </w:rPr>
      </w:pPr>
    </w:p>
    <w:p w:rsidR="00BA4B87" w:rsidRPr="0087389D" w:rsidRDefault="00BA4B87" w:rsidP="00555CE7">
      <w:pPr>
        <w:snapToGrid w:val="0"/>
        <w:spacing w:line="360" w:lineRule="auto"/>
        <w:ind w:firstLine="420"/>
        <w:rPr>
          <w:rFonts w:asciiTheme="minorEastAsia" w:eastAsiaTheme="minorEastAsia" w:hAnsiTheme="minorEastAsia"/>
        </w:rPr>
      </w:pPr>
    </w:p>
    <w:p w:rsidR="00BA4B87" w:rsidRPr="0087389D" w:rsidRDefault="00BA4B87" w:rsidP="00555CE7">
      <w:pPr>
        <w:snapToGrid w:val="0"/>
        <w:spacing w:line="360" w:lineRule="auto"/>
        <w:ind w:firstLine="181"/>
        <w:jc w:val="center"/>
        <w:rPr>
          <w:rFonts w:asciiTheme="minorEastAsia" w:eastAsiaTheme="minorEastAsia" w:hAnsiTheme="minorEastAsia"/>
        </w:rPr>
      </w:pPr>
    </w:p>
    <w:p w:rsidR="00BA4B87" w:rsidRPr="0087389D" w:rsidRDefault="00BA4B87" w:rsidP="00555CE7">
      <w:pPr>
        <w:pStyle w:val="111"/>
        <w:pageBreakBefore w:val="0"/>
        <w:snapToGrid w:val="0"/>
        <w:spacing w:beforeLines="0" w:afterLines="0" w:line="360" w:lineRule="auto"/>
        <w:ind w:firstLine="643"/>
        <w:rPr>
          <w:rFonts w:asciiTheme="minorEastAsia" w:eastAsiaTheme="minorEastAsia" w:hAnsiTheme="minorEastAsia"/>
          <w:b/>
        </w:rPr>
      </w:pPr>
      <w:r w:rsidRPr="0087389D">
        <w:rPr>
          <w:rFonts w:asciiTheme="minorEastAsia" w:eastAsiaTheme="minorEastAsia" w:hAnsiTheme="minorEastAsia"/>
          <w:b/>
          <w:bCs/>
        </w:rPr>
        <w:br w:type="column"/>
      </w:r>
      <w:bookmarkStart w:id="4" w:name="_Toc361403732"/>
      <w:bookmarkStart w:id="5" w:name="_Toc41644961"/>
      <w:r w:rsidRPr="0087389D">
        <w:rPr>
          <w:rFonts w:asciiTheme="minorEastAsia" w:eastAsiaTheme="minorEastAsia" w:hAnsiTheme="minorEastAsia"/>
          <w:b/>
        </w:rPr>
        <w:lastRenderedPageBreak/>
        <w:t>三、基金管理人</w:t>
      </w:r>
      <w:bookmarkEnd w:id="4"/>
      <w:bookmarkEnd w:id="5"/>
    </w:p>
    <w:p w:rsidR="00BA4B87" w:rsidRPr="0087389D" w:rsidRDefault="00B329B1" w:rsidP="00555CE7">
      <w:pPr>
        <w:snapToGrid w:val="0"/>
        <w:spacing w:line="360" w:lineRule="auto"/>
        <w:ind w:firstLine="420"/>
        <w:rPr>
          <w:rFonts w:asciiTheme="minorEastAsia" w:eastAsiaTheme="minorEastAsia" w:hAnsiTheme="minorEastAsia"/>
        </w:rPr>
      </w:pPr>
      <w:bookmarkStart w:id="6" w:name="_Toc327734788"/>
      <w:r w:rsidRPr="0087389D">
        <w:rPr>
          <w:rFonts w:asciiTheme="minorEastAsia" w:eastAsiaTheme="minorEastAsia" w:hAnsiTheme="minorEastAsia"/>
        </w:rPr>
        <w:t>（</w:t>
      </w:r>
      <w:r w:rsidR="00BA4B87" w:rsidRPr="0087389D">
        <w:rPr>
          <w:rFonts w:asciiTheme="minorEastAsia" w:eastAsiaTheme="minorEastAsia" w:hAnsiTheme="minorEastAsia"/>
        </w:rPr>
        <w:t>一</w:t>
      </w:r>
      <w:r w:rsidRPr="0087389D">
        <w:rPr>
          <w:rFonts w:asciiTheme="minorEastAsia" w:eastAsiaTheme="minorEastAsia" w:hAnsiTheme="minorEastAsia"/>
        </w:rPr>
        <w:t>）</w:t>
      </w:r>
      <w:r w:rsidR="00BA4B87" w:rsidRPr="0087389D">
        <w:rPr>
          <w:rFonts w:asciiTheme="minorEastAsia" w:eastAsiaTheme="minorEastAsia" w:hAnsiTheme="minorEastAsia"/>
        </w:rPr>
        <w:t>基金管理人基本情况</w:t>
      </w:r>
      <w:bookmarkEnd w:id="6"/>
    </w:p>
    <w:p w:rsidR="00BA4B87" w:rsidRPr="0087389D" w:rsidRDefault="00BA4B87" w:rsidP="00555CE7">
      <w:pPr>
        <w:snapToGrid w:val="0"/>
        <w:spacing w:line="360" w:lineRule="auto"/>
        <w:ind w:firstLine="420"/>
        <w:rPr>
          <w:rFonts w:asciiTheme="minorEastAsia" w:eastAsiaTheme="minorEastAsia" w:hAnsiTheme="minorEastAsia"/>
        </w:rPr>
      </w:pPr>
      <w:r w:rsidRPr="0087389D">
        <w:rPr>
          <w:rFonts w:asciiTheme="minorEastAsia" w:eastAsiaTheme="minorEastAsia" w:hAnsiTheme="minorEastAsia"/>
        </w:rPr>
        <w:t>1、基金管理人：易方达基金管理有限公司</w:t>
      </w:r>
    </w:p>
    <w:p w:rsidR="00BA4B87" w:rsidRPr="0087389D" w:rsidRDefault="00BA4B87" w:rsidP="00555CE7">
      <w:pPr>
        <w:snapToGrid w:val="0"/>
        <w:spacing w:line="360" w:lineRule="auto"/>
        <w:ind w:firstLine="420"/>
        <w:rPr>
          <w:rFonts w:asciiTheme="minorEastAsia" w:eastAsiaTheme="minorEastAsia" w:hAnsiTheme="minorEastAsia"/>
        </w:rPr>
      </w:pPr>
      <w:r w:rsidRPr="0087389D">
        <w:rPr>
          <w:rFonts w:asciiTheme="minorEastAsia" w:eastAsiaTheme="minorEastAsia" w:hAnsiTheme="minorEastAsia"/>
        </w:rPr>
        <w:t>注册地址：</w:t>
      </w:r>
      <w:r w:rsidR="00D82F04" w:rsidRPr="0087389D">
        <w:rPr>
          <w:rFonts w:asciiTheme="minorEastAsia" w:eastAsiaTheme="minorEastAsia" w:hAnsiTheme="minorEastAsia"/>
        </w:rPr>
        <w:t>广东省珠海市横琴新区宝华路6号105室－42891（集中办公区）</w:t>
      </w:r>
    </w:p>
    <w:p w:rsidR="00BA4B87" w:rsidRPr="0087389D" w:rsidRDefault="00BA4B87" w:rsidP="00555CE7">
      <w:pPr>
        <w:snapToGrid w:val="0"/>
        <w:spacing w:line="360" w:lineRule="auto"/>
        <w:ind w:firstLine="420"/>
        <w:rPr>
          <w:rFonts w:asciiTheme="minorEastAsia" w:eastAsiaTheme="minorEastAsia" w:hAnsiTheme="minorEastAsia"/>
        </w:rPr>
      </w:pPr>
      <w:r w:rsidRPr="0087389D">
        <w:rPr>
          <w:rFonts w:asciiTheme="minorEastAsia" w:eastAsiaTheme="minorEastAsia" w:hAnsiTheme="minorEastAsia"/>
        </w:rPr>
        <w:t>办公地址：</w:t>
      </w:r>
      <w:bookmarkStart w:id="7" w:name="OLE_LINK1"/>
      <w:bookmarkStart w:id="8" w:name="OLE_LINK2"/>
      <w:r w:rsidR="002D7991" w:rsidRPr="0087389D">
        <w:rPr>
          <w:rFonts w:asciiTheme="minorEastAsia" w:eastAsiaTheme="minorEastAsia" w:hAnsiTheme="minorEastAsia" w:hint="eastAsia"/>
        </w:rPr>
        <w:t>广州市天河区珠江新城珠江东路30号广州银行大厦40-43楼</w:t>
      </w:r>
      <w:bookmarkEnd w:id="7"/>
      <w:bookmarkEnd w:id="8"/>
    </w:p>
    <w:p w:rsidR="00BA4B87" w:rsidRPr="0087389D" w:rsidRDefault="00BA4B87" w:rsidP="00555CE7">
      <w:pPr>
        <w:snapToGrid w:val="0"/>
        <w:spacing w:line="360" w:lineRule="auto"/>
        <w:ind w:firstLine="420"/>
        <w:rPr>
          <w:rFonts w:asciiTheme="minorEastAsia" w:eastAsiaTheme="minorEastAsia" w:hAnsiTheme="minorEastAsia"/>
        </w:rPr>
      </w:pPr>
      <w:r w:rsidRPr="0087389D">
        <w:rPr>
          <w:rFonts w:asciiTheme="minorEastAsia" w:eastAsiaTheme="minorEastAsia" w:hAnsiTheme="minorEastAsia"/>
        </w:rPr>
        <w:t>批准设立机关及批准设立文号：</w:t>
      </w:r>
      <w:r w:rsidR="00FD54AB" w:rsidRPr="0087389D">
        <w:rPr>
          <w:rFonts w:asciiTheme="minorEastAsia" w:eastAsiaTheme="minorEastAsia" w:hAnsiTheme="minorEastAsia" w:hint="eastAsia"/>
        </w:rPr>
        <w:t>中国证券监督管理委员会</w:t>
      </w:r>
      <w:r w:rsidRPr="0087389D">
        <w:rPr>
          <w:rFonts w:asciiTheme="minorEastAsia" w:eastAsiaTheme="minorEastAsia" w:hAnsiTheme="minorEastAsia"/>
        </w:rPr>
        <w:t>，证监基金字[2001]4号</w:t>
      </w:r>
    </w:p>
    <w:p w:rsidR="00BA4B87" w:rsidRPr="0087389D" w:rsidRDefault="00BA4B87" w:rsidP="00555CE7">
      <w:pPr>
        <w:snapToGrid w:val="0"/>
        <w:spacing w:line="360" w:lineRule="auto"/>
        <w:ind w:firstLine="420"/>
        <w:rPr>
          <w:rFonts w:asciiTheme="minorEastAsia" w:eastAsiaTheme="minorEastAsia" w:hAnsiTheme="minorEastAsia"/>
        </w:rPr>
      </w:pPr>
      <w:r w:rsidRPr="0087389D">
        <w:rPr>
          <w:rFonts w:asciiTheme="minorEastAsia" w:eastAsiaTheme="minorEastAsia" w:hAnsiTheme="minorEastAsia"/>
        </w:rPr>
        <w:t>法定代表人：</w:t>
      </w:r>
      <w:r w:rsidR="0042097C" w:rsidRPr="0087389D">
        <w:rPr>
          <w:rFonts w:asciiTheme="minorEastAsia" w:eastAsiaTheme="minorEastAsia" w:hAnsiTheme="minorEastAsia" w:hint="eastAsia"/>
        </w:rPr>
        <w:t>刘晓艳</w:t>
      </w:r>
    </w:p>
    <w:p w:rsidR="00BA4B87" w:rsidRPr="0087389D" w:rsidRDefault="00BA4B87" w:rsidP="00555CE7">
      <w:pPr>
        <w:snapToGrid w:val="0"/>
        <w:spacing w:line="360" w:lineRule="auto"/>
        <w:ind w:firstLine="420"/>
        <w:rPr>
          <w:rFonts w:asciiTheme="minorEastAsia" w:eastAsiaTheme="minorEastAsia" w:hAnsiTheme="minorEastAsia"/>
        </w:rPr>
      </w:pPr>
      <w:r w:rsidRPr="0087389D">
        <w:rPr>
          <w:rFonts w:asciiTheme="minorEastAsia" w:eastAsiaTheme="minorEastAsia" w:hAnsiTheme="minorEastAsia"/>
        </w:rPr>
        <w:t>设立日期：2001年4月17日</w:t>
      </w:r>
    </w:p>
    <w:p w:rsidR="00BA4B87" w:rsidRPr="0087389D" w:rsidRDefault="00BA4B87" w:rsidP="00555CE7">
      <w:pPr>
        <w:snapToGrid w:val="0"/>
        <w:spacing w:line="360" w:lineRule="auto"/>
        <w:ind w:firstLine="420"/>
        <w:rPr>
          <w:rFonts w:asciiTheme="minorEastAsia" w:eastAsiaTheme="minorEastAsia" w:hAnsiTheme="minorEastAsia"/>
        </w:rPr>
      </w:pPr>
      <w:r w:rsidRPr="0087389D">
        <w:rPr>
          <w:rFonts w:asciiTheme="minorEastAsia" w:eastAsiaTheme="minorEastAsia" w:hAnsiTheme="minorEastAsia"/>
        </w:rPr>
        <w:t>组织形式：有限责任公司</w:t>
      </w:r>
    </w:p>
    <w:p w:rsidR="00BA4B87" w:rsidRPr="0087389D" w:rsidRDefault="008D2930" w:rsidP="00555CE7">
      <w:pPr>
        <w:snapToGrid w:val="0"/>
        <w:spacing w:line="360" w:lineRule="auto"/>
        <w:ind w:firstLine="420"/>
        <w:rPr>
          <w:rFonts w:asciiTheme="minorEastAsia" w:eastAsiaTheme="minorEastAsia" w:hAnsiTheme="minorEastAsia"/>
        </w:rPr>
      </w:pPr>
      <w:r w:rsidRPr="0087389D">
        <w:rPr>
          <w:rFonts w:asciiTheme="minorEastAsia" w:eastAsiaTheme="minorEastAsia" w:hAnsiTheme="minorEastAsia"/>
        </w:rPr>
        <w:t>注册资本：13,244.2万元人民币</w:t>
      </w:r>
    </w:p>
    <w:p w:rsidR="00BA4B87" w:rsidRPr="0087389D" w:rsidRDefault="00BA4B87" w:rsidP="00555CE7">
      <w:pPr>
        <w:snapToGrid w:val="0"/>
        <w:spacing w:line="360" w:lineRule="auto"/>
        <w:ind w:firstLine="420"/>
        <w:rPr>
          <w:rFonts w:asciiTheme="minorEastAsia" w:eastAsiaTheme="minorEastAsia" w:hAnsiTheme="minorEastAsia"/>
        </w:rPr>
      </w:pPr>
      <w:r w:rsidRPr="0087389D">
        <w:rPr>
          <w:rFonts w:asciiTheme="minorEastAsia" w:eastAsiaTheme="minorEastAsia" w:hAnsiTheme="minorEastAsia"/>
        </w:rPr>
        <w:t>存续期限：持续经营</w:t>
      </w:r>
    </w:p>
    <w:p w:rsidR="00BA4B87" w:rsidRPr="0087389D" w:rsidRDefault="00F46125" w:rsidP="00555CE7">
      <w:pPr>
        <w:snapToGrid w:val="0"/>
        <w:spacing w:line="360" w:lineRule="auto"/>
        <w:ind w:firstLine="420"/>
        <w:rPr>
          <w:rFonts w:asciiTheme="minorEastAsia" w:eastAsiaTheme="minorEastAsia" w:hAnsiTheme="minorEastAsia"/>
        </w:rPr>
      </w:pPr>
      <w:r w:rsidRPr="0087389D">
        <w:rPr>
          <w:rFonts w:asciiTheme="minorEastAsia" w:eastAsiaTheme="minorEastAsia" w:hAnsiTheme="minorEastAsia"/>
        </w:rPr>
        <w:t>联系人：李红枫</w:t>
      </w:r>
    </w:p>
    <w:p w:rsidR="00BA4B87" w:rsidRPr="0087389D" w:rsidRDefault="00BA4B87" w:rsidP="00555CE7">
      <w:pPr>
        <w:snapToGrid w:val="0"/>
        <w:spacing w:line="360" w:lineRule="auto"/>
        <w:ind w:firstLine="420"/>
        <w:rPr>
          <w:rFonts w:asciiTheme="minorEastAsia" w:eastAsiaTheme="minorEastAsia" w:hAnsiTheme="minorEastAsia"/>
          <w:szCs w:val="21"/>
        </w:rPr>
      </w:pPr>
      <w:r w:rsidRPr="0087389D">
        <w:rPr>
          <w:rFonts w:asciiTheme="minorEastAsia" w:eastAsiaTheme="minorEastAsia" w:hAnsiTheme="minorEastAsia"/>
        </w:rPr>
        <w:t>联系电话：4008818088</w:t>
      </w:r>
    </w:p>
    <w:p w:rsidR="00BA4B87" w:rsidRPr="0087389D" w:rsidRDefault="00BA4B87" w:rsidP="00555CE7">
      <w:pPr>
        <w:snapToGrid w:val="0"/>
        <w:spacing w:line="360" w:lineRule="auto"/>
        <w:ind w:firstLine="420"/>
        <w:rPr>
          <w:rFonts w:asciiTheme="minorEastAsia" w:eastAsiaTheme="minorEastAsia" w:hAnsiTheme="minorEastAsia"/>
        </w:rPr>
      </w:pPr>
      <w:r w:rsidRPr="0087389D">
        <w:rPr>
          <w:rFonts w:asciiTheme="minorEastAsia" w:eastAsiaTheme="minorEastAsia" w:hAnsiTheme="minorEastAsia"/>
        </w:rPr>
        <w:t>2、股权结构：</w:t>
      </w:r>
    </w:p>
    <w:tbl>
      <w:tblPr>
        <w:tblW w:w="44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5"/>
        <w:gridCol w:w="2577"/>
      </w:tblGrid>
      <w:tr w:rsidR="002E06F4" w:rsidRPr="0087389D" w:rsidTr="0014759F">
        <w:trPr>
          <w:jc w:val="center"/>
        </w:trPr>
        <w:tc>
          <w:tcPr>
            <w:tcW w:w="3296" w:type="pct"/>
            <w:vAlign w:val="center"/>
          </w:tcPr>
          <w:p w:rsidR="00BA4B87" w:rsidRPr="0087389D" w:rsidRDefault="00BA4B87" w:rsidP="00555CE7">
            <w:pPr>
              <w:snapToGrid w:val="0"/>
              <w:spacing w:line="360" w:lineRule="auto"/>
              <w:ind w:firstLine="420"/>
              <w:jc w:val="center"/>
              <w:rPr>
                <w:rFonts w:asciiTheme="minorEastAsia" w:eastAsiaTheme="minorEastAsia" w:hAnsiTheme="minorEastAsia"/>
              </w:rPr>
            </w:pPr>
            <w:r w:rsidRPr="0087389D">
              <w:rPr>
                <w:rFonts w:asciiTheme="minorEastAsia" w:eastAsiaTheme="minorEastAsia" w:hAnsiTheme="minorEastAsia"/>
              </w:rPr>
              <w:t>股东名称</w:t>
            </w:r>
          </w:p>
        </w:tc>
        <w:tc>
          <w:tcPr>
            <w:tcW w:w="1704" w:type="pct"/>
            <w:vAlign w:val="center"/>
          </w:tcPr>
          <w:p w:rsidR="00BA4B87" w:rsidRPr="0087389D" w:rsidRDefault="00BA4B87" w:rsidP="00555CE7">
            <w:pPr>
              <w:snapToGrid w:val="0"/>
              <w:spacing w:line="360" w:lineRule="auto"/>
              <w:ind w:firstLine="420"/>
              <w:jc w:val="center"/>
              <w:rPr>
                <w:rFonts w:asciiTheme="minorEastAsia" w:eastAsiaTheme="minorEastAsia" w:hAnsiTheme="minorEastAsia"/>
              </w:rPr>
            </w:pPr>
            <w:r w:rsidRPr="0087389D">
              <w:rPr>
                <w:rFonts w:asciiTheme="minorEastAsia" w:eastAsiaTheme="minorEastAsia" w:hAnsiTheme="minorEastAsia"/>
              </w:rPr>
              <w:t>出资比例</w:t>
            </w:r>
          </w:p>
        </w:tc>
      </w:tr>
      <w:tr w:rsidR="002E06F4" w:rsidRPr="0087389D" w:rsidTr="0014759F">
        <w:trPr>
          <w:jc w:val="center"/>
        </w:trPr>
        <w:tc>
          <w:tcPr>
            <w:tcW w:w="3296" w:type="pct"/>
            <w:vAlign w:val="center"/>
          </w:tcPr>
          <w:p w:rsidR="00BA4B87" w:rsidRPr="0087389D" w:rsidRDefault="008D2930" w:rsidP="00555CE7">
            <w:pPr>
              <w:snapToGrid w:val="0"/>
              <w:spacing w:line="360" w:lineRule="auto"/>
              <w:ind w:firstLine="420"/>
              <w:rPr>
                <w:rFonts w:asciiTheme="minorEastAsia" w:eastAsiaTheme="minorEastAsia" w:hAnsiTheme="minorEastAsia"/>
              </w:rPr>
            </w:pPr>
            <w:r w:rsidRPr="0087389D">
              <w:rPr>
                <w:rFonts w:asciiTheme="minorEastAsia" w:eastAsiaTheme="minorEastAsia" w:hAnsiTheme="minorEastAsia" w:hint="eastAsia"/>
              </w:rPr>
              <w:t>广东粤财信托有限公司</w:t>
            </w:r>
          </w:p>
        </w:tc>
        <w:tc>
          <w:tcPr>
            <w:tcW w:w="1704" w:type="pct"/>
            <w:vAlign w:val="center"/>
          </w:tcPr>
          <w:p w:rsidR="00BA4B87" w:rsidRPr="0087389D" w:rsidRDefault="008D2930" w:rsidP="00555CE7">
            <w:pPr>
              <w:snapToGrid w:val="0"/>
              <w:spacing w:line="360" w:lineRule="auto"/>
              <w:ind w:firstLine="420"/>
              <w:jc w:val="center"/>
              <w:rPr>
                <w:rFonts w:asciiTheme="minorEastAsia" w:eastAsiaTheme="minorEastAsia" w:hAnsiTheme="minorEastAsia"/>
              </w:rPr>
            </w:pPr>
            <w:r w:rsidRPr="0087389D">
              <w:rPr>
                <w:rFonts w:asciiTheme="minorEastAsia" w:eastAsiaTheme="minorEastAsia" w:hAnsiTheme="minorEastAsia"/>
              </w:rPr>
              <w:t>22.6514％</w:t>
            </w:r>
          </w:p>
        </w:tc>
      </w:tr>
      <w:tr w:rsidR="002E06F4" w:rsidRPr="0087389D" w:rsidTr="0014759F">
        <w:trPr>
          <w:jc w:val="center"/>
        </w:trPr>
        <w:tc>
          <w:tcPr>
            <w:tcW w:w="3296" w:type="pct"/>
            <w:vAlign w:val="center"/>
          </w:tcPr>
          <w:p w:rsidR="00BA4B87" w:rsidRPr="0087389D" w:rsidRDefault="008D2930" w:rsidP="00555CE7">
            <w:pPr>
              <w:snapToGrid w:val="0"/>
              <w:spacing w:line="360" w:lineRule="auto"/>
              <w:ind w:firstLine="420"/>
              <w:rPr>
                <w:rFonts w:asciiTheme="minorEastAsia" w:eastAsiaTheme="minorEastAsia" w:hAnsiTheme="minorEastAsia"/>
              </w:rPr>
            </w:pPr>
            <w:r w:rsidRPr="0087389D">
              <w:rPr>
                <w:rFonts w:asciiTheme="minorEastAsia" w:eastAsiaTheme="minorEastAsia" w:hAnsiTheme="minorEastAsia" w:hint="eastAsia"/>
              </w:rPr>
              <w:t>广发证券股份有限公司</w:t>
            </w:r>
          </w:p>
        </w:tc>
        <w:tc>
          <w:tcPr>
            <w:tcW w:w="1704" w:type="pct"/>
            <w:vAlign w:val="center"/>
          </w:tcPr>
          <w:p w:rsidR="00BA4B87" w:rsidRPr="0087389D" w:rsidRDefault="008D2930" w:rsidP="00555CE7">
            <w:pPr>
              <w:snapToGrid w:val="0"/>
              <w:spacing w:line="360" w:lineRule="auto"/>
              <w:ind w:firstLine="420"/>
              <w:jc w:val="center"/>
              <w:rPr>
                <w:rFonts w:asciiTheme="minorEastAsia" w:eastAsiaTheme="minorEastAsia" w:hAnsiTheme="minorEastAsia"/>
              </w:rPr>
            </w:pPr>
            <w:r w:rsidRPr="0087389D">
              <w:rPr>
                <w:rFonts w:asciiTheme="minorEastAsia" w:eastAsiaTheme="minorEastAsia" w:hAnsiTheme="minorEastAsia"/>
              </w:rPr>
              <w:t>22.6514％</w:t>
            </w:r>
          </w:p>
        </w:tc>
      </w:tr>
      <w:tr w:rsidR="002E06F4" w:rsidRPr="0087389D" w:rsidTr="0014759F">
        <w:trPr>
          <w:jc w:val="center"/>
        </w:trPr>
        <w:tc>
          <w:tcPr>
            <w:tcW w:w="3296" w:type="pct"/>
            <w:vAlign w:val="center"/>
          </w:tcPr>
          <w:p w:rsidR="00BA4B87" w:rsidRPr="0087389D" w:rsidRDefault="008D2930" w:rsidP="00555CE7">
            <w:pPr>
              <w:snapToGrid w:val="0"/>
              <w:spacing w:line="360" w:lineRule="auto"/>
              <w:ind w:firstLine="420"/>
              <w:rPr>
                <w:rFonts w:asciiTheme="minorEastAsia" w:eastAsiaTheme="minorEastAsia" w:hAnsiTheme="minorEastAsia"/>
              </w:rPr>
            </w:pPr>
            <w:r w:rsidRPr="0087389D">
              <w:rPr>
                <w:rFonts w:asciiTheme="minorEastAsia" w:eastAsiaTheme="minorEastAsia" w:hAnsiTheme="minorEastAsia" w:hint="eastAsia"/>
              </w:rPr>
              <w:t>盈峰控股集团有限公司</w:t>
            </w:r>
          </w:p>
        </w:tc>
        <w:tc>
          <w:tcPr>
            <w:tcW w:w="1704" w:type="pct"/>
            <w:vAlign w:val="center"/>
          </w:tcPr>
          <w:p w:rsidR="00BA4B87" w:rsidRPr="0087389D" w:rsidRDefault="008D2930" w:rsidP="00555CE7">
            <w:pPr>
              <w:snapToGrid w:val="0"/>
              <w:spacing w:line="360" w:lineRule="auto"/>
              <w:ind w:firstLine="420"/>
              <w:jc w:val="center"/>
              <w:rPr>
                <w:rFonts w:asciiTheme="minorEastAsia" w:eastAsiaTheme="minorEastAsia" w:hAnsiTheme="minorEastAsia"/>
              </w:rPr>
            </w:pPr>
            <w:r w:rsidRPr="0087389D">
              <w:rPr>
                <w:rFonts w:asciiTheme="minorEastAsia" w:eastAsiaTheme="minorEastAsia" w:hAnsiTheme="minorEastAsia"/>
              </w:rPr>
              <w:t>22.6514％</w:t>
            </w:r>
          </w:p>
        </w:tc>
      </w:tr>
      <w:tr w:rsidR="002E06F4" w:rsidRPr="0087389D" w:rsidTr="0014759F">
        <w:trPr>
          <w:jc w:val="center"/>
        </w:trPr>
        <w:tc>
          <w:tcPr>
            <w:tcW w:w="3296" w:type="pct"/>
            <w:vAlign w:val="center"/>
          </w:tcPr>
          <w:p w:rsidR="00BA4B87" w:rsidRPr="0087389D" w:rsidRDefault="008D2930" w:rsidP="00555CE7">
            <w:pPr>
              <w:snapToGrid w:val="0"/>
              <w:spacing w:line="360" w:lineRule="auto"/>
              <w:ind w:firstLine="420"/>
              <w:rPr>
                <w:rFonts w:asciiTheme="minorEastAsia" w:eastAsiaTheme="minorEastAsia" w:hAnsiTheme="minorEastAsia"/>
              </w:rPr>
            </w:pPr>
            <w:r w:rsidRPr="0087389D">
              <w:rPr>
                <w:rFonts w:asciiTheme="minorEastAsia" w:eastAsiaTheme="minorEastAsia" w:hAnsiTheme="minorEastAsia" w:hint="eastAsia"/>
              </w:rPr>
              <w:t>广东省广晟资产经营有限公司</w:t>
            </w:r>
          </w:p>
        </w:tc>
        <w:tc>
          <w:tcPr>
            <w:tcW w:w="1704" w:type="pct"/>
            <w:vAlign w:val="center"/>
          </w:tcPr>
          <w:p w:rsidR="00BA4B87" w:rsidRPr="0087389D" w:rsidRDefault="008D2930" w:rsidP="00555CE7">
            <w:pPr>
              <w:snapToGrid w:val="0"/>
              <w:spacing w:line="360" w:lineRule="auto"/>
              <w:ind w:firstLine="420"/>
              <w:jc w:val="center"/>
              <w:rPr>
                <w:rFonts w:asciiTheme="minorEastAsia" w:eastAsiaTheme="minorEastAsia" w:hAnsiTheme="minorEastAsia"/>
              </w:rPr>
            </w:pPr>
            <w:r w:rsidRPr="0087389D">
              <w:rPr>
                <w:rFonts w:asciiTheme="minorEastAsia" w:eastAsiaTheme="minorEastAsia" w:hAnsiTheme="minorEastAsia"/>
              </w:rPr>
              <w:t>15.1010％</w:t>
            </w:r>
          </w:p>
        </w:tc>
      </w:tr>
      <w:tr w:rsidR="002E06F4" w:rsidRPr="0087389D" w:rsidTr="0014759F">
        <w:trPr>
          <w:jc w:val="center"/>
        </w:trPr>
        <w:tc>
          <w:tcPr>
            <w:tcW w:w="3296" w:type="pct"/>
            <w:vAlign w:val="center"/>
          </w:tcPr>
          <w:p w:rsidR="00BA4B87" w:rsidRPr="0087389D" w:rsidRDefault="008D2930" w:rsidP="00555CE7">
            <w:pPr>
              <w:snapToGrid w:val="0"/>
              <w:spacing w:line="360" w:lineRule="auto"/>
              <w:ind w:firstLine="420"/>
              <w:rPr>
                <w:rFonts w:asciiTheme="minorEastAsia" w:eastAsiaTheme="minorEastAsia" w:hAnsiTheme="minorEastAsia"/>
              </w:rPr>
            </w:pPr>
            <w:r w:rsidRPr="0087389D">
              <w:rPr>
                <w:rFonts w:asciiTheme="minorEastAsia" w:eastAsiaTheme="minorEastAsia" w:hAnsiTheme="minorEastAsia" w:hint="eastAsia"/>
              </w:rPr>
              <w:t>广州市广永国有资产经营有限公司</w:t>
            </w:r>
          </w:p>
        </w:tc>
        <w:tc>
          <w:tcPr>
            <w:tcW w:w="1704" w:type="pct"/>
            <w:vAlign w:val="center"/>
          </w:tcPr>
          <w:p w:rsidR="00BA4B87" w:rsidRPr="0087389D" w:rsidRDefault="008D2930" w:rsidP="00555CE7">
            <w:pPr>
              <w:snapToGrid w:val="0"/>
              <w:spacing w:line="360" w:lineRule="auto"/>
              <w:ind w:firstLine="420"/>
              <w:jc w:val="center"/>
              <w:rPr>
                <w:rFonts w:asciiTheme="minorEastAsia" w:eastAsiaTheme="minorEastAsia" w:hAnsiTheme="minorEastAsia"/>
              </w:rPr>
            </w:pPr>
            <w:r w:rsidRPr="0087389D">
              <w:rPr>
                <w:rFonts w:asciiTheme="minorEastAsia" w:eastAsiaTheme="minorEastAsia" w:hAnsiTheme="minorEastAsia"/>
              </w:rPr>
              <w:t>7.5505％</w:t>
            </w:r>
          </w:p>
        </w:tc>
      </w:tr>
      <w:tr w:rsidR="002E06F4" w:rsidRPr="0087389D" w:rsidTr="0014759F">
        <w:trPr>
          <w:jc w:val="center"/>
        </w:trPr>
        <w:tc>
          <w:tcPr>
            <w:tcW w:w="3296" w:type="pct"/>
            <w:vAlign w:val="center"/>
          </w:tcPr>
          <w:p w:rsidR="00BA4B87" w:rsidRPr="0087389D" w:rsidRDefault="008D2930" w:rsidP="00555CE7">
            <w:pPr>
              <w:snapToGrid w:val="0"/>
              <w:spacing w:line="360" w:lineRule="auto"/>
              <w:ind w:firstLine="420"/>
              <w:rPr>
                <w:rFonts w:asciiTheme="minorEastAsia" w:eastAsiaTheme="minorEastAsia" w:hAnsiTheme="minorEastAsia"/>
              </w:rPr>
            </w:pPr>
            <w:r w:rsidRPr="0087389D">
              <w:rPr>
                <w:rFonts w:asciiTheme="minorEastAsia" w:eastAsiaTheme="minorEastAsia" w:hAnsiTheme="minorEastAsia" w:hint="eastAsia"/>
              </w:rPr>
              <w:t>珠海祺荣宝股权投资合伙企业（有限合伙）</w:t>
            </w:r>
          </w:p>
        </w:tc>
        <w:tc>
          <w:tcPr>
            <w:tcW w:w="1704" w:type="pct"/>
            <w:vAlign w:val="center"/>
          </w:tcPr>
          <w:p w:rsidR="00BA4B87" w:rsidRPr="0087389D" w:rsidRDefault="008D2930" w:rsidP="00555CE7">
            <w:pPr>
              <w:snapToGrid w:val="0"/>
              <w:spacing w:line="360" w:lineRule="auto"/>
              <w:ind w:firstLine="420"/>
              <w:jc w:val="center"/>
              <w:rPr>
                <w:rFonts w:asciiTheme="minorEastAsia" w:eastAsiaTheme="minorEastAsia" w:hAnsiTheme="minorEastAsia"/>
              </w:rPr>
            </w:pPr>
            <w:r w:rsidRPr="0087389D">
              <w:rPr>
                <w:rFonts w:asciiTheme="minorEastAsia" w:eastAsiaTheme="minorEastAsia" w:hAnsiTheme="minorEastAsia"/>
              </w:rPr>
              <w:t>1.5087％</w:t>
            </w:r>
          </w:p>
        </w:tc>
      </w:tr>
      <w:tr w:rsidR="008D2930" w:rsidRPr="0087389D" w:rsidTr="0014759F">
        <w:trPr>
          <w:jc w:val="center"/>
        </w:trPr>
        <w:tc>
          <w:tcPr>
            <w:tcW w:w="3296" w:type="pct"/>
            <w:vAlign w:val="center"/>
          </w:tcPr>
          <w:p w:rsidR="008D2930" w:rsidRPr="0087389D" w:rsidRDefault="008D2930" w:rsidP="00555CE7">
            <w:pPr>
              <w:snapToGrid w:val="0"/>
              <w:spacing w:line="360" w:lineRule="auto"/>
              <w:ind w:firstLine="420"/>
              <w:rPr>
                <w:rFonts w:asciiTheme="minorEastAsia" w:eastAsiaTheme="minorEastAsia" w:hAnsiTheme="minorEastAsia"/>
              </w:rPr>
            </w:pPr>
            <w:r w:rsidRPr="0087389D">
              <w:rPr>
                <w:rFonts w:asciiTheme="minorEastAsia" w:eastAsiaTheme="minorEastAsia" w:hAnsiTheme="minorEastAsia" w:hint="eastAsia"/>
              </w:rPr>
              <w:t>珠海祺泰宝股权投资合伙企业（有限合伙）</w:t>
            </w:r>
          </w:p>
        </w:tc>
        <w:tc>
          <w:tcPr>
            <w:tcW w:w="1704" w:type="pct"/>
            <w:vAlign w:val="center"/>
          </w:tcPr>
          <w:p w:rsidR="008D2930" w:rsidRPr="0087389D" w:rsidRDefault="008D2930" w:rsidP="00555CE7">
            <w:pPr>
              <w:snapToGrid w:val="0"/>
              <w:spacing w:line="360" w:lineRule="auto"/>
              <w:ind w:firstLine="420"/>
              <w:jc w:val="center"/>
              <w:rPr>
                <w:rFonts w:asciiTheme="minorEastAsia" w:eastAsiaTheme="minorEastAsia" w:hAnsiTheme="minorEastAsia"/>
              </w:rPr>
            </w:pPr>
            <w:r w:rsidRPr="0087389D">
              <w:rPr>
                <w:rFonts w:asciiTheme="minorEastAsia" w:eastAsiaTheme="minorEastAsia" w:hAnsiTheme="minorEastAsia"/>
              </w:rPr>
              <w:t>1.6205％</w:t>
            </w:r>
          </w:p>
        </w:tc>
      </w:tr>
      <w:tr w:rsidR="008D2930" w:rsidRPr="0087389D" w:rsidTr="0014759F">
        <w:trPr>
          <w:jc w:val="center"/>
        </w:trPr>
        <w:tc>
          <w:tcPr>
            <w:tcW w:w="3296" w:type="pct"/>
            <w:vAlign w:val="center"/>
          </w:tcPr>
          <w:p w:rsidR="008D2930" w:rsidRPr="0087389D" w:rsidRDefault="008D2930" w:rsidP="00555CE7">
            <w:pPr>
              <w:snapToGrid w:val="0"/>
              <w:spacing w:line="360" w:lineRule="auto"/>
              <w:ind w:firstLine="420"/>
              <w:rPr>
                <w:rFonts w:asciiTheme="minorEastAsia" w:eastAsiaTheme="minorEastAsia" w:hAnsiTheme="minorEastAsia"/>
              </w:rPr>
            </w:pPr>
            <w:r w:rsidRPr="0087389D">
              <w:rPr>
                <w:rFonts w:asciiTheme="minorEastAsia" w:eastAsiaTheme="minorEastAsia" w:hAnsiTheme="minorEastAsia" w:hint="eastAsia"/>
              </w:rPr>
              <w:t>珠海祺丰宝股权投资合伙企业（有限合伙）</w:t>
            </w:r>
          </w:p>
        </w:tc>
        <w:tc>
          <w:tcPr>
            <w:tcW w:w="1704" w:type="pct"/>
            <w:vAlign w:val="center"/>
          </w:tcPr>
          <w:p w:rsidR="008D2930" w:rsidRPr="0087389D" w:rsidRDefault="008D2930" w:rsidP="00555CE7">
            <w:pPr>
              <w:snapToGrid w:val="0"/>
              <w:spacing w:line="360" w:lineRule="auto"/>
              <w:ind w:firstLine="420"/>
              <w:jc w:val="center"/>
              <w:rPr>
                <w:rFonts w:asciiTheme="minorEastAsia" w:eastAsiaTheme="minorEastAsia" w:hAnsiTheme="minorEastAsia"/>
              </w:rPr>
            </w:pPr>
            <w:r w:rsidRPr="0087389D">
              <w:rPr>
                <w:rFonts w:asciiTheme="minorEastAsia" w:eastAsiaTheme="minorEastAsia" w:hAnsiTheme="minorEastAsia"/>
              </w:rPr>
              <w:t>1.5309％</w:t>
            </w:r>
          </w:p>
        </w:tc>
      </w:tr>
      <w:tr w:rsidR="008D2930" w:rsidRPr="0087389D" w:rsidTr="0014759F">
        <w:trPr>
          <w:jc w:val="center"/>
        </w:trPr>
        <w:tc>
          <w:tcPr>
            <w:tcW w:w="3296" w:type="pct"/>
            <w:vAlign w:val="center"/>
          </w:tcPr>
          <w:p w:rsidR="008D2930" w:rsidRPr="0087389D" w:rsidRDefault="008D2930" w:rsidP="00555CE7">
            <w:pPr>
              <w:snapToGrid w:val="0"/>
              <w:spacing w:line="360" w:lineRule="auto"/>
              <w:ind w:firstLine="420"/>
              <w:rPr>
                <w:rFonts w:asciiTheme="minorEastAsia" w:eastAsiaTheme="minorEastAsia" w:hAnsiTheme="minorEastAsia"/>
              </w:rPr>
            </w:pPr>
            <w:r w:rsidRPr="0087389D">
              <w:rPr>
                <w:rFonts w:asciiTheme="minorEastAsia" w:eastAsiaTheme="minorEastAsia" w:hAnsiTheme="minorEastAsia" w:hint="eastAsia"/>
              </w:rPr>
              <w:t>珠海聚莱康股权投资合伙企业（有限合伙）</w:t>
            </w:r>
          </w:p>
        </w:tc>
        <w:tc>
          <w:tcPr>
            <w:tcW w:w="1704" w:type="pct"/>
            <w:vAlign w:val="center"/>
          </w:tcPr>
          <w:p w:rsidR="008D2930" w:rsidRPr="0087389D" w:rsidRDefault="008D2930" w:rsidP="00555CE7">
            <w:pPr>
              <w:snapToGrid w:val="0"/>
              <w:spacing w:line="360" w:lineRule="auto"/>
              <w:ind w:firstLine="420"/>
              <w:jc w:val="center"/>
              <w:rPr>
                <w:rFonts w:asciiTheme="minorEastAsia" w:eastAsiaTheme="minorEastAsia" w:hAnsiTheme="minorEastAsia"/>
              </w:rPr>
            </w:pPr>
            <w:r w:rsidRPr="0087389D">
              <w:rPr>
                <w:rFonts w:asciiTheme="minorEastAsia" w:eastAsiaTheme="minorEastAsia" w:hAnsiTheme="minorEastAsia"/>
              </w:rPr>
              <w:t>1.7558％</w:t>
            </w:r>
          </w:p>
        </w:tc>
      </w:tr>
      <w:tr w:rsidR="008D2930" w:rsidRPr="0087389D" w:rsidTr="0014759F">
        <w:trPr>
          <w:jc w:val="center"/>
        </w:trPr>
        <w:tc>
          <w:tcPr>
            <w:tcW w:w="3296" w:type="pct"/>
            <w:vAlign w:val="center"/>
          </w:tcPr>
          <w:p w:rsidR="008D2930" w:rsidRPr="0087389D" w:rsidRDefault="008D2930" w:rsidP="00555CE7">
            <w:pPr>
              <w:snapToGrid w:val="0"/>
              <w:spacing w:line="360" w:lineRule="auto"/>
              <w:ind w:firstLine="420"/>
              <w:rPr>
                <w:rFonts w:asciiTheme="minorEastAsia" w:eastAsiaTheme="minorEastAsia" w:hAnsiTheme="minorEastAsia"/>
              </w:rPr>
            </w:pPr>
            <w:r w:rsidRPr="0087389D">
              <w:rPr>
                <w:rFonts w:asciiTheme="minorEastAsia" w:eastAsiaTheme="minorEastAsia" w:hAnsiTheme="minorEastAsia" w:hint="eastAsia"/>
              </w:rPr>
              <w:t>珠海聚宁康股权投资合伙企业（有限合伙）</w:t>
            </w:r>
          </w:p>
        </w:tc>
        <w:tc>
          <w:tcPr>
            <w:tcW w:w="1704" w:type="pct"/>
            <w:vAlign w:val="center"/>
          </w:tcPr>
          <w:p w:rsidR="008D2930" w:rsidRPr="0087389D" w:rsidRDefault="008D2930" w:rsidP="00555CE7">
            <w:pPr>
              <w:snapToGrid w:val="0"/>
              <w:spacing w:line="360" w:lineRule="auto"/>
              <w:ind w:firstLine="420"/>
              <w:jc w:val="center"/>
              <w:rPr>
                <w:rFonts w:asciiTheme="minorEastAsia" w:eastAsiaTheme="minorEastAsia" w:hAnsiTheme="minorEastAsia"/>
              </w:rPr>
            </w:pPr>
            <w:r w:rsidRPr="0087389D">
              <w:rPr>
                <w:rFonts w:asciiTheme="minorEastAsia" w:eastAsiaTheme="minorEastAsia" w:hAnsiTheme="minorEastAsia"/>
              </w:rPr>
              <w:t>1.4396％</w:t>
            </w:r>
          </w:p>
        </w:tc>
      </w:tr>
      <w:tr w:rsidR="008D2930" w:rsidRPr="0087389D" w:rsidTr="0014759F">
        <w:trPr>
          <w:jc w:val="center"/>
        </w:trPr>
        <w:tc>
          <w:tcPr>
            <w:tcW w:w="3296" w:type="pct"/>
            <w:vAlign w:val="center"/>
          </w:tcPr>
          <w:p w:rsidR="008D2930" w:rsidRPr="0087389D" w:rsidRDefault="008D2930" w:rsidP="00555CE7">
            <w:pPr>
              <w:snapToGrid w:val="0"/>
              <w:spacing w:line="360" w:lineRule="auto"/>
              <w:ind w:firstLine="420"/>
              <w:rPr>
                <w:rFonts w:asciiTheme="minorEastAsia" w:eastAsiaTheme="minorEastAsia" w:hAnsiTheme="minorEastAsia"/>
              </w:rPr>
            </w:pPr>
            <w:r w:rsidRPr="0087389D">
              <w:rPr>
                <w:rFonts w:asciiTheme="minorEastAsia" w:eastAsiaTheme="minorEastAsia" w:hAnsiTheme="minorEastAsia" w:hint="eastAsia"/>
              </w:rPr>
              <w:t>珠海聚弘康股权投资合伙企业（有限合伙）</w:t>
            </w:r>
          </w:p>
        </w:tc>
        <w:tc>
          <w:tcPr>
            <w:tcW w:w="1704" w:type="pct"/>
            <w:vAlign w:val="center"/>
          </w:tcPr>
          <w:p w:rsidR="008D2930" w:rsidRPr="0087389D" w:rsidRDefault="008D2930" w:rsidP="00555CE7">
            <w:pPr>
              <w:snapToGrid w:val="0"/>
              <w:spacing w:line="360" w:lineRule="auto"/>
              <w:ind w:firstLine="420"/>
              <w:jc w:val="center"/>
              <w:rPr>
                <w:rFonts w:asciiTheme="minorEastAsia" w:eastAsiaTheme="minorEastAsia" w:hAnsiTheme="minorEastAsia"/>
              </w:rPr>
            </w:pPr>
            <w:r w:rsidRPr="0087389D">
              <w:rPr>
                <w:rFonts w:asciiTheme="minorEastAsia" w:eastAsiaTheme="minorEastAsia" w:hAnsiTheme="minorEastAsia"/>
              </w:rPr>
              <w:t>1.5388％</w:t>
            </w:r>
          </w:p>
        </w:tc>
      </w:tr>
      <w:tr w:rsidR="008D2930" w:rsidRPr="0087389D" w:rsidTr="0014759F">
        <w:trPr>
          <w:jc w:val="center"/>
        </w:trPr>
        <w:tc>
          <w:tcPr>
            <w:tcW w:w="3296" w:type="pct"/>
            <w:vAlign w:val="center"/>
          </w:tcPr>
          <w:p w:rsidR="008D2930" w:rsidRPr="0087389D" w:rsidRDefault="008D2930" w:rsidP="00555CE7">
            <w:pPr>
              <w:snapToGrid w:val="0"/>
              <w:spacing w:line="360" w:lineRule="auto"/>
              <w:ind w:firstLine="420"/>
              <w:rPr>
                <w:rFonts w:asciiTheme="minorEastAsia" w:eastAsiaTheme="minorEastAsia" w:hAnsiTheme="minorEastAsia"/>
              </w:rPr>
            </w:pPr>
            <w:r w:rsidRPr="0087389D">
              <w:rPr>
                <w:rFonts w:asciiTheme="minorEastAsia" w:eastAsiaTheme="minorEastAsia" w:hAnsiTheme="minorEastAsia" w:hint="eastAsia"/>
              </w:rPr>
              <w:t>总</w:t>
            </w:r>
            <w:r w:rsidRPr="0087389D">
              <w:rPr>
                <w:rFonts w:asciiTheme="minorEastAsia" w:eastAsiaTheme="minorEastAsia" w:hAnsiTheme="minorEastAsia"/>
              </w:rPr>
              <w:t>计</w:t>
            </w:r>
          </w:p>
        </w:tc>
        <w:tc>
          <w:tcPr>
            <w:tcW w:w="1704" w:type="pct"/>
            <w:vAlign w:val="center"/>
          </w:tcPr>
          <w:p w:rsidR="008D2930" w:rsidRPr="0087389D" w:rsidRDefault="008D2930" w:rsidP="00555CE7">
            <w:pPr>
              <w:snapToGrid w:val="0"/>
              <w:spacing w:line="360" w:lineRule="auto"/>
              <w:ind w:firstLine="420"/>
              <w:jc w:val="center"/>
              <w:rPr>
                <w:rFonts w:asciiTheme="minorEastAsia" w:eastAsiaTheme="minorEastAsia" w:hAnsiTheme="minorEastAsia"/>
              </w:rPr>
            </w:pPr>
            <w:r w:rsidRPr="0087389D">
              <w:rPr>
                <w:rFonts w:asciiTheme="minorEastAsia" w:eastAsiaTheme="minorEastAsia" w:hAnsiTheme="minorEastAsia"/>
              </w:rPr>
              <w:t>100％</w:t>
            </w:r>
          </w:p>
        </w:tc>
      </w:tr>
    </w:tbl>
    <w:p w:rsidR="00BA4B87" w:rsidRPr="0087389D" w:rsidRDefault="00B329B1" w:rsidP="00555CE7">
      <w:pPr>
        <w:snapToGrid w:val="0"/>
        <w:spacing w:line="360" w:lineRule="auto"/>
        <w:ind w:firstLine="420"/>
        <w:rPr>
          <w:rFonts w:asciiTheme="minorEastAsia" w:eastAsiaTheme="minorEastAsia" w:hAnsiTheme="minorEastAsia"/>
        </w:rPr>
      </w:pPr>
      <w:bookmarkStart w:id="9" w:name="_Toc327734789"/>
      <w:r w:rsidRPr="0087389D">
        <w:rPr>
          <w:rFonts w:asciiTheme="minorEastAsia" w:eastAsiaTheme="minorEastAsia" w:hAnsiTheme="minorEastAsia"/>
        </w:rPr>
        <w:t>（</w:t>
      </w:r>
      <w:r w:rsidR="008D4032" w:rsidRPr="0087389D">
        <w:rPr>
          <w:rFonts w:asciiTheme="minorEastAsia" w:eastAsiaTheme="minorEastAsia" w:hAnsiTheme="minorEastAsia"/>
        </w:rPr>
        <w:t>二</w:t>
      </w:r>
      <w:r w:rsidRPr="0087389D">
        <w:rPr>
          <w:rFonts w:asciiTheme="minorEastAsia" w:eastAsiaTheme="minorEastAsia" w:hAnsiTheme="minorEastAsia"/>
        </w:rPr>
        <w:t>）</w:t>
      </w:r>
      <w:r w:rsidR="00BA4B87" w:rsidRPr="0087389D">
        <w:rPr>
          <w:rFonts w:asciiTheme="minorEastAsia" w:eastAsiaTheme="minorEastAsia" w:hAnsiTheme="minorEastAsia"/>
        </w:rPr>
        <w:t>主要人员情况</w:t>
      </w:r>
      <w:bookmarkEnd w:id="9"/>
    </w:p>
    <w:p w:rsidR="00BA4B87" w:rsidRPr="0087389D" w:rsidRDefault="00BA4B87" w:rsidP="00593EC0">
      <w:pPr>
        <w:spacing w:line="348" w:lineRule="auto"/>
        <w:ind w:firstLineChars="186" w:firstLine="391"/>
        <w:rPr>
          <w:rFonts w:asciiTheme="minorEastAsia" w:eastAsiaTheme="minorEastAsia" w:hAnsiTheme="minorEastAsia"/>
          <w:szCs w:val="21"/>
        </w:rPr>
      </w:pPr>
      <w:r w:rsidRPr="0087389D">
        <w:rPr>
          <w:rFonts w:asciiTheme="minorEastAsia" w:eastAsiaTheme="minorEastAsia" w:hAnsiTheme="minorEastAsia"/>
          <w:szCs w:val="21"/>
        </w:rPr>
        <w:t>1、董事、监事及高级管理人员</w:t>
      </w:r>
    </w:p>
    <w:p w:rsidR="00E17B2F" w:rsidRPr="0087389D" w:rsidRDefault="00E17B2F" w:rsidP="00586F86">
      <w:pPr>
        <w:pStyle w:val="aa"/>
        <w:tabs>
          <w:tab w:val="left" w:pos="3192"/>
        </w:tabs>
        <w:autoSpaceDE w:val="0"/>
        <w:autoSpaceDN w:val="0"/>
        <w:adjustRightInd w:val="0"/>
        <w:snapToGrid w:val="0"/>
        <w:spacing w:line="360" w:lineRule="auto"/>
        <w:rPr>
          <w:rFonts w:asciiTheme="minorEastAsia" w:eastAsiaTheme="minorEastAsia" w:hAnsiTheme="minorEastAsia" w:cs="Arial"/>
          <w:szCs w:val="24"/>
        </w:rPr>
      </w:pPr>
      <w:r w:rsidRPr="0087389D">
        <w:rPr>
          <w:rFonts w:asciiTheme="minorEastAsia" w:eastAsiaTheme="minorEastAsia" w:hAnsiTheme="minorEastAsia" w:cs="Arial" w:hint="eastAsia"/>
          <w:szCs w:val="24"/>
        </w:rPr>
        <w:t>詹余引先生，工商管理博士，董事长。曾任中国平安保险公司证券部研究咨询室总经理助理；平安证券有限责任公司研究咨询部副总经理（主持工作）、国债部副总经理（主持工作）、资产管理部副总经理、总经理；中国平安保险股份有限公司投资管理部副总经理（主持工作）；全国社会保障基金理事会投资部资产配置处处长、投资部副主任、境外投资部主</w:t>
      </w:r>
      <w:r w:rsidRPr="0087389D">
        <w:rPr>
          <w:rFonts w:asciiTheme="minorEastAsia" w:eastAsiaTheme="minorEastAsia" w:hAnsiTheme="minorEastAsia" w:cs="Arial" w:hint="eastAsia"/>
          <w:szCs w:val="24"/>
        </w:rPr>
        <w:lastRenderedPageBreak/>
        <w:t>任、投资部主任、证券投资部主任。现任易方达基金管理有限公司董事长；易方达国际控股有限公司董事长。</w:t>
      </w:r>
    </w:p>
    <w:p w:rsidR="00E17B2F" w:rsidRPr="0087389D" w:rsidRDefault="00E17B2F" w:rsidP="00586F86">
      <w:pPr>
        <w:pStyle w:val="aa"/>
        <w:tabs>
          <w:tab w:val="left" w:pos="3192"/>
        </w:tabs>
        <w:autoSpaceDE w:val="0"/>
        <w:autoSpaceDN w:val="0"/>
        <w:adjustRightInd w:val="0"/>
        <w:snapToGrid w:val="0"/>
        <w:spacing w:line="360" w:lineRule="auto"/>
        <w:rPr>
          <w:rFonts w:asciiTheme="minorEastAsia" w:eastAsiaTheme="minorEastAsia" w:hAnsiTheme="minorEastAsia" w:cs="Arial"/>
          <w:szCs w:val="24"/>
        </w:rPr>
      </w:pPr>
      <w:r w:rsidRPr="0087389D">
        <w:rPr>
          <w:rFonts w:asciiTheme="minorEastAsia" w:eastAsiaTheme="minorEastAsia" w:hAnsiTheme="minorEastAsia" w:cs="Arial" w:hint="eastAsia"/>
          <w:szCs w:val="24"/>
        </w:rPr>
        <w:t>刘晓艳女士，经济学博士，副董事长、总裁。曾任广发证券有限责任公司投资理财部副经理、基金经理，基金投资理财部副总经理、基金资产管理部总经理；易方达基金管理有限公司督察员、监察部总经理、市场部总经理、总裁助理、公司副总裁、常务副总裁。现任易方达基金管理有限公司副董事长、总裁；易方达资产管理（香港）有限公司董事长。</w:t>
      </w:r>
    </w:p>
    <w:p w:rsidR="00E17B2F" w:rsidRPr="0087389D" w:rsidRDefault="00E17B2F" w:rsidP="00586F86">
      <w:pPr>
        <w:pStyle w:val="aa"/>
        <w:tabs>
          <w:tab w:val="left" w:pos="3192"/>
        </w:tabs>
        <w:autoSpaceDE w:val="0"/>
        <w:autoSpaceDN w:val="0"/>
        <w:adjustRightInd w:val="0"/>
        <w:snapToGrid w:val="0"/>
        <w:spacing w:line="360" w:lineRule="auto"/>
        <w:rPr>
          <w:rFonts w:asciiTheme="minorEastAsia" w:eastAsiaTheme="minorEastAsia" w:hAnsiTheme="minorEastAsia" w:cs="Arial"/>
          <w:szCs w:val="24"/>
        </w:rPr>
      </w:pPr>
      <w:r w:rsidRPr="0087389D">
        <w:rPr>
          <w:rFonts w:asciiTheme="minorEastAsia" w:eastAsiaTheme="minorEastAsia" w:hAnsiTheme="minorEastAsia" w:cs="Arial" w:hint="eastAsia"/>
          <w:szCs w:val="24"/>
        </w:rPr>
        <w:t>周泽群先生，高级管理人员工商管理硕士（</w:t>
      </w:r>
      <w:r w:rsidRPr="0087389D">
        <w:rPr>
          <w:rFonts w:asciiTheme="minorEastAsia" w:eastAsiaTheme="minorEastAsia" w:hAnsiTheme="minorEastAsia" w:cs="Arial"/>
          <w:szCs w:val="24"/>
        </w:rPr>
        <w:t>EMBA），董事。曾任珠海粤财实业有限公司董事长；粤财控股（北京）有限公司总经理、董事长；广东粤财投资控股有限公司总经理助理、办公室主任，广东粤财投资控股有限公司副总经理。现任易方达基金管理有限公司董事；广东粤财投资控股有限公司董事、总经理。</w:t>
      </w:r>
    </w:p>
    <w:p w:rsidR="00E17B2F" w:rsidRPr="0087389D" w:rsidRDefault="00E17B2F" w:rsidP="00586F86">
      <w:pPr>
        <w:pStyle w:val="aa"/>
        <w:tabs>
          <w:tab w:val="left" w:pos="3192"/>
        </w:tabs>
        <w:autoSpaceDE w:val="0"/>
        <w:autoSpaceDN w:val="0"/>
        <w:adjustRightInd w:val="0"/>
        <w:snapToGrid w:val="0"/>
        <w:spacing w:line="360" w:lineRule="auto"/>
        <w:rPr>
          <w:rFonts w:asciiTheme="minorEastAsia" w:eastAsiaTheme="minorEastAsia" w:hAnsiTheme="minorEastAsia" w:cs="Arial"/>
          <w:szCs w:val="24"/>
        </w:rPr>
      </w:pPr>
      <w:r w:rsidRPr="0087389D">
        <w:rPr>
          <w:rFonts w:asciiTheme="minorEastAsia" w:eastAsiaTheme="minorEastAsia" w:hAnsiTheme="minorEastAsia" w:cs="Arial" w:hint="eastAsia"/>
          <w:szCs w:val="24"/>
        </w:rPr>
        <w:t>秦力先生，经济学博士，董事。曾任广发证券投资银行部常务副总经理、投资理财部总经理、资金营运部总经理、规划管理部总经理、投资自营部总经理、公司总经理助理、副总经理；广东金融高新区股权交易中心有限公司董事长；广发控股（香港）有限公司董事；广发证券资产管理（广东）有限公司董事长。现任易方达基金管理有限公司董事；广发证券股份有限公司执行董事、常务副总经理；广发控股（香港）有限公司董事长。</w:t>
      </w:r>
    </w:p>
    <w:p w:rsidR="00E17B2F" w:rsidRPr="0087389D" w:rsidRDefault="00E17B2F" w:rsidP="00586F86">
      <w:pPr>
        <w:pStyle w:val="aa"/>
        <w:tabs>
          <w:tab w:val="left" w:pos="3192"/>
        </w:tabs>
        <w:autoSpaceDE w:val="0"/>
        <w:autoSpaceDN w:val="0"/>
        <w:adjustRightInd w:val="0"/>
        <w:snapToGrid w:val="0"/>
        <w:spacing w:line="360" w:lineRule="auto"/>
        <w:rPr>
          <w:rFonts w:asciiTheme="minorEastAsia" w:eastAsiaTheme="minorEastAsia" w:hAnsiTheme="minorEastAsia" w:cs="Arial"/>
          <w:szCs w:val="24"/>
        </w:rPr>
      </w:pPr>
      <w:r w:rsidRPr="0087389D">
        <w:rPr>
          <w:rFonts w:asciiTheme="minorEastAsia" w:eastAsiaTheme="minorEastAsia" w:hAnsiTheme="minorEastAsia" w:cs="Arial" w:hint="eastAsia"/>
          <w:szCs w:val="24"/>
        </w:rPr>
        <w:t>陈志辉先生，管理学硕士，董事。曾任美的集团税务总监；安永会计师事务所广州分所高级审计员；盈峰控股集团有限公司资财中心总经理。现任易方达基金管理有限公司董事；宁波盈峰股权投资基金管理有限公司合伙人、联席总裁；深圳市盈峰环保产业基金管理有限公司监事；广东顺德盈峰互联网产业投资管理有限公司监事；广东神华保险代理有限公司董事；西安高新盈峰创业投资管理有限公司董事。</w:t>
      </w:r>
    </w:p>
    <w:p w:rsidR="00E17B2F" w:rsidRPr="0087389D" w:rsidRDefault="00E17B2F" w:rsidP="00586F86">
      <w:pPr>
        <w:pStyle w:val="aa"/>
        <w:tabs>
          <w:tab w:val="left" w:pos="3192"/>
        </w:tabs>
        <w:autoSpaceDE w:val="0"/>
        <w:autoSpaceDN w:val="0"/>
        <w:adjustRightInd w:val="0"/>
        <w:snapToGrid w:val="0"/>
        <w:spacing w:line="360" w:lineRule="auto"/>
        <w:rPr>
          <w:rFonts w:asciiTheme="minorEastAsia" w:eastAsiaTheme="minorEastAsia" w:hAnsiTheme="minorEastAsia" w:cs="Arial"/>
          <w:szCs w:val="24"/>
        </w:rPr>
      </w:pPr>
      <w:r w:rsidRPr="0087389D">
        <w:rPr>
          <w:rFonts w:asciiTheme="minorEastAsia" w:eastAsiaTheme="minorEastAsia" w:hAnsiTheme="minorEastAsia" w:cs="Arial" w:hint="eastAsia"/>
          <w:szCs w:val="24"/>
        </w:rPr>
        <w:t>戚思胤先生，经济学硕士，董事。曾任广东省高速公路发展股份有限公司证券部投资者关系管理业务员、投资者关系管理主管、信息披露主管、证券事务代表；广东省广晟资产经营有限公司资本运营部高级主管、团委副书记、副部长、部长；（香港）广晟投资发展有限公司董事、常务副总经理等职务。现任易方达基金管理有限公司董事；广东省广晟资产经营有限公司董事会办公室（法务中心）主任；广东风华高新科技股份有限公司董事；佛山电器照明股份有限公司董事；深圳市中金岭南有色金属股份有限公司董事；佛山市国星光电股份有限公司董事；广东南粤银行股份有限公司董事。</w:t>
      </w:r>
    </w:p>
    <w:p w:rsidR="00E17B2F" w:rsidRPr="0087389D" w:rsidRDefault="00E17B2F" w:rsidP="00586F86">
      <w:pPr>
        <w:pStyle w:val="aa"/>
        <w:tabs>
          <w:tab w:val="left" w:pos="3192"/>
        </w:tabs>
        <w:autoSpaceDE w:val="0"/>
        <w:autoSpaceDN w:val="0"/>
        <w:adjustRightInd w:val="0"/>
        <w:snapToGrid w:val="0"/>
        <w:spacing w:line="360" w:lineRule="auto"/>
        <w:rPr>
          <w:rFonts w:asciiTheme="minorEastAsia" w:eastAsiaTheme="minorEastAsia" w:hAnsiTheme="minorEastAsia" w:cs="Arial"/>
          <w:szCs w:val="24"/>
        </w:rPr>
      </w:pPr>
      <w:r w:rsidRPr="0087389D">
        <w:rPr>
          <w:rFonts w:asciiTheme="minorEastAsia" w:eastAsiaTheme="minorEastAsia" w:hAnsiTheme="minorEastAsia" w:cs="Arial" w:hint="eastAsia"/>
          <w:szCs w:val="24"/>
        </w:rPr>
        <w:t>忻榕女士，工商行政管理博士，独立董事。曾任中科院研究生院讲师；美国加州高温橡胶公司市场部经理；美国加州大学讲师；美国南加州大学助理教授；香港科技大学副教授；中欧国际工商学院教授；瑞士洛桑管理学院教授。现任易方达基金管理有限公司独立董事；中欧国际工商学院教授；复星旅游文化集团（开曼）有限公司独立董事；上海汇招信息技术有限公司董事。</w:t>
      </w:r>
    </w:p>
    <w:p w:rsidR="00E17B2F" w:rsidRPr="0087389D" w:rsidRDefault="00E17B2F" w:rsidP="00586F86">
      <w:pPr>
        <w:pStyle w:val="aa"/>
        <w:tabs>
          <w:tab w:val="left" w:pos="3192"/>
        </w:tabs>
        <w:autoSpaceDE w:val="0"/>
        <w:autoSpaceDN w:val="0"/>
        <w:adjustRightInd w:val="0"/>
        <w:snapToGrid w:val="0"/>
        <w:spacing w:line="360" w:lineRule="auto"/>
        <w:rPr>
          <w:rFonts w:asciiTheme="minorEastAsia" w:eastAsiaTheme="minorEastAsia" w:hAnsiTheme="minorEastAsia" w:cs="Arial"/>
          <w:szCs w:val="24"/>
        </w:rPr>
      </w:pPr>
      <w:r w:rsidRPr="0087389D">
        <w:rPr>
          <w:rFonts w:asciiTheme="minorEastAsia" w:eastAsiaTheme="minorEastAsia" w:hAnsiTheme="minorEastAsia" w:cs="Arial" w:hint="eastAsia"/>
          <w:szCs w:val="24"/>
        </w:rPr>
        <w:t>谭劲松先生，管理学博士（会计学），独立董事。曾任邵阳市财会学校教师；中山大学管理学院助教、讲师、副教授。现任易方达基金管理有限公司独立董事；中山大学管理学院</w:t>
      </w:r>
      <w:r w:rsidRPr="0087389D">
        <w:rPr>
          <w:rFonts w:asciiTheme="minorEastAsia" w:eastAsiaTheme="minorEastAsia" w:hAnsiTheme="minorEastAsia" w:cs="Arial" w:hint="eastAsia"/>
          <w:szCs w:val="24"/>
        </w:rPr>
        <w:lastRenderedPageBreak/>
        <w:t>教授；中远海运特种运输股份有限公司独立董事；上海莱士血液制品股份有限公司独立董事；珠海华发实业股份有限公司独立董事；广州恒运企业集团股份有限公司独立董事；中国南方航空股份有限公司独立董事；广州环保投资集团有限公司外部董事；玉山银行（中国）有限公司独立董事；广东粤财金融租赁股份有限公司独立董事；中新广州知识城投资开发有限公司监事；美的置业控股有限公司独立非执行董事；中信证券华南股份有限公司独立董事。</w:t>
      </w:r>
    </w:p>
    <w:p w:rsidR="00E17B2F" w:rsidRPr="0087389D" w:rsidRDefault="00E17B2F" w:rsidP="00586F86">
      <w:pPr>
        <w:pStyle w:val="aa"/>
        <w:tabs>
          <w:tab w:val="left" w:pos="3192"/>
        </w:tabs>
        <w:autoSpaceDE w:val="0"/>
        <w:autoSpaceDN w:val="0"/>
        <w:adjustRightInd w:val="0"/>
        <w:snapToGrid w:val="0"/>
        <w:spacing w:line="360" w:lineRule="auto"/>
        <w:rPr>
          <w:rFonts w:asciiTheme="minorEastAsia" w:eastAsiaTheme="minorEastAsia" w:hAnsiTheme="minorEastAsia" w:cs="Arial"/>
          <w:szCs w:val="24"/>
        </w:rPr>
      </w:pPr>
      <w:r w:rsidRPr="0087389D">
        <w:rPr>
          <w:rFonts w:asciiTheme="minorEastAsia" w:eastAsiaTheme="minorEastAsia" w:hAnsiTheme="minorEastAsia" w:cs="Arial" w:hint="eastAsia"/>
          <w:szCs w:val="24"/>
        </w:rPr>
        <w:t>庄伟燕女士，法学博士，独立董事。曾任广东省妇女联合会干部；广东鸿鼎律师事务所主任；广东广悦鸿鼎律师事务所管委会主任。现任易方达基金管理有限公司独立董事；广东广信君达律师事务所高级合伙人。</w:t>
      </w:r>
    </w:p>
    <w:p w:rsidR="00E17B2F" w:rsidRPr="0087389D" w:rsidRDefault="00E17B2F" w:rsidP="00586F86">
      <w:pPr>
        <w:pStyle w:val="aa"/>
        <w:tabs>
          <w:tab w:val="left" w:pos="3192"/>
        </w:tabs>
        <w:autoSpaceDE w:val="0"/>
        <w:autoSpaceDN w:val="0"/>
        <w:adjustRightInd w:val="0"/>
        <w:snapToGrid w:val="0"/>
        <w:spacing w:line="360" w:lineRule="auto"/>
        <w:rPr>
          <w:rFonts w:asciiTheme="minorEastAsia" w:eastAsiaTheme="minorEastAsia" w:hAnsiTheme="minorEastAsia" w:cs="Arial"/>
          <w:szCs w:val="24"/>
        </w:rPr>
      </w:pPr>
      <w:r w:rsidRPr="0087389D">
        <w:rPr>
          <w:rFonts w:asciiTheme="minorEastAsia" w:eastAsiaTheme="minorEastAsia" w:hAnsiTheme="minorEastAsia" w:cs="Arial" w:hint="eastAsia"/>
          <w:szCs w:val="24"/>
        </w:rPr>
        <w:t>刘发宏先生，工商管理硕士（</w:t>
      </w:r>
      <w:r w:rsidRPr="0087389D">
        <w:rPr>
          <w:rFonts w:asciiTheme="minorEastAsia" w:eastAsiaTheme="minorEastAsia" w:hAnsiTheme="minorEastAsia" w:cs="Arial"/>
          <w:szCs w:val="24"/>
        </w:rPr>
        <w:t>MBA），监事会主席。曾任天津商学院团总支书记兼政治辅导员、人事处干部；海南省三亚国际奥林匹克射击娱乐中心会计主管；三英（珠海）纺织有限公司财务主管；珠海市饼业食品有限公司财务部长、审计部长；</w:t>
      </w:r>
      <w:r w:rsidRPr="0087389D">
        <w:rPr>
          <w:rFonts w:asciiTheme="minorEastAsia" w:eastAsiaTheme="minorEastAsia" w:hAnsiTheme="minorEastAsia" w:cs="Arial" w:hint="eastAsia"/>
          <w:szCs w:val="24"/>
        </w:rPr>
        <w:t>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广东粤财信托有限公司党委委员、副书记。现任易方达基金管理有限公司监事会主席；广东粤财投资控股有限公司党委办主任、人力资源部总经理；广东粤财信托有限公司董事。</w:t>
      </w:r>
    </w:p>
    <w:p w:rsidR="00E17B2F" w:rsidRPr="0087389D" w:rsidRDefault="00E17B2F" w:rsidP="00586F86">
      <w:pPr>
        <w:pStyle w:val="aa"/>
        <w:tabs>
          <w:tab w:val="left" w:pos="3192"/>
        </w:tabs>
        <w:autoSpaceDE w:val="0"/>
        <w:autoSpaceDN w:val="0"/>
        <w:adjustRightInd w:val="0"/>
        <w:snapToGrid w:val="0"/>
        <w:spacing w:line="360" w:lineRule="auto"/>
        <w:rPr>
          <w:rFonts w:asciiTheme="minorEastAsia" w:eastAsiaTheme="minorEastAsia" w:hAnsiTheme="minorEastAsia" w:cs="Arial"/>
          <w:szCs w:val="24"/>
        </w:rPr>
      </w:pPr>
      <w:r w:rsidRPr="0087389D">
        <w:rPr>
          <w:rFonts w:asciiTheme="minorEastAsia" w:eastAsiaTheme="minorEastAsia" w:hAnsiTheme="minorEastAsia" w:cs="Arial" w:hint="eastAsia"/>
          <w:szCs w:val="24"/>
        </w:rPr>
        <w:t>董志钢先生，法学学士，监事。曾任中国建设银行广东省分行法律事务部科员、脱钩办法律事务室副经理、中农信托管办任经理；中国信达资产管理公司广州办事处处置办处置业务部经理；广东卓信律师事务所律师；广东合邦律师事务所律师；广东省粤科资产管理股份有限公司总经理。现任易方达基金管理有限公司监事；广州市广永国有资产经营有限公司董事长；广州广永股权投资基金管理有限公司董事长；广州广永投资管理有限公司董事长、总经理。</w:t>
      </w:r>
    </w:p>
    <w:p w:rsidR="00E17B2F" w:rsidRPr="0087389D" w:rsidRDefault="00A60762" w:rsidP="00586F86">
      <w:pPr>
        <w:pStyle w:val="aa"/>
        <w:tabs>
          <w:tab w:val="left" w:pos="3192"/>
        </w:tabs>
        <w:autoSpaceDE w:val="0"/>
        <w:autoSpaceDN w:val="0"/>
        <w:adjustRightInd w:val="0"/>
        <w:snapToGrid w:val="0"/>
        <w:spacing w:line="360" w:lineRule="auto"/>
        <w:rPr>
          <w:rFonts w:asciiTheme="minorEastAsia" w:eastAsiaTheme="minorEastAsia" w:hAnsiTheme="minorEastAsia" w:cs="Arial"/>
          <w:szCs w:val="24"/>
        </w:rPr>
      </w:pPr>
      <w:r w:rsidRPr="00A60762">
        <w:rPr>
          <w:rFonts w:asciiTheme="minorEastAsia" w:eastAsiaTheme="minorEastAsia" w:hAnsiTheme="minorEastAsia" w:cs="Arial" w:hint="eastAsia"/>
          <w:szCs w:val="24"/>
        </w:rPr>
        <w:t>陈国祥先生，经济学硕士，监事。曾任交通银行广州分行江南西营业部经理；广东粤财信托投资公司证券部副总经理、基金部总经理；易方达基金管理有限公司市场拓展部总经理、总裁助理、市场总监。现任易方达基金管理有限公司监事、党群工作部联席总经理。</w:t>
      </w:r>
    </w:p>
    <w:p w:rsidR="00E17B2F" w:rsidRPr="0087389D" w:rsidRDefault="00E17B2F" w:rsidP="00586F86">
      <w:pPr>
        <w:pStyle w:val="aa"/>
        <w:tabs>
          <w:tab w:val="left" w:pos="3192"/>
        </w:tabs>
        <w:autoSpaceDE w:val="0"/>
        <w:autoSpaceDN w:val="0"/>
        <w:adjustRightInd w:val="0"/>
        <w:snapToGrid w:val="0"/>
        <w:spacing w:line="360" w:lineRule="auto"/>
        <w:rPr>
          <w:rFonts w:asciiTheme="minorEastAsia" w:eastAsiaTheme="minorEastAsia" w:hAnsiTheme="minorEastAsia" w:cs="Arial"/>
          <w:szCs w:val="24"/>
        </w:rPr>
      </w:pPr>
      <w:r w:rsidRPr="0087389D">
        <w:rPr>
          <w:rFonts w:asciiTheme="minorEastAsia" w:eastAsiaTheme="minorEastAsia" w:hAnsiTheme="minorEastAsia" w:cs="Arial" w:hint="eastAsia"/>
          <w:szCs w:val="24"/>
        </w:rPr>
        <w:t>廖智先生，经济学硕士，监事。曾任广东证券股份有限公司基金部主管；易方达基金管理有限公司综合管理部副总经理、人力资源部副总经理、市场部总经理、互联网金融部总经理。现任易方达基金管理有限公司监事、总裁助理、综合管理部总经理；广东粤财互联网金融股份有限公司董事。</w:t>
      </w:r>
      <w:bookmarkStart w:id="10" w:name="_GoBack"/>
      <w:bookmarkEnd w:id="10"/>
    </w:p>
    <w:p w:rsidR="00E17B2F" w:rsidRPr="0087389D" w:rsidRDefault="00A60762" w:rsidP="00586F86">
      <w:pPr>
        <w:pStyle w:val="aa"/>
        <w:tabs>
          <w:tab w:val="left" w:pos="3192"/>
        </w:tabs>
        <w:autoSpaceDE w:val="0"/>
        <w:autoSpaceDN w:val="0"/>
        <w:adjustRightInd w:val="0"/>
        <w:snapToGrid w:val="0"/>
        <w:spacing w:line="360" w:lineRule="auto"/>
        <w:rPr>
          <w:rFonts w:asciiTheme="minorEastAsia" w:eastAsiaTheme="minorEastAsia" w:hAnsiTheme="minorEastAsia" w:cs="Arial"/>
          <w:szCs w:val="24"/>
        </w:rPr>
      </w:pPr>
      <w:r w:rsidRPr="00A60762">
        <w:rPr>
          <w:rFonts w:asciiTheme="minorEastAsia" w:eastAsiaTheme="minorEastAsia" w:hAnsiTheme="minorEastAsia" w:cs="Arial" w:hint="eastAsia"/>
          <w:szCs w:val="24"/>
        </w:rPr>
        <w:t>邓志盛先生，经济学研究生，监事。曾任广东证监会信息部部长、中国证监会广州证管办机构二处处长；金鹰基金管理有限公司副总经理；易方达基金管理有限公司综合管理部总经理、董事会秘书。现任易方达基金管理有限公司监事、行政总监、党群工作部总经理。</w:t>
      </w:r>
    </w:p>
    <w:p w:rsidR="00E17B2F" w:rsidRPr="0087389D" w:rsidRDefault="00E17B2F" w:rsidP="00586F86">
      <w:pPr>
        <w:pStyle w:val="aa"/>
        <w:tabs>
          <w:tab w:val="left" w:pos="3192"/>
        </w:tabs>
        <w:autoSpaceDE w:val="0"/>
        <w:autoSpaceDN w:val="0"/>
        <w:adjustRightInd w:val="0"/>
        <w:snapToGrid w:val="0"/>
        <w:spacing w:line="360" w:lineRule="auto"/>
        <w:rPr>
          <w:rFonts w:asciiTheme="minorEastAsia" w:eastAsiaTheme="minorEastAsia" w:hAnsiTheme="minorEastAsia" w:cs="Arial"/>
          <w:szCs w:val="24"/>
        </w:rPr>
      </w:pPr>
      <w:r w:rsidRPr="0087389D">
        <w:rPr>
          <w:rFonts w:asciiTheme="minorEastAsia" w:eastAsiaTheme="minorEastAsia" w:hAnsiTheme="minorEastAsia" w:cs="Arial" w:hint="eastAsia"/>
          <w:szCs w:val="24"/>
        </w:rPr>
        <w:t>张优造先生，工商管理硕士</w:t>
      </w:r>
      <w:r w:rsidRPr="0087389D">
        <w:rPr>
          <w:rFonts w:asciiTheme="minorEastAsia" w:eastAsiaTheme="minorEastAsia" w:hAnsiTheme="minorEastAsia" w:cs="Arial"/>
          <w:szCs w:val="24"/>
        </w:rPr>
        <w:t>(MBA)，常务副总裁。曾任南方证券交易中心业务发展部经</w:t>
      </w:r>
      <w:r w:rsidRPr="0087389D">
        <w:rPr>
          <w:rFonts w:asciiTheme="minorEastAsia" w:eastAsiaTheme="minorEastAsia" w:hAnsiTheme="minorEastAsia" w:cs="Arial"/>
          <w:szCs w:val="24"/>
        </w:rPr>
        <w:lastRenderedPageBreak/>
        <w:t>理；广东证券公司发行上市部经理；深圳证券业务部总经理、基金部总经理；易方达基金管理有限公司董事、副总裁。现任易方达基金管理有限公司常务副总裁；易方达国际控股有限公司董事。</w:t>
      </w:r>
    </w:p>
    <w:p w:rsidR="00E17B2F" w:rsidRPr="0087389D" w:rsidRDefault="00E17B2F" w:rsidP="00586F86">
      <w:pPr>
        <w:pStyle w:val="aa"/>
        <w:tabs>
          <w:tab w:val="left" w:pos="3192"/>
        </w:tabs>
        <w:autoSpaceDE w:val="0"/>
        <w:autoSpaceDN w:val="0"/>
        <w:adjustRightInd w:val="0"/>
        <w:snapToGrid w:val="0"/>
        <w:spacing w:line="360" w:lineRule="auto"/>
        <w:rPr>
          <w:rFonts w:asciiTheme="minorEastAsia" w:eastAsiaTheme="minorEastAsia" w:hAnsiTheme="minorEastAsia" w:cs="Arial"/>
          <w:szCs w:val="24"/>
        </w:rPr>
      </w:pPr>
      <w:r w:rsidRPr="0087389D">
        <w:rPr>
          <w:rFonts w:asciiTheme="minorEastAsia" w:eastAsiaTheme="minorEastAsia" w:hAnsiTheme="minorEastAsia" w:cs="Arial" w:hint="eastAsia"/>
          <w:szCs w:val="24"/>
        </w:rPr>
        <w:t>陈彤先生，经济学博士，副总裁。曾任中国经济开发信托投资公司成都营业部研发部副经理、交易部经理、研发部经理、证券总部研究部行业研究员；易方达基金管理有限公司市场拓展部主管、基金科瑞基金经理、市场部华东区大区销售经理、市场部总经理助理、南京分公司总经理、成都分公司总经理、上海分公司总经理、总裁助理、市场总监。现任易方达基金管理有限公司副总裁；易方达国际控股有限公司董事。</w:t>
      </w:r>
    </w:p>
    <w:p w:rsidR="00E17B2F" w:rsidRPr="0087389D" w:rsidRDefault="00E17B2F" w:rsidP="00586F86">
      <w:pPr>
        <w:pStyle w:val="aa"/>
        <w:tabs>
          <w:tab w:val="left" w:pos="3192"/>
        </w:tabs>
        <w:autoSpaceDE w:val="0"/>
        <w:autoSpaceDN w:val="0"/>
        <w:adjustRightInd w:val="0"/>
        <w:snapToGrid w:val="0"/>
        <w:spacing w:line="360" w:lineRule="auto"/>
        <w:rPr>
          <w:rFonts w:asciiTheme="minorEastAsia" w:eastAsiaTheme="minorEastAsia" w:hAnsiTheme="minorEastAsia" w:cs="Arial"/>
          <w:szCs w:val="24"/>
        </w:rPr>
      </w:pPr>
      <w:r w:rsidRPr="0087389D">
        <w:rPr>
          <w:rFonts w:asciiTheme="minorEastAsia" w:eastAsiaTheme="minorEastAsia" w:hAnsiTheme="minorEastAsia" w:cs="Arial" w:hint="eastAsia"/>
          <w:szCs w:val="24"/>
        </w:rPr>
        <w:t>马骏先生，高级管理人员工商管理硕士（</w:t>
      </w:r>
      <w:r w:rsidRPr="0087389D">
        <w:rPr>
          <w:rFonts w:asciiTheme="minorEastAsia" w:eastAsiaTheme="minorEastAsia" w:hAnsiTheme="minorEastAsia" w:cs="Arial"/>
          <w:szCs w:val="24"/>
        </w:rPr>
        <w:t>EMBA），副总裁。曾任君安证券有限公司营业部职员；深圳众大投资有限公司投资部副总经理；广发证券有限责任公司研究员；易方达基金管理有限公司固定收益部总经理、现金管理部总经理、固定收益总部总经理、总裁助理、固定收益投资总监、固定收益首席投资官、基金科讯基金经理、易方达50指数证券投资基金基金经理、易方达深证100交易型开放式指数基金基金经理。现任易方达基金管理有限公司副总</w:t>
      </w:r>
      <w:r w:rsidRPr="0087389D">
        <w:rPr>
          <w:rFonts w:asciiTheme="minorEastAsia" w:eastAsiaTheme="minorEastAsia" w:hAnsiTheme="minorEastAsia" w:cs="Arial" w:hint="eastAsia"/>
          <w:szCs w:val="24"/>
        </w:rPr>
        <w:t>裁；易方达资产管理（香港）有限公司董事、人民币合格境外投资者（</w:t>
      </w:r>
      <w:r w:rsidRPr="0087389D">
        <w:rPr>
          <w:rFonts w:asciiTheme="minorEastAsia" w:eastAsiaTheme="minorEastAsia" w:hAnsiTheme="minorEastAsia" w:cs="Arial"/>
          <w:szCs w:val="24"/>
        </w:rPr>
        <w:t>RQFII）业务负责人、证券交易负责人员（RO）、就证券提供意见负责人员（RO）、提供资产管理负责人员（RO）、固定收益投资决策委员会委员、产品审批委员会委员。</w:t>
      </w:r>
    </w:p>
    <w:p w:rsidR="00E17B2F" w:rsidRPr="0087389D" w:rsidRDefault="00E17B2F" w:rsidP="00586F86">
      <w:pPr>
        <w:pStyle w:val="aa"/>
        <w:tabs>
          <w:tab w:val="left" w:pos="3192"/>
        </w:tabs>
        <w:autoSpaceDE w:val="0"/>
        <w:autoSpaceDN w:val="0"/>
        <w:adjustRightInd w:val="0"/>
        <w:snapToGrid w:val="0"/>
        <w:spacing w:line="360" w:lineRule="auto"/>
        <w:rPr>
          <w:rFonts w:asciiTheme="minorEastAsia" w:eastAsiaTheme="minorEastAsia" w:hAnsiTheme="minorEastAsia" w:cs="Arial"/>
          <w:szCs w:val="24"/>
        </w:rPr>
      </w:pPr>
      <w:r w:rsidRPr="0087389D">
        <w:rPr>
          <w:rFonts w:asciiTheme="minorEastAsia" w:eastAsiaTheme="minorEastAsia" w:hAnsiTheme="minorEastAsia" w:cs="Arial" w:hint="eastAsia"/>
          <w:szCs w:val="24"/>
        </w:rPr>
        <w:t>吴欣荣先生，工学硕士，副总裁。曾任易方达基金管理有限公司研究员、投资管理部经理、基金投资部副总经理、研究部副总经理、研究部总经理、基金投资部总经理、公募基金投资部总经理、权益投资总部总经理、总裁助理、权益投资总监、基金科瑞基金经理、易方达科汇灵活配置混合型证券投资基金基金经理、易方达价值精选股票型证券投资基金基金经理。现任易方达基金管理有限公司副总裁；易方达国际控股有限公司董事。</w:t>
      </w:r>
    </w:p>
    <w:p w:rsidR="00E17B2F" w:rsidRPr="0087389D" w:rsidRDefault="00E17B2F" w:rsidP="00586F86">
      <w:pPr>
        <w:pStyle w:val="aa"/>
        <w:tabs>
          <w:tab w:val="left" w:pos="3192"/>
        </w:tabs>
        <w:autoSpaceDE w:val="0"/>
        <w:autoSpaceDN w:val="0"/>
        <w:adjustRightInd w:val="0"/>
        <w:snapToGrid w:val="0"/>
        <w:spacing w:line="360" w:lineRule="auto"/>
        <w:rPr>
          <w:rFonts w:asciiTheme="minorEastAsia" w:eastAsiaTheme="minorEastAsia" w:hAnsiTheme="minorEastAsia" w:cs="Arial"/>
          <w:szCs w:val="24"/>
        </w:rPr>
      </w:pPr>
      <w:r w:rsidRPr="0087389D">
        <w:rPr>
          <w:rFonts w:asciiTheme="minorEastAsia" w:eastAsiaTheme="minorEastAsia" w:hAnsiTheme="minorEastAsia" w:cs="Arial" w:hint="eastAsia"/>
          <w:szCs w:val="24"/>
        </w:rPr>
        <w:t>张南女士，经济学博士，督察长。曾任广东省经济贸易委员会主任科员、副处长；易方达基金管理有限公司市场拓展部副总经理、监察部总经理。现任易方达基金管理有限公司督察长。</w:t>
      </w:r>
    </w:p>
    <w:p w:rsidR="00E17B2F" w:rsidRPr="0087389D" w:rsidRDefault="00E17B2F" w:rsidP="00586F86">
      <w:pPr>
        <w:pStyle w:val="aa"/>
        <w:tabs>
          <w:tab w:val="left" w:pos="3192"/>
        </w:tabs>
        <w:autoSpaceDE w:val="0"/>
        <w:autoSpaceDN w:val="0"/>
        <w:adjustRightInd w:val="0"/>
        <w:snapToGrid w:val="0"/>
        <w:spacing w:line="360" w:lineRule="auto"/>
        <w:rPr>
          <w:rFonts w:asciiTheme="minorEastAsia" w:eastAsiaTheme="minorEastAsia" w:hAnsiTheme="minorEastAsia" w:cs="Arial"/>
          <w:szCs w:val="24"/>
        </w:rPr>
      </w:pPr>
      <w:r w:rsidRPr="0087389D">
        <w:rPr>
          <w:rFonts w:asciiTheme="minorEastAsia" w:eastAsiaTheme="minorEastAsia" w:hAnsiTheme="minorEastAsia" w:cs="Arial" w:hint="eastAsia"/>
          <w:szCs w:val="24"/>
        </w:rPr>
        <w:t>范岳先生，工商管理硕士</w:t>
      </w:r>
      <w:r w:rsidRPr="0087389D">
        <w:rPr>
          <w:rFonts w:asciiTheme="minorEastAsia" w:eastAsiaTheme="minorEastAsia" w:hAnsiTheme="minorEastAsia" w:cs="Arial"/>
          <w:szCs w:val="24"/>
        </w:rPr>
        <w:t>(MBA)，首席产品官。曾任中国工商银行深圳分行国际业务部科员；深圳证券登记结算公司办公室经理、国际部经理；深圳证券交易所北京中心助理主任、上市部副总监、基金债券部副总监、基金管理部总监。现任易方达基金管理有限公司首席产品官。</w:t>
      </w:r>
    </w:p>
    <w:p w:rsidR="00E17B2F" w:rsidRPr="0087389D" w:rsidRDefault="00E17B2F" w:rsidP="00586F86">
      <w:pPr>
        <w:pStyle w:val="aa"/>
        <w:tabs>
          <w:tab w:val="left" w:pos="3192"/>
        </w:tabs>
        <w:autoSpaceDE w:val="0"/>
        <w:autoSpaceDN w:val="0"/>
        <w:adjustRightInd w:val="0"/>
        <w:snapToGrid w:val="0"/>
        <w:spacing w:line="360" w:lineRule="auto"/>
        <w:rPr>
          <w:rFonts w:asciiTheme="minorEastAsia" w:eastAsiaTheme="minorEastAsia" w:hAnsiTheme="minorEastAsia" w:cs="Arial"/>
          <w:szCs w:val="24"/>
        </w:rPr>
      </w:pPr>
      <w:r w:rsidRPr="0087389D">
        <w:rPr>
          <w:rFonts w:asciiTheme="minorEastAsia" w:eastAsiaTheme="minorEastAsia" w:hAnsiTheme="minorEastAsia" w:cs="Arial" w:hint="eastAsia"/>
          <w:szCs w:val="24"/>
        </w:rPr>
        <w:t>关秀霞女士，财务硕士、工商管理硕士，首席国际业务官。曾任中国银行</w:t>
      </w:r>
      <w:r w:rsidRPr="0087389D">
        <w:rPr>
          <w:rFonts w:asciiTheme="minorEastAsia" w:eastAsiaTheme="minorEastAsia" w:hAnsiTheme="minorEastAsia" w:cs="Arial"/>
          <w:szCs w:val="24"/>
        </w:rPr>
        <w:t xml:space="preserve"> (香港) 分析员；Daniel Dennis 高级审计师；美国道富银行波士顿及亚洲总部大中华地区高级副总裁、董事总经理、中国区行长、亚洲区（除日本外）副总裁、机构服务主管、美国共同基金业务风险经理、公司内部审计部高级审计师。现任易方达基金管理有限公司首席国际业务官。</w:t>
      </w:r>
    </w:p>
    <w:p w:rsidR="00E17B2F" w:rsidRPr="0087389D" w:rsidRDefault="00E17B2F" w:rsidP="00586F86">
      <w:pPr>
        <w:pStyle w:val="aa"/>
        <w:tabs>
          <w:tab w:val="left" w:pos="3192"/>
        </w:tabs>
        <w:autoSpaceDE w:val="0"/>
        <w:autoSpaceDN w:val="0"/>
        <w:adjustRightInd w:val="0"/>
        <w:snapToGrid w:val="0"/>
        <w:spacing w:line="360" w:lineRule="auto"/>
        <w:rPr>
          <w:rFonts w:asciiTheme="minorEastAsia" w:eastAsiaTheme="minorEastAsia" w:hAnsiTheme="minorEastAsia" w:cs="Arial"/>
          <w:szCs w:val="24"/>
        </w:rPr>
      </w:pPr>
      <w:r w:rsidRPr="0087389D">
        <w:rPr>
          <w:rFonts w:asciiTheme="minorEastAsia" w:eastAsiaTheme="minorEastAsia" w:hAnsiTheme="minorEastAsia" w:cs="Arial" w:hint="eastAsia"/>
          <w:szCs w:val="24"/>
        </w:rPr>
        <w:t>高松凡先生，高级管理人员工商管理硕士（</w:t>
      </w:r>
      <w:r w:rsidRPr="0087389D">
        <w:rPr>
          <w:rFonts w:asciiTheme="minorEastAsia" w:eastAsiaTheme="minorEastAsia" w:hAnsiTheme="minorEastAsia" w:cs="Arial"/>
          <w:szCs w:val="24"/>
        </w:rPr>
        <w:t>EMBA），首席养老金业务官。曾任招商银行总行人事部高级经理、企业年金中心副主任；浦东发展银行总行企业年金部总经理；长江养</w:t>
      </w:r>
      <w:r w:rsidRPr="0087389D">
        <w:rPr>
          <w:rFonts w:asciiTheme="minorEastAsia" w:eastAsiaTheme="minorEastAsia" w:hAnsiTheme="minorEastAsia" w:cs="Arial"/>
          <w:szCs w:val="24"/>
        </w:rPr>
        <w:lastRenderedPageBreak/>
        <w:t>老保险公司首席</w:t>
      </w:r>
      <w:r w:rsidRPr="0087389D">
        <w:rPr>
          <w:rFonts w:asciiTheme="minorEastAsia" w:eastAsiaTheme="minorEastAsia" w:hAnsiTheme="minorEastAsia" w:cs="Arial" w:hint="eastAsia"/>
          <w:szCs w:val="24"/>
        </w:rPr>
        <w:t>市场总监；易方达基金管理有限公司养老金业务总监。现任易方达基金管理有限公司首席养老金业务官。</w:t>
      </w:r>
    </w:p>
    <w:p w:rsidR="00E17B2F" w:rsidRPr="0087389D" w:rsidRDefault="00574BDC" w:rsidP="00586F86">
      <w:pPr>
        <w:pStyle w:val="aa"/>
        <w:tabs>
          <w:tab w:val="left" w:pos="3192"/>
        </w:tabs>
        <w:autoSpaceDE w:val="0"/>
        <w:autoSpaceDN w:val="0"/>
        <w:adjustRightInd w:val="0"/>
        <w:snapToGrid w:val="0"/>
        <w:spacing w:line="360" w:lineRule="auto"/>
        <w:rPr>
          <w:rFonts w:asciiTheme="minorEastAsia" w:eastAsiaTheme="minorEastAsia" w:hAnsiTheme="minorEastAsia" w:cs="Arial"/>
          <w:szCs w:val="24"/>
        </w:rPr>
      </w:pPr>
      <w:r w:rsidRPr="0087389D">
        <w:rPr>
          <w:rFonts w:asciiTheme="minorEastAsia" w:eastAsiaTheme="minorEastAsia" w:hAnsiTheme="minorEastAsia" w:cs="Arial" w:hint="eastAsia"/>
          <w:szCs w:val="24"/>
        </w:rPr>
        <w:t>陈荣女士，经济学博士，首席运营官。曾任中国人民银行广州分行统计研究处科员；易方达基金管理有限公司运作支持部经理、核算部总经理助理、核算部副总经理、核算部总经理、投资风险管理部总经理、公司总裁助理、公司董事会秘书、公司财务中心主任。现任易方达基金管理有限公司首席运营官；易方达资产管理（香港）有限公司董事；易方达资产管理有限公司监事；易方达海外投资（深圳）有限公司监事。</w:t>
      </w:r>
    </w:p>
    <w:p w:rsidR="00E17B2F" w:rsidRPr="0087389D" w:rsidRDefault="00E17B2F" w:rsidP="00586F86">
      <w:pPr>
        <w:pStyle w:val="aa"/>
        <w:tabs>
          <w:tab w:val="left" w:pos="3192"/>
        </w:tabs>
        <w:autoSpaceDE w:val="0"/>
        <w:autoSpaceDN w:val="0"/>
        <w:adjustRightInd w:val="0"/>
        <w:snapToGrid w:val="0"/>
        <w:spacing w:line="360" w:lineRule="auto"/>
        <w:rPr>
          <w:rFonts w:asciiTheme="minorEastAsia" w:eastAsiaTheme="minorEastAsia" w:hAnsiTheme="minorEastAsia" w:cs="Arial"/>
          <w:szCs w:val="24"/>
        </w:rPr>
      </w:pPr>
      <w:r w:rsidRPr="0087389D">
        <w:rPr>
          <w:rFonts w:asciiTheme="minorEastAsia" w:eastAsiaTheme="minorEastAsia" w:hAnsiTheme="minorEastAsia" w:cs="Arial" w:hint="eastAsia"/>
          <w:szCs w:val="24"/>
        </w:rPr>
        <w:t>汪兰英女士，工学学士、法学学士，首席大类资产配置官。曾任中信证券股份有限公司风险投资部投资经理助理；中国证监会基金监管部副主任科员、主任科员、副处长、处长；中国人寿资产管理有限公司风险管理部副总经理（主持工作）、项目评审部副总经理（主持工作）、基金投资部副总经理（主持工作）。现任易方达基金管理有限公司首席大类资产配置官；易方达资产管理有限公司董事。</w:t>
      </w:r>
    </w:p>
    <w:p w:rsidR="00E17B2F" w:rsidRPr="0087389D" w:rsidRDefault="00E17B2F" w:rsidP="00056730">
      <w:pPr>
        <w:snapToGrid w:val="0"/>
        <w:spacing w:line="360" w:lineRule="auto"/>
        <w:ind w:firstLine="420"/>
        <w:rPr>
          <w:rFonts w:asciiTheme="minorEastAsia" w:eastAsiaTheme="minorEastAsia" w:hAnsiTheme="minorEastAsia" w:cs="Arial"/>
          <w:szCs w:val="20"/>
        </w:rPr>
      </w:pPr>
      <w:r w:rsidRPr="0087389D">
        <w:rPr>
          <w:rFonts w:asciiTheme="minorEastAsia" w:eastAsiaTheme="minorEastAsia" w:hAnsiTheme="minorEastAsia" w:cs="Arial"/>
          <w:szCs w:val="20"/>
        </w:rPr>
        <w:t>2、基金经理</w:t>
      </w:r>
    </w:p>
    <w:p w:rsidR="00E17B2F" w:rsidRPr="0087389D" w:rsidRDefault="00E17B2F" w:rsidP="00056730">
      <w:pPr>
        <w:snapToGrid w:val="0"/>
        <w:spacing w:line="360" w:lineRule="auto"/>
        <w:ind w:firstLine="420"/>
        <w:rPr>
          <w:rFonts w:asciiTheme="minorEastAsia" w:eastAsiaTheme="minorEastAsia" w:hAnsiTheme="minorEastAsia" w:cs="Arial"/>
          <w:szCs w:val="20"/>
        </w:rPr>
      </w:pPr>
      <w:r w:rsidRPr="0087389D">
        <w:rPr>
          <w:rFonts w:asciiTheme="minorEastAsia" w:eastAsiaTheme="minorEastAsia" w:hAnsiTheme="minorEastAsia" w:cs="Arial" w:hint="eastAsia"/>
          <w:szCs w:val="20"/>
        </w:rPr>
        <w:t>石大怿先生，经济学硕士。曾任南方基金管理有限公司交易管理部交易员，易方达基金管理有限公司集中交易室债券交易员、固定收益部基金经理助理、易方达双月利理财债券型证券投资基金基金经理（自</w:t>
      </w:r>
      <w:r w:rsidRPr="0087389D">
        <w:rPr>
          <w:rFonts w:asciiTheme="minorEastAsia" w:eastAsiaTheme="minorEastAsia" w:hAnsiTheme="minorEastAsia" w:cs="Arial"/>
          <w:szCs w:val="20"/>
        </w:rPr>
        <w:t>2013年1月15日至2019年5月27日）、易方达新鑫灵活配置混合型证券投资基金基金经理助理。现任易方达基金管理有限公司易方达月月利理财债券型证券投资基金基金经理（自2012年11月26日起任职）、易方达天天理财货币市场基金基金经理（自2013年3月4日起任职）、易方达货币市场基金基金经理（自2013年4月22日</w:t>
      </w:r>
      <w:r w:rsidRPr="0087389D">
        <w:rPr>
          <w:rFonts w:asciiTheme="minorEastAsia" w:eastAsiaTheme="minorEastAsia" w:hAnsiTheme="minorEastAsia" w:cs="Arial" w:hint="eastAsia"/>
          <w:szCs w:val="20"/>
        </w:rPr>
        <w:t>起任职）、易方达保证金收益货币市场基金基金经理（自</w:t>
      </w:r>
      <w:r w:rsidRPr="0087389D">
        <w:rPr>
          <w:rFonts w:asciiTheme="minorEastAsia" w:eastAsiaTheme="minorEastAsia" w:hAnsiTheme="minorEastAsia" w:cs="Arial"/>
          <w:szCs w:val="20"/>
        </w:rPr>
        <w:t>2013年4月22日起任职）、易方达易理财货币市场基金基金经理（自2013年10月24日起任职）、易方达财富快线货币市场基金基金经理（自2014年6月17日起任职）、易方达天天增利货币市场基金基金经理（自2014年6月25日起任职）、易方达龙宝货币市场基金基金经理（自2014年9月12日起任职）、易方达现金增利货币市场基金基金经理（自2015年2月5日起任职）、易方达天天发货币市场基金基金经理（自2017年2月16日起任职）、易方达掌柜季季盈理财债券型证券</w:t>
      </w:r>
      <w:r w:rsidRPr="0087389D">
        <w:rPr>
          <w:rFonts w:asciiTheme="minorEastAsia" w:eastAsiaTheme="minorEastAsia" w:hAnsiTheme="minorEastAsia" w:cs="Arial" w:hint="eastAsia"/>
          <w:szCs w:val="20"/>
        </w:rPr>
        <w:t>投资基金基金经理（自</w:t>
      </w:r>
      <w:r w:rsidRPr="0087389D">
        <w:rPr>
          <w:rFonts w:asciiTheme="minorEastAsia" w:eastAsiaTheme="minorEastAsia" w:hAnsiTheme="minorEastAsia" w:cs="Arial"/>
          <w:szCs w:val="20"/>
        </w:rPr>
        <w:t>2017年6月15日起任职）、易方达安瑞短债债券型证券投资基金基金经理（自2018年11月14日起任职）、易方达恒安定期开放债券型发起式证券投资基金基金经理助理。</w:t>
      </w:r>
    </w:p>
    <w:p w:rsidR="00E17B2F" w:rsidRPr="0087389D" w:rsidRDefault="00E17B2F" w:rsidP="00056730">
      <w:pPr>
        <w:snapToGrid w:val="0"/>
        <w:spacing w:line="360" w:lineRule="auto"/>
        <w:ind w:firstLine="420"/>
        <w:rPr>
          <w:rFonts w:asciiTheme="minorEastAsia" w:eastAsiaTheme="minorEastAsia" w:hAnsiTheme="minorEastAsia" w:cs="Arial"/>
          <w:szCs w:val="20"/>
        </w:rPr>
      </w:pPr>
      <w:r w:rsidRPr="0087389D">
        <w:rPr>
          <w:rFonts w:asciiTheme="minorEastAsia" w:eastAsiaTheme="minorEastAsia" w:hAnsiTheme="minorEastAsia" w:cs="Arial" w:hint="eastAsia"/>
          <w:szCs w:val="20"/>
        </w:rPr>
        <w:t>梁莹女士，经济学硕士、金融学硕士。曾任招商证券股份有限公司债券销售交易部交易员，易方达基金管理有限公司固定收益交易员、易方达双月利理财债券型证券投资基金基金经理（自</w:t>
      </w:r>
      <w:r w:rsidRPr="0087389D">
        <w:rPr>
          <w:rFonts w:asciiTheme="minorEastAsia" w:eastAsiaTheme="minorEastAsia" w:hAnsiTheme="minorEastAsia" w:cs="Arial"/>
          <w:szCs w:val="20"/>
        </w:rPr>
        <w:t>2014年9月24日至2019年5月27日）、易方达保证金收益货币市场基金基金经理助理。现任易方达基金管理有限公司投资经理、易方达月月利理财债券型证券投资基金基金</w:t>
      </w:r>
      <w:r w:rsidRPr="0087389D">
        <w:rPr>
          <w:rFonts w:asciiTheme="minorEastAsia" w:eastAsiaTheme="minorEastAsia" w:hAnsiTheme="minorEastAsia" w:cs="Arial" w:hint="eastAsia"/>
          <w:szCs w:val="20"/>
        </w:rPr>
        <w:t>经理（自</w:t>
      </w:r>
      <w:r w:rsidRPr="0087389D">
        <w:rPr>
          <w:rFonts w:asciiTheme="minorEastAsia" w:eastAsiaTheme="minorEastAsia" w:hAnsiTheme="minorEastAsia" w:cs="Arial"/>
          <w:szCs w:val="20"/>
        </w:rPr>
        <w:t>2014年9月24日起任职）、易方达增金宝货币市场基金基金经理（自2015年1月20日起任职）、易方达财富快线货币市场基金基金经理（自2015年3月17日起任职）、</w:t>
      </w:r>
      <w:r w:rsidRPr="0087389D">
        <w:rPr>
          <w:rFonts w:asciiTheme="minorEastAsia" w:eastAsiaTheme="minorEastAsia" w:hAnsiTheme="minorEastAsia" w:cs="Arial"/>
          <w:szCs w:val="20"/>
        </w:rPr>
        <w:lastRenderedPageBreak/>
        <w:t>易方达天天增利货币市场基金基金经理（自2015年3月17日起任职）、易方达龙宝货币市场基金基金经理（自2015年3月17日起任职）、易方达现金增利货币市场基金基金经理（自2015年6月19日起任职）、易方达掌柜季季盈理财债券型证券投资基金基金经理（自2017年7月11日起任职）、易方达保证金收益货币市场基金基金经理（自2017年8月8日</w:t>
      </w:r>
      <w:r w:rsidRPr="0087389D">
        <w:rPr>
          <w:rFonts w:asciiTheme="minorEastAsia" w:eastAsiaTheme="minorEastAsia" w:hAnsiTheme="minorEastAsia" w:cs="Arial" w:hint="eastAsia"/>
          <w:szCs w:val="20"/>
        </w:rPr>
        <w:t>起任职）、易方达安悦超短债债券型证券投资基金基金经理（自</w:t>
      </w:r>
      <w:r w:rsidRPr="0087389D">
        <w:rPr>
          <w:rFonts w:asciiTheme="minorEastAsia" w:eastAsiaTheme="minorEastAsia" w:hAnsiTheme="minorEastAsia" w:cs="Arial"/>
          <w:szCs w:val="20"/>
        </w:rPr>
        <w:t>2018年12月5日起任职）、易方达货币市场基金基金经理助理、易方达天天理财货币市场基金基金经理助理、易方达易理财货币市场基金基金经理助理。</w:t>
      </w:r>
    </w:p>
    <w:p w:rsidR="00E17B2F" w:rsidRPr="0087389D" w:rsidRDefault="00E17B2F" w:rsidP="00056730">
      <w:pPr>
        <w:snapToGrid w:val="0"/>
        <w:spacing w:line="360" w:lineRule="auto"/>
        <w:ind w:firstLine="420"/>
        <w:rPr>
          <w:rFonts w:asciiTheme="minorEastAsia" w:eastAsiaTheme="minorEastAsia" w:hAnsiTheme="minorEastAsia" w:cs="Arial"/>
          <w:szCs w:val="20"/>
        </w:rPr>
      </w:pPr>
      <w:r w:rsidRPr="0087389D">
        <w:rPr>
          <w:rFonts w:asciiTheme="minorEastAsia" w:eastAsiaTheme="minorEastAsia" w:hAnsiTheme="minorEastAsia" w:cs="Arial" w:hint="eastAsia"/>
          <w:szCs w:val="20"/>
        </w:rPr>
        <w:t>刘朝阳女士，经济学硕士。曾任南方基金管理有限公司固定收益部研究员、债券交易员、宏观策略高级研究员、基金经理。现任易方达基金管理有限公司现金管理部总经理、易方达财富快线货币市场基金基金经理（自</w:t>
      </w:r>
      <w:r w:rsidRPr="0087389D">
        <w:rPr>
          <w:rFonts w:asciiTheme="minorEastAsia" w:eastAsiaTheme="minorEastAsia" w:hAnsiTheme="minorEastAsia" w:cs="Arial"/>
          <w:szCs w:val="20"/>
        </w:rPr>
        <w:t>2016年1月30日起任职）、易方达易理财货币市场基金基金经理（自2016年2月19日起任职）、易方达天天理财货币市场基金</w:t>
      </w:r>
      <w:r w:rsidRPr="0087389D">
        <w:rPr>
          <w:rFonts w:asciiTheme="minorEastAsia" w:eastAsiaTheme="minorEastAsia" w:hAnsiTheme="minorEastAsia" w:cs="Arial" w:hint="eastAsia"/>
          <w:szCs w:val="20"/>
        </w:rPr>
        <w:t>基金经理（自</w:t>
      </w:r>
      <w:r w:rsidRPr="0087389D">
        <w:rPr>
          <w:rFonts w:asciiTheme="minorEastAsia" w:eastAsiaTheme="minorEastAsia" w:hAnsiTheme="minorEastAsia" w:cs="Arial"/>
          <w:szCs w:val="20"/>
        </w:rPr>
        <w:t>2016年3月29日起任职）、易方达安悦超短债债券型证券投资基金基金经理（自2018年12月5日起任职）。</w:t>
      </w:r>
    </w:p>
    <w:p w:rsidR="00E17B2F" w:rsidRPr="0087389D" w:rsidRDefault="00E17B2F" w:rsidP="00056730">
      <w:pPr>
        <w:snapToGrid w:val="0"/>
        <w:spacing w:line="360" w:lineRule="auto"/>
        <w:ind w:firstLine="420"/>
        <w:rPr>
          <w:rFonts w:asciiTheme="minorEastAsia" w:eastAsiaTheme="minorEastAsia" w:hAnsiTheme="minorEastAsia" w:cs="Arial"/>
          <w:szCs w:val="20"/>
        </w:rPr>
      </w:pPr>
      <w:r w:rsidRPr="0087389D">
        <w:rPr>
          <w:rFonts w:asciiTheme="minorEastAsia" w:eastAsiaTheme="minorEastAsia" w:hAnsiTheme="minorEastAsia" w:cs="Arial" w:hint="eastAsia"/>
          <w:szCs w:val="20"/>
        </w:rPr>
        <w:t>易瓅女士，理学硕士。曾任汇添富基金管理有限公司债券交易员，易方达基金管理有限公司高级债券交易员、易方达双月利理财债券型证券投资基金基金经理助理。现任易方达基金管理有限公司易方达货币市场基金基金经理助理、易方达月月利理财债券型证券投资基金基金经理助理、易方达天天理财货币市场基金基金经理助理、易方达保证金收益货币市场基金基金经理助理、易方达易理财货币市场基金基金经理助理、易方达财富快线货币市场基金基金经理助理、易方达天天增利货币市场基金基金经理助理、易方达龙宝货币市场基金基金经理助理、易方达增金宝货币市场基金基金经理助理、易方达现金增利货币市场基金基金经理助理、易方达天天发货币市场基金基金经理助理、易方达掌柜季季盈理财债券型证券投资基金基金经理助理、易方达安悦超短债债券型证券投资基金基金经理助理。</w:t>
      </w:r>
    </w:p>
    <w:p w:rsidR="00E17B2F" w:rsidRPr="0087389D" w:rsidRDefault="00E17B2F" w:rsidP="00056730">
      <w:pPr>
        <w:snapToGrid w:val="0"/>
        <w:spacing w:line="360" w:lineRule="auto"/>
        <w:ind w:firstLine="420"/>
        <w:rPr>
          <w:rFonts w:asciiTheme="minorEastAsia" w:eastAsiaTheme="minorEastAsia" w:hAnsiTheme="minorEastAsia" w:cs="Arial"/>
          <w:szCs w:val="20"/>
        </w:rPr>
      </w:pPr>
      <w:r w:rsidRPr="0087389D">
        <w:rPr>
          <w:rFonts w:asciiTheme="minorEastAsia" w:eastAsiaTheme="minorEastAsia" w:hAnsiTheme="minorEastAsia" w:cs="Arial"/>
          <w:szCs w:val="20"/>
        </w:rPr>
        <w:t>3、固定收益投资决策委员会成员</w:t>
      </w:r>
    </w:p>
    <w:p w:rsidR="00E17B2F" w:rsidRPr="0087389D" w:rsidRDefault="00E17B2F" w:rsidP="00056730">
      <w:pPr>
        <w:snapToGrid w:val="0"/>
        <w:spacing w:line="360" w:lineRule="auto"/>
        <w:ind w:firstLine="420"/>
        <w:rPr>
          <w:rFonts w:asciiTheme="minorEastAsia" w:eastAsiaTheme="minorEastAsia" w:hAnsiTheme="minorEastAsia" w:cs="Arial"/>
          <w:szCs w:val="20"/>
        </w:rPr>
      </w:pPr>
      <w:r w:rsidRPr="0087389D">
        <w:rPr>
          <w:rFonts w:asciiTheme="minorEastAsia" w:eastAsiaTheme="minorEastAsia" w:hAnsiTheme="minorEastAsia" w:cs="Arial" w:hint="eastAsia"/>
          <w:szCs w:val="20"/>
        </w:rPr>
        <w:t>本公司固定收益投资决策委员会成员包括：马骏先生、胡剑先生、张清华先生、王晓晨女士、袁方女士、刘朝阳女士、祁广东先生。</w:t>
      </w:r>
    </w:p>
    <w:p w:rsidR="00E17B2F" w:rsidRPr="0087389D" w:rsidRDefault="00E17B2F" w:rsidP="00056730">
      <w:pPr>
        <w:snapToGrid w:val="0"/>
        <w:spacing w:line="360" w:lineRule="auto"/>
        <w:ind w:firstLine="420"/>
        <w:rPr>
          <w:rFonts w:asciiTheme="minorEastAsia" w:eastAsiaTheme="minorEastAsia" w:hAnsiTheme="minorEastAsia" w:cs="Arial"/>
          <w:szCs w:val="20"/>
        </w:rPr>
      </w:pPr>
      <w:r w:rsidRPr="0087389D">
        <w:rPr>
          <w:rFonts w:asciiTheme="minorEastAsia" w:eastAsiaTheme="minorEastAsia" w:hAnsiTheme="minorEastAsia" w:cs="Arial" w:hint="eastAsia"/>
          <w:szCs w:val="20"/>
        </w:rPr>
        <w:t>马骏先生，同上。</w:t>
      </w:r>
    </w:p>
    <w:p w:rsidR="00E17B2F" w:rsidRPr="0087389D" w:rsidRDefault="00E17B2F" w:rsidP="00056730">
      <w:pPr>
        <w:snapToGrid w:val="0"/>
        <w:spacing w:line="360" w:lineRule="auto"/>
        <w:ind w:firstLine="420"/>
        <w:rPr>
          <w:rFonts w:asciiTheme="minorEastAsia" w:eastAsiaTheme="minorEastAsia" w:hAnsiTheme="minorEastAsia" w:cs="Arial"/>
          <w:szCs w:val="20"/>
        </w:rPr>
      </w:pPr>
      <w:r w:rsidRPr="0087389D">
        <w:rPr>
          <w:rFonts w:asciiTheme="minorEastAsia" w:eastAsiaTheme="minorEastAsia" w:hAnsiTheme="minorEastAsia" w:cs="Arial" w:hint="eastAsia"/>
          <w:szCs w:val="20"/>
        </w:rPr>
        <w:t>胡剑先生，经济学硕士。曾任易方达基金管理有限公司固定收益部债券研究员、基金经理助理、固定收益研究部负责人、固定收益总部总经理助理、易方达中债新综合债券指数发起式证券投资基金（</w:t>
      </w:r>
      <w:r w:rsidRPr="0087389D">
        <w:rPr>
          <w:rFonts w:asciiTheme="minorEastAsia" w:eastAsiaTheme="minorEastAsia" w:hAnsiTheme="minorEastAsia" w:cs="Arial"/>
          <w:szCs w:val="20"/>
        </w:rPr>
        <w:t>LOF）基金经理、易方达纯债1年定期开放债券型证券投资基金基金经理、易方达永旭添利定期开放债券型证券投资基金基金经理、易方达纯债债券型证券投资基金基金经理、易方达裕景添利6个月定期开放债券型证券投资基金基金经理、易方达瑞智灵活配置混合型证券投资基金基金经理、易方达瑞兴灵活配置混合型证券投资基金基金经理、易方达瑞祥灵活配置混合型证券投资基金基金经理、易方达高等级信</w:t>
      </w:r>
      <w:r w:rsidRPr="0087389D">
        <w:rPr>
          <w:rFonts w:asciiTheme="minorEastAsia" w:eastAsiaTheme="minorEastAsia" w:hAnsiTheme="minorEastAsia" w:cs="Arial" w:hint="eastAsia"/>
          <w:szCs w:val="20"/>
        </w:rPr>
        <w:t>用债债券型证券投资基金基金经理、易方达瑞祺灵活配置混合型证券投资基金基金经理、易方达瑞财灵活配置混合</w:t>
      </w:r>
      <w:r w:rsidRPr="0087389D">
        <w:rPr>
          <w:rFonts w:asciiTheme="minorEastAsia" w:eastAsiaTheme="minorEastAsia" w:hAnsiTheme="minorEastAsia" w:cs="Arial" w:hint="eastAsia"/>
          <w:szCs w:val="20"/>
        </w:rPr>
        <w:lastRenderedPageBreak/>
        <w:t>型证券投资基金基金经理。现任易方达基金管理有限公司固定收益投资部总经理、固定收益研究部总经理、易方达稳健收益债券型证券投资基金基金经理、易方达信用债债券型证券投资基金基金经理、易方达裕惠回报定期开放式混合型发起式证券投资基金基金经理、易方达丰惠混合型证券投资基金基金经理、易方达瑞富灵活配置混合型证券投资基金基金经理、易方达</w:t>
      </w:r>
      <w:r w:rsidRPr="0087389D">
        <w:rPr>
          <w:rFonts w:asciiTheme="minorEastAsia" w:eastAsiaTheme="minorEastAsia" w:hAnsiTheme="minorEastAsia" w:cs="Arial"/>
          <w:szCs w:val="20"/>
        </w:rPr>
        <w:t>3年封闭运作战略配售灵活配置混合型证券投资基金（LOF）基金经理、易方达岁丰添利债券型</w:t>
      </w:r>
      <w:r w:rsidRPr="0087389D">
        <w:rPr>
          <w:rFonts w:asciiTheme="minorEastAsia" w:eastAsiaTheme="minorEastAsia" w:hAnsiTheme="minorEastAsia" w:cs="Arial" w:hint="eastAsia"/>
          <w:szCs w:val="20"/>
        </w:rPr>
        <w:t>证券投资基金基金经理、易方达恒利</w:t>
      </w:r>
      <w:r w:rsidRPr="0087389D">
        <w:rPr>
          <w:rFonts w:asciiTheme="minorEastAsia" w:eastAsiaTheme="minorEastAsia" w:hAnsiTheme="minorEastAsia" w:cs="Arial"/>
          <w:szCs w:val="20"/>
        </w:rPr>
        <w:t>3个月定期开放债券型发起式证券投资基金基金经理、易方达恒益定期开放债券型发起式证券投资基金基金经理、易方达恒盛3个月定期开放混合型发起式证券投资基金基金经理、易方达富惠纯债债券型证券投资基金基金经理、易方达中债3-5年期国债指数证券投资基金基金经理、易方达中债7-10年期国开行债券指数证券投资基金基金经理。</w:t>
      </w:r>
    </w:p>
    <w:p w:rsidR="00E17B2F" w:rsidRPr="0087389D" w:rsidRDefault="00E17B2F" w:rsidP="00056730">
      <w:pPr>
        <w:snapToGrid w:val="0"/>
        <w:spacing w:line="360" w:lineRule="auto"/>
        <w:ind w:firstLine="420"/>
        <w:rPr>
          <w:rFonts w:asciiTheme="minorEastAsia" w:eastAsiaTheme="minorEastAsia" w:hAnsiTheme="minorEastAsia" w:cs="Arial"/>
          <w:szCs w:val="20"/>
        </w:rPr>
      </w:pPr>
      <w:r w:rsidRPr="0087389D">
        <w:rPr>
          <w:rFonts w:asciiTheme="minorEastAsia" w:eastAsiaTheme="minorEastAsia" w:hAnsiTheme="minorEastAsia" w:cs="Arial" w:hint="eastAsia"/>
          <w:szCs w:val="20"/>
        </w:rPr>
        <w:t>张清华先生，物理学硕士。曾任晨星资讯（深圳）有限公司数量分析师，中信证券股份有限公司研究员，易方达基金管理有限公司投资经理、固定收益基金投资部总经理、易方达裕如灵活配置混合型证券投资基金基金经理、易方达新收益灵活配置混合型证券投资基金基金经理、易方达新利灵活配置混合型证券投资基金基金经理、易方达新鑫灵活配置混合型证券投资基金基金经理、易方达新享灵活配置混合型证券投资基金基金经理、易方达瑞景灵活配置混合型证券投资基金基金经理、易方达瑞选灵活配置混合型证券投资基金基金经理、易方达瑞通灵活配置混合型证券投资基金基金经理、易方达瑞弘灵活配置混合型证券投资基金基金经理、易方达瑞程灵活配置混合型证券投资基金基金经理、易方达裕鑫债券型证券投资基金基金经理、易方达瑞信灵活配置混合型证券投资基金基金经理、易方达瑞和灵活配置混合型证券投资基金基金经理、易方达鑫转添利混合型证券投资基金基金经理、易方达鑫转增利混合型证券投资基金基金经理、易方达鑫转招利混合型证券投资基金基金经理。现任易方达基金管理有限公司混合资产投资部总经理、易方达安心回报债券型证券投资基金基金经理、易方达裕丰回报债券型证券投资基金基金经理、易方达安心回馈混合型证券投资基金基金经理、易方达裕祥回报债券型证券投资基金基金经理、易方达丰和债券型证券投资基金基金经理、易方达安盈回报混合型证券投资基金基金经理、易方达新收益灵活配置混合型证券投资基金基金经理、易方达丰华债券型证券投资基金基金经理。</w:t>
      </w:r>
    </w:p>
    <w:p w:rsidR="00E17B2F" w:rsidRPr="0087389D" w:rsidRDefault="00E17B2F" w:rsidP="00056730">
      <w:pPr>
        <w:snapToGrid w:val="0"/>
        <w:spacing w:line="360" w:lineRule="auto"/>
        <w:ind w:firstLine="420"/>
        <w:rPr>
          <w:rFonts w:asciiTheme="minorEastAsia" w:eastAsiaTheme="minorEastAsia" w:hAnsiTheme="minorEastAsia" w:cs="Arial"/>
          <w:szCs w:val="20"/>
        </w:rPr>
      </w:pPr>
      <w:r w:rsidRPr="0087389D">
        <w:rPr>
          <w:rFonts w:asciiTheme="minorEastAsia" w:eastAsiaTheme="minorEastAsia" w:hAnsiTheme="minorEastAsia" w:cs="Arial" w:hint="eastAsia"/>
          <w:szCs w:val="20"/>
        </w:rPr>
        <w:t>王晓晨女士，经济学硕士。曾任易方达基金管理有限公司集中交易室债券交易员、债券交易主管、固定收益总部总经理助理、固定收益基金投资部副总经理、易方达货币市场基金基金经理、易方达保证金收益货币市场基金基金经理、易方达保本一号混合型证券投资基金基金经理、易方达新鑫灵活配置混合型证券投资基金基金经理、易方达纯债债券型证券投资基金基金经理、易方达恒益定期开放债券型发起式证券投资基金基金经理、易方达中债</w:t>
      </w:r>
      <w:r w:rsidRPr="0087389D">
        <w:rPr>
          <w:rFonts w:asciiTheme="minorEastAsia" w:eastAsiaTheme="minorEastAsia" w:hAnsiTheme="minorEastAsia" w:cs="Arial"/>
          <w:szCs w:val="20"/>
        </w:rPr>
        <w:t>3-5年期国债指数证券投资基金基金经理、易方达中债7-10年期国开行债券指数证券投资基金基金经理。现任易方达基金管理有限公司固定收益投资部副总经理、易方达增强回报债券型证券投资基金基金经理、易方达投资级信用债债券型证券投资基金基金经理、易方达中债新</w:t>
      </w:r>
      <w:r w:rsidRPr="0087389D">
        <w:rPr>
          <w:rFonts w:asciiTheme="minorEastAsia" w:eastAsiaTheme="minorEastAsia" w:hAnsiTheme="minorEastAsia" w:cs="Arial"/>
          <w:szCs w:val="20"/>
        </w:rPr>
        <w:lastRenderedPageBreak/>
        <w:t>综合债券指数发起式证券投资基金（LOF）基金经理、易方达双债增强债券型证券投资基金基金经理、易方达恒安定期开放债券型发起式证券投资基金基金经理、易方达富财纯债债券型证券投资基金基金经理、易方达安瑞短债债券型证券投资基金基金经理、易方达中债1-3年国开行债券指数证券投资基金基金经理、易方达中债3-5年国开行债券指数证</w:t>
      </w:r>
      <w:r w:rsidRPr="0087389D">
        <w:rPr>
          <w:rFonts w:asciiTheme="minorEastAsia" w:eastAsiaTheme="minorEastAsia" w:hAnsiTheme="minorEastAsia" w:cs="Arial" w:hint="eastAsia"/>
          <w:szCs w:val="20"/>
        </w:rPr>
        <w:t>券投资基金基金经理、易方达恒兴</w:t>
      </w:r>
      <w:r w:rsidRPr="0087389D">
        <w:rPr>
          <w:rFonts w:asciiTheme="minorEastAsia" w:eastAsiaTheme="minorEastAsia" w:hAnsiTheme="minorEastAsia" w:cs="Arial"/>
          <w:szCs w:val="20"/>
        </w:rPr>
        <w:t>3个月定期开放债券型发起式证券投资基金基金经理、易方达中债1-3年政策性金融债指数证券投资基金基金经理、易方达中债3-5年政策性金融债指数证券投资基金基金经理，易方达资产管理（香港）有限公司基金经理、就证券提供意见负责人员（RO）、提供资产管理负责人员（RO）、易方达资产管理（香港）有限公司固定收益投资决策委员会委员。</w:t>
      </w:r>
    </w:p>
    <w:p w:rsidR="00E17B2F" w:rsidRPr="0087389D" w:rsidRDefault="00E17B2F" w:rsidP="00056730">
      <w:pPr>
        <w:snapToGrid w:val="0"/>
        <w:spacing w:line="360" w:lineRule="auto"/>
        <w:ind w:firstLine="420"/>
        <w:rPr>
          <w:rFonts w:asciiTheme="minorEastAsia" w:eastAsiaTheme="minorEastAsia" w:hAnsiTheme="minorEastAsia" w:cs="Arial"/>
          <w:szCs w:val="20"/>
        </w:rPr>
      </w:pPr>
      <w:r w:rsidRPr="0087389D">
        <w:rPr>
          <w:rFonts w:asciiTheme="minorEastAsia" w:eastAsiaTheme="minorEastAsia" w:hAnsiTheme="minorEastAsia" w:cs="Arial" w:hint="eastAsia"/>
          <w:szCs w:val="20"/>
        </w:rPr>
        <w:t>袁方女士，工学硕士。曾任中慧会计师事务所审计师、资产评估师，湘财证券有限责任公司投资经理，泰康人寿保险公司投资经理，天弘基金管理有限公司基金经理、固定收益总监，泰康资产管理有限责任公司年金投资部高级投资经理、执行总监，易方达基金管理有限公司固定收益投资部总经理助理、固定收益总部总经理助理、固定收益机构投资部总经理、固定收益专户投资部总经理。现任易方达基金管理有限公司年金投资部总经理、投资经理。</w:t>
      </w:r>
    </w:p>
    <w:p w:rsidR="00E17B2F" w:rsidRPr="0087389D" w:rsidRDefault="00E17B2F" w:rsidP="00056730">
      <w:pPr>
        <w:snapToGrid w:val="0"/>
        <w:spacing w:line="360" w:lineRule="auto"/>
        <w:ind w:firstLine="420"/>
        <w:rPr>
          <w:rFonts w:asciiTheme="minorEastAsia" w:eastAsiaTheme="minorEastAsia" w:hAnsiTheme="minorEastAsia" w:cs="Arial"/>
          <w:szCs w:val="20"/>
        </w:rPr>
      </w:pPr>
      <w:r w:rsidRPr="0087389D">
        <w:rPr>
          <w:rFonts w:asciiTheme="minorEastAsia" w:eastAsiaTheme="minorEastAsia" w:hAnsiTheme="minorEastAsia" w:cs="Arial" w:hint="eastAsia"/>
          <w:szCs w:val="20"/>
        </w:rPr>
        <w:t>刘朝阳女士，同上。</w:t>
      </w:r>
    </w:p>
    <w:p w:rsidR="00E17B2F" w:rsidRPr="0087389D" w:rsidRDefault="00E764FC" w:rsidP="00056730">
      <w:pPr>
        <w:snapToGrid w:val="0"/>
        <w:spacing w:line="360" w:lineRule="auto"/>
        <w:ind w:firstLine="420"/>
        <w:rPr>
          <w:rFonts w:asciiTheme="minorEastAsia" w:eastAsiaTheme="minorEastAsia" w:hAnsiTheme="minorEastAsia" w:cs="Arial"/>
          <w:szCs w:val="20"/>
        </w:rPr>
      </w:pPr>
      <w:r w:rsidRPr="0087389D">
        <w:rPr>
          <w:rFonts w:asciiTheme="minorEastAsia" w:eastAsiaTheme="minorEastAsia" w:hAnsiTheme="minorEastAsia" w:cs="Arial" w:hint="eastAsia"/>
          <w:szCs w:val="20"/>
        </w:rPr>
        <w:t>祁广东先生，经济学硕士。曾任申银万国证券固定收益总部助理分析师、交易员、助理投资经理，申银万国投资管理（亚洲）有限公司基金经理，易方达资产管理（香港）有限公司投资经理。现任易方达基金管理有限公司投资经理、易方达中短期美元债债券型证券投资基金（QDII）基金经理，易方达资产管理（香港）有限公司就证券提供意见负责人员（RO）、提供资产管理负责人员（RO）、固定收益投资决策委员会委员、固定收益部主管、基金经理。</w:t>
      </w:r>
    </w:p>
    <w:p w:rsidR="00056730" w:rsidRPr="0087389D" w:rsidRDefault="00056730" w:rsidP="00056730">
      <w:pPr>
        <w:snapToGrid w:val="0"/>
        <w:spacing w:line="360" w:lineRule="auto"/>
        <w:ind w:firstLine="420"/>
        <w:rPr>
          <w:rFonts w:asciiTheme="minorEastAsia" w:eastAsiaTheme="minorEastAsia" w:hAnsiTheme="minorEastAsia"/>
          <w:kern w:val="0"/>
        </w:rPr>
      </w:pPr>
      <w:bookmarkStart w:id="11" w:name="_Toc319688258"/>
      <w:bookmarkStart w:id="12" w:name="_Toc319693381"/>
      <w:bookmarkStart w:id="13" w:name="_Toc327734791"/>
      <w:r w:rsidRPr="0087389D">
        <w:rPr>
          <w:rFonts w:asciiTheme="minorEastAsia" w:eastAsiaTheme="minorEastAsia" w:hAnsiTheme="minorEastAsia" w:hint="eastAsia"/>
          <w:kern w:val="0"/>
          <w:szCs w:val="21"/>
        </w:rPr>
        <w:t>4、上述人员之间均不存在近亲属关系</w:t>
      </w:r>
      <w:r w:rsidRPr="0087389D">
        <w:rPr>
          <w:rFonts w:asciiTheme="minorEastAsia" w:eastAsiaTheme="minorEastAsia" w:hAnsiTheme="minorEastAsia" w:hint="eastAsia"/>
          <w:kern w:val="0"/>
        </w:rPr>
        <w:t>。</w:t>
      </w:r>
    </w:p>
    <w:p w:rsidR="00BA4B87" w:rsidRPr="0087389D" w:rsidRDefault="00B329B1" w:rsidP="00555CE7">
      <w:pPr>
        <w:snapToGrid w:val="0"/>
        <w:spacing w:line="360" w:lineRule="auto"/>
        <w:ind w:firstLine="420"/>
        <w:rPr>
          <w:rFonts w:asciiTheme="minorEastAsia" w:eastAsiaTheme="minorEastAsia" w:hAnsiTheme="minorEastAsia"/>
          <w:kern w:val="0"/>
        </w:rPr>
      </w:pPr>
      <w:bookmarkStart w:id="14" w:name="_Toc327734792"/>
      <w:bookmarkEnd w:id="11"/>
      <w:bookmarkEnd w:id="12"/>
      <w:bookmarkEnd w:id="13"/>
      <w:r w:rsidRPr="0087389D">
        <w:rPr>
          <w:rFonts w:asciiTheme="minorEastAsia" w:eastAsiaTheme="minorEastAsia" w:hAnsiTheme="minorEastAsia"/>
          <w:kern w:val="0"/>
        </w:rPr>
        <w:t>（</w:t>
      </w:r>
      <w:r w:rsidR="00BA4B87" w:rsidRPr="0087389D">
        <w:rPr>
          <w:rFonts w:asciiTheme="minorEastAsia" w:eastAsiaTheme="minorEastAsia" w:hAnsiTheme="minorEastAsia"/>
          <w:kern w:val="0"/>
        </w:rPr>
        <w:t>三</w:t>
      </w:r>
      <w:r w:rsidRPr="0087389D">
        <w:rPr>
          <w:rFonts w:asciiTheme="minorEastAsia" w:eastAsiaTheme="minorEastAsia" w:hAnsiTheme="minorEastAsia"/>
          <w:kern w:val="0"/>
        </w:rPr>
        <w:t>）</w:t>
      </w:r>
      <w:r w:rsidR="00BA4B87" w:rsidRPr="0087389D">
        <w:rPr>
          <w:rFonts w:asciiTheme="minorEastAsia" w:eastAsiaTheme="minorEastAsia" w:hAnsiTheme="minorEastAsia"/>
          <w:kern w:val="0"/>
        </w:rPr>
        <w:t>基金管理人的职责</w:t>
      </w:r>
      <w:bookmarkEnd w:id="14"/>
    </w:p>
    <w:p w:rsidR="002C66C4" w:rsidRPr="0087389D" w:rsidRDefault="002C66C4" w:rsidP="00555CE7">
      <w:pPr>
        <w:snapToGrid w:val="0"/>
        <w:spacing w:line="360" w:lineRule="auto"/>
        <w:ind w:firstLineChars="200" w:firstLine="420"/>
        <w:rPr>
          <w:rStyle w:val="da"/>
          <w:rFonts w:asciiTheme="minorEastAsia" w:eastAsiaTheme="minorEastAsia" w:hAnsiTheme="minorEastAsia"/>
        </w:rPr>
      </w:pPr>
      <w:r w:rsidRPr="0087389D">
        <w:rPr>
          <w:rStyle w:val="da"/>
          <w:rFonts w:asciiTheme="minorEastAsia" w:eastAsiaTheme="minorEastAsia" w:hAnsiTheme="minorEastAsia" w:hint="eastAsia"/>
        </w:rPr>
        <w:t>1、依法募集资金，办理基金份额的发售和登记事宜；</w:t>
      </w:r>
    </w:p>
    <w:p w:rsidR="002C66C4" w:rsidRPr="0087389D" w:rsidRDefault="002C66C4" w:rsidP="00555CE7">
      <w:pPr>
        <w:snapToGrid w:val="0"/>
        <w:spacing w:line="360" w:lineRule="auto"/>
        <w:ind w:firstLineChars="200" w:firstLine="420"/>
        <w:rPr>
          <w:rStyle w:val="da"/>
          <w:rFonts w:asciiTheme="minorEastAsia" w:eastAsiaTheme="minorEastAsia" w:hAnsiTheme="minorEastAsia"/>
        </w:rPr>
      </w:pPr>
      <w:bookmarkStart w:id="15" w:name="_Toc332373452"/>
      <w:r w:rsidRPr="0087389D">
        <w:rPr>
          <w:rStyle w:val="da"/>
          <w:rFonts w:asciiTheme="minorEastAsia" w:eastAsiaTheme="minorEastAsia" w:hAnsiTheme="minorEastAsia" w:hint="eastAsia"/>
        </w:rPr>
        <w:t>2、办理基金备案手续；</w:t>
      </w:r>
      <w:bookmarkEnd w:id="15"/>
    </w:p>
    <w:p w:rsidR="002C66C4" w:rsidRPr="0087389D" w:rsidRDefault="002C66C4" w:rsidP="00555CE7">
      <w:pPr>
        <w:snapToGrid w:val="0"/>
        <w:spacing w:line="360" w:lineRule="auto"/>
        <w:ind w:firstLineChars="200" w:firstLine="420"/>
        <w:rPr>
          <w:rStyle w:val="da"/>
          <w:rFonts w:asciiTheme="minorEastAsia" w:eastAsiaTheme="minorEastAsia" w:hAnsiTheme="minorEastAsia"/>
        </w:rPr>
      </w:pPr>
      <w:r w:rsidRPr="0087389D">
        <w:rPr>
          <w:rStyle w:val="da"/>
          <w:rFonts w:asciiTheme="minorEastAsia" w:eastAsiaTheme="minorEastAsia" w:hAnsiTheme="minorEastAsia" w:hint="eastAsia"/>
        </w:rPr>
        <w:t>3、对所管理的不同基金财产分别管理、分别记账，进行证券投资；</w:t>
      </w:r>
    </w:p>
    <w:p w:rsidR="002C66C4" w:rsidRPr="0087389D" w:rsidRDefault="002C66C4" w:rsidP="00555CE7">
      <w:pPr>
        <w:snapToGrid w:val="0"/>
        <w:spacing w:line="360" w:lineRule="auto"/>
        <w:ind w:firstLineChars="200" w:firstLine="420"/>
        <w:rPr>
          <w:rStyle w:val="da"/>
          <w:rFonts w:asciiTheme="minorEastAsia" w:eastAsiaTheme="minorEastAsia" w:hAnsiTheme="minorEastAsia"/>
        </w:rPr>
      </w:pPr>
      <w:r w:rsidRPr="0087389D">
        <w:rPr>
          <w:rStyle w:val="da"/>
          <w:rFonts w:asciiTheme="minorEastAsia" w:eastAsiaTheme="minorEastAsia" w:hAnsiTheme="minorEastAsia" w:hint="eastAsia"/>
        </w:rPr>
        <w:t>4、按照基金合同的约定确定基金收益分配方案，及时向基金份额持有人分配收益；</w:t>
      </w:r>
    </w:p>
    <w:p w:rsidR="002C66C4" w:rsidRPr="0087389D" w:rsidRDefault="002C66C4" w:rsidP="00555CE7">
      <w:pPr>
        <w:snapToGrid w:val="0"/>
        <w:spacing w:line="360" w:lineRule="auto"/>
        <w:ind w:firstLineChars="200" w:firstLine="420"/>
        <w:rPr>
          <w:rStyle w:val="da"/>
          <w:rFonts w:asciiTheme="minorEastAsia" w:eastAsiaTheme="minorEastAsia" w:hAnsiTheme="minorEastAsia"/>
        </w:rPr>
      </w:pPr>
      <w:r w:rsidRPr="0087389D">
        <w:rPr>
          <w:rStyle w:val="da"/>
          <w:rFonts w:asciiTheme="minorEastAsia" w:eastAsiaTheme="minorEastAsia" w:hAnsiTheme="minorEastAsia" w:hint="eastAsia"/>
        </w:rPr>
        <w:t>5、进行基金会计核算并编制基金财务会计报告；</w:t>
      </w:r>
    </w:p>
    <w:p w:rsidR="002C66C4" w:rsidRPr="0087389D" w:rsidRDefault="002C66C4" w:rsidP="00555CE7">
      <w:pPr>
        <w:snapToGrid w:val="0"/>
        <w:spacing w:line="360" w:lineRule="auto"/>
        <w:ind w:firstLineChars="200" w:firstLine="420"/>
        <w:rPr>
          <w:rStyle w:val="da"/>
          <w:rFonts w:asciiTheme="minorEastAsia" w:eastAsiaTheme="minorEastAsia" w:hAnsiTheme="minorEastAsia"/>
        </w:rPr>
      </w:pPr>
      <w:r w:rsidRPr="0087389D">
        <w:rPr>
          <w:rStyle w:val="da"/>
          <w:rFonts w:asciiTheme="minorEastAsia" w:eastAsiaTheme="minorEastAsia" w:hAnsiTheme="minorEastAsia" w:hint="eastAsia"/>
        </w:rPr>
        <w:t>6、编制季度</w:t>
      </w:r>
      <w:r w:rsidR="00BB04FF" w:rsidRPr="0087389D">
        <w:rPr>
          <w:rStyle w:val="da"/>
          <w:rFonts w:asciiTheme="minorEastAsia" w:eastAsiaTheme="minorEastAsia" w:hAnsiTheme="minorEastAsia" w:hint="eastAsia"/>
        </w:rPr>
        <w:t>报告</w:t>
      </w:r>
      <w:r w:rsidRPr="0087389D">
        <w:rPr>
          <w:rStyle w:val="da"/>
          <w:rFonts w:asciiTheme="minorEastAsia" w:eastAsiaTheme="minorEastAsia" w:hAnsiTheme="minorEastAsia" w:hint="eastAsia"/>
        </w:rPr>
        <w:t>、</w:t>
      </w:r>
      <w:r w:rsidR="00BB04FF" w:rsidRPr="0087389D">
        <w:rPr>
          <w:rStyle w:val="da"/>
          <w:rFonts w:asciiTheme="minorEastAsia" w:eastAsiaTheme="minorEastAsia" w:hAnsiTheme="minorEastAsia" w:hint="eastAsia"/>
        </w:rPr>
        <w:t>中期报告和</w:t>
      </w:r>
      <w:r w:rsidRPr="0087389D">
        <w:rPr>
          <w:rStyle w:val="da"/>
          <w:rFonts w:asciiTheme="minorEastAsia" w:eastAsiaTheme="minorEastAsia" w:hAnsiTheme="minorEastAsia" w:hint="eastAsia"/>
        </w:rPr>
        <w:t>年度报告；</w:t>
      </w:r>
    </w:p>
    <w:p w:rsidR="002C66C4" w:rsidRPr="0087389D" w:rsidRDefault="002C66C4" w:rsidP="00555CE7">
      <w:pPr>
        <w:snapToGrid w:val="0"/>
        <w:spacing w:line="360" w:lineRule="auto"/>
        <w:ind w:firstLineChars="200" w:firstLine="420"/>
        <w:rPr>
          <w:rStyle w:val="da"/>
          <w:rFonts w:asciiTheme="minorEastAsia" w:eastAsiaTheme="minorEastAsia" w:hAnsiTheme="minorEastAsia"/>
        </w:rPr>
      </w:pPr>
      <w:r w:rsidRPr="0087389D">
        <w:rPr>
          <w:rStyle w:val="da"/>
          <w:rFonts w:asciiTheme="minorEastAsia" w:eastAsiaTheme="minorEastAsia" w:hAnsiTheme="minorEastAsia" w:hint="eastAsia"/>
        </w:rPr>
        <w:t>7、计算并公告基金</w:t>
      </w:r>
      <w:r w:rsidRPr="0087389D">
        <w:rPr>
          <w:rFonts w:asciiTheme="minorEastAsia" w:eastAsiaTheme="minorEastAsia" w:hAnsiTheme="minorEastAsia" w:hint="eastAsia"/>
        </w:rPr>
        <w:t>每万份基金已实现收益和7日年化收益率</w:t>
      </w:r>
      <w:r w:rsidRPr="0087389D">
        <w:rPr>
          <w:rStyle w:val="da"/>
          <w:rFonts w:asciiTheme="minorEastAsia" w:eastAsiaTheme="minorEastAsia" w:hAnsiTheme="minorEastAsia" w:hint="eastAsia"/>
        </w:rPr>
        <w:t>；</w:t>
      </w:r>
    </w:p>
    <w:p w:rsidR="002C66C4" w:rsidRPr="0087389D" w:rsidRDefault="002C66C4" w:rsidP="00555CE7">
      <w:pPr>
        <w:snapToGrid w:val="0"/>
        <w:spacing w:line="360" w:lineRule="auto"/>
        <w:ind w:firstLineChars="200" w:firstLine="420"/>
        <w:rPr>
          <w:rStyle w:val="da"/>
          <w:rFonts w:asciiTheme="minorEastAsia" w:eastAsiaTheme="minorEastAsia" w:hAnsiTheme="minorEastAsia"/>
        </w:rPr>
      </w:pPr>
      <w:bookmarkStart w:id="16" w:name="_Toc332373453"/>
      <w:r w:rsidRPr="0087389D">
        <w:rPr>
          <w:rStyle w:val="da"/>
          <w:rFonts w:asciiTheme="minorEastAsia" w:eastAsiaTheme="minorEastAsia" w:hAnsiTheme="minorEastAsia" w:hint="eastAsia"/>
        </w:rPr>
        <w:t>8、办理与基金财产管理业务活动有关的信息披露事项；</w:t>
      </w:r>
      <w:bookmarkEnd w:id="16"/>
    </w:p>
    <w:p w:rsidR="002C66C4" w:rsidRPr="0087389D" w:rsidRDefault="002C66C4" w:rsidP="00555CE7">
      <w:pPr>
        <w:snapToGrid w:val="0"/>
        <w:spacing w:line="360" w:lineRule="auto"/>
        <w:ind w:firstLineChars="200" w:firstLine="420"/>
        <w:rPr>
          <w:rStyle w:val="da"/>
          <w:rFonts w:asciiTheme="minorEastAsia" w:eastAsiaTheme="minorEastAsia" w:hAnsiTheme="minorEastAsia"/>
        </w:rPr>
      </w:pPr>
      <w:r w:rsidRPr="0087389D">
        <w:rPr>
          <w:rStyle w:val="da"/>
          <w:rFonts w:asciiTheme="minorEastAsia" w:eastAsiaTheme="minorEastAsia" w:hAnsiTheme="minorEastAsia" w:hint="eastAsia"/>
        </w:rPr>
        <w:t>9、按照规定召集基金份额持有人大会；</w:t>
      </w:r>
    </w:p>
    <w:p w:rsidR="002C66C4" w:rsidRPr="0087389D" w:rsidRDefault="002C66C4" w:rsidP="00555CE7">
      <w:pPr>
        <w:snapToGrid w:val="0"/>
        <w:spacing w:line="360" w:lineRule="auto"/>
        <w:ind w:firstLineChars="200" w:firstLine="420"/>
        <w:rPr>
          <w:rStyle w:val="da"/>
          <w:rFonts w:asciiTheme="minorEastAsia" w:eastAsiaTheme="minorEastAsia" w:hAnsiTheme="minorEastAsia"/>
        </w:rPr>
      </w:pPr>
      <w:bookmarkStart w:id="17" w:name="_Toc332373454"/>
      <w:r w:rsidRPr="0087389D">
        <w:rPr>
          <w:rStyle w:val="da"/>
          <w:rFonts w:asciiTheme="minorEastAsia" w:eastAsiaTheme="minorEastAsia" w:hAnsiTheme="minorEastAsia" w:hint="eastAsia"/>
        </w:rPr>
        <w:t>10、保存基金财产管理业务活动的记录、账册、报表和其他相关资料；</w:t>
      </w:r>
      <w:bookmarkEnd w:id="17"/>
    </w:p>
    <w:p w:rsidR="002C66C4" w:rsidRPr="0087389D" w:rsidRDefault="002C66C4" w:rsidP="00555CE7">
      <w:pPr>
        <w:snapToGrid w:val="0"/>
        <w:spacing w:line="360" w:lineRule="auto"/>
        <w:ind w:firstLineChars="200" w:firstLine="420"/>
        <w:rPr>
          <w:rStyle w:val="da"/>
          <w:rFonts w:asciiTheme="minorEastAsia" w:eastAsiaTheme="minorEastAsia" w:hAnsiTheme="minorEastAsia"/>
        </w:rPr>
      </w:pPr>
      <w:r w:rsidRPr="0087389D">
        <w:rPr>
          <w:rStyle w:val="da"/>
          <w:rFonts w:asciiTheme="minorEastAsia" w:eastAsiaTheme="minorEastAsia" w:hAnsiTheme="minorEastAsia" w:hint="eastAsia"/>
        </w:rPr>
        <w:t>11、以基金管理人名义，代表基金份额持有人利益行使诉讼权利或者实施其他法律行为；</w:t>
      </w:r>
    </w:p>
    <w:p w:rsidR="00BA4B87" w:rsidRPr="0087389D" w:rsidRDefault="002C66C4" w:rsidP="00555CE7">
      <w:pPr>
        <w:snapToGrid w:val="0"/>
        <w:spacing w:line="360" w:lineRule="auto"/>
        <w:ind w:firstLine="420"/>
        <w:rPr>
          <w:rFonts w:asciiTheme="minorEastAsia" w:eastAsiaTheme="minorEastAsia" w:hAnsiTheme="minorEastAsia"/>
          <w:kern w:val="0"/>
        </w:rPr>
      </w:pPr>
      <w:r w:rsidRPr="0087389D">
        <w:rPr>
          <w:rStyle w:val="da"/>
          <w:rFonts w:asciiTheme="minorEastAsia" w:eastAsiaTheme="minorEastAsia" w:hAnsiTheme="minorEastAsia" w:hint="eastAsia"/>
        </w:rPr>
        <w:t>12、中国证监会规定的其他职责</w:t>
      </w:r>
      <w:r w:rsidR="00BA4B87" w:rsidRPr="0087389D">
        <w:rPr>
          <w:rFonts w:asciiTheme="minorEastAsia" w:eastAsiaTheme="minorEastAsia" w:hAnsiTheme="minorEastAsia"/>
          <w:kern w:val="0"/>
        </w:rPr>
        <w:t>。</w:t>
      </w:r>
    </w:p>
    <w:p w:rsidR="00BA4B87" w:rsidRPr="0087389D" w:rsidRDefault="00B329B1" w:rsidP="00555CE7">
      <w:pPr>
        <w:snapToGrid w:val="0"/>
        <w:spacing w:line="360" w:lineRule="auto"/>
        <w:ind w:firstLine="420"/>
        <w:rPr>
          <w:rFonts w:asciiTheme="minorEastAsia" w:eastAsiaTheme="minorEastAsia" w:hAnsiTheme="minorEastAsia"/>
          <w:kern w:val="0"/>
        </w:rPr>
      </w:pPr>
      <w:bookmarkStart w:id="18" w:name="_Toc327734795"/>
      <w:r w:rsidRPr="0087389D">
        <w:rPr>
          <w:rFonts w:asciiTheme="minorEastAsia" w:eastAsiaTheme="minorEastAsia" w:hAnsiTheme="minorEastAsia"/>
          <w:kern w:val="0"/>
        </w:rPr>
        <w:lastRenderedPageBreak/>
        <w:t>（</w:t>
      </w:r>
      <w:r w:rsidR="00BA4B87" w:rsidRPr="0087389D">
        <w:rPr>
          <w:rFonts w:asciiTheme="minorEastAsia" w:eastAsiaTheme="minorEastAsia" w:hAnsiTheme="minorEastAsia"/>
          <w:kern w:val="0"/>
        </w:rPr>
        <w:t>四</w:t>
      </w:r>
      <w:r w:rsidRPr="0087389D">
        <w:rPr>
          <w:rFonts w:asciiTheme="minorEastAsia" w:eastAsiaTheme="minorEastAsia" w:hAnsiTheme="minorEastAsia"/>
          <w:kern w:val="0"/>
        </w:rPr>
        <w:t>）</w:t>
      </w:r>
      <w:r w:rsidR="00BA4B87" w:rsidRPr="0087389D">
        <w:rPr>
          <w:rFonts w:asciiTheme="minorEastAsia" w:eastAsiaTheme="minorEastAsia" w:hAnsiTheme="minorEastAsia"/>
          <w:kern w:val="0"/>
        </w:rPr>
        <w:t>基金管理人的承诺</w:t>
      </w:r>
      <w:bookmarkEnd w:id="18"/>
    </w:p>
    <w:p w:rsidR="00BA4B87" w:rsidRPr="0087389D" w:rsidRDefault="00A70BE1" w:rsidP="00555CE7">
      <w:pPr>
        <w:snapToGrid w:val="0"/>
        <w:spacing w:line="360" w:lineRule="auto"/>
        <w:ind w:firstLine="420"/>
        <w:rPr>
          <w:rFonts w:asciiTheme="minorEastAsia" w:eastAsiaTheme="minorEastAsia" w:hAnsiTheme="minorEastAsia"/>
          <w:kern w:val="0"/>
        </w:rPr>
      </w:pPr>
      <w:r w:rsidRPr="0087389D">
        <w:rPr>
          <w:rFonts w:asciiTheme="minorEastAsia" w:eastAsiaTheme="minorEastAsia" w:hAnsiTheme="minorEastAsia"/>
          <w:kern w:val="0"/>
        </w:rPr>
        <w:t>1、</w:t>
      </w:r>
      <w:r w:rsidR="00BA4B87" w:rsidRPr="0087389D">
        <w:rPr>
          <w:rFonts w:asciiTheme="minorEastAsia" w:eastAsiaTheme="minorEastAsia" w:hAnsiTheme="minorEastAsia"/>
          <w:kern w:val="0"/>
        </w:rPr>
        <w:t>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BA4B87" w:rsidRPr="0087389D" w:rsidRDefault="00A70BE1" w:rsidP="00555CE7">
      <w:pPr>
        <w:snapToGrid w:val="0"/>
        <w:spacing w:line="360" w:lineRule="auto"/>
        <w:ind w:firstLine="420"/>
        <w:rPr>
          <w:rFonts w:asciiTheme="minorEastAsia" w:eastAsiaTheme="minorEastAsia" w:hAnsiTheme="minorEastAsia"/>
        </w:rPr>
      </w:pPr>
      <w:r w:rsidRPr="0087389D">
        <w:rPr>
          <w:rFonts w:asciiTheme="minorEastAsia" w:eastAsiaTheme="minorEastAsia" w:hAnsiTheme="minorEastAsia"/>
          <w:kern w:val="0"/>
        </w:rPr>
        <w:t>2、</w:t>
      </w:r>
      <w:r w:rsidR="00BA4B87" w:rsidRPr="0087389D">
        <w:rPr>
          <w:rFonts w:asciiTheme="minorEastAsia" w:eastAsiaTheme="minorEastAsia" w:hAnsiTheme="minorEastAsia"/>
          <w:kern w:val="0"/>
        </w:rPr>
        <w:t>本基金管理人承诺严格遵</w:t>
      </w:r>
      <w:r w:rsidR="00BA4B87" w:rsidRPr="0087389D">
        <w:rPr>
          <w:rFonts w:asciiTheme="minorEastAsia" w:eastAsiaTheme="minorEastAsia" w:hAnsiTheme="minorEastAsia"/>
        </w:rPr>
        <w:t>守《证券法》、《基金法》及有关法律法规，建立健全内部控制制度，采取有效措施，防止下列行为发生：</w:t>
      </w:r>
    </w:p>
    <w:p w:rsidR="002C66C4" w:rsidRPr="0087389D" w:rsidRDefault="00B329B1" w:rsidP="00555CE7">
      <w:pPr>
        <w:snapToGrid w:val="0"/>
        <w:spacing w:line="360" w:lineRule="auto"/>
        <w:ind w:firstLine="420"/>
        <w:rPr>
          <w:rFonts w:asciiTheme="minorEastAsia" w:eastAsiaTheme="minorEastAsia" w:hAnsiTheme="minorEastAsia"/>
        </w:rPr>
      </w:pPr>
      <w:bookmarkStart w:id="19" w:name="_Toc319688264"/>
      <w:bookmarkStart w:id="20" w:name="_Toc319693387"/>
      <w:bookmarkStart w:id="21" w:name="_Toc327734796"/>
      <w:r w:rsidRPr="0087389D">
        <w:rPr>
          <w:rFonts w:asciiTheme="minorEastAsia" w:eastAsiaTheme="minorEastAsia" w:hAnsiTheme="minorEastAsia"/>
        </w:rPr>
        <w:t>（</w:t>
      </w:r>
      <w:r w:rsidR="002C66C4" w:rsidRPr="0087389D">
        <w:rPr>
          <w:rFonts w:asciiTheme="minorEastAsia" w:eastAsiaTheme="minorEastAsia" w:hAnsiTheme="minorEastAsia"/>
        </w:rPr>
        <w:t>1</w:t>
      </w:r>
      <w:r w:rsidRPr="0087389D">
        <w:rPr>
          <w:rFonts w:asciiTheme="minorEastAsia" w:eastAsiaTheme="minorEastAsia" w:hAnsiTheme="minorEastAsia"/>
        </w:rPr>
        <w:t>）</w:t>
      </w:r>
      <w:r w:rsidR="002C66C4" w:rsidRPr="0087389D">
        <w:rPr>
          <w:rFonts w:asciiTheme="minorEastAsia" w:eastAsiaTheme="minorEastAsia" w:hAnsiTheme="minorEastAsia"/>
        </w:rPr>
        <w:t>将其固有财产或者他人财产混同于基金财产从事证券投资；</w:t>
      </w:r>
    </w:p>
    <w:p w:rsidR="002C66C4" w:rsidRPr="0087389D" w:rsidRDefault="00B329B1" w:rsidP="00555CE7">
      <w:pPr>
        <w:snapToGrid w:val="0"/>
        <w:spacing w:line="360" w:lineRule="auto"/>
        <w:ind w:firstLine="420"/>
        <w:rPr>
          <w:rFonts w:asciiTheme="minorEastAsia" w:eastAsiaTheme="minorEastAsia" w:hAnsiTheme="minorEastAsia"/>
        </w:rPr>
      </w:pPr>
      <w:r w:rsidRPr="0087389D">
        <w:rPr>
          <w:rFonts w:asciiTheme="minorEastAsia" w:eastAsiaTheme="minorEastAsia" w:hAnsiTheme="minorEastAsia"/>
        </w:rPr>
        <w:t>（</w:t>
      </w:r>
      <w:r w:rsidR="002C66C4" w:rsidRPr="0087389D">
        <w:rPr>
          <w:rFonts w:asciiTheme="minorEastAsia" w:eastAsiaTheme="minorEastAsia" w:hAnsiTheme="minorEastAsia"/>
        </w:rPr>
        <w:t>2</w:t>
      </w:r>
      <w:r w:rsidRPr="0087389D">
        <w:rPr>
          <w:rFonts w:asciiTheme="minorEastAsia" w:eastAsiaTheme="minorEastAsia" w:hAnsiTheme="minorEastAsia"/>
        </w:rPr>
        <w:t>）</w:t>
      </w:r>
      <w:r w:rsidR="002C66C4" w:rsidRPr="0087389D">
        <w:rPr>
          <w:rFonts w:asciiTheme="minorEastAsia" w:eastAsiaTheme="minorEastAsia" w:hAnsiTheme="minorEastAsia"/>
        </w:rPr>
        <w:t>不公平地对待其管理的不同基金财产；</w:t>
      </w:r>
    </w:p>
    <w:p w:rsidR="002C66C4" w:rsidRPr="0087389D" w:rsidRDefault="00B329B1" w:rsidP="00555CE7">
      <w:pPr>
        <w:snapToGrid w:val="0"/>
        <w:spacing w:line="360" w:lineRule="auto"/>
        <w:ind w:firstLine="420"/>
        <w:rPr>
          <w:rFonts w:asciiTheme="minorEastAsia" w:eastAsiaTheme="minorEastAsia" w:hAnsiTheme="minorEastAsia"/>
        </w:rPr>
      </w:pPr>
      <w:r w:rsidRPr="0087389D">
        <w:rPr>
          <w:rFonts w:asciiTheme="minorEastAsia" w:eastAsiaTheme="minorEastAsia" w:hAnsiTheme="minorEastAsia"/>
        </w:rPr>
        <w:t>（</w:t>
      </w:r>
      <w:r w:rsidR="002C66C4" w:rsidRPr="0087389D">
        <w:rPr>
          <w:rFonts w:asciiTheme="minorEastAsia" w:eastAsiaTheme="minorEastAsia" w:hAnsiTheme="minorEastAsia"/>
        </w:rPr>
        <w:t>3</w:t>
      </w:r>
      <w:r w:rsidRPr="0087389D">
        <w:rPr>
          <w:rFonts w:asciiTheme="minorEastAsia" w:eastAsiaTheme="minorEastAsia" w:hAnsiTheme="minorEastAsia"/>
        </w:rPr>
        <w:t>）</w:t>
      </w:r>
      <w:r w:rsidR="002C66C4" w:rsidRPr="0087389D">
        <w:rPr>
          <w:rFonts w:asciiTheme="minorEastAsia" w:eastAsiaTheme="minorEastAsia" w:hAnsiTheme="minorEastAsia"/>
        </w:rPr>
        <w:t>利用基金财产</w:t>
      </w:r>
      <w:r w:rsidR="002C66C4" w:rsidRPr="0087389D">
        <w:rPr>
          <w:rFonts w:asciiTheme="minorEastAsia" w:eastAsiaTheme="minorEastAsia" w:hAnsiTheme="minorEastAsia" w:hint="eastAsia"/>
        </w:rPr>
        <w:t>或者职务之便</w:t>
      </w:r>
      <w:r w:rsidR="002C66C4" w:rsidRPr="0087389D">
        <w:rPr>
          <w:rFonts w:asciiTheme="minorEastAsia" w:eastAsiaTheme="minorEastAsia" w:hAnsiTheme="minorEastAsia"/>
        </w:rPr>
        <w:t>为基金份额持有人以外的人</w:t>
      </w:r>
      <w:r w:rsidR="00C2270D" w:rsidRPr="0087389D">
        <w:rPr>
          <w:rFonts w:asciiTheme="minorEastAsia" w:eastAsiaTheme="minorEastAsia" w:hAnsiTheme="minorEastAsia" w:hint="eastAsia"/>
        </w:rPr>
        <w:t>牟</w:t>
      </w:r>
      <w:r w:rsidR="002C66C4" w:rsidRPr="0087389D">
        <w:rPr>
          <w:rFonts w:asciiTheme="minorEastAsia" w:eastAsiaTheme="minorEastAsia" w:hAnsiTheme="minorEastAsia"/>
        </w:rPr>
        <w:t>取利益；</w:t>
      </w:r>
    </w:p>
    <w:p w:rsidR="002C66C4" w:rsidRPr="0087389D" w:rsidRDefault="00B329B1" w:rsidP="00555CE7">
      <w:pPr>
        <w:snapToGrid w:val="0"/>
        <w:spacing w:line="360" w:lineRule="auto"/>
        <w:ind w:firstLine="420"/>
        <w:rPr>
          <w:rFonts w:asciiTheme="minorEastAsia" w:eastAsiaTheme="minorEastAsia" w:hAnsiTheme="minorEastAsia"/>
        </w:rPr>
      </w:pPr>
      <w:r w:rsidRPr="0087389D">
        <w:rPr>
          <w:rFonts w:asciiTheme="minorEastAsia" w:eastAsiaTheme="minorEastAsia" w:hAnsiTheme="minorEastAsia"/>
        </w:rPr>
        <w:t>（</w:t>
      </w:r>
      <w:r w:rsidR="002C66C4" w:rsidRPr="0087389D">
        <w:rPr>
          <w:rFonts w:asciiTheme="minorEastAsia" w:eastAsiaTheme="minorEastAsia" w:hAnsiTheme="minorEastAsia"/>
        </w:rPr>
        <w:t>4</w:t>
      </w:r>
      <w:r w:rsidRPr="0087389D">
        <w:rPr>
          <w:rFonts w:asciiTheme="minorEastAsia" w:eastAsiaTheme="minorEastAsia" w:hAnsiTheme="minorEastAsia"/>
        </w:rPr>
        <w:t>）</w:t>
      </w:r>
      <w:r w:rsidR="002C66C4" w:rsidRPr="0087389D">
        <w:rPr>
          <w:rFonts w:asciiTheme="minorEastAsia" w:eastAsiaTheme="minorEastAsia" w:hAnsiTheme="minorEastAsia"/>
        </w:rPr>
        <w:t>向基金份额持有人违规承诺收益或者承担损失；</w:t>
      </w:r>
    </w:p>
    <w:p w:rsidR="002C66C4" w:rsidRPr="0087389D" w:rsidRDefault="00B329B1" w:rsidP="00555CE7">
      <w:pPr>
        <w:snapToGrid w:val="0"/>
        <w:spacing w:line="360" w:lineRule="auto"/>
        <w:ind w:firstLine="420"/>
        <w:rPr>
          <w:rFonts w:asciiTheme="minorEastAsia" w:eastAsiaTheme="minorEastAsia" w:hAnsiTheme="minorEastAsia"/>
        </w:rPr>
      </w:pPr>
      <w:r w:rsidRPr="0087389D">
        <w:rPr>
          <w:rFonts w:asciiTheme="minorEastAsia" w:eastAsiaTheme="minorEastAsia" w:hAnsiTheme="minorEastAsia" w:hint="eastAsia"/>
        </w:rPr>
        <w:t>（</w:t>
      </w:r>
      <w:r w:rsidR="002C66C4" w:rsidRPr="0087389D">
        <w:rPr>
          <w:rFonts w:asciiTheme="minorEastAsia" w:eastAsiaTheme="minorEastAsia" w:hAnsiTheme="minorEastAsia" w:hint="eastAsia"/>
        </w:rPr>
        <w:t>5</w:t>
      </w:r>
      <w:r w:rsidRPr="0087389D">
        <w:rPr>
          <w:rFonts w:asciiTheme="minorEastAsia" w:eastAsiaTheme="minorEastAsia" w:hAnsiTheme="minorEastAsia" w:hint="eastAsia"/>
        </w:rPr>
        <w:t>）</w:t>
      </w:r>
      <w:r w:rsidR="002C66C4" w:rsidRPr="0087389D">
        <w:rPr>
          <w:rFonts w:asciiTheme="minorEastAsia" w:eastAsiaTheme="minorEastAsia" w:hAnsiTheme="minorEastAsia" w:hint="eastAsia"/>
        </w:rPr>
        <w:t>侵占、挪用基金财产；</w:t>
      </w:r>
    </w:p>
    <w:p w:rsidR="002C66C4" w:rsidRPr="0087389D" w:rsidRDefault="00B329B1" w:rsidP="00555CE7">
      <w:pPr>
        <w:snapToGrid w:val="0"/>
        <w:spacing w:line="360" w:lineRule="auto"/>
        <w:ind w:firstLine="420"/>
        <w:rPr>
          <w:rFonts w:asciiTheme="minorEastAsia" w:eastAsiaTheme="minorEastAsia" w:hAnsiTheme="minorEastAsia"/>
        </w:rPr>
      </w:pPr>
      <w:r w:rsidRPr="0087389D">
        <w:rPr>
          <w:rFonts w:asciiTheme="minorEastAsia" w:eastAsiaTheme="minorEastAsia" w:hAnsiTheme="minorEastAsia" w:hint="eastAsia"/>
        </w:rPr>
        <w:t>（</w:t>
      </w:r>
      <w:r w:rsidR="002C66C4" w:rsidRPr="0087389D">
        <w:rPr>
          <w:rFonts w:asciiTheme="minorEastAsia" w:eastAsiaTheme="minorEastAsia" w:hAnsiTheme="minorEastAsia" w:hint="eastAsia"/>
        </w:rPr>
        <w:t>6</w:t>
      </w:r>
      <w:r w:rsidRPr="0087389D">
        <w:rPr>
          <w:rFonts w:asciiTheme="minorEastAsia" w:eastAsiaTheme="minorEastAsia" w:hAnsiTheme="minorEastAsia" w:hint="eastAsia"/>
        </w:rPr>
        <w:t>）</w:t>
      </w:r>
      <w:r w:rsidR="002C66C4" w:rsidRPr="0087389D">
        <w:rPr>
          <w:rFonts w:asciiTheme="minorEastAsia" w:eastAsiaTheme="minorEastAsia" w:hAnsiTheme="minorEastAsia" w:hint="eastAsia"/>
        </w:rPr>
        <w:t>泄漏因职务便利获取的未公开信息、利用该信息从事或者明示、暗示他人从事相关的交易活动；</w:t>
      </w:r>
    </w:p>
    <w:p w:rsidR="002C66C4" w:rsidRPr="0087389D" w:rsidRDefault="00B329B1" w:rsidP="00555CE7">
      <w:pPr>
        <w:snapToGrid w:val="0"/>
        <w:spacing w:line="360" w:lineRule="auto"/>
        <w:ind w:firstLine="420"/>
        <w:rPr>
          <w:rFonts w:asciiTheme="minorEastAsia" w:eastAsiaTheme="minorEastAsia" w:hAnsiTheme="minorEastAsia"/>
        </w:rPr>
      </w:pPr>
      <w:r w:rsidRPr="0087389D">
        <w:rPr>
          <w:rFonts w:asciiTheme="minorEastAsia" w:eastAsiaTheme="minorEastAsia" w:hAnsiTheme="minorEastAsia" w:hint="eastAsia"/>
        </w:rPr>
        <w:t>（</w:t>
      </w:r>
      <w:r w:rsidR="002C66C4" w:rsidRPr="0087389D">
        <w:rPr>
          <w:rFonts w:asciiTheme="minorEastAsia" w:eastAsiaTheme="minorEastAsia" w:hAnsiTheme="minorEastAsia" w:hint="eastAsia"/>
        </w:rPr>
        <w:t>7</w:t>
      </w:r>
      <w:r w:rsidRPr="0087389D">
        <w:rPr>
          <w:rFonts w:asciiTheme="minorEastAsia" w:eastAsiaTheme="minorEastAsia" w:hAnsiTheme="minorEastAsia" w:hint="eastAsia"/>
        </w:rPr>
        <w:t>）</w:t>
      </w:r>
      <w:r w:rsidR="002C66C4" w:rsidRPr="0087389D">
        <w:rPr>
          <w:rFonts w:asciiTheme="minorEastAsia" w:eastAsiaTheme="minorEastAsia" w:hAnsiTheme="minorEastAsia" w:hint="eastAsia"/>
        </w:rPr>
        <w:t>玩忽职守，不按照规定履行职责；</w:t>
      </w:r>
    </w:p>
    <w:p w:rsidR="00BA4B87" w:rsidRPr="0087389D" w:rsidRDefault="00B329B1" w:rsidP="00555CE7">
      <w:pPr>
        <w:snapToGrid w:val="0"/>
        <w:spacing w:line="360" w:lineRule="auto"/>
        <w:ind w:firstLine="420"/>
        <w:rPr>
          <w:rFonts w:asciiTheme="minorEastAsia" w:eastAsiaTheme="minorEastAsia" w:hAnsiTheme="minorEastAsia"/>
        </w:rPr>
      </w:pPr>
      <w:r w:rsidRPr="0087389D">
        <w:rPr>
          <w:rFonts w:asciiTheme="minorEastAsia" w:eastAsiaTheme="minorEastAsia" w:hAnsiTheme="minorEastAsia"/>
        </w:rPr>
        <w:t>（</w:t>
      </w:r>
      <w:r w:rsidR="002C66C4" w:rsidRPr="0087389D">
        <w:rPr>
          <w:rFonts w:asciiTheme="minorEastAsia" w:eastAsiaTheme="minorEastAsia" w:hAnsiTheme="minorEastAsia" w:hint="eastAsia"/>
        </w:rPr>
        <w:t>8</w:t>
      </w:r>
      <w:r w:rsidRPr="0087389D">
        <w:rPr>
          <w:rFonts w:asciiTheme="minorEastAsia" w:eastAsiaTheme="minorEastAsia" w:hAnsiTheme="minorEastAsia"/>
        </w:rPr>
        <w:t>）</w:t>
      </w:r>
      <w:r w:rsidR="002C66C4" w:rsidRPr="0087389D">
        <w:rPr>
          <w:rFonts w:asciiTheme="minorEastAsia" w:eastAsiaTheme="minorEastAsia" w:hAnsiTheme="minorEastAsia"/>
        </w:rPr>
        <w:t>法律</w:t>
      </w:r>
      <w:r w:rsidR="002C66C4" w:rsidRPr="0087389D">
        <w:rPr>
          <w:rFonts w:asciiTheme="minorEastAsia" w:eastAsiaTheme="minorEastAsia" w:hAnsiTheme="minorEastAsia" w:hint="eastAsia"/>
        </w:rPr>
        <w:t>、行政</w:t>
      </w:r>
      <w:r w:rsidR="002C66C4" w:rsidRPr="0087389D">
        <w:rPr>
          <w:rFonts w:asciiTheme="minorEastAsia" w:eastAsiaTheme="minorEastAsia" w:hAnsiTheme="minorEastAsia"/>
        </w:rPr>
        <w:t>法规</w:t>
      </w:r>
      <w:r w:rsidR="002C66C4" w:rsidRPr="0087389D">
        <w:rPr>
          <w:rFonts w:asciiTheme="minorEastAsia" w:eastAsiaTheme="minorEastAsia" w:hAnsiTheme="minorEastAsia" w:hint="eastAsia"/>
        </w:rPr>
        <w:t>和</w:t>
      </w:r>
      <w:r w:rsidR="002C66C4" w:rsidRPr="0087389D">
        <w:rPr>
          <w:rFonts w:asciiTheme="minorEastAsia" w:eastAsiaTheme="minorEastAsia" w:hAnsiTheme="minorEastAsia"/>
        </w:rPr>
        <w:t>中国证监会禁止的其他行为。</w:t>
      </w:r>
      <w:bookmarkEnd w:id="19"/>
      <w:bookmarkEnd w:id="20"/>
      <w:bookmarkEnd w:id="21"/>
    </w:p>
    <w:p w:rsidR="00BA4B87" w:rsidRPr="0087389D" w:rsidRDefault="00A70BE1" w:rsidP="00555CE7">
      <w:pPr>
        <w:snapToGrid w:val="0"/>
        <w:spacing w:line="360" w:lineRule="auto"/>
        <w:ind w:firstLine="420"/>
        <w:rPr>
          <w:rFonts w:asciiTheme="minorEastAsia" w:eastAsiaTheme="minorEastAsia" w:hAnsiTheme="minorEastAsia"/>
        </w:rPr>
      </w:pPr>
      <w:r w:rsidRPr="0087389D">
        <w:rPr>
          <w:rFonts w:asciiTheme="minorEastAsia" w:eastAsiaTheme="minorEastAsia" w:hAnsiTheme="minorEastAsia"/>
        </w:rPr>
        <w:t>3、</w:t>
      </w:r>
      <w:r w:rsidR="00BA4B87" w:rsidRPr="0087389D">
        <w:rPr>
          <w:rFonts w:asciiTheme="minorEastAsia" w:eastAsiaTheme="minorEastAsia" w:hAnsiTheme="minorEastAsia"/>
        </w:rPr>
        <w:t>本基金管理人承诺加强人员管理，强化职业操守，督促和约束员工遵守国家有关法律、法规及行业规范，诚实信用、勤勉尽责，不从事以下活动：</w:t>
      </w:r>
    </w:p>
    <w:p w:rsidR="00BA4B87" w:rsidRPr="0087389D" w:rsidRDefault="00B329B1" w:rsidP="00555CE7">
      <w:pPr>
        <w:snapToGrid w:val="0"/>
        <w:spacing w:line="360" w:lineRule="auto"/>
        <w:ind w:firstLine="420"/>
        <w:rPr>
          <w:rFonts w:asciiTheme="minorEastAsia" w:eastAsiaTheme="minorEastAsia" w:hAnsiTheme="minorEastAsia"/>
        </w:rPr>
      </w:pPr>
      <w:r w:rsidRPr="0087389D">
        <w:rPr>
          <w:rFonts w:asciiTheme="minorEastAsia" w:eastAsiaTheme="minorEastAsia" w:hAnsiTheme="minorEastAsia"/>
        </w:rPr>
        <w:t>（</w:t>
      </w:r>
      <w:r w:rsidR="00A2578B" w:rsidRPr="0087389D">
        <w:rPr>
          <w:rFonts w:asciiTheme="minorEastAsia" w:eastAsiaTheme="minorEastAsia" w:hAnsiTheme="minorEastAsia"/>
        </w:rPr>
        <w:t>1</w:t>
      </w:r>
      <w:r w:rsidRPr="0087389D">
        <w:rPr>
          <w:rFonts w:asciiTheme="minorEastAsia" w:eastAsiaTheme="minorEastAsia" w:hAnsiTheme="minorEastAsia"/>
        </w:rPr>
        <w:t>）</w:t>
      </w:r>
      <w:r w:rsidR="00BA4B87" w:rsidRPr="0087389D">
        <w:rPr>
          <w:rFonts w:asciiTheme="minorEastAsia" w:eastAsiaTheme="minorEastAsia" w:hAnsiTheme="minorEastAsia"/>
        </w:rPr>
        <w:t>越权或违规经营；</w:t>
      </w:r>
    </w:p>
    <w:p w:rsidR="00BA4B87" w:rsidRPr="0087389D" w:rsidRDefault="00B329B1" w:rsidP="00555CE7">
      <w:pPr>
        <w:snapToGrid w:val="0"/>
        <w:spacing w:line="360" w:lineRule="auto"/>
        <w:ind w:firstLine="420"/>
        <w:rPr>
          <w:rFonts w:asciiTheme="minorEastAsia" w:eastAsiaTheme="minorEastAsia" w:hAnsiTheme="minorEastAsia"/>
        </w:rPr>
      </w:pPr>
      <w:r w:rsidRPr="0087389D">
        <w:rPr>
          <w:rFonts w:asciiTheme="minorEastAsia" w:eastAsiaTheme="minorEastAsia" w:hAnsiTheme="minorEastAsia"/>
        </w:rPr>
        <w:t>（</w:t>
      </w:r>
      <w:r w:rsidR="00A2578B" w:rsidRPr="0087389D">
        <w:rPr>
          <w:rFonts w:asciiTheme="minorEastAsia" w:eastAsiaTheme="minorEastAsia" w:hAnsiTheme="minorEastAsia"/>
        </w:rPr>
        <w:t>2</w:t>
      </w:r>
      <w:r w:rsidRPr="0087389D">
        <w:rPr>
          <w:rFonts w:asciiTheme="minorEastAsia" w:eastAsiaTheme="minorEastAsia" w:hAnsiTheme="minorEastAsia"/>
        </w:rPr>
        <w:t>）</w:t>
      </w:r>
      <w:r w:rsidR="00BA4B87" w:rsidRPr="0087389D">
        <w:rPr>
          <w:rFonts w:asciiTheme="minorEastAsia" w:eastAsiaTheme="minorEastAsia" w:hAnsiTheme="minorEastAsia"/>
        </w:rPr>
        <w:t>违反基金合同或托管协议；</w:t>
      </w:r>
    </w:p>
    <w:p w:rsidR="00BA4B87" w:rsidRPr="0087389D" w:rsidRDefault="00B329B1" w:rsidP="00555CE7">
      <w:pPr>
        <w:snapToGrid w:val="0"/>
        <w:spacing w:line="360" w:lineRule="auto"/>
        <w:ind w:firstLine="420"/>
        <w:rPr>
          <w:rFonts w:asciiTheme="minorEastAsia" w:eastAsiaTheme="minorEastAsia" w:hAnsiTheme="minorEastAsia"/>
        </w:rPr>
      </w:pPr>
      <w:r w:rsidRPr="0087389D">
        <w:rPr>
          <w:rFonts w:asciiTheme="minorEastAsia" w:eastAsiaTheme="minorEastAsia" w:hAnsiTheme="minorEastAsia"/>
        </w:rPr>
        <w:t>（</w:t>
      </w:r>
      <w:r w:rsidR="00A2578B" w:rsidRPr="0087389D">
        <w:rPr>
          <w:rFonts w:asciiTheme="minorEastAsia" w:eastAsiaTheme="minorEastAsia" w:hAnsiTheme="minorEastAsia"/>
        </w:rPr>
        <w:t>3</w:t>
      </w:r>
      <w:r w:rsidRPr="0087389D">
        <w:rPr>
          <w:rFonts w:asciiTheme="minorEastAsia" w:eastAsiaTheme="minorEastAsia" w:hAnsiTheme="minorEastAsia"/>
        </w:rPr>
        <w:t>）</w:t>
      </w:r>
      <w:r w:rsidR="00BA4B87" w:rsidRPr="0087389D">
        <w:rPr>
          <w:rFonts w:asciiTheme="minorEastAsia" w:eastAsiaTheme="minorEastAsia" w:hAnsiTheme="minorEastAsia"/>
        </w:rPr>
        <w:t>故意损害基金份额持有人或其他基金相关机构的合法利益；</w:t>
      </w:r>
    </w:p>
    <w:p w:rsidR="00BA4B87" w:rsidRPr="0087389D" w:rsidRDefault="00B329B1" w:rsidP="00555CE7">
      <w:pPr>
        <w:snapToGrid w:val="0"/>
        <w:spacing w:line="360" w:lineRule="auto"/>
        <w:ind w:firstLine="420"/>
        <w:rPr>
          <w:rFonts w:asciiTheme="minorEastAsia" w:eastAsiaTheme="minorEastAsia" w:hAnsiTheme="minorEastAsia"/>
        </w:rPr>
      </w:pPr>
      <w:bookmarkStart w:id="22" w:name="_Toc319688266"/>
      <w:bookmarkStart w:id="23" w:name="_Toc319693389"/>
      <w:bookmarkStart w:id="24" w:name="_Toc327734798"/>
      <w:r w:rsidRPr="0087389D">
        <w:rPr>
          <w:rFonts w:asciiTheme="minorEastAsia" w:eastAsiaTheme="minorEastAsia" w:hAnsiTheme="minorEastAsia"/>
        </w:rPr>
        <w:t>（</w:t>
      </w:r>
      <w:r w:rsidR="00A2578B" w:rsidRPr="0087389D">
        <w:rPr>
          <w:rFonts w:asciiTheme="minorEastAsia" w:eastAsiaTheme="minorEastAsia" w:hAnsiTheme="minorEastAsia"/>
        </w:rPr>
        <w:t>4</w:t>
      </w:r>
      <w:r w:rsidRPr="0087389D">
        <w:rPr>
          <w:rFonts w:asciiTheme="minorEastAsia" w:eastAsiaTheme="minorEastAsia" w:hAnsiTheme="minorEastAsia"/>
        </w:rPr>
        <w:t>）</w:t>
      </w:r>
      <w:r w:rsidR="00BA4B87" w:rsidRPr="0087389D">
        <w:rPr>
          <w:rFonts w:asciiTheme="minorEastAsia" w:eastAsiaTheme="minorEastAsia" w:hAnsiTheme="minorEastAsia"/>
        </w:rPr>
        <w:t>在向中国证监会报送的资料中弄虚作假；</w:t>
      </w:r>
      <w:bookmarkEnd w:id="22"/>
      <w:bookmarkEnd w:id="23"/>
      <w:bookmarkEnd w:id="24"/>
    </w:p>
    <w:p w:rsidR="00BA4B87" w:rsidRPr="0087389D" w:rsidRDefault="00B329B1" w:rsidP="00555CE7">
      <w:pPr>
        <w:snapToGrid w:val="0"/>
        <w:spacing w:line="360" w:lineRule="auto"/>
        <w:ind w:firstLine="420"/>
        <w:rPr>
          <w:rFonts w:asciiTheme="minorEastAsia" w:eastAsiaTheme="minorEastAsia" w:hAnsiTheme="minorEastAsia"/>
        </w:rPr>
      </w:pPr>
      <w:r w:rsidRPr="0087389D">
        <w:rPr>
          <w:rFonts w:asciiTheme="minorEastAsia" w:eastAsiaTheme="minorEastAsia" w:hAnsiTheme="minorEastAsia"/>
        </w:rPr>
        <w:t>（</w:t>
      </w:r>
      <w:r w:rsidR="00A2578B" w:rsidRPr="0087389D">
        <w:rPr>
          <w:rFonts w:asciiTheme="minorEastAsia" w:eastAsiaTheme="minorEastAsia" w:hAnsiTheme="minorEastAsia"/>
        </w:rPr>
        <w:t>5</w:t>
      </w:r>
      <w:r w:rsidRPr="0087389D">
        <w:rPr>
          <w:rFonts w:asciiTheme="minorEastAsia" w:eastAsiaTheme="minorEastAsia" w:hAnsiTheme="minorEastAsia"/>
        </w:rPr>
        <w:t>）</w:t>
      </w:r>
      <w:r w:rsidR="00BA4B87" w:rsidRPr="0087389D">
        <w:rPr>
          <w:rFonts w:asciiTheme="minorEastAsia" w:eastAsiaTheme="minorEastAsia" w:hAnsiTheme="minorEastAsia"/>
        </w:rPr>
        <w:t>拒绝、干扰、阻挠或严重影响中国证监会依法监管；</w:t>
      </w:r>
    </w:p>
    <w:p w:rsidR="00BA4B87" w:rsidRPr="0087389D" w:rsidRDefault="00B329B1" w:rsidP="00555CE7">
      <w:pPr>
        <w:snapToGrid w:val="0"/>
        <w:spacing w:line="360" w:lineRule="auto"/>
        <w:ind w:firstLine="420"/>
        <w:rPr>
          <w:rFonts w:asciiTheme="minorEastAsia" w:eastAsiaTheme="minorEastAsia" w:hAnsiTheme="minorEastAsia"/>
        </w:rPr>
      </w:pPr>
      <w:bookmarkStart w:id="25" w:name="_Toc319688267"/>
      <w:bookmarkStart w:id="26" w:name="_Toc319693390"/>
      <w:bookmarkStart w:id="27" w:name="_Toc327734799"/>
      <w:r w:rsidRPr="0087389D">
        <w:rPr>
          <w:rFonts w:asciiTheme="minorEastAsia" w:eastAsiaTheme="minorEastAsia" w:hAnsiTheme="minorEastAsia"/>
        </w:rPr>
        <w:t>（</w:t>
      </w:r>
      <w:r w:rsidR="00A2578B" w:rsidRPr="0087389D">
        <w:rPr>
          <w:rFonts w:asciiTheme="minorEastAsia" w:eastAsiaTheme="minorEastAsia" w:hAnsiTheme="minorEastAsia"/>
        </w:rPr>
        <w:t>6</w:t>
      </w:r>
      <w:r w:rsidRPr="0087389D">
        <w:rPr>
          <w:rFonts w:asciiTheme="minorEastAsia" w:eastAsiaTheme="minorEastAsia" w:hAnsiTheme="minorEastAsia"/>
        </w:rPr>
        <w:t>）</w:t>
      </w:r>
      <w:r w:rsidR="00BA4B87" w:rsidRPr="0087389D">
        <w:rPr>
          <w:rFonts w:asciiTheme="minorEastAsia" w:eastAsiaTheme="minorEastAsia" w:hAnsiTheme="minorEastAsia"/>
        </w:rPr>
        <w:t>玩忽职守、滥用职权；</w:t>
      </w:r>
      <w:bookmarkEnd w:id="25"/>
      <w:bookmarkEnd w:id="26"/>
      <w:bookmarkEnd w:id="27"/>
    </w:p>
    <w:p w:rsidR="00BA4B87" w:rsidRPr="0087389D" w:rsidRDefault="00B329B1" w:rsidP="00555CE7">
      <w:pPr>
        <w:snapToGrid w:val="0"/>
        <w:spacing w:line="360" w:lineRule="auto"/>
        <w:ind w:firstLine="420"/>
        <w:rPr>
          <w:rFonts w:asciiTheme="minorEastAsia" w:eastAsiaTheme="minorEastAsia" w:hAnsiTheme="minorEastAsia"/>
        </w:rPr>
      </w:pPr>
      <w:r w:rsidRPr="0087389D">
        <w:rPr>
          <w:rFonts w:asciiTheme="minorEastAsia" w:eastAsiaTheme="minorEastAsia" w:hAnsiTheme="minorEastAsia"/>
        </w:rPr>
        <w:t>（</w:t>
      </w:r>
      <w:r w:rsidR="00A2578B" w:rsidRPr="0087389D">
        <w:rPr>
          <w:rFonts w:asciiTheme="minorEastAsia" w:eastAsiaTheme="minorEastAsia" w:hAnsiTheme="minorEastAsia"/>
        </w:rPr>
        <w:t>7</w:t>
      </w:r>
      <w:r w:rsidRPr="0087389D">
        <w:rPr>
          <w:rFonts w:asciiTheme="minorEastAsia" w:eastAsiaTheme="minorEastAsia" w:hAnsiTheme="minorEastAsia"/>
        </w:rPr>
        <w:t>）</w:t>
      </w:r>
      <w:r w:rsidR="00BA4B87" w:rsidRPr="0087389D">
        <w:rPr>
          <w:rFonts w:asciiTheme="minorEastAsia" w:eastAsiaTheme="minorEastAsia" w:hAnsiTheme="minorEastAsia"/>
        </w:rPr>
        <w:t>违反现行有效的有关法律、法规、规章、基金合同和中国证监会的有关规定，泄漏在任职期间知悉的有关证券、基金的商业秘密，尚未依法公开的基金投资内容、基金投资计划等信息；</w:t>
      </w:r>
    </w:p>
    <w:p w:rsidR="00BA4B87" w:rsidRPr="0087389D" w:rsidRDefault="00B329B1" w:rsidP="00555CE7">
      <w:pPr>
        <w:snapToGrid w:val="0"/>
        <w:spacing w:line="360" w:lineRule="auto"/>
        <w:ind w:firstLine="420"/>
        <w:rPr>
          <w:rFonts w:asciiTheme="minorEastAsia" w:eastAsiaTheme="minorEastAsia" w:hAnsiTheme="minorEastAsia"/>
        </w:rPr>
      </w:pPr>
      <w:r w:rsidRPr="0087389D">
        <w:rPr>
          <w:rFonts w:asciiTheme="minorEastAsia" w:eastAsiaTheme="minorEastAsia" w:hAnsiTheme="minorEastAsia"/>
        </w:rPr>
        <w:t>（</w:t>
      </w:r>
      <w:r w:rsidR="00A2578B" w:rsidRPr="0087389D">
        <w:rPr>
          <w:rFonts w:asciiTheme="minorEastAsia" w:eastAsiaTheme="minorEastAsia" w:hAnsiTheme="minorEastAsia"/>
        </w:rPr>
        <w:t>8</w:t>
      </w:r>
      <w:r w:rsidRPr="0087389D">
        <w:rPr>
          <w:rFonts w:asciiTheme="minorEastAsia" w:eastAsiaTheme="minorEastAsia" w:hAnsiTheme="minorEastAsia"/>
        </w:rPr>
        <w:t>）</w:t>
      </w:r>
      <w:r w:rsidR="00BA4B87" w:rsidRPr="0087389D">
        <w:rPr>
          <w:rFonts w:asciiTheme="minorEastAsia" w:eastAsiaTheme="minorEastAsia" w:hAnsiTheme="minorEastAsia"/>
        </w:rPr>
        <w:t>违反证券交易场所业务规则，利用对敲、倒仓等手段操纵市场价格，扰乱市场秩序；</w:t>
      </w:r>
    </w:p>
    <w:p w:rsidR="00BA4B87" w:rsidRPr="0087389D" w:rsidRDefault="00B329B1" w:rsidP="00555CE7">
      <w:pPr>
        <w:snapToGrid w:val="0"/>
        <w:spacing w:line="360" w:lineRule="auto"/>
        <w:ind w:firstLine="420"/>
        <w:rPr>
          <w:rFonts w:asciiTheme="minorEastAsia" w:eastAsiaTheme="minorEastAsia" w:hAnsiTheme="minorEastAsia"/>
        </w:rPr>
      </w:pPr>
      <w:r w:rsidRPr="0087389D">
        <w:rPr>
          <w:rFonts w:asciiTheme="minorEastAsia" w:eastAsiaTheme="minorEastAsia" w:hAnsiTheme="minorEastAsia"/>
        </w:rPr>
        <w:t>（</w:t>
      </w:r>
      <w:r w:rsidR="00A2578B" w:rsidRPr="0087389D">
        <w:rPr>
          <w:rFonts w:asciiTheme="minorEastAsia" w:eastAsiaTheme="minorEastAsia" w:hAnsiTheme="minorEastAsia"/>
        </w:rPr>
        <w:t>9</w:t>
      </w:r>
      <w:r w:rsidRPr="0087389D">
        <w:rPr>
          <w:rFonts w:asciiTheme="minorEastAsia" w:eastAsiaTheme="minorEastAsia" w:hAnsiTheme="minorEastAsia"/>
        </w:rPr>
        <w:t>）</w:t>
      </w:r>
      <w:r w:rsidR="00BA4B87" w:rsidRPr="0087389D">
        <w:rPr>
          <w:rFonts w:asciiTheme="minorEastAsia" w:eastAsiaTheme="minorEastAsia" w:hAnsiTheme="minorEastAsia"/>
        </w:rPr>
        <w:t>贬损同行，以抬高自己；</w:t>
      </w:r>
    </w:p>
    <w:p w:rsidR="00BA4B87" w:rsidRPr="0087389D" w:rsidRDefault="00B329B1" w:rsidP="00555CE7">
      <w:pPr>
        <w:snapToGrid w:val="0"/>
        <w:spacing w:line="360" w:lineRule="auto"/>
        <w:ind w:firstLine="420"/>
        <w:rPr>
          <w:rFonts w:asciiTheme="minorEastAsia" w:eastAsiaTheme="minorEastAsia" w:hAnsiTheme="minorEastAsia"/>
        </w:rPr>
      </w:pPr>
      <w:r w:rsidRPr="0087389D">
        <w:rPr>
          <w:rFonts w:asciiTheme="minorEastAsia" w:eastAsiaTheme="minorEastAsia" w:hAnsiTheme="minorEastAsia"/>
        </w:rPr>
        <w:t>（</w:t>
      </w:r>
      <w:r w:rsidR="00A2578B" w:rsidRPr="0087389D">
        <w:rPr>
          <w:rFonts w:asciiTheme="minorEastAsia" w:eastAsiaTheme="minorEastAsia" w:hAnsiTheme="minorEastAsia"/>
        </w:rPr>
        <w:t>10</w:t>
      </w:r>
      <w:r w:rsidRPr="0087389D">
        <w:rPr>
          <w:rFonts w:asciiTheme="minorEastAsia" w:eastAsiaTheme="minorEastAsia" w:hAnsiTheme="minorEastAsia"/>
        </w:rPr>
        <w:t>）</w:t>
      </w:r>
      <w:r w:rsidR="00BA4B87" w:rsidRPr="0087389D">
        <w:rPr>
          <w:rFonts w:asciiTheme="minorEastAsia" w:eastAsiaTheme="minorEastAsia" w:hAnsiTheme="minorEastAsia"/>
        </w:rPr>
        <w:t>以不正当手段谋求业务发展；</w:t>
      </w:r>
    </w:p>
    <w:p w:rsidR="00BA4B87" w:rsidRPr="0087389D" w:rsidRDefault="00B329B1" w:rsidP="00555CE7">
      <w:pPr>
        <w:snapToGrid w:val="0"/>
        <w:spacing w:line="360" w:lineRule="auto"/>
        <w:ind w:firstLine="420"/>
        <w:rPr>
          <w:rFonts w:asciiTheme="minorEastAsia" w:eastAsiaTheme="minorEastAsia" w:hAnsiTheme="minorEastAsia"/>
        </w:rPr>
      </w:pPr>
      <w:r w:rsidRPr="0087389D">
        <w:rPr>
          <w:rFonts w:asciiTheme="minorEastAsia" w:eastAsiaTheme="minorEastAsia" w:hAnsiTheme="minorEastAsia"/>
        </w:rPr>
        <w:t>（</w:t>
      </w:r>
      <w:r w:rsidR="00A2578B" w:rsidRPr="0087389D">
        <w:rPr>
          <w:rFonts w:asciiTheme="minorEastAsia" w:eastAsiaTheme="minorEastAsia" w:hAnsiTheme="minorEastAsia"/>
        </w:rPr>
        <w:t>11</w:t>
      </w:r>
      <w:r w:rsidRPr="0087389D">
        <w:rPr>
          <w:rFonts w:asciiTheme="minorEastAsia" w:eastAsiaTheme="minorEastAsia" w:hAnsiTheme="minorEastAsia"/>
        </w:rPr>
        <w:t>）</w:t>
      </w:r>
      <w:r w:rsidR="00BA4B87" w:rsidRPr="0087389D">
        <w:rPr>
          <w:rFonts w:asciiTheme="minorEastAsia" w:eastAsiaTheme="minorEastAsia" w:hAnsiTheme="minorEastAsia"/>
        </w:rPr>
        <w:t>有悖社会公德，损害证券投资基金人员形象；</w:t>
      </w:r>
    </w:p>
    <w:p w:rsidR="00BA4B87" w:rsidRPr="0087389D" w:rsidRDefault="00B329B1" w:rsidP="00555CE7">
      <w:pPr>
        <w:snapToGrid w:val="0"/>
        <w:spacing w:line="360" w:lineRule="auto"/>
        <w:ind w:firstLine="420"/>
        <w:rPr>
          <w:rFonts w:asciiTheme="minorEastAsia" w:eastAsiaTheme="minorEastAsia" w:hAnsiTheme="minorEastAsia"/>
        </w:rPr>
      </w:pPr>
      <w:r w:rsidRPr="0087389D">
        <w:rPr>
          <w:rFonts w:asciiTheme="minorEastAsia" w:eastAsiaTheme="minorEastAsia" w:hAnsiTheme="minorEastAsia"/>
        </w:rPr>
        <w:t>（</w:t>
      </w:r>
      <w:r w:rsidR="00A2578B" w:rsidRPr="0087389D">
        <w:rPr>
          <w:rFonts w:asciiTheme="minorEastAsia" w:eastAsiaTheme="minorEastAsia" w:hAnsiTheme="minorEastAsia"/>
        </w:rPr>
        <w:t>12</w:t>
      </w:r>
      <w:r w:rsidRPr="0087389D">
        <w:rPr>
          <w:rFonts w:asciiTheme="minorEastAsia" w:eastAsiaTheme="minorEastAsia" w:hAnsiTheme="minorEastAsia"/>
        </w:rPr>
        <w:t>）</w:t>
      </w:r>
      <w:r w:rsidR="00BA4B87" w:rsidRPr="0087389D">
        <w:rPr>
          <w:rFonts w:asciiTheme="minorEastAsia" w:eastAsiaTheme="minorEastAsia" w:hAnsiTheme="minorEastAsia"/>
        </w:rPr>
        <w:t>在公开信息披露和广告中故意含有虚假、误导、欺诈成分；</w:t>
      </w:r>
    </w:p>
    <w:p w:rsidR="00BA4B87" w:rsidRPr="0087389D" w:rsidRDefault="00B329B1" w:rsidP="00555CE7">
      <w:pPr>
        <w:snapToGrid w:val="0"/>
        <w:spacing w:line="360" w:lineRule="auto"/>
        <w:ind w:firstLine="420"/>
        <w:rPr>
          <w:rFonts w:asciiTheme="minorEastAsia" w:eastAsiaTheme="minorEastAsia" w:hAnsiTheme="minorEastAsia"/>
        </w:rPr>
      </w:pPr>
      <w:r w:rsidRPr="0087389D">
        <w:rPr>
          <w:rFonts w:asciiTheme="minorEastAsia" w:eastAsiaTheme="minorEastAsia" w:hAnsiTheme="minorEastAsia"/>
        </w:rPr>
        <w:t>（</w:t>
      </w:r>
      <w:r w:rsidR="00A2578B" w:rsidRPr="0087389D">
        <w:rPr>
          <w:rFonts w:asciiTheme="minorEastAsia" w:eastAsiaTheme="minorEastAsia" w:hAnsiTheme="minorEastAsia"/>
        </w:rPr>
        <w:t>13</w:t>
      </w:r>
      <w:r w:rsidRPr="0087389D">
        <w:rPr>
          <w:rFonts w:asciiTheme="minorEastAsia" w:eastAsiaTheme="minorEastAsia" w:hAnsiTheme="minorEastAsia"/>
        </w:rPr>
        <w:t>）</w:t>
      </w:r>
      <w:r w:rsidR="00BA4B87" w:rsidRPr="0087389D">
        <w:rPr>
          <w:rFonts w:asciiTheme="minorEastAsia" w:eastAsiaTheme="minorEastAsia" w:hAnsiTheme="minorEastAsia"/>
        </w:rPr>
        <w:t>其他法律、行政法规以及中国证监会禁止的行为。</w:t>
      </w:r>
    </w:p>
    <w:p w:rsidR="00BA4B87" w:rsidRPr="0087389D" w:rsidRDefault="00A70BE1" w:rsidP="00555CE7">
      <w:pPr>
        <w:snapToGrid w:val="0"/>
        <w:spacing w:line="360" w:lineRule="auto"/>
        <w:ind w:firstLine="420"/>
        <w:rPr>
          <w:rFonts w:asciiTheme="minorEastAsia" w:eastAsiaTheme="minorEastAsia" w:hAnsiTheme="minorEastAsia"/>
        </w:rPr>
      </w:pPr>
      <w:bookmarkStart w:id="28" w:name="_Toc319688268"/>
      <w:bookmarkStart w:id="29" w:name="_Toc319693391"/>
      <w:bookmarkStart w:id="30" w:name="_Toc327734800"/>
      <w:r w:rsidRPr="0087389D">
        <w:rPr>
          <w:rFonts w:asciiTheme="minorEastAsia" w:eastAsiaTheme="minorEastAsia" w:hAnsiTheme="minorEastAsia"/>
        </w:rPr>
        <w:t>4、</w:t>
      </w:r>
      <w:r w:rsidR="00BA4B87" w:rsidRPr="0087389D">
        <w:rPr>
          <w:rFonts w:asciiTheme="minorEastAsia" w:eastAsiaTheme="minorEastAsia" w:hAnsiTheme="minorEastAsia"/>
        </w:rPr>
        <w:t>基金经理承诺</w:t>
      </w:r>
      <w:bookmarkEnd w:id="28"/>
      <w:bookmarkEnd w:id="29"/>
      <w:bookmarkEnd w:id="30"/>
    </w:p>
    <w:p w:rsidR="00BA4B87" w:rsidRPr="0087389D" w:rsidRDefault="00B329B1" w:rsidP="00555CE7">
      <w:pPr>
        <w:snapToGrid w:val="0"/>
        <w:spacing w:line="360" w:lineRule="auto"/>
        <w:ind w:firstLine="420"/>
        <w:rPr>
          <w:rFonts w:asciiTheme="minorEastAsia" w:eastAsiaTheme="minorEastAsia" w:hAnsiTheme="minorEastAsia"/>
        </w:rPr>
      </w:pPr>
      <w:r w:rsidRPr="0087389D">
        <w:rPr>
          <w:rFonts w:asciiTheme="minorEastAsia" w:eastAsiaTheme="minorEastAsia" w:hAnsiTheme="minorEastAsia"/>
        </w:rPr>
        <w:lastRenderedPageBreak/>
        <w:t>（</w:t>
      </w:r>
      <w:r w:rsidR="00BA4B87" w:rsidRPr="0087389D">
        <w:rPr>
          <w:rFonts w:asciiTheme="minorEastAsia" w:eastAsiaTheme="minorEastAsia" w:hAnsiTheme="minorEastAsia"/>
        </w:rPr>
        <w:t>1</w:t>
      </w:r>
      <w:r w:rsidRPr="0087389D">
        <w:rPr>
          <w:rFonts w:asciiTheme="minorEastAsia" w:eastAsiaTheme="minorEastAsia" w:hAnsiTheme="minorEastAsia"/>
        </w:rPr>
        <w:t>）</w:t>
      </w:r>
      <w:r w:rsidR="00BA4B87" w:rsidRPr="0087389D">
        <w:rPr>
          <w:rFonts w:asciiTheme="minorEastAsia" w:eastAsiaTheme="minorEastAsia" w:hAnsiTheme="minorEastAsia"/>
        </w:rPr>
        <w:t>依照有关法律、法规和基金合同的规定，本着谨慎的原则为基金份额持有人谋取最大利益；</w:t>
      </w:r>
    </w:p>
    <w:p w:rsidR="00BA4B87" w:rsidRPr="0087389D" w:rsidRDefault="00B329B1" w:rsidP="00555CE7">
      <w:pPr>
        <w:snapToGrid w:val="0"/>
        <w:spacing w:line="360" w:lineRule="auto"/>
        <w:ind w:firstLine="420"/>
        <w:rPr>
          <w:rFonts w:asciiTheme="minorEastAsia" w:eastAsiaTheme="minorEastAsia" w:hAnsiTheme="minorEastAsia"/>
          <w:kern w:val="0"/>
        </w:rPr>
      </w:pPr>
      <w:bookmarkStart w:id="31" w:name="_Toc319688269"/>
      <w:bookmarkStart w:id="32" w:name="_Toc319693392"/>
      <w:bookmarkStart w:id="33" w:name="_Toc327734801"/>
      <w:r w:rsidRPr="0087389D">
        <w:rPr>
          <w:rFonts w:asciiTheme="minorEastAsia" w:eastAsiaTheme="minorEastAsia" w:hAnsiTheme="minorEastAsia"/>
        </w:rPr>
        <w:t>（</w:t>
      </w:r>
      <w:r w:rsidR="00BA4B87" w:rsidRPr="0087389D">
        <w:rPr>
          <w:rFonts w:asciiTheme="minorEastAsia" w:eastAsiaTheme="minorEastAsia" w:hAnsiTheme="minorEastAsia"/>
        </w:rPr>
        <w:t>2</w:t>
      </w:r>
      <w:r w:rsidRPr="0087389D">
        <w:rPr>
          <w:rFonts w:asciiTheme="minorEastAsia" w:eastAsiaTheme="minorEastAsia" w:hAnsiTheme="minorEastAsia"/>
        </w:rPr>
        <w:t>）</w:t>
      </w:r>
      <w:r w:rsidR="00BA4B87" w:rsidRPr="0087389D">
        <w:rPr>
          <w:rFonts w:asciiTheme="minorEastAsia" w:eastAsiaTheme="minorEastAsia" w:hAnsiTheme="minorEastAsia"/>
        </w:rPr>
        <w:t>不利用职务</w:t>
      </w:r>
      <w:r w:rsidR="00BA4B87" w:rsidRPr="0087389D">
        <w:rPr>
          <w:rFonts w:asciiTheme="minorEastAsia" w:eastAsiaTheme="minorEastAsia" w:hAnsiTheme="minorEastAsia"/>
          <w:kern w:val="0"/>
        </w:rPr>
        <w:t>之便为自己及其代理人、受雇人或任何第三人</w:t>
      </w:r>
      <w:r w:rsidR="00C2270D" w:rsidRPr="0087389D">
        <w:rPr>
          <w:rFonts w:asciiTheme="minorEastAsia" w:eastAsiaTheme="minorEastAsia" w:hAnsiTheme="minorEastAsia" w:hint="eastAsia"/>
          <w:kern w:val="0"/>
        </w:rPr>
        <w:t>牟</w:t>
      </w:r>
      <w:r w:rsidR="00BA4B87" w:rsidRPr="0087389D">
        <w:rPr>
          <w:rFonts w:asciiTheme="minorEastAsia" w:eastAsiaTheme="minorEastAsia" w:hAnsiTheme="minorEastAsia"/>
          <w:kern w:val="0"/>
        </w:rPr>
        <w:t>取利益；</w:t>
      </w:r>
      <w:bookmarkEnd w:id="31"/>
      <w:bookmarkEnd w:id="32"/>
      <w:bookmarkEnd w:id="33"/>
    </w:p>
    <w:p w:rsidR="00BA4B87" w:rsidRPr="0087389D" w:rsidRDefault="00B329B1" w:rsidP="00555CE7">
      <w:pPr>
        <w:snapToGrid w:val="0"/>
        <w:spacing w:line="360" w:lineRule="auto"/>
        <w:ind w:firstLine="420"/>
        <w:rPr>
          <w:rFonts w:asciiTheme="minorEastAsia" w:eastAsiaTheme="minorEastAsia" w:hAnsiTheme="minorEastAsia"/>
          <w:kern w:val="0"/>
        </w:rPr>
      </w:pPr>
      <w:r w:rsidRPr="0087389D">
        <w:rPr>
          <w:rFonts w:asciiTheme="minorEastAsia" w:eastAsiaTheme="minorEastAsia" w:hAnsiTheme="minorEastAsia"/>
          <w:kern w:val="0"/>
        </w:rPr>
        <w:t>（</w:t>
      </w:r>
      <w:r w:rsidR="00BA4B87" w:rsidRPr="0087389D">
        <w:rPr>
          <w:rFonts w:asciiTheme="minorEastAsia" w:eastAsiaTheme="minorEastAsia" w:hAnsiTheme="minorEastAsia"/>
          <w:kern w:val="0"/>
        </w:rPr>
        <w:t>3</w:t>
      </w:r>
      <w:r w:rsidRPr="0087389D">
        <w:rPr>
          <w:rFonts w:asciiTheme="minorEastAsia" w:eastAsiaTheme="minorEastAsia" w:hAnsiTheme="minorEastAsia"/>
          <w:kern w:val="0"/>
        </w:rPr>
        <w:t>）</w:t>
      </w:r>
      <w:r w:rsidR="00BA4B87" w:rsidRPr="0087389D">
        <w:rPr>
          <w:rFonts w:asciiTheme="minorEastAsia" w:eastAsiaTheme="minorEastAsia" w:hAnsiTheme="minorEastAsia"/>
          <w:kern w:val="0"/>
        </w:rPr>
        <w:t>不违反现行有效的有关法律、法规、规章、基金合同和中国证监会的有关规定，泄漏在任职期间知悉的有关证券、基金的商业秘密、尚未依法公开的基金投资内容、基金投资计划等信息；</w:t>
      </w:r>
    </w:p>
    <w:p w:rsidR="00BA4B87" w:rsidRPr="0087389D" w:rsidRDefault="00B329B1" w:rsidP="00555CE7">
      <w:pPr>
        <w:snapToGrid w:val="0"/>
        <w:spacing w:line="360" w:lineRule="auto"/>
        <w:ind w:firstLine="420"/>
        <w:rPr>
          <w:rFonts w:asciiTheme="minorEastAsia" w:eastAsiaTheme="minorEastAsia" w:hAnsiTheme="minorEastAsia"/>
          <w:kern w:val="0"/>
        </w:rPr>
      </w:pPr>
      <w:r w:rsidRPr="0087389D">
        <w:rPr>
          <w:rFonts w:asciiTheme="minorEastAsia" w:eastAsiaTheme="minorEastAsia" w:hAnsiTheme="minorEastAsia"/>
          <w:kern w:val="0"/>
        </w:rPr>
        <w:t>（</w:t>
      </w:r>
      <w:r w:rsidR="00BA4B87" w:rsidRPr="0087389D">
        <w:rPr>
          <w:rFonts w:asciiTheme="minorEastAsia" w:eastAsiaTheme="minorEastAsia" w:hAnsiTheme="minorEastAsia"/>
          <w:kern w:val="0"/>
        </w:rPr>
        <w:t>4</w:t>
      </w:r>
      <w:r w:rsidRPr="0087389D">
        <w:rPr>
          <w:rFonts w:asciiTheme="minorEastAsia" w:eastAsiaTheme="minorEastAsia" w:hAnsiTheme="minorEastAsia"/>
          <w:kern w:val="0"/>
        </w:rPr>
        <w:t>）</w:t>
      </w:r>
      <w:r w:rsidR="00BA4B87" w:rsidRPr="0087389D">
        <w:rPr>
          <w:rFonts w:asciiTheme="minorEastAsia" w:eastAsiaTheme="minorEastAsia" w:hAnsiTheme="minorEastAsia"/>
          <w:kern w:val="0"/>
        </w:rPr>
        <w:t>不从事损害基金财产和基金份额持有人利益的证券交易及其他活动。</w:t>
      </w:r>
    </w:p>
    <w:p w:rsidR="00BA4B87" w:rsidRPr="0087389D" w:rsidRDefault="00B329B1" w:rsidP="00555CE7">
      <w:pPr>
        <w:snapToGrid w:val="0"/>
        <w:spacing w:line="360" w:lineRule="auto"/>
        <w:ind w:firstLine="420"/>
        <w:rPr>
          <w:rFonts w:asciiTheme="minorEastAsia" w:eastAsiaTheme="minorEastAsia" w:hAnsiTheme="minorEastAsia"/>
          <w:kern w:val="0"/>
        </w:rPr>
      </w:pPr>
      <w:bookmarkStart w:id="34" w:name="_Toc327734802"/>
      <w:r w:rsidRPr="0087389D">
        <w:rPr>
          <w:rFonts w:asciiTheme="minorEastAsia" w:eastAsiaTheme="minorEastAsia" w:hAnsiTheme="minorEastAsia"/>
          <w:kern w:val="0"/>
        </w:rPr>
        <w:t>（</w:t>
      </w:r>
      <w:r w:rsidR="00BA4B87" w:rsidRPr="0087389D">
        <w:rPr>
          <w:rFonts w:asciiTheme="minorEastAsia" w:eastAsiaTheme="minorEastAsia" w:hAnsiTheme="minorEastAsia"/>
          <w:kern w:val="0"/>
        </w:rPr>
        <w:t>五</w:t>
      </w:r>
      <w:r w:rsidRPr="0087389D">
        <w:rPr>
          <w:rFonts w:asciiTheme="minorEastAsia" w:eastAsiaTheme="minorEastAsia" w:hAnsiTheme="minorEastAsia"/>
          <w:kern w:val="0"/>
        </w:rPr>
        <w:t>）</w:t>
      </w:r>
      <w:r w:rsidR="00BA4B87" w:rsidRPr="0087389D">
        <w:rPr>
          <w:rFonts w:asciiTheme="minorEastAsia" w:eastAsiaTheme="minorEastAsia" w:hAnsiTheme="minorEastAsia"/>
          <w:kern w:val="0"/>
        </w:rPr>
        <w:t>基金管理人的内部控制制度</w:t>
      </w:r>
      <w:bookmarkEnd w:id="34"/>
    </w:p>
    <w:p w:rsidR="00BA4B87" w:rsidRPr="0087389D" w:rsidRDefault="00BA4B87" w:rsidP="00555CE7">
      <w:pPr>
        <w:snapToGrid w:val="0"/>
        <w:spacing w:line="360" w:lineRule="auto"/>
        <w:ind w:firstLine="420"/>
        <w:rPr>
          <w:rFonts w:asciiTheme="minorEastAsia" w:eastAsiaTheme="minorEastAsia" w:hAnsiTheme="minorEastAsia"/>
          <w:szCs w:val="21"/>
        </w:rPr>
      </w:pPr>
      <w:r w:rsidRPr="0087389D">
        <w:rPr>
          <w:rFonts w:asciiTheme="minorEastAsia" w:eastAsiaTheme="minorEastAsia" w:hAnsiTheme="minorEastAsia"/>
          <w:kern w:val="0"/>
        </w:rPr>
        <w:t>为保证公司规范化运作，有效地防范和化解经营风险，促进公司诚信、合法、有效经营，保障基金份额持有人利益，维</w:t>
      </w:r>
      <w:r w:rsidRPr="0087389D">
        <w:rPr>
          <w:rFonts w:asciiTheme="minorEastAsia" w:eastAsiaTheme="minorEastAsia" w:hAnsiTheme="minorEastAsia"/>
          <w:szCs w:val="21"/>
        </w:rPr>
        <w:t>护公司及公司股东的合法权益，本基金管理人建立了科学、严密、高效的内部控制体系。</w:t>
      </w:r>
    </w:p>
    <w:p w:rsidR="00BA4B87" w:rsidRPr="0087389D" w:rsidRDefault="00FA5B52" w:rsidP="00555CE7">
      <w:pPr>
        <w:snapToGrid w:val="0"/>
        <w:spacing w:line="360" w:lineRule="auto"/>
        <w:ind w:firstLine="420"/>
        <w:rPr>
          <w:rFonts w:asciiTheme="minorEastAsia" w:eastAsiaTheme="minorEastAsia" w:hAnsiTheme="minorEastAsia"/>
          <w:kern w:val="0"/>
        </w:rPr>
      </w:pPr>
      <w:r w:rsidRPr="0087389D">
        <w:rPr>
          <w:rFonts w:asciiTheme="minorEastAsia" w:eastAsiaTheme="minorEastAsia" w:hAnsiTheme="minorEastAsia" w:hint="eastAsia"/>
          <w:kern w:val="0"/>
        </w:rPr>
        <w:t>1、</w:t>
      </w:r>
      <w:r w:rsidR="00BA4B87" w:rsidRPr="0087389D">
        <w:rPr>
          <w:rFonts w:asciiTheme="minorEastAsia" w:eastAsiaTheme="minorEastAsia" w:hAnsiTheme="minorEastAsia"/>
          <w:kern w:val="0"/>
        </w:rPr>
        <w:t>公司内部控制的总体目标</w:t>
      </w:r>
    </w:p>
    <w:p w:rsidR="00BA4B87" w:rsidRPr="0087389D" w:rsidRDefault="00B329B1" w:rsidP="00555CE7">
      <w:pPr>
        <w:tabs>
          <w:tab w:val="left" w:pos="735"/>
        </w:tabs>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rPr>
        <w:t>（</w:t>
      </w:r>
      <w:r w:rsidR="007A4AA0" w:rsidRPr="0087389D">
        <w:rPr>
          <w:rFonts w:asciiTheme="minorEastAsia" w:eastAsiaTheme="minorEastAsia" w:hAnsiTheme="minorEastAsia"/>
        </w:rPr>
        <w:t>1</w:t>
      </w:r>
      <w:r w:rsidRPr="0087389D">
        <w:rPr>
          <w:rFonts w:asciiTheme="minorEastAsia" w:eastAsiaTheme="minorEastAsia" w:hAnsiTheme="minorEastAsia"/>
        </w:rPr>
        <w:t>）</w:t>
      </w:r>
      <w:r w:rsidR="00BA4B87" w:rsidRPr="0087389D">
        <w:rPr>
          <w:rFonts w:asciiTheme="minorEastAsia" w:eastAsiaTheme="minorEastAsia" w:hAnsiTheme="minorEastAsia"/>
        </w:rPr>
        <w:t>保证公司经营管理活动的合法合规性；</w:t>
      </w:r>
    </w:p>
    <w:p w:rsidR="00BA4B87" w:rsidRPr="0087389D" w:rsidRDefault="00B329B1" w:rsidP="00555CE7">
      <w:pPr>
        <w:tabs>
          <w:tab w:val="left" w:pos="735"/>
        </w:tabs>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rPr>
        <w:t>（</w:t>
      </w:r>
      <w:r w:rsidR="007A4AA0" w:rsidRPr="0087389D">
        <w:rPr>
          <w:rFonts w:asciiTheme="minorEastAsia" w:eastAsiaTheme="minorEastAsia" w:hAnsiTheme="minorEastAsia"/>
        </w:rPr>
        <w:t>2</w:t>
      </w:r>
      <w:r w:rsidRPr="0087389D">
        <w:rPr>
          <w:rFonts w:asciiTheme="minorEastAsia" w:eastAsiaTheme="minorEastAsia" w:hAnsiTheme="minorEastAsia"/>
        </w:rPr>
        <w:t>）</w:t>
      </w:r>
      <w:r w:rsidR="00BA4B87" w:rsidRPr="0087389D">
        <w:rPr>
          <w:rFonts w:asciiTheme="minorEastAsia" w:eastAsiaTheme="minorEastAsia" w:hAnsiTheme="minorEastAsia"/>
        </w:rPr>
        <w:t>保证基金份额持有人的合法权益不受侵犯；</w:t>
      </w:r>
    </w:p>
    <w:p w:rsidR="00BA4B87" w:rsidRPr="0087389D" w:rsidRDefault="00B329B1" w:rsidP="00555CE7">
      <w:pPr>
        <w:tabs>
          <w:tab w:val="left" w:pos="735"/>
        </w:tabs>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rPr>
        <w:t>（</w:t>
      </w:r>
      <w:r w:rsidR="007A4AA0" w:rsidRPr="0087389D">
        <w:rPr>
          <w:rFonts w:asciiTheme="minorEastAsia" w:eastAsiaTheme="minorEastAsia" w:hAnsiTheme="minorEastAsia"/>
        </w:rPr>
        <w:t>3</w:t>
      </w:r>
      <w:r w:rsidRPr="0087389D">
        <w:rPr>
          <w:rFonts w:asciiTheme="minorEastAsia" w:eastAsiaTheme="minorEastAsia" w:hAnsiTheme="minorEastAsia"/>
        </w:rPr>
        <w:t>）</w:t>
      </w:r>
      <w:r w:rsidR="00BA4B87" w:rsidRPr="0087389D">
        <w:rPr>
          <w:rFonts w:asciiTheme="minorEastAsia" w:eastAsiaTheme="minorEastAsia" w:hAnsiTheme="minorEastAsia"/>
        </w:rPr>
        <w:t>实现公司稳健、持续发展，维护股东权益；</w:t>
      </w:r>
    </w:p>
    <w:p w:rsidR="00BA4B87" w:rsidRPr="0087389D" w:rsidRDefault="00B329B1" w:rsidP="00555CE7">
      <w:pPr>
        <w:tabs>
          <w:tab w:val="left" w:pos="735"/>
        </w:tabs>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rPr>
        <w:t>（</w:t>
      </w:r>
      <w:r w:rsidR="007A4AA0" w:rsidRPr="0087389D">
        <w:rPr>
          <w:rFonts w:asciiTheme="minorEastAsia" w:eastAsiaTheme="minorEastAsia" w:hAnsiTheme="minorEastAsia"/>
        </w:rPr>
        <w:t>4</w:t>
      </w:r>
      <w:r w:rsidRPr="0087389D">
        <w:rPr>
          <w:rFonts w:asciiTheme="minorEastAsia" w:eastAsiaTheme="minorEastAsia" w:hAnsiTheme="minorEastAsia"/>
        </w:rPr>
        <w:t>）</w:t>
      </w:r>
      <w:r w:rsidR="00BA4B87" w:rsidRPr="0087389D">
        <w:rPr>
          <w:rFonts w:asciiTheme="minorEastAsia" w:eastAsiaTheme="minorEastAsia" w:hAnsiTheme="minorEastAsia"/>
        </w:rPr>
        <w:t>促进公司全体员工恪守职业操守，正直诚信，廉洁自律，勤勉尽责；</w:t>
      </w:r>
    </w:p>
    <w:p w:rsidR="00BA4B87" w:rsidRPr="0087389D" w:rsidRDefault="00B329B1" w:rsidP="00555CE7">
      <w:pPr>
        <w:tabs>
          <w:tab w:val="left" w:pos="735"/>
        </w:tabs>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rPr>
        <w:t>（</w:t>
      </w:r>
      <w:r w:rsidR="007A4AA0" w:rsidRPr="0087389D">
        <w:rPr>
          <w:rFonts w:asciiTheme="minorEastAsia" w:eastAsiaTheme="minorEastAsia" w:hAnsiTheme="minorEastAsia"/>
        </w:rPr>
        <w:t>5</w:t>
      </w:r>
      <w:r w:rsidRPr="0087389D">
        <w:rPr>
          <w:rFonts w:asciiTheme="minorEastAsia" w:eastAsiaTheme="minorEastAsia" w:hAnsiTheme="minorEastAsia"/>
        </w:rPr>
        <w:t>）</w:t>
      </w:r>
      <w:r w:rsidR="00BA4B87" w:rsidRPr="0087389D">
        <w:rPr>
          <w:rFonts w:asciiTheme="minorEastAsia" w:eastAsiaTheme="minorEastAsia" w:hAnsiTheme="minorEastAsia"/>
        </w:rPr>
        <w:t>保护公司最重要的资本：公司声誉。</w:t>
      </w:r>
    </w:p>
    <w:p w:rsidR="00BA4B87" w:rsidRPr="0087389D" w:rsidRDefault="00FA5B52" w:rsidP="00555CE7">
      <w:pPr>
        <w:snapToGrid w:val="0"/>
        <w:spacing w:line="360" w:lineRule="auto"/>
        <w:ind w:firstLine="420"/>
        <w:rPr>
          <w:rFonts w:asciiTheme="minorEastAsia" w:eastAsiaTheme="minorEastAsia" w:hAnsiTheme="minorEastAsia"/>
          <w:kern w:val="0"/>
        </w:rPr>
      </w:pPr>
      <w:r w:rsidRPr="0087389D">
        <w:rPr>
          <w:rFonts w:asciiTheme="minorEastAsia" w:eastAsiaTheme="minorEastAsia" w:hAnsiTheme="minorEastAsia" w:hint="eastAsia"/>
          <w:kern w:val="0"/>
        </w:rPr>
        <w:t>2、</w:t>
      </w:r>
      <w:r w:rsidR="00BA4B87" w:rsidRPr="0087389D">
        <w:rPr>
          <w:rFonts w:asciiTheme="minorEastAsia" w:eastAsiaTheme="minorEastAsia" w:hAnsiTheme="minorEastAsia"/>
          <w:kern w:val="0"/>
        </w:rPr>
        <w:t>公司内部控制遵循的原则</w:t>
      </w:r>
    </w:p>
    <w:p w:rsidR="00BA4B87" w:rsidRPr="0087389D" w:rsidRDefault="00B329B1" w:rsidP="00555CE7">
      <w:pPr>
        <w:tabs>
          <w:tab w:val="left" w:pos="735"/>
        </w:tabs>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rPr>
        <w:t>（</w:t>
      </w:r>
      <w:r w:rsidR="00D06106" w:rsidRPr="0087389D">
        <w:rPr>
          <w:rFonts w:asciiTheme="minorEastAsia" w:eastAsiaTheme="minorEastAsia" w:hAnsiTheme="minorEastAsia"/>
        </w:rPr>
        <w:t>1</w:t>
      </w:r>
      <w:r w:rsidRPr="0087389D">
        <w:rPr>
          <w:rFonts w:asciiTheme="minorEastAsia" w:eastAsiaTheme="minorEastAsia" w:hAnsiTheme="minorEastAsia"/>
        </w:rPr>
        <w:t>）</w:t>
      </w:r>
      <w:r w:rsidR="00BA4B87" w:rsidRPr="0087389D">
        <w:rPr>
          <w:rFonts w:asciiTheme="minorEastAsia" w:eastAsiaTheme="minorEastAsia" w:hAnsiTheme="minorEastAsia"/>
        </w:rPr>
        <w:t>全面性原则：内部控制必须覆盖公司的所有部门和岗位，渗透各项业务过程和业务环节，并普遍适用于公司每一位职员；</w:t>
      </w:r>
    </w:p>
    <w:p w:rsidR="00BA4B87" w:rsidRPr="0087389D" w:rsidRDefault="00B329B1" w:rsidP="00555CE7">
      <w:pPr>
        <w:tabs>
          <w:tab w:val="left" w:pos="735"/>
        </w:tabs>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rPr>
        <w:t>（</w:t>
      </w:r>
      <w:r w:rsidR="00D06106" w:rsidRPr="0087389D">
        <w:rPr>
          <w:rFonts w:asciiTheme="minorEastAsia" w:eastAsiaTheme="minorEastAsia" w:hAnsiTheme="minorEastAsia"/>
        </w:rPr>
        <w:t>2</w:t>
      </w:r>
      <w:r w:rsidRPr="0087389D">
        <w:rPr>
          <w:rFonts w:asciiTheme="minorEastAsia" w:eastAsiaTheme="minorEastAsia" w:hAnsiTheme="minorEastAsia"/>
        </w:rPr>
        <w:t>）</w:t>
      </w:r>
      <w:r w:rsidR="00BA4B87" w:rsidRPr="0087389D">
        <w:rPr>
          <w:rFonts w:asciiTheme="minorEastAsia" w:eastAsiaTheme="minorEastAsia" w:hAnsiTheme="minorEastAsia"/>
        </w:rPr>
        <w:t>审慎性原则：内部控制的核心是有效防范各种风险，公司组织体系的构成、内部管理制度的建立都要以防范风险、审慎经营为出发点；</w:t>
      </w:r>
    </w:p>
    <w:p w:rsidR="00BA4B87" w:rsidRPr="0087389D" w:rsidRDefault="00B329B1" w:rsidP="00555CE7">
      <w:pPr>
        <w:tabs>
          <w:tab w:val="left" w:pos="735"/>
        </w:tabs>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rPr>
        <w:t>（</w:t>
      </w:r>
      <w:r w:rsidR="00D06106" w:rsidRPr="0087389D">
        <w:rPr>
          <w:rFonts w:asciiTheme="minorEastAsia" w:eastAsiaTheme="minorEastAsia" w:hAnsiTheme="minorEastAsia"/>
        </w:rPr>
        <w:t>3</w:t>
      </w:r>
      <w:r w:rsidRPr="0087389D">
        <w:rPr>
          <w:rFonts w:asciiTheme="minorEastAsia" w:eastAsiaTheme="minorEastAsia" w:hAnsiTheme="minorEastAsia"/>
        </w:rPr>
        <w:t>）</w:t>
      </w:r>
      <w:r w:rsidR="00BA4B87" w:rsidRPr="0087389D">
        <w:rPr>
          <w:rFonts w:asciiTheme="minorEastAsia" w:eastAsiaTheme="minorEastAsia" w:hAnsiTheme="minorEastAsia"/>
        </w:rPr>
        <w:t>相互制约原则：公司设置的各部门、各岗位权责分明、相互制衡</w:t>
      </w:r>
      <w:r w:rsidR="00F81823" w:rsidRPr="0087389D">
        <w:rPr>
          <w:rFonts w:asciiTheme="minorEastAsia" w:eastAsiaTheme="minorEastAsia" w:hAnsiTheme="minorEastAsia" w:hint="eastAsia"/>
        </w:rPr>
        <w:t>；</w:t>
      </w:r>
    </w:p>
    <w:p w:rsidR="00BA4B87" w:rsidRPr="0087389D" w:rsidRDefault="00B329B1" w:rsidP="00555CE7">
      <w:pPr>
        <w:tabs>
          <w:tab w:val="left" w:pos="735"/>
        </w:tabs>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rPr>
        <w:t>（</w:t>
      </w:r>
      <w:r w:rsidR="00D06106" w:rsidRPr="0087389D">
        <w:rPr>
          <w:rFonts w:asciiTheme="minorEastAsia" w:eastAsiaTheme="minorEastAsia" w:hAnsiTheme="minorEastAsia"/>
        </w:rPr>
        <w:t>4</w:t>
      </w:r>
      <w:r w:rsidRPr="0087389D">
        <w:rPr>
          <w:rFonts w:asciiTheme="minorEastAsia" w:eastAsiaTheme="minorEastAsia" w:hAnsiTheme="minorEastAsia"/>
        </w:rPr>
        <w:t>）</w:t>
      </w:r>
      <w:r w:rsidR="00BA4B87" w:rsidRPr="0087389D">
        <w:rPr>
          <w:rFonts w:asciiTheme="minorEastAsia" w:eastAsiaTheme="minorEastAsia" w:hAnsiTheme="minorEastAsia"/>
        </w:rPr>
        <w:t>独立性原则：公司根据业务的需要设立相对独立的机构、部门和岗位；公司内部部门和岗位的设置必须权责分明；</w:t>
      </w:r>
    </w:p>
    <w:p w:rsidR="00BA4B87" w:rsidRPr="0087389D" w:rsidRDefault="00B329B1" w:rsidP="00555CE7">
      <w:pPr>
        <w:tabs>
          <w:tab w:val="left" w:pos="735"/>
        </w:tabs>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rPr>
        <w:t>（</w:t>
      </w:r>
      <w:r w:rsidR="00D06106" w:rsidRPr="0087389D">
        <w:rPr>
          <w:rFonts w:asciiTheme="minorEastAsia" w:eastAsiaTheme="minorEastAsia" w:hAnsiTheme="minorEastAsia"/>
        </w:rPr>
        <w:t>5</w:t>
      </w:r>
      <w:r w:rsidRPr="0087389D">
        <w:rPr>
          <w:rFonts w:asciiTheme="minorEastAsia" w:eastAsiaTheme="minorEastAsia" w:hAnsiTheme="minorEastAsia"/>
        </w:rPr>
        <w:t>）</w:t>
      </w:r>
      <w:r w:rsidR="00BA4B87" w:rsidRPr="0087389D">
        <w:rPr>
          <w:rFonts w:asciiTheme="minorEastAsia" w:eastAsiaTheme="minorEastAsia" w:hAnsiTheme="minorEastAsia"/>
        </w:rPr>
        <w:t>有效性原则：各种内部管理制度具有高度的权威性，应是所有员工严格遵守的行动指南；执行内部管理制度不能有任何例外，任何人不得拥有超越制度或违反规章的权力；</w:t>
      </w:r>
    </w:p>
    <w:p w:rsidR="00BA4B87" w:rsidRPr="0087389D" w:rsidRDefault="00B329B1" w:rsidP="00555CE7">
      <w:pPr>
        <w:tabs>
          <w:tab w:val="left" w:pos="735"/>
        </w:tabs>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rPr>
        <w:t>（</w:t>
      </w:r>
      <w:r w:rsidR="00D06106" w:rsidRPr="0087389D">
        <w:rPr>
          <w:rFonts w:asciiTheme="minorEastAsia" w:eastAsiaTheme="minorEastAsia" w:hAnsiTheme="minorEastAsia"/>
        </w:rPr>
        <w:t>6</w:t>
      </w:r>
      <w:r w:rsidRPr="0087389D">
        <w:rPr>
          <w:rFonts w:asciiTheme="minorEastAsia" w:eastAsiaTheme="minorEastAsia" w:hAnsiTheme="minorEastAsia"/>
        </w:rPr>
        <w:t>）</w:t>
      </w:r>
      <w:r w:rsidR="00BA4B87" w:rsidRPr="0087389D">
        <w:rPr>
          <w:rFonts w:asciiTheme="minorEastAsia" w:eastAsiaTheme="minorEastAsia" w:hAnsiTheme="minorEastAsia"/>
        </w:rPr>
        <w:t>适时性原则：内部控制应具有前瞻性，并且必须随着公司经营战略、经营方针、经营理念等内部环境的变化和国家法律、法规、政策制度等外部环境的改变及时进行相应的修改和完善；</w:t>
      </w:r>
    </w:p>
    <w:p w:rsidR="00BA4B87" w:rsidRPr="0087389D" w:rsidRDefault="00B329B1" w:rsidP="00555CE7">
      <w:pPr>
        <w:tabs>
          <w:tab w:val="left" w:pos="735"/>
        </w:tabs>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rPr>
        <w:t>（</w:t>
      </w:r>
      <w:r w:rsidR="00D06106" w:rsidRPr="0087389D">
        <w:rPr>
          <w:rFonts w:asciiTheme="minorEastAsia" w:eastAsiaTheme="minorEastAsia" w:hAnsiTheme="minorEastAsia"/>
        </w:rPr>
        <w:t>7</w:t>
      </w:r>
      <w:r w:rsidRPr="0087389D">
        <w:rPr>
          <w:rFonts w:asciiTheme="minorEastAsia" w:eastAsiaTheme="minorEastAsia" w:hAnsiTheme="minorEastAsia"/>
        </w:rPr>
        <w:t>）</w:t>
      </w:r>
      <w:r w:rsidR="00BA4B87" w:rsidRPr="0087389D">
        <w:rPr>
          <w:rFonts w:asciiTheme="minorEastAsia" w:eastAsiaTheme="minorEastAsia" w:hAnsiTheme="minorEastAsia"/>
        </w:rPr>
        <w:t>成本效益原则：公司运用科学化的经营管理方法降低运作成本，提高经济效益，力争以合理的控制成本达到最佳的内部控制效果。</w:t>
      </w:r>
    </w:p>
    <w:p w:rsidR="00BA4B87" w:rsidRPr="0087389D" w:rsidRDefault="00FA5B52" w:rsidP="00555CE7">
      <w:pPr>
        <w:snapToGrid w:val="0"/>
        <w:spacing w:line="360" w:lineRule="auto"/>
        <w:ind w:firstLine="420"/>
        <w:rPr>
          <w:rFonts w:asciiTheme="minorEastAsia" w:eastAsiaTheme="minorEastAsia" w:hAnsiTheme="minorEastAsia"/>
          <w:kern w:val="0"/>
        </w:rPr>
      </w:pPr>
      <w:r w:rsidRPr="0087389D">
        <w:rPr>
          <w:rFonts w:asciiTheme="minorEastAsia" w:eastAsiaTheme="minorEastAsia" w:hAnsiTheme="minorEastAsia" w:hint="eastAsia"/>
          <w:kern w:val="0"/>
        </w:rPr>
        <w:t>3、</w:t>
      </w:r>
      <w:r w:rsidR="00BA4B87" w:rsidRPr="0087389D">
        <w:rPr>
          <w:rFonts w:asciiTheme="minorEastAsia" w:eastAsiaTheme="minorEastAsia" w:hAnsiTheme="minorEastAsia"/>
          <w:kern w:val="0"/>
        </w:rPr>
        <w:t>内部控制的制度体系</w:t>
      </w:r>
    </w:p>
    <w:p w:rsidR="00BA4B87" w:rsidRPr="0087389D" w:rsidRDefault="00BA4B87" w:rsidP="00555CE7">
      <w:pPr>
        <w:pStyle w:val="aa"/>
        <w:autoSpaceDE w:val="0"/>
        <w:autoSpaceDN w:val="0"/>
        <w:adjustRightInd w:val="0"/>
        <w:snapToGrid w:val="0"/>
        <w:spacing w:line="360" w:lineRule="auto"/>
        <w:ind w:firstLineChars="200"/>
        <w:rPr>
          <w:rFonts w:asciiTheme="minorEastAsia" w:eastAsiaTheme="minorEastAsia" w:hAnsiTheme="minorEastAsia"/>
          <w:szCs w:val="21"/>
        </w:rPr>
      </w:pPr>
      <w:r w:rsidRPr="0087389D">
        <w:rPr>
          <w:rFonts w:asciiTheme="minorEastAsia" w:eastAsiaTheme="minorEastAsia" w:hAnsiTheme="minorEastAsia"/>
          <w:szCs w:val="21"/>
        </w:rPr>
        <w:t>公司制定了合理、完备、有效并易于执行的制度体系。公司制度体系由不同层面的制度</w:t>
      </w:r>
      <w:r w:rsidRPr="0087389D">
        <w:rPr>
          <w:rFonts w:asciiTheme="minorEastAsia" w:eastAsiaTheme="minorEastAsia" w:hAnsiTheme="minorEastAsia"/>
          <w:szCs w:val="21"/>
        </w:rPr>
        <w:lastRenderedPageBreak/>
        <w:t>构成。按照其效力大小分为四个层面：第一个层面是公司章程；第二个层面是公司内部控制大纲，它是公司制定各项规章制度的基础和依据；第三个层面是公司基本管理制度；第四个层面是公司各机构、部门根据业务需要制定的各种制度及实施细则等。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p w:rsidR="00BA4B87" w:rsidRPr="0087389D" w:rsidRDefault="00FA5B52" w:rsidP="00555CE7">
      <w:pPr>
        <w:snapToGrid w:val="0"/>
        <w:spacing w:line="360" w:lineRule="auto"/>
        <w:ind w:firstLine="420"/>
        <w:rPr>
          <w:rFonts w:asciiTheme="minorEastAsia" w:eastAsiaTheme="minorEastAsia" w:hAnsiTheme="minorEastAsia"/>
          <w:kern w:val="0"/>
        </w:rPr>
      </w:pPr>
      <w:r w:rsidRPr="0087389D">
        <w:rPr>
          <w:rFonts w:asciiTheme="minorEastAsia" w:eastAsiaTheme="minorEastAsia" w:hAnsiTheme="minorEastAsia" w:hint="eastAsia"/>
          <w:kern w:val="0"/>
        </w:rPr>
        <w:t>4、</w:t>
      </w:r>
      <w:r w:rsidR="00BA4B87" w:rsidRPr="0087389D">
        <w:rPr>
          <w:rFonts w:asciiTheme="minorEastAsia" w:eastAsiaTheme="minorEastAsia" w:hAnsiTheme="minorEastAsia"/>
          <w:kern w:val="0"/>
        </w:rPr>
        <w:t>关于授权、研究、投资、交易等方面的控制点</w:t>
      </w:r>
    </w:p>
    <w:p w:rsidR="00BA4B87" w:rsidRPr="0087389D" w:rsidRDefault="00B329B1" w:rsidP="00555CE7">
      <w:pPr>
        <w:tabs>
          <w:tab w:val="left" w:pos="735"/>
        </w:tabs>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rPr>
        <w:t>（</w:t>
      </w:r>
      <w:r w:rsidR="00052C9F" w:rsidRPr="0087389D">
        <w:rPr>
          <w:rFonts w:asciiTheme="minorEastAsia" w:eastAsiaTheme="minorEastAsia" w:hAnsiTheme="minorEastAsia"/>
        </w:rPr>
        <w:t>1</w:t>
      </w:r>
      <w:r w:rsidRPr="0087389D">
        <w:rPr>
          <w:rFonts w:asciiTheme="minorEastAsia" w:eastAsiaTheme="minorEastAsia" w:hAnsiTheme="minorEastAsia"/>
        </w:rPr>
        <w:t>）</w:t>
      </w:r>
      <w:r w:rsidR="00BA4B87" w:rsidRPr="0087389D">
        <w:rPr>
          <w:rFonts w:asciiTheme="minorEastAsia" w:eastAsiaTheme="minorEastAsia" w:hAnsiTheme="minorEastAsia"/>
        </w:rPr>
        <w:t>授权制度</w:t>
      </w:r>
    </w:p>
    <w:p w:rsidR="00BA4B87" w:rsidRPr="0087389D" w:rsidRDefault="00BA4B87" w:rsidP="00555CE7">
      <w:pPr>
        <w:pStyle w:val="aa"/>
        <w:autoSpaceDE w:val="0"/>
        <w:autoSpaceDN w:val="0"/>
        <w:adjustRightInd w:val="0"/>
        <w:snapToGrid w:val="0"/>
        <w:spacing w:line="360" w:lineRule="auto"/>
        <w:ind w:firstLineChars="200"/>
        <w:rPr>
          <w:rFonts w:asciiTheme="minorEastAsia" w:eastAsiaTheme="minorEastAsia" w:hAnsiTheme="minorEastAsia"/>
          <w:szCs w:val="21"/>
        </w:rPr>
      </w:pPr>
      <w:r w:rsidRPr="0087389D">
        <w:rPr>
          <w:rFonts w:asciiTheme="minorEastAsia" w:eastAsiaTheme="minorEastAsia" w:hAnsiTheme="minorEastAsia"/>
          <w:szCs w:val="21"/>
        </w:rPr>
        <w:t>公司的授权制度贯穿于整个公司活动。股东会、董事会、监事会和管理层必须充分履行各自的职权，健全公司逐级授权制度，确保公司各项规章制度的贯彻执行；各项经济经营业务和管理程序必须遵从管理层制定的操作规程，经办人员的每一项工作必须是在业务授权范围内进行。公司重大业务的授权必须采取书面形式，授权书应当明确授权内容和时效。公司授权要适当，对已获授权的部门和人员应建立有效的评价和反馈机制，对已不适用的授权应及时修改或取消授权。</w:t>
      </w:r>
    </w:p>
    <w:p w:rsidR="00BA4B87" w:rsidRPr="0087389D" w:rsidRDefault="00B329B1" w:rsidP="00555CE7">
      <w:pPr>
        <w:tabs>
          <w:tab w:val="left" w:pos="735"/>
        </w:tabs>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rPr>
        <w:t>（</w:t>
      </w:r>
      <w:r w:rsidR="00052C9F" w:rsidRPr="0087389D">
        <w:rPr>
          <w:rFonts w:asciiTheme="minorEastAsia" w:eastAsiaTheme="minorEastAsia" w:hAnsiTheme="minorEastAsia"/>
        </w:rPr>
        <w:t>2</w:t>
      </w:r>
      <w:r w:rsidRPr="0087389D">
        <w:rPr>
          <w:rFonts w:asciiTheme="minorEastAsia" w:eastAsiaTheme="minorEastAsia" w:hAnsiTheme="minorEastAsia"/>
        </w:rPr>
        <w:t>）</w:t>
      </w:r>
      <w:r w:rsidR="00BA4B87" w:rsidRPr="0087389D">
        <w:rPr>
          <w:rFonts w:asciiTheme="minorEastAsia" w:eastAsiaTheme="minorEastAsia" w:hAnsiTheme="minorEastAsia"/>
        </w:rPr>
        <w:t>公司研究业务</w:t>
      </w:r>
    </w:p>
    <w:p w:rsidR="00BA4B87" w:rsidRPr="0087389D" w:rsidRDefault="00BA4B87" w:rsidP="00555CE7">
      <w:pPr>
        <w:pStyle w:val="aa"/>
        <w:autoSpaceDE w:val="0"/>
        <w:autoSpaceDN w:val="0"/>
        <w:adjustRightInd w:val="0"/>
        <w:snapToGrid w:val="0"/>
        <w:spacing w:line="360" w:lineRule="auto"/>
        <w:ind w:firstLineChars="200"/>
        <w:rPr>
          <w:rFonts w:asciiTheme="minorEastAsia" w:eastAsiaTheme="minorEastAsia" w:hAnsiTheme="minorEastAsia"/>
          <w:szCs w:val="21"/>
        </w:rPr>
      </w:pPr>
      <w:r w:rsidRPr="0087389D">
        <w:rPr>
          <w:rFonts w:asciiTheme="minorEastAsia" w:eastAsiaTheme="minorEastAsia" w:hAnsiTheme="minorEastAsia"/>
          <w:szCs w:val="21"/>
        </w:rPr>
        <w:t>研究工作应保持独立、客观，不受任何部门及个人的不正当影响；建立严密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rsidR="00BA4B87" w:rsidRPr="0087389D" w:rsidRDefault="00B329B1" w:rsidP="00555CE7">
      <w:pPr>
        <w:tabs>
          <w:tab w:val="left" w:pos="735"/>
        </w:tabs>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rPr>
        <w:t>（</w:t>
      </w:r>
      <w:r w:rsidR="00052C9F" w:rsidRPr="0087389D">
        <w:rPr>
          <w:rFonts w:asciiTheme="minorEastAsia" w:eastAsiaTheme="minorEastAsia" w:hAnsiTheme="minorEastAsia"/>
        </w:rPr>
        <w:t>3</w:t>
      </w:r>
      <w:r w:rsidRPr="0087389D">
        <w:rPr>
          <w:rFonts w:asciiTheme="minorEastAsia" w:eastAsiaTheme="minorEastAsia" w:hAnsiTheme="minorEastAsia"/>
        </w:rPr>
        <w:t>）</w:t>
      </w:r>
      <w:r w:rsidR="00BA4B87" w:rsidRPr="0087389D">
        <w:rPr>
          <w:rFonts w:asciiTheme="minorEastAsia" w:eastAsiaTheme="minorEastAsia" w:hAnsiTheme="minorEastAsia"/>
        </w:rPr>
        <w:t>基金投资业务</w:t>
      </w:r>
    </w:p>
    <w:p w:rsidR="00BA4B87" w:rsidRPr="0087389D" w:rsidRDefault="00BA4B87" w:rsidP="00555CE7">
      <w:pPr>
        <w:pStyle w:val="aa"/>
        <w:autoSpaceDE w:val="0"/>
        <w:autoSpaceDN w:val="0"/>
        <w:adjustRightInd w:val="0"/>
        <w:snapToGrid w:val="0"/>
        <w:spacing w:line="360" w:lineRule="auto"/>
        <w:ind w:firstLineChars="200"/>
        <w:rPr>
          <w:rFonts w:asciiTheme="minorEastAsia" w:eastAsiaTheme="minorEastAsia" w:hAnsiTheme="minorEastAsia"/>
          <w:szCs w:val="21"/>
        </w:rPr>
      </w:pPr>
      <w:r w:rsidRPr="0087389D">
        <w:rPr>
          <w:rFonts w:asciiTheme="minorEastAsia" w:eastAsiaTheme="minorEastAsia" w:hAnsiTheme="minorEastAsia"/>
          <w:szCs w:val="21"/>
        </w:rPr>
        <w:t>基金投资应确立科学的投资理念，根据决策的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额度内；对于投资结果建立科学的投资管理业绩评价体系。</w:t>
      </w:r>
    </w:p>
    <w:p w:rsidR="00BA4B87" w:rsidRPr="0087389D" w:rsidRDefault="00B329B1" w:rsidP="00555CE7">
      <w:pPr>
        <w:tabs>
          <w:tab w:val="left" w:pos="735"/>
        </w:tabs>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rPr>
        <w:t>（</w:t>
      </w:r>
      <w:r w:rsidR="00052C9F" w:rsidRPr="0087389D">
        <w:rPr>
          <w:rFonts w:asciiTheme="minorEastAsia" w:eastAsiaTheme="minorEastAsia" w:hAnsiTheme="minorEastAsia"/>
        </w:rPr>
        <w:t>4</w:t>
      </w:r>
      <w:r w:rsidRPr="0087389D">
        <w:rPr>
          <w:rFonts w:asciiTheme="minorEastAsia" w:eastAsiaTheme="minorEastAsia" w:hAnsiTheme="minorEastAsia"/>
        </w:rPr>
        <w:t>）</w:t>
      </w:r>
      <w:r w:rsidR="00BA4B87" w:rsidRPr="0087389D">
        <w:rPr>
          <w:rFonts w:asciiTheme="minorEastAsia" w:eastAsiaTheme="minorEastAsia" w:hAnsiTheme="minorEastAsia"/>
        </w:rPr>
        <w:t>交易业务</w:t>
      </w:r>
    </w:p>
    <w:p w:rsidR="00BA4B87" w:rsidRPr="0087389D" w:rsidRDefault="00BA4B87" w:rsidP="00555CE7">
      <w:pPr>
        <w:pStyle w:val="aa"/>
        <w:autoSpaceDE w:val="0"/>
        <w:autoSpaceDN w:val="0"/>
        <w:adjustRightInd w:val="0"/>
        <w:snapToGrid w:val="0"/>
        <w:spacing w:line="360" w:lineRule="auto"/>
        <w:ind w:firstLineChars="200"/>
        <w:rPr>
          <w:rFonts w:asciiTheme="minorEastAsia" w:eastAsiaTheme="minorEastAsia" w:hAnsiTheme="minorEastAsia"/>
          <w:szCs w:val="21"/>
        </w:rPr>
      </w:pPr>
      <w:r w:rsidRPr="0087389D">
        <w:rPr>
          <w:rFonts w:asciiTheme="minorEastAsia" w:eastAsiaTheme="minorEastAsia" w:hAnsiTheme="minorEastAsia"/>
          <w:szCs w:val="21"/>
        </w:rPr>
        <w:t>建立集中交易室和集中交易制度，投资指令通过集中交易室完成；应建立交易监测系统、预警系统和交易反馈系统，完善相关的安全设施；集中交易室应对交易指令进行审核，建立公平的交易分配制度，确保各基金利益的公平；交易记录应完善，并及时进行反馈、核对和存档保管；同时应建立科学的投资交易绩效评价体系。</w:t>
      </w:r>
    </w:p>
    <w:p w:rsidR="00BA4B87" w:rsidRPr="0087389D" w:rsidRDefault="00B329B1" w:rsidP="00555CE7">
      <w:pPr>
        <w:tabs>
          <w:tab w:val="left" w:pos="735"/>
        </w:tabs>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rPr>
        <w:t>（</w:t>
      </w:r>
      <w:r w:rsidR="00052C9F" w:rsidRPr="0087389D">
        <w:rPr>
          <w:rFonts w:asciiTheme="minorEastAsia" w:eastAsiaTheme="minorEastAsia" w:hAnsiTheme="minorEastAsia"/>
        </w:rPr>
        <w:t>5</w:t>
      </w:r>
      <w:r w:rsidRPr="0087389D">
        <w:rPr>
          <w:rFonts w:asciiTheme="minorEastAsia" w:eastAsiaTheme="minorEastAsia" w:hAnsiTheme="minorEastAsia"/>
        </w:rPr>
        <w:t>）</w:t>
      </w:r>
      <w:r w:rsidR="00BA4B87" w:rsidRPr="0087389D">
        <w:rPr>
          <w:rFonts w:asciiTheme="minorEastAsia" w:eastAsiaTheme="minorEastAsia" w:hAnsiTheme="minorEastAsia"/>
        </w:rPr>
        <w:t>基金会计核算</w:t>
      </w:r>
    </w:p>
    <w:p w:rsidR="00BA4B87" w:rsidRPr="0087389D" w:rsidRDefault="00BA4B87" w:rsidP="00555CE7">
      <w:pPr>
        <w:pStyle w:val="aa"/>
        <w:autoSpaceDE w:val="0"/>
        <w:autoSpaceDN w:val="0"/>
        <w:adjustRightInd w:val="0"/>
        <w:snapToGrid w:val="0"/>
        <w:spacing w:line="360" w:lineRule="auto"/>
        <w:ind w:firstLineChars="200"/>
        <w:rPr>
          <w:rFonts w:asciiTheme="minorEastAsia" w:eastAsiaTheme="minorEastAsia" w:hAnsiTheme="minorEastAsia"/>
          <w:szCs w:val="21"/>
        </w:rPr>
      </w:pPr>
      <w:r w:rsidRPr="0087389D">
        <w:rPr>
          <w:rFonts w:asciiTheme="minorEastAsia" w:eastAsiaTheme="minorEastAsia" w:hAnsiTheme="minorEastAsia"/>
          <w:szCs w:val="21"/>
        </w:rPr>
        <w:t>公司根据法律法规及业务的要求建立会计制度，并根据风险控制点建立严密的会计系统，对于不同基金、不同客户独立建账，独立核算；公司通过复核制度、凭证制度、合理的估值方法和估值程序等会计措施真实、完整、及时地记载每一笔业务并正确进行会计核算和业务</w:t>
      </w:r>
      <w:r w:rsidRPr="0087389D">
        <w:rPr>
          <w:rFonts w:asciiTheme="minorEastAsia" w:eastAsiaTheme="minorEastAsia" w:hAnsiTheme="minorEastAsia"/>
          <w:szCs w:val="21"/>
        </w:rPr>
        <w:lastRenderedPageBreak/>
        <w:t>核算。同时还建立会计档案保管制度，确保档案真实完整。</w:t>
      </w:r>
    </w:p>
    <w:p w:rsidR="00BA4B87" w:rsidRPr="0087389D" w:rsidRDefault="00B329B1" w:rsidP="00555CE7">
      <w:pPr>
        <w:tabs>
          <w:tab w:val="left" w:pos="735"/>
        </w:tabs>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rPr>
        <w:t>（</w:t>
      </w:r>
      <w:r w:rsidR="00052C9F" w:rsidRPr="0087389D">
        <w:rPr>
          <w:rFonts w:asciiTheme="minorEastAsia" w:eastAsiaTheme="minorEastAsia" w:hAnsiTheme="minorEastAsia"/>
        </w:rPr>
        <w:t>6</w:t>
      </w:r>
      <w:r w:rsidRPr="0087389D">
        <w:rPr>
          <w:rFonts w:asciiTheme="minorEastAsia" w:eastAsiaTheme="minorEastAsia" w:hAnsiTheme="minorEastAsia"/>
        </w:rPr>
        <w:t>）</w:t>
      </w:r>
      <w:r w:rsidR="00BA4B87" w:rsidRPr="0087389D">
        <w:rPr>
          <w:rFonts w:asciiTheme="minorEastAsia" w:eastAsiaTheme="minorEastAsia" w:hAnsiTheme="minorEastAsia"/>
        </w:rPr>
        <w:t>信息披露</w:t>
      </w:r>
    </w:p>
    <w:p w:rsidR="00BA4B87" w:rsidRPr="0087389D" w:rsidRDefault="00BA4B87" w:rsidP="00555CE7">
      <w:pPr>
        <w:pStyle w:val="aa"/>
        <w:autoSpaceDE w:val="0"/>
        <w:autoSpaceDN w:val="0"/>
        <w:adjustRightInd w:val="0"/>
        <w:snapToGrid w:val="0"/>
        <w:spacing w:line="360" w:lineRule="auto"/>
        <w:ind w:firstLineChars="200"/>
        <w:rPr>
          <w:rFonts w:asciiTheme="minorEastAsia" w:eastAsiaTheme="minorEastAsia" w:hAnsiTheme="minorEastAsia"/>
          <w:szCs w:val="21"/>
        </w:rPr>
      </w:pPr>
      <w:r w:rsidRPr="0087389D">
        <w:rPr>
          <w:rFonts w:asciiTheme="minorEastAsia" w:eastAsiaTheme="minorEastAsia" w:hAnsiTheme="minorEastAsia"/>
          <w:szCs w:val="21"/>
        </w:rPr>
        <w:t>公司建立了完善的信息披露制度，保证公开披露的信息真实、准确、完整。公司设立了信息披露负责人，并建立了相应的程序进行信息的收集、组织、审核和发布工作，以此加强对信息的审查核对，使所公布的信息符合法律法规的规定，同时加强对信息披露的检查和评价，对存在的问题及时提出改进办法。</w:t>
      </w:r>
    </w:p>
    <w:p w:rsidR="00056730" w:rsidRPr="0087389D" w:rsidRDefault="00056730" w:rsidP="00056730">
      <w:pPr>
        <w:tabs>
          <w:tab w:val="left" w:pos="735"/>
        </w:tabs>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rPr>
        <w:t>（</w:t>
      </w:r>
      <w:r w:rsidRPr="0087389D">
        <w:rPr>
          <w:rFonts w:asciiTheme="minorEastAsia" w:eastAsiaTheme="minorEastAsia" w:hAnsiTheme="minorEastAsia"/>
        </w:rPr>
        <w:t>7</w:t>
      </w:r>
      <w:r w:rsidRPr="0087389D">
        <w:rPr>
          <w:rFonts w:asciiTheme="minorEastAsia" w:eastAsiaTheme="minorEastAsia" w:hAnsiTheme="minorEastAsia" w:hint="eastAsia"/>
        </w:rPr>
        <w:t>）监察与合规管理</w:t>
      </w:r>
    </w:p>
    <w:p w:rsidR="000106DC" w:rsidRPr="0087389D" w:rsidRDefault="000106DC" w:rsidP="000106DC">
      <w:pPr>
        <w:snapToGrid w:val="0"/>
        <w:spacing w:line="360" w:lineRule="auto"/>
        <w:ind w:firstLine="420"/>
        <w:rPr>
          <w:rFonts w:asciiTheme="minorEastAsia" w:eastAsiaTheme="minorEastAsia" w:hAnsiTheme="minorEastAsia"/>
          <w:kern w:val="0"/>
          <w:szCs w:val="21"/>
        </w:rPr>
      </w:pPr>
      <w:r w:rsidRPr="0087389D">
        <w:rPr>
          <w:rFonts w:asciiTheme="minorEastAsia" w:eastAsiaTheme="minorEastAsia" w:hAnsiTheme="minorEastAsia" w:hint="eastAsia"/>
        </w:rPr>
        <w:t>公司设立督察长，经董事会聘任，报中国证监会核准。根据公司监察与合规管理工作的需要和董事会授权，督察长可以列席公司相关会议，调阅公司相关档案，就内部控制制度的执行情况独立地履行检查、评价、报告、建议职能。督察长定期和不定期向董事会报告公司内部控制执行情况，董事会对督察长的报告进行审议。</w:t>
      </w:r>
    </w:p>
    <w:p w:rsidR="000106DC" w:rsidRPr="0087389D" w:rsidRDefault="000106DC" w:rsidP="000106DC">
      <w:pPr>
        <w:snapToGrid w:val="0"/>
        <w:spacing w:line="360" w:lineRule="auto"/>
        <w:ind w:firstLine="420"/>
        <w:rPr>
          <w:rFonts w:asciiTheme="minorEastAsia" w:eastAsiaTheme="minorEastAsia" w:hAnsiTheme="minorEastAsia"/>
        </w:rPr>
      </w:pPr>
      <w:r w:rsidRPr="0087389D">
        <w:rPr>
          <w:rFonts w:asciiTheme="minorEastAsia" w:eastAsiaTheme="minorEastAsia" w:hAnsiTheme="minorEastAsia" w:hint="eastAsia"/>
        </w:rPr>
        <w:t>公司设立监察合规管理部门开展监察与合规管理工作，并保证监察合规管理部门的独立性和权威性。公司明确了监察合规管理部门及内部各岗位的具体职责，严格制订了专业任职条件、操作程序和组织纪律。</w:t>
      </w:r>
    </w:p>
    <w:p w:rsidR="000106DC" w:rsidRPr="0087389D" w:rsidRDefault="000106DC" w:rsidP="000106DC">
      <w:pPr>
        <w:snapToGrid w:val="0"/>
        <w:spacing w:line="360" w:lineRule="auto"/>
        <w:ind w:firstLine="420"/>
        <w:rPr>
          <w:rFonts w:asciiTheme="minorEastAsia" w:eastAsiaTheme="minorEastAsia" w:hAnsiTheme="minorEastAsia"/>
        </w:rPr>
      </w:pPr>
      <w:r w:rsidRPr="0087389D">
        <w:rPr>
          <w:rFonts w:asciiTheme="minorEastAsia" w:eastAsiaTheme="minorEastAsia" w:hAnsiTheme="minorEastAsia" w:hint="eastAsia"/>
        </w:rPr>
        <w:t>监察合规管理部门强化内部检查制度，通过定期或不定期检查内部控制制度的执行情况，促使公司各项经营管理活动的规范运行。</w:t>
      </w:r>
    </w:p>
    <w:p w:rsidR="000106DC" w:rsidRPr="0087389D" w:rsidRDefault="000106DC" w:rsidP="000106DC">
      <w:pPr>
        <w:snapToGrid w:val="0"/>
        <w:spacing w:line="360" w:lineRule="auto"/>
        <w:ind w:firstLine="420"/>
        <w:rPr>
          <w:rFonts w:asciiTheme="minorEastAsia" w:eastAsiaTheme="minorEastAsia" w:hAnsiTheme="minorEastAsia"/>
        </w:rPr>
      </w:pPr>
      <w:r w:rsidRPr="0087389D">
        <w:rPr>
          <w:rFonts w:asciiTheme="minorEastAsia" w:eastAsiaTheme="minorEastAsia" w:hAnsiTheme="minorEastAsia" w:hint="eastAsia"/>
        </w:rPr>
        <w:t>公司董事会和管理层充分重视和支持监察与合规管理工作，对违反法律、法规和公司内部控制制度的，追究有关部门和人员的责任。</w:t>
      </w:r>
    </w:p>
    <w:p w:rsidR="00BA4B87" w:rsidRPr="0087389D" w:rsidRDefault="00FA5B52" w:rsidP="00555CE7">
      <w:pPr>
        <w:snapToGrid w:val="0"/>
        <w:spacing w:line="360" w:lineRule="auto"/>
        <w:ind w:firstLine="420"/>
        <w:rPr>
          <w:rFonts w:asciiTheme="minorEastAsia" w:eastAsiaTheme="minorEastAsia" w:hAnsiTheme="minorEastAsia"/>
          <w:kern w:val="0"/>
        </w:rPr>
      </w:pPr>
      <w:r w:rsidRPr="0087389D">
        <w:rPr>
          <w:rFonts w:asciiTheme="minorEastAsia" w:eastAsiaTheme="minorEastAsia" w:hAnsiTheme="minorEastAsia" w:hint="eastAsia"/>
          <w:kern w:val="0"/>
        </w:rPr>
        <w:t>5、</w:t>
      </w:r>
      <w:r w:rsidR="00BA4B87" w:rsidRPr="0087389D">
        <w:rPr>
          <w:rFonts w:asciiTheme="minorEastAsia" w:eastAsiaTheme="minorEastAsia" w:hAnsiTheme="minorEastAsia"/>
          <w:kern w:val="0"/>
        </w:rPr>
        <w:t>基金管理人关于内部控制制度声明书</w:t>
      </w:r>
    </w:p>
    <w:p w:rsidR="00BA4B87" w:rsidRPr="0087389D" w:rsidRDefault="00B329B1" w:rsidP="00555CE7">
      <w:pPr>
        <w:tabs>
          <w:tab w:val="left" w:pos="735"/>
        </w:tabs>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rPr>
        <w:t>（</w:t>
      </w:r>
      <w:r w:rsidR="00052C9F" w:rsidRPr="0087389D">
        <w:rPr>
          <w:rFonts w:asciiTheme="minorEastAsia" w:eastAsiaTheme="minorEastAsia" w:hAnsiTheme="minorEastAsia"/>
        </w:rPr>
        <w:t>1</w:t>
      </w:r>
      <w:r w:rsidRPr="0087389D">
        <w:rPr>
          <w:rFonts w:asciiTheme="minorEastAsia" w:eastAsiaTheme="minorEastAsia" w:hAnsiTheme="minorEastAsia"/>
        </w:rPr>
        <w:t>）</w:t>
      </w:r>
      <w:r w:rsidR="00BA4B87" w:rsidRPr="0087389D">
        <w:rPr>
          <w:rFonts w:asciiTheme="minorEastAsia" w:eastAsiaTheme="minorEastAsia" w:hAnsiTheme="minorEastAsia"/>
        </w:rPr>
        <w:t>本公司承诺以上关于内部控制制度的披露真实、准确；</w:t>
      </w:r>
    </w:p>
    <w:p w:rsidR="00BA4B87" w:rsidRPr="0087389D" w:rsidRDefault="00B329B1" w:rsidP="00555CE7">
      <w:pPr>
        <w:tabs>
          <w:tab w:val="left" w:pos="735"/>
        </w:tabs>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rPr>
        <w:t>（</w:t>
      </w:r>
      <w:r w:rsidR="00052C9F" w:rsidRPr="0087389D">
        <w:rPr>
          <w:rFonts w:asciiTheme="minorEastAsia" w:eastAsiaTheme="minorEastAsia" w:hAnsiTheme="minorEastAsia"/>
        </w:rPr>
        <w:t>2</w:t>
      </w:r>
      <w:r w:rsidRPr="0087389D">
        <w:rPr>
          <w:rFonts w:asciiTheme="minorEastAsia" w:eastAsiaTheme="minorEastAsia" w:hAnsiTheme="minorEastAsia"/>
        </w:rPr>
        <w:t>）</w:t>
      </w:r>
      <w:r w:rsidR="00BA4B87" w:rsidRPr="0087389D">
        <w:rPr>
          <w:rFonts w:asciiTheme="minorEastAsia" w:eastAsiaTheme="minorEastAsia" w:hAnsiTheme="minorEastAsia"/>
        </w:rPr>
        <w:t>本公司承诺根据市场变化和公司业务发展不断完善内部控制制度。</w:t>
      </w:r>
    </w:p>
    <w:p w:rsidR="00BA4B87" w:rsidRPr="0087389D" w:rsidRDefault="00BA4B87" w:rsidP="00555CE7">
      <w:pPr>
        <w:pStyle w:val="1"/>
        <w:snapToGrid w:val="0"/>
        <w:spacing w:beforeLines="0" w:afterLines="0" w:line="360" w:lineRule="auto"/>
        <w:ind w:firstLine="643"/>
        <w:rPr>
          <w:rFonts w:asciiTheme="minorEastAsia" w:eastAsiaTheme="minorEastAsia" w:hAnsiTheme="minorEastAsia"/>
          <w:b/>
        </w:rPr>
      </w:pPr>
      <w:r w:rsidRPr="0087389D">
        <w:rPr>
          <w:rFonts w:asciiTheme="minorEastAsia" w:eastAsiaTheme="minorEastAsia" w:hAnsiTheme="minorEastAsia"/>
          <w:b/>
          <w:bCs/>
        </w:rPr>
        <w:br w:type="column"/>
      </w:r>
      <w:bookmarkStart w:id="35" w:name="_Toc361403733"/>
      <w:bookmarkStart w:id="36" w:name="_Toc41644962"/>
      <w:r w:rsidRPr="0087389D">
        <w:rPr>
          <w:rFonts w:asciiTheme="minorEastAsia" w:eastAsiaTheme="minorEastAsia" w:hAnsiTheme="minorEastAsia"/>
          <w:b/>
        </w:rPr>
        <w:lastRenderedPageBreak/>
        <w:t>四、基金托管人</w:t>
      </w:r>
      <w:bookmarkEnd w:id="35"/>
      <w:bookmarkEnd w:id="36"/>
    </w:p>
    <w:p w:rsidR="00E17B2F" w:rsidRPr="0087389D" w:rsidRDefault="00E17B2F" w:rsidP="00E17B2F">
      <w:pPr>
        <w:ind w:firstLine="420"/>
        <w:rPr>
          <w:rFonts w:asciiTheme="minorEastAsia" w:eastAsiaTheme="minorEastAsia" w:hAnsiTheme="minorEastAsia"/>
        </w:rPr>
      </w:pPr>
      <w:bookmarkStart w:id="37" w:name="_Toc332373472"/>
      <w:r w:rsidRPr="0087389D">
        <w:rPr>
          <w:rFonts w:asciiTheme="minorEastAsia" w:eastAsiaTheme="minorEastAsia" w:hAnsiTheme="minorEastAsia" w:hint="eastAsia"/>
        </w:rPr>
        <w:t>（一）基金托管人情况</w:t>
      </w:r>
    </w:p>
    <w:p w:rsidR="00E17B2F" w:rsidRPr="0087389D" w:rsidRDefault="00E17B2F" w:rsidP="00E17B2F">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1、基本情况</w:t>
      </w:r>
    </w:p>
    <w:p w:rsidR="00E17B2F" w:rsidRPr="0087389D" w:rsidRDefault="00E17B2F" w:rsidP="00E17B2F">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名称：</w:t>
      </w:r>
      <w:r w:rsidRPr="0087389D">
        <w:rPr>
          <w:rFonts w:asciiTheme="minorEastAsia" w:eastAsiaTheme="minorEastAsia" w:hAnsiTheme="minorEastAsia" w:hint="eastAsia"/>
          <w:szCs w:val="21"/>
        </w:rPr>
        <w:t>中国邮政储蓄银行股份有限公司</w:t>
      </w:r>
    </w:p>
    <w:p w:rsidR="00E17B2F" w:rsidRPr="0087389D" w:rsidRDefault="00E17B2F" w:rsidP="00E17B2F">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住所：北京市西城区金融大街3号</w:t>
      </w:r>
    </w:p>
    <w:p w:rsidR="00E17B2F" w:rsidRPr="0087389D" w:rsidRDefault="00E17B2F" w:rsidP="00E17B2F">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办公地址：北京市西城区金融大街3号A座</w:t>
      </w:r>
    </w:p>
    <w:p w:rsidR="00E17B2F" w:rsidRPr="0087389D" w:rsidRDefault="00E17B2F" w:rsidP="00E17B2F">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成立时间：2007年3月6日</w:t>
      </w:r>
    </w:p>
    <w:p w:rsidR="00E17B2F" w:rsidRPr="0087389D" w:rsidRDefault="00E17B2F" w:rsidP="00E17B2F">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法定代表人：张金良</w:t>
      </w:r>
    </w:p>
    <w:p w:rsidR="00E17B2F" w:rsidRPr="0087389D" w:rsidRDefault="00E17B2F" w:rsidP="00E17B2F">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rPr>
        <w:t>注册资本：</w:t>
      </w:r>
      <w:r w:rsidRPr="0087389D">
        <w:rPr>
          <w:rFonts w:asciiTheme="minorEastAsia" w:eastAsiaTheme="minorEastAsia" w:hAnsiTheme="minorEastAsia" w:hint="eastAsia"/>
          <w:szCs w:val="21"/>
        </w:rPr>
        <w:t>810.31亿元人民币</w:t>
      </w:r>
    </w:p>
    <w:p w:rsidR="00E17B2F" w:rsidRPr="0087389D" w:rsidRDefault="00E17B2F" w:rsidP="00E17B2F">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批准设立机关及批准设立文号：中国银监会银监复〔2006〕484号</w:t>
      </w:r>
    </w:p>
    <w:p w:rsidR="00E17B2F" w:rsidRPr="0087389D" w:rsidRDefault="00E17B2F" w:rsidP="00E17B2F">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基金托管资格批文及文号：证监许可〔2009〕673号</w:t>
      </w:r>
    </w:p>
    <w:p w:rsidR="00E17B2F" w:rsidRPr="0087389D" w:rsidRDefault="00E17B2F" w:rsidP="00E17B2F">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rPr>
        <w:t>联系人：</w:t>
      </w:r>
      <w:r w:rsidRPr="0087389D">
        <w:rPr>
          <w:rFonts w:asciiTheme="minorEastAsia" w:eastAsiaTheme="minorEastAsia" w:hAnsiTheme="minorEastAsia" w:hint="eastAsia"/>
          <w:szCs w:val="21"/>
        </w:rPr>
        <w:t>马强</w:t>
      </w:r>
    </w:p>
    <w:p w:rsidR="00E17B2F" w:rsidRPr="0087389D" w:rsidRDefault="00E17B2F" w:rsidP="00E17B2F">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联系电话：</w:t>
      </w:r>
      <w:r w:rsidRPr="0087389D">
        <w:rPr>
          <w:rFonts w:asciiTheme="minorEastAsia" w:eastAsiaTheme="minorEastAsia" w:hAnsiTheme="minorEastAsia" w:hint="eastAsia"/>
          <w:szCs w:val="21"/>
        </w:rPr>
        <w:t>010－68857221</w:t>
      </w:r>
    </w:p>
    <w:p w:rsidR="00E17B2F" w:rsidRPr="0087389D" w:rsidRDefault="00E17B2F" w:rsidP="00E17B2F">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经营范围：吸收公众存款；发放短期、中期、长期贷款；办理国内外结算；办理票据承兑和贴现；发行金融债券；代理发行、代理兑付、承销政府债券；买卖政府债券、金融债券；从事同业拆借；买卖、代理买卖外汇；从事银行卡业务；提供信用证服务及担保；代理收付款项及代理保险业务；提供保险箱服务；经中国银行业监督管理机构等监管部门批准的其他业务。</w:t>
      </w:r>
    </w:p>
    <w:p w:rsidR="00E17B2F" w:rsidRPr="0087389D" w:rsidRDefault="00E17B2F" w:rsidP="00E17B2F">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2、主要人员情况</w:t>
      </w:r>
    </w:p>
    <w:p w:rsidR="00E17B2F" w:rsidRPr="0087389D" w:rsidRDefault="00E17B2F" w:rsidP="00E17B2F">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中国邮政储蓄银行股份有限公司总行设托管业务部，下设资产托管处、产品管理处、风险管理处、运营管理处等处室。现有员工27人，全部员工拥有大学本科以上学历及基金从业资格，90%员工具有三年以上基金从业经历，具备丰富的托管服务经验。</w:t>
      </w:r>
    </w:p>
    <w:p w:rsidR="00E17B2F" w:rsidRPr="0087389D" w:rsidRDefault="00E17B2F" w:rsidP="00E17B2F">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3、托管业务经营情况</w:t>
      </w:r>
    </w:p>
    <w:p w:rsidR="00E17B2F" w:rsidRPr="0087389D" w:rsidRDefault="00E17B2F" w:rsidP="00E17B2F">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2009年7月23日，中国邮政储蓄银行经中国证券监督管理委员会和中国银行业监督管理委员会联合批准，获得证券投资基金托管资格，是我国第16家托管银行。2012年7月19日，中国邮政储蓄银行经中国保险业监督管理委员会批准，获得保险资金托管资格。中国邮政储蓄银行坚持以客户为中心、以服务为基础的经营理念，依托专业的托管团队、灵活的托管业务系统、规范的托管管理制度、健全的内控体系、运作高效的业务处理模式，为广大基金份额持有人和众多资产管理机构提供安全、高效、专业、全面的托管服务，并获得了合作伙伴一致好评。</w:t>
      </w:r>
    </w:p>
    <w:p w:rsidR="00E17B2F" w:rsidRPr="0087389D" w:rsidRDefault="00E2585B" w:rsidP="00E17B2F">
      <w:pPr>
        <w:snapToGrid w:val="0"/>
        <w:spacing w:line="360" w:lineRule="auto"/>
        <w:ind w:firstLineChars="200" w:firstLine="420"/>
        <w:rPr>
          <w:rFonts w:asciiTheme="minorEastAsia" w:eastAsiaTheme="minorEastAsia" w:hAnsiTheme="minorEastAsia"/>
        </w:rPr>
      </w:pPr>
      <w:r w:rsidRPr="00E2585B">
        <w:rPr>
          <w:rFonts w:asciiTheme="minorEastAsia" w:eastAsiaTheme="minorEastAsia" w:hAnsiTheme="minorEastAsia" w:hint="eastAsia"/>
        </w:rPr>
        <w:t>截至2020年3月31日，中国邮政储蓄银行托管的证券投资基金共109只。至今，中国邮政储蓄银行已形成涵盖证券投资基金、基金公司特定客户资产管理计划、信托计划、银行理财产品（本外币）、私募基金、证券公司资产管理计划、保险资金、保险资产管理计划等多种资产类型的托管产品体系，托管规模达41163.65亿元。</w:t>
      </w:r>
    </w:p>
    <w:p w:rsidR="00E17B2F" w:rsidRPr="0087389D" w:rsidRDefault="00E17B2F" w:rsidP="00E17B2F">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lastRenderedPageBreak/>
        <w:t>(二)基金托管人的内部控制制度</w:t>
      </w:r>
    </w:p>
    <w:p w:rsidR="00E17B2F" w:rsidRPr="0087389D" w:rsidRDefault="00E17B2F" w:rsidP="00E17B2F">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1、内部控制目标</w:t>
      </w:r>
    </w:p>
    <w:p w:rsidR="00E17B2F" w:rsidRPr="0087389D" w:rsidRDefault="00E17B2F" w:rsidP="00E17B2F">
      <w:pPr>
        <w:snapToGrid w:val="0"/>
        <w:spacing w:line="360" w:lineRule="auto"/>
        <w:ind w:firstLineChars="200" w:firstLine="420"/>
        <w:rPr>
          <w:rFonts w:asciiTheme="minorEastAsia" w:eastAsiaTheme="minorEastAsia" w:hAnsiTheme="minorEastAsia"/>
          <w:kern w:val="0"/>
        </w:rPr>
      </w:pPr>
      <w:r w:rsidRPr="0087389D">
        <w:rPr>
          <w:rFonts w:asciiTheme="minorEastAsia" w:eastAsiaTheme="minorEastAsia" w:hAnsiTheme="minorEastAsia" w:hint="eastAsia"/>
          <w:kern w:val="0"/>
        </w:rPr>
        <w:t>作为基金托管人，中国邮政储蓄银行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E17B2F" w:rsidRPr="0087389D" w:rsidRDefault="00E17B2F" w:rsidP="00E17B2F">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2、内部控制组织结构</w:t>
      </w:r>
    </w:p>
    <w:p w:rsidR="00E17B2F" w:rsidRPr="0087389D" w:rsidRDefault="00E17B2F" w:rsidP="00E17B2F">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中国邮政储蓄银行设有风险与内控管理委员会，负责全行风险管理与内部控制工作，对托管业务风险控制工作进行检查指导。托管业务部专门设置内部风险控制处室，配备专职内控监督人员负责托管业务的内控监督工作，具有独立行使监督稽核的工作职权和能力。</w:t>
      </w:r>
    </w:p>
    <w:p w:rsidR="00E17B2F" w:rsidRPr="0087389D" w:rsidRDefault="00E17B2F" w:rsidP="00E17B2F">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3、内部控制制度及措施</w:t>
      </w:r>
    </w:p>
    <w:p w:rsidR="00E17B2F" w:rsidRPr="0087389D" w:rsidRDefault="00E17B2F" w:rsidP="00E17B2F">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员负责，防止泄密；业务实现自动化操作，防止人为事故的发生，技术系统完整、独立。</w:t>
      </w:r>
    </w:p>
    <w:p w:rsidR="00E17B2F" w:rsidRPr="0087389D" w:rsidRDefault="00E17B2F" w:rsidP="00E17B2F">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(三)基金托管人对基金管理人运作基金进行监督的方法和程序</w:t>
      </w:r>
    </w:p>
    <w:p w:rsidR="00E17B2F" w:rsidRPr="0087389D" w:rsidRDefault="00E17B2F" w:rsidP="00E17B2F">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1、监督方法</w:t>
      </w:r>
    </w:p>
    <w:p w:rsidR="00E17B2F" w:rsidRPr="0087389D" w:rsidRDefault="00E17B2F" w:rsidP="00E17B2F">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依照《基金法》及其配套法规和基金合同的约定，监督所托管基金的投资运作。严格按照现行法律法规以及基金合同规定，对基金管理人运作基金的投资比例、投资范围、投资组合等情况进行监督，对违法违规行为及时予以风险提示，要求其限期纠正，同时报告中国证监会。在日常为基金投资运作所提供的基金清算和核算服务环节中，对基金管理人发送的投资指令、基金管理人对各基金费用的提取与开支情况进行检查监督。</w:t>
      </w:r>
    </w:p>
    <w:p w:rsidR="00E17B2F" w:rsidRPr="0087389D" w:rsidRDefault="00E17B2F" w:rsidP="00E17B2F">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2、监督流程</w:t>
      </w:r>
    </w:p>
    <w:p w:rsidR="00E17B2F" w:rsidRPr="0087389D" w:rsidRDefault="00E17B2F" w:rsidP="00E17B2F">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每工作日按时通过基金监督子系统，对各基金投资运作比例控制指标进行例行监控，发现投资比例超标等异常情况，向基金管理人发出书面通知，与基金管理人进行情况核实，督促其纠正，并及时报告中国证监会。</w:t>
      </w:r>
    </w:p>
    <w:p w:rsidR="00E17B2F" w:rsidRPr="0087389D" w:rsidRDefault="00E17B2F" w:rsidP="00E17B2F">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(2)收到基金管理人的划款指令后，对涉及各基金的投资范围、投资对象及交易对手等内容进行合法合规性监督。</w:t>
      </w:r>
    </w:p>
    <w:p w:rsidR="00E17B2F" w:rsidRPr="0087389D" w:rsidRDefault="00E17B2F" w:rsidP="00E17B2F">
      <w:pPr>
        <w:ind w:firstLine="420"/>
        <w:rPr>
          <w:rFonts w:asciiTheme="minorEastAsia" w:eastAsiaTheme="minorEastAsia" w:hAnsiTheme="minorEastAsia"/>
        </w:rPr>
      </w:pPr>
      <w:r w:rsidRPr="0087389D">
        <w:rPr>
          <w:rFonts w:asciiTheme="minorEastAsia" w:eastAsiaTheme="minorEastAsia" w:hAnsiTheme="minorEastAsia" w:hint="eastAsia"/>
        </w:rPr>
        <w:t>(3)通过技术或非技术手段发现基金涉嫌违规交易，电话或书面要求管理人进行解释或举证，要求限期纠正，并及时报告中国证监会。</w:t>
      </w:r>
    </w:p>
    <w:p w:rsidR="00E17B2F" w:rsidRPr="0087389D" w:rsidRDefault="00E17B2F" w:rsidP="00E17B2F">
      <w:pPr>
        <w:rPr>
          <w:rFonts w:asciiTheme="minorEastAsia" w:eastAsiaTheme="minorEastAsia" w:hAnsiTheme="minorEastAsia"/>
        </w:rPr>
      </w:pPr>
    </w:p>
    <w:p w:rsidR="00BA4B87" w:rsidRPr="0087389D" w:rsidRDefault="00BA4B87" w:rsidP="00555CE7">
      <w:pPr>
        <w:pStyle w:val="111"/>
        <w:snapToGrid w:val="0"/>
        <w:spacing w:beforeLines="0" w:afterLines="0" w:line="360" w:lineRule="auto"/>
        <w:ind w:firstLine="643"/>
        <w:rPr>
          <w:rFonts w:asciiTheme="minorEastAsia" w:eastAsiaTheme="minorEastAsia" w:hAnsiTheme="minorEastAsia"/>
          <w:b/>
          <w:szCs w:val="32"/>
        </w:rPr>
      </w:pPr>
      <w:bookmarkStart w:id="38" w:name="_Toc361403734"/>
      <w:bookmarkStart w:id="39" w:name="_Toc41644963"/>
      <w:bookmarkEnd w:id="37"/>
      <w:r w:rsidRPr="0087389D">
        <w:rPr>
          <w:rFonts w:asciiTheme="minorEastAsia" w:eastAsiaTheme="minorEastAsia" w:hAnsiTheme="minorEastAsia"/>
          <w:b/>
          <w:szCs w:val="21"/>
        </w:rPr>
        <w:lastRenderedPageBreak/>
        <w:t>五、相关服务机构</w:t>
      </w:r>
      <w:bookmarkEnd w:id="38"/>
      <w:bookmarkEnd w:id="39"/>
    </w:p>
    <w:p w:rsidR="00BA4B87" w:rsidRPr="0087389D" w:rsidRDefault="00B329B1" w:rsidP="00555CE7">
      <w:pPr>
        <w:snapToGrid w:val="0"/>
        <w:spacing w:line="360" w:lineRule="auto"/>
        <w:ind w:firstLineChars="200" w:firstLine="420"/>
        <w:rPr>
          <w:rFonts w:asciiTheme="minorEastAsia" w:eastAsiaTheme="minorEastAsia" w:hAnsiTheme="minorEastAsia"/>
        </w:rPr>
      </w:pPr>
      <w:bookmarkStart w:id="40" w:name="_Toc327734810"/>
      <w:r w:rsidRPr="0087389D">
        <w:rPr>
          <w:rFonts w:asciiTheme="minorEastAsia" w:eastAsiaTheme="minorEastAsia" w:hAnsiTheme="minorEastAsia"/>
        </w:rPr>
        <w:t>（</w:t>
      </w:r>
      <w:r w:rsidR="00BA4B87" w:rsidRPr="0087389D">
        <w:rPr>
          <w:rFonts w:asciiTheme="minorEastAsia" w:eastAsiaTheme="minorEastAsia" w:hAnsiTheme="minorEastAsia"/>
        </w:rPr>
        <w:t>一</w:t>
      </w:r>
      <w:r w:rsidRPr="0087389D">
        <w:rPr>
          <w:rFonts w:asciiTheme="minorEastAsia" w:eastAsiaTheme="minorEastAsia" w:hAnsiTheme="minorEastAsia"/>
        </w:rPr>
        <w:t>）</w:t>
      </w:r>
      <w:r w:rsidR="00BA4B87" w:rsidRPr="0087389D">
        <w:rPr>
          <w:rFonts w:asciiTheme="minorEastAsia" w:eastAsiaTheme="minorEastAsia" w:hAnsiTheme="minorEastAsia"/>
        </w:rPr>
        <w:t>基金份额</w:t>
      </w:r>
      <w:r w:rsidR="00A547E3" w:rsidRPr="0087389D">
        <w:rPr>
          <w:rFonts w:asciiTheme="minorEastAsia" w:eastAsiaTheme="minorEastAsia" w:hAnsiTheme="minorEastAsia" w:hint="eastAsia"/>
        </w:rPr>
        <w:t>销</w:t>
      </w:r>
      <w:r w:rsidR="00A547E3" w:rsidRPr="0087389D">
        <w:rPr>
          <w:rFonts w:asciiTheme="minorEastAsia" w:eastAsiaTheme="minorEastAsia" w:hAnsiTheme="minorEastAsia"/>
        </w:rPr>
        <w:t>售</w:t>
      </w:r>
      <w:r w:rsidR="00BA4B87" w:rsidRPr="0087389D">
        <w:rPr>
          <w:rFonts w:asciiTheme="minorEastAsia" w:eastAsiaTheme="minorEastAsia" w:hAnsiTheme="minorEastAsia"/>
        </w:rPr>
        <w:t>机构</w:t>
      </w:r>
      <w:bookmarkEnd w:id="40"/>
    </w:p>
    <w:p w:rsidR="005B43D5" w:rsidRPr="0087389D" w:rsidRDefault="005B43D5" w:rsidP="00555CE7">
      <w:pPr>
        <w:snapToGrid w:val="0"/>
        <w:spacing w:line="360" w:lineRule="auto"/>
        <w:ind w:firstLineChars="200" w:firstLine="420"/>
        <w:rPr>
          <w:rFonts w:asciiTheme="minorEastAsia" w:eastAsiaTheme="minorEastAsia" w:hAnsiTheme="minorEastAsia"/>
        </w:rPr>
      </w:pPr>
      <w:r w:rsidRPr="0087389D">
        <w:rPr>
          <w:rStyle w:val="da"/>
          <w:rFonts w:asciiTheme="minorEastAsia" w:eastAsiaTheme="minorEastAsia" w:hAnsiTheme="minorEastAsia"/>
        </w:rPr>
        <w:t>1</w:t>
      </w:r>
      <w:r w:rsidRPr="0087389D">
        <w:rPr>
          <w:rStyle w:val="da"/>
          <w:rFonts w:asciiTheme="minorEastAsia" w:eastAsiaTheme="minorEastAsia" w:hAnsiTheme="minorEastAsia" w:hint="eastAsia"/>
        </w:rPr>
        <w:t>、直销机构：易方达基金管理有限公司</w:t>
      </w:r>
    </w:p>
    <w:p w:rsidR="00C961FC" w:rsidRPr="0087389D" w:rsidRDefault="00C961FC" w:rsidP="002370E7">
      <w:pPr>
        <w:adjustRightInd w:val="0"/>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szCs w:val="21"/>
        </w:rPr>
        <w:t>注册地址：</w:t>
      </w:r>
      <w:r w:rsidR="00943624" w:rsidRPr="0087389D">
        <w:rPr>
          <w:rFonts w:asciiTheme="minorEastAsia" w:eastAsiaTheme="minorEastAsia" w:hAnsiTheme="minorEastAsia"/>
        </w:rPr>
        <w:t>广东省珠海市横琴新区宝华路6号105室－42891（集中办公区）</w:t>
      </w:r>
    </w:p>
    <w:p w:rsidR="00BA4B87" w:rsidRPr="0087389D" w:rsidRDefault="00BA4B87"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szCs w:val="21"/>
        </w:rPr>
        <w:t>办公地址：</w:t>
      </w:r>
      <w:r w:rsidR="00524D02" w:rsidRPr="0087389D">
        <w:rPr>
          <w:rFonts w:asciiTheme="minorEastAsia" w:eastAsiaTheme="minorEastAsia" w:hAnsiTheme="minorEastAsia" w:hint="eastAsia"/>
          <w:szCs w:val="21"/>
        </w:rPr>
        <w:t>广州市天河区珠江新城珠江东路30号广州银行大厦40-43楼</w:t>
      </w:r>
    </w:p>
    <w:p w:rsidR="00BA4B87" w:rsidRPr="0087389D" w:rsidRDefault="00BA4B87"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szCs w:val="21"/>
        </w:rPr>
        <w:t>法定代表人：</w:t>
      </w:r>
      <w:r w:rsidR="00541326" w:rsidRPr="0087389D">
        <w:rPr>
          <w:rFonts w:asciiTheme="minorEastAsia" w:eastAsiaTheme="minorEastAsia" w:hAnsiTheme="minorEastAsia" w:hint="eastAsia"/>
          <w:szCs w:val="21"/>
        </w:rPr>
        <w:t>刘晓艳</w:t>
      </w:r>
    </w:p>
    <w:p w:rsidR="00BA4B87" w:rsidRPr="0087389D" w:rsidRDefault="00BA4B87"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szCs w:val="21"/>
        </w:rPr>
        <w:t>电话：020-85102506</w:t>
      </w:r>
    </w:p>
    <w:p w:rsidR="00BA4B87" w:rsidRPr="0087389D" w:rsidRDefault="00BA4B87"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szCs w:val="21"/>
        </w:rPr>
        <w:t>传真：4008818099</w:t>
      </w:r>
    </w:p>
    <w:p w:rsidR="00BA4B87" w:rsidRPr="0087389D" w:rsidRDefault="00BA4B87"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szCs w:val="21"/>
        </w:rPr>
        <w:t>联系人：</w:t>
      </w:r>
      <w:r w:rsidR="000106DC" w:rsidRPr="0087389D">
        <w:rPr>
          <w:rFonts w:asciiTheme="minorEastAsia" w:eastAsiaTheme="minorEastAsia" w:hAnsiTheme="minorEastAsia" w:hint="eastAsia"/>
        </w:rPr>
        <w:t>王峰</w:t>
      </w:r>
    </w:p>
    <w:p w:rsidR="00D2527C" w:rsidRPr="0087389D" w:rsidRDefault="00D2527C"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szCs w:val="21"/>
        </w:rPr>
        <w:t>网址：</w:t>
      </w:r>
      <w:hyperlink r:id="rId16" w:history="1">
        <w:r w:rsidRPr="0087389D">
          <w:rPr>
            <w:rFonts w:asciiTheme="minorEastAsia" w:eastAsiaTheme="minorEastAsia" w:hAnsiTheme="minorEastAsia"/>
            <w:szCs w:val="21"/>
          </w:rPr>
          <w:t>www.efunds.com.cn</w:t>
        </w:r>
      </w:hyperlink>
    </w:p>
    <w:p w:rsidR="00BF2556" w:rsidRPr="0087389D" w:rsidRDefault="00BF2556" w:rsidP="00555CE7">
      <w:pPr>
        <w:snapToGrid w:val="0"/>
        <w:spacing w:line="360" w:lineRule="auto"/>
        <w:ind w:firstLine="480"/>
        <w:rPr>
          <w:rFonts w:asciiTheme="minorEastAsia" w:eastAsiaTheme="minorEastAsia" w:hAnsiTheme="minorEastAsia"/>
          <w:szCs w:val="21"/>
        </w:rPr>
      </w:pPr>
      <w:r w:rsidRPr="0087389D">
        <w:rPr>
          <w:rFonts w:asciiTheme="minorEastAsia" w:eastAsiaTheme="minorEastAsia" w:hAnsiTheme="minorEastAsia" w:hint="eastAsia"/>
          <w:szCs w:val="21"/>
        </w:rPr>
        <w:t>直销机构网点信息：</w:t>
      </w:r>
    </w:p>
    <w:p w:rsidR="00BF2556" w:rsidRPr="0087389D" w:rsidRDefault="00BF2556" w:rsidP="00555CE7">
      <w:pPr>
        <w:snapToGrid w:val="0"/>
        <w:spacing w:line="360" w:lineRule="auto"/>
        <w:ind w:firstLine="480"/>
        <w:rPr>
          <w:rFonts w:asciiTheme="minorEastAsia" w:eastAsiaTheme="minorEastAsia" w:hAnsiTheme="minorEastAsia"/>
          <w:szCs w:val="21"/>
        </w:rPr>
      </w:pPr>
      <w:r w:rsidRPr="0087389D">
        <w:rPr>
          <w:rFonts w:asciiTheme="minorEastAsia" w:eastAsiaTheme="minorEastAsia" w:hAnsiTheme="minorEastAsia" w:hint="eastAsia"/>
          <w:szCs w:val="21"/>
        </w:rPr>
        <w:t>（1）易方达基金管理有限公司广州直销中心</w:t>
      </w:r>
    </w:p>
    <w:p w:rsidR="00BF2556" w:rsidRPr="0087389D" w:rsidRDefault="00BF2556" w:rsidP="00555CE7">
      <w:pPr>
        <w:snapToGrid w:val="0"/>
        <w:spacing w:line="360" w:lineRule="auto"/>
        <w:ind w:firstLine="480"/>
        <w:rPr>
          <w:rFonts w:asciiTheme="minorEastAsia" w:eastAsiaTheme="minorEastAsia" w:hAnsiTheme="minorEastAsia"/>
          <w:szCs w:val="21"/>
        </w:rPr>
      </w:pPr>
      <w:r w:rsidRPr="0087389D">
        <w:rPr>
          <w:rFonts w:asciiTheme="minorEastAsia" w:eastAsiaTheme="minorEastAsia" w:hAnsiTheme="minorEastAsia" w:hint="eastAsia"/>
          <w:szCs w:val="21"/>
        </w:rPr>
        <w:t>办公地址：广州市天河区珠江新城珠江东路30号广州银行大厦40楼</w:t>
      </w:r>
    </w:p>
    <w:p w:rsidR="00BF2556" w:rsidRPr="0087389D" w:rsidRDefault="00BF2556" w:rsidP="00555CE7">
      <w:pPr>
        <w:snapToGrid w:val="0"/>
        <w:spacing w:line="360" w:lineRule="auto"/>
        <w:ind w:firstLine="480"/>
        <w:rPr>
          <w:rFonts w:asciiTheme="minorEastAsia" w:eastAsiaTheme="minorEastAsia" w:hAnsiTheme="minorEastAsia"/>
          <w:szCs w:val="21"/>
        </w:rPr>
      </w:pPr>
      <w:r w:rsidRPr="0087389D">
        <w:rPr>
          <w:rFonts w:asciiTheme="minorEastAsia" w:eastAsiaTheme="minorEastAsia" w:hAnsiTheme="minorEastAsia" w:hint="eastAsia"/>
          <w:szCs w:val="21"/>
        </w:rPr>
        <w:t>电话：020-85102506</w:t>
      </w:r>
    </w:p>
    <w:p w:rsidR="00BF2556" w:rsidRPr="0087389D" w:rsidRDefault="00BF2556" w:rsidP="00555CE7">
      <w:pPr>
        <w:snapToGrid w:val="0"/>
        <w:spacing w:line="360" w:lineRule="auto"/>
        <w:ind w:firstLine="480"/>
        <w:rPr>
          <w:rFonts w:asciiTheme="minorEastAsia" w:eastAsiaTheme="minorEastAsia" w:hAnsiTheme="minorEastAsia"/>
          <w:szCs w:val="21"/>
        </w:rPr>
      </w:pPr>
      <w:r w:rsidRPr="0087389D">
        <w:rPr>
          <w:rFonts w:asciiTheme="minorEastAsia" w:eastAsiaTheme="minorEastAsia" w:hAnsiTheme="minorEastAsia" w:hint="eastAsia"/>
          <w:szCs w:val="21"/>
        </w:rPr>
        <w:t>传真：4008818099</w:t>
      </w:r>
    </w:p>
    <w:p w:rsidR="00BF2556" w:rsidRPr="0087389D" w:rsidRDefault="00BF2556" w:rsidP="00555CE7">
      <w:pPr>
        <w:snapToGrid w:val="0"/>
        <w:spacing w:line="360" w:lineRule="auto"/>
        <w:ind w:firstLine="480"/>
        <w:rPr>
          <w:rFonts w:asciiTheme="minorEastAsia" w:eastAsiaTheme="minorEastAsia" w:hAnsiTheme="minorEastAsia"/>
          <w:szCs w:val="21"/>
        </w:rPr>
      </w:pPr>
      <w:r w:rsidRPr="0087389D">
        <w:rPr>
          <w:rFonts w:asciiTheme="minorEastAsia" w:eastAsiaTheme="minorEastAsia" w:hAnsiTheme="minorEastAsia" w:hint="eastAsia"/>
          <w:szCs w:val="21"/>
        </w:rPr>
        <w:t>联系人：</w:t>
      </w:r>
      <w:r w:rsidR="000106DC" w:rsidRPr="0087389D">
        <w:rPr>
          <w:rFonts w:asciiTheme="minorEastAsia" w:eastAsiaTheme="minorEastAsia" w:hAnsiTheme="minorEastAsia" w:hint="eastAsia"/>
        </w:rPr>
        <w:t>王峰</w:t>
      </w:r>
    </w:p>
    <w:p w:rsidR="00BF2556" w:rsidRPr="0087389D" w:rsidRDefault="00BF2556" w:rsidP="00555CE7">
      <w:pPr>
        <w:snapToGrid w:val="0"/>
        <w:spacing w:line="360" w:lineRule="auto"/>
        <w:ind w:firstLine="480"/>
        <w:rPr>
          <w:rFonts w:asciiTheme="minorEastAsia" w:eastAsiaTheme="minorEastAsia" w:hAnsiTheme="minorEastAsia"/>
          <w:szCs w:val="21"/>
        </w:rPr>
      </w:pPr>
      <w:r w:rsidRPr="0087389D">
        <w:rPr>
          <w:rFonts w:asciiTheme="minorEastAsia" w:eastAsiaTheme="minorEastAsia" w:hAnsiTheme="minorEastAsia" w:hint="eastAsia"/>
          <w:szCs w:val="21"/>
        </w:rPr>
        <w:t>（2）易方达基金管理有限公司北京直销中心</w:t>
      </w:r>
    </w:p>
    <w:p w:rsidR="00164EFC" w:rsidRPr="0087389D" w:rsidRDefault="00BF2556" w:rsidP="00555CE7">
      <w:pPr>
        <w:snapToGrid w:val="0"/>
        <w:spacing w:line="360" w:lineRule="auto"/>
        <w:ind w:firstLine="480"/>
        <w:rPr>
          <w:rFonts w:asciiTheme="minorEastAsia" w:eastAsiaTheme="minorEastAsia" w:hAnsiTheme="minorEastAsia"/>
          <w:szCs w:val="21"/>
        </w:rPr>
      </w:pPr>
      <w:r w:rsidRPr="0087389D">
        <w:rPr>
          <w:rFonts w:asciiTheme="minorEastAsia" w:eastAsiaTheme="minorEastAsia" w:hAnsiTheme="minorEastAsia" w:hint="eastAsia"/>
          <w:szCs w:val="21"/>
        </w:rPr>
        <w:t>办公地址：</w:t>
      </w:r>
      <w:r w:rsidR="00F46125" w:rsidRPr="0087389D">
        <w:rPr>
          <w:rFonts w:asciiTheme="minorEastAsia" w:eastAsiaTheme="minorEastAsia" w:hAnsiTheme="minorEastAsia" w:hint="eastAsia"/>
          <w:szCs w:val="21"/>
        </w:rPr>
        <w:t>北京市西城区武定侯街2号泰康国际大厦18层</w:t>
      </w:r>
    </w:p>
    <w:p w:rsidR="00BF2556" w:rsidRPr="0087389D" w:rsidRDefault="00BF2556" w:rsidP="00555CE7">
      <w:pPr>
        <w:snapToGrid w:val="0"/>
        <w:spacing w:line="360" w:lineRule="auto"/>
        <w:ind w:firstLine="480"/>
        <w:rPr>
          <w:rFonts w:asciiTheme="minorEastAsia" w:eastAsiaTheme="minorEastAsia" w:hAnsiTheme="minorEastAsia"/>
          <w:szCs w:val="21"/>
        </w:rPr>
      </w:pPr>
      <w:r w:rsidRPr="0087389D">
        <w:rPr>
          <w:rFonts w:asciiTheme="minorEastAsia" w:eastAsiaTheme="minorEastAsia" w:hAnsiTheme="minorEastAsia" w:hint="eastAsia"/>
          <w:szCs w:val="21"/>
        </w:rPr>
        <w:t>电话：010-63213377</w:t>
      </w:r>
    </w:p>
    <w:p w:rsidR="00BF2556" w:rsidRPr="0087389D" w:rsidRDefault="00BF2556" w:rsidP="00555CE7">
      <w:pPr>
        <w:snapToGrid w:val="0"/>
        <w:spacing w:line="360" w:lineRule="auto"/>
        <w:ind w:firstLine="480"/>
        <w:rPr>
          <w:rFonts w:asciiTheme="minorEastAsia" w:eastAsiaTheme="minorEastAsia" w:hAnsiTheme="minorEastAsia"/>
          <w:szCs w:val="21"/>
        </w:rPr>
      </w:pPr>
      <w:r w:rsidRPr="0087389D">
        <w:rPr>
          <w:rFonts w:asciiTheme="minorEastAsia" w:eastAsiaTheme="minorEastAsia" w:hAnsiTheme="minorEastAsia" w:hint="eastAsia"/>
          <w:szCs w:val="21"/>
        </w:rPr>
        <w:t>传真：4008818099</w:t>
      </w:r>
    </w:p>
    <w:p w:rsidR="00BF2556" w:rsidRPr="0087389D" w:rsidRDefault="00BF2556" w:rsidP="00555CE7">
      <w:pPr>
        <w:snapToGrid w:val="0"/>
        <w:spacing w:line="360" w:lineRule="auto"/>
        <w:ind w:firstLine="480"/>
        <w:rPr>
          <w:rFonts w:asciiTheme="minorEastAsia" w:eastAsiaTheme="minorEastAsia" w:hAnsiTheme="minorEastAsia"/>
          <w:szCs w:val="21"/>
        </w:rPr>
      </w:pPr>
      <w:r w:rsidRPr="0087389D">
        <w:rPr>
          <w:rFonts w:asciiTheme="minorEastAsia" w:eastAsiaTheme="minorEastAsia" w:hAnsiTheme="minorEastAsia" w:hint="eastAsia"/>
          <w:szCs w:val="21"/>
        </w:rPr>
        <w:t>联系人：</w:t>
      </w:r>
      <w:r w:rsidR="00EA50BF" w:rsidRPr="0087389D">
        <w:rPr>
          <w:rFonts w:asciiTheme="minorEastAsia" w:eastAsiaTheme="minorEastAsia" w:hAnsiTheme="minorEastAsia" w:hint="eastAsia"/>
          <w:szCs w:val="21"/>
        </w:rPr>
        <w:t>刘蕾</w:t>
      </w:r>
    </w:p>
    <w:p w:rsidR="00BF2556" w:rsidRPr="0087389D" w:rsidRDefault="00BF2556" w:rsidP="00555CE7">
      <w:pPr>
        <w:snapToGrid w:val="0"/>
        <w:spacing w:line="360" w:lineRule="auto"/>
        <w:ind w:firstLine="480"/>
        <w:rPr>
          <w:rFonts w:asciiTheme="minorEastAsia" w:eastAsiaTheme="minorEastAsia" w:hAnsiTheme="minorEastAsia"/>
          <w:szCs w:val="21"/>
        </w:rPr>
      </w:pPr>
      <w:r w:rsidRPr="0087389D">
        <w:rPr>
          <w:rFonts w:asciiTheme="minorEastAsia" w:eastAsiaTheme="minorEastAsia" w:hAnsiTheme="minorEastAsia" w:hint="eastAsia"/>
          <w:szCs w:val="21"/>
        </w:rPr>
        <w:t>（3）易方达基金管理有限公司上海直销中心</w:t>
      </w:r>
    </w:p>
    <w:p w:rsidR="00BF2556" w:rsidRPr="0087389D" w:rsidRDefault="00BF2556" w:rsidP="00555CE7">
      <w:pPr>
        <w:snapToGrid w:val="0"/>
        <w:spacing w:line="360" w:lineRule="auto"/>
        <w:ind w:firstLine="480"/>
        <w:rPr>
          <w:rFonts w:asciiTheme="minorEastAsia" w:eastAsiaTheme="minorEastAsia" w:hAnsiTheme="minorEastAsia"/>
          <w:szCs w:val="21"/>
        </w:rPr>
      </w:pPr>
      <w:r w:rsidRPr="0087389D">
        <w:rPr>
          <w:rFonts w:asciiTheme="minorEastAsia" w:eastAsiaTheme="minorEastAsia" w:hAnsiTheme="minorEastAsia" w:hint="eastAsia"/>
          <w:szCs w:val="21"/>
        </w:rPr>
        <w:t>办公地址：</w:t>
      </w:r>
      <w:r w:rsidR="006C68A9" w:rsidRPr="0087389D">
        <w:rPr>
          <w:rFonts w:asciiTheme="minorEastAsia" w:eastAsiaTheme="minorEastAsia" w:hAnsiTheme="minorEastAsia" w:hint="eastAsia"/>
          <w:szCs w:val="21"/>
        </w:rPr>
        <w:t>上海市浦东新区世纪大道88号金茂大厦46楼</w:t>
      </w:r>
    </w:p>
    <w:p w:rsidR="00BF2556" w:rsidRPr="0087389D" w:rsidRDefault="00BF2556" w:rsidP="00555CE7">
      <w:pPr>
        <w:snapToGrid w:val="0"/>
        <w:spacing w:line="360" w:lineRule="auto"/>
        <w:ind w:firstLine="480"/>
        <w:rPr>
          <w:rFonts w:asciiTheme="minorEastAsia" w:eastAsiaTheme="minorEastAsia" w:hAnsiTheme="minorEastAsia"/>
          <w:szCs w:val="21"/>
        </w:rPr>
      </w:pPr>
      <w:r w:rsidRPr="0087389D">
        <w:rPr>
          <w:rFonts w:asciiTheme="minorEastAsia" w:eastAsiaTheme="minorEastAsia" w:hAnsiTheme="minorEastAsia" w:hint="eastAsia"/>
          <w:szCs w:val="21"/>
        </w:rPr>
        <w:t>电话：021-50476668</w:t>
      </w:r>
    </w:p>
    <w:p w:rsidR="00BF2556" w:rsidRPr="0087389D" w:rsidRDefault="00BF2556" w:rsidP="00555CE7">
      <w:pPr>
        <w:snapToGrid w:val="0"/>
        <w:spacing w:line="360" w:lineRule="auto"/>
        <w:ind w:firstLine="480"/>
        <w:rPr>
          <w:rFonts w:asciiTheme="minorEastAsia" w:eastAsiaTheme="minorEastAsia" w:hAnsiTheme="minorEastAsia"/>
          <w:szCs w:val="21"/>
        </w:rPr>
      </w:pPr>
      <w:r w:rsidRPr="0087389D">
        <w:rPr>
          <w:rFonts w:asciiTheme="minorEastAsia" w:eastAsiaTheme="minorEastAsia" w:hAnsiTheme="minorEastAsia" w:hint="eastAsia"/>
          <w:szCs w:val="21"/>
        </w:rPr>
        <w:t>传真：4008818099</w:t>
      </w:r>
    </w:p>
    <w:p w:rsidR="00BF2556" w:rsidRPr="0087389D" w:rsidRDefault="00BF2556" w:rsidP="00555CE7">
      <w:pPr>
        <w:snapToGrid w:val="0"/>
        <w:spacing w:line="360" w:lineRule="auto"/>
        <w:ind w:firstLine="480"/>
        <w:rPr>
          <w:rFonts w:asciiTheme="minorEastAsia" w:eastAsiaTheme="minorEastAsia" w:hAnsiTheme="minorEastAsia"/>
          <w:szCs w:val="21"/>
        </w:rPr>
      </w:pPr>
      <w:r w:rsidRPr="0087389D">
        <w:rPr>
          <w:rFonts w:asciiTheme="minorEastAsia" w:eastAsiaTheme="minorEastAsia" w:hAnsiTheme="minorEastAsia" w:hint="eastAsia"/>
          <w:szCs w:val="21"/>
        </w:rPr>
        <w:t>联系人：于楠</w:t>
      </w:r>
    </w:p>
    <w:p w:rsidR="00BF2556" w:rsidRPr="0087389D" w:rsidRDefault="00BF2556" w:rsidP="00555CE7">
      <w:pPr>
        <w:snapToGrid w:val="0"/>
        <w:spacing w:line="360" w:lineRule="auto"/>
        <w:ind w:firstLine="480"/>
        <w:rPr>
          <w:rFonts w:asciiTheme="minorEastAsia" w:eastAsiaTheme="minorEastAsia" w:hAnsiTheme="minorEastAsia"/>
          <w:szCs w:val="21"/>
        </w:rPr>
      </w:pPr>
      <w:r w:rsidRPr="0087389D">
        <w:rPr>
          <w:rFonts w:asciiTheme="minorEastAsia" w:eastAsiaTheme="minorEastAsia" w:hAnsiTheme="minorEastAsia" w:hint="eastAsia"/>
          <w:szCs w:val="21"/>
        </w:rPr>
        <w:t>（4）易方达基金管理有限公司网上交易系统</w:t>
      </w:r>
    </w:p>
    <w:p w:rsidR="00BF2556" w:rsidRPr="0087389D" w:rsidRDefault="00BF2556" w:rsidP="00555CE7">
      <w:pPr>
        <w:snapToGrid w:val="0"/>
        <w:spacing w:line="360" w:lineRule="auto"/>
        <w:ind w:firstLine="480"/>
        <w:rPr>
          <w:rFonts w:asciiTheme="minorEastAsia" w:eastAsiaTheme="minorEastAsia" w:hAnsiTheme="minorEastAsia"/>
          <w:szCs w:val="21"/>
        </w:rPr>
      </w:pPr>
      <w:r w:rsidRPr="0087389D">
        <w:rPr>
          <w:rFonts w:asciiTheme="minorEastAsia" w:eastAsiaTheme="minorEastAsia" w:hAnsiTheme="minorEastAsia" w:hint="eastAsia"/>
          <w:szCs w:val="21"/>
        </w:rPr>
        <w:t>网址：www.efunds.com.cn</w:t>
      </w:r>
    </w:p>
    <w:p w:rsidR="005B43D5" w:rsidRPr="0087389D" w:rsidRDefault="005B43D5" w:rsidP="00555CE7">
      <w:pPr>
        <w:snapToGrid w:val="0"/>
        <w:spacing w:line="360" w:lineRule="auto"/>
        <w:ind w:firstLineChars="200" w:firstLine="420"/>
        <w:rPr>
          <w:rStyle w:val="da"/>
          <w:rFonts w:asciiTheme="minorEastAsia" w:eastAsiaTheme="minorEastAsia" w:hAnsiTheme="minorEastAsia"/>
          <w:szCs w:val="21"/>
        </w:rPr>
      </w:pPr>
      <w:bookmarkStart w:id="41" w:name="_Toc327734811"/>
      <w:r w:rsidRPr="0087389D">
        <w:rPr>
          <w:rStyle w:val="da"/>
          <w:rFonts w:asciiTheme="minorEastAsia" w:eastAsiaTheme="minorEastAsia" w:hAnsiTheme="minorEastAsia"/>
          <w:szCs w:val="21"/>
        </w:rPr>
        <w:t>2</w:t>
      </w:r>
      <w:r w:rsidRPr="0087389D">
        <w:rPr>
          <w:rStyle w:val="da"/>
          <w:rFonts w:asciiTheme="minorEastAsia" w:eastAsiaTheme="minorEastAsia" w:hAnsiTheme="minorEastAsia" w:hint="eastAsia"/>
          <w:szCs w:val="21"/>
        </w:rPr>
        <w:t>、非直销销售机构</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(1)A类基金份额、B类基金份额</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 中国邮政储蓄银行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注册地址：北京市西城区金融大街3号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办公地址：北京市西城区金融大街3号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lastRenderedPageBreak/>
        <w:t>法定代表人：张金良</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联系人：王硕</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客户服务电话：95580</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传真：010-68858057</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网址：www.psbc.com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2) 渤海银行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注册地址：天津市河东区海河东路218号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办公地址：天津市河东区海河东路218号渤海银行大厦</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法定代表人：李伏安</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联系人：王宏</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联系电话：022-58316666</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客户服务电话：95541</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传真：022-58316569</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网址：www.cbhb.com.cn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3) 广发银行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注册地址：广东省广州市越秀区东风东路713号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办公地址：广东省广州市越秀区东风东路713号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法定代表人：王滨</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客户服务电话：400-830-8003</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网址：www.cgbchina.com.cn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4) 交通银行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注册地址：中国（上海）自由贸易试验区银城中路188号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办公地址：中国（上海）自由贸易试验区银城中路188号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法定代表人：任德奇</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联系人：王菁</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联系电话：021-58781234</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客户服务电话：95559</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网址：www.bankcomm.com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5) 浦发银行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注册地址：上海市中山东一路12号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办公地址：上海市中山东一路12号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法定代表人：郑杨</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联系人：赵守良</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联系电话：021-61618888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lastRenderedPageBreak/>
        <w:t>客户服务电话：95528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传真：021-63604196</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网址：www.spdb.com.cn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6) 兴业银行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注册地址：福州市湖东路154号中山大厦</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办公地址：上海市银城路167号兴业银行大厦</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法定代表人：陶以平（代为履行法定代表人职权）</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联系人：孙琪虹</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客户服务电话：95561</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网址：www.cib.com.cn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7) 招商银行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注册地址：深圳市福田区深南大道7088号招商银行大厦</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办公地址：深圳市福田区深南大道7088号招商银行大厦</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法定代表人：李建红</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 xml:space="preserve">联系人：季平伟 </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客户服务电话：95555</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网址：www.cmbchina.com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8) 中信银行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注册地址：北京市东城区朝阳门北大街9号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办公地址：北京市东城区朝阳门北大街9号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法定代表人：李庆萍</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联系人：王晓琳</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客户服务电话：95558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传真：010-85230049</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网址：bank.ecitic.com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9) 包商银行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注册地址：内蒙古自治区包头市青山区钢铁大街6号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办公地址：内蒙古自治区包头市青山区钢铁大街6号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法定代表人：周学东</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联系人：张晶</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联系电话：0472-5189165</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客户服务电话：95352</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传真：010-84596546</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网址：www.bsb.com.cn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lastRenderedPageBreak/>
        <w:t>10) 北京农商银行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注册地址：北京市西城区月坛南街1号院2号楼</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办公地址：北京市西城区月坛南街1号院2号楼</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法定代表人：王金山</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联系人：鲁娟</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联系电话：010-89198762</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客户服务电话：96198（北京）、400-66-96198（全国）</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网址：www.bjrcb.com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11) 长安银行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注册地址：西安市高新技术产业开发区高新四路13号1幢1单元10101室</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办公地址：西安市高新技术产业开发区高新四路13号朗臣大厦</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法定代表人：赵永军</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联系人：闫石</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客户服务电话：400-05-96669；（029）96669</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传真：029-88609566</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网址：http://www.ccabchina.com/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12) 长春发展农商银行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注册地址：长春市经济技术开发区东南湖大路2199号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办公地址：长春市经济技术开发区东南湖大路2199号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法定代表人：李彦君</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联系人：宋静宜</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联系电话：0431-81864756</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客户服务电话：96888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网址：http://www.cdcb.com/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注：长春发展农商银行暂停办理本基金所有业务，业务恢复时间以本公司相关公告为准。</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13) 成都农商银行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注册地址：成都市武侯区科华中路88号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办公地址：成都市武侯区科华中路88号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法定代表人：陈萍</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联系人：杨琪</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联系电话：028-85315412</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客户服务电话：95392   4006-028-666</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传真：028-85390961</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网址：http://www.cdrcb.com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lastRenderedPageBreak/>
        <w:t>14) 慈溪农村商业银行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注册地址：浙江省慈溪市浒山街道南城路25号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办公地址：慈溪市浒山街道南城路25号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法定代表人：应利广</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联系人：潘建立</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电话：0574-63899035</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客户服务电话：4008896596</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 www.cixibank.com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15) 大连银行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注册地址：辽宁省大连市中山区中山路88号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办公地址：大连市中山区中山路88号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法定代表人：崔磊</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联系人：卜书慧</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联系电话：0411-82311936</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客户服务电话：400-664-0099</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网址：www.bankofdl.com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16) 德州银行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注册地址：山东省德州市三八东路1266号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办公地址：山东省德州市三八东路1266号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法定代表人：董合平</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联系人：王方震</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电话：0534-2297326</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客户服务电话：400-01-96588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网址：www.dzbchina.com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17) 东莞农村商业银行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注册地址：广东省东莞市东城区鸿福东路2号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办公地址：广东省东莞市东城区鸿福东路2号东莞农商银行大厦</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法定代表人：王耀球</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联系人：钟燕珊</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客户服务电话：0769-961122</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网址：www.drcbank.com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18) 佛山农商银行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注册地址：佛山市禅城区华远东路5号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办公地址：佛山市禅城区华远东路5号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lastRenderedPageBreak/>
        <w:t>法定代表人：李川</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联系人：陈棠熙</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客户服务电话：96138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网址：www.foshanbank.cn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19) 福建海峡银行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注册地址：福建省福州市台江区江滨中大道358号海峡银行大厦</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办公地址：福建省福州市台江区江滨中大道358号福建海峡银行8楼</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法定代表人：俞敏</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联系人：黄钰雯</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联系电话：0591-87332762</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客户服务电话：400-893-9999</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传真：0591-87330926</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网址：www.fjhxbank.com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20) 阜新银行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 xml:space="preserve">注册地址：辽宁省阜新市细河区中华路51号 </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办公地址：辽宁省阜新市细河区中华路51号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法定代表人：赵祥</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联系人：白金</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客户服务电话：0418-96665</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传真：0418-3985051</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网址：www.fuxinbank.com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21) 富阳农商银行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注册地址：杭州市富阳区鹿山街道依江路501号第1幢</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办公地址：杭州市富阳区鹿山街道依江路501号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法定代表人：丁松茂</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联系人：陈硕</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联系电话：0571-63280253</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客户服务电话：96596、4008896596</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网址：www.fyrcbk.com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22) 广州农商银行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注册地址：广州市黄埔区映日路9号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办公地址：广州市天河区珠江新城华夏路1号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法定代表人：王继康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联系人：刘强</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lastRenderedPageBreak/>
        <w:t>联系电话：020-22389067</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客户服务电话：95313</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传真：020-22389031</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网址：www.grcbank.com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23) 哈尔滨银行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注册地址：哈尔滨市道里区尚志大街160号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办公地址：哈尔滨市道里区上江街888号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法定代表人：郭志文</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联系人：何岩岩</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电话：0451-87792450</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客户服务电话：95537</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传真：0451-87792682</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网址：www.hrbb.com.cn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24) 杭州联合银行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注册地址：浙江省杭州市上城区建国中路99号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办公地址：杭州市建国中路99号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法定代表人：张海林</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联系人：吴徐立</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联系电话：0571-87923324</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客户服务电话：96596</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传真：0571-87923214</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网址：www.urcb.com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25) 杭州银行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注册地址：浙江省杭州市下城区庆春路46号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办公地址：杭州市下城区庆春路46号杭州银行大厦</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法定代表人：陈震山</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联系人：董猛</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联系电话：0571-85872972</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客户服务电话：95398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传真：0571-85106576</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网址：www.hzbank.com.cn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26) 河北银行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注册地址：石家庄市平安北大街28号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办公地址：石家庄市平安北大街28号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lastRenderedPageBreak/>
        <w:t>法定代表人：乔志强</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联系人：李博</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联系电话：0311-88627587</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客户服务电话：400-612-9999</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传真：0311-67806407</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网址：www.hebbank.com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27) 吉林银行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注册地址：吉林省长春市经济技术开发区东南湖大路1817号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办公地址：吉林省长春市经济技术开发区东南湖大路1817号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法定代表人：陈宇龙</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联系人：孟明</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联系电话：0431-84992680</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客户服务电话：400-88-96666</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传真：0431-84992649</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网址：www.jlbank.com.cn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28) 嘉兴银行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注册地址：浙江省嘉兴市昌盛南路1001号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办公地址：浙江省嘉兴市昌盛南路1001号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法定代表人：夏林生</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联系人：余舟</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联系电话：0573-82080201</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客户服务电话：0573-96528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网址：http://www.bojx.com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29) 江南农村商业银行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注册地址：常州市和平中路413号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办公地址：常州市和平中路413号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法定代表人：陆向阳</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联系人：李仙</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电话：0519-80585939</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客户服务电话：0519-96005</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传真：0519-89995170</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网址：http://www.jnbank.com.cn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30) 江西银行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注册地址：江西省南昌市红谷滩新区金融大街699号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lastRenderedPageBreak/>
        <w:t>办公地址：江西省南昌市红谷滩新区金融大街699号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法定代表人：陈晓明</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联系人：陈云波</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联系电话：0791-86796029</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客户服务电话：956055</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传真：0791-86790795</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网址：www.jx-bank.com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31) 焦作中旅银行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注册地址：焦作市山阳区迎宾路1号一幢1</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办公地址：焦作市山阳区迎宾路1号一幢1</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法定代表人：郑江</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联系人：郭威</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客户服务电话：96999</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传真：0391-2116762</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网址：www.jzctb.com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32) 金华银行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注册地址：浙江省金华市丹溪路1388号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办公地址：浙江省金华市金东区光南路668号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法定代表人：徐雅清</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联系人：何赛丽、陈霞</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联系电话：0579-82178270</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客户服务电话：400-711-6668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传真：0579-82178321</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网址：www.jhccb.com.cn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33) 锦州银行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注册地址：辽宁省锦州市科技路68号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办公地址：辽宁省锦州市科技路68号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法定代表人：魏学坤</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联系人：庞璐璐</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客户服务电话：400-66-96178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网址：www.jinzhoubank.com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34) 九江银行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注册地址：江西省九江市濂溪区长虹大道619号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办公地址：江西省九江市濂溪区长虹大道619号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lastRenderedPageBreak/>
        <w:t>法定代表人：刘羡庭</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联系人：胡浩</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联系电话：0792-2171968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客户服务电话：95316</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网址：www.jjccb.com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35) 九台农商银行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注册地址：吉林省长春市九台区新华大街504号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办公地址：吉林省长春市高新开发区蔚山路2559号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法定代表人：高兵</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联系人：曲凌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客户服务电话：0431-96888-0-2</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网址：http://www.jtnsh.com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36) 昆山农村商业银行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注册地址：江苏省昆山市前进东路828号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办公地址：江苏省昆山市前进东路828号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法定代表人：张哲清</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联系人：黄怡</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客户服务电话：0512-96079</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网址：www.ksrcb.com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37) 乐清农商银行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注册地址：浙江省乐清市城南街道伯乐西路99号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办公地址：浙江省乐清市城南街道伯乐西路99号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法定代表人：高剑飞</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联系人：金晓娇</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联系电话：0577-61566028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客户服务电话：4008896596</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传真：0577-61566063</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网址：www.yqbank.com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38) 龙江银行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注册地址：黑龙江省哈尔滨市道里区友谊路436号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办公地址：黑龙江省哈尔滨市道里区友谊路436号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法定代表人：张建辉</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联系人：闫勇</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联系电话：0451-85706107</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lastRenderedPageBreak/>
        <w:t>客户服务电话：400-645-8888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传真：0451-85706036</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网址：http://www.lj-bank.com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39) 龙湾农商银行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注册地址：浙江省温州市龙湾区永中街道永宁西路555号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办公地址：浙江省温州市龙湾区永中街道永宁西路555号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法定代表人：朱朋远</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联系人：胡俊杰</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联系电话：0577-86923223</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客户服务电话：4008296596</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传真：0577-86921250</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网址：www.lwrcb.com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40) 鹿城农商银行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注册地址：浙江省温州市鹿城区会展路1500号富银大厦</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办公地址：温州市车站大道547号信合大厦A幢</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法定代表人：陈宏强</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联系人：董雷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联系电话：0577-88077675</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客户服务电话：96526</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网址：http://www.lcrcbank.com/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41) 洛阳银行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注册地址：洛阳市洛阳新区开元大道与通济街交叉口</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办公地址：河南省洛阳市开元大道256号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法定代表人：王建甫</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联系人：郭文博</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联系电话：0379-65921977</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客户服务电话：0379-96699</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传真：0379-65938595</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网址：www.bankofluoyang.com.cn/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42) 宁波银行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注册地址：浙江省宁波市鄞州区宁东路345号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办公地址：浙江省宁波市鄞州区宁东路345号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法定代表人：陆华裕</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联系人：夏禾</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lastRenderedPageBreak/>
        <w:t>客户服务电话：95574</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网址：www.nbcb.com.cn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43) 瓯海农商银行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注册地址：浙江省温州市瓯海区瓯海大道989号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办公地址：温州市车站大道福森大厦1-5层</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法定代表人：黄定表</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联系人：夏晓春</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客户服务电话：96596</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网址：www.ouhaibank.com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44) 齐商银行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注册地址：淄博市张店区中心路105号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办公地址：山东省淄博市张店区金晶大道105号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法定代表人：杲传勇</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联系人：焦浦</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联系电话：0533-2178888-9907</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客户服务电话：400-86-96588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传真：0533-2180303</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网址：www.qsbank.cc</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45) 青岛银行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注册地址：山东省青岛市崂山区秦岭路6号3号楼</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办公地址：山东省青岛市崂山区秦岭路6号3号楼</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法定代表人：郭少泉</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联系人：陈界交</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联系电话：0532-68629925</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客户服务电话：96588（青岛）400-66-96588（全国）</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网址：http://www.qdccb.com/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46) 泉州银行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注册地址：泉州市丰泽区云鹿路3号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办公地址：泉州市丰泽区云鹿路3号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法定代表人：傅子能</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联系人：董培姗</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联系电话：0595-22551071</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客户服务电话：400-88-96312</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传真：0595-22578871</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lastRenderedPageBreak/>
        <w:t>网址：http://www.qzccbank.com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47) 日照银行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注册地址：山东省日照市烟台路197号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办公地址：山东省日照市烟台路197号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法定代表人：王森</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联系人：孔颖</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联系电话：0633-8081590</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客户服务电话：400-68-96588（全国）、0633-96588（日照）</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传真：0633-8081276</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网址：http://www.bankofrizhao.com.cn/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48) 瑞安农商银行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注册地址：瑞安市安阳街道万松东路148号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办公地址：瑞安市安阳街道万松东路148号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法定代表人：王光领</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联系人：吴清萍</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联系电话：0577-66816501</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客户服务电话：4008057702</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网址：https://www.rarcbank.com/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49) 瑞丰银行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注册地址：浙江省绍兴市柯桥区笛扬路1363号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办公地址：浙江省绍兴市柯桥区笛扬路1363号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法定代表人：章伟东</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联系人：孟建潮</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联系电话：0575-81105323</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客户服务电话：400-88-96596</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传真：0575-84788134</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网址：www.borf.cn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50) 上海农村商业银行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注册地址：上海市黄浦区中山东二路70号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 xml:space="preserve">办公地址：上海市黄浦区中山东二路70号上海农商银行大厦 </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法定代表人：徐力</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联系人：施传荣</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联系电话：021-61899999</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客户服务电话：021-962999、4006962999</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lastRenderedPageBreak/>
        <w:t>开放式基金业务传真：021-50105124</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网址：www.srcb.com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51) 上海银行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注册地址：中国（上海）自由贸易试验区银城中路168号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办公地址：上海市浦东新区银城中路168号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法定代表人：金煜</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联系人：王笑</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联系电话：021-68475732</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客户服务电话：95594</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网址：http://www.bosc.cn/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52) 盛京银行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注册地址：沈阳市沈河区北站路109号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办公地址：沈阳市沈河区北站路109号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法定代表人：邱火发</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联系人：裴奕欢</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客户服务电话：95337</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网址：www.shengjingbank.com.cn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53) 深圳农村商业银行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注册地址：深圳市罗湖区深南东路3038号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办公地址：深圳市罗湖区深南东路3038号合作金融大厦</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法定代表人：李光安</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联系人：陈泽鑫</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联系电话：0755-25188271</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客户服务电话：4001961200</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网址：http://www.4001961200.com/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54) 顺德农村商业银行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注册地址：广东佛山市顺德区大良德和居委会拥翠路2号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办公地址：广东佛山市顺德区大良德和居委会拥翠路2号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法定代表人：姚真勇</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联系人：杨素苗、区敏欣</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联系电话：0757-22382524</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客户服务电话：0757-22223388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传真：0757-22388235</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网址：www.sdebank.com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lastRenderedPageBreak/>
        <w:t>55) 苏州银行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注册地址：江苏省苏州市工业园区钟园路728号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办公地址：江苏省苏州市工业园区钟园路728号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法定代表人：王兰凤</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联系人：吴骏</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联系电话：0512-69868373</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客户服务电话：96067</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传真：0512-69868373</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网址：www.suzhoubank.com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56) 天津银行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注册地址：天津市河西区友谊路15号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办公地址：天津市河西区友谊路15号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法定代表人：李宗唐</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联系人：李岩</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联系电话：022-28405684</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客户服务电话：956056</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传真：022-28405631</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网址：www.bank-of-tianjin.com.cn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57) 微众银行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注册地址：深圳市前海深港合作区前湾一路1号A栋201室（入驻深圳市前海商务秘书有限公司）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办公地址：广东省深圳市南山区沙河西路1819号深圳湾科技生态园7栋A座</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法定代表人：顾敏</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客户服务电话：95384</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网址：http://www.webank.com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58) 潍坊银行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注册地址：山东省潍坊市奎文区胜利东街5139号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办公地址：山东省潍坊市奎文区胜利东街5139号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法定代表人：郭虎英</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联系人：井靖</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联系电话：0536-8051904</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客户服务电话：400-61-96588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传真：0536-8056061</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网址：www.wfccb.com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lastRenderedPageBreak/>
        <w:t>59) 萧山农商银行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注册地址：萧山区人民路258号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办公地址：浙江省杭州市萧山区人民路258号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法定代表人：王云龙</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联系人：朱光锋</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联系电话：0571-82739513</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客户服务电话：96596</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网址：http://www.zjxsbank.com/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60) 新昌农商银行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注册地址：浙江省绍兴市新昌县七星街道七星路18号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办公地址：浙江省绍兴市新昌县七星街道七星路18号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法定代表人：陆斌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联系人：陈春华</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联系电话：0575-86266991</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客户服务电话：96596、0575-86266928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传真：0575-86383121</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网址：http://xcbank.com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61) 烟台银行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注册地址：山东省烟台市芝罘区海港路25号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办公地址：山东省烟台市芝罘区海港路25号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法定代表人：吴明理</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联系人：张卓智</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联系电话：0535-6699671</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客户服务电话：4008-311-777</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传真：0535-6699884</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网址：www.yantaibank.net</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62) 义乌农商银行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注册地址：浙江省义乌市福田街道城北路677号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办公地址：浙江省义乌市城北路677号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法定代表人：陈文学</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联系人：项峰</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联系电话：0579-85562085</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客户服务电话：4008896596</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网址：http://www.ywbank.com/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lastRenderedPageBreak/>
        <w:t>63) 鄞州银行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注册地址：宁波市鄞州区民惠西路88号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办公地址：宁波市鄞州区民惠西路88号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法定代表人：周建斌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联系人：朱霓虹</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联系电话：0574-87412569</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客户服务电话：956058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网址：www.beeb.com.cn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64) 营口银行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注册地址：辽宁省营口市站前区市府路北1号、北3号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办公地址：辽宁省营口市新海大街99号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法定代表人：周宇</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联系人：杨志程</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联系电话：0417-2878819</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客户服务电话：40078-96178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网址：www.bankofyk.com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65) 余杭农村商业银行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注册地址：杭州市余杭区南苑街道南大街72号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办公地址：杭州市余杭区南苑街道南大街72号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法定代表人：来煜标</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联系人：蔡亮</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联系电话：0571-86209980</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客户服务电话：96596，4008896596</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网址：www.yhrcb.com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66) 云南红塔银行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注册地址：云南省玉溪市东风南路2号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办公地址：云南省昆明市盘龙区世博路低碳中心A座</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法定代表人：李光林</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联系人：马杰</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联系电话：0871-65236624</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客户服务电话：0877-96522</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网址：www.ynhtbank.com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67) 张家港农商银行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注册地址：张家港市杨舍镇人民中路66号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lastRenderedPageBreak/>
        <w:t>办公地址：张家港市杨舍镇人民中路66号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法定代表人：季颖</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联系人：施圆圆</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联系电话：18962282330</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客户服务电话：0512-96065</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网址：www.zrcbank.com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68) 浙江稠州商业银行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注册地址：浙江省义乌市江滨路义乌乐园东侧</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办公地址：杭州市上城区望潮路158号稠银大厦</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法定代表人：金子军</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联系人：谢圆圆</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联系电话：0571-87117661/13777805250</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客户服务电话：0571-96527</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传真：0571-87117607</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网址：http://www.czcb.com.cn/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69) 浙江泰隆商业银行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注册地址：浙江省台州市路桥区南官大道188号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办公地址：浙江省台州市路桥区南官大道188号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法定代表人：王钧</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联系人：陈妍宇</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联系电话：0571-87219677</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客户服务电话：95347</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网址：www.zjtlcb.com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70) 中原银行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注册地址：河南省郑州市郑东新区CBD商务外环路23号中科金座大厦</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办公地址：河南省郑州市郑东新区CBD商务外环路23号中科金座大厦</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法定代表人：窦荣兴</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联系人：张星强  联系电话：0371-85517713</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客户服务电话：95186</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网址：www.zybank.com.cn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71) 重庆银行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注册地址：重庆市渝中区邹容路153号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办公地址：重庆市江北区永平门街6号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法定代表人：林军</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lastRenderedPageBreak/>
        <w:t>联系人：石千凡</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联系电话：023-63367180</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客户服务电话：96899，4007096899</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网址：www.cqcbank.com.cn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72) 珠海华润银行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注册地址：广东省珠海市吉大九洲大道东1346号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办公地址：广东省珠海市吉大九洲大道东1346号珠海华润银行大厦</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法定代表人：刘晓勇</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联系人：李阳</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联系电话：4008800338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客户服务电话：96588（广东省外请加拨0756），400-8800-338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网址：www.crbank.com.cn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73) 紫金农商银行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注册地址：南京市建邺区江东中路381号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办公地址：南京市建邺区江东中路381号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法定代表人：张小军</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联系人：葛宜楷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联系电话：025-88866645</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客户服务电话：96008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传真：025-88866724</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网址：www.zjrcbank.com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74) 安信证券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注册地址：深圳市福田区金田路4018号安联大厦35层、28层A02单元</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办公地址：深圳市福田区金田路4018号安联大厦35层、28层A02单元</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 xml:space="preserve">          深圳市福田区深南大道2008号中国凤凰大厦1栋9层</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法定代表人：王连志</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联系人：陈剑虹</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联系电话：0755-82825551</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客户服务电话：95517</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传真：0755-82558355</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网址：www.essence.com.cn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75) 渤海证券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注册地址：天津市经济技术开发区第二大街42号写字楼101室</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办公地址：天津市南开区宾水西道8号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lastRenderedPageBreak/>
        <w:t>法定代表人：安志勇</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联系人：王星</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联系电话：022-28451922</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客户服务电话：400-651-5988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传真：022-28451892</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网址：www.ewww.com.cn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76) 财信证券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注册地址：长沙市芙蓉中路二段80号顺天国际财富中心26层</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办公地址：长沙市芙蓉中路二段80号顺天国际财富中心26-28层</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法定代表人：刘宛晨</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联系人：郭静</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联系电话：0731-84403347</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客户服务电话：95317</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传真：0731-84403439</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网址：www.cfzq.com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77) 长城国瑞证券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注册地址：厦门市思明区莲前西路2号莲富大厦17楼</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办公地址：厦门市思明区深田路46号深田国际大厦20楼</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法定代表人：王勇</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联系人：邱震</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联系电话：0592-2079259</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客户服务电话：400-0099-886</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传真：0592-2079602</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网址：www.gwgsc.com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78) 长城证券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注册地址：深圳市福田区福田街道金田路2026号能源大厦南塔楼10-19层</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办公地址：深圳市福田区福田街道金田路2026号能源大厦南塔楼10-19层长城证券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法定代表人：曹宏</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联系人：梁浩</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联系电话：0755-83530715</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客户服务电话：400-6666-888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传真：0755-83516199</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网址：www.cgws.com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79) 长江证券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lastRenderedPageBreak/>
        <w:t>注册地址：湖北省武汉市新华路特8号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办公地址：湖北省武汉市新华路特8号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法定代表人：李新华</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联系人：奚博宇</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联系电话：027-65799999</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客户服务电话：95579或4008-888-999</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传真：027-85481900</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网址：www.95579.com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80) 川财证券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注册地址：中国（四川）自由贸易试验区成都高新区交子大道177号中海国际中心B座17楼</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办公地址：四川省成都高新区交子大道177号中海国际中心B座17楼</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法定代表人：孟建军</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联系人：匡婷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联系电话：028-86583053</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 xml:space="preserve">客户服务电话：028-962708 </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网址：www.cczq.com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81) 大通证券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注册地址：辽宁省大连市沙河口区会展路129号大连国际金融中心A座-大连期货大厦38、39层</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办公地址：辽宁省大连市沙河口区会展路129号大连国际金融中心A座-大连期货大厦38、39层</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法定代表人：赵玺</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联系人：谢立军</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联系电话：0411-39991807</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客户服务电话：4008-169-169</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传真：0411-39673214</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网址：www.daton.com.cn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82) 大同证券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注册地址：山西省大同市城区迎宾街15号桐城中央21层</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办公地址：山西省太原市小店区长治路111号山西世贸中心A座F12、F13</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法定代表人：董祥</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联系人：薛津</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联系电话：0351-4130322</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lastRenderedPageBreak/>
        <w:t>客户服务电话：4007121212</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传真：0351-7219891</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网址：www.dtsbc.com.cn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83) 德邦证券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注册地址：上海市普陀区曹杨路510号南半幢9楼</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办公地址：上海市福山路500号城建国际中心29楼</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法定代表人：武晓春</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联系人：刘熠</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联系电话：021-68761616</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客户服务电话：400-8888-128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传真：021-68767880</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网址：http://www.tebon.com.cn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84) 第一创业证券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注册地址：深圳市福田区福华一路115号投行大厦20楼</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办公地址：深圳市福田区福华一路115号投行大厦20楼</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法定代表人：刘学民</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联系人：单晶</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联系电话：0755-23838750</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客户服务电话：95358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网址：www.firstcapital.com.cn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85) 东北证券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注册地址：长春市生态大街6666号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办公地址：长春市生态大街6666号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法定代表人：李福春</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联系人：安岩岩</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联系电话：0431-85096517</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客户服务电话：95360</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传真：0431-85096795</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网址：www.nesc.cn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86) 东莞证券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注册地址：东莞市莞城区可园南路一号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办公地址：东莞市莞城区可园南路1号金源中心30楼</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法定代表人：陈照星</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联系人：李荣</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lastRenderedPageBreak/>
        <w:t>联系电话：0769-22115712</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客户服务电话：95328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传真：0769-22115712</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网址：www.dgzq.com.cn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87) 东海证券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注册地址：江苏省常州市延陵西路23号投资广场18层</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办公地址：上海市浦东新区东方路1928号东海证券大厦</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法定代表人：钱俊文</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联系人：王一彦</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联系电话：021-20333333</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客户服务电话：95531、400-8888-588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传真：021-50498825</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网址：www.longone.com.cn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88) 东吴证券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注册地址：苏州工业园区星阳街5号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办公地址：苏州工业园区星阳街5号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法定代表人：范力</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联系人：陆晓</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联系电话：0512-62938521</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客户服务电话：95330</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传真：0512-65588021</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网址：www.dwzq.com.cn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89) 东兴证券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注册地址：北京市西城区金融大街5号（新盛大厦）12、15层</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办公地址：北京市西城区金融大街5号新盛大厦B座10层、12层、15层</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法定代表人：魏庆华</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联系人：夏锐</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联系电话：010-66559079</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客户服务电话：95309</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传真：010-66555133</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网址：www.dxzq.net</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90) 光大证券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注册地址：上海市静安区新闸路1508号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办公地址：上海市静安区新闸路1508号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lastRenderedPageBreak/>
        <w:t>法定代表人：刘秋明</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联系人：龚俊涛</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联系电话：021-22169999</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客户服务电话：95525</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传真：021-22169134</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网址：www.ebscn.com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91) 国都证券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注册地址：北京市东城区东直门南大街3号国华投资大厦9层10层</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办公地址：北京市东城区东直门南大街3号国华投资大厦9层10层</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法定代表人：王少华</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联系人：黄静</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联系电话：010-84183389</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客户服务电话：400-818-8118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传真：010-84183311-3122</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网址：www.guodu.com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92) 国海证券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注册地址：广西桂林市辅星路13号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办公地址：深圳市福田区竹子林四路光大银行大厦3楼</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法定代表人：何春梅</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联系人：田密</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联系电话：0755-83716916</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客户服务电话：95563或0771-95563</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网址：www.ghzq.com.cn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93) 国金证券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注册地址：成都市青羊区东城根上街95号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办公地址：成都市青羊区东城根上街95号成证大厦</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法定代表人：冉云</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联系人：杜晶、黎建平</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联系电话：028-86690057</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客户服务电话：95310</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传真：028-86690126</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网址：www.gjzq.com.cn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94) 国联证券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注册地址：江苏省无锡市太湖新城金融一街8号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lastRenderedPageBreak/>
        <w:t>办公地址：江苏省无锡市太湖新城金融一街8号国联金融大厦</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法定代表人：姚志勇</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联系人：祁昊</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联系电话：0510-82831662</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客户服务电话：95570</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传真：0510-82830162</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网址：www.glsc.com.cn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95) 国融证券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注册地址：内蒙古自治区呼和浩特市武川县腾飞大道1号4楼</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办公地址：北京市西城区宣武门西大街甲129号金隅大厦16层</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法定代表人：张智河</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联系人：李思萱</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联系电话：010-83991848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客户服务电话：95385</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传真：010-66412537</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网址：www.grzq.com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96) 国盛证券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注册地址：江西省南昌市新建区子实路1589号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办公地址：江西省南昌市红谷滩新区凤凰中大道1115号北京银行大厦</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法定代表人：徐丽峰</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联系人：占文驰</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联系电话：0791-88250812</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客户服务电话：956080</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传真：0791-86281305</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网址：www.gszq.com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97) 国泰君安证券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注册地址：中国（上海）自由贸易试验区商城路618号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 xml:space="preserve">办公地址：上海市静安区南京西路768号国泰君安大厦 </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法定代表人：贺青</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联系人：芮敏祺</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客户服务电话：95521</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传真：021-38670666</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网址：www.gtja.com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98) 国信证券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lastRenderedPageBreak/>
        <w:t>注册地址：深圳市罗湖区红岭中路1012号国信证券大厦十六层至二十六层</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办公地址：深圳市罗湖区红岭中路1012号国信证券大厦十六层至二十六层</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法定代表人：何如</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联系人：李颖</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联系电话：0755-82130833</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客户服务电话：95536</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传真：0755-82133952</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网址：www.guosen.com.cn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99) 海通证券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注册地址：上海市广东路689号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办公地址：上海市广东路689号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法定代表人：周杰</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联系人：金芸、李笑鸣</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联系电话：021-23219000</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客户服务电话：95553</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传真：021-23219100</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网址：www.htsec.com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100) 华安证券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注册地址：安徽省合肥市政务文化新区天鹅湖路198号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办公地址：安徽省合肥市政务文化新区天鹅湖路198号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法定代表人：章宏韬</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联系人：范超</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联系电话：0551-65161821</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客户服务电话：95318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传真：0551-65161825</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网址：www.hazq.com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101) 华宝证券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注册地址：中国（上海）自由贸易试验区世纪大道100号57层</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办公地址：中国（上海）自由贸易试验区世纪大道100号57层</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法定代表人：刘加海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联系人：刘闻川</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联系电话：021-20657517</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客户服务电话：400-820-9898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传真：021-20515593</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lastRenderedPageBreak/>
        <w:t>网址：www.cnhbstock.com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102) 华福证券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注册地址：福建省福州市鼓楼区鼓屏路27号1#楼3层、4层、5层</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办公地址：上海市浦东新区陆家嘴环路1088号招商银行大厦18-19楼</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法定代表人：黄金琳</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联系人：王虹</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联系电话：021-20655183</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客户服务电话：95547</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传真：021-20655196</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网址：www.hfzq.com.cn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103) 华林证券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注册地址：拉萨市柳梧新区国际总部城3幢1单元5-5</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办公地址：深圳市福田区民田路178号华融大厦6楼</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法定代表人：林立</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联系人：胡倩</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联系电话：0755-83255199</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客户服务电话：400-188-3888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网址：www.chinalin.com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104) 华龙证券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注册地址：兰州市城关区东岗西路638号兰州财富中心21楼</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办公地址：兰州市城关区东岗西路638号兰州财富中心</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法定代表人：陈牧原</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联系人：范坤</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联系电话：0931-4890208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客户服务电话：95368、400-689-8888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传真：0931-4890628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网址：www.hlzq.com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105) 华融证券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注册地址：北京市西城区金融大街8号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办公地址：北京市朝阳区朝阳门北大街18号中国人保寿险大厦11至18层</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法定代表人：张海文</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联系人：孙燕波</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联系电话：010-85556048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客户服务电话：95390</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lastRenderedPageBreak/>
        <w:t>传真：010-85556088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网址：www.hrsec.com.cn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106) 华泰证券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注册地址：南京市江东中路228号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办公地址：南京市建邺区江东中路228号华泰证券广场</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法定代表人：张伟</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联系人：庞晓芸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联系电话：0755-82492193</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客户服务电话：95597</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传真：025-83387523</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网址：www.htsc.com.cn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107) 华西证券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注册地址：四川省成都市高新区天府二街198号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办公地址：四川省成都市高新区天府二街198号华西证券大厦</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法定代表人：杨炯洋</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联系人：张彬</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联系电话：010-58124967</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客户服务电话：95584</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传真：028-86150040</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网址：www.hx168.com.cn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108) 华鑫证券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注册地址：深圳市福田区莲花街道福中社区深南大道2008号中国凤凰大厦1栋20C-1</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办公地址：上海市徐汇区宛平南路8号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法定代表人：俞洋</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联系人：杨莉娟</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联系电话：021-54967552</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客户服务电话：95323（全国）、400-109-9918（全国）、029-68918888（西安）</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传真：021-54967293</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网址：www.cfsc.com.cn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109) 华信证券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 xml:space="preserve">注册地址：上海浦东新区世纪大道100号环球金融中心9楼 </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办公地址：上海市黄浦区南京西路399号明天广场23楼</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法定代表人：陈灿辉</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联系人：徐璐</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lastRenderedPageBreak/>
        <w:t>联系电话：021-63898952</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客户服务电话：400-820-5999</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传真：021-68776977转8952</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网址：www.shhxzq.com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110) 江海证券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注册地址：黑龙江省哈尔滨市香坊区赣水路56号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办公地址：黑龙江省哈尔滨市松北区创新三路833号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法定代表人：赵洪波</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联系人：姜志伟</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联系电话：0451-87765732</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客户服务电话：956007</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传真：0451-82337279</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网址：www.jhzq.com.cn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111) 金元证券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注册地址：海口市南宝路36号证券大厦4楼</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办公地址：深圳市深南大道4001号时代金融中心大厦17楼</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法定代表人：王作义</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联系人：刘萍</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联系电话：0755-83025693</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客户服务电话：95372</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传真：0755-83025625</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网址：www.jyzq.cn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112) 九州证券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注册地址：青海省西宁市南川工业园区创业路108号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办公地址：北京市朝阳区安立路30号仰山公园东一门2号楼</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法定代表人：魏先锋</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联系人：张思思</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联系电话：010-57672272</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客户服务电话：95305</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传真：010-57672296</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网址：www.jzsec.com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113) 开源证券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注册地址：陕西省西安市高新区锦业路1号都市之门B座5层</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办公地址：陕西省西安市高新区锦业路1号都市之门B座5层</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lastRenderedPageBreak/>
        <w:t>法定代表人：李刚</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联系人：张蕊</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联系电话：029-88365809</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客户服务电话：95325</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网址：www.kysec.cn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114) 联储证券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注册地址：广东省深圳市福田区福田街道岗厦社区深南大道南侧金地中心大厦9楼</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办公地址：上海市浦东新区陆家嘴环路333号金砖大厦8楼</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法定代表人：吕春卫</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联系人：张婉婷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联系电话：010-86499765</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客户服务电话：400-620-6868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网址：www.lczq.com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115) 南京证券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注册地址：南京市江东中路389号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办公地址：南京市江东中路389号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法定代表人：李剑锋</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联系人：王万君</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联系电话：025-58519523</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客户服务电话：95386</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传真：025-83369725</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网址：www.njzq.com.cn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116) 平安证券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注册地址：深圳市福田区福田街道益田路5023号平安金融中心B座第22-25层</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办公地址：深圳市福田区金田路4036号荣超大厦16-20层</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法定代表人：何之江</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联系人：周驰</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联系电话：021-38643230</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客户服务电话：95511-8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传真：021-58991896</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网址：stock.pingan.com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117) 瑞银证券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注册地址：北京市西城区金融大街7号英蓝国际金融中心12层、15层</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办公地址：北京市西城区金融大街7号英蓝国际金融中心12层、15层</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lastRenderedPageBreak/>
        <w:t>法定代表人：钱于军</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联系人：谢丹</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联系电话：0755-22158878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客户服务电话：400-887-8827</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传真：010-58328170</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网址：https://www.ubs.com/ubssecurities</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118) 山西证券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注册地址：太原市府西街69号山西国际贸易中心东塔楼</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办公地址：太原市府西街69号山西国际贸易中心东塔楼</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法定代表人：侯巍</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联系人：谢武兵</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联系电话：0351-8686721</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客户服务电话：95573或400-666-1618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传真：0351-8686619</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网址：www.i618.com.cn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119) 上海证券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注册地址：上海市黄浦区四川中路213号7楼</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办公地址：上海市四川中路213号久事商务大厦7楼</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法定代表人：李俊杰</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联系人：邵珍珍</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联系电话：021-53686888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客户服务电话：4008-918-918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传真：021-53686100、021-53686200</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网址：https://www.shzq.com/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120) 申万宏源西部证券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注册地址：新疆乌鲁木齐市高新区（新市区）北京南路358号大成国际大厦20楼2005室</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办公地址：新疆乌鲁木齐市高新区（新市区）北京南路358号大成国际大厦20楼2005室</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法定代表人：李琦</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联系人：王怀春</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联系电话：0991-2307105</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客户服务电话：4008-000-562</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传真：010-88085195</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lastRenderedPageBreak/>
        <w:t>网址：www.hysec.com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121) 申万宏源证券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注册地址：上海市徐汇区长乐路989号45层</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办公地址：上海市徐汇区长乐路989号世纪商贸广场45层</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法定代表人：杨玉成</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联系人：余敏</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联系电话：021-33388252</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客户服务电话：95523、4008895523</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传真：021-33388224</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网址：www.swhysc.com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122) 世纪证券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注册地址：深圳市前海深港合作区南山街道桂湾五路128号前海深港基金小镇对冲基金中心406</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办公地址：深圳市福田区深南大道招商银行大厦40-42层</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法定代表人：李强</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联系人：王雯</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联系电话：0755-83199511</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客户服务电话：4008323000</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网址：www.csco.com.cn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123) 首创证券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注册地址：北京市西城区德胜门外大街115号德胜尚城E座</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办公地址：北京市西城区德胜门外大街115号德胜尚城E座</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法定代表人：毕劲松</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联系人：刘宇</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 xml:space="preserve">联系电话：010-59366070  </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客户服务电话：400-620-0620</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传真：010-59366055</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网址：http://www.sczq.com.cn/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124) 天风证券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注册地址：湖北省武汉市东湖新技术开发区关东园路2号高科大厦四楼</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办公地址：湖北省武汉市武昌区中南路99号保利广场A座37楼</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法定代表人：余磊</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联系人：王雅薇</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联系电话：027-87617017</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lastRenderedPageBreak/>
        <w:t>客户服务电话：4008005000、95391</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传真：027-87618863</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网址：http://www.tfzq.com/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125) 万联证券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注册地址：广州市天河区珠江东路11号18、19楼全层</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办公地址：广州市天河区珠江东路13号高德置地广场E栋12层</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法定代表人：罗钦城</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联系人：甘蕾</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联系电话：020-38286026</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客户服务电话：95322</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传真：020-38286588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网址：www.wlzq.cn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126) 五矿证券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注册地址：深圳市福田区金田路4028号荣超经贸中心办公楼47层01单元</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办公地址：深圳市福田区金田路4028号荣超经贸中心办公楼47层</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法定代表人：黄海洲</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联系人：濮耘瑶</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联系电话：0755-82545596</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客户服务电话：40018-40028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传真：0755-82545500</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网址：www.wkzq.com.cn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127) 西部证券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注册地址：陕西省西安市新城区东新街319号8幢10000室</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办公地址：陕西省西安市新城区东新街319号8幢10000室</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法定代表人：徐朝晖</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联系人：梁承华</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联系电话：029-87211526</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客户服务电话：95582</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传真：029-87211478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网址：www.westsecu.com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128) 西南证券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注册地址：重庆市江北区桥北苑8号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办公地址：重庆市江北区桥北苑8号西南证券大厦</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法定代表人：廖庆轩</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lastRenderedPageBreak/>
        <w:t>联系人：周青</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联系电话：023-63786633</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客户服务电话：4008096096或95355</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传真：023-63786212</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网址：www.swsc.com.cn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129) 新时代证券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注册地址：北京市海淀区北三环西路99号院1号楼15层1501</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办公地址：北京市海淀区北三环西路99号院1号楼15层1501</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法定代表人：叶顺德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联系人：马文玺</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联系电话：010-83561072</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客户服务电话：95399</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网址：www.xsdzq.cn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130) 信达证券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注册地址：北京市西城区闹市口大街9号院1号楼</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办公地址：北京市西城区闹市口大街9号院1号楼</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法定代表人：肖林</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联系人：尹旭航</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联系电话：010-63081000</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客户服务电话：95321</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传真：010-63080978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网址：www.cindasc.com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131) 兴业证券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注册地址：福州市湖东路268号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办公地址：上海浦东新区长柳路36号兴业证券大厦20楼</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法定代表人：杨华辉</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联系人：乔琳雪</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联系电话：021-38565547</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客户服务电话：95562</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网址：www.xyzq.com.cn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132) 银河证券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注册地址：北京市西城区金融大街35号2-6层</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办公地址：北京市西城区金融大街35号国际企业大厦C座</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法定代表人：陈共炎</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lastRenderedPageBreak/>
        <w:t>联系人：辛国政</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联系电话：010-83574507</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客户服务电话：4008-888-888或95551</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网址：www.chinastock.com.cn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133) 粤开证券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注册地址：惠州市江北东江三路55号广播电视新闻中心西面一层大堂和三、四层</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办公地址：深圳市福田区深南中路2002号中广核大厦北楼10层</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法定代表人：严亦斌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联系人：彭莲</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联系电话：0755-83331195</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客户服务电话：95564</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公司网址：http://www.ykzq.com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134) 招商证券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注册地址：深圳市福田区福田街道福华一路111号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办公地址：深圳市福田区福田街道福华一路111号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法定代表人：霍达</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联系人：黄婵君</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联系电话：0755-82943666</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客户服务电话：95565、400-8888-111</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传真：0755-82943636</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网址：www.newone.com.cn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135) 中航证券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注册地址：江西省南昌市红谷滩新区红谷中大道1619号南昌国际金融大厦A栋41层</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办公地址：江西省南昌市红谷滩新区红谷中大道1619号南昌国际金融大厦A栋41层</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法定代表人：王晓峰</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联系人：王紫雯</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联系电话：15611538682</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客户服务电话：95335或400-88-95335</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 xml:space="preserve">传真：010-59562637 </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网址：www.avicsec.com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136) 中金财富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注册地址：深圳市福田区益田路与福中路交界处荣超商务中心A栋第18-21层及第04层01.02.03.05.11.12.13.15.16.18.19.20.21.22.23单元</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办公地址：深圳福田区益田路6003号荣超商务中心A座4层、18-21层</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lastRenderedPageBreak/>
        <w:t>法定代表人：高涛</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联系人：万玉琳</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联系电话：0755-82026907</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客户服务电话：95532</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网址：https://www.ciccwm.com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137) 中金公司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注册地址：北京市朝阳区建国门外大街1号国贸大厦2座27层及28层</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办公地址：北京市朝阳区建国门外大街甲6号SK大厦38层</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法定代表人：沈如军</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联系人：杨涵宇</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联系电话：010-65051166</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客户服务电话：4009101166</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网址：www.cicc.com.cn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138) 中山证券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注册地址：深圳市南山区粤海街道蔚蓝海岸社区创业路1777号海信南方大厦21、22层</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办公地址：深圳市南山区创业路1777号海信南方大厦21、22层</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法定代表人：林炳城</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联系人：罗艺琳</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电话：0755-82943755</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传真：0755-82960582</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客户服务电话：95329</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网址：www.zszq.com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139) 中泰证券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注册地址：济南市市中区经七路86号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办公地址：山东省济南市经七路86号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法定代表人：李玮</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联系人：许曼华</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联系电话：021-20315290</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客户服务电话：95538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传真：0531-68889095</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网址：www.zts.com.cn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140) 中天证券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注册地址：辽宁省沈阳市和平区光荣街23甲</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lastRenderedPageBreak/>
        <w:t>办公地址：辽宁省沈阳市和平区光荣街23甲</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法定代表人：马功勋</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联系人：李泓灏</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联系电话：024-23255256</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客户服务电话：024-95346</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传真：024-23255606</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网址：www.iztzq.com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141) 中信建投证券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注册地址：北京市朝阳区安立路66号4号楼</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办公地址：北京市朝阳门内大街188号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法定代表人：王常青</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联系人：刘芸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联系电话：010－85130554</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客户服务电话：95587或4008-888-108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 xml:space="preserve">网址：http://www.csc108.com/ </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142) 中信证券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注册地址：广东省深圳市福田区中心三路8号卓越时代广场（二期）北座</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办公地址：北京市朝阳区亮马桥路48号中信证券大厦</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法定代表人：张佑君</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 xml:space="preserve">联系人：王一通 </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联系电话：010-60838888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客户服务电话：95548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传真：010-60836029</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网址：www.cs.ecitic.com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143) 中信证券（华南）</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注册地址：广州市天河区珠江西路5号广州国际金融中心主塔19层、20层</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办公地址：广州市天河区珠江西路5号广州国际金融中心主塔19层、20层</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法定代表人：胡伏云</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联系人：陈靖</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联系电话：020-88836999</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客户服务电话：95396</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传真：020-88836984</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网址：www.gzs.com.cn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144) 中信证券（山东）</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lastRenderedPageBreak/>
        <w:t>注册地址：青岛市崂山区深圳路222号1号楼2001</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办公地址：青岛市市南区东海西路28号龙翔广场东座5层</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法定代表人：姜晓林</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联系人：焦刚</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联系电话：0531-89606166</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客户服务电话：95548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传真：0532-85022605</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网址：http://sd.citics.com/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145) 中邮证券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注册地址：陕西省西安市唐延路5号（陕西邮政信息大厦9-11层）</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办公地址：北京市东城区珠市口东大街17号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法定代表人：丁奇文</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联系人：岳帅</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 010-67017788-6068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客户服务电话：4008-888-005</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传真：010-67017788-9696</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网址：www.cnpsec.com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146) 百度百盈</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注册地址：北京市海淀区西北旺东路10号院西区4号楼1层103室</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办公地址：北京市海淀区西北旺东路10号院西区4号楼</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法定代表人：葛新</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联系人：孙博超</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联系电话：010-59403028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客户服务电话：95055-4</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网址：www.baiyingfund.com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147) 长量基金</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注册地址：上海市浦东新区高翔路526号2幢220室</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办公地址：上海市浦东新区东方路1267号陆家嘴金融服务广场二期11层</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法定代表人：张跃伟</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联系人：党敏</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联系电话：021-20691935</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客户服务电话：400-820-2899</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传真：021-20691861</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网址：www.erichfund.com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lastRenderedPageBreak/>
        <w:t>148) 朝阳永续</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注册地址：浦东新区上丰路977号1幢B座812室</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办公地址：上海市浦东新区碧波路690号4号楼2楼</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法人代表：廖冰</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联系人：陆纪青</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联系电话：021-80234888-6813</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客户服务电话：400-699-1888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网址：www.998fund.com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149) 创金启富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注册地址：北京市西城区白纸坊东街2号院6号楼712室</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办公地址：北京市西城区白纸坊东街2号院6号楼712室</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法定代表人：梁蓉</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联系人：杨凤椅</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联系电话：010-66154828-8047</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客户服务电话：400-6262-818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传真：010-63583991</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网址：www.5irich.com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150) 大泰金石</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注册地址：南京市建邺区江东中路102号708室</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办公地址：上海市浦东新区峨山路505号东方纯一大厦15楼</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法定代表人：陈达伟</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联系人：孟召社</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联系电话：021-20324176</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客户服务电话：400-995-9220</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传真：021-20324199</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网址：www.dtfunds.com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151) 大智慧基金</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注册地址：中国（上海）自由贸易试验区杨高南路428号1号楼1102单元</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办公地址：中国（上海）自由贸易试验区杨高南路428号1号楼1102单元</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法定代表人：申健</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联系人：张蜓</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联系电话：021-20219988-35374</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客户服务电话：021-20292031</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传真：021-20219923</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lastRenderedPageBreak/>
        <w:t>网址：https://www.wg.com.cn/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152) 蛋卷基金</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注册地址：北京市朝阳区创远路34号院6号楼15层1501室</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办公地址：北京市朝阳区创远路 34 号院融新科技中心 C 座 17 层</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法定代表人：钟斐斐</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联系人：侯芳芳</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联系电话：010-61840688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客户服务电话：4001599288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网址：https://danjuanapp.com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153) 鼎信汇金</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注册地址：北京市海淀区太月园3号楼5层521室</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办公地址：北京市海淀区太月园3号楼5层521室</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法定代表人：齐凌峰</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联系人：阮志凌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联系电话：010-82050520</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客户服务电话：400-886-3311</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传真：010-82086110</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网址：www.9ifund.com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154) 东海期货</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注册地址：江苏省常州市延陵西路23、25、27、29号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办公地址：上海市浦东新区东方路1928号东海证券大厦8楼</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法定代表人：陈太康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联系人：陶云</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联系电话：021-68751603</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客户服务电话：95531/400-8888588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传真：021-68756991</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网址：www.qh168.com.cn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155) 东证期货</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注册地址：中国（上海）自由贸易试验区浦电路500号上海期货大厦14层</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办公地址：上海市黄浦区中山南路318号2号楼22楼</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法定代表人：卢大印</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联系人：张敏圆</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联系电话：021-63325888-4259</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客户服务电话：4008859999</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lastRenderedPageBreak/>
        <w:t>传真：021-63326752</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网址：www.dzqh.com.cn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156) 泛华普益</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注册地址：四川省成都市成华区建设路9号高地中心1101室</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办公地址：成都市金牛区花照壁西顺街399号1栋1单元龙湖西宸天街B座1201号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法定代表人：于海锋</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联系人：陈丹</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联系电话：15114053620</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客户服务电话：400-080-3388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网址：www.puyifund.com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157) 富济基金</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注册地址：深圳市福田区福田街道岗厦社区金田路3088号中洲大厦3203A单元</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办公地址：深圳市福田区福田街道岗厦社区金田路3088号中洲大厦3203A单元</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法定代表人：祝中村</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联系人：曾瑶敏</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联系电话：0755-83999907</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客户服务电话：0755-83999907</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传真：0755-83999926</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网址：www.fujifund.cn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158) 海银基金</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注册地址：中国（上海）自由贸易试验区银城中路8号402室</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办公地址：上海市浦东新区银城中路8号海银金融中心4楼</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法定代表人：巩巧丽</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联系人：毛林</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联系电话：021-80133597</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客户服务电话：400-808-1016</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传真：021-80133413</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网址：www.fundhaiyin.com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159) 好买基金</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注册地址：上海市虹口区欧阳路196号26号楼2楼41号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办公地址：上海市浦东南路1118号鄂尔多斯国际大厦903～906室</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法定代表人：杨文斌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联系人：高源</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联系电话：021-36696312</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lastRenderedPageBreak/>
        <w:t>客户服务电话：400-700-9665</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传真：021-68596919</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网址：www.ehowbuy.com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160) 和谐销售</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注册地址：北京市朝阳区建国门外大街6号11层1102内103</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办公地址：北京市朝阳区建国门外大街6号安邦金融中心</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法定代表人：左荣林</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联系人：张楠</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联系电话：010-85256214</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客户服务电话：4008195569</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网址：www.hx-sales.com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161) 和讯信息</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注册地址：北京市朝阳区朝外大街22号1002室</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办公地址：北京市朝阳区朝外大街22号泛利大厦10层</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法定代表人：王莉</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联系人：陈慧慧</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联系电话：010-85657353</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客户服务电话：400-920-0022</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传真：010-65884788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网址：http://licaike.hexun.com/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162) 恒天明泽</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注册地址：北京市经济技术开发区宏达北路10号五层5122室</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办公地址：北京市朝阳区东三环北路甲19号SOHO嘉盛中心30层3001室</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法定代表人：周斌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联系人：陈霞</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联系电话：010-59313555</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客户服务电话：4008980618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传真：010-59313586</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网址：www.chtwm.com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163) 弘业期货</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注册地址：江苏省南京市秦淮区中华路50号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办公地址：江苏省南京市秦淮区中华路50号弘业大厦9楼</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法人代表：周剑秋</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联系人：张苏怡</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lastRenderedPageBreak/>
        <w:t>联系电话：025-52278981</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客户服务电话：400-828-1288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网址：www.ftol.com.cn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164) 虹点基金</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注册地址：北京市朝阳区东三环北路17号10层1015室</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办公地址：北京市朝阳区工体北路甲2号盈科中心东门2层216</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法定代表人：何静</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联系人：牛亚楠</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联系电话：010-65951887</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客户服务电话：400-618-0707</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网址：www.hongdianfund.com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165) 华瑞保险销售</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注册地址：上海市嘉定区南翔镇众仁路399号运通星财富广场1号楼B座13、14层</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办公地址：上海市浦东新区向城路288号国华人寿金融大厦8层806</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法定代表人：路昊</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联系人：茆勇强</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联系电话：021-68595698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客户服务电话：952303</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传真：021-68595766</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网址：www.huaruisales.com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166) 华夏财富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注册地址：上海市虹口区东大名路687号1幢2楼268室</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办公地址：北京市西城区金融大街33号通泰大厦B座8层</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法定代表人：毛淮平</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联系人：张静怡</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联系电话：010-88066632</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客户服务电话：400-817-5666</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传真：010-63136184</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网址：www.amcfortune.com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167) 徽商期货</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注册地址：安徽省合肥市芜湖路258号3号楼6-7层，6号楼1-2层</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办公地址：合肥市芜湖路258号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法人代表：吴国华</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联系人：申倩倩</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lastRenderedPageBreak/>
        <w:t>联系电话：0551-62865215</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客户服务电话：400-887-8707</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网址：www.hsqh.net</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168) 汇成基金</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注册地址：北京市海淀区中关村大街11号11层1108号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办公地址：北京市西城区西直门外大街1号院2号楼 19层 19C13</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法定代表人：王伟刚</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联系人：王骁骁</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联系电话：010-56251471</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客户服务电话：400-619-9059</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网址：www.hcjijin.com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169) 汇付基金</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注册地址：上海市黄浦区黄河路333号201室A区056单元</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办公地址：上海市徐汇区宜山路700号普天信息产业园2期C5栋 汇付天下总部大楼</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法定代表人：金佶</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联系人：甄宝林</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联系电话：021-34013996-3011</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客户服务电话：021-34013999</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传真：021-33323837</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网址：www.hotjijin.com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170) 济安财富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注册地址：北京市朝阳区太阳宫中路16号院1号楼3层307</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办公地址：北京市朝阳区太阳宫中路16号院1号楼冠捷大厦3层307单元</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法定代表人：杨健</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联系人：李海燕</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联系电话：010-65309516</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客户服务电话：400-673-7010（济安财富官网）  400-071-6766（腾讯财经）</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传真：010-65330699</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网址：www.jianfortune.com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171) 加和基金</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注册地址：北京市西城区德胜门外大街13号院1号楼5层505室</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办公地址：北京市西城区德胜门外大街13号院1号楼5层505室</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法定代表人：曲阳</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联系人：王梓骄</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lastRenderedPageBreak/>
        <w:t>联系电话：010-80456756</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客户服务电话：400-803-1188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传真：010-80456278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网址：www.bzfunds.com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172) 嘉实财富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注册地址：中国（上海）自由贸易试验区世纪大道8号上海国金中心办公楼二期53层5312-15单元</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办公地址：北京市朝阳区建国路91号金地中心A座6层</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法定代表人：赵学军</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联系人：李雯</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联系电话：010-60842306</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客户服务电话：400-021-8850</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传真：010-85712195</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网址：www.harvestwm.cn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173) 金百临</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注册地址：无锡市滨湖区锦溪路99号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办公地址：江苏省无锡市太湖新城锦溪道楝泽路9号楼</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法人代表：费晓燕</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联系人：邹云</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联系电话：0510-81188088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客户服务电话：0510-9688988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网址：www.jsjbl.com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174) 金观诚</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注册地址：杭州拱墅区登云路45号金诚集团（锦昌大厦）1幢10楼1001室</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办公地址：杭州拱墅区登云路55号金诚集团（锦昌大厦）</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法定代表人：蒋雪琦</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联系人：来舒岚</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联系电话：0571-88337888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客户服务电话：4000680058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传真：0571-88337666</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网址：http://www.jincheng-fund.com/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175) 久富财富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注册地址：上海市浦东新区莱阳路2819号1幢109室</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办公地址：上海市浦东新区民生路1403号上海信息大厦1215室</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lastRenderedPageBreak/>
        <w:t>法定代表人：赵惠蓉</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联系人：赵惠蓉</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联系电话：021-68682279</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客户服务电话：400-102-1813</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传真：021-68682297</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网址：www.jfcta.com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176) 凯石财富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注册地址：上海市黄浦区西藏南路765号602-115室</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办公地址：上海市黄浦区延安东路1号凯石大厦4楼</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法定代表人：陈继武</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联系人：冯强</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联系电话：021-63333389</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客户服务电话：4006-433-389</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传真：021-63333390</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网址：www.vstonewealth.com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177) 肯特瑞基金</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注册地址：北京市海淀区西三旗建材城中路12号17号平房157</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办公地址：北京市大兴区亦庄经济开发区科创十一街十八号院京东集团总部A座</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法定代表人：王苏宁</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联系人：娄云</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联系电话：010-89189291</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客户服务电话：95118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网址：http://fund.jd.com/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178) 利得基金</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注册地址：上海市宝山区蕴川路5475号1033室</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办公地址：上海市虹口区东大名路1098号浦江国际金融广场53层</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法定代表人：李兴春</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联系人：陈孜明</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联系电话：86-021-50583533</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客户服务电话：95733</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传真：86-21-61101630</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网址：www.leadfund.com.cn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179) 联泰基金</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注册地址：中国（上海）自由贸易试验区富特北路277号3层310室</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lastRenderedPageBreak/>
        <w:t>办公地址：上海市长宁区福泉北路518号8座3楼</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法定代表人：尹彬彬</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联系人：陈东</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联系电话：021-52822063</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客户服务电话：400-118-1188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传真：021-52975270</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网址：www.66zichan.com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180) 陆基金</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注册地址：中国（上海）自由贸易试验区陆家嘴环路1333号14楼09单元</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办公地址：中国（上海）自由贸易试验区陆家嘴环路1333号14楼09单元</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法定代表人：王之光</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联系人：宁博宇</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联系电话：021-20665952</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客户服务电话：4008219031</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传真：021-22066653</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网址：www.lufunds.com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181) 蚂蚁基金</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注册地址：浙江省杭州市余杭区五常街道文一西路969号3幢5层599室</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办公地址：浙江省杭州市西湖区万塘路18号黄龙时代广场B座6F</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法定代表人：祖国明</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联系人：韩爱彬</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联系电话：0571-26888888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客户服务电话：4000-766-123</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网址：http://www.fund123.cn/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182) 民商基金</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注册地址：上海黄浦区北京东路666号H区（东座）6楼A31室</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 xml:space="preserve">办公地址：上海市浦东新区张杨路707号生命人寿大厦32楼 </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法定代表人：贲惠琴</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联系人：杨一新</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联系电话：021-50206003</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客户服务电话：021-50206003</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传真：021-50206001</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网址：http://www.msftec.com/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183) 诺亚正行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lastRenderedPageBreak/>
        <w:t>注册地址：上海市虹口区飞虹路360弄9号3724室</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办公地址：上海市杨浦区长阳路1687号长阳谷2号楼</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法定代表人：汪静波</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联系人：李娟</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联系电话：021-80358523</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客户服务电话：400-821-5399</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传真：021-38509777</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网址：www.noah-fund.com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184) 浦领基金</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注册地址：北京市朝阳区望京东园四区13号楼A座9层908室</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办公地址：北京市朝阳区望京浦项中心A座9层04-08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法定代表人：聂婉君</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联系人：李艳</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联系电话：010-59497361</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客户服务电话：400-012-5899</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传真：010-64788016</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网址：www.zscffund.com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185) 钱景基金</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注册地址：北京市海淀区中关村东路18号1号楼11层B-1108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办公地址：北京市海淀区中关村东路18号财智国际大厦B-1108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法定代表人：王利刚</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联系人：姚付景</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联系电话：010-62565181</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客户服务电话：400-893-6885</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传真：010-57569671</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网址：www.qianjing.com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186) 深圳金海九州</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注册地址：深圳市前海深港合作区前湾一路1号A栋201室（入驻深圳市前海商务秘书有限公司）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办公地址：深圳市南山区航天科技广场A座32层</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法定代表人：彭维熙</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联系人：麦国康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联系电话：0755-81994000（深圳）、020-38657255（广州）</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客户服务电话：021-51987798-722（上海客服中心）</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lastRenderedPageBreak/>
        <w:t>传真：0755-81994000（深圳）</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网址：http://www.123jijin.cn/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187) 深圳新兰德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注册地址：深圳市福田区福田街道民田路178号华融大厦27层2704</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办公地址：北京市西城区宣武门外大街28号富卓大厦A座7层</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法定代表人：洪弘</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联系人：张燕</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联系电话：010-83363099</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客户服务电话：400-166-1188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传真：010-83363010</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网址：http://8.jrj.com.cn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188) 晟视天下</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注册地址：北京市怀柔区九渡河镇黄坎村735号03室</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办公地址：北京市朝阳区朝外大街甲六号万通中心D座21层</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法定代表人：蒋煜</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联系人：史俊杰</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联系电话：010-58170936</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客户服务电话：010-58170761</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传真：010-58170800</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网址：www.shengshiview.com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189) 苏宁基金</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注册地址：南京市玄武区苏宁大道1-5号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办公地址：南京市玄武区苏宁大道1-5号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法定代表人：王锋</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联系人：张云飞</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联系电话：025-66996699-882796</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客户服务电话：95177</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网址：www.snjijin.com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190) 天天基金</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注册地址：上海市徐汇区龙田路190号2号楼2层</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办公地址：上海市徐汇区宛平南路88号东方财富大厦</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法定代表人：其实</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联系人：屠彦洋</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联系电话：021-54509977</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lastRenderedPageBreak/>
        <w:t>客户服务电话：95021</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传真：021-64385308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网址：www.1234567.com.cn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191) 通华财富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注册地址：上海市虹口区同丰路667弄107号201室</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办公地址：上海市浦东新区金沪路55号通华科技大厦2楼</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法定代表人：沈丹义</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联系人：杨涛、庄洁茹</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联系电话：021-60810586</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客户服务电话：400-101-9301</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传真：021-60810695</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网址：www.tonghuafund.com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192) 同花顺</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注册地址：浙江省杭州市文二西路1号903室</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办公地址：杭州市余杭区五常街道同顺街18号同花顺大楼4层</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法定代表人：吴强</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联系人：吴强</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联系电话：0571-88911818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客户服务电话：952555</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传真：0571-86800423</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网址：www.5ifund.com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193) 途牛基金</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注册地址：江苏省南京市玄武区玄武大道699-1号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办公地址：江苏省南京市玄武区玄武大道699-32号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法人代表：宋时琳</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联系人：贺杰</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联系电话：025-86853960-66727</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客户服务电话：4007-999-999转3</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网址：http://jr.tuniu.com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194) 挖财基金</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 xml:space="preserve">注册地址：中国（上海）自由贸易试验区杨高南路799号5楼04室 </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办公地址：上海市浦东新区杨高南路799号陆家嘴世纪金融广场3号楼5层04室</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 xml:space="preserve">法定代表人：吕柳霞 </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联系人：曾芸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lastRenderedPageBreak/>
        <w:t>联系电话：021-50810687</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客户服务电话：021-50810673</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网址：www.wacaijijin.com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195) 万得基金</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注册地址：中国（上海）自由贸易试验区福山路33号11楼B座</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办公地址：上海市浦东新区浦明路1500号万得大厦11楼</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法定代表人：黄祎</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联系人：徐亚丹</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联系电话：021-50712782</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客户服务电话：400-799-1888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网址：www.520fund.com.cn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196) 万家财富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注册地址：天津自贸区（中心商务区）迎宾大道1988号滨海浙商大厦公寓2-2413室</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办公地址：北京市西城区丰盛胡同28号太平洋保险大厦A座5层</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法定代表人：张军</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联系人：王芳芳</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联系电话：010-59013828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客户服务电话：010-59013895</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网址：http://www.wanjiawealth.com/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197) 新浪仓石</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注册地址：北京市海淀区东北旺西路中关村软件园二期（西扩）N-1、N-2地块新浪总部科研楼5层518室</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办公地址：北京市海淀区西北旺东路10号院东区3号楼为明大厦C座</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法定代表人：赵芯蕊</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联系人：赵芯蕊</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联系电话：010-62625768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客户服务电话：010-62675369</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传真：010-62676582</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网址：www.xincai.com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198) 鑫鼎盛</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注册地址：厦门市思明区鹭江道2号厦门第一广场西座1501-1502室</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办公地址：厦门市思明区鹭江道2号厦门第一广场西座1501-1502室</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 xml:space="preserve">法定代表人：陈洪生 </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联系人：梁云波</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lastRenderedPageBreak/>
        <w:t>联系电话：0592-3122757</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客户服务电话：400-6533-789</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网址：www.xds.com.cn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199) 阳光人寿保险</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注册地址：海南省三亚市迎宾路360-1号三亚阳光金融广场16层</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办公地址：北京市朝阳区朝外大街20号联合大厦701A室</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法定代表人：李科</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联系人：王磊</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联系电话：010-85632772</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客户服务电话：95510</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传真：010-85632773</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网址：http://fund.sinosig.com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200) 一路财富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注册地址：北京市海淀区宝盛南路1号院20号楼9层101-14</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办公地址：北京市海淀区宝盛南路奥北科技园20号楼国泰大厦9层</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法定代表人：吴雪秀</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联系人：董宣</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联系电话：010-88312877</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客户服务电话：400-001-1566</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传真：010-88312099</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网址：www.yilucaifu.com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201) 宜投基金销售</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注册地址：深圳市前海深港合作区前湾一路1号A栋201室（入驻深圳市前海商务秘书有限公司）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办公地址：深圳市福田区嘉里建设广场2座15楼</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法定代表人：雷凤潮</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联系人：梁菲菲</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联系电话：0755-88603874</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客户服务电话：4008-955-811</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网址：www.yitfund.com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202) 宜信普泽</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注册地址：北京市朝阳区西大望路1号9层公寓1008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办公地址：北京市朝阳区建国路88号楼SOHO现代城C座18层1809</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法定代表人：戎兵</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lastRenderedPageBreak/>
        <w:t>联系人：魏晨</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联系电话：010-52413385</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客户服务电话：400-6099-200</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传真：010-85800047</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网址：www.yixinfund.com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203) 奕丰金融</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注册地址：深圳市前海深港合作区前湾一路1号A栋201室（入驻深圳市前海商务秘书有限公司）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办公地址：深圳市南山区海德三道航天科技广场A座17楼1704室</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法定代表人：TEO WEE HOWE</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联系人：叶健</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联系电话：0755-89460507</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客户服务电话：400-684-0500</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传真：0755-21674453</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网址：www.ifastps.com.cn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204) 盈米基金</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注册地址：珠海市横琴新区宝华路6号105室-3491</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办公地址：广州市海珠区琶洲大道东路1号保利国际广场南塔1201-1203室</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法定代表人：肖雯</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联系人：邱湘湘</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联系电话：020-89629099</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客户服务电话：020-89629066</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传真：020-89629011</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网址：www.yingmi.cn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205) 云湾基金</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注册地址：中国（上海）自由贸易试验区新金桥路27号、明月路1257号1幢1层103-1、103-2办公区</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办公地址：上海市浦东新区新金桥路27号1号楼</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法定代表人：冯轶明</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联系人：范泽杰</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联系电话：021-20530186</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客户服务电话：400-820-1515</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传真：021-20539999</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网址：http://www.zhengtongfunds.com/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lastRenderedPageBreak/>
        <w:t>206) 增财基金</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注册地址：北京市西城区南礼士路66号建威大厦1208室</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办公地址：北京市西城区南礼士路66号建威大厦1208-1209室</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法定代表人：罗细安</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联系人：闫丽敏</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联系电话：010-67000988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客户服务电话：400-001-8811</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传真：010-67000988-6000</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网址：www.zcvc.com.cn</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207) 展恒基金</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注册地址：北京市朝阳区安苑路11号西楼6层604、607</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办公地址：北京市朝阳区北四环中路27号盘古大观3205</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法定代表人：闫振杰</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联系人：李晓芳</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联系电话：010-59601366-7167</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客户服务电话：400-818-8000</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传真：0351-4110714</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网址：www.myfund.com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208) 中国国际期货</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注册地址：北京市朝阳区建国门外光华路14号1幢6层609号、610号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办公地址：北京市朝阳区建国门外光华路14号1幢1层、2层、9层、11层、12层</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法定代表人：王兵</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联系人：霍丽文</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联系电话：010-65807827</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客户服务电话：95162</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传真：010-59539806</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网址：http://www.cifco.net/</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209) 中欧钱滚滚</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注册地址：中国（上海）自由贸易试验区陆家嘴环路333号502室</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办公地址：上海市虹口区公平路18号8栋嘉昱大厦6层</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法定代表人：许欣</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联系人：黎静</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联系电话：021-68609600-5952</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客户服务电话：400-700-9700—中欧钱滚滚专线</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lastRenderedPageBreak/>
        <w:t>网址：www.qiangungun.com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210) 中期时代基金</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注册地址：北京市朝阳区建国门外光华路14号1幢11层1103号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办公地址：北京市朝阳区建国门外光华路14号1幢4层</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法定代表人：田宏莉</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联系人：尹庆</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联系电话：010-65807865</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客户服务电话：95162</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传真：010-65807864</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网址：www.jrtoo.com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211) 中信建投期货</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注册地址：重庆市渝中区中山三路107号上站大楼平街11-B，名义层11-A，8-B4，9-B、C</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办公地址：重庆市渝中区中山三路107号皇冠大厦11楼</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法定代表人：王广学</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联系人：刘芸</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联系电话：023-86769637</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客户服务电话：400-8877-780</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传真：023-86769629</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网址：www.cfc108.com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212) 中信期货</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注册地址：广东省深圳市福田区中心三路8号卓越时代广场（二期）北座13层1301-1305室、14层</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办公地址：深圳市福田区中心三路8号卓越时代广场（二期）北座13层1301-1305室、14层</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法定代表人：张皓</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联系人：刘宏莹</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联系电话：010-6083 3754</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客户服务电话：400-990-8826</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传真：021-60819988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网址：www.citicsf.com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213) 中正达广</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注册地址：上海市徐汇区龙腾大道2815号302室</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办公地址：上海市徐汇区龙腾大道2815号302室</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lastRenderedPageBreak/>
        <w:t>法定代表人：黄欣</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联系人：戴珉微</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联系电话：021-33768132</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客户服务电话：400-6767-523</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传真：021-33768132-802</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网址：www.zhongzhengfund.com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214) 中证金牛</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注册地址：北京市丰台区东管头1号2号楼2-45室</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办公地址：北京市西城区宣武门外大街甲1号环球财讯中心A座5层</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法定代表人：钱昊旻</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联系人：沈晨</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联系电话：010-59336544</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客户服务电话：4008-909-998</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网址：www.jnlc.com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215) 众禄基金</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注册地址：深圳市罗湖区笋岗街道笋西社区梨园路8号HALO广场一期四层12-13室</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办公地址：深圳市罗湖区梨园路HALO广场4楼</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法定代表人：薛峰</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联系人：龚江江</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联系电话：0755-33227950</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客户服务电话：4006-788-887</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传真：0755-33227951</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网址：www.zlfund.cn    www.jjmmw.com</w:t>
      </w:r>
    </w:p>
    <w:p w:rsidR="004B350C" w:rsidRPr="0087389D" w:rsidRDefault="004B350C" w:rsidP="004B350C">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注：浦发银行、兴业银行、中国邮政储蓄银行、上海银行、微众银行仅销售本基金A</w:t>
      </w:r>
      <w:r w:rsidR="009C1BD5" w:rsidRPr="0087389D">
        <w:rPr>
          <w:rFonts w:asciiTheme="minorEastAsia" w:eastAsiaTheme="minorEastAsia" w:hAnsiTheme="minorEastAsia" w:hint="eastAsia"/>
          <w:szCs w:val="21"/>
        </w:rPr>
        <w:t>类基金份额</w:t>
      </w:r>
      <w:r w:rsidRPr="0087389D">
        <w:rPr>
          <w:rFonts w:asciiTheme="minorEastAsia" w:eastAsiaTheme="minorEastAsia" w:hAnsiTheme="minorEastAsia" w:hint="eastAsia"/>
          <w:szCs w:val="21"/>
        </w:rPr>
        <w:t>，详见相关公告。</w:t>
      </w:r>
    </w:p>
    <w:p w:rsidR="008A6170" w:rsidRPr="0087389D" w:rsidRDefault="008A6170" w:rsidP="004B350C">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(2)Y类基金份额</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 中国邮政储蓄银行</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注册地址：北京市西城区金融大街3号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办公地址：北京市西城区金融大街3号</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法定代表人：张金良</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联系人：王硕</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客户服务电话：95580</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传真：010-68858057</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网址：www.psbc.com</w:t>
      </w:r>
    </w:p>
    <w:p w:rsidR="008A6170" w:rsidRPr="0087389D" w:rsidRDefault="008A6170" w:rsidP="008A6170">
      <w:pPr>
        <w:snapToGrid w:val="0"/>
        <w:spacing w:line="360" w:lineRule="auto"/>
        <w:ind w:firstLineChars="200" w:firstLine="420"/>
        <w:rPr>
          <w:rFonts w:asciiTheme="minorEastAsia" w:eastAsiaTheme="minorEastAsia" w:hAnsiTheme="minorEastAsia"/>
          <w:szCs w:val="21"/>
        </w:rPr>
      </w:pPr>
    </w:p>
    <w:p w:rsidR="00BA4B87" w:rsidRPr="0087389D" w:rsidRDefault="00B329B1" w:rsidP="0087389D">
      <w:pPr>
        <w:snapToGrid w:val="0"/>
        <w:spacing w:line="360" w:lineRule="auto"/>
        <w:rPr>
          <w:rFonts w:asciiTheme="minorEastAsia" w:eastAsiaTheme="minorEastAsia" w:hAnsiTheme="minorEastAsia"/>
          <w:szCs w:val="21"/>
        </w:rPr>
      </w:pPr>
      <w:r w:rsidRPr="0087389D">
        <w:rPr>
          <w:rFonts w:asciiTheme="minorEastAsia" w:eastAsiaTheme="minorEastAsia" w:hAnsiTheme="minorEastAsia"/>
          <w:szCs w:val="21"/>
        </w:rPr>
        <w:t>（</w:t>
      </w:r>
      <w:r w:rsidR="00BA4B87" w:rsidRPr="0087389D">
        <w:rPr>
          <w:rFonts w:asciiTheme="minorEastAsia" w:eastAsiaTheme="minorEastAsia" w:hAnsiTheme="minorEastAsia"/>
          <w:szCs w:val="21"/>
        </w:rPr>
        <w:t>二</w:t>
      </w:r>
      <w:r w:rsidRPr="0087389D">
        <w:rPr>
          <w:rFonts w:asciiTheme="minorEastAsia" w:eastAsiaTheme="minorEastAsia" w:hAnsiTheme="minorEastAsia"/>
          <w:szCs w:val="21"/>
        </w:rPr>
        <w:t>）</w:t>
      </w:r>
      <w:r w:rsidR="00BA4B87" w:rsidRPr="0087389D">
        <w:rPr>
          <w:rFonts w:asciiTheme="minorEastAsia" w:eastAsiaTheme="minorEastAsia" w:hAnsiTheme="minorEastAsia"/>
          <w:szCs w:val="21"/>
        </w:rPr>
        <w:t>基金登记机构</w:t>
      </w:r>
      <w:bookmarkEnd w:id="41"/>
    </w:p>
    <w:p w:rsidR="00BA4B87" w:rsidRPr="0087389D" w:rsidRDefault="00BA4B87"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szCs w:val="21"/>
        </w:rPr>
        <w:t>名称：易方达基金管理有限公司</w:t>
      </w:r>
    </w:p>
    <w:p w:rsidR="00BA4B87" w:rsidRPr="0087389D" w:rsidRDefault="00BA4B87"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szCs w:val="21"/>
        </w:rPr>
        <w:t>注册地址：</w:t>
      </w:r>
      <w:r w:rsidR="00943624" w:rsidRPr="0087389D">
        <w:rPr>
          <w:rFonts w:asciiTheme="minorEastAsia" w:eastAsiaTheme="minorEastAsia" w:hAnsiTheme="minorEastAsia"/>
        </w:rPr>
        <w:t>广东省珠海市横琴新区宝华路6号105室－42891（集中办公区）</w:t>
      </w:r>
    </w:p>
    <w:p w:rsidR="00BA4B87" w:rsidRPr="0087389D" w:rsidRDefault="00BA4B87"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szCs w:val="21"/>
        </w:rPr>
        <w:t>办公地址：</w:t>
      </w:r>
      <w:r w:rsidR="006E6F7C" w:rsidRPr="0087389D">
        <w:rPr>
          <w:rFonts w:asciiTheme="minorEastAsia" w:eastAsiaTheme="minorEastAsia" w:hAnsiTheme="minorEastAsia" w:hint="eastAsia"/>
          <w:szCs w:val="21"/>
        </w:rPr>
        <w:t>广州市天河区珠江新城珠江东路30号广州银行大厦40-43楼</w:t>
      </w:r>
    </w:p>
    <w:p w:rsidR="00BA4B87" w:rsidRPr="0087389D" w:rsidRDefault="00BA4B87"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szCs w:val="21"/>
        </w:rPr>
        <w:t>法定代表人：</w:t>
      </w:r>
      <w:r w:rsidR="00EE7007" w:rsidRPr="0087389D">
        <w:rPr>
          <w:rFonts w:asciiTheme="minorEastAsia" w:eastAsiaTheme="minorEastAsia" w:hAnsiTheme="minorEastAsia" w:hint="eastAsia"/>
          <w:szCs w:val="21"/>
        </w:rPr>
        <w:t>刘晓艳</w:t>
      </w:r>
    </w:p>
    <w:p w:rsidR="00BA4B87" w:rsidRPr="0087389D" w:rsidRDefault="00BA4B87"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szCs w:val="21"/>
        </w:rPr>
        <w:t>电话：4008818088</w:t>
      </w:r>
    </w:p>
    <w:p w:rsidR="00BA4B87" w:rsidRPr="0087389D" w:rsidRDefault="00BA4B87"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szCs w:val="21"/>
        </w:rPr>
        <w:t>传真：020-38799249</w:t>
      </w:r>
    </w:p>
    <w:p w:rsidR="00BA4B87" w:rsidRPr="0087389D" w:rsidRDefault="00BA4B87"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szCs w:val="21"/>
        </w:rPr>
        <w:t>联系人：余贤高</w:t>
      </w:r>
    </w:p>
    <w:p w:rsidR="00BA4B87" w:rsidRPr="0087389D" w:rsidRDefault="00B329B1" w:rsidP="00555CE7">
      <w:pPr>
        <w:snapToGrid w:val="0"/>
        <w:spacing w:line="360" w:lineRule="auto"/>
        <w:ind w:firstLineChars="200" w:firstLine="420"/>
        <w:rPr>
          <w:rFonts w:asciiTheme="minorEastAsia" w:eastAsiaTheme="minorEastAsia" w:hAnsiTheme="minorEastAsia"/>
          <w:szCs w:val="21"/>
        </w:rPr>
      </w:pPr>
      <w:bookmarkStart w:id="42" w:name="_Toc327734812"/>
      <w:r w:rsidRPr="0087389D">
        <w:rPr>
          <w:rFonts w:asciiTheme="minorEastAsia" w:eastAsiaTheme="minorEastAsia" w:hAnsiTheme="minorEastAsia"/>
          <w:szCs w:val="21"/>
        </w:rPr>
        <w:t>（</w:t>
      </w:r>
      <w:r w:rsidR="00BA4B87" w:rsidRPr="0087389D">
        <w:rPr>
          <w:rFonts w:asciiTheme="minorEastAsia" w:eastAsiaTheme="minorEastAsia" w:hAnsiTheme="minorEastAsia"/>
          <w:szCs w:val="21"/>
        </w:rPr>
        <w:t>三</w:t>
      </w:r>
      <w:r w:rsidRPr="0087389D">
        <w:rPr>
          <w:rFonts w:asciiTheme="minorEastAsia" w:eastAsiaTheme="minorEastAsia" w:hAnsiTheme="minorEastAsia"/>
          <w:szCs w:val="21"/>
        </w:rPr>
        <w:t>）</w:t>
      </w:r>
      <w:r w:rsidR="00BA4B87" w:rsidRPr="0087389D">
        <w:rPr>
          <w:rFonts w:asciiTheme="minorEastAsia" w:eastAsiaTheme="minorEastAsia" w:hAnsiTheme="minorEastAsia"/>
          <w:szCs w:val="21"/>
        </w:rPr>
        <w:t>律师事务所和经办律师</w:t>
      </w:r>
      <w:bookmarkEnd w:id="42"/>
    </w:p>
    <w:p w:rsidR="006F1CD6" w:rsidRPr="0087389D" w:rsidRDefault="00912B84"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rPr>
        <w:t>律师</w:t>
      </w:r>
      <w:r w:rsidR="005408A1" w:rsidRPr="0087389D">
        <w:rPr>
          <w:rFonts w:asciiTheme="minorEastAsia" w:eastAsiaTheme="minorEastAsia" w:hAnsiTheme="minorEastAsia" w:hint="eastAsia"/>
          <w:szCs w:val="21"/>
        </w:rPr>
        <w:t>事务所：</w:t>
      </w:r>
      <w:r w:rsidR="00390F43" w:rsidRPr="0087389D">
        <w:rPr>
          <w:rFonts w:asciiTheme="minorEastAsia" w:eastAsiaTheme="minorEastAsia" w:hAnsiTheme="minorEastAsia" w:hint="eastAsia"/>
          <w:szCs w:val="21"/>
        </w:rPr>
        <w:t>北京德恒律师事务所</w:t>
      </w:r>
    </w:p>
    <w:p w:rsidR="005408A1" w:rsidRPr="0087389D" w:rsidRDefault="005408A1"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地址：</w:t>
      </w:r>
      <w:r w:rsidR="00390F43" w:rsidRPr="0087389D">
        <w:rPr>
          <w:rFonts w:asciiTheme="minorEastAsia" w:eastAsiaTheme="minorEastAsia" w:hAnsiTheme="minorEastAsia" w:hint="eastAsia"/>
          <w:szCs w:val="21"/>
        </w:rPr>
        <w:t>北京市西城区金融街</w:t>
      </w:r>
      <w:r w:rsidR="00390F43" w:rsidRPr="0087389D">
        <w:rPr>
          <w:rFonts w:asciiTheme="minorEastAsia" w:eastAsiaTheme="minorEastAsia" w:hAnsiTheme="minorEastAsia"/>
          <w:szCs w:val="21"/>
        </w:rPr>
        <w:t>19</w:t>
      </w:r>
      <w:r w:rsidR="00390F43" w:rsidRPr="0087389D">
        <w:rPr>
          <w:rFonts w:asciiTheme="minorEastAsia" w:eastAsiaTheme="minorEastAsia" w:hAnsiTheme="minorEastAsia" w:hint="eastAsia"/>
          <w:szCs w:val="21"/>
        </w:rPr>
        <w:t>号富凯大厦</w:t>
      </w:r>
      <w:r w:rsidR="00390F43" w:rsidRPr="0087389D">
        <w:rPr>
          <w:rFonts w:asciiTheme="minorEastAsia" w:eastAsiaTheme="minorEastAsia" w:hAnsiTheme="minorEastAsia"/>
          <w:szCs w:val="21"/>
        </w:rPr>
        <w:t>B</w:t>
      </w:r>
      <w:r w:rsidR="00390F43" w:rsidRPr="0087389D">
        <w:rPr>
          <w:rFonts w:asciiTheme="minorEastAsia" w:eastAsiaTheme="minorEastAsia" w:hAnsiTheme="minorEastAsia" w:hint="eastAsia"/>
          <w:szCs w:val="21"/>
        </w:rPr>
        <w:t>座</w:t>
      </w:r>
      <w:r w:rsidR="00390F43" w:rsidRPr="0087389D">
        <w:rPr>
          <w:rFonts w:asciiTheme="minorEastAsia" w:eastAsiaTheme="minorEastAsia" w:hAnsiTheme="minorEastAsia"/>
          <w:szCs w:val="21"/>
        </w:rPr>
        <w:t>12</w:t>
      </w:r>
      <w:r w:rsidR="00390F43" w:rsidRPr="0087389D">
        <w:rPr>
          <w:rFonts w:asciiTheme="minorEastAsia" w:eastAsiaTheme="minorEastAsia" w:hAnsiTheme="minorEastAsia" w:hint="eastAsia"/>
          <w:szCs w:val="21"/>
        </w:rPr>
        <w:t>层</w:t>
      </w:r>
    </w:p>
    <w:p w:rsidR="005408A1" w:rsidRPr="0087389D" w:rsidRDefault="005408A1"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负责人：</w:t>
      </w:r>
      <w:r w:rsidR="00390F43" w:rsidRPr="0087389D">
        <w:rPr>
          <w:rFonts w:asciiTheme="minorEastAsia" w:eastAsiaTheme="minorEastAsia" w:hAnsiTheme="minorEastAsia" w:hint="eastAsia"/>
          <w:szCs w:val="21"/>
        </w:rPr>
        <w:t>王丽</w:t>
      </w:r>
    </w:p>
    <w:p w:rsidR="00390F43" w:rsidRPr="0087389D" w:rsidRDefault="005408A1"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电话：</w:t>
      </w:r>
      <w:r w:rsidR="00390F43" w:rsidRPr="0087389D">
        <w:rPr>
          <w:rFonts w:asciiTheme="minorEastAsia" w:eastAsiaTheme="minorEastAsia" w:hAnsiTheme="minorEastAsia" w:hint="eastAsia"/>
          <w:szCs w:val="21"/>
        </w:rPr>
        <w:t>0</w:t>
      </w:r>
      <w:r w:rsidR="00390F43" w:rsidRPr="0087389D">
        <w:rPr>
          <w:rFonts w:asciiTheme="minorEastAsia" w:eastAsiaTheme="minorEastAsia" w:hAnsiTheme="minorEastAsia"/>
          <w:szCs w:val="21"/>
        </w:rPr>
        <w:t>10-52682888</w:t>
      </w:r>
    </w:p>
    <w:p w:rsidR="005408A1" w:rsidRPr="0087389D" w:rsidRDefault="005408A1"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w:t>
      </w:r>
      <w:r w:rsidR="00390F43" w:rsidRPr="0087389D">
        <w:rPr>
          <w:rFonts w:asciiTheme="minorEastAsia" w:eastAsiaTheme="minorEastAsia" w:hAnsiTheme="minorEastAsia"/>
          <w:szCs w:val="21"/>
        </w:rPr>
        <w:t>010-52682999</w:t>
      </w:r>
    </w:p>
    <w:p w:rsidR="005408A1" w:rsidRPr="0087389D" w:rsidRDefault="005408A1"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经办律师：</w:t>
      </w:r>
      <w:r w:rsidR="00390F43" w:rsidRPr="0087389D">
        <w:rPr>
          <w:rFonts w:asciiTheme="minorEastAsia" w:eastAsiaTheme="minorEastAsia" w:hAnsiTheme="minorEastAsia" w:hint="eastAsia"/>
          <w:szCs w:val="21"/>
        </w:rPr>
        <w:t>徐建军、刘焕志</w:t>
      </w:r>
    </w:p>
    <w:p w:rsidR="008D4032" w:rsidRPr="0087389D" w:rsidRDefault="005408A1"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w:t>
      </w:r>
      <w:r w:rsidR="00390F43" w:rsidRPr="0087389D">
        <w:rPr>
          <w:rFonts w:asciiTheme="minorEastAsia" w:eastAsiaTheme="minorEastAsia" w:hAnsiTheme="minorEastAsia" w:hint="eastAsia"/>
          <w:szCs w:val="21"/>
        </w:rPr>
        <w:t>徐建军</w:t>
      </w:r>
    </w:p>
    <w:p w:rsidR="00BA4B87" w:rsidRPr="0087389D" w:rsidRDefault="00B329B1" w:rsidP="00555CE7">
      <w:pPr>
        <w:snapToGrid w:val="0"/>
        <w:spacing w:line="360" w:lineRule="auto"/>
        <w:ind w:firstLineChars="200" w:firstLine="420"/>
        <w:rPr>
          <w:rFonts w:asciiTheme="minorEastAsia" w:eastAsiaTheme="minorEastAsia" w:hAnsiTheme="minorEastAsia"/>
          <w:szCs w:val="21"/>
        </w:rPr>
      </w:pPr>
      <w:bookmarkStart w:id="43" w:name="_Toc327734813"/>
      <w:r w:rsidRPr="0087389D">
        <w:rPr>
          <w:rFonts w:asciiTheme="minorEastAsia" w:eastAsiaTheme="minorEastAsia" w:hAnsiTheme="minorEastAsia"/>
          <w:szCs w:val="21"/>
        </w:rPr>
        <w:t>（</w:t>
      </w:r>
      <w:r w:rsidR="00BA4B87" w:rsidRPr="0087389D">
        <w:rPr>
          <w:rFonts w:asciiTheme="minorEastAsia" w:eastAsiaTheme="minorEastAsia" w:hAnsiTheme="minorEastAsia"/>
          <w:szCs w:val="21"/>
        </w:rPr>
        <w:t>四</w:t>
      </w:r>
      <w:r w:rsidRPr="0087389D">
        <w:rPr>
          <w:rFonts w:asciiTheme="minorEastAsia" w:eastAsiaTheme="minorEastAsia" w:hAnsiTheme="minorEastAsia"/>
          <w:szCs w:val="21"/>
        </w:rPr>
        <w:t>）</w:t>
      </w:r>
      <w:r w:rsidR="00BA4B87" w:rsidRPr="0087389D">
        <w:rPr>
          <w:rFonts w:asciiTheme="minorEastAsia" w:eastAsiaTheme="minorEastAsia" w:hAnsiTheme="minorEastAsia"/>
          <w:szCs w:val="21"/>
        </w:rPr>
        <w:t>会计师事务所和经办注册会计师</w:t>
      </w:r>
      <w:bookmarkEnd w:id="43"/>
    </w:p>
    <w:p w:rsidR="00BD63D3" w:rsidRPr="0087389D" w:rsidRDefault="00BD63D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会计师事务所：安永华明会计师事务所（特殊普通合伙）</w:t>
      </w:r>
    </w:p>
    <w:p w:rsidR="00BD63D3" w:rsidRPr="0087389D" w:rsidRDefault="00BD63D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主要经营场所：北京市东城区东长安街</w:t>
      </w:r>
      <w:r w:rsidRPr="0087389D">
        <w:rPr>
          <w:rFonts w:asciiTheme="minorEastAsia" w:eastAsiaTheme="minorEastAsia" w:hAnsiTheme="minorEastAsia"/>
          <w:szCs w:val="21"/>
        </w:rPr>
        <w:t>1</w:t>
      </w:r>
      <w:r w:rsidRPr="0087389D">
        <w:rPr>
          <w:rFonts w:asciiTheme="minorEastAsia" w:eastAsiaTheme="minorEastAsia" w:hAnsiTheme="minorEastAsia" w:hint="eastAsia"/>
          <w:szCs w:val="21"/>
        </w:rPr>
        <w:t>号东方广场安永大楼</w:t>
      </w:r>
      <w:r w:rsidRPr="0087389D">
        <w:rPr>
          <w:rFonts w:asciiTheme="minorEastAsia" w:eastAsiaTheme="minorEastAsia" w:hAnsiTheme="minorEastAsia"/>
          <w:szCs w:val="21"/>
        </w:rPr>
        <w:t>17</w:t>
      </w:r>
      <w:r w:rsidRPr="0087389D">
        <w:rPr>
          <w:rFonts w:asciiTheme="minorEastAsia" w:eastAsiaTheme="minorEastAsia" w:hAnsiTheme="minorEastAsia" w:hint="eastAsia"/>
          <w:szCs w:val="21"/>
        </w:rPr>
        <w:t>层</w:t>
      </w:r>
      <w:r w:rsidRPr="0087389D">
        <w:rPr>
          <w:rFonts w:asciiTheme="minorEastAsia" w:eastAsiaTheme="minorEastAsia" w:hAnsiTheme="minorEastAsia"/>
          <w:szCs w:val="21"/>
        </w:rPr>
        <w:t>01-12</w:t>
      </w:r>
      <w:r w:rsidRPr="0087389D">
        <w:rPr>
          <w:rFonts w:asciiTheme="minorEastAsia" w:eastAsiaTheme="minorEastAsia" w:hAnsiTheme="minorEastAsia" w:hint="eastAsia"/>
          <w:szCs w:val="21"/>
        </w:rPr>
        <w:t>室</w:t>
      </w:r>
    </w:p>
    <w:p w:rsidR="00BD63D3" w:rsidRPr="0087389D" w:rsidRDefault="00BD63D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执行事务合伙人：</w:t>
      </w:r>
      <w:r w:rsidR="009B5100" w:rsidRPr="0087389D">
        <w:rPr>
          <w:rFonts w:asciiTheme="minorEastAsia" w:eastAsiaTheme="minorEastAsia" w:hAnsiTheme="minorEastAsia" w:hint="eastAsia"/>
          <w:szCs w:val="21"/>
        </w:rPr>
        <w:t>TonyMao毛鞍宁</w:t>
      </w:r>
    </w:p>
    <w:p w:rsidR="00BD63D3" w:rsidRPr="0087389D" w:rsidRDefault="00BD63D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电话：</w:t>
      </w:r>
      <w:r w:rsidRPr="0087389D">
        <w:rPr>
          <w:rFonts w:asciiTheme="minorEastAsia" w:eastAsiaTheme="minorEastAsia" w:hAnsiTheme="minorEastAsia"/>
          <w:szCs w:val="21"/>
        </w:rPr>
        <w:t>010-58153000</w:t>
      </w:r>
    </w:p>
    <w:p w:rsidR="00BD63D3" w:rsidRPr="0087389D" w:rsidRDefault="00BD63D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传真：</w:t>
      </w:r>
      <w:r w:rsidRPr="0087389D">
        <w:rPr>
          <w:rFonts w:asciiTheme="minorEastAsia" w:eastAsiaTheme="minorEastAsia" w:hAnsiTheme="minorEastAsia"/>
          <w:szCs w:val="21"/>
        </w:rPr>
        <w:t>010-85188298</w:t>
      </w:r>
    </w:p>
    <w:p w:rsidR="00BD63D3" w:rsidRPr="0087389D" w:rsidRDefault="00BD63D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经办注册会计师：</w:t>
      </w:r>
      <w:r w:rsidR="00DC44CB" w:rsidRPr="0087389D">
        <w:rPr>
          <w:rFonts w:asciiTheme="minorEastAsia" w:eastAsiaTheme="minorEastAsia" w:hAnsiTheme="minorEastAsia" w:hint="eastAsia"/>
          <w:szCs w:val="21"/>
        </w:rPr>
        <w:t>赵雅、马婧</w:t>
      </w:r>
    </w:p>
    <w:p w:rsidR="00BD63D3" w:rsidRPr="0087389D" w:rsidRDefault="00BD63D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联系人：</w:t>
      </w:r>
      <w:r w:rsidR="009B5100" w:rsidRPr="0087389D">
        <w:rPr>
          <w:rFonts w:asciiTheme="minorEastAsia" w:eastAsiaTheme="minorEastAsia" w:hAnsiTheme="minorEastAsia" w:hint="eastAsia"/>
          <w:szCs w:val="21"/>
        </w:rPr>
        <w:t>赵雅</w:t>
      </w:r>
    </w:p>
    <w:p w:rsidR="00712A55" w:rsidRPr="0087389D" w:rsidRDefault="00712A55" w:rsidP="00555CE7">
      <w:pPr>
        <w:pStyle w:val="1"/>
        <w:pageBreakBefore/>
        <w:snapToGrid w:val="0"/>
        <w:spacing w:beforeLines="0" w:afterLines="0" w:line="360" w:lineRule="auto"/>
        <w:ind w:firstLine="643"/>
        <w:rPr>
          <w:rFonts w:asciiTheme="minorEastAsia" w:eastAsiaTheme="minorEastAsia" w:hAnsiTheme="minorEastAsia"/>
          <w:b/>
          <w:bCs/>
        </w:rPr>
      </w:pPr>
      <w:bookmarkStart w:id="44" w:name="_Toc327734814"/>
      <w:bookmarkStart w:id="45" w:name="_Toc41644964"/>
      <w:r w:rsidRPr="0087389D">
        <w:rPr>
          <w:rFonts w:asciiTheme="minorEastAsia" w:eastAsiaTheme="minorEastAsia" w:hAnsiTheme="minorEastAsia" w:hint="eastAsia"/>
          <w:b/>
          <w:bCs/>
        </w:rPr>
        <w:lastRenderedPageBreak/>
        <w:t>六、基金份额的分类</w:t>
      </w:r>
      <w:bookmarkEnd w:id="44"/>
      <w:bookmarkEnd w:id="45"/>
    </w:p>
    <w:p w:rsidR="00712A55" w:rsidRPr="0087389D" w:rsidRDefault="00B329B1" w:rsidP="00555CE7">
      <w:pPr>
        <w:snapToGrid w:val="0"/>
        <w:spacing w:line="360" w:lineRule="auto"/>
        <w:ind w:firstLineChars="200" w:firstLine="420"/>
        <w:rPr>
          <w:rFonts w:asciiTheme="minorEastAsia" w:eastAsiaTheme="minorEastAsia" w:hAnsiTheme="minorEastAsia"/>
          <w:szCs w:val="21"/>
        </w:rPr>
      </w:pPr>
      <w:bookmarkStart w:id="46" w:name="_Toc327734815"/>
      <w:r w:rsidRPr="0087389D">
        <w:rPr>
          <w:rFonts w:asciiTheme="minorEastAsia" w:eastAsiaTheme="minorEastAsia" w:hAnsiTheme="minorEastAsia"/>
          <w:szCs w:val="21"/>
        </w:rPr>
        <w:t>（</w:t>
      </w:r>
      <w:r w:rsidR="00712A55" w:rsidRPr="0087389D">
        <w:rPr>
          <w:rFonts w:asciiTheme="minorEastAsia" w:eastAsiaTheme="minorEastAsia" w:hAnsiTheme="minorEastAsia"/>
          <w:szCs w:val="21"/>
        </w:rPr>
        <w:t>一</w:t>
      </w:r>
      <w:r w:rsidRPr="0087389D">
        <w:rPr>
          <w:rFonts w:asciiTheme="minorEastAsia" w:eastAsiaTheme="minorEastAsia" w:hAnsiTheme="minorEastAsia"/>
          <w:szCs w:val="21"/>
        </w:rPr>
        <w:t>）</w:t>
      </w:r>
      <w:r w:rsidR="00712A55" w:rsidRPr="0087389D">
        <w:rPr>
          <w:rFonts w:asciiTheme="minorEastAsia" w:eastAsiaTheme="minorEastAsia" w:hAnsiTheme="minorEastAsia" w:hint="eastAsia"/>
          <w:szCs w:val="21"/>
        </w:rPr>
        <w:t>基金份额分类</w:t>
      </w:r>
      <w:bookmarkEnd w:id="46"/>
    </w:p>
    <w:p w:rsidR="00712A55" w:rsidRPr="0087389D" w:rsidRDefault="00712A55"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本基金分为A类基金份额、B类基金份额</w:t>
      </w:r>
      <w:r w:rsidR="005047DD" w:rsidRPr="0087389D">
        <w:rPr>
          <w:rFonts w:asciiTheme="minorEastAsia" w:eastAsiaTheme="minorEastAsia" w:hAnsiTheme="minorEastAsia" w:hint="eastAsia"/>
          <w:szCs w:val="21"/>
        </w:rPr>
        <w:t>、</w:t>
      </w:r>
      <w:r w:rsidR="00334A78" w:rsidRPr="0087389D">
        <w:rPr>
          <w:rFonts w:asciiTheme="minorEastAsia" w:eastAsiaTheme="minorEastAsia" w:hAnsiTheme="minorEastAsia" w:hint="eastAsia"/>
          <w:szCs w:val="21"/>
        </w:rPr>
        <w:t>Y类</w:t>
      </w:r>
      <w:r w:rsidR="005047DD" w:rsidRPr="0087389D">
        <w:rPr>
          <w:rFonts w:asciiTheme="minorEastAsia" w:eastAsiaTheme="minorEastAsia" w:hAnsiTheme="minorEastAsia" w:hint="eastAsia"/>
          <w:szCs w:val="21"/>
        </w:rPr>
        <w:t>基金份额</w:t>
      </w:r>
      <w:r w:rsidRPr="0087389D">
        <w:rPr>
          <w:rFonts w:asciiTheme="minorEastAsia" w:eastAsiaTheme="minorEastAsia" w:hAnsiTheme="minorEastAsia" w:hint="eastAsia"/>
          <w:szCs w:val="21"/>
        </w:rPr>
        <w:t>，</w:t>
      </w:r>
      <w:r w:rsidR="005047DD" w:rsidRPr="0087389D">
        <w:rPr>
          <w:rFonts w:asciiTheme="minorEastAsia" w:eastAsiaTheme="minorEastAsia" w:hAnsiTheme="minorEastAsia" w:hint="eastAsia"/>
          <w:szCs w:val="21"/>
        </w:rPr>
        <w:t>三</w:t>
      </w:r>
      <w:r w:rsidRPr="0087389D">
        <w:rPr>
          <w:rFonts w:asciiTheme="minorEastAsia" w:eastAsiaTheme="minorEastAsia" w:hAnsiTheme="minorEastAsia" w:hint="eastAsia"/>
          <w:szCs w:val="21"/>
        </w:rPr>
        <w:t>类基金份额分别单独设置基金代码，并分别公布每万份基金已实现收益和七日年化收益率。</w:t>
      </w:r>
    </w:p>
    <w:p w:rsidR="00712A55" w:rsidRPr="0087389D" w:rsidRDefault="00712A55"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根据基金实际运作情况，基金管理人可</w:t>
      </w:r>
      <w:r w:rsidR="006840AD" w:rsidRPr="0087389D">
        <w:rPr>
          <w:rFonts w:asciiTheme="minorEastAsia" w:eastAsiaTheme="minorEastAsia" w:hAnsiTheme="minorEastAsia" w:hint="eastAsia"/>
          <w:szCs w:val="21"/>
        </w:rPr>
        <w:t>在不违反法律法规且对基金份额持有人利益无实质不利影响的前提下，</w:t>
      </w:r>
      <w:r w:rsidRPr="0087389D">
        <w:rPr>
          <w:rFonts w:asciiTheme="minorEastAsia" w:eastAsiaTheme="minorEastAsia" w:hAnsiTheme="minorEastAsia" w:hint="eastAsia"/>
          <w:szCs w:val="21"/>
        </w:rPr>
        <w:t>对基金份额分类规则和办法进行调整并提前公告。</w:t>
      </w:r>
    </w:p>
    <w:p w:rsidR="00712A55" w:rsidRPr="0087389D" w:rsidRDefault="00B329B1" w:rsidP="00555CE7">
      <w:pPr>
        <w:snapToGrid w:val="0"/>
        <w:spacing w:line="360" w:lineRule="auto"/>
        <w:ind w:firstLineChars="200" w:firstLine="420"/>
        <w:rPr>
          <w:rFonts w:asciiTheme="minorEastAsia" w:eastAsiaTheme="minorEastAsia" w:hAnsiTheme="minorEastAsia"/>
          <w:szCs w:val="21"/>
        </w:rPr>
      </w:pPr>
      <w:bookmarkStart w:id="47" w:name="_Toc327734816"/>
      <w:r w:rsidRPr="0087389D">
        <w:rPr>
          <w:rFonts w:asciiTheme="minorEastAsia" w:eastAsiaTheme="minorEastAsia" w:hAnsiTheme="minorEastAsia"/>
          <w:szCs w:val="21"/>
        </w:rPr>
        <w:t>（</w:t>
      </w:r>
      <w:r w:rsidR="00712A55" w:rsidRPr="0087389D">
        <w:rPr>
          <w:rFonts w:asciiTheme="minorEastAsia" w:eastAsiaTheme="minorEastAsia" w:hAnsiTheme="minorEastAsia" w:hint="eastAsia"/>
          <w:szCs w:val="21"/>
        </w:rPr>
        <w:t>二</w:t>
      </w:r>
      <w:r w:rsidRPr="0087389D">
        <w:rPr>
          <w:rFonts w:asciiTheme="minorEastAsia" w:eastAsiaTheme="minorEastAsia" w:hAnsiTheme="minorEastAsia"/>
          <w:szCs w:val="21"/>
        </w:rPr>
        <w:t>）</w:t>
      </w:r>
      <w:r w:rsidR="00712A55" w:rsidRPr="0087389D">
        <w:rPr>
          <w:rFonts w:asciiTheme="minorEastAsia" w:eastAsiaTheme="minorEastAsia" w:hAnsiTheme="minorEastAsia" w:hint="eastAsia"/>
          <w:szCs w:val="21"/>
        </w:rPr>
        <w:t>基金份额类别的限制</w:t>
      </w:r>
      <w:bookmarkEnd w:id="47"/>
    </w:p>
    <w:p w:rsidR="00712A55" w:rsidRPr="0087389D" w:rsidRDefault="00712A55"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投资者可根据申购限额选择不同的基金份额类别。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6"/>
        <w:gridCol w:w="2268"/>
        <w:gridCol w:w="1813"/>
        <w:gridCol w:w="1638"/>
      </w:tblGrid>
      <w:tr w:rsidR="002E06F4" w:rsidRPr="0087389D" w:rsidTr="00A65C01">
        <w:trPr>
          <w:trHeight w:val="159"/>
          <w:jc w:val="center"/>
        </w:trPr>
        <w:tc>
          <w:tcPr>
            <w:tcW w:w="2586" w:type="dxa"/>
            <w:vAlign w:val="center"/>
          </w:tcPr>
          <w:p w:rsidR="005047DD" w:rsidRPr="0087389D" w:rsidRDefault="005047DD" w:rsidP="00555CE7">
            <w:pPr>
              <w:autoSpaceDE w:val="0"/>
              <w:autoSpaceDN w:val="0"/>
              <w:adjustRightInd w:val="0"/>
              <w:snapToGrid w:val="0"/>
              <w:spacing w:line="360" w:lineRule="auto"/>
              <w:ind w:firstLine="200"/>
              <w:jc w:val="center"/>
              <w:rPr>
                <w:rFonts w:asciiTheme="minorEastAsia" w:eastAsiaTheme="minorEastAsia" w:hAnsiTheme="minorEastAsia" w:cs="宋体S....."/>
                <w:b/>
                <w:kern w:val="0"/>
                <w:szCs w:val="21"/>
              </w:rPr>
            </w:pPr>
            <w:r w:rsidRPr="0087389D">
              <w:rPr>
                <w:rFonts w:asciiTheme="minorEastAsia" w:eastAsiaTheme="minorEastAsia" w:hAnsiTheme="minorEastAsia" w:cs="宋体S....." w:hint="eastAsia"/>
                <w:b/>
                <w:kern w:val="0"/>
                <w:szCs w:val="21"/>
              </w:rPr>
              <w:t>份额类别</w:t>
            </w:r>
          </w:p>
        </w:tc>
        <w:tc>
          <w:tcPr>
            <w:tcW w:w="2268" w:type="dxa"/>
            <w:vAlign w:val="center"/>
          </w:tcPr>
          <w:p w:rsidR="005047DD" w:rsidRPr="0087389D" w:rsidRDefault="005047DD" w:rsidP="00555CE7">
            <w:pPr>
              <w:autoSpaceDE w:val="0"/>
              <w:autoSpaceDN w:val="0"/>
              <w:adjustRightInd w:val="0"/>
              <w:snapToGrid w:val="0"/>
              <w:spacing w:line="360" w:lineRule="auto"/>
              <w:ind w:firstLine="200"/>
              <w:jc w:val="center"/>
              <w:rPr>
                <w:rFonts w:asciiTheme="minorEastAsia" w:eastAsiaTheme="minorEastAsia" w:hAnsiTheme="minorEastAsia"/>
                <w:b/>
                <w:kern w:val="0"/>
                <w:szCs w:val="21"/>
              </w:rPr>
            </w:pPr>
            <w:r w:rsidRPr="0087389D">
              <w:rPr>
                <w:rFonts w:asciiTheme="minorEastAsia" w:eastAsiaTheme="minorEastAsia" w:hAnsiTheme="minorEastAsia"/>
                <w:b/>
                <w:bCs/>
                <w:kern w:val="0"/>
                <w:szCs w:val="21"/>
              </w:rPr>
              <w:t>A类基金份额</w:t>
            </w:r>
          </w:p>
        </w:tc>
        <w:tc>
          <w:tcPr>
            <w:tcW w:w="1813" w:type="dxa"/>
            <w:vAlign w:val="center"/>
          </w:tcPr>
          <w:p w:rsidR="005047DD" w:rsidRPr="0087389D" w:rsidRDefault="005047DD" w:rsidP="00555CE7">
            <w:pPr>
              <w:autoSpaceDE w:val="0"/>
              <w:autoSpaceDN w:val="0"/>
              <w:adjustRightInd w:val="0"/>
              <w:snapToGrid w:val="0"/>
              <w:spacing w:line="360" w:lineRule="auto"/>
              <w:ind w:firstLine="200"/>
              <w:jc w:val="center"/>
              <w:rPr>
                <w:rFonts w:asciiTheme="minorEastAsia" w:eastAsiaTheme="minorEastAsia" w:hAnsiTheme="minorEastAsia"/>
                <w:kern w:val="0"/>
                <w:szCs w:val="21"/>
              </w:rPr>
            </w:pPr>
            <w:r w:rsidRPr="0087389D">
              <w:rPr>
                <w:rFonts w:asciiTheme="minorEastAsia" w:eastAsiaTheme="minorEastAsia" w:hAnsiTheme="minorEastAsia"/>
                <w:b/>
                <w:bCs/>
                <w:kern w:val="0"/>
                <w:szCs w:val="21"/>
              </w:rPr>
              <w:t>B类基金份额</w:t>
            </w:r>
          </w:p>
        </w:tc>
        <w:tc>
          <w:tcPr>
            <w:tcW w:w="1638" w:type="dxa"/>
            <w:vAlign w:val="center"/>
          </w:tcPr>
          <w:p w:rsidR="005047DD" w:rsidRPr="0087389D" w:rsidRDefault="00334A78" w:rsidP="00555CE7">
            <w:pPr>
              <w:autoSpaceDE w:val="0"/>
              <w:autoSpaceDN w:val="0"/>
              <w:adjustRightInd w:val="0"/>
              <w:snapToGrid w:val="0"/>
              <w:spacing w:line="360" w:lineRule="auto"/>
              <w:ind w:firstLine="200"/>
              <w:jc w:val="center"/>
              <w:rPr>
                <w:rFonts w:asciiTheme="minorEastAsia" w:eastAsiaTheme="minorEastAsia" w:hAnsiTheme="minorEastAsia"/>
                <w:b/>
                <w:bCs/>
                <w:kern w:val="0"/>
                <w:szCs w:val="21"/>
              </w:rPr>
            </w:pPr>
            <w:r w:rsidRPr="0087389D">
              <w:rPr>
                <w:rFonts w:asciiTheme="minorEastAsia" w:eastAsiaTheme="minorEastAsia" w:hAnsiTheme="minorEastAsia" w:hint="eastAsia"/>
                <w:b/>
                <w:bCs/>
                <w:kern w:val="0"/>
                <w:szCs w:val="21"/>
              </w:rPr>
              <w:t>Y类</w:t>
            </w:r>
            <w:r w:rsidR="005047DD" w:rsidRPr="0087389D">
              <w:rPr>
                <w:rFonts w:asciiTheme="minorEastAsia" w:eastAsiaTheme="minorEastAsia" w:hAnsiTheme="minorEastAsia"/>
                <w:b/>
                <w:bCs/>
                <w:kern w:val="0"/>
                <w:szCs w:val="21"/>
              </w:rPr>
              <w:t>基金份额</w:t>
            </w:r>
          </w:p>
        </w:tc>
      </w:tr>
      <w:tr w:rsidR="002E06F4" w:rsidRPr="0087389D" w:rsidTr="00A65C01">
        <w:trPr>
          <w:trHeight w:val="857"/>
          <w:jc w:val="center"/>
        </w:trPr>
        <w:tc>
          <w:tcPr>
            <w:tcW w:w="2586" w:type="dxa"/>
            <w:vAlign w:val="center"/>
          </w:tcPr>
          <w:p w:rsidR="003A7EFB" w:rsidRPr="0087389D" w:rsidRDefault="003A7EFB" w:rsidP="006D6D81">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87389D">
              <w:rPr>
                <w:rFonts w:asciiTheme="minorEastAsia" w:eastAsiaTheme="minorEastAsia" w:hAnsiTheme="minorEastAsia" w:cs="宋体S....." w:hint="eastAsia"/>
                <w:kern w:val="0"/>
                <w:szCs w:val="21"/>
              </w:rPr>
              <w:t>首次申购最低金额</w:t>
            </w:r>
          </w:p>
        </w:tc>
        <w:tc>
          <w:tcPr>
            <w:tcW w:w="2268" w:type="dxa"/>
            <w:vAlign w:val="center"/>
          </w:tcPr>
          <w:p w:rsidR="003A7EFB" w:rsidRPr="0087389D" w:rsidRDefault="003A7EFB" w:rsidP="00555CE7">
            <w:pPr>
              <w:autoSpaceDE w:val="0"/>
              <w:autoSpaceDN w:val="0"/>
              <w:adjustRightInd w:val="0"/>
              <w:spacing w:line="360" w:lineRule="auto"/>
              <w:jc w:val="center"/>
              <w:rPr>
                <w:rFonts w:asciiTheme="minorEastAsia" w:eastAsiaTheme="minorEastAsia" w:hAnsiTheme="minorEastAsia" w:cs="宋体S....."/>
                <w:kern w:val="0"/>
                <w:szCs w:val="21"/>
              </w:rPr>
            </w:pPr>
            <w:r w:rsidRPr="0087389D">
              <w:rPr>
                <w:rFonts w:asciiTheme="minorEastAsia" w:eastAsiaTheme="minorEastAsia" w:hAnsiTheme="minorEastAsia" w:hint="eastAsia"/>
                <w:kern w:val="0"/>
                <w:szCs w:val="21"/>
              </w:rPr>
              <w:t>不进行限制</w:t>
            </w:r>
          </w:p>
          <w:p w:rsidR="003A7EFB" w:rsidRPr="0087389D" w:rsidRDefault="003A7EFB" w:rsidP="006D6D81">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87389D">
              <w:rPr>
                <w:rFonts w:asciiTheme="minorEastAsia" w:eastAsiaTheme="minorEastAsia" w:hAnsiTheme="minorEastAsia" w:cs="宋体S....." w:hint="eastAsia"/>
                <w:kern w:val="0"/>
                <w:szCs w:val="21"/>
              </w:rPr>
              <w:t>（直销中心为</w:t>
            </w:r>
            <w:r w:rsidR="006D6D81" w:rsidRPr="0087389D">
              <w:rPr>
                <w:rFonts w:asciiTheme="minorEastAsia" w:eastAsiaTheme="minorEastAsia" w:hAnsiTheme="minorEastAsia"/>
                <w:kern w:val="0"/>
                <w:szCs w:val="21"/>
              </w:rPr>
              <w:t>2000</w:t>
            </w:r>
            <w:r w:rsidRPr="0087389D">
              <w:rPr>
                <w:rFonts w:asciiTheme="minorEastAsia" w:eastAsiaTheme="minorEastAsia" w:hAnsiTheme="minorEastAsia" w:cs="宋体S....." w:hint="eastAsia"/>
                <w:kern w:val="0"/>
                <w:szCs w:val="21"/>
              </w:rPr>
              <w:t>万元）</w:t>
            </w:r>
          </w:p>
        </w:tc>
        <w:tc>
          <w:tcPr>
            <w:tcW w:w="1813" w:type="dxa"/>
            <w:vAlign w:val="center"/>
          </w:tcPr>
          <w:p w:rsidR="006D6D81" w:rsidRPr="0087389D" w:rsidRDefault="003A7EFB" w:rsidP="00555CE7">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87389D">
              <w:rPr>
                <w:rFonts w:asciiTheme="minorEastAsia" w:eastAsiaTheme="minorEastAsia" w:hAnsiTheme="minorEastAsia" w:cs="宋体S....." w:hint="eastAsia"/>
                <w:kern w:val="0"/>
                <w:szCs w:val="21"/>
              </w:rPr>
              <w:t>500万元</w:t>
            </w:r>
          </w:p>
          <w:p w:rsidR="003A7EFB" w:rsidRPr="0087389D" w:rsidRDefault="006D6D81" w:rsidP="00555CE7">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87389D">
              <w:rPr>
                <w:rFonts w:asciiTheme="minorEastAsia" w:eastAsiaTheme="minorEastAsia" w:hAnsiTheme="minorEastAsia" w:cs="宋体S....." w:hint="eastAsia"/>
                <w:kern w:val="0"/>
                <w:szCs w:val="21"/>
              </w:rPr>
              <w:t>（直销中心为</w:t>
            </w:r>
            <w:r w:rsidRPr="0087389D">
              <w:rPr>
                <w:rFonts w:asciiTheme="minorEastAsia" w:eastAsiaTheme="minorEastAsia" w:hAnsiTheme="minorEastAsia"/>
                <w:kern w:val="0"/>
                <w:szCs w:val="21"/>
              </w:rPr>
              <w:t>2000</w:t>
            </w:r>
            <w:r w:rsidRPr="0087389D">
              <w:rPr>
                <w:rFonts w:asciiTheme="minorEastAsia" w:eastAsiaTheme="minorEastAsia" w:hAnsiTheme="minorEastAsia" w:cs="宋体S....." w:hint="eastAsia"/>
                <w:kern w:val="0"/>
                <w:szCs w:val="21"/>
              </w:rPr>
              <w:t>万元）</w:t>
            </w:r>
          </w:p>
        </w:tc>
        <w:tc>
          <w:tcPr>
            <w:tcW w:w="1638" w:type="dxa"/>
            <w:vAlign w:val="center"/>
          </w:tcPr>
          <w:p w:rsidR="003A7EFB" w:rsidRPr="0087389D" w:rsidRDefault="003A7EFB" w:rsidP="00555CE7">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87389D">
              <w:rPr>
                <w:rFonts w:asciiTheme="minorEastAsia" w:eastAsiaTheme="minorEastAsia" w:hAnsiTheme="minorEastAsia" w:cs="宋体S....." w:hint="eastAsia"/>
                <w:kern w:val="0"/>
                <w:szCs w:val="21"/>
              </w:rPr>
              <w:t>0.01元</w:t>
            </w:r>
          </w:p>
        </w:tc>
      </w:tr>
      <w:tr w:rsidR="002E06F4" w:rsidRPr="0087389D" w:rsidTr="00A65C01">
        <w:trPr>
          <w:trHeight w:val="157"/>
          <w:jc w:val="center"/>
        </w:trPr>
        <w:tc>
          <w:tcPr>
            <w:tcW w:w="2586" w:type="dxa"/>
            <w:vAlign w:val="center"/>
          </w:tcPr>
          <w:p w:rsidR="003A7EFB" w:rsidRPr="0087389D" w:rsidRDefault="003A7EFB" w:rsidP="006D6D81">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87389D">
              <w:rPr>
                <w:rFonts w:asciiTheme="minorEastAsia" w:eastAsiaTheme="minorEastAsia" w:hAnsiTheme="minorEastAsia" w:cs="宋体S....." w:hint="eastAsia"/>
                <w:kern w:val="0"/>
                <w:szCs w:val="21"/>
              </w:rPr>
              <w:t>追加申购最低金额</w:t>
            </w:r>
          </w:p>
        </w:tc>
        <w:tc>
          <w:tcPr>
            <w:tcW w:w="2268" w:type="dxa"/>
            <w:vAlign w:val="center"/>
          </w:tcPr>
          <w:p w:rsidR="003A7EFB" w:rsidRPr="0087389D" w:rsidRDefault="003A7EFB" w:rsidP="00555CE7">
            <w:pPr>
              <w:autoSpaceDE w:val="0"/>
              <w:autoSpaceDN w:val="0"/>
              <w:adjustRightInd w:val="0"/>
              <w:spacing w:line="360" w:lineRule="auto"/>
              <w:jc w:val="center"/>
              <w:rPr>
                <w:rFonts w:asciiTheme="minorEastAsia" w:eastAsiaTheme="minorEastAsia" w:hAnsiTheme="minorEastAsia"/>
              </w:rPr>
            </w:pPr>
            <w:r w:rsidRPr="0087389D">
              <w:rPr>
                <w:rFonts w:asciiTheme="minorEastAsia" w:eastAsiaTheme="minorEastAsia" w:hAnsiTheme="minorEastAsia" w:hint="eastAsia"/>
                <w:kern w:val="0"/>
                <w:szCs w:val="21"/>
              </w:rPr>
              <w:t>不进行限制</w:t>
            </w:r>
          </w:p>
          <w:p w:rsidR="003A7EFB" w:rsidRPr="0087389D" w:rsidRDefault="003A7EFB" w:rsidP="00555CE7">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87389D">
              <w:rPr>
                <w:rFonts w:asciiTheme="minorEastAsia" w:eastAsiaTheme="minorEastAsia" w:hAnsiTheme="minorEastAsia" w:hint="eastAsia"/>
              </w:rPr>
              <w:t>（直销中心为</w:t>
            </w:r>
            <w:r w:rsidR="006D6D81" w:rsidRPr="0087389D">
              <w:rPr>
                <w:rFonts w:asciiTheme="minorEastAsia" w:eastAsiaTheme="minorEastAsia" w:hAnsiTheme="minorEastAsia"/>
                <w:kern w:val="0"/>
                <w:szCs w:val="21"/>
              </w:rPr>
              <w:t>2000</w:t>
            </w:r>
            <w:r w:rsidR="006D6D81" w:rsidRPr="0087389D">
              <w:rPr>
                <w:rFonts w:asciiTheme="minorEastAsia" w:eastAsiaTheme="minorEastAsia" w:hAnsiTheme="minorEastAsia" w:cs="宋体S....." w:hint="eastAsia"/>
                <w:kern w:val="0"/>
                <w:szCs w:val="21"/>
              </w:rPr>
              <w:t>万</w:t>
            </w:r>
            <w:r w:rsidRPr="0087389D">
              <w:rPr>
                <w:rFonts w:asciiTheme="minorEastAsia" w:eastAsiaTheme="minorEastAsia" w:hAnsiTheme="minorEastAsia" w:hint="eastAsia"/>
              </w:rPr>
              <w:t>元）</w:t>
            </w:r>
          </w:p>
        </w:tc>
        <w:tc>
          <w:tcPr>
            <w:tcW w:w="1813" w:type="dxa"/>
            <w:vAlign w:val="center"/>
          </w:tcPr>
          <w:p w:rsidR="006D6D81" w:rsidRPr="0087389D" w:rsidRDefault="003A7EFB" w:rsidP="00555CE7">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87389D">
              <w:rPr>
                <w:rFonts w:asciiTheme="minorEastAsia" w:eastAsiaTheme="minorEastAsia" w:hAnsiTheme="minorEastAsia" w:cs="宋体S....."/>
                <w:kern w:val="0"/>
                <w:szCs w:val="21"/>
              </w:rPr>
              <w:t>1</w:t>
            </w:r>
            <w:r w:rsidRPr="0087389D">
              <w:rPr>
                <w:rFonts w:asciiTheme="minorEastAsia" w:eastAsiaTheme="minorEastAsia" w:hAnsiTheme="minorEastAsia" w:cs="宋体S....." w:hint="eastAsia"/>
                <w:kern w:val="0"/>
                <w:szCs w:val="21"/>
              </w:rPr>
              <w:t>0万元</w:t>
            </w:r>
          </w:p>
          <w:p w:rsidR="003A7EFB" w:rsidRPr="0087389D" w:rsidRDefault="006D6D81" w:rsidP="00555CE7">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87389D">
              <w:rPr>
                <w:rFonts w:asciiTheme="minorEastAsia" w:eastAsiaTheme="minorEastAsia" w:hAnsiTheme="minorEastAsia" w:hint="eastAsia"/>
              </w:rPr>
              <w:t>（直销中心为</w:t>
            </w:r>
            <w:r w:rsidRPr="0087389D">
              <w:rPr>
                <w:rFonts w:asciiTheme="minorEastAsia" w:eastAsiaTheme="minorEastAsia" w:hAnsiTheme="minorEastAsia"/>
                <w:kern w:val="0"/>
                <w:szCs w:val="21"/>
              </w:rPr>
              <w:t>2000</w:t>
            </w:r>
            <w:r w:rsidRPr="0087389D">
              <w:rPr>
                <w:rFonts w:asciiTheme="minorEastAsia" w:eastAsiaTheme="minorEastAsia" w:hAnsiTheme="minorEastAsia" w:cs="宋体S....." w:hint="eastAsia"/>
                <w:kern w:val="0"/>
                <w:szCs w:val="21"/>
              </w:rPr>
              <w:t>万</w:t>
            </w:r>
            <w:r w:rsidRPr="0087389D">
              <w:rPr>
                <w:rFonts w:asciiTheme="minorEastAsia" w:eastAsiaTheme="minorEastAsia" w:hAnsiTheme="minorEastAsia" w:hint="eastAsia"/>
              </w:rPr>
              <w:t>元）</w:t>
            </w:r>
          </w:p>
        </w:tc>
        <w:tc>
          <w:tcPr>
            <w:tcW w:w="1638" w:type="dxa"/>
            <w:vAlign w:val="center"/>
          </w:tcPr>
          <w:p w:rsidR="003A7EFB" w:rsidRPr="0087389D" w:rsidRDefault="003A7EFB" w:rsidP="00555CE7">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87389D">
              <w:rPr>
                <w:rFonts w:asciiTheme="minorEastAsia" w:eastAsiaTheme="minorEastAsia" w:hAnsiTheme="minorEastAsia" w:cs="宋体S....." w:hint="eastAsia"/>
                <w:kern w:val="0"/>
                <w:szCs w:val="21"/>
              </w:rPr>
              <w:t>0.01元</w:t>
            </w:r>
          </w:p>
        </w:tc>
      </w:tr>
      <w:tr w:rsidR="002E06F4" w:rsidRPr="0087389D" w:rsidTr="00A65C01">
        <w:trPr>
          <w:trHeight w:val="157"/>
          <w:jc w:val="center"/>
        </w:trPr>
        <w:tc>
          <w:tcPr>
            <w:tcW w:w="2586" w:type="dxa"/>
            <w:vAlign w:val="center"/>
          </w:tcPr>
          <w:p w:rsidR="005047DD" w:rsidRPr="0087389D" w:rsidRDefault="005047DD" w:rsidP="00555CE7">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87389D">
              <w:rPr>
                <w:rFonts w:asciiTheme="minorEastAsia" w:eastAsiaTheme="minorEastAsia" w:hAnsiTheme="minorEastAsia" w:cs="宋体S....." w:hint="eastAsia"/>
                <w:kern w:val="0"/>
                <w:szCs w:val="21"/>
              </w:rPr>
              <w:t>单笔赎回最低份额</w:t>
            </w:r>
          </w:p>
        </w:tc>
        <w:tc>
          <w:tcPr>
            <w:tcW w:w="2268" w:type="dxa"/>
            <w:vAlign w:val="center"/>
          </w:tcPr>
          <w:p w:rsidR="005047DD" w:rsidRPr="0087389D" w:rsidRDefault="005047DD" w:rsidP="00555CE7">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87389D">
              <w:rPr>
                <w:rFonts w:asciiTheme="minorEastAsia" w:eastAsiaTheme="minorEastAsia" w:hAnsiTheme="minorEastAsia" w:cs="宋体S....." w:hint="eastAsia"/>
                <w:kern w:val="0"/>
                <w:szCs w:val="21"/>
              </w:rPr>
              <w:t>0份</w:t>
            </w:r>
          </w:p>
        </w:tc>
        <w:tc>
          <w:tcPr>
            <w:tcW w:w="1813" w:type="dxa"/>
            <w:vAlign w:val="center"/>
          </w:tcPr>
          <w:p w:rsidR="005047DD" w:rsidRPr="0087389D" w:rsidRDefault="005047DD" w:rsidP="00555CE7">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87389D">
              <w:rPr>
                <w:rFonts w:asciiTheme="minorEastAsia" w:eastAsiaTheme="minorEastAsia" w:hAnsiTheme="minorEastAsia" w:cs="宋体S....." w:hint="eastAsia"/>
                <w:kern w:val="0"/>
                <w:szCs w:val="21"/>
              </w:rPr>
              <w:t>0份</w:t>
            </w:r>
          </w:p>
        </w:tc>
        <w:tc>
          <w:tcPr>
            <w:tcW w:w="1638" w:type="dxa"/>
            <w:vAlign w:val="center"/>
          </w:tcPr>
          <w:p w:rsidR="005047DD" w:rsidRPr="0087389D" w:rsidRDefault="005047DD" w:rsidP="00555CE7">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87389D">
              <w:rPr>
                <w:rFonts w:asciiTheme="minorEastAsia" w:eastAsiaTheme="minorEastAsia" w:hAnsiTheme="minorEastAsia" w:cs="宋体S....." w:hint="eastAsia"/>
                <w:kern w:val="0"/>
                <w:szCs w:val="21"/>
              </w:rPr>
              <w:t>0份</w:t>
            </w:r>
          </w:p>
        </w:tc>
      </w:tr>
      <w:tr w:rsidR="002E06F4" w:rsidRPr="0087389D" w:rsidTr="00A65C01">
        <w:trPr>
          <w:trHeight w:val="157"/>
          <w:jc w:val="center"/>
        </w:trPr>
        <w:tc>
          <w:tcPr>
            <w:tcW w:w="2586" w:type="dxa"/>
            <w:vAlign w:val="center"/>
          </w:tcPr>
          <w:p w:rsidR="005047DD" w:rsidRPr="0087389D" w:rsidRDefault="005047DD" w:rsidP="00555CE7">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87389D">
              <w:rPr>
                <w:rFonts w:asciiTheme="minorEastAsia" w:eastAsiaTheme="minorEastAsia" w:hAnsiTheme="minorEastAsia" w:cs="宋体S....." w:hint="eastAsia"/>
                <w:kern w:val="0"/>
                <w:szCs w:val="21"/>
              </w:rPr>
              <w:t>基金交易账户最低基金份额余额</w:t>
            </w:r>
          </w:p>
        </w:tc>
        <w:tc>
          <w:tcPr>
            <w:tcW w:w="2268" w:type="dxa"/>
            <w:vAlign w:val="center"/>
          </w:tcPr>
          <w:p w:rsidR="005047DD" w:rsidRPr="0087389D" w:rsidRDefault="005047DD" w:rsidP="00555CE7">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87389D">
              <w:rPr>
                <w:rFonts w:asciiTheme="minorEastAsia" w:eastAsiaTheme="minorEastAsia" w:hAnsiTheme="minorEastAsia" w:cs="宋体S....." w:hint="eastAsia"/>
                <w:kern w:val="0"/>
                <w:szCs w:val="21"/>
              </w:rPr>
              <w:t>0份</w:t>
            </w:r>
          </w:p>
        </w:tc>
        <w:tc>
          <w:tcPr>
            <w:tcW w:w="1813" w:type="dxa"/>
            <w:vAlign w:val="center"/>
          </w:tcPr>
          <w:p w:rsidR="005047DD" w:rsidRPr="0087389D" w:rsidRDefault="005047DD" w:rsidP="00555CE7">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87389D">
              <w:rPr>
                <w:rFonts w:asciiTheme="minorEastAsia" w:eastAsiaTheme="minorEastAsia" w:hAnsiTheme="minorEastAsia" w:cs="宋体S....." w:hint="eastAsia"/>
                <w:kern w:val="0"/>
                <w:szCs w:val="21"/>
              </w:rPr>
              <w:t>0份</w:t>
            </w:r>
          </w:p>
        </w:tc>
        <w:tc>
          <w:tcPr>
            <w:tcW w:w="1638" w:type="dxa"/>
            <w:vAlign w:val="center"/>
          </w:tcPr>
          <w:p w:rsidR="005047DD" w:rsidRPr="0087389D" w:rsidRDefault="005047DD" w:rsidP="00555CE7">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87389D">
              <w:rPr>
                <w:rFonts w:asciiTheme="minorEastAsia" w:eastAsiaTheme="minorEastAsia" w:hAnsiTheme="minorEastAsia" w:cs="宋体S....." w:hint="eastAsia"/>
                <w:kern w:val="0"/>
                <w:szCs w:val="21"/>
              </w:rPr>
              <w:t>0份</w:t>
            </w:r>
          </w:p>
        </w:tc>
      </w:tr>
      <w:tr w:rsidR="002E06F4" w:rsidRPr="0087389D" w:rsidTr="00A65C01">
        <w:trPr>
          <w:trHeight w:val="157"/>
          <w:jc w:val="center"/>
        </w:trPr>
        <w:tc>
          <w:tcPr>
            <w:tcW w:w="2586" w:type="dxa"/>
            <w:vAlign w:val="center"/>
          </w:tcPr>
          <w:p w:rsidR="005047DD" w:rsidRPr="0087389D" w:rsidRDefault="005047DD" w:rsidP="00555CE7">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87389D">
              <w:rPr>
                <w:rFonts w:asciiTheme="minorEastAsia" w:eastAsiaTheme="minorEastAsia" w:hAnsiTheme="minorEastAsia" w:cs="宋体S....." w:hint="eastAsia"/>
                <w:kern w:val="0"/>
                <w:szCs w:val="21"/>
              </w:rPr>
              <w:t>销售服务费（年费率）</w:t>
            </w:r>
          </w:p>
        </w:tc>
        <w:tc>
          <w:tcPr>
            <w:tcW w:w="2268" w:type="dxa"/>
            <w:vAlign w:val="center"/>
          </w:tcPr>
          <w:p w:rsidR="005047DD" w:rsidRPr="0087389D" w:rsidRDefault="005047DD" w:rsidP="00555CE7">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87389D">
              <w:rPr>
                <w:rFonts w:asciiTheme="minorEastAsia" w:eastAsiaTheme="minorEastAsia" w:hAnsiTheme="minorEastAsia" w:cs="宋体S....."/>
                <w:kern w:val="0"/>
                <w:szCs w:val="21"/>
              </w:rPr>
              <w:t>0.</w:t>
            </w:r>
            <w:r w:rsidRPr="0087389D">
              <w:rPr>
                <w:rFonts w:asciiTheme="minorEastAsia" w:eastAsiaTheme="minorEastAsia" w:hAnsiTheme="minorEastAsia" w:cs="宋体S....." w:hint="eastAsia"/>
                <w:kern w:val="0"/>
                <w:szCs w:val="21"/>
              </w:rPr>
              <w:t>25</w:t>
            </w:r>
            <w:r w:rsidRPr="0087389D">
              <w:rPr>
                <w:rFonts w:asciiTheme="minorEastAsia" w:eastAsiaTheme="minorEastAsia" w:hAnsiTheme="minorEastAsia" w:cs="宋体S....."/>
                <w:kern w:val="0"/>
                <w:szCs w:val="21"/>
              </w:rPr>
              <w:t>%</w:t>
            </w:r>
          </w:p>
        </w:tc>
        <w:tc>
          <w:tcPr>
            <w:tcW w:w="1813" w:type="dxa"/>
            <w:vAlign w:val="center"/>
          </w:tcPr>
          <w:p w:rsidR="005047DD" w:rsidRPr="0087389D" w:rsidRDefault="005047DD" w:rsidP="00555CE7">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87389D">
              <w:rPr>
                <w:rFonts w:asciiTheme="minorEastAsia" w:eastAsiaTheme="minorEastAsia" w:hAnsiTheme="minorEastAsia" w:cs="宋体S....."/>
                <w:kern w:val="0"/>
                <w:szCs w:val="21"/>
              </w:rPr>
              <w:t>0.01%</w:t>
            </w:r>
          </w:p>
        </w:tc>
        <w:tc>
          <w:tcPr>
            <w:tcW w:w="1638" w:type="dxa"/>
            <w:vAlign w:val="center"/>
          </w:tcPr>
          <w:p w:rsidR="005047DD" w:rsidRPr="0087389D" w:rsidRDefault="005047DD" w:rsidP="00555CE7">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87389D">
              <w:rPr>
                <w:rFonts w:asciiTheme="minorEastAsia" w:eastAsiaTheme="minorEastAsia" w:hAnsiTheme="minorEastAsia" w:cs="宋体S....." w:hint="eastAsia"/>
                <w:kern w:val="0"/>
                <w:szCs w:val="21"/>
              </w:rPr>
              <w:t>0.25%</w:t>
            </w:r>
          </w:p>
        </w:tc>
      </w:tr>
    </w:tbl>
    <w:p w:rsidR="00712A55" w:rsidRPr="0087389D" w:rsidRDefault="00B329B1" w:rsidP="00555CE7">
      <w:pPr>
        <w:snapToGrid w:val="0"/>
        <w:spacing w:line="360" w:lineRule="auto"/>
        <w:ind w:firstLineChars="200" w:firstLine="420"/>
        <w:rPr>
          <w:rFonts w:asciiTheme="minorEastAsia" w:eastAsiaTheme="minorEastAsia" w:hAnsiTheme="minorEastAsia"/>
          <w:szCs w:val="21"/>
        </w:rPr>
      </w:pPr>
      <w:bookmarkStart w:id="48" w:name="_Toc327734817"/>
      <w:r w:rsidRPr="0087389D">
        <w:rPr>
          <w:rFonts w:asciiTheme="minorEastAsia" w:eastAsiaTheme="minorEastAsia" w:hAnsiTheme="minorEastAsia"/>
          <w:szCs w:val="21"/>
        </w:rPr>
        <w:t>（</w:t>
      </w:r>
      <w:r w:rsidR="00712A55" w:rsidRPr="0087389D">
        <w:rPr>
          <w:rFonts w:asciiTheme="minorEastAsia" w:eastAsiaTheme="minorEastAsia" w:hAnsiTheme="minorEastAsia" w:hint="eastAsia"/>
          <w:szCs w:val="21"/>
        </w:rPr>
        <w:t>三</w:t>
      </w:r>
      <w:r w:rsidRPr="0087389D">
        <w:rPr>
          <w:rFonts w:asciiTheme="minorEastAsia" w:eastAsiaTheme="minorEastAsia" w:hAnsiTheme="minorEastAsia"/>
          <w:szCs w:val="21"/>
        </w:rPr>
        <w:t>）</w:t>
      </w:r>
      <w:r w:rsidR="00712A55" w:rsidRPr="0087389D">
        <w:rPr>
          <w:rFonts w:asciiTheme="minorEastAsia" w:eastAsiaTheme="minorEastAsia" w:hAnsiTheme="minorEastAsia" w:hint="eastAsia"/>
          <w:szCs w:val="21"/>
        </w:rPr>
        <w:t>基金份额的升降级</w:t>
      </w:r>
      <w:bookmarkEnd w:id="48"/>
    </w:p>
    <w:p w:rsidR="00712A55" w:rsidRPr="0087389D" w:rsidRDefault="00712A55"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本基金暂不开通份额类别之间的升降级业务。今后若开通升降级的有关业务，业务规则详见届时发布的有关公告及更新招募说明书。</w:t>
      </w:r>
    </w:p>
    <w:p w:rsidR="00712A55" w:rsidRPr="0087389D" w:rsidRDefault="00B329B1"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w:t>
      </w:r>
      <w:r w:rsidR="00712A55" w:rsidRPr="0087389D">
        <w:rPr>
          <w:rFonts w:asciiTheme="minorEastAsia" w:eastAsiaTheme="minorEastAsia" w:hAnsiTheme="minorEastAsia" w:hint="eastAsia"/>
          <w:szCs w:val="21"/>
        </w:rPr>
        <w:t>四</w:t>
      </w:r>
      <w:r w:rsidRPr="0087389D">
        <w:rPr>
          <w:rFonts w:asciiTheme="minorEastAsia" w:eastAsiaTheme="minorEastAsia" w:hAnsiTheme="minorEastAsia" w:hint="eastAsia"/>
          <w:szCs w:val="21"/>
        </w:rPr>
        <w:t>）</w:t>
      </w:r>
      <w:r w:rsidR="00712A55" w:rsidRPr="0087389D">
        <w:rPr>
          <w:rFonts w:asciiTheme="minorEastAsia" w:eastAsiaTheme="minorEastAsia" w:hAnsiTheme="minorEastAsia" w:hint="eastAsia"/>
          <w:szCs w:val="21"/>
        </w:rPr>
        <w:t>基金份额分类及规则的调整</w:t>
      </w:r>
    </w:p>
    <w:p w:rsidR="00930A85" w:rsidRPr="0087389D" w:rsidRDefault="00930A85"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szCs w:val="21"/>
        </w:rPr>
        <w:t>1</w:t>
      </w:r>
      <w:r w:rsidRPr="0087389D">
        <w:rPr>
          <w:rFonts w:asciiTheme="minorEastAsia" w:eastAsiaTheme="minorEastAsia" w:hAnsiTheme="minorEastAsia" w:hint="eastAsia"/>
          <w:szCs w:val="21"/>
        </w:rPr>
        <w:t>、基金管理人可根据基金实际运作情况，经与基金托管人协商一致，在不违反法律法规且对基金份额持有人利益无实质不利影响的前提下，增加新的基金份额类别，或取消某基金份额类别，或对基金份额分类办法及规则进行调整并公告，且无需召开持有人大会审议。</w:t>
      </w:r>
    </w:p>
    <w:p w:rsidR="00AC1A53" w:rsidRPr="0087389D" w:rsidRDefault="00930A85"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szCs w:val="21"/>
        </w:rPr>
        <w:t>2</w:t>
      </w:r>
      <w:r w:rsidRPr="0087389D">
        <w:rPr>
          <w:rFonts w:asciiTheme="minorEastAsia" w:eastAsiaTheme="minorEastAsia" w:hAnsiTheme="minorEastAsia" w:hint="eastAsia"/>
          <w:szCs w:val="21"/>
        </w:rPr>
        <w:t>、</w:t>
      </w:r>
      <w:r w:rsidR="00C02F0E" w:rsidRPr="0087389D">
        <w:rPr>
          <w:rFonts w:asciiTheme="minorEastAsia" w:eastAsiaTheme="minorEastAsia" w:hAnsiTheme="minorEastAsia" w:hint="eastAsia"/>
          <w:szCs w:val="21"/>
        </w:rPr>
        <w:t>在不违反法律法规且对基金份额持有人利益无实质不利影响的前提下，</w:t>
      </w:r>
      <w:r w:rsidRPr="0087389D">
        <w:rPr>
          <w:rFonts w:asciiTheme="minorEastAsia" w:eastAsiaTheme="minorEastAsia" w:hAnsiTheme="minorEastAsia" w:hint="eastAsia"/>
          <w:szCs w:val="21"/>
        </w:rPr>
        <w:t>基金管理人可以调整认</w:t>
      </w:r>
      <w:r w:rsidR="00B329B1" w:rsidRPr="0087389D">
        <w:rPr>
          <w:rFonts w:asciiTheme="minorEastAsia" w:eastAsiaTheme="minorEastAsia" w:hAnsiTheme="minorEastAsia" w:hint="eastAsia"/>
          <w:szCs w:val="21"/>
        </w:rPr>
        <w:t>（</w:t>
      </w:r>
      <w:r w:rsidRPr="0087389D">
        <w:rPr>
          <w:rFonts w:asciiTheme="minorEastAsia" w:eastAsiaTheme="minorEastAsia" w:hAnsiTheme="minorEastAsia" w:hint="eastAsia"/>
          <w:szCs w:val="21"/>
        </w:rPr>
        <w:t>申</w:t>
      </w:r>
      <w:r w:rsidR="00B329B1" w:rsidRPr="0087389D">
        <w:rPr>
          <w:rFonts w:asciiTheme="minorEastAsia" w:eastAsiaTheme="minorEastAsia" w:hAnsiTheme="minorEastAsia" w:hint="eastAsia"/>
          <w:szCs w:val="21"/>
        </w:rPr>
        <w:t>）</w:t>
      </w:r>
      <w:r w:rsidRPr="0087389D">
        <w:rPr>
          <w:rFonts w:asciiTheme="minorEastAsia" w:eastAsiaTheme="minorEastAsia" w:hAnsiTheme="minorEastAsia" w:hint="eastAsia"/>
          <w:szCs w:val="21"/>
        </w:rPr>
        <w:t>购各类基金份额的具体限制，基金管理人必须在调整前依照《信息披露办法》的有关规定在指定</w:t>
      </w:r>
      <w:r w:rsidR="00BB04FF" w:rsidRPr="0087389D">
        <w:rPr>
          <w:rFonts w:asciiTheme="minorEastAsia" w:eastAsiaTheme="minorEastAsia" w:hAnsiTheme="minorEastAsia" w:hint="eastAsia"/>
          <w:szCs w:val="21"/>
        </w:rPr>
        <w:t>媒介</w:t>
      </w:r>
      <w:r w:rsidRPr="0087389D">
        <w:rPr>
          <w:rFonts w:asciiTheme="minorEastAsia" w:eastAsiaTheme="minorEastAsia" w:hAnsiTheme="minorEastAsia" w:hint="eastAsia"/>
          <w:szCs w:val="21"/>
        </w:rPr>
        <w:t>上公告。</w:t>
      </w:r>
    </w:p>
    <w:p w:rsidR="00BA4B87" w:rsidRPr="0087389D" w:rsidRDefault="00712A55" w:rsidP="00555CE7">
      <w:pPr>
        <w:pStyle w:val="1"/>
        <w:pageBreakBefore/>
        <w:snapToGrid w:val="0"/>
        <w:spacing w:beforeLines="0" w:afterLines="0" w:line="360" w:lineRule="auto"/>
        <w:ind w:firstLine="643"/>
        <w:rPr>
          <w:rFonts w:asciiTheme="minorEastAsia" w:eastAsiaTheme="minorEastAsia" w:hAnsiTheme="minorEastAsia"/>
          <w:b/>
          <w:bCs/>
        </w:rPr>
      </w:pPr>
      <w:bookmarkStart w:id="49" w:name="_Toc361403735"/>
      <w:bookmarkStart w:id="50" w:name="_Toc41644965"/>
      <w:r w:rsidRPr="0087389D">
        <w:rPr>
          <w:rFonts w:asciiTheme="minorEastAsia" w:eastAsiaTheme="minorEastAsia" w:hAnsiTheme="minorEastAsia" w:hint="eastAsia"/>
          <w:b/>
          <w:bCs/>
        </w:rPr>
        <w:lastRenderedPageBreak/>
        <w:t>七</w:t>
      </w:r>
      <w:r w:rsidR="00BA4B87" w:rsidRPr="0087389D">
        <w:rPr>
          <w:rFonts w:asciiTheme="minorEastAsia" w:eastAsiaTheme="minorEastAsia" w:hAnsiTheme="minorEastAsia"/>
          <w:b/>
          <w:bCs/>
        </w:rPr>
        <w:t>、基金的募集</w:t>
      </w:r>
      <w:bookmarkEnd w:id="49"/>
      <w:bookmarkEnd w:id="50"/>
    </w:p>
    <w:p w:rsidR="00BA4B87" w:rsidRPr="0087389D" w:rsidRDefault="00BA4B87" w:rsidP="00555CE7">
      <w:pPr>
        <w:pStyle w:val="21"/>
        <w:snapToGrid w:val="0"/>
        <w:spacing w:before="0" w:beforeAutospacing="0" w:after="0" w:afterAutospacing="0"/>
        <w:ind w:firstLineChars="0" w:firstLine="420"/>
        <w:rPr>
          <w:rFonts w:asciiTheme="minorEastAsia" w:eastAsiaTheme="minorEastAsia" w:hAnsiTheme="minorEastAsia"/>
          <w:szCs w:val="21"/>
        </w:rPr>
      </w:pPr>
      <w:r w:rsidRPr="0087389D">
        <w:rPr>
          <w:rFonts w:asciiTheme="minorEastAsia" w:eastAsiaTheme="minorEastAsia" w:hAnsiTheme="minorEastAsia"/>
          <w:szCs w:val="21"/>
        </w:rPr>
        <w:t>本基金由基金管理人依照《基金法》、《运作办法》、《销售办法》、基金合同的相关规定、并经中国证券监督管理委员会</w:t>
      </w:r>
      <w:r w:rsidR="00574BDC" w:rsidRPr="0087389D">
        <w:rPr>
          <w:rFonts w:asciiTheme="minorEastAsia" w:eastAsiaTheme="minorEastAsia" w:hAnsiTheme="minorEastAsia" w:hint="eastAsia"/>
          <w:szCs w:val="21"/>
        </w:rPr>
        <w:t>2014年5月12日</w:t>
      </w:r>
      <w:r w:rsidRPr="0087389D">
        <w:rPr>
          <w:rFonts w:asciiTheme="minorEastAsia" w:eastAsiaTheme="minorEastAsia" w:hAnsiTheme="minorEastAsia"/>
          <w:szCs w:val="21"/>
        </w:rPr>
        <w:t>《关于核准</w:t>
      </w:r>
      <w:r w:rsidR="00872236" w:rsidRPr="0087389D">
        <w:rPr>
          <w:rFonts w:asciiTheme="minorEastAsia" w:eastAsiaTheme="minorEastAsia" w:hAnsiTheme="minorEastAsia"/>
          <w:szCs w:val="21"/>
        </w:rPr>
        <w:t>易方达</w:t>
      </w:r>
      <w:r w:rsidR="00F64EC4" w:rsidRPr="0087389D">
        <w:rPr>
          <w:rFonts w:asciiTheme="minorEastAsia" w:eastAsiaTheme="minorEastAsia" w:hAnsiTheme="minorEastAsia"/>
          <w:szCs w:val="21"/>
        </w:rPr>
        <w:t>财富快线</w:t>
      </w:r>
      <w:r w:rsidR="00B66608" w:rsidRPr="0087389D">
        <w:rPr>
          <w:rFonts w:asciiTheme="minorEastAsia" w:eastAsiaTheme="minorEastAsia" w:hAnsiTheme="minorEastAsia"/>
          <w:szCs w:val="21"/>
        </w:rPr>
        <w:t>货币市场基金</w:t>
      </w:r>
      <w:r w:rsidRPr="0087389D">
        <w:rPr>
          <w:rFonts w:asciiTheme="minorEastAsia" w:eastAsiaTheme="minorEastAsia" w:hAnsiTheme="minorEastAsia"/>
          <w:szCs w:val="21"/>
        </w:rPr>
        <w:t>募集的批复》</w:t>
      </w:r>
      <w:r w:rsidR="00B329B1" w:rsidRPr="0087389D">
        <w:rPr>
          <w:rFonts w:asciiTheme="minorEastAsia" w:eastAsiaTheme="minorEastAsia" w:hAnsiTheme="minorEastAsia"/>
          <w:szCs w:val="21"/>
        </w:rPr>
        <w:t>（</w:t>
      </w:r>
      <w:r w:rsidRPr="0087389D">
        <w:rPr>
          <w:rFonts w:asciiTheme="minorEastAsia" w:eastAsiaTheme="minorEastAsia" w:hAnsiTheme="minorEastAsia"/>
          <w:szCs w:val="21"/>
        </w:rPr>
        <w:t>证监许可</w:t>
      </w:r>
      <w:r w:rsidR="00597078" w:rsidRPr="0087389D">
        <w:rPr>
          <w:rFonts w:asciiTheme="minorEastAsia" w:eastAsiaTheme="minorEastAsia" w:hAnsiTheme="minorEastAsia"/>
          <w:szCs w:val="21"/>
        </w:rPr>
        <w:t>[</w:t>
      </w:r>
      <w:r w:rsidR="005A7855" w:rsidRPr="0087389D">
        <w:rPr>
          <w:rFonts w:asciiTheme="minorEastAsia" w:eastAsiaTheme="minorEastAsia" w:hAnsiTheme="minorEastAsia"/>
          <w:szCs w:val="21"/>
        </w:rPr>
        <w:t>201</w:t>
      </w:r>
      <w:r w:rsidR="005A7855" w:rsidRPr="0087389D">
        <w:rPr>
          <w:rFonts w:asciiTheme="minorEastAsia" w:eastAsiaTheme="minorEastAsia" w:hAnsiTheme="minorEastAsia" w:hint="eastAsia"/>
          <w:szCs w:val="21"/>
        </w:rPr>
        <w:t>4</w:t>
      </w:r>
      <w:r w:rsidR="00597078" w:rsidRPr="0087389D">
        <w:rPr>
          <w:rFonts w:asciiTheme="minorEastAsia" w:eastAsiaTheme="minorEastAsia" w:hAnsiTheme="minorEastAsia"/>
          <w:szCs w:val="21"/>
        </w:rPr>
        <w:t>]</w:t>
      </w:r>
      <w:r w:rsidR="00173210" w:rsidRPr="0087389D">
        <w:rPr>
          <w:rFonts w:asciiTheme="minorEastAsia" w:eastAsiaTheme="minorEastAsia" w:hAnsiTheme="minorEastAsia" w:hint="eastAsia"/>
          <w:szCs w:val="21"/>
        </w:rPr>
        <w:t>473</w:t>
      </w:r>
      <w:r w:rsidRPr="0087389D">
        <w:rPr>
          <w:rFonts w:asciiTheme="minorEastAsia" w:eastAsiaTheme="minorEastAsia" w:hAnsiTheme="minorEastAsia"/>
          <w:szCs w:val="21"/>
        </w:rPr>
        <w:t>号</w:t>
      </w:r>
      <w:r w:rsidR="00B329B1" w:rsidRPr="0087389D">
        <w:rPr>
          <w:rFonts w:asciiTheme="minorEastAsia" w:eastAsiaTheme="minorEastAsia" w:hAnsiTheme="minorEastAsia"/>
          <w:szCs w:val="21"/>
        </w:rPr>
        <w:t>）</w:t>
      </w:r>
      <w:r w:rsidR="008B416E" w:rsidRPr="0087389D">
        <w:rPr>
          <w:rFonts w:asciiTheme="minorEastAsia" w:eastAsiaTheme="minorEastAsia" w:hAnsiTheme="minorEastAsia" w:hint="eastAsia"/>
          <w:szCs w:val="21"/>
        </w:rPr>
        <w:t>进行</w:t>
      </w:r>
      <w:r w:rsidR="008B416E" w:rsidRPr="0087389D">
        <w:rPr>
          <w:rFonts w:asciiTheme="minorEastAsia" w:eastAsiaTheme="minorEastAsia" w:hAnsiTheme="minorEastAsia"/>
          <w:szCs w:val="21"/>
        </w:rPr>
        <w:t>募集</w:t>
      </w:r>
      <w:r w:rsidRPr="0087389D">
        <w:rPr>
          <w:rFonts w:asciiTheme="minorEastAsia" w:eastAsiaTheme="minorEastAsia" w:hAnsiTheme="minorEastAsia"/>
          <w:szCs w:val="21"/>
        </w:rPr>
        <w:t>。</w:t>
      </w:r>
    </w:p>
    <w:p w:rsidR="00A547E3" w:rsidRPr="0087389D" w:rsidRDefault="00A547E3" w:rsidP="00555CE7">
      <w:pPr>
        <w:pStyle w:val="21"/>
        <w:snapToGrid w:val="0"/>
        <w:spacing w:before="0" w:beforeAutospacing="0" w:after="0" w:afterAutospacing="0"/>
        <w:ind w:firstLineChars="0" w:firstLine="420"/>
        <w:rPr>
          <w:rFonts w:asciiTheme="minorEastAsia" w:eastAsiaTheme="minorEastAsia" w:hAnsiTheme="minorEastAsia"/>
          <w:szCs w:val="21"/>
        </w:rPr>
      </w:pPr>
      <w:r w:rsidRPr="0087389D">
        <w:rPr>
          <w:rFonts w:asciiTheme="minorEastAsia" w:eastAsiaTheme="minorEastAsia" w:hAnsiTheme="minorEastAsia" w:hint="eastAsia"/>
          <w:szCs w:val="21"/>
        </w:rPr>
        <w:t>本基金为</w:t>
      </w:r>
      <w:r w:rsidRPr="0087389D">
        <w:rPr>
          <w:rFonts w:asciiTheme="minorEastAsia" w:eastAsiaTheme="minorEastAsia" w:hAnsiTheme="minorEastAsia"/>
          <w:szCs w:val="21"/>
        </w:rPr>
        <w:t>契约型开放式</w:t>
      </w:r>
      <w:r w:rsidRPr="0087389D">
        <w:rPr>
          <w:rFonts w:asciiTheme="minorEastAsia" w:eastAsiaTheme="minorEastAsia" w:hAnsiTheme="minorEastAsia" w:hint="eastAsia"/>
          <w:szCs w:val="21"/>
        </w:rPr>
        <w:t>货币市场基金</w:t>
      </w:r>
      <w:r w:rsidRPr="0087389D">
        <w:rPr>
          <w:rFonts w:asciiTheme="minorEastAsia" w:eastAsiaTheme="minorEastAsia" w:hAnsiTheme="minorEastAsia"/>
          <w:szCs w:val="21"/>
        </w:rPr>
        <w:t>。基金</w:t>
      </w:r>
      <w:r w:rsidRPr="0087389D">
        <w:rPr>
          <w:rFonts w:asciiTheme="minorEastAsia" w:eastAsiaTheme="minorEastAsia" w:hAnsiTheme="minorEastAsia" w:hint="eastAsia"/>
          <w:szCs w:val="21"/>
        </w:rPr>
        <w:t>的</w:t>
      </w:r>
      <w:r w:rsidRPr="0087389D">
        <w:rPr>
          <w:rFonts w:asciiTheme="minorEastAsia" w:eastAsiaTheme="minorEastAsia" w:hAnsiTheme="minorEastAsia"/>
          <w:szCs w:val="21"/>
        </w:rPr>
        <w:t>存续期间</w:t>
      </w:r>
      <w:r w:rsidRPr="0087389D">
        <w:rPr>
          <w:rFonts w:asciiTheme="minorEastAsia" w:eastAsiaTheme="minorEastAsia" w:hAnsiTheme="minorEastAsia" w:hint="eastAsia"/>
          <w:szCs w:val="21"/>
        </w:rPr>
        <w:t>为</w:t>
      </w:r>
      <w:r w:rsidRPr="0087389D">
        <w:rPr>
          <w:rFonts w:asciiTheme="minorEastAsia" w:eastAsiaTheme="minorEastAsia" w:hAnsiTheme="minorEastAsia"/>
          <w:szCs w:val="21"/>
        </w:rPr>
        <w:t>不定期</w:t>
      </w:r>
      <w:r w:rsidRPr="0087389D">
        <w:rPr>
          <w:rFonts w:asciiTheme="minorEastAsia" w:eastAsiaTheme="minorEastAsia" w:hAnsiTheme="minorEastAsia" w:hint="eastAsia"/>
          <w:szCs w:val="21"/>
        </w:rPr>
        <w:t>。</w:t>
      </w:r>
    </w:p>
    <w:p w:rsidR="00A547E3" w:rsidRPr="0087389D" w:rsidRDefault="00A547E3" w:rsidP="00555CE7">
      <w:pPr>
        <w:pStyle w:val="21"/>
        <w:snapToGrid w:val="0"/>
        <w:spacing w:before="0" w:beforeAutospacing="0" w:after="0" w:afterAutospacing="0"/>
        <w:ind w:firstLineChars="0" w:firstLine="420"/>
        <w:rPr>
          <w:rFonts w:asciiTheme="minorEastAsia" w:eastAsiaTheme="minorEastAsia" w:hAnsiTheme="minorEastAsia"/>
          <w:szCs w:val="21"/>
        </w:rPr>
      </w:pPr>
      <w:r w:rsidRPr="0087389D">
        <w:rPr>
          <w:rFonts w:asciiTheme="minorEastAsia" w:eastAsiaTheme="minorEastAsia" w:hAnsiTheme="minorEastAsia"/>
          <w:bCs/>
        </w:rPr>
        <w:t>本基金</w:t>
      </w:r>
      <w:r w:rsidRPr="0087389D">
        <w:rPr>
          <w:rFonts w:asciiTheme="minorEastAsia" w:eastAsiaTheme="minorEastAsia" w:hAnsiTheme="minorEastAsia" w:hint="eastAsia"/>
          <w:bCs/>
        </w:rPr>
        <w:t>募集期间</w:t>
      </w:r>
      <w:r w:rsidRPr="0087389D">
        <w:rPr>
          <w:rFonts w:asciiTheme="minorEastAsia" w:eastAsiaTheme="minorEastAsia" w:hAnsiTheme="minorEastAsia"/>
          <w:bCs/>
        </w:rPr>
        <w:t>每份基金份额的</w:t>
      </w:r>
      <w:r w:rsidRPr="0087389D">
        <w:rPr>
          <w:rFonts w:asciiTheme="minorEastAsia" w:eastAsiaTheme="minorEastAsia" w:hAnsiTheme="minorEastAsia" w:hint="eastAsia"/>
          <w:bCs/>
        </w:rPr>
        <w:t>初始</w:t>
      </w:r>
      <w:r w:rsidRPr="0087389D">
        <w:rPr>
          <w:rFonts w:asciiTheme="minorEastAsia" w:eastAsiaTheme="minorEastAsia" w:hAnsiTheme="minorEastAsia"/>
          <w:bCs/>
        </w:rPr>
        <w:t>面值为人民币1.00元</w:t>
      </w:r>
      <w:r w:rsidRPr="0087389D">
        <w:rPr>
          <w:rFonts w:asciiTheme="minorEastAsia" w:eastAsiaTheme="minorEastAsia" w:hAnsiTheme="minorEastAsia" w:hint="eastAsia"/>
          <w:bCs/>
        </w:rPr>
        <w:t>。</w:t>
      </w:r>
    </w:p>
    <w:p w:rsidR="00BA4B87" w:rsidRPr="0087389D" w:rsidRDefault="00A547E3" w:rsidP="00555CE7">
      <w:pPr>
        <w:pStyle w:val="21"/>
        <w:snapToGrid w:val="0"/>
        <w:spacing w:before="0" w:beforeAutospacing="0" w:after="0" w:afterAutospacing="0"/>
        <w:ind w:firstLineChars="0" w:firstLine="420"/>
        <w:rPr>
          <w:rFonts w:asciiTheme="minorEastAsia" w:eastAsiaTheme="minorEastAsia" w:hAnsiTheme="minorEastAsia"/>
          <w:szCs w:val="21"/>
        </w:rPr>
      </w:pPr>
      <w:bookmarkStart w:id="51" w:name="_Toc327734820"/>
      <w:r w:rsidRPr="0087389D">
        <w:rPr>
          <w:rFonts w:asciiTheme="minorEastAsia" w:eastAsiaTheme="minorEastAsia" w:hAnsiTheme="minorEastAsia" w:hint="eastAsia"/>
          <w:bCs/>
        </w:rPr>
        <w:t>本基金募集期</w:t>
      </w:r>
      <w:r w:rsidRPr="0087389D">
        <w:rPr>
          <w:rFonts w:asciiTheme="minorEastAsia" w:eastAsiaTheme="minorEastAsia" w:hAnsiTheme="minorEastAsia"/>
          <w:bCs/>
        </w:rPr>
        <w:t>自201</w:t>
      </w:r>
      <w:r w:rsidRPr="0087389D">
        <w:rPr>
          <w:rFonts w:asciiTheme="minorEastAsia" w:eastAsiaTheme="minorEastAsia" w:hAnsiTheme="minorEastAsia" w:hint="eastAsia"/>
          <w:bCs/>
        </w:rPr>
        <w:t>4</w:t>
      </w:r>
      <w:r w:rsidRPr="0087389D">
        <w:rPr>
          <w:rFonts w:asciiTheme="minorEastAsia" w:eastAsiaTheme="minorEastAsia" w:hAnsiTheme="minorEastAsia"/>
          <w:bCs/>
        </w:rPr>
        <w:t>年</w:t>
      </w:r>
      <w:r w:rsidRPr="0087389D">
        <w:rPr>
          <w:rFonts w:asciiTheme="minorEastAsia" w:eastAsiaTheme="minorEastAsia" w:hAnsiTheme="minorEastAsia" w:hint="eastAsia"/>
          <w:bCs/>
        </w:rPr>
        <w:t>6</w:t>
      </w:r>
      <w:r w:rsidRPr="0087389D">
        <w:rPr>
          <w:rFonts w:asciiTheme="minorEastAsia" w:eastAsiaTheme="minorEastAsia" w:hAnsiTheme="minorEastAsia"/>
          <w:bCs/>
        </w:rPr>
        <w:t>月</w:t>
      </w:r>
      <w:r w:rsidRPr="0087389D">
        <w:rPr>
          <w:rFonts w:asciiTheme="minorEastAsia" w:eastAsiaTheme="minorEastAsia" w:hAnsiTheme="minorEastAsia" w:hint="eastAsia"/>
          <w:bCs/>
        </w:rPr>
        <w:t>9</w:t>
      </w:r>
      <w:r w:rsidRPr="0087389D">
        <w:rPr>
          <w:rFonts w:asciiTheme="minorEastAsia" w:eastAsiaTheme="minorEastAsia" w:hAnsiTheme="minorEastAsia"/>
          <w:bCs/>
        </w:rPr>
        <w:t>日至201</w:t>
      </w:r>
      <w:r w:rsidRPr="0087389D">
        <w:rPr>
          <w:rFonts w:asciiTheme="minorEastAsia" w:eastAsiaTheme="minorEastAsia" w:hAnsiTheme="minorEastAsia" w:hint="eastAsia"/>
          <w:bCs/>
        </w:rPr>
        <w:t>4</w:t>
      </w:r>
      <w:r w:rsidRPr="0087389D">
        <w:rPr>
          <w:rFonts w:asciiTheme="minorEastAsia" w:eastAsiaTheme="minorEastAsia" w:hAnsiTheme="minorEastAsia"/>
          <w:bCs/>
        </w:rPr>
        <w:t>年</w:t>
      </w:r>
      <w:r w:rsidRPr="0087389D">
        <w:rPr>
          <w:rFonts w:asciiTheme="minorEastAsia" w:eastAsiaTheme="minorEastAsia" w:hAnsiTheme="minorEastAsia" w:hint="eastAsia"/>
          <w:bCs/>
        </w:rPr>
        <w:t>6</w:t>
      </w:r>
      <w:r w:rsidRPr="0087389D">
        <w:rPr>
          <w:rFonts w:asciiTheme="minorEastAsia" w:eastAsiaTheme="minorEastAsia" w:hAnsiTheme="minorEastAsia"/>
          <w:bCs/>
        </w:rPr>
        <w:t>月</w:t>
      </w:r>
      <w:r w:rsidRPr="0087389D">
        <w:rPr>
          <w:rFonts w:asciiTheme="minorEastAsia" w:eastAsiaTheme="minorEastAsia" w:hAnsiTheme="minorEastAsia" w:hint="eastAsia"/>
          <w:bCs/>
        </w:rPr>
        <w:t>13</w:t>
      </w:r>
      <w:r w:rsidRPr="0087389D">
        <w:rPr>
          <w:rFonts w:asciiTheme="minorEastAsia" w:eastAsiaTheme="minorEastAsia" w:hAnsiTheme="minorEastAsia"/>
          <w:bCs/>
        </w:rPr>
        <w:t>日</w:t>
      </w:r>
      <w:r w:rsidRPr="0087389D">
        <w:rPr>
          <w:rFonts w:asciiTheme="minorEastAsia" w:eastAsiaTheme="minorEastAsia" w:hAnsiTheme="minorEastAsia" w:hint="eastAsia"/>
          <w:bCs/>
        </w:rPr>
        <w:t>。募集对象为</w:t>
      </w:r>
      <w:bookmarkEnd w:id="51"/>
      <w:r w:rsidR="00D577B9" w:rsidRPr="0087389D">
        <w:rPr>
          <w:rFonts w:asciiTheme="minorEastAsia" w:eastAsiaTheme="minorEastAsia" w:hAnsiTheme="minorEastAsia" w:hint="eastAsia"/>
          <w:szCs w:val="21"/>
        </w:rPr>
        <w:t>符合法律法规规定的可投资于证券投资基金的个人投资者、机构投资者和合格境外机构投资者以及法律法规或中国证监会允许购买证券投资基金的其他投资人。</w:t>
      </w:r>
    </w:p>
    <w:p w:rsidR="0086629F" w:rsidRPr="0087389D" w:rsidRDefault="006A1FFC" w:rsidP="00555CE7">
      <w:pPr>
        <w:pStyle w:val="21"/>
        <w:snapToGrid w:val="0"/>
        <w:spacing w:before="0" w:beforeAutospacing="0" w:after="0" w:afterAutospacing="0"/>
        <w:ind w:firstLine="420"/>
        <w:rPr>
          <w:rFonts w:asciiTheme="minorEastAsia" w:eastAsiaTheme="minorEastAsia" w:hAnsiTheme="minorEastAsia"/>
        </w:rPr>
      </w:pPr>
      <w:r w:rsidRPr="0087389D">
        <w:rPr>
          <w:rFonts w:asciiTheme="minorEastAsia" w:eastAsiaTheme="minorEastAsia" w:hAnsiTheme="minorEastAsia"/>
        </w:rPr>
        <w:br w:type="page"/>
      </w:r>
    </w:p>
    <w:p w:rsidR="00BA4B87" w:rsidRPr="0087389D" w:rsidRDefault="00780D6C" w:rsidP="00555CE7">
      <w:pPr>
        <w:pStyle w:val="1"/>
        <w:snapToGrid w:val="0"/>
        <w:spacing w:beforeLines="0" w:afterLines="0" w:line="360" w:lineRule="auto"/>
        <w:ind w:firstLine="643"/>
        <w:rPr>
          <w:rFonts w:asciiTheme="minorEastAsia" w:eastAsiaTheme="minorEastAsia" w:hAnsiTheme="minorEastAsia"/>
          <w:b/>
        </w:rPr>
      </w:pPr>
      <w:bookmarkStart w:id="52" w:name="_Toc361403736"/>
      <w:bookmarkStart w:id="53" w:name="_Toc41644966"/>
      <w:r w:rsidRPr="0087389D">
        <w:rPr>
          <w:rFonts w:asciiTheme="minorEastAsia" w:eastAsiaTheme="minorEastAsia" w:hAnsiTheme="minorEastAsia" w:hint="eastAsia"/>
          <w:b/>
        </w:rPr>
        <w:lastRenderedPageBreak/>
        <w:t>八</w:t>
      </w:r>
      <w:r w:rsidR="00BA4B87" w:rsidRPr="0087389D">
        <w:rPr>
          <w:rFonts w:asciiTheme="minorEastAsia" w:eastAsiaTheme="minorEastAsia" w:hAnsiTheme="minorEastAsia"/>
          <w:b/>
        </w:rPr>
        <w:t>、基金合同的生效</w:t>
      </w:r>
      <w:bookmarkEnd w:id="52"/>
      <w:bookmarkEnd w:id="53"/>
    </w:p>
    <w:p w:rsidR="0086629F" w:rsidRPr="0087389D" w:rsidRDefault="00B329B1" w:rsidP="00555CE7">
      <w:pPr>
        <w:pStyle w:val="21"/>
        <w:snapToGrid w:val="0"/>
        <w:spacing w:before="0" w:beforeAutospacing="0" w:after="0" w:afterAutospacing="0"/>
        <w:ind w:firstLine="420"/>
        <w:rPr>
          <w:rFonts w:asciiTheme="minorEastAsia" w:eastAsiaTheme="minorEastAsia" w:hAnsiTheme="minorEastAsia"/>
          <w:szCs w:val="21"/>
        </w:rPr>
      </w:pPr>
      <w:bookmarkStart w:id="54" w:name="_Toc327734830"/>
      <w:r w:rsidRPr="0087389D">
        <w:rPr>
          <w:rFonts w:asciiTheme="minorEastAsia" w:eastAsiaTheme="minorEastAsia" w:hAnsiTheme="minorEastAsia" w:hint="eastAsia"/>
          <w:szCs w:val="21"/>
        </w:rPr>
        <w:t>（</w:t>
      </w:r>
      <w:r w:rsidR="003C6F6C" w:rsidRPr="0087389D">
        <w:rPr>
          <w:rFonts w:asciiTheme="minorEastAsia" w:eastAsiaTheme="minorEastAsia" w:hAnsiTheme="minorEastAsia" w:hint="eastAsia"/>
          <w:szCs w:val="21"/>
        </w:rPr>
        <w:t>一</w:t>
      </w:r>
      <w:r w:rsidRPr="0087389D">
        <w:rPr>
          <w:rFonts w:asciiTheme="minorEastAsia" w:eastAsiaTheme="minorEastAsia" w:hAnsiTheme="minorEastAsia" w:hint="eastAsia"/>
          <w:szCs w:val="21"/>
        </w:rPr>
        <w:t>）</w:t>
      </w:r>
      <w:r w:rsidR="0086629F" w:rsidRPr="0087389D">
        <w:rPr>
          <w:rFonts w:asciiTheme="minorEastAsia" w:eastAsiaTheme="minorEastAsia" w:hAnsiTheme="minorEastAsia"/>
          <w:szCs w:val="21"/>
        </w:rPr>
        <w:t>基金</w:t>
      </w:r>
      <w:r w:rsidR="00CF5BF7" w:rsidRPr="0087389D">
        <w:rPr>
          <w:rFonts w:asciiTheme="minorEastAsia" w:eastAsiaTheme="minorEastAsia" w:hAnsiTheme="minorEastAsia" w:hint="eastAsia"/>
          <w:szCs w:val="21"/>
        </w:rPr>
        <w:t>合同的生效</w:t>
      </w:r>
    </w:p>
    <w:p w:rsidR="0086629F" w:rsidRPr="0087389D" w:rsidRDefault="00CF5BF7" w:rsidP="00555CE7">
      <w:pPr>
        <w:pStyle w:val="21"/>
        <w:snapToGrid w:val="0"/>
        <w:spacing w:before="0" w:beforeAutospacing="0" w:after="0" w:afterAutospacing="0"/>
        <w:ind w:firstLine="420"/>
        <w:rPr>
          <w:rFonts w:asciiTheme="minorEastAsia" w:eastAsiaTheme="minorEastAsia" w:hAnsiTheme="minorEastAsia"/>
          <w:szCs w:val="21"/>
        </w:rPr>
      </w:pPr>
      <w:bookmarkStart w:id="55" w:name="_Toc133292585"/>
      <w:r w:rsidRPr="0087389D">
        <w:rPr>
          <w:rFonts w:asciiTheme="minorEastAsia" w:eastAsiaTheme="minorEastAsia" w:hAnsiTheme="minorEastAsia"/>
          <w:szCs w:val="21"/>
        </w:rPr>
        <w:t>本基金</w:t>
      </w:r>
      <w:r w:rsidRPr="0087389D">
        <w:rPr>
          <w:rFonts w:asciiTheme="minorEastAsia" w:eastAsiaTheme="minorEastAsia" w:hAnsiTheme="minorEastAsia" w:hint="eastAsia"/>
          <w:szCs w:val="21"/>
        </w:rPr>
        <w:t>基金合同于2014年6月17日正式生效。自基金合同生效日起，本基金管理人正式开始管理本基金。</w:t>
      </w:r>
      <w:bookmarkEnd w:id="55"/>
    </w:p>
    <w:p w:rsidR="0086629F" w:rsidRPr="0087389D" w:rsidRDefault="00B329B1" w:rsidP="00555CE7">
      <w:pPr>
        <w:pStyle w:val="21"/>
        <w:snapToGrid w:val="0"/>
        <w:spacing w:before="0" w:beforeAutospacing="0" w:after="0" w:afterAutospacing="0"/>
        <w:ind w:firstLine="420"/>
        <w:rPr>
          <w:rFonts w:asciiTheme="minorEastAsia" w:eastAsiaTheme="minorEastAsia" w:hAnsiTheme="minorEastAsia"/>
          <w:szCs w:val="21"/>
        </w:rPr>
      </w:pPr>
      <w:r w:rsidRPr="0087389D">
        <w:rPr>
          <w:rFonts w:asciiTheme="minorEastAsia" w:eastAsiaTheme="minorEastAsia" w:hAnsiTheme="minorEastAsia" w:hint="eastAsia"/>
          <w:szCs w:val="21"/>
        </w:rPr>
        <w:t>（</w:t>
      </w:r>
      <w:r w:rsidR="003C6F6C" w:rsidRPr="0087389D">
        <w:rPr>
          <w:rFonts w:asciiTheme="minorEastAsia" w:eastAsiaTheme="minorEastAsia" w:hAnsiTheme="minorEastAsia" w:hint="eastAsia"/>
          <w:szCs w:val="21"/>
        </w:rPr>
        <w:t>二</w:t>
      </w:r>
      <w:r w:rsidRPr="0087389D">
        <w:rPr>
          <w:rFonts w:asciiTheme="minorEastAsia" w:eastAsiaTheme="minorEastAsia" w:hAnsiTheme="minorEastAsia" w:hint="eastAsia"/>
          <w:szCs w:val="21"/>
        </w:rPr>
        <w:t>）</w:t>
      </w:r>
      <w:r w:rsidR="0086629F" w:rsidRPr="0087389D">
        <w:rPr>
          <w:rFonts w:asciiTheme="minorEastAsia" w:eastAsiaTheme="minorEastAsia" w:hAnsiTheme="minorEastAsia"/>
          <w:szCs w:val="21"/>
        </w:rPr>
        <w:t>基金存续期内的基金份额持有人数量和资产规模</w:t>
      </w:r>
    </w:p>
    <w:p w:rsidR="00A05FB4" w:rsidRPr="0087389D" w:rsidRDefault="001B77B7" w:rsidP="00555CE7">
      <w:pPr>
        <w:pStyle w:val="21"/>
        <w:snapToGrid w:val="0"/>
        <w:spacing w:before="0" w:beforeAutospacing="0" w:after="0" w:afterAutospacing="0"/>
        <w:ind w:firstLine="420"/>
        <w:rPr>
          <w:rFonts w:asciiTheme="minorEastAsia" w:eastAsiaTheme="minorEastAsia" w:hAnsiTheme="minorEastAsia"/>
          <w:szCs w:val="21"/>
        </w:rPr>
      </w:pPr>
      <w:r w:rsidRPr="0087389D">
        <w:rPr>
          <w:rFonts w:asciiTheme="minorEastAsia" w:eastAsiaTheme="minorEastAsia" w:hAnsiTheme="minorEastAsia" w:hint="eastAsia"/>
          <w:szCs w:val="21"/>
        </w:rPr>
        <w:t>《基金合同》生效后，连续20个工作日出现基金份额持有人数量不满200人或者基金资产净值低于5000万元情形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68014D" w:rsidRPr="0087389D" w:rsidRDefault="00A05FB4" w:rsidP="00555CE7">
      <w:pPr>
        <w:pStyle w:val="21"/>
        <w:snapToGrid w:val="0"/>
        <w:spacing w:before="0" w:beforeAutospacing="0" w:after="0" w:afterAutospacing="0"/>
        <w:ind w:firstLine="420"/>
        <w:rPr>
          <w:rFonts w:asciiTheme="minorEastAsia" w:eastAsiaTheme="minorEastAsia" w:hAnsiTheme="minorEastAsia"/>
          <w:szCs w:val="21"/>
        </w:rPr>
      </w:pPr>
      <w:r w:rsidRPr="0087389D">
        <w:rPr>
          <w:rFonts w:asciiTheme="minorEastAsia" w:eastAsiaTheme="minorEastAsia" w:hAnsiTheme="minorEastAsia" w:hint="eastAsia"/>
          <w:szCs w:val="21"/>
        </w:rPr>
        <w:t>法律法规</w:t>
      </w:r>
      <w:r w:rsidR="008B416E" w:rsidRPr="0087389D">
        <w:rPr>
          <w:rFonts w:asciiTheme="minorEastAsia" w:eastAsiaTheme="minorEastAsia" w:hAnsiTheme="minorEastAsia" w:hint="eastAsia"/>
          <w:szCs w:val="21"/>
        </w:rPr>
        <w:t>或基金合同</w:t>
      </w:r>
      <w:r w:rsidRPr="0087389D">
        <w:rPr>
          <w:rFonts w:asciiTheme="minorEastAsia" w:eastAsiaTheme="minorEastAsia" w:hAnsiTheme="minorEastAsia" w:hint="eastAsia"/>
          <w:szCs w:val="21"/>
        </w:rPr>
        <w:t>另有规定时，从其规定。</w:t>
      </w:r>
    </w:p>
    <w:bookmarkEnd w:id="54"/>
    <w:p w:rsidR="00BA4B87" w:rsidRPr="0087389D" w:rsidRDefault="00BA4B87" w:rsidP="00555CE7">
      <w:pPr>
        <w:pStyle w:val="1"/>
        <w:snapToGrid w:val="0"/>
        <w:spacing w:beforeLines="0" w:afterLines="0" w:line="360" w:lineRule="auto"/>
        <w:ind w:firstLine="480"/>
        <w:rPr>
          <w:rFonts w:asciiTheme="minorEastAsia" w:eastAsiaTheme="minorEastAsia" w:hAnsiTheme="minorEastAsia"/>
          <w:b/>
        </w:rPr>
      </w:pPr>
      <w:r w:rsidRPr="0087389D">
        <w:rPr>
          <w:rFonts w:asciiTheme="minorEastAsia" w:eastAsiaTheme="minorEastAsia" w:hAnsiTheme="minorEastAsia"/>
          <w:sz w:val="24"/>
        </w:rPr>
        <w:br w:type="column"/>
      </w:r>
      <w:bookmarkStart w:id="56" w:name="_Toc361403737"/>
      <w:bookmarkStart w:id="57" w:name="_Toc41644967"/>
      <w:r w:rsidR="00780D6C" w:rsidRPr="0087389D">
        <w:rPr>
          <w:rFonts w:asciiTheme="minorEastAsia" w:eastAsiaTheme="minorEastAsia" w:hAnsiTheme="minorEastAsia" w:hint="eastAsia"/>
          <w:b/>
        </w:rPr>
        <w:lastRenderedPageBreak/>
        <w:t>九</w:t>
      </w:r>
      <w:r w:rsidRPr="0087389D">
        <w:rPr>
          <w:rFonts w:asciiTheme="minorEastAsia" w:eastAsiaTheme="minorEastAsia" w:hAnsiTheme="minorEastAsia"/>
          <w:b/>
        </w:rPr>
        <w:t>、基金份额的申购、赎回</w:t>
      </w:r>
      <w:bookmarkEnd w:id="56"/>
      <w:bookmarkEnd w:id="57"/>
    </w:p>
    <w:p w:rsidR="00BA4B87" w:rsidRPr="0087389D" w:rsidRDefault="00B329B1" w:rsidP="00555CE7">
      <w:pPr>
        <w:snapToGrid w:val="0"/>
        <w:spacing w:line="360" w:lineRule="auto"/>
        <w:ind w:firstLineChars="200" w:firstLine="420"/>
        <w:rPr>
          <w:rFonts w:asciiTheme="minorEastAsia" w:eastAsiaTheme="minorEastAsia" w:hAnsiTheme="minorEastAsia"/>
          <w:szCs w:val="21"/>
        </w:rPr>
      </w:pPr>
      <w:bookmarkStart w:id="58" w:name="_Toc327734833"/>
      <w:r w:rsidRPr="0087389D">
        <w:rPr>
          <w:rFonts w:asciiTheme="minorEastAsia" w:eastAsiaTheme="minorEastAsia" w:hAnsiTheme="minorEastAsia"/>
          <w:szCs w:val="21"/>
        </w:rPr>
        <w:t>（</w:t>
      </w:r>
      <w:r w:rsidR="00BA4B87" w:rsidRPr="0087389D">
        <w:rPr>
          <w:rFonts w:asciiTheme="minorEastAsia" w:eastAsiaTheme="minorEastAsia" w:hAnsiTheme="minorEastAsia"/>
          <w:szCs w:val="21"/>
        </w:rPr>
        <w:t>一</w:t>
      </w:r>
      <w:r w:rsidRPr="0087389D">
        <w:rPr>
          <w:rFonts w:asciiTheme="minorEastAsia" w:eastAsiaTheme="minorEastAsia" w:hAnsiTheme="minorEastAsia"/>
          <w:szCs w:val="21"/>
        </w:rPr>
        <w:t>）</w:t>
      </w:r>
      <w:r w:rsidR="00BA4B87" w:rsidRPr="0087389D">
        <w:rPr>
          <w:rFonts w:asciiTheme="minorEastAsia" w:eastAsiaTheme="minorEastAsia" w:hAnsiTheme="minorEastAsia"/>
          <w:szCs w:val="21"/>
        </w:rPr>
        <w:t>基金</w:t>
      </w:r>
      <w:r w:rsidR="0007767A" w:rsidRPr="0087389D">
        <w:rPr>
          <w:rFonts w:asciiTheme="minorEastAsia" w:eastAsiaTheme="minorEastAsia" w:hAnsiTheme="minorEastAsia"/>
          <w:szCs w:val="21"/>
        </w:rPr>
        <w:t>投资者</w:t>
      </w:r>
      <w:r w:rsidR="004B3FBB" w:rsidRPr="0087389D">
        <w:rPr>
          <w:rFonts w:asciiTheme="minorEastAsia" w:eastAsiaTheme="minorEastAsia" w:hAnsiTheme="minorEastAsia" w:hint="eastAsia"/>
          <w:szCs w:val="21"/>
        </w:rPr>
        <w:t>的</w:t>
      </w:r>
      <w:r w:rsidR="00BA4B87" w:rsidRPr="0087389D">
        <w:rPr>
          <w:rFonts w:asciiTheme="minorEastAsia" w:eastAsiaTheme="minorEastAsia" w:hAnsiTheme="minorEastAsia"/>
          <w:szCs w:val="21"/>
        </w:rPr>
        <w:t>范围</w:t>
      </w:r>
      <w:bookmarkEnd w:id="58"/>
    </w:p>
    <w:p w:rsidR="00BA4B87" w:rsidRPr="0087389D" w:rsidRDefault="00A05FB4"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符合法律法规规定的可投资于证券投资基金的个人投资者、机构投资者和合格境外机构投资者以及法律法规或中国证监会允许购买证券投资基金的其他投资人。</w:t>
      </w:r>
    </w:p>
    <w:p w:rsidR="00BA4B87" w:rsidRPr="0087389D" w:rsidRDefault="00B329B1" w:rsidP="00555CE7">
      <w:pPr>
        <w:snapToGrid w:val="0"/>
        <w:spacing w:line="360" w:lineRule="auto"/>
        <w:ind w:firstLineChars="200" w:firstLine="420"/>
        <w:rPr>
          <w:rFonts w:asciiTheme="minorEastAsia" w:eastAsiaTheme="minorEastAsia" w:hAnsiTheme="minorEastAsia"/>
          <w:szCs w:val="21"/>
        </w:rPr>
      </w:pPr>
      <w:bookmarkStart w:id="59" w:name="_Toc327734834"/>
      <w:r w:rsidRPr="0087389D">
        <w:rPr>
          <w:rFonts w:asciiTheme="minorEastAsia" w:eastAsiaTheme="minorEastAsia" w:hAnsiTheme="minorEastAsia"/>
          <w:szCs w:val="21"/>
        </w:rPr>
        <w:t>（</w:t>
      </w:r>
      <w:r w:rsidR="00BA4B87" w:rsidRPr="0087389D">
        <w:rPr>
          <w:rFonts w:asciiTheme="minorEastAsia" w:eastAsiaTheme="minorEastAsia" w:hAnsiTheme="minorEastAsia"/>
          <w:szCs w:val="21"/>
        </w:rPr>
        <w:t>二</w:t>
      </w:r>
      <w:r w:rsidRPr="0087389D">
        <w:rPr>
          <w:rFonts w:asciiTheme="minorEastAsia" w:eastAsiaTheme="minorEastAsia" w:hAnsiTheme="minorEastAsia"/>
          <w:szCs w:val="21"/>
        </w:rPr>
        <w:t>）</w:t>
      </w:r>
      <w:r w:rsidR="00BA4B87" w:rsidRPr="0087389D">
        <w:rPr>
          <w:rFonts w:asciiTheme="minorEastAsia" w:eastAsiaTheme="minorEastAsia" w:hAnsiTheme="minorEastAsia"/>
          <w:szCs w:val="21"/>
        </w:rPr>
        <w:t>申购与赎回的场所</w:t>
      </w:r>
      <w:bookmarkEnd w:id="59"/>
    </w:p>
    <w:p w:rsidR="006E7315" w:rsidRPr="0087389D" w:rsidRDefault="006E7315" w:rsidP="00555CE7">
      <w:pPr>
        <w:snapToGrid w:val="0"/>
        <w:spacing w:line="360" w:lineRule="auto"/>
        <w:ind w:firstLineChars="202" w:firstLine="424"/>
        <w:rPr>
          <w:rFonts w:asciiTheme="minorEastAsia" w:eastAsiaTheme="minorEastAsia" w:hAnsiTheme="minorEastAsia"/>
          <w:szCs w:val="21"/>
        </w:rPr>
      </w:pPr>
      <w:r w:rsidRPr="0087389D">
        <w:rPr>
          <w:rFonts w:asciiTheme="minorEastAsia" w:eastAsiaTheme="minorEastAsia" w:hAnsiTheme="minorEastAsia" w:hint="eastAsia"/>
          <w:bCs/>
          <w:szCs w:val="21"/>
        </w:rPr>
        <w:t>本基金的申购与赎回将通过销售机构进行。具体的销售机构将由基金管理人在招募说明书或其他相关公告中列明。基金管理人可根据情况变更或增减销售机构，</w:t>
      </w:r>
      <w:r w:rsidR="00BB04FF" w:rsidRPr="0087389D">
        <w:rPr>
          <w:rFonts w:asciiTheme="minorEastAsia" w:eastAsiaTheme="minorEastAsia" w:hAnsiTheme="minorEastAsia" w:hint="eastAsia"/>
          <w:bCs/>
          <w:szCs w:val="21"/>
        </w:rPr>
        <w:t>并在基金管理人网站公示</w:t>
      </w:r>
      <w:r w:rsidRPr="0087389D">
        <w:rPr>
          <w:rFonts w:asciiTheme="minorEastAsia" w:eastAsiaTheme="minorEastAsia" w:hAnsiTheme="minorEastAsia" w:hint="eastAsia"/>
          <w:bCs/>
          <w:szCs w:val="21"/>
        </w:rPr>
        <w:t>。基金投资者应当在销售机构办理基金销售业务的营业场所或按销售机构提供的其他方式办理基金份额的申购与赎回。</w:t>
      </w:r>
    </w:p>
    <w:p w:rsidR="00BA4B87" w:rsidRPr="0087389D" w:rsidRDefault="00B329B1" w:rsidP="00555CE7">
      <w:pPr>
        <w:snapToGrid w:val="0"/>
        <w:spacing w:line="360" w:lineRule="auto"/>
        <w:ind w:firstLineChars="200" w:firstLine="420"/>
        <w:rPr>
          <w:rFonts w:asciiTheme="minorEastAsia" w:eastAsiaTheme="minorEastAsia" w:hAnsiTheme="minorEastAsia"/>
          <w:szCs w:val="21"/>
        </w:rPr>
      </w:pPr>
      <w:bookmarkStart w:id="60" w:name="_Toc327734835"/>
      <w:r w:rsidRPr="0087389D">
        <w:rPr>
          <w:rFonts w:asciiTheme="minorEastAsia" w:eastAsiaTheme="minorEastAsia" w:hAnsiTheme="minorEastAsia"/>
          <w:szCs w:val="21"/>
        </w:rPr>
        <w:t>（</w:t>
      </w:r>
      <w:r w:rsidR="00BA4B87" w:rsidRPr="0087389D">
        <w:rPr>
          <w:rFonts w:asciiTheme="minorEastAsia" w:eastAsiaTheme="minorEastAsia" w:hAnsiTheme="minorEastAsia"/>
          <w:szCs w:val="21"/>
        </w:rPr>
        <w:t>三</w:t>
      </w:r>
      <w:r w:rsidRPr="0087389D">
        <w:rPr>
          <w:rFonts w:asciiTheme="minorEastAsia" w:eastAsiaTheme="minorEastAsia" w:hAnsiTheme="minorEastAsia"/>
          <w:szCs w:val="21"/>
        </w:rPr>
        <w:t>）</w:t>
      </w:r>
      <w:r w:rsidR="00BA4B87" w:rsidRPr="0087389D">
        <w:rPr>
          <w:rFonts w:asciiTheme="minorEastAsia" w:eastAsiaTheme="minorEastAsia" w:hAnsiTheme="minorEastAsia"/>
          <w:szCs w:val="21"/>
        </w:rPr>
        <w:t>申购与赎回办理的开放日及时间</w:t>
      </w:r>
      <w:bookmarkEnd w:id="60"/>
    </w:p>
    <w:p w:rsidR="003647F2" w:rsidRPr="0087389D" w:rsidRDefault="003647F2"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1、开放日及开放时间</w:t>
      </w:r>
    </w:p>
    <w:p w:rsidR="003647F2" w:rsidRPr="0087389D" w:rsidRDefault="003647F2"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投资人在开放日办理基金份额的申购和赎回，具体办理时间为上海证券交易所、深圳证券交易所的正常交易日</w:t>
      </w:r>
      <w:r w:rsidR="009E689B" w:rsidRPr="0087389D">
        <w:rPr>
          <w:rFonts w:asciiTheme="minorEastAsia" w:eastAsiaTheme="minorEastAsia" w:hAnsiTheme="minorEastAsia" w:hint="eastAsia"/>
          <w:szCs w:val="21"/>
        </w:rPr>
        <w:t>的交易时间</w:t>
      </w:r>
      <w:r w:rsidRPr="0087389D">
        <w:rPr>
          <w:rFonts w:asciiTheme="minorEastAsia" w:eastAsiaTheme="minorEastAsia" w:hAnsiTheme="minorEastAsia" w:hint="eastAsia"/>
          <w:szCs w:val="21"/>
        </w:rPr>
        <w:t>，但基金管理人根据法律法规、中国证监会的要求或</w:t>
      </w:r>
      <w:r w:rsidR="00FF5048" w:rsidRPr="0087389D">
        <w:rPr>
          <w:rFonts w:asciiTheme="minorEastAsia" w:eastAsiaTheme="minorEastAsia" w:hAnsiTheme="minorEastAsia" w:hint="eastAsia"/>
          <w:szCs w:val="21"/>
        </w:rPr>
        <w:t>基金合同</w:t>
      </w:r>
      <w:r w:rsidRPr="0087389D">
        <w:rPr>
          <w:rFonts w:asciiTheme="minorEastAsia" w:eastAsiaTheme="minorEastAsia" w:hAnsiTheme="minorEastAsia" w:hint="eastAsia"/>
          <w:szCs w:val="21"/>
        </w:rPr>
        <w:t>的规定公告暂停申购、赎回时除外。</w:t>
      </w:r>
      <w:r w:rsidR="00A63241" w:rsidRPr="0087389D">
        <w:rPr>
          <w:rFonts w:asciiTheme="minorEastAsia" w:eastAsiaTheme="minorEastAsia" w:hAnsiTheme="minorEastAsia" w:hint="eastAsia"/>
          <w:szCs w:val="21"/>
        </w:rPr>
        <w:t>销售机构可在上述范围内规定具体的交易时间。</w:t>
      </w:r>
    </w:p>
    <w:p w:rsidR="003647F2" w:rsidRPr="0087389D" w:rsidRDefault="003647F2"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若出现新的证券交易市场、证券交易所交易时间变更或其他特殊情况，基金管理人</w:t>
      </w:r>
      <w:r w:rsidR="00251A63" w:rsidRPr="0087389D">
        <w:rPr>
          <w:rFonts w:asciiTheme="minorEastAsia" w:eastAsiaTheme="minorEastAsia" w:hAnsiTheme="minorEastAsia" w:hint="eastAsia"/>
          <w:szCs w:val="21"/>
        </w:rPr>
        <w:t>有权</w:t>
      </w:r>
      <w:r w:rsidRPr="0087389D">
        <w:rPr>
          <w:rFonts w:asciiTheme="minorEastAsia" w:eastAsiaTheme="minorEastAsia" w:hAnsiTheme="minorEastAsia" w:hint="eastAsia"/>
          <w:szCs w:val="21"/>
        </w:rPr>
        <w:t>视情况对前述开放日及开放时间进行相应的调整，但应在实施日前依照《信息披露办法》的有关规定在指定</w:t>
      </w:r>
      <w:r w:rsidR="00BB04FF" w:rsidRPr="0087389D">
        <w:rPr>
          <w:rFonts w:asciiTheme="minorEastAsia" w:eastAsiaTheme="minorEastAsia" w:hAnsiTheme="minorEastAsia" w:hint="eastAsia"/>
          <w:szCs w:val="21"/>
        </w:rPr>
        <w:t>媒介</w:t>
      </w:r>
      <w:r w:rsidRPr="0087389D">
        <w:rPr>
          <w:rFonts w:asciiTheme="minorEastAsia" w:eastAsiaTheme="minorEastAsia" w:hAnsiTheme="minorEastAsia" w:hint="eastAsia"/>
          <w:szCs w:val="21"/>
        </w:rPr>
        <w:t>上公告。</w:t>
      </w:r>
    </w:p>
    <w:p w:rsidR="003647F2" w:rsidRPr="0087389D" w:rsidRDefault="003647F2"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2、申购、赎回开始日及业务办理时间</w:t>
      </w:r>
    </w:p>
    <w:p w:rsidR="000F434B" w:rsidRPr="0087389D" w:rsidRDefault="000F434B"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本基金</w:t>
      </w:r>
      <w:r w:rsidR="001702EF" w:rsidRPr="0087389D">
        <w:rPr>
          <w:rFonts w:asciiTheme="minorEastAsia" w:eastAsiaTheme="minorEastAsia" w:hAnsiTheme="minorEastAsia" w:hint="eastAsia"/>
          <w:szCs w:val="21"/>
        </w:rPr>
        <w:t>A类份额和B类份额</w:t>
      </w:r>
      <w:r w:rsidRPr="0087389D">
        <w:rPr>
          <w:rFonts w:asciiTheme="minorEastAsia" w:eastAsiaTheme="minorEastAsia" w:hAnsiTheme="minorEastAsia" w:hint="eastAsia"/>
          <w:szCs w:val="21"/>
        </w:rPr>
        <w:t>已于</w:t>
      </w:r>
      <w:r w:rsidRPr="0087389D">
        <w:rPr>
          <w:rFonts w:asciiTheme="minorEastAsia" w:eastAsiaTheme="minorEastAsia" w:hAnsiTheme="minorEastAsia"/>
          <w:szCs w:val="21"/>
        </w:rPr>
        <w:t>2014</w:t>
      </w:r>
      <w:r w:rsidRPr="0087389D">
        <w:rPr>
          <w:rFonts w:asciiTheme="minorEastAsia" w:eastAsiaTheme="minorEastAsia" w:hAnsiTheme="minorEastAsia" w:hint="eastAsia"/>
          <w:szCs w:val="21"/>
        </w:rPr>
        <w:t>年</w:t>
      </w:r>
      <w:r w:rsidRPr="0087389D">
        <w:rPr>
          <w:rFonts w:asciiTheme="minorEastAsia" w:eastAsiaTheme="minorEastAsia" w:hAnsiTheme="minorEastAsia"/>
          <w:szCs w:val="21"/>
        </w:rPr>
        <w:t>7</w:t>
      </w:r>
      <w:r w:rsidRPr="0087389D">
        <w:rPr>
          <w:rFonts w:asciiTheme="minorEastAsia" w:eastAsiaTheme="minorEastAsia" w:hAnsiTheme="minorEastAsia" w:hint="eastAsia"/>
          <w:szCs w:val="21"/>
        </w:rPr>
        <w:t>月</w:t>
      </w:r>
      <w:r w:rsidRPr="0087389D">
        <w:rPr>
          <w:rFonts w:asciiTheme="minorEastAsia" w:eastAsiaTheme="minorEastAsia" w:hAnsiTheme="minorEastAsia"/>
          <w:szCs w:val="21"/>
        </w:rPr>
        <w:t>14</w:t>
      </w:r>
      <w:r w:rsidRPr="0087389D">
        <w:rPr>
          <w:rFonts w:asciiTheme="minorEastAsia" w:eastAsiaTheme="minorEastAsia" w:hAnsiTheme="minorEastAsia" w:hint="eastAsia"/>
          <w:szCs w:val="21"/>
        </w:rPr>
        <w:t>日开始办理日常申购和赎回业务。</w:t>
      </w:r>
      <w:r w:rsidR="001702EF" w:rsidRPr="0087389D">
        <w:rPr>
          <w:rFonts w:asciiTheme="minorEastAsia" w:eastAsiaTheme="minorEastAsia" w:hAnsiTheme="minorEastAsia" w:hint="eastAsia"/>
          <w:szCs w:val="21"/>
        </w:rPr>
        <w:t>本基金Y类份额已于2014年12月3日开始办理日常申购和赎回业务。</w:t>
      </w:r>
    </w:p>
    <w:p w:rsidR="00D2527C" w:rsidRPr="0087389D" w:rsidRDefault="003647F2"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基金管理人不得在基金合同约定之外的日期或者时间办理基金份额的申购或者赎回或者转换。投资人在基金合同约定之外的日期和时间提出申购、赎回或转换申请且登记机构确认接受的，视为下一开放日的申购、赎回或转换申请。</w:t>
      </w:r>
    </w:p>
    <w:p w:rsidR="00BA4B87" w:rsidRPr="0087389D" w:rsidRDefault="00B329B1" w:rsidP="00555CE7">
      <w:pPr>
        <w:snapToGrid w:val="0"/>
        <w:spacing w:line="360" w:lineRule="auto"/>
        <w:ind w:firstLineChars="200" w:firstLine="420"/>
        <w:rPr>
          <w:rFonts w:asciiTheme="minorEastAsia" w:eastAsiaTheme="minorEastAsia" w:hAnsiTheme="minorEastAsia"/>
          <w:szCs w:val="21"/>
        </w:rPr>
      </w:pPr>
      <w:bookmarkStart w:id="61" w:name="_Toc327734836"/>
      <w:r w:rsidRPr="0087389D">
        <w:rPr>
          <w:rFonts w:asciiTheme="minorEastAsia" w:eastAsiaTheme="minorEastAsia" w:hAnsiTheme="minorEastAsia"/>
          <w:szCs w:val="21"/>
        </w:rPr>
        <w:t>（</w:t>
      </w:r>
      <w:r w:rsidR="008D4032" w:rsidRPr="0087389D">
        <w:rPr>
          <w:rFonts w:asciiTheme="minorEastAsia" w:eastAsiaTheme="minorEastAsia" w:hAnsiTheme="minorEastAsia"/>
          <w:szCs w:val="21"/>
        </w:rPr>
        <w:t>四</w:t>
      </w:r>
      <w:r w:rsidRPr="0087389D">
        <w:rPr>
          <w:rFonts w:asciiTheme="minorEastAsia" w:eastAsiaTheme="minorEastAsia" w:hAnsiTheme="minorEastAsia"/>
          <w:szCs w:val="21"/>
        </w:rPr>
        <w:t>）</w:t>
      </w:r>
      <w:r w:rsidR="00BA4B87" w:rsidRPr="0087389D">
        <w:rPr>
          <w:rFonts w:asciiTheme="minorEastAsia" w:eastAsiaTheme="minorEastAsia" w:hAnsiTheme="minorEastAsia"/>
          <w:szCs w:val="21"/>
        </w:rPr>
        <w:t>申购与赎回的原则</w:t>
      </w:r>
      <w:bookmarkEnd w:id="61"/>
    </w:p>
    <w:p w:rsidR="00964BE4" w:rsidRPr="0087389D" w:rsidRDefault="00964BE4"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1、“确定价”原则，即申购、赎回价格以每份基金份额净值为1.00元的基准进行计算；</w:t>
      </w:r>
    </w:p>
    <w:p w:rsidR="00964BE4" w:rsidRPr="0087389D" w:rsidRDefault="00964BE4"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2、“金额申购、份额赎回”原则，即申购以金额申请，赎回以份额申请；</w:t>
      </w:r>
    </w:p>
    <w:p w:rsidR="00964BE4" w:rsidRPr="0087389D" w:rsidRDefault="00964BE4"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3、当日的申购与赎回申请可以在基金管理人规定的时间以内撤销</w:t>
      </w:r>
      <w:r w:rsidR="00F16E6E" w:rsidRPr="0087389D">
        <w:rPr>
          <w:rFonts w:asciiTheme="minorEastAsia" w:eastAsiaTheme="minorEastAsia" w:hAnsiTheme="minorEastAsia" w:hint="eastAsia"/>
          <w:szCs w:val="21"/>
        </w:rPr>
        <w:t>。</w:t>
      </w:r>
    </w:p>
    <w:p w:rsidR="000D03B5" w:rsidRPr="0087389D" w:rsidRDefault="00964BE4"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基金管理人可在</w:t>
      </w:r>
      <w:r w:rsidR="002630E5" w:rsidRPr="0087389D">
        <w:rPr>
          <w:rFonts w:asciiTheme="minorEastAsia" w:eastAsiaTheme="minorEastAsia" w:hAnsiTheme="minorEastAsia" w:hint="eastAsia"/>
          <w:szCs w:val="21"/>
        </w:rPr>
        <w:t>不违反</w:t>
      </w:r>
      <w:r w:rsidRPr="0087389D">
        <w:rPr>
          <w:rFonts w:asciiTheme="minorEastAsia" w:eastAsiaTheme="minorEastAsia" w:hAnsiTheme="minorEastAsia" w:hint="eastAsia"/>
          <w:szCs w:val="21"/>
        </w:rPr>
        <w:t>法律法规的情况下，对上述原则进行调整。基金管理人必须在新规则开始实施前依照《信息披露办法》的有关规定在指定</w:t>
      </w:r>
      <w:r w:rsidR="00BB04FF" w:rsidRPr="0087389D">
        <w:rPr>
          <w:rFonts w:asciiTheme="minorEastAsia" w:eastAsiaTheme="minorEastAsia" w:hAnsiTheme="minorEastAsia" w:hint="eastAsia"/>
          <w:szCs w:val="21"/>
        </w:rPr>
        <w:t>媒介</w:t>
      </w:r>
      <w:r w:rsidRPr="0087389D">
        <w:rPr>
          <w:rFonts w:asciiTheme="minorEastAsia" w:eastAsiaTheme="minorEastAsia" w:hAnsiTheme="minorEastAsia" w:hint="eastAsia"/>
          <w:szCs w:val="21"/>
        </w:rPr>
        <w:t>上公告</w:t>
      </w:r>
      <w:r w:rsidR="003647F2" w:rsidRPr="0087389D">
        <w:rPr>
          <w:rFonts w:asciiTheme="minorEastAsia" w:eastAsiaTheme="minorEastAsia" w:hAnsiTheme="minorEastAsia" w:hint="eastAsia"/>
          <w:szCs w:val="21"/>
        </w:rPr>
        <w:t>。</w:t>
      </w:r>
    </w:p>
    <w:p w:rsidR="00BA4B87" w:rsidRPr="0087389D" w:rsidRDefault="00B329B1" w:rsidP="00555CE7">
      <w:pPr>
        <w:snapToGrid w:val="0"/>
        <w:spacing w:line="360" w:lineRule="auto"/>
        <w:ind w:firstLineChars="200" w:firstLine="420"/>
        <w:rPr>
          <w:rFonts w:asciiTheme="minorEastAsia" w:eastAsiaTheme="minorEastAsia" w:hAnsiTheme="minorEastAsia"/>
          <w:szCs w:val="21"/>
        </w:rPr>
      </w:pPr>
      <w:bookmarkStart w:id="62" w:name="_Toc327734837"/>
      <w:r w:rsidRPr="0087389D">
        <w:rPr>
          <w:rFonts w:asciiTheme="minorEastAsia" w:eastAsiaTheme="minorEastAsia" w:hAnsiTheme="minorEastAsia"/>
          <w:szCs w:val="21"/>
        </w:rPr>
        <w:t>（</w:t>
      </w:r>
      <w:r w:rsidR="004A4C9B" w:rsidRPr="0087389D">
        <w:rPr>
          <w:rFonts w:asciiTheme="minorEastAsia" w:eastAsiaTheme="minorEastAsia" w:hAnsiTheme="minorEastAsia" w:hint="eastAsia"/>
          <w:szCs w:val="21"/>
        </w:rPr>
        <w:t>五</w:t>
      </w:r>
      <w:r w:rsidRPr="0087389D">
        <w:rPr>
          <w:rFonts w:asciiTheme="minorEastAsia" w:eastAsiaTheme="minorEastAsia" w:hAnsiTheme="minorEastAsia"/>
          <w:szCs w:val="21"/>
        </w:rPr>
        <w:t>）</w:t>
      </w:r>
      <w:r w:rsidR="00BA4B87" w:rsidRPr="0087389D">
        <w:rPr>
          <w:rFonts w:asciiTheme="minorEastAsia" w:eastAsiaTheme="minorEastAsia" w:hAnsiTheme="minorEastAsia"/>
          <w:szCs w:val="21"/>
        </w:rPr>
        <w:t>申购与赎回的程序</w:t>
      </w:r>
      <w:bookmarkEnd w:id="62"/>
    </w:p>
    <w:p w:rsidR="00964BE4" w:rsidRPr="0087389D" w:rsidRDefault="00964BE4"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1、申购和赎回的申请方式</w:t>
      </w:r>
    </w:p>
    <w:p w:rsidR="00964BE4" w:rsidRPr="0087389D" w:rsidRDefault="00964BE4"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投资人必须根据销售机构规定的程序，在开放日的具体业务办理时间内提出申购或赎回的申请。</w:t>
      </w:r>
    </w:p>
    <w:p w:rsidR="00964BE4" w:rsidRPr="0087389D" w:rsidRDefault="00964BE4"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lastRenderedPageBreak/>
        <w:t>2、申购和赎回的款项支付</w:t>
      </w:r>
    </w:p>
    <w:p w:rsidR="00251A63" w:rsidRPr="0087389D" w:rsidRDefault="00251A6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投资人申购基金份额时，必须全额交付申购款项，投资人交付申购款项，申购成立，申购是否生效以注册登记机构确认为准。</w:t>
      </w:r>
    </w:p>
    <w:p w:rsidR="00964BE4" w:rsidRPr="0087389D" w:rsidRDefault="00251A6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基金份额持有人递交赎回申请，赎回成立，赎回是否生效以注册登记机构确认为准。基金份额持有人赎回申请成功后，</w:t>
      </w:r>
      <w:r w:rsidR="00C02F0E" w:rsidRPr="0087389D">
        <w:rPr>
          <w:rFonts w:asciiTheme="minorEastAsia" w:eastAsiaTheme="minorEastAsia" w:hAnsiTheme="minorEastAsia" w:hint="eastAsia"/>
          <w:szCs w:val="21"/>
        </w:rPr>
        <w:t>基金管理人将指示基金托管人</w:t>
      </w:r>
      <w:r w:rsidRPr="0087389D">
        <w:rPr>
          <w:rFonts w:asciiTheme="minorEastAsia" w:eastAsiaTheme="minorEastAsia" w:hAnsiTheme="minorEastAsia" w:hint="eastAsia"/>
          <w:szCs w:val="21"/>
        </w:rPr>
        <w:t>在法律法规规定的期限内向基金份额持有人支付赎回款项。如遇交易所或交易市场数据传输延迟、通讯系统故障、银行数据交换系统故障或其它非基金管理人及基金托管人所能控制的因素影响业务处理流程，则赎回款项的支付时间可相应顺延。在发生巨额赎回或基金合同载明的其他暂停赎回或延缓支付赎回款项的情形时，款项的支付办法按照基金合同有关条款处理。</w:t>
      </w:r>
    </w:p>
    <w:p w:rsidR="00964BE4" w:rsidRPr="0087389D" w:rsidRDefault="00964BE4"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3、申购和赎回申请的确认</w:t>
      </w:r>
    </w:p>
    <w:p w:rsidR="00251A63" w:rsidRPr="0087389D" w:rsidRDefault="00251A6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基金管理人应以</w:t>
      </w:r>
      <w:r w:rsidR="00C02F0E" w:rsidRPr="0087389D">
        <w:rPr>
          <w:rFonts w:asciiTheme="minorEastAsia" w:eastAsiaTheme="minorEastAsia" w:hAnsiTheme="minorEastAsia" w:hint="eastAsia"/>
          <w:szCs w:val="21"/>
        </w:rPr>
        <w:t>交易时间</w:t>
      </w:r>
      <w:r w:rsidRPr="0087389D">
        <w:rPr>
          <w:rFonts w:asciiTheme="minorEastAsia" w:eastAsiaTheme="minorEastAsia" w:hAnsiTheme="minorEastAsia" w:hint="eastAsia"/>
          <w:szCs w:val="21"/>
        </w:rPr>
        <w:t>结束前受理有效申购和赎回申请的当天作为申购或赎回申请日，在正常情况下，本基金登记机构在申请日的下一工作日</w:t>
      </w:r>
      <w:r w:rsidR="002629AD" w:rsidRPr="0087389D">
        <w:rPr>
          <w:rFonts w:asciiTheme="minorEastAsia" w:eastAsiaTheme="minorEastAsia" w:hAnsiTheme="minorEastAsia" w:hint="eastAsia"/>
          <w:szCs w:val="21"/>
        </w:rPr>
        <w:t>前</w:t>
      </w:r>
      <w:r w:rsidRPr="0087389D">
        <w:rPr>
          <w:rFonts w:asciiTheme="minorEastAsia" w:eastAsiaTheme="minorEastAsia" w:hAnsiTheme="minorEastAsia" w:hint="eastAsia"/>
          <w:szCs w:val="21"/>
        </w:rPr>
        <w:t>（包括</w:t>
      </w:r>
      <w:r w:rsidR="00AC1A53" w:rsidRPr="0087389D">
        <w:rPr>
          <w:rFonts w:asciiTheme="minorEastAsia" w:eastAsiaTheme="minorEastAsia" w:hAnsiTheme="minorEastAsia" w:hint="eastAsia"/>
          <w:szCs w:val="21"/>
        </w:rPr>
        <w:t>申请日的下一工作日</w:t>
      </w:r>
      <w:r w:rsidRPr="0087389D">
        <w:rPr>
          <w:rFonts w:asciiTheme="minorEastAsia" w:eastAsiaTheme="minorEastAsia" w:hAnsiTheme="minorEastAsia" w:hint="eastAsia"/>
          <w:szCs w:val="21"/>
        </w:rPr>
        <w:t>）对该交易的有效性进行确认。申请日提交的有效申请，投资人应及时到销售网点柜台或以销售机构规定的其他方式查询申请的确认情况。若申购不成功，则申购款项本金退还给投资人。</w:t>
      </w:r>
    </w:p>
    <w:p w:rsidR="00003E90" w:rsidRPr="0087389D" w:rsidRDefault="00251A6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销售机构对申购、赎回申请的受理并不代表该申请一定成功，而仅代表销售机构确实接收到申购、赎回申请。申购、赎回的确认以登记机构的确认结果为准。</w:t>
      </w:r>
    </w:p>
    <w:p w:rsidR="00BA4B87" w:rsidRPr="0087389D" w:rsidRDefault="00B329B1" w:rsidP="00555CE7">
      <w:pPr>
        <w:snapToGrid w:val="0"/>
        <w:spacing w:line="360" w:lineRule="auto"/>
        <w:ind w:firstLineChars="200" w:firstLine="420"/>
        <w:rPr>
          <w:rFonts w:asciiTheme="minorEastAsia" w:eastAsiaTheme="minorEastAsia" w:hAnsiTheme="minorEastAsia"/>
          <w:szCs w:val="21"/>
        </w:rPr>
      </w:pPr>
      <w:bookmarkStart w:id="63" w:name="_Toc327734838"/>
      <w:r w:rsidRPr="0087389D">
        <w:rPr>
          <w:rFonts w:asciiTheme="minorEastAsia" w:eastAsiaTheme="minorEastAsia" w:hAnsiTheme="minorEastAsia"/>
          <w:szCs w:val="21"/>
        </w:rPr>
        <w:t>（</w:t>
      </w:r>
      <w:r w:rsidR="00214A68" w:rsidRPr="0087389D">
        <w:rPr>
          <w:rFonts w:asciiTheme="minorEastAsia" w:eastAsiaTheme="minorEastAsia" w:hAnsiTheme="minorEastAsia"/>
          <w:szCs w:val="21"/>
        </w:rPr>
        <w:t>六</w:t>
      </w:r>
      <w:r w:rsidRPr="0087389D">
        <w:rPr>
          <w:rFonts w:asciiTheme="minorEastAsia" w:eastAsiaTheme="minorEastAsia" w:hAnsiTheme="minorEastAsia"/>
          <w:szCs w:val="21"/>
        </w:rPr>
        <w:t>）</w:t>
      </w:r>
      <w:r w:rsidR="00BA4B87" w:rsidRPr="0087389D">
        <w:rPr>
          <w:rFonts w:asciiTheme="minorEastAsia" w:eastAsiaTheme="minorEastAsia" w:hAnsiTheme="minorEastAsia"/>
          <w:szCs w:val="21"/>
        </w:rPr>
        <w:t>申购与赎回的数额限制</w:t>
      </w:r>
      <w:bookmarkEnd w:id="63"/>
    </w:p>
    <w:p w:rsidR="00BA4B87" w:rsidRPr="0087389D" w:rsidRDefault="00BA4B87"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szCs w:val="21"/>
        </w:rPr>
        <w:t>1、申购金额的限制</w:t>
      </w:r>
    </w:p>
    <w:p w:rsidR="00AB5F22" w:rsidRPr="0087389D" w:rsidRDefault="00712A55" w:rsidP="00555CE7">
      <w:pPr>
        <w:pStyle w:val="21"/>
        <w:autoSpaceDE w:val="0"/>
        <w:autoSpaceDN w:val="0"/>
        <w:snapToGrid w:val="0"/>
        <w:spacing w:before="0" w:beforeAutospacing="0" w:after="0" w:afterAutospacing="0"/>
        <w:ind w:firstLine="420"/>
        <w:textAlignment w:val="bottom"/>
        <w:rPr>
          <w:rFonts w:asciiTheme="minorEastAsia" w:eastAsiaTheme="minorEastAsia" w:hAnsiTheme="minorEastAsia"/>
          <w:szCs w:val="21"/>
        </w:rPr>
      </w:pPr>
      <w:r w:rsidRPr="0087389D">
        <w:rPr>
          <w:rFonts w:asciiTheme="minorEastAsia" w:eastAsiaTheme="minorEastAsia" w:hAnsiTheme="minorEastAsia" w:hint="eastAsia"/>
          <w:szCs w:val="21"/>
        </w:rPr>
        <w:t>投资者通过</w:t>
      </w:r>
      <w:r w:rsidR="00152152" w:rsidRPr="0087389D">
        <w:rPr>
          <w:rFonts w:asciiTheme="minorEastAsia" w:eastAsiaTheme="minorEastAsia" w:hAnsiTheme="minorEastAsia" w:hint="eastAsia"/>
          <w:szCs w:val="21"/>
        </w:rPr>
        <w:t>非直销销售机构</w:t>
      </w:r>
      <w:r w:rsidRPr="0087389D">
        <w:rPr>
          <w:rFonts w:asciiTheme="minorEastAsia" w:eastAsiaTheme="minorEastAsia" w:hAnsiTheme="minorEastAsia" w:hint="eastAsia"/>
          <w:szCs w:val="21"/>
        </w:rPr>
        <w:t>或本公司网上交易系统</w:t>
      </w:r>
      <w:r w:rsidR="003A7EFB" w:rsidRPr="0087389D">
        <w:rPr>
          <w:rFonts w:asciiTheme="minorEastAsia" w:eastAsiaTheme="minorEastAsia" w:hAnsiTheme="minorEastAsia" w:hint="eastAsia"/>
          <w:kern w:val="0"/>
          <w:szCs w:val="21"/>
        </w:rPr>
        <w:t>首次申购和追加申购本基金A类基金份额的单笔最低限额不进行限制</w:t>
      </w:r>
      <w:r w:rsidR="00152152" w:rsidRPr="0087389D">
        <w:rPr>
          <w:rFonts w:asciiTheme="minorEastAsia" w:eastAsiaTheme="minorEastAsia" w:hAnsiTheme="minorEastAsia" w:hint="eastAsia"/>
          <w:szCs w:val="21"/>
        </w:rPr>
        <w:t>；</w:t>
      </w:r>
      <w:r w:rsidRPr="0087389D">
        <w:rPr>
          <w:rFonts w:asciiTheme="minorEastAsia" w:eastAsiaTheme="minorEastAsia" w:hAnsiTheme="minorEastAsia" w:hint="eastAsia"/>
          <w:szCs w:val="21"/>
        </w:rPr>
        <w:t>首次申购本基金</w:t>
      </w:r>
      <w:r w:rsidRPr="0087389D">
        <w:rPr>
          <w:rFonts w:asciiTheme="minorEastAsia" w:eastAsiaTheme="minorEastAsia" w:hAnsiTheme="minorEastAsia"/>
          <w:szCs w:val="21"/>
        </w:rPr>
        <w:t>B类</w:t>
      </w:r>
      <w:r w:rsidRPr="0087389D">
        <w:rPr>
          <w:rFonts w:asciiTheme="minorEastAsia" w:eastAsiaTheme="minorEastAsia" w:hAnsiTheme="minorEastAsia" w:hint="eastAsia"/>
          <w:szCs w:val="21"/>
        </w:rPr>
        <w:t>基金份额单笔最低限额为人民币</w:t>
      </w:r>
      <w:r w:rsidR="007211C7" w:rsidRPr="0087389D">
        <w:rPr>
          <w:rFonts w:asciiTheme="minorEastAsia" w:eastAsiaTheme="minorEastAsia" w:hAnsiTheme="minorEastAsia" w:hint="eastAsia"/>
          <w:szCs w:val="21"/>
        </w:rPr>
        <w:t>500</w:t>
      </w:r>
      <w:r w:rsidRPr="0087389D">
        <w:rPr>
          <w:rFonts w:asciiTheme="minorEastAsia" w:eastAsiaTheme="minorEastAsia" w:hAnsiTheme="minorEastAsia" w:hint="eastAsia"/>
          <w:szCs w:val="21"/>
        </w:rPr>
        <w:t>万元</w:t>
      </w:r>
      <w:r w:rsidR="00152152" w:rsidRPr="0087389D">
        <w:rPr>
          <w:rFonts w:asciiTheme="minorEastAsia" w:eastAsiaTheme="minorEastAsia" w:hAnsiTheme="minorEastAsia" w:hint="eastAsia"/>
          <w:szCs w:val="21"/>
        </w:rPr>
        <w:t>，</w:t>
      </w:r>
      <w:r w:rsidR="00152152" w:rsidRPr="0087389D">
        <w:rPr>
          <w:rFonts w:asciiTheme="minorEastAsia" w:eastAsiaTheme="minorEastAsia" w:hAnsiTheme="minorEastAsia"/>
          <w:szCs w:val="21"/>
        </w:rPr>
        <w:t>追加</w:t>
      </w:r>
      <w:r w:rsidR="00152152" w:rsidRPr="0087389D">
        <w:rPr>
          <w:rFonts w:asciiTheme="minorEastAsia" w:eastAsiaTheme="minorEastAsia" w:hAnsiTheme="minorEastAsia" w:hint="eastAsia"/>
          <w:szCs w:val="21"/>
        </w:rPr>
        <w:t>申购</w:t>
      </w:r>
      <w:r w:rsidR="00152152" w:rsidRPr="0087389D">
        <w:rPr>
          <w:rFonts w:asciiTheme="minorEastAsia" w:eastAsiaTheme="minorEastAsia" w:hAnsiTheme="minorEastAsia"/>
          <w:szCs w:val="21"/>
        </w:rPr>
        <w:t>单笔最低限额为人民币1</w:t>
      </w:r>
      <w:r w:rsidR="00152152" w:rsidRPr="0087389D">
        <w:rPr>
          <w:rFonts w:asciiTheme="minorEastAsia" w:eastAsiaTheme="minorEastAsia" w:hAnsiTheme="minorEastAsia" w:hint="eastAsia"/>
          <w:szCs w:val="21"/>
        </w:rPr>
        <w:t>0万</w:t>
      </w:r>
      <w:r w:rsidR="00152152" w:rsidRPr="0087389D">
        <w:rPr>
          <w:rFonts w:asciiTheme="minorEastAsia" w:eastAsiaTheme="minorEastAsia" w:hAnsiTheme="minorEastAsia"/>
          <w:szCs w:val="21"/>
        </w:rPr>
        <w:t>元</w:t>
      </w:r>
      <w:r w:rsidR="00152152" w:rsidRPr="0087389D">
        <w:rPr>
          <w:rFonts w:asciiTheme="minorEastAsia" w:eastAsiaTheme="minorEastAsia" w:hAnsiTheme="minorEastAsia" w:hint="eastAsia"/>
          <w:szCs w:val="21"/>
        </w:rPr>
        <w:t>。</w:t>
      </w:r>
      <w:r w:rsidRPr="0087389D">
        <w:rPr>
          <w:rFonts w:asciiTheme="minorEastAsia" w:eastAsiaTheme="minorEastAsia" w:hAnsiTheme="minorEastAsia" w:hint="eastAsia"/>
          <w:szCs w:val="21"/>
        </w:rPr>
        <w:t>投资者通过</w:t>
      </w:r>
      <w:r w:rsidR="00152152" w:rsidRPr="0087389D">
        <w:rPr>
          <w:rFonts w:asciiTheme="minorEastAsia" w:eastAsiaTheme="minorEastAsia" w:hAnsiTheme="minorEastAsia" w:hint="eastAsia"/>
          <w:szCs w:val="21"/>
        </w:rPr>
        <w:t>本公司</w:t>
      </w:r>
      <w:r w:rsidRPr="0087389D">
        <w:rPr>
          <w:rFonts w:asciiTheme="minorEastAsia" w:eastAsiaTheme="minorEastAsia" w:hAnsiTheme="minorEastAsia" w:hint="eastAsia"/>
          <w:szCs w:val="21"/>
        </w:rPr>
        <w:t>直销中心首次申购</w:t>
      </w:r>
      <w:r w:rsidR="006D6D81" w:rsidRPr="0087389D">
        <w:rPr>
          <w:rFonts w:asciiTheme="minorEastAsia" w:eastAsiaTheme="minorEastAsia" w:hAnsiTheme="minorEastAsia" w:hint="eastAsia"/>
          <w:szCs w:val="21"/>
        </w:rPr>
        <w:t>及追加申购或转换转入</w:t>
      </w:r>
      <w:r w:rsidR="006D6D81" w:rsidRPr="0087389D">
        <w:rPr>
          <w:rFonts w:asciiTheme="minorEastAsia" w:eastAsiaTheme="minorEastAsia" w:hAnsiTheme="minorEastAsia" w:hint="eastAsia"/>
          <w:kern w:val="0"/>
          <w:szCs w:val="21"/>
        </w:rPr>
        <w:t>本基金A类基金份额、</w:t>
      </w:r>
      <w:r w:rsidR="006D6D81" w:rsidRPr="0087389D">
        <w:rPr>
          <w:rFonts w:asciiTheme="minorEastAsia" w:eastAsiaTheme="minorEastAsia" w:hAnsiTheme="minorEastAsia"/>
          <w:kern w:val="0"/>
          <w:szCs w:val="21"/>
        </w:rPr>
        <w:t>B类基金份额</w:t>
      </w:r>
      <w:r w:rsidR="00904AE6" w:rsidRPr="0087389D">
        <w:rPr>
          <w:rFonts w:asciiTheme="minorEastAsia" w:eastAsiaTheme="minorEastAsia" w:hAnsiTheme="minorEastAsia" w:hint="eastAsia"/>
          <w:kern w:val="0"/>
          <w:szCs w:val="21"/>
        </w:rPr>
        <w:t>的</w:t>
      </w:r>
      <w:r w:rsidR="006D6D81" w:rsidRPr="0087389D">
        <w:rPr>
          <w:rFonts w:asciiTheme="minorEastAsia" w:eastAsiaTheme="minorEastAsia" w:hAnsiTheme="minorEastAsia" w:hint="eastAsia"/>
          <w:szCs w:val="21"/>
        </w:rPr>
        <w:t>单笔</w:t>
      </w:r>
      <w:r w:rsidR="00904AE6" w:rsidRPr="0087389D">
        <w:rPr>
          <w:rFonts w:asciiTheme="minorEastAsia" w:eastAsiaTheme="minorEastAsia" w:hAnsiTheme="minorEastAsia" w:hint="eastAsia"/>
          <w:szCs w:val="21"/>
        </w:rPr>
        <w:t>最低限额</w:t>
      </w:r>
      <w:r w:rsidR="00904AE6" w:rsidRPr="0087389D">
        <w:rPr>
          <w:rFonts w:asciiTheme="minorEastAsia" w:eastAsiaTheme="minorEastAsia" w:hAnsiTheme="minorEastAsia"/>
          <w:szCs w:val="21"/>
        </w:rPr>
        <w:t>均为人民币</w:t>
      </w:r>
      <w:r w:rsidR="006D6D81" w:rsidRPr="0087389D">
        <w:rPr>
          <w:rFonts w:asciiTheme="minorEastAsia" w:eastAsiaTheme="minorEastAsia" w:hAnsiTheme="minorEastAsia" w:hint="eastAsia"/>
          <w:szCs w:val="21"/>
        </w:rPr>
        <w:t>2000</w:t>
      </w:r>
      <w:r w:rsidR="00904AE6" w:rsidRPr="0087389D">
        <w:rPr>
          <w:rFonts w:asciiTheme="minorEastAsia" w:eastAsiaTheme="minorEastAsia" w:hAnsiTheme="minorEastAsia" w:hint="eastAsia"/>
          <w:szCs w:val="21"/>
        </w:rPr>
        <w:t>万元，且本基金</w:t>
      </w:r>
      <w:r w:rsidR="006D6D81" w:rsidRPr="0087389D">
        <w:rPr>
          <w:rFonts w:asciiTheme="minorEastAsia" w:eastAsiaTheme="minorEastAsia" w:hAnsiTheme="minorEastAsia" w:hint="eastAsia"/>
          <w:szCs w:val="21"/>
        </w:rPr>
        <w:t>有权根据保护基金份额持有人利益的原则全部或部分拒绝申购或转换转入申请。</w:t>
      </w:r>
      <w:r w:rsidR="00CC135E" w:rsidRPr="0087389D">
        <w:rPr>
          <w:rFonts w:asciiTheme="minorEastAsia" w:eastAsiaTheme="minorEastAsia" w:hAnsiTheme="minorEastAsia" w:hint="eastAsia"/>
          <w:szCs w:val="21"/>
        </w:rPr>
        <w:t>投资者</w:t>
      </w:r>
      <w:r w:rsidR="00A65C01" w:rsidRPr="0087389D">
        <w:rPr>
          <w:rFonts w:asciiTheme="minorEastAsia" w:eastAsiaTheme="minorEastAsia" w:hAnsiTheme="minorEastAsia" w:hint="eastAsia"/>
          <w:szCs w:val="21"/>
        </w:rPr>
        <w:t>通过销售机构</w:t>
      </w:r>
      <w:r w:rsidR="00CC135E" w:rsidRPr="0087389D">
        <w:rPr>
          <w:rFonts w:asciiTheme="minorEastAsia" w:eastAsiaTheme="minorEastAsia" w:hAnsiTheme="minorEastAsia" w:hint="eastAsia"/>
          <w:szCs w:val="21"/>
        </w:rPr>
        <w:t>首次</w:t>
      </w:r>
      <w:r w:rsidR="00A65C01" w:rsidRPr="0087389D">
        <w:rPr>
          <w:rFonts w:asciiTheme="minorEastAsia" w:eastAsiaTheme="minorEastAsia" w:hAnsiTheme="minorEastAsia" w:hint="eastAsia"/>
          <w:szCs w:val="21"/>
        </w:rPr>
        <w:t>申购和追加申购本基金</w:t>
      </w:r>
      <w:r w:rsidR="00334A78" w:rsidRPr="0087389D">
        <w:rPr>
          <w:rFonts w:asciiTheme="minorEastAsia" w:eastAsiaTheme="minorEastAsia" w:hAnsiTheme="minorEastAsia" w:hint="eastAsia"/>
          <w:szCs w:val="21"/>
        </w:rPr>
        <w:t>Y类</w:t>
      </w:r>
      <w:r w:rsidR="00A65C01" w:rsidRPr="0087389D">
        <w:rPr>
          <w:rFonts w:asciiTheme="minorEastAsia" w:eastAsiaTheme="minorEastAsia" w:hAnsiTheme="minorEastAsia" w:hint="eastAsia"/>
          <w:szCs w:val="21"/>
        </w:rPr>
        <w:t>基金份额单笔最低限额均为人民币0.01元。</w:t>
      </w:r>
      <w:r w:rsidR="009B13B7" w:rsidRPr="0087389D">
        <w:rPr>
          <w:rFonts w:asciiTheme="minorEastAsia" w:eastAsiaTheme="minorEastAsia" w:hAnsiTheme="minorEastAsia" w:hint="eastAsia"/>
          <w:szCs w:val="21"/>
        </w:rPr>
        <w:t>在符合法律法规规定的前提下，</w:t>
      </w:r>
      <w:r w:rsidR="00AB5F22" w:rsidRPr="0087389D">
        <w:rPr>
          <w:rFonts w:asciiTheme="minorEastAsia" w:eastAsiaTheme="minorEastAsia" w:hAnsiTheme="minorEastAsia" w:hint="eastAsia"/>
          <w:szCs w:val="21"/>
        </w:rPr>
        <w:t>各销售机构对最低申购限额及交易级差有其他规定的,</w:t>
      </w:r>
      <w:r w:rsidR="000F434B" w:rsidRPr="0087389D">
        <w:rPr>
          <w:rStyle w:val="da"/>
          <w:rFonts w:asciiTheme="minorEastAsia" w:eastAsiaTheme="minorEastAsia" w:hAnsiTheme="minorEastAsia" w:hint="eastAsia"/>
        </w:rPr>
        <w:t>需同时遵循该销售机构的相关规定</w:t>
      </w:r>
      <w:r w:rsidR="00AB5F22" w:rsidRPr="0087389D">
        <w:rPr>
          <w:rFonts w:asciiTheme="minorEastAsia" w:eastAsiaTheme="minorEastAsia" w:hAnsiTheme="minorEastAsia" w:hint="eastAsia"/>
          <w:szCs w:val="21"/>
        </w:rPr>
        <w:t>。</w:t>
      </w:r>
    </w:p>
    <w:p w:rsidR="00712A55" w:rsidRPr="0087389D" w:rsidRDefault="00712A55"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szCs w:val="21"/>
        </w:rPr>
        <w:t>当期分配的基金收益</w:t>
      </w:r>
      <w:r w:rsidRPr="0087389D">
        <w:rPr>
          <w:rFonts w:asciiTheme="minorEastAsia" w:eastAsiaTheme="minorEastAsia" w:hAnsiTheme="minorEastAsia" w:hint="eastAsia"/>
          <w:szCs w:val="21"/>
        </w:rPr>
        <w:t>转结为</w:t>
      </w:r>
      <w:r w:rsidRPr="0087389D">
        <w:rPr>
          <w:rFonts w:asciiTheme="minorEastAsia" w:eastAsiaTheme="minorEastAsia" w:hAnsiTheme="minorEastAsia"/>
          <w:szCs w:val="21"/>
        </w:rPr>
        <w:t>基金份额或采用定期定额投资计划时，不受最低申购金额的限制。</w:t>
      </w:r>
    </w:p>
    <w:p w:rsidR="00BA4B87" w:rsidRPr="0087389D" w:rsidRDefault="00BA4B87"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szCs w:val="21"/>
        </w:rPr>
        <w:t>2、赎回份额的限制</w:t>
      </w:r>
    </w:p>
    <w:p w:rsidR="00D2527C" w:rsidRPr="0087389D" w:rsidRDefault="0007767A"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szCs w:val="21"/>
        </w:rPr>
        <w:t>投资者</w:t>
      </w:r>
      <w:r w:rsidR="00214A68" w:rsidRPr="0087389D">
        <w:rPr>
          <w:rFonts w:asciiTheme="minorEastAsia" w:eastAsiaTheme="minorEastAsia" w:hAnsiTheme="minorEastAsia"/>
          <w:szCs w:val="21"/>
        </w:rPr>
        <w:t>可将其全部或部分基金份额赎回。</w:t>
      </w:r>
      <w:r w:rsidR="00123A66" w:rsidRPr="0087389D">
        <w:rPr>
          <w:rFonts w:asciiTheme="minorEastAsia" w:eastAsiaTheme="minorEastAsia" w:hAnsiTheme="minorEastAsia" w:hint="eastAsia"/>
          <w:szCs w:val="21"/>
        </w:rPr>
        <w:t>每类</w:t>
      </w:r>
      <w:r w:rsidR="00D2527C" w:rsidRPr="0087389D">
        <w:rPr>
          <w:rFonts w:asciiTheme="minorEastAsia" w:eastAsiaTheme="minorEastAsia" w:hAnsiTheme="minorEastAsia" w:hint="eastAsia"/>
          <w:szCs w:val="21"/>
        </w:rPr>
        <w:t>基金份额单笔赎回不得少于</w:t>
      </w:r>
      <w:r w:rsidR="00251A63" w:rsidRPr="0087389D">
        <w:rPr>
          <w:rFonts w:asciiTheme="minorEastAsia" w:eastAsiaTheme="minorEastAsia" w:hAnsiTheme="minorEastAsia" w:hint="eastAsia"/>
          <w:szCs w:val="21"/>
        </w:rPr>
        <w:t>0</w:t>
      </w:r>
      <w:r w:rsidR="00D2527C" w:rsidRPr="0087389D">
        <w:rPr>
          <w:rFonts w:asciiTheme="minorEastAsia" w:eastAsiaTheme="minorEastAsia" w:hAnsiTheme="minorEastAsia" w:hint="eastAsia"/>
          <w:szCs w:val="21"/>
        </w:rPr>
        <w:t>份。</w:t>
      </w:r>
      <w:r w:rsidR="00123A66" w:rsidRPr="0087389D">
        <w:rPr>
          <w:rFonts w:asciiTheme="minorEastAsia" w:eastAsiaTheme="minorEastAsia" w:hAnsiTheme="minorEastAsia" w:hint="eastAsia"/>
          <w:szCs w:val="21"/>
        </w:rPr>
        <w:t>在符合法律法规规定的前提下，各销售机构对赎回份额限制有其他规定的，需同时遵循该销售机构的相关规定。</w:t>
      </w:r>
    </w:p>
    <w:p w:rsidR="00964BE4" w:rsidRPr="0087389D" w:rsidRDefault="00964BE4"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3、基金管理人</w:t>
      </w:r>
      <w:r w:rsidR="00D71054" w:rsidRPr="0087389D">
        <w:rPr>
          <w:rFonts w:asciiTheme="minorEastAsia" w:eastAsiaTheme="minorEastAsia" w:hAnsiTheme="minorEastAsia" w:hint="eastAsia"/>
          <w:szCs w:val="21"/>
        </w:rPr>
        <w:t>可以规定单个投资人累计持有的基金份额上限、单日或单笔申购金额上限</w:t>
      </w:r>
      <w:r w:rsidR="00580FE0" w:rsidRPr="0087389D">
        <w:rPr>
          <w:rFonts w:asciiTheme="minorEastAsia" w:eastAsiaTheme="minorEastAsia" w:hAnsiTheme="minorEastAsia" w:hint="eastAsia"/>
          <w:szCs w:val="21"/>
        </w:rPr>
        <w:t>，具体规定必须在开始实施前依照《信息披露办法》的有关规定在指定</w:t>
      </w:r>
      <w:r w:rsidR="00BB04FF" w:rsidRPr="0087389D">
        <w:rPr>
          <w:rFonts w:asciiTheme="minorEastAsia" w:eastAsiaTheme="minorEastAsia" w:hAnsiTheme="minorEastAsia" w:hint="eastAsia"/>
          <w:szCs w:val="21"/>
        </w:rPr>
        <w:t>媒介</w:t>
      </w:r>
      <w:r w:rsidR="00580FE0" w:rsidRPr="0087389D">
        <w:rPr>
          <w:rFonts w:asciiTheme="minorEastAsia" w:eastAsiaTheme="minorEastAsia" w:hAnsiTheme="minorEastAsia" w:hint="eastAsia"/>
          <w:szCs w:val="21"/>
        </w:rPr>
        <w:t>上公告。</w:t>
      </w:r>
    </w:p>
    <w:p w:rsidR="00964BE4" w:rsidRPr="0087389D" w:rsidRDefault="00964BE4"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lastRenderedPageBreak/>
        <w:t>4、</w:t>
      </w:r>
      <w:r w:rsidR="00725050" w:rsidRPr="0087389D">
        <w:rPr>
          <w:rFonts w:asciiTheme="minorEastAsia" w:eastAsiaTheme="minorEastAsia" w:hAnsiTheme="minorEastAsia" w:hint="eastAsia"/>
          <w:szCs w:val="21"/>
        </w:rPr>
        <w:t>基金管理人</w:t>
      </w:r>
      <w:r w:rsidR="00D71054" w:rsidRPr="0087389D">
        <w:rPr>
          <w:rFonts w:asciiTheme="minorEastAsia" w:eastAsiaTheme="minorEastAsia" w:hAnsiTheme="minorEastAsia" w:hint="eastAsia"/>
          <w:szCs w:val="21"/>
        </w:rPr>
        <w:t>有权规定本基金的总规模限额，以及单日申购金额上限和净申购比例上限</w:t>
      </w:r>
      <w:r w:rsidR="0022644D" w:rsidRPr="0087389D">
        <w:rPr>
          <w:rFonts w:asciiTheme="minorEastAsia" w:eastAsiaTheme="minorEastAsia" w:hAnsiTheme="minorEastAsia" w:hint="eastAsia"/>
          <w:szCs w:val="21"/>
        </w:rPr>
        <w:t>，</w:t>
      </w:r>
      <w:r w:rsidR="00580FE0" w:rsidRPr="0087389D">
        <w:rPr>
          <w:rFonts w:asciiTheme="minorEastAsia" w:eastAsiaTheme="minorEastAsia" w:hAnsiTheme="minorEastAsia" w:hint="eastAsia"/>
          <w:szCs w:val="21"/>
        </w:rPr>
        <w:t>具体规定必须在开始实施前依照《信息披露办法》的有关规定在指定</w:t>
      </w:r>
      <w:r w:rsidR="00BB04FF" w:rsidRPr="0087389D">
        <w:rPr>
          <w:rFonts w:asciiTheme="minorEastAsia" w:eastAsiaTheme="minorEastAsia" w:hAnsiTheme="minorEastAsia" w:hint="eastAsia"/>
          <w:szCs w:val="21"/>
        </w:rPr>
        <w:t>媒介</w:t>
      </w:r>
      <w:r w:rsidR="00580FE0" w:rsidRPr="0087389D">
        <w:rPr>
          <w:rFonts w:asciiTheme="minorEastAsia" w:eastAsiaTheme="minorEastAsia" w:hAnsiTheme="minorEastAsia" w:hint="eastAsia"/>
          <w:szCs w:val="21"/>
        </w:rPr>
        <w:t>上公告。</w:t>
      </w:r>
    </w:p>
    <w:p w:rsidR="00D71054" w:rsidRPr="0087389D" w:rsidRDefault="00D71054" w:rsidP="00D71054">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5、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BA4B87" w:rsidRPr="0087389D" w:rsidRDefault="00D71054" w:rsidP="00D71054">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6、基金管理人可在不违反法律法规的情况下，调整上述规定申购金额和赎回份额的数量限制，或者新增基金规模控制措施。基金管理人必须在调整前依照《信息披露办法》的有关规定在指定媒介上公告。</w:t>
      </w:r>
    </w:p>
    <w:p w:rsidR="00BA4B87" w:rsidRPr="0087389D" w:rsidRDefault="00B329B1" w:rsidP="00555CE7">
      <w:pPr>
        <w:snapToGrid w:val="0"/>
        <w:spacing w:line="360" w:lineRule="auto"/>
        <w:ind w:firstLineChars="200" w:firstLine="420"/>
        <w:rPr>
          <w:rFonts w:asciiTheme="minorEastAsia" w:eastAsiaTheme="minorEastAsia" w:hAnsiTheme="minorEastAsia"/>
          <w:szCs w:val="21"/>
        </w:rPr>
      </w:pPr>
      <w:bookmarkStart w:id="64" w:name="_Toc327734839"/>
      <w:r w:rsidRPr="0087389D">
        <w:rPr>
          <w:rFonts w:asciiTheme="minorEastAsia" w:eastAsiaTheme="minorEastAsia" w:hAnsiTheme="minorEastAsia"/>
          <w:szCs w:val="21"/>
        </w:rPr>
        <w:t>（</w:t>
      </w:r>
      <w:r w:rsidR="00214A68" w:rsidRPr="0087389D">
        <w:rPr>
          <w:rFonts w:asciiTheme="minorEastAsia" w:eastAsiaTheme="minorEastAsia" w:hAnsiTheme="minorEastAsia"/>
          <w:szCs w:val="21"/>
        </w:rPr>
        <w:t>七</w:t>
      </w:r>
      <w:r w:rsidRPr="0087389D">
        <w:rPr>
          <w:rFonts w:asciiTheme="minorEastAsia" w:eastAsiaTheme="minorEastAsia" w:hAnsiTheme="minorEastAsia"/>
          <w:szCs w:val="21"/>
        </w:rPr>
        <w:t>）</w:t>
      </w:r>
      <w:r w:rsidR="00BA4B87" w:rsidRPr="0087389D">
        <w:rPr>
          <w:rFonts w:asciiTheme="minorEastAsia" w:eastAsiaTheme="minorEastAsia" w:hAnsiTheme="minorEastAsia"/>
          <w:szCs w:val="21"/>
        </w:rPr>
        <w:t>基金的申购费和赎回费</w:t>
      </w:r>
      <w:bookmarkEnd w:id="64"/>
    </w:p>
    <w:p w:rsidR="008762E2" w:rsidRPr="0087389D" w:rsidRDefault="008762E2"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1、除法律法规另有规定或基金合同另有约定外，本基金不收取申购费用和赎回费用。</w:t>
      </w:r>
    </w:p>
    <w:p w:rsidR="008762E2" w:rsidRPr="0087389D" w:rsidRDefault="008762E2"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2、强制赎回费用</w:t>
      </w:r>
    </w:p>
    <w:p w:rsidR="005D17B7" w:rsidRPr="0087389D" w:rsidRDefault="005D17B7" w:rsidP="001421F6">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发生以下情形之一时，本基金对当日单个基金份额持有人申请赎回基金份额超过基金总份额</w:t>
      </w:r>
      <w:r w:rsidRPr="0087389D">
        <w:rPr>
          <w:rFonts w:asciiTheme="minorEastAsia" w:eastAsiaTheme="minorEastAsia" w:hAnsiTheme="minorEastAsia"/>
          <w:szCs w:val="21"/>
        </w:rPr>
        <w:t>1%</w:t>
      </w:r>
      <w:r w:rsidRPr="0087389D">
        <w:rPr>
          <w:rFonts w:asciiTheme="minorEastAsia" w:eastAsiaTheme="minorEastAsia" w:hAnsiTheme="minorEastAsia" w:hint="eastAsia"/>
          <w:szCs w:val="21"/>
        </w:rPr>
        <w:t>以上的赎回申请（指超过基金总份额</w:t>
      </w:r>
      <w:r w:rsidRPr="0087389D">
        <w:rPr>
          <w:rFonts w:asciiTheme="minorEastAsia" w:eastAsiaTheme="minorEastAsia" w:hAnsiTheme="minorEastAsia"/>
          <w:szCs w:val="21"/>
        </w:rPr>
        <w:t>1%</w:t>
      </w:r>
      <w:r w:rsidRPr="0087389D">
        <w:rPr>
          <w:rFonts w:asciiTheme="minorEastAsia" w:eastAsiaTheme="minorEastAsia" w:hAnsiTheme="minorEastAsia" w:hint="eastAsia"/>
          <w:szCs w:val="21"/>
        </w:rPr>
        <w:t>以上的部分）征收</w:t>
      </w:r>
      <w:r w:rsidRPr="0087389D">
        <w:rPr>
          <w:rFonts w:asciiTheme="minorEastAsia" w:eastAsiaTheme="minorEastAsia" w:hAnsiTheme="minorEastAsia"/>
          <w:szCs w:val="21"/>
        </w:rPr>
        <w:t>1%</w:t>
      </w:r>
      <w:r w:rsidRPr="0087389D">
        <w:rPr>
          <w:rFonts w:asciiTheme="minorEastAsia" w:eastAsiaTheme="minorEastAsia" w:hAnsiTheme="minorEastAsia" w:hint="eastAsia"/>
          <w:szCs w:val="21"/>
        </w:rPr>
        <w:t>的强制赎回费用，并将上述赎回费用全额计入基金财产。基金管理人与基金托管人协商确认上述做法无益于基金利益最大化的情形除外：</w:t>
      </w:r>
    </w:p>
    <w:p w:rsidR="005D17B7" w:rsidRPr="0087389D" w:rsidRDefault="005D17B7" w:rsidP="001421F6">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w:t>
      </w:r>
      <w:r w:rsidRPr="0087389D">
        <w:rPr>
          <w:rFonts w:asciiTheme="minorEastAsia" w:eastAsiaTheme="minorEastAsia" w:hAnsiTheme="minorEastAsia"/>
          <w:szCs w:val="21"/>
        </w:rPr>
        <w:t>1</w:t>
      </w:r>
      <w:r w:rsidRPr="0087389D">
        <w:rPr>
          <w:rFonts w:asciiTheme="minorEastAsia" w:eastAsiaTheme="minorEastAsia" w:hAnsiTheme="minorEastAsia" w:hint="eastAsia"/>
          <w:szCs w:val="21"/>
        </w:rPr>
        <w:t>）当本基金持有的现金、国债、中央银行票据、政策性金融债券以及</w:t>
      </w:r>
      <w:r w:rsidRPr="0087389D">
        <w:rPr>
          <w:rFonts w:asciiTheme="minorEastAsia" w:eastAsiaTheme="minorEastAsia" w:hAnsiTheme="minorEastAsia"/>
          <w:szCs w:val="21"/>
        </w:rPr>
        <w:t>5</w:t>
      </w:r>
      <w:r w:rsidRPr="0087389D">
        <w:rPr>
          <w:rFonts w:asciiTheme="minorEastAsia" w:eastAsiaTheme="minorEastAsia" w:hAnsiTheme="minorEastAsia" w:hint="eastAsia"/>
          <w:szCs w:val="21"/>
        </w:rPr>
        <w:t>个交易日内到期的其他金融工具占基金资产净值的比例合计低于</w:t>
      </w:r>
      <w:r w:rsidRPr="0087389D">
        <w:rPr>
          <w:rFonts w:asciiTheme="minorEastAsia" w:eastAsiaTheme="minorEastAsia" w:hAnsiTheme="minorEastAsia"/>
          <w:szCs w:val="21"/>
        </w:rPr>
        <w:t>5%</w:t>
      </w:r>
      <w:r w:rsidRPr="0087389D">
        <w:rPr>
          <w:rFonts w:asciiTheme="minorEastAsia" w:eastAsiaTheme="minorEastAsia" w:hAnsiTheme="minorEastAsia" w:hint="eastAsia"/>
          <w:szCs w:val="21"/>
        </w:rPr>
        <w:t>且偏离度为负的情形时；</w:t>
      </w:r>
    </w:p>
    <w:p w:rsidR="005D17B7" w:rsidRPr="0087389D" w:rsidRDefault="005D17B7" w:rsidP="001421F6">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w:t>
      </w:r>
      <w:r w:rsidRPr="0087389D">
        <w:rPr>
          <w:rFonts w:asciiTheme="minorEastAsia" w:eastAsiaTheme="minorEastAsia" w:hAnsiTheme="minorEastAsia"/>
          <w:szCs w:val="21"/>
        </w:rPr>
        <w:t>2</w:t>
      </w:r>
      <w:r w:rsidRPr="0087389D">
        <w:rPr>
          <w:rFonts w:asciiTheme="minorEastAsia" w:eastAsiaTheme="minorEastAsia" w:hAnsiTheme="minorEastAsia" w:hint="eastAsia"/>
          <w:szCs w:val="21"/>
        </w:rPr>
        <w:t>）当本基金前</w:t>
      </w:r>
      <w:r w:rsidRPr="0087389D">
        <w:rPr>
          <w:rFonts w:asciiTheme="minorEastAsia" w:eastAsiaTheme="minorEastAsia" w:hAnsiTheme="minorEastAsia"/>
          <w:szCs w:val="21"/>
        </w:rPr>
        <w:t>10</w:t>
      </w:r>
      <w:r w:rsidRPr="0087389D">
        <w:rPr>
          <w:rFonts w:asciiTheme="minorEastAsia" w:eastAsiaTheme="minorEastAsia" w:hAnsiTheme="minorEastAsia" w:hint="eastAsia"/>
          <w:szCs w:val="21"/>
        </w:rPr>
        <w:t>名份额持有人的持有份额合计超过基金总份额的</w:t>
      </w:r>
      <w:r w:rsidRPr="0087389D">
        <w:rPr>
          <w:rFonts w:asciiTheme="minorEastAsia" w:eastAsiaTheme="minorEastAsia" w:hAnsiTheme="minorEastAsia"/>
          <w:szCs w:val="21"/>
        </w:rPr>
        <w:t>50%</w:t>
      </w:r>
      <w:r w:rsidRPr="0087389D">
        <w:rPr>
          <w:rFonts w:asciiTheme="minorEastAsia" w:eastAsiaTheme="minorEastAsia" w:hAnsiTheme="minorEastAsia" w:hint="eastAsia"/>
          <w:szCs w:val="21"/>
        </w:rPr>
        <w:t>，且本基金投资组合中现金、国债、中央银行票据、政策性金融债券以及</w:t>
      </w:r>
      <w:r w:rsidRPr="0087389D">
        <w:rPr>
          <w:rFonts w:asciiTheme="minorEastAsia" w:eastAsiaTheme="minorEastAsia" w:hAnsiTheme="minorEastAsia"/>
          <w:szCs w:val="21"/>
        </w:rPr>
        <w:t>5</w:t>
      </w:r>
      <w:r w:rsidRPr="0087389D">
        <w:rPr>
          <w:rFonts w:asciiTheme="minorEastAsia" w:eastAsiaTheme="minorEastAsia" w:hAnsiTheme="minorEastAsia" w:hint="eastAsia"/>
          <w:szCs w:val="21"/>
        </w:rPr>
        <w:t>个交易日内到期的其他金融工具占基金资产净值的比例合计低于</w:t>
      </w:r>
      <w:r w:rsidRPr="0087389D">
        <w:rPr>
          <w:rFonts w:asciiTheme="minorEastAsia" w:eastAsiaTheme="minorEastAsia" w:hAnsiTheme="minorEastAsia"/>
          <w:szCs w:val="21"/>
        </w:rPr>
        <w:t>10%</w:t>
      </w:r>
      <w:r w:rsidRPr="0087389D">
        <w:rPr>
          <w:rFonts w:asciiTheme="minorEastAsia" w:eastAsiaTheme="minorEastAsia" w:hAnsiTheme="minorEastAsia" w:hint="eastAsia"/>
          <w:szCs w:val="21"/>
        </w:rPr>
        <w:t>且偏离度为负时。</w:t>
      </w:r>
    </w:p>
    <w:p w:rsidR="00003E90" w:rsidRPr="0087389D" w:rsidRDefault="001C513F"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3、</w:t>
      </w:r>
      <w:r w:rsidR="00FD3D9E" w:rsidRPr="0087389D">
        <w:rPr>
          <w:rFonts w:asciiTheme="minorEastAsia" w:eastAsiaTheme="minorEastAsia" w:hAnsiTheme="minorEastAsia" w:hint="eastAsia"/>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BA4B87" w:rsidRPr="0087389D" w:rsidRDefault="00B329B1" w:rsidP="00555CE7">
      <w:pPr>
        <w:snapToGrid w:val="0"/>
        <w:spacing w:line="360" w:lineRule="auto"/>
        <w:ind w:firstLineChars="200" w:firstLine="420"/>
        <w:rPr>
          <w:rFonts w:asciiTheme="minorEastAsia" w:eastAsiaTheme="minorEastAsia" w:hAnsiTheme="minorEastAsia"/>
          <w:szCs w:val="21"/>
        </w:rPr>
      </w:pPr>
      <w:bookmarkStart w:id="65" w:name="_Toc327734840"/>
      <w:r w:rsidRPr="0087389D">
        <w:rPr>
          <w:rFonts w:asciiTheme="minorEastAsia" w:eastAsiaTheme="minorEastAsia" w:hAnsiTheme="minorEastAsia"/>
          <w:szCs w:val="21"/>
        </w:rPr>
        <w:t>（</w:t>
      </w:r>
      <w:r w:rsidR="00214A68" w:rsidRPr="0087389D">
        <w:rPr>
          <w:rFonts w:asciiTheme="minorEastAsia" w:eastAsiaTheme="minorEastAsia" w:hAnsiTheme="minorEastAsia"/>
          <w:szCs w:val="21"/>
        </w:rPr>
        <w:t>八</w:t>
      </w:r>
      <w:r w:rsidRPr="0087389D">
        <w:rPr>
          <w:rFonts w:asciiTheme="minorEastAsia" w:eastAsiaTheme="minorEastAsia" w:hAnsiTheme="minorEastAsia"/>
          <w:szCs w:val="21"/>
        </w:rPr>
        <w:t>）</w:t>
      </w:r>
      <w:r w:rsidR="00BA4B87" w:rsidRPr="0087389D">
        <w:rPr>
          <w:rFonts w:asciiTheme="minorEastAsia" w:eastAsiaTheme="minorEastAsia" w:hAnsiTheme="minorEastAsia"/>
          <w:szCs w:val="21"/>
        </w:rPr>
        <w:t>申购和赎回的数额和价格</w:t>
      </w:r>
      <w:bookmarkEnd w:id="65"/>
    </w:p>
    <w:p w:rsidR="003E7F0D" w:rsidRPr="0087389D" w:rsidRDefault="00FA5B52"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w:t>
      </w:r>
      <w:r w:rsidR="003E7F0D" w:rsidRPr="0087389D">
        <w:rPr>
          <w:rFonts w:asciiTheme="minorEastAsia" w:eastAsiaTheme="minorEastAsia" w:hAnsiTheme="minorEastAsia" w:hint="eastAsia"/>
          <w:szCs w:val="21"/>
        </w:rPr>
        <w:t>基金份额净值</w:t>
      </w:r>
    </w:p>
    <w:p w:rsidR="003E7F0D" w:rsidRPr="0087389D" w:rsidRDefault="003E7F0D"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本基金采用摊余成本法计价，通过每日计算收益并分配的方式，使每份基金份额净值保持在人民币</w:t>
      </w:r>
      <w:r w:rsidRPr="0087389D">
        <w:rPr>
          <w:rFonts w:asciiTheme="minorEastAsia" w:eastAsiaTheme="minorEastAsia" w:hAnsiTheme="minorEastAsia"/>
          <w:szCs w:val="21"/>
        </w:rPr>
        <w:t>1.00</w:t>
      </w:r>
      <w:r w:rsidRPr="0087389D">
        <w:rPr>
          <w:rFonts w:asciiTheme="minorEastAsia" w:eastAsiaTheme="minorEastAsia" w:hAnsiTheme="minorEastAsia" w:hint="eastAsia"/>
          <w:szCs w:val="21"/>
        </w:rPr>
        <w:t>元。</w:t>
      </w:r>
    </w:p>
    <w:p w:rsidR="003E7F0D" w:rsidRPr="0087389D" w:rsidRDefault="003E7F0D"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szCs w:val="21"/>
        </w:rPr>
        <w:t>2</w:t>
      </w:r>
      <w:r w:rsidR="00FA5B52" w:rsidRPr="0087389D">
        <w:rPr>
          <w:rFonts w:asciiTheme="minorEastAsia" w:eastAsiaTheme="minorEastAsia" w:hAnsiTheme="minorEastAsia" w:hint="eastAsia"/>
          <w:szCs w:val="21"/>
        </w:rPr>
        <w:t>、</w:t>
      </w:r>
      <w:r w:rsidRPr="0087389D">
        <w:rPr>
          <w:rFonts w:asciiTheme="minorEastAsia" w:eastAsiaTheme="minorEastAsia" w:hAnsiTheme="minorEastAsia" w:hint="eastAsia"/>
          <w:szCs w:val="21"/>
        </w:rPr>
        <w:t>申购份额的计算</w:t>
      </w:r>
    </w:p>
    <w:p w:rsidR="00616FDF" w:rsidRPr="0087389D" w:rsidRDefault="00616FDF"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szCs w:val="21"/>
        </w:rPr>
        <w:t>采用"金额申购"方式，申购价格为每份基金份额净值1.00元，计算公式：</w:t>
      </w:r>
    </w:p>
    <w:p w:rsidR="003E7F0D" w:rsidRPr="0087389D" w:rsidRDefault="003E7F0D"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申购份额＝申购金额÷基金份额净值</w:t>
      </w:r>
    </w:p>
    <w:p w:rsidR="003E7F0D" w:rsidRPr="0087389D" w:rsidRDefault="003E7F0D"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例：假定</w:t>
      </w:r>
      <w:r w:rsidRPr="0087389D">
        <w:rPr>
          <w:rFonts w:asciiTheme="minorEastAsia" w:eastAsiaTheme="minorEastAsia" w:hAnsiTheme="minorEastAsia"/>
          <w:szCs w:val="21"/>
        </w:rPr>
        <w:t>T</w:t>
      </w:r>
      <w:r w:rsidRPr="0087389D">
        <w:rPr>
          <w:rFonts w:asciiTheme="minorEastAsia" w:eastAsiaTheme="minorEastAsia" w:hAnsiTheme="minorEastAsia" w:hint="eastAsia"/>
          <w:szCs w:val="21"/>
        </w:rPr>
        <w:t>日某投资者投资</w:t>
      </w:r>
      <w:r w:rsidRPr="0087389D">
        <w:rPr>
          <w:rFonts w:asciiTheme="minorEastAsia" w:eastAsiaTheme="minorEastAsia" w:hAnsiTheme="minorEastAsia"/>
          <w:szCs w:val="21"/>
        </w:rPr>
        <w:t>10,000</w:t>
      </w:r>
      <w:r w:rsidR="00616FDF" w:rsidRPr="0087389D">
        <w:rPr>
          <w:rFonts w:asciiTheme="minorEastAsia" w:eastAsiaTheme="minorEastAsia" w:hAnsiTheme="minorEastAsia" w:hint="eastAsia"/>
          <w:szCs w:val="21"/>
        </w:rPr>
        <w:t>元申购本基金</w:t>
      </w:r>
      <w:r w:rsidR="00827F9E" w:rsidRPr="0087389D">
        <w:rPr>
          <w:rFonts w:asciiTheme="minorEastAsia" w:eastAsiaTheme="minorEastAsia" w:hAnsiTheme="minorEastAsia"/>
          <w:szCs w:val="21"/>
        </w:rPr>
        <w:t>A类</w:t>
      </w:r>
      <w:r w:rsidR="00827F9E" w:rsidRPr="0087389D">
        <w:rPr>
          <w:rFonts w:asciiTheme="minorEastAsia" w:eastAsiaTheme="minorEastAsia" w:hAnsiTheme="minorEastAsia" w:hint="eastAsia"/>
          <w:szCs w:val="21"/>
        </w:rPr>
        <w:t>基金份额</w:t>
      </w:r>
      <w:r w:rsidRPr="0087389D">
        <w:rPr>
          <w:rFonts w:asciiTheme="minorEastAsia" w:eastAsiaTheme="minorEastAsia" w:hAnsiTheme="minorEastAsia" w:hint="eastAsia"/>
          <w:szCs w:val="21"/>
        </w:rPr>
        <w:t>，则其可得到的申购份额计算如下：</w:t>
      </w:r>
    </w:p>
    <w:p w:rsidR="002E0F69" w:rsidRPr="0087389D" w:rsidRDefault="002E0F69"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申购份额=1</w:t>
      </w:r>
      <w:r w:rsidRPr="0087389D">
        <w:rPr>
          <w:rFonts w:asciiTheme="minorEastAsia" w:eastAsiaTheme="minorEastAsia" w:hAnsiTheme="minorEastAsia"/>
          <w:szCs w:val="21"/>
        </w:rPr>
        <w:t>0,000</w:t>
      </w:r>
      <w:r w:rsidRPr="0087389D">
        <w:rPr>
          <w:rFonts w:asciiTheme="minorEastAsia" w:eastAsiaTheme="minorEastAsia" w:hAnsiTheme="minorEastAsia" w:hint="eastAsia"/>
          <w:szCs w:val="21"/>
        </w:rPr>
        <w:t>÷1.00=</w:t>
      </w:r>
      <w:r w:rsidRPr="0087389D">
        <w:rPr>
          <w:rFonts w:asciiTheme="minorEastAsia" w:eastAsiaTheme="minorEastAsia" w:hAnsiTheme="minorEastAsia"/>
          <w:szCs w:val="21"/>
        </w:rPr>
        <w:t>10,000</w:t>
      </w:r>
      <w:r w:rsidR="00AE69DE" w:rsidRPr="0087389D">
        <w:rPr>
          <w:rFonts w:asciiTheme="minorEastAsia" w:eastAsiaTheme="minorEastAsia" w:hAnsiTheme="minorEastAsia" w:hint="eastAsia"/>
          <w:szCs w:val="21"/>
        </w:rPr>
        <w:t>.00</w:t>
      </w:r>
      <w:r w:rsidRPr="0087389D">
        <w:rPr>
          <w:rFonts w:asciiTheme="minorEastAsia" w:eastAsiaTheme="minorEastAsia" w:hAnsiTheme="minorEastAsia" w:hint="eastAsia"/>
          <w:szCs w:val="21"/>
        </w:rPr>
        <w:t>份</w:t>
      </w:r>
    </w:p>
    <w:p w:rsidR="003E7F0D" w:rsidRPr="0087389D" w:rsidRDefault="003E7F0D"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lastRenderedPageBreak/>
        <w:t>申购份额</w:t>
      </w:r>
      <w:r w:rsidRPr="0087389D">
        <w:rPr>
          <w:rFonts w:asciiTheme="minorEastAsia" w:eastAsiaTheme="minorEastAsia" w:hAnsiTheme="minorEastAsia"/>
          <w:szCs w:val="21"/>
        </w:rPr>
        <w:t>计算结果均按</w:t>
      </w:r>
      <w:r w:rsidRPr="0087389D">
        <w:rPr>
          <w:rFonts w:asciiTheme="minorEastAsia" w:eastAsiaTheme="minorEastAsia" w:hAnsiTheme="minorEastAsia" w:hint="eastAsia"/>
          <w:szCs w:val="21"/>
        </w:rPr>
        <w:t>四舍五入</w:t>
      </w:r>
      <w:r w:rsidRPr="0087389D">
        <w:rPr>
          <w:rFonts w:asciiTheme="minorEastAsia" w:eastAsiaTheme="minorEastAsia" w:hAnsiTheme="minorEastAsia"/>
          <w:szCs w:val="21"/>
        </w:rPr>
        <w:t>方法，保留到小数点后</w:t>
      </w:r>
      <w:r w:rsidRPr="0087389D">
        <w:rPr>
          <w:rFonts w:asciiTheme="minorEastAsia" w:eastAsiaTheme="minorEastAsia" w:hAnsiTheme="minorEastAsia" w:hint="eastAsia"/>
          <w:szCs w:val="21"/>
        </w:rPr>
        <w:t>2</w:t>
      </w:r>
      <w:r w:rsidRPr="0087389D">
        <w:rPr>
          <w:rFonts w:asciiTheme="minorEastAsia" w:eastAsiaTheme="minorEastAsia" w:hAnsiTheme="minorEastAsia"/>
          <w:szCs w:val="21"/>
        </w:rPr>
        <w:t>位，由此产生的收益或损失由基金财产承担。</w:t>
      </w:r>
    </w:p>
    <w:p w:rsidR="003E7F0D" w:rsidRPr="0087389D" w:rsidRDefault="003E7F0D"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szCs w:val="21"/>
        </w:rPr>
        <w:t>3</w:t>
      </w:r>
      <w:r w:rsidR="00FA5B52" w:rsidRPr="0087389D">
        <w:rPr>
          <w:rFonts w:asciiTheme="minorEastAsia" w:eastAsiaTheme="minorEastAsia" w:hAnsiTheme="minorEastAsia" w:hint="eastAsia"/>
          <w:szCs w:val="21"/>
        </w:rPr>
        <w:t>、</w:t>
      </w:r>
      <w:r w:rsidRPr="0087389D">
        <w:rPr>
          <w:rFonts w:asciiTheme="minorEastAsia" w:eastAsiaTheme="minorEastAsia" w:hAnsiTheme="minorEastAsia" w:hint="eastAsia"/>
          <w:szCs w:val="21"/>
        </w:rPr>
        <w:t>基金赎回金额的计算</w:t>
      </w:r>
    </w:p>
    <w:p w:rsidR="0022644D" w:rsidRPr="0087389D" w:rsidRDefault="0022644D"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szCs w:val="21"/>
        </w:rPr>
        <w:t>采用"份额赎回"方式，赎回价格为每份基金份额净值1.00元</w:t>
      </w:r>
      <w:r w:rsidRPr="0087389D">
        <w:rPr>
          <w:rFonts w:asciiTheme="minorEastAsia" w:eastAsiaTheme="minorEastAsia" w:hAnsiTheme="minorEastAsia" w:hint="eastAsia"/>
          <w:szCs w:val="21"/>
        </w:rPr>
        <w:t>。</w:t>
      </w:r>
      <w:r w:rsidR="008762E2" w:rsidRPr="0087389D">
        <w:rPr>
          <w:rFonts w:asciiTheme="minorEastAsia" w:eastAsiaTheme="minorEastAsia" w:hAnsiTheme="minorEastAsia" w:hint="eastAsia"/>
          <w:szCs w:val="21"/>
        </w:rPr>
        <w:t>除法律法规另有规定或基金合同另有约定外，本基金不收取赎回费用，</w:t>
      </w:r>
      <w:r w:rsidRPr="0087389D">
        <w:rPr>
          <w:rFonts w:asciiTheme="minorEastAsia" w:eastAsiaTheme="minorEastAsia" w:hAnsiTheme="minorEastAsia" w:hint="eastAsia"/>
          <w:szCs w:val="21"/>
        </w:rPr>
        <w:t>赎回金额的确定分两种情况处理：</w:t>
      </w:r>
    </w:p>
    <w:p w:rsidR="0022644D" w:rsidRPr="0087389D" w:rsidRDefault="00B329B1"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w:t>
      </w:r>
      <w:r w:rsidR="0022644D" w:rsidRPr="0087389D">
        <w:rPr>
          <w:rFonts w:asciiTheme="minorEastAsia" w:eastAsiaTheme="minorEastAsia" w:hAnsiTheme="minorEastAsia"/>
          <w:szCs w:val="21"/>
        </w:rPr>
        <w:t>1</w:t>
      </w:r>
      <w:r w:rsidRPr="0087389D">
        <w:rPr>
          <w:rFonts w:asciiTheme="minorEastAsia" w:eastAsiaTheme="minorEastAsia" w:hAnsiTheme="minorEastAsia" w:hint="eastAsia"/>
          <w:szCs w:val="21"/>
        </w:rPr>
        <w:t>）</w:t>
      </w:r>
      <w:r w:rsidR="0022644D" w:rsidRPr="0087389D">
        <w:rPr>
          <w:rFonts w:asciiTheme="minorEastAsia" w:eastAsiaTheme="minorEastAsia" w:hAnsiTheme="minorEastAsia" w:hint="eastAsia"/>
          <w:szCs w:val="21"/>
        </w:rPr>
        <w:t>部分赎回</w:t>
      </w:r>
    </w:p>
    <w:p w:rsidR="0022644D" w:rsidRPr="0087389D" w:rsidRDefault="0022644D"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投资者部分赎回某类基金份额时，如该类基金份额其未付收益为正，或该笔赎回完成后剩余的该类基金份额按照</w:t>
      </w:r>
      <w:r w:rsidRPr="0087389D">
        <w:rPr>
          <w:rFonts w:asciiTheme="minorEastAsia" w:eastAsiaTheme="minorEastAsia" w:hAnsiTheme="minorEastAsia"/>
          <w:szCs w:val="21"/>
        </w:rPr>
        <w:t>1.00</w:t>
      </w:r>
      <w:r w:rsidRPr="0087389D">
        <w:rPr>
          <w:rFonts w:asciiTheme="minorEastAsia" w:eastAsiaTheme="minorEastAsia" w:hAnsiTheme="minorEastAsia" w:hint="eastAsia"/>
          <w:szCs w:val="21"/>
        </w:rPr>
        <w:t>元人民币为基准计算的价值足以弥补其累计至该日的该类基金份额未付收益负值时，赎回金额如下计算：</w:t>
      </w:r>
    </w:p>
    <w:p w:rsidR="0022644D" w:rsidRPr="0087389D" w:rsidRDefault="0022644D"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赎回金额</w:t>
      </w:r>
      <w:r w:rsidRPr="0087389D">
        <w:rPr>
          <w:rFonts w:asciiTheme="minorEastAsia" w:eastAsiaTheme="minorEastAsia" w:hAnsiTheme="minorEastAsia"/>
          <w:szCs w:val="21"/>
        </w:rPr>
        <w:t>=</w:t>
      </w:r>
      <w:r w:rsidRPr="0087389D">
        <w:rPr>
          <w:rFonts w:asciiTheme="minorEastAsia" w:eastAsiaTheme="minorEastAsia" w:hAnsiTheme="minorEastAsia" w:hint="eastAsia"/>
          <w:szCs w:val="21"/>
        </w:rPr>
        <w:t>赎回份额×</w:t>
      </w:r>
      <w:r w:rsidRPr="0087389D">
        <w:rPr>
          <w:rFonts w:asciiTheme="minorEastAsia" w:eastAsiaTheme="minorEastAsia" w:hAnsiTheme="minorEastAsia"/>
          <w:szCs w:val="21"/>
        </w:rPr>
        <w:t>1.00</w:t>
      </w:r>
    </w:p>
    <w:p w:rsidR="0022644D" w:rsidRPr="0087389D" w:rsidRDefault="0022644D"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例：假定某投资者在</w:t>
      </w:r>
      <w:r w:rsidRPr="0087389D">
        <w:rPr>
          <w:rFonts w:asciiTheme="minorEastAsia" w:eastAsiaTheme="minorEastAsia" w:hAnsiTheme="minorEastAsia"/>
          <w:szCs w:val="21"/>
        </w:rPr>
        <w:t>T</w:t>
      </w:r>
      <w:r w:rsidRPr="0087389D">
        <w:rPr>
          <w:rFonts w:asciiTheme="minorEastAsia" w:eastAsiaTheme="minorEastAsia" w:hAnsiTheme="minorEastAsia" w:hint="eastAsia"/>
          <w:szCs w:val="21"/>
        </w:rPr>
        <w:t>日所持有的</w:t>
      </w:r>
      <w:r w:rsidRPr="0087389D">
        <w:rPr>
          <w:rFonts w:asciiTheme="minorEastAsia" w:eastAsiaTheme="minorEastAsia" w:hAnsiTheme="minorEastAsia"/>
          <w:szCs w:val="21"/>
        </w:rPr>
        <w:t>A</w:t>
      </w:r>
      <w:r w:rsidRPr="0087389D">
        <w:rPr>
          <w:rFonts w:asciiTheme="minorEastAsia" w:eastAsiaTheme="minorEastAsia" w:hAnsiTheme="minorEastAsia" w:hint="eastAsia"/>
          <w:szCs w:val="21"/>
        </w:rPr>
        <w:t>类基金份额为8</w:t>
      </w:r>
      <w:r w:rsidRPr="0087389D">
        <w:rPr>
          <w:rFonts w:asciiTheme="minorEastAsia" w:eastAsiaTheme="minorEastAsia" w:hAnsiTheme="minorEastAsia"/>
          <w:szCs w:val="21"/>
        </w:rPr>
        <w:t>,0</w:t>
      </w:r>
      <w:r w:rsidRPr="0087389D">
        <w:rPr>
          <w:rFonts w:asciiTheme="minorEastAsia" w:eastAsiaTheme="minorEastAsia" w:hAnsiTheme="minorEastAsia" w:hint="eastAsia"/>
          <w:szCs w:val="21"/>
        </w:rPr>
        <w:t>10</w:t>
      </w:r>
      <w:r w:rsidRPr="0087389D">
        <w:rPr>
          <w:rFonts w:asciiTheme="minorEastAsia" w:eastAsiaTheme="minorEastAsia" w:hAnsiTheme="minorEastAsia"/>
          <w:szCs w:val="21"/>
        </w:rPr>
        <w:t>.</w:t>
      </w:r>
      <w:r w:rsidRPr="0087389D">
        <w:rPr>
          <w:rFonts w:asciiTheme="minorEastAsia" w:eastAsiaTheme="minorEastAsia" w:hAnsiTheme="minorEastAsia" w:hint="eastAsia"/>
          <w:szCs w:val="21"/>
        </w:rPr>
        <w:t>8</w:t>
      </w:r>
      <w:r w:rsidRPr="0087389D">
        <w:rPr>
          <w:rFonts w:asciiTheme="minorEastAsia" w:eastAsiaTheme="minorEastAsia" w:hAnsiTheme="minorEastAsia"/>
          <w:szCs w:val="21"/>
        </w:rPr>
        <w:t>0</w:t>
      </w:r>
      <w:r w:rsidRPr="0087389D">
        <w:rPr>
          <w:rFonts w:asciiTheme="minorEastAsia" w:eastAsiaTheme="minorEastAsia" w:hAnsiTheme="minorEastAsia" w:hint="eastAsia"/>
          <w:szCs w:val="21"/>
        </w:rPr>
        <w:t>份基金份额，对应的未付收益为88</w:t>
      </w:r>
      <w:r w:rsidRPr="0087389D">
        <w:rPr>
          <w:rFonts w:asciiTheme="minorEastAsia" w:eastAsiaTheme="minorEastAsia" w:hAnsiTheme="minorEastAsia"/>
          <w:szCs w:val="21"/>
        </w:rPr>
        <w:t>.</w:t>
      </w:r>
      <w:r w:rsidRPr="0087389D">
        <w:rPr>
          <w:rFonts w:asciiTheme="minorEastAsia" w:eastAsiaTheme="minorEastAsia" w:hAnsiTheme="minorEastAsia" w:hint="eastAsia"/>
          <w:szCs w:val="21"/>
        </w:rPr>
        <w:t>0</w:t>
      </w:r>
      <w:r w:rsidRPr="0087389D">
        <w:rPr>
          <w:rFonts w:asciiTheme="minorEastAsia" w:eastAsiaTheme="minorEastAsia" w:hAnsiTheme="minorEastAsia"/>
          <w:szCs w:val="21"/>
        </w:rPr>
        <w:t>8</w:t>
      </w:r>
      <w:r w:rsidRPr="0087389D">
        <w:rPr>
          <w:rFonts w:asciiTheme="minorEastAsia" w:eastAsiaTheme="minorEastAsia" w:hAnsiTheme="minorEastAsia" w:hint="eastAsia"/>
          <w:szCs w:val="21"/>
        </w:rPr>
        <w:t>元，该投资者申请赎回</w:t>
      </w:r>
      <w:r w:rsidRPr="0087389D">
        <w:rPr>
          <w:rFonts w:asciiTheme="minorEastAsia" w:eastAsiaTheme="minorEastAsia" w:hAnsiTheme="minorEastAsia"/>
          <w:szCs w:val="21"/>
        </w:rPr>
        <w:t>1,000</w:t>
      </w:r>
      <w:r w:rsidRPr="0087389D">
        <w:rPr>
          <w:rFonts w:asciiTheme="minorEastAsia" w:eastAsiaTheme="minorEastAsia" w:hAnsiTheme="minorEastAsia" w:hint="eastAsia"/>
          <w:szCs w:val="21"/>
        </w:rPr>
        <w:t>份基金份额，则其获得的赎回金额计算如下：</w:t>
      </w:r>
    </w:p>
    <w:p w:rsidR="0022644D" w:rsidRPr="0087389D" w:rsidRDefault="0022644D"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赎回金额</w:t>
      </w:r>
      <w:r w:rsidRPr="0087389D">
        <w:rPr>
          <w:rFonts w:asciiTheme="minorEastAsia" w:eastAsiaTheme="minorEastAsia" w:hAnsiTheme="minorEastAsia"/>
          <w:szCs w:val="21"/>
        </w:rPr>
        <w:t>=1,000</w:t>
      </w:r>
      <w:r w:rsidRPr="0087389D">
        <w:rPr>
          <w:rFonts w:asciiTheme="minorEastAsia" w:eastAsiaTheme="minorEastAsia" w:hAnsiTheme="minorEastAsia" w:hint="eastAsia"/>
          <w:szCs w:val="21"/>
        </w:rPr>
        <w:t>×</w:t>
      </w:r>
      <w:r w:rsidRPr="0087389D">
        <w:rPr>
          <w:rFonts w:asciiTheme="minorEastAsia" w:eastAsiaTheme="minorEastAsia" w:hAnsiTheme="minorEastAsia"/>
          <w:szCs w:val="21"/>
        </w:rPr>
        <w:t>1.00=1,000.00</w:t>
      </w:r>
      <w:r w:rsidRPr="0087389D">
        <w:rPr>
          <w:rFonts w:asciiTheme="minorEastAsia" w:eastAsiaTheme="minorEastAsia" w:hAnsiTheme="minorEastAsia" w:hint="eastAsia"/>
          <w:szCs w:val="21"/>
        </w:rPr>
        <w:t>元</w:t>
      </w:r>
    </w:p>
    <w:p w:rsidR="0022644D" w:rsidRPr="0087389D" w:rsidRDefault="0022644D"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投资者部分赎回某类基金份额时，如其该笔赎回完成后剩余的该类基金份额按照</w:t>
      </w:r>
      <w:r w:rsidRPr="0087389D">
        <w:rPr>
          <w:rFonts w:asciiTheme="minorEastAsia" w:eastAsiaTheme="minorEastAsia" w:hAnsiTheme="minorEastAsia"/>
          <w:szCs w:val="21"/>
        </w:rPr>
        <w:t>1.00</w:t>
      </w:r>
      <w:r w:rsidRPr="0087389D">
        <w:rPr>
          <w:rFonts w:asciiTheme="minorEastAsia" w:eastAsiaTheme="minorEastAsia" w:hAnsiTheme="minorEastAsia" w:hint="eastAsia"/>
          <w:szCs w:val="21"/>
        </w:rPr>
        <w:t>元人民币为基准计算的价值不足以弥补其累计至该日的该类基金份额未付收益负值时，则将自动按比例结转该类基金份额当前未付收益。</w:t>
      </w:r>
    </w:p>
    <w:p w:rsidR="0022644D" w:rsidRPr="0087389D" w:rsidRDefault="00B329B1"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w:t>
      </w:r>
      <w:r w:rsidR="0022644D" w:rsidRPr="0087389D">
        <w:rPr>
          <w:rFonts w:asciiTheme="minorEastAsia" w:eastAsiaTheme="minorEastAsia" w:hAnsiTheme="minorEastAsia"/>
          <w:szCs w:val="21"/>
        </w:rPr>
        <w:t>2</w:t>
      </w:r>
      <w:r w:rsidRPr="0087389D">
        <w:rPr>
          <w:rFonts w:asciiTheme="minorEastAsia" w:eastAsiaTheme="minorEastAsia" w:hAnsiTheme="minorEastAsia" w:hint="eastAsia"/>
          <w:szCs w:val="21"/>
        </w:rPr>
        <w:t>）</w:t>
      </w:r>
      <w:r w:rsidR="0022644D" w:rsidRPr="0087389D">
        <w:rPr>
          <w:rFonts w:asciiTheme="minorEastAsia" w:eastAsiaTheme="minorEastAsia" w:hAnsiTheme="minorEastAsia" w:hint="eastAsia"/>
          <w:szCs w:val="21"/>
        </w:rPr>
        <w:t>全部赎回</w:t>
      </w:r>
    </w:p>
    <w:p w:rsidR="00F02AD6" w:rsidRPr="0087389D" w:rsidRDefault="00F02AD6" w:rsidP="00F02AD6">
      <w:pPr>
        <w:spacing w:line="360" w:lineRule="auto"/>
        <w:ind w:firstLineChars="200" w:firstLine="420"/>
        <w:rPr>
          <w:rFonts w:asciiTheme="minorEastAsia" w:eastAsiaTheme="minorEastAsia" w:hAnsiTheme="minorEastAsia" w:cs="宋体"/>
          <w:kern w:val="0"/>
          <w:szCs w:val="21"/>
        </w:rPr>
      </w:pPr>
      <w:r w:rsidRPr="0087389D">
        <w:rPr>
          <w:rFonts w:asciiTheme="minorEastAsia" w:eastAsiaTheme="minorEastAsia" w:hAnsiTheme="minorEastAsia" w:cs="宋体" w:hint="eastAsia"/>
          <w:kern w:val="0"/>
          <w:szCs w:val="21"/>
        </w:rPr>
        <w:t>1)当投资者在全部赎回某类基金份额时，如其未付收益为正，基金份额对应的未付收益是否与赎回份额对应的款项一并支付给投资者，以销售机构和注册登记机构的具体规定为准。</w:t>
      </w:r>
    </w:p>
    <w:p w:rsidR="00F02AD6" w:rsidRPr="0087389D" w:rsidRDefault="00F02AD6" w:rsidP="00F02AD6">
      <w:pPr>
        <w:spacing w:line="360" w:lineRule="auto"/>
        <w:ind w:firstLineChars="200" w:firstLine="420"/>
        <w:rPr>
          <w:rFonts w:asciiTheme="minorEastAsia" w:eastAsiaTheme="minorEastAsia" w:hAnsiTheme="minorEastAsia" w:cs="宋体"/>
          <w:kern w:val="0"/>
          <w:szCs w:val="21"/>
        </w:rPr>
      </w:pPr>
      <w:r w:rsidRPr="0087389D">
        <w:rPr>
          <w:rFonts w:asciiTheme="minorEastAsia" w:eastAsiaTheme="minorEastAsia" w:hAnsiTheme="minorEastAsia" w:cs="宋体" w:hint="eastAsia"/>
          <w:kern w:val="0"/>
          <w:szCs w:val="21"/>
        </w:rPr>
        <w:t>如销售机构和注册登记机构规定投资者在全部赎回某类基金份额时，基金管理人将投资者的该类基金份额未付收益一并结算并与赎回份额对应的款项一起支付给投资者，赎回金额包括赎回份额对应的款项和未付收益两部分，具体的计算方法为：</w:t>
      </w:r>
    </w:p>
    <w:p w:rsidR="00F02AD6" w:rsidRPr="0087389D" w:rsidRDefault="00F02AD6" w:rsidP="00F02AD6">
      <w:pPr>
        <w:spacing w:line="360" w:lineRule="auto"/>
        <w:ind w:firstLineChars="200" w:firstLine="420"/>
        <w:rPr>
          <w:rFonts w:asciiTheme="minorEastAsia" w:eastAsiaTheme="minorEastAsia" w:hAnsiTheme="minorEastAsia" w:cs="宋体"/>
          <w:kern w:val="0"/>
          <w:szCs w:val="21"/>
        </w:rPr>
      </w:pPr>
      <w:r w:rsidRPr="0087389D">
        <w:rPr>
          <w:rFonts w:asciiTheme="minorEastAsia" w:eastAsiaTheme="minorEastAsia" w:hAnsiTheme="minorEastAsia" w:cs="宋体" w:hint="eastAsia"/>
          <w:kern w:val="0"/>
          <w:szCs w:val="21"/>
        </w:rPr>
        <w:t>赎回金额=赎回份额×基金份额净值+该份额对应的未付收益</w:t>
      </w:r>
    </w:p>
    <w:p w:rsidR="00F02AD6" w:rsidRPr="0087389D" w:rsidRDefault="00F02AD6" w:rsidP="00F02AD6">
      <w:pPr>
        <w:spacing w:line="360" w:lineRule="auto"/>
        <w:ind w:firstLineChars="200" w:firstLine="420"/>
        <w:rPr>
          <w:rFonts w:asciiTheme="minorEastAsia" w:eastAsiaTheme="minorEastAsia" w:hAnsiTheme="minorEastAsia" w:cs="宋体"/>
          <w:kern w:val="0"/>
          <w:szCs w:val="21"/>
        </w:rPr>
      </w:pPr>
      <w:r w:rsidRPr="0087389D">
        <w:rPr>
          <w:rFonts w:asciiTheme="minorEastAsia" w:eastAsiaTheme="minorEastAsia" w:hAnsiTheme="minorEastAsia" w:cs="宋体" w:hint="eastAsia"/>
          <w:kern w:val="0"/>
          <w:szCs w:val="21"/>
        </w:rPr>
        <w:t>例：假定某投资者在T日所持有的B类基金份额为300,000,000.00份基金份额，且有151,808.08元的未付收益。投资者申请全部赎回持有的基金份额，则其获得的赎回金额计算如下</w:t>
      </w:r>
    </w:p>
    <w:p w:rsidR="00F02AD6" w:rsidRPr="0087389D" w:rsidRDefault="00F02AD6" w:rsidP="00F02AD6">
      <w:pPr>
        <w:spacing w:line="360" w:lineRule="auto"/>
        <w:ind w:firstLineChars="200" w:firstLine="420"/>
        <w:rPr>
          <w:rFonts w:asciiTheme="minorEastAsia" w:eastAsiaTheme="minorEastAsia" w:hAnsiTheme="minorEastAsia" w:cs="宋体"/>
          <w:kern w:val="0"/>
          <w:szCs w:val="21"/>
        </w:rPr>
      </w:pPr>
      <w:r w:rsidRPr="0087389D">
        <w:rPr>
          <w:rFonts w:asciiTheme="minorEastAsia" w:eastAsiaTheme="minorEastAsia" w:hAnsiTheme="minorEastAsia" w:cs="宋体" w:hint="eastAsia"/>
          <w:kern w:val="0"/>
          <w:szCs w:val="21"/>
        </w:rPr>
        <w:t>赎回金额=300,000,000.00×1.00+151,808.08=300,151,808.08元</w:t>
      </w:r>
    </w:p>
    <w:p w:rsidR="00F02AD6" w:rsidRPr="0087389D" w:rsidRDefault="00F02AD6" w:rsidP="00F02AD6">
      <w:pPr>
        <w:spacing w:line="360" w:lineRule="auto"/>
        <w:ind w:firstLineChars="200" w:firstLine="420"/>
        <w:rPr>
          <w:rFonts w:asciiTheme="minorEastAsia" w:eastAsiaTheme="minorEastAsia" w:hAnsiTheme="minorEastAsia" w:cs="宋体"/>
          <w:kern w:val="0"/>
          <w:szCs w:val="21"/>
        </w:rPr>
      </w:pPr>
      <w:r w:rsidRPr="0087389D">
        <w:rPr>
          <w:rFonts w:asciiTheme="minorEastAsia" w:eastAsiaTheme="minorEastAsia" w:hAnsiTheme="minorEastAsia" w:cs="宋体" w:hint="eastAsia"/>
          <w:kern w:val="0"/>
          <w:szCs w:val="21"/>
        </w:rPr>
        <w:t>赎回金额以人民币元为单位，计算结果均按四舍五入，保留到小数点后2位，由此产生的收益或损失由基金财产承担。</w:t>
      </w:r>
    </w:p>
    <w:p w:rsidR="00F02AD6" w:rsidRPr="0087389D" w:rsidRDefault="00F02AD6" w:rsidP="00F02AD6">
      <w:pPr>
        <w:spacing w:line="360" w:lineRule="auto"/>
        <w:ind w:firstLineChars="200" w:firstLine="420"/>
        <w:rPr>
          <w:rFonts w:asciiTheme="minorEastAsia" w:eastAsiaTheme="minorEastAsia" w:hAnsiTheme="minorEastAsia" w:cs="宋体"/>
          <w:kern w:val="0"/>
          <w:szCs w:val="21"/>
        </w:rPr>
      </w:pPr>
      <w:r w:rsidRPr="0087389D">
        <w:rPr>
          <w:rFonts w:asciiTheme="minorEastAsia" w:eastAsiaTheme="minorEastAsia" w:hAnsiTheme="minorEastAsia" w:cs="宋体" w:hint="eastAsia"/>
          <w:kern w:val="0"/>
          <w:szCs w:val="21"/>
        </w:rPr>
        <w:t>如销售机构和注册登记机构规定投资者在全部赎回某类基金份额时，基金份额对应的未付收益不与赎回份额对应的款项一并支付给投资者，赎回金额的计算公式为：</w:t>
      </w:r>
    </w:p>
    <w:p w:rsidR="00F02AD6" w:rsidRPr="0087389D" w:rsidRDefault="00F02AD6" w:rsidP="00F02AD6">
      <w:pPr>
        <w:spacing w:line="360" w:lineRule="auto"/>
        <w:ind w:firstLineChars="200" w:firstLine="420"/>
        <w:rPr>
          <w:rFonts w:asciiTheme="minorEastAsia" w:eastAsiaTheme="minorEastAsia" w:hAnsiTheme="minorEastAsia" w:cs="宋体"/>
          <w:kern w:val="0"/>
          <w:szCs w:val="21"/>
        </w:rPr>
      </w:pPr>
      <w:r w:rsidRPr="0087389D">
        <w:rPr>
          <w:rFonts w:asciiTheme="minorEastAsia" w:eastAsiaTheme="minorEastAsia" w:hAnsiTheme="minorEastAsia" w:cs="宋体" w:hint="eastAsia"/>
          <w:kern w:val="0"/>
          <w:szCs w:val="21"/>
        </w:rPr>
        <w:t>赎回金额＝赎回份额×基金份额净值</w:t>
      </w:r>
    </w:p>
    <w:p w:rsidR="00F02AD6" w:rsidRPr="0087389D" w:rsidRDefault="00F02AD6" w:rsidP="00F02AD6">
      <w:pPr>
        <w:spacing w:line="360" w:lineRule="auto"/>
        <w:ind w:firstLineChars="200" w:firstLine="420"/>
        <w:rPr>
          <w:rFonts w:asciiTheme="minorEastAsia" w:eastAsiaTheme="minorEastAsia" w:hAnsiTheme="minorEastAsia" w:cs="宋体"/>
          <w:kern w:val="0"/>
          <w:szCs w:val="21"/>
        </w:rPr>
      </w:pPr>
      <w:r w:rsidRPr="0087389D">
        <w:rPr>
          <w:rFonts w:asciiTheme="minorEastAsia" w:eastAsiaTheme="minorEastAsia" w:hAnsiTheme="minorEastAsia" w:cs="宋体" w:hint="eastAsia"/>
          <w:kern w:val="0"/>
          <w:szCs w:val="21"/>
        </w:rPr>
        <w:lastRenderedPageBreak/>
        <w:t>例：假定某投资者在T日所持有的A类基金份额为300,000,000.00份基金份额，且有151,808.08元的未付收益。投资者申请全部赎回持有的基金份额，则其获得的赎回金额计算如下</w:t>
      </w:r>
    </w:p>
    <w:p w:rsidR="00F02AD6" w:rsidRPr="0087389D" w:rsidRDefault="00F02AD6" w:rsidP="00F02AD6">
      <w:pPr>
        <w:spacing w:line="360" w:lineRule="auto"/>
        <w:ind w:firstLineChars="200" w:firstLine="420"/>
        <w:rPr>
          <w:rFonts w:asciiTheme="minorEastAsia" w:eastAsiaTheme="minorEastAsia" w:hAnsiTheme="minorEastAsia" w:cs="宋体"/>
          <w:kern w:val="0"/>
          <w:szCs w:val="21"/>
        </w:rPr>
      </w:pPr>
      <w:r w:rsidRPr="0087389D">
        <w:rPr>
          <w:rFonts w:asciiTheme="minorEastAsia" w:eastAsiaTheme="minorEastAsia" w:hAnsiTheme="minorEastAsia" w:cs="宋体" w:hint="eastAsia"/>
          <w:kern w:val="0"/>
          <w:szCs w:val="21"/>
        </w:rPr>
        <w:t>赎回金额=300,000,000.00×1.00=300,000,000.00元</w:t>
      </w:r>
    </w:p>
    <w:p w:rsidR="00F02AD6" w:rsidRPr="0087389D" w:rsidRDefault="00F02AD6" w:rsidP="00F02AD6">
      <w:pPr>
        <w:spacing w:line="360" w:lineRule="auto"/>
        <w:ind w:firstLineChars="200" w:firstLine="420"/>
        <w:rPr>
          <w:rFonts w:asciiTheme="minorEastAsia" w:eastAsiaTheme="minorEastAsia" w:hAnsiTheme="minorEastAsia" w:cs="宋体"/>
          <w:kern w:val="0"/>
          <w:szCs w:val="21"/>
        </w:rPr>
      </w:pPr>
      <w:r w:rsidRPr="0087389D">
        <w:rPr>
          <w:rFonts w:asciiTheme="minorEastAsia" w:eastAsiaTheme="minorEastAsia" w:hAnsiTheme="minorEastAsia" w:cs="宋体" w:hint="eastAsia"/>
          <w:kern w:val="0"/>
          <w:szCs w:val="21"/>
        </w:rPr>
        <w:t>赎回金额以人民币元为单位，计算结果均按四舍五入，保留到小数点后2位，由此产生的收益或损失由基金财产承担。</w:t>
      </w:r>
    </w:p>
    <w:p w:rsidR="00F02AD6" w:rsidRPr="0087389D" w:rsidRDefault="00F02AD6" w:rsidP="00F02AD6">
      <w:pPr>
        <w:spacing w:line="360" w:lineRule="auto"/>
        <w:ind w:firstLineChars="200" w:firstLine="420"/>
        <w:rPr>
          <w:rFonts w:asciiTheme="minorEastAsia" w:eastAsiaTheme="minorEastAsia" w:hAnsiTheme="minorEastAsia" w:cs="宋体"/>
          <w:kern w:val="0"/>
          <w:szCs w:val="21"/>
        </w:rPr>
      </w:pPr>
      <w:r w:rsidRPr="0087389D">
        <w:rPr>
          <w:rFonts w:asciiTheme="minorEastAsia" w:eastAsiaTheme="minorEastAsia" w:hAnsiTheme="minorEastAsia" w:cs="宋体" w:hint="eastAsia"/>
          <w:kern w:val="0"/>
          <w:szCs w:val="21"/>
        </w:rPr>
        <w:t>2)当投资者在全部赎回某类基金份额时，如其未付收益为负，基金份额对应的未付收益与赎回份额对应的款项一并结算给投资者。</w:t>
      </w:r>
    </w:p>
    <w:p w:rsidR="00F02AD6" w:rsidRPr="0087389D" w:rsidRDefault="00F02AD6" w:rsidP="00F02AD6">
      <w:pPr>
        <w:spacing w:line="360" w:lineRule="auto"/>
        <w:ind w:firstLineChars="200" w:firstLine="420"/>
        <w:rPr>
          <w:rFonts w:asciiTheme="minorEastAsia" w:eastAsiaTheme="minorEastAsia" w:hAnsiTheme="minorEastAsia" w:cs="宋体"/>
          <w:kern w:val="0"/>
          <w:szCs w:val="21"/>
        </w:rPr>
      </w:pPr>
      <w:r w:rsidRPr="0087389D">
        <w:rPr>
          <w:rFonts w:asciiTheme="minorEastAsia" w:eastAsiaTheme="minorEastAsia" w:hAnsiTheme="minorEastAsia" w:cs="宋体" w:hint="eastAsia"/>
          <w:kern w:val="0"/>
          <w:szCs w:val="21"/>
        </w:rPr>
        <w:t>例：假定某投资者在T日所持有的A类基金份额为300,000,000.00份基金份额，且有-151,808.08元的未付收益。投资者申请全部赎回持有的基金份额，则其获得的赎回金额计算如下</w:t>
      </w:r>
    </w:p>
    <w:p w:rsidR="00F02AD6" w:rsidRPr="0087389D" w:rsidRDefault="00F02AD6" w:rsidP="00F02AD6">
      <w:pPr>
        <w:spacing w:line="360" w:lineRule="auto"/>
        <w:ind w:firstLineChars="200" w:firstLine="420"/>
        <w:rPr>
          <w:rFonts w:asciiTheme="minorEastAsia" w:eastAsiaTheme="minorEastAsia" w:hAnsiTheme="minorEastAsia" w:cs="宋体"/>
          <w:kern w:val="0"/>
          <w:szCs w:val="21"/>
        </w:rPr>
      </w:pPr>
      <w:r w:rsidRPr="0087389D">
        <w:rPr>
          <w:rFonts w:asciiTheme="minorEastAsia" w:eastAsiaTheme="minorEastAsia" w:hAnsiTheme="minorEastAsia" w:cs="宋体" w:hint="eastAsia"/>
          <w:kern w:val="0"/>
          <w:szCs w:val="21"/>
        </w:rPr>
        <w:t>赎回金额=300,000,000.00×1.00-151,808.08=299,848,191.92元</w:t>
      </w:r>
    </w:p>
    <w:p w:rsidR="00F02AD6" w:rsidRPr="0087389D" w:rsidRDefault="00F02AD6" w:rsidP="00F02AD6">
      <w:pPr>
        <w:spacing w:line="360" w:lineRule="auto"/>
        <w:ind w:firstLineChars="200" w:firstLine="420"/>
        <w:rPr>
          <w:rFonts w:asciiTheme="minorEastAsia" w:eastAsiaTheme="minorEastAsia" w:hAnsiTheme="minorEastAsia" w:cs="宋体"/>
          <w:kern w:val="0"/>
          <w:szCs w:val="21"/>
        </w:rPr>
      </w:pPr>
      <w:r w:rsidRPr="0087389D">
        <w:rPr>
          <w:rFonts w:asciiTheme="minorEastAsia" w:eastAsiaTheme="minorEastAsia" w:hAnsiTheme="minorEastAsia" w:cs="宋体" w:hint="eastAsia"/>
          <w:kern w:val="0"/>
          <w:szCs w:val="21"/>
        </w:rPr>
        <w:t>赎回金额以人民币元为单位，计算结果均按四舍五入，保留到小数点后2位，由此产生的收益或损失由基金财产承担。</w:t>
      </w:r>
    </w:p>
    <w:p w:rsidR="00BA4B87" w:rsidRPr="0087389D" w:rsidRDefault="00B329B1" w:rsidP="00555CE7">
      <w:pPr>
        <w:snapToGrid w:val="0"/>
        <w:spacing w:line="360" w:lineRule="auto"/>
        <w:ind w:firstLineChars="200" w:firstLine="420"/>
        <w:rPr>
          <w:rFonts w:asciiTheme="minorEastAsia" w:eastAsiaTheme="minorEastAsia" w:hAnsiTheme="minorEastAsia"/>
          <w:szCs w:val="21"/>
        </w:rPr>
      </w:pPr>
      <w:bookmarkStart w:id="66" w:name="_Toc327734841"/>
      <w:r w:rsidRPr="0087389D">
        <w:rPr>
          <w:rFonts w:asciiTheme="minorEastAsia" w:eastAsiaTheme="minorEastAsia" w:hAnsiTheme="minorEastAsia"/>
          <w:szCs w:val="21"/>
        </w:rPr>
        <w:t>（</w:t>
      </w:r>
      <w:r w:rsidR="004A4C9B" w:rsidRPr="0087389D">
        <w:rPr>
          <w:rFonts w:asciiTheme="minorEastAsia" w:eastAsiaTheme="minorEastAsia" w:hAnsiTheme="minorEastAsia" w:hint="eastAsia"/>
          <w:szCs w:val="21"/>
        </w:rPr>
        <w:t>九</w:t>
      </w:r>
      <w:r w:rsidRPr="0087389D">
        <w:rPr>
          <w:rFonts w:asciiTheme="minorEastAsia" w:eastAsiaTheme="minorEastAsia" w:hAnsiTheme="minorEastAsia"/>
          <w:szCs w:val="21"/>
        </w:rPr>
        <w:t>）</w:t>
      </w:r>
      <w:r w:rsidR="00BA4B87" w:rsidRPr="0087389D">
        <w:rPr>
          <w:rFonts w:asciiTheme="minorEastAsia" w:eastAsiaTheme="minorEastAsia" w:hAnsiTheme="minorEastAsia"/>
          <w:szCs w:val="21"/>
        </w:rPr>
        <w:t>申购与赎回的注册登记</w:t>
      </w:r>
      <w:bookmarkEnd w:id="66"/>
    </w:p>
    <w:p w:rsidR="00AE69DE" w:rsidRPr="0087389D" w:rsidRDefault="00AE69DE" w:rsidP="00555CE7">
      <w:pPr>
        <w:snapToGrid w:val="0"/>
        <w:spacing w:line="360" w:lineRule="auto"/>
        <w:ind w:firstLineChars="200" w:firstLine="420"/>
        <w:rPr>
          <w:rFonts w:asciiTheme="minorEastAsia" w:eastAsiaTheme="minorEastAsia" w:hAnsiTheme="minorEastAsia"/>
          <w:szCs w:val="21"/>
        </w:rPr>
      </w:pPr>
      <w:bookmarkStart w:id="67" w:name="_Toc327734842"/>
      <w:r w:rsidRPr="0087389D">
        <w:rPr>
          <w:rFonts w:asciiTheme="minorEastAsia" w:eastAsiaTheme="minorEastAsia" w:hAnsiTheme="minorEastAsia" w:hint="eastAsia"/>
          <w:szCs w:val="21"/>
        </w:rPr>
        <w:t>正常情况下，投资人T日申购基金成功后，登记机构在T+1日</w:t>
      </w:r>
      <w:r w:rsidR="00830CFA" w:rsidRPr="0087389D">
        <w:rPr>
          <w:rFonts w:asciiTheme="minorEastAsia" w:eastAsiaTheme="minorEastAsia" w:hAnsiTheme="minorEastAsia" w:hint="eastAsia"/>
          <w:szCs w:val="21"/>
        </w:rPr>
        <w:t>内</w:t>
      </w:r>
      <w:r w:rsidR="005D175D" w:rsidRPr="0087389D">
        <w:rPr>
          <w:rFonts w:asciiTheme="minorEastAsia" w:eastAsiaTheme="minorEastAsia" w:hAnsiTheme="minorEastAsia" w:hint="eastAsia"/>
          <w:kern w:val="0"/>
        </w:rPr>
        <w:t>（含</w:t>
      </w:r>
      <w:r w:rsidR="005D175D" w:rsidRPr="0087389D">
        <w:rPr>
          <w:rFonts w:asciiTheme="minorEastAsia" w:eastAsiaTheme="minorEastAsia" w:hAnsiTheme="minorEastAsia"/>
          <w:kern w:val="0"/>
        </w:rPr>
        <w:t>T+1</w:t>
      </w:r>
      <w:r w:rsidR="005D175D" w:rsidRPr="0087389D">
        <w:rPr>
          <w:rFonts w:asciiTheme="minorEastAsia" w:eastAsiaTheme="minorEastAsia" w:hAnsiTheme="minorEastAsia" w:hint="eastAsia"/>
          <w:kern w:val="0"/>
        </w:rPr>
        <w:t>日）</w:t>
      </w:r>
      <w:r w:rsidRPr="0087389D">
        <w:rPr>
          <w:rFonts w:asciiTheme="minorEastAsia" w:eastAsiaTheme="minorEastAsia" w:hAnsiTheme="minorEastAsia" w:hint="eastAsia"/>
          <w:szCs w:val="21"/>
        </w:rPr>
        <w:t>为投资者增加权益并办理登记手续。</w:t>
      </w:r>
    </w:p>
    <w:p w:rsidR="00AE69DE" w:rsidRPr="0087389D" w:rsidRDefault="00AE69DE"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基金份额持有人T日赎回基金成功后，正常情况下，登记机构在T+1日</w:t>
      </w:r>
      <w:r w:rsidR="00830CFA" w:rsidRPr="0087389D">
        <w:rPr>
          <w:rFonts w:asciiTheme="minorEastAsia" w:eastAsiaTheme="minorEastAsia" w:hAnsiTheme="minorEastAsia" w:hint="eastAsia"/>
          <w:szCs w:val="21"/>
        </w:rPr>
        <w:t>内</w:t>
      </w:r>
      <w:r w:rsidR="005D175D" w:rsidRPr="0087389D">
        <w:rPr>
          <w:rFonts w:asciiTheme="minorEastAsia" w:eastAsiaTheme="minorEastAsia" w:hAnsiTheme="minorEastAsia" w:hint="eastAsia"/>
          <w:kern w:val="0"/>
        </w:rPr>
        <w:t>（含</w:t>
      </w:r>
      <w:r w:rsidR="005D175D" w:rsidRPr="0087389D">
        <w:rPr>
          <w:rFonts w:asciiTheme="minorEastAsia" w:eastAsiaTheme="minorEastAsia" w:hAnsiTheme="minorEastAsia"/>
          <w:kern w:val="0"/>
        </w:rPr>
        <w:t>T+1</w:t>
      </w:r>
      <w:r w:rsidR="005D175D" w:rsidRPr="0087389D">
        <w:rPr>
          <w:rFonts w:asciiTheme="minorEastAsia" w:eastAsiaTheme="minorEastAsia" w:hAnsiTheme="minorEastAsia" w:hint="eastAsia"/>
          <w:kern w:val="0"/>
        </w:rPr>
        <w:t>日）</w:t>
      </w:r>
      <w:r w:rsidRPr="0087389D">
        <w:rPr>
          <w:rFonts w:asciiTheme="minorEastAsia" w:eastAsiaTheme="minorEastAsia" w:hAnsiTheme="minorEastAsia" w:hint="eastAsia"/>
          <w:szCs w:val="21"/>
        </w:rPr>
        <w:t>为其办理扣除权益的登记手续。</w:t>
      </w:r>
    </w:p>
    <w:p w:rsidR="00AE69DE" w:rsidRPr="0087389D" w:rsidRDefault="00AE69DE"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在</w:t>
      </w:r>
      <w:r w:rsidR="002630E5" w:rsidRPr="0087389D">
        <w:rPr>
          <w:rFonts w:asciiTheme="minorEastAsia" w:eastAsiaTheme="minorEastAsia" w:hAnsiTheme="minorEastAsia" w:hint="eastAsia"/>
          <w:szCs w:val="21"/>
        </w:rPr>
        <w:t>不违反</w:t>
      </w:r>
      <w:r w:rsidRPr="0087389D">
        <w:rPr>
          <w:rFonts w:asciiTheme="minorEastAsia" w:eastAsiaTheme="minorEastAsia" w:hAnsiTheme="minorEastAsia" w:hint="eastAsia"/>
          <w:szCs w:val="21"/>
        </w:rPr>
        <w:t>法律法规的</w:t>
      </w:r>
      <w:r w:rsidR="002630E5" w:rsidRPr="0087389D">
        <w:rPr>
          <w:rFonts w:asciiTheme="minorEastAsia" w:eastAsiaTheme="minorEastAsia" w:hAnsiTheme="minorEastAsia" w:hint="eastAsia"/>
          <w:szCs w:val="21"/>
        </w:rPr>
        <w:t>情况下</w:t>
      </w:r>
      <w:r w:rsidRPr="0087389D">
        <w:rPr>
          <w:rFonts w:asciiTheme="minorEastAsia" w:eastAsiaTheme="minorEastAsia" w:hAnsiTheme="minorEastAsia" w:hint="eastAsia"/>
          <w:szCs w:val="21"/>
        </w:rPr>
        <w:t>，登记机构可以对上述登记办理时间进行调整，基金管理人最迟于开始实施日前依照《信息披露办法》的有关规定在指定</w:t>
      </w:r>
      <w:r w:rsidR="00BB04FF" w:rsidRPr="0087389D">
        <w:rPr>
          <w:rFonts w:asciiTheme="minorEastAsia" w:eastAsiaTheme="minorEastAsia" w:hAnsiTheme="minorEastAsia" w:hint="eastAsia"/>
          <w:szCs w:val="21"/>
        </w:rPr>
        <w:t>媒介</w:t>
      </w:r>
      <w:r w:rsidRPr="0087389D">
        <w:rPr>
          <w:rFonts w:asciiTheme="minorEastAsia" w:eastAsiaTheme="minorEastAsia" w:hAnsiTheme="minorEastAsia" w:hint="eastAsia"/>
          <w:szCs w:val="21"/>
        </w:rPr>
        <w:t>上公告。</w:t>
      </w:r>
    </w:p>
    <w:p w:rsidR="00BA4B87" w:rsidRPr="0087389D" w:rsidRDefault="00B329B1"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szCs w:val="21"/>
        </w:rPr>
        <w:t>（</w:t>
      </w:r>
      <w:r w:rsidR="004A4C9B" w:rsidRPr="0087389D">
        <w:rPr>
          <w:rFonts w:asciiTheme="minorEastAsia" w:eastAsiaTheme="minorEastAsia" w:hAnsiTheme="minorEastAsia" w:hint="eastAsia"/>
          <w:szCs w:val="21"/>
        </w:rPr>
        <w:t>十</w:t>
      </w:r>
      <w:r w:rsidRPr="0087389D">
        <w:rPr>
          <w:rFonts w:asciiTheme="minorEastAsia" w:eastAsiaTheme="minorEastAsia" w:hAnsiTheme="minorEastAsia"/>
          <w:szCs w:val="21"/>
        </w:rPr>
        <w:t>）</w:t>
      </w:r>
      <w:r w:rsidR="00BA4B87" w:rsidRPr="0087389D">
        <w:rPr>
          <w:rFonts w:asciiTheme="minorEastAsia" w:eastAsiaTheme="minorEastAsia" w:hAnsiTheme="minorEastAsia"/>
          <w:szCs w:val="21"/>
        </w:rPr>
        <w:t>巨额赎回的认定及处理方式</w:t>
      </w:r>
      <w:bookmarkEnd w:id="67"/>
    </w:p>
    <w:p w:rsidR="00AE69DE" w:rsidRPr="0087389D" w:rsidRDefault="00AE69DE"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1、巨额赎回的认定</w:t>
      </w:r>
    </w:p>
    <w:p w:rsidR="00AE69DE" w:rsidRPr="0087389D" w:rsidRDefault="00AE69DE"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若本基金单个开放日内的基金份额净赎回申请</w:t>
      </w:r>
      <w:r w:rsidR="00B329B1" w:rsidRPr="0087389D">
        <w:rPr>
          <w:rFonts w:asciiTheme="minorEastAsia" w:eastAsiaTheme="minorEastAsia" w:hAnsiTheme="minorEastAsia" w:hint="eastAsia"/>
          <w:szCs w:val="21"/>
        </w:rPr>
        <w:t>（</w:t>
      </w:r>
      <w:r w:rsidRPr="0087389D">
        <w:rPr>
          <w:rFonts w:asciiTheme="minorEastAsia" w:eastAsiaTheme="minorEastAsia" w:hAnsiTheme="minorEastAsia" w:hint="eastAsia"/>
          <w:szCs w:val="21"/>
        </w:rPr>
        <w:t>赎回申请份额总数加上基金转换中转出申请份额总数后扣除申购申请份额总数及基金转换中转入申请份额总数后的余额</w:t>
      </w:r>
      <w:r w:rsidR="00B329B1" w:rsidRPr="0087389D">
        <w:rPr>
          <w:rFonts w:asciiTheme="minorEastAsia" w:eastAsiaTheme="minorEastAsia" w:hAnsiTheme="minorEastAsia" w:hint="eastAsia"/>
          <w:szCs w:val="21"/>
        </w:rPr>
        <w:t>）</w:t>
      </w:r>
      <w:r w:rsidRPr="0087389D">
        <w:rPr>
          <w:rFonts w:asciiTheme="minorEastAsia" w:eastAsiaTheme="minorEastAsia" w:hAnsiTheme="minorEastAsia" w:hint="eastAsia"/>
          <w:szCs w:val="21"/>
        </w:rPr>
        <w:t>超过前一开放日的基金总份额的10%，即认为是发生了巨额赎回。</w:t>
      </w:r>
    </w:p>
    <w:p w:rsidR="00AE69DE" w:rsidRPr="0087389D" w:rsidRDefault="00AE69DE"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2、巨额赎回的处理方式</w:t>
      </w:r>
    </w:p>
    <w:p w:rsidR="00AE69DE" w:rsidRPr="0087389D" w:rsidRDefault="00AE69DE"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当基金出现巨额赎回时，基金管理人可以根据基金当时的资产组合状况决定全额赎回或部分延期赎回。</w:t>
      </w:r>
    </w:p>
    <w:p w:rsidR="00AE69DE" w:rsidRPr="0087389D" w:rsidRDefault="00AE69DE"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（1）全额赎回：当基金管理人认为有能力支付投资人的全部赎回申请时，按正常赎回程序执行。</w:t>
      </w:r>
    </w:p>
    <w:p w:rsidR="00AE69DE" w:rsidRPr="0087389D" w:rsidRDefault="00AE69DE"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（2）部分延期赎回：当基金管理人认为支付投资人的赎回申请有困难或认为因支付投</w:t>
      </w:r>
      <w:r w:rsidRPr="0087389D">
        <w:rPr>
          <w:rFonts w:asciiTheme="minorEastAsia" w:eastAsiaTheme="minorEastAsia" w:hAnsiTheme="minorEastAsia" w:hint="eastAsia"/>
          <w:szCs w:val="21"/>
        </w:rPr>
        <w:lastRenderedPageBreak/>
        <w:t>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D71054" w:rsidRPr="0087389D" w:rsidRDefault="00D71054"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若本基金发生巨额赎回且单个基金份额持有人的赎回申请超过上一开放日基金总份额10%的，基金管理人有权对该单个基金份额持有人超出该比例的赎回申请实施延期办理，对该单个基金份额持有人剩余赎回申请与其他账户赎回申请按前述条款处理。</w:t>
      </w:r>
    </w:p>
    <w:p w:rsidR="00AE69DE" w:rsidRPr="0087389D" w:rsidRDefault="00AE69DE"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（3）暂停赎回：连续2日以上</w:t>
      </w:r>
      <w:r w:rsidR="00B329B1" w:rsidRPr="0087389D">
        <w:rPr>
          <w:rFonts w:asciiTheme="minorEastAsia" w:eastAsiaTheme="minorEastAsia" w:hAnsiTheme="minorEastAsia" w:hint="eastAsia"/>
          <w:szCs w:val="21"/>
        </w:rPr>
        <w:t>（</w:t>
      </w:r>
      <w:r w:rsidRPr="0087389D">
        <w:rPr>
          <w:rFonts w:asciiTheme="minorEastAsia" w:eastAsiaTheme="minorEastAsia" w:hAnsiTheme="minorEastAsia" w:hint="eastAsia"/>
          <w:szCs w:val="21"/>
        </w:rPr>
        <w:t>含本数</w:t>
      </w:r>
      <w:r w:rsidR="00B329B1" w:rsidRPr="0087389D">
        <w:rPr>
          <w:rFonts w:asciiTheme="minorEastAsia" w:eastAsiaTheme="minorEastAsia" w:hAnsiTheme="minorEastAsia" w:hint="eastAsia"/>
          <w:szCs w:val="21"/>
        </w:rPr>
        <w:t>）</w:t>
      </w:r>
      <w:r w:rsidRPr="0087389D">
        <w:rPr>
          <w:rFonts w:asciiTheme="minorEastAsia" w:eastAsiaTheme="minorEastAsia" w:hAnsiTheme="minorEastAsia" w:hint="eastAsia"/>
          <w:szCs w:val="21"/>
        </w:rPr>
        <w:t>发生巨额赎回，如基金管理人认为有必要，可暂停接受基金的赎回申请；已经接受的赎回申请可以延缓支付赎回款项，但不得超过20个工作日，并应当在指定</w:t>
      </w:r>
      <w:r w:rsidR="00BB04FF" w:rsidRPr="0087389D">
        <w:rPr>
          <w:rFonts w:asciiTheme="minorEastAsia" w:eastAsiaTheme="minorEastAsia" w:hAnsiTheme="minorEastAsia" w:hint="eastAsia"/>
          <w:szCs w:val="21"/>
        </w:rPr>
        <w:t>媒介</w:t>
      </w:r>
      <w:r w:rsidRPr="0087389D">
        <w:rPr>
          <w:rFonts w:asciiTheme="minorEastAsia" w:eastAsiaTheme="minorEastAsia" w:hAnsiTheme="minorEastAsia" w:hint="eastAsia"/>
          <w:szCs w:val="21"/>
        </w:rPr>
        <w:t>上进行公告。</w:t>
      </w:r>
    </w:p>
    <w:p w:rsidR="00AE69DE" w:rsidRPr="0087389D" w:rsidRDefault="00AE69DE"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3、巨额赎回的公告</w:t>
      </w:r>
    </w:p>
    <w:p w:rsidR="00BA4B87" w:rsidRPr="0087389D" w:rsidRDefault="00AE69DE"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当发生上述</w:t>
      </w:r>
      <w:r w:rsidR="0064292E" w:rsidRPr="0087389D">
        <w:rPr>
          <w:rFonts w:asciiTheme="minorEastAsia" w:eastAsiaTheme="minorEastAsia" w:hAnsiTheme="minorEastAsia" w:hint="eastAsia"/>
          <w:szCs w:val="21"/>
        </w:rPr>
        <w:t>巨额</w:t>
      </w:r>
      <w:r w:rsidRPr="0087389D">
        <w:rPr>
          <w:rFonts w:asciiTheme="minorEastAsia" w:eastAsiaTheme="minorEastAsia" w:hAnsiTheme="minorEastAsia" w:hint="eastAsia"/>
          <w:szCs w:val="21"/>
        </w:rPr>
        <w:t>赎回并延期办理时，基金管理人应当通过邮寄、传真或者招募说明书规定的其他方式在3个交易日内通知基金份额持有人，说明有关处理方法，</w:t>
      </w:r>
      <w:r w:rsidR="00BB04FF" w:rsidRPr="0087389D">
        <w:rPr>
          <w:rFonts w:asciiTheme="minorEastAsia" w:eastAsiaTheme="minorEastAsia" w:hAnsiTheme="minorEastAsia" w:hint="eastAsia"/>
          <w:szCs w:val="21"/>
        </w:rPr>
        <w:t>并在2日内在指定媒介上刊登公告</w:t>
      </w:r>
      <w:r w:rsidRPr="0087389D">
        <w:rPr>
          <w:rFonts w:asciiTheme="minorEastAsia" w:eastAsiaTheme="minorEastAsia" w:hAnsiTheme="minorEastAsia" w:hint="eastAsia"/>
          <w:szCs w:val="21"/>
        </w:rPr>
        <w:t>。</w:t>
      </w:r>
    </w:p>
    <w:p w:rsidR="00BA4B87" w:rsidRPr="0087389D" w:rsidRDefault="00B329B1" w:rsidP="00555CE7">
      <w:pPr>
        <w:snapToGrid w:val="0"/>
        <w:spacing w:line="360" w:lineRule="auto"/>
        <w:ind w:firstLineChars="200" w:firstLine="420"/>
        <w:rPr>
          <w:rFonts w:asciiTheme="minorEastAsia" w:eastAsiaTheme="minorEastAsia" w:hAnsiTheme="minorEastAsia"/>
          <w:szCs w:val="21"/>
        </w:rPr>
      </w:pPr>
      <w:bookmarkStart w:id="68" w:name="_Toc327734843"/>
      <w:r w:rsidRPr="0087389D">
        <w:rPr>
          <w:rFonts w:asciiTheme="minorEastAsia" w:eastAsiaTheme="minorEastAsia" w:hAnsiTheme="minorEastAsia"/>
          <w:szCs w:val="21"/>
        </w:rPr>
        <w:t>（</w:t>
      </w:r>
      <w:r w:rsidR="00BA4B87" w:rsidRPr="0087389D">
        <w:rPr>
          <w:rFonts w:asciiTheme="minorEastAsia" w:eastAsiaTheme="minorEastAsia" w:hAnsiTheme="minorEastAsia"/>
          <w:szCs w:val="21"/>
        </w:rPr>
        <w:t>十</w:t>
      </w:r>
      <w:r w:rsidR="00090469" w:rsidRPr="0087389D">
        <w:rPr>
          <w:rFonts w:asciiTheme="minorEastAsia" w:eastAsiaTheme="minorEastAsia" w:hAnsiTheme="minorEastAsia"/>
          <w:szCs w:val="21"/>
        </w:rPr>
        <w:t>一</w:t>
      </w:r>
      <w:r w:rsidRPr="0087389D">
        <w:rPr>
          <w:rFonts w:asciiTheme="minorEastAsia" w:eastAsiaTheme="minorEastAsia" w:hAnsiTheme="minorEastAsia"/>
          <w:szCs w:val="21"/>
        </w:rPr>
        <w:t>）</w:t>
      </w:r>
      <w:r w:rsidR="00BA4B87" w:rsidRPr="0087389D">
        <w:rPr>
          <w:rFonts w:asciiTheme="minorEastAsia" w:eastAsiaTheme="minorEastAsia" w:hAnsiTheme="minorEastAsia"/>
          <w:szCs w:val="21"/>
        </w:rPr>
        <w:t>拒绝或暂停申购、暂停赎回</w:t>
      </w:r>
      <w:r w:rsidR="00E95F0A" w:rsidRPr="0087389D">
        <w:rPr>
          <w:rFonts w:asciiTheme="minorEastAsia" w:eastAsiaTheme="minorEastAsia" w:hAnsiTheme="minorEastAsia" w:hint="eastAsia"/>
          <w:szCs w:val="21"/>
        </w:rPr>
        <w:t>或延缓支付赎回款项</w:t>
      </w:r>
      <w:r w:rsidR="00E95F0A" w:rsidRPr="0087389D">
        <w:rPr>
          <w:rFonts w:asciiTheme="minorEastAsia" w:eastAsiaTheme="minorEastAsia" w:hAnsiTheme="minorEastAsia"/>
          <w:szCs w:val="21"/>
        </w:rPr>
        <w:t>的</w:t>
      </w:r>
      <w:r w:rsidR="00BA4B87" w:rsidRPr="0087389D">
        <w:rPr>
          <w:rFonts w:asciiTheme="minorEastAsia" w:eastAsiaTheme="minorEastAsia" w:hAnsiTheme="minorEastAsia"/>
          <w:szCs w:val="21"/>
        </w:rPr>
        <w:t>的情形及处理</w:t>
      </w:r>
      <w:bookmarkEnd w:id="68"/>
    </w:p>
    <w:p w:rsidR="00417F69" w:rsidRPr="0087389D" w:rsidRDefault="00BA4B87"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szCs w:val="21"/>
        </w:rPr>
        <w:t>1、</w:t>
      </w:r>
      <w:r w:rsidR="00417F69" w:rsidRPr="0087389D">
        <w:rPr>
          <w:rFonts w:asciiTheme="minorEastAsia" w:eastAsiaTheme="minorEastAsia" w:hAnsiTheme="minorEastAsia"/>
          <w:szCs w:val="21"/>
        </w:rPr>
        <w:t>发生下列情况时，基金管理人可拒绝或暂停接受投资人的申购申请：</w:t>
      </w:r>
    </w:p>
    <w:p w:rsidR="00580FE0" w:rsidRPr="0087389D" w:rsidRDefault="00580FE0"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（1）因不可抗力导致基金无法正常运作。</w:t>
      </w:r>
    </w:p>
    <w:p w:rsidR="00580FE0" w:rsidRPr="0087389D" w:rsidRDefault="00580FE0"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（2）发生基金合同规定的暂停基金资产估值情况时。</w:t>
      </w:r>
    </w:p>
    <w:p w:rsidR="00580FE0" w:rsidRPr="0087389D" w:rsidRDefault="00580FE0"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（3）本基金投资的证券交易市场临时停止交易。</w:t>
      </w:r>
    </w:p>
    <w:p w:rsidR="00580FE0" w:rsidRPr="0087389D" w:rsidRDefault="00580FE0"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（4）基金管理人认为接受某笔或某些申购申请可能会影响或损害现有基金份额持有人利益时。</w:t>
      </w:r>
    </w:p>
    <w:p w:rsidR="00580FE0" w:rsidRPr="0087389D" w:rsidRDefault="00580FE0"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（5）基金资产规模过大，使基金管理人无法找到合适的投资品种，或其他可能对基金业绩产生负面影响，从而损害现有基金份额持有人利益的情形。</w:t>
      </w:r>
    </w:p>
    <w:p w:rsidR="00D71054" w:rsidRPr="0087389D" w:rsidRDefault="00580FE0" w:rsidP="00D71054">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（6）</w:t>
      </w:r>
      <w:r w:rsidR="00D71054" w:rsidRPr="0087389D">
        <w:rPr>
          <w:rFonts w:asciiTheme="minorEastAsia" w:eastAsiaTheme="minorEastAsia" w:hAnsiTheme="minorEastAsia" w:hint="eastAsia"/>
          <w:szCs w:val="21"/>
        </w:rPr>
        <w:t>基金管理人接受某笔或者某些申购申请有可能导致单一投资者持有基金份额的比例达到或者超过50%，或者变相规避50%集中度的情形时。</w:t>
      </w:r>
    </w:p>
    <w:p w:rsidR="00D71054" w:rsidRPr="0087389D" w:rsidRDefault="00D71054"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7）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8762E2" w:rsidRPr="0087389D" w:rsidRDefault="008762E2"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w:t>
      </w:r>
      <w:r w:rsidR="00D71054" w:rsidRPr="0087389D">
        <w:rPr>
          <w:rFonts w:asciiTheme="minorEastAsia" w:eastAsiaTheme="minorEastAsia" w:hAnsiTheme="minorEastAsia"/>
          <w:szCs w:val="21"/>
        </w:rPr>
        <w:t>8</w:t>
      </w:r>
      <w:r w:rsidRPr="0087389D">
        <w:rPr>
          <w:rFonts w:asciiTheme="minorEastAsia" w:eastAsiaTheme="minorEastAsia" w:hAnsiTheme="minorEastAsia" w:hint="eastAsia"/>
          <w:szCs w:val="21"/>
        </w:rPr>
        <w:t>）为保护基金份额持有人的合法权益，基金管理人可以依照相关法律法规以及基金</w:t>
      </w:r>
      <w:r w:rsidRPr="0087389D">
        <w:rPr>
          <w:rFonts w:asciiTheme="minorEastAsia" w:eastAsiaTheme="minorEastAsia" w:hAnsiTheme="minorEastAsia" w:hint="eastAsia"/>
          <w:szCs w:val="21"/>
        </w:rPr>
        <w:lastRenderedPageBreak/>
        <w:t>合同的约定，在特定市场条件下暂停或者拒绝接受一定金额以上的资金申购，具体以基金管理人的公告为准。</w:t>
      </w:r>
    </w:p>
    <w:p w:rsidR="008762E2" w:rsidRPr="0087389D" w:rsidRDefault="008762E2"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w:t>
      </w:r>
      <w:r w:rsidR="00D71054" w:rsidRPr="0087389D">
        <w:rPr>
          <w:rFonts w:asciiTheme="minorEastAsia" w:eastAsiaTheme="minorEastAsia" w:hAnsiTheme="minorEastAsia"/>
          <w:szCs w:val="21"/>
        </w:rPr>
        <w:t>9</w:t>
      </w:r>
      <w:r w:rsidRPr="0087389D">
        <w:rPr>
          <w:rFonts w:asciiTheme="minorEastAsia" w:eastAsiaTheme="minorEastAsia" w:hAnsiTheme="minorEastAsia" w:hint="eastAsia"/>
          <w:szCs w:val="21"/>
        </w:rPr>
        <w:t>）基金管理人、基金托管人、登记机构、销售机构、支付结算机构等因异常情况导致基金销售系统、基金销售支付结算系统、基金登记系统、基金会计系统等无法正常运行。</w:t>
      </w:r>
    </w:p>
    <w:p w:rsidR="008762E2" w:rsidRPr="0087389D" w:rsidRDefault="008762E2"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w:t>
      </w:r>
      <w:r w:rsidR="00D71054" w:rsidRPr="0087389D">
        <w:rPr>
          <w:rFonts w:asciiTheme="minorEastAsia" w:eastAsiaTheme="minorEastAsia" w:hAnsiTheme="minorEastAsia"/>
          <w:szCs w:val="21"/>
        </w:rPr>
        <w:t>10</w:t>
      </w:r>
      <w:r w:rsidRPr="0087389D">
        <w:rPr>
          <w:rFonts w:asciiTheme="minorEastAsia" w:eastAsiaTheme="minorEastAsia" w:hAnsiTheme="minorEastAsia" w:hint="eastAsia"/>
          <w:szCs w:val="21"/>
        </w:rPr>
        <w:t>）当影子定价法确定的基金资产净值与摊余成本法计算的基金资产净值的正偏离度绝对值达到0.5%时。</w:t>
      </w:r>
    </w:p>
    <w:p w:rsidR="00D71054" w:rsidRPr="0087389D" w:rsidRDefault="008762E2"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w:t>
      </w:r>
      <w:r w:rsidR="00D71054" w:rsidRPr="0087389D">
        <w:rPr>
          <w:rFonts w:asciiTheme="minorEastAsia" w:eastAsiaTheme="minorEastAsia" w:hAnsiTheme="minorEastAsia" w:hint="eastAsia"/>
          <w:szCs w:val="21"/>
        </w:rPr>
        <w:t>1</w:t>
      </w:r>
      <w:r w:rsidR="00D71054" w:rsidRPr="0087389D">
        <w:rPr>
          <w:rFonts w:asciiTheme="minorEastAsia" w:eastAsiaTheme="minorEastAsia" w:hAnsiTheme="minorEastAsia"/>
          <w:szCs w:val="21"/>
        </w:rPr>
        <w:t>1</w:t>
      </w:r>
      <w:r w:rsidRPr="0087389D">
        <w:rPr>
          <w:rFonts w:asciiTheme="minorEastAsia" w:eastAsiaTheme="minorEastAsia" w:hAnsiTheme="minorEastAsia" w:hint="eastAsia"/>
          <w:szCs w:val="21"/>
        </w:rPr>
        <w:t>）</w:t>
      </w:r>
      <w:r w:rsidR="00D71054" w:rsidRPr="0087389D">
        <w:rPr>
          <w:rFonts w:asciiTheme="minorEastAsia" w:eastAsiaTheme="minorEastAsia" w:hAnsiTheme="minorEastAsia" w:hint="eastAsia"/>
          <w:szCs w:val="21"/>
        </w:rPr>
        <w:t>当前一估值日基金资产净值50%以上的资产出现无可参考的活跃市场价格且采用估值技术仍导致公允价值存在重大不确定性时，经与基金托管人协商确认后，基金管理人应当采取暂停接受基金申购申请的措施。</w:t>
      </w:r>
    </w:p>
    <w:p w:rsidR="008762E2" w:rsidRPr="0087389D" w:rsidRDefault="00D71054"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w:t>
      </w:r>
      <w:r w:rsidRPr="0087389D">
        <w:rPr>
          <w:rFonts w:asciiTheme="minorEastAsia" w:eastAsiaTheme="minorEastAsia" w:hAnsiTheme="minorEastAsia"/>
          <w:szCs w:val="21"/>
        </w:rPr>
        <w:t>2）</w:t>
      </w:r>
      <w:r w:rsidR="008762E2" w:rsidRPr="0087389D">
        <w:rPr>
          <w:rFonts w:asciiTheme="minorEastAsia" w:eastAsiaTheme="minorEastAsia" w:hAnsiTheme="minorEastAsia" w:hint="eastAsia"/>
          <w:szCs w:val="21"/>
        </w:rPr>
        <w:t>法律法规规定或中国证监会认定的其他情形。</w:t>
      </w:r>
    </w:p>
    <w:p w:rsidR="00BA4B87" w:rsidRPr="0087389D" w:rsidRDefault="008762E2"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发生上述第（1）、（2）、（3）、（5）、（7）、（8）、（9）、（10）</w:t>
      </w:r>
      <w:r w:rsidR="00D71054" w:rsidRPr="0087389D">
        <w:rPr>
          <w:rFonts w:asciiTheme="minorEastAsia" w:eastAsiaTheme="minorEastAsia" w:hAnsiTheme="minorEastAsia" w:hint="eastAsia"/>
          <w:szCs w:val="21"/>
        </w:rPr>
        <w:t>、</w:t>
      </w:r>
      <w:r w:rsidR="00D71054" w:rsidRPr="0087389D">
        <w:rPr>
          <w:rFonts w:asciiTheme="minorEastAsia" w:eastAsiaTheme="minorEastAsia" w:hAnsiTheme="minorEastAsia"/>
          <w:szCs w:val="21"/>
        </w:rPr>
        <w:t>（</w:t>
      </w:r>
      <w:r w:rsidR="00D71054" w:rsidRPr="0087389D">
        <w:rPr>
          <w:rFonts w:asciiTheme="minorEastAsia" w:eastAsiaTheme="minorEastAsia" w:hAnsiTheme="minorEastAsia" w:hint="eastAsia"/>
          <w:szCs w:val="21"/>
        </w:rPr>
        <w:t>1</w:t>
      </w:r>
      <w:r w:rsidR="00D71054" w:rsidRPr="0087389D">
        <w:rPr>
          <w:rFonts w:asciiTheme="minorEastAsia" w:eastAsiaTheme="minorEastAsia" w:hAnsiTheme="minorEastAsia"/>
          <w:szCs w:val="21"/>
        </w:rPr>
        <w:t>1）</w:t>
      </w:r>
      <w:r w:rsidR="00D71054" w:rsidRPr="0087389D">
        <w:rPr>
          <w:rFonts w:asciiTheme="minorEastAsia" w:eastAsiaTheme="minorEastAsia" w:hAnsiTheme="minorEastAsia" w:hint="eastAsia"/>
          <w:szCs w:val="21"/>
        </w:rPr>
        <w:t>、</w:t>
      </w:r>
      <w:r w:rsidR="00D71054" w:rsidRPr="0087389D">
        <w:rPr>
          <w:rFonts w:asciiTheme="minorEastAsia" w:eastAsiaTheme="minorEastAsia" w:hAnsiTheme="minorEastAsia"/>
          <w:szCs w:val="21"/>
        </w:rPr>
        <w:t>（</w:t>
      </w:r>
      <w:r w:rsidR="00D71054" w:rsidRPr="0087389D">
        <w:rPr>
          <w:rFonts w:asciiTheme="minorEastAsia" w:eastAsiaTheme="minorEastAsia" w:hAnsiTheme="minorEastAsia" w:hint="eastAsia"/>
          <w:szCs w:val="21"/>
        </w:rPr>
        <w:t>1</w:t>
      </w:r>
      <w:r w:rsidR="00D71054" w:rsidRPr="0087389D">
        <w:rPr>
          <w:rFonts w:asciiTheme="minorEastAsia" w:eastAsiaTheme="minorEastAsia" w:hAnsiTheme="minorEastAsia"/>
          <w:szCs w:val="21"/>
        </w:rPr>
        <w:t>2）</w:t>
      </w:r>
      <w:r w:rsidR="002C7E84" w:rsidRPr="0087389D">
        <w:rPr>
          <w:rFonts w:asciiTheme="minorEastAsia" w:eastAsiaTheme="minorEastAsia" w:hAnsiTheme="minorEastAsia" w:hint="eastAsia"/>
          <w:szCs w:val="21"/>
        </w:rPr>
        <w:t>项暂停申购情形且基金管理人决定暂停接受申购时，基金管理人应当根据有关规定在指定</w:t>
      </w:r>
      <w:r w:rsidR="00BB04FF" w:rsidRPr="0087389D">
        <w:rPr>
          <w:rFonts w:asciiTheme="minorEastAsia" w:eastAsiaTheme="minorEastAsia" w:hAnsiTheme="minorEastAsia" w:hint="eastAsia"/>
          <w:szCs w:val="21"/>
        </w:rPr>
        <w:t>媒介</w:t>
      </w:r>
      <w:r w:rsidR="002C7E84" w:rsidRPr="0087389D">
        <w:rPr>
          <w:rFonts w:asciiTheme="minorEastAsia" w:eastAsiaTheme="minorEastAsia" w:hAnsiTheme="minorEastAsia" w:hint="eastAsia"/>
          <w:szCs w:val="21"/>
        </w:rPr>
        <w:t>上刊登暂停申购公告。如果投资人的申购申请被拒绝，被拒绝的申购款项本金将退还给投资人。在暂停申购的情况消除时，基金管理人应及时恢复申购业务的办理。</w:t>
      </w:r>
    </w:p>
    <w:p w:rsidR="00417F69" w:rsidRPr="0087389D" w:rsidRDefault="00BA4B87"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szCs w:val="21"/>
        </w:rPr>
        <w:t>2、</w:t>
      </w:r>
      <w:r w:rsidR="00417F69" w:rsidRPr="0087389D">
        <w:rPr>
          <w:rFonts w:asciiTheme="minorEastAsia" w:eastAsiaTheme="minorEastAsia" w:hAnsiTheme="minorEastAsia"/>
          <w:szCs w:val="21"/>
        </w:rPr>
        <w:t>发生下列情形时，基金管理人可暂停接受投资人的赎回申请或延缓支付赎回款项：</w:t>
      </w:r>
    </w:p>
    <w:p w:rsidR="00580FE0" w:rsidRPr="0087389D" w:rsidRDefault="00580FE0"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（1）因不可抗力导致基金管理人不能支付赎回款项。</w:t>
      </w:r>
    </w:p>
    <w:p w:rsidR="00580FE0" w:rsidRPr="0087389D" w:rsidRDefault="00580FE0"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（2）发生基金合同规定的暂停基金资产估值情况时。</w:t>
      </w:r>
    </w:p>
    <w:p w:rsidR="00580FE0" w:rsidRPr="0087389D" w:rsidRDefault="00580FE0"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（3）本基金投资的证券交易市场临时停止交易。</w:t>
      </w:r>
    </w:p>
    <w:p w:rsidR="00580FE0" w:rsidRPr="0087389D" w:rsidRDefault="00580FE0"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（4）连续两个或两个以上开放日发生巨额赎回。</w:t>
      </w:r>
    </w:p>
    <w:p w:rsidR="002C7E84" w:rsidRPr="0087389D" w:rsidRDefault="00580FE0"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（5）</w:t>
      </w:r>
      <w:r w:rsidR="002C7E84" w:rsidRPr="0087389D">
        <w:rPr>
          <w:rFonts w:asciiTheme="minorEastAsia" w:eastAsiaTheme="minorEastAsia" w:hAnsiTheme="minorEastAsia" w:hint="eastAsia"/>
          <w:szCs w:val="21"/>
        </w:rPr>
        <w:t>基金管理人、基金托管人、登记机构、销售机构、支付结算机构等因异常情况导致基金销售系统、基金销售支付结算系统、基金登记系统、基金会计系统等无法正常运行。</w:t>
      </w:r>
    </w:p>
    <w:p w:rsidR="002C7E84" w:rsidRPr="0087389D" w:rsidRDefault="002C7E84"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（6）本基金的资产组合中的重要部分发生暂停交易或其他重大事件，继续接受赎回可能会影响或损害基金份额持有人利益时。</w:t>
      </w:r>
    </w:p>
    <w:p w:rsidR="008762E2" w:rsidRPr="0087389D" w:rsidRDefault="002C7E84"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（7）</w:t>
      </w:r>
      <w:r w:rsidR="008762E2" w:rsidRPr="0087389D">
        <w:rPr>
          <w:rFonts w:asciiTheme="minorEastAsia" w:eastAsiaTheme="minorEastAsia" w:hAnsiTheme="minorEastAsia" w:hint="eastAsia"/>
          <w:szCs w:val="21"/>
        </w:rPr>
        <w:t>当影子定价确定的基金资产净值与摊余成本法计算的基金资产净值的负偏离度绝对值连续两个交易日超过0.5%。</w:t>
      </w:r>
    </w:p>
    <w:p w:rsidR="00D71054" w:rsidRPr="0087389D" w:rsidRDefault="008762E2"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w:t>
      </w:r>
      <w:r w:rsidRPr="0087389D">
        <w:rPr>
          <w:rFonts w:asciiTheme="minorEastAsia" w:eastAsiaTheme="minorEastAsia" w:hAnsiTheme="minorEastAsia"/>
          <w:szCs w:val="21"/>
        </w:rPr>
        <w:t>8</w:t>
      </w:r>
      <w:r w:rsidRPr="0087389D">
        <w:rPr>
          <w:rFonts w:asciiTheme="minorEastAsia" w:eastAsiaTheme="minorEastAsia" w:hAnsiTheme="minorEastAsia" w:hint="eastAsia"/>
          <w:szCs w:val="21"/>
        </w:rPr>
        <w:t>）</w:t>
      </w:r>
      <w:r w:rsidR="00D71054" w:rsidRPr="0087389D">
        <w:rPr>
          <w:rFonts w:asciiTheme="minorEastAsia" w:eastAsiaTheme="minorEastAsia" w:hAnsiTheme="minorEastAsia" w:hint="eastAsia"/>
          <w:szCs w:val="21"/>
        </w:rPr>
        <w:t>当前一估值日基金资产净值50%以上的资产出现无可参考的活跃市场价格且采用估值技术仍导致公允价值存在重大不确定性时，经与基金托管人协商确认后，基金管理人应当采取延缓支付赎回款或者暂停接受基金赎回申请的措施。</w:t>
      </w:r>
    </w:p>
    <w:p w:rsidR="002C7E84" w:rsidRPr="0087389D" w:rsidRDefault="00D71054"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（9</w:t>
      </w:r>
      <w:r w:rsidRPr="0087389D">
        <w:rPr>
          <w:rFonts w:asciiTheme="minorEastAsia" w:eastAsiaTheme="minorEastAsia" w:hAnsiTheme="minorEastAsia"/>
          <w:szCs w:val="21"/>
        </w:rPr>
        <w:t>）</w:t>
      </w:r>
      <w:r w:rsidR="002C7E84" w:rsidRPr="0087389D">
        <w:rPr>
          <w:rFonts w:asciiTheme="minorEastAsia" w:eastAsiaTheme="minorEastAsia" w:hAnsiTheme="minorEastAsia" w:hint="eastAsia"/>
          <w:szCs w:val="21"/>
        </w:rPr>
        <w:t>法律法规规定或中国证监会认定的其他情形。</w:t>
      </w:r>
    </w:p>
    <w:p w:rsidR="00BA4B87" w:rsidRPr="0087389D" w:rsidRDefault="002C7E84"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发生上述情形且基金管理人决定暂停接受基金份额持有人赎回申请或延缓支付赎回款项时，基金管理人应报中国证监会备案，已确认的赎回申请，基金管理人应足额支付；</w:t>
      </w:r>
      <w:r w:rsidR="006A3FD9" w:rsidRPr="0087389D">
        <w:rPr>
          <w:rFonts w:asciiTheme="minorEastAsia" w:eastAsiaTheme="minorEastAsia" w:hAnsiTheme="minorEastAsia" w:hint="eastAsia"/>
          <w:szCs w:val="21"/>
        </w:rPr>
        <w:t>如暂时不能足额支付，应将可支付部分按单个账户申请量占申请总量的比例分配给赎回申请人，未支付部分可延期支付，并以后续开放日的基金份额净值为依据计算赎回金额</w:t>
      </w:r>
      <w:r w:rsidRPr="0087389D">
        <w:rPr>
          <w:rFonts w:asciiTheme="minorEastAsia" w:eastAsiaTheme="minorEastAsia" w:hAnsiTheme="minorEastAsia" w:hint="eastAsia"/>
          <w:szCs w:val="21"/>
        </w:rPr>
        <w:t>。若出现上述第（4）项所述情形，按基金合同的相关条款处理。基金份额持有人在申请赎回时可事先选</w:t>
      </w:r>
      <w:r w:rsidRPr="0087389D">
        <w:rPr>
          <w:rFonts w:asciiTheme="minorEastAsia" w:eastAsiaTheme="minorEastAsia" w:hAnsiTheme="minorEastAsia" w:hint="eastAsia"/>
          <w:szCs w:val="21"/>
        </w:rPr>
        <w:lastRenderedPageBreak/>
        <w:t>择将当日可能未获受理部分予以撤销。在暂停赎回的情况消除时，基金管理人应及时恢复赎回业务的办理并公告。</w:t>
      </w:r>
    </w:p>
    <w:p w:rsidR="008762E2" w:rsidRPr="0087389D" w:rsidRDefault="008762E2" w:rsidP="00555CE7">
      <w:pPr>
        <w:snapToGrid w:val="0"/>
        <w:spacing w:line="360" w:lineRule="auto"/>
        <w:ind w:firstLineChars="200" w:firstLine="420"/>
        <w:rPr>
          <w:rFonts w:asciiTheme="minorEastAsia" w:eastAsiaTheme="minorEastAsia" w:hAnsiTheme="minorEastAsia"/>
          <w:szCs w:val="21"/>
        </w:rPr>
      </w:pPr>
      <w:bookmarkStart w:id="69" w:name="_Toc319688310"/>
      <w:bookmarkStart w:id="70" w:name="_Toc319693434"/>
      <w:r w:rsidRPr="0087389D">
        <w:rPr>
          <w:rFonts w:asciiTheme="minorEastAsia" w:eastAsiaTheme="minorEastAsia" w:hAnsiTheme="minorEastAsia" w:hint="eastAsia"/>
          <w:szCs w:val="21"/>
        </w:rPr>
        <w:t>为公平对待不同类别基金份额持有人的合法权益，如本基金单个基金份额持有人在单个开放日申请赎回基金份额超过基金总份额10%的，基金管理人可对其采取延期办理部分赎回申请或者延缓支付赎回款项的措施。</w:t>
      </w:r>
    </w:p>
    <w:p w:rsidR="00BA4B87" w:rsidRPr="0087389D" w:rsidRDefault="00BA4B87"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szCs w:val="21"/>
        </w:rPr>
        <w:t>3、暂停申购或赎回的公告和重新开放申购或赎回的公告</w:t>
      </w:r>
      <w:bookmarkEnd w:id="69"/>
      <w:bookmarkEnd w:id="70"/>
    </w:p>
    <w:p w:rsidR="00916FC5" w:rsidRPr="0087389D" w:rsidRDefault="00916FC5"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w:t>
      </w:r>
      <w:r w:rsidR="00AA18B7" w:rsidRPr="0087389D">
        <w:rPr>
          <w:rFonts w:asciiTheme="minorEastAsia" w:eastAsiaTheme="minorEastAsia" w:hAnsiTheme="minorEastAsia" w:hint="eastAsia"/>
          <w:szCs w:val="21"/>
        </w:rPr>
        <w:t>发生上述暂停申购或赎回情况的，基金管理人应在规定期限内在指定</w:t>
      </w:r>
      <w:r w:rsidR="00BB04FF" w:rsidRPr="0087389D">
        <w:rPr>
          <w:rFonts w:asciiTheme="minorEastAsia" w:eastAsiaTheme="minorEastAsia" w:hAnsiTheme="minorEastAsia" w:hint="eastAsia"/>
          <w:szCs w:val="21"/>
        </w:rPr>
        <w:t>媒介</w:t>
      </w:r>
      <w:r w:rsidR="00AA18B7" w:rsidRPr="0087389D">
        <w:rPr>
          <w:rFonts w:asciiTheme="minorEastAsia" w:eastAsiaTheme="minorEastAsia" w:hAnsiTheme="minorEastAsia" w:hint="eastAsia"/>
          <w:szCs w:val="21"/>
        </w:rPr>
        <w:t>上刊登暂停公告</w:t>
      </w:r>
      <w:r w:rsidRPr="0087389D">
        <w:rPr>
          <w:rFonts w:asciiTheme="minorEastAsia" w:eastAsiaTheme="minorEastAsia" w:hAnsiTheme="minorEastAsia"/>
          <w:szCs w:val="21"/>
        </w:rPr>
        <w:t>。</w:t>
      </w:r>
    </w:p>
    <w:p w:rsidR="00BA4B87" w:rsidRPr="0087389D" w:rsidRDefault="00916FC5"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（2）基金管理人可以根据暂停申购或赎回的时间，依照《信息披露办法》的有关规定，最迟于重新开放日在指定</w:t>
      </w:r>
      <w:r w:rsidR="00BB04FF" w:rsidRPr="0087389D">
        <w:rPr>
          <w:rFonts w:asciiTheme="minorEastAsia" w:eastAsiaTheme="minorEastAsia" w:hAnsiTheme="minorEastAsia" w:hint="eastAsia"/>
          <w:szCs w:val="21"/>
        </w:rPr>
        <w:t>媒介</w:t>
      </w:r>
      <w:r w:rsidRPr="0087389D">
        <w:rPr>
          <w:rFonts w:asciiTheme="minorEastAsia" w:eastAsiaTheme="minorEastAsia" w:hAnsiTheme="minorEastAsia" w:hint="eastAsia"/>
          <w:szCs w:val="21"/>
        </w:rPr>
        <w:t>上刊登重新开放申购或赎回的公告；也可以根据实际情况在暂停公告中明确重新开放申购或赎回的时间，届时不再另行发布重新开放的公告。</w:t>
      </w:r>
    </w:p>
    <w:p w:rsidR="00997B5C" w:rsidRPr="0087389D" w:rsidRDefault="00960EF9"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（十二）</w:t>
      </w:r>
      <w:r w:rsidR="00997B5C" w:rsidRPr="0087389D">
        <w:rPr>
          <w:rFonts w:asciiTheme="minorEastAsia" w:eastAsiaTheme="minorEastAsia" w:hAnsiTheme="minorEastAsia" w:hint="eastAsia"/>
          <w:szCs w:val="21"/>
        </w:rPr>
        <w:t>当技术条件成熟，本基金管理人经与基金托管人协商一致，在不违反法律法规且对基金份额持有人利益无实质不利影响的前提下，可安排本基金的一类或多类基金份额在证券交易所上市交易，或者办理基金份额的转让、过户、质押等业务，届时无须召开基金份额持有人大会审议</w:t>
      </w:r>
      <w:r w:rsidR="00BB04FF" w:rsidRPr="0087389D">
        <w:rPr>
          <w:rFonts w:asciiTheme="minorEastAsia" w:eastAsiaTheme="minorEastAsia" w:hAnsiTheme="minorEastAsia" w:hint="eastAsia"/>
          <w:szCs w:val="21"/>
        </w:rPr>
        <w:t>，但应根据相关法规规定进行信息披露</w:t>
      </w:r>
      <w:r w:rsidR="00997B5C" w:rsidRPr="0087389D">
        <w:rPr>
          <w:rFonts w:asciiTheme="minorEastAsia" w:eastAsiaTheme="minorEastAsia" w:hAnsiTheme="minorEastAsia" w:hint="eastAsia"/>
          <w:szCs w:val="21"/>
        </w:rPr>
        <w:t>。</w:t>
      </w:r>
    </w:p>
    <w:p w:rsidR="002C7E84" w:rsidRPr="0087389D" w:rsidRDefault="002C7E84" w:rsidP="00555CE7">
      <w:pPr>
        <w:snapToGrid w:val="0"/>
        <w:spacing w:line="360" w:lineRule="auto"/>
        <w:ind w:firstLineChars="200" w:firstLine="420"/>
        <w:rPr>
          <w:rFonts w:asciiTheme="minorEastAsia" w:eastAsiaTheme="minorEastAsia" w:hAnsiTheme="minorEastAsia"/>
          <w:szCs w:val="21"/>
        </w:rPr>
      </w:pPr>
    </w:p>
    <w:p w:rsidR="008D18EE" w:rsidRPr="0087389D" w:rsidRDefault="008D18EE" w:rsidP="00555CE7">
      <w:pPr>
        <w:snapToGrid w:val="0"/>
        <w:spacing w:line="360" w:lineRule="auto"/>
        <w:ind w:firstLineChars="200" w:firstLine="420"/>
        <w:rPr>
          <w:rFonts w:asciiTheme="minorEastAsia" w:eastAsiaTheme="minorEastAsia" w:hAnsiTheme="minorEastAsia"/>
          <w:szCs w:val="21"/>
        </w:rPr>
      </w:pPr>
    </w:p>
    <w:p w:rsidR="008D18EE" w:rsidRPr="0087389D" w:rsidRDefault="008D18EE" w:rsidP="00555CE7">
      <w:pPr>
        <w:snapToGrid w:val="0"/>
        <w:spacing w:line="360" w:lineRule="auto"/>
        <w:ind w:firstLineChars="200" w:firstLine="420"/>
        <w:rPr>
          <w:rFonts w:asciiTheme="minorEastAsia" w:eastAsiaTheme="minorEastAsia" w:hAnsiTheme="minorEastAsia"/>
          <w:szCs w:val="21"/>
        </w:rPr>
      </w:pPr>
    </w:p>
    <w:p w:rsidR="008D18EE" w:rsidRPr="0087389D" w:rsidRDefault="008D18EE" w:rsidP="00555CE7">
      <w:pPr>
        <w:snapToGrid w:val="0"/>
        <w:spacing w:line="360" w:lineRule="auto"/>
        <w:ind w:firstLineChars="200" w:firstLine="420"/>
        <w:rPr>
          <w:rFonts w:asciiTheme="minorEastAsia" w:eastAsiaTheme="minorEastAsia" w:hAnsiTheme="minorEastAsia"/>
          <w:szCs w:val="21"/>
        </w:rPr>
      </w:pPr>
    </w:p>
    <w:p w:rsidR="008D18EE" w:rsidRPr="0087389D" w:rsidRDefault="008D18EE" w:rsidP="00555CE7">
      <w:pPr>
        <w:snapToGrid w:val="0"/>
        <w:spacing w:line="360" w:lineRule="auto"/>
        <w:ind w:firstLineChars="200" w:firstLine="420"/>
        <w:rPr>
          <w:rFonts w:asciiTheme="minorEastAsia" w:eastAsiaTheme="minorEastAsia" w:hAnsiTheme="minorEastAsia"/>
          <w:szCs w:val="21"/>
        </w:rPr>
      </w:pPr>
    </w:p>
    <w:p w:rsidR="008D18EE" w:rsidRPr="0087389D" w:rsidRDefault="00707A51" w:rsidP="00707A51">
      <w:pPr>
        <w:widowControl/>
        <w:jc w:val="left"/>
        <w:rPr>
          <w:rFonts w:asciiTheme="minorEastAsia" w:eastAsiaTheme="minorEastAsia" w:hAnsiTheme="minorEastAsia"/>
          <w:szCs w:val="21"/>
        </w:rPr>
      </w:pPr>
      <w:r w:rsidRPr="0087389D">
        <w:rPr>
          <w:rFonts w:asciiTheme="minorEastAsia" w:eastAsiaTheme="minorEastAsia" w:hAnsiTheme="minorEastAsia"/>
          <w:szCs w:val="21"/>
        </w:rPr>
        <w:br w:type="page"/>
      </w:r>
    </w:p>
    <w:p w:rsidR="00BA4B87" w:rsidRPr="0087389D" w:rsidRDefault="001A0AE7" w:rsidP="00555CE7">
      <w:pPr>
        <w:pStyle w:val="1"/>
        <w:snapToGrid w:val="0"/>
        <w:spacing w:beforeLines="0" w:afterLines="0" w:line="360" w:lineRule="auto"/>
        <w:ind w:firstLine="602"/>
        <w:rPr>
          <w:rFonts w:asciiTheme="minorEastAsia" w:eastAsiaTheme="minorEastAsia" w:hAnsiTheme="minorEastAsia"/>
          <w:b/>
          <w:sz w:val="30"/>
        </w:rPr>
      </w:pPr>
      <w:bookmarkStart w:id="71" w:name="_Toc361403738"/>
      <w:bookmarkStart w:id="72" w:name="_Toc41644968"/>
      <w:r w:rsidRPr="0087389D">
        <w:rPr>
          <w:rFonts w:asciiTheme="minorEastAsia" w:eastAsiaTheme="minorEastAsia" w:hAnsiTheme="minorEastAsia" w:hint="eastAsia"/>
          <w:b/>
          <w:sz w:val="30"/>
        </w:rPr>
        <w:lastRenderedPageBreak/>
        <w:t>十</w:t>
      </w:r>
      <w:r w:rsidR="00BA4B87" w:rsidRPr="0087389D">
        <w:rPr>
          <w:rFonts w:asciiTheme="minorEastAsia" w:eastAsiaTheme="minorEastAsia" w:hAnsiTheme="minorEastAsia"/>
          <w:b/>
          <w:sz w:val="30"/>
        </w:rPr>
        <w:t>、基金</w:t>
      </w:r>
      <w:r w:rsidR="00CD1960" w:rsidRPr="0087389D">
        <w:rPr>
          <w:rFonts w:asciiTheme="minorEastAsia" w:eastAsiaTheme="minorEastAsia" w:hAnsiTheme="minorEastAsia" w:hint="eastAsia"/>
          <w:b/>
          <w:sz w:val="30"/>
        </w:rPr>
        <w:t>的</w:t>
      </w:r>
      <w:r w:rsidR="00BA4B87" w:rsidRPr="0087389D">
        <w:rPr>
          <w:rFonts w:asciiTheme="minorEastAsia" w:eastAsiaTheme="minorEastAsia" w:hAnsiTheme="minorEastAsia"/>
          <w:b/>
          <w:sz w:val="30"/>
        </w:rPr>
        <w:t>转换</w:t>
      </w:r>
      <w:bookmarkEnd w:id="71"/>
      <w:bookmarkEnd w:id="72"/>
    </w:p>
    <w:p w:rsidR="00CD1960" w:rsidRPr="0087389D" w:rsidRDefault="00CD1960" w:rsidP="00555CE7">
      <w:pPr>
        <w:pStyle w:val="21"/>
        <w:snapToGrid w:val="0"/>
        <w:spacing w:before="0" w:beforeAutospacing="0" w:after="0" w:afterAutospacing="0"/>
        <w:ind w:firstLineChars="0" w:firstLine="420"/>
        <w:rPr>
          <w:rFonts w:asciiTheme="minorEastAsia" w:eastAsiaTheme="minorEastAsia" w:hAnsiTheme="minorEastAsia"/>
          <w:szCs w:val="21"/>
        </w:rPr>
      </w:pPr>
      <w:bookmarkStart w:id="73" w:name="_Toc327734847"/>
      <w:r w:rsidRPr="0087389D">
        <w:rPr>
          <w:rFonts w:asciiTheme="minorEastAsia" w:eastAsiaTheme="minorEastAsia" w:hAnsiTheme="minorEastAsia" w:hint="eastAsia"/>
          <w:szCs w:val="21"/>
        </w:rPr>
        <w:t>（一）基金转换开始日及时间</w:t>
      </w:r>
    </w:p>
    <w:p w:rsidR="00CD1960" w:rsidRPr="0087389D" w:rsidRDefault="00CD1960" w:rsidP="00555CE7">
      <w:pPr>
        <w:pStyle w:val="21"/>
        <w:snapToGrid w:val="0"/>
        <w:spacing w:before="0" w:beforeAutospacing="0" w:after="0" w:afterAutospacing="0"/>
        <w:ind w:firstLineChars="0" w:firstLine="420"/>
        <w:rPr>
          <w:rFonts w:asciiTheme="minorEastAsia" w:eastAsiaTheme="minorEastAsia" w:hAnsiTheme="minorEastAsia"/>
          <w:szCs w:val="21"/>
        </w:rPr>
      </w:pPr>
      <w:r w:rsidRPr="0087389D">
        <w:rPr>
          <w:rFonts w:asciiTheme="minorEastAsia" w:eastAsiaTheme="minorEastAsia" w:hAnsiTheme="minorEastAsia" w:hint="eastAsia"/>
          <w:szCs w:val="21"/>
        </w:rPr>
        <w:t>本基金</w:t>
      </w:r>
      <w:r w:rsidR="001702EF" w:rsidRPr="0087389D">
        <w:rPr>
          <w:rFonts w:asciiTheme="minorEastAsia" w:eastAsiaTheme="minorEastAsia" w:hAnsiTheme="minorEastAsia" w:hint="eastAsia"/>
          <w:szCs w:val="21"/>
        </w:rPr>
        <w:t>A类份额和B类份额</w:t>
      </w:r>
      <w:r w:rsidRPr="0087389D">
        <w:rPr>
          <w:rFonts w:asciiTheme="minorEastAsia" w:eastAsiaTheme="minorEastAsia" w:hAnsiTheme="minorEastAsia" w:hint="eastAsia"/>
          <w:szCs w:val="21"/>
        </w:rPr>
        <w:t>已于</w:t>
      </w:r>
      <w:r w:rsidRPr="0087389D">
        <w:rPr>
          <w:rFonts w:asciiTheme="minorEastAsia" w:eastAsiaTheme="minorEastAsia" w:hAnsiTheme="minorEastAsia"/>
          <w:szCs w:val="21"/>
        </w:rPr>
        <w:t>2014</w:t>
      </w:r>
      <w:r w:rsidRPr="0087389D">
        <w:rPr>
          <w:rFonts w:asciiTheme="minorEastAsia" w:eastAsiaTheme="minorEastAsia" w:hAnsiTheme="minorEastAsia" w:hint="eastAsia"/>
          <w:szCs w:val="21"/>
        </w:rPr>
        <w:t>年</w:t>
      </w:r>
      <w:r w:rsidRPr="0087389D">
        <w:rPr>
          <w:rFonts w:asciiTheme="minorEastAsia" w:eastAsiaTheme="minorEastAsia" w:hAnsiTheme="minorEastAsia"/>
          <w:szCs w:val="21"/>
        </w:rPr>
        <w:t>7</w:t>
      </w:r>
      <w:r w:rsidRPr="0087389D">
        <w:rPr>
          <w:rFonts w:asciiTheme="minorEastAsia" w:eastAsiaTheme="minorEastAsia" w:hAnsiTheme="minorEastAsia" w:hint="eastAsia"/>
          <w:szCs w:val="21"/>
        </w:rPr>
        <w:t>月</w:t>
      </w:r>
      <w:r w:rsidRPr="0087389D">
        <w:rPr>
          <w:rFonts w:asciiTheme="minorEastAsia" w:eastAsiaTheme="minorEastAsia" w:hAnsiTheme="minorEastAsia"/>
          <w:szCs w:val="21"/>
        </w:rPr>
        <w:t>14</w:t>
      </w:r>
      <w:r w:rsidRPr="0087389D">
        <w:rPr>
          <w:rFonts w:asciiTheme="minorEastAsia" w:eastAsiaTheme="minorEastAsia" w:hAnsiTheme="minorEastAsia" w:hint="eastAsia"/>
          <w:szCs w:val="21"/>
        </w:rPr>
        <w:t>日开始办理基金转换业务，具体实施办法参见相关公告。</w:t>
      </w:r>
      <w:r w:rsidR="001702EF" w:rsidRPr="0087389D">
        <w:rPr>
          <w:rFonts w:asciiTheme="minorEastAsia" w:eastAsiaTheme="minorEastAsia" w:hAnsiTheme="minorEastAsia" w:hint="eastAsia"/>
          <w:szCs w:val="21"/>
        </w:rPr>
        <w:t>本基金Y类份额暂未</w:t>
      </w:r>
      <w:r w:rsidR="00613316" w:rsidRPr="0087389D">
        <w:rPr>
          <w:rFonts w:asciiTheme="minorEastAsia" w:eastAsiaTheme="minorEastAsia" w:hAnsiTheme="minorEastAsia" w:hint="eastAsia"/>
          <w:szCs w:val="21"/>
        </w:rPr>
        <w:t>开放</w:t>
      </w:r>
      <w:r w:rsidR="001702EF" w:rsidRPr="0087389D">
        <w:rPr>
          <w:rFonts w:asciiTheme="minorEastAsia" w:eastAsiaTheme="minorEastAsia" w:hAnsiTheme="minorEastAsia" w:hint="eastAsia"/>
          <w:szCs w:val="21"/>
        </w:rPr>
        <w:t>转换业务。</w:t>
      </w:r>
    </w:p>
    <w:p w:rsidR="00CD1960" w:rsidRPr="0087389D" w:rsidRDefault="00CD1960" w:rsidP="00555CE7">
      <w:pPr>
        <w:snapToGrid w:val="0"/>
        <w:spacing w:line="360" w:lineRule="auto"/>
        <w:ind w:firstLine="420"/>
        <w:rPr>
          <w:rFonts w:asciiTheme="minorEastAsia" w:eastAsiaTheme="minorEastAsia" w:hAnsiTheme="minorEastAsia" w:cs="Arial"/>
          <w:szCs w:val="21"/>
        </w:rPr>
      </w:pPr>
      <w:r w:rsidRPr="0087389D">
        <w:rPr>
          <w:rFonts w:asciiTheme="minorEastAsia" w:eastAsiaTheme="minorEastAsia" w:hAnsiTheme="minorEastAsia" w:cs="Arial" w:hint="eastAsia"/>
          <w:szCs w:val="21"/>
        </w:rPr>
        <w:t>上海证券交易所和深圳证券交易所同时开放交易的工作日为本基金办理转换业务的开放日（基金管理人根据法律法规或基金合同的规定公告暂停转换时除外）。开放日的具体业务办理时间为上海证券交易所、深圳证券交易所交易日的交易时间。</w:t>
      </w:r>
      <w:r w:rsidRPr="0087389D">
        <w:rPr>
          <w:rFonts w:asciiTheme="minorEastAsia" w:eastAsiaTheme="minorEastAsia" w:hAnsiTheme="minorEastAsia" w:hint="eastAsia"/>
          <w:bCs/>
          <w:szCs w:val="21"/>
        </w:rPr>
        <w:t>若出现新的证券交易市场、证券交易所交易时间变更或其他特殊情况</w:t>
      </w:r>
      <w:r w:rsidRPr="0087389D">
        <w:rPr>
          <w:rFonts w:asciiTheme="minorEastAsia" w:eastAsiaTheme="minorEastAsia" w:hAnsiTheme="minorEastAsia" w:cs="Arial" w:hint="eastAsia"/>
          <w:szCs w:val="21"/>
        </w:rPr>
        <w:t>，基金管理人将视情况对前述开放日及开放时间进行相应的调整，但应在实施日前依照《信息披露办法》的有关规定在指定</w:t>
      </w:r>
      <w:r w:rsidR="00BB04FF" w:rsidRPr="0087389D">
        <w:rPr>
          <w:rFonts w:asciiTheme="minorEastAsia" w:eastAsiaTheme="minorEastAsia" w:hAnsiTheme="minorEastAsia" w:cs="Arial" w:hint="eastAsia"/>
          <w:szCs w:val="21"/>
        </w:rPr>
        <w:t>媒介</w:t>
      </w:r>
      <w:r w:rsidRPr="0087389D">
        <w:rPr>
          <w:rFonts w:asciiTheme="minorEastAsia" w:eastAsiaTheme="minorEastAsia" w:hAnsiTheme="minorEastAsia" w:cs="Arial" w:hint="eastAsia"/>
          <w:szCs w:val="21"/>
        </w:rPr>
        <w:t>上公告。</w:t>
      </w:r>
    </w:p>
    <w:p w:rsidR="00CD1960" w:rsidRPr="0087389D" w:rsidRDefault="00CD1960" w:rsidP="00555CE7">
      <w:pPr>
        <w:pStyle w:val="21"/>
        <w:snapToGrid w:val="0"/>
        <w:spacing w:before="0" w:beforeAutospacing="0" w:after="0" w:afterAutospacing="0"/>
        <w:ind w:firstLineChars="0" w:firstLine="420"/>
        <w:rPr>
          <w:rFonts w:asciiTheme="minorEastAsia" w:eastAsiaTheme="minorEastAsia" w:hAnsiTheme="minorEastAsia"/>
          <w:szCs w:val="21"/>
        </w:rPr>
      </w:pPr>
      <w:r w:rsidRPr="0087389D">
        <w:rPr>
          <w:rFonts w:asciiTheme="minorEastAsia" w:eastAsiaTheme="minorEastAsia" w:hAnsiTheme="minorEastAsia" w:cs="Arial" w:hint="eastAsia"/>
          <w:szCs w:val="21"/>
        </w:rPr>
        <w:t>投资者需在转出基金和转入基金均有交易的当日，方可办理基金转换业务。</w:t>
      </w:r>
    </w:p>
    <w:p w:rsidR="00CD1960" w:rsidRPr="0087389D" w:rsidRDefault="00CD1960" w:rsidP="00555CE7">
      <w:pPr>
        <w:pStyle w:val="21"/>
        <w:snapToGrid w:val="0"/>
        <w:spacing w:before="0" w:beforeAutospacing="0" w:after="0" w:afterAutospacing="0"/>
        <w:ind w:firstLineChars="0" w:firstLine="420"/>
        <w:rPr>
          <w:rFonts w:asciiTheme="minorEastAsia" w:eastAsiaTheme="minorEastAsia" w:hAnsiTheme="minorEastAsia"/>
          <w:szCs w:val="21"/>
        </w:rPr>
      </w:pPr>
      <w:r w:rsidRPr="0087389D">
        <w:rPr>
          <w:rFonts w:asciiTheme="minorEastAsia" w:eastAsiaTheme="minorEastAsia" w:hAnsiTheme="minorEastAsia" w:hint="eastAsia"/>
          <w:szCs w:val="21"/>
        </w:rPr>
        <w:t>（二）基金转换的原则</w:t>
      </w:r>
    </w:p>
    <w:p w:rsidR="00CD1960" w:rsidRPr="0087389D" w:rsidRDefault="00FA5B52"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w:t>
      </w:r>
      <w:r w:rsidR="00CD1960" w:rsidRPr="0087389D">
        <w:rPr>
          <w:rFonts w:asciiTheme="minorEastAsia" w:eastAsiaTheme="minorEastAsia" w:hAnsiTheme="minorEastAsia" w:hint="eastAsia"/>
          <w:szCs w:val="21"/>
        </w:rPr>
        <w:t>基金转换只能在同一销售机构进行。转换的两只基金必须都是该销售机构销售的同一基金管理人管理的、在同一注册登记机构注册登记的基金。</w:t>
      </w:r>
    </w:p>
    <w:p w:rsidR="00CD1960" w:rsidRPr="0087389D" w:rsidRDefault="00FA5B52"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2、</w:t>
      </w:r>
      <w:r w:rsidR="00CD1960" w:rsidRPr="0087389D">
        <w:rPr>
          <w:rFonts w:asciiTheme="minorEastAsia" w:eastAsiaTheme="minorEastAsia" w:hAnsiTheme="minorEastAsia" w:hint="eastAsia"/>
          <w:szCs w:val="21"/>
        </w:rPr>
        <w:t>基金转换以份额为单位进行申请。投资者可以发起多次基金转换业务，基金转换费用按每笔申请单独计算。转换费用以人民币元为单位，计算结果按照四舍五入方法，保留小数点后两位。</w:t>
      </w:r>
    </w:p>
    <w:p w:rsidR="00CD1960" w:rsidRPr="0087389D" w:rsidRDefault="00FA5B52"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3、</w:t>
      </w:r>
      <w:r w:rsidR="00CD1960" w:rsidRPr="0087389D">
        <w:rPr>
          <w:rFonts w:asciiTheme="minorEastAsia" w:eastAsiaTheme="minorEastAsia" w:hAnsiTheme="minorEastAsia" w:hint="eastAsia"/>
          <w:szCs w:val="21"/>
        </w:rPr>
        <w:t>基金转换采取未知价法，即基金的转换价格以转换申请受理当日各转出、转入基金的份额净值为基准进行计算。</w:t>
      </w:r>
    </w:p>
    <w:p w:rsidR="00CD1960" w:rsidRPr="0087389D" w:rsidRDefault="00FA5B52"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4、</w:t>
      </w:r>
      <w:r w:rsidR="00CD1960" w:rsidRPr="0087389D">
        <w:rPr>
          <w:rFonts w:asciiTheme="minorEastAsia" w:eastAsiaTheme="minorEastAsia" w:hAnsiTheme="minorEastAsia" w:hint="eastAsia"/>
          <w:szCs w:val="21"/>
        </w:rPr>
        <w:t>基金转换后，转入的基金份额的持有期将自转入的基金份额被确认之日起重新开始计算。</w:t>
      </w:r>
    </w:p>
    <w:p w:rsidR="00CD1960" w:rsidRPr="0087389D" w:rsidRDefault="00FA5B52"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5、</w:t>
      </w:r>
      <w:r w:rsidR="00CD1960" w:rsidRPr="0087389D">
        <w:rPr>
          <w:rFonts w:asciiTheme="minorEastAsia" w:eastAsiaTheme="minorEastAsia" w:hAnsiTheme="minorEastAsia" w:hint="eastAsia"/>
          <w:szCs w:val="21"/>
        </w:rPr>
        <w:t>投资者办理基金转换业务时，转出方的基金必须处于可赎回状态，转入方的基金必须处于可申购状态。</w:t>
      </w:r>
    </w:p>
    <w:p w:rsidR="00CD1960" w:rsidRPr="0087389D" w:rsidRDefault="00FA5B52"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6、</w:t>
      </w:r>
      <w:r w:rsidR="00CD1960" w:rsidRPr="0087389D">
        <w:rPr>
          <w:rFonts w:asciiTheme="minorEastAsia" w:eastAsiaTheme="minorEastAsia" w:hAnsiTheme="minorEastAsia" w:hint="eastAsia"/>
          <w:szCs w:val="21"/>
        </w:rPr>
        <w:t>转换业务遵循“先进先出”的业务规则，即份额注册日期在前的先转换出，份额注册日期在后的后转换出，如果转换申请当日，同时有赎回申请的情况下，则遵循先赎回后转换的处理原则。</w:t>
      </w:r>
    </w:p>
    <w:p w:rsidR="00CD1960" w:rsidRPr="0087389D" w:rsidRDefault="00FA5B52"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7、</w:t>
      </w:r>
      <w:r w:rsidR="00CD1960" w:rsidRPr="0087389D">
        <w:rPr>
          <w:rFonts w:asciiTheme="minorEastAsia" w:eastAsiaTheme="minorEastAsia" w:hAnsiTheme="minorEastAsia" w:hint="eastAsia"/>
          <w:szCs w:val="21"/>
        </w:rPr>
        <w:t>转入本基金的份额计算结果保留到小数点后两位，小数点后两位以后的部分四舍五入，由此误差产生的损失由基金财产承担，产生的收益归基金财产所有。</w:t>
      </w:r>
    </w:p>
    <w:p w:rsidR="00CD1960" w:rsidRPr="0087389D" w:rsidRDefault="00CD1960"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（三）基金转换的程序</w:t>
      </w:r>
    </w:p>
    <w:p w:rsidR="00CD1960" w:rsidRPr="0087389D" w:rsidRDefault="00CD1960"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w:t>
      </w:r>
      <w:r w:rsidR="00FA5B52" w:rsidRPr="0087389D">
        <w:rPr>
          <w:rFonts w:asciiTheme="minorEastAsia" w:eastAsiaTheme="minorEastAsia" w:hAnsiTheme="minorEastAsia" w:hint="eastAsia"/>
          <w:szCs w:val="21"/>
        </w:rPr>
        <w:t>、</w:t>
      </w:r>
      <w:r w:rsidRPr="0087389D">
        <w:rPr>
          <w:rFonts w:asciiTheme="minorEastAsia" w:eastAsiaTheme="minorEastAsia" w:hAnsiTheme="minorEastAsia" w:hint="eastAsia"/>
          <w:szCs w:val="21"/>
        </w:rPr>
        <w:t>基金转换的申请方式</w:t>
      </w:r>
    </w:p>
    <w:p w:rsidR="00CD1960" w:rsidRPr="0087389D" w:rsidRDefault="00CD1960"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基金投资者必须根据基金管理人和基金销售机构规定的手续，在开放日的业务办理时间提出转换的申请。</w:t>
      </w:r>
    </w:p>
    <w:p w:rsidR="00CD1960" w:rsidRPr="0087389D" w:rsidRDefault="00CD1960"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提交基金转换申请时，账户中必须有足够可用的转出基金份额余额。</w:t>
      </w:r>
    </w:p>
    <w:p w:rsidR="00CD1960" w:rsidRPr="0087389D" w:rsidRDefault="00CD1960"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2</w:t>
      </w:r>
      <w:r w:rsidR="00FA5B52" w:rsidRPr="0087389D">
        <w:rPr>
          <w:rFonts w:asciiTheme="minorEastAsia" w:eastAsiaTheme="minorEastAsia" w:hAnsiTheme="minorEastAsia" w:hint="eastAsia"/>
          <w:szCs w:val="21"/>
        </w:rPr>
        <w:t>、</w:t>
      </w:r>
      <w:r w:rsidRPr="0087389D">
        <w:rPr>
          <w:rStyle w:val="da"/>
          <w:rFonts w:asciiTheme="minorEastAsia" w:eastAsiaTheme="minorEastAsia" w:hAnsiTheme="minorEastAsia" w:hint="eastAsia"/>
          <w:szCs w:val="21"/>
        </w:rPr>
        <w:t>基金转换申请的确认</w:t>
      </w:r>
    </w:p>
    <w:p w:rsidR="00CD1960" w:rsidRPr="0087389D" w:rsidRDefault="00CD1960"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基金管理人应以交易时间结束前受理有效基金转换申请的当天作为基金转换的申请日</w:t>
      </w:r>
      <w:r w:rsidRPr="0087389D">
        <w:rPr>
          <w:rFonts w:asciiTheme="minorEastAsia" w:eastAsiaTheme="minorEastAsia" w:hAnsiTheme="minorEastAsia" w:hint="eastAsia"/>
          <w:szCs w:val="21"/>
        </w:rPr>
        <w:lastRenderedPageBreak/>
        <w:t>(T日)，在正常情况下，本基金注册登记机构在T+1日前(含T+1日)对该交易的有效性进行确认。T日提交的有效申请，投资人应在T+2日后(包括该日)到销售网点柜台或以销售机构规定的其他方式查询申请的确认情况。</w:t>
      </w:r>
    </w:p>
    <w:p w:rsidR="00CD1960" w:rsidRPr="0087389D" w:rsidRDefault="00CD1960"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（四）基金转换的数额限制</w:t>
      </w:r>
    </w:p>
    <w:p w:rsidR="00CD1960" w:rsidRPr="0087389D" w:rsidRDefault="00CD1960"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基金份额持有人可将其全部或部分基金份额转换成另一只基金，本基金每类基金份额单笔转出申请不得少于1份（</w:t>
      </w:r>
      <w:r w:rsidR="008A2F8B" w:rsidRPr="0087389D">
        <w:rPr>
          <w:rFonts w:asciiTheme="minorEastAsia" w:eastAsiaTheme="minorEastAsia" w:hAnsiTheme="minorEastAsia" w:hint="eastAsia"/>
          <w:szCs w:val="21"/>
        </w:rPr>
        <w:t>如该账户在该销售机构托管的该类基金余额不足</w:t>
      </w:r>
      <w:r w:rsidRPr="0087389D">
        <w:rPr>
          <w:rFonts w:asciiTheme="minorEastAsia" w:eastAsiaTheme="minorEastAsia" w:hAnsiTheme="minorEastAsia" w:hint="eastAsia"/>
          <w:szCs w:val="21"/>
        </w:rPr>
        <w:t>1份，则必须一次性转出该类基金全部份额）；若某笔转换导致投资者在</w:t>
      </w:r>
      <w:r w:rsidR="008A2F8B" w:rsidRPr="0087389D">
        <w:rPr>
          <w:rFonts w:asciiTheme="minorEastAsia" w:eastAsiaTheme="minorEastAsia" w:hAnsiTheme="minorEastAsia" w:hint="eastAsia"/>
          <w:szCs w:val="21"/>
        </w:rPr>
        <w:t>该</w:t>
      </w:r>
      <w:r w:rsidRPr="0087389D">
        <w:rPr>
          <w:rFonts w:asciiTheme="minorEastAsia" w:eastAsiaTheme="minorEastAsia" w:hAnsiTheme="minorEastAsia" w:hint="eastAsia"/>
          <w:szCs w:val="21"/>
        </w:rPr>
        <w:t>销售机构托管的该</w:t>
      </w:r>
      <w:r w:rsidR="008A2F8B" w:rsidRPr="0087389D">
        <w:rPr>
          <w:rFonts w:asciiTheme="minorEastAsia" w:eastAsiaTheme="minorEastAsia" w:hAnsiTheme="minorEastAsia" w:hint="eastAsia"/>
          <w:szCs w:val="21"/>
        </w:rPr>
        <w:t>类</w:t>
      </w:r>
      <w:r w:rsidRPr="0087389D">
        <w:rPr>
          <w:rFonts w:asciiTheme="minorEastAsia" w:eastAsiaTheme="minorEastAsia" w:hAnsiTheme="minorEastAsia" w:hint="eastAsia"/>
          <w:szCs w:val="21"/>
        </w:rPr>
        <w:t>基金余额不足1份时，基金管理人有权将投资者在该销售机构托管的该类基金剩余份额一次性全部赎回。</w:t>
      </w:r>
    </w:p>
    <w:p w:rsidR="00CD1960" w:rsidRPr="0087389D" w:rsidRDefault="00CD1960"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由本公司旗下其它开放式基金转换到本基金B类基金份额时，单笔转换金额不得少于500万元。</w:t>
      </w:r>
    </w:p>
    <w:p w:rsidR="00CD1960" w:rsidRPr="0087389D" w:rsidRDefault="00CD1960"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（五）基金转换费率</w:t>
      </w:r>
    </w:p>
    <w:p w:rsidR="00CD1960" w:rsidRPr="0087389D" w:rsidRDefault="00CD1960"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基金转换费由基金份额持有人承担，由转出基金赎回费用及基金申购补差费用构成，其中赎回费用按照</w:t>
      </w:r>
      <w:r w:rsidR="00123A66" w:rsidRPr="0087389D">
        <w:rPr>
          <w:rFonts w:asciiTheme="minorEastAsia" w:eastAsiaTheme="minorEastAsia" w:hAnsiTheme="minorEastAsia" w:hint="eastAsia"/>
          <w:szCs w:val="21"/>
        </w:rPr>
        <w:t>各基金的</w:t>
      </w:r>
      <w:r w:rsidRPr="0087389D">
        <w:rPr>
          <w:rFonts w:asciiTheme="minorEastAsia" w:eastAsiaTheme="minorEastAsia" w:hAnsiTheme="minorEastAsia" w:hint="eastAsia"/>
          <w:szCs w:val="21"/>
        </w:rPr>
        <w:t>基金合同、更新的招募说明书及最新的相关公告约定的比例归入基金财产，其余部分用于支付注册登记费等相关手续费，具体实施办法和转换费率详见相关公告。转换费用以人民币元为单位，计算结果按照四舍五入方法，保留小数点后两位。</w:t>
      </w:r>
    </w:p>
    <w:p w:rsidR="00CD1960" w:rsidRPr="0087389D" w:rsidRDefault="00FD3D9E"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CD1960" w:rsidRPr="0087389D" w:rsidRDefault="00CD1960"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（六）基金转换份额的计算方式</w:t>
      </w:r>
    </w:p>
    <w:p w:rsidR="00CD1960" w:rsidRPr="0087389D" w:rsidRDefault="00CD1960"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计算公式：</w:t>
      </w:r>
    </w:p>
    <w:p w:rsidR="00CD1960" w:rsidRPr="0087389D" w:rsidRDefault="00CD1960"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A=［B×C×(1-D)/(1+G)+F］/E</w:t>
      </w:r>
    </w:p>
    <w:p w:rsidR="00CD1960" w:rsidRPr="0087389D" w:rsidRDefault="00CD1960"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H=B×C×D</w:t>
      </w:r>
    </w:p>
    <w:p w:rsidR="00CD1960" w:rsidRPr="0087389D" w:rsidRDefault="00CD1960"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J=[B×C×(1-D)/(1+G)]×G</w:t>
      </w:r>
    </w:p>
    <w:p w:rsidR="00CD1960" w:rsidRPr="0087389D" w:rsidRDefault="00CD1960"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其中，A为转入的基金份额；B为转出的基金份额；C为转换申请当日转出基金的基金份额净值；D为转出基金的对应赎回费率；E为转换申请当日转入基金的基金份额净值；</w:t>
      </w:r>
      <w:r w:rsidR="005E253C" w:rsidRPr="0087389D">
        <w:rPr>
          <w:rFonts w:asciiTheme="minorEastAsia" w:eastAsiaTheme="minorEastAsia" w:hAnsiTheme="minorEastAsia" w:hint="eastAsia"/>
          <w:szCs w:val="21"/>
        </w:rPr>
        <w:t>F为货币市场基金全部转出时注册登记机构已支付的未付收益</w:t>
      </w:r>
      <w:r w:rsidRPr="0087389D">
        <w:rPr>
          <w:rFonts w:asciiTheme="minorEastAsia" w:eastAsiaTheme="minorEastAsia" w:hAnsiTheme="minorEastAsia" w:hint="eastAsia"/>
          <w:szCs w:val="21"/>
        </w:rPr>
        <w:t>（仅限转出基金为</w:t>
      </w:r>
      <w:r w:rsidR="00FC2025" w:rsidRPr="0087389D">
        <w:rPr>
          <w:rFonts w:asciiTheme="minorEastAsia" w:eastAsiaTheme="minorEastAsia" w:hAnsiTheme="minorEastAsia" w:hint="eastAsia"/>
          <w:szCs w:val="21"/>
        </w:rPr>
        <w:t>易方达货币市场基金、</w:t>
      </w:r>
      <w:r w:rsidR="00FC2025" w:rsidRPr="0087389D">
        <w:rPr>
          <w:rFonts w:asciiTheme="minorEastAsia" w:eastAsiaTheme="minorEastAsia" w:hAnsiTheme="minorEastAsia" w:hint="eastAsia"/>
          <w:bCs/>
          <w:szCs w:val="21"/>
        </w:rPr>
        <w:t>易方达天天理财货币市场基金、</w:t>
      </w:r>
      <w:r w:rsidR="00FC2025" w:rsidRPr="0087389D">
        <w:rPr>
          <w:rFonts w:asciiTheme="minorEastAsia" w:eastAsiaTheme="minorEastAsia" w:hAnsiTheme="minorEastAsia" w:hint="eastAsia"/>
          <w:szCs w:val="21"/>
        </w:rPr>
        <w:t>易方达财富快线货币市场基金</w:t>
      </w:r>
      <w:r w:rsidR="001702EF" w:rsidRPr="0087389D">
        <w:rPr>
          <w:rFonts w:asciiTheme="minorEastAsia" w:eastAsiaTheme="minorEastAsia" w:hAnsiTheme="minorEastAsia" w:hint="eastAsia"/>
          <w:szCs w:val="21"/>
        </w:rPr>
        <w:t>、</w:t>
      </w:r>
      <w:r w:rsidR="00FC2025" w:rsidRPr="0087389D">
        <w:rPr>
          <w:rFonts w:asciiTheme="minorEastAsia" w:eastAsiaTheme="minorEastAsia" w:hAnsiTheme="minorEastAsia" w:cs="宋体" w:hint="eastAsia"/>
          <w:kern w:val="0"/>
          <w:szCs w:val="21"/>
        </w:rPr>
        <w:t>易方达天天增利货币市场基金</w:t>
      </w:r>
      <w:r w:rsidR="00BE3594" w:rsidRPr="0087389D">
        <w:rPr>
          <w:rFonts w:asciiTheme="minorEastAsia" w:eastAsiaTheme="minorEastAsia" w:hAnsiTheme="minorEastAsia" w:cs="宋体" w:hint="eastAsia"/>
          <w:kern w:val="0"/>
          <w:szCs w:val="21"/>
        </w:rPr>
        <w:t>、易</w:t>
      </w:r>
      <w:r w:rsidR="001702EF" w:rsidRPr="0087389D">
        <w:rPr>
          <w:rFonts w:asciiTheme="minorEastAsia" w:eastAsiaTheme="minorEastAsia" w:hAnsiTheme="minorEastAsia" w:cs="宋体" w:hint="eastAsia"/>
          <w:kern w:val="0"/>
          <w:szCs w:val="21"/>
        </w:rPr>
        <w:t>方达龙宝货币市场基金</w:t>
      </w:r>
      <w:r w:rsidR="00BE3594" w:rsidRPr="0087389D">
        <w:rPr>
          <w:rFonts w:asciiTheme="minorEastAsia" w:eastAsiaTheme="minorEastAsia" w:hAnsiTheme="minorEastAsia" w:cs="宋体" w:hint="eastAsia"/>
          <w:kern w:val="0"/>
          <w:szCs w:val="21"/>
        </w:rPr>
        <w:t>、</w:t>
      </w:r>
      <w:r w:rsidR="008A2F8B" w:rsidRPr="0087389D">
        <w:rPr>
          <w:rFonts w:asciiTheme="minorEastAsia" w:eastAsiaTheme="minorEastAsia" w:hAnsiTheme="minorEastAsia" w:cs="宋体" w:hint="eastAsia"/>
          <w:kern w:val="0"/>
          <w:szCs w:val="21"/>
        </w:rPr>
        <w:t>易方达增金宝货币市场基金、易方达现金增利货币市场基金、</w:t>
      </w:r>
      <w:r w:rsidR="008A2F8B" w:rsidRPr="0087389D">
        <w:rPr>
          <w:rFonts w:asciiTheme="minorEastAsia" w:eastAsiaTheme="minorEastAsia" w:hAnsiTheme="minorEastAsia" w:cs="宋体"/>
          <w:kern w:val="0"/>
          <w:szCs w:val="21"/>
        </w:rPr>
        <w:t>易方达天天发货币市场基金</w:t>
      </w:r>
      <w:r w:rsidR="008A6170" w:rsidRPr="0087389D">
        <w:rPr>
          <w:rFonts w:asciiTheme="minorEastAsia" w:eastAsiaTheme="minorEastAsia" w:hAnsiTheme="minorEastAsia" w:cs="宋体" w:hint="eastAsia"/>
          <w:kern w:val="0"/>
          <w:szCs w:val="21"/>
        </w:rPr>
        <w:t>、易方达易理财货币市场基金</w:t>
      </w:r>
      <w:r w:rsidRPr="0087389D">
        <w:rPr>
          <w:rFonts w:asciiTheme="minorEastAsia" w:eastAsiaTheme="minorEastAsia" w:hAnsiTheme="minorEastAsia" w:hint="eastAsia"/>
          <w:szCs w:val="21"/>
        </w:rPr>
        <w:t>）或者短期理财基金转出时对应的累计未付收益（转出基金为易方达月月利理财债券型证券投资基金</w:t>
      </w:r>
      <w:r w:rsidR="00123A66" w:rsidRPr="0087389D">
        <w:rPr>
          <w:rFonts w:asciiTheme="minorEastAsia" w:eastAsiaTheme="minorEastAsia" w:hAnsiTheme="minorEastAsia" w:hint="eastAsia"/>
          <w:szCs w:val="21"/>
        </w:rPr>
        <w:t>和</w:t>
      </w:r>
      <w:r w:rsidR="008A2F8B" w:rsidRPr="0087389D">
        <w:rPr>
          <w:rFonts w:asciiTheme="minorEastAsia" w:eastAsiaTheme="minorEastAsia" w:hAnsiTheme="minorEastAsia"/>
          <w:szCs w:val="21"/>
        </w:rPr>
        <w:t>易方达掌柜季季盈理财债券型证券投资基金</w:t>
      </w:r>
      <w:r w:rsidRPr="0087389D">
        <w:rPr>
          <w:rFonts w:asciiTheme="minorEastAsia" w:eastAsiaTheme="minorEastAsia" w:hAnsiTheme="minorEastAsia" w:hint="eastAsia"/>
          <w:szCs w:val="21"/>
        </w:rPr>
        <w:t>）；G为对应的申购补差费率；H为转出基金赎回费；J为申购补差费。</w:t>
      </w:r>
    </w:p>
    <w:p w:rsidR="005E253C" w:rsidRPr="0087389D" w:rsidRDefault="005E253C"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注：当投资者在全部转换转出某类货币市场基金份额时，如其未付收益为正，基金份额</w:t>
      </w:r>
      <w:r w:rsidRPr="0087389D">
        <w:rPr>
          <w:rFonts w:asciiTheme="minorEastAsia" w:eastAsiaTheme="minorEastAsia" w:hAnsiTheme="minorEastAsia" w:hint="eastAsia"/>
          <w:szCs w:val="21"/>
        </w:rPr>
        <w:lastRenderedPageBreak/>
        <w:t>对应的未付收益是否与转换转出份额对应的款项一并划转到转换转入的基金，以销售机构和注册登记机构的具体规定为准。当投资者在全部转换转出某类货币市场基金份额时，如其未付收益为负，基金份额对应的未付收益与转换转出份额对应的款项一并划转到转换转入的基金。</w:t>
      </w:r>
    </w:p>
    <w:p w:rsidR="00CD1960" w:rsidRPr="0087389D" w:rsidRDefault="00CD1960"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说明：</w:t>
      </w:r>
    </w:p>
    <w:p w:rsidR="00CD1960" w:rsidRPr="0087389D" w:rsidRDefault="00CD1960"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（1）基金转换费用由转出基金赎回费用及基金申购补差费用两部分构成。</w:t>
      </w:r>
    </w:p>
    <w:p w:rsidR="00CD1960" w:rsidRPr="0087389D" w:rsidRDefault="00CD1960"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2）转入基金时，从申购费用低的基金向申购费用高的基金转换时，每次收取申购补差费用；从申购费用高的基金向申购费用低的基金转换时，不收取申购补差费用（注：对通过直销中心申购实施差别申购费率的特定投资群体基金份额的申购费，以除通过直销中心申购的特定投资群体之外的其他投资者申购费为比较标准）。申购补差费用按照转换金额对应的转出基金与转入基金的申购费率差额进行补差，具体收取情况视每次转换时两只基金的申购费率的差异情况而定。</w:t>
      </w:r>
    </w:p>
    <w:p w:rsidR="00CD1960" w:rsidRPr="0087389D" w:rsidRDefault="00CD1960"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（3）转出基金时，如涉及的转出基金有赎回费用，收取该基金的赎回费用。收取的赎回费按照</w:t>
      </w:r>
      <w:r w:rsidR="008A2F8B" w:rsidRPr="0087389D">
        <w:rPr>
          <w:rFonts w:asciiTheme="minorEastAsia" w:eastAsiaTheme="minorEastAsia" w:hAnsiTheme="minorEastAsia" w:hint="eastAsia"/>
          <w:szCs w:val="21"/>
        </w:rPr>
        <w:t>各基金</w:t>
      </w:r>
      <w:r w:rsidR="008A2F8B" w:rsidRPr="0087389D">
        <w:rPr>
          <w:rFonts w:asciiTheme="minorEastAsia" w:eastAsiaTheme="minorEastAsia" w:hAnsiTheme="minorEastAsia"/>
          <w:szCs w:val="21"/>
        </w:rPr>
        <w:t>的</w:t>
      </w:r>
      <w:r w:rsidRPr="0087389D">
        <w:rPr>
          <w:rFonts w:asciiTheme="minorEastAsia" w:eastAsiaTheme="minorEastAsia" w:hAnsiTheme="minorEastAsia" w:hint="eastAsia"/>
          <w:szCs w:val="21"/>
        </w:rPr>
        <w:t>基金合同、更新的招募说明书及最新的相关公告约定的比例归入基金财产，其余部分用于支付注册登记费等相关手续费。</w:t>
      </w:r>
    </w:p>
    <w:p w:rsidR="00CD1960" w:rsidRPr="0087389D" w:rsidRDefault="00CD1960"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（4）投资者可以发起多次基金转换业务，基金转换费用按每笔申请单独计算。转换费用以人民币元为单位，计算结果按照四舍五入方法，保留小数点后两位。</w:t>
      </w:r>
    </w:p>
    <w:p w:rsidR="00CD1960" w:rsidRPr="0087389D" w:rsidRDefault="00CD1960"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例：假设某持有人（非特定投资群体）持有本基金A类基金份额10,000份，持有100天，现欲转换为易方达策略成长二号混合型证券投资基金；假设转出基金T日的基金份额净值为1.00元，转入基金易方达策略成长二号混合型证券投资基金T日的基金份额净值为1.020元，则转出基金的赎回费率为0，申购补差费率为2.00%。转换份额计算如下：</w:t>
      </w:r>
    </w:p>
    <w:p w:rsidR="00CD1960" w:rsidRPr="0087389D" w:rsidRDefault="00CD1960"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转换金额=转出基金申请份额×转出基金份额净值=10,000×1.00=10,000.00元</w:t>
      </w:r>
    </w:p>
    <w:p w:rsidR="00CD1960" w:rsidRPr="0087389D" w:rsidRDefault="00CD1960"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转出基金赎回费=转换金额×转出基金赎回费率=10,000.00×0.00=0.00元</w:t>
      </w:r>
    </w:p>
    <w:p w:rsidR="00CD1960" w:rsidRPr="0087389D" w:rsidRDefault="00CD1960"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申购补差费=（转换金额-转出基金赎回费）×申购补差费率÷（1＋申购补差费率）=（10,000.00-0.00）×2.0%÷（1+2.0%）=196.08元</w:t>
      </w:r>
    </w:p>
    <w:p w:rsidR="00CD1960" w:rsidRPr="0087389D" w:rsidRDefault="00CD1960"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转换费=转出基金赎回费+申购补差费=0.00+196.08=196.08元</w:t>
      </w:r>
    </w:p>
    <w:p w:rsidR="00CD1960" w:rsidRPr="0087389D" w:rsidRDefault="00CD1960"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转入金额=转换金额-转换费=10,000.00-196.08=9803.92元</w:t>
      </w:r>
    </w:p>
    <w:p w:rsidR="00CD1960" w:rsidRPr="0087389D" w:rsidRDefault="00CD1960"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转入份额=转入金额÷转入基金份额净值=9803.92÷1.020=9611.69份</w:t>
      </w:r>
    </w:p>
    <w:p w:rsidR="00E17B2F" w:rsidRPr="0087389D" w:rsidRDefault="00E17B2F" w:rsidP="00E17B2F">
      <w:pPr>
        <w:adjustRightInd w:val="0"/>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注：本基金转出至易方达平稳增长混合、易方达策略成长混合、易方达上证</w:t>
      </w:r>
      <w:r w:rsidRPr="0087389D">
        <w:rPr>
          <w:rFonts w:asciiTheme="minorEastAsia" w:eastAsiaTheme="minorEastAsia" w:hAnsiTheme="minorEastAsia"/>
        </w:rPr>
        <w:t>50</w:t>
      </w:r>
      <w:r w:rsidRPr="0087389D">
        <w:rPr>
          <w:rFonts w:asciiTheme="minorEastAsia" w:eastAsiaTheme="minorEastAsia" w:hAnsiTheme="minorEastAsia" w:hint="eastAsia"/>
        </w:rPr>
        <w:t>指数、易方达积极成长混合、易方达货币、易方达稳健收益债券时，转入份额的计算结果保留到小数点后两位，小数点两位以后舍去，舍去部分所代表的资产归基金财产所有；本基金转出至易方达天天理财货币、易方达信用债债券、易方达纯债</w:t>
      </w:r>
      <w:r w:rsidRPr="0087389D">
        <w:rPr>
          <w:rFonts w:asciiTheme="minorEastAsia" w:eastAsiaTheme="minorEastAsia" w:hAnsiTheme="minorEastAsia"/>
        </w:rPr>
        <w:t>1</w:t>
      </w:r>
      <w:r w:rsidRPr="0087389D">
        <w:rPr>
          <w:rFonts w:asciiTheme="minorEastAsia" w:eastAsiaTheme="minorEastAsia" w:hAnsiTheme="minorEastAsia" w:hint="eastAsia"/>
        </w:rPr>
        <w:t>年定期开放债券、易方达高等级信用债债券、易方达裕丰回报债券、易方达丰华债券、易方达投资级信用债债券、易方达恒久</w:t>
      </w:r>
      <w:r w:rsidRPr="0087389D">
        <w:rPr>
          <w:rFonts w:asciiTheme="minorEastAsia" w:eastAsiaTheme="minorEastAsia" w:hAnsiTheme="minorEastAsia"/>
        </w:rPr>
        <w:t>1</w:t>
      </w:r>
      <w:r w:rsidRPr="0087389D">
        <w:rPr>
          <w:rFonts w:asciiTheme="minorEastAsia" w:eastAsiaTheme="minorEastAsia" w:hAnsiTheme="minorEastAsia" w:hint="eastAsia"/>
        </w:rPr>
        <w:t>年定期债券、易方达黄金</w:t>
      </w:r>
      <w:r w:rsidRPr="0087389D">
        <w:rPr>
          <w:rFonts w:asciiTheme="minorEastAsia" w:eastAsiaTheme="minorEastAsia" w:hAnsiTheme="minorEastAsia"/>
        </w:rPr>
        <w:t>ETF</w:t>
      </w:r>
      <w:r w:rsidRPr="0087389D">
        <w:rPr>
          <w:rFonts w:asciiTheme="minorEastAsia" w:eastAsiaTheme="minorEastAsia" w:hAnsiTheme="minorEastAsia" w:hint="eastAsia"/>
        </w:rPr>
        <w:t>联接、易方达易理财货币、易方达新兴成长混合、易方达裕</w:t>
      </w:r>
      <w:r w:rsidRPr="0087389D">
        <w:rPr>
          <w:rFonts w:asciiTheme="minorEastAsia" w:eastAsiaTheme="minorEastAsia" w:hAnsiTheme="minorEastAsia" w:hint="eastAsia"/>
        </w:rPr>
        <w:lastRenderedPageBreak/>
        <w:t>惠定开混合发起式、易方达创新驱动混合、易方达现金增利货币、易方达天天增利货币、易方达龙宝货币、易方达天天发货币、易方达掌柜季季盈理财债券、易方达沪深</w:t>
      </w:r>
      <w:r w:rsidRPr="0087389D">
        <w:rPr>
          <w:rFonts w:asciiTheme="minorEastAsia" w:eastAsiaTheme="minorEastAsia" w:hAnsiTheme="minorEastAsia"/>
        </w:rPr>
        <w:t>300</w:t>
      </w:r>
      <w:r w:rsidRPr="0087389D">
        <w:rPr>
          <w:rFonts w:asciiTheme="minorEastAsia" w:eastAsiaTheme="minorEastAsia" w:hAnsiTheme="minorEastAsia" w:hint="eastAsia"/>
        </w:rPr>
        <w:t>非银联接、易方达增金宝货币、易方达新经济混合、易方达改革红利混合、易方达裕如混合、易方达安心回馈混合、易方达新常态混合、易方达新收益混合、易方达新利混合、易方达新鑫混合、易方达新益混合、易方达新享混合、易方达沪深</w:t>
      </w:r>
      <w:r w:rsidRPr="0087389D">
        <w:rPr>
          <w:rFonts w:asciiTheme="minorEastAsia" w:eastAsiaTheme="minorEastAsia" w:hAnsiTheme="minorEastAsia"/>
        </w:rPr>
        <w:t>300</w:t>
      </w:r>
      <w:r w:rsidRPr="0087389D">
        <w:rPr>
          <w:rFonts w:asciiTheme="minorEastAsia" w:eastAsiaTheme="minorEastAsia" w:hAnsiTheme="minorEastAsia" w:hint="eastAsia"/>
        </w:rPr>
        <w:t>医药</w:t>
      </w:r>
      <w:r w:rsidRPr="0087389D">
        <w:rPr>
          <w:rFonts w:asciiTheme="minorEastAsia" w:eastAsiaTheme="minorEastAsia" w:hAnsiTheme="minorEastAsia"/>
        </w:rPr>
        <w:t>ETF</w:t>
      </w:r>
      <w:r w:rsidRPr="0087389D">
        <w:rPr>
          <w:rFonts w:asciiTheme="minorEastAsia" w:eastAsiaTheme="minorEastAsia" w:hAnsiTheme="minorEastAsia" w:hint="eastAsia"/>
        </w:rPr>
        <w:t>联接、易方达新丝路混合、易方达国企改革混合、易方达瑞景混合、易方达瑞享混合、易方达瑞信混合、易方达瑞选混合、易方达国防军工混合、易方达中债</w:t>
      </w:r>
      <w:r w:rsidRPr="0087389D">
        <w:rPr>
          <w:rFonts w:asciiTheme="minorEastAsia" w:eastAsiaTheme="minorEastAsia" w:hAnsiTheme="minorEastAsia"/>
        </w:rPr>
        <w:t>3-5</w:t>
      </w:r>
      <w:r w:rsidRPr="0087389D">
        <w:rPr>
          <w:rFonts w:asciiTheme="minorEastAsia" w:eastAsiaTheme="minorEastAsia" w:hAnsiTheme="minorEastAsia" w:hint="eastAsia"/>
        </w:rPr>
        <w:t>年期国债指数、易方达信息产业混合、易方达瑞和混合、易方达安盈回报混合、易方达瑞财混合、易方达瑞智混合、易方达瑞兴混合、易方达瑞恒混合、易方达瑞祥混合、易方达环保主题混合、易方达现代服务业混合、易方达大健康主题混合、易方达量化策略精选混合、易方达裕祥回报债券、易方达裕景添利</w:t>
      </w:r>
      <w:r w:rsidRPr="0087389D">
        <w:rPr>
          <w:rFonts w:asciiTheme="minorEastAsia" w:eastAsiaTheme="minorEastAsia" w:hAnsiTheme="minorEastAsia"/>
        </w:rPr>
        <w:t>6</w:t>
      </w:r>
      <w:r w:rsidRPr="0087389D">
        <w:rPr>
          <w:rFonts w:asciiTheme="minorEastAsia" w:eastAsiaTheme="minorEastAsia" w:hAnsiTheme="minorEastAsia" w:hint="eastAsia"/>
        </w:rPr>
        <w:t>个月定期开放债券、易方达丰惠混合、易方达供给改革混合、易方达丰和债券、易方达裕鑫债券、易方达富惠纯债债券、易方达科瑞混合、易方达中债</w:t>
      </w:r>
      <w:r w:rsidRPr="0087389D">
        <w:rPr>
          <w:rFonts w:asciiTheme="minorEastAsia" w:eastAsiaTheme="minorEastAsia" w:hAnsiTheme="minorEastAsia"/>
        </w:rPr>
        <w:t>7-10</w:t>
      </w:r>
      <w:r w:rsidRPr="0087389D">
        <w:rPr>
          <w:rFonts w:asciiTheme="minorEastAsia" w:eastAsiaTheme="minorEastAsia" w:hAnsiTheme="minorEastAsia" w:hint="eastAsia"/>
        </w:rPr>
        <w:t>年期国开行债券指数、易方达瑞通混合、易方达瑞弘混合、易方达瑞程混合、易方达恒益定开债券发起式、易方达易百智能量化策略混合、易方达恒安定开债券发起式、易方达港股通红利混合、易方达富财纯债债券、易方达恒信定开债券发起式、易方达蓝筹精选混合、易方达中盘成长混合、易方达鑫转增利混合、易方达鑫转添利混合、易方达鑫转招利混合、易方达恒惠定开债券发起式、易方达安瑞短债债券、易方达科融混合、易方达安悦超短债债券、易方达</w:t>
      </w:r>
      <w:r w:rsidRPr="0087389D">
        <w:rPr>
          <w:rFonts w:asciiTheme="minorEastAsia" w:eastAsiaTheme="minorEastAsia" w:hAnsiTheme="minorEastAsia"/>
        </w:rPr>
        <w:t>MSCI</w:t>
      </w:r>
      <w:r w:rsidRPr="0087389D">
        <w:rPr>
          <w:rFonts w:asciiTheme="minorEastAsia" w:eastAsiaTheme="minorEastAsia" w:hAnsiTheme="minorEastAsia" w:hint="eastAsia"/>
        </w:rPr>
        <w:t>中国</w:t>
      </w:r>
      <w:r w:rsidRPr="0087389D">
        <w:rPr>
          <w:rFonts w:asciiTheme="minorEastAsia" w:eastAsiaTheme="minorEastAsia" w:hAnsiTheme="minorEastAsia"/>
        </w:rPr>
        <w:t>A</w:t>
      </w:r>
      <w:r w:rsidRPr="0087389D">
        <w:rPr>
          <w:rFonts w:asciiTheme="minorEastAsia" w:eastAsiaTheme="minorEastAsia" w:hAnsiTheme="minorEastAsia" w:hint="eastAsia"/>
        </w:rPr>
        <w:t>股国际通</w:t>
      </w:r>
      <w:r w:rsidRPr="0087389D">
        <w:rPr>
          <w:rFonts w:asciiTheme="minorEastAsia" w:eastAsiaTheme="minorEastAsia" w:hAnsiTheme="minorEastAsia"/>
        </w:rPr>
        <w:t>ETF</w:t>
      </w:r>
      <w:r w:rsidRPr="0087389D">
        <w:rPr>
          <w:rFonts w:asciiTheme="minorEastAsia" w:eastAsiaTheme="minorEastAsia" w:hAnsiTheme="minorEastAsia" w:hint="eastAsia"/>
        </w:rPr>
        <w:t>联接发起式、易方达中证</w:t>
      </w:r>
      <w:r w:rsidRPr="0087389D">
        <w:rPr>
          <w:rFonts w:asciiTheme="minorEastAsia" w:eastAsiaTheme="minorEastAsia" w:hAnsiTheme="minorEastAsia"/>
        </w:rPr>
        <w:t>500ETF</w:t>
      </w:r>
      <w:r w:rsidRPr="0087389D">
        <w:rPr>
          <w:rFonts w:asciiTheme="minorEastAsia" w:eastAsiaTheme="minorEastAsia" w:hAnsiTheme="minorEastAsia" w:hint="eastAsia"/>
        </w:rPr>
        <w:t>联接发起式、易方达恒利</w:t>
      </w:r>
      <w:r w:rsidRPr="0087389D">
        <w:rPr>
          <w:rFonts w:asciiTheme="minorEastAsia" w:eastAsiaTheme="minorEastAsia" w:hAnsiTheme="minorEastAsia"/>
        </w:rPr>
        <w:t>3</w:t>
      </w:r>
      <w:r w:rsidRPr="0087389D">
        <w:rPr>
          <w:rFonts w:asciiTheme="minorEastAsia" w:eastAsiaTheme="minorEastAsia" w:hAnsiTheme="minorEastAsia" w:hint="eastAsia"/>
        </w:rPr>
        <w:t>个月定开债券发起式、易方达中债</w:t>
      </w:r>
      <w:r w:rsidRPr="0087389D">
        <w:rPr>
          <w:rFonts w:asciiTheme="minorEastAsia" w:eastAsiaTheme="minorEastAsia" w:hAnsiTheme="minorEastAsia"/>
        </w:rPr>
        <w:t>1-3</w:t>
      </w:r>
      <w:r w:rsidRPr="0087389D">
        <w:rPr>
          <w:rFonts w:asciiTheme="minorEastAsia" w:eastAsiaTheme="minorEastAsia" w:hAnsiTheme="minorEastAsia" w:hint="eastAsia"/>
        </w:rPr>
        <w:t>年国开行债券指数、易方达中债</w:t>
      </w:r>
      <w:r w:rsidRPr="0087389D">
        <w:rPr>
          <w:rFonts w:asciiTheme="minorEastAsia" w:eastAsiaTheme="minorEastAsia" w:hAnsiTheme="minorEastAsia"/>
        </w:rPr>
        <w:t>3-5</w:t>
      </w:r>
      <w:r w:rsidRPr="0087389D">
        <w:rPr>
          <w:rFonts w:asciiTheme="minorEastAsia" w:eastAsiaTheme="minorEastAsia" w:hAnsiTheme="minorEastAsia" w:hint="eastAsia"/>
        </w:rPr>
        <w:t>年国开行债券指数、易方达中债</w:t>
      </w:r>
      <w:r w:rsidRPr="0087389D">
        <w:rPr>
          <w:rFonts w:asciiTheme="minorEastAsia" w:eastAsiaTheme="minorEastAsia" w:hAnsiTheme="minorEastAsia"/>
        </w:rPr>
        <w:t>1-3</w:t>
      </w:r>
      <w:r w:rsidRPr="0087389D">
        <w:rPr>
          <w:rFonts w:asciiTheme="minorEastAsia" w:eastAsiaTheme="minorEastAsia" w:hAnsiTheme="minorEastAsia" w:hint="eastAsia"/>
        </w:rPr>
        <w:t>年政金债指数、易方达中债</w:t>
      </w:r>
      <w:r w:rsidRPr="0087389D">
        <w:rPr>
          <w:rFonts w:asciiTheme="minorEastAsia" w:eastAsiaTheme="minorEastAsia" w:hAnsiTheme="minorEastAsia"/>
        </w:rPr>
        <w:t>3-5</w:t>
      </w:r>
      <w:r w:rsidRPr="0087389D">
        <w:rPr>
          <w:rFonts w:asciiTheme="minorEastAsia" w:eastAsiaTheme="minorEastAsia" w:hAnsiTheme="minorEastAsia" w:hint="eastAsia"/>
        </w:rPr>
        <w:t>年政金债指数、易方达上证</w:t>
      </w:r>
      <w:r w:rsidRPr="0087389D">
        <w:rPr>
          <w:rFonts w:asciiTheme="minorEastAsia" w:eastAsiaTheme="minorEastAsia" w:hAnsiTheme="minorEastAsia"/>
        </w:rPr>
        <w:t>50ETF</w:t>
      </w:r>
      <w:r w:rsidRPr="0087389D">
        <w:rPr>
          <w:rFonts w:asciiTheme="minorEastAsia" w:eastAsiaTheme="minorEastAsia" w:hAnsiTheme="minorEastAsia" w:hint="eastAsia"/>
        </w:rPr>
        <w:t>联接发起式、易方达恒兴</w:t>
      </w:r>
      <w:r w:rsidRPr="0087389D">
        <w:rPr>
          <w:rFonts w:asciiTheme="minorEastAsia" w:eastAsiaTheme="minorEastAsia" w:hAnsiTheme="minorEastAsia"/>
        </w:rPr>
        <w:t>3</w:t>
      </w:r>
      <w:r w:rsidRPr="0087389D">
        <w:rPr>
          <w:rFonts w:asciiTheme="minorEastAsia" w:eastAsiaTheme="minorEastAsia" w:hAnsiTheme="minorEastAsia" w:hint="eastAsia"/>
        </w:rPr>
        <w:t>个月定开债券发起式、易方达</w:t>
      </w:r>
      <w:r w:rsidRPr="0087389D">
        <w:rPr>
          <w:rFonts w:asciiTheme="minorEastAsia" w:eastAsiaTheme="minorEastAsia" w:hAnsiTheme="minorEastAsia"/>
        </w:rPr>
        <w:t>ESG</w:t>
      </w:r>
      <w:r w:rsidRPr="0087389D">
        <w:rPr>
          <w:rFonts w:asciiTheme="minorEastAsia" w:eastAsiaTheme="minorEastAsia" w:hAnsiTheme="minorEastAsia" w:hint="eastAsia"/>
        </w:rPr>
        <w:t>责任投资股票发起式、易方达中证国企一带一路</w:t>
      </w:r>
      <w:r w:rsidRPr="0087389D">
        <w:rPr>
          <w:rFonts w:asciiTheme="minorEastAsia" w:eastAsiaTheme="minorEastAsia" w:hAnsiTheme="minorEastAsia"/>
        </w:rPr>
        <w:t>ETF</w:t>
      </w:r>
      <w:r w:rsidRPr="0087389D">
        <w:rPr>
          <w:rFonts w:asciiTheme="minorEastAsia" w:eastAsiaTheme="minorEastAsia" w:hAnsiTheme="minorEastAsia" w:hint="eastAsia"/>
        </w:rPr>
        <w:t>联接、易方达中证</w:t>
      </w:r>
      <w:r w:rsidRPr="0087389D">
        <w:rPr>
          <w:rFonts w:asciiTheme="minorEastAsia" w:eastAsiaTheme="minorEastAsia" w:hAnsiTheme="minorEastAsia"/>
        </w:rPr>
        <w:t>800ETF</w:t>
      </w:r>
      <w:r w:rsidRPr="0087389D">
        <w:rPr>
          <w:rFonts w:asciiTheme="minorEastAsia" w:eastAsiaTheme="minorEastAsia" w:hAnsiTheme="minorEastAsia" w:hint="eastAsia"/>
        </w:rPr>
        <w:t>联接发起式、易方达恒盛</w:t>
      </w:r>
      <w:r w:rsidRPr="0087389D">
        <w:rPr>
          <w:rFonts w:asciiTheme="minorEastAsia" w:eastAsiaTheme="minorEastAsia" w:hAnsiTheme="minorEastAsia"/>
        </w:rPr>
        <w:t>3</w:t>
      </w:r>
      <w:r w:rsidRPr="0087389D">
        <w:rPr>
          <w:rFonts w:asciiTheme="minorEastAsia" w:eastAsiaTheme="minorEastAsia" w:hAnsiTheme="minorEastAsia" w:hint="eastAsia"/>
        </w:rPr>
        <w:t>个月定开混合发起式、易方达研究精选股票、易方达高端制造混合发起式、易方达价值精选混合、易方达价值成长混合、易方达中小盘混合、易方达科汇灵活配置混合、易方达科翔混合、易方达行业领先混合、易方达增强回报债券、易方达深证</w:t>
      </w:r>
      <w:r w:rsidRPr="0087389D">
        <w:rPr>
          <w:rFonts w:asciiTheme="minorEastAsia" w:eastAsiaTheme="minorEastAsia" w:hAnsiTheme="minorEastAsia"/>
        </w:rPr>
        <w:t>100ETF</w:t>
      </w:r>
      <w:r w:rsidRPr="0087389D">
        <w:rPr>
          <w:rFonts w:asciiTheme="minorEastAsia" w:eastAsiaTheme="minorEastAsia" w:hAnsiTheme="minorEastAsia" w:hint="eastAsia"/>
        </w:rPr>
        <w:t>联接、易方达沪深</w:t>
      </w:r>
      <w:r w:rsidRPr="0087389D">
        <w:rPr>
          <w:rFonts w:asciiTheme="minorEastAsia" w:eastAsiaTheme="minorEastAsia" w:hAnsiTheme="minorEastAsia"/>
        </w:rPr>
        <w:t>300ETF</w:t>
      </w:r>
      <w:r w:rsidRPr="0087389D">
        <w:rPr>
          <w:rFonts w:asciiTheme="minorEastAsia" w:eastAsiaTheme="minorEastAsia" w:hAnsiTheme="minorEastAsia" w:hint="eastAsia"/>
        </w:rPr>
        <w:t>发起式联接、易方达上证中盘</w:t>
      </w:r>
      <w:r w:rsidRPr="0087389D">
        <w:rPr>
          <w:rFonts w:asciiTheme="minorEastAsia" w:eastAsiaTheme="minorEastAsia" w:hAnsiTheme="minorEastAsia"/>
        </w:rPr>
        <w:t>ETF</w:t>
      </w:r>
      <w:r w:rsidRPr="0087389D">
        <w:rPr>
          <w:rFonts w:asciiTheme="minorEastAsia" w:eastAsiaTheme="minorEastAsia" w:hAnsiTheme="minorEastAsia" w:hint="eastAsia"/>
        </w:rPr>
        <w:t>联接、易方达消费行业股票、易方达医疗保健行业混合、易方达资源行业混合、易方达创业板</w:t>
      </w:r>
      <w:r w:rsidRPr="0087389D">
        <w:rPr>
          <w:rFonts w:asciiTheme="minorEastAsia" w:eastAsiaTheme="minorEastAsia" w:hAnsiTheme="minorEastAsia"/>
        </w:rPr>
        <w:t>ETF</w:t>
      </w:r>
      <w:r w:rsidRPr="0087389D">
        <w:rPr>
          <w:rFonts w:asciiTheme="minorEastAsia" w:eastAsiaTheme="minorEastAsia" w:hAnsiTheme="minorEastAsia" w:hint="eastAsia"/>
        </w:rPr>
        <w:t>联接、易方达安心回报债券、易方达科讯混合、易方达沪深</w:t>
      </w:r>
      <w:r w:rsidRPr="0087389D">
        <w:rPr>
          <w:rFonts w:asciiTheme="minorEastAsia" w:eastAsiaTheme="minorEastAsia" w:hAnsiTheme="minorEastAsia"/>
        </w:rPr>
        <w:t>300</w:t>
      </w:r>
      <w:r w:rsidRPr="0087389D">
        <w:rPr>
          <w:rFonts w:asciiTheme="minorEastAsia" w:eastAsiaTheme="minorEastAsia" w:hAnsiTheme="minorEastAsia" w:hint="eastAsia"/>
        </w:rPr>
        <w:t>量化增强、易方达双债增强债券、易方达纯债债券、易方达月月利理财债券、易方达安源中短债债券、易方达策略成长二号混合</w:t>
      </w:r>
      <w:r w:rsidR="00D46974" w:rsidRPr="0087389D">
        <w:rPr>
          <w:rFonts w:asciiTheme="minorEastAsia" w:eastAsiaTheme="minorEastAsia" w:hAnsiTheme="minorEastAsia" w:hint="eastAsia"/>
        </w:rPr>
        <w:t>、易方达裕富债券</w:t>
      </w:r>
      <w:r w:rsidRPr="0087389D">
        <w:rPr>
          <w:rFonts w:asciiTheme="minorEastAsia" w:eastAsiaTheme="minorEastAsia" w:hAnsiTheme="minorEastAsia" w:hint="eastAsia"/>
        </w:rPr>
        <w:t>时，转入份额的计算结果保留到小数点后两位，小数点后两位以后的部分四舍五入，由此误差产生的损失由基金财产承担，产生的收益归基金财产所有。</w:t>
      </w:r>
    </w:p>
    <w:p w:rsidR="00CD1960" w:rsidRPr="0087389D" w:rsidRDefault="00CD1960"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（七）基金转换的注册登记</w:t>
      </w:r>
    </w:p>
    <w:p w:rsidR="00CD1960" w:rsidRPr="0087389D" w:rsidRDefault="00CD1960"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投资者T日申请基金转换成功后，注册登记机构将在T＋1工作日为投资者办理减少转出基金份额、增加转入基金份额的权益登记手续，</w:t>
      </w:r>
      <w:r w:rsidR="002E2BC4" w:rsidRPr="0087389D">
        <w:rPr>
          <w:rFonts w:asciiTheme="minorEastAsia" w:eastAsiaTheme="minorEastAsia" w:hAnsiTheme="minorEastAsia" w:hint="eastAsia"/>
          <w:szCs w:val="21"/>
        </w:rPr>
        <w:t>正常情况下，投资者不晚于</w:t>
      </w:r>
      <w:r w:rsidR="002E2BC4" w:rsidRPr="0087389D">
        <w:rPr>
          <w:rFonts w:asciiTheme="minorEastAsia" w:eastAsiaTheme="minorEastAsia" w:hAnsiTheme="minorEastAsia"/>
          <w:szCs w:val="21"/>
        </w:rPr>
        <w:t>T</w:t>
      </w:r>
      <w:r w:rsidR="002E2BC4" w:rsidRPr="0087389D">
        <w:rPr>
          <w:rFonts w:asciiTheme="minorEastAsia" w:eastAsiaTheme="minorEastAsia" w:hAnsiTheme="minorEastAsia" w:hint="eastAsia"/>
          <w:szCs w:val="21"/>
        </w:rPr>
        <w:t>＋</w:t>
      </w:r>
      <w:r w:rsidR="002E2BC4" w:rsidRPr="0087389D">
        <w:rPr>
          <w:rFonts w:asciiTheme="minorEastAsia" w:eastAsiaTheme="minorEastAsia" w:hAnsiTheme="minorEastAsia"/>
          <w:szCs w:val="21"/>
        </w:rPr>
        <w:t>2</w:t>
      </w:r>
      <w:r w:rsidR="002E2BC4" w:rsidRPr="0087389D">
        <w:rPr>
          <w:rFonts w:asciiTheme="minorEastAsia" w:eastAsiaTheme="minorEastAsia" w:hAnsiTheme="minorEastAsia" w:hint="eastAsia"/>
          <w:szCs w:val="21"/>
        </w:rPr>
        <w:t>工作日起有权赎回转入部分的基金份额，具体以销售机构规定为准</w:t>
      </w:r>
      <w:r w:rsidRPr="0087389D">
        <w:rPr>
          <w:rFonts w:asciiTheme="minorEastAsia" w:eastAsiaTheme="minorEastAsia" w:hAnsiTheme="minorEastAsia" w:hint="eastAsia"/>
          <w:szCs w:val="21"/>
        </w:rPr>
        <w:t>。</w:t>
      </w:r>
    </w:p>
    <w:p w:rsidR="00CD1960" w:rsidRPr="0087389D" w:rsidRDefault="00CD1960"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lastRenderedPageBreak/>
        <w:t>（八）基金转换与巨额赎回</w:t>
      </w:r>
    </w:p>
    <w:p w:rsidR="00CD1960" w:rsidRPr="0087389D" w:rsidRDefault="00CD1960"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单个开放日中，本基金的基金份额净赎回申请（赎回申请份额总数加上基金转换中转出申请份额总数后扣除申购申请份额总数及基金转换中转入申请份额总数后的余额）超过前一开放日的基金总份额的10%，为巨额赎回。发生巨额赎回时，基金转换转出与基金赎回具有相同的优先级，基金管理人可根据基金资产组合情况，决定全额转换转出或部分延期转换转出，并且对于基金转换转出和基金赎回，将采取相同的比例确认（除另有公告外）；在转换转出申请得到部分确认的情况下，未确认的转换转出申请将不予以顺延。</w:t>
      </w:r>
    </w:p>
    <w:p w:rsidR="00CD1960" w:rsidRPr="0087389D" w:rsidRDefault="00CD1960"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（九）拒绝或暂停基金转换的情形</w:t>
      </w:r>
    </w:p>
    <w:p w:rsidR="00CD1960" w:rsidRPr="0087389D" w:rsidRDefault="00FA5B52"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w:t>
      </w:r>
      <w:r w:rsidR="00CD1960" w:rsidRPr="0087389D">
        <w:rPr>
          <w:rFonts w:asciiTheme="minorEastAsia" w:eastAsiaTheme="minorEastAsia" w:hAnsiTheme="minorEastAsia" w:hint="eastAsia"/>
          <w:szCs w:val="21"/>
        </w:rPr>
        <w:t>因不可抗力导致基金管理人无法受理投资者的转换申请。</w:t>
      </w:r>
    </w:p>
    <w:p w:rsidR="00CD1960" w:rsidRPr="0087389D" w:rsidRDefault="00FA5B52"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2、</w:t>
      </w:r>
      <w:r w:rsidR="00CD1960" w:rsidRPr="0087389D">
        <w:rPr>
          <w:rFonts w:asciiTheme="minorEastAsia" w:eastAsiaTheme="minorEastAsia" w:hAnsiTheme="minorEastAsia" w:hint="eastAsia"/>
          <w:szCs w:val="21"/>
        </w:rPr>
        <w:t>发生基金合同规定的暂停基金资产估值情况。</w:t>
      </w:r>
    </w:p>
    <w:p w:rsidR="00CD1960" w:rsidRPr="0087389D" w:rsidRDefault="00FA5B52"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3、</w:t>
      </w:r>
      <w:r w:rsidR="00CD1960" w:rsidRPr="0087389D">
        <w:rPr>
          <w:rFonts w:asciiTheme="minorEastAsia" w:eastAsiaTheme="minorEastAsia" w:hAnsiTheme="minorEastAsia" w:hint="eastAsia"/>
          <w:szCs w:val="21"/>
        </w:rPr>
        <w:t>本基金投资的证券交易市场临时停止交易。</w:t>
      </w:r>
    </w:p>
    <w:p w:rsidR="00CD1960" w:rsidRPr="0087389D" w:rsidRDefault="00FA5B52"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4、</w:t>
      </w:r>
      <w:r w:rsidR="00CD1960" w:rsidRPr="0087389D">
        <w:rPr>
          <w:rFonts w:asciiTheme="minorEastAsia" w:eastAsiaTheme="minorEastAsia" w:hAnsiTheme="minorEastAsia" w:hint="eastAsia"/>
          <w:szCs w:val="21"/>
        </w:rPr>
        <w:t>基金管理人认为接受某笔或某些转换转入申请可能会影响或损害现有基金份额持有人利益时。</w:t>
      </w:r>
    </w:p>
    <w:p w:rsidR="00CD1960" w:rsidRPr="0087389D" w:rsidRDefault="00FA5B52"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5、</w:t>
      </w:r>
      <w:r w:rsidR="00CD1960" w:rsidRPr="0087389D">
        <w:rPr>
          <w:rFonts w:asciiTheme="minorEastAsia" w:eastAsiaTheme="minorEastAsia" w:hAnsiTheme="minorEastAsia" w:hint="eastAsia"/>
          <w:szCs w:val="21"/>
        </w:rPr>
        <w:t>基金资产规模过大，使基金管理人无法找到合适的投资品种，或其他可能对基金业绩产生负面影响，从而损害现有基金份额持有人利益的情形。</w:t>
      </w:r>
    </w:p>
    <w:p w:rsidR="00CD1960" w:rsidRPr="0087389D" w:rsidRDefault="00FA5B52"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6、</w:t>
      </w:r>
      <w:r w:rsidR="005A6CD3" w:rsidRPr="0087389D">
        <w:rPr>
          <w:rFonts w:asciiTheme="minorEastAsia" w:eastAsiaTheme="minorEastAsia" w:hAnsiTheme="minorEastAsia" w:hint="eastAsia"/>
        </w:rPr>
        <w:t>当一笔新的转换转入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r w:rsidR="00CD1960" w:rsidRPr="0087389D">
        <w:rPr>
          <w:rFonts w:asciiTheme="minorEastAsia" w:eastAsiaTheme="minorEastAsia" w:hAnsiTheme="minorEastAsia" w:hint="eastAsia"/>
          <w:szCs w:val="21"/>
        </w:rPr>
        <w:t>。</w:t>
      </w:r>
    </w:p>
    <w:p w:rsidR="00CD1960" w:rsidRPr="0087389D" w:rsidRDefault="00FA5B52"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7、</w:t>
      </w:r>
      <w:r w:rsidR="00CD1960" w:rsidRPr="0087389D">
        <w:rPr>
          <w:rFonts w:asciiTheme="minorEastAsia" w:eastAsiaTheme="minorEastAsia" w:hAnsiTheme="minorEastAsia" w:hint="eastAsia"/>
          <w:szCs w:val="21"/>
        </w:rPr>
        <w:t>基金管理人、基金托管人、登记机构、销售机构、支付结算机构等因异常情况导致基金销售支付结算系统、基金登记系统、基金会计系统等无法正常运行。</w:t>
      </w:r>
    </w:p>
    <w:p w:rsidR="00CD1960" w:rsidRPr="0087389D" w:rsidRDefault="00FA5B52"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8、</w:t>
      </w:r>
      <w:r w:rsidR="00CD1960" w:rsidRPr="0087389D">
        <w:rPr>
          <w:rFonts w:asciiTheme="minorEastAsia" w:eastAsiaTheme="minorEastAsia" w:hAnsiTheme="minorEastAsia" w:hint="eastAsia"/>
          <w:szCs w:val="21"/>
        </w:rPr>
        <w:t>本基金的资产组合中的重要部分发生暂停交易或其他重大事件，继续接受转换转出可能会影响或损害基金份额持有人利益时。</w:t>
      </w:r>
    </w:p>
    <w:p w:rsidR="002C3B6A" w:rsidRPr="0087389D" w:rsidRDefault="002C3B6A" w:rsidP="00555CE7">
      <w:pPr>
        <w:adjustRightInd w:val="0"/>
        <w:snapToGrid w:val="0"/>
        <w:spacing w:line="360" w:lineRule="auto"/>
        <w:ind w:firstLine="420"/>
        <w:rPr>
          <w:rFonts w:asciiTheme="minorEastAsia" w:eastAsiaTheme="minorEastAsia" w:hAnsiTheme="minorEastAsia"/>
          <w:szCs w:val="21"/>
        </w:rPr>
      </w:pPr>
      <w:r w:rsidRPr="0087389D">
        <w:rPr>
          <w:rFonts w:asciiTheme="minorEastAsia" w:eastAsiaTheme="minorEastAsia" w:hAnsiTheme="minorEastAsia" w:hint="eastAsia"/>
          <w:szCs w:val="21"/>
        </w:rPr>
        <w:t>9</w:t>
      </w:r>
      <w:r w:rsidRPr="0087389D">
        <w:rPr>
          <w:rFonts w:asciiTheme="minorEastAsia" w:eastAsiaTheme="minorEastAsia" w:hAnsiTheme="minorEastAsia"/>
          <w:szCs w:val="21"/>
        </w:rPr>
        <w:t>、</w:t>
      </w:r>
      <w:r w:rsidRPr="0087389D">
        <w:rPr>
          <w:rFonts w:asciiTheme="minorEastAsia" w:eastAsiaTheme="minorEastAsia" w:hAnsiTheme="minorEastAsia" w:hint="eastAsia"/>
          <w:szCs w:val="21"/>
        </w:rPr>
        <w:t>为保护基金份额持有人的合法权益，基金管理人可以依照相关法律法规以及基金合同的约定，在特定市场条件下暂停或者拒绝接受一定金额以上的资金转换转入，具体以基金管理人的公告为准。</w:t>
      </w:r>
    </w:p>
    <w:p w:rsidR="002C3B6A" w:rsidRPr="0087389D" w:rsidRDefault="002C3B6A"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kern w:val="0"/>
        </w:rPr>
        <w:t>1</w:t>
      </w:r>
      <w:r w:rsidRPr="0087389D">
        <w:rPr>
          <w:rFonts w:asciiTheme="minorEastAsia" w:eastAsiaTheme="minorEastAsia" w:hAnsiTheme="minorEastAsia"/>
          <w:kern w:val="0"/>
        </w:rPr>
        <w:t>0</w:t>
      </w:r>
      <w:r w:rsidRPr="0087389D">
        <w:rPr>
          <w:rFonts w:asciiTheme="minorEastAsia" w:eastAsiaTheme="minorEastAsia" w:hAnsiTheme="minorEastAsia"/>
          <w:szCs w:val="21"/>
        </w:rPr>
        <w:t>、</w:t>
      </w:r>
      <w:r w:rsidRPr="0087389D">
        <w:rPr>
          <w:rFonts w:asciiTheme="minorEastAsia" w:eastAsiaTheme="minorEastAsia" w:hAnsiTheme="minorEastAsia" w:hint="eastAsia"/>
          <w:kern w:val="0"/>
        </w:rPr>
        <w:t>当影子定价法确定的基金资产净值与摊余成本法计算的基金资产净值的正偏离度绝对值达到0.5%时，可暂停接受投资者的转换转入申请。</w:t>
      </w:r>
    </w:p>
    <w:p w:rsidR="00CD1960" w:rsidRPr="0087389D" w:rsidRDefault="002C3B6A"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szCs w:val="21"/>
        </w:rPr>
        <w:t>11、</w:t>
      </w:r>
      <w:r w:rsidR="00CD1960" w:rsidRPr="0087389D">
        <w:rPr>
          <w:rFonts w:asciiTheme="minorEastAsia" w:eastAsiaTheme="minorEastAsia" w:hAnsiTheme="minorEastAsia" w:hint="eastAsia"/>
          <w:szCs w:val="21"/>
        </w:rPr>
        <w:t>连续两个或两个以上开放日发生巨额赎回。</w:t>
      </w:r>
    </w:p>
    <w:p w:rsidR="002C3B6A" w:rsidRPr="0087389D" w:rsidRDefault="002C3B6A"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w:t>
      </w:r>
      <w:r w:rsidRPr="0087389D">
        <w:rPr>
          <w:rFonts w:asciiTheme="minorEastAsia" w:eastAsiaTheme="minorEastAsia" w:hAnsiTheme="minorEastAsia"/>
          <w:szCs w:val="21"/>
        </w:rPr>
        <w:t>2、</w:t>
      </w:r>
      <w:r w:rsidRPr="0087389D">
        <w:rPr>
          <w:rFonts w:asciiTheme="minorEastAsia" w:eastAsiaTheme="minorEastAsia" w:hAnsiTheme="minorEastAsia" w:hint="eastAsia"/>
          <w:kern w:val="0"/>
        </w:rPr>
        <w:t>当影子定价确定的基金资产净值与摊余成本法计算的基金资产净值的负偏离度绝对值连续两个交易日超过0.5%，可暂停接受投资者的转换转出申请。</w:t>
      </w:r>
    </w:p>
    <w:p w:rsidR="005A6CD3" w:rsidRPr="0087389D" w:rsidRDefault="005A6CD3" w:rsidP="005A6CD3">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kern w:val="0"/>
          <w:szCs w:val="21"/>
        </w:rPr>
        <w:t>1</w:t>
      </w:r>
      <w:r w:rsidRPr="0087389D">
        <w:rPr>
          <w:rFonts w:asciiTheme="minorEastAsia" w:eastAsiaTheme="minorEastAsia" w:hAnsiTheme="minorEastAsia"/>
          <w:kern w:val="0"/>
          <w:szCs w:val="21"/>
        </w:rPr>
        <w:t>3</w:t>
      </w:r>
      <w:r w:rsidRPr="0087389D">
        <w:rPr>
          <w:rFonts w:asciiTheme="minorEastAsia" w:eastAsiaTheme="minorEastAsia" w:hAnsiTheme="minorEastAsia" w:hint="eastAsia"/>
          <w:kern w:val="0"/>
          <w:szCs w:val="21"/>
        </w:rPr>
        <w:t>、</w:t>
      </w:r>
      <w:r w:rsidRPr="0087389D">
        <w:rPr>
          <w:rFonts w:asciiTheme="minorEastAsia" w:eastAsiaTheme="minorEastAsia" w:hAnsiTheme="minorEastAsia" w:hint="eastAsia"/>
        </w:rPr>
        <w:t>基金管理人接受某笔或者某些转换转入申请有可能导致单一投资者持有基金份额的比例达到或者超过50%，或者变相规避50%集中度的情形时。</w:t>
      </w:r>
    </w:p>
    <w:p w:rsidR="005A6CD3" w:rsidRPr="0087389D" w:rsidRDefault="005A6CD3" w:rsidP="005A6CD3">
      <w:pPr>
        <w:snapToGrid w:val="0"/>
        <w:spacing w:line="360" w:lineRule="auto"/>
        <w:ind w:firstLineChars="200" w:firstLine="420"/>
        <w:rPr>
          <w:rFonts w:asciiTheme="minorEastAsia" w:eastAsiaTheme="minorEastAsia" w:hAnsiTheme="minorEastAsia"/>
          <w:kern w:val="0"/>
          <w:szCs w:val="21"/>
        </w:rPr>
      </w:pPr>
      <w:r w:rsidRPr="0087389D">
        <w:rPr>
          <w:rFonts w:asciiTheme="minorEastAsia" w:eastAsiaTheme="minorEastAsia" w:hAnsiTheme="minorEastAsia"/>
        </w:rPr>
        <w:t>14、</w:t>
      </w:r>
      <w:r w:rsidRPr="0087389D">
        <w:rPr>
          <w:rFonts w:asciiTheme="minorEastAsia" w:eastAsiaTheme="minorEastAsia" w:hAnsiTheme="minorEastAsia" w:hint="eastAsia"/>
        </w:rPr>
        <w:t>当前一估值日基金资产净值50%以上的资产出现无可参考的活跃市场价格且采用估</w:t>
      </w:r>
      <w:r w:rsidRPr="0087389D">
        <w:rPr>
          <w:rFonts w:asciiTheme="minorEastAsia" w:eastAsiaTheme="minorEastAsia" w:hAnsiTheme="minorEastAsia" w:hint="eastAsia"/>
        </w:rPr>
        <w:lastRenderedPageBreak/>
        <w:t>值技术仍导致公允价值存在重大不确定性时，经与基金托管人协商确认后，基金管理人应当采取暂停接受基金转换申请的措施。</w:t>
      </w:r>
    </w:p>
    <w:p w:rsidR="005A6CD3" w:rsidRPr="0087389D" w:rsidRDefault="005A6CD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w:t>
      </w:r>
      <w:r w:rsidRPr="0087389D">
        <w:rPr>
          <w:rFonts w:asciiTheme="minorEastAsia" w:eastAsiaTheme="minorEastAsia" w:hAnsiTheme="minorEastAsia"/>
          <w:szCs w:val="21"/>
        </w:rPr>
        <w:t>5、</w:t>
      </w:r>
      <w:r w:rsidRPr="0087389D">
        <w:rPr>
          <w:rFonts w:asciiTheme="minorEastAsia" w:eastAsiaTheme="minorEastAsia" w:hAnsiTheme="minorEastAsia" w:hint="eastAsia"/>
          <w:szCs w:val="21"/>
        </w:rPr>
        <w:t>法律法规规定或中国证监会认定的其他情形。</w:t>
      </w:r>
    </w:p>
    <w:p w:rsidR="00CD1960" w:rsidRPr="0087389D" w:rsidRDefault="00CD1960"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发生上述</w:t>
      </w:r>
      <w:r w:rsidRPr="0087389D">
        <w:rPr>
          <w:rFonts w:asciiTheme="minorEastAsia" w:eastAsiaTheme="minorEastAsia" w:hAnsiTheme="minorEastAsia"/>
          <w:szCs w:val="21"/>
        </w:rPr>
        <w:t>1</w:t>
      </w:r>
      <w:r w:rsidR="00FA5B52" w:rsidRPr="0087389D">
        <w:rPr>
          <w:rFonts w:asciiTheme="minorEastAsia" w:eastAsiaTheme="minorEastAsia" w:hAnsiTheme="minorEastAsia" w:hint="eastAsia"/>
          <w:szCs w:val="21"/>
        </w:rPr>
        <w:t>、2、3、5、6、7、8、9、</w:t>
      </w:r>
      <w:r w:rsidRPr="0087389D">
        <w:rPr>
          <w:rFonts w:asciiTheme="minorEastAsia" w:eastAsiaTheme="minorEastAsia" w:hAnsiTheme="minorEastAsia"/>
          <w:szCs w:val="21"/>
        </w:rPr>
        <w:t>10</w:t>
      </w:r>
      <w:r w:rsidR="00CA545A" w:rsidRPr="0087389D">
        <w:rPr>
          <w:rFonts w:asciiTheme="minorEastAsia" w:eastAsiaTheme="minorEastAsia" w:hAnsiTheme="minorEastAsia" w:hint="eastAsia"/>
          <w:szCs w:val="21"/>
        </w:rPr>
        <w:t>、</w:t>
      </w:r>
      <w:r w:rsidR="00CA545A" w:rsidRPr="0087389D">
        <w:rPr>
          <w:rFonts w:asciiTheme="minorEastAsia" w:eastAsiaTheme="minorEastAsia" w:hAnsiTheme="minorEastAsia"/>
          <w:szCs w:val="21"/>
        </w:rPr>
        <w:t>11、12、13</w:t>
      </w:r>
      <w:r w:rsidR="005A6CD3" w:rsidRPr="0087389D">
        <w:rPr>
          <w:rFonts w:asciiTheme="minorEastAsia" w:eastAsiaTheme="minorEastAsia" w:hAnsiTheme="minorEastAsia" w:hint="eastAsia"/>
          <w:szCs w:val="21"/>
        </w:rPr>
        <w:t>、</w:t>
      </w:r>
      <w:r w:rsidR="005A6CD3" w:rsidRPr="0087389D">
        <w:rPr>
          <w:rFonts w:asciiTheme="minorEastAsia" w:eastAsiaTheme="minorEastAsia" w:hAnsiTheme="minorEastAsia"/>
          <w:szCs w:val="21"/>
        </w:rPr>
        <w:t>14、15</w:t>
      </w:r>
      <w:r w:rsidRPr="0087389D">
        <w:rPr>
          <w:rFonts w:asciiTheme="minorEastAsia" w:eastAsiaTheme="minorEastAsia" w:hAnsiTheme="minorEastAsia" w:hint="eastAsia"/>
          <w:szCs w:val="21"/>
        </w:rPr>
        <w:t>项暂停基金转换时，</w:t>
      </w:r>
      <w:r w:rsidRPr="0087389D">
        <w:rPr>
          <w:rFonts w:asciiTheme="minorEastAsia" w:eastAsiaTheme="minorEastAsia" w:hAnsiTheme="minorEastAsia" w:hint="eastAsia"/>
          <w:bCs/>
          <w:szCs w:val="21"/>
        </w:rPr>
        <w:t>基金管理人应当根据有关规定在指定</w:t>
      </w:r>
      <w:r w:rsidR="00BB04FF" w:rsidRPr="0087389D">
        <w:rPr>
          <w:rFonts w:asciiTheme="minorEastAsia" w:eastAsiaTheme="minorEastAsia" w:hAnsiTheme="minorEastAsia" w:hint="eastAsia"/>
          <w:bCs/>
          <w:szCs w:val="21"/>
        </w:rPr>
        <w:t>媒介</w:t>
      </w:r>
      <w:r w:rsidRPr="0087389D">
        <w:rPr>
          <w:rFonts w:asciiTheme="minorEastAsia" w:eastAsiaTheme="minorEastAsia" w:hAnsiTheme="minorEastAsia" w:hint="eastAsia"/>
          <w:bCs/>
          <w:szCs w:val="21"/>
        </w:rPr>
        <w:t>上刊登相关公告。</w:t>
      </w:r>
    </w:p>
    <w:p w:rsidR="00CD1960" w:rsidRPr="0087389D" w:rsidRDefault="00CD1960"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szCs w:val="21"/>
        </w:rPr>
        <w:t>基金管理人可以根据市场情况在不违背有关法律法规和《基金合同》的规定之前提下调整上述转换的收费方式、费率水平、业务规则及有关限制，但应在调整生效前依照《信息披露办法》的有关规定在指定</w:t>
      </w:r>
      <w:r w:rsidR="00BB04FF" w:rsidRPr="0087389D">
        <w:rPr>
          <w:rFonts w:asciiTheme="minorEastAsia" w:eastAsiaTheme="minorEastAsia" w:hAnsiTheme="minorEastAsia" w:hint="eastAsia"/>
          <w:szCs w:val="21"/>
        </w:rPr>
        <w:t>媒介</w:t>
      </w:r>
      <w:r w:rsidRPr="0087389D">
        <w:rPr>
          <w:rFonts w:asciiTheme="minorEastAsia" w:eastAsiaTheme="minorEastAsia" w:hAnsiTheme="minorEastAsia" w:hint="eastAsia"/>
          <w:szCs w:val="21"/>
        </w:rPr>
        <w:t>上公告。</w:t>
      </w:r>
    </w:p>
    <w:bookmarkEnd w:id="73"/>
    <w:p w:rsidR="00BA4B87" w:rsidRPr="0087389D" w:rsidRDefault="00BA4B87" w:rsidP="00555CE7">
      <w:pPr>
        <w:snapToGrid w:val="0"/>
        <w:spacing w:line="360" w:lineRule="auto"/>
        <w:ind w:firstLineChars="200" w:firstLine="420"/>
        <w:rPr>
          <w:rFonts w:asciiTheme="minorEastAsia" w:eastAsiaTheme="minorEastAsia" w:hAnsiTheme="minorEastAsia"/>
          <w:szCs w:val="21"/>
        </w:rPr>
      </w:pPr>
    </w:p>
    <w:p w:rsidR="00BA4B87" w:rsidRPr="0087389D" w:rsidRDefault="00BA4B87" w:rsidP="00555CE7">
      <w:pPr>
        <w:pStyle w:val="1"/>
        <w:snapToGrid w:val="0"/>
        <w:spacing w:beforeLines="0" w:afterLines="0" w:line="360" w:lineRule="auto"/>
        <w:ind w:firstLine="600"/>
        <w:rPr>
          <w:rFonts w:asciiTheme="minorEastAsia" w:eastAsiaTheme="minorEastAsia" w:hAnsiTheme="minorEastAsia"/>
          <w:b/>
          <w:bCs/>
          <w:kern w:val="44"/>
          <w:sz w:val="28"/>
          <w:szCs w:val="44"/>
        </w:rPr>
      </w:pPr>
      <w:r w:rsidRPr="0087389D">
        <w:rPr>
          <w:rFonts w:asciiTheme="minorEastAsia" w:eastAsiaTheme="minorEastAsia" w:hAnsiTheme="minorEastAsia"/>
          <w:sz w:val="30"/>
        </w:rPr>
        <w:br w:type="column"/>
      </w:r>
      <w:bookmarkStart w:id="74" w:name="_Toc361403739"/>
      <w:bookmarkStart w:id="75" w:name="_Toc41644969"/>
      <w:r w:rsidRPr="0087389D">
        <w:rPr>
          <w:rFonts w:asciiTheme="minorEastAsia" w:eastAsiaTheme="minorEastAsia" w:hAnsiTheme="minorEastAsia"/>
          <w:b/>
          <w:sz w:val="30"/>
        </w:rPr>
        <w:lastRenderedPageBreak/>
        <w:t>十</w:t>
      </w:r>
      <w:r w:rsidR="001A0AE7" w:rsidRPr="0087389D">
        <w:rPr>
          <w:rFonts w:asciiTheme="minorEastAsia" w:eastAsiaTheme="minorEastAsia" w:hAnsiTheme="minorEastAsia" w:hint="eastAsia"/>
          <w:b/>
          <w:sz w:val="30"/>
        </w:rPr>
        <w:t>一</w:t>
      </w:r>
      <w:r w:rsidRPr="0087389D">
        <w:rPr>
          <w:rFonts w:asciiTheme="minorEastAsia" w:eastAsiaTheme="minorEastAsia" w:hAnsiTheme="minorEastAsia"/>
          <w:b/>
          <w:sz w:val="30"/>
        </w:rPr>
        <w:t>、基金的转托管、非交易过户、冻结与解冻</w:t>
      </w:r>
      <w:bookmarkEnd w:id="74"/>
      <w:bookmarkEnd w:id="75"/>
    </w:p>
    <w:p w:rsidR="00BA4B87" w:rsidRPr="0087389D" w:rsidRDefault="00B329B1" w:rsidP="00555CE7">
      <w:pPr>
        <w:snapToGrid w:val="0"/>
        <w:spacing w:line="360" w:lineRule="auto"/>
        <w:ind w:firstLineChars="200" w:firstLine="420"/>
        <w:rPr>
          <w:rFonts w:asciiTheme="minorEastAsia" w:eastAsiaTheme="minorEastAsia" w:hAnsiTheme="minorEastAsia"/>
          <w:szCs w:val="21"/>
        </w:rPr>
      </w:pPr>
      <w:bookmarkStart w:id="76" w:name="_Toc327734850"/>
      <w:bookmarkStart w:id="77" w:name="_Toc79392621"/>
      <w:r w:rsidRPr="0087389D">
        <w:rPr>
          <w:rFonts w:asciiTheme="minorEastAsia" w:eastAsiaTheme="minorEastAsia" w:hAnsiTheme="minorEastAsia"/>
          <w:szCs w:val="21"/>
        </w:rPr>
        <w:t>（</w:t>
      </w:r>
      <w:r w:rsidR="00BA4B87" w:rsidRPr="0087389D">
        <w:rPr>
          <w:rFonts w:asciiTheme="minorEastAsia" w:eastAsiaTheme="minorEastAsia" w:hAnsiTheme="minorEastAsia"/>
          <w:szCs w:val="21"/>
        </w:rPr>
        <w:t>一</w:t>
      </w:r>
      <w:r w:rsidRPr="0087389D">
        <w:rPr>
          <w:rFonts w:asciiTheme="minorEastAsia" w:eastAsiaTheme="minorEastAsia" w:hAnsiTheme="minorEastAsia"/>
          <w:szCs w:val="21"/>
        </w:rPr>
        <w:t>）</w:t>
      </w:r>
      <w:r w:rsidR="00401F67" w:rsidRPr="0087389D">
        <w:rPr>
          <w:rFonts w:asciiTheme="minorEastAsia" w:eastAsiaTheme="minorEastAsia" w:hAnsiTheme="minorEastAsia"/>
          <w:szCs w:val="21"/>
        </w:rPr>
        <w:t>基金的</w:t>
      </w:r>
      <w:r w:rsidR="00BA4B87" w:rsidRPr="0087389D">
        <w:rPr>
          <w:rFonts w:asciiTheme="minorEastAsia" w:eastAsiaTheme="minorEastAsia" w:hAnsiTheme="minorEastAsia"/>
          <w:szCs w:val="21"/>
        </w:rPr>
        <w:t>转托管</w:t>
      </w:r>
      <w:bookmarkEnd w:id="76"/>
    </w:p>
    <w:p w:rsidR="00BA2C14" w:rsidRPr="0087389D" w:rsidRDefault="00AB246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基金份额持有人可办理已持有基金份额在不同销售机构之间的转托管，基金销售机构可以按照规定的标准收取转托管费。</w:t>
      </w:r>
      <w:r w:rsidR="00A531C2" w:rsidRPr="0087389D">
        <w:rPr>
          <w:rFonts w:asciiTheme="minorEastAsia" w:eastAsiaTheme="minorEastAsia" w:hAnsiTheme="minorEastAsia" w:hint="eastAsia"/>
          <w:szCs w:val="21"/>
        </w:rPr>
        <w:t>具体办理方法参照《业务规则》的有关规定。</w:t>
      </w:r>
    </w:p>
    <w:p w:rsidR="00BA4B87" w:rsidRPr="0087389D" w:rsidRDefault="00B329B1" w:rsidP="00555CE7">
      <w:pPr>
        <w:snapToGrid w:val="0"/>
        <w:spacing w:line="360" w:lineRule="auto"/>
        <w:ind w:firstLineChars="200" w:firstLine="420"/>
        <w:rPr>
          <w:rFonts w:asciiTheme="minorEastAsia" w:eastAsiaTheme="minorEastAsia" w:hAnsiTheme="minorEastAsia"/>
          <w:szCs w:val="21"/>
        </w:rPr>
      </w:pPr>
      <w:bookmarkStart w:id="78" w:name="_Toc327734851"/>
      <w:r w:rsidRPr="0087389D">
        <w:rPr>
          <w:rFonts w:asciiTheme="minorEastAsia" w:eastAsiaTheme="minorEastAsia" w:hAnsiTheme="minorEastAsia"/>
          <w:szCs w:val="21"/>
        </w:rPr>
        <w:t>（</w:t>
      </w:r>
      <w:r w:rsidR="00BA4B87" w:rsidRPr="0087389D">
        <w:rPr>
          <w:rFonts w:asciiTheme="minorEastAsia" w:eastAsiaTheme="minorEastAsia" w:hAnsiTheme="minorEastAsia"/>
          <w:szCs w:val="21"/>
        </w:rPr>
        <w:t>二</w:t>
      </w:r>
      <w:r w:rsidRPr="0087389D">
        <w:rPr>
          <w:rFonts w:asciiTheme="minorEastAsia" w:eastAsiaTheme="minorEastAsia" w:hAnsiTheme="minorEastAsia"/>
          <w:szCs w:val="21"/>
        </w:rPr>
        <w:t>）</w:t>
      </w:r>
      <w:r w:rsidR="00BA4B87" w:rsidRPr="0087389D">
        <w:rPr>
          <w:rFonts w:asciiTheme="minorEastAsia" w:eastAsiaTheme="minorEastAsia" w:hAnsiTheme="minorEastAsia"/>
          <w:szCs w:val="21"/>
        </w:rPr>
        <w:t>基金的非交易过户</w:t>
      </w:r>
      <w:bookmarkEnd w:id="78"/>
    </w:p>
    <w:p w:rsidR="00AB2463" w:rsidRPr="0087389D" w:rsidRDefault="00AB246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基金的非交易过户是指不采用申购、赎回等基金交易方式，将一定数量的基金份额按照一定规则从某一投资者基金账户转移到另一投资者基金账户的行为。</w:t>
      </w:r>
    </w:p>
    <w:p w:rsidR="00AB2463" w:rsidRPr="0087389D" w:rsidRDefault="00AB246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BA2C14" w:rsidRPr="0087389D" w:rsidRDefault="00AB246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BA4B87" w:rsidRPr="0087389D" w:rsidRDefault="00B329B1" w:rsidP="00555CE7">
      <w:pPr>
        <w:snapToGrid w:val="0"/>
        <w:spacing w:line="360" w:lineRule="auto"/>
        <w:ind w:firstLineChars="200" w:firstLine="420"/>
        <w:rPr>
          <w:rFonts w:asciiTheme="minorEastAsia" w:eastAsiaTheme="minorEastAsia" w:hAnsiTheme="minorEastAsia"/>
          <w:szCs w:val="21"/>
        </w:rPr>
      </w:pPr>
      <w:bookmarkStart w:id="79" w:name="_Toc327734852"/>
      <w:r w:rsidRPr="0087389D">
        <w:rPr>
          <w:rFonts w:asciiTheme="minorEastAsia" w:eastAsiaTheme="minorEastAsia" w:hAnsiTheme="minorEastAsia"/>
          <w:szCs w:val="21"/>
        </w:rPr>
        <w:t>（</w:t>
      </w:r>
      <w:r w:rsidR="00BA4B87" w:rsidRPr="0087389D">
        <w:rPr>
          <w:rFonts w:asciiTheme="minorEastAsia" w:eastAsiaTheme="minorEastAsia" w:hAnsiTheme="minorEastAsia"/>
          <w:szCs w:val="21"/>
        </w:rPr>
        <w:t>三</w:t>
      </w:r>
      <w:r w:rsidRPr="0087389D">
        <w:rPr>
          <w:rFonts w:asciiTheme="minorEastAsia" w:eastAsiaTheme="minorEastAsia" w:hAnsiTheme="minorEastAsia"/>
          <w:szCs w:val="21"/>
        </w:rPr>
        <w:t>）</w:t>
      </w:r>
      <w:r w:rsidR="00BA4B87" w:rsidRPr="0087389D">
        <w:rPr>
          <w:rFonts w:asciiTheme="minorEastAsia" w:eastAsiaTheme="minorEastAsia" w:hAnsiTheme="minorEastAsia"/>
          <w:szCs w:val="21"/>
        </w:rPr>
        <w:t>基金的冻结与解冻</w:t>
      </w:r>
      <w:bookmarkEnd w:id="79"/>
    </w:p>
    <w:p w:rsidR="00BA4B87" w:rsidRPr="0087389D" w:rsidRDefault="00AB246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基金登记机构只受理国家有权机关依法要求的基金份额的冻结与解冻，以及登记机构认可、符合法律法规的其他情况下的冻结与解冻。</w:t>
      </w:r>
    </w:p>
    <w:bookmarkEnd w:id="77"/>
    <w:p w:rsidR="00BA4B87" w:rsidRPr="0087389D" w:rsidRDefault="00BA4B87" w:rsidP="00555CE7">
      <w:pPr>
        <w:pStyle w:val="1"/>
        <w:snapToGrid w:val="0"/>
        <w:spacing w:beforeLines="0" w:afterLines="0" w:line="360" w:lineRule="auto"/>
        <w:ind w:firstLine="640"/>
        <w:rPr>
          <w:rFonts w:asciiTheme="minorEastAsia" w:eastAsiaTheme="minorEastAsia" w:hAnsiTheme="minorEastAsia"/>
          <w:b/>
          <w:szCs w:val="21"/>
        </w:rPr>
      </w:pPr>
      <w:r w:rsidRPr="0087389D">
        <w:rPr>
          <w:rFonts w:asciiTheme="minorEastAsia" w:eastAsiaTheme="minorEastAsia" w:hAnsiTheme="minorEastAsia"/>
        </w:rPr>
        <w:br w:type="column"/>
      </w:r>
      <w:bookmarkStart w:id="80" w:name="_Toc361403740"/>
      <w:bookmarkStart w:id="81" w:name="_Toc41644970"/>
      <w:r w:rsidRPr="0087389D">
        <w:rPr>
          <w:rFonts w:asciiTheme="minorEastAsia" w:eastAsiaTheme="minorEastAsia" w:hAnsiTheme="minorEastAsia"/>
          <w:b/>
          <w:sz w:val="30"/>
        </w:rPr>
        <w:lastRenderedPageBreak/>
        <w:t>十</w:t>
      </w:r>
      <w:r w:rsidR="001A0AE7" w:rsidRPr="0087389D">
        <w:rPr>
          <w:rFonts w:asciiTheme="minorEastAsia" w:eastAsiaTheme="minorEastAsia" w:hAnsiTheme="minorEastAsia" w:hint="eastAsia"/>
          <w:b/>
          <w:sz w:val="30"/>
        </w:rPr>
        <w:t>二</w:t>
      </w:r>
      <w:r w:rsidRPr="0087389D">
        <w:rPr>
          <w:rFonts w:asciiTheme="minorEastAsia" w:eastAsiaTheme="minorEastAsia" w:hAnsiTheme="minorEastAsia"/>
          <w:b/>
          <w:sz w:val="30"/>
        </w:rPr>
        <w:t>、基金的投资</w:t>
      </w:r>
      <w:bookmarkEnd w:id="80"/>
      <w:bookmarkEnd w:id="81"/>
    </w:p>
    <w:p w:rsidR="00916FC5" w:rsidRPr="0087389D" w:rsidRDefault="00916FC5"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（一）</w:t>
      </w:r>
      <w:r w:rsidRPr="0087389D">
        <w:rPr>
          <w:rFonts w:asciiTheme="minorEastAsia" w:eastAsiaTheme="minorEastAsia" w:hAnsiTheme="minorEastAsia"/>
          <w:bCs/>
          <w:szCs w:val="21"/>
        </w:rPr>
        <w:t>投资目标</w:t>
      </w:r>
    </w:p>
    <w:p w:rsidR="00916FC5" w:rsidRPr="0087389D" w:rsidRDefault="00916FC5"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在有效控制投资风险和保持高流动性的基础上，力争获得高于业绩比较基准的投资回报。</w:t>
      </w:r>
    </w:p>
    <w:p w:rsidR="00916FC5" w:rsidRPr="0087389D" w:rsidRDefault="00916FC5"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（二）</w:t>
      </w:r>
      <w:r w:rsidRPr="0087389D">
        <w:rPr>
          <w:rFonts w:asciiTheme="minorEastAsia" w:eastAsiaTheme="minorEastAsia" w:hAnsiTheme="minorEastAsia"/>
          <w:bCs/>
          <w:szCs w:val="21"/>
        </w:rPr>
        <w:t>投资范围</w:t>
      </w:r>
    </w:p>
    <w:p w:rsidR="00916FC5" w:rsidRPr="0087389D" w:rsidRDefault="008762E2"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szCs w:val="21"/>
        </w:rPr>
        <w:t>本基金的投资范围为具有良好流动性的金融工具，包括现金，期限在一年以内（含一年）的银行存款、债券回购、中央银行票据、同业存单，剩余期限在397天以内（含397天）的债券、非金融企业债务融资工具、资产支持证券，以及法律法规或中国证监会、中国人民银行认可的其他具有良好流动性的货币市场工具</w:t>
      </w:r>
      <w:r w:rsidR="00916FC5" w:rsidRPr="0087389D">
        <w:rPr>
          <w:rFonts w:asciiTheme="minorEastAsia" w:eastAsiaTheme="minorEastAsia" w:hAnsiTheme="minorEastAsia" w:hint="eastAsia"/>
          <w:szCs w:val="21"/>
        </w:rPr>
        <w:t>。</w:t>
      </w:r>
    </w:p>
    <w:p w:rsidR="00916FC5" w:rsidRPr="0087389D" w:rsidRDefault="00916FC5"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如法律法规或监管机构以后对货币市场基金的投资范围与限制进行调整，本基金将随之调整。</w:t>
      </w:r>
    </w:p>
    <w:p w:rsidR="00916FC5" w:rsidRPr="0087389D" w:rsidRDefault="00916FC5"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（三）</w:t>
      </w:r>
      <w:r w:rsidRPr="0087389D">
        <w:rPr>
          <w:rFonts w:asciiTheme="minorEastAsia" w:eastAsiaTheme="minorEastAsia" w:hAnsiTheme="minorEastAsia"/>
          <w:bCs/>
          <w:szCs w:val="21"/>
        </w:rPr>
        <w:t>投资策略</w:t>
      </w:r>
    </w:p>
    <w:p w:rsidR="00916FC5" w:rsidRPr="0087389D" w:rsidRDefault="00916FC5"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本基金利用定性分析和定量分析方法，通过对短期金融工具的积极投资，在</w:t>
      </w:r>
      <w:r w:rsidRPr="0087389D">
        <w:rPr>
          <w:rFonts w:asciiTheme="minorEastAsia" w:eastAsiaTheme="minorEastAsia" w:hAnsiTheme="minorEastAsia" w:hint="eastAsia"/>
          <w:szCs w:val="21"/>
        </w:rPr>
        <w:t>有效控制投资风险和保持高流动性的基础上，力争获得高于业绩比较基准的投资回报</w:t>
      </w:r>
      <w:r w:rsidRPr="0087389D">
        <w:rPr>
          <w:rFonts w:asciiTheme="minorEastAsia" w:eastAsiaTheme="minorEastAsia" w:hAnsiTheme="minorEastAsia" w:hint="eastAsia"/>
          <w:bCs/>
          <w:szCs w:val="21"/>
        </w:rPr>
        <w:t>。</w:t>
      </w:r>
    </w:p>
    <w:p w:rsidR="00916FC5" w:rsidRPr="0087389D" w:rsidRDefault="00916FC5"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1、资产配置策略</w:t>
      </w:r>
    </w:p>
    <w:p w:rsidR="00916FC5" w:rsidRPr="0087389D" w:rsidRDefault="00916FC5"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基金管理人根据市场情况和可投资品种的容量，在严谨深入的研究分析基础上，综合考量市场资金面走向、存款银行的信用资质、信用债券的信用评级以及各类资产的收益率水平、流动性特征等，确定各类资产的配置比例。</w:t>
      </w:r>
    </w:p>
    <w:p w:rsidR="00916FC5" w:rsidRPr="0087389D" w:rsidRDefault="00916FC5"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2、杠杆投资策略</w:t>
      </w:r>
    </w:p>
    <w:p w:rsidR="00916FC5" w:rsidRPr="0087389D" w:rsidRDefault="00916FC5"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本基金将对回购利率与短期债券收益率、存款利率进行比较，并在对资金面进行综合分析的基础上，判断利差套利空间，并确定杠杆操作策略。</w:t>
      </w:r>
    </w:p>
    <w:p w:rsidR="00916FC5" w:rsidRPr="0087389D" w:rsidRDefault="00916FC5"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3、银行存款及</w:t>
      </w:r>
      <w:r w:rsidR="008762E2" w:rsidRPr="0087389D">
        <w:rPr>
          <w:rFonts w:asciiTheme="minorEastAsia" w:eastAsiaTheme="minorEastAsia" w:hAnsiTheme="minorEastAsia" w:hint="eastAsia"/>
          <w:bCs/>
          <w:szCs w:val="21"/>
        </w:rPr>
        <w:t>同业</w:t>
      </w:r>
      <w:r w:rsidRPr="0087389D">
        <w:rPr>
          <w:rFonts w:asciiTheme="minorEastAsia" w:eastAsiaTheme="minorEastAsia" w:hAnsiTheme="minorEastAsia" w:hint="eastAsia"/>
          <w:bCs/>
          <w:szCs w:val="21"/>
        </w:rPr>
        <w:t>存单投资策略</w:t>
      </w:r>
    </w:p>
    <w:p w:rsidR="00916FC5" w:rsidRPr="0087389D" w:rsidRDefault="00916FC5"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本基金在向交易对手银行进行询价的基础上，选取利率报价较高的银行进行存款投资，在投资过程中基于对交易对手信用风险的评估，选择交易对手。当银行存款投资具有较高投资价值时，本基金存款投资比例上限最高可达100%。</w:t>
      </w:r>
    </w:p>
    <w:p w:rsidR="00916FC5" w:rsidRPr="0087389D" w:rsidRDefault="00916FC5"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4、债券回购投资策略</w:t>
      </w:r>
    </w:p>
    <w:p w:rsidR="00916FC5" w:rsidRPr="0087389D" w:rsidRDefault="00916FC5"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本基金基于对资金面走势的判断，选择回购品种和期限。若资产配置中有逆回购，则在判断资金面趋于宽松的情况下，优先进行相对较长期限逆回购配置；反之，则进行相对较短期限逆回购操作。在组合进行杠杆操作时，根据资金面的松紧，决定正回购的操作期限。</w:t>
      </w:r>
    </w:p>
    <w:p w:rsidR="00916FC5" w:rsidRPr="0087389D" w:rsidRDefault="00916FC5"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5、利率品种的投资策略</w:t>
      </w:r>
    </w:p>
    <w:p w:rsidR="00916FC5" w:rsidRPr="0087389D" w:rsidRDefault="00916FC5"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本基金对国债、央行票据等利率品种的投资，是在对国内、国外经济趋势进行分析和预测基础上，运用数量方法，对利率期限结构变化趋势和债券市场供求关系变化进行分析和预测，深入分析利率品种的收益和风险，并据此调整债券组合的平均久期。在确定组合平均久期后，本基金对债券的期限结构进行分析，运用统计和数量分析技术，选择合适的期限结构配置策略，在合理控制风险的前提下，综合考虑组合的流动性，决定投资品种。</w:t>
      </w:r>
    </w:p>
    <w:p w:rsidR="00916FC5" w:rsidRPr="0087389D" w:rsidRDefault="00916FC5"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lastRenderedPageBreak/>
        <w:t>6、信用品种的投资策略</w:t>
      </w:r>
    </w:p>
    <w:p w:rsidR="00916FC5" w:rsidRPr="0087389D" w:rsidRDefault="00916FC5"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基金管理人通过“内部信用评级体系”对市场公开发行的短期融资券、中期票据、企业债、公司债和可分离转债存债等信用品种进行研究和筛选，形成信用债券投资备选库。在信用债券投资备选库基础上，结合本基金的投资与配置需要，通过分析比较到期收益率、剩余期限、流动性等特征，挑选适当的短期信用品种进行投资。</w:t>
      </w:r>
    </w:p>
    <w:p w:rsidR="00916FC5" w:rsidRPr="0087389D" w:rsidRDefault="00916FC5"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7、其他金融工具投资策略</w:t>
      </w:r>
    </w:p>
    <w:p w:rsidR="00916FC5" w:rsidRPr="0087389D" w:rsidRDefault="00916FC5"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本基金将密切跟踪银行承兑汇票、商业承兑汇票等商业票据以及各种衍生产品的动向。当监管机构允许基金参与此类金融工具的投资，本基金将按照届时生效的法律法规，根据对该金融工具的研究，制定符合本基金投资目标的投资策略，在充分考虑该投资品种风险和收益特征的前提下，谨慎投资。</w:t>
      </w:r>
    </w:p>
    <w:p w:rsidR="00916FC5" w:rsidRPr="0087389D" w:rsidRDefault="00916FC5"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（四）</w:t>
      </w:r>
      <w:r w:rsidRPr="0087389D">
        <w:rPr>
          <w:rFonts w:asciiTheme="minorEastAsia" w:eastAsiaTheme="minorEastAsia" w:hAnsiTheme="minorEastAsia"/>
          <w:bCs/>
          <w:szCs w:val="21"/>
        </w:rPr>
        <w:t>投资限制</w:t>
      </w:r>
    </w:p>
    <w:p w:rsidR="00916FC5" w:rsidRPr="0087389D" w:rsidRDefault="00916FC5"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1</w:t>
      </w:r>
      <w:r w:rsidRPr="0087389D">
        <w:rPr>
          <w:rFonts w:asciiTheme="minorEastAsia" w:eastAsiaTheme="minorEastAsia" w:hAnsiTheme="minorEastAsia" w:hint="eastAsia"/>
          <w:bCs/>
          <w:szCs w:val="21"/>
        </w:rPr>
        <w:t>、本基金不得投资于以下金融工具：</w:t>
      </w:r>
    </w:p>
    <w:p w:rsidR="008762E2" w:rsidRPr="0087389D" w:rsidRDefault="008762E2"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（1）股票；</w:t>
      </w:r>
    </w:p>
    <w:p w:rsidR="008762E2" w:rsidRPr="0087389D" w:rsidRDefault="008762E2"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（2）可转换债券、可交换债券；</w:t>
      </w:r>
    </w:p>
    <w:p w:rsidR="008762E2" w:rsidRPr="0087389D" w:rsidRDefault="008762E2"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（3）以定期存款利率为基准利率的浮动利率债券，已进入最后一个利率调整期的除外；</w:t>
      </w:r>
    </w:p>
    <w:p w:rsidR="008762E2" w:rsidRPr="0087389D" w:rsidRDefault="008762E2"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（4）信用等级在AA+级以下的债券与非金融企业债务融资工具；</w:t>
      </w:r>
    </w:p>
    <w:p w:rsidR="008762E2" w:rsidRPr="0087389D" w:rsidRDefault="008762E2"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（5）中国证监会、中国人民银行禁止投资的其他金融工具。</w:t>
      </w:r>
    </w:p>
    <w:p w:rsidR="008762E2" w:rsidRPr="0087389D" w:rsidRDefault="008762E2"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法律法规或监管部门取消或变更上述限制后，本基金不受上述规定的限制并以最新规定为准。</w:t>
      </w:r>
    </w:p>
    <w:p w:rsidR="008762E2" w:rsidRPr="0087389D" w:rsidRDefault="008762E2"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2、本基金的投资组合将遵循以下比例限制：</w:t>
      </w:r>
    </w:p>
    <w:p w:rsidR="008762E2" w:rsidRPr="0087389D" w:rsidRDefault="008762E2"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（1）本基金投资组合的平均剩余期限不得超过120天，平均剩余存续期不得超过240天；</w:t>
      </w:r>
    </w:p>
    <w:p w:rsidR="008762E2" w:rsidRPr="0087389D" w:rsidRDefault="008762E2"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（2）本基金持有同一机构发行的债券、非金融企业债务融资工具及其作为原始权益人的资产支持证券占基金资产净值的比例合计不得超过10%，国债、中央银行票据、政策性金融债券除外；</w:t>
      </w:r>
    </w:p>
    <w:p w:rsidR="008762E2" w:rsidRPr="0087389D" w:rsidRDefault="008762E2"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（3）本基金持有一家公司发行的证券，其市值不得超过基金资产净值的10%；本基金与由基金管理人管理的其他全部基金持有一家公司发行的证券，不得超过该证券的10%；</w:t>
      </w:r>
    </w:p>
    <w:p w:rsidR="008762E2" w:rsidRPr="0087389D" w:rsidRDefault="008762E2"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4）本基金投资于有固定期限银行存款的比例，不得超过基金资产净值的30%，但投资于有存款期限，根据协议可提前支取的银行存款不受上述比例限制；本基金投资于具有基金托管人资格的同一商业银行的银行存款、同业存单占基金资产净值的比例合计不得超过20%，投资于不具有基金托管人资格的同一商业银行的银行存款、同业存单占基金资产净值的比例合计不得超过5%</w:t>
      </w:r>
    </w:p>
    <w:p w:rsidR="008762E2" w:rsidRPr="0087389D" w:rsidRDefault="008762E2"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（5）本基金应保持足够比例的流动性资产以应对潜在的赎回要求，其投资组合应当符合下列规定：</w:t>
      </w:r>
    </w:p>
    <w:p w:rsidR="008762E2" w:rsidRPr="0087389D" w:rsidRDefault="008762E2"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lastRenderedPageBreak/>
        <w:t>1）现金、国债、中央银行票据、政策性金融债券占基金资产净值的比例合计不得低于5%</w:t>
      </w:r>
      <w:r w:rsidR="00D71054" w:rsidRPr="0087389D">
        <w:rPr>
          <w:rFonts w:asciiTheme="minorEastAsia" w:eastAsiaTheme="minorEastAsia" w:hAnsiTheme="minorEastAsia" w:hint="eastAsia"/>
          <w:bCs/>
          <w:szCs w:val="21"/>
        </w:rPr>
        <w:t>，其中现金不包括结算备付金、存出保证金、应收申购款等</w:t>
      </w:r>
      <w:r w:rsidRPr="0087389D">
        <w:rPr>
          <w:rFonts w:asciiTheme="minorEastAsia" w:eastAsiaTheme="minorEastAsia" w:hAnsiTheme="minorEastAsia" w:hint="eastAsia"/>
          <w:bCs/>
          <w:szCs w:val="21"/>
        </w:rPr>
        <w:t>；</w:t>
      </w:r>
    </w:p>
    <w:p w:rsidR="008762E2" w:rsidRPr="0087389D" w:rsidRDefault="008762E2"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2）现金、国债、中央银行票据、政策性金融债券以及五个交易日内到期的其他金融工具占基金资产净值的比例合计不得低于10%；</w:t>
      </w:r>
    </w:p>
    <w:p w:rsidR="008762E2" w:rsidRPr="0087389D" w:rsidRDefault="008762E2"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3）到期日在10个交易日以上的逆回购、银行定期存款等流动性受限资产投资占基金资产净值的比例合计不得超过30%；</w:t>
      </w:r>
    </w:p>
    <w:p w:rsidR="008762E2" w:rsidRPr="0087389D" w:rsidRDefault="008762E2"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4）除发生巨额赎回、连续3个交易日累计赎回20%以上或者连续5个交易日累计赎回30%以上的情形外，本基金债券正回购的资金余额占基金资产净值的比例不得超过20%；</w:t>
      </w:r>
    </w:p>
    <w:p w:rsidR="008762E2" w:rsidRPr="0087389D" w:rsidRDefault="008762E2"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（6）本基金基金总资产不得超过基金净资产的140%；</w:t>
      </w:r>
    </w:p>
    <w:p w:rsidR="008762E2" w:rsidRPr="0087389D" w:rsidRDefault="008762E2"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（7）本基金在全国银行间同业市场的债券回购最长期限为1年，债券回购到期后不得展期；</w:t>
      </w:r>
    </w:p>
    <w:p w:rsidR="008762E2" w:rsidRPr="0087389D" w:rsidRDefault="008762E2"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8）本基金投资于同一原始权益人的各类资产支持证券的比例，不得超过基金资产净值的10%；本基金持有的全部资产支持证券，其市值不得超过基金资产净值的20%；本基金持有的同一(指同一信用级别)资产支持证券的比例，不得超过该资产支持证券规模的10%；本基金管理人管理的全部基金投资于同一原始权益人的各类资产支持证券，不得超过其各类资产支持证券合计规模的10%；</w:t>
      </w:r>
    </w:p>
    <w:p w:rsidR="00D71054" w:rsidRPr="0087389D" w:rsidRDefault="008762E2" w:rsidP="00D71054">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（9）</w:t>
      </w:r>
      <w:r w:rsidR="00D71054" w:rsidRPr="0087389D">
        <w:rPr>
          <w:rFonts w:asciiTheme="minorEastAsia" w:eastAsiaTheme="minorEastAsia" w:hAnsiTheme="minorEastAsia" w:hint="eastAsia"/>
          <w:bCs/>
          <w:szCs w:val="21"/>
        </w:rPr>
        <w:t>本基金主动投资于流动性受限资产的市值合计不得超过基金资产净值的10%。因证券市场波动、证券停牌、基金规模变动等基金管理人之外的因素致使基金不符合前款所规定比例限制的，基金管理人不得主动新增流动性受限资产的投资。</w:t>
      </w:r>
    </w:p>
    <w:p w:rsidR="00D71054" w:rsidRPr="0087389D" w:rsidRDefault="00D71054" w:rsidP="00D71054">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10）本基金投资于主体信用评级低于AAA的机构发行的金融工具占基金资产净值的比例合计不得超过10%，其中单一机构发行的金融工具占基金资产净值的比例合计不得超过2%。前述金融工具包括债券、非金融企业债务融资工具、银行存款、同业存单、相关机构作为原始权益人的资产支持证券及中国证监会认定的其他品种。本基金拟投资于主体信用评级低于AA+的商业银行的银行存款与同业存单的，应当经基金管理人董事会审议批准，相关交易应当事先征得基金托管人的同意，并作为重大事项履行信息披露程序。</w:t>
      </w:r>
    </w:p>
    <w:p w:rsidR="00D71054" w:rsidRPr="0087389D" w:rsidRDefault="00D71054" w:rsidP="00D71054">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（11）本基金根据份额持有人集中度情况对本基金的投资组合实施调整，并遵守以下要求：</w:t>
      </w:r>
    </w:p>
    <w:p w:rsidR="00D71054" w:rsidRPr="0087389D" w:rsidRDefault="00D71054" w:rsidP="00D71054">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1）当本基金前10名份额持有人的持有份额合计超过基金总份额的50%时，本基金投资组合的平均剩余期限不得超过60天，平均剩余存续期不得超过120天；投资组合中现金、国债、中央银行票据、政策性金融债券以及5个交易日内到期的其他金融工具占基金资产净值的比例合计不得低于30%。</w:t>
      </w:r>
    </w:p>
    <w:p w:rsidR="00D71054" w:rsidRPr="0087389D" w:rsidRDefault="00D71054" w:rsidP="00D71054">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2）当本基金前10名份额持有人的持有份额合计超过基金总份额的20%时，本基金投资组合的平均剩余期限不得超过90天，平均剩余存续期不得超过180天；投资组合中现金、国债、中央银行票据、政策性金融债券以及5个交易日内到期的其他金融工具占基金资产净</w:t>
      </w:r>
      <w:r w:rsidRPr="0087389D">
        <w:rPr>
          <w:rFonts w:asciiTheme="minorEastAsia" w:eastAsiaTheme="minorEastAsia" w:hAnsiTheme="minorEastAsia" w:hint="eastAsia"/>
          <w:bCs/>
          <w:szCs w:val="21"/>
        </w:rPr>
        <w:lastRenderedPageBreak/>
        <w:t>值的比例合计不得低于20%。</w:t>
      </w:r>
    </w:p>
    <w:p w:rsidR="00D71054" w:rsidRPr="0087389D" w:rsidRDefault="00D71054" w:rsidP="00D71054">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（12）本基金与私募类证券资管产品及中国证监会认定的其他主体为交易对手开展逆回购交易的，可接受质押品的资质要求应当与基金合同约定的投资范围保持一致。</w:t>
      </w:r>
    </w:p>
    <w:p w:rsidR="00D71054" w:rsidRPr="0087389D" w:rsidRDefault="00D71054" w:rsidP="00D71054">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（13）中国证监会规定的其他比例限制。</w:t>
      </w:r>
    </w:p>
    <w:p w:rsidR="008762E2" w:rsidRPr="0087389D" w:rsidRDefault="00D71054"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除第（1）、（5）之1）、（9）、（12）项外，</w:t>
      </w:r>
      <w:r w:rsidR="008762E2" w:rsidRPr="0087389D">
        <w:rPr>
          <w:rFonts w:asciiTheme="minorEastAsia" w:eastAsiaTheme="minorEastAsia" w:hAnsiTheme="minorEastAsia" w:hint="eastAsia"/>
          <w:bCs/>
          <w:szCs w:val="21"/>
        </w:rPr>
        <w:t>因市场波动、基金规模变动等基金管理人之外的因素致使基金投资不符合上述规定投资比例的，基金管理人应当在10个交易日内进行调整，但中国证监会规定或上述条款另有约定的特殊情形除外。法律法规另有约定的，从其约定。</w:t>
      </w:r>
    </w:p>
    <w:p w:rsidR="008762E2" w:rsidRPr="0087389D" w:rsidRDefault="008762E2"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3、若法律法规或中国证监会的相关规定发生修改或变更，以修改或变更后的规定为准。</w:t>
      </w:r>
    </w:p>
    <w:p w:rsidR="008762E2" w:rsidRPr="0087389D" w:rsidRDefault="008762E2"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基金管理人应当自基金合同生效之日起6个月内使基金的投资组合比例符合基金合同的有关约定。上述期间，基金的投资范围、投资策略应当符合基金合同的约定。基金托管人对基金的投资的监督与检查自本基金合同生效之日起。</w:t>
      </w:r>
    </w:p>
    <w:p w:rsidR="008762E2" w:rsidRPr="0087389D" w:rsidRDefault="008762E2"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4、投资组合平均剩余期限和平均剩余存续期限的计算</w:t>
      </w:r>
    </w:p>
    <w:p w:rsidR="008762E2" w:rsidRPr="0087389D" w:rsidRDefault="008762E2"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（1）平均剩余期限（天）的计算公式如下：</w:t>
      </w:r>
    </w:p>
    <w:p w:rsidR="008762E2" w:rsidRPr="0087389D" w:rsidRDefault="008762E2"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（Σ投资于金融工具产生的资产×剩余期限-Σ投资于金融工具产生的负债×剩余期限+债券正回购×剩余期限）/（投资于金融工具产生的资产-投资于金融工具产生的负债+债券正回购）</w:t>
      </w:r>
    </w:p>
    <w:p w:rsidR="008762E2" w:rsidRPr="0087389D" w:rsidRDefault="008762E2"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（2）平均剩余存续期限的计算公式如下：</w:t>
      </w:r>
    </w:p>
    <w:p w:rsidR="008762E2" w:rsidRPr="0087389D" w:rsidRDefault="008762E2"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（Σ投资于金融工具产生的资产×剩余存续期限-Σ投资于金融工具产生的负债×剩余存续期限+债券正回购×剩余存续期限）/（投资于金融工具产生的资产-投资于金融工具产生的负债+债券正回购）</w:t>
      </w:r>
    </w:p>
    <w:p w:rsidR="008762E2" w:rsidRPr="0087389D" w:rsidRDefault="008762E2"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（3）各类资产和负债剩余期限和剩余存续期限的确定</w:t>
      </w:r>
    </w:p>
    <w:p w:rsidR="008762E2" w:rsidRPr="0087389D" w:rsidRDefault="008762E2"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1）银行活期存款、清算备付金、交易保证金的剩余期限和剩余存续期限为0天；证券清算款的剩余期限和剩余存续期限以计算日至交收日的剩余交易日天数计算；</w:t>
      </w:r>
    </w:p>
    <w:p w:rsidR="008762E2" w:rsidRPr="0087389D" w:rsidRDefault="008762E2"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2）回购（包括正回购和逆回购）的剩余期限和剩余存续期限以计算日至回购协议到期日的实际剩余天数计算；买断式回购产生的待回购债券的剩余期限和剩余存续期限为该基础债券的剩余期限，待返售债券的剩余期限和剩余存续期限以计算日至回购协议到期日的实际剩余天数计算；</w:t>
      </w:r>
    </w:p>
    <w:p w:rsidR="008762E2" w:rsidRPr="0087389D" w:rsidRDefault="008762E2"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3）银行定期存款、同业存单的剩余期限和剩余存续期限以计算日至协议到期日的实际剩余天数计算；有存款期限，根据协议可提前支取且没有利息损失的银行存款，剩余期限和剩余存续期限以计算日至协议到期日的实际剩余天数计算；银行通知存款的剩余期限和剩余存续期限以存款协议中约定的通知期计算；</w:t>
      </w:r>
    </w:p>
    <w:p w:rsidR="008762E2" w:rsidRPr="0087389D" w:rsidRDefault="008762E2"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4）中央银行票据的剩余期限和剩余存续期限以计算日至中央银行票据到期日的实际剩余天数计算；</w:t>
      </w:r>
    </w:p>
    <w:p w:rsidR="008762E2" w:rsidRPr="0087389D" w:rsidRDefault="008762E2"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lastRenderedPageBreak/>
        <w:t>5）组合中债券的剩余期限和剩余存续期限是指计算日至债券到期日为止所剩余的天数，以下情况除外：</w:t>
      </w:r>
    </w:p>
    <w:p w:rsidR="008762E2" w:rsidRPr="0087389D" w:rsidRDefault="008762E2"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A、允许投资的可变利率或浮动利率债券的剩余期限以计算日至下一个利率调整日的实际剩余天数计算。</w:t>
      </w:r>
    </w:p>
    <w:p w:rsidR="008762E2" w:rsidRPr="0087389D" w:rsidRDefault="008762E2"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B、允许投资的可变利率或浮动利率债券的剩余存续期限以计算日至债券到期日的实际剩余天数计算。</w:t>
      </w:r>
    </w:p>
    <w:p w:rsidR="008762E2" w:rsidRPr="0087389D" w:rsidRDefault="008762E2"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平均剩余期限的计算结果保留至整数位，小数点后四舍五入。如法律法规或中国证监会对剩余期限计算方法另有规定的从其规定。</w:t>
      </w:r>
    </w:p>
    <w:p w:rsidR="008762E2" w:rsidRPr="0087389D" w:rsidRDefault="008762E2"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5、禁止行为</w:t>
      </w:r>
    </w:p>
    <w:p w:rsidR="008762E2" w:rsidRPr="0087389D" w:rsidRDefault="008762E2"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为维护基金份额持有人的合法权益，基金财产不得用于下列投资或者活动：</w:t>
      </w:r>
    </w:p>
    <w:p w:rsidR="008762E2" w:rsidRPr="0087389D" w:rsidRDefault="008762E2"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（1）承销证券；</w:t>
      </w:r>
    </w:p>
    <w:p w:rsidR="008762E2" w:rsidRPr="0087389D" w:rsidRDefault="008762E2"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（2）违反规定向他人贷款或者提供担保；</w:t>
      </w:r>
    </w:p>
    <w:p w:rsidR="008762E2" w:rsidRPr="0087389D" w:rsidRDefault="008762E2"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（3）从事承担无限责任的投资；</w:t>
      </w:r>
    </w:p>
    <w:p w:rsidR="008762E2" w:rsidRPr="0087389D" w:rsidRDefault="008762E2"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（4）向其基金管理人、基金托管人出资；</w:t>
      </w:r>
    </w:p>
    <w:p w:rsidR="008762E2" w:rsidRPr="0087389D" w:rsidRDefault="008762E2"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（5）从事内幕交易、操纵证券交易价格及其他不正当的证券交易活动；</w:t>
      </w:r>
    </w:p>
    <w:p w:rsidR="00916FC5" w:rsidRPr="0087389D" w:rsidRDefault="008762E2"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（6）法律、行政法规和中国证监会规定禁止的其他活动。</w:t>
      </w:r>
    </w:p>
    <w:p w:rsidR="00916FC5" w:rsidRPr="0087389D" w:rsidRDefault="00916FC5"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（五）</w:t>
      </w:r>
      <w:r w:rsidRPr="0087389D">
        <w:rPr>
          <w:rFonts w:asciiTheme="minorEastAsia" w:eastAsiaTheme="minorEastAsia" w:hAnsiTheme="minorEastAsia"/>
          <w:bCs/>
          <w:szCs w:val="21"/>
        </w:rPr>
        <w:t>业绩比较基准</w:t>
      </w:r>
    </w:p>
    <w:p w:rsidR="00580FE0" w:rsidRPr="0087389D" w:rsidRDefault="00580FE0" w:rsidP="00555CE7">
      <w:pPr>
        <w:snapToGrid w:val="0"/>
        <w:spacing w:line="360" w:lineRule="auto"/>
        <w:ind w:firstLineChars="200" w:firstLine="420"/>
        <w:rPr>
          <w:rFonts w:asciiTheme="minorEastAsia" w:eastAsiaTheme="minorEastAsia" w:hAnsiTheme="minorEastAsia" w:cs="宋体"/>
          <w:bCs/>
          <w:szCs w:val="21"/>
        </w:rPr>
      </w:pPr>
      <w:r w:rsidRPr="0087389D">
        <w:rPr>
          <w:rFonts w:asciiTheme="minorEastAsia" w:eastAsiaTheme="minorEastAsia" w:hAnsiTheme="minorEastAsia" w:cs="宋体" w:hint="eastAsia"/>
          <w:bCs/>
          <w:szCs w:val="21"/>
        </w:rPr>
        <w:t>中国人民银行公布的七天通知存款利率（税后）</w:t>
      </w:r>
    </w:p>
    <w:p w:rsidR="00916FC5" w:rsidRPr="0087389D" w:rsidRDefault="00580FE0"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cs="宋体" w:hint="eastAsia"/>
          <w:bCs/>
          <w:szCs w:val="21"/>
        </w:rPr>
        <w:t>如果今后法律法规发生变化，或者中国人民银行调整或停止该基准利率的发布，或者有其他代表性更强、更科学客观的业绩比较基准适用于本基金时，经基金管理人和基金托管人协商一致后，本基金管理人可以在报中国证监会备案后变更业绩比较基准并及时公告，无需召开基金份额持有人大会审议。</w:t>
      </w:r>
    </w:p>
    <w:p w:rsidR="00916FC5" w:rsidRPr="0087389D" w:rsidRDefault="00916FC5"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（六）</w:t>
      </w:r>
      <w:r w:rsidRPr="0087389D">
        <w:rPr>
          <w:rFonts w:asciiTheme="minorEastAsia" w:eastAsiaTheme="minorEastAsia" w:hAnsiTheme="minorEastAsia"/>
          <w:bCs/>
          <w:szCs w:val="21"/>
        </w:rPr>
        <w:t>风险收益特征</w:t>
      </w:r>
    </w:p>
    <w:p w:rsidR="00916FC5" w:rsidRPr="0087389D" w:rsidRDefault="00916FC5"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本基金为货币市场基金，是证券投资基金中的低风险品种。本基金的</w:t>
      </w:r>
      <w:r w:rsidR="00580FE0" w:rsidRPr="0087389D">
        <w:rPr>
          <w:rFonts w:asciiTheme="minorEastAsia" w:eastAsiaTheme="minorEastAsia" w:hAnsiTheme="minorEastAsia" w:hint="eastAsia"/>
          <w:bCs/>
          <w:szCs w:val="21"/>
        </w:rPr>
        <w:t>预期</w:t>
      </w:r>
      <w:r w:rsidRPr="0087389D">
        <w:rPr>
          <w:rFonts w:asciiTheme="minorEastAsia" w:eastAsiaTheme="minorEastAsia" w:hAnsiTheme="minorEastAsia" w:hint="eastAsia"/>
          <w:bCs/>
          <w:szCs w:val="21"/>
        </w:rPr>
        <w:t>风险和预期收益低于股票型基金、混合型基金和债券型基金。</w:t>
      </w:r>
    </w:p>
    <w:p w:rsidR="00916FC5" w:rsidRPr="0087389D" w:rsidRDefault="00916FC5"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（七）基金的融资融券</w:t>
      </w:r>
    </w:p>
    <w:p w:rsidR="00916FC5" w:rsidRPr="0087389D" w:rsidRDefault="00916FC5"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本基金可以根据届时有效的有关法律法规和政策的规定进行融资融券。</w:t>
      </w:r>
    </w:p>
    <w:p w:rsidR="00CF5BF7" w:rsidRPr="0087389D" w:rsidRDefault="00CF5BF7" w:rsidP="00555CE7">
      <w:pPr>
        <w:snapToGrid w:val="0"/>
        <w:spacing w:line="360" w:lineRule="auto"/>
        <w:ind w:firstLineChars="200" w:firstLine="420"/>
        <w:rPr>
          <w:rFonts w:asciiTheme="minorEastAsia" w:eastAsiaTheme="minorEastAsia" w:hAnsiTheme="minorEastAsia"/>
          <w:bCs/>
          <w:szCs w:val="21"/>
        </w:rPr>
      </w:pPr>
      <w:bookmarkStart w:id="82" w:name="_Toc390433598"/>
      <w:r w:rsidRPr="0087389D">
        <w:rPr>
          <w:rFonts w:asciiTheme="minorEastAsia" w:eastAsiaTheme="minorEastAsia" w:hAnsiTheme="minorEastAsia"/>
          <w:bCs/>
          <w:szCs w:val="21"/>
        </w:rPr>
        <w:t>（</w:t>
      </w:r>
      <w:r w:rsidRPr="0087389D">
        <w:rPr>
          <w:rFonts w:asciiTheme="minorEastAsia" w:eastAsiaTheme="minorEastAsia" w:hAnsiTheme="minorEastAsia" w:hint="eastAsia"/>
          <w:bCs/>
          <w:szCs w:val="21"/>
        </w:rPr>
        <w:t>八</w:t>
      </w:r>
      <w:r w:rsidRPr="0087389D">
        <w:rPr>
          <w:rFonts w:asciiTheme="minorEastAsia" w:eastAsiaTheme="minorEastAsia" w:hAnsiTheme="minorEastAsia"/>
          <w:bCs/>
          <w:szCs w:val="21"/>
        </w:rPr>
        <w:t>）</w:t>
      </w:r>
      <w:r w:rsidRPr="0087389D">
        <w:rPr>
          <w:rFonts w:asciiTheme="minorEastAsia" w:eastAsiaTheme="minorEastAsia" w:hAnsiTheme="minorEastAsia" w:hint="eastAsia"/>
          <w:bCs/>
          <w:szCs w:val="21"/>
        </w:rPr>
        <w:t>基金投资组合报告（未经审计）</w:t>
      </w:r>
      <w:bookmarkEnd w:id="82"/>
    </w:p>
    <w:p w:rsidR="00CF5BF7" w:rsidRPr="0087389D" w:rsidRDefault="00CF5BF7"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本基金管理人的董事会及董事保证本报告所载资料不存在虚假记载、误导性陈述或重大遗漏，并对其内容的真实性、准确性和完整性承担个别及连带责任。</w:t>
      </w:r>
    </w:p>
    <w:p w:rsidR="008D0009" w:rsidRPr="0087389D" w:rsidRDefault="00CF5BF7"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本基金的托管人中国邮政储蓄银行股份有限公司根据本基金合同的规定，复核了本报告的内容，保证复核内容不存在虚假记载、误导性陈述或者重大遗漏。</w:t>
      </w:r>
    </w:p>
    <w:p w:rsidR="000B77DC" w:rsidRPr="0087389D" w:rsidRDefault="00E17B2F" w:rsidP="002370E7">
      <w:pPr>
        <w:adjustRightInd w:val="0"/>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rPr>
        <w:t>本投资组合报告有关数据的期间为2020年1月1日至2020年3月31日</w:t>
      </w:r>
      <w:r w:rsidR="00CF5BF7" w:rsidRPr="0087389D">
        <w:rPr>
          <w:rFonts w:asciiTheme="minorEastAsia" w:eastAsiaTheme="minorEastAsia" w:hAnsiTheme="minorEastAsia" w:hint="eastAsia"/>
          <w:szCs w:val="21"/>
        </w:rPr>
        <w:t>。</w:t>
      </w:r>
    </w:p>
    <w:p w:rsidR="00E17B2F" w:rsidRPr="0087389D" w:rsidRDefault="00E17B2F" w:rsidP="0087389D">
      <w:pPr>
        <w:adjustRightInd w:val="0"/>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1、报告期末基金资产组合情况</w:t>
      </w:r>
    </w:p>
    <w:tbl>
      <w:tblPr>
        <w:tblW w:w="8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8"/>
        <w:gridCol w:w="2958"/>
        <w:gridCol w:w="2750"/>
        <w:gridCol w:w="1638"/>
      </w:tblGrid>
      <w:tr w:rsidR="00E17B2F" w:rsidRPr="0087389D" w:rsidTr="00E17B2F">
        <w:tc>
          <w:tcPr>
            <w:tcW w:w="720"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before="29" w:line="300" w:lineRule="auto"/>
              <w:ind w:left="17"/>
              <w:jc w:val="center"/>
              <w:rPr>
                <w:rFonts w:asciiTheme="minorEastAsia" w:eastAsiaTheme="minorEastAsia" w:hAnsiTheme="minorEastAsia"/>
                <w:szCs w:val="22"/>
              </w:rPr>
            </w:pPr>
            <w:r w:rsidRPr="0087389D">
              <w:rPr>
                <w:rFonts w:asciiTheme="minorEastAsia" w:eastAsiaTheme="minorEastAsia" w:hAnsiTheme="minorEastAsia" w:hint="eastAsia"/>
              </w:rPr>
              <w:lastRenderedPageBreak/>
              <w:t>序号</w:t>
            </w:r>
          </w:p>
        </w:tc>
        <w:tc>
          <w:tcPr>
            <w:tcW w:w="3357"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before="29" w:line="300" w:lineRule="auto"/>
              <w:ind w:left="17"/>
              <w:jc w:val="center"/>
              <w:rPr>
                <w:rFonts w:asciiTheme="minorEastAsia" w:eastAsiaTheme="minorEastAsia" w:hAnsiTheme="minorEastAsia" w:cstheme="minorBidi"/>
              </w:rPr>
            </w:pPr>
            <w:r w:rsidRPr="0087389D">
              <w:rPr>
                <w:rFonts w:asciiTheme="minorEastAsia" w:eastAsiaTheme="minorEastAsia" w:hAnsiTheme="minorEastAsia" w:hint="eastAsia"/>
              </w:rPr>
              <w:t>项目</w:t>
            </w:r>
          </w:p>
        </w:tc>
        <w:tc>
          <w:tcPr>
            <w:tcW w:w="3119"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before="29" w:line="300" w:lineRule="auto"/>
              <w:ind w:left="17"/>
              <w:jc w:val="center"/>
              <w:rPr>
                <w:rFonts w:asciiTheme="minorEastAsia" w:eastAsiaTheme="minorEastAsia" w:hAnsiTheme="minorEastAsia"/>
              </w:rPr>
            </w:pPr>
            <w:r w:rsidRPr="0087389D">
              <w:rPr>
                <w:rFonts w:asciiTheme="minorEastAsia" w:eastAsiaTheme="minorEastAsia" w:hAnsiTheme="minorEastAsia" w:hint="eastAsia"/>
              </w:rPr>
              <w:t>金额（元）</w:t>
            </w:r>
          </w:p>
        </w:tc>
        <w:tc>
          <w:tcPr>
            <w:tcW w:w="1843"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before="29" w:line="300" w:lineRule="auto"/>
              <w:ind w:left="17"/>
              <w:jc w:val="center"/>
              <w:rPr>
                <w:rFonts w:asciiTheme="minorEastAsia" w:eastAsiaTheme="minorEastAsia" w:hAnsiTheme="minorEastAsia"/>
              </w:rPr>
            </w:pPr>
            <w:r w:rsidRPr="0087389D">
              <w:rPr>
                <w:rFonts w:asciiTheme="minorEastAsia" w:eastAsiaTheme="minorEastAsia" w:hAnsiTheme="minorEastAsia" w:hint="eastAsia"/>
              </w:rPr>
              <w:t>占基金总资产的比例（%）</w:t>
            </w:r>
          </w:p>
        </w:tc>
      </w:tr>
      <w:tr w:rsidR="00E17B2F" w:rsidRPr="0087389D" w:rsidTr="00E17B2F">
        <w:tc>
          <w:tcPr>
            <w:tcW w:w="720"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before="29" w:line="300" w:lineRule="auto"/>
              <w:ind w:left="17"/>
              <w:jc w:val="center"/>
              <w:rPr>
                <w:rFonts w:asciiTheme="minorEastAsia" w:eastAsiaTheme="minorEastAsia" w:hAnsiTheme="minorEastAsia"/>
              </w:rPr>
            </w:pPr>
            <w:r w:rsidRPr="0087389D">
              <w:rPr>
                <w:rFonts w:asciiTheme="minorEastAsia" w:eastAsiaTheme="minorEastAsia" w:hAnsiTheme="minorEastAsia" w:hint="eastAsia"/>
              </w:rPr>
              <w:t>1</w:t>
            </w:r>
          </w:p>
        </w:tc>
        <w:tc>
          <w:tcPr>
            <w:tcW w:w="3357"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before="29" w:line="300" w:lineRule="auto"/>
              <w:ind w:left="17"/>
              <w:jc w:val="left"/>
              <w:rPr>
                <w:rFonts w:asciiTheme="minorEastAsia" w:eastAsiaTheme="minorEastAsia" w:hAnsiTheme="minorEastAsia"/>
              </w:rPr>
            </w:pPr>
            <w:r w:rsidRPr="0087389D">
              <w:rPr>
                <w:rFonts w:asciiTheme="minorEastAsia" w:eastAsiaTheme="minorEastAsia" w:hAnsiTheme="minorEastAsia" w:hint="eastAsia"/>
              </w:rPr>
              <w:t>固定收益投资</w:t>
            </w:r>
          </w:p>
        </w:tc>
        <w:tc>
          <w:tcPr>
            <w:tcW w:w="3119"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before="29" w:line="300" w:lineRule="auto"/>
              <w:ind w:left="17"/>
              <w:jc w:val="right"/>
              <w:rPr>
                <w:rFonts w:asciiTheme="minorEastAsia" w:eastAsiaTheme="minorEastAsia" w:hAnsiTheme="minorEastAsia"/>
              </w:rPr>
            </w:pPr>
            <w:r w:rsidRPr="0087389D">
              <w:rPr>
                <w:rFonts w:asciiTheme="minorEastAsia" w:eastAsiaTheme="minorEastAsia" w:hAnsiTheme="minorEastAsia" w:hint="eastAsia"/>
              </w:rPr>
              <w:t>11,603,254,472.19</w:t>
            </w:r>
          </w:p>
        </w:tc>
        <w:tc>
          <w:tcPr>
            <w:tcW w:w="1843"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before="29" w:line="300" w:lineRule="auto"/>
              <w:ind w:left="17"/>
              <w:jc w:val="right"/>
              <w:rPr>
                <w:rFonts w:asciiTheme="minorEastAsia" w:eastAsiaTheme="minorEastAsia" w:hAnsiTheme="minorEastAsia"/>
              </w:rPr>
            </w:pPr>
            <w:r w:rsidRPr="0087389D">
              <w:rPr>
                <w:rFonts w:asciiTheme="minorEastAsia" w:eastAsiaTheme="minorEastAsia" w:hAnsiTheme="minorEastAsia" w:hint="eastAsia"/>
              </w:rPr>
              <w:t>49.84</w:t>
            </w:r>
          </w:p>
        </w:tc>
      </w:tr>
      <w:tr w:rsidR="00E17B2F" w:rsidRPr="0087389D" w:rsidTr="00E17B2F">
        <w:tc>
          <w:tcPr>
            <w:tcW w:w="720" w:type="dxa"/>
            <w:tcBorders>
              <w:top w:val="single" w:sz="4" w:space="0" w:color="auto"/>
              <w:left w:val="single" w:sz="4" w:space="0" w:color="auto"/>
              <w:bottom w:val="single" w:sz="4" w:space="0" w:color="auto"/>
              <w:right w:val="single" w:sz="4" w:space="0" w:color="auto"/>
            </w:tcBorders>
            <w:vAlign w:val="center"/>
          </w:tcPr>
          <w:p w:rsidR="00E17B2F" w:rsidRPr="0087389D" w:rsidRDefault="00E17B2F">
            <w:pPr>
              <w:spacing w:before="29" w:line="300" w:lineRule="auto"/>
              <w:ind w:left="17"/>
              <w:jc w:val="center"/>
              <w:rPr>
                <w:rFonts w:asciiTheme="minorEastAsia" w:eastAsiaTheme="minorEastAsia" w:hAnsiTheme="minorEastAsia"/>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before="29" w:line="300" w:lineRule="auto"/>
              <w:ind w:left="17"/>
              <w:jc w:val="left"/>
              <w:rPr>
                <w:rFonts w:asciiTheme="minorEastAsia" w:eastAsiaTheme="minorEastAsia" w:hAnsiTheme="minorEastAsia"/>
              </w:rPr>
            </w:pPr>
            <w:r w:rsidRPr="0087389D">
              <w:rPr>
                <w:rFonts w:asciiTheme="minorEastAsia" w:eastAsiaTheme="minorEastAsia" w:hAnsiTheme="minorEastAsia" w:hint="eastAsia"/>
              </w:rPr>
              <w:t>其中：债券</w:t>
            </w:r>
          </w:p>
        </w:tc>
        <w:tc>
          <w:tcPr>
            <w:tcW w:w="3119"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before="29" w:line="300" w:lineRule="auto"/>
              <w:ind w:left="17"/>
              <w:jc w:val="right"/>
              <w:rPr>
                <w:rFonts w:asciiTheme="minorEastAsia" w:eastAsiaTheme="minorEastAsia" w:hAnsiTheme="minorEastAsia"/>
              </w:rPr>
            </w:pPr>
            <w:r w:rsidRPr="0087389D">
              <w:rPr>
                <w:rFonts w:asciiTheme="minorEastAsia" w:eastAsiaTheme="minorEastAsia" w:hAnsiTheme="minorEastAsia" w:hint="eastAsia"/>
              </w:rPr>
              <w:t>11,001,343,281.61</w:t>
            </w:r>
          </w:p>
        </w:tc>
        <w:tc>
          <w:tcPr>
            <w:tcW w:w="1843"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before="29" w:line="300" w:lineRule="auto"/>
              <w:ind w:left="17"/>
              <w:jc w:val="right"/>
              <w:rPr>
                <w:rFonts w:asciiTheme="minorEastAsia" w:eastAsiaTheme="minorEastAsia" w:hAnsiTheme="minorEastAsia"/>
              </w:rPr>
            </w:pPr>
            <w:r w:rsidRPr="0087389D">
              <w:rPr>
                <w:rFonts w:asciiTheme="minorEastAsia" w:eastAsiaTheme="minorEastAsia" w:hAnsiTheme="minorEastAsia" w:hint="eastAsia"/>
              </w:rPr>
              <w:t>47.25</w:t>
            </w:r>
          </w:p>
        </w:tc>
      </w:tr>
      <w:tr w:rsidR="00E17B2F" w:rsidRPr="0087389D" w:rsidTr="00E17B2F">
        <w:tc>
          <w:tcPr>
            <w:tcW w:w="720" w:type="dxa"/>
            <w:tcBorders>
              <w:top w:val="single" w:sz="4" w:space="0" w:color="auto"/>
              <w:left w:val="single" w:sz="4" w:space="0" w:color="auto"/>
              <w:bottom w:val="single" w:sz="4" w:space="0" w:color="auto"/>
              <w:right w:val="single" w:sz="4" w:space="0" w:color="auto"/>
            </w:tcBorders>
            <w:vAlign w:val="center"/>
          </w:tcPr>
          <w:p w:rsidR="00E17B2F" w:rsidRPr="0087389D" w:rsidRDefault="00E17B2F">
            <w:pPr>
              <w:spacing w:before="29" w:line="300" w:lineRule="auto"/>
              <w:ind w:left="17"/>
              <w:jc w:val="center"/>
              <w:rPr>
                <w:rFonts w:asciiTheme="minorEastAsia" w:eastAsiaTheme="minorEastAsia" w:hAnsiTheme="minorEastAsia"/>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autoSpaceDE w:val="0"/>
              <w:autoSpaceDN w:val="0"/>
              <w:adjustRightInd w:val="0"/>
              <w:spacing w:before="29" w:line="300" w:lineRule="auto"/>
              <w:ind w:left="17" w:firstLineChars="300" w:firstLine="630"/>
              <w:jc w:val="left"/>
              <w:rPr>
                <w:rFonts w:asciiTheme="minorEastAsia" w:eastAsiaTheme="minorEastAsia" w:hAnsiTheme="minorEastAsia"/>
              </w:rPr>
            </w:pPr>
            <w:r w:rsidRPr="0087389D">
              <w:rPr>
                <w:rFonts w:asciiTheme="minorEastAsia" w:eastAsiaTheme="minorEastAsia" w:hAnsiTheme="minorEastAsia" w:hint="eastAsia"/>
              </w:rPr>
              <w:t>资产支持证券</w:t>
            </w:r>
          </w:p>
        </w:tc>
        <w:tc>
          <w:tcPr>
            <w:tcW w:w="3119"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before="29" w:line="300" w:lineRule="auto"/>
              <w:ind w:left="17"/>
              <w:jc w:val="right"/>
              <w:rPr>
                <w:rFonts w:asciiTheme="minorEastAsia" w:eastAsiaTheme="minorEastAsia" w:hAnsiTheme="minorEastAsia"/>
              </w:rPr>
            </w:pPr>
            <w:r w:rsidRPr="0087389D">
              <w:rPr>
                <w:rFonts w:asciiTheme="minorEastAsia" w:eastAsiaTheme="minorEastAsia" w:hAnsiTheme="minorEastAsia" w:hint="eastAsia"/>
              </w:rPr>
              <w:t>601,911,190.58</w:t>
            </w:r>
          </w:p>
        </w:tc>
        <w:tc>
          <w:tcPr>
            <w:tcW w:w="1843"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before="29" w:line="300" w:lineRule="auto"/>
              <w:ind w:left="17"/>
              <w:jc w:val="right"/>
              <w:rPr>
                <w:rFonts w:asciiTheme="minorEastAsia" w:eastAsiaTheme="minorEastAsia" w:hAnsiTheme="minorEastAsia"/>
              </w:rPr>
            </w:pPr>
            <w:r w:rsidRPr="0087389D">
              <w:rPr>
                <w:rFonts w:asciiTheme="minorEastAsia" w:eastAsiaTheme="minorEastAsia" w:hAnsiTheme="minorEastAsia" w:hint="eastAsia"/>
              </w:rPr>
              <w:t>2.59</w:t>
            </w:r>
          </w:p>
        </w:tc>
      </w:tr>
      <w:tr w:rsidR="00E17B2F" w:rsidRPr="0087389D" w:rsidTr="00E17B2F">
        <w:tc>
          <w:tcPr>
            <w:tcW w:w="720"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before="29" w:line="300" w:lineRule="auto"/>
              <w:ind w:left="17"/>
              <w:jc w:val="center"/>
              <w:rPr>
                <w:rFonts w:asciiTheme="minorEastAsia" w:eastAsiaTheme="minorEastAsia" w:hAnsiTheme="minorEastAsia"/>
              </w:rPr>
            </w:pPr>
            <w:r w:rsidRPr="0087389D">
              <w:rPr>
                <w:rFonts w:asciiTheme="minorEastAsia" w:eastAsiaTheme="minorEastAsia" w:hAnsiTheme="minorEastAsia" w:hint="eastAsia"/>
              </w:rPr>
              <w:t>2</w:t>
            </w:r>
          </w:p>
        </w:tc>
        <w:tc>
          <w:tcPr>
            <w:tcW w:w="3357"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before="29" w:line="300" w:lineRule="auto"/>
              <w:ind w:left="17"/>
              <w:jc w:val="left"/>
              <w:rPr>
                <w:rFonts w:asciiTheme="minorEastAsia" w:eastAsiaTheme="minorEastAsia" w:hAnsiTheme="minorEastAsia"/>
              </w:rPr>
            </w:pPr>
            <w:r w:rsidRPr="0087389D">
              <w:rPr>
                <w:rFonts w:asciiTheme="minorEastAsia" w:eastAsiaTheme="minorEastAsia" w:hAnsiTheme="minorEastAsia" w:hint="eastAsia"/>
              </w:rPr>
              <w:t>买入返售金融资产</w:t>
            </w:r>
          </w:p>
        </w:tc>
        <w:tc>
          <w:tcPr>
            <w:tcW w:w="3119"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before="29" w:line="300" w:lineRule="auto"/>
              <w:ind w:left="17"/>
              <w:jc w:val="right"/>
              <w:rPr>
                <w:rFonts w:asciiTheme="minorEastAsia" w:eastAsiaTheme="minorEastAsia" w:hAnsiTheme="minorEastAsia"/>
              </w:rPr>
            </w:pPr>
            <w:r w:rsidRPr="0087389D">
              <w:rPr>
                <w:rFonts w:asciiTheme="minorEastAsia" w:eastAsiaTheme="minorEastAsia" w:hAnsiTheme="minorEastAsia" w:hint="eastAsia"/>
              </w:rPr>
              <w:t>4,376,893,274.84</w:t>
            </w:r>
          </w:p>
        </w:tc>
        <w:tc>
          <w:tcPr>
            <w:tcW w:w="1843"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before="29" w:line="300" w:lineRule="auto"/>
              <w:ind w:left="17"/>
              <w:jc w:val="right"/>
              <w:rPr>
                <w:rFonts w:asciiTheme="minorEastAsia" w:eastAsiaTheme="minorEastAsia" w:hAnsiTheme="minorEastAsia"/>
              </w:rPr>
            </w:pPr>
            <w:r w:rsidRPr="0087389D">
              <w:rPr>
                <w:rFonts w:asciiTheme="minorEastAsia" w:eastAsiaTheme="minorEastAsia" w:hAnsiTheme="minorEastAsia" w:hint="eastAsia"/>
              </w:rPr>
              <w:t>18.80</w:t>
            </w:r>
          </w:p>
        </w:tc>
      </w:tr>
      <w:tr w:rsidR="00E17B2F" w:rsidRPr="0087389D" w:rsidTr="00E17B2F">
        <w:tc>
          <w:tcPr>
            <w:tcW w:w="720" w:type="dxa"/>
            <w:tcBorders>
              <w:top w:val="single" w:sz="4" w:space="0" w:color="auto"/>
              <w:left w:val="single" w:sz="4" w:space="0" w:color="auto"/>
              <w:bottom w:val="single" w:sz="4" w:space="0" w:color="auto"/>
              <w:right w:val="single" w:sz="4" w:space="0" w:color="auto"/>
            </w:tcBorders>
            <w:vAlign w:val="center"/>
          </w:tcPr>
          <w:p w:rsidR="00E17B2F" w:rsidRPr="0087389D" w:rsidRDefault="00E17B2F">
            <w:pPr>
              <w:spacing w:before="29" w:line="300" w:lineRule="auto"/>
              <w:ind w:left="17"/>
              <w:jc w:val="center"/>
              <w:rPr>
                <w:rFonts w:asciiTheme="minorEastAsia" w:eastAsiaTheme="minorEastAsia" w:hAnsiTheme="minorEastAsia"/>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before="29" w:line="300" w:lineRule="auto"/>
              <w:ind w:left="17"/>
              <w:jc w:val="left"/>
              <w:rPr>
                <w:rFonts w:asciiTheme="minorEastAsia" w:eastAsiaTheme="minorEastAsia" w:hAnsiTheme="minorEastAsia"/>
              </w:rPr>
            </w:pPr>
            <w:r w:rsidRPr="0087389D">
              <w:rPr>
                <w:rFonts w:asciiTheme="minorEastAsia" w:eastAsiaTheme="minorEastAsia" w:hAnsiTheme="minorEastAsia" w:hint="eastAsia"/>
              </w:rPr>
              <w:t>其中：买断式回购的买入返售金融资产</w:t>
            </w:r>
          </w:p>
        </w:tc>
        <w:tc>
          <w:tcPr>
            <w:tcW w:w="3119"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before="29" w:line="300" w:lineRule="auto"/>
              <w:ind w:left="17"/>
              <w:jc w:val="right"/>
              <w:rPr>
                <w:rFonts w:asciiTheme="minorEastAsia" w:eastAsiaTheme="minorEastAsia" w:hAnsiTheme="minorEastAsia"/>
              </w:rPr>
            </w:pPr>
            <w:r w:rsidRPr="0087389D">
              <w:rPr>
                <w:rFonts w:asciiTheme="minorEastAsia" w:eastAsiaTheme="minorEastAsia" w:hAnsiTheme="minorEastAsia" w:hint="eastAsia"/>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before="29" w:line="300" w:lineRule="auto"/>
              <w:ind w:left="17"/>
              <w:jc w:val="right"/>
              <w:rPr>
                <w:rFonts w:asciiTheme="minorEastAsia" w:eastAsiaTheme="minorEastAsia" w:hAnsiTheme="minorEastAsia"/>
              </w:rPr>
            </w:pPr>
            <w:r w:rsidRPr="0087389D">
              <w:rPr>
                <w:rFonts w:asciiTheme="minorEastAsia" w:eastAsiaTheme="minorEastAsia" w:hAnsiTheme="minorEastAsia" w:hint="eastAsia"/>
              </w:rPr>
              <w:t>-</w:t>
            </w:r>
          </w:p>
        </w:tc>
      </w:tr>
      <w:tr w:rsidR="00E17B2F" w:rsidRPr="0087389D" w:rsidTr="00E17B2F">
        <w:tc>
          <w:tcPr>
            <w:tcW w:w="720"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before="29" w:line="300" w:lineRule="auto"/>
              <w:ind w:left="17"/>
              <w:jc w:val="center"/>
              <w:rPr>
                <w:rFonts w:asciiTheme="minorEastAsia" w:eastAsiaTheme="minorEastAsia" w:hAnsiTheme="minorEastAsia"/>
              </w:rPr>
            </w:pPr>
            <w:r w:rsidRPr="0087389D">
              <w:rPr>
                <w:rFonts w:asciiTheme="minorEastAsia" w:eastAsiaTheme="minorEastAsia" w:hAnsiTheme="minorEastAsia" w:hint="eastAsia"/>
              </w:rPr>
              <w:t>3</w:t>
            </w:r>
          </w:p>
        </w:tc>
        <w:tc>
          <w:tcPr>
            <w:tcW w:w="3357"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before="29" w:line="300" w:lineRule="auto"/>
              <w:ind w:left="17"/>
              <w:jc w:val="left"/>
              <w:rPr>
                <w:rFonts w:asciiTheme="minorEastAsia" w:eastAsiaTheme="minorEastAsia" w:hAnsiTheme="minorEastAsia"/>
              </w:rPr>
            </w:pPr>
            <w:r w:rsidRPr="0087389D">
              <w:rPr>
                <w:rFonts w:asciiTheme="minorEastAsia" w:eastAsiaTheme="minorEastAsia" w:hAnsiTheme="minorEastAsia" w:hint="eastAsia"/>
              </w:rPr>
              <w:t>银行存款和结算备付金合计</w:t>
            </w:r>
          </w:p>
        </w:tc>
        <w:tc>
          <w:tcPr>
            <w:tcW w:w="3119"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before="29" w:line="300" w:lineRule="auto"/>
              <w:ind w:left="17"/>
              <w:jc w:val="right"/>
              <w:rPr>
                <w:rFonts w:asciiTheme="minorEastAsia" w:eastAsiaTheme="minorEastAsia" w:hAnsiTheme="minorEastAsia"/>
              </w:rPr>
            </w:pPr>
            <w:r w:rsidRPr="0087389D">
              <w:rPr>
                <w:rFonts w:asciiTheme="minorEastAsia" w:eastAsiaTheme="minorEastAsia" w:hAnsiTheme="minorEastAsia" w:hint="eastAsia"/>
              </w:rPr>
              <w:t>7,030,732,297.14</w:t>
            </w:r>
          </w:p>
        </w:tc>
        <w:tc>
          <w:tcPr>
            <w:tcW w:w="1843"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before="29" w:line="300" w:lineRule="auto"/>
              <w:ind w:left="17"/>
              <w:jc w:val="right"/>
              <w:rPr>
                <w:rFonts w:asciiTheme="minorEastAsia" w:eastAsiaTheme="minorEastAsia" w:hAnsiTheme="minorEastAsia"/>
              </w:rPr>
            </w:pPr>
            <w:r w:rsidRPr="0087389D">
              <w:rPr>
                <w:rFonts w:asciiTheme="minorEastAsia" w:eastAsiaTheme="minorEastAsia" w:hAnsiTheme="minorEastAsia" w:hint="eastAsia"/>
              </w:rPr>
              <w:t>30.20</w:t>
            </w:r>
          </w:p>
        </w:tc>
      </w:tr>
      <w:tr w:rsidR="00E17B2F" w:rsidRPr="0087389D" w:rsidTr="00E17B2F">
        <w:tc>
          <w:tcPr>
            <w:tcW w:w="720"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before="29" w:line="300" w:lineRule="auto"/>
              <w:ind w:left="17"/>
              <w:jc w:val="center"/>
              <w:rPr>
                <w:rFonts w:asciiTheme="minorEastAsia" w:eastAsiaTheme="minorEastAsia" w:hAnsiTheme="minorEastAsia"/>
              </w:rPr>
            </w:pPr>
            <w:r w:rsidRPr="0087389D">
              <w:rPr>
                <w:rFonts w:asciiTheme="minorEastAsia" w:eastAsiaTheme="minorEastAsia" w:hAnsiTheme="minorEastAsia" w:hint="eastAsia"/>
              </w:rPr>
              <w:t>4</w:t>
            </w:r>
          </w:p>
        </w:tc>
        <w:tc>
          <w:tcPr>
            <w:tcW w:w="3357"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line="300" w:lineRule="auto"/>
              <w:jc w:val="left"/>
              <w:rPr>
                <w:rFonts w:asciiTheme="minorEastAsia" w:eastAsiaTheme="minorEastAsia" w:hAnsiTheme="minorEastAsia"/>
              </w:rPr>
            </w:pPr>
            <w:r w:rsidRPr="0087389D">
              <w:rPr>
                <w:rFonts w:asciiTheme="minorEastAsia" w:eastAsiaTheme="minorEastAsia" w:hAnsiTheme="minorEastAsia" w:hint="eastAsia"/>
              </w:rPr>
              <w:t>其他资产</w:t>
            </w:r>
          </w:p>
        </w:tc>
        <w:tc>
          <w:tcPr>
            <w:tcW w:w="3119"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270,225,307.48</w:t>
            </w:r>
          </w:p>
        </w:tc>
        <w:tc>
          <w:tcPr>
            <w:tcW w:w="1843"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1.16</w:t>
            </w:r>
          </w:p>
        </w:tc>
      </w:tr>
      <w:tr w:rsidR="00E17B2F" w:rsidRPr="0087389D" w:rsidTr="00E17B2F">
        <w:tc>
          <w:tcPr>
            <w:tcW w:w="720"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before="29" w:line="300" w:lineRule="auto"/>
              <w:ind w:left="17"/>
              <w:jc w:val="center"/>
              <w:rPr>
                <w:rFonts w:asciiTheme="minorEastAsia" w:eastAsiaTheme="minorEastAsia" w:hAnsiTheme="minorEastAsia"/>
              </w:rPr>
            </w:pPr>
            <w:r w:rsidRPr="0087389D">
              <w:rPr>
                <w:rFonts w:asciiTheme="minorEastAsia" w:eastAsiaTheme="minorEastAsia" w:hAnsiTheme="minorEastAsia" w:hint="eastAsia"/>
              </w:rPr>
              <w:t>5</w:t>
            </w:r>
          </w:p>
        </w:tc>
        <w:tc>
          <w:tcPr>
            <w:tcW w:w="3357"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line="300" w:lineRule="auto"/>
              <w:jc w:val="left"/>
              <w:rPr>
                <w:rFonts w:asciiTheme="minorEastAsia" w:eastAsiaTheme="minorEastAsia" w:hAnsiTheme="minorEastAsia"/>
              </w:rPr>
            </w:pPr>
            <w:r w:rsidRPr="0087389D">
              <w:rPr>
                <w:rFonts w:asciiTheme="minorEastAsia" w:eastAsiaTheme="minorEastAsia" w:hAnsiTheme="minorEastAsia" w:hint="eastAsia"/>
              </w:rPr>
              <w:t>合计</w:t>
            </w:r>
          </w:p>
        </w:tc>
        <w:tc>
          <w:tcPr>
            <w:tcW w:w="3119"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23,281,105,351.65</w:t>
            </w:r>
          </w:p>
        </w:tc>
        <w:tc>
          <w:tcPr>
            <w:tcW w:w="1843"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100.00</w:t>
            </w:r>
          </w:p>
        </w:tc>
      </w:tr>
    </w:tbl>
    <w:p w:rsidR="00E17B2F" w:rsidRPr="0087389D" w:rsidRDefault="00E17B2F" w:rsidP="0087389D">
      <w:pPr>
        <w:adjustRightInd w:val="0"/>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2、报告期债券回购融资情况</w:t>
      </w:r>
    </w:p>
    <w:tbl>
      <w:tblPr>
        <w:tblW w:w="8004" w:type="dxa"/>
        <w:tblInd w:w="108" w:type="dxa"/>
        <w:tblLayout w:type="fixed"/>
        <w:tblLook w:val="04A0" w:firstRow="1" w:lastRow="0" w:firstColumn="1" w:lastColumn="0" w:noHBand="0" w:noVBand="1"/>
      </w:tblPr>
      <w:tblGrid>
        <w:gridCol w:w="778"/>
        <w:gridCol w:w="2731"/>
        <w:gridCol w:w="2617"/>
        <w:gridCol w:w="1878"/>
      </w:tblGrid>
      <w:tr w:rsidR="00E17B2F" w:rsidRPr="0087389D" w:rsidTr="00E17B2F">
        <w:tc>
          <w:tcPr>
            <w:tcW w:w="861" w:type="dxa"/>
            <w:tcBorders>
              <w:top w:val="single" w:sz="8" w:space="0" w:color="000000"/>
              <w:left w:val="single" w:sz="8" w:space="0" w:color="000000"/>
              <w:bottom w:val="single" w:sz="8" w:space="0" w:color="000000"/>
              <w:right w:val="single" w:sz="8" w:space="0" w:color="000000"/>
            </w:tcBorders>
            <w:vAlign w:val="center"/>
            <w:hideMark/>
          </w:tcPr>
          <w:p w:rsidR="00E17B2F" w:rsidRPr="0087389D" w:rsidRDefault="00E17B2F">
            <w:pPr>
              <w:spacing w:line="300" w:lineRule="auto"/>
              <w:rPr>
                <w:rFonts w:asciiTheme="minorEastAsia" w:eastAsiaTheme="minorEastAsia" w:hAnsiTheme="minorEastAsia"/>
                <w:kern w:val="0"/>
              </w:rPr>
            </w:pPr>
            <w:r w:rsidRPr="0087389D">
              <w:rPr>
                <w:rFonts w:asciiTheme="minorEastAsia" w:eastAsiaTheme="minorEastAsia" w:hAnsiTheme="minorEastAsia" w:hint="eastAsia"/>
                <w:kern w:val="0"/>
              </w:rPr>
              <w:t>序号</w:t>
            </w:r>
          </w:p>
        </w:tc>
        <w:tc>
          <w:tcPr>
            <w:tcW w:w="3108" w:type="dxa"/>
            <w:tcBorders>
              <w:top w:val="single" w:sz="8" w:space="0" w:color="000000"/>
              <w:left w:val="single" w:sz="8" w:space="0" w:color="000000"/>
              <w:bottom w:val="single" w:sz="8" w:space="0" w:color="000000"/>
              <w:right w:val="single" w:sz="8" w:space="0" w:color="000000"/>
            </w:tcBorders>
            <w:vAlign w:val="center"/>
            <w:hideMark/>
          </w:tcPr>
          <w:p w:rsidR="00E17B2F" w:rsidRPr="0087389D" w:rsidRDefault="00E17B2F">
            <w:pPr>
              <w:spacing w:line="300" w:lineRule="auto"/>
              <w:rPr>
                <w:rFonts w:asciiTheme="minorEastAsia" w:eastAsiaTheme="minorEastAsia" w:hAnsiTheme="minorEastAsia" w:cstheme="minorBidi"/>
                <w:kern w:val="0"/>
              </w:rPr>
            </w:pPr>
            <w:r w:rsidRPr="0087389D">
              <w:rPr>
                <w:rFonts w:asciiTheme="minorEastAsia" w:eastAsiaTheme="minorEastAsia" w:hAnsiTheme="minorEastAsia" w:hint="eastAsia"/>
                <w:kern w:val="0"/>
              </w:rPr>
              <w:t>项目</w:t>
            </w:r>
          </w:p>
        </w:tc>
        <w:tc>
          <w:tcPr>
            <w:tcW w:w="5103" w:type="dxa"/>
            <w:gridSpan w:val="2"/>
            <w:tcBorders>
              <w:top w:val="single" w:sz="8" w:space="0" w:color="000000"/>
              <w:left w:val="single" w:sz="8" w:space="0" w:color="000000"/>
              <w:bottom w:val="single" w:sz="8" w:space="0" w:color="000000"/>
              <w:right w:val="single" w:sz="8" w:space="0" w:color="000000"/>
            </w:tcBorders>
            <w:vAlign w:val="center"/>
            <w:hideMark/>
          </w:tcPr>
          <w:p w:rsidR="00E17B2F" w:rsidRPr="0087389D" w:rsidRDefault="00E17B2F">
            <w:pPr>
              <w:spacing w:line="300" w:lineRule="auto"/>
              <w:rPr>
                <w:rFonts w:asciiTheme="minorEastAsia" w:eastAsiaTheme="minorEastAsia" w:hAnsiTheme="minorEastAsia"/>
                <w:kern w:val="0"/>
              </w:rPr>
            </w:pPr>
            <w:r w:rsidRPr="0087389D">
              <w:rPr>
                <w:rFonts w:asciiTheme="minorEastAsia" w:eastAsiaTheme="minorEastAsia" w:hAnsiTheme="minorEastAsia" w:hint="eastAsia"/>
                <w:kern w:val="0"/>
              </w:rPr>
              <w:t>占基金资产净值的比例（％）</w:t>
            </w:r>
          </w:p>
        </w:tc>
      </w:tr>
      <w:tr w:rsidR="00E17B2F" w:rsidRPr="0087389D" w:rsidTr="00E17B2F">
        <w:tc>
          <w:tcPr>
            <w:tcW w:w="861" w:type="dxa"/>
            <w:tcBorders>
              <w:top w:val="single" w:sz="8" w:space="0" w:color="000000"/>
              <w:left w:val="single" w:sz="8" w:space="0" w:color="000000"/>
              <w:bottom w:val="nil"/>
              <w:right w:val="single" w:sz="8" w:space="0" w:color="000000"/>
            </w:tcBorders>
            <w:vAlign w:val="center"/>
            <w:hideMark/>
          </w:tcPr>
          <w:p w:rsidR="00E17B2F" w:rsidRPr="0087389D" w:rsidRDefault="00E17B2F">
            <w:pPr>
              <w:spacing w:line="300" w:lineRule="auto"/>
              <w:rPr>
                <w:rFonts w:asciiTheme="minorEastAsia" w:eastAsiaTheme="minorEastAsia" w:hAnsiTheme="minorEastAsia"/>
                <w:kern w:val="0"/>
              </w:rPr>
            </w:pPr>
            <w:r w:rsidRPr="0087389D">
              <w:rPr>
                <w:rFonts w:asciiTheme="minorEastAsia" w:eastAsiaTheme="minorEastAsia" w:hAnsiTheme="minorEastAsia" w:hint="eastAsia"/>
                <w:kern w:val="0"/>
              </w:rPr>
              <w:t>1</w:t>
            </w:r>
          </w:p>
        </w:tc>
        <w:tc>
          <w:tcPr>
            <w:tcW w:w="3108" w:type="dxa"/>
            <w:tcBorders>
              <w:top w:val="single" w:sz="8" w:space="0" w:color="000000"/>
              <w:left w:val="single" w:sz="8" w:space="0" w:color="000000"/>
              <w:bottom w:val="single" w:sz="8" w:space="0" w:color="000000"/>
              <w:right w:val="single" w:sz="8" w:space="0" w:color="000000"/>
            </w:tcBorders>
            <w:hideMark/>
          </w:tcPr>
          <w:p w:rsidR="00E17B2F" w:rsidRPr="0087389D" w:rsidRDefault="00E17B2F">
            <w:pPr>
              <w:spacing w:line="300" w:lineRule="auto"/>
              <w:rPr>
                <w:rFonts w:asciiTheme="minorEastAsia" w:eastAsiaTheme="minorEastAsia" w:hAnsiTheme="minorEastAsia"/>
              </w:rPr>
            </w:pPr>
            <w:r w:rsidRPr="0087389D">
              <w:rPr>
                <w:rFonts w:asciiTheme="minorEastAsia" w:eastAsiaTheme="minorEastAsia" w:hAnsiTheme="minorEastAsia" w:hint="eastAsia"/>
              </w:rPr>
              <w:t>报告期内债券回购融资余额</w:t>
            </w:r>
          </w:p>
        </w:tc>
        <w:tc>
          <w:tcPr>
            <w:tcW w:w="5103" w:type="dxa"/>
            <w:gridSpan w:val="2"/>
            <w:tcBorders>
              <w:top w:val="single" w:sz="8" w:space="0" w:color="000000"/>
              <w:left w:val="single" w:sz="8" w:space="0" w:color="000000"/>
              <w:bottom w:val="single" w:sz="8" w:space="0" w:color="000000"/>
              <w:right w:val="single" w:sz="8" w:space="0" w:color="000000"/>
            </w:tcBorders>
            <w:vAlign w:val="center"/>
            <w:hideMark/>
          </w:tcPr>
          <w:p w:rsidR="00E17B2F" w:rsidRPr="0087389D" w:rsidRDefault="00E17B2F">
            <w:pPr>
              <w:spacing w:line="300" w:lineRule="auto"/>
              <w:rPr>
                <w:rFonts w:asciiTheme="minorEastAsia" w:eastAsiaTheme="minorEastAsia" w:hAnsiTheme="minorEastAsia"/>
              </w:rPr>
            </w:pPr>
            <w:r w:rsidRPr="0087389D">
              <w:rPr>
                <w:rFonts w:asciiTheme="minorEastAsia" w:eastAsiaTheme="minorEastAsia" w:hAnsiTheme="minorEastAsia" w:hint="eastAsia"/>
              </w:rPr>
              <w:t>15.01</w:t>
            </w:r>
          </w:p>
        </w:tc>
      </w:tr>
      <w:tr w:rsidR="00E17B2F" w:rsidRPr="0087389D" w:rsidTr="00E17B2F">
        <w:trPr>
          <w:trHeight w:val="712"/>
        </w:trPr>
        <w:tc>
          <w:tcPr>
            <w:tcW w:w="861" w:type="dxa"/>
            <w:tcBorders>
              <w:top w:val="nil"/>
              <w:left w:val="single" w:sz="8" w:space="0" w:color="000000"/>
              <w:bottom w:val="single" w:sz="8" w:space="0" w:color="000000"/>
              <w:right w:val="single" w:sz="8" w:space="0" w:color="000000"/>
            </w:tcBorders>
            <w:vAlign w:val="center"/>
          </w:tcPr>
          <w:p w:rsidR="00E17B2F" w:rsidRPr="0087389D" w:rsidRDefault="00E17B2F">
            <w:pPr>
              <w:spacing w:line="300" w:lineRule="auto"/>
              <w:rPr>
                <w:rFonts w:asciiTheme="minorEastAsia" w:eastAsiaTheme="minorEastAsia" w:hAnsiTheme="minorEastAsia"/>
              </w:rPr>
            </w:pPr>
          </w:p>
        </w:tc>
        <w:tc>
          <w:tcPr>
            <w:tcW w:w="3108" w:type="dxa"/>
            <w:tcBorders>
              <w:top w:val="single" w:sz="8" w:space="0" w:color="000000"/>
              <w:left w:val="single" w:sz="8" w:space="0" w:color="000000"/>
              <w:bottom w:val="single" w:sz="8" w:space="0" w:color="000000"/>
              <w:right w:val="single" w:sz="8" w:space="0" w:color="000000"/>
            </w:tcBorders>
            <w:hideMark/>
          </w:tcPr>
          <w:p w:rsidR="00E17B2F" w:rsidRPr="0087389D" w:rsidRDefault="00E17B2F">
            <w:pPr>
              <w:spacing w:line="300" w:lineRule="auto"/>
              <w:rPr>
                <w:rFonts w:asciiTheme="minorEastAsia" w:eastAsiaTheme="minorEastAsia" w:hAnsiTheme="minorEastAsia"/>
              </w:rPr>
            </w:pPr>
            <w:r w:rsidRPr="0087389D">
              <w:rPr>
                <w:rFonts w:asciiTheme="minorEastAsia" w:eastAsiaTheme="minorEastAsia" w:hAnsiTheme="minorEastAsia" w:hint="eastAsia"/>
              </w:rPr>
              <w:t>其中：买断式回购融资</w:t>
            </w:r>
          </w:p>
        </w:tc>
        <w:tc>
          <w:tcPr>
            <w:tcW w:w="5103" w:type="dxa"/>
            <w:gridSpan w:val="2"/>
            <w:tcBorders>
              <w:top w:val="single" w:sz="8" w:space="0" w:color="000000"/>
              <w:left w:val="single" w:sz="8" w:space="0" w:color="000000"/>
              <w:bottom w:val="single" w:sz="8" w:space="0" w:color="000000"/>
              <w:right w:val="single" w:sz="8" w:space="0" w:color="000000"/>
            </w:tcBorders>
            <w:vAlign w:val="center"/>
            <w:hideMark/>
          </w:tcPr>
          <w:p w:rsidR="00E17B2F" w:rsidRPr="0087389D" w:rsidRDefault="00E17B2F">
            <w:pPr>
              <w:spacing w:line="300" w:lineRule="auto"/>
              <w:rPr>
                <w:rFonts w:asciiTheme="minorEastAsia" w:eastAsiaTheme="minorEastAsia" w:hAnsiTheme="minorEastAsia"/>
              </w:rPr>
            </w:pPr>
            <w:r w:rsidRPr="0087389D">
              <w:rPr>
                <w:rFonts w:asciiTheme="minorEastAsia" w:eastAsiaTheme="minorEastAsia" w:hAnsiTheme="minorEastAsia" w:hint="eastAsia"/>
              </w:rPr>
              <w:t>-</w:t>
            </w:r>
          </w:p>
        </w:tc>
      </w:tr>
      <w:tr w:rsidR="00E17B2F" w:rsidRPr="0087389D" w:rsidTr="00E17B2F">
        <w:tc>
          <w:tcPr>
            <w:tcW w:w="861" w:type="dxa"/>
            <w:tcBorders>
              <w:top w:val="nil"/>
              <w:left w:val="single" w:sz="8" w:space="0" w:color="000000"/>
              <w:bottom w:val="single" w:sz="8" w:space="0" w:color="000000"/>
              <w:right w:val="single" w:sz="8" w:space="0" w:color="000000"/>
            </w:tcBorders>
            <w:vAlign w:val="center"/>
            <w:hideMark/>
          </w:tcPr>
          <w:p w:rsidR="00E17B2F" w:rsidRPr="0087389D" w:rsidRDefault="00E17B2F">
            <w:pPr>
              <w:spacing w:line="300" w:lineRule="auto"/>
              <w:rPr>
                <w:rFonts w:asciiTheme="minorEastAsia" w:eastAsiaTheme="minorEastAsia" w:hAnsiTheme="minorEastAsia"/>
                <w:kern w:val="0"/>
              </w:rPr>
            </w:pPr>
            <w:r w:rsidRPr="0087389D">
              <w:rPr>
                <w:rFonts w:asciiTheme="minorEastAsia" w:eastAsiaTheme="minorEastAsia" w:hAnsiTheme="minorEastAsia" w:hint="eastAsia"/>
                <w:kern w:val="0"/>
              </w:rPr>
              <w:t>序号</w:t>
            </w:r>
          </w:p>
        </w:tc>
        <w:tc>
          <w:tcPr>
            <w:tcW w:w="3108" w:type="dxa"/>
            <w:tcBorders>
              <w:top w:val="single" w:sz="8" w:space="0" w:color="000000"/>
              <w:left w:val="single" w:sz="8" w:space="0" w:color="000000"/>
              <w:bottom w:val="single" w:sz="8" w:space="0" w:color="000000"/>
              <w:right w:val="single" w:sz="8" w:space="0" w:color="000000"/>
            </w:tcBorders>
            <w:hideMark/>
          </w:tcPr>
          <w:p w:rsidR="00E17B2F" w:rsidRPr="0087389D" w:rsidRDefault="00E17B2F">
            <w:pPr>
              <w:spacing w:line="300" w:lineRule="auto"/>
              <w:rPr>
                <w:rFonts w:asciiTheme="minorEastAsia" w:eastAsiaTheme="minorEastAsia" w:hAnsiTheme="minorEastAsia"/>
              </w:rPr>
            </w:pPr>
            <w:r w:rsidRPr="0087389D">
              <w:rPr>
                <w:rFonts w:asciiTheme="minorEastAsia" w:eastAsiaTheme="minorEastAsia" w:hAnsiTheme="minorEastAsia" w:hint="eastAsia"/>
              </w:rPr>
              <w:t>项目</w:t>
            </w:r>
          </w:p>
        </w:tc>
        <w:tc>
          <w:tcPr>
            <w:tcW w:w="2977" w:type="dxa"/>
            <w:tcBorders>
              <w:top w:val="single" w:sz="8" w:space="0" w:color="000000"/>
              <w:left w:val="single" w:sz="8" w:space="0" w:color="000000"/>
              <w:bottom w:val="single" w:sz="8" w:space="0" w:color="000000"/>
              <w:right w:val="single" w:sz="8" w:space="0" w:color="000000"/>
            </w:tcBorders>
            <w:vAlign w:val="center"/>
            <w:hideMark/>
          </w:tcPr>
          <w:p w:rsidR="00E17B2F" w:rsidRPr="0087389D" w:rsidRDefault="00E17B2F">
            <w:pPr>
              <w:spacing w:line="300" w:lineRule="auto"/>
              <w:rPr>
                <w:rFonts w:asciiTheme="minorEastAsia" w:eastAsiaTheme="minorEastAsia" w:hAnsiTheme="minorEastAsia"/>
              </w:rPr>
            </w:pPr>
            <w:r w:rsidRPr="0087389D">
              <w:rPr>
                <w:rFonts w:asciiTheme="minorEastAsia" w:eastAsiaTheme="minorEastAsia" w:hAnsiTheme="minorEastAsia" w:hint="eastAsia"/>
              </w:rPr>
              <w:t>金额</w:t>
            </w:r>
          </w:p>
        </w:tc>
        <w:tc>
          <w:tcPr>
            <w:tcW w:w="2126" w:type="dxa"/>
            <w:tcBorders>
              <w:top w:val="single" w:sz="8" w:space="0" w:color="000000"/>
              <w:left w:val="single" w:sz="8" w:space="0" w:color="000000"/>
              <w:bottom w:val="single" w:sz="8" w:space="0" w:color="000000"/>
              <w:right w:val="single" w:sz="8" w:space="0" w:color="000000"/>
            </w:tcBorders>
            <w:vAlign w:val="center"/>
            <w:hideMark/>
          </w:tcPr>
          <w:p w:rsidR="00E17B2F" w:rsidRPr="0087389D" w:rsidRDefault="00E17B2F">
            <w:pPr>
              <w:spacing w:line="300" w:lineRule="auto"/>
              <w:rPr>
                <w:rFonts w:asciiTheme="minorEastAsia" w:eastAsiaTheme="minorEastAsia" w:hAnsiTheme="minorEastAsia"/>
              </w:rPr>
            </w:pPr>
            <w:r w:rsidRPr="0087389D">
              <w:rPr>
                <w:rFonts w:asciiTheme="minorEastAsia" w:eastAsiaTheme="minorEastAsia" w:hAnsiTheme="minorEastAsia" w:hint="eastAsia"/>
                <w:kern w:val="0"/>
              </w:rPr>
              <w:t>占基金资产净值的比例（％）</w:t>
            </w:r>
          </w:p>
        </w:tc>
      </w:tr>
      <w:tr w:rsidR="00E17B2F" w:rsidRPr="0087389D" w:rsidTr="00E17B2F">
        <w:tc>
          <w:tcPr>
            <w:tcW w:w="861" w:type="dxa"/>
            <w:vMerge w:val="restart"/>
            <w:tcBorders>
              <w:top w:val="single" w:sz="8" w:space="0" w:color="000000"/>
              <w:left w:val="single" w:sz="8" w:space="0" w:color="000000"/>
              <w:bottom w:val="single" w:sz="8" w:space="0" w:color="000000"/>
              <w:right w:val="single" w:sz="8" w:space="0" w:color="000000"/>
            </w:tcBorders>
            <w:vAlign w:val="center"/>
            <w:hideMark/>
          </w:tcPr>
          <w:p w:rsidR="00E17B2F" w:rsidRPr="0087389D" w:rsidRDefault="00E17B2F">
            <w:pPr>
              <w:spacing w:line="300" w:lineRule="auto"/>
              <w:rPr>
                <w:rFonts w:asciiTheme="minorEastAsia" w:eastAsiaTheme="minorEastAsia" w:hAnsiTheme="minorEastAsia"/>
              </w:rPr>
            </w:pPr>
            <w:r w:rsidRPr="0087389D">
              <w:rPr>
                <w:rFonts w:asciiTheme="minorEastAsia" w:eastAsiaTheme="minorEastAsia" w:hAnsiTheme="minorEastAsia" w:hint="eastAsia"/>
              </w:rPr>
              <w:t>2</w:t>
            </w:r>
          </w:p>
        </w:tc>
        <w:tc>
          <w:tcPr>
            <w:tcW w:w="3108" w:type="dxa"/>
            <w:tcBorders>
              <w:top w:val="single" w:sz="8" w:space="0" w:color="000000"/>
              <w:left w:val="single" w:sz="8" w:space="0" w:color="000000"/>
              <w:bottom w:val="single" w:sz="8" w:space="0" w:color="000000"/>
              <w:right w:val="single" w:sz="8" w:space="0" w:color="000000"/>
            </w:tcBorders>
            <w:hideMark/>
          </w:tcPr>
          <w:p w:rsidR="00E17B2F" w:rsidRPr="0087389D" w:rsidRDefault="00E17B2F">
            <w:pPr>
              <w:spacing w:line="300" w:lineRule="auto"/>
              <w:rPr>
                <w:rFonts w:asciiTheme="minorEastAsia" w:eastAsiaTheme="minorEastAsia" w:hAnsiTheme="minorEastAsia"/>
              </w:rPr>
            </w:pPr>
            <w:r w:rsidRPr="0087389D">
              <w:rPr>
                <w:rFonts w:asciiTheme="minorEastAsia" w:eastAsiaTheme="minorEastAsia" w:hAnsiTheme="minorEastAsia" w:hint="eastAsia"/>
              </w:rPr>
              <w:t>报告期末债券回购融资余额</w:t>
            </w:r>
          </w:p>
        </w:tc>
        <w:tc>
          <w:tcPr>
            <w:tcW w:w="2977" w:type="dxa"/>
            <w:tcBorders>
              <w:top w:val="single" w:sz="8" w:space="0" w:color="000000"/>
              <w:left w:val="single" w:sz="8" w:space="0" w:color="000000"/>
              <w:bottom w:val="single" w:sz="8" w:space="0" w:color="000000"/>
              <w:right w:val="single" w:sz="8" w:space="0" w:color="000000"/>
            </w:tcBorders>
            <w:vAlign w:val="center"/>
            <w:hideMark/>
          </w:tcPr>
          <w:p w:rsidR="00E17B2F" w:rsidRPr="0087389D" w:rsidRDefault="00E17B2F">
            <w:pPr>
              <w:spacing w:line="300" w:lineRule="auto"/>
              <w:rPr>
                <w:rFonts w:asciiTheme="minorEastAsia" w:eastAsiaTheme="minorEastAsia" w:hAnsiTheme="minorEastAsia"/>
              </w:rPr>
            </w:pPr>
            <w:r w:rsidRPr="0087389D">
              <w:rPr>
                <w:rFonts w:asciiTheme="minorEastAsia" w:eastAsiaTheme="minorEastAsia" w:hAnsiTheme="minorEastAsia" w:hint="eastAsia"/>
              </w:rPr>
              <w:t>3,558,971,420.54</w:t>
            </w:r>
          </w:p>
        </w:tc>
        <w:tc>
          <w:tcPr>
            <w:tcW w:w="2126" w:type="dxa"/>
            <w:tcBorders>
              <w:top w:val="single" w:sz="8" w:space="0" w:color="000000"/>
              <w:left w:val="single" w:sz="8" w:space="0" w:color="000000"/>
              <w:bottom w:val="single" w:sz="8" w:space="0" w:color="000000"/>
              <w:right w:val="single" w:sz="8" w:space="0" w:color="000000"/>
            </w:tcBorders>
            <w:vAlign w:val="center"/>
            <w:hideMark/>
          </w:tcPr>
          <w:p w:rsidR="00E17B2F" w:rsidRPr="0087389D" w:rsidRDefault="00E17B2F">
            <w:pPr>
              <w:spacing w:line="300" w:lineRule="auto"/>
              <w:rPr>
                <w:rFonts w:asciiTheme="minorEastAsia" w:eastAsiaTheme="minorEastAsia" w:hAnsiTheme="minorEastAsia"/>
              </w:rPr>
            </w:pPr>
            <w:r w:rsidRPr="0087389D">
              <w:rPr>
                <w:rFonts w:asciiTheme="minorEastAsia" w:eastAsiaTheme="minorEastAsia" w:hAnsiTheme="minorEastAsia" w:hint="eastAsia"/>
              </w:rPr>
              <w:t>18.06</w:t>
            </w:r>
          </w:p>
        </w:tc>
      </w:tr>
      <w:tr w:rsidR="00E17B2F" w:rsidRPr="0087389D" w:rsidTr="00E17B2F">
        <w:tc>
          <w:tcPr>
            <w:tcW w:w="861" w:type="dxa"/>
            <w:vMerge/>
            <w:tcBorders>
              <w:top w:val="single" w:sz="8" w:space="0" w:color="000000"/>
              <w:left w:val="single" w:sz="8" w:space="0" w:color="000000"/>
              <w:bottom w:val="single" w:sz="8" w:space="0" w:color="000000"/>
              <w:right w:val="single" w:sz="8" w:space="0" w:color="000000"/>
            </w:tcBorders>
            <w:vAlign w:val="center"/>
            <w:hideMark/>
          </w:tcPr>
          <w:p w:rsidR="00E17B2F" w:rsidRPr="0087389D" w:rsidRDefault="00E17B2F">
            <w:pPr>
              <w:widowControl/>
              <w:jc w:val="left"/>
              <w:rPr>
                <w:rFonts w:asciiTheme="minorEastAsia" w:eastAsiaTheme="minorEastAsia" w:hAnsiTheme="minorEastAsia"/>
                <w:szCs w:val="22"/>
              </w:rPr>
            </w:pPr>
          </w:p>
        </w:tc>
        <w:tc>
          <w:tcPr>
            <w:tcW w:w="3108" w:type="dxa"/>
            <w:tcBorders>
              <w:top w:val="single" w:sz="8" w:space="0" w:color="000000"/>
              <w:left w:val="single" w:sz="8" w:space="0" w:color="000000"/>
              <w:bottom w:val="single" w:sz="8" w:space="0" w:color="000000"/>
              <w:right w:val="single" w:sz="8" w:space="0" w:color="000000"/>
            </w:tcBorders>
            <w:hideMark/>
          </w:tcPr>
          <w:p w:rsidR="00E17B2F" w:rsidRPr="0087389D" w:rsidRDefault="00E17B2F">
            <w:pPr>
              <w:spacing w:line="300" w:lineRule="auto"/>
              <w:rPr>
                <w:rFonts w:asciiTheme="minorEastAsia" w:eastAsiaTheme="minorEastAsia" w:hAnsiTheme="minorEastAsia"/>
              </w:rPr>
            </w:pPr>
            <w:r w:rsidRPr="0087389D">
              <w:rPr>
                <w:rFonts w:asciiTheme="minorEastAsia" w:eastAsiaTheme="minorEastAsia" w:hAnsiTheme="minorEastAsia" w:hint="eastAsia"/>
              </w:rPr>
              <w:t>其中：买断式回购融资</w:t>
            </w:r>
          </w:p>
        </w:tc>
        <w:tc>
          <w:tcPr>
            <w:tcW w:w="2977" w:type="dxa"/>
            <w:tcBorders>
              <w:top w:val="single" w:sz="8" w:space="0" w:color="000000"/>
              <w:left w:val="single" w:sz="8" w:space="0" w:color="000000"/>
              <w:bottom w:val="single" w:sz="8" w:space="0" w:color="000000"/>
              <w:right w:val="single" w:sz="8" w:space="0" w:color="000000"/>
            </w:tcBorders>
            <w:vAlign w:val="center"/>
            <w:hideMark/>
          </w:tcPr>
          <w:p w:rsidR="00E17B2F" w:rsidRPr="0087389D" w:rsidRDefault="00E17B2F">
            <w:pPr>
              <w:spacing w:line="300" w:lineRule="auto"/>
              <w:rPr>
                <w:rFonts w:asciiTheme="minorEastAsia" w:eastAsiaTheme="minorEastAsia" w:hAnsiTheme="minorEastAsia"/>
              </w:rPr>
            </w:pPr>
            <w:r w:rsidRPr="0087389D">
              <w:rPr>
                <w:rFonts w:asciiTheme="minorEastAsia" w:eastAsiaTheme="minorEastAsia" w:hAnsiTheme="minorEastAsia" w:hint="eastAsia"/>
              </w:rPr>
              <w:t>-</w:t>
            </w:r>
          </w:p>
        </w:tc>
        <w:tc>
          <w:tcPr>
            <w:tcW w:w="2126" w:type="dxa"/>
            <w:tcBorders>
              <w:top w:val="single" w:sz="8" w:space="0" w:color="000000"/>
              <w:left w:val="single" w:sz="8" w:space="0" w:color="000000"/>
              <w:bottom w:val="single" w:sz="8" w:space="0" w:color="000000"/>
              <w:right w:val="single" w:sz="8" w:space="0" w:color="000000"/>
            </w:tcBorders>
            <w:vAlign w:val="center"/>
            <w:hideMark/>
          </w:tcPr>
          <w:p w:rsidR="00E17B2F" w:rsidRPr="0087389D" w:rsidRDefault="00E17B2F">
            <w:pPr>
              <w:spacing w:line="300" w:lineRule="auto"/>
              <w:rPr>
                <w:rFonts w:asciiTheme="minorEastAsia" w:eastAsiaTheme="minorEastAsia" w:hAnsiTheme="minorEastAsia"/>
              </w:rPr>
            </w:pPr>
            <w:r w:rsidRPr="0087389D">
              <w:rPr>
                <w:rFonts w:asciiTheme="minorEastAsia" w:eastAsiaTheme="minorEastAsia" w:hAnsiTheme="minorEastAsia" w:hint="eastAsia"/>
              </w:rPr>
              <w:t>-</w:t>
            </w:r>
          </w:p>
        </w:tc>
      </w:tr>
    </w:tbl>
    <w:p w:rsidR="00E17B2F" w:rsidRPr="0087389D" w:rsidRDefault="00E17B2F" w:rsidP="0087389D">
      <w:pPr>
        <w:adjustRightInd w:val="0"/>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注：上表中报告期内债券回购融资余额占基金资产净值的比例为报告期内每个交易日融资余额占基金资产净值比例的简单平均值。</w:t>
      </w:r>
    </w:p>
    <w:p w:rsidR="00E17B2F" w:rsidRPr="0087389D" w:rsidRDefault="00E17B2F" w:rsidP="0087389D">
      <w:pPr>
        <w:adjustRightInd w:val="0"/>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债券正回购的资金余额超过基金资产净值的20％的说明</w:t>
      </w:r>
    </w:p>
    <w:p w:rsidR="00E17B2F" w:rsidRPr="0087389D" w:rsidRDefault="00E17B2F" w:rsidP="0087389D">
      <w:pPr>
        <w:adjustRightInd w:val="0"/>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在本报告期内本货币市场基金债券正回购的资金余额未超过资产净值的20%。</w:t>
      </w:r>
    </w:p>
    <w:p w:rsidR="00E17B2F" w:rsidRPr="0087389D" w:rsidRDefault="00E17B2F" w:rsidP="0087389D">
      <w:pPr>
        <w:adjustRightInd w:val="0"/>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3、基金投资组合平均剩余期限</w:t>
      </w:r>
    </w:p>
    <w:p w:rsidR="00E17B2F" w:rsidRPr="0087389D" w:rsidRDefault="00E17B2F" w:rsidP="0087389D">
      <w:pPr>
        <w:adjustRightInd w:val="0"/>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（1）投资组合平均剩余期限基本情况</w:t>
      </w:r>
    </w:p>
    <w:tbl>
      <w:tblPr>
        <w:tblW w:w="8004" w:type="dxa"/>
        <w:tblInd w:w="108" w:type="dxa"/>
        <w:tblLayout w:type="fixed"/>
        <w:tblLook w:val="04A0" w:firstRow="1" w:lastRow="0" w:firstColumn="1" w:lastColumn="0" w:noHBand="0" w:noVBand="1"/>
      </w:tblPr>
      <w:tblGrid>
        <w:gridCol w:w="3582"/>
        <w:gridCol w:w="4422"/>
      </w:tblGrid>
      <w:tr w:rsidR="00E17B2F" w:rsidRPr="0087389D" w:rsidTr="00E17B2F">
        <w:tc>
          <w:tcPr>
            <w:tcW w:w="4056" w:type="dxa"/>
            <w:tcBorders>
              <w:top w:val="single" w:sz="8" w:space="0" w:color="000000"/>
              <w:left w:val="single" w:sz="8" w:space="0" w:color="000000"/>
              <w:bottom w:val="single" w:sz="8" w:space="0" w:color="000000"/>
              <w:right w:val="single" w:sz="8" w:space="0" w:color="000000"/>
            </w:tcBorders>
            <w:vAlign w:val="center"/>
            <w:hideMark/>
          </w:tcPr>
          <w:p w:rsidR="00E17B2F" w:rsidRPr="0087389D" w:rsidRDefault="00E17B2F">
            <w:pPr>
              <w:autoSpaceDE w:val="0"/>
              <w:autoSpaceDN w:val="0"/>
              <w:adjustRightInd w:val="0"/>
              <w:spacing w:before="29" w:line="300" w:lineRule="auto"/>
              <w:ind w:left="15"/>
              <w:jc w:val="center"/>
              <w:rPr>
                <w:rFonts w:asciiTheme="minorEastAsia" w:eastAsiaTheme="minorEastAsia" w:hAnsiTheme="minorEastAsia"/>
                <w:kern w:val="0"/>
              </w:rPr>
            </w:pPr>
            <w:r w:rsidRPr="0087389D">
              <w:rPr>
                <w:rFonts w:asciiTheme="minorEastAsia" w:eastAsiaTheme="minorEastAsia" w:hAnsiTheme="minorEastAsia" w:hint="eastAsia"/>
                <w:kern w:val="0"/>
              </w:rPr>
              <w:t>项目</w:t>
            </w:r>
          </w:p>
        </w:tc>
        <w:tc>
          <w:tcPr>
            <w:tcW w:w="5016" w:type="dxa"/>
            <w:tcBorders>
              <w:top w:val="single" w:sz="8" w:space="0" w:color="000000"/>
              <w:left w:val="single" w:sz="8" w:space="0" w:color="000000"/>
              <w:bottom w:val="single" w:sz="8" w:space="0" w:color="000000"/>
              <w:right w:val="single" w:sz="8" w:space="0" w:color="000000"/>
            </w:tcBorders>
            <w:vAlign w:val="center"/>
            <w:hideMark/>
          </w:tcPr>
          <w:p w:rsidR="00E17B2F" w:rsidRPr="0087389D" w:rsidRDefault="00E17B2F">
            <w:pPr>
              <w:autoSpaceDE w:val="0"/>
              <w:autoSpaceDN w:val="0"/>
              <w:adjustRightInd w:val="0"/>
              <w:spacing w:before="29" w:line="300" w:lineRule="auto"/>
              <w:ind w:left="15"/>
              <w:jc w:val="center"/>
              <w:rPr>
                <w:rFonts w:asciiTheme="minorEastAsia" w:eastAsiaTheme="minorEastAsia" w:hAnsiTheme="minorEastAsia" w:cstheme="minorBidi"/>
                <w:kern w:val="0"/>
              </w:rPr>
            </w:pPr>
            <w:r w:rsidRPr="0087389D">
              <w:rPr>
                <w:rFonts w:asciiTheme="minorEastAsia" w:eastAsiaTheme="minorEastAsia" w:hAnsiTheme="minorEastAsia" w:hint="eastAsia"/>
                <w:kern w:val="0"/>
              </w:rPr>
              <w:t>天数</w:t>
            </w:r>
          </w:p>
        </w:tc>
      </w:tr>
      <w:tr w:rsidR="00E17B2F" w:rsidRPr="0087389D" w:rsidTr="00E17B2F">
        <w:tc>
          <w:tcPr>
            <w:tcW w:w="4056" w:type="dxa"/>
            <w:tcBorders>
              <w:top w:val="single" w:sz="8" w:space="0" w:color="000000"/>
              <w:left w:val="single" w:sz="8" w:space="0" w:color="000000"/>
              <w:bottom w:val="single" w:sz="8" w:space="0" w:color="000000"/>
              <w:right w:val="single" w:sz="8" w:space="0" w:color="000000"/>
            </w:tcBorders>
            <w:vAlign w:val="center"/>
            <w:hideMark/>
          </w:tcPr>
          <w:p w:rsidR="00E17B2F" w:rsidRPr="0087389D" w:rsidRDefault="00E17B2F">
            <w:pPr>
              <w:autoSpaceDE w:val="0"/>
              <w:autoSpaceDN w:val="0"/>
              <w:adjustRightInd w:val="0"/>
              <w:spacing w:before="29" w:line="300" w:lineRule="auto"/>
              <w:ind w:left="15"/>
              <w:jc w:val="left"/>
              <w:rPr>
                <w:rFonts w:asciiTheme="minorEastAsia" w:eastAsiaTheme="minorEastAsia" w:hAnsiTheme="minorEastAsia"/>
                <w:kern w:val="0"/>
              </w:rPr>
            </w:pPr>
            <w:r w:rsidRPr="0087389D">
              <w:rPr>
                <w:rFonts w:asciiTheme="minorEastAsia" w:eastAsiaTheme="minorEastAsia" w:hAnsiTheme="minorEastAsia" w:hint="eastAsia"/>
                <w:kern w:val="0"/>
              </w:rPr>
              <w:t>报告期末投资组合平均剩余期限</w:t>
            </w:r>
          </w:p>
        </w:tc>
        <w:tc>
          <w:tcPr>
            <w:tcW w:w="5016" w:type="dxa"/>
            <w:tcBorders>
              <w:top w:val="single" w:sz="8" w:space="0" w:color="000000"/>
              <w:left w:val="single" w:sz="8" w:space="0" w:color="000000"/>
              <w:bottom w:val="single" w:sz="8" w:space="0" w:color="000000"/>
              <w:right w:val="single" w:sz="8" w:space="0" w:color="000000"/>
            </w:tcBorders>
            <w:vAlign w:val="center"/>
            <w:hideMark/>
          </w:tcPr>
          <w:p w:rsidR="00E17B2F" w:rsidRPr="0087389D" w:rsidRDefault="00E17B2F">
            <w:pPr>
              <w:spacing w:line="300" w:lineRule="auto"/>
              <w:ind w:right="120"/>
              <w:jc w:val="right"/>
              <w:rPr>
                <w:rFonts w:asciiTheme="minorEastAsia" w:eastAsiaTheme="minorEastAsia" w:hAnsiTheme="minorEastAsia"/>
              </w:rPr>
            </w:pPr>
            <w:r w:rsidRPr="0087389D">
              <w:rPr>
                <w:rFonts w:asciiTheme="minorEastAsia" w:eastAsiaTheme="minorEastAsia" w:hAnsiTheme="minorEastAsia" w:hint="eastAsia"/>
              </w:rPr>
              <w:t>106</w:t>
            </w:r>
          </w:p>
        </w:tc>
      </w:tr>
      <w:tr w:rsidR="00E17B2F" w:rsidRPr="0087389D" w:rsidTr="00E17B2F">
        <w:tc>
          <w:tcPr>
            <w:tcW w:w="4056" w:type="dxa"/>
            <w:tcBorders>
              <w:top w:val="single" w:sz="8" w:space="0" w:color="000000"/>
              <w:left w:val="single" w:sz="8" w:space="0" w:color="000000"/>
              <w:bottom w:val="single" w:sz="8" w:space="0" w:color="000000"/>
              <w:right w:val="single" w:sz="8" w:space="0" w:color="000000"/>
            </w:tcBorders>
            <w:vAlign w:val="center"/>
            <w:hideMark/>
          </w:tcPr>
          <w:p w:rsidR="00E17B2F" w:rsidRPr="0087389D" w:rsidRDefault="00E17B2F">
            <w:pPr>
              <w:autoSpaceDE w:val="0"/>
              <w:autoSpaceDN w:val="0"/>
              <w:adjustRightInd w:val="0"/>
              <w:spacing w:before="29" w:line="300" w:lineRule="auto"/>
              <w:ind w:left="15"/>
              <w:jc w:val="left"/>
              <w:rPr>
                <w:rFonts w:asciiTheme="minorEastAsia" w:eastAsiaTheme="minorEastAsia" w:hAnsiTheme="minorEastAsia"/>
                <w:kern w:val="0"/>
              </w:rPr>
            </w:pPr>
            <w:r w:rsidRPr="0087389D">
              <w:rPr>
                <w:rFonts w:asciiTheme="minorEastAsia" w:eastAsiaTheme="minorEastAsia" w:hAnsiTheme="minorEastAsia" w:hint="eastAsia"/>
                <w:kern w:val="0"/>
              </w:rPr>
              <w:t>报告期内投资组合平均剩余期限最高值</w:t>
            </w:r>
          </w:p>
        </w:tc>
        <w:tc>
          <w:tcPr>
            <w:tcW w:w="5016" w:type="dxa"/>
            <w:tcBorders>
              <w:top w:val="single" w:sz="8" w:space="0" w:color="000000"/>
              <w:left w:val="single" w:sz="8" w:space="0" w:color="000000"/>
              <w:bottom w:val="single" w:sz="8" w:space="0" w:color="000000"/>
              <w:right w:val="single" w:sz="8"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116</w:t>
            </w:r>
          </w:p>
        </w:tc>
      </w:tr>
      <w:tr w:rsidR="00E17B2F" w:rsidRPr="0087389D" w:rsidTr="00E17B2F">
        <w:tc>
          <w:tcPr>
            <w:tcW w:w="4056" w:type="dxa"/>
            <w:tcBorders>
              <w:top w:val="single" w:sz="8" w:space="0" w:color="000000"/>
              <w:left w:val="single" w:sz="8" w:space="0" w:color="000000"/>
              <w:bottom w:val="single" w:sz="8" w:space="0" w:color="000000"/>
              <w:right w:val="single" w:sz="8" w:space="0" w:color="000000"/>
            </w:tcBorders>
            <w:vAlign w:val="center"/>
            <w:hideMark/>
          </w:tcPr>
          <w:p w:rsidR="00E17B2F" w:rsidRPr="0087389D" w:rsidRDefault="00E17B2F">
            <w:pPr>
              <w:autoSpaceDE w:val="0"/>
              <w:autoSpaceDN w:val="0"/>
              <w:adjustRightInd w:val="0"/>
              <w:spacing w:before="29" w:line="300" w:lineRule="auto"/>
              <w:ind w:left="15"/>
              <w:jc w:val="left"/>
              <w:rPr>
                <w:rFonts w:asciiTheme="minorEastAsia" w:eastAsiaTheme="minorEastAsia" w:hAnsiTheme="minorEastAsia"/>
                <w:kern w:val="0"/>
              </w:rPr>
            </w:pPr>
            <w:r w:rsidRPr="0087389D">
              <w:rPr>
                <w:rFonts w:asciiTheme="minorEastAsia" w:eastAsiaTheme="minorEastAsia" w:hAnsiTheme="minorEastAsia" w:hint="eastAsia"/>
                <w:kern w:val="0"/>
              </w:rPr>
              <w:t>报告期内投资组合平均剩余期限最</w:t>
            </w:r>
            <w:r w:rsidRPr="0087389D">
              <w:rPr>
                <w:rFonts w:asciiTheme="minorEastAsia" w:eastAsiaTheme="minorEastAsia" w:hAnsiTheme="minorEastAsia" w:hint="eastAsia"/>
                <w:kern w:val="0"/>
              </w:rPr>
              <w:lastRenderedPageBreak/>
              <w:t>低值</w:t>
            </w:r>
          </w:p>
        </w:tc>
        <w:tc>
          <w:tcPr>
            <w:tcW w:w="5016" w:type="dxa"/>
            <w:tcBorders>
              <w:top w:val="single" w:sz="8" w:space="0" w:color="000000"/>
              <w:left w:val="single" w:sz="8" w:space="0" w:color="000000"/>
              <w:bottom w:val="single" w:sz="8" w:space="0" w:color="000000"/>
              <w:right w:val="single" w:sz="8" w:space="0" w:color="000000"/>
            </w:tcBorders>
            <w:vAlign w:val="center"/>
            <w:hideMark/>
          </w:tcPr>
          <w:p w:rsidR="00E17B2F" w:rsidRPr="0087389D" w:rsidRDefault="00E17B2F">
            <w:pPr>
              <w:spacing w:line="300" w:lineRule="auto"/>
              <w:ind w:right="120"/>
              <w:jc w:val="right"/>
              <w:rPr>
                <w:rFonts w:asciiTheme="minorEastAsia" w:eastAsiaTheme="minorEastAsia" w:hAnsiTheme="minorEastAsia"/>
              </w:rPr>
            </w:pPr>
            <w:r w:rsidRPr="0087389D">
              <w:rPr>
                <w:rFonts w:asciiTheme="minorEastAsia" w:eastAsiaTheme="minorEastAsia" w:hAnsiTheme="minorEastAsia" w:hint="eastAsia"/>
              </w:rPr>
              <w:lastRenderedPageBreak/>
              <w:t>84</w:t>
            </w:r>
          </w:p>
        </w:tc>
      </w:tr>
    </w:tbl>
    <w:p w:rsidR="00E17B2F" w:rsidRPr="0087389D" w:rsidRDefault="00E17B2F" w:rsidP="0087389D">
      <w:pPr>
        <w:adjustRightInd w:val="0"/>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报告期内投资组合平均剩余期限超过120天情况说明</w:t>
      </w:r>
    </w:p>
    <w:p w:rsidR="00E17B2F" w:rsidRPr="0087389D" w:rsidRDefault="00E17B2F" w:rsidP="0087389D">
      <w:pPr>
        <w:adjustRightInd w:val="0"/>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本报告期内本货币市场基金投资组合平均剩余期限未超过120天。</w:t>
      </w:r>
    </w:p>
    <w:p w:rsidR="00E17B2F" w:rsidRPr="0087389D" w:rsidRDefault="00E17B2F" w:rsidP="0087389D">
      <w:pPr>
        <w:adjustRightInd w:val="0"/>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（2）报告期末投资组合平均剩余期限分布比例</w:t>
      </w:r>
    </w:p>
    <w:tbl>
      <w:tblPr>
        <w:tblW w:w="8004" w:type="dxa"/>
        <w:tblInd w:w="108" w:type="dxa"/>
        <w:tblLayout w:type="fixed"/>
        <w:tblLook w:val="04A0" w:firstRow="1" w:lastRow="0" w:firstColumn="1" w:lastColumn="0" w:noHBand="0" w:noVBand="1"/>
      </w:tblPr>
      <w:tblGrid>
        <w:gridCol w:w="764"/>
        <w:gridCol w:w="2912"/>
        <w:gridCol w:w="2206"/>
        <w:gridCol w:w="2122"/>
      </w:tblGrid>
      <w:tr w:rsidR="00E17B2F" w:rsidRPr="0087389D" w:rsidTr="00E17B2F">
        <w:tc>
          <w:tcPr>
            <w:tcW w:w="851" w:type="dxa"/>
            <w:tcBorders>
              <w:top w:val="single" w:sz="8" w:space="0" w:color="000000"/>
              <w:left w:val="single" w:sz="8" w:space="0" w:color="000000"/>
              <w:bottom w:val="single" w:sz="8" w:space="0" w:color="000000"/>
              <w:right w:val="single" w:sz="8" w:space="0" w:color="000000"/>
            </w:tcBorders>
            <w:vAlign w:val="center"/>
            <w:hideMark/>
          </w:tcPr>
          <w:p w:rsidR="00E17B2F" w:rsidRPr="0087389D" w:rsidRDefault="00E17B2F">
            <w:pPr>
              <w:autoSpaceDE w:val="0"/>
              <w:autoSpaceDN w:val="0"/>
              <w:adjustRightInd w:val="0"/>
              <w:spacing w:before="29" w:line="300" w:lineRule="auto"/>
              <w:ind w:left="15"/>
              <w:jc w:val="center"/>
              <w:rPr>
                <w:rFonts w:asciiTheme="minorEastAsia" w:eastAsiaTheme="minorEastAsia" w:hAnsiTheme="minorEastAsia"/>
                <w:kern w:val="0"/>
              </w:rPr>
            </w:pPr>
            <w:r w:rsidRPr="0087389D">
              <w:rPr>
                <w:rFonts w:asciiTheme="minorEastAsia" w:eastAsiaTheme="minorEastAsia" w:hAnsiTheme="minorEastAsia" w:hint="eastAsia"/>
                <w:kern w:val="0"/>
              </w:rPr>
              <w:t>序号</w:t>
            </w:r>
          </w:p>
        </w:tc>
        <w:tc>
          <w:tcPr>
            <w:tcW w:w="3351" w:type="dxa"/>
            <w:tcBorders>
              <w:top w:val="single" w:sz="8" w:space="0" w:color="000000"/>
              <w:left w:val="single" w:sz="8" w:space="0" w:color="000000"/>
              <w:bottom w:val="single" w:sz="8" w:space="0" w:color="000000"/>
              <w:right w:val="single" w:sz="8" w:space="0" w:color="000000"/>
            </w:tcBorders>
            <w:vAlign w:val="center"/>
            <w:hideMark/>
          </w:tcPr>
          <w:p w:rsidR="00E17B2F" w:rsidRPr="0087389D" w:rsidRDefault="00E17B2F">
            <w:pPr>
              <w:autoSpaceDE w:val="0"/>
              <w:autoSpaceDN w:val="0"/>
              <w:adjustRightInd w:val="0"/>
              <w:spacing w:before="29" w:line="300" w:lineRule="auto"/>
              <w:ind w:left="15"/>
              <w:jc w:val="center"/>
              <w:rPr>
                <w:rFonts w:asciiTheme="minorEastAsia" w:eastAsiaTheme="minorEastAsia" w:hAnsiTheme="minorEastAsia" w:cstheme="minorBidi"/>
                <w:kern w:val="0"/>
              </w:rPr>
            </w:pPr>
            <w:r w:rsidRPr="0087389D">
              <w:rPr>
                <w:rFonts w:asciiTheme="minorEastAsia" w:eastAsiaTheme="minorEastAsia" w:hAnsiTheme="minorEastAsia" w:hint="eastAsia"/>
                <w:kern w:val="0"/>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hideMark/>
          </w:tcPr>
          <w:p w:rsidR="00E17B2F" w:rsidRPr="0087389D" w:rsidRDefault="00E17B2F">
            <w:pPr>
              <w:autoSpaceDE w:val="0"/>
              <w:autoSpaceDN w:val="0"/>
              <w:adjustRightInd w:val="0"/>
              <w:spacing w:before="29" w:line="300" w:lineRule="auto"/>
              <w:ind w:left="15"/>
              <w:jc w:val="center"/>
              <w:rPr>
                <w:rFonts w:asciiTheme="minorEastAsia" w:eastAsiaTheme="minorEastAsia" w:hAnsiTheme="minorEastAsia"/>
                <w:kern w:val="0"/>
              </w:rPr>
            </w:pPr>
            <w:r w:rsidRPr="0087389D">
              <w:rPr>
                <w:rFonts w:asciiTheme="minorEastAsia" w:eastAsiaTheme="minorEastAsia" w:hAnsiTheme="minorEastAsia" w:hint="eastAsia"/>
                <w:kern w:val="0"/>
              </w:rPr>
              <w:t>各期限资产占基金资产净值的比例（%）</w:t>
            </w:r>
          </w:p>
        </w:tc>
        <w:tc>
          <w:tcPr>
            <w:tcW w:w="2431" w:type="dxa"/>
            <w:tcBorders>
              <w:top w:val="single" w:sz="8" w:space="0" w:color="000000"/>
              <w:left w:val="single" w:sz="8" w:space="0" w:color="000000"/>
              <w:bottom w:val="single" w:sz="8" w:space="0" w:color="000000"/>
              <w:right w:val="single" w:sz="8" w:space="0" w:color="000000"/>
            </w:tcBorders>
            <w:vAlign w:val="center"/>
            <w:hideMark/>
          </w:tcPr>
          <w:p w:rsidR="00E17B2F" w:rsidRPr="0087389D" w:rsidRDefault="00E17B2F">
            <w:pPr>
              <w:autoSpaceDE w:val="0"/>
              <w:autoSpaceDN w:val="0"/>
              <w:adjustRightInd w:val="0"/>
              <w:spacing w:before="29" w:line="300" w:lineRule="auto"/>
              <w:ind w:left="15"/>
              <w:jc w:val="center"/>
              <w:rPr>
                <w:rFonts w:asciiTheme="minorEastAsia" w:eastAsiaTheme="minorEastAsia" w:hAnsiTheme="minorEastAsia"/>
                <w:kern w:val="0"/>
              </w:rPr>
            </w:pPr>
            <w:r w:rsidRPr="0087389D">
              <w:rPr>
                <w:rFonts w:asciiTheme="minorEastAsia" w:eastAsiaTheme="minorEastAsia" w:hAnsiTheme="minorEastAsia" w:hint="eastAsia"/>
                <w:kern w:val="0"/>
              </w:rPr>
              <w:t>各期限负债占基金资产净值的比例（％）</w:t>
            </w:r>
          </w:p>
        </w:tc>
      </w:tr>
      <w:tr w:rsidR="00E17B2F" w:rsidRPr="0087389D" w:rsidTr="00E17B2F">
        <w:tc>
          <w:tcPr>
            <w:tcW w:w="851" w:type="dxa"/>
            <w:tcBorders>
              <w:top w:val="single" w:sz="8" w:space="0" w:color="000000"/>
              <w:left w:val="single" w:sz="8" w:space="0" w:color="000000"/>
              <w:bottom w:val="single" w:sz="8" w:space="0" w:color="000000"/>
              <w:right w:val="single" w:sz="8" w:space="0" w:color="000000"/>
            </w:tcBorders>
            <w:vAlign w:val="center"/>
            <w:hideMark/>
          </w:tcPr>
          <w:p w:rsidR="00E17B2F" w:rsidRPr="0087389D" w:rsidRDefault="00E17B2F">
            <w:pPr>
              <w:autoSpaceDE w:val="0"/>
              <w:autoSpaceDN w:val="0"/>
              <w:adjustRightInd w:val="0"/>
              <w:spacing w:before="29" w:line="300" w:lineRule="auto"/>
              <w:ind w:left="15"/>
              <w:jc w:val="center"/>
              <w:rPr>
                <w:rFonts w:asciiTheme="minorEastAsia" w:eastAsiaTheme="minorEastAsia" w:hAnsiTheme="minorEastAsia"/>
                <w:kern w:val="0"/>
              </w:rPr>
            </w:pPr>
            <w:r w:rsidRPr="0087389D">
              <w:rPr>
                <w:rFonts w:asciiTheme="minorEastAsia" w:eastAsiaTheme="minorEastAsia" w:hAnsiTheme="minorEastAsia" w:hint="eastAsia"/>
              </w:rPr>
              <w:t>1</w:t>
            </w:r>
          </w:p>
        </w:tc>
        <w:tc>
          <w:tcPr>
            <w:tcW w:w="3351" w:type="dxa"/>
            <w:tcBorders>
              <w:top w:val="single" w:sz="8" w:space="0" w:color="000000"/>
              <w:left w:val="single" w:sz="8" w:space="0" w:color="000000"/>
              <w:bottom w:val="single" w:sz="8" w:space="0" w:color="000000"/>
              <w:right w:val="single" w:sz="8" w:space="0" w:color="000000"/>
            </w:tcBorders>
            <w:vAlign w:val="center"/>
            <w:hideMark/>
          </w:tcPr>
          <w:p w:rsidR="00E17B2F" w:rsidRPr="0087389D" w:rsidRDefault="00E17B2F">
            <w:pPr>
              <w:autoSpaceDE w:val="0"/>
              <w:autoSpaceDN w:val="0"/>
              <w:adjustRightInd w:val="0"/>
              <w:spacing w:before="29" w:line="300" w:lineRule="auto"/>
              <w:ind w:left="15"/>
              <w:jc w:val="left"/>
              <w:rPr>
                <w:rFonts w:asciiTheme="minorEastAsia" w:eastAsiaTheme="minorEastAsia" w:hAnsiTheme="minorEastAsia"/>
                <w:kern w:val="0"/>
              </w:rPr>
            </w:pPr>
            <w:r w:rsidRPr="0087389D">
              <w:rPr>
                <w:rFonts w:asciiTheme="minorEastAsia" w:eastAsiaTheme="minorEastAsia" w:hAnsiTheme="minorEastAsia" w:hint="eastAsia"/>
              </w:rPr>
              <w:t>30天以内</w:t>
            </w:r>
          </w:p>
        </w:tc>
        <w:tc>
          <w:tcPr>
            <w:tcW w:w="2529" w:type="dxa"/>
            <w:tcBorders>
              <w:top w:val="single" w:sz="8" w:space="0" w:color="000000"/>
              <w:left w:val="single" w:sz="8" w:space="0" w:color="000000"/>
              <w:bottom w:val="single" w:sz="8" w:space="0" w:color="000000"/>
              <w:right w:val="single" w:sz="8" w:space="0" w:color="000000"/>
            </w:tcBorders>
            <w:vAlign w:val="center"/>
            <w:hideMark/>
          </w:tcPr>
          <w:p w:rsidR="00E17B2F" w:rsidRPr="0087389D" w:rsidRDefault="00E17B2F">
            <w:pPr>
              <w:autoSpaceDE w:val="0"/>
              <w:autoSpaceDN w:val="0"/>
              <w:adjustRightInd w:val="0"/>
              <w:spacing w:before="29" w:line="300" w:lineRule="auto"/>
              <w:ind w:left="15"/>
              <w:jc w:val="right"/>
              <w:rPr>
                <w:rFonts w:asciiTheme="minorEastAsia" w:eastAsiaTheme="minorEastAsia" w:hAnsiTheme="minorEastAsia"/>
                <w:kern w:val="0"/>
              </w:rPr>
            </w:pPr>
            <w:r w:rsidRPr="0087389D">
              <w:rPr>
                <w:rFonts w:asciiTheme="minorEastAsia" w:eastAsiaTheme="minorEastAsia" w:hAnsiTheme="minorEastAsia" w:hint="eastAsia"/>
              </w:rPr>
              <w:t>24.34</w:t>
            </w:r>
          </w:p>
        </w:tc>
        <w:tc>
          <w:tcPr>
            <w:tcW w:w="2431" w:type="dxa"/>
            <w:tcBorders>
              <w:top w:val="single" w:sz="8" w:space="0" w:color="000000"/>
              <w:left w:val="single" w:sz="8" w:space="0" w:color="000000"/>
              <w:bottom w:val="single" w:sz="8" w:space="0" w:color="000000"/>
              <w:right w:val="single" w:sz="8" w:space="0" w:color="000000"/>
            </w:tcBorders>
            <w:vAlign w:val="center"/>
            <w:hideMark/>
          </w:tcPr>
          <w:p w:rsidR="00E17B2F" w:rsidRPr="0087389D" w:rsidRDefault="00E17B2F">
            <w:pPr>
              <w:autoSpaceDE w:val="0"/>
              <w:autoSpaceDN w:val="0"/>
              <w:adjustRightInd w:val="0"/>
              <w:spacing w:before="29" w:line="300" w:lineRule="auto"/>
              <w:ind w:left="15"/>
              <w:jc w:val="right"/>
              <w:rPr>
                <w:rFonts w:asciiTheme="minorEastAsia" w:eastAsiaTheme="minorEastAsia" w:hAnsiTheme="minorEastAsia"/>
                <w:kern w:val="0"/>
              </w:rPr>
            </w:pPr>
            <w:r w:rsidRPr="0087389D">
              <w:rPr>
                <w:rFonts w:asciiTheme="minorEastAsia" w:eastAsiaTheme="minorEastAsia" w:hAnsiTheme="minorEastAsia" w:hint="eastAsia"/>
              </w:rPr>
              <w:t>18.06</w:t>
            </w:r>
          </w:p>
        </w:tc>
      </w:tr>
      <w:tr w:rsidR="00E17B2F" w:rsidRPr="0087389D" w:rsidTr="00E17B2F">
        <w:tc>
          <w:tcPr>
            <w:tcW w:w="851" w:type="dxa"/>
            <w:tcBorders>
              <w:top w:val="single" w:sz="8" w:space="0" w:color="000000"/>
              <w:left w:val="single" w:sz="8" w:space="0" w:color="000000"/>
              <w:bottom w:val="single" w:sz="8" w:space="0" w:color="000000"/>
              <w:right w:val="single" w:sz="8" w:space="0" w:color="000000"/>
            </w:tcBorders>
            <w:vAlign w:val="center"/>
          </w:tcPr>
          <w:p w:rsidR="00E17B2F" w:rsidRPr="0087389D" w:rsidRDefault="00E17B2F">
            <w:pPr>
              <w:autoSpaceDE w:val="0"/>
              <w:autoSpaceDN w:val="0"/>
              <w:adjustRightInd w:val="0"/>
              <w:spacing w:before="29" w:line="300" w:lineRule="auto"/>
              <w:ind w:left="15"/>
              <w:jc w:val="center"/>
              <w:rPr>
                <w:rFonts w:asciiTheme="minorEastAsia" w:eastAsiaTheme="minorEastAsia" w:hAnsiTheme="minorEastAsia"/>
              </w:rPr>
            </w:pPr>
          </w:p>
        </w:tc>
        <w:tc>
          <w:tcPr>
            <w:tcW w:w="3351" w:type="dxa"/>
            <w:tcBorders>
              <w:top w:val="single" w:sz="8" w:space="0" w:color="000000"/>
              <w:left w:val="single" w:sz="8" w:space="0" w:color="000000"/>
              <w:bottom w:val="single" w:sz="8" w:space="0" w:color="000000"/>
              <w:right w:val="single" w:sz="8" w:space="0" w:color="000000"/>
            </w:tcBorders>
            <w:vAlign w:val="center"/>
            <w:hideMark/>
          </w:tcPr>
          <w:p w:rsidR="00E17B2F" w:rsidRPr="0087389D" w:rsidRDefault="00E17B2F">
            <w:pPr>
              <w:autoSpaceDE w:val="0"/>
              <w:autoSpaceDN w:val="0"/>
              <w:adjustRightInd w:val="0"/>
              <w:spacing w:before="29" w:line="300" w:lineRule="auto"/>
              <w:ind w:left="15"/>
              <w:jc w:val="left"/>
              <w:rPr>
                <w:rFonts w:asciiTheme="minorEastAsia" w:eastAsiaTheme="minorEastAsia" w:hAnsiTheme="minorEastAsia"/>
                <w:kern w:val="0"/>
              </w:rPr>
            </w:pPr>
            <w:r w:rsidRPr="0087389D">
              <w:rPr>
                <w:rFonts w:asciiTheme="minorEastAsia" w:eastAsiaTheme="minorEastAsia" w:hAnsiTheme="minorEastAsia" w:hint="eastAsia"/>
              </w:rPr>
              <w:t>其中：剩余存续期超过397天的浮动利率债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hideMark/>
          </w:tcPr>
          <w:p w:rsidR="00E17B2F" w:rsidRPr="0087389D" w:rsidRDefault="00E17B2F">
            <w:pPr>
              <w:autoSpaceDE w:val="0"/>
              <w:autoSpaceDN w:val="0"/>
              <w:adjustRightInd w:val="0"/>
              <w:spacing w:before="29" w:line="300" w:lineRule="auto"/>
              <w:ind w:left="15"/>
              <w:jc w:val="right"/>
              <w:rPr>
                <w:rFonts w:asciiTheme="minorEastAsia" w:eastAsiaTheme="minorEastAsia" w:hAnsiTheme="minorEastAsia"/>
                <w:kern w:val="0"/>
              </w:rPr>
            </w:pPr>
            <w:r w:rsidRPr="0087389D">
              <w:rPr>
                <w:rFonts w:asciiTheme="minorEastAsia" w:eastAsiaTheme="minorEastAsia" w:hAnsiTheme="minorEastAsia" w:hint="eastAsia"/>
              </w:rPr>
              <w:t>-</w:t>
            </w:r>
          </w:p>
        </w:tc>
        <w:tc>
          <w:tcPr>
            <w:tcW w:w="2431" w:type="dxa"/>
            <w:tcBorders>
              <w:top w:val="single" w:sz="8" w:space="0" w:color="000000"/>
              <w:left w:val="single" w:sz="8" w:space="0" w:color="000000"/>
              <w:bottom w:val="single" w:sz="8" w:space="0" w:color="000000"/>
              <w:right w:val="single" w:sz="8" w:space="0" w:color="000000"/>
            </w:tcBorders>
            <w:vAlign w:val="center"/>
            <w:hideMark/>
          </w:tcPr>
          <w:p w:rsidR="00E17B2F" w:rsidRPr="0087389D" w:rsidRDefault="00E17B2F">
            <w:pPr>
              <w:autoSpaceDE w:val="0"/>
              <w:autoSpaceDN w:val="0"/>
              <w:adjustRightInd w:val="0"/>
              <w:spacing w:before="29" w:line="300" w:lineRule="auto"/>
              <w:ind w:left="15"/>
              <w:jc w:val="right"/>
              <w:rPr>
                <w:rFonts w:asciiTheme="minorEastAsia" w:eastAsiaTheme="minorEastAsia" w:hAnsiTheme="minorEastAsia"/>
                <w:kern w:val="0"/>
              </w:rPr>
            </w:pPr>
            <w:r w:rsidRPr="0087389D">
              <w:rPr>
                <w:rFonts w:asciiTheme="minorEastAsia" w:eastAsiaTheme="minorEastAsia" w:hAnsiTheme="minorEastAsia" w:hint="eastAsia"/>
              </w:rPr>
              <w:t>-</w:t>
            </w:r>
          </w:p>
        </w:tc>
      </w:tr>
      <w:tr w:rsidR="00E17B2F" w:rsidRPr="0087389D" w:rsidTr="00E17B2F">
        <w:tc>
          <w:tcPr>
            <w:tcW w:w="851" w:type="dxa"/>
            <w:tcBorders>
              <w:top w:val="single" w:sz="8" w:space="0" w:color="000000"/>
              <w:left w:val="single" w:sz="8" w:space="0" w:color="000000"/>
              <w:bottom w:val="single" w:sz="8" w:space="0" w:color="000000"/>
              <w:right w:val="single" w:sz="8" w:space="0" w:color="000000"/>
            </w:tcBorders>
            <w:vAlign w:val="center"/>
            <w:hideMark/>
          </w:tcPr>
          <w:p w:rsidR="00E17B2F" w:rsidRPr="0087389D" w:rsidRDefault="00E17B2F">
            <w:pPr>
              <w:autoSpaceDE w:val="0"/>
              <w:autoSpaceDN w:val="0"/>
              <w:adjustRightInd w:val="0"/>
              <w:spacing w:before="29" w:line="300" w:lineRule="auto"/>
              <w:ind w:left="15"/>
              <w:jc w:val="center"/>
              <w:rPr>
                <w:rFonts w:asciiTheme="minorEastAsia" w:eastAsiaTheme="minorEastAsia" w:hAnsiTheme="minorEastAsia"/>
              </w:rPr>
            </w:pPr>
            <w:r w:rsidRPr="0087389D">
              <w:rPr>
                <w:rFonts w:asciiTheme="minorEastAsia" w:eastAsiaTheme="minorEastAsia" w:hAnsiTheme="minorEastAsia" w:hint="eastAsia"/>
              </w:rPr>
              <w:t>2</w:t>
            </w:r>
          </w:p>
        </w:tc>
        <w:tc>
          <w:tcPr>
            <w:tcW w:w="3351" w:type="dxa"/>
            <w:tcBorders>
              <w:top w:val="single" w:sz="8" w:space="0" w:color="000000"/>
              <w:left w:val="single" w:sz="8" w:space="0" w:color="000000"/>
              <w:bottom w:val="single" w:sz="8" w:space="0" w:color="000000"/>
              <w:right w:val="single" w:sz="8" w:space="0" w:color="000000"/>
            </w:tcBorders>
            <w:vAlign w:val="center"/>
            <w:hideMark/>
          </w:tcPr>
          <w:p w:rsidR="00E17B2F" w:rsidRPr="0087389D" w:rsidRDefault="00E17B2F">
            <w:pPr>
              <w:autoSpaceDE w:val="0"/>
              <w:autoSpaceDN w:val="0"/>
              <w:adjustRightInd w:val="0"/>
              <w:spacing w:before="29" w:line="300" w:lineRule="auto"/>
              <w:ind w:left="15"/>
              <w:jc w:val="left"/>
              <w:rPr>
                <w:rFonts w:asciiTheme="minorEastAsia" w:eastAsiaTheme="minorEastAsia" w:hAnsiTheme="minorEastAsia"/>
                <w:kern w:val="0"/>
              </w:rPr>
            </w:pPr>
            <w:r w:rsidRPr="0087389D">
              <w:rPr>
                <w:rFonts w:asciiTheme="minorEastAsia" w:eastAsiaTheme="minorEastAsia" w:hAnsiTheme="minorEastAsia" w:hint="eastAsia"/>
              </w:rPr>
              <w:t>30天（含）—60天</w:t>
            </w:r>
          </w:p>
        </w:tc>
        <w:tc>
          <w:tcPr>
            <w:tcW w:w="2529" w:type="dxa"/>
            <w:tcBorders>
              <w:top w:val="single" w:sz="8" w:space="0" w:color="000000"/>
              <w:left w:val="single" w:sz="8" w:space="0" w:color="000000"/>
              <w:bottom w:val="single" w:sz="8" w:space="0" w:color="000000"/>
              <w:right w:val="single" w:sz="8" w:space="0" w:color="000000"/>
            </w:tcBorders>
            <w:vAlign w:val="center"/>
            <w:hideMark/>
          </w:tcPr>
          <w:p w:rsidR="00E17B2F" w:rsidRPr="0087389D" w:rsidRDefault="00E17B2F">
            <w:pPr>
              <w:autoSpaceDE w:val="0"/>
              <w:autoSpaceDN w:val="0"/>
              <w:adjustRightInd w:val="0"/>
              <w:spacing w:before="29" w:line="300" w:lineRule="auto"/>
              <w:ind w:left="15"/>
              <w:jc w:val="right"/>
              <w:rPr>
                <w:rFonts w:asciiTheme="minorEastAsia" w:eastAsiaTheme="minorEastAsia" w:hAnsiTheme="minorEastAsia"/>
                <w:kern w:val="0"/>
              </w:rPr>
            </w:pPr>
            <w:r w:rsidRPr="0087389D">
              <w:rPr>
                <w:rFonts w:asciiTheme="minorEastAsia" w:eastAsiaTheme="minorEastAsia" w:hAnsiTheme="minorEastAsia" w:hint="eastAsia"/>
              </w:rPr>
              <w:t>16.04</w:t>
            </w:r>
          </w:p>
        </w:tc>
        <w:tc>
          <w:tcPr>
            <w:tcW w:w="2431" w:type="dxa"/>
            <w:tcBorders>
              <w:top w:val="single" w:sz="8" w:space="0" w:color="000000"/>
              <w:left w:val="single" w:sz="8" w:space="0" w:color="000000"/>
              <w:bottom w:val="single" w:sz="8" w:space="0" w:color="000000"/>
              <w:right w:val="single" w:sz="8" w:space="0" w:color="000000"/>
            </w:tcBorders>
            <w:vAlign w:val="center"/>
            <w:hideMark/>
          </w:tcPr>
          <w:p w:rsidR="00E17B2F" w:rsidRPr="0087389D" w:rsidRDefault="00E17B2F">
            <w:pPr>
              <w:autoSpaceDE w:val="0"/>
              <w:autoSpaceDN w:val="0"/>
              <w:adjustRightInd w:val="0"/>
              <w:spacing w:before="29" w:line="300" w:lineRule="auto"/>
              <w:ind w:left="15"/>
              <w:jc w:val="right"/>
              <w:rPr>
                <w:rFonts w:asciiTheme="minorEastAsia" w:eastAsiaTheme="minorEastAsia" w:hAnsiTheme="minorEastAsia"/>
                <w:kern w:val="0"/>
              </w:rPr>
            </w:pPr>
            <w:r w:rsidRPr="0087389D">
              <w:rPr>
                <w:rFonts w:asciiTheme="minorEastAsia" w:eastAsiaTheme="minorEastAsia" w:hAnsiTheme="minorEastAsia" w:hint="eastAsia"/>
              </w:rPr>
              <w:t>-</w:t>
            </w:r>
          </w:p>
        </w:tc>
      </w:tr>
      <w:tr w:rsidR="00E17B2F" w:rsidRPr="0087389D" w:rsidTr="00E17B2F">
        <w:tc>
          <w:tcPr>
            <w:tcW w:w="851" w:type="dxa"/>
            <w:tcBorders>
              <w:top w:val="single" w:sz="8" w:space="0" w:color="000000"/>
              <w:left w:val="single" w:sz="8" w:space="0" w:color="000000"/>
              <w:bottom w:val="single" w:sz="8" w:space="0" w:color="000000"/>
              <w:right w:val="single" w:sz="8" w:space="0" w:color="000000"/>
            </w:tcBorders>
            <w:vAlign w:val="center"/>
          </w:tcPr>
          <w:p w:rsidR="00E17B2F" w:rsidRPr="0087389D" w:rsidRDefault="00E17B2F">
            <w:pPr>
              <w:autoSpaceDE w:val="0"/>
              <w:autoSpaceDN w:val="0"/>
              <w:adjustRightInd w:val="0"/>
              <w:spacing w:before="29" w:line="300" w:lineRule="auto"/>
              <w:ind w:left="15"/>
              <w:jc w:val="center"/>
              <w:rPr>
                <w:rFonts w:asciiTheme="minorEastAsia" w:eastAsiaTheme="minorEastAsia" w:hAnsiTheme="minorEastAsia"/>
              </w:rPr>
            </w:pPr>
          </w:p>
        </w:tc>
        <w:tc>
          <w:tcPr>
            <w:tcW w:w="3351" w:type="dxa"/>
            <w:tcBorders>
              <w:top w:val="single" w:sz="8" w:space="0" w:color="000000"/>
              <w:left w:val="single" w:sz="8" w:space="0" w:color="000000"/>
              <w:bottom w:val="single" w:sz="8" w:space="0" w:color="000000"/>
              <w:right w:val="single" w:sz="8" w:space="0" w:color="000000"/>
            </w:tcBorders>
            <w:vAlign w:val="center"/>
            <w:hideMark/>
          </w:tcPr>
          <w:p w:rsidR="00E17B2F" w:rsidRPr="0087389D" w:rsidRDefault="00E17B2F">
            <w:pPr>
              <w:autoSpaceDE w:val="0"/>
              <w:autoSpaceDN w:val="0"/>
              <w:adjustRightInd w:val="0"/>
              <w:spacing w:before="29" w:line="300" w:lineRule="auto"/>
              <w:ind w:left="15"/>
              <w:jc w:val="left"/>
              <w:rPr>
                <w:rFonts w:asciiTheme="minorEastAsia" w:eastAsiaTheme="minorEastAsia" w:hAnsiTheme="minorEastAsia"/>
                <w:kern w:val="0"/>
              </w:rPr>
            </w:pPr>
            <w:r w:rsidRPr="0087389D">
              <w:rPr>
                <w:rFonts w:asciiTheme="minorEastAsia" w:eastAsiaTheme="minorEastAsia" w:hAnsiTheme="minorEastAsia" w:hint="eastAsia"/>
              </w:rPr>
              <w:t>其中：剩余存续期超过397天的浮动利率债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hideMark/>
          </w:tcPr>
          <w:p w:rsidR="00E17B2F" w:rsidRPr="0087389D" w:rsidRDefault="00E17B2F">
            <w:pPr>
              <w:autoSpaceDE w:val="0"/>
              <w:autoSpaceDN w:val="0"/>
              <w:adjustRightInd w:val="0"/>
              <w:spacing w:before="29" w:line="300" w:lineRule="auto"/>
              <w:ind w:left="15"/>
              <w:jc w:val="right"/>
              <w:rPr>
                <w:rFonts w:asciiTheme="minorEastAsia" w:eastAsiaTheme="minorEastAsia" w:hAnsiTheme="minorEastAsia"/>
                <w:kern w:val="0"/>
              </w:rPr>
            </w:pPr>
            <w:r w:rsidRPr="0087389D">
              <w:rPr>
                <w:rFonts w:asciiTheme="minorEastAsia" w:eastAsiaTheme="minorEastAsia" w:hAnsiTheme="minorEastAsia" w:hint="eastAsia"/>
              </w:rPr>
              <w:t>-</w:t>
            </w:r>
          </w:p>
        </w:tc>
        <w:tc>
          <w:tcPr>
            <w:tcW w:w="2431" w:type="dxa"/>
            <w:tcBorders>
              <w:top w:val="single" w:sz="8" w:space="0" w:color="000000"/>
              <w:left w:val="single" w:sz="8" w:space="0" w:color="000000"/>
              <w:bottom w:val="single" w:sz="8" w:space="0" w:color="000000"/>
              <w:right w:val="single" w:sz="8" w:space="0" w:color="000000"/>
            </w:tcBorders>
            <w:vAlign w:val="center"/>
            <w:hideMark/>
          </w:tcPr>
          <w:p w:rsidR="00E17B2F" w:rsidRPr="0087389D" w:rsidRDefault="00E17B2F">
            <w:pPr>
              <w:autoSpaceDE w:val="0"/>
              <w:autoSpaceDN w:val="0"/>
              <w:adjustRightInd w:val="0"/>
              <w:spacing w:before="29" w:line="300" w:lineRule="auto"/>
              <w:ind w:left="15"/>
              <w:jc w:val="right"/>
              <w:rPr>
                <w:rFonts w:asciiTheme="minorEastAsia" w:eastAsiaTheme="minorEastAsia" w:hAnsiTheme="minorEastAsia"/>
                <w:kern w:val="0"/>
              </w:rPr>
            </w:pPr>
            <w:r w:rsidRPr="0087389D">
              <w:rPr>
                <w:rFonts w:asciiTheme="minorEastAsia" w:eastAsiaTheme="minorEastAsia" w:hAnsiTheme="minorEastAsia" w:hint="eastAsia"/>
              </w:rPr>
              <w:t>-</w:t>
            </w:r>
          </w:p>
        </w:tc>
      </w:tr>
      <w:tr w:rsidR="00E17B2F" w:rsidRPr="0087389D" w:rsidTr="00E17B2F">
        <w:tc>
          <w:tcPr>
            <w:tcW w:w="851" w:type="dxa"/>
            <w:tcBorders>
              <w:top w:val="single" w:sz="8" w:space="0" w:color="000000"/>
              <w:left w:val="single" w:sz="8" w:space="0" w:color="000000"/>
              <w:bottom w:val="single" w:sz="8" w:space="0" w:color="000000"/>
              <w:right w:val="single" w:sz="8" w:space="0" w:color="000000"/>
            </w:tcBorders>
            <w:vAlign w:val="center"/>
            <w:hideMark/>
          </w:tcPr>
          <w:p w:rsidR="00E17B2F" w:rsidRPr="0087389D" w:rsidRDefault="00E17B2F">
            <w:pPr>
              <w:autoSpaceDE w:val="0"/>
              <w:autoSpaceDN w:val="0"/>
              <w:adjustRightInd w:val="0"/>
              <w:spacing w:before="29" w:line="300" w:lineRule="auto"/>
              <w:ind w:left="15"/>
              <w:jc w:val="center"/>
              <w:rPr>
                <w:rFonts w:asciiTheme="minorEastAsia" w:eastAsiaTheme="minorEastAsia" w:hAnsiTheme="minorEastAsia"/>
              </w:rPr>
            </w:pPr>
            <w:r w:rsidRPr="0087389D">
              <w:rPr>
                <w:rFonts w:asciiTheme="minorEastAsia" w:eastAsiaTheme="minorEastAsia" w:hAnsiTheme="minorEastAsia" w:hint="eastAsia"/>
              </w:rPr>
              <w:t>3</w:t>
            </w:r>
          </w:p>
        </w:tc>
        <w:tc>
          <w:tcPr>
            <w:tcW w:w="3351" w:type="dxa"/>
            <w:tcBorders>
              <w:top w:val="single" w:sz="8" w:space="0" w:color="000000"/>
              <w:left w:val="single" w:sz="8" w:space="0" w:color="000000"/>
              <w:bottom w:val="single" w:sz="8" w:space="0" w:color="000000"/>
              <w:right w:val="single" w:sz="8" w:space="0" w:color="000000"/>
            </w:tcBorders>
            <w:vAlign w:val="center"/>
            <w:hideMark/>
          </w:tcPr>
          <w:p w:rsidR="00E17B2F" w:rsidRPr="0087389D" w:rsidRDefault="00E17B2F">
            <w:pPr>
              <w:autoSpaceDE w:val="0"/>
              <w:autoSpaceDN w:val="0"/>
              <w:adjustRightInd w:val="0"/>
              <w:spacing w:before="29" w:line="300" w:lineRule="auto"/>
              <w:ind w:left="15"/>
              <w:jc w:val="left"/>
              <w:rPr>
                <w:rFonts w:asciiTheme="minorEastAsia" w:eastAsiaTheme="minorEastAsia" w:hAnsiTheme="minorEastAsia"/>
              </w:rPr>
            </w:pPr>
            <w:r w:rsidRPr="0087389D">
              <w:rPr>
                <w:rFonts w:asciiTheme="minorEastAsia" w:eastAsiaTheme="minorEastAsia" w:hAnsiTheme="minorEastAsia" w:hint="eastAsia"/>
              </w:rPr>
              <w:t>60天（含）—90天</w:t>
            </w:r>
          </w:p>
        </w:tc>
        <w:tc>
          <w:tcPr>
            <w:tcW w:w="2529" w:type="dxa"/>
            <w:tcBorders>
              <w:top w:val="single" w:sz="8" w:space="0" w:color="000000"/>
              <w:left w:val="single" w:sz="8" w:space="0" w:color="000000"/>
              <w:bottom w:val="single" w:sz="8" w:space="0" w:color="000000"/>
              <w:right w:val="single" w:sz="8" w:space="0" w:color="000000"/>
            </w:tcBorders>
            <w:vAlign w:val="center"/>
            <w:hideMark/>
          </w:tcPr>
          <w:p w:rsidR="00E17B2F" w:rsidRPr="0087389D" w:rsidRDefault="00E17B2F">
            <w:pPr>
              <w:autoSpaceDE w:val="0"/>
              <w:autoSpaceDN w:val="0"/>
              <w:adjustRightInd w:val="0"/>
              <w:spacing w:before="29" w:line="300" w:lineRule="auto"/>
              <w:ind w:left="15"/>
              <w:jc w:val="right"/>
              <w:rPr>
                <w:rFonts w:asciiTheme="minorEastAsia" w:eastAsiaTheme="minorEastAsia" w:hAnsiTheme="minorEastAsia"/>
                <w:kern w:val="0"/>
              </w:rPr>
            </w:pPr>
            <w:r w:rsidRPr="0087389D">
              <w:rPr>
                <w:rFonts w:asciiTheme="minorEastAsia" w:eastAsiaTheme="minorEastAsia" w:hAnsiTheme="minorEastAsia" w:hint="eastAsia"/>
              </w:rPr>
              <w:t>36.50</w:t>
            </w:r>
          </w:p>
        </w:tc>
        <w:tc>
          <w:tcPr>
            <w:tcW w:w="2431" w:type="dxa"/>
            <w:tcBorders>
              <w:top w:val="single" w:sz="8" w:space="0" w:color="000000"/>
              <w:left w:val="single" w:sz="8" w:space="0" w:color="000000"/>
              <w:bottom w:val="single" w:sz="8" w:space="0" w:color="000000"/>
              <w:right w:val="single" w:sz="8" w:space="0" w:color="000000"/>
            </w:tcBorders>
            <w:vAlign w:val="center"/>
            <w:hideMark/>
          </w:tcPr>
          <w:p w:rsidR="00E17B2F" w:rsidRPr="0087389D" w:rsidRDefault="00E17B2F">
            <w:pPr>
              <w:autoSpaceDE w:val="0"/>
              <w:autoSpaceDN w:val="0"/>
              <w:adjustRightInd w:val="0"/>
              <w:spacing w:before="29" w:line="300" w:lineRule="auto"/>
              <w:ind w:left="15"/>
              <w:jc w:val="right"/>
              <w:rPr>
                <w:rFonts w:asciiTheme="minorEastAsia" w:eastAsiaTheme="minorEastAsia" w:hAnsiTheme="minorEastAsia"/>
                <w:kern w:val="0"/>
              </w:rPr>
            </w:pPr>
            <w:r w:rsidRPr="0087389D">
              <w:rPr>
                <w:rFonts w:asciiTheme="minorEastAsia" w:eastAsiaTheme="minorEastAsia" w:hAnsiTheme="minorEastAsia" w:hint="eastAsia"/>
              </w:rPr>
              <w:t>-</w:t>
            </w:r>
          </w:p>
        </w:tc>
      </w:tr>
      <w:tr w:rsidR="00E17B2F" w:rsidRPr="0087389D" w:rsidTr="00E17B2F">
        <w:tc>
          <w:tcPr>
            <w:tcW w:w="851" w:type="dxa"/>
            <w:tcBorders>
              <w:top w:val="single" w:sz="8" w:space="0" w:color="000000"/>
              <w:left w:val="single" w:sz="8" w:space="0" w:color="000000"/>
              <w:bottom w:val="single" w:sz="8" w:space="0" w:color="000000"/>
              <w:right w:val="single" w:sz="8" w:space="0" w:color="000000"/>
            </w:tcBorders>
            <w:vAlign w:val="center"/>
          </w:tcPr>
          <w:p w:rsidR="00E17B2F" w:rsidRPr="0087389D" w:rsidRDefault="00E17B2F">
            <w:pPr>
              <w:autoSpaceDE w:val="0"/>
              <w:autoSpaceDN w:val="0"/>
              <w:adjustRightInd w:val="0"/>
              <w:spacing w:before="29" w:line="300" w:lineRule="auto"/>
              <w:ind w:left="15"/>
              <w:jc w:val="center"/>
              <w:rPr>
                <w:rFonts w:asciiTheme="minorEastAsia" w:eastAsiaTheme="minorEastAsia" w:hAnsiTheme="minorEastAsia"/>
              </w:rPr>
            </w:pPr>
          </w:p>
        </w:tc>
        <w:tc>
          <w:tcPr>
            <w:tcW w:w="3351" w:type="dxa"/>
            <w:tcBorders>
              <w:top w:val="single" w:sz="8" w:space="0" w:color="000000"/>
              <w:left w:val="single" w:sz="8" w:space="0" w:color="000000"/>
              <w:bottom w:val="single" w:sz="8" w:space="0" w:color="000000"/>
              <w:right w:val="single" w:sz="8" w:space="0" w:color="000000"/>
            </w:tcBorders>
            <w:vAlign w:val="center"/>
            <w:hideMark/>
          </w:tcPr>
          <w:p w:rsidR="00E17B2F" w:rsidRPr="0087389D" w:rsidRDefault="00E17B2F">
            <w:pPr>
              <w:autoSpaceDE w:val="0"/>
              <w:autoSpaceDN w:val="0"/>
              <w:adjustRightInd w:val="0"/>
              <w:spacing w:before="29" w:line="300" w:lineRule="auto"/>
              <w:ind w:left="15"/>
              <w:jc w:val="left"/>
              <w:rPr>
                <w:rFonts w:asciiTheme="minorEastAsia" w:eastAsiaTheme="minorEastAsia" w:hAnsiTheme="minorEastAsia"/>
              </w:rPr>
            </w:pPr>
            <w:r w:rsidRPr="0087389D">
              <w:rPr>
                <w:rFonts w:asciiTheme="minorEastAsia" w:eastAsiaTheme="minorEastAsia" w:hAnsiTheme="minorEastAsia" w:hint="eastAsia"/>
              </w:rPr>
              <w:t>其中：剩余存续期超过397天的浮动利率债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hideMark/>
          </w:tcPr>
          <w:p w:rsidR="00E17B2F" w:rsidRPr="0087389D" w:rsidRDefault="00E17B2F">
            <w:pPr>
              <w:autoSpaceDE w:val="0"/>
              <w:autoSpaceDN w:val="0"/>
              <w:adjustRightInd w:val="0"/>
              <w:spacing w:before="29" w:line="300" w:lineRule="auto"/>
              <w:ind w:left="15"/>
              <w:jc w:val="right"/>
              <w:rPr>
                <w:rFonts w:asciiTheme="minorEastAsia" w:eastAsiaTheme="minorEastAsia" w:hAnsiTheme="minorEastAsia"/>
                <w:kern w:val="0"/>
              </w:rPr>
            </w:pPr>
            <w:r w:rsidRPr="0087389D">
              <w:rPr>
                <w:rFonts w:asciiTheme="minorEastAsia" w:eastAsiaTheme="minorEastAsia" w:hAnsiTheme="minorEastAsia" w:hint="eastAsia"/>
              </w:rPr>
              <w:t>-</w:t>
            </w:r>
          </w:p>
        </w:tc>
        <w:tc>
          <w:tcPr>
            <w:tcW w:w="2431" w:type="dxa"/>
            <w:tcBorders>
              <w:top w:val="single" w:sz="8" w:space="0" w:color="000000"/>
              <w:left w:val="single" w:sz="8" w:space="0" w:color="000000"/>
              <w:bottom w:val="single" w:sz="8" w:space="0" w:color="000000"/>
              <w:right w:val="single" w:sz="8" w:space="0" w:color="000000"/>
            </w:tcBorders>
            <w:vAlign w:val="center"/>
            <w:hideMark/>
          </w:tcPr>
          <w:p w:rsidR="00E17B2F" w:rsidRPr="0087389D" w:rsidRDefault="00E17B2F">
            <w:pPr>
              <w:autoSpaceDE w:val="0"/>
              <w:autoSpaceDN w:val="0"/>
              <w:adjustRightInd w:val="0"/>
              <w:spacing w:before="29" w:line="300" w:lineRule="auto"/>
              <w:ind w:left="15"/>
              <w:jc w:val="right"/>
              <w:rPr>
                <w:rFonts w:asciiTheme="minorEastAsia" w:eastAsiaTheme="minorEastAsia" w:hAnsiTheme="minorEastAsia"/>
                <w:kern w:val="0"/>
              </w:rPr>
            </w:pPr>
            <w:r w:rsidRPr="0087389D">
              <w:rPr>
                <w:rFonts w:asciiTheme="minorEastAsia" w:eastAsiaTheme="minorEastAsia" w:hAnsiTheme="minorEastAsia" w:hint="eastAsia"/>
              </w:rPr>
              <w:t>-</w:t>
            </w:r>
          </w:p>
        </w:tc>
      </w:tr>
      <w:tr w:rsidR="00E17B2F" w:rsidRPr="0087389D" w:rsidTr="00E17B2F">
        <w:tc>
          <w:tcPr>
            <w:tcW w:w="851" w:type="dxa"/>
            <w:tcBorders>
              <w:top w:val="single" w:sz="8" w:space="0" w:color="000000"/>
              <w:left w:val="single" w:sz="8" w:space="0" w:color="000000"/>
              <w:bottom w:val="single" w:sz="8" w:space="0" w:color="000000"/>
              <w:right w:val="single" w:sz="8" w:space="0" w:color="000000"/>
            </w:tcBorders>
            <w:vAlign w:val="center"/>
            <w:hideMark/>
          </w:tcPr>
          <w:p w:rsidR="00E17B2F" w:rsidRPr="0087389D" w:rsidRDefault="00E17B2F">
            <w:pPr>
              <w:autoSpaceDE w:val="0"/>
              <w:autoSpaceDN w:val="0"/>
              <w:adjustRightInd w:val="0"/>
              <w:spacing w:before="29" w:line="300" w:lineRule="auto"/>
              <w:ind w:left="15"/>
              <w:jc w:val="center"/>
              <w:rPr>
                <w:rFonts w:asciiTheme="minorEastAsia" w:eastAsiaTheme="minorEastAsia" w:hAnsiTheme="minorEastAsia"/>
              </w:rPr>
            </w:pPr>
            <w:r w:rsidRPr="0087389D">
              <w:rPr>
                <w:rFonts w:asciiTheme="minorEastAsia" w:eastAsiaTheme="minorEastAsia" w:hAnsiTheme="minorEastAsia" w:hint="eastAsia"/>
              </w:rPr>
              <w:t>4</w:t>
            </w:r>
          </w:p>
        </w:tc>
        <w:tc>
          <w:tcPr>
            <w:tcW w:w="3351" w:type="dxa"/>
            <w:tcBorders>
              <w:top w:val="single" w:sz="8" w:space="0" w:color="000000"/>
              <w:left w:val="single" w:sz="8" w:space="0" w:color="000000"/>
              <w:bottom w:val="single" w:sz="8" w:space="0" w:color="000000"/>
              <w:right w:val="single" w:sz="8" w:space="0" w:color="000000"/>
            </w:tcBorders>
            <w:vAlign w:val="center"/>
            <w:hideMark/>
          </w:tcPr>
          <w:p w:rsidR="00E17B2F" w:rsidRPr="0087389D" w:rsidRDefault="00E17B2F">
            <w:pPr>
              <w:autoSpaceDE w:val="0"/>
              <w:autoSpaceDN w:val="0"/>
              <w:adjustRightInd w:val="0"/>
              <w:spacing w:before="29" w:line="300" w:lineRule="auto"/>
              <w:ind w:left="15"/>
              <w:jc w:val="left"/>
              <w:rPr>
                <w:rFonts w:asciiTheme="minorEastAsia" w:eastAsiaTheme="minorEastAsia" w:hAnsiTheme="minorEastAsia"/>
              </w:rPr>
            </w:pPr>
            <w:r w:rsidRPr="0087389D">
              <w:rPr>
                <w:rFonts w:asciiTheme="minorEastAsia" w:eastAsiaTheme="minorEastAsia" w:hAnsiTheme="minorEastAsia" w:hint="eastAsia"/>
              </w:rPr>
              <w:t>90天（含）—120天</w:t>
            </w:r>
          </w:p>
        </w:tc>
        <w:tc>
          <w:tcPr>
            <w:tcW w:w="2529" w:type="dxa"/>
            <w:tcBorders>
              <w:top w:val="single" w:sz="8" w:space="0" w:color="000000"/>
              <w:left w:val="single" w:sz="8" w:space="0" w:color="000000"/>
              <w:bottom w:val="single" w:sz="8" w:space="0" w:color="000000"/>
              <w:right w:val="single" w:sz="8" w:space="0" w:color="000000"/>
            </w:tcBorders>
            <w:vAlign w:val="center"/>
            <w:hideMark/>
          </w:tcPr>
          <w:p w:rsidR="00E17B2F" w:rsidRPr="0087389D" w:rsidRDefault="00E17B2F">
            <w:pPr>
              <w:autoSpaceDE w:val="0"/>
              <w:autoSpaceDN w:val="0"/>
              <w:adjustRightInd w:val="0"/>
              <w:spacing w:before="29" w:line="300" w:lineRule="auto"/>
              <w:ind w:left="15"/>
              <w:jc w:val="right"/>
              <w:rPr>
                <w:rFonts w:asciiTheme="minorEastAsia" w:eastAsiaTheme="minorEastAsia" w:hAnsiTheme="minorEastAsia"/>
                <w:kern w:val="0"/>
              </w:rPr>
            </w:pPr>
            <w:r w:rsidRPr="0087389D">
              <w:rPr>
                <w:rFonts w:asciiTheme="minorEastAsia" w:eastAsiaTheme="minorEastAsia" w:hAnsiTheme="minorEastAsia" w:hint="eastAsia"/>
              </w:rPr>
              <w:t>4.24</w:t>
            </w:r>
          </w:p>
        </w:tc>
        <w:tc>
          <w:tcPr>
            <w:tcW w:w="2431" w:type="dxa"/>
            <w:tcBorders>
              <w:top w:val="single" w:sz="8" w:space="0" w:color="000000"/>
              <w:left w:val="single" w:sz="8" w:space="0" w:color="000000"/>
              <w:bottom w:val="single" w:sz="8" w:space="0" w:color="000000"/>
              <w:right w:val="single" w:sz="8" w:space="0" w:color="000000"/>
            </w:tcBorders>
            <w:vAlign w:val="center"/>
            <w:hideMark/>
          </w:tcPr>
          <w:p w:rsidR="00E17B2F" w:rsidRPr="0087389D" w:rsidRDefault="00E17B2F">
            <w:pPr>
              <w:autoSpaceDE w:val="0"/>
              <w:autoSpaceDN w:val="0"/>
              <w:adjustRightInd w:val="0"/>
              <w:spacing w:before="29" w:line="300" w:lineRule="auto"/>
              <w:ind w:left="15"/>
              <w:jc w:val="right"/>
              <w:rPr>
                <w:rFonts w:asciiTheme="minorEastAsia" w:eastAsiaTheme="minorEastAsia" w:hAnsiTheme="minorEastAsia"/>
                <w:kern w:val="0"/>
              </w:rPr>
            </w:pPr>
            <w:r w:rsidRPr="0087389D">
              <w:rPr>
                <w:rFonts w:asciiTheme="minorEastAsia" w:eastAsiaTheme="minorEastAsia" w:hAnsiTheme="minorEastAsia" w:hint="eastAsia"/>
              </w:rPr>
              <w:t>-</w:t>
            </w:r>
          </w:p>
        </w:tc>
      </w:tr>
      <w:tr w:rsidR="00E17B2F" w:rsidRPr="0087389D" w:rsidTr="00E17B2F">
        <w:tc>
          <w:tcPr>
            <w:tcW w:w="851" w:type="dxa"/>
            <w:tcBorders>
              <w:top w:val="single" w:sz="8" w:space="0" w:color="000000"/>
              <w:left w:val="single" w:sz="8" w:space="0" w:color="000000"/>
              <w:bottom w:val="single" w:sz="8" w:space="0" w:color="000000"/>
              <w:right w:val="single" w:sz="8" w:space="0" w:color="000000"/>
            </w:tcBorders>
            <w:vAlign w:val="center"/>
          </w:tcPr>
          <w:p w:rsidR="00E17B2F" w:rsidRPr="0087389D" w:rsidRDefault="00E17B2F">
            <w:pPr>
              <w:autoSpaceDE w:val="0"/>
              <w:autoSpaceDN w:val="0"/>
              <w:adjustRightInd w:val="0"/>
              <w:spacing w:before="29" w:line="300" w:lineRule="auto"/>
              <w:ind w:left="15"/>
              <w:jc w:val="center"/>
              <w:rPr>
                <w:rFonts w:asciiTheme="minorEastAsia" w:eastAsiaTheme="minorEastAsia" w:hAnsiTheme="minorEastAsia"/>
              </w:rPr>
            </w:pPr>
          </w:p>
        </w:tc>
        <w:tc>
          <w:tcPr>
            <w:tcW w:w="3351" w:type="dxa"/>
            <w:tcBorders>
              <w:top w:val="single" w:sz="8" w:space="0" w:color="000000"/>
              <w:left w:val="single" w:sz="8" w:space="0" w:color="000000"/>
              <w:bottom w:val="single" w:sz="8" w:space="0" w:color="000000"/>
              <w:right w:val="single" w:sz="8" w:space="0" w:color="000000"/>
            </w:tcBorders>
            <w:vAlign w:val="center"/>
            <w:hideMark/>
          </w:tcPr>
          <w:p w:rsidR="00E17B2F" w:rsidRPr="0087389D" w:rsidRDefault="00E17B2F">
            <w:pPr>
              <w:autoSpaceDE w:val="0"/>
              <w:autoSpaceDN w:val="0"/>
              <w:adjustRightInd w:val="0"/>
              <w:spacing w:before="29" w:line="300" w:lineRule="auto"/>
              <w:ind w:left="15"/>
              <w:jc w:val="left"/>
              <w:rPr>
                <w:rFonts w:asciiTheme="minorEastAsia" w:eastAsiaTheme="minorEastAsia" w:hAnsiTheme="minorEastAsia"/>
              </w:rPr>
            </w:pPr>
            <w:r w:rsidRPr="0087389D">
              <w:rPr>
                <w:rFonts w:asciiTheme="minorEastAsia" w:eastAsiaTheme="minorEastAsia" w:hAnsiTheme="minorEastAsia" w:hint="eastAsia"/>
              </w:rPr>
              <w:t>其中：剩余存续期超过397天的浮动利率债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hideMark/>
          </w:tcPr>
          <w:p w:rsidR="00E17B2F" w:rsidRPr="0087389D" w:rsidRDefault="00E17B2F">
            <w:pPr>
              <w:autoSpaceDE w:val="0"/>
              <w:autoSpaceDN w:val="0"/>
              <w:adjustRightInd w:val="0"/>
              <w:spacing w:before="29" w:line="300" w:lineRule="auto"/>
              <w:ind w:left="15"/>
              <w:jc w:val="right"/>
              <w:rPr>
                <w:rFonts w:asciiTheme="minorEastAsia" w:eastAsiaTheme="minorEastAsia" w:hAnsiTheme="minorEastAsia"/>
                <w:kern w:val="0"/>
              </w:rPr>
            </w:pPr>
            <w:r w:rsidRPr="0087389D">
              <w:rPr>
                <w:rFonts w:asciiTheme="minorEastAsia" w:eastAsiaTheme="minorEastAsia" w:hAnsiTheme="minorEastAsia" w:hint="eastAsia"/>
              </w:rPr>
              <w:t>-</w:t>
            </w:r>
          </w:p>
        </w:tc>
        <w:tc>
          <w:tcPr>
            <w:tcW w:w="2431" w:type="dxa"/>
            <w:tcBorders>
              <w:top w:val="single" w:sz="8" w:space="0" w:color="000000"/>
              <w:left w:val="single" w:sz="8" w:space="0" w:color="000000"/>
              <w:bottom w:val="single" w:sz="8" w:space="0" w:color="000000"/>
              <w:right w:val="single" w:sz="8" w:space="0" w:color="000000"/>
            </w:tcBorders>
            <w:vAlign w:val="center"/>
            <w:hideMark/>
          </w:tcPr>
          <w:p w:rsidR="00E17B2F" w:rsidRPr="0087389D" w:rsidRDefault="00E17B2F">
            <w:pPr>
              <w:autoSpaceDE w:val="0"/>
              <w:autoSpaceDN w:val="0"/>
              <w:adjustRightInd w:val="0"/>
              <w:spacing w:before="29" w:line="300" w:lineRule="auto"/>
              <w:ind w:left="15"/>
              <w:jc w:val="right"/>
              <w:rPr>
                <w:rFonts w:asciiTheme="minorEastAsia" w:eastAsiaTheme="minorEastAsia" w:hAnsiTheme="minorEastAsia"/>
                <w:kern w:val="0"/>
              </w:rPr>
            </w:pPr>
            <w:r w:rsidRPr="0087389D">
              <w:rPr>
                <w:rFonts w:asciiTheme="minorEastAsia" w:eastAsiaTheme="minorEastAsia" w:hAnsiTheme="minorEastAsia" w:hint="eastAsia"/>
              </w:rPr>
              <w:t>-</w:t>
            </w:r>
          </w:p>
        </w:tc>
      </w:tr>
      <w:tr w:rsidR="00E17B2F" w:rsidRPr="0087389D" w:rsidTr="00E17B2F">
        <w:tc>
          <w:tcPr>
            <w:tcW w:w="851" w:type="dxa"/>
            <w:tcBorders>
              <w:top w:val="single" w:sz="8" w:space="0" w:color="000000"/>
              <w:left w:val="single" w:sz="8" w:space="0" w:color="000000"/>
              <w:bottom w:val="single" w:sz="8" w:space="0" w:color="000000"/>
              <w:right w:val="single" w:sz="8" w:space="0" w:color="000000"/>
            </w:tcBorders>
            <w:vAlign w:val="center"/>
            <w:hideMark/>
          </w:tcPr>
          <w:p w:rsidR="00E17B2F" w:rsidRPr="0087389D" w:rsidRDefault="00E17B2F">
            <w:pPr>
              <w:autoSpaceDE w:val="0"/>
              <w:autoSpaceDN w:val="0"/>
              <w:adjustRightInd w:val="0"/>
              <w:spacing w:before="29" w:line="300" w:lineRule="auto"/>
              <w:ind w:left="15"/>
              <w:jc w:val="center"/>
              <w:rPr>
                <w:rFonts w:asciiTheme="minorEastAsia" w:eastAsiaTheme="minorEastAsia" w:hAnsiTheme="minorEastAsia"/>
              </w:rPr>
            </w:pPr>
            <w:r w:rsidRPr="0087389D">
              <w:rPr>
                <w:rFonts w:asciiTheme="minorEastAsia" w:eastAsiaTheme="minorEastAsia" w:hAnsiTheme="minorEastAsia" w:hint="eastAsia"/>
              </w:rPr>
              <w:t>5</w:t>
            </w:r>
          </w:p>
        </w:tc>
        <w:tc>
          <w:tcPr>
            <w:tcW w:w="3351" w:type="dxa"/>
            <w:tcBorders>
              <w:top w:val="single" w:sz="8" w:space="0" w:color="000000"/>
              <w:left w:val="single" w:sz="8" w:space="0" w:color="000000"/>
              <w:bottom w:val="single" w:sz="8" w:space="0" w:color="000000"/>
              <w:right w:val="single" w:sz="8" w:space="0" w:color="000000"/>
            </w:tcBorders>
            <w:vAlign w:val="center"/>
            <w:hideMark/>
          </w:tcPr>
          <w:p w:rsidR="00E17B2F" w:rsidRPr="0087389D" w:rsidRDefault="00E17B2F">
            <w:pPr>
              <w:autoSpaceDE w:val="0"/>
              <w:autoSpaceDN w:val="0"/>
              <w:adjustRightInd w:val="0"/>
              <w:spacing w:before="29" w:line="300" w:lineRule="auto"/>
              <w:ind w:left="15"/>
              <w:jc w:val="left"/>
              <w:rPr>
                <w:rFonts w:asciiTheme="minorEastAsia" w:eastAsiaTheme="minorEastAsia" w:hAnsiTheme="minorEastAsia"/>
              </w:rPr>
            </w:pPr>
            <w:r w:rsidRPr="0087389D">
              <w:rPr>
                <w:rFonts w:asciiTheme="minorEastAsia" w:eastAsiaTheme="minorEastAsia" w:hAnsiTheme="minorEastAsia" w:hint="eastAsia"/>
              </w:rPr>
              <w:t>120天（含）—397天（含）</w:t>
            </w:r>
          </w:p>
        </w:tc>
        <w:tc>
          <w:tcPr>
            <w:tcW w:w="2529" w:type="dxa"/>
            <w:tcBorders>
              <w:top w:val="single" w:sz="8" w:space="0" w:color="000000"/>
              <w:left w:val="single" w:sz="8" w:space="0" w:color="000000"/>
              <w:bottom w:val="single" w:sz="8" w:space="0" w:color="000000"/>
              <w:right w:val="single" w:sz="8" w:space="0" w:color="000000"/>
            </w:tcBorders>
            <w:vAlign w:val="center"/>
            <w:hideMark/>
          </w:tcPr>
          <w:p w:rsidR="00E17B2F" w:rsidRPr="0087389D" w:rsidRDefault="00E17B2F">
            <w:pPr>
              <w:autoSpaceDE w:val="0"/>
              <w:autoSpaceDN w:val="0"/>
              <w:adjustRightInd w:val="0"/>
              <w:spacing w:before="29" w:line="300" w:lineRule="auto"/>
              <w:ind w:left="15"/>
              <w:jc w:val="right"/>
              <w:rPr>
                <w:rFonts w:asciiTheme="minorEastAsia" w:eastAsiaTheme="minorEastAsia" w:hAnsiTheme="minorEastAsia"/>
                <w:kern w:val="0"/>
              </w:rPr>
            </w:pPr>
            <w:r w:rsidRPr="0087389D">
              <w:rPr>
                <w:rFonts w:asciiTheme="minorEastAsia" w:eastAsiaTheme="minorEastAsia" w:hAnsiTheme="minorEastAsia" w:hint="eastAsia"/>
              </w:rPr>
              <w:t>35.63</w:t>
            </w:r>
          </w:p>
        </w:tc>
        <w:tc>
          <w:tcPr>
            <w:tcW w:w="2431" w:type="dxa"/>
            <w:tcBorders>
              <w:top w:val="single" w:sz="8" w:space="0" w:color="000000"/>
              <w:left w:val="single" w:sz="8" w:space="0" w:color="000000"/>
              <w:bottom w:val="single" w:sz="8" w:space="0" w:color="000000"/>
              <w:right w:val="single" w:sz="8" w:space="0" w:color="000000"/>
            </w:tcBorders>
            <w:vAlign w:val="center"/>
            <w:hideMark/>
          </w:tcPr>
          <w:p w:rsidR="00E17B2F" w:rsidRPr="0087389D" w:rsidRDefault="00E17B2F">
            <w:pPr>
              <w:autoSpaceDE w:val="0"/>
              <w:autoSpaceDN w:val="0"/>
              <w:adjustRightInd w:val="0"/>
              <w:spacing w:before="29" w:line="300" w:lineRule="auto"/>
              <w:ind w:left="15"/>
              <w:jc w:val="right"/>
              <w:rPr>
                <w:rFonts w:asciiTheme="minorEastAsia" w:eastAsiaTheme="minorEastAsia" w:hAnsiTheme="minorEastAsia"/>
                <w:kern w:val="0"/>
              </w:rPr>
            </w:pPr>
            <w:r w:rsidRPr="0087389D">
              <w:rPr>
                <w:rFonts w:asciiTheme="minorEastAsia" w:eastAsiaTheme="minorEastAsia" w:hAnsiTheme="minorEastAsia" w:hint="eastAsia"/>
              </w:rPr>
              <w:t>-</w:t>
            </w:r>
          </w:p>
        </w:tc>
      </w:tr>
      <w:tr w:rsidR="00E17B2F" w:rsidRPr="0087389D" w:rsidTr="00E17B2F">
        <w:tc>
          <w:tcPr>
            <w:tcW w:w="851" w:type="dxa"/>
            <w:tcBorders>
              <w:top w:val="single" w:sz="8" w:space="0" w:color="000000"/>
              <w:left w:val="single" w:sz="8" w:space="0" w:color="000000"/>
              <w:bottom w:val="single" w:sz="8" w:space="0" w:color="000000"/>
              <w:right w:val="single" w:sz="8" w:space="0" w:color="000000"/>
            </w:tcBorders>
            <w:vAlign w:val="center"/>
          </w:tcPr>
          <w:p w:rsidR="00E17B2F" w:rsidRPr="0087389D" w:rsidRDefault="00E17B2F">
            <w:pPr>
              <w:autoSpaceDE w:val="0"/>
              <w:autoSpaceDN w:val="0"/>
              <w:adjustRightInd w:val="0"/>
              <w:spacing w:before="29" w:line="300" w:lineRule="auto"/>
              <w:ind w:left="15"/>
              <w:jc w:val="center"/>
              <w:rPr>
                <w:rFonts w:asciiTheme="minorEastAsia" w:eastAsiaTheme="minorEastAsia" w:hAnsiTheme="minorEastAsia"/>
              </w:rPr>
            </w:pPr>
          </w:p>
        </w:tc>
        <w:tc>
          <w:tcPr>
            <w:tcW w:w="3351" w:type="dxa"/>
            <w:tcBorders>
              <w:top w:val="single" w:sz="8" w:space="0" w:color="000000"/>
              <w:left w:val="single" w:sz="8" w:space="0" w:color="000000"/>
              <w:bottom w:val="single" w:sz="8" w:space="0" w:color="000000"/>
              <w:right w:val="single" w:sz="8" w:space="0" w:color="000000"/>
            </w:tcBorders>
            <w:vAlign w:val="center"/>
            <w:hideMark/>
          </w:tcPr>
          <w:p w:rsidR="00E17B2F" w:rsidRPr="0087389D" w:rsidRDefault="00E17B2F">
            <w:pPr>
              <w:autoSpaceDE w:val="0"/>
              <w:autoSpaceDN w:val="0"/>
              <w:adjustRightInd w:val="0"/>
              <w:spacing w:before="29" w:line="300" w:lineRule="auto"/>
              <w:ind w:left="15"/>
              <w:jc w:val="left"/>
              <w:rPr>
                <w:rFonts w:asciiTheme="minorEastAsia" w:eastAsiaTheme="minorEastAsia" w:hAnsiTheme="minorEastAsia"/>
              </w:rPr>
            </w:pPr>
            <w:r w:rsidRPr="0087389D">
              <w:rPr>
                <w:rFonts w:asciiTheme="minorEastAsia" w:eastAsiaTheme="minorEastAsia" w:hAnsiTheme="minorEastAsia" w:hint="eastAsia"/>
              </w:rPr>
              <w:t>其中：剩余存续期超过397天的浮动利率债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hideMark/>
          </w:tcPr>
          <w:p w:rsidR="00E17B2F" w:rsidRPr="0087389D" w:rsidRDefault="00E17B2F">
            <w:pPr>
              <w:autoSpaceDE w:val="0"/>
              <w:autoSpaceDN w:val="0"/>
              <w:adjustRightInd w:val="0"/>
              <w:spacing w:before="29" w:line="300" w:lineRule="auto"/>
              <w:ind w:left="15"/>
              <w:jc w:val="right"/>
              <w:rPr>
                <w:rFonts w:asciiTheme="minorEastAsia" w:eastAsiaTheme="minorEastAsia" w:hAnsiTheme="minorEastAsia"/>
                <w:kern w:val="0"/>
              </w:rPr>
            </w:pPr>
            <w:r w:rsidRPr="0087389D">
              <w:rPr>
                <w:rFonts w:asciiTheme="minorEastAsia" w:eastAsiaTheme="minorEastAsia" w:hAnsiTheme="minorEastAsia" w:hint="eastAsia"/>
              </w:rPr>
              <w:t>-</w:t>
            </w:r>
          </w:p>
        </w:tc>
        <w:tc>
          <w:tcPr>
            <w:tcW w:w="2431" w:type="dxa"/>
            <w:tcBorders>
              <w:top w:val="single" w:sz="8" w:space="0" w:color="000000"/>
              <w:left w:val="single" w:sz="8" w:space="0" w:color="000000"/>
              <w:bottom w:val="single" w:sz="8" w:space="0" w:color="000000"/>
              <w:right w:val="single" w:sz="8" w:space="0" w:color="000000"/>
            </w:tcBorders>
            <w:vAlign w:val="center"/>
            <w:hideMark/>
          </w:tcPr>
          <w:p w:rsidR="00E17B2F" w:rsidRPr="0087389D" w:rsidRDefault="00E17B2F">
            <w:pPr>
              <w:autoSpaceDE w:val="0"/>
              <w:autoSpaceDN w:val="0"/>
              <w:adjustRightInd w:val="0"/>
              <w:spacing w:before="29" w:line="300" w:lineRule="auto"/>
              <w:ind w:left="15"/>
              <w:jc w:val="right"/>
              <w:rPr>
                <w:rFonts w:asciiTheme="minorEastAsia" w:eastAsiaTheme="minorEastAsia" w:hAnsiTheme="minorEastAsia"/>
                <w:kern w:val="0"/>
              </w:rPr>
            </w:pPr>
            <w:r w:rsidRPr="0087389D">
              <w:rPr>
                <w:rFonts w:asciiTheme="minorEastAsia" w:eastAsiaTheme="minorEastAsia" w:hAnsiTheme="minorEastAsia" w:hint="eastAsia"/>
              </w:rPr>
              <w:t>-</w:t>
            </w:r>
          </w:p>
        </w:tc>
      </w:tr>
      <w:tr w:rsidR="00E17B2F" w:rsidRPr="0087389D" w:rsidTr="00E17B2F">
        <w:tc>
          <w:tcPr>
            <w:tcW w:w="4202" w:type="dxa"/>
            <w:gridSpan w:val="2"/>
            <w:tcBorders>
              <w:top w:val="single" w:sz="8" w:space="0" w:color="000000"/>
              <w:left w:val="single" w:sz="8" w:space="0" w:color="000000"/>
              <w:bottom w:val="single" w:sz="8" w:space="0" w:color="000000"/>
              <w:right w:val="single" w:sz="8" w:space="0" w:color="000000"/>
            </w:tcBorders>
            <w:vAlign w:val="center"/>
            <w:hideMark/>
          </w:tcPr>
          <w:p w:rsidR="00E17B2F" w:rsidRPr="0087389D" w:rsidRDefault="00E17B2F">
            <w:pPr>
              <w:autoSpaceDE w:val="0"/>
              <w:autoSpaceDN w:val="0"/>
              <w:adjustRightInd w:val="0"/>
              <w:spacing w:before="29" w:line="300" w:lineRule="auto"/>
              <w:ind w:left="15"/>
              <w:jc w:val="center"/>
              <w:rPr>
                <w:rFonts w:asciiTheme="minorEastAsia" w:eastAsiaTheme="minorEastAsia" w:hAnsiTheme="minorEastAsia"/>
              </w:rPr>
            </w:pPr>
            <w:r w:rsidRPr="0087389D">
              <w:rPr>
                <w:rFonts w:asciiTheme="minorEastAsia" w:eastAsiaTheme="minorEastAsia" w:hAnsiTheme="minorEastAsia" w:hint="eastAsia"/>
              </w:rPr>
              <w:t>合计</w:t>
            </w:r>
          </w:p>
        </w:tc>
        <w:tc>
          <w:tcPr>
            <w:tcW w:w="2529" w:type="dxa"/>
            <w:tcBorders>
              <w:top w:val="single" w:sz="8" w:space="0" w:color="000000"/>
              <w:left w:val="single" w:sz="8" w:space="0" w:color="000000"/>
              <w:bottom w:val="single" w:sz="8" w:space="0" w:color="000000"/>
              <w:right w:val="single" w:sz="8" w:space="0" w:color="000000"/>
            </w:tcBorders>
            <w:vAlign w:val="center"/>
            <w:hideMark/>
          </w:tcPr>
          <w:p w:rsidR="00E17B2F" w:rsidRPr="0087389D" w:rsidRDefault="00E17B2F">
            <w:pPr>
              <w:autoSpaceDE w:val="0"/>
              <w:autoSpaceDN w:val="0"/>
              <w:adjustRightInd w:val="0"/>
              <w:spacing w:before="29" w:line="300" w:lineRule="auto"/>
              <w:ind w:left="15"/>
              <w:jc w:val="right"/>
              <w:rPr>
                <w:rFonts w:asciiTheme="minorEastAsia" w:eastAsiaTheme="minorEastAsia" w:hAnsiTheme="minorEastAsia"/>
                <w:kern w:val="0"/>
              </w:rPr>
            </w:pPr>
            <w:r w:rsidRPr="0087389D">
              <w:rPr>
                <w:rFonts w:asciiTheme="minorEastAsia" w:eastAsiaTheme="minorEastAsia" w:hAnsiTheme="minorEastAsia" w:hint="eastAsia"/>
              </w:rPr>
              <w:t>116.75</w:t>
            </w:r>
          </w:p>
        </w:tc>
        <w:tc>
          <w:tcPr>
            <w:tcW w:w="2431" w:type="dxa"/>
            <w:tcBorders>
              <w:top w:val="single" w:sz="8" w:space="0" w:color="000000"/>
              <w:left w:val="single" w:sz="8" w:space="0" w:color="000000"/>
              <w:bottom w:val="single" w:sz="8" w:space="0" w:color="000000"/>
              <w:right w:val="single" w:sz="8" w:space="0" w:color="000000"/>
            </w:tcBorders>
            <w:vAlign w:val="center"/>
            <w:hideMark/>
          </w:tcPr>
          <w:p w:rsidR="00E17B2F" w:rsidRPr="0087389D" w:rsidRDefault="00E17B2F">
            <w:pPr>
              <w:autoSpaceDE w:val="0"/>
              <w:autoSpaceDN w:val="0"/>
              <w:adjustRightInd w:val="0"/>
              <w:spacing w:before="29" w:line="300" w:lineRule="auto"/>
              <w:ind w:left="15"/>
              <w:jc w:val="right"/>
              <w:rPr>
                <w:rFonts w:asciiTheme="minorEastAsia" w:eastAsiaTheme="minorEastAsia" w:hAnsiTheme="minorEastAsia"/>
                <w:kern w:val="0"/>
              </w:rPr>
            </w:pPr>
            <w:r w:rsidRPr="0087389D">
              <w:rPr>
                <w:rFonts w:asciiTheme="minorEastAsia" w:eastAsiaTheme="minorEastAsia" w:hAnsiTheme="minorEastAsia" w:hint="eastAsia"/>
              </w:rPr>
              <w:t>18.06</w:t>
            </w:r>
          </w:p>
        </w:tc>
      </w:tr>
    </w:tbl>
    <w:p w:rsidR="00E17B2F" w:rsidRPr="0087389D" w:rsidRDefault="00E17B2F" w:rsidP="0087389D">
      <w:pPr>
        <w:adjustRightInd w:val="0"/>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4、报告期内投资组合平均剩余存续期超过240天情况说明</w:t>
      </w:r>
    </w:p>
    <w:p w:rsidR="00E17B2F" w:rsidRPr="0087389D" w:rsidRDefault="00E17B2F" w:rsidP="0087389D">
      <w:pPr>
        <w:adjustRightInd w:val="0"/>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本报告期内本货币市场基金投资组合平均剩余存续期未超过240天。</w:t>
      </w:r>
    </w:p>
    <w:p w:rsidR="00E17B2F" w:rsidRPr="0087389D" w:rsidRDefault="00E17B2F" w:rsidP="0087389D">
      <w:pPr>
        <w:adjustRightInd w:val="0"/>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5、报告期末按债券品种分类的债券投资组合</w:t>
      </w:r>
    </w:p>
    <w:tbl>
      <w:tblPr>
        <w:tblW w:w="8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828"/>
        <w:gridCol w:w="2707"/>
        <w:gridCol w:w="1734"/>
      </w:tblGrid>
      <w:tr w:rsidR="00E17B2F" w:rsidRPr="0087389D" w:rsidTr="00E17B2F">
        <w:tc>
          <w:tcPr>
            <w:tcW w:w="817"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before="29" w:line="300" w:lineRule="auto"/>
              <w:ind w:left="17"/>
              <w:jc w:val="center"/>
              <w:rPr>
                <w:rFonts w:asciiTheme="minorEastAsia" w:eastAsiaTheme="minorEastAsia" w:hAnsiTheme="minorEastAsia"/>
              </w:rPr>
            </w:pPr>
            <w:r w:rsidRPr="0087389D">
              <w:rPr>
                <w:rFonts w:asciiTheme="minorEastAsia" w:eastAsiaTheme="minorEastAsia" w:hAnsiTheme="minorEastAsia" w:hint="eastAsia"/>
              </w:rPr>
              <w:t>序号</w:t>
            </w:r>
          </w:p>
        </w:tc>
        <w:tc>
          <w:tcPr>
            <w:tcW w:w="3260"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before="29" w:line="300" w:lineRule="auto"/>
              <w:ind w:left="17"/>
              <w:jc w:val="center"/>
              <w:rPr>
                <w:rFonts w:asciiTheme="minorEastAsia" w:eastAsiaTheme="minorEastAsia" w:hAnsiTheme="minorEastAsia"/>
              </w:rPr>
            </w:pPr>
            <w:r w:rsidRPr="0087389D">
              <w:rPr>
                <w:rFonts w:asciiTheme="minorEastAsia" w:eastAsiaTheme="minorEastAsia" w:hAnsiTheme="minorEastAsia" w:hint="eastAsia"/>
              </w:rPr>
              <w:t>债券品种</w:t>
            </w:r>
          </w:p>
        </w:tc>
        <w:tc>
          <w:tcPr>
            <w:tcW w:w="3119"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before="29" w:line="300" w:lineRule="auto"/>
              <w:ind w:left="17"/>
              <w:jc w:val="center"/>
              <w:rPr>
                <w:rFonts w:asciiTheme="minorEastAsia" w:eastAsiaTheme="minorEastAsia" w:hAnsiTheme="minorEastAsia"/>
              </w:rPr>
            </w:pPr>
            <w:r w:rsidRPr="0087389D">
              <w:rPr>
                <w:rFonts w:asciiTheme="minorEastAsia" w:eastAsiaTheme="minorEastAsia" w:hAnsiTheme="minorEastAsia" w:hint="eastAsia"/>
              </w:rPr>
              <w:t>摊余成本（元）</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before="29" w:line="300" w:lineRule="auto"/>
              <w:ind w:left="17"/>
              <w:jc w:val="center"/>
              <w:rPr>
                <w:rFonts w:asciiTheme="minorEastAsia" w:eastAsiaTheme="minorEastAsia" w:hAnsiTheme="minorEastAsia"/>
              </w:rPr>
            </w:pPr>
            <w:r w:rsidRPr="0087389D">
              <w:rPr>
                <w:rFonts w:asciiTheme="minorEastAsia" w:eastAsiaTheme="minorEastAsia" w:hAnsiTheme="minorEastAsia" w:hint="eastAsia"/>
              </w:rPr>
              <w:t>占基金资产净值比例(％)</w:t>
            </w:r>
          </w:p>
        </w:tc>
      </w:tr>
      <w:tr w:rsidR="00E17B2F" w:rsidRPr="0087389D" w:rsidTr="00E17B2F">
        <w:tc>
          <w:tcPr>
            <w:tcW w:w="817"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before="29" w:line="300" w:lineRule="auto"/>
              <w:ind w:left="17"/>
              <w:jc w:val="center"/>
              <w:rPr>
                <w:rFonts w:asciiTheme="minorEastAsia" w:eastAsiaTheme="minorEastAsia" w:hAnsiTheme="minorEastAsia"/>
              </w:rPr>
            </w:pPr>
            <w:r w:rsidRPr="0087389D">
              <w:rPr>
                <w:rFonts w:asciiTheme="minorEastAsia" w:eastAsiaTheme="minorEastAsia" w:hAnsiTheme="minorEastAsia" w:hint="eastAsia"/>
              </w:rPr>
              <w:t>1</w:t>
            </w:r>
          </w:p>
        </w:tc>
        <w:tc>
          <w:tcPr>
            <w:tcW w:w="3260"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before="29" w:line="300" w:lineRule="auto"/>
              <w:ind w:left="17"/>
              <w:jc w:val="left"/>
              <w:rPr>
                <w:rFonts w:asciiTheme="minorEastAsia" w:eastAsiaTheme="minorEastAsia" w:hAnsiTheme="minorEastAsia"/>
              </w:rPr>
            </w:pPr>
            <w:r w:rsidRPr="0087389D">
              <w:rPr>
                <w:rFonts w:asciiTheme="minorEastAsia" w:eastAsiaTheme="minorEastAsia" w:hAnsiTheme="minorEastAsia" w:hint="eastAsia"/>
              </w:rPr>
              <w:t>国家债券</w:t>
            </w:r>
          </w:p>
        </w:tc>
        <w:tc>
          <w:tcPr>
            <w:tcW w:w="3119"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before="29" w:line="300" w:lineRule="auto"/>
              <w:ind w:left="17"/>
              <w:jc w:val="right"/>
              <w:rPr>
                <w:rFonts w:asciiTheme="minorEastAsia" w:eastAsiaTheme="minorEastAsia" w:hAnsiTheme="minorEastAsia"/>
              </w:rPr>
            </w:pPr>
            <w:r w:rsidRPr="0087389D">
              <w:rPr>
                <w:rFonts w:asciiTheme="minorEastAsia" w:eastAsiaTheme="minorEastAsia" w:hAnsiTheme="minorEastAsia" w:hint="eastAsia"/>
              </w:rPr>
              <w:t>99,826,229.19</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before="29" w:line="300" w:lineRule="auto"/>
              <w:ind w:left="17"/>
              <w:jc w:val="right"/>
              <w:rPr>
                <w:rFonts w:asciiTheme="minorEastAsia" w:eastAsiaTheme="minorEastAsia" w:hAnsiTheme="minorEastAsia"/>
              </w:rPr>
            </w:pPr>
            <w:r w:rsidRPr="0087389D">
              <w:rPr>
                <w:rFonts w:asciiTheme="minorEastAsia" w:eastAsiaTheme="minorEastAsia" w:hAnsiTheme="minorEastAsia" w:hint="eastAsia"/>
              </w:rPr>
              <w:t>0.51</w:t>
            </w:r>
          </w:p>
        </w:tc>
      </w:tr>
      <w:tr w:rsidR="00E17B2F" w:rsidRPr="0087389D" w:rsidTr="00E17B2F">
        <w:tc>
          <w:tcPr>
            <w:tcW w:w="817"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before="29" w:line="300" w:lineRule="auto"/>
              <w:ind w:left="17"/>
              <w:jc w:val="center"/>
              <w:rPr>
                <w:rFonts w:asciiTheme="minorEastAsia" w:eastAsiaTheme="minorEastAsia" w:hAnsiTheme="minorEastAsia"/>
              </w:rPr>
            </w:pPr>
            <w:r w:rsidRPr="0087389D">
              <w:rPr>
                <w:rFonts w:asciiTheme="minorEastAsia" w:eastAsiaTheme="minorEastAsia" w:hAnsiTheme="minorEastAsia" w:hint="eastAsia"/>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before="29" w:line="300" w:lineRule="auto"/>
              <w:ind w:left="17"/>
              <w:jc w:val="left"/>
              <w:rPr>
                <w:rFonts w:asciiTheme="minorEastAsia" w:eastAsiaTheme="minorEastAsia" w:hAnsiTheme="minorEastAsia"/>
              </w:rPr>
            </w:pPr>
            <w:r w:rsidRPr="0087389D">
              <w:rPr>
                <w:rFonts w:asciiTheme="minorEastAsia" w:eastAsiaTheme="minorEastAsia" w:hAnsiTheme="minorEastAsia" w:hint="eastAsia"/>
              </w:rPr>
              <w:t>央行票据</w:t>
            </w:r>
          </w:p>
        </w:tc>
        <w:tc>
          <w:tcPr>
            <w:tcW w:w="3119"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before="29" w:line="300" w:lineRule="auto"/>
              <w:ind w:left="17"/>
              <w:jc w:val="right"/>
              <w:rPr>
                <w:rFonts w:asciiTheme="minorEastAsia" w:eastAsiaTheme="minorEastAsia" w:hAnsiTheme="minorEastAsia"/>
              </w:rPr>
            </w:pPr>
            <w:r w:rsidRPr="0087389D">
              <w:rPr>
                <w:rFonts w:asciiTheme="minorEastAsia" w:eastAsiaTheme="minorEastAsia" w:hAnsiTheme="minorEastAsia" w:hint="eastAsia"/>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before="29" w:line="300" w:lineRule="auto"/>
              <w:ind w:left="17"/>
              <w:jc w:val="right"/>
              <w:rPr>
                <w:rFonts w:asciiTheme="minorEastAsia" w:eastAsiaTheme="minorEastAsia" w:hAnsiTheme="minorEastAsia"/>
              </w:rPr>
            </w:pPr>
            <w:r w:rsidRPr="0087389D">
              <w:rPr>
                <w:rFonts w:asciiTheme="minorEastAsia" w:eastAsiaTheme="minorEastAsia" w:hAnsiTheme="minorEastAsia" w:hint="eastAsia"/>
              </w:rPr>
              <w:t>-</w:t>
            </w:r>
          </w:p>
        </w:tc>
      </w:tr>
      <w:tr w:rsidR="00E17B2F" w:rsidRPr="0087389D" w:rsidTr="00E17B2F">
        <w:tc>
          <w:tcPr>
            <w:tcW w:w="817"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before="29" w:line="300" w:lineRule="auto"/>
              <w:ind w:left="17"/>
              <w:jc w:val="center"/>
              <w:rPr>
                <w:rFonts w:asciiTheme="minorEastAsia" w:eastAsiaTheme="minorEastAsia" w:hAnsiTheme="minorEastAsia"/>
              </w:rPr>
            </w:pPr>
            <w:r w:rsidRPr="0087389D">
              <w:rPr>
                <w:rFonts w:asciiTheme="minorEastAsia" w:eastAsiaTheme="minorEastAsia" w:hAnsiTheme="minorEastAsia" w:hint="eastAsia"/>
              </w:rPr>
              <w:t>3</w:t>
            </w:r>
          </w:p>
        </w:tc>
        <w:tc>
          <w:tcPr>
            <w:tcW w:w="3260"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before="29" w:line="300" w:lineRule="auto"/>
              <w:ind w:left="17"/>
              <w:jc w:val="left"/>
              <w:rPr>
                <w:rFonts w:asciiTheme="minorEastAsia" w:eastAsiaTheme="minorEastAsia" w:hAnsiTheme="minorEastAsia"/>
              </w:rPr>
            </w:pPr>
            <w:r w:rsidRPr="0087389D">
              <w:rPr>
                <w:rFonts w:asciiTheme="minorEastAsia" w:eastAsiaTheme="minorEastAsia" w:hAnsiTheme="minorEastAsia" w:hint="eastAsia"/>
              </w:rPr>
              <w:t>金融债券</w:t>
            </w:r>
          </w:p>
        </w:tc>
        <w:tc>
          <w:tcPr>
            <w:tcW w:w="3119"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before="29" w:line="300" w:lineRule="auto"/>
              <w:ind w:left="17"/>
              <w:jc w:val="right"/>
              <w:rPr>
                <w:rFonts w:asciiTheme="minorEastAsia" w:eastAsiaTheme="minorEastAsia" w:hAnsiTheme="minorEastAsia"/>
              </w:rPr>
            </w:pPr>
            <w:r w:rsidRPr="0087389D">
              <w:rPr>
                <w:rFonts w:asciiTheme="minorEastAsia" w:eastAsiaTheme="minorEastAsia" w:hAnsiTheme="minorEastAsia" w:hint="eastAsia"/>
              </w:rPr>
              <w:t>1,183,438,563.11</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before="29" w:line="300" w:lineRule="auto"/>
              <w:ind w:left="17"/>
              <w:jc w:val="right"/>
              <w:rPr>
                <w:rFonts w:asciiTheme="minorEastAsia" w:eastAsiaTheme="minorEastAsia" w:hAnsiTheme="minorEastAsia"/>
              </w:rPr>
            </w:pPr>
            <w:r w:rsidRPr="0087389D">
              <w:rPr>
                <w:rFonts w:asciiTheme="minorEastAsia" w:eastAsiaTheme="minorEastAsia" w:hAnsiTheme="minorEastAsia" w:hint="eastAsia"/>
              </w:rPr>
              <w:t>6.00</w:t>
            </w:r>
          </w:p>
        </w:tc>
      </w:tr>
      <w:tr w:rsidR="00E17B2F" w:rsidRPr="0087389D" w:rsidTr="00E17B2F">
        <w:tc>
          <w:tcPr>
            <w:tcW w:w="817" w:type="dxa"/>
            <w:tcBorders>
              <w:top w:val="single" w:sz="4" w:space="0" w:color="auto"/>
              <w:left w:val="single" w:sz="4" w:space="0" w:color="auto"/>
              <w:bottom w:val="single" w:sz="4" w:space="0" w:color="auto"/>
              <w:right w:val="single" w:sz="4" w:space="0" w:color="auto"/>
            </w:tcBorders>
            <w:vAlign w:val="center"/>
          </w:tcPr>
          <w:p w:rsidR="00E17B2F" w:rsidRPr="0087389D" w:rsidRDefault="00E17B2F">
            <w:pPr>
              <w:spacing w:before="29" w:line="300" w:lineRule="auto"/>
              <w:ind w:left="17"/>
              <w:jc w:val="center"/>
              <w:rPr>
                <w:rFonts w:asciiTheme="minorEastAsia" w:eastAsiaTheme="minorEastAsia" w:hAnsiTheme="minorEastAsia"/>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before="29" w:line="300" w:lineRule="auto"/>
              <w:ind w:left="17"/>
              <w:jc w:val="left"/>
              <w:rPr>
                <w:rFonts w:asciiTheme="minorEastAsia" w:eastAsiaTheme="minorEastAsia" w:hAnsiTheme="minorEastAsia"/>
              </w:rPr>
            </w:pPr>
            <w:r w:rsidRPr="0087389D">
              <w:rPr>
                <w:rFonts w:asciiTheme="minorEastAsia" w:eastAsiaTheme="minorEastAsia" w:hAnsiTheme="minorEastAsia" w:hint="eastAsia"/>
              </w:rPr>
              <w:t>其中：政策性金融债</w:t>
            </w:r>
          </w:p>
        </w:tc>
        <w:tc>
          <w:tcPr>
            <w:tcW w:w="3119"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before="29" w:line="300" w:lineRule="auto"/>
              <w:ind w:left="17"/>
              <w:jc w:val="right"/>
              <w:rPr>
                <w:rFonts w:asciiTheme="minorEastAsia" w:eastAsiaTheme="minorEastAsia" w:hAnsiTheme="minorEastAsia"/>
              </w:rPr>
            </w:pPr>
            <w:r w:rsidRPr="0087389D">
              <w:rPr>
                <w:rFonts w:asciiTheme="minorEastAsia" w:eastAsiaTheme="minorEastAsia" w:hAnsiTheme="minorEastAsia" w:hint="eastAsia"/>
              </w:rPr>
              <w:t>973,433,709.66</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before="29" w:line="300" w:lineRule="auto"/>
              <w:ind w:left="17"/>
              <w:jc w:val="right"/>
              <w:rPr>
                <w:rFonts w:asciiTheme="minorEastAsia" w:eastAsiaTheme="minorEastAsia" w:hAnsiTheme="minorEastAsia"/>
              </w:rPr>
            </w:pPr>
            <w:r w:rsidRPr="0087389D">
              <w:rPr>
                <w:rFonts w:asciiTheme="minorEastAsia" w:eastAsiaTheme="minorEastAsia" w:hAnsiTheme="minorEastAsia" w:hint="eastAsia"/>
              </w:rPr>
              <w:t>4.94</w:t>
            </w:r>
          </w:p>
        </w:tc>
      </w:tr>
      <w:tr w:rsidR="00E17B2F" w:rsidRPr="0087389D" w:rsidTr="00E17B2F">
        <w:tc>
          <w:tcPr>
            <w:tcW w:w="817"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before="29" w:line="300" w:lineRule="auto"/>
              <w:ind w:left="17"/>
              <w:jc w:val="center"/>
              <w:rPr>
                <w:rFonts w:asciiTheme="minorEastAsia" w:eastAsiaTheme="minorEastAsia" w:hAnsiTheme="minorEastAsia"/>
              </w:rPr>
            </w:pPr>
            <w:r w:rsidRPr="0087389D">
              <w:rPr>
                <w:rFonts w:asciiTheme="minorEastAsia" w:eastAsiaTheme="minorEastAsia" w:hAnsiTheme="minorEastAsia" w:hint="eastAsia"/>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before="29" w:line="300" w:lineRule="auto"/>
              <w:ind w:left="17"/>
              <w:jc w:val="left"/>
              <w:rPr>
                <w:rFonts w:asciiTheme="minorEastAsia" w:eastAsiaTheme="minorEastAsia" w:hAnsiTheme="minorEastAsia"/>
              </w:rPr>
            </w:pPr>
            <w:r w:rsidRPr="0087389D">
              <w:rPr>
                <w:rFonts w:asciiTheme="minorEastAsia" w:eastAsiaTheme="minorEastAsia" w:hAnsiTheme="minorEastAsia" w:hint="eastAsia"/>
              </w:rPr>
              <w:t>企业债券</w:t>
            </w:r>
          </w:p>
        </w:tc>
        <w:tc>
          <w:tcPr>
            <w:tcW w:w="3119"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before="29" w:line="300" w:lineRule="auto"/>
              <w:ind w:left="17"/>
              <w:jc w:val="right"/>
              <w:rPr>
                <w:rFonts w:asciiTheme="minorEastAsia" w:eastAsiaTheme="minorEastAsia" w:hAnsiTheme="minorEastAsia"/>
              </w:rPr>
            </w:pPr>
            <w:r w:rsidRPr="0087389D">
              <w:rPr>
                <w:rFonts w:asciiTheme="minorEastAsia" w:eastAsiaTheme="minorEastAsia" w:hAnsiTheme="minorEastAsia" w:hint="eastAsia"/>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before="29" w:line="300" w:lineRule="auto"/>
              <w:ind w:left="17"/>
              <w:jc w:val="right"/>
              <w:rPr>
                <w:rFonts w:asciiTheme="minorEastAsia" w:eastAsiaTheme="minorEastAsia" w:hAnsiTheme="minorEastAsia"/>
              </w:rPr>
            </w:pPr>
            <w:r w:rsidRPr="0087389D">
              <w:rPr>
                <w:rFonts w:asciiTheme="minorEastAsia" w:eastAsiaTheme="minorEastAsia" w:hAnsiTheme="minorEastAsia" w:hint="eastAsia"/>
              </w:rPr>
              <w:t>-</w:t>
            </w:r>
          </w:p>
        </w:tc>
      </w:tr>
      <w:tr w:rsidR="00E17B2F" w:rsidRPr="0087389D" w:rsidTr="00E17B2F">
        <w:tc>
          <w:tcPr>
            <w:tcW w:w="817"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before="29" w:line="300" w:lineRule="auto"/>
              <w:ind w:left="17"/>
              <w:jc w:val="center"/>
              <w:rPr>
                <w:rFonts w:asciiTheme="minorEastAsia" w:eastAsiaTheme="minorEastAsia" w:hAnsiTheme="minorEastAsia"/>
              </w:rPr>
            </w:pPr>
            <w:r w:rsidRPr="0087389D">
              <w:rPr>
                <w:rFonts w:asciiTheme="minorEastAsia" w:eastAsiaTheme="minorEastAsia" w:hAnsiTheme="minorEastAsia" w:hint="eastAsia"/>
              </w:rPr>
              <w:t>5</w:t>
            </w:r>
          </w:p>
        </w:tc>
        <w:tc>
          <w:tcPr>
            <w:tcW w:w="3260"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before="29" w:line="300" w:lineRule="auto"/>
              <w:ind w:left="17"/>
              <w:jc w:val="left"/>
              <w:rPr>
                <w:rFonts w:asciiTheme="minorEastAsia" w:eastAsiaTheme="minorEastAsia" w:hAnsiTheme="minorEastAsia"/>
              </w:rPr>
            </w:pPr>
            <w:r w:rsidRPr="0087389D">
              <w:rPr>
                <w:rFonts w:asciiTheme="minorEastAsia" w:eastAsiaTheme="minorEastAsia" w:hAnsiTheme="minorEastAsia" w:hint="eastAsia"/>
              </w:rPr>
              <w:t>企业短期融资券</w:t>
            </w:r>
          </w:p>
        </w:tc>
        <w:tc>
          <w:tcPr>
            <w:tcW w:w="3119"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before="29" w:line="300" w:lineRule="auto"/>
              <w:ind w:left="17"/>
              <w:jc w:val="right"/>
              <w:rPr>
                <w:rFonts w:asciiTheme="minorEastAsia" w:eastAsiaTheme="minorEastAsia" w:hAnsiTheme="minorEastAsia"/>
              </w:rPr>
            </w:pPr>
            <w:r w:rsidRPr="0087389D">
              <w:rPr>
                <w:rFonts w:asciiTheme="minorEastAsia" w:eastAsiaTheme="minorEastAsia" w:hAnsiTheme="minorEastAsia" w:hint="eastAsia"/>
              </w:rPr>
              <w:t>1,180,606,915.08</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before="29" w:line="300" w:lineRule="auto"/>
              <w:ind w:left="17"/>
              <w:jc w:val="right"/>
              <w:rPr>
                <w:rFonts w:asciiTheme="minorEastAsia" w:eastAsiaTheme="minorEastAsia" w:hAnsiTheme="minorEastAsia"/>
              </w:rPr>
            </w:pPr>
            <w:r w:rsidRPr="0087389D">
              <w:rPr>
                <w:rFonts w:asciiTheme="minorEastAsia" w:eastAsiaTheme="minorEastAsia" w:hAnsiTheme="minorEastAsia" w:hint="eastAsia"/>
              </w:rPr>
              <w:t>5.99</w:t>
            </w:r>
          </w:p>
        </w:tc>
      </w:tr>
      <w:tr w:rsidR="00E17B2F" w:rsidRPr="0087389D" w:rsidTr="00E17B2F">
        <w:tc>
          <w:tcPr>
            <w:tcW w:w="817"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before="29" w:line="300" w:lineRule="auto"/>
              <w:ind w:left="17"/>
              <w:jc w:val="center"/>
              <w:rPr>
                <w:rFonts w:asciiTheme="minorEastAsia" w:eastAsiaTheme="minorEastAsia" w:hAnsiTheme="minorEastAsia"/>
              </w:rPr>
            </w:pPr>
            <w:r w:rsidRPr="0087389D">
              <w:rPr>
                <w:rFonts w:asciiTheme="minorEastAsia" w:eastAsiaTheme="minorEastAsia" w:hAnsiTheme="minorEastAsia" w:hint="eastAsia"/>
              </w:rPr>
              <w:lastRenderedPageBreak/>
              <w:t>6</w:t>
            </w:r>
          </w:p>
        </w:tc>
        <w:tc>
          <w:tcPr>
            <w:tcW w:w="3260"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before="29" w:line="300" w:lineRule="auto"/>
              <w:ind w:left="17"/>
              <w:jc w:val="left"/>
              <w:rPr>
                <w:rFonts w:asciiTheme="minorEastAsia" w:eastAsiaTheme="minorEastAsia" w:hAnsiTheme="minorEastAsia"/>
              </w:rPr>
            </w:pPr>
            <w:r w:rsidRPr="0087389D">
              <w:rPr>
                <w:rFonts w:asciiTheme="minorEastAsia" w:eastAsiaTheme="minorEastAsia" w:hAnsiTheme="minorEastAsia" w:hint="eastAsia"/>
              </w:rPr>
              <w:t>中期票据</w:t>
            </w:r>
          </w:p>
        </w:tc>
        <w:tc>
          <w:tcPr>
            <w:tcW w:w="3119"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before="29" w:line="300" w:lineRule="auto"/>
              <w:ind w:left="17"/>
              <w:jc w:val="right"/>
              <w:rPr>
                <w:rFonts w:asciiTheme="minorEastAsia" w:eastAsiaTheme="minorEastAsia" w:hAnsiTheme="minorEastAsia"/>
              </w:rPr>
            </w:pPr>
            <w:r w:rsidRPr="0087389D">
              <w:rPr>
                <w:rFonts w:asciiTheme="minorEastAsia" w:eastAsiaTheme="minorEastAsia" w:hAnsiTheme="minorEastAsia" w:hint="eastAsia"/>
              </w:rPr>
              <w:t>242,805,326.92</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before="29" w:line="300" w:lineRule="auto"/>
              <w:ind w:left="17"/>
              <w:jc w:val="right"/>
              <w:rPr>
                <w:rFonts w:asciiTheme="minorEastAsia" w:eastAsiaTheme="minorEastAsia" w:hAnsiTheme="minorEastAsia"/>
              </w:rPr>
            </w:pPr>
            <w:r w:rsidRPr="0087389D">
              <w:rPr>
                <w:rFonts w:asciiTheme="minorEastAsia" w:eastAsiaTheme="minorEastAsia" w:hAnsiTheme="minorEastAsia" w:hint="eastAsia"/>
              </w:rPr>
              <w:t>1.23</w:t>
            </w:r>
          </w:p>
        </w:tc>
      </w:tr>
      <w:tr w:rsidR="00E17B2F" w:rsidRPr="0087389D" w:rsidTr="00E17B2F">
        <w:tc>
          <w:tcPr>
            <w:tcW w:w="817"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before="29" w:line="300" w:lineRule="auto"/>
              <w:ind w:left="17"/>
              <w:jc w:val="center"/>
              <w:rPr>
                <w:rFonts w:asciiTheme="minorEastAsia" w:eastAsiaTheme="minorEastAsia" w:hAnsiTheme="minorEastAsia"/>
              </w:rPr>
            </w:pPr>
            <w:r w:rsidRPr="0087389D">
              <w:rPr>
                <w:rFonts w:asciiTheme="minorEastAsia" w:eastAsiaTheme="minorEastAsia" w:hAnsiTheme="minorEastAsia" w:hint="eastAsia"/>
              </w:rPr>
              <w:t>7</w:t>
            </w:r>
          </w:p>
        </w:tc>
        <w:tc>
          <w:tcPr>
            <w:tcW w:w="3260"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before="29" w:line="300" w:lineRule="auto"/>
              <w:ind w:left="17"/>
              <w:jc w:val="left"/>
              <w:rPr>
                <w:rFonts w:asciiTheme="minorEastAsia" w:eastAsiaTheme="minorEastAsia" w:hAnsiTheme="minorEastAsia"/>
              </w:rPr>
            </w:pPr>
            <w:r w:rsidRPr="0087389D">
              <w:rPr>
                <w:rFonts w:asciiTheme="minorEastAsia" w:eastAsiaTheme="minorEastAsia" w:hAnsiTheme="minorEastAsia" w:hint="eastAsia"/>
              </w:rPr>
              <w:t>同业存单</w:t>
            </w:r>
          </w:p>
        </w:tc>
        <w:tc>
          <w:tcPr>
            <w:tcW w:w="3119"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before="29" w:line="300" w:lineRule="auto"/>
              <w:ind w:left="17"/>
              <w:jc w:val="right"/>
              <w:rPr>
                <w:rFonts w:asciiTheme="minorEastAsia" w:eastAsiaTheme="minorEastAsia" w:hAnsiTheme="minorEastAsia"/>
              </w:rPr>
            </w:pPr>
            <w:r w:rsidRPr="0087389D">
              <w:rPr>
                <w:rFonts w:asciiTheme="minorEastAsia" w:eastAsiaTheme="minorEastAsia" w:hAnsiTheme="minorEastAsia" w:hint="eastAsia"/>
              </w:rPr>
              <w:t>8,294,666,247.31</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before="29" w:line="300" w:lineRule="auto"/>
              <w:ind w:left="17"/>
              <w:jc w:val="right"/>
              <w:rPr>
                <w:rFonts w:asciiTheme="minorEastAsia" w:eastAsiaTheme="minorEastAsia" w:hAnsiTheme="minorEastAsia"/>
              </w:rPr>
            </w:pPr>
            <w:r w:rsidRPr="0087389D">
              <w:rPr>
                <w:rFonts w:asciiTheme="minorEastAsia" w:eastAsiaTheme="minorEastAsia" w:hAnsiTheme="minorEastAsia" w:hint="eastAsia"/>
              </w:rPr>
              <w:t>42.08</w:t>
            </w:r>
          </w:p>
        </w:tc>
      </w:tr>
      <w:tr w:rsidR="00E17B2F" w:rsidRPr="0087389D" w:rsidTr="00E17B2F">
        <w:tc>
          <w:tcPr>
            <w:tcW w:w="817"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before="29" w:line="300" w:lineRule="auto"/>
              <w:ind w:left="17"/>
              <w:jc w:val="center"/>
              <w:rPr>
                <w:rFonts w:asciiTheme="minorEastAsia" w:eastAsiaTheme="minorEastAsia" w:hAnsiTheme="minorEastAsia"/>
              </w:rPr>
            </w:pPr>
            <w:r w:rsidRPr="0087389D">
              <w:rPr>
                <w:rFonts w:asciiTheme="minorEastAsia" w:eastAsiaTheme="minorEastAsia" w:hAnsiTheme="minorEastAsia" w:hint="eastAsia"/>
              </w:rPr>
              <w:t>8</w:t>
            </w:r>
          </w:p>
        </w:tc>
        <w:tc>
          <w:tcPr>
            <w:tcW w:w="3260"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before="29" w:line="300" w:lineRule="auto"/>
              <w:ind w:left="17"/>
              <w:jc w:val="left"/>
              <w:rPr>
                <w:rFonts w:asciiTheme="minorEastAsia" w:eastAsiaTheme="minorEastAsia" w:hAnsiTheme="minorEastAsia"/>
              </w:rPr>
            </w:pPr>
            <w:r w:rsidRPr="0087389D">
              <w:rPr>
                <w:rFonts w:asciiTheme="minorEastAsia" w:eastAsiaTheme="minorEastAsia" w:hAnsiTheme="minorEastAsia" w:hint="eastAsia"/>
              </w:rPr>
              <w:t>其他</w:t>
            </w:r>
          </w:p>
        </w:tc>
        <w:tc>
          <w:tcPr>
            <w:tcW w:w="3119"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before="29" w:line="300" w:lineRule="auto"/>
              <w:ind w:left="17"/>
              <w:jc w:val="right"/>
              <w:rPr>
                <w:rFonts w:asciiTheme="minorEastAsia" w:eastAsiaTheme="minorEastAsia" w:hAnsiTheme="minorEastAsia"/>
              </w:rPr>
            </w:pPr>
            <w:r w:rsidRPr="0087389D">
              <w:rPr>
                <w:rFonts w:asciiTheme="minorEastAsia" w:eastAsiaTheme="minorEastAsia" w:hAnsiTheme="minorEastAsia" w:hint="eastAsia"/>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before="29" w:line="300" w:lineRule="auto"/>
              <w:ind w:left="17"/>
              <w:jc w:val="right"/>
              <w:rPr>
                <w:rFonts w:asciiTheme="minorEastAsia" w:eastAsiaTheme="minorEastAsia" w:hAnsiTheme="minorEastAsia"/>
              </w:rPr>
            </w:pPr>
            <w:r w:rsidRPr="0087389D">
              <w:rPr>
                <w:rFonts w:asciiTheme="minorEastAsia" w:eastAsiaTheme="minorEastAsia" w:hAnsiTheme="minorEastAsia" w:hint="eastAsia"/>
              </w:rPr>
              <w:t>-</w:t>
            </w:r>
          </w:p>
        </w:tc>
      </w:tr>
      <w:tr w:rsidR="00E17B2F" w:rsidRPr="0087389D" w:rsidTr="00E17B2F">
        <w:tc>
          <w:tcPr>
            <w:tcW w:w="817"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before="29" w:line="300" w:lineRule="auto"/>
              <w:ind w:left="17"/>
              <w:jc w:val="center"/>
              <w:rPr>
                <w:rFonts w:asciiTheme="minorEastAsia" w:eastAsiaTheme="minorEastAsia" w:hAnsiTheme="minorEastAsia"/>
              </w:rPr>
            </w:pPr>
            <w:r w:rsidRPr="0087389D">
              <w:rPr>
                <w:rFonts w:asciiTheme="minorEastAsia" w:eastAsiaTheme="minorEastAsia" w:hAnsiTheme="minorEastAsia" w:hint="eastAsia"/>
              </w:rPr>
              <w:t>9</w:t>
            </w:r>
          </w:p>
        </w:tc>
        <w:tc>
          <w:tcPr>
            <w:tcW w:w="3260"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before="29" w:line="300" w:lineRule="auto"/>
              <w:ind w:left="17"/>
              <w:jc w:val="left"/>
              <w:rPr>
                <w:rFonts w:asciiTheme="minorEastAsia" w:eastAsiaTheme="minorEastAsia" w:hAnsiTheme="minorEastAsia"/>
              </w:rPr>
            </w:pPr>
            <w:r w:rsidRPr="0087389D">
              <w:rPr>
                <w:rFonts w:asciiTheme="minorEastAsia" w:eastAsiaTheme="minorEastAsia" w:hAnsiTheme="minorEastAsia" w:hint="eastAsia"/>
              </w:rPr>
              <w:t>合计</w:t>
            </w:r>
          </w:p>
        </w:tc>
        <w:tc>
          <w:tcPr>
            <w:tcW w:w="3119"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before="29" w:line="300" w:lineRule="auto"/>
              <w:ind w:left="17"/>
              <w:jc w:val="right"/>
              <w:rPr>
                <w:rFonts w:asciiTheme="minorEastAsia" w:eastAsiaTheme="minorEastAsia" w:hAnsiTheme="minorEastAsia"/>
              </w:rPr>
            </w:pPr>
            <w:r w:rsidRPr="0087389D">
              <w:rPr>
                <w:rFonts w:asciiTheme="minorEastAsia" w:eastAsiaTheme="minorEastAsia" w:hAnsiTheme="minorEastAsia" w:hint="eastAsia"/>
              </w:rPr>
              <w:t>11,001,343,281.61</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before="29" w:line="300" w:lineRule="auto"/>
              <w:ind w:left="17"/>
              <w:jc w:val="right"/>
              <w:rPr>
                <w:rFonts w:asciiTheme="minorEastAsia" w:eastAsiaTheme="minorEastAsia" w:hAnsiTheme="minorEastAsia"/>
              </w:rPr>
            </w:pPr>
            <w:r w:rsidRPr="0087389D">
              <w:rPr>
                <w:rFonts w:asciiTheme="minorEastAsia" w:eastAsiaTheme="minorEastAsia" w:hAnsiTheme="minorEastAsia" w:hint="eastAsia"/>
              </w:rPr>
              <w:t>55.82</w:t>
            </w:r>
          </w:p>
        </w:tc>
      </w:tr>
      <w:tr w:rsidR="00E17B2F" w:rsidRPr="0087389D" w:rsidTr="00E17B2F">
        <w:tc>
          <w:tcPr>
            <w:tcW w:w="817"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before="29" w:line="300" w:lineRule="auto"/>
              <w:ind w:left="17"/>
              <w:jc w:val="center"/>
              <w:rPr>
                <w:rFonts w:asciiTheme="minorEastAsia" w:eastAsiaTheme="minorEastAsia" w:hAnsiTheme="minorEastAsia"/>
              </w:rPr>
            </w:pPr>
            <w:r w:rsidRPr="0087389D">
              <w:rPr>
                <w:rFonts w:asciiTheme="minorEastAsia" w:eastAsiaTheme="minorEastAsia" w:hAnsiTheme="minorEastAsia" w:hint="eastAsia"/>
              </w:rPr>
              <w:t>10</w:t>
            </w:r>
          </w:p>
        </w:tc>
        <w:tc>
          <w:tcPr>
            <w:tcW w:w="3260"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before="29" w:line="300" w:lineRule="auto"/>
              <w:ind w:left="17"/>
              <w:jc w:val="left"/>
              <w:rPr>
                <w:rFonts w:asciiTheme="minorEastAsia" w:eastAsiaTheme="minorEastAsia" w:hAnsiTheme="minorEastAsia"/>
              </w:rPr>
            </w:pPr>
            <w:r w:rsidRPr="0087389D">
              <w:rPr>
                <w:rFonts w:asciiTheme="minorEastAsia" w:eastAsiaTheme="minorEastAsia" w:hAnsiTheme="minorEastAsia" w:hint="eastAsia"/>
              </w:rPr>
              <w:t>剩余存续期超过397天的浮动利率债券</w:t>
            </w:r>
          </w:p>
        </w:tc>
        <w:tc>
          <w:tcPr>
            <w:tcW w:w="3119"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before="29" w:line="300" w:lineRule="auto"/>
              <w:ind w:left="17"/>
              <w:jc w:val="right"/>
              <w:rPr>
                <w:rFonts w:asciiTheme="minorEastAsia" w:eastAsiaTheme="minorEastAsia" w:hAnsiTheme="minorEastAsia"/>
              </w:rPr>
            </w:pPr>
            <w:r w:rsidRPr="0087389D">
              <w:rPr>
                <w:rFonts w:asciiTheme="minorEastAsia" w:eastAsiaTheme="minorEastAsia" w:hAnsiTheme="minorEastAsia" w:hint="eastAsia"/>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7B2F" w:rsidRPr="0087389D" w:rsidRDefault="00E17B2F">
            <w:pPr>
              <w:spacing w:before="29" w:line="300" w:lineRule="auto"/>
              <w:ind w:left="17"/>
              <w:jc w:val="right"/>
              <w:rPr>
                <w:rFonts w:asciiTheme="minorEastAsia" w:eastAsiaTheme="minorEastAsia" w:hAnsiTheme="minorEastAsia"/>
              </w:rPr>
            </w:pPr>
            <w:r w:rsidRPr="0087389D">
              <w:rPr>
                <w:rFonts w:asciiTheme="minorEastAsia" w:eastAsiaTheme="minorEastAsia" w:hAnsiTheme="minorEastAsia" w:hint="eastAsia"/>
              </w:rPr>
              <w:t>-</w:t>
            </w:r>
          </w:p>
        </w:tc>
      </w:tr>
    </w:tbl>
    <w:p w:rsidR="00E17B2F" w:rsidRPr="0087389D" w:rsidRDefault="00E17B2F" w:rsidP="0087389D">
      <w:pPr>
        <w:adjustRightInd w:val="0"/>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6、报告期末按摊余成本占基金资产净值比例大小排名的前十名债券投资明细</w:t>
      </w:r>
    </w:p>
    <w:tbl>
      <w:tblPr>
        <w:tblW w:w="800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4"/>
        <w:gridCol w:w="1212"/>
        <w:gridCol w:w="1323"/>
        <w:gridCol w:w="1643"/>
        <w:gridCol w:w="1737"/>
        <w:gridCol w:w="1231"/>
      </w:tblGrid>
      <w:tr w:rsidR="00E17B2F" w:rsidRPr="0087389D" w:rsidTr="00E17B2F">
        <w:tc>
          <w:tcPr>
            <w:tcW w:w="1262" w:type="dxa"/>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autoSpaceDE w:val="0"/>
              <w:autoSpaceDN w:val="0"/>
              <w:adjustRightInd w:val="0"/>
              <w:spacing w:before="29" w:line="300" w:lineRule="auto"/>
              <w:ind w:left="15"/>
              <w:jc w:val="center"/>
              <w:rPr>
                <w:rFonts w:asciiTheme="minorEastAsia" w:eastAsiaTheme="minorEastAsia" w:hAnsiTheme="minorEastAsia"/>
                <w:kern w:val="0"/>
              </w:rPr>
            </w:pPr>
            <w:r w:rsidRPr="0087389D">
              <w:rPr>
                <w:rFonts w:asciiTheme="minorEastAsia" w:eastAsiaTheme="minorEastAsia" w:hAnsiTheme="minorEastAsia" w:hint="eastAsia"/>
                <w:kern w:val="0"/>
              </w:rPr>
              <w:t>序号</w:t>
            </w:r>
          </w:p>
        </w:tc>
        <w:tc>
          <w:tcPr>
            <w:tcW w:w="1262" w:type="dxa"/>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autoSpaceDE w:val="0"/>
              <w:autoSpaceDN w:val="0"/>
              <w:adjustRightInd w:val="0"/>
              <w:spacing w:before="29" w:line="300" w:lineRule="auto"/>
              <w:ind w:left="15"/>
              <w:jc w:val="center"/>
              <w:rPr>
                <w:rFonts w:asciiTheme="minorEastAsia" w:eastAsiaTheme="minorEastAsia" w:hAnsiTheme="minorEastAsia" w:cstheme="minorBidi"/>
                <w:kern w:val="0"/>
              </w:rPr>
            </w:pPr>
            <w:r w:rsidRPr="0087389D">
              <w:rPr>
                <w:rFonts w:asciiTheme="minorEastAsia" w:eastAsiaTheme="minorEastAsia" w:hAnsiTheme="minorEastAsia" w:hint="eastAsia"/>
                <w:kern w:val="0"/>
              </w:rPr>
              <w:t>债券代码</w:t>
            </w:r>
          </w:p>
        </w:tc>
        <w:tc>
          <w:tcPr>
            <w:tcW w:w="1262" w:type="dxa"/>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autoSpaceDE w:val="0"/>
              <w:autoSpaceDN w:val="0"/>
              <w:adjustRightInd w:val="0"/>
              <w:spacing w:before="29" w:line="300" w:lineRule="auto"/>
              <w:ind w:left="15"/>
              <w:jc w:val="center"/>
              <w:rPr>
                <w:rFonts w:asciiTheme="minorEastAsia" w:eastAsiaTheme="minorEastAsia" w:hAnsiTheme="minorEastAsia"/>
                <w:kern w:val="0"/>
              </w:rPr>
            </w:pPr>
            <w:r w:rsidRPr="0087389D">
              <w:rPr>
                <w:rFonts w:asciiTheme="minorEastAsia" w:eastAsiaTheme="minorEastAsia" w:hAnsiTheme="minorEastAsia" w:hint="eastAsia"/>
                <w:kern w:val="0"/>
              </w:rPr>
              <w:t>债券名称</w:t>
            </w:r>
          </w:p>
        </w:tc>
        <w:tc>
          <w:tcPr>
            <w:tcW w:w="2119" w:type="dxa"/>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autoSpaceDE w:val="0"/>
              <w:autoSpaceDN w:val="0"/>
              <w:adjustRightInd w:val="0"/>
              <w:spacing w:before="29" w:line="300" w:lineRule="auto"/>
              <w:ind w:left="15"/>
              <w:jc w:val="center"/>
              <w:rPr>
                <w:rFonts w:asciiTheme="minorEastAsia" w:eastAsiaTheme="minorEastAsia" w:hAnsiTheme="minorEastAsia"/>
                <w:kern w:val="0"/>
              </w:rPr>
            </w:pPr>
            <w:r w:rsidRPr="0087389D">
              <w:rPr>
                <w:rFonts w:asciiTheme="minorEastAsia" w:eastAsiaTheme="minorEastAsia" w:hAnsiTheme="minorEastAsia" w:hint="eastAsia"/>
                <w:kern w:val="0"/>
              </w:rPr>
              <w:t>债券数量</w:t>
            </w:r>
          </w:p>
          <w:p w:rsidR="00E17B2F" w:rsidRPr="0087389D" w:rsidRDefault="00E17B2F">
            <w:pPr>
              <w:autoSpaceDE w:val="0"/>
              <w:autoSpaceDN w:val="0"/>
              <w:adjustRightInd w:val="0"/>
              <w:spacing w:before="29" w:line="300" w:lineRule="auto"/>
              <w:ind w:left="15"/>
              <w:jc w:val="center"/>
              <w:rPr>
                <w:rFonts w:asciiTheme="minorEastAsia" w:eastAsiaTheme="minorEastAsia" w:hAnsiTheme="minorEastAsia"/>
                <w:kern w:val="0"/>
              </w:rPr>
            </w:pPr>
            <w:r w:rsidRPr="0087389D">
              <w:rPr>
                <w:rFonts w:asciiTheme="minorEastAsia" w:eastAsiaTheme="minorEastAsia" w:hAnsiTheme="minorEastAsia" w:hint="eastAsia"/>
                <w:kern w:val="0"/>
              </w:rPr>
              <w:t>（张）</w:t>
            </w:r>
          </w:p>
        </w:tc>
        <w:tc>
          <w:tcPr>
            <w:tcW w:w="1787" w:type="dxa"/>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autoSpaceDE w:val="0"/>
              <w:autoSpaceDN w:val="0"/>
              <w:adjustRightInd w:val="0"/>
              <w:spacing w:before="29" w:line="300" w:lineRule="auto"/>
              <w:ind w:left="15"/>
              <w:jc w:val="center"/>
              <w:rPr>
                <w:rFonts w:asciiTheme="minorEastAsia" w:eastAsiaTheme="minorEastAsia" w:hAnsiTheme="minorEastAsia"/>
                <w:kern w:val="0"/>
              </w:rPr>
            </w:pPr>
            <w:r w:rsidRPr="0087389D">
              <w:rPr>
                <w:rFonts w:asciiTheme="minorEastAsia" w:eastAsiaTheme="minorEastAsia" w:hAnsiTheme="minorEastAsia" w:hint="eastAsia"/>
                <w:kern w:val="0"/>
              </w:rPr>
              <w:t>摊余成本（元）</w:t>
            </w:r>
          </w:p>
        </w:tc>
        <w:tc>
          <w:tcPr>
            <w:tcW w:w="1595" w:type="dxa"/>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autoSpaceDE w:val="0"/>
              <w:autoSpaceDN w:val="0"/>
              <w:adjustRightInd w:val="0"/>
              <w:spacing w:before="29" w:line="300" w:lineRule="auto"/>
              <w:ind w:left="15"/>
              <w:jc w:val="center"/>
              <w:rPr>
                <w:rFonts w:asciiTheme="minorEastAsia" w:eastAsiaTheme="minorEastAsia" w:hAnsiTheme="minorEastAsia"/>
                <w:kern w:val="0"/>
              </w:rPr>
            </w:pPr>
            <w:r w:rsidRPr="0087389D">
              <w:rPr>
                <w:rFonts w:asciiTheme="minorEastAsia" w:eastAsiaTheme="minorEastAsia" w:hAnsiTheme="minorEastAsia" w:hint="eastAsia"/>
                <w:kern w:val="0"/>
              </w:rPr>
              <w:t>占基金资产净值比例（％）</w:t>
            </w:r>
          </w:p>
        </w:tc>
      </w:tr>
      <w:tr w:rsidR="00E17B2F" w:rsidRPr="0087389D" w:rsidTr="00E17B2F">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111903189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19农业银行CD189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5,000,000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497,903,420.88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2.53</w:t>
            </w:r>
          </w:p>
        </w:tc>
      </w:tr>
      <w:tr w:rsidR="00E17B2F" w:rsidRPr="0087389D" w:rsidTr="00E17B2F">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180203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18国开03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3,700,000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378,645,172.21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1.92</w:t>
            </w:r>
          </w:p>
        </w:tc>
      </w:tr>
      <w:tr w:rsidR="00E17B2F" w:rsidRPr="0087389D" w:rsidTr="00E17B2F">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111917028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19光大银行CD028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3,000,000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298,293,881.22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1.51</w:t>
            </w:r>
          </w:p>
        </w:tc>
      </w:tr>
      <w:tr w:rsidR="00E17B2F" w:rsidRPr="0087389D" w:rsidTr="00E17B2F">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111903203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19农业银行CD203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3,000,000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298,056,964.56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1.51</w:t>
            </w:r>
          </w:p>
        </w:tc>
      </w:tr>
      <w:tr w:rsidR="00E17B2F" w:rsidRPr="0087389D" w:rsidTr="00E17B2F">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111903210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19农业银行CD210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3,000,000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298,006,731.78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1.51</w:t>
            </w:r>
          </w:p>
        </w:tc>
      </w:tr>
      <w:tr w:rsidR="00E17B2F" w:rsidRPr="0087389D" w:rsidTr="00E17B2F">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111904089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19中国银行CD089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3,000,000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294,393,022.22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1.49</w:t>
            </w:r>
          </w:p>
        </w:tc>
      </w:tr>
      <w:tr w:rsidR="00E17B2F" w:rsidRPr="0087389D" w:rsidTr="00E17B2F">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112011061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20平安银行CD061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3,000,000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292,780,917.76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1.49</w:t>
            </w:r>
          </w:p>
        </w:tc>
      </w:tr>
      <w:tr w:rsidR="00E17B2F" w:rsidRPr="0087389D" w:rsidTr="00E17B2F">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111904029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19中国银行CD029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2,000,000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199,406,279.94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1.01</w:t>
            </w:r>
          </w:p>
        </w:tc>
      </w:tr>
      <w:tr w:rsidR="00E17B2F" w:rsidRPr="0087389D" w:rsidTr="00E17B2F">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111907074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19招商银行CD074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2,000,000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199,308,154.45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1.01</w:t>
            </w:r>
          </w:p>
        </w:tc>
      </w:tr>
      <w:tr w:rsidR="00E17B2F" w:rsidRPr="0087389D" w:rsidTr="00E17B2F">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112016063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20上海银行CD063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2,000,000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199,162,641.17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1.01</w:t>
            </w:r>
          </w:p>
        </w:tc>
      </w:tr>
    </w:tbl>
    <w:p w:rsidR="00E17B2F" w:rsidRPr="0087389D" w:rsidRDefault="00E17B2F" w:rsidP="0087389D">
      <w:pPr>
        <w:adjustRightInd w:val="0"/>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7、“影子定价”与“摊余成本法”确定的基金资产净值的偏离</w:t>
      </w:r>
    </w:p>
    <w:tbl>
      <w:tblPr>
        <w:tblW w:w="8004" w:type="dxa"/>
        <w:tblInd w:w="108" w:type="dxa"/>
        <w:tblLayout w:type="fixed"/>
        <w:tblLook w:val="04A0" w:firstRow="1" w:lastRow="0" w:firstColumn="1" w:lastColumn="0" w:noHBand="0" w:noVBand="1"/>
      </w:tblPr>
      <w:tblGrid>
        <w:gridCol w:w="5051"/>
        <w:gridCol w:w="2953"/>
      </w:tblGrid>
      <w:tr w:rsidR="00E17B2F" w:rsidRPr="0087389D" w:rsidTr="00E17B2F">
        <w:tc>
          <w:tcPr>
            <w:tcW w:w="5812" w:type="dxa"/>
            <w:tcBorders>
              <w:top w:val="single" w:sz="8" w:space="0" w:color="000000"/>
              <w:left w:val="single" w:sz="8" w:space="0" w:color="000000"/>
              <w:bottom w:val="single" w:sz="8" w:space="0" w:color="000000"/>
              <w:right w:val="single" w:sz="8" w:space="0" w:color="000000"/>
            </w:tcBorders>
            <w:vAlign w:val="center"/>
            <w:hideMark/>
          </w:tcPr>
          <w:p w:rsidR="00E17B2F" w:rsidRPr="0087389D" w:rsidRDefault="00E17B2F">
            <w:pPr>
              <w:autoSpaceDE w:val="0"/>
              <w:autoSpaceDN w:val="0"/>
              <w:adjustRightInd w:val="0"/>
              <w:spacing w:before="29" w:line="300" w:lineRule="auto"/>
              <w:ind w:left="15"/>
              <w:jc w:val="center"/>
              <w:rPr>
                <w:rFonts w:asciiTheme="minorEastAsia" w:eastAsiaTheme="minorEastAsia" w:hAnsiTheme="minorEastAsia"/>
                <w:kern w:val="0"/>
              </w:rPr>
            </w:pPr>
            <w:r w:rsidRPr="0087389D">
              <w:rPr>
                <w:rFonts w:asciiTheme="minorEastAsia" w:eastAsiaTheme="minorEastAsia" w:hAnsiTheme="minorEastAsia" w:hint="eastAsia"/>
                <w:kern w:val="0"/>
              </w:rPr>
              <w:t>项目</w:t>
            </w:r>
          </w:p>
        </w:tc>
        <w:tc>
          <w:tcPr>
            <w:tcW w:w="3382" w:type="dxa"/>
            <w:tcBorders>
              <w:top w:val="single" w:sz="8" w:space="0" w:color="000000"/>
              <w:left w:val="single" w:sz="8" w:space="0" w:color="000000"/>
              <w:bottom w:val="single" w:sz="8" w:space="0" w:color="000000"/>
              <w:right w:val="single" w:sz="8" w:space="0" w:color="000000"/>
            </w:tcBorders>
            <w:vAlign w:val="center"/>
            <w:hideMark/>
          </w:tcPr>
          <w:p w:rsidR="00E17B2F" w:rsidRPr="0087389D" w:rsidRDefault="00E17B2F">
            <w:pPr>
              <w:autoSpaceDE w:val="0"/>
              <w:autoSpaceDN w:val="0"/>
              <w:adjustRightInd w:val="0"/>
              <w:spacing w:before="29" w:line="300" w:lineRule="auto"/>
              <w:ind w:left="15"/>
              <w:jc w:val="center"/>
              <w:rPr>
                <w:rFonts w:asciiTheme="minorEastAsia" w:eastAsiaTheme="minorEastAsia" w:hAnsiTheme="minorEastAsia" w:cstheme="minorBidi"/>
                <w:kern w:val="0"/>
              </w:rPr>
            </w:pPr>
            <w:r w:rsidRPr="0087389D">
              <w:rPr>
                <w:rFonts w:asciiTheme="minorEastAsia" w:eastAsiaTheme="minorEastAsia" w:hAnsiTheme="minorEastAsia" w:hint="eastAsia"/>
                <w:kern w:val="0"/>
              </w:rPr>
              <w:t>偏离情况</w:t>
            </w:r>
          </w:p>
        </w:tc>
      </w:tr>
      <w:tr w:rsidR="00E17B2F" w:rsidRPr="0087389D" w:rsidTr="00E17B2F">
        <w:tc>
          <w:tcPr>
            <w:tcW w:w="5812" w:type="dxa"/>
            <w:tcBorders>
              <w:top w:val="single" w:sz="8" w:space="0" w:color="000000"/>
              <w:left w:val="single" w:sz="8" w:space="0" w:color="000000"/>
              <w:bottom w:val="single" w:sz="8" w:space="0" w:color="000000"/>
              <w:right w:val="single" w:sz="8" w:space="0" w:color="000000"/>
            </w:tcBorders>
            <w:vAlign w:val="center"/>
            <w:hideMark/>
          </w:tcPr>
          <w:p w:rsidR="00E17B2F" w:rsidRPr="0087389D" w:rsidRDefault="00E17B2F">
            <w:pPr>
              <w:autoSpaceDE w:val="0"/>
              <w:autoSpaceDN w:val="0"/>
              <w:adjustRightInd w:val="0"/>
              <w:spacing w:before="29" w:line="300" w:lineRule="auto"/>
              <w:ind w:left="15"/>
              <w:jc w:val="left"/>
              <w:rPr>
                <w:rFonts w:asciiTheme="minorEastAsia" w:eastAsiaTheme="minorEastAsia" w:hAnsiTheme="minorEastAsia"/>
                <w:kern w:val="0"/>
              </w:rPr>
            </w:pPr>
            <w:r w:rsidRPr="0087389D">
              <w:rPr>
                <w:rFonts w:asciiTheme="minorEastAsia" w:eastAsiaTheme="minorEastAsia" w:hAnsiTheme="minorEastAsia" w:hint="eastAsia"/>
                <w:kern w:val="0"/>
              </w:rPr>
              <w:t>报告期内偏离度的绝对值在0.25(含)-0.5%间的次数</w:t>
            </w:r>
          </w:p>
        </w:tc>
        <w:tc>
          <w:tcPr>
            <w:tcW w:w="3382" w:type="dxa"/>
            <w:tcBorders>
              <w:top w:val="single" w:sz="8" w:space="0" w:color="000000"/>
              <w:left w:val="single" w:sz="8" w:space="0" w:color="000000"/>
              <w:bottom w:val="single" w:sz="8" w:space="0" w:color="000000"/>
              <w:right w:val="single" w:sz="8" w:space="0" w:color="000000"/>
            </w:tcBorders>
            <w:vAlign w:val="bottom"/>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0次</w:t>
            </w:r>
          </w:p>
        </w:tc>
      </w:tr>
      <w:tr w:rsidR="00E17B2F" w:rsidRPr="0087389D" w:rsidTr="00E17B2F">
        <w:tc>
          <w:tcPr>
            <w:tcW w:w="5812" w:type="dxa"/>
            <w:tcBorders>
              <w:top w:val="single" w:sz="8" w:space="0" w:color="000000"/>
              <w:left w:val="single" w:sz="8" w:space="0" w:color="000000"/>
              <w:bottom w:val="single" w:sz="8" w:space="0" w:color="000000"/>
              <w:right w:val="single" w:sz="8" w:space="0" w:color="000000"/>
            </w:tcBorders>
            <w:vAlign w:val="center"/>
            <w:hideMark/>
          </w:tcPr>
          <w:p w:rsidR="00E17B2F" w:rsidRPr="0087389D" w:rsidRDefault="00E17B2F">
            <w:pPr>
              <w:autoSpaceDE w:val="0"/>
              <w:autoSpaceDN w:val="0"/>
              <w:adjustRightInd w:val="0"/>
              <w:spacing w:before="29" w:line="300" w:lineRule="auto"/>
              <w:ind w:left="15"/>
              <w:jc w:val="left"/>
              <w:rPr>
                <w:rFonts w:asciiTheme="minorEastAsia" w:eastAsiaTheme="minorEastAsia" w:hAnsiTheme="minorEastAsia"/>
                <w:kern w:val="0"/>
              </w:rPr>
            </w:pPr>
            <w:r w:rsidRPr="0087389D">
              <w:rPr>
                <w:rFonts w:asciiTheme="minorEastAsia" w:eastAsiaTheme="minorEastAsia" w:hAnsiTheme="minorEastAsia" w:hint="eastAsia"/>
                <w:kern w:val="0"/>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bottom"/>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0.2235%</w:t>
            </w:r>
          </w:p>
        </w:tc>
      </w:tr>
      <w:tr w:rsidR="00E17B2F" w:rsidRPr="0087389D" w:rsidTr="00E17B2F">
        <w:tc>
          <w:tcPr>
            <w:tcW w:w="5812" w:type="dxa"/>
            <w:tcBorders>
              <w:top w:val="single" w:sz="8" w:space="0" w:color="000000"/>
              <w:left w:val="single" w:sz="8" w:space="0" w:color="000000"/>
              <w:bottom w:val="single" w:sz="8" w:space="0" w:color="000000"/>
              <w:right w:val="single" w:sz="8" w:space="0" w:color="000000"/>
            </w:tcBorders>
            <w:vAlign w:val="center"/>
            <w:hideMark/>
          </w:tcPr>
          <w:p w:rsidR="00E17B2F" w:rsidRPr="0087389D" w:rsidRDefault="00E17B2F">
            <w:pPr>
              <w:autoSpaceDE w:val="0"/>
              <w:autoSpaceDN w:val="0"/>
              <w:adjustRightInd w:val="0"/>
              <w:spacing w:before="29" w:line="300" w:lineRule="auto"/>
              <w:ind w:left="15"/>
              <w:jc w:val="left"/>
              <w:rPr>
                <w:rFonts w:asciiTheme="minorEastAsia" w:eastAsiaTheme="minorEastAsia" w:hAnsiTheme="minorEastAsia"/>
                <w:kern w:val="0"/>
              </w:rPr>
            </w:pPr>
            <w:r w:rsidRPr="0087389D">
              <w:rPr>
                <w:rFonts w:asciiTheme="minorEastAsia" w:eastAsiaTheme="minorEastAsia" w:hAnsiTheme="minorEastAsia" w:hint="eastAsia"/>
                <w:kern w:val="0"/>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bottom"/>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0.1059%</w:t>
            </w:r>
          </w:p>
        </w:tc>
      </w:tr>
      <w:tr w:rsidR="00E17B2F" w:rsidRPr="0087389D" w:rsidTr="00E17B2F">
        <w:tc>
          <w:tcPr>
            <w:tcW w:w="5812" w:type="dxa"/>
            <w:tcBorders>
              <w:top w:val="single" w:sz="8" w:space="0" w:color="000000"/>
              <w:left w:val="single" w:sz="8" w:space="0" w:color="000000"/>
              <w:bottom w:val="single" w:sz="8" w:space="0" w:color="000000"/>
              <w:right w:val="single" w:sz="8" w:space="0" w:color="000000"/>
            </w:tcBorders>
            <w:vAlign w:val="center"/>
            <w:hideMark/>
          </w:tcPr>
          <w:p w:rsidR="00E17B2F" w:rsidRPr="0087389D" w:rsidRDefault="00E17B2F">
            <w:pPr>
              <w:autoSpaceDE w:val="0"/>
              <w:autoSpaceDN w:val="0"/>
              <w:adjustRightInd w:val="0"/>
              <w:spacing w:before="29" w:line="300" w:lineRule="auto"/>
              <w:ind w:left="15"/>
              <w:jc w:val="left"/>
              <w:rPr>
                <w:rFonts w:asciiTheme="minorEastAsia" w:eastAsiaTheme="minorEastAsia" w:hAnsiTheme="minorEastAsia"/>
                <w:kern w:val="0"/>
              </w:rPr>
            </w:pPr>
            <w:r w:rsidRPr="0087389D">
              <w:rPr>
                <w:rFonts w:asciiTheme="minorEastAsia" w:eastAsiaTheme="minorEastAsia" w:hAnsiTheme="minorEastAsia" w:hint="eastAsia"/>
                <w:kern w:val="0"/>
              </w:rPr>
              <w:lastRenderedPageBreak/>
              <w:t>报告期内每个工作日偏离度的绝对值的简单平均值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bottom"/>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0.1457%</w:t>
            </w:r>
          </w:p>
        </w:tc>
      </w:tr>
    </w:tbl>
    <w:p w:rsidR="00E17B2F" w:rsidRPr="0087389D" w:rsidRDefault="00E17B2F" w:rsidP="0087389D">
      <w:pPr>
        <w:adjustRightInd w:val="0"/>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报告期内负偏离度的绝对值达到0.25%情况说明</w:t>
      </w:r>
    </w:p>
    <w:p w:rsidR="00E17B2F" w:rsidRPr="0087389D" w:rsidRDefault="00E17B2F" w:rsidP="0087389D">
      <w:pPr>
        <w:adjustRightInd w:val="0"/>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本基金本报告期内不存在负偏离度的绝对值达到0.25%的情况。</w:t>
      </w:r>
    </w:p>
    <w:p w:rsidR="00E17B2F" w:rsidRPr="0087389D" w:rsidRDefault="00E17B2F" w:rsidP="0087389D">
      <w:pPr>
        <w:adjustRightInd w:val="0"/>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报告期内正偏离度的绝对值达到0.5%情况说明</w:t>
      </w:r>
    </w:p>
    <w:p w:rsidR="00E17B2F" w:rsidRPr="0087389D" w:rsidRDefault="00E17B2F" w:rsidP="0087389D">
      <w:pPr>
        <w:adjustRightInd w:val="0"/>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本基金本报告期内不存在正偏离度的绝对值达到0.5%的情况。</w:t>
      </w:r>
    </w:p>
    <w:p w:rsidR="00E17B2F" w:rsidRPr="0087389D" w:rsidRDefault="00E17B2F" w:rsidP="0087389D">
      <w:pPr>
        <w:adjustRightInd w:val="0"/>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8、报告期末按公允价值占基金资产净值比例大小排名的前十名资产支持证券投资明细</w:t>
      </w:r>
    </w:p>
    <w:tbl>
      <w:tblPr>
        <w:tblW w:w="800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82"/>
        <w:gridCol w:w="1317"/>
        <w:gridCol w:w="1247"/>
        <w:gridCol w:w="1351"/>
        <w:gridCol w:w="1581"/>
        <w:gridCol w:w="1322"/>
      </w:tblGrid>
      <w:tr w:rsidR="00E17B2F" w:rsidRPr="0087389D" w:rsidTr="00E17B2F">
        <w:tc>
          <w:tcPr>
            <w:tcW w:w="1547" w:type="dxa"/>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autoSpaceDE w:val="0"/>
              <w:autoSpaceDN w:val="0"/>
              <w:adjustRightInd w:val="0"/>
              <w:spacing w:before="29" w:line="300" w:lineRule="auto"/>
              <w:ind w:left="15"/>
              <w:jc w:val="center"/>
              <w:rPr>
                <w:rFonts w:asciiTheme="minorEastAsia" w:eastAsiaTheme="minorEastAsia" w:hAnsiTheme="minorEastAsia"/>
                <w:kern w:val="0"/>
              </w:rPr>
            </w:pPr>
            <w:r w:rsidRPr="0087389D">
              <w:rPr>
                <w:rFonts w:asciiTheme="minorEastAsia" w:eastAsiaTheme="minorEastAsia" w:hAnsiTheme="minorEastAsia" w:hint="eastAsia"/>
                <w:kern w:val="0"/>
              </w:rPr>
              <w:t>序号</w:t>
            </w:r>
          </w:p>
        </w:tc>
        <w:tc>
          <w:tcPr>
            <w:tcW w:w="1548" w:type="dxa"/>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autoSpaceDE w:val="0"/>
              <w:autoSpaceDN w:val="0"/>
              <w:adjustRightInd w:val="0"/>
              <w:spacing w:before="29" w:line="300" w:lineRule="auto"/>
              <w:ind w:left="15"/>
              <w:jc w:val="center"/>
              <w:rPr>
                <w:rFonts w:asciiTheme="minorEastAsia" w:eastAsiaTheme="minorEastAsia" w:hAnsiTheme="minorEastAsia" w:cstheme="minorBidi"/>
                <w:kern w:val="0"/>
              </w:rPr>
            </w:pPr>
            <w:r w:rsidRPr="0087389D">
              <w:rPr>
                <w:rFonts w:asciiTheme="minorEastAsia" w:eastAsiaTheme="minorEastAsia" w:hAnsiTheme="minorEastAsia" w:hint="eastAsia"/>
                <w:kern w:val="0"/>
              </w:rPr>
              <w:t>证券代码</w:t>
            </w:r>
          </w:p>
        </w:tc>
        <w:tc>
          <w:tcPr>
            <w:tcW w:w="1548" w:type="dxa"/>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autoSpaceDE w:val="0"/>
              <w:autoSpaceDN w:val="0"/>
              <w:adjustRightInd w:val="0"/>
              <w:spacing w:before="29" w:line="300" w:lineRule="auto"/>
              <w:ind w:left="15"/>
              <w:jc w:val="center"/>
              <w:rPr>
                <w:rFonts w:asciiTheme="minorEastAsia" w:eastAsiaTheme="minorEastAsia" w:hAnsiTheme="minorEastAsia"/>
                <w:kern w:val="0"/>
              </w:rPr>
            </w:pPr>
            <w:r w:rsidRPr="0087389D">
              <w:rPr>
                <w:rFonts w:asciiTheme="minorEastAsia" w:eastAsiaTheme="minorEastAsia" w:hAnsiTheme="minorEastAsia" w:hint="eastAsia"/>
                <w:kern w:val="0"/>
              </w:rPr>
              <w:t>证券名称</w:t>
            </w:r>
          </w:p>
        </w:tc>
        <w:tc>
          <w:tcPr>
            <w:tcW w:w="1548" w:type="dxa"/>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autoSpaceDE w:val="0"/>
              <w:autoSpaceDN w:val="0"/>
              <w:adjustRightInd w:val="0"/>
              <w:spacing w:before="29" w:line="300" w:lineRule="auto"/>
              <w:ind w:left="15"/>
              <w:jc w:val="center"/>
              <w:rPr>
                <w:rFonts w:asciiTheme="minorEastAsia" w:eastAsiaTheme="minorEastAsia" w:hAnsiTheme="minorEastAsia"/>
                <w:kern w:val="0"/>
              </w:rPr>
            </w:pPr>
            <w:r w:rsidRPr="0087389D">
              <w:rPr>
                <w:rFonts w:asciiTheme="minorEastAsia" w:eastAsiaTheme="minorEastAsia" w:hAnsiTheme="minorEastAsia" w:hint="eastAsia"/>
                <w:kern w:val="0"/>
              </w:rPr>
              <w:t>数量（份）</w:t>
            </w:r>
          </w:p>
        </w:tc>
        <w:tc>
          <w:tcPr>
            <w:tcW w:w="1548" w:type="dxa"/>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C4162A">
            <w:pPr>
              <w:autoSpaceDE w:val="0"/>
              <w:autoSpaceDN w:val="0"/>
              <w:adjustRightInd w:val="0"/>
              <w:spacing w:before="29" w:line="300" w:lineRule="auto"/>
              <w:ind w:left="15"/>
              <w:jc w:val="center"/>
              <w:rPr>
                <w:rFonts w:asciiTheme="minorEastAsia" w:eastAsiaTheme="minorEastAsia" w:hAnsiTheme="minorEastAsia"/>
                <w:kern w:val="0"/>
              </w:rPr>
            </w:pPr>
            <w:r w:rsidRPr="00C4162A">
              <w:rPr>
                <w:rFonts w:asciiTheme="minorEastAsia" w:eastAsiaTheme="minorEastAsia" w:hAnsiTheme="minorEastAsia" w:hint="eastAsia"/>
                <w:kern w:val="0"/>
              </w:rPr>
              <w:t>摊余成本</w:t>
            </w:r>
            <w:r w:rsidR="00E17B2F" w:rsidRPr="0087389D">
              <w:rPr>
                <w:rFonts w:asciiTheme="minorEastAsia" w:eastAsiaTheme="minorEastAsia" w:hAnsiTheme="minorEastAsia" w:hint="eastAsia"/>
                <w:kern w:val="0"/>
              </w:rPr>
              <w:t>（元）</w:t>
            </w:r>
          </w:p>
        </w:tc>
        <w:tc>
          <w:tcPr>
            <w:tcW w:w="1548" w:type="dxa"/>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autoSpaceDE w:val="0"/>
              <w:autoSpaceDN w:val="0"/>
              <w:adjustRightInd w:val="0"/>
              <w:spacing w:before="29" w:line="300" w:lineRule="auto"/>
              <w:ind w:left="15"/>
              <w:jc w:val="center"/>
              <w:rPr>
                <w:rFonts w:asciiTheme="minorEastAsia" w:eastAsiaTheme="minorEastAsia" w:hAnsiTheme="minorEastAsia"/>
                <w:kern w:val="0"/>
              </w:rPr>
            </w:pPr>
            <w:r w:rsidRPr="0087389D">
              <w:rPr>
                <w:rFonts w:asciiTheme="minorEastAsia" w:eastAsiaTheme="minorEastAsia" w:hAnsiTheme="minorEastAsia" w:hint="eastAsia"/>
                <w:kern w:val="0"/>
              </w:rPr>
              <w:t>占基金资产净值比例（％）</w:t>
            </w:r>
          </w:p>
        </w:tc>
      </w:tr>
      <w:tr w:rsidR="00E17B2F" w:rsidRPr="0087389D" w:rsidTr="00E17B2F">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138159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瑞新6A1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410,000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41,000,000.00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0.21</w:t>
            </w:r>
          </w:p>
        </w:tc>
      </w:tr>
      <w:tr w:rsidR="00E17B2F" w:rsidRPr="0087389D" w:rsidTr="00E17B2F">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138265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国链16A1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300,000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30,000,000.00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0.15</w:t>
            </w:r>
          </w:p>
        </w:tc>
      </w:tr>
      <w:tr w:rsidR="00E17B2F" w:rsidRPr="0087389D" w:rsidTr="00E17B2F">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139926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国链12A1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300,000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30,000,000.00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0.15</w:t>
            </w:r>
          </w:p>
        </w:tc>
      </w:tr>
      <w:tr w:rsidR="00E17B2F" w:rsidRPr="0087389D" w:rsidTr="00E17B2F">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YA0104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厚德02A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300,000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30,000,000.00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0.15</w:t>
            </w:r>
          </w:p>
        </w:tc>
      </w:tr>
      <w:tr w:rsidR="00E17B2F" w:rsidRPr="0087389D" w:rsidTr="00E17B2F">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165762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聚盈04A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290,000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29,000,000.00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0.15</w:t>
            </w:r>
          </w:p>
        </w:tc>
      </w:tr>
      <w:tr w:rsidR="00E17B2F" w:rsidRPr="0087389D" w:rsidTr="00E17B2F">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YA0103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厚德01A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290,000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29,000,000.00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0.15</w:t>
            </w:r>
          </w:p>
        </w:tc>
      </w:tr>
      <w:tr w:rsidR="00E17B2F" w:rsidRPr="0087389D" w:rsidTr="00E17B2F">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139886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永熙优11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270,000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27,000,000.00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0.14</w:t>
            </w:r>
          </w:p>
        </w:tc>
      </w:tr>
      <w:tr w:rsidR="00E17B2F" w:rsidRPr="0087389D" w:rsidTr="00E17B2F">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138326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链融20A1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200,000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20,009,017.45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0.10</w:t>
            </w:r>
          </w:p>
        </w:tc>
      </w:tr>
      <w:tr w:rsidR="00E17B2F" w:rsidRPr="0087389D" w:rsidTr="00E17B2F">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138237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国链15A1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200,000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20,000,000.00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0.10</w:t>
            </w:r>
          </w:p>
        </w:tc>
      </w:tr>
      <w:tr w:rsidR="00E17B2F" w:rsidRPr="0087389D" w:rsidTr="00E17B2F">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138260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链融18A1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200,000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20,000,000.00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0.10</w:t>
            </w:r>
          </w:p>
        </w:tc>
      </w:tr>
      <w:tr w:rsidR="00E17B2F" w:rsidRPr="0087389D" w:rsidTr="00E17B2F">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138305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瑞新9A1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200,000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20,000,000.00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0.10</w:t>
            </w:r>
          </w:p>
        </w:tc>
      </w:tr>
      <w:tr w:rsidR="00E17B2F" w:rsidRPr="0087389D" w:rsidTr="00E17B2F">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138351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瑞新11A1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200,000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20,000,000.00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0.10</w:t>
            </w:r>
          </w:p>
        </w:tc>
      </w:tr>
      <w:tr w:rsidR="00E17B2F" w:rsidRPr="0087389D" w:rsidTr="00E17B2F">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138364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南链优03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200,000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20,000,000.00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0.10</w:t>
            </w:r>
          </w:p>
        </w:tc>
      </w:tr>
      <w:tr w:rsidR="00E17B2F" w:rsidRPr="0087389D" w:rsidTr="00E17B2F">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138383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中交6优A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200,000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20,000,000.00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0.10</w:t>
            </w:r>
          </w:p>
        </w:tc>
      </w:tr>
      <w:tr w:rsidR="00E17B2F" w:rsidRPr="0087389D" w:rsidTr="00E17B2F">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138426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瑞新13A1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200,000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20,000,000.00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0.10</w:t>
            </w:r>
          </w:p>
        </w:tc>
      </w:tr>
      <w:tr w:rsidR="00E17B2F" w:rsidRPr="0087389D" w:rsidTr="00E17B2F">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139943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center"/>
              <w:rPr>
                <w:rFonts w:asciiTheme="minorEastAsia" w:eastAsiaTheme="minorEastAsia" w:hAnsiTheme="minorEastAsia"/>
              </w:rPr>
            </w:pPr>
            <w:r w:rsidRPr="0087389D">
              <w:rPr>
                <w:rFonts w:asciiTheme="minorEastAsia" w:eastAsiaTheme="minorEastAsia" w:hAnsiTheme="minorEastAsia" w:hint="eastAsia"/>
              </w:rPr>
              <w:t>永熙优13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200,000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20,000,000.00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spacing w:line="300" w:lineRule="auto"/>
              <w:jc w:val="right"/>
              <w:rPr>
                <w:rFonts w:asciiTheme="minorEastAsia" w:eastAsiaTheme="minorEastAsia" w:hAnsiTheme="minorEastAsia"/>
              </w:rPr>
            </w:pPr>
            <w:r w:rsidRPr="0087389D">
              <w:rPr>
                <w:rFonts w:asciiTheme="minorEastAsia" w:eastAsiaTheme="minorEastAsia" w:hAnsiTheme="minorEastAsia" w:hint="eastAsia"/>
              </w:rPr>
              <w:t>0.10</w:t>
            </w:r>
          </w:p>
        </w:tc>
      </w:tr>
    </w:tbl>
    <w:p w:rsidR="00E17B2F" w:rsidRPr="0087389D" w:rsidRDefault="00E17B2F" w:rsidP="0087389D">
      <w:pPr>
        <w:adjustRightInd w:val="0"/>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9、投资组合报告附注</w:t>
      </w:r>
    </w:p>
    <w:p w:rsidR="00E17B2F" w:rsidRPr="0087389D" w:rsidRDefault="00E17B2F" w:rsidP="0087389D">
      <w:pPr>
        <w:adjustRightInd w:val="0"/>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（1）基金计价方法说明</w:t>
      </w:r>
    </w:p>
    <w:p w:rsidR="00E17B2F" w:rsidRPr="0087389D" w:rsidRDefault="00E17B2F" w:rsidP="0087389D">
      <w:pPr>
        <w:adjustRightInd w:val="0"/>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本基金目前投资工具的估值方法如下：</w:t>
      </w:r>
    </w:p>
    <w:p w:rsidR="00E17B2F" w:rsidRPr="0087389D" w:rsidRDefault="00E17B2F" w:rsidP="0087389D">
      <w:pPr>
        <w:adjustRightInd w:val="0"/>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1）基金持有的债券（包括票据）购买时采用实际支付价款（包含交易费用）确定初始成本，按实际利率计算其摊余成本及各期利息收入，每日计提收益；</w:t>
      </w:r>
    </w:p>
    <w:p w:rsidR="00E17B2F" w:rsidRPr="0087389D" w:rsidRDefault="00E17B2F" w:rsidP="0087389D">
      <w:pPr>
        <w:adjustRightInd w:val="0"/>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2）基金持有的回购以成本列示，按实际利率在实际持有期间内逐日计提利息；合同利率与实际利率差异较小的，也可采用合同利率计算确定利息收入；</w:t>
      </w:r>
    </w:p>
    <w:p w:rsidR="00E17B2F" w:rsidRPr="0087389D" w:rsidRDefault="00E17B2F" w:rsidP="0087389D">
      <w:pPr>
        <w:adjustRightInd w:val="0"/>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3）基金持有的银行存款以本金列示，按实际协议利率逐日计提利息。</w:t>
      </w:r>
    </w:p>
    <w:p w:rsidR="00E17B2F" w:rsidRPr="0087389D" w:rsidRDefault="00E17B2F" w:rsidP="0087389D">
      <w:pPr>
        <w:adjustRightInd w:val="0"/>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如有确凿证据表明按上述方法进行估值不能客观反映其公允价值的，基金管理人可根据</w:t>
      </w:r>
      <w:r w:rsidRPr="0087389D">
        <w:rPr>
          <w:rFonts w:asciiTheme="minorEastAsia" w:eastAsiaTheme="minorEastAsia" w:hAnsiTheme="minorEastAsia" w:hint="eastAsia"/>
        </w:rPr>
        <w:lastRenderedPageBreak/>
        <w:t>具体情况与基金托管人商定后，按最能反映公允价值的方法估值。</w:t>
      </w:r>
    </w:p>
    <w:p w:rsidR="00E17B2F" w:rsidRPr="0087389D" w:rsidRDefault="00E17B2F" w:rsidP="0087389D">
      <w:pPr>
        <w:adjustRightInd w:val="0"/>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如有新增事项，按国家最新规定估值。</w:t>
      </w:r>
    </w:p>
    <w:p w:rsidR="00E17B2F" w:rsidRPr="0087389D" w:rsidRDefault="00E17B2F" w:rsidP="0087389D">
      <w:pPr>
        <w:adjustRightInd w:val="0"/>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2）19招商银行CD074（代码：111907074）是易方达财富快线货币市场基金的前十大持仓证券。2019年7月8日，中国银行保险监督管理委员会上海监管局针对招商银行股份有限公司信用卡中心在为部分客户办理信用卡业务时未遵守总授信额度管理制度的行为，对招商银行股份有限公司处以责令改正，并处罚款20万元。</w:t>
      </w:r>
    </w:p>
    <w:p w:rsidR="00E17B2F" w:rsidRPr="0087389D" w:rsidRDefault="00E17B2F" w:rsidP="0087389D">
      <w:pPr>
        <w:adjustRightInd w:val="0"/>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19农业银行CD203（代码：111903203）、19农业银行CD210（代码：111903210）、19农业银行CD189（代码：111903189）是易方达财富快线货币市场基金的前十大持仓证券。2019年5月7日，中国银保监会上海监管局针对中国农业银行股份有限公司中心部分信用卡资金违规用于非消费领域的违法违规行为，作出“责令改正，并处罚款50万元”的行政处罚决定。2019年7月25日，中国银行保险监督管理委员会上海监管局针对中国农业银行股份有限公司信用卡中心的如下违法违规行为作出“责令改正，并处罚款20万元”的行政处罚决定：2017年5月至2018年6月在办理部分客户信用卡业务时未遵守总授信额度管理制度的违法违规事实。2020年1月19日，国家税务总局北京市海淀区税务局对中国农业银行股份有限公司未按照规定期限办理纳税申报和报送纳税资料的违法违规事实，作出罚款50万元的行政处罚决定。2020年3月9日，中国银行保险监督管理委员会对中国农业银行股份有限公司的如下违法违规行为作出罚款50万元的行政处罚决定：可回溯制度执行不到位、可回溯基础管理不到位、部分可回溯视频质检结果未反馈给保险公司、可回溯资料不符合监管规定。</w:t>
      </w:r>
    </w:p>
    <w:p w:rsidR="00E17B2F" w:rsidRPr="0087389D" w:rsidRDefault="00E17B2F" w:rsidP="0087389D">
      <w:pPr>
        <w:adjustRightInd w:val="0"/>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20平安银行CD061（代码：112011061）是易方达财富快线货币市场基金的前十大持仓证券。2019年5月10日，中国银行保险监督管理委员会上海监管局针对平安银行股份有限公司信用卡中心上海分中心的如下违法违规行为作出“责令改正，并处罚款40万元”的行政处罚决定：2015年至2017年员工经商办企业的行为屡禁不止、员工行为管理严重违反审慎经营规则。2019年8月12日，中国银行保险监督管理委员会上海监管局针对平安银行股份有限公司资金运营中心2017年末至2018年9月信息科技风险管理严重违反审慎经营规则的违法违规事实，作出“责令改正，并处罚款20万元”的行政处罚决定。2020年1月20日，中国银保监会深圳监管局对平安银行股份有限公司的如下违法违规行为作出罚款720万元的行政处罚决定：1.汽车金融事业部将贷款调查的核心事项委托第三方完成；2.代理保险销售的人员为非商业银行人员；3.汽车消费贷款风险分类结果不能反映真实风险水平；4.个人消费贷款风险分类结果不能反映真实风险水平；5.个人经营性贷款分类结果不能反映真实风险水平；6.汽车消费贷款和汽车抵押贷款贷前调查存在缺失；7.汽车消费及经营贷款审查不到位；8.个人汽车贷款和汽车抵押贷款业务存在同一抵押物重复抵押；9.个别汽车消费贷款和汽车抵押贷款用途管控不力，贷款资金被挪用；10.个人消费贷款及个人经营性贷款用途管控不力，贷款资金被挪用；11.部分个人消费贷款未按要求进行受托支付；12.信用卡</w:t>
      </w:r>
      <w:r w:rsidRPr="0087389D">
        <w:rPr>
          <w:rFonts w:asciiTheme="minorEastAsia" w:eastAsiaTheme="minorEastAsia" w:hAnsiTheme="minorEastAsia" w:hint="eastAsia"/>
        </w:rPr>
        <w:lastRenderedPageBreak/>
        <w:t>现金分期用途管控不力；13.代销产品风险评级结果与合作机构评级结果不一致，未采用较高风险评级的评级结果；14.代销产品底层资产涉及本行非标资产，没有实现代销业务与其他业务的风险隔离；15.“双录”管理审慎性不足，理财销售人员销售话术不当。</w:t>
      </w:r>
    </w:p>
    <w:p w:rsidR="00E17B2F" w:rsidRPr="0087389D" w:rsidRDefault="00E17B2F" w:rsidP="0087389D">
      <w:pPr>
        <w:adjustRightInd w:val="0"/>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20上海银行CD063（代码：112016063）是易方达财富快线货币市场基金的前十大持仓证券。2019年7月8日，中国银行保险监督管理委员会上海监管局对上海银行股份有限公司信用卡中心的如下违法违规行为作出“责令改正，并处罚款40万元”的行政处罚决定：2017年12月，该中心在为部分客户办理信用卡业务时，未遵守总授信额度管理制度。2019年11月2日，中国人民银行上海分行对上海银行股份有限公司违反支付业务规定的行为，没收违法所得1,762,787.61元，并处以1,762,787.61元罚款，共计3,525,575.22元，同时对相关高级管理人员作出处罚。</w:t>
      </w:r>
    </w:p>
    <w:p w:rsidR="00E17B2F" w:rsidRPr="0087389D" w:rsidRDefault="00E17B2F" w:rsidP="0087389D">
      <w:pPr>
        <w:adjustRightInd w:val="0"/>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19光大银行CD028（代码：111917028）是易方达财富快线货币市场基金的前十大持仓证券。2019年12月27日，中国银行保险监督管理委员会对中国光大银行股份有限公司的如下违法违规行为作出“罚款180万元”的行政处罚决定：1、授信审批不审慎；2、为还款来源不清晰的项目办理业务；3、总行对分支机构管控不力承担管理责任。2020年2月10日，中国人民银行对中国光大银行股份有限公司的如下违法违规行为作出“罚款1820万元”的行政处罚决定：1.未按规定履行客户身份识别义务；2.未按规定保存客户身份资料和交易记录；3.未按规定报送大额交易报告和可疑交易报告；4.与身份不明的客户进行交易。</w:t>
      </w:r>
    </w:p>
    <w:p w:rsidR="00E17B2F" w:rsidRPr="0087389D" w:rsidRDefault="00E17B2F" w:rsidP="0087389D">
      <w:pPr>
        <w:adjustRightInd w:val="0"/>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本基金投资19招商银行CD074、19农业银行CD203、19农业银行CD210、19农业银行CD189、20平安银行CD061、20上海银行CD063、19光大银行CD028的投资决策程序符合公司投资制度的规定。</w:t>
      </w:r>
    </w:p>
    <w:p w:rsidR="00E17B2F" w:rsidRPr="0087389D" w:rsidRDefault="00E17B2F" w:rsidP="0087389D">
      <w:pPr>
        <w:adjustRightInd w:val="0"/>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除19招商银行CD074、19农业银行CD203、19农业银行CD210、19农业银行CD189、20平安银行CD061、20上海银行CD063、19光大银行CD028外，本基金投资的前十名证券的发行主体本期没有出现被监管部门立案调查，或在报告编制日前一年内受到公开谴责、处罚的情形。</w:t>
      </w:r>
    </w:p>
    <w:p w:rsidR="00E17B2F" w:rsidRPr="0087389D" w:rsidRDefault="00E17B2F" w:rsidP="0087389D">
      <w:pPr>
        <w:adjustRightInd w:val="0"/>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（3）其他各项资产构成</w:t>
      </w:r>
    </w:p>
    <w:tbl>
      <w:tblPr>
        <w:tblW w:w="8004" w:type="dxa"/>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7"/>
        <w:gridCol w:w="3042"/>
        <w:gridCol w:w="4125"/>
      </w:tblGrid>
      <w:tr w:rsidR="00E17B2F" w:rsidRPr="0087389D" w:rsidTr="00E17B2F">
        <w:tc>
          <w:tcPr>
            <w:tcW w:w="942" w:type="dxa"/>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autoSpaceDE w:val="0"/>
              <w:autoSpaceDN w:val="0"/>
              <w:adjustRightInd w:val="0"/>
              <w:spacing w:before="29" w:line="300" w:lineRule="auto"/>
              <w:ind w:left="17"/>
              <w:jc w:val="center"/>
              <w:rPr>
                <w:rFonts w:asciiTheme="minorEastAsia" w:eastAsiaTheme="minorEastAsia" w:hAnsiTheme="minorEastAsia"/>
                <w:kern w:val="0"/>
              </w:rPr>
            </w:pPr>
            <w:r w:rsidRPr="0087389D">
              <w:rPr>
                <w:rFonts w:asciiTheme="minorEastAsia" w:eastAsiaTheme="minorEastAsia" w:hAnsiTheme="minorEastAsia" w:hint="eastAsia"/>
                <w:kern w:val="0"/>
              </w:rPr>
              <w:t>序号</w:t>
            </w:r>
          </w:p>
        </w:tc>
        <w:tc>
          <w:tcPr>
            <w:tcW w:w="3535" w:type="dxa"/>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autoSpaceDE w:val="0"/>
              <w:autoSpaceDN w:val="0"/>
              <w:adjustRightInd w:val="0"/>
              <w:spacing w:before="29" w:line="300" w:lineRule="auto"/>
              <w:ind w:left="17"/>
              <w:jc w:val="center"/>
              <w:rPr>
                <w:rFonts w:asciiTheme="minorEastAsia" w:eastAsiaTheme="minorEastAsia" w:hAnsiTheme="minorEastAsia"/>
                <w:kern w:val="0"/>
              </w:rPr>
            </w:pPr>
            <w:r w:rsidRPr="0087389D">
              <w:rPr>
                <w:rFonts w:asciiTheme="minorEastAsia" w:eastAsiaTheme="minorEastAsia" w:hAnsiTheme="minorEastAsia" w:hint="eastAsia"/>
                <w:kern w:val="0"/>
              </w:rPr>
              <w:t>名称</w:t>
            </w:r>
          </w:p>
        </w:tc>
        <w:tc>
          <w:tcPr>
            <w:tcW w:w="4808" w:type="dxa"/>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autoSpaceDE w:val="0"/>
              <w:autoSpaceDN w:val="0"/>
              <w:adjustRightInd w:val="0"/>
              <w:spacing w:before="29" w:line="300" w:lineRule="auto"/>
              <w:ind w:left="17"/>
              <w:jc w:val="center"/>
              <w:rPr>
                <w:rFonts w:asciiTheme="minorEastAsia" w:eastAsiaTheme="minorEastAsia" w:hAnsiTheme="minorEastAsia"/>
                <w:kern w:val="0"/>
              </w:rPr>
            </w:pPr>
            <w:r w:rsidRPr="0087389D">
              <w:rPr>
                <w:rFonts w:asciiTheme="minorEastAsia" w:eastAsiaTheme="minorEastAsia" w:hAnsiTheme="minorEastAsia" w:hint="eastAsia"/>
                <w:kern w:val="0"/>
              </w:rPr>
              <w:t>金额（元）</w:t>
            </w:r>
          </w:p>
        </w:tc>
      </w:tr>
      <w:tr w:rsidR="00E17B2F" w:rsidRPr="0087389D" w:rsidTr="00E17B2F">
        <w:tc>
          <w:tcPr>
            <w:tcW w:w="942" w:type="dxa"/>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autoSpaceDE w:val="0"/>
              <w:autoSpaceDN w:val="0"/>
              <w:adjustRightInd w:val="0"/>
              <w:spacing w:before="29" w:line="300" w:lineRule="auto"/>
              <w:ind w:left="15"/>
              <w:jc w:val="center"/>
              <w:rPr>
                <w:rFonts w:asciiTheme="minorEastAsia" w:eastAsiaTheme="minorEastAsia" w:hAnsiTheme="minorEastAsia"/>
                <w:kern w:val="0"/>
              </w:rPr>
            </w:pPr>
            <w:r w:rsidRPr="0087389D">
              <w:rPr>
                <w:rFonts w:asciiTheme="minorEastAsia" w:eastAsiaTheme="minorEastAsia" w:hAnsiTheme="minorEastAsia" w:hint="eastAsia"/>
              </w:rPr>
              <w:t>1</w:t>
            </w:r>
          </w:p>
        </w:tc>
        <w:tc>
          <w:tcPr>
            <w:tcW w:w="3535" w:type="dxa"/>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autoSpaceDE w:val="0"/>
              <w:autoSpaceDN w:val="0"/>
              <w:adjustRightInd w:val="0"/>
              <w:spacing w:before="29" w:line="300" w:lineRule="auto"/>
              <w:ind w:left="15"/>
              <w:jc w:val="left"/>
              <w:rPr>
                <w:rFonts w:asciiTheme="minorEastAsia" w:eastAsiaTheme="minorEastAsia" w:hAnsiTheme="minorEastAsia"/>
                <w:kern w:val="0"/>
              </w:rPr>
            </w:pPr>
            <w:r w:rsidRPr="0087389D">
              <w:rPr>
                <w:rFonts w:asciiTheme="minorEastAsia" w:eastAsiaTheme="minorEastAsia" w:hAnsiTheme="minorEastAsia" w:hint="eastAsia"/>
                <w:kern w:val="0"/>
              </w:rPr>
              <w:t>存出保证金</w:t>
            </w:r>
          </w:p>
        </w:tc>
        <w:tc>
          <w:tcPr>
            <w:tcW w:w="4808" w:type="dxa"/>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autoSpaceDE w:val="0"/>
              <w:autoSpaceDN w:val="0"/>
              <w:adjustRightInd w:val="0"/>
              <w:spacing w:before="29" w:line="300" w:lineRule="auto"/>
              <w:ind w:left="15"/>
              <w:jc w:val="right"/>
              <w:rPr>
                <w:rFonts w:asciiTheme="minorEastAsia" w:eastAsiaTheme="minorEastAsia" w:hAnsiTheme="minorEastAsia"/>
                <w:kern w:val="0"/>
              </w:rPr>
            </w:pPr>
            <w:r w:rsidRPr="0087389D">
              <w:rPr>
                <w:rFonts w:asciiTheme="minorEastAsia" w:eastAsiaTheme="minorEastAsia" w:hAnsiTheme="minorEastAsia" w:hint="eastAsia"/>
                <w:kern w:val="0"/>
              </w:rPr>
              <w:t>-</w:t>
            </w:r>
          </w:p>
        </w:tc>
      </w:tr>
      <w:tr w:rsidR="00E17B2F" w:rsidRPr="0087389D" w:rsidTr="00E17B2F">
        <w:tc>
          <w:tcPr>
            <w:tcW w:w="942" w:type="dxa"/>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autoSpaceDE w:val="0"/>
              <w:autoSpaceDN w:val="0"/>
              <w:adjustRightInd w:val="0"/>
              <w:spacing w:before="29" w:line="300" w:lineRule="auto"/>
              <w:ind w:left="15"/>
              <w:jc w:val="center"/>
              <w:rPr>
                <w:rFonts w:asciiTheme="minorEastAsia" w:eastAsiaTheme="minorEastAsia" w:hAnsiTheme="minorEastAsia"/>
              </w:rPr>
            </w:pPr>
            <w:r w:rsidRPr="0087389D">
              <w:rPr>
                <w:rFonts w:asciiTheme="minorEastAsia" w:eastAsiaTheme="minorEastAsia" w:hAnsiTheme="minorEastAsia" w:hint="eastAsia"/>
              </w:rPr>
              <w:t>2</w:t>
            </w:r>
          </w:p>
        </w:tc>
        <w:tc>
          <w:tcPr>
            <w:tcW w:w="3535" w:type="dxa"/>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autoSpaceDE w:val="0"/>
              <w:autoSpaceDN w:val="0"/>
              <w:adjustRightInd w:val="0"/>
              <w:spacing w:before="29" w:line="300" w:lineRule="auto"/>
              <w:ind w:left="15"/>
              <w:jc w:val="left"/>
              <w:rPr>
                <w:rFonts w:asciiTheme="minorEastAsia" w:eastAsiaTheme="minorEastAsia" w:hAnsiTheme="minorEastAsia"/>
                <w:kern w:val="0"/>
              </w:rPr>
            </w:pPr>
            <w:r w:rsidRPr="0087389D">
              <w:rPr>
                <w:rFonts w:asciiTheme="minorEastAsia" w:eastAsiaTheme="minorEastAsia" w:hAnsiTheme="minorEastAsia" w:hint="eastAsia"/>
                <w:kern w:val="0"/>
              </w:rPr>
              <w:t>应收证券清算款</w:t>
            </w:r>
          </w:p>
        </w:tc>
        <w:tc>
          <w:tcPr>
            <w:tcW w:w="4808" w:type="dxa"/>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autoSpaceDE w:val="0"/>
              <w:autoSpaceDN w:val="0"/>
              <w:adjustRightInd w:val="0"/>
              <w:spacing w:before="29" w:line="300" w:lineRule="auto"/>
              <w:ind w:left="15"/>
              <w:jc w:val="right"/>
              <w:rPr>
                <w:rFonts w:asciiTheme="minorEastAsia" w:eastAsiaTheme="minorEastAsia" w:hAnsiTheme="minorEastAsia"/>
                <w:kern w:val="0"/>
              </w:rPr>
            </w:pPr>
            <w:r w:rsidRPr="0087389D">
              <w:rPr>
                <w:rFonts w:asciiTheme="minorEastAsia" w:eastAsiaTheme="minorEastAsia" w:hAnsiTheme="minorEastAsia" w:hint="eastAsia"/>
                <w:kern w:val="0"/>
              </w:rPr>
              <w:t>9,013.70</w:t>
            </w:r>
          </w:p>
        </w:tc>
      </w:tr>
      <w:tr w:rsidR="00E17B2F" w:rsidRPr="0087389D" w:rsidTr="00E17B2F">
        <w:tc>
          <w:tcPr>
            <w:tcW w:w="942" w:type="dxa"/>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autoSpaceDE w:val="0"/>
              <w:autoSpaceDN w:val="0"/>
              <w:adjustRightInd w:val="0"/>
              <w:spacing w:before="29" w:line="300" w:lineRule="auto"/>
              <w:ind w:left="15"/>
              <w:jc w:val="center"/>
              <w:rPr>
                <w:rFonts w:asciiTheme="minorEastAsia" w:eastAsiaTheme="minorEastAsia" w:hAnsiTheme="minorEastAsia"/>
              </w:rPr>
            </w:pPr>
            <w:r w:rsidRPr="0087389D">
              <w:rPr>
                <w:rFonts w:asciiTheme="minorEastAsia" w:eastAsiaTheme="minorEastAsia" w:hAnsiTheme="minorEastAsia" w:hint="eastAsia"/>
              </w:rPr>
              <w:t>3</w:t>
            </w:r>
          </w:p>
        </w:tc>
        <w:tc>
          <w:tcPr>
            <w:tcW w:w="3535" w:type="dxa"/>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autoSpaceDE w:val="0"/>
              <w:autoSpaceDN w:val="0"/>
              <w:adjustRightInd w:val="0"/>
              <w:spacing w:before="29" w:line="300" w:lineRule="auto"/>
              <w:ind w:left="15"/>
              <w:jc w:val="left"/>
              <w:rPr>
                <w:rFonts w:asciiTheme="minorEastAsia" w:eastAsiaTheme="minorEastAsia" w:hAnsiTheme="minorEastAsia"/>
                <w:kern w:val="0"/>
              </w:rPr>
            </w:pPr>
            <w:r w:rsidRPr="0087389D">
              <w:rPr>
                <w:rFonts w:asciiTheme="minorEastAsia" w:eastAsiaTheme="minorEastAsia" w:hAnsiTheme="minorEastAsia" w:hint="eastAsia"/>
                <w:kern w:val="0"/>
              </w:rPr>
              <w:t>应收利息</w:t>
            </w:r>
          </w:p>
        </w:tc>
        <w:tc>
          <w:tcPr>
            <w:tcW w:w="4808" w:type="dxa"/>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autoSpaceDE w:val="0"/>
              <w:autoSpaceDN w:val="0"/>
              <w:adjustRightInd w:val="0"/>
              <w:spacing w:before="29" w:line="300" w:lineRule="auto"/>
              <w:ind w:left="15"/>
              <w:jc w:val="right"/>
              <w:rPr>
                <w:rFonts w:asciiTheme="minorEastAsia" w:eastAsiaTheme="minorEastAsia" w:hAnsiTheme="minorEastAsia"/>
                <w:kern w:val="0"/>
              </w:rPr>
            </w:pPr>
            <w:r w:rsidRPr="0087389D">
              <w:rPr>
                <w:rFonts w:asciiTheme="minorEastAsia" w:eastAsiaTheme="minorEastAsia" w:hAnsiTheme="minorEastAsia" w:hint="eastAsia"/>
                <w:kern w:val="0"/>
              </w:rPr>
              <w:t>107,794,876.67</w:t>
            </w:r>
          </w:p>
        </w:tc>
      </w:tr>
      <w:tr w:rsidR="00E17B2F" w:rsidRPr="0087389D" w:rsidTr="00E17B2F">
        <w:tc>
          <w:tcPr>
            <w:tcW w:w="942" w:type="dxa"/>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autoSpaceDE w:val="0"/>
              <w:autoSpaceDN w:val="0"/>
              <w:adjustRightInd w:val="0"/>
              <w:spacing w:before="29" w:line="300" w:lineRule="auto"/>
              <w:ind w:left="15"/>
              <w:jc w:val="center"/>
              <w:rPr>
                <w:rFonts w:asciiTheme="minorEastAsia" w:eastAsiaTheme="minorEastAsia" w:hAnsiTheme="minorEastAsia"/>
              </w:rPr>
            </w:pPr>
            <w:r w:rsidRPr="0087389D">
              <w:rPr>
                <w:rFonts w:asciiTheme="minorEastAsia" w:eastAsiaTheme="minorEastAsia" w:hAnsiTheme="minorEastAsia" w:hint="eastAsia"/>
              </w:rPr>
              <w:t>4</w:t>
            </w:r>
          </w:p>
        </w:tc>
        <w:tc>
          <w:tcPr>
            <w:tcW w:w="3535" w:type="dxa"/>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autoSpaceDE w:val="0"/>
              <w:autoSpaceDN w:val="0"/>
              <w:adjustRightInd w:val="0"/>
              <w:spacing w:before="29" w:line="300" w:lineRule="auto"/>
              <w:ind w:left="15"/>
              <w:jc w:val="left"/>
              <w:rPr>
                <w:rFonts w:asciiTheme="minorEastAsia" w:eastAsiaTheme="minorEastAsia" w:hAnsiTheme="minorEastAsia"/>
                <w:kern w:val="0"/>
              </w:rPr>
            </w:pPr>
            <w:r w:rsidRPr="0087389D">
              <w:rPr>
                <w:rFonts w:asciiTheme="minorEastAsia" w:eastAsiaTheme="minorEastAsia" w:hAnsiTheme="minorEastAsia" w:hint="eastAsia"/>
                <w:kern w:val="0"/>
              </w:rPr>
              <w:t>应收申购款</w:t>
            </w:r>
          </w:p>
        </w:tc>
        <w:tc>
          <w:tcPr>
            <w:tcW w:w="4808" w:type="dxa"/>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autoSpaceDE w:val="0"/>
              <w:autoSpaceDN w:val="0"/>
              <w:adjustRightInd w:val="0"/>
              <w:spacing w:before="29" w:line="300" w:lineRule="auto"/>
              <w:ind w:left="15"/>
              <w:jc w:val="right"/>
              <w:rPr>
                <w:rFonts w:asciiTheme="minorEastAsia" w:eastAsiaTheme="minorEastAsia" w:hAnsiTheme="minorEastAsia"/>
                <w:kern w:val="0"/>
              </w:rPr>
            </w:pPr>
            <w:r w:rsidRPr="0087389D">
              <w:rPr>
                <w:rFonts w:asciiTheme="minorEastAsia" w:eastAsiaTheme="minorEastAsia" w:hAnsiTheme="minorEastAsia" w:hint="eastAsia"/>
                <w:kern w:val="0"/>
              </w:rPr>
              <w:t>162,421,417.11</w:t>
            </w:r>
          </w:p>
        </w:tc>
      </w:tr>
      <w:tr w:rsidR="00E17B2F" w:rsidRPr="0087389D" w:rsidTr="00E17B2F">
        <w:tc>
          <w:tcPr>
            <w:tcW w:w="942" w:type="dxa"/>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autoSpaceDE w:val="0"/>
              <w:autoSpaceDN w:val="0"/>
              <w:adjustRightInd w:val="0"/>
              <w:spacing w:before="29" w:line="300" w:lineRule="auto"/>
              <w:ind w:left="15"/>
              <w:jc w:val="center"/>
              <w:rPr>
                <w:rFonts w:asciiTheme="minorEastAsia" w:eastAsiaTheme="minorEastAsia" w:hAnsiTheme="minorEastAsia"/>
              </w:rPr>
            </w:pPr>
            <w:r w:rsidRPr="0087389D">
              <w:rPr>
                <w:rFonts w:asciiTheme="minorEastAsia" w:eastAsiaTheme="minorEastAsia" w:hAnsiTheme="minorEastAsia" w:hint="eastAsia"/>
              </w:rPr>
              <w:t>5</w:t>
            </w:r>
          </w:p>
        </w:tc>
        <w:tc>
          <w:tcPr>
            <w:tcW w:w="3535" w:type="dxa"/>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autoSpaceDE w:val="0"/>
              <w:autoSpaceDN w:val="0"/>
              <w:adjustRightInd w:val="0"/>
              <w:spacing w:before="29" w:line="300" w:lineRule="auto"/>
              <w:ind w:left="15"/>
              <w:jc w:val="left"/>
              <w:rPr>
                <w:rFonts w:asciiTheme="minorEastAsia" w:eastAsiaTheme="minorEastAsia" w:hAnsiTheme="minorEastAsia"/>
                <w:kern w:val="0"/>
              </w:rPr>
            </w:pPr>
            <w:r w:rsidRPr="0087389D">
              <w:rPr>
                <w:rFonts w:asciiTheme="minorEastAsia" w:eastAsiaTheme="minorEastAsia" w:hAnsiTheme="minorEastAsia" w:hint="eastAsia"/>
                <w:kern w:val="0"/>
              </w:rPr>
              <w:t>其他应收款</w:t>
            </w:r>
          </w:p>
        </w:tc>
        <w:tc>
          <w:tcPr>
            <w:tcW w:w="4808" w:type="dxa"/>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autoSpaceDE w:val="0"/>
              <w:autoSpaceDN w:val="0"/>
              <w:adjustRightInd w:val="0"/>
              <w:spacing w:before="29" w:line="300" w:lineRule="auto"/>
              <w:ind w:left="15"/>
              <w:jc w:val="right"/>
              <w:rPr>
                <w:rFonts w:asciiTheme="minorEastAsia" w:eastAsiaTheme="minorEastAsia" w:hAnsiTheme="minorEastAsia"/>
                <w:kern w:val="0"/>
              </w:rPr>
            </w:pPr>
            <w:r w:rsidRPr="0087389D">
              <w:rPr>
                <w:rFonts w:asciiTheme="minorEastAsia" w:eastAsiaTheme="minorEastAsia" w:hAnsiTheme="minorEastAsia" w:hint="eastAsia"/>
                <w:kern w:val="0"/>
              </w:rPr>
              <w:t>-</w:t>
            </w:r>
          </w:p>
        </w:tc>
      </w:tr>
      <w:tr w:rsidR="00E17B2F" w:rsidRPr="0087389D" w:rsidTr="00E17B2F">
        <w:tc>
          <w:tcPr>
            <w:tcW w:w="942" w:type="dxa"/>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autoSpaceDE w:val="0"/>
              <w:autoSpaceDN w:val="0"/>
              <w:adjustRightInd w:val="0"/>
              <w:spacing w:before="29" w:line="300" w:lineRule="auto"/>
              <w:ind w:left="15"/>
              <w:jc w:val="center"/>
              <w:rPr>
                <w:rFonts w:asciiTheme="minorEastAsia" w:eastAsiaTheme="minorEastAsia" w:hAnsiTheme="minorEastAsia"/>
              </w:rPr>
            </w:pPr>
            <w:r w:rsidRPr="0087389D">
              <w:rPr>
                <w:rFonts w:asciiTheme="minorEastAsia" w:eastAsiaTheme="minorEastAsia" w:hAnsiTheme="minorEastAsia" w:hint="eastAsia"/>
              </w:rPr>
              <w:t>6</w:t>
            </w:r>
          </w:p>
        </w:tc>
        <w:tc>
          <w:tcPr>
            <w:tcW w:w="3535" w:type="dxa"/>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autoSpaceDE w:val="0"/>
              <w:autoSpaceDN w:val="0"/>
              <w:adjustRightInd w:val="0"/>
              <w:spacing w:before="29" w:line="300" w:lineRule="auto"/>
              <w:ind w:left="15"/>
              <w:jc w:val="left"/>
              <w:rPr>
                <w:rFonts w:asciiTheme="minorEastAsia" w:eastAsiaTheme="minorEastAsia" w:hAnsiTheme="minorEastAsia"/>
                <w:kern w:val="0"/>
              </w:rPr>
            </w:pPr>
            <w:r w:rsidRPr="0087389D">
              <w:rPr>
                <w:rFonts w:asciiTheme="minorEastAsia" w:eastAsiaTheme="minorEastAsia" w:hAnsiTheme="minorEastAsia" w:hint="eastAsia"/>
                <w:kern w:val="0"/>
              </w:rPr>
              <w:t>待摊费用</w:t>
            </w:r>
          </w:p>
        </w:tc>
        <w:tc>
          <w:tcPr>
            <w:tcW w:w="4808" w:type="dxa"/>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autoSpaceDE w:val="0"/>
              <w:autoSpaceDN w:val="0"/>
              <w:adjustRightInd w:val="0"/>
              <w:spacing w:before="29" w:line="300" w:lineRule="auto"/>
              <w:ind w:left="15"/>
              <w:jc w:val="right"/>
              <w:rPr>
                <w:rFonts w:asciiTheme="minorEastAsia" w:eastAsiaTheme="minorEastAsia" w:hAnsiTheme="minorEastAsia"/>
                <w:kern w:val="0"/>
              </w:rPr>
            </w:pPr>
            <w:r w:rsidRPr="0087389D">
              <w:rPr>
                <w:rFonts w:asciiTheme="minorEastAsia" w:eastAsiaTheme="minorEastAsia" w:hAnsiTheme="minorEastAsia" w:hint="eastAsia"/>
                <w:kern w:val="0"/>
              </w:rPr>
              <w:t>-</w:t>
            </w:r>
          </w:p>
        </w:tc>
      </w:tr>
      <w:tr w:rsidR="00E17B2F" w:rsidRPr="0087389D" w:rsidTr="00E17B2F">
        <w:tc>
          <w:tcPr>
            <w:tcW w:w="942" w:type="dxa"/>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autoSpaceDE w:val="0"/>
              <w:autoSpaceDN w:val="0"/>
              <w:adjustRightInd w:val="0"/>
              <w:spacing w:before="29" w:line="300" w:lineRule="auto"/>
              <w:ind w:left="15"/>
              <w:jc w:val="center"/>
              <w:rPr>
                <w:rFonts w:asciiTheme="minorEastAsia" w:eastAsiaTheme="minorEastAsia" w:hAnsiTheme="minorEastAsia"/>
              </w:rPr>
            </w:pPr>
            <w:r w:rsidRPr="0087389D">
              <w:rPr>
                <w:rFonts w:asciiTheme="minorEastAsia" w:eastAsiaTheme="minorEastAsia" w:hAnsiTheme="minorEastAsia" w:hint="eastAsia"/>
              </w:rPr>
              <w:t>7</w:t>
            </w:r>
          </w:p>
        </w:tc>
        <w:tc>
          <w:tcPr>
            <w:tcW w:w="3535" w:type="dxa"/>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autoSpaceDE w:val="0"/>
              <w:autoSpaceDN w:val="0"/>
              <w:adjustRightInd w:val="0"/>
              <w:spacing w:before="29" w:line="300" w:lineRule="auto"/>
              <w:ind w:left="15"/>
              <w:jc w:val="left"/>
              <w:rPr>
                <w:rFonts w:asciiTheme="minorEastAsia" w:eastAsiaTheme="minorEastAsia" w:hAnsiTheme="minorEastAsia"/>
                <w:kern w:val="0"/>
              </w:rPr>
            </w:pPr>
            <w:r w:rsidRPr="0087389D">
              <w:rPr>
                <w:rFonts w:asciiTheme="minorEastAsia" w:eastAsiaTheme="minorEastAsia" w:hAnsiTheme="minorEastAsia" w:hint="eastAsia"/>
                <w:kern w:val="0"/>
              </w:rPr>
              <w:t>其他</w:t>
            </w:r>
          </w:p>
        </w:tc>
        <w:tc>
          <w:tcPr>
            <w:tcW w:w="4808" w:type="dxa"/>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autoSpaceDE w:val="0"/>
              <w:autoSpaceDN w:val="0"/>
              <w:adjustRightInd w:val="0"/>
              <w:spacing w:before="29" w:line="300" w:lineRule="auto"/>
              <w:ind w:left="15"/>
              <w:jc w:val="right"/>
              <w:rPr>
                <w:rFonts w:asciiTheme="minorEastAsia" w:eastAsiaTheme="minorEastAsia" w:hAnsiTheme="minorEastAsia"/>
                <w:kern w:val="0"/>
              </w:rPr>
            </w:pPr>
            <w:r w:rsidRPr="0087389D">
              <w:rPr>
                <w:rFonts w:asciiTheme="minorEastAsia" w:eastAsiaTheme="minorEastAsia" w:hAnsiTheme="minorEastAsia" w:hint="eastAsia"/>
                <w:kern w:val="0"/>
              </w:rPr>
              <w:t>-</w:t>
            </w:r>
          </w:p>
        </w:tc>
      </w:tr>
      <w:tr w:rsidR="00E17B2F" w:rsidRPr="0087389D" w:rsidTr="00E17B2F">
        <w:tc>
          <w:tcPr>
            <w:tcW w:w="942" w:type="dxa"/>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autoSpaceDE w:val="0"/>
              <w:autoSpaceDN w:val="0"/>
              <w:adjustRightInd w:val="0"/>
              <w:spacing w:before="29" w:line="300" w:lineRule="auto"/>
              <w:ind w:left="15"/>
              <w:jc w:val="center"/>
              <w:rPr>
                <w:rFonts w:asciiTheme="minorEastAsia" w:eastAsiaTheme="minorEastAsia" w:hAnsiTheme="minorEastAsia"/>
              </w:rPr>
            </w:pPr>
            <w:r w:rsidRPr="0087389D">
              <w:rPr>
                <w:rFonts w:asciiTheme="minorEastAsia" w:eastAsiaTheme="minorEastAsia" w:hAnsiTheme="minorEastAsia" w:hint="eastAsia"/>
              </w:rPr>
              <w:lastRenderedPageBreak/>
              <w:t>8</w:t>
            </w:r>
          </w:p>
        </w:tc>
        <w:tc>
          <w:tcPr>
            <w:tcW w:w="3535" w:type="dxa"/>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autoSpaceDE w:val="0"/>
              <w:autoSpaceDN w:val="0"/>
              <w:adjustRightInd w:val="0"/>
              <w:spacing w:before="29" w:line="300" w:lineRule="auto"/>
              <w:ind w:left="15"/>
              <w:jc w:val="left"/>
              <w:rPr>
                <w:rFonts w:asciiTheme="minorEastAsia" w:eastAsiaTheme="minorEastAsia" w:hAnsiTheme="minorEastAsia"/>
                <w:kern w:val="0"/>
              </w:rPr>
            </w:pPr>
            <w:r w:rsidRPr="0087389D">
              <w:rPr>
                <w:rFonts w:asciiTheme="minorEastAsia" w:eastAsiaTheme="minorEastAsia" w:hAnsiTheme="minorEastAsia" w:hint="eastAsia"/>
                <w:kern w:val="0"/>
              </w:rPr>
              <w:t>合计</w:t>
            </w:r>
          </w:p>
        </w:tc>
        <w:tc>
          <w:tcPr>
            <w:tcW w:w="4808" w:type="dxa"/>
            <w:tcBorders>
              <w:top w:val="single" w:sz="4" w:space="0" w:color="000000"/>
              <w:left w:val="single" w:sz="4" w:space="0" w:color="000000"/>
              <w:bottom w:val="single" w:sz="4" w:space="0" w:color="000000"/>
              <w:right w:val="single" w:sz="4" w:space="0" w:color="000000"/>
            </w:tcBorders>
            <w:vAlign w:val="center"/>
            <w:hideMark/>
          </w:tcPr>
          <w:p w:rsidR="00E17B2F" w:rsidRPr="0087389D" w:rsidRDefault="00E17B2F">
            <w:pPr>
              <w:autoSpaceDE w:val="0"/>
              <w:autoSpaceDN w:val="0"/>
              <w:adjustRightInd w:val="0"/>
              <w:spacing w:before="29" w:line="300" w:lineRule="auto"/>
              <w:ind w:left="15"/>
              <w:jc w:val="right"/>
              <w:rPr>
                <w:rFonts w:asciiTheme="minorEastAsia" w:eastAsiaTheme="minorEastAsia" w:hAnsiTheme="minorEastAsia"/>
                <w:kern w:val="0"/>
              </w:rPr>
            </w:pPr>
            <w:r w:rsidRPr="0087389D">
              <w:rPr>
                <w:rFonts w:asciiTheme="minorEastAsia" w:eastAsiaTheme="minorEastAsia" w:hAnsiTheme="minorEastAsia" w:hint="eastAsia"/>
                <w:kern w:val="0"/>
              </w:rPr>
              <w:t>270,225,307.48</w:t>
            </w:r>
          </w:p>
        </w:tc>
      </w:tr>
    </w:tbl>
    <w:p w:rsidR="000106DC" w:rsidRPr="0087389D" w:rsidRDefault="000106DC" w:rsidP="00E17B2F">
      <w:pPr>
        <w:spacing w:line="300" w:lineRule="auto"/>
        <w:rPr>
          <w:rFonts w:asciiTheme="minorEastAsia" w:eastAsiaTheme="minorEastAsia" w:hAnsiTheme="minorEastAsia" w:cstheme="minorBidi"/>
          <w:szCs w:val="22"/>
        </w:rPr>
      </w:pPr>
    </w:p>
    <w:p w:rsidR="000106DC" w:rsidRPr="0087389D" w:rsidRDefault="000106DC">
      <w:pPr>
        <w:widowControl/>
        <w:jc w:val="left"/>
        <w:rPr>
          <w:rFonts w:asciiTheme="minorEastAsia" w:eastAsiaTheme="minorEastAsia" w:hAnsiTheme="minorEastAsia" w:cstheme="minorBidi"/>
          <w:szCs w:val="22"/>
        </w:rPr>
      </w:pPr>
      <w:r w:rsidRPr="0087389D">
        <w:rPr>
          <w:rFonts w:asciiTheme="minorEastAsia" w:eastAsiaTheme="minorEastAsia" w:hAnsiTheme="minorEastAsia" w:cstheme="minorBidi"/>
          <w:szCs w:val="22"/>
        </w:rPr>
        <w:br w:type="page"/>
      </w:r>
    </w:p>
    <w:p w:rsidR="00E17B2F" w:rsidRPr="0087389D" w:rsidRDefault="00E17B2F" w:rsidP="00E17B2F">
      <w:pPr>
        <w:spacing w:line="300" w:lineRule="auto"/>
        <w:rPr>
          <w:rFonts w:asciiTheme="minorEastAsia" w:eastAsiaTheme="minorEastAsia" w:hAnsiTheme="minorEastAsia" w:cstheme="minorBidi"/>
          <w:szCs w:val="22"/>
        </w:rPr>
      </w:pPr>
    </w:p>
    <w:p w:rsidR="005947B9" w:rsidRPr="0087389D" w:rsidRDefault="005947B9" w:rsidP="00056730">
      <w:pPr>
        <w:pStyle w:val="1"/>
        <w:snapToGrid w:val="0"/>
        <w:spacing w:beforeLines="0" w:afterLines="0" w:line="360" w:lineRule="auto"/>
        <w:ind w:firstLine="602"/>
        <w:rPr>
          <w:rFonts w:asciiTheme="minorEastAsia" w:eastAsiaTheme="minorEastAsia" w:hAnsiTheme="minorEastAsia"/>
          <w:b/>
          <w:sz w:val="30"/>
        </w:rPr>
      </w:pPr>
      <w:bookmarkStart w:id="83" w:name="_Toc41644971"/>
      <w:r w:rsidRPr="0087389D">
        <w:rPr>
          <w:rFonts w:asciiTheme="minorEastAsia" w:eastAsiaTheme="minorEastAsia" w:hAnsiTheme="minorEastAsia" w:hint="eastAsia"/>
          <w:b/>
          <w:sz w:val="30"/>
        </w:rPr>
        <w:t>十三、基金的业绩</w:t>
      </w:r>
      <w:bookmarkEnd w:id="83"/>
    </w:p>
    <w:p w:rsidR="005947B9" w:rsidRPr="0087389D" w:rsidRDefault="005947B9"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szCs w:val="21"/>
        </w:rPr>
        <w:t>基金管理人依照恪尽职守、诚实信用、谨慎勤勉的原则管理和运用基金财产，但不保证基金一定盈利，也不保证最低收益。基金的过往业绩并不代表其未来表现。投资有风险，投资者在</w:t>
      </w:r>
      <w:r w:rsidRPr="0087389D">
        <w:rPr>
          <w:rFonts w:asciiTheme="minorEastAsia" w:eastAsiaTheme="minorEastAsia" w:hAnsiTheme="minorEastAsia" w:hint="eastAsia"/>
          <w:szCs w:val="21"/>
        </w:rPr>
        <w:t>作出</w:t>
      </w:r>
      <w:r w:rsidRPr="0087389D">
        <w:rPr>
          <w:rFonts w:asciiTheme="minorEastAsia" w:eastAsiaTheme="minorEastAsia" w:hAnsiTheme="minorEastAsia"/>
          <w:szCs w:val="21"/>
        </w:rPr>
        <w:t>投资决策前应仔细阅读本基金的招募说明书。</w:t>
      </w:r>
    </w:p>
    <w:p w:rsidR="005947B9" w:rsidRPr="0087389D" w:rsidRDefault="005947B9"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szCs w:val="21"/>
        </w:rPr>
        <w:t>本基金合同生效日为2014年6月17日，</w:t>
      </w:r>
      <w:r w:rsidR="00E17B2F" w:rsidRPr="0087389D">
        <w:rPr>
          <w:rFonts w:asciiTheme="minorEastAsia" w:eastAsiaTheme="minorEastAsia" w:hAnsiTheme="minorEastAsia" w:hint="eastAsia"/>
          <w:szCs w:val="21"/>
        </w:rPr>
        <w:t>基金合同生效以来（截至2019年12月31日）的投资业绩及与同期基准的比较如下表所示</w:t>
      </w:r>
      <w:r w:rsidRPr="0087389D">
        <w:rPr>
          <w:rFonts w:asciiTheme="minorEastAsia" w:eastAsiaTheme="minorEastAsia" w:hAnsiTheme="minorEastAsia" w:hint="eastAsia"/>
          <w:szCs w:val="21"/>
        </w:rPr>
        <w:t>：</w:t>
      </w:r>
    </w:p>
    <w:p w:rsidR="000A3E9C" w:rsidRPr="0087389D" w:rsidRDefault="008141EA" w:rsidP="00555CE7">
      <w:pPr>
        <w:pStyle w:val="22"/>
        <w:snapToGrid w:val="0"/>
        <w:spacing w:before="0"/>
        <w:ind w:firstLine="402"/>
        <w:rPr>
          <w:rFonts w:asciiTheme="minorEastAsia" w:eastAsiaTheme="minorEastAsia" w:hAnsiTheme="minorEastAsia"/>
          <w:color w:val="auto"/>
          <w:sz w:val="21"/>
          <w:szCs w:val="21"/>
        </w:rPr>
      </w:pPr>
      <w:r w:rsidRPr="0087389D">
        <w:rPr>
          <w:rFonts w:asciiTheme="minorEastAsia" w:eastAsiaTheme="minorEastAsia" w:hAnsiTheme="minorEastAsia" w:hint="eastAsia"/>
          <w:color w:val="auto"/>
          <w:sz w:val="21"/>
          <w:szCs w:val="21"/>
        </w:rPr>
        <w:t>1、</w:t>
      </w:r>
      <w:r w:rsidR="000A3E9C" w:rsidRPr="0087389D">
        <w:rPr>
          <w:rFonts w:asciiTheme="minorEastAsia" w:eastAsiaTheme="minorEastAsia" w:hAnsiTheme="minorEastAsia" w:hint="eastAsia"/>
          <w:color w:val="auto"/>
          <w:sz w:val="21"/>
          <w:szCs w:val="21"/>
        </w:rPr>
        <w:t>易方达财富快线货币</w:t>
      </w:r>
      <w:r w:rsidR="000A3E9C" w:rsidRPr="0087389D">
        <w:rPr>
          <w:rFonts w:asciiTheme="minorEastAsia" w:eastAsiaTheme="minorEastAsia" w:hAnsiTheme="minorEastAsia"/>
          <w:color w:val="auto"/>
          <w:sz w:val="21"/>
          <w:szCs w:val="21"/>
        </w:rPr>
        <w:t>A</w:t>
      </w:r>
      <w:r w:rsidRPr="0087389D">
        <w:rPr>
          <w:rFonts w:asciiTheme="minorEastAsia" w:eastAsiaTheme="minorEastAsia" w:hAnsiTheme="minorEastAsia" w:hint="eastAsia"/>
          <w:color w:val="auto"/>
          <w:sz w:val="21"/>
          <w:szCs w:val="21"/>
        </w:rPr>
        <w:t>类基金份额净值增长率与同期业绩比较基准收益率比较</w:t>
      </w:r>
    </w:p>
    <w:tbl>
      <w:tblPr>
        <w:tblW w:w="9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1131"/>
        <w:gridCol w:w="1329"/>
        <w:gridCol w:w="1329"/>
        <w:gridCol w:w="1329"/>
        <w:gridCol w:w="1329"/>
        <w:gridCol w:w="1329"/>
      </w:tblGrid>
      <w:tr w:rsidR="002E06F4" w:rsidRPr="0087389D" w:rsidTr="00603BD9">
        <w:trPr>
          <w:trHeight w:val="1672"/>
        </w:trPr>
        <w:tc>
          <w:tcPr>
            <w:tcW w:w="1526" w:type="dxa"/>
            <w:tcBorders>
              <w:top w:val="single" w:sz="4" w:space="0" w:color="000000"/>
              <w:left w:val="single" w:sz="4" w:space="0" w:color="000000"/>
              <w:bottom w:val="single" w:sz="4" w:space="0" w:color="000000"/>
              <w:right w:val="single" w:sz="4" w:space="0" w:color="000000"/>
            </w:tcBorders>
            <w:vAlign w:val="center"/>
            <w:hideMark/>
          </w:tcPr>
          <w:p w:rsidR="000A3E9C" w:rsidRPr="0087389D" w:rsidRDefault="000A3E9C"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hint="eastAsia"/>
                <w:kern w:val="2"/>
                <w:sz w:val="21"/>
                <w:szCs w:val="21"/>
              </w:rPr>
              <w:t>阶段</w:t>
            </w:r>
          </w:p>
        </w:tc>
        <w:tc>
          <w:tcPr>
            <w:tcW w:w="1131" w:type="dxa"/>
            <w:tcBorders>
              <w:top w:val="single" w:sz="4" w:space="0" w:color="000000"/>
              <w:left w:val="single" w:sz="4" w:space="0" w:color="000000"/>
              <w:bottom w:val="single" w:sz="4" w:space="0" w:color="000000"/>
              <w:right w:val="single" w:sz="4" w:space="0" w:color="000000"/>
            </w:tcBorders>
            <w:vAlign w:val="center"/>
            <w:hideMark/>
          </w:tcPr>
          <w:p w:rsidR="000A3E9C" w:rsidRPr="0087389D" w:rsidRDefault="00B56DC7"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hint="eastAsia"/>
                <w:kern w:val="2"/>
                <w:sz w:val="21"/>
                <w:szCs w:val="21"/>
              </w:rPr>
              <w:t>份额净值收益率</w:t>
            </w:r>
            <w:r w:rsidR="000A3E9C" w:rsidRPr="0087389D">
              <w:rPr>
                <w:rFonts w:asciiTheme="minorEastAsia" w:eastAsiaTheme="minorEastAsia" w:hAnsiTheme="minorEastAsia" w:cs="Times New Roman" w:hint="eastAsia"/>
                <w:kern w:val="2"/>
                <w:sz w:val="21"/>
                <w:szCs w:val="21"/>
              </w:rPr>
              <w:t>①</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0A3E9C" w:rsidRPr="0087389D" w:rsidRDefault="00B56DC7"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hint="eastAsia"/>
                <w:kern w:val="2"/>
                <w:sz w:val="21"/>
                <w:szCs w:val="21"/>
              </w:rPr>
              <w:t>份额净值收益率</w:t>
            </w:r>
            <w:r w:rsidR="000A3E9C" w:rsidRPr="0087389D">
              <w:rPr>
                <w:rFonts w:asciiTheme="minorEastAsia" w:eastAsiaTheme="minorEastAsia" w:hAnsiTheme="minorEastAsia" w:cs="Times New Roman" w:hint="eastAsia"/>
                <w:kern w:val="2"/>
                <w:sz w:val="21"/>
                <w:szCs w:val="21"/>
              </w:rPr>
              <w:t>标准差②</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0A3E9C" w:rsidRPr="0087389D" w:rsidRDefault="000A3E9C"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hint="eastAsia"/>
                <w:kern w:val="2"/>
                <w:sz w:val="21"/>
                <w:szCs w:val="21"/>
              </w:rPr>
              <w:t>业绩比较基准收益率③</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0A3E9C" w:rsidRPr="0087389D" w:rsidRDefault="000A3E9C"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hint="eastAsia"/>
                <w:kern w:val="2"/>
                <w:sz w:val="21"/>
                <w:szCs w:val="21"/>
              </w:rPr>
              <w:t>业绩比较基准收益率标准差④</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0A3E9C" w:rsidRPr="0087389D" w:rsidRDefault="000A3E9C"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hint="eastAsia"/>
                <w:kern w:val="2"/>
                <w:sz w:val="21"/>
                <w:szCs w:val="21"/>
              </w:rPr>
              <w:t>①-③</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0A3E9C" w:rsidRPr="0087389D" w:rsidRDefault="000A3E9C"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hint="eastAsia"/>
                <w:kern w:val="2"/>
                <w:sz w:val="21"/>
                <w:szCs w:val="21"/>
              </w:rPr>
              <w:t>②-④</w:t>
            </w:r>
          </w:p>
        </w:tc>
      </w:tr>
      <w:tr w:rsidR="002E06F4" w:rsidRPr="0087389D" w:rsidTr="00603BD9">
        <w:trPr>
          <w:trHeight w:val="987"/>
        </w:trPr>
        <w:tc>
          <w:tcPr>
            <w:tcW w:w="1526" w:type="dxa"/>
            <w:tcBorders>
              <w:top w:val="single" w:sz="4" w:space="0" w:color="000000"/>
              <w:left w:val="single" w:sz="4" w:space="0" w:color="000000"/>
              <w:bottom w:val="single" w:sz="4" w:space="0" w:color="000000"/>
              <w:right w:val="single" w:sz="4" w:space="0" w:color="000000"/>
            </w:tcBorders>
            <w:vAlign w:val="center"/>
            <w:hideMark/>
          </w:tcPr>
          <w:p w:rsidR="005E045A" w:rsidRPr="0087389D" w:rsidRDefault="00F46125" w:rsidP="004F28E1">
            <w:pPr>
              <w:pStyle w:val="af2"/>
              <w:adjustRightInd w:val="0"/>
              <w:snapToGrid w:val="0"/>
              <w:spacing w:before="0" w:beforeAutospacing="0" w:after="0" w:afterAutospacing="0" w:line="360" w:lineRule="auto"/>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hint="eastAsia"/>
                <w:kern w:val="2"/>
                <w:sz w:val="21"/>
                <w:szCs w:val="21"/>
              </w:rPr>
              <w:t>自基金合同生效日至</w:t>
            </w:r>
            <w:r w:rsidR="005E045A" w:rsidRPr="0087389D">
              <w:rPr>
                <w:rFonts w:asciiTheme="minorEastAsia" w:eastAsiaTheme="minorEastAsia" w:hAnsiTheme="minorEastAsia" w:cs="Times New Roman" w:hint="eastAsia"/>
                <w:kern w:val="2"/>
                <w:sz w:val="21"/>
                <w:szCs w:val="21"/>
              </w:rPr>
              <w:t>2014年12月31日</w:t>
            </w:r>
          </w:p>
        </w:tc>
        <w:tc>
          <w:tcPr>
            <w:tcW w:w="1131" w:type="dxa"/>
            <w:tcBorders>
              <w:top w:val="single" w:sz="4" w:space="0" w:color="000000"/>
              <w:left w:val="single" w:sz="4" w:space="0" w:color="000000"/>
              <w:bottom w:val="single" w:sz="4" w:space="0" w:color="000000"/>
              <w:right w:val="single" w:sz="4" w:space="0" w:color="000000"/>
            </w:tcBorders>
            <w:vAlign w:val="center"/>
            <w:hideMark/>
          </w:tcPr>
          <w:p w:rsidR="006F1CD6" w:rsidRPr="0087389D" w:rsidRDefault="00912B84"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2.2490%</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6F1CD6" w:rsidRPr="0087389D" w:rsidRDefault="00912B84"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0.0026%</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6F1CD6" w:rsidRPr="0087389D" w:rsidRDefault="00912B84"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0.7452%</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6F1CD6" w:rsidRPr="0087389D" w:rsidRDefault="00912B84"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0.0000%</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6F1CD6" w:rsidRPr="0087389D" w:rsidRDefault="00912B84"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1.5038%</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6F1CD6" w:rsidRPr="0087389D" w:rsidRDefault="00912B84"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0.0026%</w:t>
            </w:r>
          </w:p>
        </w:tc>
      </w:tr>
      <w:tr w:rsidR="002E06F4" w:rsidRPr="0087389D" w:rsidTr="00603BD9">
        <w:trPr>
          <w:trHeight w:val="987"/>
        </w:trPr>
        <w:tc>
          <w:tcPr>
            <w:tcW w:w="1526" w:type="dxa"/>
            <w:tcBorders>
              <w:top w:val="single" w:sz="4" w:space="0" w:color="000000"/>
              <w:left w:val="single" w:sz="4" w:space="0" w:color="000000"/>
              <w:bottom w:val="single" w:sz="4" w:space="0" w:color="000000"/>
              <w:right w:val="single" w:sz="4" w:space="0" w:color="000000"/>
            </w:tcBorders>
            <w:vAlign w:val="center"/>
            <w:hideMark/>
          </w:tcPr>
          <w:p w:rsidR="00FA6BBF" w:rsidRPr="0087389D" w:rsidRDefault="00FA6BBF" w:rsidP="004F28E1">
            <w:pPr>
              <w:pStyle w:val="af2"/>
              <w:adjustRightInd w:val="0"/>
              <w:snapToGrid w:val="0"/>
              <w:spacing w:before="0" w:beforeAutospacing="0" w:after="0" w:afterAutospacing="0" w:line="360" w:lineRule="auto"/>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hint="eastAsia"/>
                <w:kern w:val="2"/>
                <w:sz w:val="21"/>
                <w:szCs w:val="21"/>
              </w:rPr>
              <w:t>2015年1月1日至2015年</w:t>
            </w:r>
            <w:r w:rsidRPr="0087389D">
              <w:rPr>
                <w:rFonts w:asciiTheme="minorEastAsia" w:eastAsiaTheme="minorEastAsia" w:hAnsiTheme="minorEastAsia" w:cs="Times New Roman"/>
                <w:kern w:val="2"/>
                <w:sz w:val="21"/>
                <w:szCs w:val="21"/>
              </w:rPr>
              <w:t>12</w:t>
            </w:r>
            <w:r w:rsidRPr="0087389D">
              <w:rPr>
                <w:rFonts w:asciiTheme="minorEastAsia" w:eastAsiaTheme="minorEastAsia" w:hAnsiTheme="minorEastAsia" w:cs="Times New Roman" w:hint="eastAsia"/>
                <w:kern w:val="2"/>
                <w:sz w:val="21"/>
                <w:szCs w:val="21"/>
              </w:rPr>
              <w:t>月3</w:t>
            </w:r>
            <w:r w:rsidRPr="0087389D">
              <w:rPr>
                <w:rFonts w:asciiTheme="minorEastAsia" w:eastAsiaTheme="minorEastAsia" w:hAnsiTheme="minorEastAsia" w:cs="Times New Roman"/>
                <w:kern w:val="2"/>
                <w:sz w:val="21"/>
                <w:szCs w:val="21"/>
              </w:rPr>
              <w:t>1</w:t>
            </w:r>
            <w:r w:rsidRPr="0087389D">
              <w:rPr>
                <w:rFonts w:asciiTheme="minorEastAsia" w:eastAsiaTheme="minorEastAsia" w:hAnsiTheme="minorEastAsia" w:cs="Times New Roman" w:hint="eastAsia"/>
                <w:kern w:val="2"/>
                <w:sz w:val="21"/>
                <w:szCs w:val="21"/>
              </w:rPr>
              <w:t>日</w:t>
            </w:r>
          </w:p>
        </w:tc>
        <w:tc>
          <w:tcPr>
            <w:tcW w:w="1131" w:type="dxa"/>
            <w:tcBorders>
              <w:top w:val="single" w:sz="4" w:space="0" w:color="000000"/>
              <w:left w:val="single" w:sz="4" w:space="0" w:color="000000"/>
              <w:bottom w:val="single" w:sz="4" w:space="0" w:color="000000"/>
              <w:right w:val="single" w:sz="4" w:space="0" w:color="000000"/>
            </w:tcBorders>
            <w:vAlign w:val="center"/>
            <w:hideMark/>
          </w:tcPr>
          <w:p w:rsidR="00FA6BBF" w:rsidRPr="0087389D" w:rsidRDefault="00CA0FD1"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3.8041%</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FA6BBF" w:rsidRPr="0087389D" w:rsidRDefault="00CA0FD1"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0.0032%</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FA6BBF" w:rsidRPr="0087389D" w:rsidRDefault="00CA0FD1"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1.3781%</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FA6BBF" w:rsidRPr="0087389D" w:rsidRDefault="00CA0FD1"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0.0000%</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FA6BBF" w:rsidRPr="0087389D" w:rsidRDefault="00CA0FD1"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2.4260%</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FA6BBF" w:rsidRPr="0087389D" w:rsidRDefault="00CA0FD1"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0.0032%</w:t>
            </w:r>
          </w:p>
        </w:tc>
      </w:tr>
      <w:tr w:rsidR="002E06F4" w:rsidRPr="0087389D" w:rsidTr="002E06F4">
        <w:trPr>
          <w:trHeight w:val="987"/>
        </w:trPr>
        <w:tc>
          <w:tcPr>
            <w:tcW w:w="1526" w:type="dxa"/>
            <w:tcBorders>
              <w:top w:val="single" w:sz="4" w:space="0" w:color="000000"/>
              <w:left w:val="single" w:sz="4" w:space="0" w:color="000000"/>
              <w:bottom w:val="single" w:sz="4" w:space="0" w:color="000000"/>
              <w:right w:val="single" w:sz="4" w:space="0" w:color="000000"/>
            </w:tcBorders>
            <w:vAlign w:val="center"/>
          </w:tcPr>
          <w:p w:rsidR="00C266C9" w:rsidRPr="0087389D" w:rsidRDefault="00C266C9" w:rsidP="004F28E1">
            <w:pPr>
              <w:pStyle w:val="af2"/>
              <w:adjustRightInd w:val="0"/>
              <w:snapToGrid w:val="0"/>
              <w:spacing w:before="0" w:beforeAutospacing="0" w:after="0" w:afterAutospacing="0" w:line="360" w:lineRule="auto"/>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hint="eastAsia"/>
                <w:kern w:val="2"/>
                <w:sz w:val="21"/>
                <w:szCs w:val="21"/>
              </w:rPr>
              <w:t>201</w:t>
            </w:r>
            <w:r w:rsidRPr="0087389D">
              <w:rPr>
                <w:rFonts w:asciiTheme="minorEastAsia" w:eastAsiaTheme="minorEastAsia" w:hAnsiTheme="minorEastAsia" w:cs="Times New Roman"/>
                <w:kern w:val="2"/>
                <w:sz w:val="21"/>
                <w:szCs w:val="21"/>
              </w:rPr>
              <w:t>6</w:t>
            </w:r>
            <w:r w:rsidRPr="0087389D">
              <w:rPr>
                <w:rFonts w:asciiTheme="minorEastAsia" w:eastAsiaTheme="minorEastAsia" w:hAnsiTheme="minorEastAsia" w:cs="Times New Roman" w:hint="eastAsia"/>
                <w:kern w:val="2"/>
                <w:sz w:val="21"/>
                <w:szCs w:val="21"/>
              </w:rPr>
              <w:t>年1月1日至201</w:t>
            </w:r>
            <w:r w:rsidRPr="0087389D">
              <w:rPr>
                <w:rFonts w:asciiTheme="minorEastAsia" w:eastAsiaTheme="minorEastAsia" w:hAnsiTheme="minorEastAsia" w:cs="Times New Roman"/>
                <w:kern w:val="2"/>
                <w:sz w:val="21"/>
                <w:szCs w:val="21"/>
              </w:rPr>
              <w:t>6</w:t>
            </w:r>
            <w:r w:rsidRPr="0087389D">
              <w:rPr>
                <w:rFonts w:asciiTheme="minorEastAsia" w:eastAsiaTheme="minorEastAsia" w:hAnsiTheme="minorEastAsia" w:cs="Times New Roman" w:hint="eastAsia"/>
                <w:kern w:val="2"/>
                <w:sz w:val="21"/>
                <w:szCs w:val="21"/>
              </w:rPr>
              <w:t>年</w:t>
            </w:r>
            <w:r w:rsidRPr="0087389D">
              <w:rPr>
                <w:rFonts w:asciiTheme="minorEastAsia" w:eastAsiaTheme="minorEastAsia" w:hAnsiTheme="minorEastAsia" w:cs="Times New Roman"/>
                <w:kern w:val="2"/>
                <w:sz w:val="21"/>
                <w:szCs w:val="21"/>
              </w:rPr>
              <w:t>12</w:t>
            </w:r>
            <w:r w:rsidRPr="0087389D">
              <w:rPr>
                <w:rFonts w:asciiTheme="minorEastAsia" w:eastAsiaTheme="minorEastAsia" w:hAnsiTheme="minorEastAsia" w:cs="Times New Roman" w:hint="eastAsia"/>
                <w:kern w:val="2"/>
                <w:sz w:val="21"/>
                <w:szCs w:val="21"/>
              </w:rPr>
              <w:t>月3</w:t>
            </w:r>
            <w:r w:rsidRPr="0087389D">
              <w:rPr>
                <w:rFonts w:asciiTheme="minorEastAsia" w:eastAsiaTheme="minorEastAsia" w:hAnsiTheme="minorEastAsia" w:cs="Times New Roman"/>
                <w:kern w:val="2"/>
                <w:sz w:val="21"/>
                <w:szCs w:val="21"/>
              </w:rPr>
              <w:t>1</w:t>
            </w:r>
            <w:r w:rsidRPr="0087389D">
              <w:rPr>
                <w:rFonts w:asciiTheme="minorEastAsia" w:eastAsiaTheme="minorEastAsia" w:hAnsiTheme="minorEastAsia" w:cs="Times New Roman" w:hint="eastAsia"/>
                <w:kern w:val="2"/>
                <w:sz w:val="21"/>
                <w:szCs w:val="21"/>
              </w:rPr>
              <w:t>日</w:t>
            </w:r>
          </w:p>
        </w:tc>
        <w:tc>
          <w:tcPr>
            <w:tcW w:w="1131" w:type="dxa"/>
            <w:tcBorders>
              <w:top w:val="single" w:sz="4" w:space="0" w:color="000000"/>
              <w:left w:val="single" w:sz="4" w:space="0" w:color="000000"/>
              <w:bottom w:val="single" w:sz="4" w:space="0" w:color="000000"/>
              <w:right w:val="single" w:sz="4" w:space="0" w:color="000000"/>
            </w:tcBorders>
            <w:vAlign w:val="center"/>
          </w:tcPr>
          <w:p w:rsidR="00C266C9" w:rsidRPr="0087389D" w:rsidRDefault="00C266C9"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2.9366%</w:t>
            </w:r>
          </w:p>
        </w:tc>
        <w:tc>
          <w:tcPr>
            <w:tcW w:w="1329" w:type="dxa"/>
            <w:tcBorders>
              <w:top w:val="single" w:sz="4" w:space="0" w:color="000000"/>
              <w:left w:val="single" w:sz="4" w:space="0" w:color="000000"/>
              <w:bottom w:val="single" w:sz="4" w:space="0" w:color="000000"/>
              <w:right w:val="single" w:sz="4" w:space="0" w:color="000000"/>
            </w:tcBorders>
            <w:vAlign w:val="center"/>
          </w:tcPr>
          <w:p w:rsidR="00C266C9" w:rsidRPr="0087389D" w:rsidRDefault="00C266C9"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0.0015%</w:t>
            </w:r>
          </w:p>
        </w:tc>
        <w:tc>
          <w:tcPr>
            <w:tcW w:w="1329" w:type="dxa"/>
            <w:tcBorders>
              <w:top w:val="single" w:sz="4" w:space="0" w:color="000000"/>
              <w:left w:val="single" w:sz="4" w:space="0" w:color="000000"/>
              <w:bottom w:val="single" w:sz="4" w:space="0" w:color="000000"/>
              <w:right w:val="single" w:sz="4" w:space="0" w:color="000000"/>
            </w:tcBorders>
            <w:vAlign w:val="center"/>
          </w:tcPr>
          <w:p w:rsidR="00C266C9" w:rsidRPr="0087389D" w:rsidRDefault="00C266C9"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1.3819%</w:t>
            </w:r>
          </w:p>
        </w:tc>
        <w:tc>
          <w:tcPr>
            <w:tcW w:w="1329" w:type="dxa"/>
            <w:tcBorders>
              <w:top w:val="single" w:sz="4" w:space="0" w:color="000000"/>
              <w:left w:val="single" w:sz="4" w:space="0" w:color="000000"/>
              <w:bottom w:val="single" w:sz="4" w:space="0" w:color="000000"/>
              <w:right w:val="single" w:sz="4" w:space="0" w:color="000000"/>
            </w:tcBorders>
            <w:vAlign w:val="center"/>
          </w:tcPr>
          <w:p w:rsidR="00C266C9" w:rsidRPr="0087389D" w:rsidRDefault="00C266C9"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0.0000%</w:t>
            </w:r>
          </w:p>
        </w:tc>
        <w:tc>
          <w:tcPr>
            <w:tcW w:w="1329" w:type="dxa"/>
            <w:tcBorders>
              <w:top w:val="single" w:sz="4" w:space="0" w:color="000000"/>
              <w:left w:val="single" w:sz="4" w:space="0" w:color="000000"/>
              <w:bottom w:val="single" w:sz="4" w:space="0" w:color="000000"/>
              <w:right w:val="single" w:sz="4" w:space="0" w:color="000000"/>
            </w:tcBorders>
            <w:vAlign w:val="center"/>
          </w:tcPr>
          <w:p w:rsidR="00C266C9" w:rsidRPr="0087389D" w:rsidRDefault="00C266C9"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1.5547%</w:t>
            </w:r>
          </w:p>
        </w:tc>
        <w:tc>
          <w:tcPr>
            <w:tcW w:w="1329" w:type="dxa"/>
            <w:tcBorders>
              <w:top w:val="single" w:sz="4" w:space="0" w:color="000000"/>
              <w:left w:val="single" w:sz="4" w:space="0" w:color="000000"/>
              <w:bottom w:val="single" w:sz="4" w:space="0" w:color="000000"/>
              <w:right w:val="single" w:sz="4" w:space="0" w:color="000000"/>
            </w:tcBorders>
            <w:vAlign w:val="center"/>
          </w:tcPr>
          <w:p w:rsidR="00C266C9" w:rsidRPr="0087389D" w:rsidRDefault="00C266C9"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0.0015%</w:t>
            </w:r>
          </w:p>
        </w:tc>
      </w:tr>
      <w:tr w:rsidR="002E06F4" w:rsidRPr="0087389D" w:rsidTr="002E06F4">
        <w:trPr>
          <w:trHeight w:val="987"/>
        </w:trPr>
        <w:tc>
          <w:tcPr>
            <w:tcW w:w="1526" w:type="dxa"/>
            <w:tcBorders>
              <w:top w:val="single" w:sz="4" w:space="0" w:color="000000"/>
              <w:left w:val="single" w:sz="4" w:space="0" w:color="000000"/>
              <w:bottom w:val="single" w:sz="4" w:space="0" w:color="000000"/>
              <w:right w:val="single" w:sz="4" w:space="0" w:color="000000"/>
            </w:tcBorders>
            <w:vAlign w:val="center"/>
          </w:tcPr>
          <w:p w:rsidR="00EA010D" w:rsidRPr="0087389D" w:rsidRDefault="00EA010D" w:rsidP="004F28E1">
            <w:pPr>
              <w:pStyle w:val="af2"/>
              <w:adjustRightInd w:val="0"/>
              <w:snapToGrid w:val="0"/>
              <w:spacing w:before="0" w:beforeAutospacing="0" w:after="0" w:afterAutospacing="0" w:line="360" w:lineRule="auto"/>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hint="eastAsia"/>
                <w:kern w:val="2"/>
                <w:sz w:val="21"/>
                <w:szCs w:val="21"/>
              </w:rPr>
              <w:t>201</w:t>
            </w:r>
            <w:r w:rsidRPr="0087389D">
              <w:rPr>
                <w:rFonts w:asciiTheme="minorEastAsia" w:eastAsiaTheme="minorEastAsia" w:hAnsiTheme="minorEastAsia" w:cs="Times New Roman"/>
                <w:kern w:val="2"/>
                <w:sz w:val="21"/>
                <w:szCs w:val="21"/>
              </w:rPr>
              <w:t>7</w:t>
            </w:r>
            <w:r w:rsidRPr="0087389D">
              <w:rPr>
                <w:rFonts w:asciiTheme="minorEastAsia" w:eastAsiaTheme="minorEastAsia" w:hAnsiTheme="minorEastAsia" w:cs="Times New Roman" w:hint="eastAsia"/>
                <w:kern w:val="2"/>
                <w:sz w:val="21"/>
                <w:szCs w:val="21"/>
              </w:rPr>
              <w:t>年1月1日至201</w:t>
            </w:r>
            <w:r w:rsidRPr="0087389D">
              <w:rPr>
                <w:rFonts w:asciiTheme="minorEastAsia" w:eastAsiaTheme="minorEastAsia" w:hAnsiTheme="minorEastAsia" w:cs="Times New Roman"/>
                <w:kern w:val="2"/>
                <w:sz w:val="21"/>
                <w:szCs w:val="21"/>
              </w:rPr>
              <w:t>7</w:t>
            </w:r>
            <w:r w:rsidRPr="0087389D">
              <w:rPr>
                <w:rFonts w:asciiTheme="minorEastAsia" w:eastAsiaTheme="minorEastAsia" w:hAnsiTheme="minorEastAsia" w:cs="Times New Roman" w:hint="eastAsia"/>
                <w:kern w:val="2"/>
                <w:sz w:val="21"/>
                <w:szCs w:val="21"/>
              </w:rPr>
              <w:t>年</w:t>
            </w:r>
            <w:r w:rsidRPr="0087389D">
              <w:rPr>
                <w:rFonts w:asciiTheme="minorEastAsia" w:eastAsiaTheme="minorEastAsia" w:hAnsiTheme="minorEastAsia" w:cs="Times New Roman"/>
                <w:kern w:val="2"/>
                <w:sz w:val="21"/>
                <w:szCs w:val="21"/>
              </w:rPr>
              <w:t>12</w:t>
            </w:r>
            <w:r w:rsidRPr="0087389D">
              <w:rPr>
                <w:rFonts w:asciiTheme="minorEastAsia" w:eastAsiaTheme="minorEastAsia" w:hAnsiTheme="minorEastAsia" w:cs="Times New Roman" w:hint="eastAsia"/>
                <w:kern w:val="2"/>
                <w:sz w:val="21"/>
                <w:szCs w:val="21"/>
              </w:rPr>
              <w:t>月</w:t>
            </w:r>
            <w:r w:rsidRPr="0087389D">
              <w:rPr>
                <w:rFonts w:asciiTheme="minorEastAsia" w:eastAsiaTheme="minorEastAsia" w:hAnsiTheme="minorEastAsia" w:cs="Times New Roman"/>
                <w:kern w:val="2"/>
                <w:sz w:val="21"/>
                <w:szCs w:val="21"/>
              </w:rPr>
              <w:t>31</w:t>
            </w:r>
            <w:r w:rsidRPr="0087389D">
              <w:rPr>
                <w:rFonts w:asciiTheme="minorEastAsia" w:eastAsiaTheme="minorEastAsia" w:hAnsiTheme="minorEastAsia" w:cs="Times New Roman" w:hint="eastAsia"/>
                <w:kern w:val="2"/>
                <w:sz w:val="21"/>
                <w:szCs w:val="21"/>
              </w:rPr>
              <w:t>日</w:t>
            </w:r>
          </w:p>
        </w:tc>
        <w:tc>
          <w:tcPr>
            <w:tcW w:w="1131" w:type="dxa"/>
            <w:tcBorders>
              <w:top w:val="single" w:sz="4" w:space="0" w:color="000000"/>
              <w:left w:val="single" w:sz="4" w:space="0" w:color="000000"/>
              <w:bottom w:val="single" w:sz="4" w:space="0" w:color="000000"/>
              <w:right w:val="single" w:sz="4" w:space="0" w:color="000000"/>
            </w:tcBorders>
            <w:vAlign w:val="center"/>
          </w:tcPr>
          <w:p w:rsidR="00EA010D" w:rsidRPr="0087389D" w:rsidRDefault="00EA010D" w:rsidP="00EA010D">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4.0722%</w:t>
            </w:r>
          </w:p>
        </w:tc>
        <w:tc>
          <w:tcPr>
            <w:tcW w:w="1329" w:type="dxa"/>
            <w:tcBorders>
              <w:top w:val="single" w:sz="4" w:space="0" w:color="000000"/>
              <w:left w:val="single" w:sz="4" w:space="0" w:color="000000"/>
              <w:bottom w:val="single" w:sz="4" w:space="0" w:color="000000"/>
              <w:right w:val="single" w:sz="4" w:space="0" w:color="000000"/>
            </w:tcBorders>
            <w:vAlign w:val="center"/>
          </w:tcPr>
          <w:p w:rsidR="00EA010D" w:rsidRPr="0087389D" w:rsidRDefault="00EA010D" w:rsidP="00EA010D">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0.0011%</w:t>
            </w:r>
          </w:p>
        </w:tc>
        <w:tc>
          <w:tcPr>
            <w:tcW w:w="1329" w:type="dxa"/>
            <w:tcBorders>
              <w:top w:val="single" w:sz="4" w:space="0" w:color="000000"/>
              <w:left w:val="single" w:sz="4" w:space="0" w:color="000000"/>
              <w:bottom w:val="single" w:sz="4" w:space="0" w:color="000000"/>
              <w:right w:val="single" w:sz="4" w:space="0" w:color="000000"/>
            </w:tcBorders>
            <w:vAlign w:val="center"/>
          </w:tcPr>
          <w:p w:rsidR="00EA010D" w:rsidRPr="0087389D" w:rsidRDefault="00EA010D" w:rsidP="00EA010D">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1.3781%</w:t>
            </w:r>
          </w:p>
        </w:tc>
        <w:tc>
          <w:tcPr>
            <w:tcW w:w="1329" w:type="dxa"/>
            <w:tcBorders>
              <w:top w:val="single" w:sz="4" w:space="0" w:color="000000"/>
              <w:left w:val="single" w:sz="4" w:space="0" w:color="000000"/>
              <w:bottom w:val="single" w:sz="4" w:space="0" w:color="000000"/>
              <w:right w:val="single" w:sz="4" w:space="0" w:color="000000"/>
            </w:tcBorders>
            <w:vAlign w:val="center"/>
          </w:tcPr>
          <w:p w:rsidR="00EA010D" w:rsidRPr="0087389D" w:rsidRDefault="00EA010D" w:rsidP="00EA010D">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0.0000%</w:t>
            </w:r>
          </w:p>
        </w:tc>
        <w:tc>
          <w:tcPr>
            <w:tcW w:w="1329" w:type="dxa"/>
            <w:tcBorders>
              <w:top w:val="single" w:sz="4" w:space="0" w:color="000000"/>
              <w:left w:val="single" w:sz="4" w:space="0" w:color="000000"/>
              <w:bottom w:val="single" w:sz="4" w:space="0" w:color="000000"/>
              <w:right w:val="single" w:sz="4" w:space="0" w:color="000000"/>
            </w:tcBorders>
            <w:vAlign w:val="center"/>
          </w:tcPr>
          <w:p w:rsidR="00EA010D" w:rsidRPr="0087389D" w:rsidRDefault="00EA010D" w:rsidP="00EA010D">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2.6941%</w:t>
            </w:r>
          </w:p>
        </w:tc>
        <w:tc>
          <w:tcPr>
            <w:tcW w:w="1329" w:type="dxa"/>
            <w:tcBorders>
              <w:top w:val="single" w:sz="4" w:space="0" w:color="000000"/>
              <w:left w:val="single" w:sz="4" w:space="0" w:color="000000"/>
              <w:bottom w:val="single" w:sz="4" w:space="0" w:color="000000"/>
              <w:right w:val="single" w:sz="4" w:space="0" w:color="000000"/>
            </w:tcBorders>
            <w:vAlign w:val="center"/>
          </w:tcPr>
          <w:p w:rsidR="00EA010D" w:rsidRPr="0087389D" w:rsidRDefault="00EA010D" w:rsidP="00EA010D">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0.0011%</w:t>
            </w:r>
          </w:p>
        </w:tc>
      </w:tr>
      <w:tr w:rsidR="002E06F4" w:rsidRPr="0087389D" w:rsidTr="002E06F4">
        <w:trPr>
          <w:trHeight w:val="987"/>
        </w:trPr>
        <w:tc>
          <w:tcPr>
            <w:tcW w:w="1526" w:type="dxa"/>
            <w:tcBorders>
              <w:top w:val="single" w:sz="4" w:space="0" w:color="000000"/>
              <w:left w:val="single" w:sz="4" w:space="0" w:color="000000"/>
              <w:bottom w:val="single" w:sz="4" w:space="0" w:color="000000"/>
              <w:right w:val="single" w:sz="4" w:space="0" w:color="000000"/>
            </w:tcBorders>
            <w:vAlign w:val="center"/>
          </w:tcPr>
          <w:p w:rsidR="003177D5" w:rsidRPr="0087389D" w:rsidRDefault="003177D5" w:rsidP="003177D5">
            <w:pPr>
              <w:pStyle w:val="af2"/>
              <w:adjustRightInd w:val="0"/>
              <w:snapToGrid w:val="0"/>
              <w:spacing w:before="0" w:beforeAutospacing="0" w:after="0" w:afterAutospacing="0" w:line="360" w:lineRule="auto"/>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hint="eastAsia"/>
                <w:kern w:val="2"/>
                <w:sz w:val="21"/>
                <w:szCs w:val="21"/>
              </w:rPr>
              <w:t>201</w:t>
            </w:r>
            <w:r w:rsidRPr="0087389D">
              <w:rPr>
                <w:rFonts w:asciiTheme="minorEastAsia" w:eastAsiaTheme="minorEastAsia" w:hAnsiTheme="minorEastAsia" w:cs="Times New Roman"/>
                <w:kern w:val="2"/>
                <w:sz w:val="21"/>
                <w:szCs w:val="21"/>
              </w:rPr>
              <w:t>8</w:t>
            </w:r>
            <w:r w:rsidRPr="0087389D">
              <w:rPr>
                <w:rFonts w:asciiTheme="minorEastAsia" w:eastAsiaTheme="minorEastAsia" w:hAnsiTheme="minorEastAsia" w:cs="Times New Roman" w:hint="eastAsia"/>
                <w:kern w:val="2"/>
                <w:sz w:val="21"/>
                <w:szCs w:val="21"/>
              </w:rPr>
              <w:t>年1月1日至201</w:t>
            </w:r>
            <w:r w:rsidRPr="0087389D">
              <w:rPr>
                <w:rFonts w:asciiTheme="minorEastAsia" w:eastAsiaTheme="minorEastAsia" w:hAnsiTheme="minorEastAsia" w:cs="Times New Roman"/>
                <w:kern w:val="2"/>
                <w:sz w:val="21"/>
                <w:szCs w:val="21"/>
              </w:rPr>
              <w:t>8</w:t>
            </w:r>
            <w:r w:rsidRPr="0087389D">
              <w:rPr>
                <w:rFonts w:asciiTheme="minorEastAsia" w:eastAsiaTheme="minorEastAsia" w:hAnsiTheme="minorEastAsia" w:cs="Times New Roman" w:hint="eastAsia"/>
                <w:kern w:val="2"/>
                <w:sz w:val="21"/>
                <w:szCs w:val="21"/>
              </w:rPr>
              <w:t>年</w:t>
            </w:r>
            <w:r w:rsidRPr="0087389D">
              <w:rPr>
                <w:rFonts w:asciiTheme="minorEastAsia" w:eastAsiaTheme="minorEastAsia" w:hAnsiTheme="minorEastAsia" w:cs="Times New Roman"/>
                <w:kern w:val="2"/>
                <w:sz w:val="21"/>
                <w:szCs w:val="21"/>
              </w:rPr>
              <w:t>12</w:t>
            </w:r>
            <w:r w:rsidRPr="0087389D">
              <w:rPr>
                <w:rFonts w:asciiTheme="minorEastAsia" w:eastAsiaTheme="minorEastAsia" w:hAnsiTheme="minorEastAsia" w:cs="Times New Roman" w:hint="eastAsia"/>
                <w:kern w:val="2"/>
                <w:sz w:val="21"/>
                <w:szCs w:val="21"/>
              </w:rPr>
              <w:t>月</w:t>
            </w:r>
            <w:r w:rsidRPr="0087389D">
              <w:rPr>
                <w:rFonts w:asciiTheme="minorEastAsia" w:eastAsiaTheme="minorEastAsia" w:hAnsiTheme="minorEastAsia" w:cs="Times New Roman"/>
                <w:kern w:val="2"/>
                <w:sz w:val="21"/>
                <w:szCs w:val="21"/>
              </w:rPr>
              <w:t>31</w:t>
            </w:r>
            <w:r w:rsidRPr="0087389D">
              <w:rPr>
                <w:rFonts w:asciiTheme="minorEastAsia" w:eastAsiaTheme="minorEastAsia" w:hAnsiTheme="minorEastAsia" w:cs="Times New Roman" w:hint="eastAsia"/>
                <w:kern w:val="2"/>
                <w:sz w:val="21"/>
                <w:szCs w:val="21"/>
              </w:rPr>
              <w:t>日</w:t>
            </w:r>
          </w:p>
        </w:tc>
        <w:tc>
          <w:tcPr>
            <w:tcW w:w="1131" w:type="dxa"/>
            <w:tcBorders>
              <w:top w:val="single" w:sz="4" w:space="0" w:color="000000"/>
              <w:left w:val="single" w:sz="4" w:space="0" w:color="000000"/>
              <w:bottom w:val="single" w:sz="4" w:space="0" w:color="000000"/>
              <w:right w:val="single" w:sz="4" w:space="0" w:color="000000"/>
            </w:tcBorders>
            <w:vAlign w:val="center"/>
          </w:tcPr>
          <w:p w:rsidR="003177D5" w:rsidRPr="0087389D" w:rsidRDefault="003177D5" w:rsidP="003177D5">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3.8385%</w:t>
            </w:r>
          </w:p>
        </w:tc>
        <w:tc>
          <w:tcPr>
            <w:tcW w:w="1329" w:type="dxa"/>
            <w:tcBorders>
              <w:top w:val="single" w:sz="4" w:space="0" w:color="000000"/>
              <w:left w:val="single" w:sz="4" w:space="0" w:color="000000"/>
              <w:bottom w:val="single" w:sz="4" w:space="0" w:color="000000"/>
              <w:right w:val="single" w:sz="4" w:space="0" w:color="000000"/>
            </w:tcBorders>
            <w:vAlign w:val="center"/>
          </w:tcPr>
          <w:p w:rsidR="003177D5" w:rsidRPr="0087389D" w:rsidRDefault="003177D5" w:rsidP="003177D5">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0.0014%</w:t>
            </w:r>
          </w:p>
        </w:tc>
        <w:tc>
          <w:tcPr>
            <w:tcW w:w="1329" w:type="dxa"/>
            <w:tcBorders>
              <w:top w:val="single" w:sz="4" w:space="0" w:color="000000"/>
              <w:left w:val="single" w:sz="4" w:space="0" w:color="000000"/>
              <w:bottom w:val="single" w:sz="4" w:space="0" w:color="000000"/>
              <w:right w:val="single" w:sz="4" w:space="0" w:color="000000"/>
            </w:tcBorders>
            <w:vAlign w:val="center"/>
          </w:tcPr>
          <w:p w:rsidR="003177D5" w:rsidRPr="0087389D" w:rsidRDefault="003177D5" w:rsidP="003177D5">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1.3781%</w:t>
            </w:r>
          </w:p>
        </w:tc>
        <w:tc>
          <w:tcPr>
            <w:tcW w:w="1329" w:type="dxa"/>
            <w:tcBorders>
              <w:top w:val="single" w:sz="4" w:space="0" w:color="000000"/>
              <w:left w:val="single" w:sz="4" w:space="0" w:color="000000"/>
              <w:bottom w:val="single" w:sz="4" w:space="0" w:color="000000"/>
              <w:right w:val="single" w:sz="4" w:space="0" w:color="000000"/>
            </w:tcBorders>
            <w:vAlign w:val="center"/>
          </w:tcPr>
          <w:p w:rsidR="003177D5" w:rsidRPr="0087389D" w:rsidRDefault="003177D5" w:rsidP="003177D5">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0.0000%</w:t>
            </w:r>
          </w:p>
        </w:tc>
        <w:tc>
          <w:tcPr>
            <w:tcW w:w="1329" w:type="dxa"/>
            <w:tcBorders>
              <w:top w:val="single" w:sz="4" w:space="0" w:color="000000"/>
              <w:left w:val="single" w:sz="4" w:space="0" w:color="000000"/>
              <w:bottom w:val="single" w:sz="4" w:space="0" w:color="000000"/>
              <w:right w:val="single" w:sz="4" w:space="0" w:color="000000"/>
            </w:tcBorders>
            <w:vAlign w:val="center"/>
          </w:tcPr>
          <w:p w:rsidR="003177D5" w:rsidRPr="0087389D" w:rsidRDefault="003177D5" w:rsidP="003177D5">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2.4604%</w:t>
            </w:r>
          </w:p>
        </w:tc>
        <w:tc>
          <w:tcPr>
            <w:tcW w:w="1329" w:type="dxa"/>
            <w:tcBorders>
              <w:top w:val="single" w:sz="4" w:space="0" w:color="000000"/>
              <w:left w:val="single" w:sz="4" w:space="0" w:color="000000"/>
              <w:bottom w:val="single" w:sz="4" w:space="0" w:color="000000"/>
              <w:right w:val="single" w:sz="4" w:space="0" w:color="000000"/>
            </w:tcBorders>
            <w:vAlign w:val="center"/>
          </w:tcPr>
          <w:p w:rsidR="003177D5" w:rsidRPr="0087389D" w:rsidRDefault="003177D5" w:rsidP="003177D5">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0.0014%</w:t>
            </w:r>
          </w:p>
        </w:tc>
      </w:tr>
      <w:tr w:rsidR="0087389D" w:rsidRPr="0087389D" w:rsidTr="002E06F4">
        <w:trPr>
          <w:trHeight w:val="987"/>
        </w:trPr>
        <w:tc>
          <w:tcPr>
            <w:tcW w:w="1526" w:type="dxa"/>
            <w:tcBorders>
              <w:top w:val="single" w:sz="4" w:space="0" w:color="000000"/>
              <w:left w:val="single" w:sz="4" w:space="0" w:color="000000"/>
              <w:bottom w:val="single" w:sz="4" w:space="0" w:color="000000"/>
              <w:right w:val="single" w:sz="4" w:space="0" w:color="000000"/>
            </w:tcBorders>
            <w:vAlign w:val="center"/>
            <w:hideMark/>
          </w:tcPr>
          <w:p w:rsidR="00E05F89" w:rsidRPr="0087389D" w:rsidRDefault="00E17B2F" w:rsidP="00710C90">
            <w:pPr>
              <w:pStyle w:val="af2"/>
              <w:adjustRightInd w:val="0"/>
              <w:snapToGrid w:val="0"/>
              <w:spacing w:before="0" w:beforeAutospacing="0" w:after="0" w:afterAutospacing="0" w:line="360" w:lineRule="auto"/>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2019年1月1日至2019年12月31日</w:t>
            </w:r>
          </w:p>
        </w:tc>
        <w:tc>
          <w:tcPr>
            <w:tcW w:w="1131" w:type="dxa"/>
            <w:tcBorders>
              <w:top w:val="single" w:sz="4" w:space="0" w:color="000000"/>
              <w:left w:val="single" w:sz="4" w:space="0" w:color="000000"/>
              <w:bottom w:val="single" w:sz="4" w:space="0" w:color="000000"/>
              <w:right w:val="single" w:sz="4" w:space="0" w:color="000000"/>
            </w:tcBorders>
            <w:vAlign w:val="center"/>
          </w:tcPr>
          <w:p w:rsidR="00E05F89" w:rsidRPr="0087389D" w:rsidRDefault="00E17B2F" w:rsidP="0087389D">
            <w:pPr>
              <w:pStyle w:val="af2"/>
              <w:adjustRightInd w:val="0"/>
              <w:snapToGrid w:val="0"/>
              <w:spacing w:before="0" w:beforeAutospacing="0" w:after="0" w:afterAutospacing="0" w:line="360" w:lineRule="auto"/>
              <w:jc w:val="right"/>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2.6284%</w:t>
            </w:r>
          </w:p>
        </w:tc>
        <w:tc>
          <w:tcPr>
            <w:tcW w:w="1329" w:type="dxa"/>
            <w:tcBorders>
              <w:top w:val="single" w:sz="4" w:space="0" w:color="000000"/>
              <w:left w:val="single" w:sz="4" w:space="0" w:color="000000"/>
              <w:bottom w:val="single" w:sz="4" w:space="0" w:color="000000"/>
              <w:right w:val="single" w:sz="4" w:space="0" w:color="000000"/>
            </w:tcBorders>
            <w:vAlign w:val="center"/>
          </w:tcPr>
          <w:p w:rsidR="00E05F89" w:rsidRPr="0087389D" w:rsidRDefault="00E17B2F" w:rsidP="0087389D">
            <w:pPr>
              <w:pStyle w:val="af2"/>
              <w:adjustRightInd w:val="0"/>
              <w:snapToGrid w:val="0"/>
              <w:spacing w:before="0" w:beforeAutospacing="0" w:after="0" w:afterAutospacing="0" w:line="360" w:lineRule="auto"/>
              <w:jc w:val="right"/>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0.0006%</w:t>
            </w:r>
          </w:p>
        </w:tc>
        <w:tc>
          <w:tcPr>
            <w:tcW w:w="1329" w:type="dxa"/>
            <w:tcBorders>
              <w:top w:val="single" w:sz="4" w:space="0" w:color="000000"/>
              <w:left w:val="single" w:sz="4" w:space="0" w:color="000000"/>
              <w:bottom w:val="single" w:sz="4" w:space="0" w:color="000000"/>
              <w:right w:val="single" w:sz="4" w:space="0" w:color="000000"/>
            </w:tcBorders>
            <w:vAlign w:val="center"/>
          </w:tcPr>
          <w:p w:rsidR="00E05F89" w:rsidRPr="0087389D" w:rsidRDefault="00E17B2F" w:rsidP="0087389D">
            <w:pPr>
              <w:pStyle w:val="af2"/>
              <w:adjustRightInd w:val="0"/>
              <w:snapToGrid w:val="0"/>
              <w:spacing w:before="0" w:beforeAutospacing="0" w:after="0" w:afterAutospacing="0" w:line="360" w:lineRule="auto"/>
              <w:jc w:val="right"/>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1.3781%</w:t>
            </w:r>
          </w:p>
        </w:tc>
        <w:tc>
          <w:tcPr>
            <w:tcW w:w="1329" w:type="dxa"/>
            <w:tcBorders>
              <w:top w:val="single" w:sz="4" w:space="0" w:color="000000"/>
              <w:left w:val="single" w:sz="4" w:space="0" w:color="000000"/>
              <w:bottom w:val="single" w:sz="4" w:space="0" w:color="000000"/>
              <w:right w:val="single" w:sz="4" w:space="0" w:color="000000"/>
            </w:tcBorders>
            <w:vAlign w:val="center"/>
          </w:tcPr>
          <w:p w:rsidR="00E05F89" w:rsidRPr="0087389D" w:rsidRDefault="00E17B2F" w:rsidP="0087389D">
            <w:pPr>
              <w:pStyle w:val="af2"/>
              <w:adjustRightInd w:val="0"/>
              <w:snapToGrid w:val="0"/>
              <w:spacing w:before="0" w:beforeAutospacing="0" w:after="0" w:afterAutospacing="0" w:line="360" w:lineRule="auto"/>
              <w:jc w:val="right"/>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0.0000%</w:t>
            </w:r>
          </w:p>
        </w:tc>
        <w:tc>
          <w:tcPr>
            <w:tcW w:w="1329" w:type="dxa"/>
            <w:tcBorders>
              <w:top w:val="single" w:sz="4" w:space="0" w:color="000000"/>
              <w:left w:val="single" w:sz="4" w:space="0" w:color="000000"/>
              <w:bottom w:val="single" w:sz="4" w:space="0" w:color="000000"/>
              <w:right w:val="single" w:sz="4" w:space="0" w:color="000000"/>
            </w:tcBorders>
            <w:vAlign w:val="center"/>
          </w:tcPr>
          <w:p w:rsidR="00E05F89" w:rsidRPr="0087389D" w:rsidRDefault="00E17B2F" w:rsidP="0087389D">
            <w:pPr>
              <w:pStyle w:val="af2"/>
              <w:adjustRightInd w:val="0"/>
              <w:snapToGrid w:val="0"/>
              <w:spacing w:before="0" w:beforeAutospacing="0" w:after="0" w:afterAutospacing="0" w:line="360" w:lineRule="auto"/>
              <w:jc w:val="right"/>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1.2503%</w:t>
            </w:r>
          </w:p>
        </w:tc>
        <w:tc>
          <w:tcPr>
            <w:tcW w:w="1329" w:type="dxa"/>
            <w:tcBorders>
              <w:top w:val="single" w:sz="4" w:space="0" w:color="000000"/>
              <w:left w:val="single" w:sz="4" w:space="0" w:color="000000"/>
              <w:bottom w:val="single" w:sz="4" w:space="0" w:color="000000"/>
              <w:right w:val="single" w:sz="4" w:space="0" w:color="000000"/>
            </w:tcBorders>
            <w:vAlign w:val="center"/>
          </w:tcPr>
          <w:p w:rsidR="00E05F89" w:rsidRPr="0087389D" w:rsidRDefault="00E17B2F" w:rsidP="0087389D">
            <w:pPr>
              <w:pStyle w:val="af2"/>
              <w:adjustRightInd w:val="0"/>
              <w:snapToGrid w:val="0"/>
              <w:spacing w:before="0" w:beforeAutospacing="0" w:after="0" w:afterAutospacing="0" w:line="360" w:lineRule="auto"/>
              <w:jc w:val="right"/>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0.0006%</w:t>
            </w:r>
          </w:p>
        </w:tc>
      </w:tr>
      <w:tr w:rsidR="0087389D" w:rsidRPr="0087389D" w:rsidTr="002E06F4">
        <w:trPr>
          <w:trHeight w:val="987"/>
        </w:trPr>
        <w:tc>
          <w:tcPr>
            <w:tcW w:w="1526" w:type="dxa"/>
            <w:tcBorders>
              <w:top w:val="single" w:sz="4" w:space="0" w:color="000000"/>
              <w:left w:val="single" w:sz="4" w:space="0" w:color="000000"/>
              <w:bottom w:val="single" w:sz="4" w:space="0" w:color="000000"/>
              <w:right w:val="single" w:sz="4" w:space="0" w:color="000000"/>
            </w:tcBorders>
            <w:vAlign w:val="center"/>
          </w:tcPr>
          <w:p w:rsidR="00E17B2F" w:rsidRPr="0087389D" w:rsidRDefault="00E17B2F" w:rsidP="00710C90">
            <w:pPr>
              <w:pStyle w:val="af2"/>
              <w:adjustRightInd w:val="0"/>
              <w:snapToGrid w:val="0"/>
              <w:spacing w:before="0" w:beforeAutospacing="0" w:after="0" w:afterAutospacing="0" w:line="360" w:lineRule="auto"/>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hint="eastAsia"/>
                <w:kern w:val="2"/>
                <w:sz w:val="21"/>
                <w:szCs w:val="21"/>
              </w:rPr>
              <w:t>自基金合同生效日至</w:t>
            </w:r>
            <w:r w:rsidRPr="0087389D">
              <w:rPr>
                <w:rFonts w:asciiTheme="minorEastAsia" w:eastAsiaTheme="minorEastAsia" w:hAnsiTheme="minorEastAsia" w:cs="Times New Roman"/>
                <w:kern w:val="2"/>
                <w:sz w:val="21"/>
                <w:szCs w:val="21"/>
              </w:rPr>
              <w:t>2019年12月31日</w:t>
            </w:r>
          </w:p>
        </w:tc>
        <w:tc>
          <w:tcPr>
            <w:tcW w:w="1131" w:type="dxa"/>
            <w:tcBorders>
              <w:top w:val="single" w:sz="4" w:space="0" w:color="000000"/>
              <w:left w:val="single" w:sz="4" w:space="0" w:color="000000"/>
              <w:bottom w:val="single" w:sz="4" w:space="0" w:color="000000"/>
              <w:right w:val="single" w:sz="4" w:space="0" w:color="000000"/>
            </w:tcBorders>
            <w:vAlign w:val="center"/>
          </w:tcPr>
          <w:p w:rsidR="00E17B2F" w:rsidRPr="0087389D" w:rsidRDefault="00E17B2F" w:rsidP="0087389D">
            <w:pPr>
              <w:pStyle w:val="af2"/>
              <w:adjustRightInd w:val="0"/>
              <w:snapToGrid w:val="0"/>
              <w:spacing w:before="0" w:beforeAutospacing="0" w:after="0" w:afterAutospacing="0" w:line="360" w:lineRule="auto"/>
              <w:jc w:val="right"/>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21.1727%</w:t>
            </w:r>
          </w:p>
        </w:tc>
        <w:tc>
          <w:tcPr>
            <w:tcW w:w="1329" w:type="dxa"/>
            <w:tcBorders>
              <w:top w:val="single" w:sz="4" w:space="0" w:color="000000"/>
              <w:left w:val="single" w:sz="4" w:space="0" w:color="000000"/>
              <w:bottom w:val="single" w:sz="4" w:space="0" w:color="000000"/>
              <w:right w:val="single" w:sz="4" w:space="0" w:color="000000"/>
            </w:tcBorders>
            <w:vAlign w:val="center"/>
          </w:tcPr>
          <w:p w:rsidR="00E17B2F" w:rsidRPr="0087389D" w:rsidRDefault="00E17B2F" w:rsidP="0087389D">
            <w:pPr>
              <w:pStyle w:val="af2"/>
              <w:adjustRightInd w:val="0"/>
              <w:snapToGrid w:val="0"/>
              <w:spacing w:before="0" w:beforeAutospacing="0" w:after="0" w:afterAutospacing="0" w:line="360" w:lineRule="auto"/>
              <w:jc w:val="right"/>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0.0024%</w:t>
            </w:r>
          </w:p>
        </w:tc>
        <w:tc>
          <w:tcPr>
            <w:tcW w:w="1329" w:type="dxa"/>
            <w:tcBorders>
              <w:top w:val="single" w:sz="4" w:space="0" w:color="000000"/>
              <w:left w:val="single" w:sz="4" w:space="0" w:color="000000"/>
              <w:bottom w:val="single" w:sz="4" w:space="0" w:color="000000"/>
              <w:right w:val="single" w:sz="4" w:space="0" w:color="000000"/>
            </w:tcBorders>
            <w:vAlign w:val="center"/>
          </w:tcPr>
          <w:p w:rsidR="00E17B2F" w:rsidRPr="0087389D" w:rsidRDefault="00E17B2F" w:rsidP="0087389D">
            <w:pPr>
              <w:pStyle w:val="af2"/>
              <w:adjustRightInd w:val="0"/>
              <w:snapToGrid w:val="0"/>
              <w:spacing w:before="0" w:beforeAutospacing="0" w:after="0" w:afterAutospacing="0" w:line="360" w:lineRule="auto"/>
              <w:jc w:val="right"/>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7.8853%</w:t>
            </w:r>
          </w:p>
        </w:tc>
        <w:tc>
          <w:tcPr>
            <w:tcW w:w="1329" w:type="dxa"/>
            <w:tcBorders>
              <w:top w:val="single" w:sz="4" w:space="0" w:color="000000"/>
              <w:left w:val="single" w:sz="4" w:space="0" w:color="000000"/>
              <w:bottom w:val="single" w:sz="4" w:space="0" w:color="000000"/>
              <w:right w:val="single" w:sz="4" w:space="0" w:color="000000"/>
            </w:tcBorders>
            <w:vAlign w:val="center"/>
          </w:tcPr>
          <w:p w:rsidR="00E17B2F" w:rsidRPr="0087389D" w:rsidRDefault="00E17B2F" w:rsidP="0087389D">
            <w:pPr>
              <w:pStyle w:val="af2"/>
              <w:adjustRightInd w:val="0"/>
              <w:snapToGrid w:val="0"/>
              <w:spacing w:before="0" w:beforeAutospacing="0" w:after="0" w:afterAutospacing="0" w:line="360" w:lineRule="auto"/>
              <w:jc w:val="right"/>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0.0000%</w:t>
            </w:r>
          </w:p>
        </w:tc>
        <w:tc>
          <w:tcPr>
            <w:tcW w:w="1329" w:type="dxa"/>
            <w:tcBorders>
              <w:top w:val="single" w:sz="4" w:space="0" w:color="000000"/>
              <w:left w:val="single" w:sz="4" w:space="0" w:color="000000"/>
              <w:bottom w:val="single" w:sz="4" w:space="0" w:color="000000"/>
              <w:right w:val="single" w:sz="4" w:space="0" w:color="000000"/>
            </w:tcBorders>
            <w:vAlign w:val="center"/>
          </w:tcPr>
          <w:p w:rsidR="00E17B2F" w:rsidRPr="0087389D" w:rsidRDefault="00E17B2F" w:rsidP="0087389D">
            <w:pPr>
              <w:pStyle w:val="af2"/>
              <w:adjustRightInd w:val="0"/>
              <w:snapToGrid w:val="0"/>
              <w:spacing w:before="0" w:beforeAutospacing="0" w:after="0" w:afterAutospacing="0" w:line="360" w:lineRule="auto"/>
              <w:jc w:val="right"/>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13.2874%</w:t>
            </w:r>
          </w:p>
        </w:tc>
        <w:tc>
          <w:tcPr>
            <w:tcW w:w="1329" w:type="dxa"/>
            <w:tcBorders>
              <w:top w:val="single" w:sz="4" w:space="0" w:color="000000"/>
              <w:left w:val="single" w:sz="4" w:space="0" w:color="000000"/>
              <w:bottom w:val="single" w:sz="4" w:space="0" w:color="000000"/>
              <w:right w:val="single" w:sz="4" w:space="0" w:color="000000"/>
            </w:tcBorders>
            <w:vAlign w:val="center"/>
          </w:tcPr>
          <w:p w:rsidR="00E17B2F" w:rsidRPr="0087389D" w:rsidRDefault="00E17B2F" w:rsidP="0087389D">
            <w:pPr>
              <w:pStyle w:val="af2"/>
              <w:adjustRightInd w:val="0"/>
              <w:snapToGrid w:val="0"/>
              <w:spacing w:before="0" w:beforeAutospacing="0" w:after="0" w:afterAutospacing="0" w:line="360" w:lineRule="auto"/>
              <w:jc w:val="right"/>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0.0024%</w:t>
            </w:r>
          </w:p>
        </w:tc>
      </w:tr>
    </w:tbl>
    <w:p w:rsidR="00E46656" w:rsidRPr="0087389D" w:rsidRDefault="008141EA" w:rsidP="00555CE7">
      <w:pPr>
        <w:pStyle w:val="22"/>
        <w:snapToGrid w:val="0"/>
        <w:spacing w:before="0"/>
        <w:ind w:firstLine="402"/>
        <w:rPr>
          <w:rFonts w:asciiTheme="minorEastAsia" w:eastAsiaTheme="minorEastAsia" w:hAnsiTheme="minorEastAsia"/>
          <w:color w:val="auto"/>
          <w:sz w:val="21"/>
          <w:szCs w:val="21"/>
        </w:rPr>
      </w:pPr>
      <w:r w:rsidRPr="0087389D">
        <w:rPr>
          <w:rFonts w:asciiTheme="minorEastAsia" w:eastAsiaTheme="minorEastAsia" w:hAnsiTheme="minorEastAsia" w:hint="eastAsia"/>
          <w:color w:val="auto"/>
          <w:sz w:val="21"/>
          <w:szCs w:val="21"/>
        </w:rPr>
        <w:lastRenderedPageBreak/>
        <w:t>2</w:t>
      </w:r>
      <w:r w:rsidRPr="0087389D">
        <w:rPr>
          <w:rFonts w:asciiTheme="minorEastAsia" w:eastAsiaTheme="minorEastAsia" w:hAnsiTheme="minorEastAsia"/>
          <w:color w:val="auto"/>
          <w:sz w:val="21"/>
          <w:szCs w:val="21"/>
        </w:rPr>
        <w:t>、</w:t>
      </w:r>
      <w:r w:rsidR="00E46656" w:rsidRPr="0087389D">
        <w:rPr>
          <w:rFonts w:asciiTheme="minorEastAsia" w:eastAsiaTheme="minorEastAsia" w:hAnsiTheme="minorEastAsia" w:hint="eastAsia"/>
          <w:color w:val="auto"/>
          <w:sz w:val="21"/>
          <w:szCs w:val="21"/>
        </w:rPr>
        <w:t>易方达财富快线货币</w:t>
      </w:r>
      <w:r w:rsidR="00E46656" w:rsidRPr="0087389D">
        <w:rPr>
          <w:rFonts w:asciiTheme="minorEastAsia" w:eastAsiaTheme="minorEastAsia" w:hAnsiTheme="minorEastAsia"/>
          <w:color w:val="auto"/>
          <w:sz w:val="21"/>
          <w:szCs w:val="21"/>
        </w:rPr>
        <w:t>B</w:t>
      </w:r>
      <w:r w:rsidRPr="0087389D">
        <w:rPr>
          <w:rFonts w:asciiTheme="minorEastAsia" w:eastAsiaTheme="minorEastAsia" w:hAnsiTheme="minorEastAsia" w:hint="eastAsia"/>
          <w:color w:val="auto"/>
          <w:sz w:val="21"/>
          <w:szCs w:val="21"/>
        </w:rPr>
        <w:t>类基金份额净值增长率与同期业绩比较基准收益率比较</w:t>
      </w:r>
    </w:p>
    <w:tbl>
      <w:tblPr>
        <w:tblW w:w="9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28"/>
        <w:gridCol w:w="1329"/>
        <w:gridCol w:w="1329"/>
        <w:gridCol w:w="1329"/>
        <w:gridCol w:w="1329"/>
        <w:gridCol w:w="1329"/>
        <w:gridCol w:w="1329"/>
      </w:tblGrid>
      <w:tr w:rsidR="002E06F4" w:rsidRPr="0087389D" w:rsidTr="009B13B7">
        <w:tc>
          <w:tcPr>
            <w:tcW w:w="1328" w:type="dxa"/>
            <w:tcBorders>
              <w:top w:val="single" w:sz="4" w:space="0" w:color="000000"/>
              <w:left w:val="single" w:sz="4" w:space="0" w:color="000000"/>
              <w:bottom w:val="single" w:sz="4" w:space="0" w:color="000000"/>
              <w:right w:val="single" w:sz="4" w:space="0" w:color="000000"/>
            </w:tcBorders>
            <w:vAlign w:val="center"/>
            <w:hideMark/>
          </w:tcPr>
          <w:p w:rsidR="00E46656" w:rsidRPr="0087389D" w:rsidRDefault="00E46656"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hint="eastAsia"/>
                <w:kern w:val="2"/>
                <w:sz w:val="21"/>
                <w:szCs w:val="21"/>
              </w:rPr>
              <w:t>阶段</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E46656" w:rsidRPr="0087389D" w:rsidRDefault="00B56DC7"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hint="eastAsia"/>
                <w:kern w:val="2"/>
                <w:sz w:val="21"/>
                <w:szCs w:val="21"/>
              </w:rPr>
              <w:t>份额净值收益率</w:t>
            </w:r>
            <w:r w:rsidR="00E46656" w:rsidRPr="0087389D">
              <w:rPr>
                <w:rFonts w:asciiTheme="minorEastAsia" w:eastAsiaTheme="minorEastAsia" w:hAnsiTheme="minorEastAsia" w:cs="Times New Roman" w:hint="eastAsia"/>
                <w:kern w:val="2"/>
                <w:sz w:val="21"/>
                <w:szCs w:val="21"/>
              </w:rPr>
              <w:t>①</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E46656" w:rsidRPr="0087389D" w:rsidRDefault="00B56DC7"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hint="eastAsia"/>
                <w:kern w:val="2"/>
                <w:sz w:val="21"/>
                <w:szCs w:val="21"/>
              </w:rPr>
              <w:t>份额净值收益率</w:t>
            </w:r>
            <w:r w:rsidR="00E46656" w:rsidRPr="0087389D">
              <w:rPr>
                <w:rFonts w:asciiTheme="minorEastAsia" w:eastAsiaTheme="minorEastAsia" w:hAnsiTheme="minorEastAsia" w:cs="Times New Roman" w:hint="eastAsia"/>
                <w:kern w:val="2"/>
                <w:sz w:val="21"/>
                <w:szCs w:val="21"/>
              </w:rPr>
              <w:t>标准差②</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E46656" w:rsidRPr="0087389D" w:rsidRDefault="00E46656"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hint="eastAsia"/>
                <w:kern w:val="2"/>
                <w:sz w:val="21"/>
                <w:szCs w:val="21"/>
              </w:rPr>
              <w:t>业绩比较基准收益率③</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E46656" w:rsidRPr="0087389D" w:rsidRDefault="00E46656"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hint="eastAsia"/>
                <w:kern w:val="2"/>
                <w:sz w:val="21"/>
                <w:szCs w:val="21"/>
              </w:rPr>
              <w:t>业绩比较基准收益率标准差④</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E46656" w:rsidRPr="0087389D" w:rsidRDefault="00E46656"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hint="eastAsia"/>
                <w:kern w:val="2"/>
                <w:sz w:val="21"/>
                <w:szCs w:val="21"/>
              </w:rPr>
              <w:t>①-③</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E46656" w:rsidRPr="0087389D" w:rsidRDefault="00E46656"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hint="eastAsia"/>
                <w:kern w:val="2"/>
                <w:sz w:val="21"/>
                <w:szCs w:val="21"/>
              </w:rPr>
              <w:t>②-④</w:t>
            </w:r>
          </w:p>
        </w:tc>
      </w:tr>
      <w:tr w:rsidR="002E06F4" w:rsidRPr="0087389D" w:rsidTr="00B47834">
        <w:trPr>
          <w:trHeight w:val="688"/>
        </w:trPr>
        <w:tc>
          <w:tcPr>
            <w:tcW w:w="1328" w:type="dxa"/>
            <w:tcBorders>
              <w:top w:val="single" w:sz="4" w:space="0" w:color="000000"/>
              <w:left w:val="single" w:sz="4" w:space="0" w:color="000000"/>
              <w:bottom w:val="single" w:sz="4" w:space="0" w:color="000000"/>
              <w:right w:val="single" w:sz="4" w:space="0" w:color="000000"/>
            </w:tcBorders>
            <w:vAlign w:val="center"/>
            <w:hideMark/>
          </w:tcPr>
          <w:p w:rsidR="00B47834" w:rsidRPr="0087389D" w:rsidRDefault="00F46125" w:rsidP="004F28E1">
            <w:pPr>
              <w:pStyle w:val="af2"/>
              <w:adjustRightInd w:val="0"/>
              <w:snapToGrid w:val="0"/>
              <w:spacing w:before="0" w:beforeAutospacing="0" w:after="0" w:afterAutospacing="0" w:line="360" w:lineRule="auto"/>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hint="eastAsia"/>
                <w:kern w:val="2"/>
                <w:sz w:val="21"/>
                <w:szCs w:val="21"/>
              </w:rPr>
              <w:t>自基金合同生效日至</w:t>
            </w:r>
            <w:r w:rsidR="00B47834" w:rsidRPr="0087389D">
              <w:rPr>
                <w:rFonts w:asciiTheme="minorEastAsia" w:eastAsiaTheme="minorEastAsia" w:hAnsiTheme="minorEastAsia" w:cs="Times New Roman" w:hint="eastAsia"/>
                <w:kern w:val="2"/>
                <w:sz w:val="21"/>
                <w:szCs w:val="21"/>
              </w:rPr>
              <w:t>2014年12月31日</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B47834" w:rsidRPr="0087389D" w:rsidRDefault="00B47834"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2.3808%</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B47834" w:rsidRPr="0087389D" w:rsidRDefault="00B47834"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0.0026%</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B47834" w:rsidRPr="0087389D" w:rsidRDefault="00B47834"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0.7452%</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B47834" w:rsidRPr="0087389D" w:rsidRDefault="00B47834" w:rsidP="00555CE7">
            <w:pPr>
              <w:snapToGrid w:val="0"/>
              <w:spacing w:line="360" w:lineRule="auto"/>
              <w:jc w:val="center"/>
              <w:rPr>
                <w:rFonts w:asciiTheme="minorEastAsia" w:eastAsiaTheme="minorEastAsia" w:hAnsiTheme="minorEastAsia"/>
                <w:szCs w:val="21"/>
              </w:rPr>
            </w:pPr>
            <w:r w:rsidRPr="0087389D">
              <w:rPr>
                <w:rFonts w:asciiTheme="minorEastAsia" w:eastAsiaTheme="minorEastAsia" w:hAnsiTheme="minorEastAsia"/>
                <w:szCs w:val="21"/>
              </w:rPr>
              <w:t>0.0000%</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B47834" w:rsidRPr="0087389D" w:rsidRDefault="00B47834" w:rsidP="00555CE7">
            <w:pPr>
              <w:snapToGrid w:val="0"/>
              <w:spacing w:line="360" w:lineRule="auto"/>
              <w:jc w:val="center"/>
              <w:rPr>
                <w:rFonts w:asciiTheme="minorEastAsia" w:eastAsiaTheme="minorEastAsia" w:hAnsiTheme="minorEastAsia"/>
                <w:szCs w:val="21"/>
              </w:rPr>
            </w:pPr>
            <w:r w:rsidRPr="0087389D">
              <w:rPr>
                <w:rFonts w:asciiTheme="minorEastAsia" w:eastAsiaTheme="minorEastAsia" w:hAnsiTheme="minorEastAsia"/>
                <w:szCs w:val="21"/>
              </w:rPr>
              <w:t>1.6356%</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B47834" w:rsidRPr="0087389D" w:rsidRDefault="00B47834" w:rsidP="00555CE7">
            <w:pPr>
              <w:snapToGrid w:val="0"/>
              <w:spacing w:line="360" w:lineRule="auto"/>
              <w:jc w:val="center"/>
              <w:rPr>
                <w:rFonts w:asciiTheme="minorEastAsia" w:eastAsiaTheme="minorEastAsia" w:hAnsiTheme="minorEastAsia"/>
                <w:szCs w:val="21"/>
              </w:rPr>
            </w:pPr>
            <w:r w:rsidRPr="0087389D">
              <w:rPr>
                <w:rFonts w:asciiTheme="minorEastAsia" w:eastAsiaTheme="minorEastAsia" w:hAnsiTheme="minorEastAsia"/>
                <w:szCs w:val="21"/>
              </w:rPr>
              <w:t>0.0026%</w:t>
            </w:r>
          </w:p>
        </w:tc>
      </w:tr>
      <w:tr w:rsidR="002E06F4" w:rsidRPr="0087389D" w:rsidTr="00B47834">
        <w:trPr>
          <w:trHeight w:val="969"/>
        </w:trPr>
        <w:tc>
          <w:tcPr>
            <w:tcW w:w="1328" w:type="dxa"/>
            <w:tcBorders>
              <w:top w:val="single" w:sz="4" w:space="0" w:color="000000"/>
              <w:left w:val="single" w:sz="4" w:space="0" w:color="000000"/>
              <w:bottom w:val="single" w:sz="4" w:space="0" w:color="000000"/>
              <w:right w:val="single" w:sz="4" w:space="0" w:color="000000"/>
            </w:tcBorders>
            <w:vAlign w:val="center"/>
            <w:hideMark/>
          </w:tcPr>
          <w:p w:rsidR="00E25C35" w:rsidRPr="0087389D" w:rsidRDefault="00E25C35" w:rsidP="004F28E1">
            <w:pPr>
              <w:pStyle w:val="af2"/>
              <w:adjustRightInd w:val="0"/>
              <w:snapToGrid w:val="0"/>
              <w:spacing w:before="0" w:beforeAutospacing="0" w:after="0" w:afterAutospacing="0" w:line="360" w:lineRule="auto"/>
              <w:rPr>
                <w:rFonts w:asciiTheme="minorEastAsia" w:eastAsiaTheme="minorEastAsia" w:hAnsiTheme="minorEastAsia"/>
                <w:sz w:val="21"/>
                <w:szCs w:val="21"/>
              </w:rPr>
            </w:pPr>
            <w:r w:rsidRPr="0087389D">
              <w:rPr>
                <w:rFonts w:asciiTheme="minorEastAsia" w:eastAsiaTheme="minorEastAsia" w:hAnsiTheme="minorEastAsia" w:cs="Times New Roman"/>
                <w:kern w:val="2"/>
                <w:sz w:val="21"/>
                <w:szCs w:val="21"/>
              </w:rPr>
              <w:t>2015年1月1日至2015</w:t>
            </w:r>
            <w:r w:rsidRPr="0087389D">
              <w:rPr>
                <w:rFonts w:asciiTheme="minorEastAsia" w:eastAsiaTheme="minorEastAsia" w:hAnsiTheme="minorEastAsia" w:cs="Times New Roman" w:hint="eastAsia"/>
                <w:kern w:val="2"/>
                <w:sz w:val="21"/>
                <w:szCs w:val="21"/>
              </w:rPr>
              <w:t>年</w:t>
            </w:r>
            <w:r w:rsidRPr="0087389D">
              <w:rPr>
                <w:rFonts w:asciiTheme="minorEastAsia" w:eastAsiaTheme="minorEastAsia" w:hAnsiTheme="minorEastAsia" w:cs="Times New Roman"/>
                <w:kern w:val="2"/>
                <w:sz w:val="21"/>
                <w:szCs w:val="21"/>
              </w:rPr>
              <w:t>12</w:t>
            </w:r>
            <w:r w:rsidRPr="0087389D">
              <w:rPr>
                <w:rFonts w:asciiTheme="minorEastAsia" w:eastAsiaTheme="minorEastAsia" w:hAnsiTheme="minorEastAsia" w:cs="Times New Roman" w:hint="eastAsia"/>
                <w:kern w:val="2"/>
                <w:sz w:val="21"/>
                <w:szCs w:val="21"/>
              </w:rPr>
              <w:t>月3</w:t>
            </w:r>
            <w:r w:rsidRPr="0087389D">
              <w:rPr>
                <w:rFonts w:asciiTheme="minorEastAsia" w:eastAsiaTheme="minorEastAsia" w:hAnsiTheme="minorEastAsia" w:cs="Times New Roman"/>
                <w:kern w:val="2"/>
                <w:sz w:val="21"/>
                <w:szCs w:val="21"/>
              </w:rPr>
              <w:t>1</w:t>
            </w:r>
            <w:r w:rsidRPr="0087389D">
              <w:rPr>
                <w:rFonts w:asciiTheme="minorEastAsia" w:eastAsiaTheme="minorEastAsia" w:hAnsiTheme="minorEastAsia" w:cs="Times New Roman" w:hint="eastAsia"/>
                <w:kern w:val="2"/>
                <w:sz w:val="21"/>
                <w:szCs w:val="21"/>
              </w:rPr>
              <w:t>日</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E25C35" w:rsidRPr="0087389D" w:rsidRDefault="00CA0FD1"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4.0534%</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E25C35" w:rsidRPr="0087389D" w:rsidRDefault="00CA0FD1"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0.0032%</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E25C35" w:rsidRPr="0087389D" w:rsidRDefault="00CA0FD1"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1.3781%</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E25C35" w:rsidRPr="0087389D" w:rsidRDefault="00CA0FD1"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0.0000%</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E25C35" w:rsidRPr="0087389D" w:rsidRDefault="00CA0FD1"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2.6753%</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E25C35" w:rsidRPr="0087389D" w:rsidRDefault="00CA0FD1"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0.0032%</w:t>
            </w:r>
          </w:p>
        </w:tc>
      </w:tr>
      <w:tr w:rsidR="002E06F4" w:rsidRPr="0087389D" w:rsidTr="00EA369E">
        <w:trPr>
          <w:trHeight w:val="987"/>
        </w:trPr>
        <w:tc>
          <w:tcPr>
            <w:tcW w:w="1328" w:type="dxa"/>
            <w:tcBorders>
              <w:top w:val="single" w:sz="4" w:space="0" w:color="000000"/>
              <w:left w:val="single" w:sz="4" w:space="0" w:color="000000"/>
              <w:bottom w:val="single" w:sz="4" w:space="0" w:color="000000"/>
              <w:right w:val="single" w:sz="4" w:space="0" w:color="000000"/>
            </w:tcBorders>
            <w:vAlign w:val="center"/>
          </w:tcPr>
          <w:p w:rsidR="00C266C9" w:rsidRPr="0087389D" w:rsidRDefault="00C266C9" w:rsidP="004F28E1">
            <w:pPr>
              <w:pStyle w:val="af2"/>
              <w:adjustRightInd w:val="0"/>
              <w:snapToGrid w:val="0"/>
              <w:spacing w:before="0" w:beforeAutospacing="0" w:after="0" w:afterAutospacing="0" w:line="360" w:lineRule="auto"/>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2016</w:t>
            </w:r>
            <w:r w:rsidRPr="0087389D">
              <w:rPr>
                <w:rFonts w:asciiTheme="minorEastAsia" w:eastAsiaTheme="minorEastAsia" w:hAnsiTheme="minorEastAsia" w:cs="Times New Roman" w:hint="eastAsia"/>
                <w:kern w:val="2"/>
                <w:sz w:val="21"/>
                <w:szCs w:val="21"/>
              </w:rPr>
              <w:t>年</w:t>
            </w:r>
            <w:r w:rsidRPr="0087389D">
              <w:rPr>
                <w:rFonts w:asciiTheme="minorEastAsia" w:eastAsiaTheme="minorEastAsia" w:hAnsiTheme="minorEastAsia" w:cs="Times New Roman"/>
                <w:kern w:val="2"/>
                <w:sz w:val="21"/>
                <w:szCs w:val="21"/>
              </w:rPr>
              <w:t>1月1日至2016年12</w:t>
            </w:r>
            <w:r w:rsidRPr="0087389D">
              <w:rPr>
                <w:rFonts w:asciiTheme="minorEastAsia" w:eastAsiaTheme="minorEastAsia" w:hAnsiTheme="minorEastAsia" w:cs="Times New Roman" w:hint="eastAsia"/>
                <w:kern w:val="2"/>
                <w:sz w:val="21"/>
                <w:szCs w:val="21"/>
              </w:rPr>
              <w:t>月</w:t>
            </w:r>
            <w:r w:rsidRPr="0087389D">
              <w:rPr>
                <w:rFonts w:asciiTheme="minorEastAsia" w:eastAsiaTheme="minorEastAsia" w:hAnsiTheme="minorEastAsia" w:cs="Times New Roman"/>
                <w:kern w:val="2"/>
                <w:sz w:val="21"/>
                <w:szCs w:val="21"/>
              </w:rPr>
              <w:t>31</w:t>
            </w:r>
            <w:r w:rsidRPr="0087389D">
              <w:rPr>
                <w:rFonts w:asciiTheme="minorEastAsia" w:eastAsiaTheme="minorEastAsia" w:hAnsiTheme="minorEastAsia" w:cs="Times New Roman" w:hint="eastAsia"/>
                <w:kern w:val="2"/>
                <w:sz w:val="21"/>
                <w:szCs w:val="21"/>
              </w:rPr>
              <w:t>日</w:t>
            </w:r>
          </w:p>
        </w:tc>
        <w:tc>
          <w:tcPr>
            <w:tcW w:w="1329" w:type="dxa"/>
            <w:tcBorders>
              <w:top w:val="single" w:sz="4" w:space="0" w:color="000000"/>
              <w:left w:val="single" w:sz="4" w:space="0" w:color="000000"/>
              <w:bottom w:val="single" w:sz="4" w:space="0" w:color="000000"/>
              <w:right w:val="single" w:sz="4" w:space="0" w:color="000000"/>
            </w:tcBorders>
            <w:vAlign w:val="center"/>
          </w:tcPr>
          <w:p w:rsidR="00C266C9" w:rsidRPr="0087389D" w:rsidRDefault="00C266C9"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3.1839%</w:t>
            </w:r>
          </w:p>
        </w:tc>
        <w:tc>
          <w:tcPr>
            <w:tcW w:w="1329" w:type="dxa"/>
            <w:tcBorders>
              <w:top w:val="single" w:sz="4" w:space="0" w:color="000000"/>
              <w:left w:val="single" w:sz="4" w:space="0" w:color="000000"/>
              <w:bottom w:val="single" w:sz="4" w:space="0" w:color="000000"/>
              <w:right w:val="single" w:sz="4" w:space="0" w:color="000000"/>
            </w:tcBorders>
            <w:vAlign w:val="center"/>
          </w:tcPr>
          <w:p w:rsidR="00C266C9" w:rsidRPr="0087389D" w:rsidRDefault="00C266C9"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0.0015%</w:t>
            </w:r>
          </w:p>
        </w:tc>
        <w:tc>
          <w:tcPr>
            <w:tcW w:w="1329" w:type="dxa"/>
            <w:tcBorders>
              <w:top w:val="single" w:sz="4" w:space="0" w:color="000000"/>
              <w:left w:val="single" w:sz="4" w:space="0" w:color="000000"/>
              <w:bottom w:val="single" w:sz="4" w:space="0" w:color="000000"/>
              <w:right w:val="single" w:sz="4" w:space="0" w:color="000000"/>
            </w:tcBorders>
            <w:vAlign w:val="center"/>
          </w:tcPr>
          <w:p w:rsidR="00C266C9" w:rsidRPr="0087389D" w:rsidRDefault="00C266C9"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1.3819%</w:t>
            </w:r>
          </w:p>
        </w:tc>
        <w:tc>
          <w:tcPr>
            <w:tcW w:w="1329" w:type="dxa"/>
            <w:tcBorders>
              <w:top w:val="single" w:sz="4" w:space="0" w:color="000000"/>
              <w:left w:val="single" w:sz="4" w:space="0" w:color="000000"/>
              <w:bottom w:val="single" w:sz="4" w:space="0" w:color="000000"/>
              <w:right w:val="single" w:sz="4" w:space="0" w:color="000000"/>
            </w:tcBorders>
            <w:vAlign w:val="center"/>
          </w:tcPr>
          <w:p w:rsidR="00C266C9" w:rsidRPr="0087389D" w:rsidRDefault="00C266C9"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0.0000%</w:t>
            </w:r>
          </w:p>
        </w:tc>
        <w:tc>
          <w:tcPr>
            <w:tcW w:w="1329" w:type="dxa"/>
            <w:tcBorders>
              <w:top w:val="single" w:sz="4" w:space="0" w:color="000000"/>
              <w:left w:val="single" w:sz="4" w:space="0" w:color="000000"/>
              <w:bottom w:val="single" w:sz="4" w:space="0" w:color="000000"/>
              <w:right w:val="single" w:sz="4" w:space="0" w:color="000000"/>
            </w:tcBorders>
            <w:vAlign w:val="center"/>
          </w:tcPr>
          <w:p w:rsidR="00C266C9" w:rsidRPr="0087389D" w:rsidRDefault="00C266C9"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1.8020%</w:t>
            </w:r>
          </w:p>
        </w:tc>
        <w:tc>
          <w:tcPr>
            <w:tcW w:w="1329" w:type="dxa"/>
            <w:tcBorders>
              <w:top w:val="single" w:sz="4" w:space="0" w:color="000000"/>
              <w:left w:val="single" w:sz="4" w:space="0" w:color="000000"/>
              <w:bottom w:val="single" w:sz="4" w:space="0" w:color="000000"/>
              <w:right w:val="single" w:sz="4" w:space="0" w:color="000000"/>
            </w:tcBorders>
            <w:vAlign w:val="center"/>
          </w:tcPr>
          <w:p w:rsidR="00C266C9" w:rsidRPr="0087389D" w:rsidRDefault="00C266C9"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0.0015%</w:t>
            </w:r>
          </w:p>
        </w:tc>
      </w:tr>
      <w:tr w:rsidR="002E06F4" w:rsidRPr="0087389D" w:rsidTr="00EA369E">
        <w:trPr>
          <w:trHeight w:val="987"/>
        </w:trPr>
        <w:tc>
          <w:tcPr>
            <w:tcW w:w="1328" w:type="dxa"/>
            <w:tcBorders>
              <w:top w:val="single" w:sz="4" w:space="0" w:color="000000"/>
              <w:left w:val="single" w:sz="4" w:space="0" w:color="000000"/>
              <w:bottom w:val="single" w:sz="4" w:space="0" w:color="000000"/>
              <w:right w:val="single" w:sz="4" w:space="0" w:color="000000"/>
            </w:tcBorders>
            <w:vAlign w:val="center"/>
          </w:tcPr>
          <w:p w:rsidR="00EA010D" w:rsidRPr="0087389D" w:rsidRDefault="00EA010D" w:rsidP="004F28E1">
            <w:pPr>
              <w:pStyle w:val="af2"/>
              <w:adjustRightInd w:val="0"/>
              <w:snapToGrid w:val="0"/>
              <w:spacing w:before="0" w:beforeAutospacing="0" w:after="0" w:afterAutospacing="0" w:line="360" w:lineRule="auto"/>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hint="eastAsia"/>
                <w:kern w:val="2"/>
                <w:sz w:val="21"/>
                <w:szCs w:val="21"/>
              </w:rPr>
              <w:t>201</w:t>
            </w:r>
            <w:r w:rsidRPr="0087389D">
              <w:rPr>
                <w:rFonts w:asciiTheme="minorEastAsia" w:eastAsiaTheme="minorEastAsia" w:hAnsiTheme="minorEastAsia" w:cs="Times New Roman"/>
                <w:kern w:val="2"/>
                <w:sz w:val="21"/>
                <w:szCs w:val="21"/>
              </w:rPr>
              <w:t>7</w:t>
            </w:r>
            <w:r w:rsidRPr="0087389D">
              <w:rPr>
                <w:rFonts w:asciiTheme="minorEastAsia" w:eastAsiaTheme="minorEastAsia" w:hAnsiTheme="minorEastAsia" w:cs="Times New Roman" w:hint="eastAsia"/>
                <w:kern w:val="2"/>
                <w:sz w:val="21"/>
                <w:szCs w:val="21"/>
              </w:rPr>
              <w:t>年1月1日至201</w:t>
            </w:r>
            <w:r w:rsidRPr="0087389D">
              <w:rPr>
                <w:rFonts w:asciiTheme="minorEastAsia" w:eastAsiaTheme="minorEastAsia" w:hAnsiTheme="minorEastAsia" w:cs="Times New Roman"/>
                <w:kern w:val="2"/>
                <w:sz w:val="21"/>
                <w:szCs w:val="21"/>
              </w:rPr>
              <w:t>7</w:t>
            </w:r>
            <w:r w:rsidRPr="0087389D">
              <w:rPr>
                <w:rFonts w:asciiTheme="minorEastAsia" w:eastAsiaTheme="minorEastAsia" w:hAnsiTheme="minorEastAsia" w:cs="Times New Roman" w:hint="eastAsia"/>
                <w:kern w:val="2"/>
                <w:sz w:val="21"/>
                <w:szCs w:val="21"/>
              </w:rPr>
              <w:t>年</w:t>
            </w:r>
            <w:r w:rsidRPr="0087389D">
              <w:rPr>
                <w:rFonts w:asciiTheme="minorEastAsia" w:eastAsiaTheme="minorEastAsia" w:hAnsiTheme="minorEastAsia" w:cs="Times New Roman"/>
                <w:kern w:val="2"/>
                <w:sz w:val="21"/>
                <w:szCs w:val="21"/>
              </w:rPr>
              <w:t>12</w:t>
            </w:r>
            <w:r w:rsidRPr="0087389D">
              <w:rPr>
                <w:rFonts w:asciiTheme="minorEastAsia" w:eastAsiaTheme="minorEastAsia" w:hAnsiTheme="minorEastAsia" w:cs="Times New Roman" w:hint="eastAsia"/>
                <w:kern w:val="2"/>
                <w:sz w:val="21"/>
                <w:szCs w:val="21"/>
              </w:rPr>
              <w:t>月</w:t>
            </w:r>
            <w:r w:rsidRPr="0087389D">
              <w:rPr>
                <w:rFonts w:asciiTheme="minorEastAsia" w:eastAsiaTheme="minorEastAsia" w:hAnsiTheme="minorEastAsia" w:cs="Times New Roman"/>
                <w:kern w:val="2"/>
                <w:sz w:val="21"/>
                <w:szCs w:val="21"/>
              </w:rPr>
              <w:t>31</w:t>
            </w:r>
            <w:r w:rsidRPr="0087389D">
              <w:rPr>
                <w:rFonts w:asciiTheme="minorEastAsia" w:eastAsiaTheme="minorEastAsia" w:hAnsiTheme="minorEastAsia" w:cs="Times New Roman" w:hint="eastAsia"/>
                <w:kern w:val="2"/>
                <w:sz w:val="21"/>
                <w:szCs w:val="21"/>
              </w:rPr>
              <w:t>日</w:t>
            </w:r>
          </w:p>
        </w:tc>
        <w:tc>
          <w:tcPr>
            <w:tcW w:w="1329" w:type="dxa"/>
            <w:tcBorders>
              <w:top w:val="single" w:sz="4" w:space="0" w:color="000000"/>
              <w:left w:val="single" w:sz="4" w:space="0" w:color="000000"/>
              <w:bottom w:val="single" w:sz="4" w:space="0" w:color="000000"/>
              <w:right w:val="single" w:sz="4" w:space="0" w:color="000000"/>
            </w:tcBorders>
            <w:vAlign w:val="center"/>
          </w:tcPr>
          <w:p w:rsidR="00EA010D" w:rsidRPr="0087389D" w:rsidRDefault="00EA010D" w:rsidP="00EA010D">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4.3223%</w:t>
            </w:r>
          </w:p>
        </w:tc>
        <w:tc>
          <w:tcPr>
            <w:tcW w:w="1329" w:type="dxa"/>
            <w:tcBorders>
              <w:top w:val="single" w:sz="4" w:space="0" w:color="000000"/>
              <w:left w:val="single" w:sz="4" w:space="0" w:color="000000"/>
              <w:bottom w:val="single" w:sz="4" w:space="0" w:color="000000"/>
              <w:right w:val="single" w:sz="4" w:space="0" w:color="000000"/>
            </w:tcBorders>
            <w:vAlign w:val="center"/>
          </w:tcPr>
          <w:p w:rsidR="00EA010D" w:rsidRPr="0087389D" w:rsidRDefault="00EA010D" w:rsidP="00EA010D">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0.0011%</w:t>
            </w:r>
          </w:p>
        </w:tc>
        <w:tc>
          <w:tcPr>
            <w:tcW w:w="1329" w:type="dxa"/>
            <w:tcBorders>
              <w:top w:val="single" w:sz="4" w:space="0" w:color="000000"/>
              <w:left w:val="single" w:sz="4" w:space="0" w:color="000000"/>
              <w:bottom w:val="single" w:sz="4" w:space="0" w:color="000000"/>
              <w:right w:val="single" w:sz="4" w:space="0" w:color="000000"/>
            </w:tcBorders>
            <w:vAlign w:val="center"/>
          </w:tcPr>
          <w:p w:rsidR="00EA010D" w:rsidRPr="0087389D" w:rsidRDefault="00EA010D" w:rsidP="00EA010D">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1.3781%</w:t>
            </w:r>
          </w:p>
        </w:tc>
        <w:tc>
          <w:tcPr>
            <w:tcW w:w="1329" w:type="dxa"/>
            <w:tcBorders>
              <w:top w:val="single" w:sz="4" w:space="0" w:color="000000"/>
              <w:left w:val="single" w:sz="4" w:space="0" w:color="000000"/>
              <w:bottom w:val="single" w:sz="4" w:space="0" w:color="000000"/>
              <w:right w:val="single" w:sz="4" w:space="0" w:color="000000"/>
            </w:tcBorders>
            <w:vAlign w:val="center"/>
          </w:tcPr>
          <w:p w:rsidR="00EA010D" w:rsidRPr="0087389D" w:rsidRDefault="00EA010D" w:rsidP="00EA010D">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0.0000%</w:t>
            </w:r>
          </w:p>
        </w:tc>
        <w:tc>
          <w:tcPr>
            <w:tcW w:w="1329" w:type="dxa"/>
            <w:tcBorders>
              <w:top w:val="single" w:sz="4" w:space="0" w:color="000000"/>
              <w:left w:val="single" w:sz="4" w:space="0" w:color="000000"/>
              <w:bottom w:val="single" w:sz="4" w:space="0" w:color="000000"/>
              <w:right w:val="single" w:sz="4" w:space="0" w:color="000000"/>
            </w:tcBorders>
            <w:vAlign w:val="center"/>
          </w:tcPr>
          <w:p w:rsidR="00EA010D" w:rsidRPr="0087389D" w:rsidRDefault="00EA010D" w:rsidP="00EA010D">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2.9442%</w:t>
            </w:r>
          </w:p>
        </w:tc>
        <w:tc>
          <w:tcPr>
            <w:tcW w:w="1329" w:type="dxa"/>
            <w:tcBorders>
              <w:top w:val="single" w:sz="4" w:space="0" w:color="000000"/>
              <w:left w:val="single" w:sz="4" w:space="0" w:color="000000"/>
              <w:bottom w:val="single" w:sz="4" w:space="0" w:color="000000"/>
              <w:right w:val="single" w:sz="4" w:space="0" w:color="000000"/>
            </w:tcBorders>
            <w:vAlign w:val="center"/>
          </w:tcPr>
          <w:p w:rsidR="00EA010D" w:rsidRPr="0087389D" w:rsidRDefault="00EA010D" w:rsidP="00EA010D">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0.0011%</w:t>
            </w:r>
          </w:p>
        </w:tc>
      </w:tr>
      <w:tr w:rsidR="002E06F4" w:rsidRPr="0087389D" w:rsidTr="002E06F4">
        <w:trPr>
          <w:trHeight w:val="987"/>
        </w:trPr>
        <w:tc>
          <w:tcPr>
            <w:tcW w:w="1328" w:type="dxa"/>
            <w:tcBorders>
              <w:top w:val="single" w:sz="4" w:space="0" w:color="000000"/>
              <w:left w:val="single" w:sz="4" w:space="0" w:color="000000"/>
              <w:bottom w:val="single" w:sz="4" w:space="0" w:color="000000"/>
              <w:right w:val="single" w:sz="4" w:space="0" w:color="000000"/>
            </w:tcBorders>
            <w:vAlign w:val="center"/>
          </w:tcPr>
          <w:p w:rsidR="003177D5" w:rsidRPr="0087389D" w:rsidRDefault="003177D5" w:rsidP="003177D5">
            <w:pPr>
              <w:pStyle w:val="af2"/>
              <w:adjustRightInd w:val="0"/>
              <w:snapToGrid w:val="0"/>
              <w:spacing w:before="0" w:beforeAutospacing="0" w:after="0" w:afterAutospacing="0" w:line="360" w:lineRule="auto"/>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hint="eastAsia"/>
                <w:kern w:val="2"/>
                <w:sz w:val="21"/>
                <w:szCs w:val="21"/>
              </w:rPr>
              <w:t>201</w:t>
            </w:r>
            <w:r w:rsidRPr="0087389D">
              <w:rPr>
                <w:rFonts w:asciiTheme="minorEastAsia" w:eastAsiaTheme="minorEastAsia" w:hAnsiTheme="minorEastAsia" w:cs="Times New Roman"/>
                <w:kern w:val="2"/>
                <w:sz w:val="21"/>
                <w:szCs w:val="21"/>
              </w:rPr>
              <w:t>8</w:t>
            </w:r>
            <w:r w:rsidRPr="0087389D">
              <w:rPr>
                <w:rFonts w:asciiTheme="minorEastAsia" w:eastAsiaTheme="minorEastAsia" w:hAnsiTheme="minorEastAsia" w:cs="Times New Roman" w:hint="eastAsia"/>
                <w:kern w:val="2"/>
                <w:sz w:val="21"/>
                <w:szCs w:val="21"/>
              </w:rPr>
              <w:t>年1月1日至201</w:t>
            </w:r>
            <w:r w:rsidRPr="0087389D">
              <w:rPr>
                <w:rFonts w:asciiTheme="minorEastAsia" w:eastAsiaTheme="minorEastAsia" w:hAnsiTheme="minorEastAsia" w:cs="Times New Roman"/>
                <w:kern w:val="2"/>
                <w:sz w:val="21"/>
                <w:szCs w:val="21"/>
              </w:rPr>
              <w:t>8</w:t>
            </w:r>
            <w:r w:rsidRPr="0087389D">
              <w:rPr>
                <w:rFonts w:asciiTheme="minorEastAsia" w:eastAsiaTheme="minorEastAsia" w:hAnsiTheme="minorEastAsia" w:cs="Times New Roman" w:hint="eastAsia"/>
                <w:kern w:val="2"/>
                <w:sz w:val="21"/>
                <w:szCs w:val="21"/>
              </w:rPr>
              <w:t>年</w:t>
            </w:r>
            <w:r w:rsidRPr="0087389D">
              <w:rPr>
                <w:rFonts w:asciiTheme="minorEastAsia" w:eastAsiaTheme="minorEastAsia" w:hAnsiTheme="minorEastAsia" w:cs="Times New Roman"/>
                <w:kern w:val="2"/>
                <w:sz w:val="21"/>
                <w:szCs w:val="21"/>
              </w:rPr>
              <w:t>12</w:t>
            </w:r>
            <w:r w:rsidRPr="0087389D">
              <w:rPr>
                <w:rFonts w:asciiTheme="minorEastAsia" w:eastAsiaTheme="minorEastAsia" w:hAnsiTheme="minorEastAsia" w:cs="Times New Roman" w:hint="eastAsia"/>
                <w:kern w:val="2"/>
                <w:sz w:val="21"/>
                <w:szCs w:val="21"/>
              </w:rPr>
              <w:t>月</w:t>
            </w:r>
            <w:r w:rsidRPr="0087389D">
              <w:rPr>
                <w:rFonts w:asciiTheme="minorEastAsia" w:eastAsiaTheme="minorEastAsia" w:hAnsiTheme="minorEastAsia" w:cs="Times New Roman"/>
                <w:kern w:val="2"/>
                <w:sz w:val="21"/>
                <w:szCs w:val="21"/>
              </w:rPr>
              <w:t>31</w:t>
            </w:r>
            <w:r w:rsidRPr="0087389D">
              <w:rPr>
                <w:rFonts w:asciiTheme="minorEastAsia" w:eastAsiaTheme="minorEastAsia" w:hAnsiTheme="minorEastAsia" w:cs="Times New Roman" w:hint="eastAsia"/>
                <w:kern w:val="2"/>
                <w:sz w:val="21"/>
                <w:szCs w:val="21"/>
              </w:rPr>
              <w:t>日</w:t>
            </w:r>
          </w:p>
        </w:tc>
        <w:tc>
          <w:tcPr>
            <w:tcW w:w="1329" w:type="dxa"/>
            <w:tcBorders>
              <w:top w:val="single" w:sz="4" w:space="0" w:color="000000"/>
              <w:left w:val="single" w:sz="4" w:space="0" w:color="000000"/>
              <w:bottom w:val="single" w:sz="4" w:space="0" w:color="000000"/>
              <w:right w:val="single" w:sz="4" w:space="0" w:color="000000"/>
            </w:tcBorders>
            <w:vAlign w:val="center"/>
          </w:tcPr>
          <w:p w:rsidR="003177D5" w:rsidRPr="0087389D" w:rsidRDefault="003177D5" w:rsidP="003177D5">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4.0882%</w:t>
            </w:r>
          </w:p>
        </w:tc>
        <w:tc>
          <w:tcPr>
            <w:tcW w:w="1329" w:type="dxa"/>
            <w:tcBorders>
              <w:top w:val="single" w:sz="4" w:space="0" w:color="000000"/>
              <w:left w:val="single" w:sz="4" w:space="0" w:color="000000"/>
              <w:bottom w:val="single" w:sz="4" w:space="0" w:color="000000"/>
              <w:right w:val="single" w:sz="4" w:space="0" w:color="000000"/>
            </w:tcBorders>
            <w:vAlign w:val="center"/>
          </w:tcPr>
          <w:p w:rsidR="003177D5" w:rsidRPr="0087389D" w:rsidRDefault="003177D5" w:rsidP="003177D5">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0.0014%</w:t>
            </w:r>
          </w:p>
        </w:tc>
        <w:tc>
          <w:tcPr>
            <w:tcW w:w="1329" w:type="dxa"/>
            <w:tcBorders>
              <w:top w:val="single" w:sz="4" w:space="0" w:color="000000"/>
              <w:left w:val="single" w:sz="4" w:space="0" w:color="000000"/>
              <w:bottom w:val="single" w:sz="4" w:space="0" w:color="000000"/>
              <w:right w:val="single" w:sz="4" w:space="0" w:color="000000"/>
            </w:tcBorders>
            <w:vAlign w:val="center"/>
          </w:tcPr>
          <w:p w:rsidR="003177D5" w:rsidRPr="0087389D" w:rsidRDefault="003177D5" w:rsidP="003177D5">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1.3781%</w:t>
            </w:r>
          </w:p>
        </w:tc>
        <w:tc>
          <w:tcPr>
            <w:tcW w:w="1329" w:type="dxa"/>
            <w:tcBorders>
              <w:top w:val="single" w:sz="4" w:space="0" w:color="000000"/>
              <w:left w:val="single" w:sz="4" w:space="0" w:color="000000"/>
              <w:bottom w:val="single" w:sz="4" w:space="0" w:color="000000"/>
              <w:right w:val="single" w:sz="4" w:space="0" w:color="000000"/>
            </w:tcBorders>
            <w:vAlign w:val="center"/>
          </w:tcPr>
          <w:p w:rsidR="003177D5" w:rsidRPr="0087389D" w:rsidRDefault="003177D5" w:rsidP="003177D5">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0.0000%</w:t>
            </w:r>
          </w:p>
        </w:tc>
        <w:tc>
          <w:tcPr>
            <w:tcW w:w="1329" w:type="dxa"/>
            <w:tcBorders>
              <w:top w:val="single" w:sz="4" w:space="0" w:color="000000"/>
              <w:left w:val="single" w:sz="4" w:space="0" w:color="000000"/>
              <w:bottom w:val="single" w:sz="4" w:space="0" w:color="000000"/>
              <w:right w:val="single" w:sz="4" w:space="0" w:color="000000"/>
            </w:tcBorders>
            <w:vAlign w:val="center"/>
          </w:tcPr>
          <w:p w:rsidR="003177D5" w:rsidRPr="0087389D" w:rsidRDefault="003177D5" w:rsidP="003177D5">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2.7101%</w:t>
            </w:r>
          </w:p>
        </w:tc>
        <w:tc>
          <w:tcPr>
            <w:tcW w:w="1329" w:type="dxa"/>
            <w:tcBorders>
              <w:top w:val="single" w:sz="4" w:space="0" w:color="000000"/>
              <w:left w:val="single" w:sz="4" w:space="0" w:color="000000"/>
              <w:bottom w:val="single" w:sz="4" w:space="0" w:color="000000"/>
              <w:right w:val="single" w:sz="4" w:space="0" w:color="000000"/>
            </w:tcBorders>
            <w:vAlign w:val="center"/>
          </w:tcPr>
          <w:p w:rsidR="003177D5" w:rsidRPr="0087389D" w:rsidRDefault="003177D5" w:rsidP="003177D5">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0.0014%</w:t>
            </w:r>
          </w:p>
        </w:tc>
      </w:tr>
      <w:tr w:rsidR="0087389D" w:rsidRPr="0087389D" w:rsidTr="00593EC0">
        <w:trPr>
          <w:trHeight w:val="987"/>
        </w:trPr>
        <w:tc>
          <w:tcPr>
            <w:tcW w:w="1328" w:type="dxa"/>
            <w:tcBorders>
              <w:top w:val="single" w:sz="4" w:space="0" w:color="000000"/>
              <w:left w:val="single" w:sz="4" w:space="0" w:color="000000"/>
              <w:bottom w:val="single" w:sz="4" w:space="0" w:color="000000"/>
              <w:right w:val="single" w:sz="4" w:space="0" w:color="000000"/>
            </w:tcBorders>
            <w:hideMark/>
          </w:tcPr>
          <w:p w:rsidR="00E05F89" w:rsidRPr="0087389D" w:rsidRDefault="00E17B2F" w:rsidP="00E05F89">
            <w:pPr>
              <w:pStyle w:val="af2"/>
              <w:adjustRightInd w:val="0"/>
              <w:snapToGrid w:val="0"/>
              <w:spacing w:before="0" w:beforeAutospacing="0" w:after="0" w:afterAutospacing="0" w:line="360" w:lineRule="auto"/>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2019年1月1日至2019年12月31日</w:t>
            </w:r>
          </w:p>
        </w:tc>
        <w:tc>
          <w:tcPr>
            <w:tcW w:w="1329" w:type="dxa"/>
            <w:tcBorders>
              <w:top w:val="single" w:sz="4" w:space="0" w:color="000000"/>
              <w:left w:val="single" w:sz="4" w:space="0" w:color="000000"/>
              <w:bottom w:val="single" w:sz="4" w:space="0" w:color="000000"/>
              <w:right w:val="single" w:sz="4" w:space="0" w:color="000000"/>
            </w:tcBorders>
            <w:vAlign w:val="center"/>
          </w:tcPr>
          <w:p w:rsidR="00E05F89" w:rsidRPr="0087389D" w:rsidRDefault="00E17B2F" w:rsidP="0087389D">
            <w:pPr>
              <w:pStyle w:val="af2"/>
              <w:adjustRightInd w:val="0"/>
              <w:snapToGrid w:val="0"/>
              <w:spacing w:before="0" w:beforeAutospacing="0" w:after="0" w:afterAutospacing="0" w:line="360" w:lineRule="auto"/>
              <w:jc w:val="right"/>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2.8755%</w:t>
            </w:r>
          </w:p>
        </w:tc>
        <w:tc>
          <w:tcPr>
            <w:tcW w:w="1329" w:type="dxa"/>
            <w:tcBorders>
              <w:top w:val="single" w:sz="4" w:space="0" w:color="000000"/>
              <w:left w:val="single" w:sz="4" w:space="0" w:color="000000"/>
              <w:bottom w:val="single" w:sz="4" w:space="0" w:color="000000"/>
              <w:right w:val="single" w:sz="4" w:space="0" w:color="000000"/>
            </w:tcBorders>
            <w:vAlign w:val="center"/>
          </w:tcPr>
          <w:p w:rsidR="00E05F89" w:rsidRPr="0087389D" w:rsidRDefault="00E17B2F" w:rsidP="0087389D">
            <w:pPr>
              <w:pStyle w:val="af2"/>
              <w:adjustRightInd w:val="0"/>
              <w:snapToGrid w:val="0"/>
              <w:spacing w:before="0" w:beforeAutospacing="0" w:after="0" w:afterAutospacing="0" w:line="360" w:lineRule="auto"/>
              <w:jc w:val="right"/>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0.0006%</w:t>
            </w:r>
          </w:p>
        </w:tc>
        <w:tc>
          <w:tcPr>
            <w:tcW w:w="1329" w:type="dxa"/>
            <w:tcBorders>
              <w:top w:val="single" w:sz="4" w:space="0" w:color="000000"/>
              <w:left w:val="single" w:sz="4" w:space="0" w:color="000000"/>
              <w:bottom w:val="single" w:sz="4" w:space="0" w:color="000000"/>
              <w:right w:val="single" w:sz="4" w:space="0" w:color="000000"/>
            </w:tcBorders>
            <w:vAlign w:val="center"/>
          </w:tcPr>
          <w:p w:rsidR="00E05F89" w:rsidRPr="0087389D" w:rsidRDefault="00E17B2F" w:rsidP="0087389D">
            <w:pPr>
              <w:pStyle w:val="af2"/>
              <w:adjustRightInd w:val="0"/>
              <w:snapToGrid w:val="0"/>
              <w:spacing w:before="0" w:beforeAutospacing="0" w:after="0" w:afterAutospacing="0" w:line="360" w:lineRule="auto"/>
              <w:jc w:val="right"/>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1.3781%</w:t>
            </w:r>
          </w:p>
        </w:tc>
        <w:tc>
          <w:tcPr>
            <w:tcW w:w="1329" w:type="dxa"/>
            <w:tcBorders>
              <w:top w:val="single" w:sz="4" w:space="0" w:color="000000"/>
              <w:left w:val="single" w:sz="4" w:space="0" w:color="000000"/>
              <w:bottom w:val="single" w:sz="4" w:space="0" w:color="000000"/>
              <w:right w:val="single" w:sz="4" w:space="0" w:color="000000"/>
            </w:tcBorders>
            <w:vAlign w:val="center"/>
          </w:tcPr>
          <w:p w:rsidR="00E05F89" w:rsidRPr="0087389D" w:rsidRDefault="00E17B2F" w:rsidP="0087389D">
            <w:pPr>
              <w:pStyle w:val="af2"/>
              <w:adjustRightInd w:val="0"/>
              <w:snapToGrid w:val="0"/>
              <w:spacing w:before="0" w:beforeAutospacing="0" w:after="0" w:afterAutospacing="0" w:line="360" w:lineRule="auto"/>
              <w:jc w:val="right"/>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0.0000%</w:t>
            </w:r>
          </w:p>
        </w:tc>
        <w:tc>
          <w:tcPr>
            <w:tcW w:w="1329" w:type="dxa"/>
            <w:tcBorders>
              <w:top w:val="single" w:sz="4" w:space="0" w:color="000000"/>
              <w:left w:val="single" w:sz="4" w:space="0" w:color="000000"/>
              <w:bottom w:val="single" w:sz="4" w:space="0" w:color="000000"/>
              <w:right w:val="single" w:sz="4" w:space="0" w:color="000000"/>
            </w:tcBorders>
            <w:vAlign w:val="center"/>
          </w:tcPr>
          <w:p w:rsidR="00E05F89" w:rsidRPr="0087389D" w:rsidRDefault="00E17B2F" w:rsidP="0087389D">
            <w:pPr>
              <w:pStyle w:val="af2"/>
              <w:adjustRightInd w:val="0"/>
              <w:snapToGrid w:val="0"/>
              <w:spacing w:before="0" w:beforeAutospacing="0" w:after="0" w:afterAutospacing="0" w:line="360" w:lineRule="auto"/>
              <w:jc w:val="right"/>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1.4974%</w:t>
            </w:r>
          </w:p>
        </w:tc>
        <w:tc>
          <w:tcPr>
            <w:tcW w:w="1329" w:type="dxa"/>
            <w:tcBorders>
              <w:top w:val="single" w:sz="4" w:space="0" w:color="000000"/>
              <w:left w:val="single" w:sz="4" w:space="0" w:color="000000"/>
              <w:bottom w:val="single" w:sz="4" w:space="0" w:color="000000"/>
              <w:right w:val="single" w:sz="4" w:space="0" w:color="000000"/>
            </w:tcBorders>
            <w:vAlign w:val="center"/>
          </w:tcPr>
          <w:p w:rsidR="00E05F89" w:rsidRPr="0087389D" w:rsidRDefault="00E17B2F" w:rsidP="0087389D">
            <w:pPr>
              <w:pStyle w:val="af2"/>
              <w:adjustRightInd w:val="0"/>
              <w:snapToGrid w:val="0"/>
              <w:spacing w:before="0" w:beforeAutospacing="0" w:after="0" w:afterAutospacing="0" w:line="360" w:lineRule="auto"/>
              <w:jc w:val="right"/>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0.0006%</w:t>
            </w:r>
          </w:p>
        </w:tc>
      </w:tr>
      <w:tr w:rsidR="0087389D" w:rsidRPr="0087389D" w:rsidTr="00593EC0">
        <w:trPr>
          <w:trHeight w:val="987"/>
        </w:trPr>
        <w:tc>
          <w:tcPr>
            <w:tcW w:w="1328" w:type="dxa"/>
            <w:tcBorders>
              <w:top w:val="single" w:sz="4" w:space="0" w:color="000000"/>
              <w:left w:val="single" w:sz="4" w:space="0" w:color="000000"/>
              <w:bottom w:val="single" w:sz="4" w:space="0" w:color="000000"/>
              <w:right w:val="single" w:sz="4" w:space="0" w:color="000000"/>
            </w:tcBorders>
          </w:tcPr>
          <w:p w:rsidR="00E17B2F" w:rsidRPr="0087389D" w:rsidRDefault="00E17B2F" w:rsidP="00E05F89">
            <w:pPr>
              <w:pStyle w:val="af2"/>
              <w:adjustRightInd w:val="0"/>
              <w:snapToGrid w:val="0"/>
              <w:spacing w:before="0" w:beforeAutospacing="0" w:after="0" w:afterAutospacing="0" w:line="360" w:lineRule="auto"/>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hint="eastAsia"/>
                <w:kern w:val="2"/>
                <w:sz w:val="21"/>
                <w:szCs w:val="21"/>
              </w:rPr>
              <w:t>自基金合同生效日至</w:t>
            </w:r>
            <w:r w:rsidRPr="0087389D">
              <w:rPr>
                <w:rFonts w:asciiTheme="minorEastAsia" w:eastAsiaTheme="minorEastAsia" w:hAnsiTheme="minorEastAsia" w:cs="Times New Roman"/>
                <w:kern w:val="2"/>
                <w:sz w:val="21"/>
                <w:szCs w:val="21"/>
              </w:rPr>
              <w:t>2019年12月31日</w:t>
            </w:r>
          </w:p>
        </w:tc>
        <w:tc>
          <w:tcPr>
            <w:tcW w:w="1329" w:type="dxa"/>
            <w:tcBorders>
              <w:top w:val="single" w:sz="4" w:space="0" w:color="000000"/>
              <w:left w:val="single" w:sz="4" w:space="0" w:color="000000"/>
              <w:bottom w:val="single" w:sz="4" w:space="0" w:color="000000"/>
              <w:right w:val="single" w:sz="4" w:space="0" w:color="000000"/>
            </w:tcBorders>
            <w:vAlign w:val="center"/>
          </w:tcPr>
          <w:p w:rsidR="00E17B2F" w:rsidRPr="0087389D" w:rsidRDefault="00E17B2F" w:rsidP="0087389D">
            <w:pPr>
              <w:pStyle w:val="af2"/>
              <w:adjustRightInd w:val="0"/>
              <w:snapToGrid w:val="0"/>
              <w:spacing w:before="0" w:beforeAutospacing="0" w:after="0" w:afterAutospacing="0" w:line="360" w:lineRule="auto"/>
              <w:jc w:val="right"/>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22.7940%</w:t>
            </w:r>
          </w:p>
        </w:tc>
        <w:tc>
          <w:tcPr>
            <w:tcW w:w="1329" w:type="dxa"/>
            <w:tcBorders>
              <w:top w:val="single" w:sz="4" w:space="0" w:color="000000"/>
              <w:left w:val="single" w:sz="4" w:space="0" w:color="000000"/>
              <w:bottom w:val="single" w:sz="4" w:space="0" w:color="000000"/>
              <w:right w:val="single" w:sz="4" w:space="0" w:color="000000"/>
            </w:tcBorders>
            <w:vAlign w:val="center"/>
          </w:tcPr>
          <w:p w:rsidR="00E17B2F" w:rsidRPr="0087389D" w:rsidRDefault="00E17B2F" w:rsidP="0087389D">
            <w:pPr>
              <w:pStyle w:val="af2"/>
              <w:adjustRightInd w:val="0"/>
              <w:snapToGrid w:val="0"/>
              <w:spacing w:before="0" w:beforeAutospacing="0" w:after="0" w:afterAutospacing="0" w:line="360" w:lineRule="auto"/>
              <w:jc w:val="right"/>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0.0024%</w:t>
            </w:r>
          </w:p>
        </w:tc>
        <w:tc>
          <w:tcPr>
            <w:tcW w:w="1329" w:type="dxa"/>
            <w:tcBorders>
              <w:top w:val="single" w:sz="4" w:space="0" w:color="000000"/>
              <w:left w:val="single" w:sz="4" w:space="0" w:color="000000"/>
              <w:bottom w:val="single" w:sz="4" w:space="0" w:color="000000"/>
              <w:right w:val="single" w:sz="4" w:space="0" w:color="000000"/>
            </w:tcBorders>
            <w:vAlign w:val="center"/>
          </w:tcPr>
          <w:p w:rsidR="00E17B2F" w:rsidRPr="0087389D" w:rsidRDefault="00E17B2F" w:rsidP="0087389D">
            <w:pPr>
              <w:pStyle w:val="af2"/>
              <w:adjustRightInd w:val="0"/>
              <w:snapToGrid w:val="0"/>
              <w:spacing w:before="0" w:beforeAutospacing="0" w:after="0" w:afterAutospacing="0" w:line="360" w:lineRule="auto"/>
              <w:jc w:val="right"/>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7.8853%</w:t>
            </w:r>
          </w:p>
        </w:tc>
        <w:tc>
          <w:tcPr>
            <w:tcW w:w="1329" w:type="dxa"/>
            <w:tcBorders>
              <w:top w:val="single" w:sz="4" w:space="0" w:color="000000"/>
              <w:left w:val="single" w:sz="4" w:space="0" w:color="000000"/>
              <w:bottom w:val="single" w:sz="4" w:space="0" w:color="000000"/>
              <w:right w:val="single" w:sz="4" w:space="0" w:color="000000"/>
            </w:tcBorders>
            <w:vAlign w:val="center"/>
          </w:tcPr>
          <w:p w:rsidR="00E17B2F" w:rsidRPr="0087389D" w:rsidRDefault="00E17B2F" w:rsidP="0087389D">
            <w:pPr>
              <w:pStyle w:val="af2"/>
              <w:adjustRightInd w:val="0"/>
              <w:snapToGrid w:val="0"/>
              <w:spacing w:before="0" w:beforeAutospacing="0" w:after="0" w:afterAutospacing="0" w:line="360" w:lineRule="auto"/>
              <w:jc w:val="right"/>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0.0000%</w:t>
            </w:r>
          </w:p>
        </w:tc>
        <w:tc>
          <w:tcPr>
            <w:tcW w:w="1329" w:type="dxa"/>
            <w:tcBorders>
              <w:top w:val="single" w:sz="4" w:space="0" w:color="000000"/>
              <w:left w:val="single" w:sz="4" w:space="0" w:color="000000"/>
              <w:bottom w:val="single" w:sz="4" w:space="0" w:color="000000"/>
              <w:right w:val="single" w:sz="4" w:space="0" w:color="000000"/>
            </w:tcBorders>
            <w:vAlign w:val="center"/>
          </w:tcPr>
          <w:p w:rsidR="00E17B2F" w:rsidRPr="0087389D" w:rsidRDefault="00E17B2F" w:rsidP="0087389D">
            <w:pPr>
              <w:pStyle w:val="af2"/>
              <w:adjustRightInd w:val="0"/>
              <w:snapToGrid w:val="0"/>
              <w:spacing w:before="0" w:beforeAutospacing="0" w:after="0" w:afterAutospacing="0" w:line="360" w:lineRule="auto"/>
              <w:jc w:val="right"/>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14.9087%</w:t>
            </w:r>
          </w:p>
        </w:tc>
        <w:tc>
          <w:tcPr>
            <w:tcW w:w="1329" w:type="dxa"/>
            <w:tcBorders>
              <w:top w:val="single" w:sz="4" w:space="0" w:color="000000"/>
              <w:left w:val="single" w:sz="4" w:space="0" w:color="000000"/>
              <w:bottom w:val="single" w:sz="4" w:space="0" w:color="000000"/>
              <w:right w:val="single" w:sz="4" w:space="0" w:color="000000"/>
            </w:tcBorders>
            <w:vAlign w:val="center"/>
          </w:tcPr>
          <w:p w:rsidR="00E17B2F" w:rsidRPr="0087389D" w:rsidRDefault="00E17B2F" w:rsidP="0087389D">
            <w:pPr>
              <w:pStyle w:val="af2"/>
              <w:adjustRightInd w:val="0"/>
              <w:snapToGrid w:val="0"/>
              <w:spacing w:before="0" w:beforeAutospacing="0" w:after="0" w:afterAutospacing="0" w:line="360" w:lineRule="auto"/>
              <w:jc w:val="right"/>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0.0024%</w:t>
            </w:r>
          </w:p>
        </w:tc>
      </w:tr>
    </w:tbl>
    <w:p w:rsidR="00E46656" w:rsidRPr="0087389D" w:rsidRDefault="008141EA" w:rsidP="00555CE7">
      <w:pPr>
        <w:pStyle w:val="22"/>
        <w:snapToGrid w:val="0"/>
        <w:spacing w:before="0"/>
        <w:ind w:firstLine="402"/>
        <w:rPr>
          <w:rFonts w:asciiTheme="minorEastAsia" w:eastAsiaTheme="minorEastAsia" w:hAnsiTheme="minorEastAsia"/>
          <w:color w:val="auto"/>
          <w:sz w:val="21"/>
          <w:szCs w:val="21"/>
        </w:rPr>
      </w:pPr>
      <w:r w:rsidRPr="0087389D">
        <w:rPr>
          <w:rFonts w:asciiTheme="minorEastAsia" w:eastAsiaTheme="minorEastAsia" w:hAnsiTheme="minorEastAsia" w:hint="eastAsia"/>
          <w:color w:val="auto"/>
          <w:sz w:val="21"/>
          <w:szCs w:val="21"/>
        </w:rPr>
        <w:t>3</w:t>
      </w:r>
      <w:r w:rsidRPr="0087389D">
        <w:rPr>
          <w:rFonts w:asciiTheme="minorEastAsia" w:eastAsiaTheme="minorEastAsia" w:hAnsiTheme="minorEastAsia"/>
          <w:color w:val="auto"/>
          <w:sz w:val="21"/>
          <w:szCs w:val="21"/>
        </w:rPr>
        <w:t>、</w:t>
      </w:r>
      <w:r w:rsidR="00E46656" w:rsidRPr="0087389D">
        <w:rPr>
          <w:rFonts w:asciiTheme="minorEastAsia" w:eastAsiaTheme="minorEastAsia" w:hAnsiTheme="minorEastAsia" w:hint="eastAsia"/>
          <w:color w:val="auto"/>
          <w:sz w:val="21"/>
          <w:szCs w:val="21"/>
        </w:rPr>
        <w:t>易方达财富快线货币Y</w:t>
      </w:r>
      <w:r w:rsidRPr="0087389D">
        <w:rPr>
          <w:rFonts w:asciiTheme="minorEastAsia" w:eastAsiaTheme="minorEastAsia" w:hAnsiTheme="minorEastAsia" w:hint="eastAsia"/>
          <w:color w:val="auto"/>
          <w:sz w:val="21"/>
          <w:szCs w:val="21"/>
        </w:rPr>
        <w:t>类基金份额净值增长率与同期业绩比较基准收益率比较</w:t>
      </w:r>
    </w:p>
    <w:tbl>
      <w:tblPr>
        <w:tblW w:w="9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1131"/>
        <w:gridCol w:w="1329"/>
        <w:gridCol w:w="1329"/>
        <w:gridCol w:w="1329"/>
        <w:gridCol w:w="1329"/>
        <w:gridCol w:w="1329"/>
      </w:tblGrid>
      <w:tr w:rsidR="002E06F4" w:rsidRPr="0087389D" w:rsidTr="004F28E1">
        <w:trPr>
          <w:trHeight w:val="1245"/>
        </w:trPr>
        <w:tc>
          <w:tcPr>
            <w:tcW w:w="1526" w:type="dxa"/>
            <w:tcBorders>
              <w:top w:val="single" w:sz="4" w:space="0" w:color="000000"/>
              <w:left w:val="single" w:sz="4" w:space="0" w:color="000000"/>
              <w:bottom w:val="single" w:sz="4" w:space="0" w:color="000000"/>
              <w:right w:val="single" w:sz="4" w:space="0" w:color="000000"/>
            </w:tcBorders>
            <w:vAlign w:val="center"/>
            <w:hideMark/>
          </w:tcPr>
          <w:p w:rsidR="00E46656" w:rsidRPr="0087389D" w:rsidRDefault="00E46656"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hint="eastAsia"/>
                <w:kern w:val="2"/>
                <w:sz w:val="21"/>
                <w:szCs w:val="21"/>
              </w:rPr>
              <w:lastRenderedPageBreak/>
              <w:t>阶段</w:t>
            </w:r>
          </w:p>
        </w:tc>
        <w:tc>
          <w:tcPr>
            <w:tcW w:w="1131" w:type="dxa"/>
            <w:tcBorders>
              <w:top w:val="single" w:sz="4" w:space="0" w:color="000000"/>
              <w:left w:val="single" w:sz="4" w:space="0" w:color="000000"/>
              <w:bottom w:val="single" w:sz="4" w:space="0" w:color="000000"/>
              <w:right w:val="single" w:sz="4" w:space="0" w:color="000000"/>
            </w:tcBorders>
            <w:vAlign w:val="center"/>
            <w:hideMark/>
          </w:tcPr>
          <w:p w:rsidR="00E46656" w:rsidRPr="0087389D" w:rsidRDefault="00B56DC7"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hint="eastAsia"/>
                <w:kern w:val="2"/>
                <w:sz w:val="21"/>
                <w:szCs w:val="21"/>
              </w:rPr>
              <w:t>份额净值收益率</w:t>
            </w:r>
            <w:r w:rsidR="00E46656" w:rsidRPr="0087389D">
              <w:rPr>
                <w:rFonts w:asciiTheme="minorEastAsia" w:eastAsiaTheme="minorEastAsia" w:hAnsiTheme="minorEastAsia" w:cs="Times New Roman" w:hint="eastAsia"/>
                <w:kern w:val="2"/>
                <w:sz w:val="21"/>
                <w:szCs w:val="21"/>
              </w:rPr>
              <w:t>①</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E46656" w:rsidRPr="0087389D" w:rsidRDefault="00B56DC7"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hint="eastAsia"/>
                <w:kern w:val="2"/>
                <w:sz w:val="21"/>
                <w:szCs w:val="21"/>
              </w:rPr>
              <w:t>份额净值收益率</w:t>
            </w:r>
            <w:r w:rsidR="00E46656" w:rsidRPr="0087389D">
              <w:rPr>
                <w:rFonts w:asciiTheme="minorEastAsia" w:eastAsiaTheme="minorEastAsia" w:hAnsiTheme="minorEastAsia" w:cs="Times New Roman" w:hint="eastAsia"/>
                <w:kern w:val="2"/>
                <w:sz w:val="21"/>
                <w:szCs w:val="21"/>
              </w:rPr>
              <w:t>标准差②</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E46656" w:rsidRPr="0087389D" w:rsidRDefault="00E46656"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hint="eastAsia"/>
                <w:kern w:val="2"/>
                <w:sz w:val="21"/>
                <w:szCs w:val="21"/>
              </w:rPr>
              <w:t>业绩比较基准收益率③</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E46656" w:rsidRPr="0087389D" w:rsidRDefault="00E46656"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hint="eastAsia"/>
                <w:kern w:val="2"/>
                <w:sz w:val="21"/>
                <w:szCs w:val="21"/>
              </w:rPr>
              <w:t>业绩比较基准收益率标准差④</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E46656" w:rsidRPr="0087389D" w:rsidRDefault="00E46656"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hint="eastAsia"/>
                <w:kern w:val="2"/>
                <w:sz w:val="21"/>
                <w:szCs w:val="21"/>
              </w:rPr>
              <w:t>①-③</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E46656" w:rsidRPr="0087389D" w:rsidRDefault="00E46656"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hint="eastAsia"/>
                <w:kern w:val="2"/>
                <w:sz w:val="21"/>
                <w:szCs w:val="21"/>
              </w:rPr>
              <w:t>②-④</w:t>
            </w:r>
          </w:p>
        </w:tc>
      </w:tr>
      <w:tr w:rsidR="002E06F4" w:rsidRPr="0087389D" w:rsidTr="004F28E1">
        <w:trPr>
          <w:trHeight w:val="823"/>
        </w:trPr>
        <w:tc>
          <w:tcPr>
            <w:tcW w:w="1526" w:type="dxa"/>
            <w:tcBorders>
              <w:top w:val="single" w:sz="4" w:space="0" w:color="000000"/>
              <w:left w:val="single" w:sz="4" w:space="0" w:color="000000"/>
              <w:bottom w:val="single" w:sz="4" w:space="0" w:color="000000"/>
              <w:right w:val="single" w:sz="4" w:space="0" w:color="000000"/>
            </w:tcBorders>
            <w:vAlign w:val="center"/>
            <w:hideMark/>
          </w:tcPr>
          <w:p w:rsidR="00B47834" w:rsidRPr="0087389D" w:rsidRDefault="004F28E1" w:rsidP="004F28E1">
            <w:pPr>
              <w:pStyle w:val="af2"/>
              <w:adjustRightInd w:val="0"/>
              <w:snapToGrid w:val="0"/>
              <w:spacing w:before="0" w:beforeAutospacing="0" w:after="0" w:afterAutospacing="0" w:line="360" w:lineRule="auto"/>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hint="eastAsia"/>
                <w:kern w:val="2"/>
                <w:sz w:val="21"/>
                <w:szCs w:val="21"/>
              </w:rPr>
              <w:t>2014年12月5日</w:t>
            </w:r>
            <w:r w:rsidR="00B47834" w:rsidRPr="0087389D">
              <w:rPr>
                <w:rFonts w:asciiTheme="minorEastAsia" w:eastAsiaTheme="minorEastAsia" w:hAnsiTheme="minorEastAsia" w:cs="Times New Roman" w:hint="eastAsia"/>
                <w:kern w:val="2"/>
                <w:sz w:val="21"/>
                <w:szCs w:val="21"/>
              </w:rPr>
              <w:t>至2014年12月31日</w:t>
            </w:r>
          </w:p>
        </w:tc>
        <w:tc>
          <w:tcPr>
            <w:tcW w:w="1131" w:type="dxa"/>
            <w:tcBorders>
              <w:top w:val="single" w:sz="4" w:space="0" w:color="000000"/>
              <w:left w:val="single" w:sz="4" w:space="0" w:color="000000"/>
              <w:bottom w:val="single" w:sz="4" w:space="0" w:color="000000"/>
              <w:right w:val="single" w:sz="4" w:space="0" w:color="000000"/>
            </w:tcBorders>
            <w:vAlign w:val="center"/>
            <w:hideMark/>
          </w:tcPr>
          <w:p w:rsidR="00B47834" w:rsidRPr="0087389D" w:rsidRDefault="00B47834"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0.3111%</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B47834" w:rsidRPr="0087389D" w:rsidRDefault="00B47834"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0.0025%</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B47834" w:rsidRPr="0087389D" w:rsidRDefault="00B47834"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0.1013%</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B47834" w:rsidRPr="0087389D" w:rsidRDefault="00B47834" w:rsidP="00555CE7">
            <w:pPr>
              <w:snapToGrid w:val="0"/>
              <w:spacing w:line="360" w:lineRule="auto"/>
              <w:jc w:val="center"/>
              <w:rPr>
                <w:rFonts w:asciiTheme="minorEastAsia" w:eastAsiaTheme="minorEastAsia" w:hAnsiTheme="minorEastAsia"/>
                <w:szCs w:val="21"/>
              </w:rPr>
            </w:pPr>
            <w:r w:rsidRPr="0087389D">
              <w:rPr>
                <w:rFonts w:asciiTheme="minorEastAsia" w:eastAsiaTheme="minorEastAsia" w:hAnsiTheme="minorEastAsia"/>
                <w:szCs w:val="21"/>
              </w:rPr>
              <w:t>0.0000%</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B47834" w:rsidRPr="0087389D" w:rsidRDefault="00B47834" w:rsidP="00555CE7">
            <w:pPr>
              <w:snapToGrid w:val="0"/>
              <w:spacing w:line="360" w:lineRule="auto"/>
              <w:jc w:val="center"/>
              <w:rPr>
                <w:rFonts w:asciiTheme="minorEastAsia" w:eastAsiaTheme="minorEastAsia" w:hAnsiTheme="minorEastAsia"/>
                <w:szCs w:val="21"/>
              </w:rPr>
            </w:pPr>
            <w:r w:rsidRPr="0087389D">
              <w:rPr>
                <w:rFonts w:asciiTheme="minorEastAsia" w:eastAsiaTheme="minorEastAsia" w:hAnsiTheme="minorEastAsia"/>
                <w:szCs w:val="21"/>
              </w:rPr>
              <w:t>0.2098%</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B47834" w:rsidRPr="0087389D" w:rsidRDefault="00B47834" w:rsidP="00555CE7">
            <w:pPr>
              <w:snapToGrid w:val="0"/>
              <w:spacing w:line="360" w:lineRule="auto"/>
              <w:jc w:val="center"/>
              <w:rPr>
                <w:rFonts w:asciiTheme="minorEastAsia" w:eastAsiaTheme="minorEastAsia" w:hAnsiTheme="minorEastAsia"/>
                <w:szCs w:val="21"/>
              </w:rPr>
            </w:pPr>
            <w:r w:rsidRPr="0087389D">
              <w:rPr>
                <w:rFonts w:asciiTheme="minorEastAsia" w:eastAsiaTheme="minorEastAsia" w:hAnsiTheme="minorEastAsia"/>
                <w:szCs w:val="21"/>
              </w:rPr>
              <w:t>0.0025%</w:t>
            </w:r>
          </w:p>
        </w:tc>
      </w:tr>
      <w:tr w:rsidR="002E06F4" w:rsidRPr="0087389D" w:rsidTr="004F28E1">
        <w:trPr>
          <w:trHeight w:val="823"/>
        </w:trPr>
        <w:tc>
          <w:tcPr>
            <w:tcW w:w="1526" w:type="dxa"/>
            <w:tcBorders>
              <w:top w:val="single" w:sz="4" w:space="0" w:color="000000"/>
              <w:left w:val="single" w:sz="4" w:space="0" w:color="000000"/>
              <w:bottom w:val="single" w:sz="4" w:space="0" w:color="000000"/>
              <w:right w:val="single" w:sz="4" w:space="0" w:color="000000"/>
            </w:tcBorders>
            <w:vAlign w:val="center"/>
            <w:hideMark/>
          </w:tcPr>
          <w:p w:rsidR="00E25C35" w:rsidRPr="0087389D" w:rsidRDefault="00E25C35" w:rsidP="004F28E1">
            <w:pPr>
              <w:pStyle w:val="af2"/>
              <w:adjustRightInd w:val="0"/>
              <w:snapToGrid w:val="0"/>
              <w:spacing w:before="0" w:beforeAutospacing="0" w:after="0" w:afterAutospacing="0" w:line="360" w:lineRule="auto"/>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hint="eastAsia"/>
                <w:kern w:val="2"/>
                <w:sz w:val="21"/>
                <w:szCs w:val="21"/>
              </w:rPr>
              <w:t>2015年1月1日至2015年</w:t>
            </w:r>
            <w:r w:rsidRPr="0087389D">
              <w:rPr>
                <w:rFonts w:asciiTheme="minorEastAsia" w:eastAsiaTheme="minorEastAsia" w:hAnsiTheme="minorEastAsia" w:cs="Times New Roman"/>
                <w:kern w:val="2"/>
                <w:sz w:val="21"/>
                <w:szCs w:val="21"/>
              </w:rPr>
              <w:t>12</w:t>
            </w:r>
            <w:r w:rsidRPr="0087389D">
              <w:rPr>
                <w:rFonts w:asciiTheme="minorEastAsia" w:eastAsiaTheme="minorEastAsia" w:hAnsiTheme="minorEastAsia" w:cs="Times New Roman" w:hint="eastAsia"/>
                <w:kern w:val="2"/>
                <w:sz w:val="21"/>
                <w:szCs w:val="21"/>
              </w:rPr>
              <w:t>月3</w:t>
            </w:r>
            <w:r w:rsidRPr="0087389D">
              <w:rPr>
                <w:rFonts w:asciiTheme="minorEastAsia" w:eastAsiaTheme="minorEastAsia" w:hAnsiTheme="minorEastAsia" w:cs="Times New Roman"/>
                <w:kern w:val="2"/>
                <w:sz w:val="21"/>
                <w:szCs w:val="21"/>
              </w:rPr>
              <w:t>1</w:t>
            </w:r>
            <w:r w:rsidRPr="0087389D">
              <w:rPr>
                <w:rFonts w:asciiTheme="minorEastAsia" w:eastAsiaTheme="minorEastAsia" w:hAnsiTheme="minorEastAsia" w:cs="Times New Roman" w:hint="eastAsia"/>
                <w:kern w:val="2"/>
                <w:sz w:val="21"/>
                <w:szCs w:val="21"/>
              </w:rPr>
              <w:t>日</w:t>
            </w:r>
          </w:p>
        </w:tc>
        <w:tc>
          <w:tcPr>
            <w:tcW w:w="1131" w:type="dxa"/>
            <w:tcBorders>
              <w:top w:val="single" w:sz="4" w:space="0" w:color="000000"/>
              <w:left w:val="single" w:sz="4" w:space="0" w:color="000000"/>
              <w:bottom w:val="single" w:sz="4" w:space="0" w:color="000000"/>
              <w:right w:val="single" w:sz="4" w:space="0" w:color="000000"/>
            </w:tcBorders>
            <w:vAlign w:val="center"/>
            <w:hideMark/>
          </w:tcPr>
          <w:p w:rsidR="00E25C35" w:rsidRPr="0087389D" w:rsidRDefault="00CA0FD1"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3.8058%</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E25C35" w:rsidRPr="0087389D" w:rsidRDefault="00CA0FD1"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0.0032%</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E25C35" w:rsidRPr="0087389D" w:rsidRDefault="00CA0FD1"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1.3781%</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E25C35" w:rsidRPr="0087389D" w:rsidRDefault="00CA0FD1" w:rsidP="00555CE7">
            <w:pPr>
              <w:snapToGrid w:val="0"/>
              <w:spacing w:line="360" w:lineRule="auto"/>
              <w:jc w:val="center"/>
              <w:rPr>
                <w:rFonts w:asciiTheme="minorEastAsia" w:eastAsiaTheme="minorEastAsia" w:hAnsiTheme="minorEastAsia"/>
                <w:szCs w:val="21"/>
              </w:rPr>
            </w:pPr>
            <w:r w:rsidRPr="0087389D">
              <w:rPr>
                <w:rFonts w:asciiTheme="minorEastAsia" w:eastAsiaTheme="minorEastAsia" w:hAnsiTheme="minorEastAsia"/>
                <w:szCs w:val="21"/>
              </w:rPr>
              <w:t>0.0000%</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E25C35" w:rsidRPr="0087389D" w:rsidRDefault="00CA0FD1" w:rsidP="00555CE7">
            <w:pPr>
              <w:snapToGrid w:val="0"/>
              <w:spacing w:line="360" w:lineRule="auto"/>
              <w:jc w:val="center"/>
              <w:rPr>
                <w:rFonts w:asciiTheme="minorEastAsia" w:eastAsiaTheme="minorEastAsia" w:hAnsiTheme="minorEastAsia"/>
                <w:szCs w:val="21"/>
              </w:rPr>
            </w:pPr>
            <w:r w:rsidRPr="0087389D">
              <w:rPr>
                <w:rFonts w:asciiTheme="minorEastAsia" w:eastAsiaTheme="minorEastAsia" w:hAnsiTheme="minorEastAsia"/>
                <w:szCs w:val="21"/>
              </w:rPr>
              <w:t>2.4277%</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E25C35" w:rsidRPr="0087389D" w:rsidRDefault="00CA0FD1" w:rsidP="00555CE7">
            <w:pPr>
              <w:snapToGrid w:val="0"/>
              <w:spacing w:line="360" w:lineRule="auto"/>
              <w:jc w:val="center"/>
              <w:rPr>
                <w:rFonts w:asciiTheme="minorEastAsia" w:eastAsiaTheme="minorEastAsia" w:hAnsiTheme="minorEastAsia"/>
                <w:szCs w:val="21"/>
              </w:rPr>
            </w:pPr>
            <w:r w:rsidRPr="0087389D">
              <w:rPr>
                <w:rFonts w:asciiTheme="minorEastAsia" w:eastAsiaTheme="minorEastAsia" w:hAnsiTheme="minorEastAsia"/>
                <w:szCs w:val="21"/>
              </w:rPr>
              <w:t>0.0032%</w:t>
            </w:r>
          </w:p>
        </w:tc>
      </w:tr>
      <w:tr w:rsidR="002E06F4" w:rsidRPr="0087389D" w:rsidTr="004F28E1">
        <w:trPr>
          <w:trHeight w:val="987"/>
        </w:trPr>
        <w:tc>
          <w:tcPr>
            <w:tcW w:w="1526" w:type="dxa"/>
            <w:tcBorders>
              <w:top w:val="single" w:sz="4" w:space="0" w:color="000000"/>
              <w:left w:val="single" w:sz="4" w:space="0" w:color="000000"/>
              <w:bottom w:val="single" w:sz="4" w:space="0" w:color="000000"/>
              <w:right w:val="single" w:sz="4" w:space="0" w:color="000000"/>
            </w:tcBorders>
            <w:vAlign w:val="center"/>
          </w:tcPr>
          <w:p w:rsidR="00DB17CC" w:rsidRPr="0087389D" w:rsidRDefault="00DB17CC" w:rsidP="004F28E1">
            <w:pPr>
              <w:pStyle w:val="af2"/>
              <w:adjustRightInd w:val="0"/>
              <w:snapToGrid w:val="0"/>
              <w:spacing w:before="0" w:beforeAutospacing="0" w:after="0" w:afterAutospacing="0" w:line="360" w:lineRule="auto"/>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2016</w:t>
            </w:r>
            <w:r w:rsidRPr="0087389D">
              <w:rPr>
                <w:rFonts w:asciiTheme="minorEastAsia" w:eastAsiaTheme="minorEastAsia" w:hAnsiTheme="minorEastAsia" w:cs="Times New Roman" w:hint="eastAsia"/>
                <w:kern w:val="2"/>
                <w:sz w:val="21"/>
                <w:szCs w:val="21"/>
              </w:rPr>
              <w:t>年</w:t>
            </w:r>
            <w:r w:rsidRPr="0087389D">
              <w:rPr>
                <w:rFonts w:asciiTheme="minorEastAsia" w:eastAsiaTheme="minorEastAsia" w:hAnsiTheme="minorEastAsia" w:cs="Times New Roman"/>
                <w:kern w:val="2"/>
                <w:sz w:val="21"/>
                <w:szCs w:val="21"/>
              </w:rPr>
              <w:t>1月1日至2016年12</w:t>
            </w:r>
            <w:r w:rsidRPr="0087389D">
              <w:rPr>
                <w:rFonts w:asciiTheme="minorEastAsia" w:eastAsiaTheme="minorEastAsia" w:hAnsiTheme="minorEastAsia" w:cs="Times New Roman" w:hint="eastAsia"/>
                <w:kern w:val="2"/>
                <w:sz w:val="21"/>
                <w:szCs w:val="21"/>
              </w:rPr>
              <w:t>月</w:t>
            </w:r>
            <w:r w:rsidRPr="0087389D">
              <w:rPr>
                <w:rFonts w:asciiTheme="minorEastAsia" w:eastAsiaTheme="minorEastAsia" w:hAnsiTheme="minorEastAsia" w:cs="Times New Roman"/>
                <w:kern w:val="2"/>
                <w:sz w:val="21"/>
                <w:szCs w:val="21"/>
              </w:rPr>
              <w:t>31</w:t>
            </w:r>
            <w:r w:rsidRPr="0087389D">
              <w:rPr>
                <w:rFonts w:asciiTheme="minorEastAsia" w:eastAsiaTheme="minorEastAsia" w:hAnsiTheme="minorEastAsia" w:cs="Times New Roman" w:hint="eastAsia"/>
                <w:kern w:val="2"/>
                <w:sz w:val="21"/>
                <w:szCs w:val="21"/>
              </w:rPr>
              <w:t>日</w:t>
            </w:r>
          </w:p>
        </w:tc>
        <w:tc>
          <w:tcPr>
            <w:tcW w:w="1131" w:type="dxa"/>
            <w:tcBorders>
              <w:top w:val="single" w:sz="4" w:space="0" w:color="000000"/>
              <w:left w:val="single" w:sz="4" w:space="0" w:color="000000"/>
              <w:bottom w:val="single" w:sz="4" w:space="0" w:color="000000"/>
              <w:right w:val="single" w:sz="4" w:space="0" w:color="000000"/>
            </w:tcBorders>
            <w:vAlign w:val="center"/>
          </w:tcPr>
          <w:p w:rsidR="00DB17CC" w:rsidRPr="0087389D" w:rsidRDefault="00DB17CC"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2.9374%</w:t>
            </w:r>
          </w:p>
        </w:tc>
        <w:tc>
          <w:tcPr>
            <w:tcW w:w="1329" w:type="dxa"/>
            <w:tcBorders>
              <w:top w:val="single" w:sz="4" w:space="0" w:color="000000"/>
              <w:left w:val="single" w:sz="4" w:space="0" w:color="000000"/>
              <w:bottom w:val="single" w:sz="4" w:space="0" w:color="000000"/>
              <w:right w:val="single" w:sz="4" w:space="0" w:color="000000"/>
            </w:tcBorders>
            <w:vAlign w:val="center"/>
          </w:tcPr>
          <w:p w:rsidR="00DB17CC" w:rsidRPr="0087389D" w:rsidRDefault="00DB17CC"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0.0015%</w:t>
            </w:r>
          </w:p>
        </w:tc>
        <w:tc>
          <w:tcPr>
            <w:tcW w:w="1329" w:type="dxa"/>
            <w:tcBorders>
              <w:top w:val="single" w:sz="4" w:space="0" w:color="000000"/>
              <w:left w:val="single" w:sz="4" w:space="0" w:color="000000"/>
              <w:bottom w:val="single" w:sz="4" w:space="0" w:color="000000"/>
              <w:right w:val="single" w:sz="4" w:space="0" w:color="000000"/>
            </w:tcBorders>
            <w:vAlign w:val="center"/>
          </w:tcPr>
          <w:p w:rsidR="00DB17CC" w:rsidRPr="0087389D" w:rsidRDefault="00DB17CC"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1.3819%</w:t>
            </w:r>
          </w:p>
        </w:tc>
        <w:tc>
          <w:tcPr>
            <w:tcW w:w="1329" w:type="dxa"/>
            <w:tcBorders>
              <w:top w:val="single" w:sz="4" w:space="0" w:color="000000"/>
              <w:left w:val="single" w:sz="4" w:space="0" w:color="000000"/>
              <w:bottom w:val="single" w:sz="4" w:space="0" w:color="000000"/>
              <w:right w:val="single" w:sz="4" w:space="0" w:color="000000"/>
            </w:tcBorders>
            <w:vAlign w:val="center"/>
          </w:tcPr>
          <w:p w:rsidR="00DB17CC" w:rsidRPr="0087389D" w:rsidRDefault="00DB17CC"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0.0000%</w:t>
            </w:r>
          </w:p>
        </w:tc>
        <w:tc>
          <w:tcPr>
            <w:tcW w:w="1329" w:type="dxa"/>
            <w:tcBorders>
              <w:top w:val="single" w:sz="4" w:space="0" w:color="000000"/>
              <w:left w:val="single" w:sz="4" w:space="0" w:color="000000"/>
              <w:bottom w:val="single" w:sz="4" w:space="0" w:color="000000"/>
              <w:right w:val="single" w:sz="4" w:space="0" w:color="000000"/>
            </w:tcBorders>
            <w:vAlign w:val="center"/>
          </w:tcPr>
          <w:p w:rsidR="00DB17CC" w:rsidRPr="0087389D" w:rsidRDefault="00DB17CC"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1.5555%</w:t>
            </w:r>
          </w:p>
        </w:tc>
        <w:tc>
          <w:tcPr>
            <w:tcW w:w="1329" w:type="dxa"/>
            <w:tcBorders>
              <w:top w:val="single" w:sz="4" w:space="0" w:color="000000"/>
              <w:left w:val="single" w:sz="4" w:space="0" w:color="000000"/>
              <w:bottom w:val="single" w:sz="4" w:space="0" w:color="000000"/>
              <w:right w:val="single" w:sz="4" w:space="0" w:color="000000"/>
            </w:tcBorders>
            <w:vAlign w:val="center"/>
          </w:tcPr>
          <w:p w:rsidR="00DB17CC" w:rsidRPr="0087389D" w:rsidRDefault="00DB17CC" w:rsidP="00555CE7">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0.0015%</w:t>
            </w:r>
          </w:p>
        </w:tc>
      </w:tr>
      <w:tr w:rsidR="002E06F4" w:rsidRPr="0087389D" w:rsidTr="004F28E1">
        <w:trPr>
          <w:trHeight w:val="987"/>
        </w:trPr>
        <w:tc>
          <w:tcPr>
            <w:tcW w:w="1526" w:type="dxa"/>
            <w:tcBorders>
              <w:top w:val="single" w:sz="4" w:space="0" w:color="000000"/>
              <w:left w:val="single" w:sz="4" w:space="0" w:color="000000"/>
              <w:bottom w:val="single" w:sz="4" w:space="0" w:color="000000"/>
              <w:right w:val="single" w:sz="4" w:space="0" w:color="000000"/>
            </w:tcBorders>
            <w:vAlign w:val="center"/>
          </w:tcPr>
          <w:p w:rsidR="00EA010D" w:rsidRPr="0087389D" w:rsidRDefault="00EA010D" w:rsidP="004F28E1">
            <w:pPr>
              <w:pStyle w:val="af2"/>
              <w:adjustRightInd w:val="0"/>
              <w:snapToGrid w:val="0"/>
              <w:spacing w:before="0" w:beforeAutospacing="0" w:after="0" w:afterAutospacing="0" w:line="360" w:lineRule="auto"/>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hint="eastAsia"/>
                <w:kern w:val="2"/>
                <w:sz w:val="21"/>
                <w:szCs w:val="21"/>
              </w:rPr>
              <w:t>201</w:t>
            </w:r>
            <w:r w:rsidRPr="0087389D">
              <w:rPr>
                <w:rFonts w:asciiTheme="minorEastAsia" w:eastAsiaTheme="minorEastAsia" w:hAnsiTheme="minorEastAsia" w:cs="Times New Roman"/>
                <w:kern w:val="2"/>
                <w:sz w:val="21"/>
                <w:szCs w:val="21"/>
              </w:rPr>
              <w:t>7</w:t>
            </w:r>
            <w:r w:rsidRPr="0087389D">
              <w:rPr>
                <w:rFonts w:asciiTheme="minorEastAsia" w:eastAsiaTheme="minorEastAsia" w:hAnsiTheme="minorEastAsia" w:cs="Times New Roman" w:hint="eastAsia"/>
                <w:kern w:val="2"/>
                <w:sz w:val="21"/>
                <w:szCs w:val="21"/>
              </w:rPr>
              <w:t>年1月1日至201</w:t>
            </w:r>
            <w:r w:rsidRPr="0087389D">
              <w:rPr>
                <w:rFonts w:asciiTheme="minorEastAsia" w:eastAsiaTheme="minorEastAsia" w:hAnsiTheme="minorEastAsia" w:cs="Times New Roman"/>
                <w:kern w:val="2"/>
                <w:sz w:val="21"/>
                <w:szCs w:val="21"/>
              </w:rPr>
              <w:t>7</w:t>
            </w:r>
            <w:r w:rsidRPr="0087389D">
              <w:rPr>
                <w:rFonts w:asciiTheme="minorEastAsia" w:eastAsiaTheme="minorEastAsia" w:hAnsiTheme="minorEastAsia" w:cs="Times New Roman" w:hint="eastAsia"/>
                <w:kern w:val="2"/>
                <w:sz w:val="21"/>
                <w:szCs w:val="21"/>
              </w:rPr>
              <w:t>年</w:t>
            </w:r>
            <w:r w:rsidRPr="0087389D">
              <w:rPr>
                <w:rFonts w:asciiTheme="minorEastAsia" w:eastAsiaTheme="minorEastAsia" w:hAnsiTheme="minorEastAsia" w:cs="Times New Roman"/>
                <w:kern w:val="2"/>
                <w:sz w:val="21"/>
                <w:szCs w:val="21"/>
              </w:rPr>
              <w:t>12</w:t>
            </w:r>
            <w:r w:rsidRPr="0087389D">
              <w:rPr>
                <w:rFonts w:asciiTheme="minorEastAsia" w:eastAsiaTheme="minorEastAsia" w:hAnsiTheme="minorEastAsia" w:cs="Times New Roman" w:hint="eastAsia"/>
                <w:kern w:val="2"/>
                <w:sz w:val="21"/>
                <w:szCs w:val="21"/>
              </w:rPr>
              <w:t>月</w:t>
            </w:r>
            <w:r w:rsidRPr="0087389D">
              <w:rPr>
                <w:rFonts w:asciiTheme="minorEastAsia" w:eastAsiaTheme="minorEastAsia" w:hAnsiTheme="minorEastAsia" w:cs="Times New Roman"/>
                <w:kern w:val="2"/>
                <w:sz w:val="21"/>
                <w:szCs w:val="21"/>
              </w:rPr>
              <w:t>31</w:t>
            </w:r>
            <w:r w:rsidRPr="0087389D">
              <w:rPr>
                <w:rFonts w:asciiTheme="minorEastAsia" w:eastAsiaTheme="minorEastAsia" w:hAnsiTheme="minorEastAsia" w:cs="Times New Roman" w:hint="eastAsia"/>
                <w:kern w:val="2"/>
                <w:sz w:val="21"/>
                <w:szCs w:val="21"/>
              </w:rPr>
              <w:t>日</w:t>
            </w:r>
          </w:p>
        </w:tc>
        <w:tc>
          <w:tcPr>
            <w:tcW w:w="1131" w:type="dxa"/>
            <w:tcBorders>
              <w:top w:val="single" w:sz="4" w:space="0" w:color="000000"/>
              <w:left w:val="single" w:sz="4" w:space="0" w:color="000000"/>
              <w:bottom w:val="single" w:sz="4" w:space="0" w:color="000000"/>
              <w:right w:val="single" w:sz="4" w:space="0" w:color="000000"/>
            </w:tcBorders>
            <w:vAlign w:val="center"/>
          </w:tcPr>
          <w:p w:rsidR="00EA010D" w:rsidRPr="0087389D" w:rsidRDefault="00EA010D" w:rsidP="00EA010D">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4.0735%</w:t>
            </w:r>
          </w:p>
        </w:tc>
        <w:tc>
          <w:tcPr>
            <w:tcW w:w="1329" w:type="dxa"/>
            <w:tcBorders>
              <w:top w:val="single" w:sz="4" w:space="0" w:color="000000"/>
              <w:left w:val="single" w:sz="4" w:space="0" w:color="000000"/>
              <w:bottom w:val="single" w:sz="4" w:space="0" w:color="000000"/>
              <w:right w:val="single" w:sz="4" w:space="0" w:color="000000"/>
            </w:tcBorders>
            <w:vAlign w:val="center"/>
          </w:tcPr>
          <w:p w:rsidR="00EA010D" w:rsidRPr="0087389D" w:rsidRDefault="00EA010D" w:rsidP="00EA010D">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0.0011%</w:t>
            </w:r>
          </w:p>
        </w:tc>
        <w:tc>
          <w:tcPr>
            <w:tcW w:w="1329" w:type="dxa"/>
            <w:tcBorders>
              <w:top w:val="single" w:sz="4" w:space="0" w:color="000000"/>
              <w:left w:val="single" w:sz="4" w:space="0" w:color="000000"/>
              <w:bottom w:val="single" w:sz="4" w:space="0" w:color="000000"/>
              <w:right w:val="single" w:sz="4" w:space="0" w:color="000000"/>
            </w:tcBorders>
            <w:vAlign w:val="center"/>
          </w:tcPr>
          <w:p w:rsidR="00EA010D" w:rsidRPr="0087389D" w:rsidRDefault="00EA010D" w:rsidP="00EA010D">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1.3781%</w:t>
            </w:r>
          </w:p>
        </w:tc>
        <w:tc>
          <w:tcPr>
            <w:tcW w:w="1329" w:type="dxa"/>
            <w:tcBorders>
              <w:top w:val="single" w:sz="4" w:space="0" w:color="000000"/>
              <w:left w:val="single" w:sz="4" w:space="0" w:color="000000"/>
              <w:bottom w:val="single" w:sz="4" w:space="0" w:color="000000"/>
              <w:right w:val="single" w:sz="4" w:space="0" w:color="000000"/>
            </w:tcBorders>
            <w:vAlign w:val="center"/>
          </w:tcPr>
          <w:p w:rsidR="00EA010D" w:rsidRPr="0087389D" w:rsidRDefault="00EA010D" w:rsidP="00EA010D">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0.0000%</w:t>
            </w:r>
          </w:p>
        </w:tc>
        <w:tc>
          <w:tcPr>
            <w:tcW w:w="1329" w:type="dxa"/>
            <w:tcBorders>
              <w:top w:val="single" w:sz="4" w:space="0" w:color="000000"/>
              <w:left w:val="single" w:sz="4" w:space="0" w:color="000000"/>
              <w:bottom w:val="single" w:sz="4" w:space="0" w:color="000000"/>
              <w:right w:val="single" w:sz="4" w:space="0" w:color="000000"/>
            </w:tcBorders>
            <w:vAlign w:val="center"/>
          </w:tcPr>
          <w:p w:rsidR="00EA010D" w:rsidRPr="0087389D" w:rsidRDefault="00EA010D" w:rsidP="00EA010D">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2.6954%</w:t>
            </w:r>
          </w:p>
        </w:tc>
        <w:tc>
          <w:tcPr>
            <w:tcW w:w="1329" w:type="dxa"/>
            <w:tcBorders>
              <w:top w:val="single" w:sz="4" w:space="0" w:color="000000"/>
              <w:left w:val="single" w:sz="4" w:space="0" w:color="000000"/>
              <w:bottom w:val="single" w:sz="4" w:space="0" w:color="000000"/>
              <w:right w:val="single" w:sz="4" w:space="0" w:color="000000"/>
            </w:tcBorders>
            <w:vAlign w:val="center"/>
          </w:tcPr>
          <w:p w:rsidR="00EA010D" w:rsidRPr="0087389D" w:rsidRDefault="00EA010D" w:rsidP="00EA010D">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0.0011%</w:t>
            </w:r>
          </w:p>
        </w:tc>
      </w:tr>
      <w:tr w:rsidR="002E06F4" w:rsidRPr="0087389D" w:rsidTr="002E06F4">
        <w:trPr>
          <w:trHeight w:val="987"/>
        </w:trPr>
        <w:tc>
          <w:tcPr>
            <w:tcW w:w="1526" w:type="dxa"/>
            <w:tcBorders>
              <w:top w:val="single" w:sz="4" w:space="0" w:color="000000"/>
              <w:left w:val="single" w:sz="4" w:space="0" w:color="000000"/>
              <w:bottom w:val="single" w:sz="4" w:space="0" w:color="000000"/>
              <w:right w:val="single" w:sz="4" w:space="0" w:color="000000"/>
            </w:tcBorders>
            <w:vAlign w:val="center"/>
          </w:tcPr>
          <w:p w:rsidR="003177D5" w:rsidRPr="0087389D" w:rsidRDefault="003177D5" w:rsidP="003177D5">
            <w:pPr>
              <w:pStyle w:val="af2"/>
              <w:adjustRightInd w:val="0"/>
              <w:snapToGrid w:val="0"/>
              <w:spacing w:before="0" w:beforeAutospacing="0" w:after="0" w:afterAutospacing="0" w:line="360" w:lineRule="auto"/>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hint="eastAsia"/>
                <w:kern w:val="2"/>
                <w:sz w:val="21"/>
                <w:szCs w:val="21"/>
              </w:rPr>
              <w:t>201</w:t>
            </w:r>
            <w:r w:rsidRPr="0087389D">
              <w:rPr>
                <w:rFonts w:asciiTheme="minorEastAsia" w:eastAsiaTheme="minorEastAsia" w:hAnsiTheme="minorEastAsia" w:cs="Times New Roman"/>
                <w:kern w:val="2"/>
                <w:sz w:val="21"/>
                <w:szCs w:val="21"/>
              </w:rPr>
              <w:t>8</w:t>
            </w:r>
            <w:r w:rsidRPr="0087389D">
              <w:rPr>
                <w:rFonts w:asciiTheme="minorEastAsia" w:eastAsiaTheme="minorEastAsia" w:hAnsiTheme="minorEastAsia" w:cs="Times New Roman" w:hint="eastAsia"/>
                <w:kern w:val="2"/>
                <w:sz w:val="21"/>
                <w:szCs w:val="21"/>
              </w:rPr>
              <w:t>年1月1日至201</w:t>
            </w:r>
            <w:r w:rsidRPr="0087389D">
              <w:rPr>
                <w:rFonts w:asciiTheme="minorEastAsia" w:eastAsiaTheme="minorEastAsia" w:hAnsiTheme="minorEastAsia" w:cs="Times New Roman"/>
                <w:kern w:val="2"/>
                <w:sz w:val="21"/>
                <w:szCs w:val="21"/>
              </w:rPr>
              <w:t>8</w:t>
            </w:r>
            <w:r w:rsidRPr="0087389D">
              <w:rPr>
                <w:rFonts w:asciiTheme="minorEastAsia" w:eastAsiaTheme="minorEastAsia" w:hAnsiTheme="minorEastAsia" w:cs="Times New Roman" w:hint="eastAsia"/>
                <w:kern w:val="2"/>
                <w:sz w:val="21"/>
                <w:szCs w:val="21"/>
              </w:rPr>
              <w:t>年</w:t>
            </w:r>
            <w:r w:rsidRPr="0087389D">
              <w:rPr>
                <w:rFonts w:asciiTheme="minorEastAsia" w:eastAsiaTheme="minorEastAsia" w:hAnsiTheme="minorEastAsia" w:cs="Times New Roman"/>
                <w:kern w:val="2"/>
                <w:sz w:val="21"/>
                <w:szCs w:val="21"/>
              </w:rPr>
              <w:t>12</w:t>
            </w:r>
            <w:r w:rsidRPr="0087389D">
              <w:rPr>
                <w:rFonts w:asciiTheme="minorEastAsia" w:eastAsiaTheme="minorEastAsia" w:hAnsiTheme="minorEastAsia" w:cs="Times New Roman" w:hint="eastAsia"/>
                <w:kern w:val="2"/>
                <w:sz w:val="21"/>
                <w:szCs w:val="21"/>
              </w:rPr>
              <w:t>月</w:t>
            </w:r>
            <w:r w:rsidRPr="0087389D">
              <w:rPr>
                <w:rFonts w:asciiTheme="minorEastAsia" w:eastAsiaTheme="minorEastAsia" w:hAnsiTheme="minorEastAsia" w:cs="Times New Roman"/>
                <w:kern w:val="2"/>
                <w:sz w:val="21"/>
                <w:szCs w:val="21"/>
              </w:rPr>
              <w:t>31</w:t>
            </w:r>
            <w:r w:rsidRPr="0087389D">
              <w:rPr>
                <w:rFonts w:asciiTheme="minorEastAsia" w:eastAsiaTheme="minorEastAsia" w:hAnsiTheme="minorEastAsia" w:cs="Times New Roman" w:hint="eastAsia"/>
                <w:kern w:val="2"/>
                <w:sz w:val="21"/>
                <w:szCs w:val="21"/>
              </w:rPr>
              <w:t>日</w:t>
            </w:r>
          </w:p>
        </w:tc>
        <w:tc>
          <w:tcPr>
            <w:tcW w:w="1131" w:type="dxa"/>
            <w:tcBorders>
              <w:top w:val="single" w:sz="4" w:space="0" w:color="000000"/>
              <w:left w:val="single" w:sz="4" w:space="0" w:color="000000"/>
              <w:bottom w:val="single" w:sz="4" w:space="0" w:color="000000"/>
              <w:right w:val="single" w:sz="4" w:space="0" w:color="000000"/>
            </w:tcBorders>
            <w:vAlign w:val="center"/>
          </w:tcPr>
          <w:p w:rsidR="003177D5" w:rsidRPr="0087389D" w:rsidRDefault="003177D5" w:rsidP="003177D5">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3.8387%</w:t>
            </w:r>
          </w:p>
        </w:tc>
        <w:tc>
          <w:tcPr>
            <w:tcW w:w="1329" w:type="dxa"/>
            <w:tcBorders>
              <w:top w:val="single" w:sz="4" w:space="0" w:color="000000"/>
              <w:left w:val="single" w:sz="4" w:space="0" w:color="000000"/>
              <w:bottom w:val="single" w:sz="4" w:space="0" w:color="000000"/>
              <w:right w:val="single" w:sz="4" w:space="0" w:color="000000"/>
            </w:tcBorders>
            <w:vAlign w:val="center"/>
          </w:tcPr>
          <w:p w:rsidR="003177D5" w:rsidRPr="0087389D" w:rsidRDefault="003177D5" w:rsidP="003177D5">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0.0014%</w:t>
            </w:r>
          </w:p>
        </w:tc>
        <w:tc>
          <w:tcPr>
            <w:tcW w:w="1329" w:type="dxa"/>
            <w:tcBorders>
              <w:top w:val="single" w:sz="4" w:space="0" w:color="000000"/>
              <w:left w:val="single" w:sz="4" w:space="0" w:color="000000"/>
              <w:bottom w:val="single" w:sz="4" w:space="0" w:color="000000"/>
              <w:right w:val="single" w:sz="4" w:space="0" w:color="000000"/>
            </w:tcBorders>
            <w:vAlign w:val="center"/>
          </w:tcPr>
          <w:p w:rsidR="003177D5" w:rsidRPr="0087389D" w:rsidRDefault="003177D5" w:rsidP="003177D5">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1.3781%</w:t>
            </w:r>
          </w:p>
        </w:tc>
        <w:tc>
          <w:tcPr>
            <w:tcW w:w="1329" w:type="dxa"/>
            <w:tcBorders>
              <w:top w:val="single" w:sz="4" w:space="0" w:color="000000"/>
              <w:left w:val="single" w:sz="4" w:space="0" w:color="000000"/>
              <w:bottom w:val="single" w:sz="4" w:space="0" w:color="000000"/>
              <w:right w:val="single" w:sz="4" w:space="0" w:color="000000"/>
            </w:tcBorders>
            <w:vAlign w:val="center"/>
          </w:tcPr>
          <w:p w:rsidR="003177D5" w:rsidRPr="0087389D" w:rsidRDefault="003177D5" w:rsidP="003177D5">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0.0000%</w:t>
            </w:r>
          </w:p>
        </w:tc>
        <w:tc>
          <w:tcPr>
            <w:tcW w:w="1329" w:type="dxa"/>
            <w:tcBorders>
              <w:top w:val="single" w:sz="4" w:space="0" w:color="000000"/>
              <w:left w:val="single" w:sz="4" w:space="0" w:color="000000"/>
              <w:bottom w:val="single" w:sz="4" w:space="0" w:color="000000"/>
              <w:right w:val="single" w:sz="4" w:space="0" w:color="000000"/>
            </w:tcBorders>
            <w:vAlign w:val="center"/>
          </w:tcPr>
          <w:p w:rsidR="003177D5" w:rsidRPr="0087389D" w:rsidRDefault="003177D5" w:rsidP="003177D5">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2.4606%</w:t>
            </w:r>
          </w:p>
        </w:tc>
        <w:tc>
          <w:tcPr>
            <w:tcW w:w="1329" w:type="dxa"/>
            <w:tcBorders>
              <w:top w:val="single" w:sz="4" w:space="0" w:color="000000"/>
              <w:left w:val="single" w:sz="4" w:space="0" w:color="000000"/>
              <w:bottom w:val="single" w:sz="4" w:space="0" w:color="000000"/>
              <w:right w:val="single" w:sz="4" w:space="0" w:color="000000"/>
            </w:tcBorders>
            <w:vAlign w:val="center"/>
          </w:tcPr>
          <w:p w:rsidR="003177D5" w:rsidRPr="0087389D" w:rsidRDefault="003177D5" w:rsidP="003177D5">
            <w:pPr>
              <w:pStyle w:val="af2"/>
              <w:adjustRightInd w:val="0"/>
              <w:snapToGrid w:val="0"/>
              <w:spacing w:before="0" w:beforeAutospacing="0" w:after="0" w:afterAutospacing="0" w:line="360" w:lineRule="auto"/>
              <w:jc w:val="center"/>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0.0014%</w:t>
            </w:r>
          </w:p>
        </w:tc>
      </w:tr>
      <w:tr w:rsidR="0087389D" w:rsidRPr="0087389D" w:rsidTr="002E06F4">
        <w:trPr>
          <w:trHeight w:val="987"/>
        </w:trPr>
        <w:tc>
          <w:tcPr>
            <w:tcW w:w="1526" w:type="dxa"/>
            <w:tcBorders>
              <w:top w:val="single" w:sz="4" w:space="0" w:color="000000"/>
              <w:left w:val="single" w:sz="4" w:space="0" w:color="000000"/>
              <w:bottom w:val="single" w:sz="4" w:space="0" w:color="000000"/>
              <w:right w:val="single" w:sz="4" w:space="0" w:color="000000"/>
            </w:tcBorders>
            <w:vAlign w:val="center"/>
            <w:hideMark/>
          </w:tcPr>
          <w:p w:rsidR="00E05F89" w:rsidRPr="0087389D" w:rsidRDefault="00E17B2F" w:rsidP="00710C90">
            <w:pPr>
              <w:pStyle w:val="af2"/>
              <w:adjustRightInd w:val="0"/>
              <w:snapToGrid w:val="0"/>
              <w:spacing w:before="0" w:beforeAutospacing="0" w:after="0" w:afterAutospacing="0" w:line="360" w:lineRule="auto"/>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2019年1月1日至2019年12月31日</w:t>
            </w:r>
          </w:p>
        </w:tc>
        <w:tc>
          <w:tcPr>
            <w:tcW w:w="1131" w:type="dxa"/>
            <w:tcBorders>
              <w:top w:val="single" w:sz="4" w:space="0" w:color="000000"/>
              <w:left w:val="single" w:sz="4" w:space="0" w:color="000000"/>
              <w:bottom w:val="single" w:sz="4" w:space="0" w:color="000000"/>
              <w:right w:val="single" w:sz="4" w:space="0" w:color="000000"/>
            </w:tcBorders>
            <w:vAlign w:val="center"/>
          </w:tcPr>
          <w:p w:rsidR="00E05F89" w:rsidRPr="0087389D" w:rsidRDefault="00E17B2F" w:rsidP="0087389D">
            <w:pPr>
              <w:pStyle w:val="af2"/>
              <w:adjustRightInd w:val="0"/>
              <w:snapToGrid w:val="0"/>
              <w:spacing w:before="0" w:beforeAutospacing="0" w:after="0" w:afterAutospacing="0" w:line="360" w:lineRule="auto"/>
              <w:jc w:val="right"/>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2.6285%</w:t>
            </w:r>
          </w:p>
        </w:tc>
        <w:tc>
          <w:tcPr>
            <w:tcW w:w="1329" w:type="dxa"/>
            <w:tcBorders>
              <w:top w:val="single" w:sz="4" w:space="0" w:color="000000"/>
              <w:left w:val="single" w:sz="4" w:space="0" w:color="000000"/>
              <w:bottom w:val="single" w:sz="4" w:space="0" w:color="000000"/>
              <w:right w:val="single" w:sz="4" w:space="0" w:color="000000"/>
            </w:tcBorders>
            <w:vAlign w:val="center"/>
          </w:tcPr>
          <w:p w:rsidR="00E05F89" w:rsidRPr="0087389D" w:rsidRDefault="00E17B2F" w:rsidP="0087389D">
            <w:pPr>
              <w:pStyle w:val="af2"/>
              <w:adjustRightInd w:val="0"/>
              <w:snapToGrid w:val="0"/>
              <w:spacing w:before="0" w:beforeAutospacing="0" w:after="0" w:afterAutospacing="0" w:line="360" w:lineRule="auto"/>
              <w:jc w:val="right"/>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0.0006%</w:t>
            </w:r>
          </w:p>
        </w:tc>
        <w:tc>
          <w:tcPr>
            <w:tcW w:w="1329" w:type="dxa"/>
            <w:tcBorders>
              <w:top w:val="single" w:sz="4" w:space="0" w:color="000000"/>
              <w:left w:val="single" w:sz="4" w:space="0" w:color="000000"/>
              <w:bottom w:val="single" w:sz="4" w:space="0" w:color="000000"/>
              <w:right w:val="single" w:sz="4" w:space="0" w:color="000000"/>
            </w:tcBorders>
            <w:vAlign w:val="center"/>
          </w:tcPr>
          <w:p w:rsidR="00E05F89" w:rsidRPr="0087389D" w:rsidRDefault="00E17B2F" w:rsidP="0087389D">
            <w:pPr>
              <w:pStyle w:val="af2"/>
              <w:adjustRightInd w:val="0"/>
              <w:snapToGrid w:val="0"/>
              <w:spacing w:before="0" w:beforeAutospacing="0" w:after="0" w:afterAutospacing="0" w:line="360" w:lineRule="auto"/>
              <w:jc w:val="right"/>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1.3781%</w:t>
            </w:r>
          </w:p>
        </w:tc>
        <w:tc>
          <w:tcPr>
            <w:tcW w:w="1329" w:type="dxa"/>
            <w:tcBorders>
              <w:top w:val="single" w:sz="4" w:space="0" w:color="000000"/>
              <w:left w:val="single" w:sz="4" w:space="0" w:color="000000"/>
              <w:bottom w:val="single" w:sz="4" w:space="0" w:color="000000"/>
              <w:right w:val="single" w:sz="4" w:space="0" w:color="000000"/>
            </w:tcBorders>
            <w:vAlign w:val="center"/>
          </w:tcPr>
          <w:p w:rsidR="00E05F89" w:rsidRPr="0087389D" w:rsidRDefault="00E17B2F" w:rsidP="0087389D">
            <w:pPr>
              <w:pStyle w:val="af2"/>
              <w:adjustRightInd w:val="0"/>
              <w:snapToGrid w:val="0"/>
              <w:spacing w:before="0" w:beforeAutospacing="0" w:after="0" w:afterAutospacing="0" w:line="360" w:lineRule="auto"/>
              <w:jc w:val="right"/>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0.0000%</w:t>
            </w:r>
          </w:p>
        </w:tc>
        <w:tc>
          <w:tcPr>
            <w:tcW w:w="1329" w:type="dxa"/>
            <w:tcBorders>
              <w:top w:val="single" w:sz="4" w:space="0" w:color="000000"/>
              <w:left w:val="single" w:sz="4" w:space="0" w:color="000000"/>
              <w:bottom w:val="single" w:sz="4" w:space="0" w:color="000000"/>
              <w:right w:val="single" w:sz="4" w:space="0" w:color="000000"/>
            </w:tcBorders>
            <w:vAlign w:val="center"/>
          </w:tcPr>
          <w:p w:rsidR="00E05F89" w:rsidRPr="0087389D" w:rsidRDefault="00E17B2F" w:rsidP="0087389D">
            <w:pPr>
              <w:pStyle w:val="af2"/>
              <w:adjustRightInd w:val="0"/>
              <w:snapToGrid w:val="0"/>
              <w:spacing w:before="0" w:beforeAutospacing="0" w:after="0" w:afterAutospacing="0" w:line="360" w:lineRule="auto"/>
              <w:jc w:val="right"/>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1.2504%</w:t>
            </w:r>
          </w:p>
        </w:tc>
        <w:tc>
          <w:tcPr>
            <w:tcW w:w="1329" w:type="dxa"/>
            <w:tcBorders>
              <w:top w:val="single" w:sz="4" w:space="0" w:color="000000"/>
              <w:left w:val="single" w:sz="4" w:space="0" w:color="000000"/>
              <w:bottom w:val="single" w:sz="4" w:space="0" w:color="000000"/>
              <w:right w:val="single" w:sz="4" w:space="0" w:color="000000"/>
            </w:tcBorders>
            <w:vAlign w:val="center"/>
          </w:tcPr>
          <w:p w:rsidR="00E05F89" w:rsidRPr="0087389D" w:rsidRDefault="00E17B2F" w:rsidP="0087389D">
            <w:pPr>
              <w:pStyle w:val="af2"/>
              <w:adjustRightInd w:val="0"/>
              <w:snapToGrid w:val="0"/>
              <w:spacing w:before="0" w:beforeAutospacing="0" w:after="0" w:afterAutospacing="0" w:line="360" w:lineRule="auto"/>
              <w:jc w:val="right"/>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0.0006%</w:t>
            </w:r>
          </w:p>
        </w:tc>
      </w:tr>
      <w:tr w:rsidR="0087389D" w:rsidRPr="0087389D" w:rsidTr="002E06F4">
        <w:trPr>
          <w:trHeight w:val="987"/>
        </w:trPr>
        <w:tc>
          <w:tcPr>
            <w:tcW w:w="1526" w:type="dxa"/>
            <w:tcBorders>
              <w:top w:val="single" w:sz="4" w:space="0" w:color="000000"/>
              <w:left w:val="single" w:sz="4" w:space="0" w:color="000000"/>
              <w:bottom w:val="single" w:sz="4" w:space="0" w:color="000000"/>
              <w:right w:val="single" w:sz="4" w:space="0" w:color="000000"/>
            </w:tcBorders>
            <w:vAlign w:val="center"/>
          </w:tcPr>
          <w:p w:rsidR="00E17B2F" w:rsidRPr="0087389D" w:rsidRDefault="00270BD2" w:rsidP="00710C90">
            <w:pPr>
              <w:pStyle w:val="af2"/>
              <w:adjustRightInd w:val="0"/>
              <w:snapToGrid w:val="0"/>
              <w:spacing w:before="0" w:beforeAutospacing="0" w:after="0" w:afterAutospacing="0" w:line="360" w:lineRule="auto"/>
              <w:rPr>
                <w:rFonts w:asciiTheme="minorEastAsia" w:eastAsiaTheme="minorEastAsia" w:hAnsiTheme="minorEastAsia" w:cs="Times New Roman"/>
                <w:kern w:val="2"/>
                <w:sz w:val="21"/>
                <w:szCs w:val="21"/>
              </w:rPr>
            </w:pPr>
            <w:r w:rsidRPr="00270BD2">
              <w:rPr>
                <w:rFonts w:asciiTheme="minorEastAsia" w:eastAsiaTheme="minorEastAsia" w:hAnsiTheme="minorEastAsia" w:cs="Times New Roman" w:hint="eastAsia"/>
                <w:kern w:val="2"/>
                <w:sz w:val="21"/>
                <w:szCs w:val="21"/>
              </w:rPr>
              <w:t>2014年12月5日</w:t>
            </w:r>
            <w:r w:rsidR="00E17B2F" w:rsidRPr="0087389D">
              <w:rPr>
                <w:rFonts w:asciiTheme="minorEastAsia" w:eastAsiaTheme="minorEastAsia" w:hAnsiTheme="minorEastAsia" w:cs="Times New Roman" w:hint="eastAsia"/>
                <w:kern w:val="2"/>
                <w:sz w:val="21"/>
                <w:szCs w:val="21"/>
              </w:rPr>
              <w:t>至</w:t>
            </w:r>
            <w:r w:rsidR="00E17B2F" w:rsidRPr="0087389D">
              <w:rPr>
                <w:rFonts w:asciiTheme="minorEastAsia" w:eastAsiaTheme="minorEastAsia" w:hAnsiTheme="minorEastAsia" w:cs="Times New Roman"/>
                <w:kern w:val="2"/>
                <w:sz w:val="21"/>
                <w:szCs w:val="21"/>
              </w:rPr>
              <w:t>2019年12月31日</w:t>
            </w:r>
          </w:p>
        </w:tc>
        <w:tc>
          <w:tcPr>
            <w:tcW w:w="1131" w:type="dxa"/>
            <w:tcBorders>
              <w:top w:val="single" w:sz="4" w:space="0" w:color="000000"/>
              <w:left w:val="single" w:sz="4" w:space="0" w:color="000000"/>
              <w:bottom w:val="single" w:sz="4" w:space="0" w:color="000000"/>
              <w:right w:val="single" w:sz="4" w:space="0" w:color="000000"/>
            </w:tcBorders>
            <w:vAlign w:val="center"/>
          </w:tcPr>
          <w:p w:rsidR="00E17B2F" w:rsidRPr="0087389D" w:rsidRDefault="00E17B2F" w:rsidP="0087389D">
            <w:pPr>
              <w:pStyle w:val="af2"/>
              <w:adjustRightInd w:val="0"/>
              <w:snapToGrid w:val="0"/>
              <w:spacing w:before="0" w:beforeAutospacing="0" w:after="0" w:afterAutospacing="0" w:line="360" w:lineRule="auto"/>
              <w:jc w:val="right"/>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18.8807%</w:t>
            </w:r>
          </w:p>
        </w:tc>
        <w:tc>
          <w:tcPr>
            <w:tcW w:w="1329" w:type="dxa"/>
            <w:tcBorders>
              <w:top w:val="single" w:sz="4" w:space="0" w:color="000000"/>
              <w:left w:val="single" w:sz="4" w:space="0" w:color="000000"/>
              <w:bottom w:val="single" w:sz="4" w:space="0" w:color="000000"/>
              <w:right w:val="single" w:sz="4" w:space="0" w:color="000000"/>
            </w:tcBorders>
            <w:vAlign w:val="center"/>
          </w:tcPr>
          <w:p w:rsidR="00E17B2F" w:rsidRPr="0087389D" w:rsidRDefault="00E17B2F" w:rsidP="0087389D">
            <w:pPr>
              <w:pStyle w:val="af2"/>
              <w:adjustRightInd w:val="0"/>
              <w:snapToGrid w:val="0"/>
              <w:spacing w:before="0" w:beforeAutospacing="0" w:after="0" w:afterAutospacing="0" w:line="360" w:lineRule="auto"/>
              <w:jc w:val="right"/>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0.0024%</w:t>
            </w:r>
          </w:p>
        </w:tc>
        <w:tc>
          <w:tcPr>
            <w:tcW w:w="1329" w:type="dxa"/>
            <w:tcBorders>
              <w:top w:val="single" w:sz="4" w:space="0" w:color="000000"/>
              <w:left w:val="single" w:sz="4" w:space="0" w:color="000000"/>
              <w:bottom w:val="single" w:sz="4" w:space="0" w:color="000000"/>
              <w:right w:val="single" w:sz="4" w:space="0" w:color="000000"/>
            </w:tcBorders>
            <w:vAlign w:val="center"/>
          </w:tcPr>
          <w:p w:rsidR="00E17B2F" w:rsidRPr="0087389D" w:rsidRDefault="00E17B2F" w:rsidP="0087389D">
            <w:pPr>
              <w:pStyle w:val="af2"/>
              <w:adjustRightInd w:val="0"/>
              <w:snapToGrid w:val="0"/>
              <w:spacing w:before="0" w:beforeAutospacing="0" w:after="0" w:afterAutospacing="0" w:line="360" w:lineRule="auto"/>
              <w:jc w:val="right"/>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7.1957%</w:t>
            </w:r>
          </w:p>
        </w:tc>
        <w:tc>
          <w:tcPr>
            <w:tcW w:w="1329" w:type="dxa"/>
            <w:tcBorders>
              <w:top w:val="single" w:sz="4" w:space="0" w:color="000000"/>
              <w:left w:val="single" w:sz="4" w:space="0" w:color="000000"/>
              <w:bottom w:val="single" w:sz="4" w:space="0" w:color="000000"/>
              <w:right w:val="single" w:sz="4" w:space="0" w:color="000000"/>
            </w:tcBorders>
            <w:vAlign w:val="center"/>
          </w:tcPr>
          <w:p w:rsidR="00E17B2F" w:rsidRPr="0087389D" w:rsidRDefault="00E17B2F" w:rsidP="0087389D">
            <w:pPr>
              <w:pStyle w:val="af2"/>
              <w:adjustRightInd w:val="0"/>
              <w:snapToGrid w:val="0"/>
              <w:spacing w:before="0" w:beforeAutospacing="0" w:after="0" w:afterAutospacing="0" w:line="360" w:lineRule="auto"/>
              <w:jc w:val="right"/>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0.0000%</w:t>
            </w:r>
          </w:p>
        </w:tc>
        <w:tc>
          <w:tcPr>
            <w:tcW w:w="1329" w:type="dxa"/>
            <w:tcBorders>
              <w:top w:val="single" w:sz="4" w:space="0" w:color="000000"/>
              <w:left w:val="single" w:sz="4" w:space="0" w:color="000000"/>
              <w:bottom w:val="single" w:sz="4" w:space="0" w:color="000000"/>
              <w:right w:val="single" w:sz="4" w:space="0" w:color="000000"/>
            </w:tcBorders>
            <w:vAlign w:val="center"/>
          </w:tcPr>
          <w:p w:rsidR="00E17B2F" w:rsidRPr="0087389D" w:rsidRDefault="00E17B2F" w:rsidP="0087389D">
            <w:pPr>
              <w:pStyle w:val="af2"/>
              <w:adjustRightInd w:val="0"/>
              <w:snapToGrid w:val="0"/>
              <w:spacing w:before="0" w:beforeAutospacing="0" w:after="0" w:afterAutospacing="0" w:line="360" w:lineRule="auto"/>
              <w:jc w:val="right"/>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11.6850%</w:t>
            </w:r>
          </w:p>
        </w:tc>
        <w:tc>
          <w:tcPr>
            <w:tcW w:w="1329" w:type="dxa"/>
            <w:tcBorders>
              <w:top w:val="single" w:sz="4" w:space="0" w:color="000000"/>
              <w:left w:val="single" w:sz="4" w:space="0" w:color="000000"/>
              <w:bottom w:val="single" w:sz="4" w:space="0" w:color="000000"/>
              <w:right w:val="single" w:sz="4" w:space="0" w:color="000000"/>
            </w:tcBorders>
            <w:vAlign w:val="center"/>
          </w:tcPr>
          <w:p w:rsidR="00E17B2F" w:rsidRPr="0087389D" w:rsidRDefault="00E17B2F" w:rsidP="0087389D">
            <w:pPr>
              <w:pStyle w:val="af2"/>
              <w:adjustRightInd w:val="0"/>
              <w:snapToGrid w:val="0"/>
              <w:spacing w:before="0" w:beforeAutospacing="0" w:after="0" w:afterAutospacing="0" w:line="360" w:lineRule="auto"/>
              <w:jc w:val="right"/>
              <w:rPr>
                <w:rFonts w:asciiTheme="minorEastAsia" w:eastAsiaTheme="minorEastAsia" w:hAnsiTheme="minorEastAsia" w:cs="Times New Roman"/>
                <w:kern w:val="2"/>
                <w:sz w:val="21"/>
                <w:szCs w:val="21"/>
              </w:rPr>
            </w:pPr>
            <w:r w:rsidRPr="0087389D">
              <w:rPr>
                <w:rFonts w:asciiTheme="minorEastAsia" w:eastAsiaTheme="minorEastAsia" w:hAnsiTheme="minorEastAsia" w:cs="Times New Roman"/>
                <w:kern w:val="2"/>
                <w:sz w:val="21"/>
                <w:szCs w:val="21"/>
              </w:rPr>
              <w:t>0.0024%</w:t>
            </w:r>
          </w:p>
        </w:tc>
      </w:tr>
    </w:tbl>
    <w:p w:rsidR="00912B84" w:rsidRPr="0087389D" w:rsidRDefault="00E46656" w:rsidP="00555CE7">
      <w:pPr>
        <w:pStyle w:val="22"/>
        <w:snapToGrid w:val="0"/>
        <w:spacing w:before="0"/>
        <w:ind w:firstLine="402"/>
        <w:rPr>
          <w:rFonts w:asciiTheme="minorEastAsia" w:eastAsiaTheme="minorEastAsia" w:hAnsiTheme="minorEastAsia"/>
          <w:color w:val="auto"/>
          <w:szCs w:val="21"/>
        </w:rPr>
      </w:pPr>
      <w:r w:rsidRPr="0087389D">
        <w:rPr>
          <w:rFonts w:asciiTheme="minorEastAsia" w:eastAsiaTheme="minorEastAsia" w:hAnsiTheme="minorEastAsia" w:hint="eastAsia"/>
          <w:color w:val="auto"/>
          <w:sz w:val="21"/>
          <w:szCs w:val="21"/>
        </w:rPr>
        <w:t>注：自2014年12月3日起，易方达财富快线货币市场基金增设Y类份额类别</w:t>
      </w:r>
      <w:r w:rsidR="004F28E1" w:rsidRPr="0087389D">
        <w:rPr>
          <w:rFonts w:asciiTheme="minorEastAsia" w:eastAsiaTheme="minorEastAsia" w:hAnsiTheme="minorEastAsia" w:hint="eastAsia"/>
          <w:color w:val="auto"/>
          <w:sz w:val="21"/>
          <w:szCs w:val="21"/>
        </w:rPr>
        <w:t>，份额首次确认日为2014年12月5日</w:t>
      </w:r>
      <w:r w:rsidRPr="0087389D">
        <w:rPr>
          <w:rFonts w:asciiTheme="minorEastAsia" w:eastAsiaTheme="minorEastAsia" w:hAnsiTheme="minorEastAsia" w:hint="eastAsia"/>
          <w:color w:val="auto"/>
          <w:sz w:val="21"/>
          <w:szCs w:val="21"/>
        </w:rPr>
        <w:t>。</w:t>
      </w:r>
    </w:p>
    <w:p w:rsidR="00BA4B87" w:rsidRPr="0087389D" w:rsidRDefault="00BA4B87" w:rsidP="00555CE7">
      <w:pPr>
        <w:pStyle w:val="1"/>
        <w:snapToGrid w:val="0"/>
        <w:spacing w:beforeLines="0" w:afterLines="0" w:line="360" w:lineRule="auto"/>
        <w:ind w:firstLine="640"/>
        <w:rPr>
          <w:rFonts w:asciiTheme="minorEastAsia" w:eastAsiaTheme="minorEastAsia" w:hAnsiTheme="minorEastAsia"/>
          <w:b/>
          <w:szCs w:val="21"/>
        </w:rPr>
      </w:pPr>
      <w:r w:rsidRPr="0087389D">
        <w:rPr>
          <w:rFonts w:asciiTheme="minorEastAsia" w:eastAsiaTheme="minorEastAsia" w:hAnsiTheme="minorEastAsia"/>
        </w:rPr>
        <w:br w:type="page"/>
      </w:r>
      <w:bookmarkStart w:id="84" w:name="_Toc361403741"/>
      <w:bookmarkStart w:id="85" w:name="_Toc41644972"/>
      <w:r w:rsidR="00293B85" w:rsidRPr="0087389D">
        <w:rPr>
          <w:rFonts w:asciiTheme="minorEastAsia" w:eastAsiaTheme="minorEastAsia" w:hAnsiTheme="minorEastAsia"/>
          <w:b/>
          <w:sz w:val="30"/>
        </w:rPr>
        <w:lastRenderedPageBreak/>
        <w:t>十</w:t>
      </w:r>
      <w:r w:rsidR="00293B85" w:rsidRPr="0087389D">
        <w:rPr>
          <w:rFonts w:asciiTheme="minorEastAsia" w:eastAsiaTheme="minorEastAsia" w:hAnsiTheme="minorEastAsia" w:hint="eastAsia"/>
          <w:b/>
          <w:sz w:val="30"/>
        </w:rPr>
        <w:t>四</w:t>
      </w:r>
      <w:r w:rsidRPr="0087389D">
        <w:rPr>
          <w:rFonts w:asciiTheme="minorEastAsia" w:eastAsiaTheme="minorEastAsia" w:hAnsiTheme="minorEastAsia"/>
          <w:b/>
          <w:sz w:val="30"/>
        </w:rPr>
        <w:t>、基金的财产</w:t>
      </w:r>
      <w:bookmarkEnd w:id="84"/>
      <w:bookmarkEnd w:id="85"/>
    </w:p>
    <w:p w:rsidR="00916FC5" w:rsidRPr="0087389D" w:rsidRDefault="00916FC5"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（一）</w:t>
      </w:r>
      <w:r w:rsidRPr="0087389D">
        <w:rPr>
          <w:rFonts w:asciiTheme="minorEastAsia" w:eastAsiaTheme="minorEastAsia" w:hAnsiTheme="minorEastAsia"/>
          <w:bCs/>
          <w:szCs w:val="21"/>
        </w:rPr>
        <w:t>基金资产总值</w:t>
      </w:r>
    </w:p>
    <w:p w:rsidR="00916FC5" w:rsidRPr="0087389D" w:rsidRDefault="00916FC5"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基金资产总值是指购买的各类证券及票据价值、银行存款本息和基金应收的申购基金款以及其他投资所形成的价值总和。</w:t>
      </w:r>
    </w:p>
    <w:p w:rsidR="00916FC5" w:rsidRPr="0087389D" w:rsidRDefault="00916FC5"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（二）</w:t>
      </w:r>
      <w:r w:rsidRPr="0087389D">
        <w:rPr>
          <w:rFonts w:asciiTheme="minorEastAsia" w:eastAsiaTheme="minorEastAsia" w:hAnsiTheme="minorEastAsia"/>
          <w:bCs/>
          <w:szCs w:val="21"/>
        </w:rPr>
        <w:t>基金资产净值</w:t>
      </w:r>
    </w:p>
    <w:p w:rsidR="00916FC5" w:rsidRPr="0087389D" w:rsidRDefault="00916FC5"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基金资产净值是指基金资产总值减去基金负债后的价值。</w:t>
      </w:r>
    </w:p>
    <w:p w:rsidR="00916FC5" w:rsidRPr="0087389D" w:rsidRDefault="00916FC5"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（三）</w:t>
      </w:r>
      <w:r w:rsidRPr="0087389D">
        <w:rPr>
          <w:rFonts w:asciiTheme="minorEastAsia" w:eastAsiaTheme="minorEastAsia" w:hAnsiTheme="minorEastAsia"/>
          <w:bCs/>
          <w:szCs w:val="21"/>
        </w:rPr>
        <w:t>基金财产的账户</w:t>
      </w:r>
    </w:p>
    <w:p w:rsidR="00916FC5" w:rsidRPr="0087389D" w:rsidRDefault="00916FC5"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bCs/>
          <w:szCs w:val="21"/>
        </w:rPr>
        <w:t>基金托管人根据相关法律法规、规范性文件为本基金开立资金</w:t>
      </w:r>
      <w:r w:rsidRPr="0087389D">
        <w:rPr>
          <w:rFonts w:asciiTheme="minorEastAsia" w:eastAsiaTheme="minorEastAsia" w:hAnsiTheme="minorEastAsia" w:hint="eastAsia"/>
          <w:bCs/>
          <w:szCs w:val="21"/>
        </w:rPr>
        <w:t>账户</w:t>
      </w:r>
      <w:r w:rsidRPr="0087389D">
        <w:rPr>
          <w:rFonts w:asciiTheme="minorEastAsia" w:eastAsiaTheme="minorEastAsia" w:hAnsiTheme="minorEastAsia"/>
          <w:bCs/>
          <w:szCs w:val="21"/>
        </w:rPr>
        <w:t>、证券</w:t>
      </w:r>
      <w:r w:rsidRPr="0087389D">
        <w:rPr>
          <w:rFonts w:asciiTheme="minorEastAsia" w:eastAsiaTheme="minorEastAsia" w:hAnsiTheme="minorEastAsia" w:hint="eastAsia"/>
          <w:bCs/>
          <w:szCs w:val="21"/>
        </w:rPr>
        <w:t>账户</w:t>
      </w:r>
      <w:r w:rsidRPr="0087389D">
        <w:rPr>
          <w:rFonts w:asciiTheme="minorEastAsia" w:eastAsiaTheme="minorEastAsia" w:hAnsiTheme="minorEastAsia"/>
          <w:bCs/>
          <w:szCs w:val="21"/>
        </w:rPr>
        <w:t>以及投资所需的其他专用</w:t>
      </w:r>
      <w:r w:rsidRPr="0087389D">
        <w:rPr>
          <w:rFonts w:asciiTheme="minorEastAsia" w:eastAsiaTheme="minorEastAsia" w:hAnsiTheme="minorEastAsia" w:hint="eastAsia"/>
          <w:bCs/>
          <w:szCs w:val="21"/>
        </w:rPr>
        <w:t>账户</w:t>
      </w:r>
      <w:r w:rsidRPr="0087389D">
        <w:rPr>
          <w:rFonts w:asciiTheme="minorEastAsia" w:eastAsiaTheme="minorEastAsia" w:hAnsiTheme="minorEastAsia"/>
          <w:bCs/>
          <w:szCs w:val="21"/>
        </w:rPr>
        <w:t>。开立的基金专用账户与基金管理人、基金托管人、基金销售机构和基金登记机构自有的财产账户以及其他基金财产账户相独立。</w:t>
      </w:r>
    </w:p>
    <w:p w:rsidR="00916FC5" w:rsidRPr="0087389D" w:rsidRDefault="00916FC5"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（四）</w:t>
      </w:r>
      <w:r w:rsidRPr="0087389D">
        <w:rPr>
          <w:rFonts w:asciiTheme="minorEastAsia" w:eastAsiaTheme="minorEastAsia" w:hAnsiTheme="minorEastAsia"/>
          <w:bCs/>
          <w:szCs w:val="21"/>
        </w:rPr>
        <w:t>基金财产的保管和处分</w:t>
      </w:r>
    </w:p>
    <w:p w:rsidR="00916FC5" w:rsidRPr="0087389D" w:rsidRDefault="00916FC5"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本基金财产独立于基金管理人、基金托管人和基金</w:t>
      </w:r>
      <w:r w:rsidRPr="0087389D">
        <w:rPr>
          <w:rFonts w:asciiTheme="minorEastAsia" w:eastAsiaTheme="minorEastAsia" w:hAnsiTheme="minorEastAsia" w:hint="eastAsia"/>
          <w:bCs/>
          <w:szCs w:val="21"/>
        </w:rPr>
        <w:t>销售</w:t>
      </w:r>
      <w:r w:rsidRPr="0087389D">
        <w:rPr>
          <w:rFonts w:asciiTheme="minorEastAsia" w:eastAsiaTheme="minorEastAsia" w:hAnsiTheme="minorEastAsia"/>
          <w:bCs/>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916FC5" w:rsidRPr="0087389D" w:rsidRDefault="00916FC5"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47523D" w:rsidRPr="0087389D" w:rsidRDefault="0047523D" w:rsidP="00555CE7">
      <w:pPr>
        <w:snapToGrid w:val="0"/>
        <w:spacing w:line="360" w:lineRule="auto"/>
        <w:ind w:firstLineChars="200" w:firstLine="420"/>
        <w:rPr>
          <w:rFonts w:asciiTheme="minorEastAsia" w:eastAsiaTheme="minorEastAsia" w:hAnsiTheme="minorEastAsia"/>
          <w:szCs w:val="21"/>
        </w:rPr>
      </w:pPr>
    </w:p>
    <w:p w:rsidR="00BA4B87" w:rsidRPr="0087389D" w:rsidRDefault="00200FCE"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szCs w:val="21"/>
        </w:rPr>
        <w:br/>
      </w:r>
    </w:p>
    <w:p w:rsidR="00BA4B87" w:rsidRPr="0087389D" w:rsidRDefault="00BA4B87" w:rsidP="00555CE7">
      <w:pPr>
        <w:pStyle w:val="1"/>
        <w:snapToGrid w:val="0"/>
        <w:spacing w:beforeLines="0" w:afterLines="0" w:line="360" w:lineRule="auto"/>
        <w:ind w:firstLine="600"/>
        <w:rPr>
          <w:rFonts w:asciiTheme="minorEastAsia" w:eastAsiaTheme="minorEastAsia" w:hAnsiTheme="minorEastAsia"/>
          <w:b/>
          <w:bCs/>
        </w:rPr>
      </w:pPr>
      <w:r w:rsidRPr="0087389D">
        <w:rPr>
          <w:rFonts w:asciiTheme="minorEastAsia" w:eastAsiaTheme="minorEastAsia" w:hAnsiTheme="minorEastAsia"/>
          <w:sz w:val="30"/>
        </w:rPr>
        <w:br w:type="column"/>
      </w:r>
      <w:bookmarkStart w:id="86" w:name="_Toc361403742"/>
      <w:bookmarkStart w:id="87" w:name="_Toc41644973"/>
      <w:r w:rsidR="00293B85" w:rsidRPr="0087389D">
        <w:rPr>
          <w:rFonts w:asciiTheme="minorEastAsia" w:eastAsiaTheme="minorEastAsia" w:hAnsiTheme="minorEastAsia"/>
          <w:b/>
          <w:sz w:val="30"/>
        </w:rPr>
        <w:lastRenderedPageBreak/>
        <w:t>十</w:t>
      </w:r>
      <w:r w:rsidR="00293B85" w:rsidRPr="0087389D">
        <w:rPr>
          <w:rFonts w:asciiTheme="minorEastAsia" w:eastAsiaTheme="minorEastAsia" w:hAnsiTheme="minorEastAsia" w:hint="eastAsia"/>
          <w:b/>
          <w:sz w:val="30"/>
        </w:rPr>
        <w:t>五</w:t>
      </w:r>
      <w:r w:rsidRPr="0087389D">
        <w:rPr>
          <w:rFonts w:asciiTheme="minorEastAsia" w:eastAsiaTheme="minorEastAsia" w:hAnsiTheme="minorEastAsia"/>
          <w:b/>
          <w:sz w:val="30"/>
        </w:rPr>
        <w:t>、基金资产的估值</w:t>
      </w:r>
      <w:bookmarkEnd w:id="86"/>
      <w:bookmarkEnd w:id="87"/>
    </w:p>
    <w:p w:rsidR="00BA746E" w:rsidRPr="0087389D" w:rsidRDefault="00916FC5"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（一）</w:t>
      </w:r>
      <w:r w:rsidR="00BA746E" w:rsidRPr="0087389D">
        <w:rPr>
          <w:rFonts w:asciiTheme="minorEastAsia" w:eastAsiaTheme="minorEastAsia" w:hAnsiTheme="minorEastAsia" w:hint="eastAsia"/>
          <w:bCs/>
          <w:szCs w:val="21"/>
        </w:rPr>
        <w:t>估值日</w:t>
      </w:r>
    </w:p>
    <w:p w:rsidR="00BA746E" w:rsidRPr="0087389D" w:rsidRDefault="00BA746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本基金的估值日为本基金相关的证券交易场所的交易日以及国家法律法规规定需要对外披露基金净值的非交易日。</w:t>
      </w:r>
    </w:p>
    <w:p w:rsidR="00BA746E" w:rsidRPr="0087389D" w:rsidRDefault="00BA746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（二）估值对象</w:t>
      </w:r>
    </w:p>
    <w:p w:rsidR="00BA746E" w:rsidRPr="0087389D" w:rsidRDefault="00BA746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基金所拥有的各类证券和银行存款本息、应收款项、其它投资等资产及负债。</w:t>
      </w:r>
    </w:p>
    <w:p w:rsidR="00BA746E" w:rsidRPr="0087389D" w:rsidRDefault="00BA746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（三）估值方法</w:t>
      </w:r>
    </w:p>
    <w:p w:rsidR="00BA746E" w:rsidRPr="0087389D" w:rsidRDefault="00BA746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1、</w:t>
      </w:r>
      <w:r w:rsidR="008762E2" w:rsidRPr="0087389D">
        <w:rPr>
          <w:rFonts w:asciiTheme="minorEastAsia" w:eastAsiaTheme="minorEastAsia" w:hAnsiTheme="minorEastAsia" w:hint="eastAsia"/>
          <w:bCs/>
          <w:szCs w:val="21"/>
        </w:rPr>
        <w:t>本基金估值采用“摊余成本法”，即计价对象以买入成本列示，按照票面利率或协议利率并考虑其买入时的溢价与折价，在剩余存续期内按照实际利率法摊销，每日计提损益。本基金不采用市场利率和上市交易的债券和票据的市价计算基金资产净值</w:t>
      </w:r>
      <w:r w:rsidRPr="0087389D">
        <w:rPr>
          <w:rFonts w:asciiTheme="minorEastAsia" w:eastAsiaTheme="minorEastAsia" w:hAnsiTheme="minorEastAsia" w:hint="eastAsia"/>
          <w:bCs/>
          <w:szCs w:val="21"/>
        </w:rPr>
        <w:t>。</w:t>
      </w:r>
    </w:p>
    <w:p w:rsidR="00BA746E" w:rsidRPr="0087389D" w:rsidRDefault="00BA746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2、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w:t>
      </w:r>
      <w:r w:rsidR="008762E2" w:rsidRPr="0087389D">
        <w:rPr>
          <w:rFonts w:asciiTheme="minorEastAsia" w:eastAsiaTheme="minorEastAsia" w:hAnsiTheme="minorEastAsia" w:hint="eastAsia"/>
          <w:bCs/>
          <w:szCs w:val="21"/>
        </w:rPr>
        <w:t>当“影子定价”确定的基金资产净值与“摊余成本法”计算的基金资产净值的负偏离度绝对值达到或超过0.25%时，基金管理人应当在5个交易日内将负偏离度绝对值调整到0.25%以内。当正偏离度绝对值达到0.5%时，基金管理人应当暂停接受申购并在5个交易日内将正偏离度绝对值调整到0.5%以内。当负偏离度绝对值达到0.5%时，基金管理人应当使用风险准备金或者固有资金弥补潜在资产损失，将负偏离度绝对值控制在0.5%以内。当负偏离度绝对值连续两个交易日超过0.5%时，基金管理人应当采用公允价值估值方法对持有投资组合的账面价值进行调整，或者采取暂停接受所有赎回申请并终止基金合同进行财产清算等措施。</w:t>
      </w:r>
    </w:p>
    <w:p w:rsidR="00BA746E" w:rsidRPr="0087389D" w:rsidRDefault="00BA746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3、如有充足理由表明按上述方法进行估值不能客观反映其公允价值的，基金管理人可根据具体情况与基金托管人商定后，按最能反映公允价值的价格估值。</w:t>
      </w:r>
    </w:p>
    <w:p w:rsidR="00BA746E" w:rsidRPr="0087389D" w:rsidRDefault="00BA746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4、相关法律法规以及监管部门有强制规定的，从其规定。如有新增事项，按国家最新规定估值。</w:t>
      </w:r>
    </w:p>
    <w:p w:rsidR="00BA746E" w:rsidRPr="0087389D" w:rsidRDefault="00BA746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BA746E" w:rsidRPr="0087389D" w:rsidRDefault="00BA746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BA746E" w:rsidRPr="0087389D" w:rsidRDefault="00BA746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（四）估值程序</w:t>
      </w:r>
    </w:p>
    <w:p w:rsidR="00BA746E" w:rsidRPr="0087389D" w:rsidRDefault="00BA746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1、每万份基金已实现收益是按照相关法规计算的每万份基金份额的日已实现收益，精</w:t>
      </w:r>
      <w:r w:rsidRPr="0087389D">
        <w:rPr>
          <w:rFonts w:asciiTheme="minorEastAsia" w:eastAsiaTheme="minorEastAsia" w:hAnsiTheme="minorEastAsia" w:hint="eastAsia"/>
          <w:bCs/>
          <w:szCs w:val="21"/>
        </w:rPr>
        <w:lastRenderedPageBreak/>
        <w:t>确到小数点后第4位，小数点后第5位四舍五入。7日年化收益率是以最近7日</w:t>
      </w:r>
      <w:r w:rsidR="00B329B1" w:rsidRPr="0087389D">
        <w:rPr>
          <w:rFonts w:asciiTheme="minorEastAsia" w:eastAsiaTheme="minorEastAsia" w:hAnsiTheme="minorEastAsia" w:hint="eastAsia"/>
          <w:bCs/>
          <w:szCs w:val="21"/>
        </w:rPr>
        <w:t>（</w:t>
      </w:r>
      <w:r w:rsidRPr="0087389D">
        <w:rPr>
          <w:rFonts w:asciiTheme="minorEastAsia" w:eastAsiaTheme="minorEastAsia" w:hAnsiTheme="minorEastAsia" w:hint="eastAsia"/>
          <w:bCs/>
          <w:szCs w:val="21"/>
        </w:rPr>
        <w:t>含节假日</w:t>
      </w:r>
      <w:r w:rsidR="00B329B1" w:rsidRPr="0087389D">
        <w:rPr>
          <w:rFonts w:asciiTheme="minorEastAsia" w:eastAsiaTheme="minorEastAsia" w:hAnsiTheme="minorEastAsia" w:hint="eastAsia"/>
          <w:bCs/>
          <w:szCs w:val="21"/>
        </w:rPr>
        <w:t>）</w:t>
      </w:r>
      <w:r w:rsidRPr="0087389D">
        <w:rPr>
          <w:rFonts w:asciiTheme="minorEastAsia" w:eastAsiaTheme="minorEastAsia" w:hAnsiTheme="minorEastAsia" w:hint="eastAsia"/>
          <w:bCs/>
          <w:szCs w:val="21"/>
        </w:rPr>
        <w:t>收益所折算的年资产收益率，精确到百分号内小数点后3位，百分号内小数点后第4位四舍五入。国家另有规定的，从其规定。</w:t>
      </w:r>
    </w:p>
    <w:p w:rsidR="00BA746E" w:rsidRPr="0087389D" w:rsidRDefault="00BA746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2、基金管理人应每个工作日对基金资产估值。但基金管理人根据法律法规或基金合同的规定暂停估值时除外。基金管理人每个工作日对基金资产估值后，将基金估值结果发送基金托管人，经基金托管人复核无误后，由基金管理人</w:t>
      </w:r>
      <w:r w:rsidR="00BB04FF" w:rsidRPr="0087389D">
        <w:rPr>
          <w:rFonts w:asciiTheme="minorEastAsia" w:eastAsiaTheme="minorEastAsia" w:hAnsiTheme="minorEastAsia" w:hint="eastAsia"/>
          <w:bCs/>
          <w:szCs w:val="21"/>
        </w:rPr>
        <w:t>按规定</w:t>
      </w:r>
      <w:r w:rsidRPr="0087389D">
        <w:rPr>
          <w:rFonts w:asciiTheme="minorEastAsia" w:eastAsiaTheme="minorEastAsia" w:hAnsiTheme="minorEastAsia" w:hint="eastAsia"/>
          <w:bCs/>
          <w:szCs w:val="21"/>
        </w:rPr>
        <w:t>对外公布。</w:t>
      </w:r>
    </w:p>
    <w:p w:rsidR="00BA746E" w:rsidRPr="0087389D" w:rsidRDefault="00BA746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（五）估值错误的处理</w:t>
      </w:r>
    </w:p>
    <w:p w:rsidR="00BA746E" w:rsidRPr="0087389D" w:rsidRDefault="00BA746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基金管理人和基金托管人将采取必要、适当、合理的措施确保基金资产估值的准确性、及时性。当基金资产的计价导致每万份基金已实现收益小数点后2位以内（含第2位）发生差错时，视为估值错误。</w:t>
      </w:r>
    </w:p>
    <w:p w:rsidR="00BA746E" w:rsidRPr="0087389D" w:rsidRDefault="00BA746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基金合同的当事人应按照以下约定处理：</w:t>
      </w:r>
    </w:p>
    <w:p w:rsidR="00BA746E" w:rsidRPr="0087389D" w:rsidRDefault="00BA746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1、估值错误类型</w:t>
      </w:r>
    </w:p>
    <w:p w:rsidR="00BA746E" w:rsidRPr="0087389D" w:rsidRDefault="00BA746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00B329B1" w:rsidRPr="0087389D">
        <w:rPr>
          <w:rFonts w:asciiTheme="minorEastAsia" w:eastAsiaTheme="minorEastAsia" w:hAnsiTheme="minorEastAsia" w:hint="eastAsia"/>
          <w:bCs/>
          <w:szCs w:val="21"/>
        </w:rPr>
        <w:t>（</w:t>
      </w:r>
      <w:r w:rsidRPr="0087389D">
        <w:rPr>
          <w:rFonts w:asciiTheme="minorEastAsia" w:eastAsiaTheme="minorEastAsia" w:hAnsiTheme="minorEastAsia" w:hint="eastAsia"/>
          <w:bCs/>
          <w:szCs w:val="21"/>
        </w:rPr>
        <w:t>“受损方”</w:t>
      </w:r>
      <w:r w:rsidR="00B329B1" w:rsidRPr="0087389D">
        <w:rPr>
          <w:rFonts w:asciiTheme="minorEastAsia" w:eastAsiaTheme="minorEastAsia" w:hAnsiTheme="minorEastAsia" w:hint="eastAsia"/>
          <w:bCs/>
          <w:szCs w:val="21"/>
        </w:rPr>
        <w:t>）</w:t>
      </w:r>
      <w:r w:rsidRPr="0087389D">
        <w:rPr>
          <w:rFonts w:asciiTheme="minorEastAsia" w:eastAsiaTheme="minorEastAsia" w:hAnsiTheme="minorEastAsia" w:hint="eastAsia"/>
          <w:bCs/>
          <w:szCs w:val="21"/>
        </w:rPr>
        <w:t>的直接损失按下述“估值错误处理原则”给予赔偿，承担赔偿责任。</w:t>
      </w:r>
    </w:p>
    <w:p w:rsidR="00BA746E" w:rsidRPr="0087389D" w:rsidRDefault="00BA746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上述估值错误的主要类型包括但不限于：资料申报差错、数据传输差错、数据计算差错、系统故障差错、下达指令差错等。</w:t>
      </w:r>
    </w:p>
    <w:p w:rsidR="00BA746E" w:rsidRPr="0087389D" w:rsidRDefault="00BA746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2、估值错误处理原则</w:t>
      </w:r>
    </w:p>
    <w:p w:rsidR="00BA746E" w:rsidRPr="0087389D" w:rsidRDefault="00BA746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BA746E" w:rsidRPr="0087389D" w:rsidRDefault="00BA746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（2）估值错误的责任方对有关当事人的直接损失负责，不对间接损失负责，并且仅对估值错误的有关直接当事人负责，不对第三方负责。</w:t>
      </w:r>
    </w:p>
    <w:p w:rsidR="00BA746E" w:rsidRPr="0087389D" w:rsidRDefault="00BA746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（3）因估值错误而获得不当得利的当事人负有及时返还不当得利的义务。但估值错误责任方仍应对估值错误负责。如果由于获得不当得利的当事人不返还或不全部返还不当得利造成其他当事人的利益损失</w:t>
      </w:r>
      <w:r w:rsidR="00B329B1" w:rsidRPr="0087389D">
        <w:rPr>
          <w:rFonts w:asciiTheme="minorEastAsia" w:eastAsiaTheme="minorEastAsia" w:hAnsiTheme="minorEastAsia" w:hint="eastAsia"/>
          <w:bCs/>
          <w:szCs w:val="21"/>
        </w:rPr>
        <w:t>（</w:t>
      </w:r>
      <w:r w:rsidRPr="0087389D">
        <w:rPr>
          <w:rFonts w:asciiTheme="minorEastAsia" w:eastAsiaTheme="minorEastAsia" w:hAnsiTheme="minorEastAsia" w:hint="eastAsia"/>
          <w:bCs/>
          <w:szCs w:val="21"/>
        </w:rPr>
        <w:t>“受损方”</w:t>
      </w:r>
      <w:r w:rsidR="00B329B1" w:rsidRPr="0087389D">
        <w:rPr>
          <w:rFonts w:asciiTheme="minorEastAsia" w:eastAsiaTheme="minorEastAsia" w:hAnsiTheme="minorEastAsia" w:hint="eastAsia"/>
          <w:bCs/>
          <w:szCs w:val="21"/>
        </w:rPr>
        <w:t>）</w:t>
      </w:r>
      <w:r w:rsidRPr="0087389D">
        <w:rPr>
          <w:rFonts w:asciiTheme="minorEastAsia" w:eastAsiaTheme="minorEastAsia" w:hAnsiTheme="minorEastAsia" w:hint="eastAsia"/>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BA746E" w:rsidRPr="0087389D" w:rsidRDefault="00BA746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（4）估值错误调整采用尽量恢复至假设未发生估值错误的正确情形的方式。</w:t>
      </w:r>
    </w:p>
    <w:p w:rsidR="00BA746E" w:rsidRPr="0087389D" w:rsidRDefault="00BA746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lastRenderedPageBreak/>
        <w:t>3、估值错误处理程序</w:t>
      </w:r>
    </w:p>
    <w:p w:rsidR="00BA746E" w:rsidRPr="0087389D" w:rsidRDefault="00BA746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估值错误被发现后，有关的当事人应当及时进行处理，处理的程序如下：</w:t>
      </w:r>
    </w:p>
    <w:p w:rsidR="00BA746E" w:rsidRPr="0087389D" w:rsidRDefault="00BA746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（1）查明估值错误发生的原因，列明所有的当事人，并根据估值错误发生的原因确定估值错误的责任方；</w:t>
      </w:r>
    </w:p>
    <w:p w:rsidR="00BA746E" w:rsidRPr="0087389D" w:rsidRDefault="00BA746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（2）根据估值错误处理原则或当事人协商的方法对因估值错误造成的损失进行评估；</w:t>
      </w:r>
    </w:p>
    <w:p w:rsidR="00BA746E" w:rsidRPr="0087389D" w:rsidRDefault="00BA746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（3）根据估值错误处理原则或当事人协商的方法由估值错误的责任方进行更正和赔偿损失；</w:t>
      </w:r>
    </w:p>
    <w:p w:rsidR="00BA746E" w:rsidRPr="0087389D" w:rsidRDefault="00BA746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（4）根据估值错误处理的方法，需要修改基金登记机构交易数据的，由基金登记机构进行更正，并就估值错误的更正向有关当事人进行确认。</w:t>
      </w:r>
    </w:p>
    <w:p w:rsidR="00BA746E" w:rsidRPr="0087389D" w:rsidRDefault="00BA746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4、基金估值错误处理的方法如下：</w:t>
      </w:r>
    </w:p>
    <w:p w:rsidR="00BA746E" w:rsidRPr="0087389D" w:rsidRDefault="00BA746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（1）基金估值计算出现错误时，基金管理人应当立即予以纠正，通报基金托管人，并采取合理的措施防止损失进一步扩大。</w:t>
      </w:r>
    </w:p>
    <w:p w:rsidR="00BA746E" w:rsidRPr="0087389D" w:rsidRDefault="00BA746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（2）错误偏差达到基金资产净值的0.25%时，基金管理人应当通报基金托管人并报中国证监会备案；错误偏差达到基金资产净值的0.5%时，基金管理人应当公告。</w:t>
      </w:r>
    </w:p>
    <w:p w:rsidR="00BA746E" w:rsidRPr="0087389D" w:rsidRDefault="00BA746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（3）前述内容如法律法规或监管机关另有规定的，从其规定处理。</w:t>
      </w:r>
    </w:p>
    <w:p w:rsidR="00BA746E" w:rsidRPr="0087389D" w:rsidRDefault="00BA746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（六）暂停估值的情形</w:t>
      </w:r>
    </w:p>
    <w:p w:rsidR="00BA746E" w:rsidRPr="0087389D" w:rsidRDefault="00BA746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1、基金投资所涉及的证券交易市场遇法定节假日或因其他原因暂停营业时；</w:t>
      </w:r>
    </w:p>
    <w:p w:rsidR="00BA746E" w:rsidRPr="0087389D" w:rsidRDefault="00BA746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2、因不可抗力致使基金管理人、基金托管人无法准确评估基金资产价值时；</w:t>
      </w:r>
    </w:p>
    <w:p w:rsidR="00C5109D" w:rsidRPr="0087389D" w:rsidRDefault="00BA746E" w:rsidP="00C5109D">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3、</w:t>
      </w:r>
      <w:r w:rsidR="00C5109D" w:rsidRPr="0087389D">
        <w:rPr>
          <w:rFonts w:asciiTheme="minorEastAsia" w:eastAsiaTheme="minorEastAsia" w:hAnsiTheme="minorEastAsia" w:hint="eastAsia"/>
          <w:bCs/>
          <w:szCs w:val="21"/>
        </w:rPr>
        <w:t>当前一估值日基金资产净值50%以上的资产出现无可参考的活跃市场价格且采用估值技术仍导致公允价值存在重大不确定性时，经与基金托管人协商一致的；</w:t>
      </w:r>
    </w:p>
    <w:p w:rsidR="00BA746E" w:rsidRPr="0087389D" w:rsidRDefault="00C5109D" w:rsidP="00C5109D">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4、</w:t>
      </w:r>
      <w:r w:rsidR="00BA746E" w:rsidRPr="0087389D">
        <w:rPr>
          <w:rFonts w:asciiTheme="minorEastAsia" w:eastAsiaTheme="minorEastAsia" w:hAnsiTheme="minorEastAsia" w:hint="eastAsia"/>
          <w:bCs/>
          <w:szCs w:val="21"/>
        </w:rPr>
        <w:t>中国证监会和基金合同认定的其它情形。</w:t>
      </w:r>
    </w:p>
    <w:p w:rsidR="00BA746E" w:rsidRPr="0087389D" w:rsidRDefault="00BA746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（七）基金净值的确认</w:t>
      </w:r>
    </w:p>
    <w:p w:rsidR="00BA746E" w:rsidRPr="0087389D" w:rsidRDefault="00BA746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用于基金信息披露的基金资产净值、各类基金份额的每万份基金已实现收益和7日年化收益率由基金管理人负责计算，基金托管人负责进行复核。基金管理人应于每个开放日交易结束后计算当日的基金资产净值、各类基金份额的每万份基金已实现收益和7日年化收益率并发送给基金托管人。基金托管人复核确认后发送给基金管理人，由基金管理人</w:t>
      </w:r>
      <w:r w:rsidR="00BB04FF" w:rsidRPr="0087389D">
        <w:rPr>
          <w:rFonts w:asciiTheme="minorEastAsia" w:eastAsiaTheme="minorEastAsia" w:hAnsiTheme="minorEastAsia" w:hint="eastAsia"/>
          <w:bCs/>
          <w:szCs w:val="21"/>
        </w:rPr>
        <w:t>按规定</w:t>
      </w:r>
      <w:r w:rsidRPr="0087389D">
        <w:rPr>
          <w:rFonts w:asciiTheme="minorEastAsia" w:eastAsiaTheme="minorEastAsia" w:hAnsiTheme="minorEastAsia" w:hint="eastAsia"/>
          <w:bCs/>
          <w:szCs w:val="21"/>
        </w:rPr>
        <w:t>予以公布。</w:t>
      </w:r>
    </w:p>
    <w:p w:rsidR="00BA746E" w:rsidRPr="0087389D" w:rsidRDefault="00BA746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（八）特殊情形的处理</w:t>
      </w:r>
    </w:p>
    <w:p w:rsidR="00BA746E" w:rsidRPr="0087389D" w:rsidRDefault="00BA746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1、基金管理人按估值方法的第2、3项进行估值时，所造成的误差不作为基金资产估值错误处理；</w:t>
      </w:r>
    </w:p>
    <w:p w:rsidR="009375CE" w:rsidRPr="0087389D" w:rsidRDefault="00BA746E" w:rsidP="001421F6">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2、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w:t>
      </w:r>
      <w:r w:rsidRPr="0087389D">
        <w:rPr>
          <w:rFonts w:asciiTheme="minorEastAsia" w:eastAsiaTheme="minorEastAsia" w:hAnsiTheme="minorEastAsia" w:hint="eastAsia"/>
          <w:bCs/>
          <w:szCs w:val="21"/>
        </w:rPr>
        <w:lastRenderedPageBreak/>
        <w:t>人应当积极采取必要的措施消除或减轻由此造成的影响。</w:t>
      </w:r>
      <w:r w:rsidR="009375CE" w:rsidRPr="0087389D">
        <w:rPr>
          <w:rFonts w:asciiTheme="minorEastAsia" w:eastAsiaTheme="minorEastAsia" w:hAnsiTheme="minorEastAsia"/>
          <w:bCs/>
          <w:szCs w:val="21"/>
        </w:rPr>
        <w:br w:type="page"/>
      </w:r>
    </w:p>
    <w:p w:rsidR="00E61446" w:rsidRPr="0087389D" w:rsidRDefault="00E61446" w:rsidP="001421F6">
      <w:pPr>
        <w:snapToGrid w:val="0"/>
        <w:spacing w:line="360" w:lineRule="auto"/>
        <w:ind w:firstLineChars="200" w:firstLine="420"/>
        <w:rPr>
          <w:rFonts w:asciiTheme="minorEastAsia" w:eastAsiaTheme="minorEastAsia" w:hAnsiTheme="minorEastAsia"/>
          <w:bCs/>
          <w:szCs w:val="21"/>
        </w:rPr>
      </w:pPr>
    </w:p>
    <w:p w:rsidR="00BA4B87" w:rsidRPr="0087389D" w:rsidRDefault="00293B85" w:rsidP="00555CE7">
      <w:pPr>
        <w:pStyle w:val="1"/>
        <w:snapToGrid w:val="0"/>
        <w:spacing w:beforeLines="0" w:afterLines="0" w:line="360" w:lineRule="auto"/>
        <w:ind w:firstLine="602"/>
        <w:rPr>
          <w:rFonts w:asciiTheme="minorEastAsia" w:eastAsiaTheme="minorEastAsia" w:hAnsiTheme="minorEastAsia"/>
          <w:b/>
          <w:bCs/>
        </w:rPr>
      </w:pPr>
      <w:bookmarkStart w:id="88" w:name="_Toc361403743"/>
      <w:bookmarkStart w:id="89" w:name="_Toc41644974"/>
      <w:r w:rsidRPr="0087389D">
        <w:rPr>
          <w:rFonts w:asciiTheme="minorEastAsia" w:eastAsiaTheme="minorEastAsia" w:hAnsiTheme="minorEastAsia"/>
          <w:b/>
          <w:sz w:val="30"/>
        </w:rPr>
        <w:t>十</w:t>
      </w:r>
      <w:r w:rsidRPr="0087389D">
        <w:rPr>
          <w:rFonts w:asciiTheme="minorEastAsia" w:eastAsiaTheme="minorEastAsia" w:hAnsiTheme="minorEastAsia" w:hint="eastAsia"/>
          <w:b/>
          <w:sz w:val="30"/>
        </w:rPr>
        <w:t>六</w:t>
      </w:r>
      <w:r w:rsidR="00BA4B87" w:rsidRPr="0087389D">
        <w:rPr>
          <w:rFonts w:asciiTheme="minorEastAsia" w:eastAsiaTheme="minorEastAsia" w:hAnsiTheme="minorEastAsia"/>
          <w:b/>
          <w:sz w:val="30"/>
        </w:rPr>
        <w:t>、基金的收益分配</w:t>
      </w:r>
      <w:bookmarkEnd w:id="88"/>
      <w:bookmarkEnd w:id="89"/>
    </w:p>
    <w:p w:rsidR="00916FC5" w:rsidRPr="0087389D" w:rsidRDefault="00B329B1"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w:t>
      </w:r>
      <w:r w:rsidR="00916FC5" w:rsidRPr="0087389D">
        <w:rPr>
          <w:rFonts w:asciiTheme="minorEastAsia" w:eastAsiaTheme="minorEastAsia" w:hAnsiTheme="minorEastAsia" w:hint="eastAsia"/>
          <w:szCs w:val="21"/>
        </w:rPr>
        <w:t>一</w:t>
      </w:r>
      <w:r w:rsidRPr="0087389D">
        <w:rPr>
          <w:rFonts w:asciiTheme="minorEastAsia" w:eastAsiaTheme="minorEastAsia" w:hAnsiTheme="minorEastAsia" w:hint="eastAsia"/>
          <w:szCs w:val="21"/>
        </w:rPr>
        <w:t>）</w:t>
      </w:r>
      <w:r w:rsidR="00916FC5" w:rsidRPr="0087389D">
        <w:rPr>
          <w:rFonts w:asciiTheme="minorEastAsia" w:eastAsiaTheme="minorEastAsia" w:hAnsiTheme="minorEastAsia" w:hint="eastAsia"/>
          <w:szCs w:val="21"/>
        </w:rPr>
        <w:t>基金利润的构成</w:t>
      </w:r>
    </w:p>
    <w:p w:rsidR="00916FC5" w:rsidRPr="0087389D" w:rsidRDefault="00916FC5"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基金利润指基金利息收入、投资收益、公允价值变动收益和其他收入扣除相关费用后的余额；基金已实现收益指基金利润减去公允价值变动损益后的余额。</w:t>
      </w:r>
    </w:p>
    <w:p w:rsidR="00916FC5" w:rsidRPr="0087389D" w:rsidRDefault="00B329B1"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w:t>
      </w:r>
      <w:r w:rsidR="00916FC5" w:rsidRPr="0087389D">
        <w:rPr>
          <w:rFonts w:asciiTheme="minorEastAsia" w:eastAsiaTheme="minorEastAsia" w:hAnsiTheme="minorEastAsia" w:hint="eastAsia"/>
          <w:szCs w:val="21"/>
        </w:rPr>
        <w:t>二</w:t>
      </w:r>
      <w:r w:rsidRPr="0087389D">
        <w:rPr>
          <w:rFonts w:asciiTheme="minorEastAsia" w:eastAsiaTheme="minorEastAsia" w:hAnsiTheme="minorEastAsia" w:hint="eastAsia"/>
          <w:szCs w:val="21"/>
        </w:rPr>
        <w:t>）</w:t>
      </w:r>
      <w:r w:rsidR="00916FC5" w:rsidRPr="0087389D">
        <w:rPr>
          <w:rFonts w:asciiTheme="minorEastAsia" w:eastAsiaTheme="minorEastAsia" w:hAnsiTheme="minorEastAsia" w:hint="eastAsia"/>
          <w:szCs w:val="21"/>
        </w:rPr>
        <w:t>收益分配原则</w:t>
      </w:r>
    </w:p>
    <w:p w:rsidR="00BA746E" w:rsidRPr="0087389D" w:rsidRDefault="00BA746E"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本基金收益分配应遵循下列原则：</w:t>
      </w:r>
    </w:p>
    <w:p w:rsidR="00C02F0E" w:rsidRPr="0087389D" w:rsidRDefault="00C02F0E"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w:t>
      </w:r>
      <w:r w:rsidR="009563EF" w:rsidRPr="0087389D">
        <w:rPr>
          <w:rFonts w:asciiTheme="minorEastAsia" w:eastAsiaTheme="minorEastAsia" w:hAnsiTheme="minorEastAsia" w:hint="eastAsia"/>
          <w:szCs w:val="21"/>
        </w:rPr>
        <w:t>、</w:t>
      </w:r>
      <w:r w:rsidRPr="0087389D">
        <w:rPr>
          <w:rFonts w:asciiTheme="minorEastAsia" w:eastAsiaTheme="minorEastAsia" w:hAnsiTheme="minorEastAsia" w:hint="eastAsia"/>
          <w:szCs w:val="21"/>
        </w:rPr>
        <w:t>本基金同一类别内的每份基金份额享有同等分配权；</w:t>
      </w:r>
    </w:p>
    <w:p w:rsidR="00C02F0E" w:rsidRPr="0087389D" w:rsidRDefault="00C02F0E"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2</w:t>
      </w:r>
      <w:r w:rsidR="009563EF" w:rsidRPr="0087389D">
        <w:rPr>
          <w:rFonts w:asciiTheme="minorEastAsia" w:eastAsiaTheme="minorEastAsia" w:hAnsiTheme="minorEastAsia" w:hint="eastAsia"/>
          <w:szCs w:val="21"/>
        </w:rPr>
        <w:t>、</w:t>
      </w:r>
      <w:r w:rsidRPr="0087389D">
        <w:rPr>
          <w:rFonts w:asciiTheme="minorEastAsia" w:eastAsiaTheme="minorEastAsia" w:hAnsiTheme="minorEastAsia" w:hint="eastAsia"/>
          <w:szCs w:val="21"/>
        </w:rPr>
        <w:t>本基金收益分配方式为红利再投资，免收再投资的费用；</w:t>
      </w:r>
    </w:p>
    <w:p w:rsidR="00C02F0E" w:rsidRPr="0087389D" w:rsidRDefault="00C02F0E"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3</w:t>
      </w:r>
      <w:r w:rsidR="009563EF" w:rsidRPr="0087389D">
        <w:rPr>
          <w:rFonts w:asciiTheme="minorEastAsia" w:eastAsiaTheme="minorEastAsia" w:hAnsiTheme="minorEastAsia" w:hint="eastAsia"/>
          <w:szCs w:val="21"/>
        </w:rPr>
        <w:t>、</w:t>
      </w:r>
      <w:r w:rsidRPr="0087389D">
        <w:rPr>
          <w:rFonts w:asciiTheme="minorEastAsia" w:eastAsiaTheme="minorEastAsia" w:hAnsiTheme="minorEastAsia" w:hint="eastAsia"/>
          <w:szCs w:val="21"/>
        </w:rPr>
        <w:t>本基金根据每日基金收益情况，以基金已实现收益为基准，为投资人每日计算当日收益并分配（该收益将会计确认为实收基金，参与下一日的收益分配）。通常情况下，本基金的收益支付方式为按月支付，对于可支持按日支付的销售机构，本基金的收益支付方式经基金管理人和销售机构双方协商一致后可以按日支付。不论何种支付方式，当日收益均参与下一日的收益分配</w:t>
      </w:r>
      <w:r w:rsidR="00267D71" w:rsidRPr="0087389D">
        <w:rPr>
          <w:rFonts w:asciiTheme="minorEastAsia" w:eastAsiaTheme="minorEastAsia" w:hAnsiTheme="minorEastAsia" w:hint="eastAsia"/>
          <w:szCs w:val="21"/>
        </w:rPr>
        <w:t>，不影响基金份额持有人实际获得的投资收益</w:t>
      </w:r>
      <w:r w:rsidRPr="0087389D">
        <w:rPr>
          <w:rFonts w:asciiTheme="minorEastAsia" w:eastAsiaTheme="minorEastAsia" w:hAnsiTheme="minorEastAsia" w:hint="eastAsia"/>
          <w:szCs w:val="21"/>
        </w:rPr>
        <w:t>。投资人当日收益分配的计算保留到小数点后2位，小数点后第3位按去尾原则处理，因去尾形成的余额进行再次分配，直到分完为止；</w:t>
      </w:r>
    </w:p>
    <w:p w:rsidR="00C02F0E" w:rsidRPr="0087389D" w:rsidRDefault="00C02F0E"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4</w:t>
      </w:r>
      <w:r w:rsidR="009563EF" w:rsidRPr="0087389D">
        <w:rPr>
          <w:rFonts w:asciiTheme="minorEastAsia" w:eastAsiaTheme="minorEastAsia" w:hAnsiTheme="minorEastAsia" w:hint="eastAsia"/>
          <w:szCs w:val="21"/>
        </w:rPr>
        <w:t>、</w:t>
      </w:r>
      <w:r w:rsidRPr="0087389D">
        <w:rPr>
          <w:rFonts w:asciiTheme="minorEastAsia" w:eastAsiaTheme="minorEastAsia" w:hAnsiTheme="minorEastAsia" w:hint="eastAsia"/>
          <w:szCs w:val="21"/>
        </w:rPr>
        <w:t>本基金根据每日收益情况，将当日收益全部分配，若当日已实现收益大于零时，为投资人记正收益；若当日已实现收益小于零时，为投资人记负收益；若当日已实现收益等于零时，当日投资人不记收益；</w:t>
      </w:r>
    </w:p>
    <w:p w:rsidR="00C02F0E" w:rsidRPr="0087389D" w:rsidRDefault="00C02F0E"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5</w:t>
      </w:r>
      <w:r w:rsidR="009563EF" w:rsidRPr="0087389D">
        <w:rPr>
          <w:rFonts w:asciiTheme="minorEastAsia" w:eastAsiaTheme="minorEastAsia" w:hAnsiTheme="minorEastAsia" w:hint="eastAsia"/>
          <w:szCs w:val="21"/>
        </w:rPr>
        <w:t>、</w:t>
      </w:r>
      <w:r w:rsidRPr="0087389D">
        <w:rPr>
          <w:rFonts w:asciiTheme="minorEastAsia" w:eastAsiaTheme="minorEastAsia" w:hAnsiTheme="minorEastAsia" w:hint="eastAsia"/>
          <w:szCs w:val="21"/>
        </w:rPr>
        <w:t>本基金每日进行收益计算并分配时，定期累计收益支付方式只采用红利再投资</w:t>
      </w:r>
      <w:r w:rsidR="00B329B1" w:rsidRPr="0087389D">
        <w:rPr>
          <w:rFonts w:asciiTheme="minorEastAsia" w:eastAsiaTheme="minorEastAsia" w:hAnsiTheme="minorEastAsia" w:hint="eastAsia"/>
          <w:szCs w:val="21"/>
        </w:rPr>
        <w:t>（</w:t>
      </w:r>
      <w:r w:rsidRPr="0087389D">
        <w:rPr>
          <w:rFonts w:asciiTheme="minorEastAsia" w:eastAsiaTheme="minorEastAsia" w:hAnsiTheme="minorEastAsia" w:hint="eastAsia"/>
          <w:szCs w:val="21"/>
        </w:rPr>
        <w:t>即红利转基金份额</w:t>
      </w:r>
      <w:r w:rsidR="00B329B1" w:rsidRPr="0087389D">
        <w:rPr>
          <w:rFonts w:asciiTheme="minorEastAsia" w:eastAsiaTheme="minorEastAsia" w:hAnsiTheme="minorEastAsia" w:hint="eastAsia"/>
          <w:szCs w:val="21"/>
        </w:rPr>
        <w:t>）</w:t>
      </w:r>
      <w:r w:rsidRPr="0087389D">
        <w:rPr>
          <w:rFonts w:asciiTheme="minorEastAsia" w:eastAsiaTheme="minorEastAsia" w:hAnsiTheme="minorEastAsia" w:hint="eastAsia"/>
          <w:szCs w:val="21"/>
        </w:rPr>
        <w:t>方式，投资人可通过赎回基金份额获得现金收益；若投资人在定期累计收益支付时，其累计收益为正值，则为投资人增加相应的基金份额，其累计收益为负值，则缩减投资人基金份额；</w:t>
      </w:r>
    </w:p>
    <w:p w:rsidR="00C02F0E" w:rsidRPr="0087389D" w:rsidRDefault="00C02F0E"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6</w:t>
      </w:r>
      <w:r w:rsidR="009563EF" w:rsidRPr="0087389D">
        <w:rPr>
          <w:rFonts w:asciiTheme="minorEastAsia" w:eastAsiaTheme="minorEastAsia" w:hAnsiTheme="minorEastAsia" w:hint="eastAsia"/>
          <w:szCs w:val="21"/>
        </w:rPr>
        <w:t>、</w:t>
      </w:r>
      <w:r w:rsidRPr="0087389D">
        <w:rPr>
          <w:rFonts w:asciiTheme="minorEastAsia" w:eastAsiaTheme="minorEastAsia" w:hAnsiTheme="minorEastAsia" w:hint="eastAsia"/>
          <w:szCs w:val="21"/>
        </w:rPr>
        <w:t>当日申购的基金份额自下一个工作日起，享有基金的收益分配权益；当日赎回的基金份额自下一个工作日起，不享有基金的收益分配权益；</w:t>
      </w:r>
    </w:p>
    <w:p w:rsidR="00C02F0E" w:rsidRPr="0087389D" w:rsidRDefault="00C02F0E"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7</w:t>
      </w:r>
      <w:r w:rsidR="009563EF" w:rsidRPr="0087389D">
        <w:rPr>
          <w:rFonts w:asciiTheme="minorEastAsia" w:eastAsiaTheme="minorEastAsia" w:hAnsiTheme="minorEastAsia" w:hint="eastAsia"/>
          <w:szCs w:val="21"/>
        </w:rPr>
        <w:t>、</w:t>
      </w:r>
      <w:r w:rsidRPr="0087389D">
        <w:rPr>
          <w:rFonts w:asciiTheme="minorEastAsia" w:eastAsiaTheme="minorEastAsia" w:hAnsiTheme="minorEastAsia" w:hint="eastAsia"/>
          <w:szCs w:val="21"/>
        </w:rPr>
        <w:t>在不违反法律法规且对基金份额持有人利益无实质不利影响的前提下，基金管理人可调整基金收益的分配原则和支付方式，不需召开基金份额持有人大会审议；</w:t>
      </w:r>
    </w:p>
    <w:p w:rsidR="00580FE0" w:rsidRPr="0087389D" w:rsidRDefault="00C02F0E"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8</w:t>
      </w:r>
      <w:r w:rsidR="009563EF" w:rsidRPr="0087389D">
        <w:rPr>
          <w:rFonts w:asciiTheme="minorEastAsia" w:eastAsiaTheme="minorEastAsia" w:hAnsiTheme="minorEastAsia" w:hint="eastAsia"/>
          <w:szCs w:val="21"/>
        </w:rPr>
        <w:t>、</w:t>
      </w:r>
      <w:r w:rsidRPr="0087389D">
        <w:rPr>
          <w:rFonts w:asciiTheme="minorEastAsia" w:eastAsiaTheme="minorEastAsia" w:hAnsiTheme="minorEastAsia" w:hint="eastAsia"/>
          <w:szCs w:val="21"/>
        </w:rPr>
        <w:t>法律法规或监管机构另有规定的从其规定。</w:t>
      </w:r>
    </w:p>
    <w:p w:rsidR="00580FE0" w:rsidRPr="0087389D" w:rsidRDefault="00B329B1"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w:t>
      </w:r>
      <w:r w:rsidR="00580FE0" w:rsidRPr="0087389D">
        <w:rPr>
          <w:rFonts w:asciiTheme="minorEastAsia" w:eastAsiaTheme="minorEastAsia" w:hAnsiTheme="minorEastAsia" w:hint="eastAsia"/>
          <w:szCs w:val="21"/>
        </w:rPr>
        <w:t>三</w:t>
      </w:r>
      <w:r w:rsidRPr="0087389D">
        <w:rPr>
          <w:rFonts w:asciiTheme="minorEastAsia" w:eastAsiaTheme="minorEastAsia" w:hAnsiTheme="minorEastAsia" w:hint="eastAsia"/>
          <w:szCs w:val="21"/>
        </w:rPr>
        <w:t>）</w:t>
      </w:r>
      <w:r w:rsidR="00580FE0" w:rsidRPr="0087389D">
        <w:rPr>
          <w:rFonts w:asciiTheme="minorEastAsia" w:eastAsiaTheme="minorEastAsia" w:hAnsiTheme="minorEastAsia" w:hint="eastAsia"/>
          <w:szCs w:val="21"/>
        </w:rPr>
        <w:t>收益分配方案</w:t>
      </w:r>
    </w:p>
    <w:p w:rsidR="00580FE0" w:rsidRPr="0087389D" w:rsidRDefault="00580FE0"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cs="Heiti SC Light" w:hint="eastAsia"/>
          <w:szCs w:val="21"/>
        </w:rPr>
        <w:t>本基金按日计</w:t>
      </w:r>
      <w:r w:rsidRPr="0087389D">
        <w:rPr>
          <w:rFonts w:asciiTheme="minorEastAsia" w:eastAsiaTheme="minorEastAsia" w:hAnsiTheme="minorEastAsia" w:hint="eastAsia"/>
          <w:szCs w:val="21"/>
        </w:rPr>
        <w:t>算并分配收益，基金管理人不另行公告基金收益分配方案。</w:t>
      </w:r>
    </w:p>
    <w:p w:rsidR="00580FE0" w:rsidRPr="0087389D" w:rsidRDefault="00B329B1"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w:t>
      </w:r>
      <w:r w:rsidR="00580FE0" w:rsidRPr="0087389D">
        <w:rPr>
          <w:rFonts w:asciiTheme="minorEastAsia" w:eastAsiaTheme="minorEastAsia" w:hAnsiTheme="minorEastAsia" w:hint="eastAsia"/>
          <w:szCs w:val="21"/>
        </w:rPr>
        <w:t>四</w:t>
      </w:r>
      <w:r w:rsidRPr="0087389D">
        <w:rPr>
          <w:rFonts w:asciiTheme="minorEastAsia" w:eastAsiaTheme="minorEastAsia" w:hAnsiTheme="minorEastAsia" w:hint="eastAsia"/>
          <w:szCs w:val="21"/>
        </w:rPr>
        <w:t>）</w:t>
      </w:r>
      <w:r w:rsidR="00580FE0" w:rsidRPr="0087389D">
        <w:rPr>
          <w:rFonts w:asciiTheme="minorEastAsia" w:eastAsiaTheme="minorEastAsia" w:hAnsiTheme="minorEastAsia" w:hint="eastAsia"/>
          <w:szCs w:val="21"/>
        </w:rPr>
        <w:t>收益分配的时间和程序</w:t>
      </w:r>
    </w:p>
    <w:p w:rsidR="00BA746E" w:rsidRPr="0087389D" w:rsidRDefault="00BA746E"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本基金每日进行收益分配。</w:t>
      </w:r>
    </w:p>
    <w:p w:rsidR="00D72373" w:rsidRPr="0087389D" w:rsidRDefault="007E4416"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通常情况下，</w:t>
      </w:r>
      <w:r w:rsidRPr="0087389D">
        <w:rPr>
          <w:rFonts w:asciiTheme="minorEastAsia" w:eastAsiaTheme="minorEastAsia" w:hAnsiTheme="minorEastAsia" w:hint="eastAsia"/>
          <w:bCs/>
          <w:szCs w:val="21"/>
        </w:rPr>
        <w:t>本基金每月15日（如遇特殊情况，本公司将另行公告）例行对累计实现的收益进行收益结转</w:t>
      </w:r>
      <w:r w:rsidR="00B329B1" w:rsidRPr="0087389D">
        <w:rPr>
          <w:rFonts w:asciiTheme="minorEastAsia" w:eastAsiaTheme="minorEastAsia" w:hAnsiTheme="minorEastAsia" w:hint="eastAsia"/>
          <w:bCs/>
          <w:szCs w:val="21"/>
        </w:rPr>
        <w:t>（</w:t>
      </w:r>
      <w:r w:rsidRPr="0087389D">
        <w:rPr>
          <w:rFonts w:asciiTheme="minorEastAsia" w:eastAsiaTheme="minorEastAsia" w:hAnsiTheme="minorEastAsia" w:hint="eastAsia"/>
          <w:bCs/>
          <w:szCs w:val="21"/>
        </w:rPr>
        <w:t>如遇节假日顺延，例行的收益结转不再另行公告</w:t>
      </w:r>
      <w:r w:rsidR="00B329B1" w:rsidRPr="0087389D">
        <w:rPr>
          <w:rFonts w:asciiTheme="minorEastAsia" w:eastAsiaTheme="minorEastAsia" w:hAnsiTheme="minorEastAsia" w:hint="eastAsia"/>
          <w:bCs/>
          <w:szCs w:val="21"/>
        </w:rPr>
        <w:t>）</w:t>
      </w:r>
      <w:r w:rsidRPr="0087389D">
        <w:rPr>
          <w:rFonts w:asciiTheme="minorEastAsia" w:eastAsiaTheme="minorEastAsia" w:hAnsiTheme="minorEastAsia" w:hint="eastAsia"/>
          <w:bCs/>
          <w:szCs w:val="21"/>
        </w:rPr>
        <w:t>；</w:t>
      </w:r>
      <w:r w:rsidRPr="0087389D">
        <w:rPr>
          <w:rFonts w:asciiTheme="minorEastAsia" w:eastAsiaTheme="minorEastAsia" w:hAnsiTheme="minorEastAsia" w:hint="eastAsia"/>
          <w:szCs w:val="21"/>
        </w:rPr>
        <w:t>对于可支持按日</w:t>
      </w:r>
      <w:r w:rsidRPr="0087389D">
        <w:rPr>
          <w:rFonts w:asciiTheme="minorEastAsia" w:eastAsiaTheme="minorEastAsia" w:hAnsiTheme="minorEastAsia" w:hint="eastAsia"/>
          <w:szCs w:val="21"/>
        </w:rPr>
        <w:lastRenderedPageBreak/>
        <w:t>支付的销售机构，本基金的收益支付方式经</w:t>
      </w:r>
      <w:r w:rsidR="00D910C4" w:rsidRPr="0087389D">
        <w:rPr>
          <w:rFonts w:asciiTheme="minorEastAsia" w:eastAsiaTheme="minorEastAsia" w:hAnsiTheme="minorEastAsia" w:hint="eastAsia"/>
          <w:szCs w:val="21"/>
        </w:rPr>
        <w:t>基金管理人和销售机构</w:t>
      </w:r>
      <w:r w:rsidRPr="0087389D">
        <w:rPr>
          <w:rFonts w:asciiTheme="minorEastAsia" w:eastAsiaTheme="minorEastAsia" w:hAnsiTheme="minorEastAsia" w:hint="eastAsia"/>
          <w:szCs w:val="21"/>
        </w:rPr>
        <w:t>双方协商一致后可以按日支付</w:t>
      </w:r>
      <w:r w:rsidR="00652F3D" w:rsidRPr="0087389D">
        <w:rPr>
          <w:rFonts w:asciiTheme="minorEastAsia" w:eastAsiaTheme="minorEastAsia" w:hAnsiTheme="minorEastAsia" w:hint="eastAsia"/>
          <w:szCs w:val="21"/>
        </w:rPr>
        <w:t>。</w:t>
      </w:r>
    </w:p>
    <w:p w:rsidR="00BA4B87" w:rsidRPr="0087389D" w:rsidRDefault="00BA4B87" w:rsidP="002E06F4">
      <w:pPr>
        <w:pStyle w:val="1"/>
        <w:snapToGrid w:val="0"/>
        <w:spacing w:beforeLines="0" w:afterLines="0" w:line="360" w:lineRule="auto"/>
        <w:ind w:firstLine="640"/>
        <w:rPr>
          <w:rFonts w:asciiTheme="minorEastAsia" w:eastAsiaTheme="minorEastAsia" w:hAnsiTheme="minorEastAsia"/>
          <w:b/>
          <w:sz w:val="30"/>
        </w:rPr>
      </w:pPr>
      <w:r w:rsidRPr="0087389D">
        <w:rPr>
          <w:rFonts w:asciiTheme="minorEastAsia" w:eastAsiaTheme="minorEastAsia" w:hAnsiTheme="minorEastAsia"/>
        </w:rPr>
        <w:br w:type="column"/>
      </w:r>
      <w:bookmarkStart w:id="90" w:name="_Toc361403744"/>
      <w:bookmarkStart w:id="91" w:name="_Toc41644975"/>
      <w:r w:rsidR="00293B85" w:rsidRPr="0087389D">
        <w:rPr>
          <w:rFonts w:asciiTheme="minorEastAsia" w:eastAsiaTheme="minorEastAsia" w:hAnsiTheme="minorEastAsia"/>
          <w:b/>
          <w:sz w:val="30"/>
        </w:rPr>
        <w:lastRenderedPageBreak/>
        <w:t>十</w:t>
      </w:r>
      <w:r w:rsidR="00293B85" w:rsidRPr="0087389D">
        <w:rPr>
          <w:rFonts w:asciiTheme="minorEastAsia" w:eastAsiaTheme="minorEastAsia" w:hAnsiTheme="minorEastAsia" w:hint="eastAsia"/>
          <w:b/>
          <w:sz w:val="30"/>
        </w:rPr>
        <w:t>七</w:t>
      </w:r>
      <w:r w:rsidRPr="0087389D">
        <w:rPr>
          <w:rFonts w:asciiTheme="minorEastAsia" w:eastAsiaTheme="minorEastAsia" w:hAnsiTheme="minorEastAsia"/>
          <w:b/>
          <w:sz w:val="30"/>
        </w:rPr>
        <w:t>、基金的费用与税收</w:t>
      </w:r>
      <w:bookmarkEnd w:id="90"/>
      <w:bookmarkEnd w:id="91"/>
    </w:p>
    <w:p w:rsidR="00293B85" w:rsidRPr="0087389D" w:rsidRDefault="00531DA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（一）</w:t>
      </w:r>
      <w:r w:rsidR="00293B85" w:rsidRPr="0087389D">
        <w:rPr>
          <w:rFonts w:asciiTheme="minorEastAsia" w:eastAsiaTheme="minorEastAsia" w:hAnsiTheme="minorEastAsia" w:hint="eastAsia"/>
          <w:bCs/>
          <w:szCs w:val="21"/>
        </w:rPr>
        <w:t>与基金运作相关的费用</w:t>
      </w:r>
    </w:p>
    <w:p w:rsidR="00531DAE" w:rsidRPr="0087389D" w:rsidRDefault="003110E4"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1、</w:t>
      </w:r>
      <w:r w:rsidR="00531DAE" w:rsidRPr="0087389D">
        <w:rPr>
          <w:rFonts w:asciiTheme="minorEastAsia" w:eastAsiaTheme="minorEastAsia" w:hAnsiTheme="minorEastAsia"/>
          <w:bCs/>
          <w:szCs w:val="21"/>
        </w:rPr>
        <w:t>基金费用的种类</w:t>
      </w:r>
    </w:p>
    <w:p w:rsidR="00BA746E" w:rsidRPr="0087389D" w:rsidRDefault="00293B85"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w:t>
      </w:r>
      <w:r w:rsidR="00BA746E" w:rsidRPr="0087389D">
        <w:rPr>
          <w:rFonts w:asciiTheme="minorEastAsia" w:eastAsiaTheme="minorEastAsia" w:hAnsiTheme="minorEastAsia" w:hint="eastAsia"/>
          <w:bCs/>
          <w:szCs w:val="21"/>
        </w:rPr>
        <w:t>1</w:t>
      </w:r>
      <w:r w:rsidRPr="0087389D">
        <w:rPr>
          <w:rFonts w:asciiTheme="minorEastAsia" w:eastAsiaTheme="minorEastAsia" w:hAnsiTheme="minorEastAsia" w:hint="eastAsia"/>
          <w:bCs/>
          <w:szCs w:val="21"/>
        </w:rPr>
        <w:t>）</w:t>
      </w:r>
      <w:r w:rsidR="00BA746E" w:rsidRPr="0087389D">
        <w:rPr>
          <w:rFonts w:asciiTheme="minorEastAsia" w:eastAsiaTheme="minorEastAsia" w:hAnsiTheme="minorEastAsia" w:hint="eastAsia"/>
          <w:bCs/>
          <w:szCs w:val="21"/>
        </w:rPr>
        <w:t>基金管理人的管理费；</w:t>
      </w:r>
    </w:p>
    <w:p w:rsidR="00BA746E" w:rsidRPr="0087389D" w:rsidRDefault="00293B85"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w:t>
      </w:r>
      <w:r w:rsidR="00BA746E" w:rsidRPr="0087389D">
        <w:rPr>
          <w:rFonts w:asciiTheme="minorEastAsia" w:eastAsiaTheme="minorEastAsia" w:hAnsiTheme="minorEastAsia" w:hint="eastAsia"/>
          <w:bCs/>
          <w:szCs w:val="21"/>
        </w:rPr>
        <w:t>2</w:t>
      </w:r>
      <w:r w:rsidRPr="0087389D">
        <w:rPr>
          <w:rFonts w:asciiTheme="minorEastAsia" w:eastAsiaTheme="minorEastAsia" w:hAnsiTheme="minorEastAsia" w:hint="eastAsia"/>
          <w:bCs/>
          <w:szCs w:val="21"/>
        </w:rPr>
        <w:t>）</w:t>
      </w:r>
      <w:r w:rsidR="00BA746E" w:rsidRPr="0087389D">
        <w:rPr>
          <w:rFonts w:asciiTheme="minorEastAsia" w:eastAsiaTheme="minorEastAsia" w:hAnsiTheme="minorEastAsia" w:hint="eastAsia"/>
          <w:bCs/>
          <w:szCs w:val="21"/>
        </w:rPr>
        <w:t>基金托管人的托管费；</w:t>
      </w:r>
    </w:p>
    <w:p w:rsidR="00BA746E" w:rsidRPr="0087389D" w:rsidRDefault="00293B85"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w:t>
      </w:r>
      <w:r w:rsidR="00BA746E" w:rsidRPr="0087389D">
        <w:rPr>
          <w:rFonts w:asciiTheme="minorEastAsia" w:eastAsiaTheme="minorEastAsia" w:hAnsiTheme="minorEastAsia" w:hint="eastAsia"/>
          <w:bCs/>
          <w:szCs w:val="21"/>
        </w:rPr>
        <w:t>3</w:t>
      </w:r>
      <w:r w:rsidRPr="0087389D">
        <w:rPr>
          <w:rFonts w:asciiTheme="minorEastAsia" w:eastAsiaTheme="minorEastAsia" w:hAnsiTheme="minorEastAsia" w:hint="eastAsia"/>
          <w:bCs/>
          <w:szCs w:val="21"/>
        </w:rPr>
        <w:t>）</w:t>
      </w:r>
      <w:r w:rsidR="00BA746E" w:rsidRPr="0087389D">
        <w:rPr>
          <w:rFonts w:asciiTheme="minorEastAsia" w:eastAsiaTheme="minorEastAsia" w:hAnsiTheme="minorEastAsia" w:hint="eastAsia"/>
          <w:bCs/>
          <w:szCs w:val="21"/>
        </w:rPr>
        <w:t>销售服务费；</w:t>
      </w:r>
    </w:p>
    <w:p w:rsidR="00BA746E" w:rsidRPr="0087389D" w:rsidRDefault="00293B85"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w:t>
      </w:r>
      <w:r w:rsidR="00BA746E" w:rsidRPr="0087389D">
        <w:rPr>
          <w:rFonts w:asciiTheme="minorEastAsia" w:eastAsiaTheme="minorEastAsia" w:hAnsiTheme="minorEastAsia" w:hint="eastAsia"/>
          <w:bCs/>
          <w:szCs w:val="21"/>
        </w:rPr>
        <w:t>4</w:t>
      </w:r>
      <w:r w:rsidRPr="0087389D">
        <w:rPr>
          <w:rFonts w:asciiTheme="minorEastAsia" w:eastAsiaTheme="minorEastAsia" w:hAnsiTheme="minorEastAsia" w:hint="eastAsia"/>
          <w:bCs/>
          <w:szCs w:val="21"/>
        </w:rPr>
        <w:t>）</w:t>
      </w:r>
      <w:r w:rsidR="00BA746E" w:rsidRPr="0087389D">
        <w:rPr>
          <w:rFonts w:asciiTheme="minorEastAsia" w:eastAsiaTheme="minorEastAsia" w:hAnsiTheme="minorEastAsia" w:hint="eastAsia"/>
          <w:bCs/>
          <w:szCs w:val="21"/>
        </w:rPr>
        <w:t>《基金合同》生效后与基金相关的信息披露费用；</w:t>
      </w:r>
    </w:p>
    <w:p w:rsidR="00BA746E" w:rsidRPr="0087389D" w:rsidRDefault="00293B85"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w:t>
      </w:r>
      <w:r w:rsidR="00BA746E" w:rsidRPr="0087389D">
        <w:rPr>
          <w:rFonts w:asciiTheme="minorEastAsia" w:eastAsiaTheme="minorEastAsia" w:hAnsiTheme="minorEastAsia" w:hint="eastAsia"/>
          <w:bCs/>
          <w:szCs w:val="21"/>
        </w:rPr>
        <w:t>5</w:t>
      </w:r>
      <w:r w:rsidRPr="0087389D">
        <w:rPr>
          <w:rFonts w:asciiTheme="minorEastAsia" w:eastAsiaTheme="minorEastAsia" w:hAnsiTheme="minorEastAsia" w:hint="eastAsia"/>
          <w:bCs/>
          <w:szCs w:val="21"/>
        </w:rPr>
        <w:t>）</w:t>
      </w:r>
      <w:r w:rsidR="00BA746E" w:rsidRPr="0087389D">
        <w:rPr>
          <w:rFonts w:asciiTheme="minorEastAsia" w:eastAsiaTheme="minorEastAsia" w:hAnsiTheme="minorEastAsia" w:hint="eastAsia"/>
          <w:bCs/>
          <w:szCs w:val="21"/>
        </w:rPr>
        <w:t>《基金合同》生效后与基金相关的会计师费、律师费、诉讼费和仲裁费；</w:t>
      </w:r>
    </w:p>
    <w:p w:rsidR="00BA746E" w:rsidRPr="0087389D" w:rsidRDefault="00293B85"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w:t>
      </w:r>
      <w:r w:rsidR="00BA746E" w:rsidRPr="0087389D">
        <w:rPr>
          <w:rFonts w:asciiTheme="minorEastAsia" w:eastAsiaTheme="minorEastAsia" w:hAnsiTheme="minorEastAsia" w:hint="eastAsia"/>
          <w:bCs/>
          <w:szCs w:val="21"/>
        </w:rPr>
        <w:t>6</w:t>
      </w:r>
      <w:r w:rsidRPr="0087389D">
        <w:rPr>
          <w:rFonts w:asciiTheme="minorEastAsia" w:eastAsiaTheme="minorEastAsia" w:hAnsiTheme="minorEastAsia" w:hint="eastAsia"/>
          <w:bCs/>
          <w:szCs w:val="21"/>
        </w:rPr>
        <w:t>）</w:t>
      </w:r>
      <w:r w:rsidR="00BA746E" w:rsidRPr="0087389D">
        <w:rPr>
          <w:rFonts w:asciiTheme="minorEastAsia" w:eastAsiaTheme="minorEastAsia" w:hAnsiTheme="minorEastAsia" w:hint="eastAsia"/>
          <w:bCs/>
          <w:szCs w:val="21"/>
        </w:rPr>
        <w:t>基金份额持有人大会费用；</w:t>
      </w:r>
    </w:p>
    <w:p w:rsidR="00BA746E" w:rsidRPr="0087389D" w:rsidRDefault="00293B85"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w:t>
      </w:r>
      <w:r w:rsidR="00BA746E" w:rsidRPr="0087389D">
        <w:rPr>
          <w:rFonts w:asciiTheme="minorEastAsia" w:eastAsiaTheme="minorEastAsia" w:hAnsiTheme="minorEastAsia" w:hint="eastAsia"/>
          <w:bCs/>
          <w:szCs w:val="21"/>
        </w:rPr>
        <w:t>7</w:t>
      </w:r>
      <w:r w:rsidRPr="0087389D">
        <w:rPr>
          <w:rFonts w:asciiTheme="minorEastAsia" w:eastAsiaTheme="minorEastAsia" w:hAnsiTheme="minorEastAsia" w:hint="eastAsia"/>
          <w:bCs/>
          <w:szCs w:val="21"/>
        </w:rPr>
        <w:t>）</w:t>
      </w:r>
      <w:r w:rsidR="00BA746E" w:rsidRPr="0087389D">
        <w:rPr>
          <w:rFonts w:asciiTheme="minorEastAsia" w:eastAsiaTheme="minorEastAsia" w:hAnsiTheme="minorEastAsia" w:hint="eastAsia"/>
          <w:bCs/>
          <w:szCs w:val="21"/>
        </w:rPr>
        <w:t>基金的证券交易费用；</w:t>
      </w:r>
    </w:p>
    <w:p w:rsidR="00BA746E" w:rsidRPr="0087389D" w:rsidRDefault="00293B85"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w:t>
      </w:r>
      <w:r w:rsidR="00BA746E" w:rsidRPr="0087389D">
        <w:rPr>
          <w:rFonts w:asciiTheme="minorEastAsia" w:eastAsiaTheme="minorEastAsia" w:hAnsiTheme="minorEastAsia" w:hint="eastAsia"/>
          <w:bCs/>
          <w:szCs w:val="21"/>
        </w:rPr>
        <w:t>8</w:t>
      </w:r>
      <w:r w:rsidRPr="0087389D">
        <w:rPr>
          <w:rFonts w:asciiTheme="minorEastAsia" w:eastAsiaTheme="minorEastAsia" w:hAnsiTheme="minorEastAsia" w:hint="eastAsia"/>
          <w:bCs/>
          <w:szCs w:val="21"/>
        </w:rPr>
        <w:t>）</w:t>
      </w:r>
      <w:r w:rsidR="00BA746E" w:rsidRPr="0087389D">
        <w:rPr>
          <w:rFonts w:asciiTheme="minorEastAsia" w:eastAsiaTheme="minorEastAsia" w:hAnsiTheme="minorEastAsia" w:hint="eastAsia"/>
          <w:bCs/>
          <w:szCs w:val="21"/>
        </w:rPr>
        <w:t>基金的银行汇划费用；</w:t>
      </w:r>
    </w:p>
    <w:p w:rsidR="00BA746E" w:rsidRPr="0087389D" w:rsidRDefault="00293B85"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w:t>
      </w:r>
      <w:r w:rsidR="00BA746E" w:rsidRPr="0087389D">
        <w:rPr>
          <w:rFonts w:asciiTheme="minorEastAsia" w:eastAsiaTheme="minorEastAsia" w:hAnsiTheme="minorEastAsia" w:hint="eastAsia"/>
          <w:bCs/>
          <w:szCs w:val="21"/>
        </w:rPr>
        <w:t>9</w:t>
      </w:r>
      <w:r w:rsidRPr="0087389D">
        <w:rPr>
          <w:rFonts w:asciiTheme="minorEastAsia" w:eastAsiaTheme="minorEastAsia" w:hAnsiTheme="minorEastAsia" w:hint="eastAsia"/>
          <w:bCs/>
          <w:szCs w:val="21"/>
        </w:rPr>
        <w:t>）</w:t>
      </w:r>
      <w:r w:rsidR="00BA746E" w:rsidRPr="0087389D">
        <w:rPr>
          <w:rFonts w:asciiTheme="minorEastAsia" w:eastAsiaTheme="minorEastAsia" w:hAnsiTheme="minorEastAsia" w:hint="eastAsia"/>
          <w:bCs/>
          <w:szCs w:val="21"/>
        </w:rPr>
        <w:t>证券账户开户费用、银行账户维护费用；</w:t>
      </w:r>
    </w:p>
    <w:p w:rsidR="00531DAE" w:rsidRPr="0087389D" w:rsidRDefault="00293B85"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w:t>
      </w:r>
      <w:r w:rsidR="00BA746E" w:rsidRPr="0087389D">
        <w:rPr>
          <w:rFonts w:asciiTheme="minorEastAsia" w:eastAsiaTheme="minorEastAsia" w:hAnsiTheme="minorEastAsia" w:hint="eastAsia"/>
          <w:bCs/>
          <w:szCs w:val="21"/>
        </w:rPr>
        <w:t>10</w:t>
      </w:r>
      <w:r w:rsidRPr="0087389D">
        <w:rPr>
          <w:rFonts w:asciiTheme="minorEastAsia" w:eastAsiaTheme="minorEastAsia" w:hAnsiTheme="minorEastAsia" w:hint="eastAsia"/>
          <w:bCs/>
          <w:szCs w:val="21"/>
        </w:rPr>
        <w:t>）</w:t>
      </w:r>
      <w:r w:rsidR="00BA746E" w:rsidRPr="0087389D">
        <w:rPr>
          <w:rFonts w:asciiTheme="minorEastAsia" w:eastAsiaTheme="minorEastAsia" w:hAnsiTheme="minorEastAsia" w:hint="eastAsia"/>
          <w:bCs/>
          <w:szCs w:val="21"/>
        </w:rPr>
        <w:t>按照国家有关规定和《基金合同》约定，可以在基金财产中列支的其他费用。</w:t>
      </w:r>
    </w:p>
    <w:p w:rsidR="00531DAE" w:rsidRPr="0087389D" w:rsidRDefault="003110E4"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2、</w:t>
      </w:r>
      <w:r w:rsidR="00531DAE" w:rsidRPr="0087389D">
        <w:rPr>
          <w:rFonts w:asciiTheme="minorEastAsia" w:eastAsiaTheme="minorEastAsia" w:hAnsiTheme="minorEastAsia"/>
          <w:bCs/>
          <w:szCs w:val="21"/>
        </w:rPr>
        <w:t>基金费用计提方法、计提标准和支付方式</w:t>
      </w:r>
    </w:p>
    <w:p w:rsidR="00BA746E" w:rsidRPr="0087389D" w:rsidRDefault="00293B85"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w:t>
      </w:r>
      <w:r w:rsidR="00BA746E" w:rsidRPr="0087389D">
        <w:rPr>
          <w:rFonts w:asciiTheme="minorEastAsia" w:eastAsiaTheme="minorEastAsia" w:hAnsiTheme="minorEastAsia" w:hint="eastAsia"/>
          <w:bCs/>
          <w:szCs w:val="21"/>
        </w:rPr>
        <w:t>1</w:t>
      </w:r>
      <w:r w:rsidRPr="0087389D">
        <w:rPr>
          <w:rFonts w:asciiTheme="minorEastAsia" w:eastAsiaTheme="minorEastAsia" w:hAnsiTheme="minorEastAsia" w:hint="eastAsia"/>
          <w:bCs/>
          <w:szCs w:val="21"/>
        </w:rPr>
        <w:t>）</w:t>
      </w:r>
      <w:r w:rsidR="00BA746E" w:rsidRPr="0087389D">
        <w:rPr>
          <w:rFonts w:asciiTheme="minorEastAsia" w:eastAsiaTheme="minorEastAsia" w:hAnsiTheme="minorEastAsia" w:hint="eastAsia"/>
          <w:bCs/>
          <w:szCs w:val="21"/>
        </w:rPr>
        <w:t>基金管理人的管理费</w:t>
      </w:r>
    </w:p>
    <w:p w:rsidR="00BA746E" w:rsidRPr="0087389D" w:rsidRDefault="00BA746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本基金的管理费按前一日基金资产净值的0.</w:t>
      </w:r>
      <w:r w:rsidR="002F72F1" w:rsidRPr="0087389D">
        <w:rPr>
          <w:rFonts w:asciiTheme="minorEastAsia" w:eastAsiaTheme="minorEastAsia" w:hAnsiTheme="minorEastAsia" w:hint="eastAsia"/>
          <w:bCs/>
          <w:szCs w:val="21"/>
        </w:rPr>
        <w:t>3</w:t>
      </w:r>
      <w:r w:rsidR="007865EA" w:rsidRPr="0087389D">
        <w:rPr>
          <w:rFonts w:asciiTheme="minorEastAsia" w:eastAsiaTheme="minorEastAsia" w:hAnsiTheme="minorEastAsia" w:hint="eastAsia"/>
          <w:bCs/>
          <w:szCs w:val="21"/>
        </w:rPr>
        <w:t>2</w:t>
      </w:r>
      <w:r w:rsidRPr="0087389D">
        <w:rPr>
          <w:rFonts w:asciiTheme="minorEastAsia" w:eastAsiaTheme="minorEastAsia" w:hAnsiTheme="minorEastAsia" w:hint="eastAsia"/>
          <w:bCs/>
          <w:szCs w:val="21"/>
        </w:rPr>
        <w:t>%年费率计提。管理费的计算方法如下：</w:t>
      </w:r>
    </w:p>
    <w:p w:rsidR="00BA746E" w:rsidRPr="0087389D" w:rsidRDefault="00BA746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H＝E×0.</w:t>
      </w:r>
      <w:r w:rsidR="002F72F1" w:rsidRPr="0087389D">
        <w:rPr>
          <w:rFonts w:asciiTheme="minorEastAsia" w:eastAsiaTheme="minorEastAsia" w:hAnsiTheme="minorEastAsia" w:hint="eastAsia"/>
          <w:bCs/>
          <w:szCs w:val="21"/>
        </w:rPr>
        <w:t>3</w:t>
      </w:r>
      <w:r w:rsidR="007865EA" w:rsidRPr="0087389D">
        <w:rPr>
          <w:rFonts w:asciiTheme="minorEastAsia" w:eastAsiaTheme="minorEastAsia" w:hAnsiTheme="minorEastAsia" w:hint="eastAsia"/>
          <w:bCs/>
          <w:szCs w:val="21"/>
        </w:rPr>
        <w:t>2</w:t>
      </w:r>
      <w:r w:rsidRPr="0087389D">
        <w:rPr>
          <w:rFonts w:asciiTheme="minorEastAsia" w:eastAsiaTheme="minorEastAsia" w:hAnsiTheme="minorEastAsia" w:hint="eastAsia"/>
          <w:bCs/>
          <w:szCs w:val="21"/>
        </w:rPr>
        <w:t>%÷当年天数</w:t>
      </w:r>
    </w:p>
    <w:p w:rsidR="00BA746E" w:rsidRPr="0087389D" w:rsidRDefault="00BA746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H为每日应计提的基金管理费</w:t>
      </w:r>
    </w:p>
    <w:p w:rsidR="00BA746E" w:rsidRPr="0087389D" w:rsidRDefault="00BA746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E为前一日的基金资产净值</w:t>
      </w:r>
    </w:p>
    <w:p w:rsidR="00BA746E" w:rsidRPr="0087389D" w:rsidRDefault="00C464B4"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基金管理费每日计算，逐日累计至每月月末，按月支付，由基金管理人向基金托管人发送基金管理费划款指令，基金托管人复核后于次月前3个工作日内从基金财产中一次性支付给基金管理人。若遇法定节假日、公休假等，支付日期顺延</w:t>
      </w:r>
      <w:r w:rsidR="00BA746E" w:rsidRPr="0087389D">
        <w:rPr>
          <w:rFonts w:asciiTheme="minorEastAsia" w:eastAsiaTheme="minorEastAsia" w:hAnsiTheme="minorEastAsia" w:hint="eastAsia"/>
          <w:bCs/>
          <w:szCs w:val="21"/>
        </w:rPr>
        <w:t>。费用自动扣划后，基金管理人应进行核对，如发现数据不符，及时联系基金托管人协商解决。</w:t>
      </w:r>
    </w:p>
    <w:p w:rsidR="00BA746E" w:rsidRPr="0087389D" w:rsidRDefault="00293B85"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w:t>
      </w:r>
      <w:r w:rsidR="00BA746E" w:rsidRPr="0087389D">
        <w:rPr>
          <w:rFonts w:asciiTheme="minorEastAsia" w:eastAsiaTheme="minorEastAsia" w:hAnsiTheme="minorEastAsia" w:hint="eastAsia"/>
          <w:bCs/>
          <w:szCs w:val="21"/>
        </w:rPr>
        <w:t>2</w:t>
      </w:r>
      <w:r w:rsidRPr="0087389D">
        <w:rPr>
          <w:rFonts w:asciiTheme="minorEastAsia" w:eastAsiaTheme="minorEastAsia" w:hAnsiTheme="minorEastAsia" w:hint="eastAsia"/>
          <w:bCs/>
          <w:szCs w:val="21"/>
        </w:rPr>
        <w:t>）</w:t>
      </w:r>
      <w:r w:rsidR="00BA746E" w:rsidRPr="0087389D">
        <w:rPr>
          <w:rFonts w:asciiTheme="minorEastAsia" w:eastAsiaTheme="minorEastAsia" w:hAnsiTheme="minorEastAsia" w:hint="eastAsia"/>
          <w:bCs/>
          <w:szCs w:val="21"/>
        </w:rPr>
        <w:t>基金托管人的托管费</w:t>
      </w:r>
    </w:p>
    <w:p w:rsidR="00BA746E" w:rsidRPr="0087389D" w:rsidRDefault="00BA746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本基金的托管费按前一日基金资产净值的0.</w:t>
      </w:r>
      <w:r w:rsidR="007865EA" w:rsidRPr="0087389D">
        <w:rPr>
          <w:rFonts w:asciiTheme="minorEastAsia" w:eastAsiaTheme="minorEastAsia" w:hAnsiTheme="minorEastAsia" w:hint="eastAsia"/>
          <w:bCs/>
          <w:szCs w:val="21"/>
        </w:rPr>
        <w:t>08</w:t>
      </w:r>
      <w:r w:rsidRPr="0087389D">
        <w:rPr>
          <w:rFonts w:asciiTheme="minorEastAsia" w:eastAsiaTheme="minorEastAsia" w:hAnsiTheme="minorEastAsia" w:hint="eastAsia"/>
          <w:bCs/>
          <w:szCs w:val="21"/>
        </w:rPr>
        <w:t>%的年费率计提。托管费的计算方法如下：</w:t>
      </w:r>
    </w:p>
    <w:p w:rsidR="00BA746E" w:rsidRPr="0087389D" w:rsidRDefault="00BA746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H＝E×0.</w:t>
      </w:r>
      <w:r w:rsidR="007865EA" w:rsidRPr="0087389D">
        <w:rPr>
          <w:rFonts w:asciiTheme="minorEastAsia" w:eastAsiaTheme="minorEastAsia" w:hAnsiTheme="minorEastAsia" w:hint="eastAsia"/>
          <w:bCs/>
          <w:szCs w:val="21"/>
        </w:rPr>
        <w:t>08</w:t>
      </w:r>
      <w:r w:rsidRPr="0087389D">
        <w:rPr>
          <w:rFonts w:asciiTheme="minorEastAsia" w:eastAsiaTheme="minorEastAsia" w:hAnsiTheme="minorEastAsia" w:hint="eastAsia"/>
          <w:bCs/>
          <w:szCs w:val="21"/>
        </w:rPr>
        <w:t>%÷当年天数</w:t>
      </w:r>
    </w:p>
    <w:p w:rsidR="00BA746E" w:rsidRPr="0087389D" w:rsidRDefault="00BA746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H为每日应计提的基金托管费</w:t>
      </w:r>
    </w:p>
    <w:p w:rsidR="00BA746E" w:rsidRPr="0087389D" w:rsidRDefault="00BA746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E为前一日的基金资产净值</w:t>
      </w:r>
    </w:p>
    <w:p w:rsidR="00BA746E" w:rsidRPr="0087389D" w:rsidRDefault="00C464B4"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基金托管费每日计算，逐日累计至每月月末，按月支付，由基金管理人向基金托管人发送基金托管费划款指令，基金托管人复核后于次月前3个工作日内从基金财产中一次性支取。若遇法定节假日、公休日等,支付日期顺延</w:t>
      </w:r>
      <w:r w:rsidR="00BA746E" w:rsidRPr="0087389D">
        <w:rPr>
          <w:rFonts w:asciiTheme="minorEastAsia" w:eastAsiaTheme="minorEastAsia" w:hAnsiTheme="minorEastAsia" w:hint="eastAsia"/>
          <w:bCs/>
          <w:szCs w:val="21"/>
        </w:rPr>
        <w:t>。费用自动扣划后，基金管理人应进行核对，如发现数据不符，及时联系基金托管人协商解决。</w:t>
      </w:r>
    </w:p>
    <w:p w:rsidR="00BA746E" w:rsidRPr="0087389D" w:rsidRDefault="00293B85"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w:t>
      </w:r>
      <w:r w:rsidR="00BA746E" w:rsidRPr="0087389D">
        <w:rPr>
          <w:rFonts w:asciiTheme="minorEastAsia" w:eastAsiaTheme="minorEastAsia" w:hAnsiTheme="minorEastAsia" w:hint="eastAsia"/>
          <w:bCs/>
          <w:szCs w:val="21"/>
        </w:rPr>
        <w:t>3</w:t>
      </w:r>
      <w:r w:rsidRPr="0087389D">
        <w:rPr>
          <w:rFonts w:asciiTheme="minorEastAsia" w:eastAsiaTheme="minorEastAsia" w:hAnsiTheme="minorEastAsia" w:hint="eastAsia"/>
          <w:bCs/>
          <w:szCs w:val="21"/>
        </w:rPr>
        <w:t>）</w:t>
      </w:r>
      <w:r w:rsidR="00BA746E" w:rsidRPr="0087389D">
        <w:rPr>
          <w:rFonts w:asciiTheme="minorEastAsia" w:eastAsiaTheme="minorEastAsia" w:hAnsiTheme="minorEastAsia" w:hint="eastAsia"/>
          <w:bCs/>
          <w:szCs w:val="21"/>
        </w:rPr>
        <w:t>基金销售服务费</w:t>
      </w:r>
    </w:p>
    <w:p w:rsidR="00BA746E" w:rsidRPr="0087389D" w:rsidRDefault="00BA746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本基金A类基金份额</w:t>
      </w:r>
      <w:r w:rsidR="00A65C01" w:rsidRPr="0087389D">
        <w:rPr>
          <w:rFonts w:asciiTheme="minorEastAsia" w:eastAsiaTheme="minorEastAsia" w:hAnsiTheme="minorEastAsia" w:hint="eastAsia"/>
          <w:bCs/>
          <w:szCs w:val="21"/>
        </w:rPr>
        <w:t>、</w:t>
      </w:r>
      <w:r w:rsidR="00334A78" w:rsidRPr="0087389D">
        <w:rPr>
          <w:rFonts w:asciiTheme="minorEastAsia" w:eastAsiaTheme="minorEastAsia" w:hAnsiTheme="minorEastAsia" w:hint="eastAsia"/>
          <w:bCs/>
          <w:szCs w:val="21"/>
        </w:rPr>
        <w:t>Y类</w:t>
      </w:r>
      <w:r w:rsidR="00A65C01" w:rsidRPr="0087389D">
        <w:rPr>
          <w:rFonts w:asciiTheme="minorEastAsia" w:eastAsiaTheme="minorEastAsia" w:hAnsiTheme="minorEastAsia" w:hint="eastAsia"/>
          <w:bCs/>
          <w:szCs w:val="21"/>
        </w:rPr>
        <w:t>基金份额</w:t>
      </w:r>
      <w:r w:rsidRPr="0087389D">
        <w:rPr>
          <w:rFonts w:asciiTheme="minorEastAsia" w:eastAsiaTheme="minorEastAsia" w:hAnsiTheme="minorEastAsia" w:hint="eastAsia"/>
          <w:bCs/>
          <w:szCs w:val="21"/>
        </w:rPr>
        <w:t>的年销售服务费率为0.25%，B类基金份额的年销</w:t>
      </w:r>
      <w:r w:rsidRPr="0087389D">
        <w:rPr>
          <w:rFonts w:asciiTheme="minorEastAsia" w:eastAsiaTheme="minorEastAsia" w:hAnsiTheme="minorEastAsia" w:hint="eastAsia"/>
          <w:bCs/>
          <w:szCs w:val="21"/>
        </w:rPr>
        <w:lastRenderedPageBreak/>
        <w:t>售服务费率为0.01%。</w:t>
      </w:r>
      <w:r w:rsidR="00A65C01" w:rsidRPr="0087389D">
        <w:rPr>
          <w:rFonts w:asciiTheme="minorEastAsia" w:eastAsiaTheme="minorEastAsia" w:hAnsiTheme="minorEastAsia" w:hint="eastAsia"/>
          <w:bCs/>
          <w:szCs w:val="21"/>
        </w:rPr>
        <w:t>三</w:t>
      </w:r>
      <w:r w:rsidRPr="0087389D">
        <w:rPr>
          <w:rFonts w:asciiTheme="minorEastAsia" w:eastAsiaTheme="minorEastAsia" w:hAnsiTheme="minorEastAsia" w:hint="eastAsia"/>
          <w:bCs/>
          <w:szCs w:val="21"/>
        </w:rPr>
        <w:t>类基金份额的销售服务费计提的计算公式相同，具体如下：</w:t>
      </w:r>
    </w:p>
    <w:p w:rsidR="00BA746E" w:rsidRPr="0087389D" w:rsidRDefault="00BA746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H＝E×年销售服务费率÷当年天数</w:t>
      </w:r>
    </w:p>
    <w:p w:rsidR="00BA746E" w:rsidRPr="0087389D" w:rsidRDefault="00BA746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H为每日该类基金份额应计提的基金销售服务费</w:t>
      </w:r>
    </w:p>
    <w:p w:rsidR="00BA746E" w:rsidRPr="0087389D" w:rsidRDefault="00BA746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E为前一日该类基金份额的基金资产净值</w:t>
      </w:r>
    </w:p>
    <w:p w:rsidR="00BA746E" w:rsidRPr="0087389D" w:rsidRDefault="00C464B4"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基金销售服务费每日计提，按月支付。由基金管理人向基金托管人发送基金销售服务费划付指令，经基金托管人复核后于次月首日起5个工作日内从基金财产中一次性支付给注册登记机构，由注册登记机构代付给销售机构。若遇法定节假日、休息日或不可抗力致使无法按时支付的，支付日期顺延至最近可支付日支付</w:t>
      </w:r>
      <w:r w:rsidR="00BA746E" w:rsidRPr="0087389D">
        <w:rPr>
          <w:rFonts w:asciiTheme="minorEastAsia" w:eastAsiaTheme="minorEastAsia" w:hAnsiTheme="minorEastAsia" w:hint="eastAsia"/>
          <w:bCs/>
          <w:szCs w:val="21"/>
        </w:rPr>
        <w:t>。费用自动扣划后，基金管理人应进行核对，如发现数据不符，及时联系基金托管人协商解决。</w:t>
      </w:r>
    </w:p>
    <w:p w:rsidR="00531DAE" w:rsidRPr="0087389D" w:rsidRDefault="00BA746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销售服务费可用于本基金市场推广、销售以及基金份额持有人服务等各项费用。</w:t>
      </w:r>
    </w:p>
    <w:p w:rsidR="00531DAE" w:rsidRPr="0087389D" w:rsidRDefault="005E448E" w:rsidP="00555CE7">
      <w:pPr>
        <w:snapToGrid w:val="0"/>
        <w:spacing w:line="360" w:lineRule="auto"/>
        <w:ind w:firstLineChars="200" w:firstLine="420"/>
        <w:rPr>
          <w:rFonts w:asciiTheme="minorEastAsia" w:eastAsiaTheme="minorEastAsia" w:hAnsiTheme="minorEastAsia"/>
          <w:bCs/>
          <w:szCs w:val="21"/>
        </w:rPr>
      </w:pPr>
      <w:r w:rsidRPr="005E448E">
        <w:rPr>
          <w:rFonts w:asciiTheme="minorEastAsia" w:eastAsiaTheme="minorEastAsia" w:hAnsiTheme="minorEastAsia" w:hint="eastAsia"/>
          <w:bCs/>
          <w:szCs w:val="21"/>
        </w:rPr>
        <w:t>上述“1、基金费用的种类中第（4）－（10）项费用”，根据有关法规及相应协议规定，按费用实际支出金额列入当期费用，由基金托管人从基金财产中支付。</w:t>
      </w:r>
    </w:p>
    <w:p w:rsidR="00531DAE" w:rsidRPr="0087389D" w:rsidRDefault="002533DA"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3、</w:t>
      </w:r>
      <w:r w:rsidR="00531DAE" w:rsidRPr="0087389D">
        <w:rPr>
          <w:rFonts w:asciiTheme="minorEastAsia" w:eastAsiaTheme="minorEastAsia" w:hAnsiTheme="minorEastAsia"/>
          <w:bCs/>
          <w:szCs w:val="21"/>
        </w:rPr>
        <w:t>不列入基金费用的项目</w:t>
      </w:r>
    </w:p>
    <w:p w:rsidR="00531DAE" w:rsidRPr="0087389D" w:rsidRDefault="00531DA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下列费用不列入基金费用：</w:t>
      </w:r>
    </w:p>
    <w:p w:rsidR="00531DAE" w:rsidRPr="0087389D" w:rsidRDefault="00293B85"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w:t>
      </w:r>
      <w:r w:rsidR="00531DAE" w:rsidRPr="0087389D">
        <w:rPr>
          <w:rFonts w:asciiTheme="minorEastAsia" w:eastAsiaTheme="minorEastAsia" w:hAnsiTheme="minorEastAsia"/>
          <w:bCs/>
          <w:szCs w:val="21"/>
        </w:rPr>
        <w:t>1</w:t>
      </w:r>
      <w:r w:rsidRPr="0087389D">
        <w:rPr>
          <w:rFonts w:asciiTheme="minorEastAsia" w:eastAsiaTheme="minorEastAsia" w:hAnsiTheme="minorEastAsia" w:hint="eastAsia"/>
          <w:bCs/>
          <w:szCs w:val="21"/>
        </w:rPr>
        <w:t>）</w:t>
      </w:r>
      <w:r w:rsidR="00531DAE" w:rsidRPr="0087389D">
        <w:rPr>
          <w:rFonts w:asciiTheme="minorEastAsia" w:eastAsiaTheme="minorEastAsia" w:hAnsiTheme="minorEastAsia"/>
          <w:bCs/>
          <w:szCs w:val="21"/>
        </w:rPr>
        <w:t>基金管理人和基金托管人因未履行或未完全履行义务导致的费用支出或基金财产的损失；</w:t>
      </w:r>
    </w:p>
    <w:p w:rsidR="00531DAE" w:rsidRPr="0087389D" w:rsidRDefault="00293B85"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w:t>
      </w:r>
      <w:r w:rsidR="00531DAE" w:rsidRPr="0087389D">
        <w:rPr>
          <w:rFonts w:asciiTheme="minorEastAsia" w:eastAsiaTheme="minorEastAsia" w:hAnsiTheme="minorEastAsia"/>
          <w:bCs/>
          <w:szCs w:val="21"/>
        </w:rPr>
        <w:t>2</w:t>
      </w:r>
      <w:r w:rsidRPr="0087389D">
        <w:rPr>
          <w:rFonts w:asciiTheme="minorEastAsia" w:eastAsiaTheme="minorEastAsia" w:hAnsiTheme="minorEastAsia" w:hint="eastAsia"/>
          <w:bCs/>
          <w:szCs w:val="21"/>
        </w:rPr>
        <w:t>）</w:t>
      </w:r>
      <w:r w:rsidR="00531DAE" w:rsidRPr="0087389D">
        <w:rPr>
          <w:rFonts w:asciiTheme="minorEastAsia" w:eastAsiaTheme="minorEastAsia" w:hAnsiTheme="minorEastAsia"/>
          <w:bCs/>
          <w:szCs w:val="21"/>
        </w:rPr>
        <w:t>基金管理人和基金托管人处理与基金运作无关的事项发生的费用；</w:t>
      </w:r>
    </w:p>
    <w:p w:rsidR="00531DAE" w:rsidRPr="0087389D" w:rsidRDefault="00293B85"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w:t>
      </w:r>
      <w:r w:rsidR="00531DAE" w:rsidRPr="0087389D">
        <w:rPr>
          <w:rFonts w:asciiTheme="minorEastAsia" w:eastAsiaTheme="minorEastAsia" w:hAnsiTheme="minorEastAsia"/>
          <w:bCs/>
          <w:szCs w:val="21"/>
        </w:rPr>
        <w:t>3</w:t>
      </w:r>
      <w:r w:rsidRPr="0087389D">
        <w:rPr>
          <w:rFonts w:asciiTheme="minorEastAsia" w:eastAsiaTheme="minorEastAsia" w:hAnsiTheme="minorEastAsia" w:hint="eastAsia"/>
          <w:bCs/>
          <w:szCs w:val="21"/>
        </w:rPr>
        <w:t>）</w:t>
      </w:r>
      <w:r w:rsidR="00531DAE" w:rsidRPr="0087389D">
        <w:rPr>
          <w:rFonts w:asciiTheme="minorEastAsia" w:eastAsiaTheme="minorEastAsia" w:hAnsiTheme="minorEastAsia"/>
          <w:bCs/>
          <w:szCs w:val="21"/>
        </w:rPr>
        <w:t>《基金合同》生效前的相关费用；</w:t>
      </w:r>
    </w:p>
    <w:p w:rsidR="00531DAE" w:rsidRPr="0087389D" w:rsidRDefault="00293B85"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w:t>
      </w:r>
      <w:r w:rsidR="00531DAE" w:rsidRPr="0087389D">
        <w:rPr>
          <w:rFonts w:asciiTheme="minorEastAsia" w:eastAsiaTheme="minorEastAsia" w:hAnsiTheme="minorEastAsia"/>
          <w:bCs/>
          <w:szCs w:val="21"/>
        </w:rPr>
        <w:t>4</w:t>
      </w:r>
      <w:r w:rsidRPr="0087389D">
        <w:rPr>
          <w:rFonts w:asciiTheme="minorEastAsia" w:eastAsiaTheme="minorEastAsia" w:hAnsiTheme="minorEastAsia" w:hint="eastAsia"/>
          <w:bCs/>
          <w:szCs w:val="21"/>
        </w:rPr>
        <w:t>）</w:t>
      </w:r>
      <w:r w:rsidR="00531DAE" w:rsidRPr="0087389D">
        <w:rPr>
          <w:rFonts w:asciiTheme="minorEastAsia" w:eastAsiaTheme="minorEastAsia" w:hAnsiTheme="minorEastAsia"/>
          <w:bCs/>
          <w:szCs w:val="21"/>
        </w:rPr>
        <w:t>其他根据相关法律法规及中国证监会的有关规定不得列入基金费用的项目。</w:t>
      </w:r>
    </w:p>
    <w:p w:rsidR="00531DAE" w:rsidRPr="0087389D" w:rsidRDefault="003110E4"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4、</w:t>
      </w:r>
      <w:r w:rsidR="00531DAE" w:rsidRPr="0087389D">
        <w:rPr>
          <w:rFonts w:asciiTheme="minorEastAsia" w:eastAsiaTheme="minorEastAsia" w:hAnsiTheme="minorEastAsia" w:hint="eastAsia"/>
          <w:bCs/>
          <w:szCs w:val="21"/>
        </w:rPr>
        <w:t>费用调整</w:t>
      </w:r>
    </w:p>
    <w:p w:rsidR="00531DAE" w:rsidRPr="0087389D" w:rsidRDefault="00531DA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szCs w:val="21"/>
        </w:rPr>
        <w:t>基金管理人和基金托管人协商一致后，可按照基金发展情况，并根据法律法规规定和基金合同约定，调整基金管理费率、基金托管费率或基金销售服务费率等相关费率。</w:t>
      </w:r>
    </w:p>
    <w:p w:rsidR="00293B85" w:rsidRPr="0087389D" w:rsidRDefault="00293B85"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（二）与基金销售相关的费用</w:t>
      </w:r>
    </w:p>
    <w:p w:rsidR="00367B03" w:rsidRPr="0087389D" w:rsidRDefault="00367B0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rPr>
        <w:t>1</w:t>
      </w:r>
      <w:r w:rsidR="003110E4" w:rsidRPr="0087389D">
        <w:rPr>
          <w:rFonts w:asciiTheme="minorEastAsia" w:eastAsiaTheme="minorEastAsia" w:hAnsiTheme="minorEastAsia" w:hint="eastAsia"/>
        </w:rPr>
        <w:t>、</w:t>
      </w:r>
      <w:r w:rsidRPr="0087389D">
        <w:rPr>
          <w:rFonts w:asciiTheme="minorEastAsia" w:eastAsiaTheme="minorEastAsia" w:hAnsiTheme="minorEastAsia" w:hint="eastAsia"/>
          <w:szCs w:val="21"/>
        </w:rPr>
        <w:t>本基金申购费、赎回费和转换费的费率水平、计算公式、收取方式和使用方式请详见本招募说明书“九、基金份额的申购、赎回”中的“</w:t>
      </w:r>
      <w:r w:rsidRPr="0087389D">
        <w:rPr>
          <w:rStyle w:val="da"/>
          <w:rFonts w:asciiTheme="minorEastAsia" w:eastAsiaTheme="minorEastAsia" w:hAnsiTheme="minorEastAsia" w:hint="eastAsia"/>
          <w:szCs w:val="21"/>
        </w:rPr>
        <w:t>（七）基金的申购费和赎回费</w:t>
      </w:r>
      <w:r w:rsidRPr="0087389D">
        <w:rPr>
          <w:rFonts w:asciiTheme="minorEastAsia" w:eastAsiaTheme="minorEastAsia" w:hAnsiTheme="minorEastAsia" w:hint="eastAsia"/>
          <w:szCs w:val="21"/>
        </w:rPr>
        <w:t>”、“</w:t>
      </w:r>
      <w:r w:rsidRPr="0087389D">
        <w:rPr>
          <w:rFonts w:asciiTheme="minorEastAsia" w:eastAsiaTheme="minorEastAsia" w:hAnsiTheme="minorEastAsia"/>
          <w:szCs w:val="21"/>
        </w:rPr>
        <w:t>(八)申购和赎回的数额和价格</w:t>
      </w:r>
      <w:r w:rsidRPr="0087389D">
        <w:rPr>
          <w:rFonts w:asciiTheme="minorEastAsia" w:eastAsiaTheme="minorEastAsia" w:hAnsiTheme="minorEastAsia" w:hint="eastAsia"/>
          <w:szCs w:val="21"/>
        </w:rPr>
        <w:t>”和“十、基金的转换”中的“（五）基金转换费率”、“（六）基金转换份额的计算方式”的相关规定。</w:t>
      </w:r>
    </w:p>
    <w:p w:rsidR="00367B03" w:rsidRPr="0087389D" w:rsidRDefault="003110E4"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2、</w:t>
      </w:r>
      <w:r w:rsidR="00367B03" w:rsidRPr="0087389D">
        <w:rPr>
          <w:rFonts w:asciiTheme="minorEastAsia" w:eastAsiaTheme="minorEastAsia" w:hAnsiTheme="minorEastAsia" w:hint="eastAsia"/>
          <w:szCs w:val="21"/>
        </w:rPr>
        <w:t>投资者通过本公司网上交易系统（www.efunds.com.cn）进行申购、赎回和转换的交易费率，请具体参照我公司网站上的相关说明。</w:t>
      </w:r>
    </w:p>
    <w:p w:rsidR="00367B03" w:rsidRPr="0087389D" w:rsidRDefault="003110E4"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3、</w:t>
      </w:r>
      <w:r w:rsidR="00367B03" w:rsidRPr="0087389D">
        <w:rPr>
          <w:rFonts w:asciiTheme="minorEastAsia" w:eastAsiaTheme="minorEastAsia" w:hAnsiTheme="minorEastAsia" w:hint="eastAsia"/>
        </w:rPr>
        <w:t>基金管理人可以在法律法规和基金合同规定的范围内调整上述费率。上述费率如发生变更，基金管理人最迟应于新的费率或收费方式实施日前依照《信息披露办法》的有关规定在指定</w:t>
      </w:r>
      <w:r w:rsidR="00BB04FF" w:rsidRPr="0087389D">
        <w:rPr>
          <w:rFonts w:asciiTheme="minorEastAsia" w:eastAsiaTheme="minorEastAsia" w:hAnsiTheme="minorEastAsia" w:hint="eastAsia"/>
        </w:rPr>
        <w:t>媒介</w:t>
      </w:r>
      <w:r w:rsidR="00367B03" w:rsidRPr="0087389D">
        <w:rPr>
          <w:rFonts w:asciiTheme="minorEastAsia" w:eastAsiaTheme="minorEastAsia" w:hAnsiTheme="minorEastAsia" w:hint="eastAsia"/>
        </w:rPr>
        <w:t>上公告。</w:t>
      </w:r>
    </w:p>
    <w:p w:rsidR="00293B85" w:rsidRPr="0087389D" w:rsidRDefault="00367B03"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rPr>
        <w:t>4</w:t>
      </w:r>
      <w:r w:rsidR="003110E4" w:rsidRPr="0087389D">
        <w:rPr>
          <w:rFonts w:asciiTheme="minorEastAsia" w:eastAsiaTheme="minorEastAsia" w:hAnsiTheme="minorEastAsia" w:hint="eastAsia"/>
        </w:rPr>
        <w:t>、</w:t>
      </w:r>
      <w:r w:rsidR="00FD3D9E" w:rsidRPr="0087389D">
        <w:rPr>
          <w:rFonts w:asciiTheme="minorEastAsia" w:eastAsiaTheme="minorEastAsia" w:hAnsiTheme="minorEastAsia" w:hint="eastAsia"/>
        </w:rPr>
        <w:t>基金管理人可以在不违反法律法规规定及基金合同约定的情况下根据市场情况制定基金促销计划，针对基金投资者定期和不定期地开展基金促销活动。在基金促销活动期间，</w:t>
      </w:r>
      <w:r w:rsidR="00FD3D9E" w:rsidRPr="0087389D">
        <w:rPr>
          <w:rFonts w:asciiTheme="minorEastAsia" w:eastAsiaTheme="minorEastAsia" w:hAnsiTheme="minorEastAsia" w:hint="eastAsia"/>
        </w:rPr>
        <w:lastRenderedPageBreak/>
        <w:t>基金管理人可以适当调低基金销售费率，或针对特定渠道、特定投资群体开展有差别的费率优惠活动。</w:t>
      </w:r>
    </w:p>
    <w:p w:rsidR="00531DAE" w:rsidRPr="0087389D" w:rsidRDefault="00531DA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w:t>
      </w:r>
      <w:r w:rsidR="00293B85" w:rsidRPr="0087389D">
        <w:rPr>
          <w:rFonts w:asciiTheme="minorEastAsia" w:eastAsiaTheme="minorEastAsia" w:hAnsiTheme="minorEastAsia" w:hint="eastAsia"/>
          <w:bCs/>
          <w:szCs w:val="21"/>
        </w:rPr>
        <w:t>三</w:t>
      </w:r>
      <w:r w:rsidRPr="0087389D">
        <w:rPr>
          <w:rFonts w:asciiTheme="minorEastAsia" w:eastAsiaTheme="minorEastAsia" w:hAnsiTheme="minorEastAsia" w:hint="eastAsia"/>
          <w:bCs/>
          <w:szCs w:val="21"/>
        </w:rPr>
        <w:t>）</w:t>
      </w:r>
      <w:r w:rsidRPr="0087389D">
        <w:rPr>
          <w:rFonts w:asciiTheme="minorEastAsia" w:eastAsiaTheme="minorEastAsia" w:hAnsiTheme="minorEastAsia"/>
          <w:bCs/>
          <w:szCs w:val="21"/>
        </w:rPr>
        <w:t>基金税收</w:t>
      </w:r>
    </w:p>
    <w:p w:rsidR="00531DAE" w:rsidRPr="0087389D" w:rsidRDefault="00531DA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本基金运作过程中涉及的各纳税主体，其纳税义务按国家税收法律、法规执行。</w:t>
      </w:r>
    </w:p>
    <w:p w:rsidR="0047523D" w:rsidRPr="0087389D" w:rsidRDefault="0047523D" w:rsidP="00555CE7">
      <w:pPr>
        <w:snapToGrid w:val="0"/>
        <w:spacing w:line="360" w:lineRule="auto"/>
        <w:ind w:firstLineChars="200" w:firstLine="420"/>
        <w:rPr>
          <w:rFonts w:asciiTheme="minorEastAsia" w:eastAsiaTheme="minorEastAsia" w:hAnsiTheme="minorEastAsia"/>
          <w:szCs w:val="21"/>
        </w:rPr>
      </w:pPr>
      <w:bookmarkStart w:id="92" w:name="_Hlt88827255"/>
      <w:bookmarkEnd w:id="92"/>
    </w:p>
    <w:p w:rsidR="003278E7" w:rsidRPr="0087389D" w:rsidRDefault="003278E7" w:rsidP="00555CE7">
      <w:pPr>
        <w:snapToGrid w:val="0"/>
        <w:spacing w:line="360" w:lineRule="auto"/>
        <w:ind w:firstLineChars="200" w:firstLine="420"/>
        <w:rPr>
          <w:rFonts w:asciiTheme="minorEastAsia" w:eastAsiaTheme="minorEastAsia" w:hAnsiTheme="minorEastAsia"/>
          <w:szCs w:val="21"/>
        </w:rPr>
      </w:pPr>
    </w:p>
    <w:p w:rsidR="00BA4B87" w:rsidRPr="0087389D" w:rsidRDefault="00BA4B87" w:rsidP="00555CE7">
      <w:pPr>
        <w:pStyle w:val="1"/>
        <w:snapToGrid w:val="0"/>
        <w:spacing w:beforeLines="0" w:afterLines="0" w:line="360" w:lineRule="auto"/>
        <w:ind w:firstLine="600"/>
        <w:rPr>
          <w:rFonts w:asciiTheme="minorEastAsia" w:eastAsiaTheme="minorEastAsia" w:hAnsiTheme="minorEastAsia"/>
          <w:b/>
          <w:bCs/>
        </w:rPr>
      </w:pPr>
      <w:r w:rsidRPr="0087389D">
        <w:rPr>
          <w:rFonts w:asciiTheme="minorEastAsia" w:eastAsiaTheme="minorEastAsia" w:hAnsiTheme="minorEastAsia"/>
          <w:sz w:val="30"/>
        </w:rPr>
        <w:br w:type="page"/>
      </w:r>
      <w:bookmarkStart w:id="93" w:name="_Toc361403745"/>
      <w:bookmarkStart w:id="94" w:name="_Toc41644976"/>
      <w:r w:rsidR="00293B85" w:rsidRPr="0087389D">
        <w:rPr>
          <w:rFonts w:asciiTheme="minorEastAsia" w:eastAsiaTheme="minorEastAsia" w:hAnsiTheme="minorEastAsia"/>
          <w:b/>
          <w:sz w:val="30"/>
        </w:rPr>
        <w:lastRenderedPageBreak/>
        <w:t>十</w:t>
      </w:r>
      <w:r w:rsidR="00293B85" w:rsidRPr="0087389D">
        <w:rPr>
          <w:rFonts w:asciiTheme="minorEastAsia" w:eastAsiaTheme="minorEastAsia" w:hAnsiTheme="minorEastAsia" w:hint="eastAsia"/>
          <w:b/>
          <w:sz w:val="30"/>
        </w:rPr>
        <w:t>八</w:t>
      </w:r>
      <w:r w:rsidRPr="0087389D">
        <w:rPr>
          <w:rFonts w:asciiTheme="minorEastAsia" w:eastAsiaTheme="minorEastAsia" w:hAnsiTheme="minorEastAsia"/>
          <w:b/>
          <w:sz w:val="30"/>
        </w:rPr>
        <w:t>、基金的会计与审计</w:t>
      </w:r>
      <w:bookmarkEnd w:id="93"/>
      <w:bookmarkEnd w:id="94"/>
    </w:p>
    <w:p w:rsidR="0047523D" w:rsidRPr="0087389D" w:rsidRDefault="00B329B1"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w:t>
      </w:r>
      <w:r w:rsidR="003C6F6C" w:rsidRPr="0087389D">
        <w:rPr>
          <w:rFonts w:asciiTheme="minorEastAsia" w:eastAsiaTheme="minorEastAsia" w:hAnsiTheme="minorEastAsia" w:hint="eastAsia"/>
          <w:bCs/>
          <w:szCs w:val="21"/>
        </w:rPr>
        <w:t>一</w:t>
      </w:r>
      <w:r w:rsidRPr="0087389D">
        <w:rPr>
          <w:rFonts w:asciiTheme="minorEastAsia" w:eastAsiaTheme="minorEastAsia" w:hAnsiTheme="minorEastAsia" w:hint="eastAsia"/>
          <w:bCs/>
          <w:szCs w:val="21"/>
        </w:rPr>
        <w:t>）</w:t>
      </w:r>
      <w:r w:rsidR="0047523D" w:rsidRPr="0087389D">
        <w:rPr>
          <w:rFonts w:asciiTheme="minorEastAsia" w:eastAsiaTheme="minorEastAsia" w:hAnsiTheme="minorEastAsia"/>
          <w:bCs/>
          <w:szCs w:val="21"/>
        </w:rPr>
        <w:t>基金会计政策</w:t>
      </w:r>
    </w:p>
    <w:p w:rsidR="00576868" w:rsidRPr="0087389D" w:rsidRDefault="00576868"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1、基金管理人为本基金的基金会计责任方；</w:t>
      </w:r>
    </w:p>
    <w:p w:rsidR="00576868" w:rsidRPr="0087389D" w:rsidRDefault="00576868"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2、基金的会计年度为公历年度的1月1日至12月31日；基金首次募集的会计年度按如下原则：如果《基金合同》生效少于2个月，可以并入下一个会计年度；</w:t>
      </w:r>
    </w:p>
    <w:p w:rsidR="00576868" w:rsidRPr="0087389D" w:rsidRDefault="00576868"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3、基金核算以人民币为记账本位币，以人民币元为记账单位；</w:t>
      </w:r>
    </w:p>
    <w:p w:rsidR="00576868" w:rsidRPr="0087389D" w:rsidRDefault="00576868"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4、会计制度执行国家有关会计制度；</w:t>
      </w:r>
    </w:p>
    <w:p w:rsidR="00576868" w:rsidRPr="0087389D" w:rsidRDefault="00576868"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5、本基金独立建账、独立核算；</w:t>
      </w:r>
    </w:p>
    <w:p w:rsidR="00576868" w:rsidRPr="0087389D" w:rsidRDefault="00576868"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6、基金管理人及基金托管人各自保留完整的会计账目、凭证并进行日常的会计核算，按照有关规定编制基金会计报表；</w:t>
      </w:r>
    </w:p>
    <w:p w:rsidR="0047523D" w:rsidRPr="0087389D" w:rsidRDefault="00576868"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7、基金托管人每月与基金管理人就基金的会计核算、报表编制等进行核对确认。</w:t>
      </w:r>
    </w:p>
    <w:p w:rsidR="0047523D" w:rsidRPr="0087389D" w:rsidRDefault="00B329B1"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w:t>
      </w:r>
      <w:r w:rsidR="003C6F6C" w:rsidRPr="0087389D">
        <w:rPr>
          <w:rFonts w:asciiTheme="minorEastAsia" w:eastAsiaTheme="minorEastAsia" w:hAnsiTheme="minorEastAsia" w:hint="eastAsia"/>
          <w:bCs/>
          <w:szCs w:val="21"/>
        </w:rPr>
        <w:t>二</w:t>
      </w:r>
      <w:r w:rsidRPr="0087389D">
        <w:rPr>
          <w:rFonts w:asciiTheme="minorEastAsia" w:eastAsiaTheme="minorEastAsia" w:hAnsiTheme="minorEastAsia" w:hint="eastAsia"/>
          <w:bCs/>
          <w:szCs w:val="21"/>
        </w:rPr>
        <w:t>）</w:t>
      </w:r>
      <w:r w:rsidR="0047523D" w:rsidRPr="0087389D">
        <w:rPr>
          <w:rFonts w:asciiTheme="minorEastAsia" w:eastAsiaTheme="minorEastAsia" w:hAnsiTheme="minorEastAsia"/>
          <w:bCs/>
          <w:szCs w:val="21"/>
        </w:rPr>
        <w:t>基金的年度审计</w:t>
      </w:r>
    </w:p>
    <w:p w:rsidR="00BB04FF" w:rsidRPr="0087389D" w:rsidRDefault="00BB04FF" w:rsidP="00BB04FF">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1、基金管理人聘请与基金管理人、基金托管人相互独立的具有证券、期货相关业务资格的会计师事务所及其注册会计师对本基金的年度财务报表进行审计。</w:t>
      </w:r>
    </w:p>
    <w:p w:rsidR="00BB04FF" w:rsidRPr="0087389D" w:rsidRDefault="00BB04FF" w:rsidP="00BB04FF">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2、会计师事务所更换经办注册会计师，应事先征得基金管理人同意。</w:t>
      </w:r>
    </w:p>
    <w:p w:rsidR="0047523D" w:rsidRPr="0087389D" w:rsidRDefault="00BB04FF"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3、基金管理人认为有充足理由更换会计师事务所，须通报基金托管人。更换会计师事务所需在2日内在指定媒介公告。</w:t>
      </w:r>
    </w:p>
    <w:p w:rsidR="0047523D" w:rsidRPr="0087389D" w:rsidRDefault="0047523D" w:rsidP="00555CE7">
      <w:pPr>
        <w:snapToGrid w:val="0"/>
        <w:spacing w:line="360" w:lineRule="auto"/>
        <w:ind w:firstLine="480"/>
        <w:rPr>
          <w:rFonts w:asciiTheme="minorEastAsia" w:eastAsiaTheme="minorEastAsia" w:hAnsiTheme="minorEastAsia"/>
        </w:rPr>
      </w:pPr>
    </w:p>
    <w:p w:rsidR="0047523D" w:rsidRPr="0087389D" w:rsidRDefault="0047523D" w:rsidP="00555CE7">
      <w:pPr>
        <w:snapToGrid w:val="0"/>
        <w:spacing w:line="360" w:lineRule="auto"/>
        <w:ind w:firstLine="480"/>
        <w:rPr>
          <w:rFonts w:asciiTheme="minorEastAsia" w:eastAsiaTheme="minorEastAsia" w:hAnsiTheme="minorEastAsia"/>
        </w:rPr>
      </w:pPr>
    </w:p>
    <w:p w:rsidR="0047523D" w:rsidRPr="0087389D" w:rsidRDefault="0047523D" w:rsidP="00555CE7">
      <w:pPr>
        <w:snapToGrid w:val="0"/>
        <w:spacing w:line="360" w:lineRule="auto"/>
        <w:ind w:firstLine="480"/>
        <w:rPr>
          <w:rFonts w:asciiTheme="minorEastAsia" w:eastAsiaTheme="minorEastAsia" w:hAnsiTheme="minorEastAsia"/>
        </w:rPr>
      </w:pPr>
    </w:p>
    <w:p w:rsidR="00BA4B87" w:rsidRPr="0087389D" w:rsidRDefault="00BA4B87" w:rsidP="00555CE7">
      <w:pPr>
        <w:pStyle w:val="1"/>
        <w:snapToGrid w:val="0"/>
        <w:spacing w:beforeLines="0" w:afterLines="0" w:line="360" w:lineRule="auto"/>
        <w:ind w:firstLine="600"/>
        <w:rPr>
          <w:rFonts w:asciiTheme="minorEastAsia" w:eastAsiaTheme="minorEastAsia" w:hAnsiTheme="minorEastAsia"/>
          <w:b/>
        </w:rPr>
      </w:pPr>
      <w:r w:rsidRPr="0087389D">
        <w:rPr>
          <w:rFonts w:asciiTheme="minorEastAsia" w:eastAsiaTheme="minorEastAsia" w:hAnsiTheme="minorEastAsia"/>
          <w:sz w:val="30"/>
        </w:rPr>
        <w:br w:type="column"/>
      </w:r>
      <w:bookmarkStart w:id="95" w:name="_Toc361403746"/>
      <w:bookmarkStart w:id="96" w:name="_Toc41644977"/>
      <w:r w:rsidR="00293B85" w:rsidRPr="0087389D">
        <w:rPr>
          <w:rFonts w:asciiTheme="minorEastAsia" w:eastAsiaTheme="minorEastAsia" w:hAnsiTheme="minorEastAsia"/>
          <w:b/>
          <w:sz w:val="30"/>
        </w:rPr>
        <w:lastRenderedPageBreak/>
        <w:t>十</w:t>
      </w:r>
      <w:r w:rsidR="00293B85" w:rsidRPr="0087389D">
        <w:rPr>
          <w:rFonts w:asciiTheme="minorEastAsia" w:eastAsiaTheme="minorEastAsia" w:hAnsiTheme="minorEastAsia" w:hint="eastAsia"/>
          <w:b/>
          <w:sz w:val="30"/>
        </w:rPr>
        <w:t>九</w:t>
      </w:r>
      <w:r w:rsidRPr="0087389D">
        <w:rPr>
          <w:rFonts w:asciiTheme="minorEastAsia" w:eastAsiaTheme="minorEastAsia" w:hAnsiTheme="minorEastAsia"/>
          <w:b/>
          <w:sz w:val="30"/>
        </w:rPr>
        <w:t>、基金的信息披露</w:t>
      </w:r>
      <w:bookmarkEnd w:id="95"/>
      <w:bookmarkEnd w:id="96"/>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一、本基金的信息披露应符合《基金法》、《运作办法》、《信息披露办法》、《基金合同》及其他有关规定。相关法律法规关于信息披露的披露方式、登载媒介、报备方式等规定发生变化时，本基金从其最新规定。</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二、信息披露义务人</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本基金信息披露义务人包括基金管理人、基金托管人、召集基金份额持有人大会的基金份额持有人等法律、行政法规和中国证监会规定的自然人、法人和非法人组织。</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本基金信息披露义务人以保护基金份额持有人利益为根本出发点，按照法律法规和中国证监会的规定披露基金信息，并保证所披露信息的真实性、准确性和完整性、及时性、简明性和易得性。</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本基金信息披露义务人应当在中国证监会规定时间内，将应予披露的基金信息通过中国证监会指定媒介披露，并保证基金投资者能够按照《基金合同》约定的时间和方式查阅或者复制公开披露的信息资料。</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三、本基金信息披露义务人承诺公开披露的基金信息，不得有下列行为：</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1</w:t>
      </w:r>
      <w:r w:rsidRPr="0087389D">
        <w:rPr>
          <w:rFonts w:asciiTheme="minorEastAsia" w:eastAsiaTheme="minorEastAsia" w:hAnsiTheme="minorEastAsia" w:hint="eastAsia"/>
          <w:bCs/>
          <w:szCs w:val="21"/>
        </w:rPr>
        <w:t>、虚假记载、误导性陈述或者重大遗漏；</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2</w:t>
      </w:r>
      <w:r w:rsidRPr="0087389D">
        <w:rPr>
          <w:rFonts w:asciiTheme="minorEastAsia" w:eastAsiaTheme="minorEastAsia" w:hAnsiTheme="minorEastAsia" w:hint="eastAsia"/>
          <w:bCs/>
          <w:szCs w:val="21"/>
        </w:rPr>
        <w:t>、对证券投资业绩进行预测；</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3</w:t>
      </w:r>
      <w:r w:rsidRPr="0087389D">
        <w:rPr>
          <w:rFonts w:asciiTheme="minorEastAsia" w:eastAsiaTheme="minorEastAsia" w:hAnsiTheme="minorEastAsia" w:hint="eastAsia"/>
          <w:bCs/>
          <w:szCs w:val="21"/>
        </w:rPr>
        <w:t>、违规承诺收益或者承担损失；</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4</w:t>
      </w:r>
      <w:r w:rsidRPr="0087389D">
        <w:rPr>
          <w:rFonts w:asciiTheme="minorEastAsia" w:eastAsiaTheme="minorEastAsia" w:hAnsiTheme="minorEastAsia" w:hint="eastAsia"/>
          <w:bCs/>
          <w:szCs w:val="21"/>
        </w:rPr>
        <w:t>、诋毁其他基金管理人、基金托管人或者基金销售机构；</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5</w:t>
      </w:r>
      <w:r w:rsidRPr="0087389D">
        <w:rPr>
          <w:rFonts w:asciiTheme="minorEastAsia" w:eastAsiaTheme="minorEastAsia" w:hAnsiTheme="minorEastAsia" w:hint="eastAsia"/>
          <w:bCs/>
          <w:szCs w:val="21"/>
        </w:rPr>
        <w:t>、登载任何自然人、法人和非法人组织的祝贺性、恭维性或推荐性的文字；</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6</w:t>
      </w:r>
      <w:r w:rsidRPr="0087389D">
        <w:rPr>
          <w:rFonts w:asciiTheme="minorEastAsia" w:eastAsiaTheme="minorEastAsia" w:hAnsiTheme="minorEastAsia" w:hint="eastAsia"/>
          <w:bCs/>
          <w:szCs w:val="21"/>
        </w:rPr>
        <w:t>、中国证监会禁止的其他行为。</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四、本基金公开披露的信息应采用中文文本。如同时采用外文文本的，基金信息披露义务人应保证不同文本的内容一致。不同文本之间发生歧义的，以中文文本为准。</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本基金公开披露的信息采用阿拉伯数字；除特别说明外，货币单位为人民币元。</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五、公开披露的基金信息</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公开披露的基金信息包括：</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（一）基金招募说明书、《基金合同》、基金托管协议、基金产品资料概要</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1</w:t>
      </w:r>
      <w:r w:rsidRPr="0087389D">
        <w:rPr>
          <w:rFonts w:asciiTheme="minorEastAsia" w:eastAsiaTheme="minorEastAsia" w:hAnsiTheme="minorEastAsia" w:hint="eastAsia"/>
          <w:bCs/>
          <w:szCs w:val="21"/>
        </w:rPr>
        <w:t>、《基金合同》是界定《基金合同》当事人的各项权利、义务关系，明确基金份额持有人大会召开的规则及具体程序，说明基金产品的特性等涉及基金投资者重大利益的事项的法律文件。</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2</w:t>
      </w:r>
      <w:r w:rsidRPr="0087389D">
        <w:rPr>
          <w:rFonts w:asciiTheme="minorEastAsia" w:eastAsiaTheme="minorEastAsia" w:hAnsiTheme="minorEastAsia" w:hint="eastAsia"/>
          <w:bCs/>
          <w:szCs w:val="21"/>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w:t>
      </w:r>
      <w:r w:rsidRPr="0087389D">
        <w:rPr>
          <w:rFonts w:asciiTheme="minorEastAsia" w:eastAsiaTheme="minorEastAsia" w:hAnsiTheme="minorEastAsia" w:hint="eastAsia"/>
          <w:bCs/>
          <w:szCs w:val="21"/>
        </w:rPr>
        <w:lastRenderedPageBreak/>
        <w:t>的，基金管理人至少每年更新一次。基金终止运作的，基金管理人不再更新基金招募说明书。</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3</w:t>
      </w:r>
      <w:r w:rsidRPr="0087389D">
        <w:rPr>
          <w:rFonts w:asciiTheme="minorEastAsia" w:eastAsiaTheme="minorEastAsia" w:hAnsiTheme="minorEastAsia" w:hint="eastAsia"/>
          <w:bCs/>
          <w:szCs w:val="21"/>
        </w:rPr>
        <w:t>、基金托管协议是界定基金托管人和基金管理人在基金财产保管及基金运作监督等活动中的权利、义务关系的法律文件。</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4</w:t>
      </w:r>
      <w:r w:rsidRPr="0087389D">
        <w:rPr>
          <w:rFonts w:asciiTheme="minorEastAsia" w:eastAsiaTheme="minorEastAsia" w:hAnsiTheme="minorEastAsia" w:hint="eastAsia"/>
          <w:bCs/>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基金募集申请经中国证监会注册后，基金管理人在基金份额发售的</w:t>
      </w:r>
      <w:r w:rsidRPr="0087389D">
        <w:rPr>
          <w:rFonts w:asciiTheme="minorEastAsia" w:eastAsiaTheme="minorEastAsia" w:hAnsiTheme="minorEastAsia"/>
          <w:bCs/>
          <w:szCs w:val="21"/>
        </w:rPr>
        <w:t>3</w:t>
      </w:r>
      <w:r w:rsidRPr="0087389D">
        <w:rPr>
          <w:rFonts w:asciiTheme="minorEastAsia" w:eastAsiaTheme="minorEastAsia" w:hAnsiTheme="minorEastAsia" w:hint="eastAsia"/>
          <w:bCs/>
          <w:szCs w:val="21"/>
        </w:rPr>
        <w:t>日前，将基金招募说明书、《基金合同》摘要登载在指定媒体上；基金管理人、基金托管人应当将《基金合同》、基金托管协议登载在网站上。</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（二）基金份额发售公告</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基金管理人应当就基金份额发售的具体事宜编制基金份额发售公告，并在披露招募说明书的当日登载于指定媒介上。</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（三）《基金合同》生效公告</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基金管理人应当在收到中国证监会确认文件的次日在指定媒介上登载《基金合同》生效公告。</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（四）基金每万份基金已实现收益和</w:t>
      </w:r>
      <w:r w:rsidRPr="0087389D">
        <w:rPr>
          <w:rFonts w:asciiTheme="minorEastAsia" w:eastAsiaTheme="minorEastAsia" w:hAnsiTheme="minorEastAsia"/>
          <w:bCs/>
          <w:szCs w:val="21"/>
        </w:rPr>
        <w:t>7</w:t>
      </w:r>
      <w:r w:rsidRPr="0087389D">
        <w:rPr>
          <w:rFonts w:asciiTheme="minorEastAsia" w:eastAsiaTheme="minorEastAsia" w:hAnsiTheme="minorEastAsia" w:hint="eastAsia"/>
          <w:bCs/>
          <w:szCs w:val="21"/>
        </w:rPr>
        <w:t>日年化收益率信息</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1</w:t>
      </w:r>
      <w:r w:rsidRPr="0087389D">
        <w:rPr>
          <w:rFonts w:asciiTheme="minorEastAsia" w:eastAsiaTheme="minorEastAsia" w:hAnsiTheme="minorEastAsia" w:hint="eastAsia"/>
          <w:bCs/>
          <w:szCs w:val="21"/>
        </w:rPr>
        <w:t>、本基金的基金合同生效后，在开始办理基金份额申购或者赎回前，基金管理人将至少每周在指定网站披露一次基金的每万份基金已实现收益和</w:t>
      </w:r>
      <w:r w:rsidRPr="0087389D">
        <w:rPr>
          <w:rFonts w:asciiTheme="minorEastAsia" w:eastAsiaTheme="minorEastAsia" w:hAnsiTheme="minorEastAsia"/>
          <w:bCs/>
          <w:szCs w:val="21"/>
        </w:rPr>
        <w:t>7</w:t>
      </w:r>
      <w:r w:rsidRPr="0087389D">
        <w:rPr>
          <w:rFonts w:asciiTheme="minorEastAsia" w:eastAsiaTheme="minorEastAsia" w:hAnsiTheme="minorEastAsia" w:hint="eastAsia"/>
          <w:bCs/>
          <w:szCs w:val="21"/>
        </w:rPr>
        <w:t>日年化收益率；</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每万份基金已实现收益和</w:t>
      </w:r>
      <w:r w:rsidRPr="0087389D">
        <w:rPr>
          <w:rFonts w:asciiTheme="minorEastAsia" w:eastAsiaTheme="minorEastAsia" w:hAnsiTheme="minorEastAsia"/>
          <w:bCs/>
          <w:szCs w:val="21"/>
        </w:rPr>
        <w:t>7</w:t>
      </w:r>
      <w:r w:rsidRPr="0087389D">
        <w:rPr>
          <w:rFonts w:asciiTheme="minorEastAsia" w:eastAsiaTheme="minorEastAsia" w:hAnsiTheme="minorEastAsia" w:hint="eastAsia"/>
          <w:bCs/>
          <w:szCs w:val="21"/>
        </w:rPr>
        <w:t>日年化收益率的计算方法如下：</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每万份基金已实现收益＝当日该类基金份额的已实现收益</w:t>
      </w:r>
      <w:r w:rsidRPr="0087389D">
        <w:rPr>
          <w:rFonts w:asciiTheme="minorEastAsia" w:eastAsiaTheme="minorEastAsia" w:hAnsiTheme="minorEastAsia"/>
          <w:bCs/>
          <w:szCs w:val="21"/>
        </w:rPr>
        <w:t>/</w:t>
      </w:r>
      <w:r w:rsidRPr="0087389D">
        <w:rPr>
          <w:rFonts w:asciiTheme="minorEastAsia" w:eastAsiaTheme="minorEastAsia" w:hAnsiTheme="minorEastAsia" w:hint="eastAsia"/>
          <w:bCs/>
          <w:szCs w:val="21"/>
        </w:rPr>
        <w:t>当日该类基金份额总额×</w:t>
      </w:r>
      <w:r w:rsidRPr="0087389D">
        <w:rPr>
          <w:rFonts w:asciiTheme="minorEastAsia" w:eastAsiaTheme="minorEastAsia" w:hAnsiTheme="minorEastAsia"/>
          <w:bCs/>
          <w:szCs w:val="21"/>
        </w:rPr>
        <w:t>10000</w:t>
      </w:r>
      <w:r w:rsidRPr="0087389D">
        <w:rPr>
          <w:rFonts w:asciiTheme="minorEastAsia" w:eastAsiaTheme="minorEastAsia" w:hAnsiTheme="minorEastAsia" w:hint="eastAsia"/>
          <w:bCs/>
          <w:szCs w:val="21"/>
        </w:rPr>
        <w:t>。其中，当日分配的基金收益自其下一日起享有分红权益，自下一日起纳入基金份额总数的计算；收益的精度为以四舍五入的方法保留小数点后</w:t>
      </w:r>
      <w:r w:rsidRPr="0087389D">
        <w:rPr>
          <w:rFonts w:asciiTheme="minorEastAsia" w:eastAsiaTheme="minorEastAsia" w:hAnsiTheme="minorEastAsia"/>
          <w:bCs/>
          <w:szCs w:val="21"/>
        </w:rPr>
        <w:t>4</w:t>
      </w:r>
      <w:r w:rsidRPr="0087389D">
        <w:rPr>
          <w:rFonts w:asciiTheme="minorEastAsia" w:eastAsiaTheme="minorEastAsia" w:hAnsiTheme="minorEastAsia" w:hint="eastAsia"/>
          <w:bCs/>
          <w:szCs w:val="21"/>
        </w:rPr>
        <w:t>位。</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7</w:t>
      </w:r>
      <w:r w:rsidRPr="0087389D">
        <w:rPr>
          <w:rFonts w:asciiTheme="minorEastAsia" w:eastAsiaTheme="minorEastAsia" w:hAnsiTheme="minorEastAsia" w:hint="eastAsia"/>
          <w:bCs/>
          <w:szCs w:val="21"/>
        </w:rPr>
        <w:t>日年化收益率</w:t>
      </w:r>
      <w:r w:rsidRPr="0087389D">
        <w:rPr>
          <w:rFonts w:asciiTheme="minorEastAsia" w:eastAsiaTheme="minorEastAsia" w:hAnsiTheme="minorEastAsia"/>
          <w:bCs/>
          <w:szCs w:val="21"/>
        </w:rPr>
        <w:t>=</w:t>
      </w:r>
      <w:r w:rsidRPr="0087389D">
        <w:rPr>
          <w:rFonts w:asciiTheme="minorEastAsia" w:eastAsiaTheme="minorEastAsia" w:hAnsiTheme="minorEastAsia"/>
          <w:bCs/>
          <w:szCs w:val="21"/>
        </w:rPr>
        <w:object w:dxaOrig="3480" w:dyaOrig="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44.25pt;mso-position-horizontal-relative:page;mso-position-vertical-relative:page" o:ole="">
            <v:imagedata r:id="rId17" o:title=""/>
          </v:shape>
          <o:OLEObject Type="Embed" ProgID="Equation.DSMT4" ShapeID="_x0000_i1025" DrawAspect="Content" ObjectID="_1652282311" r:id="rId18"/>
        </w:objec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其中，</w:t>
      </w:r>
      <w:r w:rsidRPr="0087389D">
        <w:rPr>
          <w:rFonts w:asciiTheme="minorEastAsia" w:eastAsiaTheme="minorEastAsia" w:hAnsiTheme="minorEastAsia"/>
          <w:bCs/>
          <w:szCs w:val="21"/>
        </w:rPr>
        <w:t>Ri</w:t>
      </w:r>
      <w:r w:rsidRPr="0087389D">
        <w:rPr>
          <w:rFonts w:asciiTheme="minorEastAsia" w:eastAsiaTheme="minorEastAsia" w:hAnsiTheme="minorEastAsia" w:hint="eastAsia"/>
          <w:bCs/>
          <w:szCs w:val="21"/>
        </w:rPr>
        <w:t>为最近第</w:t>
      </w:r>
      <w:r w:rsidRPr="0087389D">
        <w:rPr>
          <w:rFonts w:asciiTheme="minorEastAsia" w:eastAsiaTheme="minorEastAsia" w:hAnsiTheme="minorEastAsia"/>
          <w:bCs/>
          <w:szCs w:val="21"/>
        </w:rPr>
        <w:t>i</w:t>
      </w:r>
      <w:r w:rsidRPr="0087389D">
        <w:rPr>
          <w:rFonts w:asciiTheme="minorEastAsia" w:eastAsiaTheme="minorEastAsia" w:hAnsiTheme="minorEastAsia" w:hint="eastAsia"/>
          <w:bCs/>
          <w:szCs w:val="21"/>
        </w:rPr>
        <w:t>个自然日</w:t>
      </w:r>
      <w:r w:rsidRPr="0087389D">
        <w:rPr>
          <w:rFonts w:asciiTheme="minorEastAsia" w:eastAsiaTheme="minorEastAsia" w:hAnsiTheme="minorEastAsia"/>
          <w:bCs/>
          <w:szCs w:val="21"/>
        </w:rPr>
        <w:t>(</w:t>
      </w:r>
      <w:r w:rsidRPr="0087389D">
        <w:rPr>
          <w:rFonts w:asciiTheme="minorEastAsia" w:eastAsiaTheme="minorEastAsia" w:hAnsiTheme="minorEastAsia" w:hint="eastAsia"/>
          <w:bCs/>
          <w:szCs w:val="21"/>
        </w:rPr>
        <w:t>包括计算当日</w:t>
      </w:r>
      <w:r w:rsidRPr="0087389D">
        <w:rPr>
          <w:rFonts w:asciiTheme="minorEastAsia" w:eastAsiaTheme="minorEastAsia" w:hAnsiTheme="minorEastAsia"/>
          <w:bCs/>
          <w:szCs w:val="21"/>
        </w:rPr>
        <w:t>)</w:t>
      </w:r>
      <w:r w:rsidRPr="0087389D">
        <w:rPr>
          <w:rFonts w:asciiTheme="minorEastAsia" w:eastAsiaTheme="minorEastAsia" w:hAnsiTheme="minorEastAsia" w:hint="eastAsia"/>
          <w:bCs/>
          <w:szCs w:val="21"/>
        </w:rPr>
        <w:t>的每万份基金已实现收益。</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每万份基金已实现收益采用四舍五入保留至小数点后第</w:t>
      </w:r>
      <w:r w:rsidRPr="0087389D">
        <w:rPr>
          <w:rFonts w:asciiTheme="minorEastAsia" w:eastAsiaTheme="minorEastAsia" w:hAnsiTheme="minorEastAsia"/>
          <w:bCs/>
          <w:szCs w:val="21"/>
        </w:rPr>
        <w:t>4</w:t>
      </w:r>
      <w:r w:rsidRPr="0087389D">
        <w:rPr>
          <w:rFonts w:asciiTheme="minorEastAsia" w:eastAsiaTheme="minorEastAsia" w:hAnsiTheme="minorEastAsia" w:hint="eastAsia"/>
          <w:bCs/>
          <w:szCs w:val="21"/>
        </w:rPr>
        <w:t>位，</w:t>
      </w:r>
      <w:r w:rsidRPr="0087389D">
        <w:rPr>
          <w:rFonts w:asciiTheme="minorEastAsia" w:eastAsiaTheme="minorEastAsia" w:hAnsiTheme="minorEastAsia"/>
          <w:bCs/>
          <w:szCs w:val="21"/>
        </w:rPr>
        <w:t>7</w:t>
      </w:r>
      <w:r w:rsidRPr="0087389D">
        <w:rPr>
          <w:rFonts w:asciiTheme="minorEastAsia" w:eastAsiaTheme="minorEastAsia" w:hAnsiTheme="minorEastAsia" w:hint="eastAsia"/>
          <w:bCs/>
          <w:szCs w:val="21"/>
        </w:rPr>
        <w:t>日年化收益率采用四舍五入保留至百分号内小数点后第</w:t>
      </w:r>
      <w:r w:rsidRPr="0087389D">
        <w:rPr>
          <w:rFonts w:asciiTheme="minorEastAsia" w:eastAsiaTheme="minorEastAsia" w:hAnsiTheme="minorEastAsia"/>
          <w:bCs/>
          <w:szCs w:val="21"/>
        </w:rPr>
        <w:t>3</w:t>
      </w:r>
      <w:r w:rsidRPr="0087389D">
        <w:rPr>
          <w:rFonts w:asciiTheme="minorEastAsia" w:eastAsiaTheme="minorEastAsia" w:hAnsiTheme="minorEastAsia" w:hint="eastAsia"/>
          <w:bCs/>
          <w:szCs w:val="21"/>
        </w:rPr>
        <w:t>位。</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如果基金成立不足七日，按类似规则计算。当任一类基金份额为零时，将暂停计算和披露该类基金份额的每万份基金已实现收益、</w:t>
      </w:r>
      <w:r w:rsidRPr="0087389D">
        <w:rPr>
          <w:rFonts w:asciiTheme="minorEastAsia" w:eastAsiaTheme="minorEastAsia" w:hAnsiTheme="minorEastAsia"/>
          <w:bCs/>
          <w:szCs w:val="21"/>
        </w:rPr>
        <w:t>7</w:t>
      </w:r>
      <w:r w:rsidRPr="0087389D">
        <w:rPr>
          <w:rFonts w:asciiTheme="minorEastAsia" w:eastAsiaTheme="minorEastAsia" w:hAnsiTheme="minorEastAsia" w:hint="eastAsia"/>
          <w:bCs/>
          <w:szCs w:val="21"/>
        </w:rPr>
        <w:t>日年化收益率，待该类份额不为零时重新开始计算和披露。</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2</w:t>
      </w:r>
      <w:r w:rsidRPr="0087389D">
        <w:rPr>
          <w:rFonts w:asciiTheme="minorEastAsia" w:eastAsiaTheme="minorEastAsia" w:hAnsiTheme="minorEastAsia" w:hint="eastAsia"/>
          <w:bCs/>
          <w:szCs w:val="21"/>
        </w:rPr>
        <w:t>、在开始办理基金份额申购或者赎回后，基金管理人应不晚于每个开放日的次日，通</w:t>
      </w:r>
      <w:r w:rsidRPr="0087389D">
        <w:rPr>
          <w:rFonts w:asciiTheme="minorEastAsia" w:eastAsiaTheme="minorEastAsia" w:hAnsiTheme="minorEastAsia" w:hint="eastAsia"/>
          <w:bCs/>
          <w:szCs w:val="21"/>
        </w:rPr>
        <w:lastRenderedPageBreak/>
        <w:t>过指定网站、基金销售机构网站或者营业网点，披露开放日的每万份基金已实现收益和</w:t>
      </w:r>
      <w:r w:rsidRPr="0087389D">
        <w:rPr>
          <w:rFonts w:asciiTheme="minorEastAsia" w:eastAsiaTheme="minorEastAsia" w:hAnsiTheme="minorEastAsia"/>
          <w:bCs/>
          <w:szCs w:val="21"/>
        </w:rPr>
        <w:t>7</w:t>
      </w:r>
      <w:r w:rsidRPr="0087389D">
        <w:rPr>
          <w:rFonts w:asciiTheme="minorEastAsia" w:eastAsiaTheme="minorEastAsia" w:hAnsiTheme="minorEastAsia" w:hint="eastAsia"/>
          <w:bCs/>
          <w:szCs w:val="21"/>
        </w:rPr>
        <w:t>日年化收益率。若遇法定节假日，于节假日结束后第</w:t>
      </w:r>
      <w:r w:rsidRPr="0087389D">
        <w:rPr>
          <w:rFonts w:asciiTheme="minorEastAsia" w:eastAsiaTheme="minorEastAsia" w:hAnsiTheme="minorEastAsia"/>
          <w:bCs/>
          <w:szCs w:val="21"/>
        </w:rPr>
        <w:t>2</w:t>
      </w:r>
      <w:r w:rsidRPr="0087389D">
        <w:rPr>
          <w:rFonts w:asciiTheme="minorEastAsia" w:eastAsiaTheme="minorEastAsia" w:hAnsiTheme="minorEastAsia" w:hint="eastAsia"/>
          <w:bCs/>
          <w:szCs w:val="21"/>
        </w:rPr>
        <w:t>个自然日，公告节假日期间的基金份额每万份基金已实现收益、节假日最后一日的</w:t>
      </w:r>
      <w:r w:rsidRPr="0087389D">
        <w:rPr>
          <w:rFonts w:asciiTheme="minorEastAsia" w:eastAsiaTheme="minorEastAsia" w:hAnsiTheme="minorEastAsia"/>
          <w:bCs/>
          <w:szCs w:val="21"/>
        </w:rPr>
        <w:t>7</w:t>
      </w:r>
      <w:r w:rsidRPr="0087389D">
        <w:rPr>
          <w:rFonts w:asciiTheme="minorEastAsia" w:eastAsiaTheme="minorEastAsia" w:hAnsiTheme="minorEastAsia" w:hint="eastAsia"/>
          <w:bCs/>
          <w:szCs w:val="21"/>
        </w:rPr>
        <w:t>日年化收益率，以及节假日后首个开放日的基金份额每万份基金已实现收益和</w:t>
      </w:r>
      <w:r w:rsidRPr="0087389D">
        <w:rPr>
          <w:rFonts w:asciiTheme="minorEastAsia" w:eastAsiaTheme="minorEastAsia" w:hAnsiTheme="minorEastAsia"/>
          <w:bCs/>
          <w:szCs w:val="21"/>
        </w:rPr>
        <w:t>7</w:t>
      </w:r>
      <w:r w:rsidRPr="0087389D">
        <w:rPr>
          <w:rFonts w:asciiTheme="minorEastAsia" w:eastAsiaTheme="minorEastAsia" w:hAnsiTheme="minorEastAsia" w:hint="eastAsia"/>
          <w:bCs/>
          <w:szCs w:val="21"/>
        </w:rPr>
        <w:t>日年化收益率。</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3</w:t>
      </w:r>
      <w:r w:rsidRPr="0087389D">
        <w:rPr>
          <w:rFonts w:asciiTheme="minorEastAsia" w:eastAsiaTheme="minorEastAsia" w:hAnsiTheme="minorEastAsia" w:hint="eastAsia"/>
          <w:bCs/>
          <w:szCs w:val="21"/>
        </w:rPr>
        <w:t>、基金管理人应当在不晚于半年度和年度最后一日的次日，在指定网站披露半年度和年度最后一日的每万份基金已实现收益和</w:t>
      </w:r>
      <w:r w:rsidRPr="0087389D">
        <w:rPr>
          <w:rFonts w:asciiTheme="minorEastAsia" w:eastAsiaTheme="minorEastAsia" w:hAnsiTheme="minorEastAsia"/>
          <w:bCs/>
          <w:szCs w:val="21"/>
        </w:rPr>
        <w:t>7</w:t>
      </w:r>
      <w:r w:rsidRPr="0087389D">
        <w:rPr>
          <w:rFonts w:asciiTheme="minorEastAsia" w:eastAsiaTheme="minorEastAsia" w:hAnsiTheme="minorEastAsia" w:hint="eastAsia"/>
          <w:bCs/>
          <w:szCs w:val="21"/>
        </w:rPr>
        <w:t>日年化收益率。</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（五）基金定期报告，包括基金年度报告、基金中期报告和基金季度报告</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基金管理人应当在上半年结束之日起两个月内，编制完成基金中期报告，将中期报告登载在指定网站上，并将中期报告提示性公告登载在指定报刊上。</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基金管理人应当在季度结束之日起</w:t>
      </w:r>
      <w:r w:rsidRPr="0087389D">
        <w:rPr>
          <w:rFonts w:asciiTheme="minorEastAsia" w:eastAsiaTheme="minorEastAsia" w:hAnsiTheme="minorEastAsia"/>
          <w:bCs/>
          <w:szCs w:val="21"/>
        </w:rPr>
        <w:t>15</w:t>
      </w:r>
      <w:r w:rsidRPr="0087389D">
        <w:rPr>
          <w:rFonts w:asciiTheme="minorEastAsia" w:eastAsiaTheme="minorEastAsia" w:hAnsiTheme="minorEastAsia" w:hint="eastAsia"/>
          <w:bCs/>
          <w:szCs w:val="21"/>
        </w:rPr>
        <w:t>个工作日内，编制完成基金季度报告，将季度报告登载在指定网站上，并将季度报告提示性公告登载在指定报刊上。</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《基金合同》生效不足</w:t>
      </w:r>
      <w:r w:rsidRPr="0087389D">
        <w:rPr>
          <w:rFonts w:asciiTheme="minorEastAsia" w:eastAsiaTheme="minorEastAsia" w:hAnsiTheme="minorEastAsia"/>
          <w:bCs/>
          <w:szCs w:val="21"/>
        </w:rPr>
        <w:t>2</w:t>
      </w:r>
      <w:r w:rsidRPr="0087389D">
        <w:rPr>
          <w:rFonts w:asciiTheme="minorEastAsia" w:eastAsiaTheme="minorEastAsia" w:hAnsiTheme="minorEastAsia" w:hint="eastAsia"/>
          <w:bCs/>
          <w:szCs w:val="21"/>
        </w:rPr>
        <w:t>个月的，基金管理人可以不编制当期季度报告、中期报告或者年度报告。</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报告期内出现单一投资者持有基金份额比例达到或超过</w:t>
      </w:r>
      <w:r w:rsidRPr="0087389D">
        <w:rPr>
          <w:rFonts w:asciiTheme="minorEastAsia" w:eastAsiaTheme="minorEastAsia" w:hAnsiTheme="minorEastAsia"/>
          <w:bCs/>
          <w:szCs w:val="21"/>
        </w:rPr>
        <w:t>20%</w:t>
      </w:r>
      <w:r w:rsidRPr="0087389D">
        <w:rPr>
          <w:rFonts w:asciiTheme="minorEastAsia" w:eastAsiaTheme="minorEastAsia" w:hAnsiTheme="minorEastAsia" w:hint="eastAsia"/>
          <w:bCs/>
          <w:szCs w:val="21"/>
        </w:rPr>
        <w:t>的情形，基金管理人应当在季度报告、中期报告、年度报告等定期报告文件中披露该投资者的类别、报告期末持有份额及占比、报告期内持有份额变化情况及产品的特有风险，中国证监会认定的特殊情形除外。</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基金管理人应当在本基金年度报告、中期报告中，至少披露报告期末基金前</w:t>
      </w:r>
      <w:r w:rsidRPr="0087389D">
        <w:rPr>
          <w:rFonts w:asciiTheme="minorEastAsia" w:eastAsiaTheme="minorEastAsia" w:hAnsiTheme="minorEastAsia"/>
          <w:bCs/>
          <w:szCs w:val="21"/>
        </w:rPr>
        <w:t>10</w:t>
      </w:r>
      <w:r w:rsidRPr="0087389D">
        <w:rPr>
          <w:rFonts w:asciiTheme="minorEastAsia" w:eastAsiaTheme="minorEastAsia" w:hAnsiTheme="minorEastAsia" w:hint="eastAsia"/>
          <w:bCs/>
          <w:szCs w:val="21"/>
        </w:rPr>
        <w:t>名份额持有人的类别、持有份额及占总份额的比例等信息。</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基金持续运作过程中，基金管理人应当在基金年度报告和中期报告中披露基金组合资产情况及其流动性风险分析等。</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（六）临时报告</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本基金发生重大事件，有关信息披露义务人应当在</w:t>
      </w:r>
      <w:r w:rsidRPr="0087389D">
        <w:rPr>
          <w:rFonts w:asciiTheme="minorEastAsia" w:eastAsiaTheme="minorEastAsia" w:hAnsiTheme="minorEastAsia"/>
          <w:bCs/>
          <w:szCs w:val="21"/>
        </w:rPr>
        <w:t>2</w:t>
      </w:r>
      <w:r w:rsidRPr="0087389D">
        <w:rPr>
          <w:rFonts w:asciiTheme="minorEastAsia" w:eastAsiaTheme="minorEastAsia" w:hAnsiTheme="minorEastAsia" w:hint="eastAsia"/>
          <w:bCs/>
          <w:szCs w:val="21"/>
        </w:rPr>
        <w:t>日内编制临时报告书，予以公告，并登载在指定报刊和指定网站上。</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前款所称重大事件，是指可能对基金份额持有人权益或者基金份额的价格产生重大影响的下列事件：</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1</w:t>
      </w:r>
      <w:r w:rsidRPr="0087389D">
        <w:rPr>
          <w:rFonts w:asciiTheme="minorEastAsia" w:eastAsiaTheme="minorEastAsia" w:hAnsiTheme="minorEastAsia" w:hint="eastAsia"/>
          <w:bCs/>
          <w:szCs w:val="21"/>
        </w:rPr>
        <w:t>、基金份额持有人大会的召开及决定的事项；</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2</w:t>
      </w:r>
      <w:r w:rsidRPr="0087389D">
        <w:rPr>
          <w:rFonts w:asciiTheme="minorEastAsia" w:eastAsiaTheme="minorEastAsia" w:hAnsiTheme="minorEastAsia" w:hint="eastAsia"/>
          <w:bCs/>
          <w:szCs w:val="21"/>
        </w:rPr>
        <w:t>、基金合同终止、基金清算；</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3</w:t>
      </w:r>
      <w:r w:rsidRPr="0087389D">
        <w:rPr>
          <w:rFonts w:asciiTheme="minorEastAsia" w:eastAsiaTheme="minorEastAsia" w:hAnsiTheme="minorEastAsia" w:hint="eastAsia"/>
          <w:bCs/>
          <w:szCs w:val="21"/>
        </w:rPr>
        <w:t>、转换基金运作方式、基金合并；</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4</w:t>
      </w:r>
      <w:r w:rsidRPr="0087389D">
        <w:rPr>
          <w:rFonts w:asciiTheme="minorEastAsia" w:eastAsiaTheme="minorEastAsia" w:hAnsiTheme="minorEastAsia" w:hint="eastAsia"/>
          <w:bCs/>
          <w:szCs w:val="21"/>
        </w:rPr>
        <w:t>、更换基金管理人、基金托管人、基金份额登记机构，基金改聘会计师事务所；</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5</w:t>
      </w:r>
      <w:r w:rsidRPr="0087389D">
        <w:rPr>
          <w:rFonts w:asciiTheme="minorEastAsia" w:eastAsiaTheme="minorEastAsia" w:hAnsiTheme="minorEastAsia" w:hint="eastAsia"/>
          <w:bCs/>
          <w:szCs w:val="21"/>
        </w:rPr>
        <w:t>、基金管理人委托基金服务机构代为办理基金的份额登记、核算、估值等事项，基金托管人委托基金服务机构代为办理基金的核算、估值、复核等事项；</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lastRenderedPageBreak/>
        <w:t>6</w:t>
      </w:r>
      <w:r w:rsidRPr="0087389D">
        <w:rPr>
          <w:rFonts w:asciiTheme="minorEastAsia" w:eastAsiaTheme="minorEastAsia" w:hAnsiTheme="minorEastAsia" w:hint="eastAsia"/>
          <w:bCs/>
          <w:szCs w:val="21"/>
        </w:rPr>
        <w:t>、基金管理人、基金托管人的法定名称、住所发生变更；</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7</w:t>
      </w:r>
      <w:r w:rsidRPr="0087389D">
        <w:rPr>
          <w:rFonts w:asciiTheme="minorEastAsia" w:eastAsiaTheme="minorEastAsia" w:hAnsiTheme="minorEastAsia" w:hint="eastAsia"/>
          <w:bCs/>
          <w:szCs w:val="21"/>
        </w:rPr>
        <w:t>、基金管理公司变更持有百分之五以上股权的股东、基金管理人的实际控制人变更；</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8</w:t>
      </w:r>
      <w:r w:rsidRPr="0087389D">
        <w:rPr>
          <w:rFonts w:asciiTheme="minorEastAsia" w:eastAsiaTheme="minorEastAsia" w:hAnsiTheme="minorEastAsia" w:hint="eastAsia"/>
          <w:bCs/>
          <w:szCs w:val="21"/>
        </w:rPr>
        <w:t>、基金募集期延长或提前结束募集；</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9</w:t>
      </w:r>
      <w:r w:rsidRPr="0087389D">
        <w:rPr>
          <w:rFonts w:asciiTheme="minorEastAsia" w:eastAsiaTheme="minorEastAsia" w:hAnsiTheme="minorEastAsia" w:hint="eastAsia"/>
          <w:bCs/>
          <w:szCs w:val="21"/>
        </w:rPr>
        <w:t>、基金管理人的高级管理人员、基金经理和基金托管人专门基金托管部门负责人发生变动；</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10</w:t>
      </w:r>
      <w:r w:rsidRPr="0087389D">
        <w:rPr>
          <w:rFonts w:asciiTheme="minorEastAsia" w:eastAsiaTheme="minorEastAsia" w:hAnsiTheme="minorEastAsia" w:hint="eastAsia"/>
          <w:bCs/>
          <w:szCs w:val="21"/>
        </w:rPr>
        <w:t>、基金管理人的董事在最近</w:t>
      </w:r>
      <w:r w:rsidRPr="0087389D">
        <w:rPr>
          <w:rFonts w:asciiTheme="minorEastAsia" w:eastAsiaTheme="minorEastAsia" w:hAnsiTheme="minorEastAsia"/>
          <w:bCs/>
          <w:szCs w:val="21"/>
        </w:rPr>
        <w:t>12</w:t>
      </w:r>
      <w:r w:rsidRPr="0087389D">
        <w:rPr>
          <w:rFonts w:asciiTheme="minorEastAsia" w:eastAsiaTheme="minorEastAsia" w:hAnsiTheme="minorEastAsia" w:hint="eastAsia"/>
          <w:bCs/>
          <w:szCs w:val="21"/>
        </w:rPr>
        <w:t>个月内变更超过百分之五十，基金管理人、基金托管人专门基金托管部门的主要业务人员在最近</w:t>
      </w:r>
      <w:r w:rsidRPr="0087389D">
        <w:rPr>
          <w:rFonts w:asciiTheme="minorEastAsia" w:eastAsiaTheme="minorEastAsia" w:hAnsiTheme="minorEastAsia"/>
          <w:bCs/>
          <w:szCs w:val="21"/>
        </w:rPr>
        <w:t>12</w:t>
      </w:r>
      <w:r w:rsidRPr="0087389D">
        <w:rPr>
          <w:rFonts w:asciiTheme="minorEastAsia" w:eastAsiaTheme="minorEastAsia" w:hAnsiTheme="minorEastAsia" w:hint="eastAsia"/>
          <w:bCs/>
          <w:szCs w:val="21"/>
        </w:rPr>
        <w:t>个月内变动超过百分之三十；</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11</w:t>
      </w:r>
      <w:r w:rsidRPr="0087389D">
        <w:rPr>
          <w:rFonts w:asciiTheme="minorEastAsia" w:eastAsiaTheme="minorEastAsia" w:hAnsiTheme="minorEastAsia" w:hint="eastAsia"/>
          <w:bCs/>
          <w:szCs w:val="21"/>
        </w:rPr>
        <w:t>、涉及基金管理业务、基金财产、基金托管业务的诉讼或者仲裁；</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12</w:t>
      </w:r>
      <w:r w:rsidRPr="0087389D">
        <w:rPr>
          <w:rFonts w:asciiTheme="minorEastAsia" w:eastAsiaTheme="minorEastAsia" w:hAnsiTheme="minorEastAsia" w:hint="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13</w:t>
      </w:r>
      <w:r w:rsidRPr="0087389D">
        <w:rPr>
          <w:rFonts w:asciiTheme="minorEastAsia" w:eastAsiaTheme="minorEastAsia" w:hAnsiTheme="minorEastAsia" w:hint="eastAsia"/>
          <w:bCs/>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14</w:t>
      </w:r>
      <w:r w:rsidRPr="0087389D">
        <w:rPr>
          <w:rFonts w:asciiTheme="minorEastAsia" w:eastAsiaTheme="minorEastAsia" w:hAnsiTheme="minorEastAsia" w:hint="eastAsia"/>
          <w:bCs/>
          <w:szCs w:val="21"/>
        </w:rPr>
        <w:t>、基金收益分配事项；</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15</w:t>
      </w:r>
      <w:r w:rsidRPr="0087389D">
        <w:rPr>
          <w:rFonts w:asciiTheme="minorEastAsia" w:eastAsiaTheme="minorEastAsia" w:hAnsiTheme="minorEastAsia" w:hint="eastAsia"/>
          <w:bCs/>
          <w:szCs w:val="21"/>
        </w:rPr>
        <w:t>、管理费、托管费、销售服务费等费用计提标准、计提方式和费率发生变更；</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16</w:t>
      </w:r>
      <w:r w:rsidRPr="0087389D">
        <w:rPr>
          <w:rFonts w:asciiTheme="minorEastAsia" w:eastAsiaTheme="minorEastAsia" w:hAnsiTheme="minorEastAsia" w:hint="eastAsia"/>
          <w:bCs/>
          <w:szCs w:val="21"/>
        </w:rPr>
        <w:t>、基金资产净值计算错误达基金资产净值百分之零点五；</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17</w:t>
      </w:r>
      <w:r w:rsidRPr="0087389D">
        <w:rPr>
          <w:rFonts w:asciiTheme="minorEastAsia" w:eastAsiaTheme="minorEastAsia" w:hAnsiTheme="minorEastAsia" w:hint="eastAsia"/>
          <w:bCs/>
          <w:szCs w:val="21"/>
        </w:rPr>
        <w:t>、当“摊余成本法”计算的基金资产净值与“影子定价”确定的基金资产净值偏离度绝对值达到或超过</w:t>
      </w:r>
      <w:r w:rsidRPr="0087389D">
        <w:rPr>
          <w:rFonts w:asciiTheme="minorEastAsia" w:eastAsiaTheme="minorEastAsia" w:hAnsiTheme="minorEastAsia"/>
          <w:bCs/>
          <w:szCs w:val="21"/>
        </w:rPr>
        <w:t>0.5%</w:t>
      </w:r>
      <w:r w:rsidRPr="0087389D">
        <w:rPr>
          <w:rFonts w:asciiTheme="minorEastAsia" w:eastAsiaTheme="minorEastAsia" w:hAnsiTheme="minorEastAsia" w:hint="eastAsia"/>
          <w:bCs/>
          <w:szCs w:val="21"/>
        </w:rPr>
        <w:t>的情形；</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18</w:t>
      </w:r>
      <w:r w:rsidRPr="0087389D">
        <w:rPr>
          <w:rFonts w:asciiTheme="minorEastAsia" w:eastAsiaTheme="minorEastAsia" w:hAnsiTheme="minorEastAsia" w:hint="eastAsia"/>
          <w:bCs/>
          <w:szCs w:val="21"/>
        </w:rPr>
        <w:t>、本基金开始办理申购、赎回；</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19</w:t>
      </w:r>
      <w:r w:rsidRPr="0087389D">
        <w:rPr>
          <w:rFonts w:asciiTheme="minorEastAsia" w:eastAsiaTheme="minorEastAsia" w:hAnsiTheme="minorEastAsia" w:hint="eastAsia"/>
          <w:bCs/>
          <w:szCs w:val="21"/>
        </w:rPr>
        <w:t>、本基金暂停接受申购、赎回申请或重新接受申购、赎回申请；</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20</w:t>
      </w:r>
      <w:r w:rsidRPr="0087389D">
        <w:rPr>
          <w:rFonts w:asciiTheme="minorEastAsia" w:eastAsiaTheme="minorEastAsia" w:hAnsiTheme="minorEastAsia" w:hint="eastAsia"/>
          <w:bCs/>
          <w:szCs w:val="21"/>
        </w:rPr>
        <w:t>、调整基金份额类别的设置；</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21</w:t>
      </w:r>
      <w:r w:rsidRPr="0087389D">
        <w:rPr>
          <w:rFonts w:asciiTheme="minorEastAsia" w:eastAsiaTheme="minorEastAsia" w:hAnsiTheme="minorEastAsia" w:hint="eastAsia"/>
          <w:bCs/>
          <w:szCs w:val="21"/>
        </w:rPr>
        <w:t>、基金推出新业务或服务；</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22</w:t>
      </w:r>
      <w:r w:rsidRPr="0087389D">
        <w:rPr>
          <w:rFonts w:asciiTheme="minorEastAsia" w:eastAsiaTheme="minorEastAsia" w:hAnsiTheme="minorEastAsia" w:hint="eastAsia"/>
          <w:bCs/>
          <w:szCs w:val="21"/>
        </w:rPr>
        <w:t>、基金信息披露义务人认为可能对基金份额持有人权益或者基金份额的价格产生重大影响的其他事项或中国证监会规定的其他事项。</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（七）澄清公告</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在《基金合同》存续期限内，任何公共媒体中出现的或者在市场上流传的消息可能对基金资产净值产生误导性影响或者引起较大波动，以及可能损害基金份额持有人权益的，相关信息披露义务人知悉后应当立即对该消息进行公开澄清，并将有关情况立即报告中国证监会。</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（八）基金份额持有人大会决议</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基金份额持有人大会决定的事项，应当依法报国务院证券监督管理机构备案，并予以公告。</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（九）清算报告</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基金合同终止的，基金管理人应当依法组织基金财产清算小组对基金财产进行清算并作</w:t>
      </w:r>
      <w:r w:rsidRPr="0087389D">
        <w:rPr>
          <w:rFonts w:asciiTheme="minorEastAsia" w:eastAsiaTheme="minorEastAsia" w:hAnsiTheme="minorEastAsia" w:hint="eastAsia"/>
          <w:bCs/>
          <w:szCs w:val="21"/>
        </w:rPr>
        <w:lastRenderedPageBreak/>
        <w:t>出清算报告。基金财产清算小组应当将清算报告登载在指定网站上，并将清算报告提示性公告登载在指定报刊上。</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（十）中国证监会规定的其他信息。</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六、信息披露事务管理</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基金管理人、基金托管人应当建立健全信息披露管理制度，指定专门部门及高级管理人员负责管理信息披露事务。</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基金信息披露义务人公开披露基金信息，应当符合中国证监会相关基金信息披露内容与格式准则等法规的规定。</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基金托管人应当按照相关法律法规、中国证监会的规定和《基金合同》的约定，对基金管理人编制的基金资产净值、每万份基金已实现收益、</w:t>
      </w:r>
      <w:r w:rsidRPr="0087389D">
        <w:rPr>
          <w:rFonts w:asciiTheme="minorEastAsia" w:eastAsiaTheme="minorEastAsia" w:hAnsiTheme="minorEastAsia"/>
          <w:bCs/>
          <w:szCs w:val="21"/>
        </w:rPr>
        <w:t>7</w:t>
      </w:r>
      <w:r w:rsidRPr="0087389D">
        <w:rPr>
          <w:rFonts w:asciiTheme="minorEastAsia" w:eastAsiaTheme="minorEastAsia" w:hAnsiTheme="minorEastAsia" w:hint="eastAsia"/>
          <w:bCs/>
          <w:szCs w:val="21"/>
        </w:rPr>
        <w:t>日年化收益率、基金份额申购赎回价格、基金定期报告、更新的招募说明书、基金产品资料概要、基金清算报告等公开披露的相关基金信息进行复核、审查，并向基金管理人进行书面或电子确认。</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基金管理人、基金托管人除依法在指定媒介上披露信息外，还可以根据需要在其他公共媒介披露信息，但是其他公共媒介不得早于指定媒介披露信息，并且在不同媒介上披露同一信息的内容应当一致。</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BB04FF" w:rsidRPr="0087389D" w:rsidRDefault="00BB04FF" w:rsidP="00156C5A">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七、信息披露文件的存放与查阅</w:t>
      </w:r>
    </w:p>
    <w:p w:rsidR="008B416E" w:rsidRPr="0087389D" w:rsidRDefault="00BB04FF" w:rsidP="00BB04FF">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依法必须披露的信息发布后，基金管理人、基金托管人应当按照相关法律法规规定将信息置备于公司办公场所，供社会公众查阅、复制。</w:t>
      </w:r>
    </w:p>
    <w:p w:rsidR="008B416E" w:rsidRPr="0087389D" w:rsidRDefault="008B416E" w:rsidP="00555CE7">
      <w:pPr>
        <w:snapToGrid w:val="0"/>
        <w:spacing w:line="360" w:lineRule="auto"/>
        <w:ind w:firstLineChars="200" w:firstLine="420"/>
        <w:rPr>
          <w:rFonts w:asciiTheme="minorEastAsia" w:eastAsiaTheme="minorEastAsia" w:hAnsiTheme="minorEastAsia"/>
          <w:szCs w:val="21"/>
        </w:rPr>
      </w:pPr>
    </w:p>
    <w:p w:rsidR="00BA4B87" w:rsidRPr="0087389D" w:rsidRDefault="00BA4B87" w:rsidP="00555CE7">
      <w:pPr>
        <w:pStyle w:val="1"/>
        <w:snapToGrid w:val="0"/>
        <w:spacing w:beforeLines="0" w:afterLines="0" w:line="360" w:lineRule="auto"/>
        <w:ind w:firstLine="600"/>
        <w:rPr>
          <w:rFonts w:asciiTheme="minorEastAsia" w:eastAsiaTheme="minorEastAsia" w:hAnsiTheme="minorEastAsia"/>
          <w:b/>
        </w:rPr>
      </w:pPr>
      <w:r w:rsidRPr="0087389D">
        <w:rPr>
          <w:rFonts w:asciiTheme="minorEastAsia" w:eastAsiaTheme="minorEastAsia" w:hAnsiTheme="minorEastAsia"/>
          <w:sz w:val="30"/>
        </w:rPr>
        <w:br w:type="column"/>
      </w:r>
      <w:bookmarkStart w:id="97" w:name="_Toc361403747"/>
      <w:bookmarkStart w:id="98" w:name="_Toc41644978"/>
      <w:r w:rsidR="002278E5" w:rsidRPr="0087389D">
        <w:rPr>
          <w:rFonts w:asciiTheme="minorEastAsia" w:eastAsiaTheme="minorEastAsia" w:hAnsiTheme="minorEastAsia" w:hint="eastAsia"/>
          <w:b/>
          <w:sz w:val="30"/>
        </w:rPr>
        <w:lastRenderedPageBreak/>
        <w:t>二十</w:t>
      </w:r>
      <w:r w:rsidRPr="0087389D">
        <w:rPr>
          <w:rFonts w:asciiTheme="minorEastAsia" w:eastAsiaTheme="minorEastAsia" w:hAnsiTheme="minorEastAsia"/>
          <w:b/>
          <w:sz w:val="30"/>
        </w:rPr>
        <w:t>、风险揭示</w:t>
      </w:r>
      <w:bookmarkEnd w:id="97"/>
      <w:bookmarkEnd w:id="98"/>
    </w:p>
    <w:p w:rsidR="0047523D" w:rsidRPr="0087389D" w:rsidRDefault="00B329B1"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w:t>
      </w:r>
      <w:r w:rsidR="0047523D" w:rsidRPr="0087389D">
        <w:rPr>
          <w:rFonts w:asciiTheme="minorEastAsia" w:eastAsiaTheme="minorEastAsia" w:hAnsiTheme="minorEastAsia" w:hint="eastAsia"/>
          <w:bCs/>
          <w:szCs w:val="21"/>
        </w:rPr>
        <w:t>一</w:t>
      </w:r>
      <w:r w:rsidRPr="0087389D">
        <w:rPr>
          <w:rFonts w:asciiTheme="minorEastAsia" w:eastAsiaTheme="minorEastAsia" w:hAnsiTheme="minorEastAsia" w:hint="eastAsia"/>
          <w:bCs/>
          <w:szCs w:val="21"/>
        </w:rPr>
        <w:t>）</w:t>
      </w:r>
      <w:r w:rsidR="0047523D" w:rsidRPr="0087389D">
        <w:rPr>
          <w:rFonts w:asciiTheme="minorEastAsia" w:eastAsiaTheme="minorEastAsia" w:hAnsiTheme="minorEastAsia" w:hint="eastAsia"/>
          <w:bCs/>
          <w:szCs w:val="21"/>
        </w:rPr>
        <w:t>市场风险</w:t>
      </w:r>
    </w:p>
    <w:p w:rsidR="00BA4B87" w:rsidRPr="0087389D" w:rsidRDefault="00BA4B87"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本基金主要投资于</w:t>
      </w:r>
      <w:r w:rsidR="00B42BD8" w:rsidRPr="0087389D">
        <w:rPr>
          <w:rFonts w:asciiTheme="minorEastAsia" w:eastAsiaTheme="minorEastAsia" w:hAnsiTheme="minorEastAsia" w:hint="eastAsia"/>
          <w:bCs/>
          <w:szCs w:val="21"/>
        </w:rPr>
        <w:t>具有良好流动性的金融工具</w:t>
      </w:r>
      <w:r w:rsidRPr="0087389D">
        <w:rPr>
          <w:rFonts w:asciiTheme="minorEastAsia" w:eastAsiaTheme="minorEastAsia" w:hAnsiTheme="minorEastAsia"/>
          <w:bCs/>
          <w:szCs w:val="21"/>
        </w:rPr>
        <w:t>，</w:t>
      </w:r>
      <w:r w:rsidR="00B42BD8" w:rsidRPr="0087389D">
        <w:rPr>
          <w:rFonts w:asciiTheme="minorEastAsia" w:eastAsiaTheme="minorEastAsia" w:hAnsiTheme="minorEastAsia"/>
          <w:bCs/>
          <w:szCs w:val="21"/>
        </w:rPr>
        <w:t>而</w:t>
      </w:r>
      <w:r w:rsidR="00B42BD8" w:rsidRPr="0087389D">
        <w:rPr>
          <w:rFonts w:asciiTheme="minorEastAsia" w:eastAsiaTheme="minorEastAsia" w:hAnsiTheme="minorEastAsia" w:hint="eastAsia"/>
          <w:bCs/>
          <w:szCs w:val="21"/>
        </w:rPr>
        <w:t>其</w:t>
      </w:r>
      <w:r w:rsidR="00B42BD8" w:rsidRPr="0087389D">
        <w:rPr>
          <w:rFonts w:asciiTheme="minorEastAsia" w:eastAsiaTheme="minorEastAsia" w:hAnsiTheme="minorEastAsia"/>
          <w:bCs/>
          <w:szCs w:val="21"/>
        </w:rPr>
        <w:t>价格因受到经济因素</w:t>
      </w:r>
      <w:r w:rsidRPr="0087389D">
        <w:rPr>
          <w:rFonts w:asciiTheme="minorEastAsia" w:eastAsiaTheme="minorEastAsia" w:hAnsiTheme="minorEastAsia"/>
          <w:bCs/>
          <w:szCs w:val="21"/>
        </w:rPr>
        <w:t>、政治因素、投资者心理和交易制度等各种因素的影响而产生波动，从而导致基金收益水平发生变化，产生风险。主要的风险因素包括：</w:t>
      </w:r>
    </w:p>
    <w:p w:rsidR="00BA4B87" w:rsidRPr="0087389D" w:rsidRDefault="00BA4B87"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1</w:t>
      </w:r>
      <w:r w:rsidR="008A168E" w:rsidRPr="0087389D">
        <w:rPr>
          <w:rFonts w:asciiTheme="minorEastAsia" w:eastAsiaTheme="minorEastAsia" w:hAnsiTheme="minorEastAsia"/>
          <w:bCs/>
          <w:szCs w:val="21"/>
        </w:rPr>
        <w:t>、</w:t>
      </w:r>
      <w:r w:rsidRPr="0087389D">
        <w:rPr>
          <w:rFonts w:asciiTheme="minorEastAsia" w:eastAsiaTheme="minorEastAsia" w:hAnsiTheme="minorEastAsia"/>
          <w:bCs/>
          <w:szCs w:val="21"/>
        </w:rPr>
        <w:t>政策风险</w:t>
      </w:r>
    </w:p>
    <w:p w:rsidR="00BA4B87" w:rsidRPr="0087389D" w:rsidRDefault="00BA4B87"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因国家宏观政策</w:t>
      </w:r>
      <w:r w:rsidR="00B329B1" w:rsidRPr="0087389D">
        <w:rPr>
          <w:rFonts w:asciiTheme="minorEastAsia" w:eastAsiaTheme="minorEastAsia" w:hAnsiTheme="minorEastAsia"/>
          <w:bCs/>
          <w:szCs w:val="21"/>
        </w:rPr>
        <w:t>（</w:t>
      </w:r>
      <w:r w:rsidRPr="0087389D">
        <w:rPr>
          <w:rFonts w:asciiTheme="minorEastAsia" w:eastAsiaTheme="minorEastAsia" w:hAnsiTheme="minorEastAsia"/>
          <w:bCs/>
          <w:szCs w:val="21"/>
        </w:rPr>
        <w:t>如货币政策、财政政策、行业政策、地区发展政策等</w:t>
      </w:r>
      <w:r w:rsidR="00B329B1" w:rsidRPr="0087389D">
        <w:rPr>
          <w:rFonts w:asciiTheme="minorEastAsia" w:eastAsiaTheme="minorEastAsia" w:hAnsiTheme="minorEastAsia"/>
          <w:bCs/>
          <w:szCs w:val="21"/>
        </w:rPr>
        <w:t>）</w:t>
      </w:r>
      <w:r w:rsidRPr="0087389D">
        <w:rPr>
          <w:rFonts w:asciiTheme="minorEastAsia" w:eastAsiaTheme="minorEastAsia" w:hAnsiTheme="minorEastAsia"/>
          <w:bCs/>
          <w:szCs w:val="21"/>
        </w:rPr>
        <w:t>发生变化，导致市场价格波动而产生风险。</w:t>
      </w:r>
    </w:p>
    <w:p w:rsidR="00BA4B87" w:rsidRPr="0087389D" w:rsidRDefault="00BA4B87"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2</w:t>
      </w:r>
      <w:r w:rsidR="008A168E" w:rsidRPr="0087389D">
        <w:rPr>
          <w:rFonts w:asciiTheme="minorEastAsia" w:eastAsiaTheme="minorEastAsia" w:hAnsiTheme="minorEastAsia"/>
          <w:bCs/>
          <w:szCs w:val="21"/>
        </w:rPr>
        <w:t>、</w:t>
      </w:r>
      <w:r w:rsidRPr="0087389D">
        <w:rPr>
          <w:rFonts w:asciiTheme="minorEastAsia" w:eastAsiaTheme="minorEastAsia" w:hAnsiTheme="minorEastAsia"/>
          <w:bCs/>
          <w:szCs w:val="21"/>
        </w:rPr>
        <w:t>利率风险</w:t>
      </w:r>
    </w:p>
    <w:p w:rsidR="00BA4B87" w:rsidRPr="0087389D" w:rsidRDefault="00BA4B87"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利率风险主要是指因金融市场利率的波动而导致证券市场价格和收益率变动的风险。利率直接影响着债券的价格和收益率，影响着企业的融资成本和利润。本基金主要投资</w:t>
      </w:r>
      <w:r w:rsidR="00B42BD8" w:rsidRPr="0087389D">
        <w:rPr>
          <w:rFonts w:asciiTheme="minorEastAsia" w:eastAsiaTheme="minorEastAsia" w:hAnsiTheme="minorEastAsia" w:hint="eastAsia"/>
          <w:bCs/>
          <w:szCs w:val="21"/>
        </w:rPr>
        <w:t>固定收益类金融工具</w:t>
      </w:r>
      <w:r w:rsidRPr="0087389D">
        <w:rPr>
          <w:rFonts w:asciiTheme="minorEastAsia" w:eastAsiaTheme="minorEastAsia" w:hAnsiTheme="minorEastAsia"/>
          <w:bCs/>
          <w:szCs w:val="21"/>
        </w:rPr>
        <w:t>，其收益水平直接受到利率变化的影响。</w:t>
      </w:r>
    </w:p>
    <w:p w:rsidR="00BA4B87" w:rsidRPr="0087389D" w:rsidRDefault="00BA4B87"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3</w:t>
      </w:r>
      <w:r w:rsidR="008A168E" w:rsidRPr="0087389D">
        <w:rPr>
          <w:rFonts w:asciiTheme="minorEastAsia" w:eastAsiaTheme="minorEastAsia" w:hAnsiTheme="minorEastAsia"/>
          <w:bCs/>
          <w:szCs w:val="21"/>
        </w:rPr>
        <w:t>、</w:t>
      </w:r>
      <w:r w:rsidRPr="0087389D">
        <w:rPr>
          <w:rFonts w:asciiTheme="minorEastAsia" w:eastAsiaTheme="minorEastAsia" w:hAnsiTheme="minorEastAsia"/>
          <w:bCs/>
          <w:szCs w:val="21"/>
        </w:rPr>
        <w:t>再投资风险</w:t>
      </w:r>
    </w:p>
    <w:p w:rsidR="00BA4B87" w:rsidRPr="0087389D" w:rsidRDefault="00BA4B87"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债券、票据</w:t>
      </w:r>
      <w:r w:rsidR="00DC7940" w:rsidRPr="0087389D">
        <w:rPr>
          <w:rFonts w:asciiTheme="minorEastAsia" w:eastAsiaTheme="minorEastAsia" w:hAnsiTheme="minorEastAsia" w:hint="eastAsia"/>
          <w:bCs/>
          <w:szCs w:val="21"/>
        </w:rPr>
        <w:t>、定期存款</w:t>
      </w:r>
      <w:r w:rsidRPr="0087389D">
        <w:rPr>
          <w:rFonts w:asciiTheme="minorEastAsia" w:eastAsiaTheme="minorEastAsia" w:hAnsiTheme="minorEastAsia"/>
          <w:bCs/>
          <w:szCs w:val="21"/>
        </w:rPr>
        <w:t>偿付本息后以及回购到期后可能由于市场利率的下降面临资金再投资的收益率低于原来利率，由此本基金面临再投资风险。</w:t>
      </w:r>
    </w:p>
    <w:p w:rsidR="00BA4B87" w:rsidRPr="0087389D" w:rsidRDefault="00BA4B87"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4</w:t>
      </w:r>
      <w:r w:rsidR="008A168E" w:rsidRPr="0087389D">
        <w:rPr>
          <w:rFonts w:asciiTheme="minorEastAsia" w:eastAsiaTheme="minorEastAsia" w:hAnsiTheme="minorEastAsia"/>
          <w:bCs/>
          <w:szCs w:val="21"/>
        </w:rPr>
        <w:t>、</w:t>
      </w:r>
      <w:r w:rsidRPr="0087389D">
        <w:rPr>
          <w:rFonts w:asciiTheme="minorEastAsia" w:eastAsiaTheme="minorEastAsia" w:hAnsiTheme="minorEastAsia"/>
          <w:bCs/>
          <w:szCs w:val="21"/>
        </w:rPr>
        <w:t>信用风险</w:t>
      </w:r>
    </w:p>
    <w:p w:rsidR="00BA4B87" w:rsidRPr="0087389D" w:rsidRDefault="00BA4B87"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信用风险主要指债券</w:t>
      </w:r>
      <w:r w:rsidR="00B42BD8" w:rsidRPr="0087389D">
        <w:rPr>
          <w:rFonts w:asciiTheme="minorEastAsia" w:eastAsiaTheme="minorEastAsia" w:hAnsiTheme="minorEastAsia" w:hint="eastAsia"/>
          <w:bCs/>
          <w:szCs w:val="21"/>
        </w:rPr>
        <w:t>发行主体</w:t>
      </w:r>
      <w:r w:rsidRPr="0087389D">
        <w:rPr>
          <w:rFonts w:asciiTheme="minorEastAsia" w:eastAsiaTheme="minorEastAsia" w:hAnsiTheme="minorEastAsia"/>
          <w:bCs/>
          <w:szCs w:val="21"/>
        </w:rPr>
        <w:t>、票据发行主体</w:t>
      </w:r>
      <w:r w:rsidR="00B42BD8" w:rsidRPr="0087389D">
        <w:rPr>
          <w:rFonts w:asciiTheme="minorEastAsia" w:eastAsiaTheme="minorEastAsia" w:hAnsiTheme="minorEastAsia" w:hint="eastAsia"/>
          <w:bCs/>
          <w:szCs w:val="21"/>
        </w:rPr>
        <w:t>、存款银行</w:t>
      </w:r>
      <w:r w:rsidRPr="0087389D">
        <w:rPr>
          <w:rFonts w:asciiTheme="minorEastAsia" w:eastAsiaTheme="minorEastAsia" w:hAnsiTheme="minorEastAsia"/>
          <w:bCs/>
          <w:szCs w:val="21"/>
        </w:rPr>
        <w:t>信用状况可能恶化而可能产生的到期不能兑付的风险。</w:t>
      </w:r>
    </w:p>
    <w:p w:rsidR="00BA4B87" w:rsidRPr="0087389D" w:rsidRDefault="004C3F19"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5</w:t>
      </w:r>
      <w:r w:rsidR="008A168E" w:rsidRPr="0087389D">
        <w:rPr>
          <w:rFonts w:asciiTheme="minorEastAsia" w:eastAsiaTheme="minorEastAsia" w:hAnsiTheme="minorEastAsia"/>
          <w:bCs/>
          <w:szCs w:val="21"/>
        </w:rPr>
        <w:t>、</w:t>
      </w:r>
      <w:r w:rsidR="00BA4B87" w:rsidRPr="0087389D">
        <w:rPr>
          <w:rFonts w:asciiTheme="minorEastAsia" w:eastAsiaTheme="minorEastAsia" w:hAnsiTheme="minorEastAsia"/>
          <w:bCs/>
          <w:szCs w:val="21"/>
        </w:rPr>
        <w:t>经营风险</w:t>
      </w:r>
    </w:p>
    <w:p w:rsidR="00BA4B87" w:rsidRPr="0087389D" w:rsidRDefault="00B42BD8"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债券</w:t>
      </w:r>
      <w:r w:rsidRPr="0087389D">
        <w:rPr>
          <w:rFonts w:asciiTheme="minorEastAsia" w:eastAsiaTheme="minorEastAsia" w:hAnsiTheme="minorEastAsia" w:hint="eastAsia"/>
          <w:bCs/>
          <w:szCs w:val="21"/>
        </w:rPr>
        <w:t>发行主体</w:t>
      </w:r>
      <w:r w:rsidR="00BA4B87" w:rsidRPr="0087389D">
        <w:rPr>
          <w:rFonts w:asciiTheme="minorEastAsia" w:eastAsiaTheme="minorEastAsia" w:hAnsiTheme="minorEastAsia"/>
          <w:bCs/>
          <w:szCs w:val="21"/>
        </w:rPr>
        <w:t>的经营活动受多种因素影响。如果</w:t>
      </w:r>
      <w:r w:rsidRPr="0087389D">
        <w:rPr>
          <w:rFonts w:asciiTheme="minorEastAsia" w:eastAsiaTheme="minorEastAsia" w:hAnsiTheme="minorEastAsia"/>
          <w:bCs/>
          <w:szCs w:val="21"/>
        </w:rPr>
        <w:t>债券</w:t>
      </w:r>
      <w:r w:rsidRPr="0087389D">
        <w:rPr>
          <w:rFonts w:asciiTheme="minorEastAsia" w:eastAsiaTheme="minorEastAsia" w:hAnsiTheme="minorEastAsia" w:hint="eastAsia"/>
          <w:bCs/>
          <w:szCs w:val="21"/>
        </w:rPr>
        <w:t>发行主体</w:t>
      </w:r>
      <w:r w:rsidR="00BA4B87" w:rsidRPr="0087389D">
        <w:rPr>
          <w:rFonts w:asciiTheme="minorEastAsia" w:eastAsiaTheme="minorEastAsia" w:hAnsiTheme="minorEastAsia"/>
          <w:bCs/>
          <w:szCs w:val="21"/>
        </w:rPr>
        <w:t>经营不善，其债券价格可能下跌；同时，其偿债能力也会受到影响。</w:t>
      </w:r>
    </w:p>
    <w:p w:rsidR="00BA4B87" w:rsidRPr="0087389D" w:rsidRDefault="00B329B1" w:rsidP="00555CE7">
      <w:pPr>
        <w:snapToGrid w:val="0"/>
        <w:spacing w:line="360" w:lineRule="auto"/>
        <w:ind w:firstLineChars="200" w:firstLine="420"/>
        <w:rPr>
          <w:rFonts w:asciiTheme="minorEastAsia" w:eastAsiaTheme="minorEastAsia" w:hAnsiTheme="minorEastAsia"/>
          <w:bCs/>
          <w:szCs w:val="21"/>
        </w:rPr>
      </w:pPr>
      <w:bookmarkStart w:id="99" w:name="_Toc327734902"/>
      <w:r w:rsidRPr="0087389D">
        <w:rPr>
          <w:rFonts w:asciiTheme="minorEastAsia" w:eastAsiaTheme="minorEastAsia" w:hAnsiTheme="minorEastAsia"/>
          <w:bCs/>
          <w:szCs w:val="21"/>
        </w:rPr>
        <w:t>（</w:t>
      </w:r>
      <w:r w:rsidR="00BA4B87" w:rsidRPr="0087389D">
        <w:rPr>
          <w:rFonts w:asciiTheme="minorEastAsia" w:eastAsiaTheme="minorEastAsia" w:hAnsiTheme="minorEastAsia"/>
          <w:bCs/>
          <w:szCs w:val="21"/>
        </w:rPr>
        <w:t>二</w:t>
      </w:r>
      <w:r w:rsidRPr="0087389D">
        <w:rPr>
          <w:rFonts w:asciiTheme="minorEastAsia" w:eastAsiaTheme="minorEastAsia" w:hAnsiTheme="minorEastAsia"/>
          <w:bCs/>
          <w:szCs w:val="21"/>
        </w:rPr>
        <w:t>）</w:t>
      </w:r>
      <w:r w:rsidR="00BA4B87" w:rsidRPr="0087389D">
        <w:rPr>
          <w:rFonts w:asciiTheme="minorEastAsia" w:eastAsiaTheme="minorEastAsia" w:hAnsiTheme="minorEastAsia"/>
          <w:bCs/>
          <w:szCs w:val="21"/>
        </w:rPr>
        <w:t>管理风险</w:t>
      </w:r>
      <w:bookmarkEnd w:id="99"/>
    </w:p>
    <w:p w:rsidR="00BA4B87" w:rsidRPr="0087389D" w:rsidRDefault="00BA4B87"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1</w:t>
      </w:r>
      <w:r w:rsidR="008A168E" w:rsidRPr="0087389D">
        <w:rPr>
          <w:rFonts w:asciiTheme="minorEastAsia" w:eastAsiaTheme="minorEastAsia" w:hAnsiTheme="minorEastAsia"/>
          <w:bCs/>
          <w:szCs w:val="21"/>
        </w:rPr>
        <w:t>、</w:t>
      </w:r>
      <w:r w:rsidRPr="0087389D">
        <w:rPr>
          <w:rFonts w:asciiTheme="minorEastAsia" w:eastAsiaTheme="minorEastAsia" w:hAnsiTheme="minorEastAsia"/>
          <w:bCs/>
          <w:szCs w:val="21"/>
        </w:rPr>
        <w:t>在基金管理运作过程中，基金管理人的知识、经验、判断、决策、技能等，会影响其对信息的占有以及对经济形势、证券价格走势的判断，从而影响基金收益水平；</w:t>
      </w:r>
    </w:p>
    <w:p w:rsidR="00BA4B87" w:rsidRPr="0087389D" w:rsidRDefault="00BA4B87"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2</w:t>
      </w:r>
      <w:r w:rsidR="008A168E" w:rsidRPr="0087389D">
        <w:rPr>
          <w:rFonts w:asciiTheme="minorEastAsia" w:eastAsiaTheme="minorEastAsia" w:hAnsiTheme="minorEastAsia"/>
          <w:bCs/>
          <w:szCs w:val="21"/>
        </w:rPr>
        <w:t>、</w:t>
      </w:r>
      <w:r w:rsidRPr="0087389D">
        <w:rPr>
          <w:rFonts w:asciiTheme="minorEastAsia" w:eastAsiaTheme="minorEastAsia" w:hAnsiTheme="minorEastAsia"/>
          <w:bCs/>
          <w:szCs w:val="21"/>
        </w:rPr>
        <w:t>基金管理人的管理手段和管理技术等因素的变化也会影响基金收益水平。</w:t>
      </w:r>
    </w:p>
    <w:p w:rsidR="00BA4B87" w:rsidRPr="0087389D" w:rsidRDefault="00B329B1" w:rsidP="00555CE7">
      <w:pPr>
        <w:snapToGrid w:val="0"/>
        <w:spacing w:line="360" w:lineRule="auto"/>
        <w:ind w:firstLineChars="200" w:firstLine="420"/>
        <w:rPr>
          <w:rFonts w:asciiTheme="minorEastAsia" w:eastAsiaTheme="minorEastAsia" w:hAnsiTheme="minorEastAsia"/>
          <w:bCs/>
          <w:szCs w:val="21"/>
        </w:rPr>
      </w:pPr>
      <w:bookmarkStart w:id="100" w:name="_Toc327734903"/>
      <w:r w:rsidRPr="0087389D">
        <w:rPr>
          <w:rFonts w:asciiTheme="minorEastAsia" w:eastAsiaTheme="minorEastAsia" w:hAnsiTheme="minorEastAsia"/>
          <w:bCs/>
          <w:szCs w:val="21"/>
        </w:rPr>
        <w:t>（</w:t>
      </w:r>
      <w:r w:rsidR="00BA4B87" w:rsidRPr="0087389D">
        <w:rPr>
          <w:rFonts w:asciiTheme="minorEastAsia" w:eastAsiaTheme="minorEastAsia" w:hAnsiTheme="minorEastAsia"/>
          <w:bCs/>
          <w:szCs w:val="21"/>
        </w:rPr>
        <w:t>三</w:t>
      </w:r>
      <w:r w:rsidRPr="0087389D">
        <w:rPr>
          <w:rFonts w:asciiTheme="minorEastAsia" w:eastAsiaTheme="minorEastAsia" w:hAnsiTheme="minorEastAsia"/>
          <w:bCs/>
          <w:szCs w:val="21"/>
        </w:rPr>
        <w:t>）</w:t>
      </w:r>
      <w:r w:rsidR="00BA4B87" w:rsidRPr="0087389D">
        <w:rPr>
          <w:rFonts w:asciiTheme="minorEastAsia" w:eastAsiaTheme="minorEastAsia" w:hAnsiTheme="minorEastAsia"/>
          <w:bCs/>
          <w:szCs w:val="21"/>
        </w:rPr>
        <w:t>流动性风险</w:t>
      </w:r>
      <w:bookmarkEnd w:id="100"/>
    </w:p>
    <w:p w:rsidR="005A6CD3" w:rsidRPr="0087389D" w:rsidRDefault="005A6CD3" w:rsidP="005A6CD3">
      <w:pPr>
        <w:adjustRightInd w:val="0"/>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1、流动性风险评估</w:t>
      </w:r>
    </w:p>
    <w:p w:rsidR="005A6CD3" w:rsidRPr="0087389D" w:rsidRDefault="005A6CD3" w:rsidP="005A6CD3">
      <w:pPr>
        <w:adjustRightInd w:val="0"/>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本基金为货币市场基金，投资于现金，期限在一年以内（含一年）的银行存款、债券回购、中央银行票据、同业存单，剩余期限在397天以内（含397天）的债券、非金融企业债务融资工具、资产支持证券，以及法律法规或中国证监会、中国人民银行认可的其他具有良好流动性的货币市场工具。上述投资标的一般情况下具有良好的流动性，但在特殊情况下，也存在部分企业债、资产证券化等债券品种交投不活跃、成交量不足的情形，此时如果基金赎回量较大，可能会影响基金的流动性。</w:t>
      </w:r>
    </w:p>
    <w:p w:rsidR="005A6CD3" w:rsidRPr="0087389D" w:rsidRDefault="005A6CD3" w:rsidP="005A6CD3">
      <w:pPr>
        <w:adjustRightInd w:val="0"/>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2、巨额赎回情形下的流动性风险管理措施</w:t>
      </w:r>
    </w:p>
    <w:p w:rsidR="005A6CD3" w:rsidRPr="0087389D" w:rsidRDefault="005A6CD3" w:rsidP="005A6CD3">
      <w:pPr>
        <w:adjustRightInd w:val="0"/>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lastRenderedPageBreak/>
        <w:t>当本基金发生巨额赎回时，基金管理人可以根据基金当时的资产组合状况决定全额赎回或部分延期赎回；此外，如出现连续两个或两个以上开放日发生巨额赎回，可暂停接受投资人的赎回申请或延缓支付赎回款项；当本基金发生巨额赎回且单个基金份额持有人的赎回申请超过上一开放日基金总份额10%的，基金管理人有权先行对该单个基金份额持有人超出该比例的赎回申请实施延期办理。具体情形、程序见招募说明书“基金份额的申购、赎回”之“巨额赎回的认定及处理方式”。</w:t>
      </w:r>
    </w:p>
    <w:p w:rsidR="005A6CD3" w:rsidRPr="0087389D" w:rsidRDefault="005A6CD3" w:rsidP="005A6CD3">
      <w:pPr>
        <w:adjustRightInd w:val="0"/>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发生上述情形时，投资人面临无法全部赎回或无法及时获得赎回资金的风险。在本基金暂停或延期办理投资者赎回申请的情况下，投资者未能赎回的基金份额还将面临万份基金已实现收益和七日年化收益率波动的风险。</w:t>
      </w:r>
    </w:p>
    <w:p w:rsidR="005A6CD3" w:rsidRPr="0087389D" w:rsidRDefault="005A6CD3" w:rsidP="005A6CD3">
      <w:pPr>
        <w:adjustRightInd w:val="0"/>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3、除巨额赎回情形外实施备用的流动性风险管理工具的情形、程序及对投资者的潜在影响</w:t>
      </w:r>
    </w:p>
    <w:p w:rsidR="005A6CD3" w:rsidRPr="0087389D" w:rsidRDefault="005A6CD3" w:rsidP="005A6CD3">
      <w:pPr>
        <w:adjustRightInd w:val="0"/>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除巨额赎回情形外，本基金备用流动性风险管理工具包括但不限于暂停接受赎回申请、延缓支付赎回款项、收取强制赎回费用、暂停基金估值以及证监会认定的其他措施。</w:t>
      </w:r>
    </w:p>
    <w:p w:rsidR="005A6CD3" w:rsidRPr="0087389D" w:rsidRDefault="005A6CD3" w:rsidP="005A6CD3">
      <w:pPr>
        <w:adjustRightInd w:val="0"/>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暂停接受赎回申请、延缓支付赎回款项等工具的情形、程序见招募说明书“基金份额的申购、赎回”之“拒绝或暂停申购、暂停赎回或延缓支付赎回款项的情形及处理”的相关规定。若本基金暂停赎回申请，投资者在暂停赎回期间将无法赎回其持有的基金份额。若本基金延缓支付赎回款项，赎回款支付时间将后延，可能对投资者的资金安排带来不利影响。</w:t>
      </w:r>
    </w:p>
    <w:p w:rsidR="005A6CD3" w:rsidRPr="0087389D" w:rsidRDefault="005A6CD3" w:rsidP="005A6CD3">
      <w:pPr>
        <w:adjustRightInd w:val="0"/>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发生“基金份额的申购、赎回”之“基金的申购费和赎回费”中“强制赎回费用”规定的情形之一时，本基金对当日单个基金份额持有人申请赎回基金份额超过基金总份额1%以上的赎回申请（指超过基金总份额1%以上的部分）征收1%的强制赎回费用，并将上述赎回费用全额计入基金财产。基金管理人与基金托管人协商确认上述做法无益于基金利益最大化的情形除外。</w:t>
      </w:r>
    </w:p>
    <w:p w:rsidR="005A6CD3" w:rsidRPr="0087389D" w:rsidRDefault="005A6CD3" w:rsidP="005A6CD3">
      <w:pPr>
        <w:adjustRightInd w:val="0"/>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暂停基金估值的情形、程序见招募说明书“基金资产的估值”之“暂停估值的情形”的相关规定。若本基金暂停基金估值，一方面投资者将无法知晓本基金的万份基金已实现收益和七日年化收益率，另一方面基金将延缓支付赎回款项或暂停接受基金申购赎回申请，延缓支付赎回款项可能影响投资者的资金安排，暂停接受基金申购赎回申请将导致投资者无法申购或赎回本基金。</w:t>
      </w:r>
    </w:p>
    <w:p w:rsidR="005A6CD3" w:rsidRPr="0087389D" w:rsidRDefault="005A6CD3" w:rsidP="005A6CD3">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（四）特有风险</w:t>
      </w:r>
    </w:p>
    <w:p w:rsidR="005A6CD3" w:rsidRPr="0087389D" w:rsidRDefault="005A6CD3" w:rsidP="005A6CD3">
      <w:pPr>
        <w:adjustRightInd w:val="0"/>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1、估值的风险：</w:t>
      </w:r>
    </w:p>
    <w:p w:rsidR="005A6CD3" w:rsidRPr="0087389D" w:rsidRDefault="005A6CD3" w:rsidP="005A6CD3">
      <w:pPr>
        <w:adjustRightInd w:val="0"/>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本基金的估值过程中，发生影子定价法确定的基金资产净值与摊余成本法计算的基金资产净值的正偏离度绝对值达到0.5%时，本基金可能暂停接受申购申请。</w:t>
      </w:r>
    </w:p>
    <w:p w:rsidR="005A6CD3" w:rsidRPr="0087389D" w:rsidRDefault="005A6CD3" w:rsidP="005A6CD3">
      <w:pPr>
        <w:adjustRightInd w:val="0"/>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本基金的估值过程中，当“影子定价”确定的基金资产净值与“摊余成本法”计算的基金资产净值的负偏离度绝对值达到0.5%时，基金管理人应当使用风险准备金或者固有资金弥补潜在资产损失，将负偏离度绝对值控制在0.5%以内。当负偏离度绝对值连续两个交易</w:t>
      </w:r>
      <w:r w:rsidRPr="0087389D">
        <w:rPr>
          <w:rFonts w:asciiTheme="minorEastAsia" w:eastAsiaTheme="minorEastAsia" w:hAnsiTheme="minorEastAsia" w:hint="eastAsia"/>
          <w:bCs/>
          <w:szCs w:val="21"/>
        </w:rPr>
        <w:lastRenderedPageBreak/>
        <w:t>日超过0.5%时，基金管理人应当采用公允价值估值方法对持有投资组合的账面价值进行调整，或者采取暂停接受所有赎回申请并终止基金合同进行财产清算等措施。由此，本基金面临基金资产净值波动的风险，或者本基金合同终止的风险。</w:t>
      </w:r>
    </w:p>
    <w:p w:rsidR="005A6CD3" w:rsidRPr="0087389D" w:rsidRDefault="005A6CD3" w:rsidP="005A6CD3">
      <w:pPr>
        <w:adjustRightInd w:val="0"/>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2、投资组合平均剩余期限变动的风险</w:t>
      </w:r>
    </w:p>
    <w:p w:rsidR="00157BA1" w:rsidRPr="0087389D" w:rsidRDefault="005A6CD3"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一般情况下，本基金投资组合的平均剩余期限不得超过120天，平均剩余存续期不得超过240天。但本基金还将根据份额持有人集中度情况对本基金的投资组合实施调整，并遵守以下要求：（1）当本基金前10名份额持有人的持有份额合计超过基金总份额的50%时，本基金投资组合的平均剩余期限不得超过60天，平均剩余存续期不得超过120天；投资组合中现金、国债、中央银行票据、政策性金融债券以及5个交易日内到期的其他金融工具占基金资产净值的比例合计不得低于30%。（2）当本基金前10名份额持有人的持有份额合计超过基金总份额的20%时，本基金投资组合的平均剩余期限不得超过90天，平均剩余存续期不得超过180天；投资组合中现金、国债、中央银行票据、政策性金融债券以及5个交易日内到期的其他金融工具占基金资产净值的比例合计不得低于20%。</w:t>
      </w:r>
    </w:p>
    <w:p w:rsidR="00E348E8" w:rsidRPr="0087389D" w:rsidRDefault="00B329B1" w:rsidP="00E348E8">
      <w:pPr>
        <w:snapToGrid w:val="0"/>
        <w:spacing w:line="360" w:lineRule="auto"/>
        <w:ind w:firstLineChars="200" w:firstLine="420"/>
        <w:rPr>
          <w:rFonts w:asciiTheme="minorEastAsia" w:eastAsiaTheme="minorEastAsia" w:hAnsiTheme="minorEastAsia"/>
          <w:bCs/>
          <w:szCs w:val="21"/>
        </w:rPr>
      </w:pPr>
      <w:bookmarkStart w:id="101" w:name="_Toc327734905"/>
      <w:r w:rsidRPr="0087389D">
        <w:rPr>
          <w:rFonts w:asciiTheme="minorEastAsia" w:eastAsiaTheme="minorEastAsia" w:hAnsiTheme="minorEastAsia"/>
          <w:bCs/>
          <w:szCs w:val="21"/>
        </w:rPr>
        <w:t>（</w:t>
      </w:r>
      <w:r w:rsidR="00BA4B87" w:rsidRPr="0087389D">
        <w:rPr>
          <w:rFonts w:asciiTheme="minorEastAsia" w:eastAsiaTheme="minorEastAsia" w:hAnsiTheme="minorEastAsia"/>
          <w:bCs/>
          <w:szCs w:val="21"/>
        </w:rPr>
        <w:t>五</w:t>
      </w:r>
      <w:r w:rsidRPr="0087389D">
        <w:rPr>
          <w:rFonts w:asciiTheme="minorEastAsia" w:eastAsiaTheme="minorEastAsia" w:hAnsiTheme="minorEastAsia"/>
          <w:bCs/>
          <w:szCs w:val="21"/>
        </w:rPr>
        <w:t>）</w:t>
      </w:r>
      <w:r w:rsidR="00E348E8" w:rsidRPr="0087389D">
        <w:rPr>
          <w:rFonts w:asciiTheme="minorEastAsia" w:eastAsiaTheme="minorEastAsia" w:hAnsiTheme="minorEastAsia" w:hint="eastAsia"/>
          <w:bCs/>
          <w:szCs w:val="21"/>
        </w:rPr>
        <w:t>本基金法律文件中涉及基金风险特征的表述与销售机构对基金的风险评级可能不一致的风险</w:t>
      </w:r>
    </w:p>
    <w:p w:rsidR="00E348E8" w:rsidRPr="0087389D" w:rsidRDefault="00E348E8" w:rsidP="00E348E8">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本基金基金合同、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rsidR="00BA4B87" w:rsidRPr="0087389D" w:rsidRDefault="00E348E8" w:rsidP="00E348E8">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（六）</w:t>
      </w:r>
      <w:r w:rsidR="00BA4B87" w:rsidRPr="0087389D">
        <w:rPr>
          <w:rFonts w:asciiTheme="minorEastAsia" w:eastAsiaTheme="minorEastAsia" w:hAnsiTheme="minorEastAsia"/>
          <w:bCs/>
          <w:szCs w:val="21"/>
        </w:rPr>
        <w:t>其他风险</w:t>
      </w:r>
      <w:bookmarkEnd w:id="101"/>
    </w:p>
    <w:p w:rsidR="007D39FE" w:rsidRPr="0087389D" w:rsidRDefault="007D39F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1</w:t>
      </w:r>
      <w:r w:rsidRPr="0087389D">
        <w:rPr>
          <w:rFonts w:asciiTheme="minorEastAsia" w:eastAsiaTheme="minorEastAsia" w:hAnsiTheme="minorEastAsia" w:hint="eastAsia"/>
          <w:bCs/>
          <w:szCs w:val="21"/>
        </w:rPr>
        <w:t>、本基金力争战胜业绩比较基准，但本基金的收益水平有可能不能达到或超过业绩比较基准，基金份额持有人面临无法获得目标收益率甚至本金亏损的风险；</w:t>
      </w:r>
    </w:p>
    <w:p w:rsidR="0084186C" w:rsidRPr="0087389D" w:rsidRDefault="007D39F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2</w:t>
      </w:r>
      <w:r w:rsidRPr="0087389D">
        <w:rPr>
          <w:rFonts w:asciiTheme="minorEastAsia" w:eastAsiaTheme="minorEastAsia" w:hAnsiTheme="minorEastAsia" w:hint="eastAsia"/>
          <w:bCs/>
          <w:szCs w:val="21"/>
        </w:rPr>
        <w:t>、</w:t>
      </w:r>
      <w:r w:rsidR="0084186C" w:rsidRPr="0087389D">
        <w:rPr>
          <w:rFonts w:asciiTheme="minorEastAsia" w:eastAsiaTheme="minorEastAsia" w:hAnsiTheme="minorEastAsia" w:hint="eastAsia"/>
          <w:bCs/>
          <w:szCs w:val="21"/>
        </w:rPr>
        <w:t>因固定收益类金融工具主要在场外市场进行交易，场外市场交易现阶段</w:t>
      </w:r>
      <w:r w:rsidR="005118FF" w:rsidRPr="0087389D">
        <w:rPr>
          <w:rFonts w:asciiTheme="minorEastAsia" w:eastAsiaTheme="minorEastAsia" w:hAnsiTheme="minorEastAsia" w:hint="eastAsia"/>
          <w:bCs/>
          <w:szCs w:val="21"/>
        </w:rPr>
        <w:t>自动化</w:t>
      </w:r>
      <w:r w:rsidR="0084186C" w:rsidRPr="0087389D">
        <w:rPr>
          <w:rFonts w:asciiTheme="minorEastAsia" w:eastAsiaTheme="minorEastAsia" w:hAnsiTheme="minorEastAsia" w:hint="eastAsia"/>
          <w:bCs/>
          <w:szCs w:val="21"/>
        </w:rPr>
        <w:t>程度较</w:t>
      </w:r>
      <w:r w:rsidR="005118FF" w:rsidRPr="0087389D">
        <w:rPr>
          <w:rFonts w:asciiTheme="minorEastAsia" w:eastAsiaTheme="minorEastAsia" w:hAnsiTheme="minorEastAsia" w:hint="eastAsia"/>
          <w:bCs/>
          <w:szCs w:val="21"/>
        </w:rPr>
        <w:t>场内市场</w:t>
      </w:r>
      <w:r w:rsidR="0084186C" w:rsidRPr="0087389D">
        <w:rPr>
          <w:rFonts w:asciiTheme="minorEastAsia" w:eastAsiaTheme="minorEastAsia" w:hAnsiTheme="minorEastAsia" w:hint="eastAsia"/>
          <w:bCs/>
          <w:szCs w:val="21"/>
        </w:rPr>
        <w:t>低，本基金</w:t>
      </w:r>
      <w:r w:rsidR="005118FF" w:rsidRPr="0087389D">
        <w:rPr>
          <w:rFonts w:asciiTheme="minorEastAsia" w:eastAsiaTheme="minorEastAsia" w:hAnsiTheme="minorEastAsia" w:hint="eastAsia"/>
          <w:bCs/>
          <w:szCs w:val="21"/>
        </w:rPr>
        <w:t>在投资运作过程中可能面临操作风险；</w:t>
      </w:r>
    </w:p>
    <w:p w:rsidR="007D39FE" w:rsidRPr="0087389D" w:rsidRDefault="0026182C"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3</w:t>
      </w:r>
      <w:r w:rsidR="0084186C" w:rsidRPr="0087389D">
        <w:rPr>
          <w:rFonts w:asciiTheme="minorEastAsia" w:eastAsiaTheme="minorEastAsia" w:hAnsiTheme="minorEastAsia" w:hint="eastAsia"/>
          <w:bCs/>
          <w:szCs w:val="21"/>
        </w:rPr>
        <w:t>、</w:t>
      </w:r>
      <w:r w:rsidR="007D39FE" w:rsidRPr="0087389D">
        <w:rPr>
          <w:rFonts w:asciiTheme="minorEastAsia" w:eastAsiaTheme="minorEastAsia" w:hAnsiTheme="minorEastAsia" w:hint="eastAsia"/>
          <w:bCs/>
          <w:szCs w:val="21"/>
        </w:rPr>
        <w:t>因战争、自然灾害等不可抗力导致的基金管理人、基金托管人、基金</w:t>
      </w:r>
      <w:r w:rsidR="00856FF8" w:rsidRPr="0087389D">
        <w:rPr>
          <w:rFonts w:asciiTheme="minorEastAsia" w:eastAsiaTheme="minorEastAsia" w:hAnsiTheme="minorEastAsia" w:hint="eastAsia"/>
          <w:bCs/>
          <w:szCs w:val="21"/>
        </w:rPr>
        <w:t>销售</w:t>
      </w:r>
      <w:r w:rsidR="007D39FE" w:rsidRPr="0087389D">
        <w:rPr>
          <w:rFonts w:asciiTheme="minorEastAsia" w:eastAsiaTheme="minorEastAsia" w:hAnsiTheme="minorEastAsia" w:hint="eastAsia"/>
          <w:bCs/>
          <w:szCs w:val="21"/>
        </w:rPr>
        <w:t>机构等机构无法正常工作，从而影响基金运作的风险；</w:t>
      </w:r>
    </w:p>
    <w:p w:rsidR="005118FF" w:rsidRPr="0087389D" w:rsidRDefault="0026182C" w:rsidP="00156C5A">
      <w:pPr>
        <w:snapToGrid w:val="0"/>
        <w:spacing w:line="360" w:lineRule="auto"/>
        <w:ind w:firstLineChars="200" w:firstLine="420"/>
        <w:rPr>
          <w:rFonts w:asciiTheme="minorEastAsia" w:eastAsiaTheme="minorEastAsia" w:hAnsiTheme="minorEastAsia"/>
          <w:kern w:val="0"/>
          <w:szCs w:val="21"/>
        </w:rPr>
      </w:pPr>
      <w:r w:rsidRPr="0087389D">
        <w:rPr>
          <w:rFonts w:asciiTheme="minorEastAsia" w:eastAsiaTheme="minorEastAsia" w:hAnsiTheme="minorEastAsia" w:hint="eastAsia"/>
          <w:bCs/>
          <w:szCs w:val="21"/>
        </w:rPr>
        <w:t>4</w:t>
      </w:r>
      <w:r w:rsidR="007D39FE" w:rsidRPr="0087389D">
        <w:rPr>
          <w:rFonts w:asciiTheme="minorEastAsia" w:eastAsiaTheme="minorEastAsia" w:hAnsiTheme="minorEastAsia" w:hint="eastAsia"/>
          <w:bCs/>
          <w:szCs w:val="21"/>
        </w:rPr>
        <w:t>、因金融市场危机、代理商违约、基金托管人违约等超出基金管理人自身控制能力的因素出现，可能导致基金或者基金份额持有人利益受损的风险。</w:t>
      </w:r>
    </w:p>
    <w:p w:rsidR="00BA4B87" w:rsidRPr="0087389D" w:rsidRDefault="00BA4B87" w:rsidP="00555CE7">
      <w:pPr>
        <w:pStyle w:val="1"/>
        <w:snapToGrid w:val="0"/>
        <w:spacing w:beforeLines="0" w:afterLines="0" w:line="360" w:lineRule="auto"/>
        <w:ind w:firstLine="600"/>
        <w:jc w:val="left"/>
        <w:rPr>
          <w:rFonts w:asciiTheme="minorEastAsia" w:eastAsiaTheme="minorEastAsia" w:hAnsiTheme="minorEastAsia"/>
          <w:b/>
        </w:rPr>
      </w:pPr>
      <w:r w:rsidRPr="0087389D">
        <w:rPr>
          <w:rFonts w:asciiTheme="minorEastAsia" w:eastAsiaTheme="minorEastAsia" w:hAnsiTheme="minorEastAsia"/>
          <w:sz w:val="30"/>
        </w:rPr>
        <w:br w:type="column"/>
      </w:r>
      <w:bookmarkStart w:id="102" w:name="_Toc361403748"/>
      <w:bookmarkStart w:id="103" w:name="_Toc41644979"/>
      <w:r w:rsidR="001A0AE7" w:rsidRPr="0087389D">
        <w:rPr>
          <w:rFonts w:asciiTheme="minorEastAsia" w:eastAsiaTheme="minorEastAsia" w:hAnsiTheme="minorEastAsia" w:hint="eastAsia"/>
          <w:b/>
          <w:sz w:val="30"/>
        </w:rPr>
        <w:lastRenderedPageBreak/>
        <w:t>二十</w:t>
      </w:r>
      <w:r w:rsidR="002278E5" w:rsidRPr="0087389D">
        <w:rPr>
          <w:rFonts w:asciiTheme="minorEastAsia" w:eastAsiaTheme="minorEastAsia" w:hAnsiTheme="minorEastAsia" w:hint="eastAsia"/>
          <w:b/>
          <w:sz w:val="30"/>
        </w:rPr>
        <w:t>一</w:t>
      </w:r>
      <w:r w:rsidRPr="0087389D">
        <w:rPr>
          <w:rFonts w:asciiTheme="minorEastAsia" w:eastAsiaTheme="minorEastAsia" w:hAnsiTheme="minorEastAsia"/>
          <w:b/>
          <w:sz w:val="30"/>
        </w:rPr>
        <w:t>、基金合同的变更、终止与基金财产的清算</w:t>
      </w:r>
      <w:bookmarkEnd w:id="102"/>
      <w:bookmarkEnd w:id="103"/>
    </w:p>
    <w:p w:rsidR="00531DAE" w:rsidRPr="0087389D" w:rsidRDefault="00531DAE" w:rsidP="00555CE7">
      <w:pPr>
        <w:snapToGrid w:val="0"/>
        <w:spacing w:line="360" w:lineRule="auto"/>
        <w:ind w:firstLineChars="200" w:firstLine="420"/>
        <w:rPr>
          <w:rFonts w:asciiTheme="minorEastAsia" w:eastAsiaTheme="minorEastAsia" w:hAnsiTheme="minorEastAsia"/>
          <w:bCs/>
          <w:szCs w:val="21"/>
        </w:rPr>
      </w:pPr>
      <w:bookmarkStart w:id="104" w:name="_Toc79392639"/>
      <w:r w:rsidRPr="0087389D">
        <w:rPr>
          <w:rFonts w:asciiTheme="minorEastAsia" w:eastAsiaTheme="minorEastAsia" w:hAnsiTheme="minorEastAsia"/>
          <w:bCs/>
          <w:szCs w:val="21"/>
        </w:rPr>
        <w:t>一、《基金合同》的变更</w:t>
      </w:r>
      <w:bookmarkEnd w:id="104"/>
    </w:p>
    <w:p w:rsidR="00531DAE" w:rsidRPr="0087389D" w:rsidRDefault="00531DA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1、变更基金合同</w:t>
      </w:r>
      <w:r w:rsidRPr="0087389D">
        <w:rPr>
          <w:rFonts w:asciiTheme="minorEastAsia" w:eastAsiaTheme="minorEastAsia" w:hAnsiTheme="minorEastAsia" w:hint="eastAsia"/>
          <w:bCs/>
          <w:szCs w:val="21"/>
        </w:rPr>
        <w:t>涉及</w:t>
      </w:r>
      <w:r w:rsidRPr="0087389D">
        <w:rPr>
          <w:rFonts w:asciiTheme="minorEastAsia" w:eastAsiaTheme="minorEastAsia" w:hAnsiTheme="minorEastAsia"/>
          <w:bCs/>
          <w:szCs w:val="21"/>
        </w:rPr>
        <w:t>法律法规规定或</w:t>
      </w:r>
      <w:r w:rsidR="00FF5048" w:rsidRPr="0087389D">
        <w:rPr>
          <w:rFonts w:asciiTheme="minorEastAsia" w:eastAsiaTheme="minorEastAsia" w:hAnsiTheme="minorEastAsia"/>
          <w:bCs/>
          <w:szCs w:val="21"/>
        </w:rPr>
        <w:t>基金合同</w:t>
      </w:r>
      <w:r w:rsidRPr="0087389D">
        <w:rPr>
          <w:rFonts w:asciiTheme="minorEastAsia" w:eastAsiaTheme="minorEastAsia" w:hAnsiTheme="minorEastAsia"/>
          <w:bCs/>
          <w:szCs w:val="21"/>
        </w:rPr>
        <w:t>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531DAE" w:rsidRPr="0087389D" w:rsidRDefault="00531DA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2、关于《基金合同》变更的基金份额持有人大会决议</w:t>
      </w:r>
      <w:r w:rsidR="001B77B7" w:rsidRPr="0087389D">
        <w:rPr>
          <w:rFonts w:asciiTheme="minorEastAsia" w:eastAsiaTheme="minorEastAsia" w:hAnsiTheme="minorEastAsia" w:hint="eastAsia"/>
          <w:bCs/>
          <w:szCs w:val="21"/>
        </w:rPr>
        <w:t>自表决通过之日起</w:t>
      </w:r>
      <w:r w:rsidRPr="0087389D">
        <w:rPr>
          <w:rFonts w:asciiTheme="minorEastAsia" w:eastAsiaTheme="minorEastAsia" w:hAnsiTheme="minorEastAsia"/>
          <w:bCs/>
          <w:szCs w:val="21"/>
        </w:rPr>
        <w:t>生效，自决议生效之日起</w:t>
      </w:r>
      <w:r w:rsidR="001B77B7" w:rsidRPr="0087389D">
        <w:rPr>
          <w:rFonts w:asciiTheme="minorEastAsia" w:eastAsiaTheme="minorEastAsia" w:hAnsiTheme="minorEastAsia" w:hint="eastAsia"/>
          <w:bCs/>
          <w:szCs w:val="21"/>
        </w:rPr>
        <w:t>2日内</w:t>
      </w:r>
      <w:r w:rsidRPr="0087389D">
        <w:rPr>
          <w:rFonts w:asciiTheme="minorEastAsia" w:eastAsiaTheme="minorEastAsia" w:hAnsiTheme="minorEastAsia"/>
          <w:bCs/>
          <w:szCs w:val="21"/>
        </w:rPr>
        <w:t>在</w:t>
      </w:r>
      <w:r w:rsidRPr="0087389D">
        <w:rPr>
          <w:rFonts w:asciiTheme="minorEastAsia" w:eastAsiaTheme="minorEastAsia" w:hAnsiTheme="minorEastAsia" w:hint="eastAsia"/>
          <w:bCs/>
          <w:szCs w:val="21"/>
        </w:rPr>
        <w:t>指定</w:t>
      </w:r>
      <w:r w:rsidR="00BB04FF" w:rsidRPr="0087389D">
        <w:rPr>
          <w:rFonts w:asciiTheme="minorEastAsia" w:eastAsiaTheme="minorEastAsia" w:hAnsiTheme="minorEastAsia" w:hint="eastAsia"/>
          <w:bCs/>
          <w:szCs w:val="21"/>
        </w:rPr>
        <w:t>媒介</w:t>
      </w:r>
      <w:r w:rsidRPr="0087389D">
        <w:rPr>
          <w:rFonts w:asciiTheme="minorEastAsia" w:eastAsiaTheme="minorEastAsia" w:hAnsiTheme="minorEastAsia"/>
          <w:bCs/>
          <w:szCs w:val="21"/>
        </w:rPr>
        <w:t>公告。</w:t>
      </w:r>
    </w:p>
    <w:p w:rsidR="00531DAE" w:rsidRPr="0087389D" w:rsidRDefault="00531DA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二、《基金合同》的终止事由</w:t>
      </w:r>
    </w:p>
    <w:p w:rsidR="008B416E" w:rsidRPr="0087389D" w:rsidRDefault="008B416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有下列情形之一的，《基金合同》应当终止：</w:t>
      </w:r>
    </w:p>
    <w:p w:rsidR="008B416E" w:rsidRPr="0087389D" w:rsidRDefault="008B416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1、基金份额持有人大会决定终止的；</w:t>
      </w:r>
    </w:p>
    <w:p w:rsidR="008B416E" w:rsidRPr="0087389D" w:rsidRDefault="008B416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2、基金管理人、基金托管人职责终止，在6个月内没有新基金管理人、新基金托管人承接的；</w:t>
      </w:r>
    </w:p>
    <w:p w:rsidR="008B416E" w:rsidRPr="0087389D" w:rsidRDefault="008B416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3、基金资产净值连续60个工作日低于3000万元，经与基金托管人协商一致，基金管理人决定终止本基金合同的；</w:t>
      </w:r>
    </w:p>
    <w:p w:rsidR="008B416E" w:rsidRPr="0087389D" w:rsidRDefault="008B416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4、《基金合同》约定的其他情形；</w:t>
      </w:r>
    </w:p>
    <w:p w:rsidR="00531DAE" w:rsidRPr="0087389D" w:rsidRDefault="008B416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5、相关法律法规和中国证监会规定的其他情况。</w:t>
      </w:r>
    </w:p>
    <w:p w:rsidR="00531DAE" w:rsidRPr="0087389D" w:rsidRDefault="00531DA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三、基金财产的清算</w:t>
      </w:r>
    </w:p>
    <w:p w:rsidR="00531DAE" w:rsidRPr="0087389D" w:rsidRDefault="00531DA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1、基金财产清算小组：自出现《基金合同》终止事由之日起30个工作日内成立清算小组，基金管理人组织基金财产清算小组并在中国证监会的监督下进行基金清算。</w:t>
      </w:r>
    </w:p>
    <w:p w:rsidR="00531DAE" w:rsidRPr="0087389D" w:rsidRDefault="00531DA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531DAE" w:rsidRPr="0087389D" w:rsidRDefault="00531DA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3、基金财产清算小组职责：基金财产清算小组负责基金财产的保管、清理、估价、变现和分配。基金财产清算小组可以依法进行必要的民事活动。</w:t>
      </w:r>
    </w:p>
    <w:p w:rsidR="00531DAE" w:rsidRPr="0087389D" w:rsidRDefault="00531DA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4、基金财产清算程序：</w:t>
      </w:r>
    </w:p>
    <w:p w:rsidR="00531DAE" w:rsidRPr="0087389D" w:rsidRDefault="00531DA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（1）《基金合同》终止情形出现时，由基金财产清算小组统一接管基金；</w:t>
      </w:r>
    </w:p>
    <w:p w:rsidR="00531DAE" w:rsidRPr="0087389D" w:rsidRDefault="00531DA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（2）对基金财产和债权债务进行清理和确认；</w:t>
      </w:r>
    </w:p>
    <w:p w:rsidR="00531DAE" w:rsidRPr="0087389D" w:rsidRDefault="00531DA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（3）对基金财产进行估值和变现；</w:t>
      </w:r>
    </w:p>
    <w:p w:rsidR="00531DAE" w:rsidRPr="0087389D" w:rsidRDefault="00531DA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（4）制作清算报告；</w:t>
      </w:r>
    </w:p>
    <w:p w:rsidR="00531DAE" w:rsidRPr="0087389D" w:rsidRDefault="00531DA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（5）聘请会计师事务所对清算报告进行外部审计，聘请律师事务所对清算报告出具法律意见书；</w:t>
      </w:r>
    </w:p>
    <w:p w:rsidR="00531DAE" w:rsidRPr="0087389D" w:rsidRDefault="00531DA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（6）将清算报告报中国证监会备案并公告。</w:t>
      </w:r>
    </w:p>
    <w:p w:rsidR="00531DAE" w:rsidRPr="0087389D" w:rsidRDefault="00531DA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（7）对基金财产进行分配；</w:t>
      </w:r>
    </w:p>
    <w:p w:rsidR="00531DAE" w:rsidRPr="0087389D" w:rsidRDefault="00531DA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四、清算费用</w:t>
      </w:r>
    </w:p>
    <w:p w:rsidR="00531DAE" w:rsidRPr="0087389D" w:rsidRDefault="00531DA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lastRenderedPageBreak/>
        <w:t>清算费用是指基金财产清算小组在进行基金清算过程中发生的所有合理费用，清算费用由基金财产清算小组优先从基金财产中支付。</w:t>
      </w:r>
    </w:p>
    <w:p w:rsidR="00531DAE" w:rsidRPr="0087389D" w:rsidRDefault="00531DA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五、基金财产清算剩余资产的分配</w:t>
      </w:r>
    </w:p>
    <w:p w:rsidR="00531DAE" w:rsidRPr="0087389D" w:rsidRDefault="00531DA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依据基金财产清算的分配方案，将基金财产清算后的全部剩余资产扣除基金财产清算费用、交纳所欠税款并清偿基金债务后，按基金份额持有人持有的基金份额比例进行分配。</w:t>
      </w:r>
    </w:p>
    <w:p w:rsidR="00531DAE" w:rsidRPr="0087389D" w:rsidRDefault="00531DA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六、基金财产清算的公告</w:t>
      </w:r>
    </w:p>
    <w:p w:rsidR="00531DAE" w:rsidRPr="0087389D" w:rsidRDefault="00531DA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87389D">
        <w:rPr>
          <w:rFonts w:asciiTheme="minorEastAsia" w:eastAsiaTheme="minorEastAsia" w:hAnsiTheme="minorEastAsia" w:hint="eastAsia"/>
          <w:bCs/>
          <w:szCs w:val="21"/>
        </w:rPr>
        <w:t>5</w:t>
      </w:r>
      <w:r w:rsidRPr="0087389D">
        <w:rPr>
          <w:rFonts w:asciiTheme="minorEastAsia" w:eastAsiaTheme="minorEastAsia" w:hAnsiTheme="minorEastAsia"/>
          <w:bCs/>
          <w:szCs w:val="21"/>
        </w:rPr>
        <w:t>个工作日内由基金财产清算小组进行公告。</w:t>
      </w:r>
    </w:p>
    <w:p w:rsidR="00531DAE" w:rsidRPr="0087389D" w:rsidRDefault="00531DA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七、基金财产清算账册及文件的保存</w:t>
      </w:r>
    </w:p>
    <w:p w:rsidR="00531DAE" w:rsidRPr="0087389D" w:rsidRDefault="00531DAE"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基金财产清算账册及有关文件由基金托管人保存</w:t>
      </w:r>
      <w:r w:rsidRPr="0087389D">
        <w:rPr>
          <w:rFonts w:asciiTheme="minorEastAsia" w:eastAsiaTheme="minorEastAsia" w:hAnsiTheme="minorEastAsia" w:hint="eastAsia"/>
          <w:bCs/>
          <w:szCs w:val="21"/>
        </w:rPr>
        <w:t>15</w:t>
      </w:r>
      <w:r w:rsidRPr="0087389D">
        <w:rPr>
          <w:rFonts w:asciiTheme="minorEastAsia" w:eastAsiaTheme="minorEastAsia" w:hAnsiTheme="minorEastAsia"/>
          <w:bCs/>
          <w:szCs w:val="21"/>
        </w:rPr>
        <w:t>年以上。</w:t>
      </w:r>
    </w:p>
    <w:p w:rsidR="00531DAE" w:rsidRPr="0087389D" w:rsidRDefault="00531DAE" w:rsidP="00555CE7">
      <w:pPr>
        <w:snapToGrid w:val="0"/>
        <w:spacing w:line="360" w:lineRule="auto"/>
        <w:ind w:firstLineChars="200" w:firstLine="420"/>
        <w:rPr>
          <w:rFonts w:asciiTheme="minorEastAsia" w:eastAsiaTheme="minorEastAsia" w:hAnsiTheme="minorEastAsia"/>
          <w:bCs/>
          <w:szCs w:val="21"/>
        </w:rPr>
      </w:pPr>
    </w:p>
    <w:p w:rsidR="00B71DD8" w:rsidRPr="0087389D" w:rsidRDefault="00B71DD8" w:rsidP="00555CE7">
      <w:pPr>
        <w:snapToGrid w:val="0"/>
        <w:spacing w:line="360" w:lineRule="auto"/>
        <w:ind w:firstLineChars="200" w:firstLine="420"/>
        <w:rPr>
          <w:rFonts w:asciiTheme="minorEastAsia" w:eastAsiaTheme="minorEastAsia" w:hAnsiTheme="minorEastAsia"/>
          <w:bCs/>
          <w:szCs w:val="21"/>
        </w:rPr>
      </w:pPr>
    </w:p>
    <w:p w:rsidR="00B71DD8" w:rsidRPr="0087389D" w:rsidRDefault="00B71DD8" w:rsidP="00555CE7">
      <w:pPr>
        <w:snapToGrid w:val="0"/>
        <w:spacing w:line="360" w:lineRule="auto"/>
        <w:ind w:firstLineChars="200" w:firstLine="420"/>
        <w:rPr>
          <w:rFonts w:asciiTheme="minorEastAsia" w:eastAsiaTheme="minorEastAsia" w:hAnsiTheme="minorEastAsia"/>
          <w:bCs/>
          <w:szCs w:val="21"/>
        </w:rPr>
      </w:pPr>
    </w:p>
    <w:p w:rsidR="00BA4B87" w:rsidRPr="0087389D" w:rsidRDefault="00BA4B87" w:rsidP="00555CE7">
      <w:pPr>
        <w:pStyle w:val="1"/>
        <w:snapToGrid w:val="0"/>
        <w:spacing w:beforeLines="0" w:afterLines="0" w:line="360" w:lineRule="auto"/>
        <w:ind w:firstLine="600"/>
        <w:rPr>
          <w:rFonts w:asciiTheme="minorEastAsia" w:eastAsiaTheme="minorEastAsia" w:hAnsiTheme="minorEastAsia"/>
          <w:b/>
          <w:kern w:val="44"/>
          <w:sz w:val="28"/>
          <w:szCs w:val="44"/>
        </w:rPr>
      </w:pPr>
      <w:r w:rsidRPr="0087389D">
        <w:rPr>
          <w:rFonts w:asciiTheme="minorEastAsia" w:eastAsiaTheme="minorEastAsia" w:hAnsiTheme="minorEastAsia"/>
          <w:sz w:val="30"/>
        </w:rPr>
        <w:br w:type="column"/>
      </w:r>
      <w:bookmarkStart w:id="105" w:name="_Toc361403749"/>
      <w:bookmarkStart w:id="106" w:name="_Toc41644980"/>
      <w:r w:rsidR="002278E5" w:rsidRPr="0087389D">
        <w:rPr>
          <w:rFonts w:asciiTheme="minorEastAsia" w:eastAsiaTheme="minorEastAsia" w:hAnsiTheme="minorEastAsia"/>
          <w:b/>
          <w:sz w:val="30"/>
        </w:rPr>
        <w:lastRenderedPageBreak/>
        <w:t>二十</w:t>
      </w:r>
      <w:r w:rsidR="002278E5" w:rsidRPr="0087389D">
        <w:rPr>
          <w:rFonts w:asciiTheme="minorEastAsia" w:eastAsiaTheme="minorEastAsia" w:hAnsiTheme="minorEastAsia" w:hint="eastAsia"/>
          <w:b/>
          <w:sz w:val="30"/>
        </w:rPr>
        <w:t>二</w:t>
      </w:r>
      <w:r w:rsidRPr="0087389D">
        <w:rPr>
          <w:rFonts w:asciiTheme="minorEastAsia" w:eastAsiaTheme="minorEastAsia" w:hAnsiTheme="minorEastAsia"/>
          <w:b/>
          <w:sz w:val="30"/>
        </w:rPr>
        <w:t>、基金合同的内容摘要</w:t>
      </w:r>
      <w:bookmarkEnd w:id="105"/>
      <w:bookmarkEnd w:id="106"/>
    </w:p>
    <w:p w:rsidR="0080240A" w:rsidRPr="0087389D" w:rsidRDefault="004F51D4"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一</w:t>
      </w:r>
      <w:r w:rsidR="0080240A" w:rsidRPr="0087389D">
        <w:rPr>
          <w:rFonts w:asciiTheme="minorEastAsia" w:eastAsiaTheme="minorEastAsia" w:hAnsiTheme="minorEastAsia" w:hint="eastAsia"/>
        </w:rPr>
        <w:t>、基金份额持有人、基金管理人和基金托管人的权利、义务</w:t>
      </w:r>
    </w:p>
    <w:p w:rsidR="0080240A" w:rsidRPr="0087389D" w:rsidRDefault="0080240A"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（一）基金份额持有人的权利、义务</w:t>
      </w:r>
    </w:p>
    <w:p w:rsidR="009563EF" w:rsidRPr="0087389D" w:rsidRDefault="009563EF"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9563EF" w:rsidRPr="0087389D" w:rsidRDefault="009563EF"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同一类别每份基金份额具有同等的合法权益。</w:t>
      </w:r>
    </w:p>
    <w:p w:rsidR="009563EF" w:rsidRPr="0087389D" w:rsidRDefault="009563EF"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1、根据《基金法》、《运作办法》及其他有关规定，基金份额持有人的权利包括但不限于：</w:t>
      </w:r>
    </w:p>
    <w:p w:rsidR="009563EF" w:rsidRPr="0087389D" w:rsidRDefault="009563EF"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（1）分享基金财产收益；</w:t>
      </w:r>
    </w:p>
    <w:p w:rsidR="009563EF" w:rsidRPr="0087389D" w:rsidRDefault="009563EF"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（2）参与分配清算后的剩余基金财产；</w:t>
      </w:r>
    </w:p>
    <w:p w:rsidR="009563EF" w:rsidRPr="0087389D" w:rsidRDefault="009563EF"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（3）依法申请赎回其持有的基金份额；</w:t>
      </w:r>
    </w:p>
    <w:p w:rsidR="009563EF" w:rsidRPr="0087389D" w:rsidRDefault="009563EF"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（4）按照规定要求召开基金份额持有人大会或者召集基金份额持有人大会；</w:t>
      </w:r>
    </w:p>
    <w:p w:rsidR="009563EF" w:rsidRPr="0087389D" w:rsidRDefault="009563EF"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（5）出席或者委派代表出席基金份额持有人大会，对基金份额持有人大会审议事项行使表决权；</w:t>
      </w:r>
    </w:p>
    <w:p w:rsidR="009563EF" w:rsidRPr="0087389D" w:rsidRDefault="009563EF"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（6）查阅或者复制公开披露的基金信息资料；</w:t>
      </w:r>
    </w:p>
    <w:p w:rsidR="009563EF" w:rsidRPr="0087389D" w:rsidRDefault="009563EF"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（7）监督基金管理人的投资运作；</w:t>
      </w:r>
    </w:p>
    <w:p w:rsidR="009563EF" w:rsidRPr="0087389D" w:rsidRDefault="009563EF"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（8）对基金管理人、基金托管人、基金服务机构损害其合法权益的行为依法提起诉讼或仲裁；</w:t>
      </w:r>
    </w:p>
    <w:p w:rsidR="009563EF" w:rsidRPr="0087389D" w:rsidRDefault="009563EF"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（9）法律法规及中国证监会规定的和《基金合同》约定的其他权利。</w:t>
      </w:r>
    </w:p>
    <w:p w:rsidR="009563EF" w:rsidRPr="0087389D" w:rsidRDefault="009563EF"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2、根据《基金法》、《运作办法》及其他有关规定，基金份额持有人的义务包括但不限于：</w:t>
      </w:r>
    </w:p>
    <w:p w:rsidR="009563EF" w:rsidRPr="0087389D" w:rsidRDefault="009563EF"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（1）认真阅读并遵守《基金合同》；</w:t>
      </w:r>
    </w:p>
    <w:p w:rsidR="009563EF" w:rsidRPr="0087389D" w:rsidRDefault="009563EF"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（2）了解所投资基金产品，了解自身风险承受能力，自行承担投资风险；</w:t>
      </w:r>
    </w:p>
    <w:p w:rsidR="009563EF" w:rsidRPr="0087389D" w:rsidRDefault="009563EF"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（3）关注基金信息披露，及时行使权利和履行义务；</w:t>
      </w:r>
    </w:p>
    <w:p w:rsidR="009563EF" w:rsidRPr="0087389D" w:rsidRDefault="009563EF"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（4）缴纳基金认购、申购款项及法律法规和《基金合同》所规定的费用；</w:t>
      </w:r>
    </w:p>
    <w:p w:rsidR="009563EF" w:rsidRPr="0087389D" w:rsidRDefault="009563EF"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（5）在其持有的基金份额范围内，承担基金亏损或者《基金合同》终止的有限责任；</w:t>
      </w:r>
    </w:p>
    <w:p w:rsidR="009563EF" w:rsidRPr="0087389D" w:rsidRDefault="009563EF"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（6）不从事任何有损基金及其他《基金合同》当事人合法权益的活动；</w:t>
      </w:r>
    </w:p>
    <w:p w:rsidR="009563EF" w:rsidRPr="0087389D" w:rsidRDefault="009563EF"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（7）执行生效的基金份额持有人大会的决定；</w:t>
      </w:r>
    </w:p>
    <w:p w:rsidR="009563EF" w:rsidRPr="0087389D" w:rsidRDefault="009563EF"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（8）返还在基金交易过程中因任何原因获得的不当得利；</w:t>
      </w:r>
    </w:p>
    <w:p w:rsidR="0080240A" w:rsidRPr="0087389D" w:rsidRDefault="009563EF"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（9）法律法规及中国证监会规定的和《基金合同》约定的其他义务。</w:t>
      </w:r>
    </w:p>
    <w:p w:rsidR="0080240A" w:rsidRPr="0087389D" w:rsidRDefault="0080240A"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（二）基金管理人的权利与义务</w:t>
      </w:r>
    </w:p>
    <w:p w:rsidR="004B2F38" w:rsidRPr="0087389D" w:rsidRDefault="004B2F38"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1、根据《基金法》、《运作办法》及其他有关规定，基金管理人的权利包括但不限于：</w:t>
      </w:r>
    </w:p>
    <w:p w:rsidR="004B2F38" w:rsidRPr="0087389D" w:rsidRDefault="004B2F38"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lastRenderedPageBreak/>
        <w:t>（1）依法募集资金；</w:t>
      </w:r>
    </w:p>
    <w:p w:rsidR="004B2F38" w:rsidRPr="0087389D" w:rsidRDefault="004B2F38"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（2）自《基金合同》生效之日起，根据法律法规和《基金合同》独立运用并管理基金财产；</w:t>
      </w:r>
    </w:p>
    <w:p w:rsidR="004B2F38" w:rsidRPr="0087389D" w:rsidRDefault="004B2F38"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（3）依照《基金合同》收取基金管理费以及法律法规规定或中国证监会批准的其他费用；</w:t>
      </w:r>
    </w:p>
    <w:p w:rsidR="004B2F38" w:rsidRPr="0087389D" w:rsidRDefault="004B2F38"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（4）销售基金份额；</w:t>
      </w:r>
    </w:p>
    <w:p w:rsidR="004B2F38" w:rsidRPr="0087389D" w:rsidRDefault="004B2F38"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（5）召集基金份额持有人大会；</w:t>
      </w:r>
    </w:p>
    <w:p w:rsidR="004B2F38" w:rsidRPr="0087389D" w:rsidRDefault="004B2F38"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（6）依据《基金合同》及有关法律规定监督基金托管人，如认为基金托管人违反了《基金合同》及国家有关法律规定，应呈报中国证监会和其他监管部门，并采取必要措施保护基金投资者的利益；</w:t>
      </w:r>
    </w:p>
    <w:p w:rsidR="004B2F38" w:rsidRPr="0087389D" w:rsidRDefault="004B2F38"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（7）在基金托管人更换时，提名新的基金托管人；</w:t>
      </w:r>
    </w:p>
    <w:p w:rsidR="004B2F38" w:rsidRPr="0087389D" w:rsidRDefault="004B2F38"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（8）选择、更换基金销售机构，对基金销售机构的相关行为进行监督和处理；</w:t>
      </w:r>
    </w:p>
    <w:p w:rsidR="004B2F38" w:rsidRPr="0087389D" w:rsidRDefault="004B2F38"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（9）担任或委托其他符合条件的机构担任基金登记机构办理基金登记业务并获得《基金合同》规定的费用；</w:t>
      </w:r>
    </w:p>
    <w:p w:rsidR="004B2F38" w:rsidRPr="0087389D" w:rsidRDefault="004B2F38"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（10）依据《基金合同》及有关法律规定决定基金收益的分配方案；</w:t>
      </w:r>
      <w:r w:rsidRPr="0087389D">
        <w:rPr>
          <w:rFonts w:asciiTheme="minorEastAsia" w:eastAsiaTheme="minorEastAsia" w:hAnsiTheme="minorEastAsia" w:hint="eastAsia"/>
        </w:rPr>
        <w:tab/>
      </w:r>
    </w:p>
    <w:p w:rsidR="004B2F38" w:rsidRPr="0087389D" w:rsidRDefault="004B2F38"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（11）在《基金合同》约定的范围内，拒绝或暂停受理申购、赎回和转换申请；</w:t>
      </w:r>
    </w:p>
    <w:p w:rsidR="004B2F38" w:rsidRPr="0087389D" w:rsidRDefault="004B2F38"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（12）在不违反法律法规和监管规定且对基金份额持有人利益无实质不利影响的前提下，为支付本基金应付的赎回、交易清算等款项，基金管理人有权代表基金份额持有人以基金资产作为抵押进行融资；</w:t>
      </w:r>
    </w:p>
    <w:p w:rsidR="004B2F38" w:rsidRPr="0087389D" w:rsidRDefault="004B2F38"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（13）以基金管理人的名义，代表基金份额持有人的利益行使诉讼权利或者实施其他法律行为；</w:t>
      </w:r>
    </w:p>
    <w:p w:rsidR="004B2F38" w:rsidRPr="0087389D" w:rsidRDefault="004B2F38"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（14）选择、更换律师事务所、会计师事务所、证券经纪商或其他为基金提供服务的外部机构；</w:t>
      </w:r>
    </w:p>
    <w:p w:rsidR="004B2F38" w:rsidRPr="0087389D" w:rsidRDefault="004B2F38"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（15）在符合有关法律、法规的前提下，制订和调整有关基金认购、申购、赎回、转换、非交易过户、转托管和收益分配等的业务规则；</w:t>
      </w:r>
    </w:p>
    <w:p w:rsidR="004B2F38" w:rsidRPr="0087389D" w:rsidRDefault="004B2F38"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（16）法律法规及中国证监会规定的和《基金合同》约定的其他权利。</w:t>
      </w:r>
    </w:p>
    <w:p w:rsidR="004B2F38" w:rsidRPr="0087389D" w:rsidRDefault="004B2F38"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2、根据《基金法》、《运作办法》及其他有关规定，基金管理人的义务包括但不限于：</w:t>
      </w:r>
    </w:p>
    <w:p w:rsidR="004B2F38" w:rsidRPr="0087389D" w:rsidRDefault="004B2F38"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（1）依法募集资金，办理或者委托经中国证监会认定的其他机构办理基金份额的发售、申购、赎回和登记事宜；</w:t>
      </w:r>
    </w:p>
    <w:p w:rsidR="004B2F38" w:rsidRPr="0087389D" w:rsidRDefault="004B2F38"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（2）办理基金备案手续；</w:t>
      </w:r>
    </w:p>
    <w:p w:rsidR="004B2F38" w:rsidRPr="0087389D" w:rsidRDefault="004B2F38"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（3）自《基金合同》生效之日起,以诚实信用、谨慎勤勉的原则管理和运用基金财产；</w:t>
      </w:r>
    </w:p>
    <w:p w:rsidR="004B2F38" w:rsidRPr="0087389D" w:rsidRDefault="004B2F38"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（4）配备足够的具有专业资格的人员进行基金投资分析、决策，以专业化的经营方式管理和运作基金财产；</w:t>
      </w:r>
    </w:p>
    <w:p w:rsidR="004B2F38" w:rsidRPr="0087389D" w:rsidRDefault="004B2F38"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（5）建立健全内部风险控制、监察与稽核、财务管理及人事管理等制度，保证所管理</w:t>
      </w:r>
      <w:r w:rsidRPr="0087389D">
        <w:rPr>
          <w:rFonts w:asciiTheme="minorEastAsia" w:eastAsiaTheme="minorEastAsia" w:hAnsiTheme="minorEastAsia" w:hint="eastAsia"/>
        </w:rPr>
        <w:lastRenderedPageBreak/>
        <w:t>的基金财产和基金管理人的财产相互独立,对所管理的不同基金分别管理，分别记账，进行证券投资；</w:t>
      </w:r>
    </w:p>
    <w:p w:rsidR="004B2F38" w:rsidRPr="0087389D" w:rsidRDefault="004B2F38"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（6）除依据《基金法》、《基金合同》及其他有关规定外,不得利用基金财产为自己及任何第三人谋取利益，不得委托第三人运作基金财产；</w:t>
      </w:r>
    </w:p>
    <w:p w:rsidR="004B2F38" w:rsidRPr="0087389D" w:rsidRDefault="004B2F38"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（7）依法接受基金托管人的监督；</w:t>
      </w:r>
    </w:p>
    <w:p w:rsidR="00BB04FF" w:rsidRPr="0087389D" w:rsidRDefault="00BB04FF" w:rsidP="00BB04FF">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（8）采取适当合理的措施使计算基金份额认购、申购、赎回和注销价格的方法符合《基金合同》等法律文件的规定，按有关规定计算并公告各类基金份额的每万份基金已实现收益和七日年化收益率；</w:t>
      </w:r>
    </w:p>
    <w:p w:rsidR="00BB04FF" w:rsidRPr="0087389D" w:rsidRDefault="00BB04FF" w:rsidP="00BB04FF">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（9）进行基金会计核算并编制基金财务会计报告；</w:t>
      </w:r>
    </w:p>
    <w:p w:rsidR="00BB04FF" w:rsidRPr="0087389D" w:rsidRDefault="00BB04FF"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（10）编制季度报告、中期报告和年度报告；</w:t>
      </w:r>
    </w:p>
    <w:p w:rsidR="004B2F38" w:rsidRPr="0087389D" w:rsidRDefault="004B2F38"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（11）严格按照《基金法》、《基金合同》及其他有关规定，履行信息披露及报告义务；</w:t>
      </w:r>
    </w:p>
    <w:p w:rsidR="004B2F38" w:rsidRPr="0087389D" w:rsidRDefault="004B2F38"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（12）保守基金商业秘密，不泄露基金投资计划、投资意向等。除《基金法》、《基金合同》及其他有关规定另有规定外，在基金信息公开披露前应予保密，不向他人泄露；</w:t>
      </w:r>
    </w:p>
    <w:p w:rsidR="004B2F38" w:rsidRPr="0087389D" w:rsidRDefault="004B2F38"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（13）按《基金合同》的约定确定基金收益分配方案，及时向基金份额持有人分配基金收益；</w:t>
      </w:r>
    </w:p>
    <w:p w:rsidR="004B2F38" w:rsidRPr="0087389D" w:rsidRDefault="004B2F38"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（14）按规定受理申购与赎回申请，及时、足额支付赎回款项；</w:t>
      </w:r>
    </w:p>
    <w:p w:rsidR="004B2F38" w:rsidRPr="0087389D" w:rsidRDefault="004B2F38"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（15）依据《基金法》、《基金合同》及其他有关规定召集基金份额持有人大会或配合基金托管人、基金份额持有人依法召集基金份额持有人大会；</w:t>
      </w:r>
    </w:p>
    <w:p w:rsidR="004B2F38" w:rsidRPr="0087389D" w:rsidRDefault="004B2F38"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（16）按规定保存基金财产管理业务活动的会计账册、报表、记录和其他相关资料15年以上；</w:t>
      </w:r>
    </w:p>
    <w:p w:rsidR="004B2F38" w:rsidRPr="0087389D" w:rsidRDefault="004B2F38"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4B2F38" w:rsidRPr="0087389D" w:rsidRDefault="004B2F38"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（18）组织并参加基金财产清算小组,参与基金财产的保管、清理、估价、变现和分配；</w:t>
      </w:r>
    </w:p>
    <w:p w:rsidR="004B2F38" w:rsidRPr="0087389D" w:rsidRDefault="004B2F38"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（19）面临解散、依法被撤销或者被依法宣告破产时，及时报告中国证监会并通知基金托管人；</w:t>
      </w:r>
    </w:p>
    <w:p w:rsidR="004B2F38" w:rsidRPr="0087389D" w:rsidRDefault="004B2F38"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（20）因违反《基金合同》导致基金财产的损失或损害基金份额持有人合法权益时，应当承担赔偿责任，其赔偿责任不因其退任而免除；</w:t>
      </w:r>
    </w:p>
    <w:p w:rsidR="004B2F38" w:rsidRPr="0087389D" w:rsidRDefault="004B2F38"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（21）监督基金托管人按法律法规和《基金合同》规定履行自己的义务，基金托管人违反《基金合同》造成基金财产损失时，基金管理人应为基金份额持有人利益向基金托管人追偿；</w:t>
      </w:r>
    </w:p>
    <w:p w:rsidR="004B2F38" w:rsidRPr="0087389D" w:rsidRDefault="004B2F38"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（22）当基金管理人将其义务委托第三方处理时，应当对第三方处理有关基金事务的行为承担责任；</w:t>
      </w:r>
    </w:p>
    <w:p w:rsidR="004B2F38" w:rsidRPr="0087389D" w:rsidRDefault="004B2F38"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（23）以基金管理人名义，代表基金份额持有人利益行使诉讼权利或实施其他法律行为；</w:t>
      </w:r>
    </w:p>
    <w:p w:rsidR="004B2F38" w:rsidRPr="0087389D" w:rsidRDefault="004B2F38"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lastRenderedPageBreak/>
        <w:t>（24）基金管理人在募集期间未能达到基金的备案条件，《基金合同》不能生效，基金管理人承担全部募集费用，将已募集资金并加计银行同期存款利息在基金募集期结束后30日内退还基金认购人；</w:t>
      </w:r>
    </w:p>
    <w:p w:rsidR="004B2F38" w:rsidRPr="0087389D" w:rsidRDefault="004B2F38"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（25）执行生效的基金份额持有人大会的决议；</w:t>
      </w:r>
    </w:p>
    <w:p w:rsidR="004B2F38" w:rsidRPr="0087389D" w:rsidRDefault="004B2F38"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（26）建立并保存基金份额持有人名册；</w:t>
      </w:r>
    </w:p>
    <w:p w:rsidR="0080240A" w:rsidRPr="0087389D" w:rsidRDefault="004B2F38"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（27）法律法规及中国证监会规定的和《基金合同》约定的其他义务。</w:t>
      </w:r>
    </w:p>
    <w:p w:rsidR="0080240A" w:rsidRPr="0087389D" w:rsidRDefault="0080240A"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（三）基金托管人的权利与义务</w:t>
      </w:r>
    </w:p>
    <w:p w:rsidR="00DD600A" w:rsidRPr="0087389D" w:rsidRDefault="00DD600A"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1、根据《基金法》、《运作办法》及其他有关规定，基金托管人的权利包括但不限于：</w:t>
      </w:r>
    </w:p>
    <w:p w:rsidR="00DD600A" w:rsidRPr="0087389D" w:rsidRDefault="00DD600A"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（1）自《基金合同》生效之日起，依法律法规和《基金合同》的规定安全保管基金财产；</w:t>
      </w:r>
    </w:p>
    <w:p w:rsidR="00DD600A" w:rsidRPr="0087389D" w:rsidRDefault="00DD600A"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（2）依《基金合同》约定获得基金托管费以及法律法规规定或监管部门批准的其他费用；</w:t>
      </w:r>
    </w:p>
    <w:p w:rsidR="00DD600A" w:rsidRPr="0087389D" w:rsidRDefault="00DD600A"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DD600A" w:rsidRPr="0087389D" w:rsidRDefault="00DD600A"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（4）根据相关市场规则，为基金开设证券账户、为基金办理证券交易资金清算。</w:t>
      </w:r>
    </w:p>
    <w:p w:rsidR="00DD600A" w:rsidRPr="0087389D" w:rsidRDefault="00DD600A"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（5）提议召开或召集基金份额持有人大会；</w:t>
      </w:r>
    </w:p>
    <w:p w:rsidR="00DD600A" w:rsidRPr="0087389D" w:rsidRDefault="00DD600A"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（6）在基金管理人更换时，提名新的基金管理人；</w:t>
      </w:r>
    </w:p>
    <w:p w:rsidR="00DD600A" w:rsidRPr="0087389D" w:rsidRDefault="00DD600A"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（7）法律法规及中国证监会规定的和《基金合同》约定的其他权利。</w:t>
      </w:r>
    </w:p>
    <w:p w:rsidR="00DD600A" w:rsidRPr="0087389D" w:rsidRDefault="00DD600A"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2、根据《基金法》、《运作办法》及其他有关规定，基金托管人的义务包括但不限于：</w:t>
      </w:r>
    </w:p>
    <w:p w:rsidR="00DD600A" w:rsidRPr="0087389D" w:rsidRDefault="00DD600A"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（1）以诚实信用、勤勉尽责的原则持有并安全保管基金财产；</w:t>
      </w:r>
    </w:p>
    <w:p w:rsidR="00DD600A" w:rsidRPr="0087389D" w:rsidRDefault="00DD600A"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（2）设立专门的基金托管部门，具有符合要求的营业场所，配备足够的、合格的熟悉基金托管业务的专职人员，负责基金财产托管事宜；</w:t>
      </w:r>
    </w:p>
    <w:p w:rsidR="00DD600A" w:rsidRPr="0087389D" w:rsidRDefault="00DD600A"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DD600A" w:rsidRPr="0087389D" w:rsidRDefault="00DD600A"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（4）除依据《基金法》、《基金合同》及其他有关规定外，不得利用基金财产为自己及任何第三人谋取利益，不得委托第三人托管基金财产；</w:t>
      </w:r>
    </w:p>
    <w:p w:rsidR="00DD600A" w:rsidRPr="0087389D" w:rsidRDefault="00DD600A"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（5）保管由基金管理人代表基金签订的与基金有关的重大合同及有关凭证；</w:t>
      </w:r>
    </w:p>
    <w:p w:rsidR="00DD600A" w:rsidRPr="0087389D" w:rsidRDefault="00DD600A"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（6）按规定开设基金财产的资金账户和证券账户,按照《基金合同》的约定，根据基金管理人的投资指令，及时办理清算、交割事宜；</w:t>
      </w:r>
    </w:p>
    <w:p w:rsidR="00DD600A" w:rsidRPr="0087389D" w:rsidRDefault="00DD600A"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（7）保守基金商业秘密，除《基金法》、《基金合同》及其他有关规定另有规定外，在基金信息公开披露前予以保密，不得向他人泄露；</w:t>
      </w:r>
    </w:p>
    <w:p w:rsidR="00DD600A" w:rsidRPr="0087389D" w:rsidRDefault="00DD600A"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lastRenderedPageBreak/>
        <w:t>（8）复核、审查基金管理人计算的基金资产净值、各类基金份额的每万份基金已实现收益和七日年化收益率；</w:t>
      </w:r>
    </w:p>
    <w:p w:rsidR="00DD600A" w:rsidRPr="0087389D" w:rsidRDefault="00DD600A"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（9）办理与基金托管业务活动有关的信息披露事项；</w:t>
      </w:r>
    </w:p>
    <w:p w:rsidR="00DD600A" w:rsidRPr="0087389D" w:rsidRDefault="00BB04FF"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DD600A" w:rsidRPr="0087389D" w:rsidRDefault="00DD600A"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（11）保存基金托管业务活动的记录、账册、报表和其他相关资料15年以上；</w:t>
      </w:r>
    </w:p>
    <w:p w:rsidR="00DD600A" w:rsidRPr="0087389D" w:rsidRDefault="00DD600A"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（12）建立并保存基金份额持有人名册；</w:t>
      </w:r>
    </w:p>
    <w:p w:rsidR="00DD600A" w:rsidRPr="0087389D" w:rsidRDefault="00DD600A"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（13）按规定制作相关账册并与基金管理人核对；</w:t>
      </w:r>
    </w:p>
    <w:p w:rsidR="00DD600A" w:rsidRPr="0087389D" w:rsidRDefault="00DD600A"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（14）依据基金管理人的指令或有关规定向基金份额持有人支付基金收益和赎回款项；</w:t>
      </w:r>
    </w:p>
    <w:p w:rsidR="00DD600A" w:rsidRPr="0087389D" w:rsidRDefault="00DD600A"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（15）依据《基金法》、《基金合同》及其他有关规定，召集基金份额持有人大会或配合基金管理人、基金份额持有人依法召集基金份额持有人大会；</w:t>
      </w:r>
    </w:p>
    <w:p w:rsidR="00DD600A" w:rsidRPr="0087389D" w:rsidRDefault="00DD600A"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（16）按照法律法规和《基金合同》的规定监督基金管理人的投资运作；</w:t>
      </w:r>
    </w:p>
    <w:p w:rsidR="00DD600A" w:rsidRPr="0087389D" w:rsidRDefault="00DD600A"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（17）参加基金财产清算小组，参与基金财产的保管、清理、估价、变现和分配；</w:t>
      </w:r>
    </w:p>
    <w:p w:rsidR="00DD600A" w:rsidRPr="0087389D" w:rsidRDefault="00DD600A"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（18）面临解散、依法被撤销或者被依法宣告破产时，及时报告中国证监会和银行监管机构，并通知基金管理人；</w:t>
      </w:r>
    </w:p>
    <w:p w:rsidR="00DD600A" w:rsidRPr="0087389D" w:rsidRDefault="00DD600A"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（19）因违反《基金合同》导致基金财产损失时，应承担赔偿责任，其赔偿责任不因其退任而免除；</w:t>
      </w:r>
    </w:p>
    <w:p w:rsidR="00DD600A" w:rsidRPr="0087389D" w:rsidRDefault="00DD600A"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（20）按规定监督基金管理人按法律法规和《基金合同》规定履行自己的义务，基金管理人因违反《基金合同》造成基金财产损失时，应为基金份额持有人利益向基金管理人追偿；</w:t>
      </w:r>
    </w:p>
    <w:p w:rsidR="00DD600A" w:rsidRPr="0087389D" w:rsidRDefault="00DD600A"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（21）执行生效的基金份额持有人大会的决定；</w:t>
      </w:r>
    </w:p>
    <w:p w:rsidR="0080240A" w:rsidRPr="0087389D" w:rsidRDefault="00DD600A"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（22）法律法规及中国证监会规定的和《基金合同》约定的其他义务。</w:t>
      </w:r>
    </w:p>
    <w:p w:rsidR="0080240A" w:rsidRPr="0087389D" w:rsidRDefault="0080240A"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二、基金份额持有人大会召集、议事及表决的程序和规则</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基金份额持有人大会由基金份额持有人组成，基金份额持有人的合法授权代表有权代表基金份额持有人出席会议并表决。基金份额持有人持有的每一基金份额拥有平等的投票权。</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（一）召开事由</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1、当出现或需要决定下列事由之一的，应当召开基金份额持有人大会：</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（1）终止《基金合同》，但基金合同另有约定的情形除外；</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（2）更换基金管理人；</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（3）更换基金托管人；</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（4）转换基金运作方式；</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（5）提高基金管理人、基金托管人的报酬标准；</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（6）变更基金类别；</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（7）本基金与其他基金的合并；</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lastRenderedPageBreak/>
        <w:t>（8）变更基金投资目标、范围或策略；</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（9）变更基金份额持有人大会程序；</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（10）基金管理人或基金托管人要求召开基金份额持有人大会；</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（11）单独或合计持有本基金总份额10%以上（含10%）基金份额的基金份额持有人（以基金管理人收到提议当日的基金份额计算，下同）就同一事项书面要求召开基金份额持有人大会；</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（12）对基金当事人权利和义务产生重大影响的其他事项；</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（13）法律法规、《基金合同》或中国证监会规定的其他应当召开基金份额持有人大会的事项。</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2、以下情况可由基金管理人和基金托管人协商后修改，不需召开基金份额持有人大会：</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（1）调低基金管理费、基金托管费和其他应由基金承担的费用；</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（2）法律法规要求增加的基金费用的收取；</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（3）在法律法规和本基金合同规定的范围内调低基金的销售服务费率或变更收费方式；</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（4）因相应的法律法规发生变动而应当对《基金合同》进行修改；</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（5）对《基金合同》的修改对基金份额持有人利益无实质性不利影响或修改不涉及《基金合同》当事人权利义务关系发生重大变化；</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（6）基金资产净值连续60个工作日低于3000万元，经与基金托管人协商一致，基金管理人决定终止本基金合同；</w:t>
      </w:r>
    </w:p>
    <w:p w:rsidR="008762E2"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（7）</w:t>
      </w:r>
      <w:r w:rsidR="008762E2" w:rsidRPr="0087389D">
        <w:rPr>
          <w:rFonts w:asciiTheme="minorEastAsia" w:eastAsiaTheme="minorEastAsia" w:hAnsiTheme="minorEastAsia" w:hint="eastAsia"/>
        </w:rPr>
        <w:t>当影子定价确定的基金资产净值与摊余成本法计算的基金资产净值的负偏离度绝对值连续两个交易日超过0.5%，且基金管理人决定暂停接受所有赎回申请并终止基金合同，则基金合同将根据第十九部分的约定进行基金财产清算并终止。</w:t>
      </w:r>
    </w:p>
    <w:p w:rsidR="0070424E" w:rsidRPr="0087389D" w:rsidRDefault="008762E2"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（8）</w:t>
      </w:r>
      <w:r w:rsidR="0070424E" w:rsidRPr="0087389D">
        <w:rPr>
          <w:rFonts w:asciiTheme="minorEastAsia" w:eastAsiaTheme="minorEastAsia" w:hAnsiTheme="minorEastAsia" w:hint="eastAsia"/>
        </w:rPr>
        <w:t>按照法律法规和《基金合同》规定不需召开基金份额持有人大会的其他情形。</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（二）会议召集人及召集方式</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1、除法律法规规定或《基金合同》另有约定外，基金份额持有人大会由基金管理人召集；</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2、基金管理人未按规定召集或不能召开时，由基金托管人召集；</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r w:rsidR="001B77B7" w:rsidRPr="0087389D">
        <w:rPr>
          <w:rFonts w:asciiTheme="minorEastAsia" w:eastAsiaTheme="minorEastAsia" w:hAnsiTheme="minorEastAsia" w:hint="eastAsia"/>
        </w:rPr>
        <w:t>，并自出具书面决定之日起六十日内召开并告知基金管理人，基金管理人应当配合</w:t>
      </w:r>
      <w:r w:rsidRPr="0087389D">
        <w:rPr>
          <w:rFonts w:asciiTheme="minorEastAsia" w:eastAsiaTheme="minorEastAsia" w:hAnsiTheme="minorEastAsia" w:hint="eastAsia"/>
        </w:rPr>
        <w:t>。</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w:t>
      </w:r>
      <w:r w:rsidRPr="0087389D">
        <w:rPr>
          <w:rFonts w:asciiTheme="minorEastAsia" w:eastAsiaTheme="minorEastAsia" w:hAnsiTheme="minorEastAsia" w:hint="eastAsia"/>
        </w:rPr>
        <w:lastRenderedPageBreak/>
        <w:t>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6、基金份额持有人会议的召集人负责选择确定开会时间、地点、方式和权益登记日。</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（三）召开基金份额持有人大会的通知时间、通知内容、通知方式</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1、召开基金份额持有人大会，召集人应于会议召开前30日，在指定</w:t>
      </w:r>
      <w:r w:rsidR="00BB04FF" w:rsidRPr="0087389D">
        <w:rPr>
          <w:rFonts w:asciiTheme="minorEastAsia" w:eastAsiaTheme="minorEastAsia" w:hAnsiTheme="minorEastAsia" w:hint="eastAsia"/>
        </w:rPr>
        <w:t>媒介</w:t>
      </w:r>
      <w:r w:rsidRPr="0087389D">
        <w:rPr>
          <w:rFonts w:asciiTheme="minorEastAsia" w:eastAsiaTheme="minorEastAsia" w:hAnsiTheme="minorEastAsia" w:hint="eastAsia"/>
        </w:rPr>
        <w:t>公告。基金份额持有人大会通知应至少载明以下内容：</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（1）会议召开的时间、地点和会议形式；</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（2）会议拟审议的事项、议事程序和表决方式；</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（3）有权出席基金份额持有人大会的基金份额持有人的权益登记日；</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（4）授权委托证明的内容要求（包括但不限于代理人身份，代理权限和代理有效期限等）、送达时间和地点;</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（5）会务常设联系人姓名及联系电话；</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（6）出席会议者必须准备的文件和必须履行的手续；</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（7）召集人需要通知的其他事项。</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（四）基金份额持有人出席会议的方式</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基金份额持有人大会可通过现场开会方式、通讯开会方式及法律法规、中国证监会允许的其他方式召开，会议的召开方式由会议召集人确定。</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1、现场开会。由基金份额持有人本人出席或以代理投票授权委托证明委派代表出席，</w:t>
      </w:r>
      <w:r w:rsidRPr="0087389D">
        <w:rPr>
          <w:rFonts w:asciiTheme="minorEastAsia" w:eastAsiaTheme="minorEastAsia" w:hAnsiTheme="minorEastAsia" w:hint="eastAsia"/>
        </w:rPr>
        <w:lastRenderedPageBreak/>
        <w:t>现场开会时基金管理人和基金托管人的授权代表应当列席基金份额持有人大会，基金管理人或托管人不派代表列席的，不影响表决效力。现场开会同时符合以下条件时，可以进行基金份额持有人大会议程：</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亲自出席会议者持有有关证明文件、受托出席会议者出示的委托人的代理投票授权委托证明及有关证明文件符合法律法规、《基金合同》和会议通知的规定，并且持有基金份额的凭证与基金管理人持有的登记资料相符；</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（2）经核对，到会者在权益登记日代表的有效的基金份额不少于本基金在权益登记日基金总份额的50%（含50%）。</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2、通讯开会。通讯开会系指基金份额持有人将其对表决事项的投票以书面形式在表决截至日以前送达至召集人指定的地址。通讯开会应以书面方式进行表决。</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在同时符合以下条件时，通讯开会的方式视为有效：</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（1）会议召集人按《基金合同》约定公布会议通知后，在2个工作日内连续公布相关提示性公告；</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（3）本人直接出具书面意见或授权他人代表出具书面意见的，基金份额持有人所持有的基金份额不小于在权益登记日基金总份额的50%（含50%）；</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4）上述第（3）项中直接出具书面意见的基金份额持有人或受托代表他人出具书面意见的代理人，同时提交的有关证明文件、受托出具书面意见的代理人出示的委托人的代理投票授权委托证明及有关证明文件符合法律法规、《基金合同》和会议通知的规定，并与基金登记注册机构记录相符；</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3、重新召集基金份额持有人大会的条件</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基金份额持有人大会应当有代表二分之一以上基金份额的持有人参加，方可召开。</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4、在不与法律法规冲突的前提下，基金份额持有人大会可通过网络、电话或其他方式召开，基金份额持有人可以采用书面、网络、电话、短信或其他方式进行表决，具体方式由会议召集人确定并在会议通知中列明。</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5、基金份额持有人授权他人代为出席会议并表决的，授权方式可以采用书面、网络、</w:t>
      </w:r>
      <w:r w:rsidRPr="0087389D">
        <w:rPr>
          <w:rFonts w:asciiTheme="minorEastAsia" w:eastAsiaTheme="minorEastAsia" w:hAnsiTheme="minorEastAsia" w:hint="eastAsia"/>
        </w:rPr>
        <w:lastRenderedPageBreak/>
        <w:t>电话、短信或其他方式，具体方式在会议通知中列明。</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（五）议事内容与程序</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1、议事内容及提案权</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基金份额持有人大会的召集人发出召集会议的通知后，对原有提案的修改应当在基金份额持有人大会召开前及时公告。</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基金份额持有人大会不得对未事先公告的议事内容进行表决。</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2、议事程序</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（1）现场开会</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会议召集人应当制作出席会议人员的签名册。签名册载明参加会议人员姓名（或单位名称）、身份证明文件号码、持有或代表有表决权的基金份额、委托人姓名（或单位名称）和联系方式等事项。</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（2）通讯开会</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在通讯开会的情况下，首先由召集人提前30日公布提案，在所通知的表决截止日期后2个工作日内在公证机关监督下由召集人统计全部有效表决，在公证机关监督下形成决议。</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（六）表决</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基金份额持有人所持每份基金份额有一票表决权。</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基金份额持有人大会决议分为一般决议和特别决议：</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1、一般决议，一般决议须经参加大会的基金份额持有人或其代理人所持表决权的50%以上（含50%）通过方为有效；除下列第2项所规定的须以特别决议通过事项以外的其他事项均以一般决议的方式通过。</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2、特别决议，特别决议应当经参加大会的基金份额持有人或其代理人所持表决权的三分之二以上（含三分之二）通过方可做出。</w:t>
      </w:r>
      <w:r w:rsidR="008762E2" w:rsidRPr="0087389D">
        <w:rPr>
          <w:rFonts w:asciiTheme="minorEastAsia" w:eastAsiaTheme="minorEastAsia" w:hAnsiTheme="minorEastAsia" w:hint="eastAsia"/>
        </w:rPr>
        <w:t>除基金合同另有约定外，</w:t>
      </w:r>
      <w:r w:rsidRPr="0087389D">
        <w:rPr>
          <w:rFonts w:asciiTheme="minorEastAsia" w:eastAsiaTheme="minorEastAsia" w:hAnsiTheme="minorEastAsia" w:hint="eastAsia"/>
        </w:rPr>
        <w:t>转换基金运作方式、更换基金管理人或者基金托管人、终止《基金合同》、与其他基金合并以特别决议通过方为有效。</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lastRenderedPageBreak/>
        <w:t>基金份额持有人大会采取记名方式进行投票表决。</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基金份额持有人大会的各项提案或同一项提案内并列的各项议题应当分开审议、逐项表决。</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（七）计票</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1、现场开会</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（2）监票人应当在基金份额持有人表决后立即进行清点并由大会主持人当场公布计票结果。</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（4）计票过程应由公证机关予以公证,基金管理人或基金托管人拒不出席大会的，不影响计票的效力。</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2、通讯开会</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（八）生效与公告</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基金份额持有人大会的决议，召集人应当自通过之日起5日内报中国证监会备案。</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基金份额持有人大会的决议自</w:t>
      </w:r>
      <w:r w:rsidR="001B77B7" w:rsidRPr="0087389D">
        <w:rPr>
          <w:rFonts w:asciiTheme="minorEastAsia" w:eastAsiaTheme="minorEastAsia" w:hAnsiTheme="minorEastAsia" w:hint="eastAsia"/>
        </w:rPr>
        <w:t>表决通过</w:t>
      </w:r>
      <w:r w:rsidRPr="0087389D">
        <w:rPr>
          <w:rFonts w:asciiTheme="minorEastAsia" w:eastAsiaTheme="minorEastAsia" w:hAnsiTheme="minorEastAsia" w:hint="eastAsia"/>
        </w:rPr>
        <w:t>之日起生效。</w:t>
      </w:r>
    </w:p>
    <w:p w:rsidR="0070424E"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基金份额持有人大会决议自生效之日起2日内在指定</w:t>
      </w:r>
      <w:r w:rsidR="00BB04FF" w:rsidRPr="0087389D">
        <w:rPr>
          <w:rFonts w:asciiTheme="minorEastAsia" w:eastAsiaTheme="minorEastAsia" w:hAnsiTheme="minorEastAsia" w:hint="eastAsia"/>
        </w:rPr>
        <w:t>媒介</w:t>
      </w:r>
      <w:r w:rsidRPr="0087389D">
        <w:rPr>
          <w:rFonts w:asciiTheme="minorEastAsia" w:eastAsiaTheme="minorEastAsia" w:hAnsiTheme="minorEastAsia" w:hint="eastAsia"/>
        </w:rPr>
        <w:t>上公告。如果采用通讯方式进行表决，在公告基金份额持有人大会决议时，必须将公证书全文、公证机构、公证员姓名等一同公告。</w:t>
      </w:r>
    </w:p>
    <w:p w:rsidR="0080240A" w:rsidRPr="0087389D" w:rsidRDefault="0070424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基金管理人、基金托管人和基金份额持有人应当执行生效的基金份额持有人大会的决议。</w:t>
      </w:r>
      <w:r w:rsidRPr="0087389D">
        <w:rPr>
          <w:rFonts w:asciiTheme="minorEastAsia" w:eastAsiaTheme="minorEastAsia" w:hAnsiTheme="minorEastAsia" w:hint="eastAsia"/>
        </w:rPr>
        <w:lastRenderedPageBreak/>
        <w:t>生效的基金份额持有人大会决议对全体基金份额持有人、基金管理人、基金托管人均有约束力。</w:t>
      </w:r>
    </w:p>
    <w:p w:rsidR="0080240A" w:rsidRPr="0087389D" w:rsidRDefault="00E0223C"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三</w:t>
      </w:r>
      <w:r w:rsidR="0080240A" w:rsidRPr="0087389D">
        <w:rPr>
          <w:rFonts w:asciiTheme="minorEastAsia" w:eastAsiaTheme="minorEastAsia" w:hAnsiTheme="minorEastAsia" w:hint="eastAsia"/>
        </w:rPr>
        <w:t>、基金合同解除和终止的事由、程序以及基金财产清算方式</w:t>
      </w:r>
    </w:p>
    <w:p w:rsidR="00A43908" w:rsidRPr="0087389D" w:rsidRDefault="00A43908"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（一）《基金合同》的变更</w:t>
      </w:r>
    </w:p>
    <w:p w:rsidR="00A43908" w:rsidRPr="0087389D" w:rsidRDefault="00A43908"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变更基金合同涉及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A43908" w:rsidRPr="0087389D" w:rsidRDefault="00A43908"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2、</w:t>
      </w:r>
      <w:r w:rsidR="001B77B7" w:rsidRPr="0087389D">
        <w:rPr>
          <w:rFonts w:asciiTheme="minorEastAsia" w:eastAsiaTheme="minorEastAsia" w:hAnsiTheme="minorEastAsia" w:hint="eastAsia"/>
        </w:rPr>
        <w:t>关于《基金合同》变更的基金份额持有人大会决议自表决通过之日起生效，自决议生效之日起2日内在指定</w:t>
      </w:r>
      <w:r w:rsidR="00BB04FF" w:rsidRPr="0087389D">
        <w:rPr>
          <w:rFonts w:asciiTheme="minorEastAsia" w:eastAsiaTheme="minorEastAsia" w:hAnsiTheme="minorEastAsia" w:hint="eastAsia"/>
        </w:rPr>
        <w:t>媒介</w:t>
      </w:r>
      <w:r w:rsidR="001B77B7" w:rsidRPr="0087389D">
        <w:rPr>
          <w:rFonts w:asciiTheme="minorEastAsia" w:eastAsiaTheme="minorEastAsia" w:hAnsiTheme="minorEastAsia" w:hint="eastAsia"/>
        </w:rPr>
        <w:t>公告</w:t>
      </w:r>
      <w:r w:rsidRPr="0087389D">
        <w:rPr>
          <w:rFonts w:asciiTheme="minorEastAsia" w:eastAsiaTheme="minorEastAsia" w:hAnsiTheme="minorEastAsia" w:hint="eastAsia"/>
        </w:rPr>
        <w:t>。</w:t>
      </w:r>
    </w:p>
    <w:p w:rsidR="00A43908" w:rsidRPr="0087389D" w:rsidRDefault="00A43908"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（二）《基金合同》的终止事由</w:t>
      </w:r>
    </w:p>
    <w:p w:rsidR="00A43908" w:rsidRPr="0087389D" w:rsidRDefault="00A43908"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有下列情形之一的，《基金合同》应当终止：</w:t>
      </w:r>
    </w:p>
    <w:p w:rsidR="00A43908" w:rsidRPr="0087389D" w:rsidRDefault="00A43908"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1、基金份额持有人大会决定终止的；</w:t>
      </w:r>
    </w:p>
    <w:p w:rsidR="00A43908" w:rsidRPr="0087389D" w:rsidRDefault="00A43908"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2、基金管理人、基金托管人职责终止，在6个月内没有新基金管理人、新基金托管人承接的；</w:t>
      </w:r>
    </w:p>
    <w:p w:rsidR="00A43908" w:rsidRPr="0087389D" w:rsidRDefault="00A43908"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3、基金资产净值连续60个工作日低于3000万元，经与基金托管人协商一致，基金管理人决定终止本基金合同的；</w:t>
      </w:r>
    </w:p>
    <w:p w:rsidR="00A43908" w:rsidRPr="0087389D" w:rsidRDefault="00A43908"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4、《基金合同》约定的其他情形；</w:t>
      </w:r>
    </w:p>
    <w:p w:rsidR="00A43908" w:rsidRPr="0087389D" w:rsidRDefault="00A43908"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5、相关法律法规和中国证监会规定的其他情况。</w:t>
      </w:r>
    </w:p>
    <w:p w:rsidR="00A43908" w:rsidRPr="0087389D" w:rsidRDefault="00A43908"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（三）基金财产的清算</w:t>
      </w:r>
    </w:p>
    <w:p w:rsidR="00A43908" w:rsidRPr="0087389D" w:rsidRDefault="00A43908"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1、基金财产清算小组：自出现《基金合同》终止事由之日起30个工作日内成立清算小组，基金管理人组织基金财产清算小组并在中国证监会的监督下进行基金清算。</w:t>
      </w:r>
    </w:p>
    <w:p w:rsidR="00A43908" w:rsidRPr="0087389D" w:rsidRDefault="00A43908"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A43908" w:rsidRPr="0087389D" w:rsidRDefault="00A43908"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3、基金财产清算小组职责：基金财产清算小组负责基金财产的保管、清理、估价、变现和分配。基金财产清算小组可以依法进行必要的民事活动。</w:t>
      </w:r>
    </w:p>
    <w:p w:rsidR="00A43908" w:rsidRPr="0087389D" w:rsidRDefault="00A43908"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4、基金财产清算程序：</w:t>
      </w:r>
    </w:p>
    <w:p w:rsidR="00A43908" w:rsidRPr="0087389D" w:rsidRDefault="00A43908"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（1）《基金合同》终止情形出现时，由基金财产清算小组统一接管基金；</w:t>
      </w:r>
    </w:p>
    <w:p w:rsidR="00A43908" w:rsidRPr="0087389D" w:rsidRDefault="00A43908"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（2）对基金财产和债权债务进行清理和确认；</w:t>
      </w:r>
    </w:p>
    <w:p w:rsidR="00A43908" w:rsidRPr="0087389D" w:rsidRDefault="00A43908"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（3）对基金财产进行估值和变现；</w:t>
      </w:r>
    </w:p>
    <w:p w:rsidR="00A43908" w:rsidRPr="0087389D" w:rsidRDefault="00A43908"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（4）制作清算报告；</w:t>
      </w:r>
    </w:p>
    <w:p w:rsidR="00A43908" w:rsidRPr="0087389D" w:rsidRDefault="00A43908"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（5）聘请会计师事务所对清算报告进行外部审计，聘请律师事务所对清算报告出具法律意见书；</w:t>
      </w:r>
    </w:p>
    <w:p w:rsidR="00A43908" w:rsidRPr="0087389D" w:rsidRDefault="00A43908"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（6）将清算报告报中国证监会备案并公告；</w:t>
      </w:r>
    </w:p>
    <w:p w:rsidR="00A43908" w:rsidRPr="0087389D" w:rsidRDefault="00A43908"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lastRenderedPageBreak/>
        <w:t>（7）对基金财产进行分配。</w:t>
      </w:r>
    </w:p>
    <w:p w:rsidR="00A43908" w:rsidRPr="0087389D" w:rsidRDefault="00A43908"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5、基金财产清算的期限为6个月。</w:t>
      </w:r>
    </w:p>
    <w:p w:rsidR="00A43908" w:rsidRPr="0087389D" w:rsidRDefault="00A43908"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（四）清算费用</w:t>
      </w:r>
    </w:p>
    <w:p w:rsidR="00A43908" w:rsidRPr="0087389D" w:rsidRDefault="00A43908"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清算费用是指基金财产清算小组在进行基金清算过程中发生的所有合理费用，清算费用由基金财产清算小组优先从基金财产中支付。</w:t>
      </w:r>
    </w:p>
    <w:p w:rsidR="00A43908" w:rsidRPr="0087389D" w:rsidRDefault="00A43908"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（五）基金财产清算剩余资产的分配</w:t>
      </w:r>
    </w:p>
    <w:p w:rsidR="00A43908" w:rsidRPr="0087389D" w:rsidRDefault="00A43908"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依据基金财产清算的分配方案，将基金财产清算后的全部剩余资产扣除基金财产清算费用、交纳所欠税款并清偿基金债务后，按基金份额持有人持有的基金份额比例进行分配。</w:t>
      </w:r>
    </w:p>
    <w:p w:rsidR="00A43908" w:rsidRPr="0087389D" w:rsidRDefault="00A43908"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（六）基金财产清算的公告</w:t>
      </w:r>
    </w:p>
    <w:p w:rsidR="00A43908" w:rsidRPr="0087389D" w:rsidRDefault="00A43908"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A43908" w:rsidRPr="0087389D" w:rsidRDefault="00A43908"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（七）基金财产清算账册及文件的保存</w:t>
      </w:r>
    </w:p>
    <w:p w:rsidR="0080240A" w:rsidRPr="0087389D" w:rsidRDefault="00A43908"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基金财产清算账册及有关文件由基金托管人保存15年以上。</w:t>
      </w:r>
    </w:p>
    <w:p w:rsidR="0080240A" w:rsidRPr="0087389D" w:rsidRDefault="00E0223C"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四</w:t>
      </w:r>
      <w:r w:rsidR="0080240A" w:rsidRPr="0087389D">
        <w:rPr>
          <w:rFonts w:asciiTheme="minorEastAsia" w:eastAsiaTheme="minorEastAsia" w:hAnsiTheme="minorEastAsia" w:hint="eastAsia"/>
        </w:rPr>
        <w:t>、争议解决方式</w:t>
      </w:r>
    </w:p>
    <w:p w:rsidR="009B0ABF" w:rsidRPr="0087389D" w:rsidRDefault="009B0ABF"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用由败诉方承担，除非仲裁裁决另有决定。</w:t>
      </w:r>
    </w:p>
    <w:p w:rsidR="009B0ABF" w:rsidRPr="0087389D" w:rsidRDefault="009B0ABF"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争议处理期间，基金合同当事人应恪守各自的职责，继续忠实、勤勉、尽责地履行基金合同规定的义务，维护基金份额持有人的合法权益。</w:t>
      </w:r>
    </w:p>
    <w:p w:rsidR="0080240A" w:rsidRPr="0087389D" w:rsidRDefault="009B0ABF"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《基金合同》受中国法律管辖。</w:t>
      </w:r>
    </w:p>
    <w:p w:rsidR="0080240A" w:rsidRPr="0087389D" w:rsidRDefault="00E0223C"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五</w:t>
      </w:r>
      <w:r w:rsidR="0080240A" w:rsidRPr="0087389D">
        <w:rPr>
          <w:rFonts w:asciiTheme="minorEastAsia" w:eastAsiaTheme="minorEastAsia" w:hAnsiTheme="minorEastAsia" w:hint="eastAsia"/>
        </w:rPr>
        <w:t>、基金合同存放地和投资者取得基金合同的方式</w:t>
      </w:r>
    </w:p>
    <w:p w:rsidR="00310724" w:rsidRPr="0087389D" w:rsidRDefault="00310724"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《基金合同》是约定基金当事人之间、基金与基金当事人之间权利义务关系的法律文件。</w:t>
      </w:r>
    </w:p>
    <w:p w:rsidR="00310724" w:rsidRPr="0087389D" w:rsidRDefault="00310724"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1、《基金合同》经基金管理人、基金托管人双方盖章以及双方法定代表人或授权代表签字或盖章并在募集结束后经基金管理人向中国证监会办理基金备案手续，并经中国证监会书面确认后生效。</w:t>
      </w:r>
    </w:p>
    <w:p w:rsidR="00310724" w:rsidRPr="0087389D" w:rsidRDefault="00310724"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2、《基金合同》的有效期自其生效之日起至基金财产清算结果报中国证监会备案并公告之日止。</w:t>
      </w:r>
    </w:p>
    <w:p w:rsidR="00310724" w:rsidRPr="0087389D" w:rsidRDefault="00310724"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3、《基金合同》自生效之日起对包括基金管理人、基金托管人和基金份额持有人在内的《基金合同》各方当事人具有同等的法律约束力。</w:t>
      </w:r>
    </w:p>
    <w:p w:rsidR="00310724" w:rsidRPr="0087389D" w:rsidRDefault="00310724"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t>4、《基金合同》正本一式六份，除上报有关监管机构一式二份外，基金管理人、基金托管人各持有二份，每份具有同等的法律效力。</w:t>
      </w:r>
    </w:p>
    <w:p w:rsidR="00E20CA7" w:rsidRPr="0087389D" w:rsidRDefault="00310724"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hint="eastAsia"/>
        </w:rPr>
        <w:lastRenderedPageBreak/>
        <w:t>5、《基金合同》可印制成册，供投资者在基金管理人、基金托管人、销售机构的办公场所和营业场所查阅。</w:t>
      </w:r>
    </w:p>
    <w:p w:rsidR="00BA4B87" w:rsidRPr="0087389D" w:rsidRDefault="00BA4B87" w:rsidP="00555CE7">
      <w:pPr>
        <w:pStyle w:val="1"/>
        <w:snapToGrid w:val="0"/>
        <w:spacing w:beforeLines="0" w:afterLines="0" w:line="360" w:lineRule="auto"/>
        <w:ind w:firstLine="600"/>
        <w:rPr>
          <w:rFonts w:asciiTheme="minorEastAsia" w:eastAsiaTheme="minorEastAsia" w:hAnsiTheme="minorEastAsia"/>
          <w:b/>
          <w:bCs/>
          <w:szCs w:val="20"/>
        </w:rPr>
      </w:pPr>
      <w:r w:rsidRPr="0087389D">
        <w:rPr>
          <w:rFonts w:asciiTheme="minorEastAsia" w:eastAsiaTheme="minorEastAsia" w:hAnsiTheme="minorEastAsia"/>
          <w:sz w:val="30"/>
        </w:rPr>
        <w:br w:type="page"/>
      </w:r>
      <w:bookmarkStart w:id="107" w:name="_Toc361403750"/>
      <w:bookmarkStart w:id="108" w:name="_Toc41644981"/>
      <w:r w:rsidR="002278E5" w:rsidRPr="0087389D">
        <w:rPr>
          <w:rFonts w:asciiTheme="minorEastAsia" w:eastAsiaTheme="minorEastAsia" w:hAnsiTheme="minorEastAsia"/>
          <w:b/>
          <w:sz w:val="30"/>
        </w:rPr>
        <w:lastRenderedPageBreak/>
        <w:t>二十</w:t>
      </w:r>
      <w:r w:rsidR="002278E5" w:rsidRPr="0087389D">
        <w:rPr>
          <w:rFonts w:asciiTheme="minorEastAsia" w:eastAsiaTheme="minorEastAsia" w:hAnsiTheme="minorEastAsia" w:hint="eastAsia"/>
          <w:b/>
          <w:sz w:val="30"/>
        </w:rPr>
        <w:t>三</w:t>
      </w:r>
      <w:r w:rsidRPr="0087389D">
        <w:rPr>
          <w:rFonts w:asciiTheme="minorEastAsia" w:eastAsiaTheme="minorEastAsia" w:hAnsiTheme="minorEastAsia"/>
          <w:b/>
          <w:sz w:val="30"/>
        </w:rPr>
        <w:t>、基金托管协议的内容摘要</w:t>
      </w:r>
      <w:bookmarkEnd w:id="107"/>
      <w:bookmarkEnd w:id="108"/>
    </w:p>
    <w:p w:rsidR="004F51D4" w:rsidRPr="0087389D" w:rsidRDefault="00DD6D95"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一、</w:t>
      </w:r>
      <w:r w:rsidR="004F51D4" w:rsidRPr="0087389D">
        <w:rPr>
          <w:rFonts w:asciiTheme="minorEastAsia" w:eastAsiaTheme="minorEastAsia" w:hAnsiTheme="minorEastAsia" w:hint="eastAsia"/>
          <w:szCs w:val="21"/>
        </w:rPr>
        <w:t>托管协议当事人</w:t>
      </w:r>
    </w:p>
    <w:p w:rsidR="00ED2AFB" w:rsidRPr="0087389D" w:rsidRDefault="00ED2AFB"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（一）基金管理人</w:t>
      </w:r>
    </w:p>
    <w:p w:rsidR="00ED2AFB" w:rsidRPr="0087389D" w:rsidRDefault="00ED2AFB"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名称：易方达基金管理有限公司</w:t>
      </w:r>
    </w:p>
    <w:p w:rsidR="00ED2AFB" w:rsidRPr="0087389D" w:rsidRDefault="00ED2AFB"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住所：</w:t>
      </w:r>
      <w:r w:rsidR="00EA010D" w:rsidRPr="0087389D">
        <w:rPr>
          <w:rStyle w:val="da"/>
          <w:rFonts w:asciiTheme="minorEastAsia" w:eastAsiaTheme="minorEastAsia" w:hAnsiTheme="minorEastAsia" w:hint="eastAsia"/>
          <w:szCs w:val="21"/>
        </w:rPr>
        <w:t>广东省珠海市横琴新区宝华路6号105室－42891（集中办公区）</w:t>
      </w:r>
    </w:p>
    <w:p w:rsidR="00ED2AFB" w:rsidRPr="0087389D" w:rsidRDefault="00ED2AFB"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办公地址：广东省广州市</w:t>
      </w:r>
      <w:r w:rsidR="00D41D69" w:rsidRPr="0087389D">
        <w:rPr>
          <w:rFonts w:asciiTheme="minorEastAsia" w:eastAsiaTheme="minorEastAsia" w:hAnsiTheme="minorEastAsia" w:hint="eastAsia"/>
          <w:szCs w:val="21"/>
        </w:rPr>
        <w:t>天河区</w:t>
      </w:r>
      <w:r w:rsidRPr="0087389D">
        <w:rPr>
          <w:rFonts w:asciiTheme="minorEastAsia" w:eastAsiaTheme="minorEastAsia" w:hAnsiTheme="minorEastAsia" w:hint="eastAsia"/>
          <w:szCs w:val="21"/>
        </w:rPr>
        <w:t>珠江新城珠江东路30号广州银行大厦40-43楼</w:t>
      </w:r>
    </w:p>
    <w:p w:rsidR="00ED2AFB" w:rsidRPr="0087389D" w:rsidRDefault="00ED2AFB"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邮政编码：510620</w:t>
      </w:r>
    </w:p>
    <w:p w:rsidR="00ED2AFB" w:rsidRPr="0087389D" w:rsidRDefault="00ED2AFB"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w:t>
      </w:r>
      <w:r w:rsidR="0042097C" w:rsidRPr="0087389D">
        <w:rPr>
          <w:rFonts w:asciiTheme="minorEastAsia" w:eastAsiaTheme="minorEastAsia" w:hAnsiTheme="minorEastAsia" w:hint="eastAsia"/>
          <w:szCs w:val="21"/>
        </w:rPr>
        <w:t>刘晓艳</w:t>
      </w:r>
    </w:p>
    <w:p w:rsidR="00ED2AFB" w:rsidRPr="0087389D" w:rsidRDefault="00ED2AFB"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成立时间：2001年4月17日</w:t>
      </w:r>
    </w:p>
    <w:p w:rsidR="00ED2AFB" w:rsidRPr="0087389D" w:rsidRDefault="00ED2AFB"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批准设立机关及批准设立文号：</w:t>
      </w:r>
      <w:r w:rsidR="005A118A" w:rsidRPr="0087389D">
        <w:rPr>
          <w:rFonts w:asciiTheme="minorEastAsia" w:eastAsiaTheme="minorEastAsia" w:hAnsiTheme="minorEastAsia" w:hint="eastAsia"/>
        </w:rPr>
        <w:t>中国证券监督管理委员会</w:t>
      </w:r>
      <w:r w:rsidRPr="0087389D">
        <w:rPr>
          <w:rFonts w:asciiTheme="minorEastAsia" w:eastAsiaTheme="minorEastAsia" w:hAnsiTheme="minorEastAsia" w:hint="eastAsia"/>
          <w:szCs w:val="21"/>
        </w:rPr>
        <w:t>，证监基金字[2001]4号</w:t>
      </w:r>
    </w:p>
    <w:p w:rsidR="00ED2AFB" w:rsidRPr="0087389D" w:rsidRDefault="00ED2AFB"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组织形式：有限责任公司</w:t>
      </w:r>
    </w:p>
    <w:p w:rsidR="00ED2AFB" w:rsidRPr="0087389D" w:rsidRDefault="008D2930"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注册资本：13,244.2万元人民币</w:t>
      </w:r>
    </w:p>
    <w:p w:rsidR="00ED2AFB" w:rsidRPr="0087389D" w:rsidRDefault="00ED2AFB"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存续期间：持续经营</w:t>
      </w:r>
    </w:p>
    <w:p w:rsidR="00ED2AFB" w:rsidRPr="0087389D" w:rsidRDefault="00ED2AFB"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经营范围：</w:t>
      </w:r>
      <w:r w:rsidR="00EA010D" w:rsidRPr="0087389D">
        <w:rPr>
          <w:rStyle w:val="da"/>
          <w:rFonts w:asciiTheme="minorEastAsia" w:eastAsiaTheme="minorEastAsia" w:hAnsiTheme="minorEastAsia" w:hint="eastAsia"/>
        </w:rPr>
        <w:t>公开募集证券投资基金管理、基金销售、特定客户资产管理</w:t>
      </w:r>
    </w:p>
    <w:p w:rsidR="00ED2AFB" w:rsidRPr="0087389D" w:rsidRDefault="00ED2AFB"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（二）基金托管人</w:t>
      </w:r>
    </w:p>
    <w:p w:rsidR="00ED2AFB" w:rsidRPr="0087389D" w:rsidRDefault="00ED2AFB"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名称：中国邮政储蓄银行股份有限公司</w:t>
      </w:r>
    </w:p>
    <w:p w:rsidR="00ED2AFB" w:rsidRPr="0087389D" w:rsidRDefault="00ED2AFB"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住所：北京市西城区金融大街3号</w:t>
      </w:r>
    </w:p>
    <w:p w:rsidR="00ED2AFB" w:rsidRPr="0087389D" w:rsidRDefault="00ED2AFB"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办公地址：北京市西城区金融街3号A座</w:t>
      </w:r>
    </w:p>
    <w:p w:rsidR="00ED2AFB" w:rsidRPr="0087389D" w:rsidRDefault="00ED2AFB"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邮政编码：100808</w:t>
      </w:r>
    </w:p>
    <w:p w:rsidR="00ED2AFB" w:rsidRPr="0087389D" w:rsidRDefault="00ED2AFB"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法定代表人：</w:t>
      </w:r>
      <w:r w:rsidR="00710C90" w:rsidRPr="0087389D">
        <w:rPr>
          <w:rFonts w:asciiTheme="minorEastAsia" w:eastAsiaTheme="minorEastAsia" w:hAnsiTheme="minorEastAsia" w:hint="eastAsia"/>
        </w:rPr>
        <w:t>张金良</w:t>
      </w:r>
    </w:p>
    <w:p w:rsidR="00ED2AFB" w:rsidRPr="0087389D" w:rsidRDefault="00ED2AFB"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成立时间：2007年3月6日</w:t>
      </w:r>
    </w:p>
    <w:p w:rsidR="00ED2AFB" w:rsidRPr="0087389D" w:rsidRDefault="00ED2AFB"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批准设立机关及批准设立文号：中国银监会银监复【2006】484号</w:t>
      </w:r>
    </w:p>
    <w:p w:rsidR="00ED2AFB" w:rsidRPr="0087389D" w:rsidRDefault="00ED2AFB"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基金托管业务批准文号：证监许可【2009】673号</w:t>
      </w:r>
    </w:p>
    <w:p w:rsidR="00ED2AFB" w:rsidRPr="0087389D" w:rsidRDefault="00ED2AFB"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组织形式：股份有限公司</w:t>
      </w:r>
    </w:p>
    <w:p w:rsidR="00ED2AFB" w:rsidRPr="0087389D" w:rsidRDefault="00ED2AFB"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注册资金：</w:t>
      </w:r>
      <w:r w:rsidR="007551AD" w:rsidRPr="0087389D">
        <w:rPr>
          <w:rFonts w:asciiTheme="minorEastAsia" w:eastAsiaTheme="minorEastAsia" w:hAnsiTheme="minorEastAsia"/>
          <w:szCs w:val="21"/>
        </w:rPr>
        <w:t>810.31亿元人民币</w:t>
      </w:r>
    </w:p>
    <w:p w:rsidR="00ED2AFB" w:rsidRPr="0087389D" w:rsidRDefault="00ED2AFB"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存续期间：持续经营</w:t>
      </w:r>
    </w:p>
    <w:p w:rsidR="004F51D4" w:rsidRPr="0087389D" w:rsidRDefault="00ED2AFB"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经营范围：</w:t>
      </w:r>
      <w:r w:rsidR="002545D5" w:rsidRPr="0087389D">
        <w:rPr>
          <w:rFonts w:asciiTheme="minorEastAsia" w:eastAsiaTheme="minorEastAsia" w:hAnsiTheme="minorEastAsia" w:hint="eastAsia"/>
          <w:kern w:val="0"/>
        </w:rPr>
        <w:t>吸收公众存款；发放短期、中期、长期贷款；办理国内外结算；办理票据承兑和贴现；发行金融债券；代理发行、代理兑付、承销政府债券；买卖政府债券、金融债券；从事同业拆借；买卖、代理买卖外汇；从事银行卡业务；提供信用证服务及担保；代理收付款项及代理保险业务；提供保险箱服务；经中国银行业监督管理机构等监管部门批准的其他业务。</w:t>
      </w:r>
    </w:p>
    <w:p w:rsidR="004F51D4" w:rsidRPr="0087389D" w:rsidRDefault="00DD6D95"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二、基金托管人对基金管理人的业务监督和核查</w:t>
      </w:r>
    </w:p>
    <w:p w:rsidR="006725B6" w:rsidRPr="0087389D" w:rsidRDefault="006725B6"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szCs w:val="21"/>
        </w:rPr>
        <w:t>（一）基金托管人根据有关法律法规的规定及基金合同的约定，对基金投资范围、投资对象进行监督。基金托管人运用相关技术系统，对基金实际投资是否符合基金合同关于证券</w:t>
      </w:r>
      <w:r w:rsidRPr="0087389D">
        <w:rPr>
          <w:rFonts w:asciiTheme="minorEastAsia" w:eastAsiaTheme="minorEastAsia" w:hAnsiTheme="minorEastAsia"/>
          <w:szCs w:val="21"/>
        </w:rPr>
        <w:lastRenderedPageBreak/>
        <w:t>选择标准的约定进行监督，对存在疑义的事项进行核查。</w:t>
      </w:r>
    </w:p>
    <w:p w:rsidR="006725B6" w:rsidRPr="0087389D" w:rsidRDefault="006725B6"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szCs w:val="21"/>
        </w:rPr>
        <w:t>本基金</w:t>
      </w:r>
      <w:r w:rsidRPr="0087389D">
        <w:rPr>
          <w:rFonts w:asciiTheme="minorEastAsia" w:eastAsiaTheme="minorEastAsia" w:hAnsiTheme="minorEastAsia" w:hint="eastAsia"/>
          <w:bCs/>
          <w:szCs w:val="21"/>
        </w:rPr>
        <w:t>的</w:t>
      </w:r>
      <w:r w:rsidRPr="0087389D">
        <w:rPr>
          <w:rFonts w:asciiTheme="minorEastAsia" w:eastAsiaTheme="minorEastAsia" w:hAnsiTheme="minorEastAsia" w:hint="eastAsia"/>
          <w:szCs w:val="21"/>
        </w:rPr>
        <w:t>投资</w:t>
      </w:r>
      <w:r w:rsidRPr="0087389D">
        <w:rPr>
          <w:rFonts w:asciiTheme="minorEastAsia" w:eastAsiaTheme="minorEastAsia" w:hAnsiTheme="minorEastAsia" w:hint="eastAsia"/>
          <w:bCs/>
          <w:szCs w:val="21"/>
        </w:rPr>
        <w:t>范围为具有良好流动性</w:t>
      </w:r>
      <w:r w:rsidRPr="0087389D">
        <w:rPr>
          <w:rFonts w:asciiTheme="minorEastAsia" w:eastAsiaTheme="minorEastAsia" w:hAnsiTheme="minorEastAsia" w:hint="eastAsia"/>
          <w:szCs w:val="21"/>
        </w:rPr>
        <w:t>的金融工具</w:t>
      </w:r>
      <w:r w:rsidRPr="0087389D">
        <w:rPr>
          <w:rFonts w:asciiTheme="minorEastAsia" w:eastAsiaTheme="minorEastAsia" w:hAnsiTheme="minorEastAsia" w:hint="eastAsia"/>
          <w:bCs/>
          <w:szCs w:val="21"/>
        </w:rPr>
        <w:t>，</w:t>
      </w:r>
      <w:r w:rsidRPr="0087389D">
        <w:rPr>
          <w:rFonts w:asciiTheme="minorEastAsia" w:eastAsiaTheme="minorEastAsia" w:hAnsiTheme="minorEastAsia" w:hint="eastAsia"/>
          <w:szCs w:val="21"/>
        </w:rPr>
        <w:t>包括现金，通知存款，一年以内（含一年）的银行定期存款和大额存单，</w:t>
      </w:r>
      <w:r w:rsidRPr="0087389D">
        <w:rPr>
          <w:rFonts w:asciiTheme="minorEastAsia" w:eastAsiaTheme="minorEastAsia" w:hAnsiTheme="minorEastAsia" w:hint="eastAsia"/>
          <w:bCs/>
          <w:szCs w:val="21"/>
        </w:rPr>
        <w:t>短期融资券，</w:t>
      </w:r>
      <w:r w:rsidRPr="0087389D">
        <w:rPr>
          <w:rFonts w:asciiTheme="minorEastAsia" w:eastAsiaTheme="minorEastAsia" w:hAnsiTheme="minorEastAsia" w:hint="eastAsia"/>
          <w:szCs w:val="21"/>
        </w:rPr>
        <w:t>剩余期限在397天以内（含397天）的债券、</w:t>
      </w:r>
      <w:r w:rsidRPr="0087389D">
        <w:rPr>
          <w:rFonts w:asciiTheme="minorEastAsia" w:eastAsiaTheme="minorEastAsia" w:hAnsiTheme="minorEastAsia" w:hint="eastAsia"/>
          <w:bCs/>
          <w:szCs w:val="21"/>
        </w:rPr>
        <w:t>中期票据、</w:t>
      </w:r>
      <w:r w:rsidRPr="0087389D">
        <w:rPr>
          <w:rFonts w:asciiTheme="minorEastAsia" w:eastAsiaTheme="minorEastAsia" w:hAnsiTheme="minorEastAsia" w:hint="eastAsia"/>
          <w:szCs w:val="21"/>
        </w:rPr>
        <w:t>资产支持证券，期限在一年以内（含一年）的债券回购，</w:t>
      </w:r>
      <w:r w:rsidRPr="0087389D">
        <w:rPr>
          <w:rFonts w:asciiTheme="minorEastAsia" w:eastAsiaTheme="minorEastAsia" w:hAnsiTheme="minorEastAsia" w:hint="eastAsia"/>
          <w:bCs/>
          <w:szCs w:val="21"/>
        </w:rPr>
        <w:t>剩余</w:t>
      </w:r>
      <w:r w:rsidRPr="0087389D">
        <w:rPr>
          <w:rFonts w:asciiTheme="minorEastAsia" w:eastAsiaTheme="minorEastAsia" w:hAnsiTheme="minorEastAsia" w:hint="eastAsia"/>
          <w:szCs w:val="21"/>
        </w:rPr>
        <w:t>期限在一年以内（含一年）中央银行票据</w:t>
      </w:r>
      <w:r w:rsidRPr="0087389D">
        <w:rPr>
          <w:rFonts w:asciiTheme="minorEastAsia" w:eastAsiaTheme="minorEastAsia" w:hAnsiTheme="minorEastAsia" w:hint="eastAsia"/>
          <w:bCs/>
          <w:szCs w:val="21"/>
        </w:rPr>
        <w:t>以及</w:t>
      </w:r>
      <w:r w:rsidRPr="0087389D">
        <w:rPr>
          <w:rFonts w:asciiTheme="minorEastAsia" w:eastAsiaTheme="minorEastAsia" w:hAnsiTheme="minorEastAsia" w:hint="eastAsia"/>
          <w:szCs w:val="21"/>
        </w:rPr>
        <w:t>法律法规或中国证监会允许货币市场基金投资的其他金融工具。</w:t>
      </w:r>
    </w:p>
    <w:p w:rsidR="006725B6" w:rsidRPr="0087389D" w:rsidRDefault="006725B6"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如法律法规或监管机构以后对货币市场基金的投资范围与限制进行调整，本基金将随之调整。</w:t>
      </w:r>
    </w:p>
    <w:p w:rsidR="006725B6" w:rsidRPr="0087389D" w:rsidRDefault="006725B6"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szCs w:val="21"/>
        </w:rPr>
        <w:t>基金托管人</w:t>
      </w:r>
      <w:r w:rsidRPr="0087389D">
        <w:rPr>
          <w:rFonts w:asciiTheme="minorEastAsia" w:eastAsiaTheme="minorEastAsia" w:hAnsiTheme="minorEastAsia" w:hint="eastAsia"/>
          <w:szCs w:val="21"/>
        </w:rPr>
        <w:t>严格</w:t>
      </w:r>
      <w:r w:rsidRPr="0087389D">
        <w:rPr>
          <w:rFonts w:asciiTheme="minorEastAsia" w:eastAsiaTheme="minorEastAsia" w:hAnsiTheme="minorEastAsia"/>
          <w:szCs w:val="21"/>
        </w:rPr>
        <w:t>根据有关法律法规的规定及基金合同的约定，对基金投资范围、投资对象进行监督</w:t>
      </w:r>
      <w:r w:rsidRPr="0087389D">
        <w:rPr>
          <w:rFonts w:asciiTheme="minorEastAsia" w:eastAsiaTheme="minorEastAsia" w:hAnsiTheme="minorEastAsia" w:hint="eastAsia"/>
          <w:szCs w:val="21"/>
        </w:rPr>
        <w:t>，基金托管人履行了监督职责的，基金管理人仍违反法律法规规定或基金合同约定的投资范围、投资对象造成基金财产损失的，由基金管理人承担责任，基金托管人不承担任何责任。</w:t>
      </w:r>
    </w:p>
    <w:p w:rsidR="006725B6" w:rsidRPr="0087389D" w:rsidRDefault="006725B6"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szCs w:val="21"/>
        </w:rPr>
        <w:t>（二）基金托管人根据有关法律法规的规定及基金合同的约定，对基金投资、融资</w:t>
      </w:r>
      <w:r w:rsidRPr="0087389D">
        <w:rPr>
          <w:rFonts w:asciiTheme="minorEastAsia" w:eastAsiaTheme="minorEastAsia" w:hAnsiTheme="minorEastAsia" w:hint="eastAsia"/>
          <w:szCs w:val="21"/>
        </w:rPr>
        <w:t>、融券</w:t>
      </w:r>
      <w:r w:rsidRPr="0087389D">
        <w:rPr>
          <w:rFonts w:asciiTheme="minorEastAsia" w:eastAsiaTheme="minorEastAsia" w:hAnsiTheme="minorEastAsia"/>
          <w:szCs w:val="21"/>
        </w:rPr>
        <w:t>比例进行监督。基金托管人按下述比例和调整期限进行监督：</w:t>
      </w:r>
    </w:p>
    <w:p w:rsidR="006725B6" w:rsidRPr="0087389D" w:rsidRDefault="006725B6"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1</w:t>
      </w:r>
      <w:r w:rsidRPr="0087389D">
        <w:rPr>
          <w:rFonts w:asciiTheme="minorEastAsia" w:eastAsiaTheme="minorEastAsia" w:hAnsiTheme="minorEastAsia" w:hint="eastAsia"/>
          <w:bCs/>
          <w:szCs w:val="21"/>
        </w:rPr>
        <w:t>、本基金不得投资于以下金融工具：</w:t>
      </w:r>
    </w:p>
    <w:p w:rsidR="006725B6" w:rsidRPr="0087389D" w:rsidRDefault="006725B6"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（1）股票；</w:t>
      </w:r>
    </w:p>
    <w:p w:rsidR="006725B6" w:rsidRPr="0087389D" w:rsidRDefault="006725B6"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（2）可转换债券；</w:t>
      </w:r>
    </w:p>
    <w:p w:rsidR="006725B6" w:rsidRPr="0087389D" w:rsidRDefault="006725B6"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（3）剩余期限超过397天的债券；</w:t>
      </w:r>
    </w:p>
    <w:p w:rsidR="006725B6" w:rsidRPr="0087389D" w:rsidRDefault="006725B6"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（4）信用等级低于AAA级的企业债券；</w:t>
      </w:r>
    </w:p>
    <w:p w:rsidR="006725B6" w:rsidRPr="0087389D" w:rsidRDefault="006725B6"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（5）以定期存款利率为基准利率的浮动利率债券；</w:t>
      </w:r>
    </w:p>
    <w:p w:rsidR="006725B6" w:rsidRPr="0087389D" w:rsidRDefault="006725B6"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（6）流通受限证券；</w:t>
      </w:r>
    </w:p>
    <w:p w:rsidR="006725B6" w:rsidRPr="0087389D" w:rsidRDefault="006725B6"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（7）权证；</w:t>
      </w:r>
    </w:p>
    <w:p w:rsidR="006725B6" w:rsidRPr="0087389D" w:rsidRDefault="006725B6"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（8）中国证监会、中国人民银行禁止投资的其他金融工具。</w:t>
      </w:r>
    </w:p>
    <w:p w:rsidR="006725B6" w:rsidRPr="0087389D" w:rsidRDefault="006725B6"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法律法规或监管部门取消上述限制后，本基金不受上述规定的限制。</w:t>
      </w:r>
    </w:p>
    <w:p w:rsidR="006725B6" w:rsidRPr="0087389D" w:rsidRDefault="006725B6"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2</w:t>
      </w:r>
      <w:r w:rsidRPr="0087389D">
        <w:rPr>
          <w:rFonts w:asciiTheme="minorEastAsia" w:eastAsiaTheme="minorEastAsia" w:hAnsiTheme="minorEastAsia" w:hint="eastAsia"/>
          <w:bCs/>
          <w:szCs w:val="21"/>
        </w:rPr>
        <w:t>、本基金的投资组合将遵循以下比例限制：</w:t>
      </w:r>
    </w:p>
    <w:p w:rsidR="00C5109D" w:rsidRPr="0087389D" w:rsidRDefault="00C5109D" w:rsidP="00C5109D">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（1）本基金投资组合的平均剩余期限不得超过120天，平均剩余存续期不得超过240天；</w:t>
      </w:r>
    </w:p>
    <w:p w:rsidR="00C5109D" w:rsidRPr="0087389D" w:rsidRDefault="00C5109D" w:rsidP="00C5109D">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（2）本基金持有同一机构发行的债券、非金融企业债务融资工具及其作为原始权益人的资产支持证券占基金资产净值的比例合计不得超过10%，国债、中央银行票据、政策性金融债券除外；</w:t>
      </w:r>
    </w:p>
    <w:p w:rsidR="00C5109D" w:rsidRPr="0087389D" w:rsidRDefault="00C5109D" w:rsidP="00C5109D">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（3）本基金持有一家公司发行的证券，其市值不得超过基金资产净值的10%；本基金与由基金管理人管理的其他全部基金持有一家公司发行的证券，不得超过该证券的10%；</w:t>
      </w:r>
    </w:p>
    <w:p w:rsidR="00C5109D" w:rsidRPr="0087389D" w:rsidRDefault="00C5109D" w:rsidP="00C5109D">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（4）本基金投资于有固定期限银行存款的比例，不得超过基金资产净值的30%，但投资于有存款期限，根据协议可提前支取的银行存款不受上述比例限制；本基金投资于具有基</w:t>
      </w:r>
      <w:r w:rsidRPr="0087389D">
        <w:rPr>
          <w:rFonts w:asciiTheme="minorEastAsia" w:eastAsiaTheme="minorEastAsia" w:hAnsiTheme="minorEastAsia" w:hint="eastAsia"/>
          <w:bCs/>
          <w:szCs w:val="21"/>
        </w:rPr>
        <w:lastRenderedPageBreak/>
        <w:t>金托管人资格的同一商业银行的银行存款、同业存单占基金资产净值的比例合计不得超过20%，投资于不具有基金托管人资格的同一商业银行的银行存款、同业存单占基金资产净值的比例合计不得超过5%</w:t>
      </w:r>
    </w:p>
    <w:p w:rsidR="00C5109D" w:rsidRPr="0087389D" w:rsidRDefault="00C5109D" w:rsidP="00C5109D">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（5）本基金应保持足够比例的流动性资产以应对潜在的赎回要求，其投资组合应当符合下列规定：</w:t>
      </w:r>
    </w:p>
    <w:p w:rsidR="00C5109D" w:rsidRPr="0087389D" w:rsidRDefault="00C5109D" w:rsidP="00C5109D">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1）现金、国债、中央银行票据、政策性金融债券占基金资产净值的比例合计不得低于5%，其中现金不包括结算备付金、存出保证金、应收申购款等；</w:t>
      </w:r>
    </w:p>
    <w:p w:rsidR="00C5109D" w:rsidRPr="0087389D" w:rsidRDefault="00C5109D" w:rsidP="00C5109D">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2）现金、国债、中央银行票据、政策性金融债券以及五个交易日内到期的其他金融工具占基金资产净值的比例合计不得低于10%；</w:t>
      </w:r>
    </w:p>
    <w:p w:rsidR="00C5109D" w:rsidRPr="0087389D" w:rsidRDefault="00C5109D" w:rsidP="00C5109D">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3）到期日在10个交易日以上的逆回购、银行定期存款等流动性受限资产投资占基金资产净值的比例合计不得超过30%；</w:t>
      </w:r>
    </w:p>
    <w:p w:rsidR="00C5109D" w:rsidRPr="0087389D" w:rsidRDefault="00C5109D" w:rsidP="00C5109D">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4）除发生巨额赎回、连续3个交易日累计赎回20%以上或者连续5个交易日累计赎回30%以上的情形外，本基金债券正回购的资金余额占基金资产净值的比例不得超过20%；</w:t>
      </w:r>
    </w:p>
    <w:p w:rsidR="00C5109D" w:rsidRPr="0087389D" w:rsidRDefault="00C5109D" w:rsidP="00C5109D">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（6）本基金基金总资产不得超过基金净资产的140%；</w:t>
      </w:r>
    </w:p>
    <w:p w:rsidR="00C5109D" w:rsidRPr="0087389D" w:rsidRDefault="00C5109D" w:rsidP="00C5109D">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（7）本基金在全国银行间同业市场的债券回购最长期限为1年，债券回购到期后不得展期；</w:t>
      </w:r>
    </w:p>
    <w:p w:rsidR="00C5109D" w:rsidRPr="0087389D" w:rsidRDefault="00C5109D" w:rsidP="00C5109D">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8）本基金投资于同一原始权益人的各类资产支持证券的比例，不得超过基金资产净值的10%；本基金持有的全部资产支持证券，其市值不得超过基金资产净值的20%；本基金持有的同一(指同一信用级别)资产支持证券的比例，不得超过该资产支持证券规模的10%；本基金管理人管理的全部基金投资于同一原始权益人的各类资产支持证券，不得超过其各类资产支持证券合计规模的10%；</w:t>
      </w:r>
    </w:p>
    <w:p w:rsidR="00C5109D" w:rsidRPr="0087389D" w:rsidRDefault="00C5109D" w:rsidP="00C5109D">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9）本基金主动投资于流动性受限资产的市值合计不得超过基金资产净值的10%。因证券市场波动、证券停牌、基金规模变动等基金管理人之外的因素致使基金不符合前款所规定比例限制的，基金管理人不得主动新增流动性受限资产的投资。</w:t>
      </w:r>
    </w:p>
    <w:p w:rsidR="00C5109D" w:rsidRPr="0087389D" w:rsidRDefault="00C5109D" w:rsidP="00C5109D">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10）本基金投资于主体信用评级低于AAA的机构发行的金融工具占基金资产净值的比例合计不得超过10%，其中单一机构发行的金融工具占基金资产净值的比例合计不得超过2%。前述金融工具包括债券、非金融企业债务融资工具、银行存款、同业存单、相关机构作为原始权益人的资产支持证券及中国证监会认定的其他品种。本基金拟投资于主体信用评级低于AA+的商业银行的银行存款与同业存单的，应当经基金管理人董事会审议批准，相关交易应当事先征得基金托管人的同意，并作为重大事项履行信息披露程序。</w:t>
      </w:r>
    </w:p>
    <w:p w:rsidR="00C5109D" w:rsidRPr="0087389D" w:rsidRDefault="00C5109D" w:rsidP="00C5109D">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（11）本基金根据份额持有人集中度情况对本基金的投资组合实施调整，并遵守以下要求：</w:t>
      </w:r>
    </w:p>
    <w:p w:rsidR="00C5109D" w:rsidRPr="0087389D" w:rsidRDefault="00C5109D" w:rsidP="00C5109D">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1）当本基金前10名份额持有人的持有份额合计超过基金总份额的50%时，本基金投资组合的平均剩余期限不得超过60天，平均剩余存续期不得超过120天；投资组合中现金、</w:t>
      </w:r>
      <w:r w:rsidRPr="0087389D">
        <w:rPr>
          <w:rFonts w:asciiTheme="minorEastAsia" w:eastAsiaTheme="minorEastAsia" w:hAnsiTheme="minorEastAsia" w:hint="eastAsia"/>
          <w:bCs/>
          <w:szCs w:val="21"/>
        </w:rPr>
        <w:lastRenderedPageBreak/>
        <w:t>国债、中央银行票据、政策性金融债券以及5个交易日内到期的其他金融工具占基金资产净值的比例合计不得低于30%。</w:t>
      </w:r>
    </w:p>
    <w:p w:rsidR="00C5109D" w:rsidRPr="0087389D" w:rsidRDefault="00C5109D" w:rsidP="00C5109D">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2）当本基金前10名份额持有人的持有份额合计超过基金总份额的20%时，本基金投资组合的平均剩余期限不得超过90天，平均剩余存续期不得超过180天；投资组合中现金、国债、中央银行票据、政策性金融债券以及5个交易日内到期的其他金融工具占基金资产净值的比例合计不得低于20%。</w:t>
      </w:r>
    </w:p>
    <w:p w:rsidR="00C5109D" w:rsidRPr="0087389D" w:rsidRDefault="00C5109D" w:rsidP="00C5109D">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（12）本基金与私募类证券资管产品及中国证监会认定的其他主体为交易对手开展逆回购交易的，可接受质押品的资质要求应当与基金合同约定的投资范围保持一致。</w:t>
      </w:r>
    </w:p>
    <w:p w:rsidR="00C5109D" w:rsidRPr="0087389D" w:rsidRDefault="00C5109D" w:rsidP="00C5109D">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（13）中国证监会规定的其他比例限制。</w:t>
      </w:r>
    </w:p>
    <w:p w:rsidR="00C5109D" w:rsidRPr="0087389D" w:rsidRDefault="00C5109D" w:rsidP="00C5109D">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除第（1）、（5）之1）、（9）、（12）项外，因市场波动、基金规模变动等基金管理人之外的因素致使基金投资不符合上述规定投资比例的，基金管理人应当在10个交易日内进行调整，但中国证监会规定或上述条款另有约定的特殊情形除外。法律法规另有规定的，从其规定。</w:t>
      </w:r>
    </w:p>
    <w:p w:rsidR="00C5109D" w:rsidRPr="0087389D" w:rsidRDefault="00C5109D" w:rsidP="00C5109D">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3、本基金投资的资产支持证券须具有评级资质的资信评级机构进行持续信用评级，且其信用评级应不低于国内信用评级机构评定的AAA级或相当于AAA级的信用级别。</w:t>
      </w:r>
    </w:p>
    <w:p w:rsidR="00C5109D" w:rsidRPr="0087389D" w:rsidRDefault="00C5109D" w:rsidP="00C5109D">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本基金持有的资产支持证券信用等级下降、不再符合投资标准的，基金管理人应在评级报告发布之日起3个月内对其予以全部卖出。</w:t>
      </w:r>
    </w:p>
    <w:p w:rsidR="00C5109D" w:rsidRPr="0087389D" w:rsidRDefault="00C5109D" w:rsidP="00C5109D">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4、若法律法规或中国证监会的相关规定发生修改或变更，以修改或变更后的规定为准。</w:t>
      </w:r>
    </w:p>
    <w:p w:rsidR="00C5109D" w:rsidRPr="0087389D" w:rsidRDefault="00C5109D" w:rsidP="00C5109D">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基金管理人应当自基金合同生效之日起6个月内使基金的投资组合比例符合基金合同的有关约定。基金托管人对基金的投资的监督与检查自本基金合同生效之日起。</w:t>
      </w:r>
    </w:p>
    <w:p w:rsidR="00C5109D" w:rsidRPr="0087389D" w:rsidRDefault="00C5109D" w:rsidP="00C5109D">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如果法律法规及监管政策等对基金合同约定的投资禁止行为和投资组合比例限制进行变更的，本基金可相应调整禁止行为和投资比例限制规定，不需经基金份额持有人大会审议。《基金法》及其他有关法律法规或监管部门取消上述限制的，本基金不受上述限制。</w:t>
      </w:r>
    </w:p>
    <w:p w:rsidR="006725B6" w:rsidRPr="0087389D" w:rsidRDefault="00C5109D"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基金托管人对基金投资的监督和检查自《基金合同》生效之日起开始。基金托管人严格依照监督程序对基金投资、融资、融券比例进行监督，基金托管人履行了监督职责的，基金管理人仍违反法律法规规定或基金合同约定的投资、融资、融券比例限制造成基金财产损失的，由基金管理人承担责任，基金托管人不承担任何责任。</w:t>
      </w:r>
    </w:p>
    <w:p w:rsidR="006725B6" w:rsidRPr="0087389D" w:rsidRDefault="006725B6"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（三）</w:t>
      </w:r>
      <w:r w:rsidRPr="0087389D">
        <w:rPr>
          <w:rFonts w:asciiTheme="minorEastAsia" w:eastAsiaTheme="minorEastAsia" w:hAnsiTheme="minorEastAsia" w:hint="eastAsia"/>
          <w:bCs/>
          <w:szCs w:val="21"/>
        </w:rPr>
        <w:t>基金托管人根据有关法律法规的规定及《基金合同》的约定对下述基金投资禁止行为进行监督。</w:t>
      </w:r>
    </w:p>
    <w:p w:rsidR="006725B6" w:rsidRPr="0087389D" w:rsidRDefault="006725B6"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根据法律法规的规定及《基金合同》的约定，基金财产不得用于下列投资或者活动：</w:t>
      </w:r>
    </w:p>
    <w:p w:rsidR="006725B6" w:rsidRPr="0087389D" w:rsidRDefault="006725B6"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1、承销证券；</w:t>
      </w:r>
    </w:p>
    <w:p w:rsidR="006725B6" w:rsidRPr="0087389D" w:rsidRDefault="006725B6"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2、</w:t>
      </w:r>
      <w:r w:rsidRPr="0087389D">
        <w:rPr>
          <w:rFonts w:asciiTheme="minorEastAsia" w:eastAsiaTheme="minorEastAsia" w:hAnsiTheme="minorEastAsia" w:hint="eastAsia"/>
          <w:bCs/>
          <w:szCs w:val="21"/>
        </w:rPr>
        <w:t>违反规定</w:t>
      </w:r>
      <w:r w:rsidRPr="0087389D">
        <w:rPr>
          <w:rFonts w:asciiTheme="minorEastAsia" w:eastAsiaTheme="minorEastAsia" w:hAnsiTheme="minorEastAsia" w:hint="eastAsia"/>
          <w:szCs w:val="21"/>
        </w:rPr>
        <w:t>向他人贷款或者提供担保；</w:t>
      </w:r>
    </w:p>
    <w:p w:rsidR="006725B6" w:rsidRPr="0087389D" w:rsidRDefault="006725B6"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3、从事承担无限责任的投资；</w:t>
      </w:r>
    </w:p>
    <w:p w:rsidR="006725B6" w:rsidRPr="0087389D" w:rsidRDefault="006725B6"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4、买卖其他基金份额，但是</w:t>
      </w:r>
      <w:r w:rsidRPr="0087389D">
        <w:rPr>
          <w:rFonts w:asciiTheme="minorEastAsia" w:eastAsiaTheme="minorEastAsia" w:hAnsiTheme="minorEastAsia" w:hint="eastAsia"/>
          <w:bCs/>
          <w:szCs w:val="21"/>
        </w:rPr>
        <w:t>中国证监会</w:t>
      </w:r>
      <w:r w:rsidRPr="0087389D">
        <w:rPr>
          <w:rFonts w:asciiTheme="minorEastAsia" w:eastAsiaTheme="minorEastAsia" w:hAnsiTheme="minorEastAsia" w:hint="eastAsia"/>
          <w:szCs w:val="21"/>
        </w:rPr>
        <w:t>另有规定的除外；</w:t>
      </w:r>
    </w:p>
    <w:p w:rsidR="006725B6" w:rsidRPr="0087389D" w:rsidRDefault="006725B6"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lastRenderedPageBreak/>
        <w:t>5、向本基金的基金管理人、基金托管人出资；</w:t>
      </w:r>
    </w:p>
    <w:p w:rsidR="006725B6" w:rsidRPr="0087389D" w:rsidRDefault="006725B6"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6、从事内幕交易、操纵证券交易价格及其他不正当的证券交易活动；</w:t>
      </w:r>
    </w:p>
    <w:p w:rsidR="006725B6" w:rsidRPr="0087389D" w:rsidRDefault="006725B6"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7、</w:t>
      </w:r>
      <w:r w:rsidRPr="0087389D">
        <w:rPr>
          <w:rFonts w:asciiTheme="minorEastAsia" w:eastAsiaTheme="minorEastAsia" w:hAnsiTheme="minorEastAsia" w:hint="eastAsia"/>
          <w:bCs/>
          <w:szCs w:val="21"/>
        </w:rPr>
        <w:t>法律、行政法规和</w:t>
      </w:r>
      <w:r w:rsidRPr="0087389D">
        <w:rPr>
          <w:rFonts w:asciiTheme="minorEastAsia" w:eastAsiaTheme="minorEastAsia" w:hAnsiTheme="minorEastAsia" w:hint="eastAsia"/>
          <w:szCs w:val="21"/>
        </w:rPr>
        <w:t>中国证监会规定禁止的其他活动。</w:t>
      </w:r>
    </w:p>
    <w:p w:rsidR="006725B6" w:rsidRPr="0087389D" w:rsidRDefault="006725B6"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如</w:t>
      </w:r>
      <w:r w:rsidRPr="0087389D">
        <w:rPr>
          <w:rFonts w:asciiTheme="minorEastAsia" w:eastAsiaTheme="minorEastAsia" w:hAnsiTheme="minorEastAsia"/>
          <w:szCs w:val="21"/>
        </w:rPr>
        <w:t>法律法规或监管部门</w:t>
      </w:r>
      <w:r w:rsidRPr="0087389D">
        <w:rPr>
          <w:rFonts w:asciiTheme="minorEastAsia" w:eastAsiaTheme="minorEastAsia" w:hAnsiTheme="minorEastAsia" w:hint="eastAsia"/>
          <w:szCs w:val="21"/>
        </w:rPr>
        <w:t>取消上述禁止性规定，本基金可不受上述规定的限制</w:t>
      </w:r>
      <w:r w:rsidRPr="0087389D">
        <w:rPr>
          <w:rFonts w:asciiTheme="minorEastAsia" w:eastAsiaTheme="minorEastAsia" w:hAnsiTheme="minorEastAsia"/>
          <w:szCs w:val="21"/>
        </w:rPr>
        <w:t>。</w:t>
      </w:r>
    </w:p>
    <w:p w:rsidR="006725B6" w:rsidRPr="0087389D" w:rsidRDefault="006725B6"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基金托管人履行了监督职责，基金管理人仍违反法律法规规定或基金合同约定的投资禁止行为而造成基金财产损失的，由基金管理人承担责任，基金托管人不承担任何责任。</w:t>
      </w:r>
    </w:p>
    <w:p w:rsidR="006725B6" w:rsidRPr="0087389D" w:rsidRDefault="006725B6"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szCs w:val="21"/>
        </w:rPr>
        <w:t>（四）</w:t>
      </w:r>
      <w:r w:rsidRPr="0087389D">
        <w:rPr>
          <w:rFonts w:asciiTheme="minorEastAsia" w:eastAsiaTheme="minorEastAsia" w:hAnsiTheme="minorEastAsia" w:hint="eastAsia"/>
          <w:szCs w:val="21"/>
        </w:rPr>
        <w:t>基金托管人依据有关法律法规的规定和《基金合同》的约定对于基金关联投资进行监督。</w:t>
      </w:r>
    </w:p>
    <w:p w:rsidR="006725B6" w:rsidRPr="0087389D" w:rsidRDefault="001B77B7"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根据法律法规有关基金从事的关联交易的规定，基金管理人和基金托管人应事先相互提供与本机构有控股关系的股东或与本机构有其他重大利害关系的公司名单及其更新，加盖公章并书面提交，并确保所提供的关联交易名单的真实性、完整性、全面性。基金管理人有责任保管真实、完整、全面的关联交易名单，并负责及时更新该名单。名单变更后基金管理人应及时发送基金托管人，基金托管人于2个工作日内进行向基金管理人电话确认已知名单的变更。相关交易必须事先得到基金托管人的同意，并按法律法规予以披露。如果基金托管人在运作中严格履行了监督职责，基金管理人仍违规进行关联交易，并造成基金资产损失的，由基金管理人承担责任，基金托管人不承担任何责任。</w:t>
      </w:r>
    </w:p>
    <w:p w:rsidR="006725B6" w:rsidRPr="0087389D" w:rsidRDefault="006725B6"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（五）</w:t>
      </w:r>
      <w:r w:rsidRPr="0087389D">
        <w:rPr>
          <w:rFonts w:asciiTheme="minorEastAsia" w:eastAsiaTheme="minorEastAsia" w:hAnsiTheme="minorEastAsia"/>
          <w:szCs w:val="21"/>
        </w:rPr>
        <w:t>基金托管人根据有关法律法规的规定及基金合同的约定，对基金管理人参与银行间债券市场进行监督。</w:t>
      </w:r>
    </w:p>
    <w:p w:rsidR="006725B6" w:rsidRPr="0087389D" w:rsidRDefault="006725B6"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1、基金托管人依据有关法律法规的规定和《基金合同》的约定对于基金管理人参与银行间市场交易时面临的交易对手资信风险进行监督。</w:t>
      </w:r>
    </w:p>
    <w:p w:rsidR="006725B6" w:rsidRPr="0087389D" w:rsidRDefault="006725B6"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szCs w:val="21"/>
        </w:rPr>
        <w:t>基金管理人应在基金投资运作之前向基金托管人提供经慎重选择的、本基金适用的银行间债券市场交易对手名单</w:t>
      </w:r>
      <w:r w:rsidRPr="0087389D">
        <w:rPr>
          <w:rFonts w:asciiTheme="minorEastAsia" w:eastAsiaTheme="minorEastAsia" w:hAnsiTheme="minorEastAsia" w:hint="eastAsia"/>
          <w:szCs w:val="21"/>
        </w:rPr>
        <w:t>，并按照审慎的风险控制原则在该名单中约定各交易对手所适用的交易结算方式</w:t>
      </w:r>
      <w:r w:rsidRPr="0087389D">
        <w:rPr>
          <w:rFonts w:asciiTheme="minorEastAsia" w:eastAsiaTheme="minorEastAsia" w:hAnsiTheme="minorEastAsia"/>
          <w:szCs w:val="21"/>
        </w:rPr>
        <w:t>。</w:t>
      </w:r>
      <w:r w:rsidRPr="0087389D">
        <w:rPr>
          <w:rFonts w:asciiTheme="minorEastAsia" w:eastAsiaTheme="minorEastAsia" w:hAnsiTheme="minorEastAsia" w:hint="eastAsia"/>
          <w:szCs w:val="21"/>
        </w:rPr>
        <w:t>基金托管人在收到名单后2个工作日内电话确认收到该名单。</w:t>
      </w:r>
      <w:r w:rsidRPr="0087389D">
        <w:rPr>
          <w:rFonts w:asciiTheme="minorEastAsia" w:eastAsiaTheme="minorEastAsia" w:hAnsiTheme="minorEastAsia"/>
          <w:szCs w:val="21"/>
        </w:rPr>
        <w:t>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sidRPr="0087389D">
        <w:rPr>
          <w:rFonts w:asciiTheme="minorEastAsia" w:eastAsiaTheme="minorEastAsia" w:hAnsiTheme="minorEastAsia" w:hint="eastAsia"/>
          <w:szCs w:val="21"/>
        </w:rPr>
        <w:t>2</w:t>
      </w:r>
      <w:r w:rsidRPr="0087389D">
        <w:rPr>
          <w:rFonts w:asciiTheme="minorEastAsia" w:eastAsiaTheme="minorEastAsia" w:hAnsiTheme="minorEastAsia"/>
          <w:szCs w:val="21"/>
        </w:rPr>
        <w:t>个工作日内与基金托管人</w:t>
      </w:r>
      <w:r w:rsidRPr="0087389D">
        <w:rPr>
          <w:rFonts w:asciiTheme="minorEastAsia" w:eastAsiaTheme="minorEastAsia" w:hAnsiTheme="minorEastAsia" w:hint="eastAsia"/>
          <w:szCs w:val="21"/>
        </w:rPr>
        <w:t>确认，基金托管人于1个工作日内向基金管理人电话确认，新名单自基金托管人确认当日生效</w:t>
      </w:r>
      <w:r w:rsidRPr="0087389D">
        <w:rPr>
          <w:rFonts w:asciiTheme="minorEastAsia" w:eastAsiaTheme="minorEastAsia" w:hAnsiTheme="minorEastAsia"/>
          <w:szCs w:val="21"/>
        </w:rPr>
        <w:t>。</w:t>
      </w:r>
      <w:r w:rsidRPr="0087389D">
        <w:rPr>
          <w:rFonts w:asciiTheme="minorEastAsia" w:eastAsiaTheme="minorEastAsia" w:hAnsiTheme="minorEastAsia" w:hint="eastAsia"/>
          <w:szCs w:val="21"/>
        </w:rPr>
        <w:t>新名单生效前已与本次剔除的交易对手所进行但尚未结算的交易，仍应按照协议进行结算</w:t>
      </w:r>
      <w:r w:rsidRPr="0087389D">
        <w:rPr>
          <w:rFonts w:asciiTheme="minorEastAsia" w:eastAsiaTheme="minorEastAsia" w:hAnsiTheme="minorEastAsia"/>
          <w:szCs w:val="21"/>
        </w:rPr>
        <w:t>。</w:t>
      </w:r>
    </w:p>
    <w:p w:rsidR="006725B6" w:rsidRPr="0087389D" w:rsidRDefault="006725B6"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6725B6" w:rsidRPr="0087389D" w:rsidRDefault="006725B6"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2、基金托管人对于基金管理人参与银行间市场交易的交易方式的控制</w:t>
      </w:r>
    </w:p>
    <w:p w:rsidR="006725B6" w:rsidRPr="0087389D" w:rsidRDefault="006725B6"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szCs w:val="21"/>
        </w:rPr>
        <w:t>基金管理人负责对交易对手的资信控制</w:t>
      </w:r>
      <w:r w:rsidRPr="0087389D">
        <w:rPr>
          <w:rFonts w:asciiTheme="minorEastAsia" w:eastAsiaTheme="minorEastAsia" w:hAnsiTheme="minorEastAsia" w:hint="eastAsia"/>
          <w:szCs w:val="21"/>
        </w:rPr>
        <w:t>和交易方式进行控制</w:t>
      </w:r>
      <w:r w:rsidRPr="0087389D">
        <w:rPr>
          <w:rFonts w:asciiTheme="minorEastAsia" w:eastAsiaTheme="minorEastAsia" w:hAnsiTheme="minorEastAsia"/>
          <w:szCs w:val="21"/>
        </w:rPr>
        <w:t>，按银行间债券市场的交易</w:t>
      </w:r>
      <w:r w:rsidRPr="0087389D">
        <w:rPr>
          <w:rFonts w:asciiTheme="minorEastAsia" w:eastAsiaTheme="minorEastAsia" w:hAnsiTheme="minorEastAsia"/>
          <w:szCs w:val="21"/>
        </w:rPr>
        <w:lastRenderedPageBreak/>
        <w:t>规则进行交易，基金托管人则根据银行间债券市场成交单对合同履行情况进行监督。</w:t>
      </w:r>
      <w:r w:rsidRPr="0087389D">
        <w:rPr>
          <w:rFonts w:asciiTheme="minorEastAsia" w:eastAsiaTheme="minorEastAsia" w:hAnsiTheme="minorEastAsia" w:hint="eastAsia"/>
          <w:szCs w:val="21"/>
        </w:rPr>
        <w:t>如基金托管人发现基金管理人没有按照事先约定的交易对手或交易方式进行交易时，基金托管人应及时提醒基金管理人撤销交易，基金管理人仍不撤销的，基金托管人不承担由此造成的任何损失和责任，法律法规另有规定的除外</w:t>
      </w:r>
      <w:r w:rsidRPr="0087389D">
        <w:rPr>
          <w:rFonts w:asciiTheme="minorEastAsia" w:eastAsiaTheme="minorEastAsia" w:hAnsiTheme="minorEastAsia"/>
          <w:szCs w:val="21"/>
        </w:rPr>
        <w:t>。因交易对手不履行合同造成的基金财产的损失，基金托管人不承担责任</w:t>
      </w:r>
      <w:r w:rsidRPr="0087389D">
        <w:rPr>
          <w:rFonts w:asciiTheme="minorEastAsia" w:eastAsiaTheme="minorEastAsia" w:hAnsiTheme="minorEastAsia" w:hint="eastAsia"/>
          <w:szCs w:val="21"/>
        </w:rPr>
        <w:t>，但有权报告</w:t>
      </w:r>
      <w:r w:rsidRPr="0087389D">
        <w:rPr>
          <w:rFonts w:asciiTheme="minorEastAsia" w:eastAsiaTheme="minorEastAsia" w:hAnsiTheme="minorEastAsia"/>
          <w:szCs w:val="21"/>
        </w:rPr>
        <w:t>中国证监会</w:t>
      </w:r>
      <w:r w:rsidRPr="0087389D">
        <w:rPr>
          <w:rFonts w:asciiTheme="minorEastAsia" w:eastAsiaTheme="minorEastAsia" w:hAnsiTheme="minorEastAsia" w:hint="eastAsia"/>
          <w:szCs w:val="21"/>
        </w:rPr>
        <w:t>，法律法规另有规定的除外</w:t>
      </w:r>
      <w:r w:rsidRPr="0087389D">
        <w:rPr>
          <w:rFonts w:asciiTheme="minorEastAsia" w:eastAsiaTheme="minorEastAsia" w:hAnsiTheme="minorEastAsia"/>
          <w:szCs w:val="21"/>
        </w:rPr>
        <w:t>。</w:t>
      </w:r>
    </w:p>
    <w:p w:rsidR="006725B6" w:rsidRPr="0087389D" w:rsidRDefault="006725B6"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基金管理人在银行间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基金管理人仍不重新确定交易方式的，基金托管人不承担由此造成的任何损失和责任，法律法规另有规定的除外</w:t>
      </w:r>
      <w:r w:rsidRPr="0087389D">
        <w:rPr>
          <w:rFonts w:asciiTheme="minorEastAsia" w:eastAsiaTheme="minorEastAsia" w:hAnsiTheme="minorEastAsia"/>
          <w:szCs w:val="21"/>
        </w:rPr>
        <w:t>。</w:t>
      </w:r>
    </w:p>
    <w:p w:rsidR="006725B6" w:rsidRPr="0087389D" w:rsidRDefault="006725B6"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（六）基金托管人根据有关法律法规的规定及基金合同的约定，对基金管理人选择存款银行进行监督。</w:t>
      </w:r>
    </w:p>
    <w:p w:rsidR="006725B6" w:rsidRPr="0087389D" w:rsidRDefault="006725B6"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rsidR="006725B6" w:rsidRPr="0087389D" w:rsidRDefault="006725B6"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本基金投资银行存款应符合如下规定：</w:t>
      </w:r>
    </w:p>
    <w:p w:rsidR="006725B6" w:rsidRPr="0087389D" w:rsidRDefault="006725B6"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1、基金管理人、基金托管人应当与存款银行建立定期对账机制，确保基金银行存款业务账目及核算的真实、准确。</w:t>
      </w:r>
    </w:p>
    <w:p w:rsidR="006725B6" w:rsidRPr="0087389D" w:rsidRDefault="006725B6"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rsidR="006725B6" w:rsidRPr="0087389D" w:rsidRDefault="006725B6"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3、基金托管人应加强对基金银行存款业务的监督与核查，严格审查、复核相关协议、账户资料、投资指令、存款证实书等有关文件，切实履行托管职责。</w:t>
      </w:r>
    </w:p>
    <w:p w:rsidR="006725B6" w:rsidRPr="0087389D" w:rsidRDefault="006725B6"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4、基金管理人与基金托管人在开展基金存款业务时，应严格遵守《基金法》、《运作办法》等有关法律法规，以及国家有关账户管理、利率管理、支付结算等的各项规定。</w:t>
      </w:r>
    </w:p>
    <w:p w:rsidR="006725B6" w:rsidRPr="0087389D" w:rsidRDefault="006725B6"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若基金管理人拒不执行造成基金财产的损失，基金托管人不承担任何责任。</w:t>
      </w:r>
    </w:p>
    <w:p w:rsidR="006725B6" w:rsidRPr="0087389D" w:rsidRDefault="006725B6" w:rsidP="00555CE7">
      <w:pPr>
        <w:snapToGrid w:val="0"/>
        <w:spacing w:line="360" w:lineRule="auto"/>
        <w:ind w:firstLineChars="200" w:firstLine="420"/>
        <w:rPr>
          <w:rFonts w:asciiTheme="minorEastAsia" w:eastAsiaTheme="minorEastAsia" w:hAnsiTheme="minorEastAsia"/>
          <w:szCs w:val="21"/>
        </w:rPr>
      </w:pPr>
      <w:bookmarkStart w:id="109" w:name="_Hlt88902859"/>
      <w:bookmarkEnd w:id="109"/>
      <w:r w:rsidRPr="0087389D">
        <w:rPr>
          <w:rFonts w:asciiTheme="minorEastAsia" w:eastAsiaTheme="minorEastAsia" w:hAnsiTheme="minorEastAsia" w:hint="eastAsia"/>
          <w:szCs w:val="21"/>
        </w:rPr>
        <w:t>（七）</w:t>
      </w:r>
      <w:r w:rsidRPr="0087389D">
        <w:rPr>
          <w:rFonts w:asciiTheme="minorEastAsia" w:eastAsiaTheme="minorEastAsia" w:hAnsiTheme="minorEastAsia"/>
          <w:szCs w:val="21"/>
        </w:rPr>
        <w:t>基金托管人根据有关法律法规的规定及基金合同的约定，对基金资产净值计算、</w:t>
      </w:r>
      <w:r w:rsidRPr="0087389D">
        <w:rPr>
          <w:rFonts w:asciiTheme="minorEastAsia" w:eastAsiaTheme="minorEastAsia" w:hAnsiTheme="minorEastAsia" w:hint="eastAsia"/>
          <w:szCs w:val="21"/>
        </w:rPr>
        <w:t>每万份基金已实现收益计算、7日年化收益率计算、</w:t>
      </w:r>
      <w:r w:rsidRPr="0087389D">
        <w:rPr>
          <w:rFonts w:asciiTheme="minorEastAsia" w:eastAsiaTheme="minorEastAsia" w:hAnsiTheme="minorEastAsia"/>
          <w:szCs w:val="21"/>
        </w:rPr>
        <w:t>应收资金到账、基金费用开支及收入确</w:t>
      </w:r>
      <w:r w:rsidRPr="0087389D">
        <w:rPr>
          <w:rFonts w:asciiTheme="minorEastAsia" w:eastAsiaTheme="minorEastAsia" w:hAnsiTheme="minorEastAsia"/>
          <w:szCs w:val="21"/>
        </w:rPr>
        <w:lastRenderedPageBreak/>
        <w:t>定、基金收益分配、相关信息披露、基金宣传推介材料中登载基金业绩表现数据等进行监督和核查。</w:t>
      </w:r>
    </w:p>
    <w:p w:rsidR="006725B6" w:rsidRPr="0087389D" w:rsidRDefault="006725B6"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如果基金管理人未经基金托管人的审核擅自将不实的业绩表现数据印制在宣传推介材料上，则基金托管人对此不承担任何责任，并将在发现后立即报告中国证监会。</w:t>
      </w:r>
    </w:p>
    <w:p w:rsidR="006725B6" w:rsidRPr="0087389D" w:rsidRDefault="006725B6"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szCs w:val="21"/>
        </w:rPr>
        <w:t>（</w:t>
      </w:r>
      <w:r w:rsidRPr="0087389D">
        <w:rPr>
          <w:rFonts w:asciiTheme="minorEastAsia" w:eastAsiaTheme="minorEastAsia" w:hAnsiTheme="minorEastAsia" w:hint="eastAsia"/>
          <w:szCs w:val="21"/>
        </w:rPr>
        <w:t>八</w:t>
      </w:r>
      <w:r w:rsidRPr="0087389D">
        <w:rPr>
          <w:rFonts w:asciiTheme="minorEastAsia" w:eastAsiaTheme="minorEastAsia" w:hAnsiTheme="minorEastAsia"/>
          <w:szCs w:val="21"/>
        </w:rPr>
        <w:t>）基金托管人发现基金管理人的上述事项及投资指令或实际投资运作中违反法律法规</w:t>
      </w:r>
      <w:r w:rsidRPr="0087389D">
        <w:rPr>
          <w:rFonts w:asciiTheme="minorEastAsia" w:eastAsiaTheme="minorEastAsia" w:hAnsiTheme="minorEastAsia" w:hint="eastAsia"/>
          <w:szCs w:val="21"/>
        </w:rPr>
        <w:t>、</w:t>
      </w:r>
      <w:r w:rsidRPr="0087389D">
        <w:rPr>
          <w:rFonts w:asciiTheme="minorEastAsia" w:eastAsiaTheme="minorEastAsia" w:hAnsiTheme="minorEastAsia"/>
          <w:szCs w:val="21"/>
        </w:rPr>
        <w:t>基金合同</w:t>
      </w:r>
      <w:r w:rsidRPr="0087389D">
        <w:rPr>
          <w:rFonts w:asciiTheme="minorEastAsia" w:eastAsiaTheme="minorEastAsia" w:hAnsiTheme="minorEastAsia" w:hint="eastAsia"/>
          <w:szCs w:val="21"/>
        </w:rPr>
        <w:t>和本托管协议</w:t>
      </w:r>
      <w:r w:rsidRPr="0087389D">
        <w:rPr>
          <w:rFonts w:asciiTheme="minorEastAsia" w:eastAsiaTheme="minorEastAsia" w:hAnsiTheme="minorEastAsia"/>
          <w:szCs w:val="21"/>
        </w:rPr>
        <w:t>的规定，应及时以</w:t>
      </w:r>
      <w:r w:rsidRPr="0087389D">
        <w:rPr>
          <w:rFonts w:asciiTheme="minorEastAsia" w:eastAsiaTheme="minorEastAsia" w:hAnsiTheme="minorEastAsia" w:hint="eastAsia"/>
          <w:szCs w:val="21"/>
        </w:rPr>
        <w:t>电话提示或</w:t>
      </w:r>
      <w:r w:rsidRPr="0087389D">
        <w:rPr>
          <w:rFonts w:asciiTheme="minorEastAsia" w:eastAsiaTheme="minorEastAsia" w:hAnsiTheme="minorEastAsia"/>
          <w:szCs w:val="21"/>
        </w:rPr>
        <w:t>书面形式通知基金管理人限期纠正。基金管理人应积极配合和协助基金托管人的监督和核查。基金管理人收到通知后应及时核对并以书面形式给基金托管人发出回函，就基金托管人的疑义进行解释或举证，说明违规原因及纠正期限，并保证在规定期限内及时改正。在上述规定期限内</w:t>
      </w:r>
      <w:r w:rsidRPr="0087389D">
        <w:rPr>
          <w:rFonts w:asciiTheme="minorEastAsia" w:eastAsiaTheme="minorEastAsia" w:hAnsiTheme="minorEastAsia" w:hint="eastAsia"/>
          <w:szCs w:val="21"/>
        </w:rPr>
        <w:t>，</w:t>
      </w:r>
      <w:r w:rsidRPr="0087389D">
        <w:rPr>
          <w:rFonts w:asciiTheme="minorEastAsia" w:eastAsiaTheme="minorEastAsia" w:hAnsiTheme="minorEastAsia"/>
          <w:szCs w:val="21"/>
        </w:rPr>
        <w:t>基金托管人有权随时对通知事项进行复查</w:t>
      </w:r>
      <w:r w:rsidRPr="0087389D">
        <w:rPr>
          <w:rFonts w:asciiTheme="minorEastAsia" w:eastAsiaTheme="minorEastAsia" w:hAnsiTheme="minorEastAsia" w:hint="eastAsia"/>
          <w:szCs w:val="21"/>
        </w:rPr>
        <w:t>，</w:t>
      </w:r>
      <w:r w:rsidRPr="0087389D">
        <w:rPr>
          <w:rFonts w:asciiTheme="minorEastAsia" w:eastAsiaTheme="minorEastAsia" w:hAnsiTheme="minorEastAsia"/>
          <w:szCs w:val="21"/>
        </w:rPr>
        <w:t>督促基金管理人改正。</w:t>
      </w:r>
      <w:r w:rsidRPr="0087389D">
        <w:rPr>
          <w:rFonts w:asciiTheme="minorEastAsia" w:eastAsiaTheme="minorEastAsia" w:hAnsiTheme="minorEastAsia" w:hint="eastAsia"/>
          <w:szCs w:val="21"/>
        </w:rPr>
        <w:t>基金管理人对基金托管人通知的违规事项未能在上述规定期限内纠正的，基金托管人有权报告中国证监会。</w:t>
      </w:r>
    </w:p>
    <w:p w:rsidR="006725B6" w:rsidRPr="0087389D" w:rsidRDefault="006725B6"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基金托管人发现基金管理人的指令违反法律、行政法规和其他有关规定，或者违反基金合同约定的，应当拒绝执行，立即通知基金管理人，并及时向中国证监会报告。</w:t>
      </w:r>
    </w:p>
    <w:p w:rsidR="006725B6" w:rsidRPr="0087389D" w:rsidRDefault="006725B6"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基金托管人发现基金管理人依据交易程序已经生效的指令违反法律、行政法规和其他有关规定，或者违反基金合同约定的，应当立即通知基金管理人，并及时向中国证监会报告。</w:t>
      </w:r>
    </w:p>
    <w:p w:rsidR="006725B6" w:rsidRPr="0087389D" w:rsidRDefault="006725B6"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szCs w:val="21"/>
        </w:rPr>
        <w:t>（</w:t>
      </w:r>
      <w:r w:rsidRPr="0087389D">
        <w:rPr>
          <w:rFonts w:asciiTheme="minorEastAsia" w:eastAsiaTheme="minorEastAsia" w:hAnsiTheme="minorEastAsia" w:hint="eastAsia"/>
          <w:szCs w:val="21"/>
        </w:rPr>
        <w:t>九</w:t>
      </w:r>
      <w:r w:rsidRPr="0087389D">
        <w:rPr>
          <w:rFonts w:asciiTheme="minorEastAsia" w:eastAsiaTheme="minorEastAsia" w:hAnsiTheme="minorEastAsia"/>
          <w:szCs w:val="21"/>
        </w:rPr>
        <w:t>）对基金托管人按照法规要求需向中国证监会报送基金监督报告的事项，基金管理人应积极配合提供相关数据资料和制度等。</w:t>
      </w:r>
    </w:p>
    <w:p w:rsidR="004F51D4" w:rsidRPr="0087389D" w:rsidRDefault="006725B6"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szCs w:val="21"/>
        </w:rPr>
        <w:t>（</w:t>
      </w:r>
      <w:r w:rsidRPr="0087389D">
        <w:rPr>
          <w:rFonts w:asciiTheme="minorEastAsia" w:eastAsiaTheme="minorEastAsia" w:hAnsiTheme="minorEastAsia" w:hint="eastAsia"/>
          <w:szCs w:val="21"/>
        </w:rPr>
        <w:t>十</w:t>
      </w:r>
      <w:r w:rsidRPr="0087389D">
        <w:rPr>
          <w:rFonts w:asciiTheme="minorEastAsia" w:eastAsiaTheme="minorEastAsia" w:hAnsiTheme="minorEastAsia"/>
          <w:szCs w:val="21"/>
        </w:rPr>
        <w:t>）基金托管人发现基金管理人有重大</w:t>
      </w:r>
      <w:r w:rsidRPr="0087389D">
        <w:rPr>
          <w:rFonts w:asciiTheme="minorEastAsia" w:eastAsiaTheme="minorEastAsia" w:hAnsiTheme="minorEastAsia" w:hint="eastAsia"/>
          <w:szCs w:val="21"/>
        </w:rPr>
        <w:t>违法、</w:t>
      </w:r>
      <w:r w:rsidRPr="0087389D">
        <w:rPr>
          <w:rFonts w:asciiTheme="minorEastAsia" w:eastAsiaTheme="minorEastAsia" w:hAnsiTheme="minorEastAsia"/>
          <w:szCs w:val="21"/>
        </w:rPr>
        <w:t>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DD6D95" w:rsidRPr="0087389D" w:rsidRDefault="00DD6D95"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三、基金管理人对基金托管人的业务核查</w:t>
      </w:r>
    </w:p>
    <w:p w:rsidR="006725B6" w:rsidRPr="0087389D" w:rsidRDefault="006725B6"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一）基金管理人对基金托管人履行托管职责情况进行核查，核查事项包括基金托管人安全保管基金财产、开设基金财产的资金账户和证券账户、及时、准确复核基金管理人计算的基金资产净值、每万份基金已实现收益、7日年化收益率，根据基金管理人指令办理清算交收且如遇到问题应及时反馈、相关信息披露和监督基金投资运作是否对非公开信息保密等行为。</w:t>
      </w:r>
    </w:p>
    <w:p w:rsidR="006725B6" w:rsidRPr="0087389D" w:rsidRDefault="006725B6"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基金管理人定期和不定期地对基金托管人保管的基金资产进行核查。基金托管人应积极配合基金管理人的核查行为，包括但不限于：提交相关资料以供基金管理人核查托管财产的完整性和真实性，在规定时间内答复基金管理人并改正。</w:t>
      </w:r>
    </w:p>
    <w:p w:rsidR="006725B6" w:rsidRPr="0087389D" w:rsidRDefault="006725B6"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w:t>
      </w:r>
      <w:r w:rsidRPr="0087389D">
        <w:rPr>
          <w:rFonts w:asciiTheme="minorEastAsia" w:eastAsiaTheme="minorEastAsia" w:hAnsiTheme="minorEastAsia" w:hint="eastAsia"/>
          <w:szCs w:val="21"/>
        </w:rPr>
        <w:lastRenderedPageBreak/>
        <w:t>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等。基金管理人有权要求基金托管人赔偿基金因此所遭受的损失。</w:t>
      </w:r>
    </w:p>
    <w:p w:rsidR="00DD6D95" w:rsidRPr="0087389D" w:rsidRDefault="006725B6"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三）基金管理人发现基金托管人有重大违规行为，应及时报告中国证监会和银行业监督管理机构，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4F51D4" w:rsidRPr="0087389D" w:rsidRDefault="00DD6D95"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四、</w:t>
      </w:r>
      <w:r w:rsidR="004F51D4" w:rsidRPr="0087389D">
        <w:rPr>
          <w:rFonts w:asciiTheme="minorEastAsia" w:eastAsiaTheme="minorEastAsia" w:hAnsiTheme="minorEastAsia" w:hint="eastAsia"/>
          <w:szCs w:val="21"/>
        </w:rPr>
        <w:t>基金财产的保管</w:t>
      </w:r>
    </w:p>
    <w:p w:rsidR="002B1743" w:rsidRPr="0087389D" w:rsidRDefault="002B174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（一）基金财产保管的原则</w:t>
      </w:r>
    </w:p>
    <w:p w:rsidR="002B1743" w:rsidRPr="0087389D" w:rsidRDefault="002B174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1、基金财产应独立于基金管理人、基金托管人的固有财产。</w:t>
      </w:r>
    </w:p>
    <w:p w:rsidR="002B1743" w:rsidRPr="0087389D" w:rsidRDefault="002B174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2、基金托管人应安全保管基金财产。未经基金管理人的正当指令，不得自行运用、处分、分配基金的任何财产。如果基金财产（包括实物证券）在基金托管人保管期间损坏、灭失的，应由该基金托管人承担赔偿责任。</w:t>
      </w:r>
    </w:p>
    <w:p w:rsidR="002B1743" w:rsidRPr="0087389D" w:rsidRDefault="002B174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3、基金托管人按照规定开设基金财产的资金账户、证券账户和债券托管账户。</w:t>
      </w:r>
    </w:p>
    <w:p w:rsidR="002B1743" w:rsidRPr="0087389D" w:rsidRDefault="002B174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4、基金托管人对所托管的不同基金财产分别设置账户，确保基金财产的完整与独立。</w:t>
      </w:r>
    </w:p>
    <w:p w:rsidR="002B1743" w:rsidRPr="0087389D" w:rsidRDefault="002B174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5、基金托管人根据基金管理人的指令，按照法律法规的规定、基金合同和本协议的约定保管基金财产。</w:t>
      </w:r>
    </w:p>
    <w:p w:rsidR="002B1743" w:rsidRPr="0087389D" w:rsidRDefault="002B174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6、对于因为基金投资产生的应收资产和基金认购、申购过程中产生的应收资产，如基金托管人无法从公开信息或基金管理人提供的书面资料中获取到账日期信息的，应由基金管理人负责与有关当事人确定到账日期并通知基金托管人，到账日基金财产没有到达基金账户的，基金托管人应及时通知并有义务配合基金管理人采取措施进行催收。由此给基金财产造成损失的，基金管理人应负责向有关当事人追偿基金的损失，基金托管人对此不承担任何责任。</w:t>
      </w:r>
    </w:p>
    <w:p w:rsidR="002B1743" w:rsidRPr="0087389D" w:rsidRDefault="002B174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7、除依据法律法规和基金合同的规定外，基金托管人不得委托第三人托管基金财产。</w:t>
      </w:r>
    </w:p>
    <w:p w:rsidR="002B1743" w:rsidRPr="0087389D" w:rsidRDefault="002B174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（二）基金募集期间及募集资金的验资</w:t>
      </w:r>
    </w:p>
    <w:p w:rsidR="002B1743" w:rsidRPr="0087389D" w:rsidRDefault="002B174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基金募集期间募集的资金应存于基金管理人开设的基金募集专户，在基金募集行为结束前，任何人不得动用。有效认购款项在基金募集期内产生的利息将折合成基金份额，归基金份额持有人所有。基金募集期产生的利息以注册登记机构的记录为准。</w:t>
      </w:r>
    </w:p>
    <w:p w:rsidR="002B1743" w:rsidRPr="0087389D" w:rsidRDefault="002B174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2、基金募集期满或基金提前结束募集时，募集的基金份额总额、基金募集金额、基金份额持有人人数符合《基金法》、《运作办法》等有关规定后，基金管理人应将属于基金财产的全部资金划入基金托管人以本基金的名义开立的基金银行账户，基金托管人在收到资金当日出具相关证明文件，基金管理人在规定时间内，聘请具有从事证券相关业务资格的会计师</w:t>
      </w:r>
      <w:r w:rsidRPr="0087389D">
        <w:rPr>
          <w:rFonts w:asciiTheme="minorEastAsia" w:eastAsiaTheme="minorEastAsia" w:hAnsiTheme="minorEastAsia" w:hint="eastAsia"/>
          <w:szCs w:val="21"/>
        </w:rPr>
        <w:lastRenderedPageBreak/>
        <w:t>事务所进行验资，出具验资报告，验资报告中需对基金募集的资金进行确认。出具的验资报告由参加验资的2名或2名以上中国注册会计师签字方为有效。</w:t>
      </w:r>
    </w:p>
    <w:p w:rsidR="002B1743" w:rsidRPr="0087389D" w:rsidRDefault="002B174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3、若基金募集期限届满，未能达到基金合同生效的条件，由基金管理人按规定办理退款等事宜，基金托管人应提供充分协助。</w:t>
      </w:r>
    </w:p>
    <w:p w:rsidR="002B1743" w:rsidRPr="0087389D" w:rsidRDefault="002B174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（三）基金银行账户的开立和管理</w:t>
      </w:r>
    </w:p>
    <w:p w:rsidR="002B1743" w:rsidRPr="0087389D" w:rsidRDefault="002B174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1、基金托管人应负责本基金的银行账户的开设和管理。</w:t>
      </w:r>
    </w:p>
    <w:p w:rsidR="002B1743" w:rsidRPr="0087389D" w:rsidRDefault="002B174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2、基金托管人应以本基金的名义在其营业机构开设本基金的银行账户，并根据基金管理人合法合规的指令办理资金收付。本基金的银行预留印鉴由基金托管人保管和使用。本基金的一切货币收支活动，包括但不限于投资、支付赎回金额、支付基金收益、收取申购款，均需通过本基金的银行账户进行。</w:t>
      </w:r>
    </w:p>
    <w:p w:rsidR="002B1743" w:rsidRPr="0087389D" w:rsidRDefault="002B174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3、基金银行账户的开立和使用，限于满足开展本基金业务的需要。基金托管人和基金管理人不得假借本基金的名义开立任何其他银行账户；亦不得使用基金的任何账户进行本基金业务以外的活动。</w:t>
      </w:r>
    </w:p>
    <w:p w:rsidR="002B1743" w:rsidRPr="0087389D" w:rsidRDefault="002B174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4、基金银行账户的开立和管理应符合相关法律法规的有关规定。</w:t>
      </w:r>
    </w:p>
    <w:p w:rsidR="002B1743" w:rsidRPr="0087389D" w:rsidRDefault="002B174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5、在符合法律法规规定的条件下，基金托管人可以通过基金银行账户办理基金资产的支付。</w:t>
      </w:r>
    </w:p>
    <w:p w:rsidR="002B1743" w:rsidRPr="0087389D" w:rsidRDefault="002B174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（四）基金证券交收账户和结算备付金账户的开立和管理</w:t>
      </w:r>
    </w:p>
    <w:p w:rsidR="002B1743" w:rsidRPr="0087389D" w:rsidRDefault="002B174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1、基金托管人在中国证券登记结算有限责任公司上海分公司、深圳分公司为基金开立基金托管人与基金联名的证券账户。</w:t>
      </w:r>
    </w:p>
    <w:p w:rsidR="002B1743" w:rsidRPr="0087389D" w:rsidRDefault="002B174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2、基金证券账户的开立和使用，限于满足开展本基金业务的需要。基金托管人和基金管理人不得出借或未经对方同意擅自转让基金的任何证券账户，亦不得使用基金的任何账户进行本基金业务以外的活动。</w:t>
      </w:r>
    </w:p>
    <w:p w:rsidR="002B1743" w:rsidRPr="0087389D" w:rsidRDefault="002B174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3、基金托管人以自身法人名义在中国证券登记结算有限责任公司开立结算备付金账户，以本基金的名义在基金托管人托管系统中开立二级结算备付金账户，并代表所托管的基金完成与中国证券登记结算有限责任公司的一级法人清算工作，基金管理人应予以积极协助。结算备付金的收取按照中国证券登记结算有限责任公司的规定执行。</w:t>
      </w:r>
    </w:p>
    <w:p w:rsidR="002B1743" w:rsidRPr="0087389D" w:rsidRDefault="002B174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4、基金证券账户的开立和证券账户卡的保管由基金托管人负责，账户资产的管理和运用由基金管理人负责。</w:t>
      </w:r>
    </w:p>
    <w:p w:rsidR="002B1743" w:rsidRPr="0087389D" w:rsidRDefault="002B174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5、若中国证监会或其他监管机构在本托管协议生效日之后允许基金从事其他投资品种的投资业务，涉及相关账户的开设、使用的，按有关规定开设、使用并管理；若无相关规定，则基金托管人应当比照并遵守上述关于账户开设、使用的规定。</w:t>
      </w:r>
    </w:p>
    <w:p w:rsidR="002B1743" w:rsidRPr="0087389D" w:rsidRDefault="002B174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（五）债券托管专户的开设和管理</w:t>
      </w:r>
    </w:p>
    <w:p w:rsidR="002B1743" w:rsidRPr="0087389D" w:rsidRDefault="002B174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基金合同生效后，基金托管人根据中国人民银行、中央国债登记结算有限责任公司的有关规定，在中央国债登记结算有限责任公司开立债券托管与结算账户并报中国人民银行备案，</w:t>
      </w:r>
      <w:r w:rsidRPr="0087389D">
        <w:rPr>
          <w:rFonts w:asciiTheme="minorEastAsia" w:eastAsiaTheme="minorEastAsia" w:hAnsiTheme="minorEastAsia" w:hint="eastAsia"/>
          <w:szCs w:val="21"/>
        </w:rPr>
        <w:lastRenderedPageBreak/>
        <w:t>并代表基金进行银行间市场债券的结算。基金管理人和基金托管人同时代表基金签订全国银行间债券市场债券回购主协议，协议正本由基金托管人保管，协议副本由基金管理人保存。基金管理人负责申请基金进入全国银行间同业拆借市场进行交易，由基金管理人在中国外汇交易中心开设同业拆借市场交易账户。</w:t>
      </w:r>
    </w:p>
    <w:p w:rsidR="002B1743" w:rsidRPr="0087389D" w:rsidRDefault="002B174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（六）其他账户的开立和管理</w:t>
      </w:r>
    </w:p>
    <w:p w:rsidR="002B1743" w:rsidRPr="0087389D" w:rsidRDefault="002B174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1、因业务发展需要而开立的其他账户，可以根据法律法规和基金合同的规定，在基金管理人和基金托管人商议后由基金托管人负责开立。新账户按有关规则使用并管理。</w:t>
      </w:r>
    </w:p>
    <w:p w:rsidR="002B1743" w:rsidRPr="0087389D" w:rsidRDefault="002B174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2、法律法规等有关规定对相关账户的开立和管理另有规定的，从其规定办理。</w:t>
      </w:r>
    </w:p>
    <w:p w:rsidR="002B1743" w:rsidRPr="0087389D" w:rsidRDefault="002B174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（七）基金财产投资的有关有价凭证等的保管</w:t>
      </w:r>
    </w:p>
    <w:p w:rsidR="002B1743" w:rsidRPr="0087389D" w:rsidRDefault="002B174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基金财产投资的有关实物证券、银行定期存款存单等有价凭证由基金托管人负责妥善保管，保管凭证由基金托管人持有，其中实物证券由基金托管人存放于托管银行的保管库，应与非本基金的其他实物证券分开保管；也可存入登记结算机构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rsidR="002B1743" w:rsidRPr="0087389D" w:rsidRDefault="002B174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（八）与基金财产有关的重大合同的保管</w:t>
      </w:r>
    </w:p>
    <w:p w:rsidR="004F51D4" w:rsidRPr="0087389D" w:rsidRDefault="002B174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由基金管理人代表基金签署的、与基金有关的重大合同的原件分别由基金管理人、基金托管人保管，相关业务程序另有限制除外。除协议另有规定外，基金管理人在代表基金签署与基金有关的重大合同时应保证基金一方持有两份以上的正本，以便基金管理人和基金托管人至少各持有一份正本的原件。基金管理人应在重大合同签署后及时以加密方式或双方同意的其他方式将重大合同传真给基金托管人，并在10个工作日内将正本送达基金托管人处。重大合同的保管期限为基金合同终止后15年。对于无法取得二份以上的正本的，基金管理人应向基金托管人提供加盖授权业务章的合同传真件，未经双方协商或未在合同约定范围内，合同原件不得转移。</w:t>
      </w:r>
    </w:p>
    <w:p w:rsidR="004F51D4" w:rsidRPr="0087389D" w:rsidRDefault="00DD6D95"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五、</w:t>
      </w:r>
      <w:r w:rsidR="0047168A" w:rsidRPr="0087389D">
        <w:rPr>
          <w:rFonts w:asciiTheme="minorEastAsia" w:eastAsiaTheme="minorEastAsia" w:hAnsiTheme="minorEastAsia" w:hint="eastAsia"/>
          <w:szCs w:val="21"/>
        </w:rPr>
        <w:t>基金资产净值计算和会计核算</w:t>
      </w:r>
    </w:p>
    <w:p w:rsidR="003768BA" w:rsidRPr="0087389D" w:rsidRDefault="003768BA" w:rsidP="00555CE7">
      <w:pPr>
        <w:adjustRightInd w:val="0"/>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szCs w:val="21"/>
        </w:rPr>
        <w:t>（一）基金资产净值的计算及</w:t>
      </w:r>
      <w:r w:rsidRPr="0087389D">
        <w:rPr>
          <w:rFonts w:asciiTheme="minorEastAsia" w:eastAsiaTheme="minorEastAsia" w:hAnsiTheme="minorEastAsia" w:hint="eastAsia"/>
          <w:szCs w:val="21"/>
        </w:rPr>
        <w:t>复核</w:t>
      </w:r>
      <w:r w:rsidRPr="0087389D">
        <w:rPr>
          <w:rFonts w:asciiTheme="minorEastAsia" w:eastAsiaTheme="minorEastAsia" w:hAnsiTheme="minorEastAsia"/>
          <w:szCs w:val="21"/>
        </w:rPr>
        <w:t>程序</w:t>
      </w:r>
    </w:p>
    <w:p w:rsidR="003768BA" w:rsidRPr="0087389D" w:rsidRDefault="003768BA" w:rsidP="00555CE7">
      <w:pPr>
        <w:adjustRightInd w:val="0"/>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szCs w:val="21"/>
        </w:rPr>
        <w:t>1、基金资产净值</w:t>
      </w:r>
      <w:r w:rsidRPr="0087389D">
        <w:rPr>
          <w:rFonts w:asciiTheme="minorEastAsia" w:eastAsiaTheme="minorEastAsia" w:hAnsiTheme="minorEastAsia" w:hint="eastAsia"/>
          <w:szCs w:val="21"/>
        </w:rPr>
        <w:t>、每万份基金已实现收益和7日年化收益率</w:t>
      </w:r>
    </w:p>
    <w:p w:rsidR="003768BA" w:rsidRPr="0087389D" w:rsidRDefault="003768BA" w:rsidP="00555CE7">
      <w:pPr>
        <w:adjustRightInd w:val="0"/>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szCs w:val="21"/>
        </w:rPr>
        <w:t>基金资产净值是指基金资产总值减去负债后的金额。</w:t>
      </w:r>
    </w:p>
    <w:p w:rsidR="003768BA" w:rsidRPr="0087389D" w:rsidRDefault="003768BA"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每万份基金已实现收益和7日年化收益率的计算方法如下：</w:t>
      </w:r>
    </w:p>
    <w:p w:rsidR="003768BA" w:rsidRPr="0087389D" w:rsidRDefault="003768BA"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每万份基金已实现收益＝当日该类基金份额的已实现收益</w:t>
      </w:r>
      <w:r w:rsidRPr="0087389D">
        <w:rPr>
          <w:rFonts w:asciiTheme="minorEastAsia" w:eastAsiaTheme="minorEastAsia" w:hAnsiTheme="minorEastAsia"/>
          <w:bCs/>
          <w:szCs w:val="21"/>
        </w:rPr>
        <w:t>/</w:t>
      </w:r>
      <w:r w:rsidRPr="0087389D">
        <w:rPr>
          <w:rFonts w:asciiTheme="minorEastAsia" w:eastAsiaTheme="minorEastAsia" w:hAnsiTheme="minorEastAsia" w:hint="eastAsia"/>
          <w:bCs/>
          <w:szCs w:val="21"/>
        </w:rPr>
        <w:t>当日该类基金份额总额×10000。</w:t>
      </w:r>
      <w:r w:rsidRPr="0087389D">
        <w:rPr>
          <w:rFonts w:asciiTheme="minorEastAsia" w:eastAsiaTheme="minorEastAsia" w:hAnsiTheme="minorEastAsia" w:hint="eastAsia"/>
          <w:szCs w:val="21"/>
        </w:rPr>
        <w:t>其中，当日分配的基金收益自其下一日起享有分红权益，自下一日起纳入基金份额总数的计算</w:t>
      </w:r>
      <w:r w:rsidRPr="0087389D">
        <w:rPr>
          <w:rFonts w:asciiTheme="minorEastAsia" w:eastAsiaTheme="minorEastAsia" w:hAnsiTheme="minorEastAsia" w:hint="eastAsia"/>
          <w:bCs/>
          <w:szCs w:val="21"/>
        </w:rPr>
        <w:t>；收益的精度为以四舍五入的方法保留小数点后4位。</w:t>
      </w:r>
    </w:p>
    <w:p w:rsidR="003768BA" w:rsidRPr="0087389D" w:rsidRDefault="003768BA"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lastRenderedPageBreak/>
        <w:t>7</w:t>
      </w:r>
      <w:r w:rsidRPr="0087389D">
        <w:rPr>
          <w:rFonts w:asciiTheme="minorEastAsia" w:eastAsiaTheme="minorEastAsia" w:hAnsiTheme="minorEastAsia" w:hint="eastAsia"/>
          <w:bCs/>
          <w:szCs w:val="21"/>
          <w:lang w:val="zh-CN"/>
        </w:rPr>
        <w:t>日年化收益率</w:t>
      </w:r>
      <w:r w:rsidRPr="0087389D">
        <w:rPr>
          <w:rFonts w:asciiTheme="minorEastAsia" w:eastAsiaTheme="minorEastAsia" w:hAnsiTheme="minorEastAsia" w:hint="eastAsia"/>
          <w:bCs/>
          <w:szCs w:val="21"/>
        </w:rPr>
        <w:t>=</w:t>
      </w:r>
      <w:r w:rsidRPr="0087389D">
        <w:rPr>
          <w:rFonts w:asciiTheme="minorEastAsia" w:eastAsiaTheme="minorEastAsia" w:hAnsiTheme="minorEastAsia"/>
          <w:bCs/>
          <w:szCs w:val="21"/>
        </w:rPr>
        <w:object w:dxaOrig="3480" w:dyaOrig="880">
          <v:shape id="_x0000_i1026" type="#_x0000_t75" style="width:172.5pt;height:43.5pt;mso-position-horizontal-relative:page;mso-position-vertical-relative:page" o:ole="">
            <v:imagedata r:id="rId17" o:title=""/>
          </v:shape>
          <o:OLEObject Type="Embed" ProgID="Equation.DSMT4" ShapeID="_x0000_i1026" DrawAspect="Content" ObjectID="_1652282312" r:id="rId19"/>
        </w:object>
      </w:r>
    </w:p>
    <w:p w:rsidR="003768BA" w:rsidRPr="0087389D" w:rsidRDefault="003768BA" w:rsidP="00555CE7">
      <w:pPr>
        <w:snapToGrid w:val="0"/>
        <w:spacing w:line="360" w:lineRule="auto"/>
        <w:ind w:firstLineChars="200" w:firstLine="420"/>
        <w:rPr>
          <w:rFonts w:asciiTheme="minorEastAsia" w:eastAsiaTheme="minorEastAsia" w:hAnsiTheme="minorEastAsia"/>
          <w:bCs/>
          <w:szCs w:val="21"/>
          <w:lang w:val="zh-CN"/>
        </w:rPr>
      </w:pPr>
      <w:r w:rsidRPr="0087389D">
        <w:rPr>
          <w:rFonts w:asciiTheme="minorEastAsia" w:eastAsiaTheme="minorEastAsia" w:hAnsiTheme="minorEastAsia" w:hint="eastAsia"/>
          <w:bCs/>
          <w:szCs w:val="21"/>
          <w:lang w:val="zh-CN"/>
        </w:rPr>
        <w:t>其中，Ri为最近第i个自然日(包括计算当日)的每万份基金已实现收益。</w:t>
      </w:r>
    </w:p>
    <w:p w:rsidR="003768BA" w:rsidRPr="0087389D" w:rsidRDefault="003768BA"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lang w:val="zh-CN"/>
        </w:rPr>
        <w:t>每万份基金已实现收益采用四舍五入保留至小数点后第4位，7日年化收益率采用四舍五入保留至百分号内小数点后第3位。</w:t>
      </w:r>
    </w:p>
    <w:p w:rsidR="003768BA" w:rsidRPr="0087389D" w:rsidRDefault="003768BA" w:rsidP="00555CE7">
      <w:pPr>
        <w:adjustRightInd w:val="0"/>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如果基金成立不足七日，按类似规则计算。当任一类基金份额为零时，将暂停计算和披露该类基金份额的每万份基金已实现收益、</w:t>
      </w:r>
      <w:r w:rsidRPr="0087389D">
        <w:rPr>
          <w:rFonts w:asciiTheme="minorEastAsia" w:eastAsiaTheme="minorEastAsia" w:hAnsiTheme="minorEastAsia"/>
          <w:szCs w:val="21"/>
        </w:rPr>
        <w:t>7</w:t>
      </w:r>
      <w:r w:rsidRPr="0087389D">
        <w:rPr>
          <w:rFonts w:asciiTheme="minorEastAsia" w:eastAsiaTheme="minorEastAsia" w:hAnsiTheme="minorEastAsia" w:hint="eastAsia"/>
          <w:szCs w:val="21"/>
        </w:rPr>
        <w:t>日年化收益率，待该类份额不为零时重新开始计算和披露。</w:t>
      </w:r>
    </w:p>
    <w:p w:rsidR="003768BA" w:rsidRPr="0087389D" w:rsidRDefault="003768BA" w:rsidP="00555CE7">
      <w:pPr>
        <w:adjustRightInd w:val="0"/>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基金管理人</w:t>
      </w:r>
      <w:r w:rsidRPr="0087389D">
        <w:rPr>
          <w:rFonts w:asciiTheme="minorEastAsia" w:eastAsiaTheme="minorEastAsia" w:hAnsiTheme="minorEastAsia"/>
          <w:szCs w:val="21"/>
        </w:rPr>
        <w:t>每工作日计算基金资产净值</w:t>
      </w:r>
      <w:r w:rsidRPr="0087389D">
        <w:rPr>
          <w:rFonts w:asciiTheme="minorEastAsia" w:eastAsiaTheme="minorEastAsia" w:hAnsiTheme="minorEastAsia" w:hint="eastAsia"/>
          <w:szCs w:val="21"/>
        </w:rPr>
        <w:t>、每万份基金已实现收益和7日年化收益率</w:t>
      </w:r>
      <w:r w:rsidRPr="0087389D">
        <w:rPr>
          <w:rFonts w:asciiTheme="minorEastAsia" w:eastAsiaTheme="minorEastAsia" w:hAnsiTheme="minorEastAsia"/>
          <w:szCs w:val="21"/>
        </w:rPr>
        <w:t>，</w:t>
      </w:r>
      <w:r w:rsidRPr="0087389D">
        <w:rPr>
          <w:rFonts w:asciiTheme="minorEastAsia" w:eastAsiaTheme="minorEastAsia" w:hAnsiTheme="minorEastAsia" w:hint="eastAsia"/>
          <w:szCs w:val="21"/>
        </w:rPr>
        <w:t>经基金托管人复核无误后，</w:t>
      </w:r>
      <w:r w:rsidRPr="0087389D">
        <w:rPr>
          <w:rFonts w:asciiTheme="minorEastAsia" w:eastAsiaTheme="minorEastAsia" w:hAnsiTheme="minorEastAsia"/>
          <w:szCs w:val="21"/>
        </w:rPr>
        <w:t>按规定公告。</w:t>
      </w:r>
    </w:p>
    <w:p w:rsidR="003768BA" w:rsidRPr="0087389D" w:rsidRDefault="003768BA" w:rsidP="00555CE7">
      <w:pPr>
        <w:adjustRightInd w:val="0"/>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szCs w:val="21"/>
        </w:rPr>
        <w:t>2、复核程序</w:t>
      </w:r>
    </w:p>
    <w:p w:rsidR="003768BA" w:rsidRPr="0087389D" w:rsidRDefault="003768BA" w:rsidP="00555CE7">
      <w:pPr>
        <w:adjustRightInd w:val="0"/>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szCs w:val="21"/>
        </w:rPr>
        <w:t>基金管理人每工作日对基金资产进行估值后，将基金资产净值</w:t>
      </w:r>
      <w:r w:rsidRPr="0087389D">
        <w:rPr>
          <w:rFonts w:asciiTheme="minorEastAsia" w:eastAsiaTheme="minorEastAsia" w:hAnsiTheme="minorEastAsia" w:hint="eastAsia"/>
          <w:szCs w:val="21"/>
        </w:rPr>
        <w:t>、每万份基金已实现收益和7日年化收益率</w:t>
      </w:r>
      <w:r w:rsidRPr="0087389D">
        <w:rPr>
          <w:rFonts w:asciiTheme="minorEastAsia" w:eastAsiaTheme="minorEastAsia" w:hAnsiTheme="minorEastAsia"/>
          <w:szCs w:val="21"/>
        </w:rPr>
        <w:t>结果发送基金托管人，经基金托管人复核无误后，由基金管理人</w:t>
      </w:r>
      <w:r w:rsidR="00AC7269" w:rsidRPr="0087389D">
        <w:rPr>
          <w:rFonts w:asciiTheme="minorEastAsia" w:eastAsiaTheme="minorEastAsia" w:hAnsiTheme="minorEastAsia"/>
          <w:szCs w:val="21"/>
        </w:rPr>
        <w:t>按规定</w:t>
      </w:r>
      <w:r w:rsidRPr="0087389D">
        <w:rPr>
          <w:rFonts w:asciiTheme="minorEastAsia" w:eastAsiaTheme="minorEastAsia" w:hAnsiTheme="minorEastAsia"/>
          <w:szCs w:val="21"/>
        </w:rPr>
        <w:t>对外公布。</w:t>
      </w:r>
    </w:p>
    <w:p w:rsidR="003768BA" w:rsidRPr="0087389D" w:rsidRDefault="003768BA" w:rsidP="00555CE7">
      <w:pPr>
        <w:adjustRightInd w:val="0"/>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的计算结果对外予以公布。</w:t>
      </w:r>
    </w:p>
    <w:p w:rsidR="003768BA" w:rsidRPr="0087389D" w:rsidRDefault="003768BA" w:rsidP="00555CE7">
      <w:pPr>
        <w:adjustRightInd w:val="0"/>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szCs w:val="21"/>
        </w:rPr>
        <w:t>（二）基金资产估值方法和特殊情形的处理</w:t>
      </w:r>
    </w:p>
    <w:p w:rsidR="003768BA" w:rsidRPr="0087389D" w:rsidRDefault="003768BA" w:rsidP="00555CE7">
      <w:pPr>
        <w:adjustRightInd w:val="0"/>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szCs w:val="21"/>
        </w:rPr>
        <w:t>1、估值对象</w:t>
      </w:r>
    </w:p>
    <w:p w:rsidR="003768BA" w:rsidRPr="0087389D" w:rsidRDefault="003768BA" w:rsidP="00555CE7">
      <w:pPr>
        <w:adjustRightInd w:val="0"/>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bCs/>
          <w:szCs w:val="21"/>
        </w:rPr>
        <w:t>基金所拥有的各类证券和银行存款本息、应收款项、其它投资等资产及负债。</w:t>
      </w:r>
    </w:p>
    <w:p w:rsidR="003768BA" w:rsidRPr="0087389D" w:rsidRDefault="003768BA" w:rsidP="00555CE7">
      <w:pPr>
        <w:adjustRightInd w:val="0"/>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szCs w:val="21"/>
        </w:rPr>
        <w:t>2、估值方法</w:t>
      </w:r>
    </w:p>
    <w:p w:rsidR="003768BA" w:rsidRPr="0087389D" w:rsidRDefault="003768BA"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kern w:val="0"/>
          <w:szCs w:val="21"/>
        </w:rPr>
        <w:t>（</w:t>
      </w:r>
      <w:r w:rsidRPr="0087389D">
        <w:rPr>
          <w:rFonts w:asciiTheme="minorEastAsia" w:eastAsiaTheme="minorEastAsia" w:hAnsiTheme="minorEastAsia" w:hint="eastAsia"/>
          <w:bCs/>
          <w:szCs w:val="21"/>
        </w:rPr>
        <w:t>1）本基金估值采用“摊余成本法”，即估值对象以买入成本列示，按照票面利率或协议利率并考虑其买入时的溢价与折价，在剩余存续期内按照实际利率法进行摊销，每日计提损益。本基金不采用市场利率和上市交易的债券和票据的市价计算基金资产净值。</w:t>
      </w:r>
    </w:p>
    <w:p w:rsidR="003768BA" w:rsidRPr="0087389D" w:rsidRDefault="003768BA"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2）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投资组合的摊余成本与其他可参考公允价值指标产生重大偏离的，可按其他公允指标对组合的账面价值进行调整。当“影子定价”确定的基金资产净值与“摊余成本法”计算的基金资产净值的偏离度的绝对值达到或超过0.25%时，基金管理人应根据风险控制的需要调整组合，其中，对于偏离度的绝对值达到或超过0.5%的情形，基金管理人应编制并披露临时报告。</w:t>
      </w:r>
    </w:p>
    <w:p w:rsidR="003768BA" w:rsidRPr="0087389D" w:rsidRDefault="003768BA"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lastRenderedPageBreak/>
        <w:t>（3）</w:t>
      </w:r>
      <w:r w:rsidRPr="0087389D">
        <w:rPr>
          <w:rFonts w:asciiTheme="minorEastAsia" w:eastAsiaTheme="minorEastAsia" w:hAnsiTheme="minorEastAsia"/>
          <w:bCs/>
          <w:szCs w:val="21"/>
        </w:rPr>
        <w:t>如有</w:t>
      </w:r>
      <w:r w:rsidRPr="0087389D">
        <w:rPr>
          <w:rFonts w:asciiTheme="minorEastAsia" w:eastAsiaTheme="minorEastAsia" w:hAnsiTheme="minorEastAsia" w:hint="eastAsia"/>
          <w:bCs/>
          <w:szCs w:val="21"/>
        </w:rPr>
        <w:t>充足理由</w:t>
      </w:r>
      <w:r w:rsidRPr="0087389D">
        <w:rPr>
          <w:rFonts w:asciiTheme="minorEastAsia" w:eastAsiaTheme="minorEastAsia" w:hAnsiTheme="minorEastAsia"/>
          <w:bCs/>
          <w:szCs w:val="21"/>
        </w:rPr>
        <w:t>表明按上述方法进行估值不能客观反映其公允价值的，基金管理人可根据具体情况与基金托管人商定后，按最能反映公允价值的价格估值。</w:t>
      </w:r>
    </w:p>
    <w:p w:rsidR="003768BA" w:rsidRPr="0087389D" w:rsidRDefault="003768BA"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hint="eastAsia"/>
          <w:bCs/>
          <w:szCs w:val="21"/>
        </w:rPr>
        <w:t>（4）</w:t>
      </w:r>
      <w:r w:rsidRPr="0087389D">
        <w:rPr>
          <w:rFonts w:asciiTheme="minorEastAsia" w:eastAsiaTheme="minorEastAsia" w:hAnsiTheme="minorEastAsia"/>
          <w:bCs/>
          <w:szCs w:val="21"/>
        </w:rPr>
        <w:t>相关法律法规以及监管部门有强制规定的，从其规定。如有新增事项，按国家最新规定估值。</w:t>
      </w:r>
    </w:p>
    <w:p w:rsidR="003768BA" w:rsidRPr="0087389D" w:rsidRDefault="003768BA" w:rsidP="00555CE7">
      <w:pPr>
        <w:snapToGrid w:val="0"/>
        <w:spacing w:line="360" w:lineRule="auto"/>
        <w:ind w:firstLineChars="200" w:firstLine="420"/>
        <w:rPr>
          <w:rStyle w:val="read"/>
          <w:rFonts w:asciiTheme="minorEastAsia" w:eastAsiaTheme="minorEastAsia" w:hAnsiTheme="minorEastAsia"/>
          <w:bCs/>
          <w:szCs w:val="21"/>
        </w:rPr>
      </w:pPr>
      <w:r w:rsidRPr="0087389D">
        <w:rPr>
          <w:rStyle w:val="read"/>
          <w:rFonts w:asciiTheme="minorEastAsia" w:eastAsiaTheme="minorEastAsia" w:hAnsiTheme="minorEastAsia"/>
          <w:bCs/>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3768BA" w:rsidRPr="0087389D" w:rsidRDefault="003768BA" w:rsidP="00555CE7">
      <w:pPr>
        <w:widowControl/>
        <w:adjustRightInd w:val="0"/>
        <w:snapToGrid w:val="0"/>
        <w:spacing w:line="360" w:lineRule="auto"/>
        <w:ind w:firstLineChars="200" w:firstLine="420"/>
        <w:rPr>
          <w:rFonts w:asciiTheme="minorEastAsia" w:eastAsiaTheme="minorEastAsia" w:hAnsiTheme="minorEastAsia"/>
          <w:kern w:val="0"/>
          <w:szCs w:val="21"/>
        </w:rPr>
      </w:pPr>
      <w:r w:rsidRPr="0087389D">
        <w:rPr>
          <w:rFonts w:asciiTheme="minorEastAsia" w:eastAsiaTheme="minorEastAsia" w:hAnsiTheme="minor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3768BA" w:rsidRPr="0087389D" w:rsidRDefault="003768BA" w:rsidP="00555CE7">
      <w:pPr>
        <w:adjustRightInd w:val="0"/>
        <w:snapToGrid w:val="0"/>
        <w:spacing w:line="360" w:lineRule="auto"/>
        <w:ind w:firstLineChars="200" w:firstLine="420"/>
        <w:rPr>
          <w:rStyle w:val="read"/>
          <w:rFonts w:asciiTheme="minorEastAsia" w:eastAsiaTheme="minorEastAsia" w:hAnsiTheme="minorEastAsia"/>
          <w:szCs w:val="21"/>
        </w:rPr>
      </w:pPr>
      <w:r w:rsidRPr="0087389D">
        <w:rPr>
          <w:rStyle w:val="read"/>
          <w:rFonts w:asciiTheme="minorEastAsia" w:eastAsiaTheme="minorEastAsia" w:hAnsiTheme="minorEastAsia"/>
          <w:szCs w:val="21"/>
        </w:rPr>
        <w:t>3</w:t>
      </w:r>
      <w:r w:rsidRPr="0087389D">
        <w:rPr>
          <w:rFonts w:asciiTheme="minorEastAsia" w:eastAsiaTheme="minorEastAsia" w:hAnsiTheme="minorEastAsia"/>
          <w:szCs w:val="21"/>
        </w:rPr>
        <w:t>、</w:t>
      </w:r>
      <w:r w:rsidRPr="0087389D">
        <w:rPr>
          <w:rStyle w:val="read"/>
          <w:rFonts w:asciiTheme="minorEastAsia" w:eastAsiaTheme="minorEastAsia" w:hAnsiTheme="minorEastAsia"/>
          <w:szCs w:val="21"/>
        </w:rPr>
        <w:t>特殊情形的处理</w:t>
      </w:r>
    </w:p>
    <w:p w:rsidR="003768BA" w:rsidRPr="0087389D" w:rsidRDefault="003768BA" w:rsidP="00555CE7">
      <w:pPr>
        <w:adjustRightInd w:val="0"/>
        <w:snapToGrid w:val="0"/>
        <w:spacing w:line="360" w:lineRule="auto"/>
        <w:ind w:firstLineChars="200" w:firstLine="420"/>
        <w:rPr>
          <w:rStyle w:val="read"/>
          <w:rFonts w:asciiTheme="minorEastAsia" w:eastAsiaTheme="minorEastAsia" w:hAnsiTheme="minorEastAsia"/>
          <w:szCs w:val="21"/>
        </w:rPr>
      </w:pPr>
      <w:r w:rsidRPr="0087389D">
        <w:rPr>
          <w:rStyle w:val="read"/>
          <w:rFonts w:asciiTheme="minorEastAsia" w:eastAsiaTheme="minorEastAsia" w:hAnsiTheme="minorEastAsia"/>
          <w:szCs w:val="21"/>
        </w:rPr>
        <w:t>基金管理人、基金托管人按</w:t>
      </w:r>
      <w:r w:rsidRPr="0087389D">
        <w:rPr>
          <w:rStyle w:val="read"/>
          <w:rFonts w:asciiTheme="minorEastAsia" w:eastAsiaTheme="minorEastAsia" w:hAnsiTheme="minorEastAsia" w:hint="eastAsia"/>
          <w:szCs w:val="21"/>
        </w:rPr>
        <w:t>第2条第（2）、（3）款</w:t>
      </w:r>
      <w:r w:rsidRPr="0087389D">
        <w:rPr>
          <w:rStyle w:val="read"/>
          <w:rFonts w:asciiTheme="minorEastAsia" w:eastAsiaTheme="minorEastAsia" w:hAnsiTheme="minorEastAsia"/>
          <w:szCs w:val="21"/>
        </w:rPr>
        <w:t>进行估值时，所造成的误差不作为基金份额净值错误处理。</w:t>
      </w:r>
    </w:p>
    <w:p w:rsidR="003768BA" w:rsidRPr="0087389D" w:rsidRDefault="003768BA" w:rsidP="00555CE7">
      <w:pPr>
        <w:adjustRightInd w:val="0"/>
        <w:snapToGrid w:val="0"/>
        <w:spacing w:line="360" w:lineRule="auto"/>
        <w:ind w:firstLineChars="200" w:firstLine="420"/>
        <w:rPr>
          <w:rStyle w:val="read"/>
          <w:rFonts w:asciiTheme="minorEastAsia" w:eastAsiaTheme="minorEastAsia" w:hAnsiTheme="minorEastAsia"/>
          <w:szCs w:val="21"/>
        </w:rPr>
      </w:pPr>
      <w:r w:rsidRPr="0087389D">
        <w:rPr>
          <w:rFonts w:asciiTheme="minorEastAsia" w:eastAsiaTheme="minorEastAsia" w:hAnsiTheme="minorEastAsia" w:hint="eastAsia"/>
          <w:bCs/>
          <w:szCs w:val="21"/>
        </w:rPr>
        <w:t>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3768BA" w:rsidRPr="0087389D" w:rsidRDefault="003768BA" w:rsidP="00555CE7">
      <w:pPr>
        <w:adjustRightInd w:val="0"/>
        <w:snapToGrid w:val="0"/>
        <w:spacing w:line="360" w:lineRule="auto"/>
        <w:ind w:firstLineChars="200" w:firstLine="420"/>
        <w:rPr>
          <w:rStyle w:val="read"/>
          <w:rFonts w:asciiTheme="minorEastAsia" w:eastAsiaTheme="minorEastAsia" w:hAnsiTheme="minorEastAsia"/>
          <w:szCs w:val="21"/>
        </w:rPr>
      </w:pPr>
      <w:r w:rsidRPr="0087389D">
        <w:rPr>
          <w:rStyle w:val="read"/>
          <w:rFonts w:asciiTheme="minorEastAsia" w:eastAsiaTheme="minorEastAsia" w:hAnsiTheme="minorEastAsia"/>
          <w:szCs w:val="21"/>
        </w:rPr>
        <w:t>（三）</w:t>
      </w:r>
      <w:r w:rsidRPr="0087389D">
        <w:rPr>
          <w:rStyle w:val="read"/>
          <w:rFonts w:asciiTheme="minorEastAsia" w:eastAsiaTheme="minorEastAsia" w:hAnsiTheme="minorEastAsia" w:hint="eastAsia"/>
          <w:szCs w:val="21"/>
        </w:rPr>
        <w:t>估</w:t>
      </w:r>
      <w:r w:rsidRPr="0087389D">
        <w:rPr>
          <w:rStyle w:val="read"/>
          <w:rFonts w:asciiTheme="minorEastAsia" w:eastAsiaTheme="minorEastAsia" w:hAnsiTheme="minorEastAsia"/>
          <w:szCs w:val="21"/>
        </w:rPr>
        <w:t>值错误的处理方式</w:t>
      </w:r>
    </w:p>
    <w:p w:rsidR="003768BA" w:rsidRPr="0087389D" w:rsidRDefault="003768BA"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基金管理人和基金托管人将采取必要、适当、合理的措施确保基金资产估值的准确性、及时性。当基金资产的计价导致每万份基金已实现收益小数点后</w:t>
      </w:r>
      <w:r w:rsidRPr="0087389D">
        <w:rPr>
          <w:rFonts w:asciiTheme="minorEastAsia" w:eastAsiaTheme="minorEastAsia" w:hAnsiTheme="minorEastAsia" w:hint="eastAsia"/>
          <w:bCs/>
          <w:szCs w:val="21"/>
        </w:rPr>
        <w:t>2</w:t>
      </w:r>
      <w:r w:rsidRPr="0087389D">
        <w:rPr>
          <w:rFonts w:asciiTheme="minorEastAsia" w:eastAsiaTheme="minorEastAsia" w:hAnsiTheme="minorEastAsia"/>
          <w:bCs/>
          <w:szCs w:val="21"/>
        </w:rPr>
        <w:t>位以内</w:t>
      </w:r>
      <w:r w:rsidRPr="0087389D">
        <w:rPr>
          <w:rFonts w:asciiTheme="minorEastAsia" w:eastAsiaTheme="minorEastAsia" w:hAnsiTheme="minorEastAsia" w:hint="eastAsia"/>
          <w:bCs/>
          <w:szCs w:val="21"/>
        </w:rPr>
        <w:t>（含第2位）</w:t>
      </w:r>
      <w:r w:rsidRPr="0087389D">
        <w:rPr>
          <w:rFonts w:asciiTheme="minorEastAsia" w:eastAsiaTheme="minorEastAsia" w:hAnsiTheme="minorEastAsia"/>
          <w:bCs/>
          <w:szCs w:val="21"/>
        </w:rPr>
        <w:t>发生差错时，视为估值错误。</w:t>
      </w:r>
    </w:p>
    <w:p w:rsidR="003768BA" w:rsidRPr="0087389D" w:rsidRDefault="003768BA"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基金合同的当事人应按照以下约定处理：</w:t>
      </w:r>
    </w:p>
    <w:p w:rsidR="003768BA" w:rsidRPr="0087389D" w:rsidRDefault="003768BA"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1、估值错误类型</w:t>
      </w:r>
    </w:p>
    <w:p w:rsidR="003768BA" w:rsidRPr="0087389D" w:rsidRDefault="003768BA"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3768BA" w:rsidRPr="0087389D" w:rsidRDefault="003768BA"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上述估值错误的主要类型包括但不限于：资料申报差错、数据传输差错、数据计算差错、系统故障差错、下达指令差错等。</w:t>
      </w:r>
    </w:p>
    <w:p w:rsidR="003768BA" w:rsidRPr="0087389D" w:rsidRDefault="003768BA"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2、估值错误处理原则</w:t>
      </w:r>
    </w:p>
    <w:p w:rsidR="003768BA" w:rsidRPr="0087389D" w:rsidRDefault="003768BA"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（1）估值错误已发生，但尚未给当事人造成损失时，估值错误责任方应及时协调各方，及时进行更正，因更正估值错误发生的费用由估值错误责任方承担；由于估值错误责任方未</w:t>
      </w:r>
      <w:r w:rsidRPr="0087389D">
        <w:rPr>
          <w:rFonts w:asciiTheme="minorEastAsia" w:eastAsiaTheme="minorEastAsia" w:hAnsiTheme="minorEastAsia"/>
          <w:bCs/>
          <w:szCs w:val="21"/>
        </w:rPr>
        <w:lastRenderedPageBreak/>
        <w:t>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3768BA" w:rsidRPr="0087389D" w:rsidRDefault="003768BA"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w:t>
      </w:r>
      <w:r w:rsidRPr="0087389D">
        <w:rPr>
          <w:rFonts w:asciiTheme="minorEastAsia" w:eastAsiaTheme="minorEastAsia" w:hAnsiTheme="minorEastAsia" w:hint="eastAsia"/>
          <w:bCs/>
          <w:szCs w:val="21"/>
        </w:rPr>
        <w:t>2</w:t>
      </w:r>
      <w:r w:rsidRPr="0087389D">
        <w:rPr>
          <w:rFonts w:asciiTheme="minorEastAsia" w:eastAsiaTheme="minorEastAsia" w:hAnsiTheme="minorEastAsia"/>
          <w:bCs/>
          <w:szCs w:val="21"/>
        </w:rPr>
        <w:t>）估值错误的责任方对有关当事人的直接损失负责，不对间接损失负责，并且仅对估值错误的有关直接当事人负责，不对第三方负责。</w:t>
      </w:r>
    </w:p>
    <w:p w:rsidR="003768BA" w:rsidRPr="0087389D" w:rsidRDefault="003768BA"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w:t>
      </w:r>
      <w:r w:rsidRPr="0087389D">
        <w:rPr>
          <w:rFonts w:asciiTheme="minorEastAsia" w:eastAsiaTheme="minorEastAsia" w:hAnsiTheme="minorEastAsia" w:hint="eastAsia"/>
          <w:bCs/>
          <w:szCs w:val="21"/>
        </w:rPr>
        <w:t>3</w:t>
      </w:r>
      <w:r w:rsidRPr="0087389D">
        <w:rPr>
          <w:rFonts w:asciiTheme="minorEastAsia" w:eastAsiaTheme="minorEastAsia" w:hAnsiTheme="minorEastAsia"/>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3768BA" w:rsidRPr="0087389D" w:rsidRDefault="003768BA"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w:t>
      </w:r>
      <w:r w:rsidRPr="0087389D">
        <w:rPr>
          <w:rFonts w:asciiTheme="minorEastAsia" w:eastAsiaTheme="minorEastAsia" w:hAnsiTheme="minorEastAsia" w:hint="eastAsia"/>
          <w:bCs/>
          <w:szCs w:val="21"/>
        </w:rPr>
        <w:t>4</w:t>
      </w:r>
      <w:r w:rsidRPr="0087389D">
        <w:rPr>
          <w:rFonts w:asciiTheme="minorEastAsia" w:eastAsiaTheme="minorEastAsia" w:hAnsiTheme="minorEastAsia"/>
          <w:bCs/>
          <w:szCs w:val="21"/>
        </w:rPr>
        <w:t>）估值错误调整采用尽量恢复至假设未发生估值错误的正确情形的方式。</w:t>
      </w:r>
    </w:p>
    <w:p w:rsidR="003768BA" w:rsidRPr="0087389D" w:rsidRDefault="003768BA"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3、估值错误处理程序</w:t>
      </w:r>
    </w:p>
    <w:p w:rsidR="003768BA" w:rsidRPr="0087389D" w:rsidRDefault="003768BA"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估值错误被发现后，有关的当事人应当及时进行处理，处理的程序如下：</w:t>
      </w:r>
    </w:p>
    <w:p w:rsidR="003768BA" w:rsidRPr="0087389D" w:rsidRDefault="003768BA"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（1）查明估值错误发生的原因，列明所有的当事人，并根据估值错误发生的原因确定估值错误的责任方；</w:t>
      </w:r>
    </w:p>
    <w:p w:rsidR="003768BA" w:rsidRPr="0087389D" w:rsidRDefault="003768BA"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w:t>
      </w:r>
      <w:r w:rsidRPr="0087389D">
        <w:rPr>
          <w:rFonts w:asciiTheme="minorEastAsia" w:eastAsiaTheme="minorEastAsia" w:hAnsiTheme="minorEastAsia" w:hint="eastAsia"/>
          <w:bCs/>
          <w:szCs w:val="21"/>
        </w:rPr>
        <w:t>2</w:t>
      </w:r>
      <w:r w:rsidRPr="0087389D">
        <w:rPr>
          <w:rFonts w:asciiTheme="minorEastAsia" w:eastAsiaTheme="minorEastAsia" w:hAnsiTheme="minorEastAsia"/>
          <w:bCs/>
          <w:szCs w:val="21"/>
        </w:rPr>
        <w:t>）根据估值错误处理原则或当事人协商的方法对因估值错误造成的损失进行评估；</w:t>
      </w:r>
    </w:p>
    <w:p w:rsidR="003768BA" w:rsidRPr="0087389D" w:rsidRDefault="003768BA"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w:t>
      </w:r>
      <w:r w:rsidRPr="0087389D">
        <w:rPr>
          <w:rFonts w:asciiTheme="minorEastAsia" w:eastAsiaTheme="minorEastAsia" w:hAnsiTheme="minorEastAsia" w:hint="eastAsia"/>
          <w:bCs/>
          <w:szCs w:val="21"/>
        </w:rPr>
        <w:t>3</w:t>
      </w:r>
      <w:r w:rsidRPr="0087389D">
        <w:rPr>
          <w:rFonts w:asciiTheme="minorEastAsia" w:eastAsiaTheme="minorEastAsia" w:hAnsiTheme="minorEastAsia"/>
          <w:bCs/>
          <w:szCs w:val="21"/>
        </w:rPr>
        <w:t>）根据估值错误处理原则或当事人协商的方法由估值错误的责任方进行更正和赔偿损失；</w:t>
      </w:r>
    </w:p>
    <w:p w:rsidR="003768BA" w:rsidRPr="0087389D" w:rsidRDefault="003768BA"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w:t>
      </w:r>
      <w:r w:rsidRPr="0087389D">
        <w:rPr>
          <w:rFonts w:asciiTheme="minorEastAsia" w:eastAsiaTheme="minorEastAsia" w:hAnsiTheme="minorEastAsia" w:hint="eastAsia"/>
          <w:bCs/>
          <w:szCs w:val="21"/>
        </w:rPr>
        <w:t>4</w:t>
      </w:r>
      <w:r w:rsidRPr="0087389D">
        <w:rPr>
          <w:rFonts w:asciiTheme="minorEastAsia" w:eastAsiaTheme="minorEastAsia" w:hAnsiTheme="minorEastAsia"/>
          <w:bCs/>
          <w:szCs w:val="21"/>
        </w:rPr>
        <w:t>）根据估值错误处理的方法，需要修改基金登记机构交易数据的，由基金登记机构进行更正，并就估值错误的更正向有关当事人进行确认。</w:t>
      </w:r>
    </w:p>
    <w:p w:rsidR="003768BA" w:rsidRPr="0087389D" w:rsidRDefault="003768BA"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4、基金估值错误处理的方法如下：</w:t>
      </w:r>
    </w:p>
    <w:p w:rsidR="003768BA" w:rsidRPr="0087389D" w:rsidRDefault="003768BA"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（1）基金</w:t>
      </w:r>
      <w:r w:rsidRPr="0087389D">
        <w:rPr>
          <w:rFonts w:asciiTheme="minorEastAsia" w:eastAsiaTheme="minorEastAsia" w:hAnsiTheme="minorEastAsia" w:hint="eastAsia"/>
          <w:bCs/>
          <w:szCs w:val="21"/>
        </w:rPr>
        <w:t>估值</w:t>
      </w:r>
      <w:r w:rsidRPr="0087389D">
        <w:rPr>
          <w:rFonts w:asciiTheme="minorEastAsia" w:eastAsiaTheme="minorEastAsia" w:hAnsiTheme="minorEastAsia"/>
          <w:bCs/>
          <w:szCs w:val="21"/>
        </w:rPr>
        <w:t>计算出现错误时，基金管理人应当立即予以纠正，通报基金托管人，并采取合理的措施防止损失进一步扩大。</w:t>
      </w:r>
    </w:p>
    <w:p w:rsidR="003768BA" w:rsidRPr="0087389D" w:rsidRDefault="003768BA" w:rsidP="00555CE7">
      <w:pPr>
        <w:snapToGrid w:val="0"/>
        <w:spacing w:line="360" w:lineRule="auto"/>
        <w:ind w:firstLineChars="200" w:firstLine="420"/>
        <w:rPr>
          <w:rFonts w:asciiTheme="minorEastAsia" w:eastAsiaTheme="minorEastAsia" w:hAnsiTheme="minorEastAsia"/>
          <w:bCs/>
          <w:szCs w:val="21"/>
        </w:rPr>
      </w:pPr>
      <w:r w:rsidRPr="0087389D">
        <w:rPr>
          <w:rFonts w:asciiTheme="minorEastAsia" w:eastAsiaTheme="minorEastAsia" w:hAnsiTheme="minorEastAsia"/>
          <w:bCs/>
          <w:szCs w:val="21"/>
        </w:rPr>
        <w:t>（</w:t>
      </w:r>
      <w:r w:rsidRPr="0087389D">
        <w:rPr>
          <w:rFonts w:asciiTheme="minorEastAsia" w:eastAsiaTheme="minorEastAsia" w:hAnsiTheme="minorEastAsia" w:hint="eastAsia"/>
          <w:bCs/>
          <w:szCs w:val="21"/>
        </w:rPr>
        <w:t>2</w:t>
      </w:r>
      <w:r w:rsidRPr="0087389D">
        <w:rPr>
          <w:rFonts w:asciiTheme="minorEastAsia" w:eastAsiaTheme="minorEastAsia" w:hAnsiTheme="minorEastAsia"/>
          <w:bCs/>
          <w:szCs w:val="21"/>
        </w:rPr>
        <w:t>）错误偏差达到基金</w:t>
      </w:r>
      <w:r w:rsidRPr="0087389D">
        <w:rPr>
          <w:rFonts w:asciiTheme="minorEastAsia" w:eastAsiaTheme="minorEastAsia" w:hAnsiTheme="minorEastAsia" w:hint="eastAsia"/>
          <w:bCs/>
          <w:szCs w:val="21"/>
        </w:rPr>
        <w:t>资产</w:t>
      </w:r>
      <w:r w:rsidRPr="0087389D">
        <w:rPr>
          <w:rFonts w:asciiTheme="minorEastAsia" w:eastAsiaTheme="minorEastAsia" w:hAnsiTheme="minorEastAsia"/>
          <w:bCs/>
          <w:szCs w:val="21"/>
        </w:rPr>
        <w:t>净值的0.25%时，基金管理人应当通报基金托管人并报中国证监会备案；错误偏差达到基金</w:t>
      </w:r>
      <w:r w:rsidRPr="0087389D">
        <w:rPr>
          <w:rFonts w:asciiTheme="minorEastAsia" w:eastAsiaTheme="minorEastAsia" w:hAnsiTheme="minorEastAsia" w:hint="eastAsia"/>
          <w:bCs/>
          <w:szCs w:val="21"/>
        </w:rPr>
        <w:t>资产</w:t>
      </w:r>
      <w:r w:rsidRPr="0087389D">
        <w:rPr>
          <w:rFonts w:asciiTheme="minorEastAsia" w:eastAsiaTheme="minorEastAsia" w:hAnsiTheme="minorEastAsia"/>
          <w:bCs/>
          <w:szCs w:val="21"/>
        </w:rPr>
        <w:t>净值的0.5%时，基金管理人应当公告。</w:t>
      </w:r>
    </w:p>
    <w:p w:rsidR="003768BA" w:rsidRPr="0087389D" w:rsidRDefault="003768BA" w:rsidP="00555CE7">
      <w:pPr>
        <w:adjustRightInd w:val="0"/>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bCs/>
          <w:szCs w:val="21"/>
        </w:rPr>
        <w:t>（</w:t>
      </w:r>
      <w:r w:rsidRPr="0087389D">
        <w:rPr>
          <w:rFonts w:asciiTheme="minorEastAsia" w:eastAsiaTheme="minorEastAsia" w:hAnsiTheme="minorEastAsia" w:hint="eastAsia"/>
          <w:bCs/>
          <w:szCs w:val="21"/>
        </w:rPr>
        <w:t>3</w:t>
      </w:r>
      <w:r w:rsidRPr="0087389D">
        <w:rPr>
          <w:rFonts w:asciiTheme="minorEastAsia" w:eastAsiaTheme="minorEastAsia" w:hAnsiTheme="minorEastAsia"/>
          <w:bCs/>
          <w:szCs w:val="21"/>
        </w:rPr>
        <w:t>）前述内容如法律法规或监管机关另有规定的，从其规定处理。</w:t>
      </w:r>
    </w:p>
    <w:p w:rsidR="003768BA" w:rsidRPr="0087389D" w:rsidRDefault="003768BA" w:rsidP="00555CE7">
      <w:pPr>
        <w:adjustRightInd w:val="0"/>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szCs w:val="21"/>
        </w:rPr>
        <w:t>（四）暂停估值与公告基金份额净值的情形</w:t>
      </w:r>
    </w:p>
    <w:p w:rsidR="003768BA" w:rsidRPr="0087389D" w:rsidRDefault="003768BA" w:rsidP="00555CE7">
      <w:pPr>
        <w:adjustRightInd w:val="0"/>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w:t>
      </w:r>
      <w:r w:rsidRPr="0087389D">
        <w:rPr>
          <w:rFonts w:asciiTheme="minorEastAsia" w:eastAsiaTheme="minorEastAsia" w:hAnsiTheme="minorEastAsia"/>
          <w:szCs w:val="21"/>
        </w:rPr>
        <w:t>基金投资所涉及的证券交易所遇法定节假日或因其他原因暂停营业时；</w:t>
      </w:r>
    </w:p>
    <w:p w:rsidR="003768BA" w:rsidRPr="0087389D" w:rsidRDefault="003768BA" w:rsidP="00555CE7">
      <w:pPr>
        <w:adjustRightInd w:val="0"/>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2、</w:t>
      </w:r>
      <w:r w:rsidRPr="0087389D">
        <w:rPr>
          <w:rFonts w:asciiTheme="minorEastAsia" w:eastAsiaTheme="minorEastAsia" w:hAnsiTheme="minorEastAsia"/>
          <w:szCs w:val="21"/>
        </w:rPr>
        <w:t>因不可抗力或其他情形致使基金管理人、基金托管人无法准确评估基金资产价值时；</w:t>
      </w:r>
    </w:p>
    <w:p w:rsidR="00C5109D" w:rsidRPr="0087389D" w:rsidRDefault="003768BA" w:rsidP="00C5109D">
      <w:pPr>
        <w:adjustRightInd w:val="0"/>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3、</w:t>
      </w:r>
      <w:r w:rsidR="00C5109D" w:rsidRPr="0087389D">
        <w:rPr>
          <w:rFonts w:asciiTheme="minorEastAsia" w:eastAsiaTheme="minorEastAsia" w:hAnsiTheme="minorEastAsia" w:hint="eastAsia"/>
          <w:szCs w:val="21"/>
        </w:rPr>
        <w:t>当前一估值日基金资产净值50%以上的资产出现无可参考的活跃市场价格且采用估值技术仍导致公允价值存在重大不确定性时，经与基金托管人协商一致的；</w:t>
      </w:r>
    </w:p>
    <w:p w:rsidR="003768BA" w:rsidRPr="0087389D" w:rsidRDefault="00C5109D" w:rsidP="00C5109D">
      <w:pPr>
        <w:adjustRightInd w:val="0"/>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4、</w:t>
      </w:r>
      <w:r w:rsidR="003768BA" w:rsidRPr="0087389D">
        <w:rPr>
          <w:rFonts w:asciiTheme="minorEastAsia" w:eastAsiaTheme="minorEastAsia" w:hAnsiTheme="minorEastAsia"/>
          <w:szCs w:val="21"/>
        </w:rPr>
        <w:t>中国证监会和基金合同认定的其他情形。</w:t>
      </w:r>
    </w:p>
    <w:p w:rsidR="003768BA" w:rsidRPr="0087389D" w:rsidRDefault="003768BA" w:rsidP="00555CE7">
      <w:pPr>
        <w:adjustRightInd w:val="0"/>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szCs w:val="21"/>
        </w:rPr>
        <w:lastRenderedPageBreak/>
        <w:t>（五）基金会计制度</w:t>
      </w:r>
    </w:p>
    <w:p w:rsidR="003768BA" w:rsidRPr="0087389D" w:rsidRDefault="003768BA" w:rsidP="00555CE7">
      <w:pPr>
        <w:adjustRightInd w:val="0"/>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szCs w:val="21"/>
        </w:rPr>
        <w:t>按国家有关部门规定的会计制度执行。</w:t>
      </w:r>
    </w:p>
    <w:p w:rsidR="003768BA" w:rsidRPr="0087389D" w:rsidRDefault="003768BA" w:rsidP="00555CE7">
      <w:pPr>
        <w:adjustRightInd w:val="0"/>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szCs w:val="21"/>
        </w:rPr>
        <w:t>（六）基金账册的建立</w:t>
      </w:r>
    </w:p>
    <w:p w:rsidR="003768BA" w:rsidRPr="0087389D" w:rsidRDefault="003768BA" w:rsidP="00555CE7">
      <w:pPr>
        <w:adjustRightInd w:val="0"/>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基金管理人进行基金会计核算并编制基金财务会计报告。基金管理人和基金托管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3768BA" w:rsidRPr="0087389D" w:rsidRDefault="003768BA" w:rsidP="00555CE7">
      <w:pPr>
        <w:adjustRightInd w:val="0"/>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szCs w:val="21"/>
        </w:rPr>
        <w:t>（七）基金财务报表与报告的编制和复核</w:t>
      </w:r>
    </w:p>
    <w:p w:rsidR="003768BA" w:rsidRPr="0087389D" w:rsidRDefault="003768BA" w:rsidP="00555CE7">
      <w:pPr>
        <w:adjustRightInd w:val="0"/>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szCs w:val="21"/>
        </w:rPr>
        <w:t>1、财务报表的编制</w:t>
      </w:r>
    </w:p>
    <w:p w:rsidR="00AC7269" w:rsidRPr="0087389D" w:rsidRDefault="00AC7269" w:rsidP="00AC7269">
      <w:pPr>
        <w:adjustRightInd w:val="0"/>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基金管理人应当及时编制并对外提供真实、完整的基金财务会计报告。月度报表的编制，基金管理人应于每月终了后5工作日内完成；基金管理人应当在每年结束之日起三个月内，编制完成基金年度报告；基金管理人应当在上半年结束之日起两个月内，编制完成基金中期报告；基金管理人应当在季度结束之日起15个工作日内，编制完成基金季度报告。《基金合同》生效不足2个月的，基金管理人可以不编制当期季度报告、中期报告或者年度报告。</w:t>
      </w:r>
    </w:p>
    <w:p w:rsidR="00AC7269" w:rsidRPr="0087389D" w:rsidRDefault="00AC7269" w:rsidP="00AC7269">
      <w:pPr>
        <w:adjustRightInd w:val="0"/>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2、报表复核</w:t>
      </w:r>
    </w:p>
    <w:p w:rsidR="00AC7269" w:rsidRPr="0087389D" w:rsidRDefault="00AC7269" w:rsidP="00AC7269">
      <w:pPr>
        <w:adjustRightInd w:val="0"/>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基金管理人在月度报表完成当日，将报表盖章后提供给基金托管人复核；基金托管人在收到后应在3个工作日内进行复核。基金管理人在季度报告完成当日，将有关报告提供给基金托管人复核，基金托管人应在收到后7个工作日内完成复核。基金管理人在中期报告完成当日，将有关报告提供给基金托管人复核，基金托管人应在收到后30日内完成复核。基金管理人在年度报告完成当日，将有关报告提供基金托管人复核，基金托管人应在收到后45日内完成复核。基金管理人和基金托管人之间的上述文件往来均以传真的方式或双方商定的其他方式进行。</w:t>
      </w:r>
    </w:p>
    <w:p w:rsidR="00AC7269" w:rsidRPr="0087389D" w:rsidRDefault="00AC7269" w:rsidP="00AC7269">
      <w:pPr>
        <w:adjustRightInd w:val="0"/>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向基金管理人进行书面或者电子确认。如果基金管理人与基金托管人不能于应当发布公告之日之前就相关报表达成一致，基金管理人有权按照其编制的报表对外发布公告，基金托管人有权就相关情况报中国证监会备案。</w:t>
      </w:r>
    </w:p>
    <w:p w:rsidR="004F51D4" w:rsidRPr="0087389D" w:rsidRDefault="00AC7269"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（八）基金管理人应编制季度报告、中期报告或者年度报告之前向基金托管人提供基金业绩比较基准的基础数据和编制结果。</w:t>
      </w:r>
    </w:p>
    <w:p w:rsidR="004F51D4" w:rsidRPr="0087389D" w:rsidRDefault="00DD6D95"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六、</w:t>
      </w:r>
      <w:r w:rsidR="004F51D4" w:rsidRPr="0087389D">
        <w:rPr>
          <w:rFonts w:asciiTheme="minorEastAsia" w:eastAsiaTheme="minorEastAsia" w:hAnsiTheme="minorEastAsia" w:hint="eastAsia"/>
          <w:szCs w:val="21"/>
        </w:rPr>
        <w:t>基金份额持有人名册的登记与保管</w:t>
      </w:r>
    </w:p>
    <w:p w:rsidR="00C64751" w:rsidRPr="0087389D" w:rsidRDefault="00C64751"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本基金的基金管理人和基金托管人须分别妥善保管的基金份额持有人名册，包括基金合</w:t>
      </w:r>
      <w:r w:rsidRPr="0087389D">
        <w:rPr>
          <w:rFonts w:asciiTheme="minorEastAsia" w:eastAsiaTheme="minorEastAsia" w:hAnsiTheme="minorEastAsia" w:hint="eastAsia"/>
          <w:szCs w:val="21"/>
        </w:rPr>
        <w:lastRenderedPageBreak/>
        <w:t>同生效日、基金合同终止日、基金权益登记日、基金份额持有人大会权益登记日、每年6月30日、12月31日的基金份额持有人名册。基金份额持有人名册的内容至少应包括持有人的名称和持有的基金份额。</w:t>
      </w:r>
    </w:p>
    <w:p w:rsidR="00C64751" w:rsidRPr="0087389D" w:rsidRDefault="00C64751"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基金份额持有人名册由注册登记机构编制，由基金管理人审核并提交基金托管人保管。基金托管人有权要求基金管理人提供任意一个交易日或全部交易日的基金份额持有人名册，基金管理人应及时提供，不得拖延或拒绝提供。</w:t>
      </w:r>
    </w:p>
    <w:p w:rsidR="00C64751" w:rsidRPr="0087389D" w:rsidRDefault="00C64751"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基金管理人应按照基金托管人的要求及时向基金托管人提交基金份额持有人名册。每年6月30日和12月31日的基金份额持有人名册应于下月前十个工作日内提交；基金合同生效日、基金合同终止日、基金权益登记日、基金份额持有人大会权益登记日等涉及到基金重要事项日期的基金份额持有人名册应于发生日后十个工作日内提交。</w:t>
      </w:r>
    </w:p>
    <w:p w:rsidR="004F51D4" w:rsidRPr="0087389D" w:rsidRDefault="00C64751"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4F51D4" w:rsidRPr="0087389D" w:rsidRDefault="00DD6D95"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七、</w:t>
      </w:r>
      <w:r w:rsidR="004F51D4" w:rsidRPr="0087389D">
        <w:rPr>
          <w:rFonts w:asciiTheme="minorEastAsia" w:eastAsiaTheme="minorEastAsia" w:hAnsiTheme="minorEastAsia" w:hint="eastAsia"/>
          <w:szCs w:val="21"/>
        </w:rPr>
        <w:t>争议解决方式</w:t>
      </w:r>
    </w:p>
    <w:p w:rsidR="00C12733" w:rsidRPr="0087389D" w:rsidRDefault="00C1273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除非仲裁裁决另有决定。</w:t>
      </w:r>
    </w:p>
    <w:p w:rsidR="00C12733" w:rsidRPr="0087389D" w:rsidRDefault="00C1273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争议处理期间，双方当事人应恪守基金管理人和基金托管人职责，各自继续忠实、勤勉、尽责地履行基金合同和本托管协议规定的义务，维护基金份额持有人的合法权益。</w:t>
      </w:r>
    </w:p>
    <w:p w:rsidR="00DD6D95" w:rsidRPr="0087389D" w:rsidRDefault="00C1273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本协议适用中华人民共和国法律并从其解释。</w:t>
      </w:r>
    </w:p>
    <w:p w:rsidR="00E20CA7" w:rsidRPr="0087389D" w:rsidRDefault="00DD6D95"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八、</w:t>
      </w:r>
      <w:r w:rsidR="00C2154E" w:rsidRPr="0087389D">
        <w:rPr>
          <w:rFonts w:asciiTheme="minorEastAsia" w:eastAsiaTheme="minorEastAsia" w:hAnsiTheme="minorEastAsia" w:hint="eastAsia"/>
          <w:szCs w:val="21"/>
        </w:rPr>
        <w:t>托管协议的变更、终止与基金财产的清算</w:t>
      </w:r>
    </w:p>
    <w:p w:rsidR="000D2E93" w:rsidRPr="0087389D" w:rsidRDefault="000D2E9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（一）托管协议的变更程序</w:t>
      </w:r>
    </w:p>
    <w:p w:rsidR="000D2E93" w:rsidRPr="0087389D" w:rsidRDefault="000D2E9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本协议双方当事人经协商一致，可以对协议进行修改。修改后的新协议，其内容不得与基金合同的规定有任何冲突。</w:t>
      </w:r>
    </w:p>
    <w:p w:rsidR="000D2E93" w:rsidRPr="0087389D" w:rsidRDefault="000D2E9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（二）基金托管协议终止的情形</w:t>
      </w:r>
    </w:p>
    <w:p w:rsidR="000D2E93" w:rsidRPr="0087389D" w:rsidRDefault="000D2E9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1、基金合同终止；</w:t>
      </w:r>
    </w:p>
    <w:p w:rsidR="000D2E93" w:rsidRPr="0087389D" w:rsidRDefault="000D2E9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2、基金托管人解散、依法被撤销、破产或由其他基金托管人接管基金资产；</w:t>
      </w:r>
    </w:p>
    <w:p w:rsidR="000D2E93" w:rsidRPr="0087389D" w:rsidRDefault="000D2E9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3、基金管理人解散、依法被撤销、破产或由其他基金管理人接管基金管理权；</w:t>
      </w:r>
    </w:p>
    <w:p w:rsidR="000D2E93" w:rsidRPr="0087389D" w:rsidRDefault="000D2E9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4、发生法律法规或基金合同规定的终止事项。</w:t>
      </w:r>
    </w:p>
    <w:p w:rsidR="000D2E93" w:rsidRPr="0087389D" w:rsidRDefault="000D2E9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（三）基金财产的清算</w:t>
      </w:r>
    </w:p>
    <w:p w:rsidR="000D2E93" w:rsidRPr="0087389D" w:rsidRDefault="000D2E9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1、基金财产清算小组：自出现《基金合同》终止事由之日起30个工作日内成立清算小组，基金管理人组织基金财产清算小组并在中国证监会的监督下进行基金清算。</w:t>
      </w:r>
    </w:p>
    <w:p w:rsidR="000D2E93" w:rsidRPr="0087389D" w:rsidRDefault="000D2E9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lastRenderedPageBreak/>
        <w:t>2、基金财产清算小组组成：基金财产清算小组成员由基金管理人、基金托管人、具有从事证券相关业务资格的注册会计师、律师以及中国证监会指定的人员组成。基金财产清算小组可以聘用必要的工作人员。</w:t>
      </w:r>
    </w:p>
    <w:p w:rsidR="000D2E93" w:rsidRPr="0087389D" w:rsidRDefault="000D2E9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3、基金财产清算小组职责：基金财产清算小组负责基金财产的保管、清理、估价、变现和分配。基金财产清算小组可以依法进行必要的民事活动。</w:t>
      </w:r>
    </w:p>
    <w:p w:rsidR="000D2E93" w:rsidRPr="0087389D" w:rsidRDefault="000D2E9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4、基金财产清算程序：</w:t>
      </w:r>
    </w:p>
    <w:p w:rsidR="000D2E93" w:rsidRPr="0087389D" w:rsidRDefault="000D2E9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（1）《基金合同》终止情形出现时，由基金财产清算小组统一接管基金；</w:t>
      </w:r>
    </w:p>
    <w:p w:rsidR="000D2E93" w:rsidRPr="0087389D" w:rsidRDefault="000D2E9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（2）对基金财产和债权债务进行清理和确认；</w:t>
      </w:r>
    </w:p>
    <w:p w:rsidR="000D2E93" w:rsidRPr="0087389D" w:rsidRDefault="000D2E9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（3）对基金财产进行估值和变现；</w:t>
      </w:r>
    </w:p>
    <w:p w:rsidR="000D2E93" w:rsidRPr="0087389D" w:rsidRDefault="000D2E9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（4）制作清算报告；</w:t>
      </w:r>
    </w:p>
    <w:p w:rsidR="000D2E93" w:rsidRPr="0087389D" w:rsidRDefault="000D2E9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（5）聘请会计师事务所对清算报告进行外部审计，聘请律师事务所对清算报告出具法律意见书；</w:t>
      </w:r>
    </w:p>
    <w:p w:rsidR="000D2E93" w:rsidRPr="0087389D" w:rsidRDefault="000D2E9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（6）将清算报告报中国证监会备案并公告；</w:t>
      </w:r>
    </w:p>
    <w:p w:rsidR="000D2E93" w:rsidRPr="0087389D" w:rsidRDefault="000D2E9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（7）对基金财产进行分配。</w:t>
      </w:r>
    </w:p>
    <w:p w:rsidR="000D2E93" w:rsidRPr="0087389D" w:rsidRDefault="000D2E9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5、清算费用</w:t>
      </w:r>
    </w:p>
    <w:p w:rsidR="000D2E93" w:rsidRPr="0087389D" w:rsidRDefault="000D2E9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清算费用是指基金财产清算组在进行基金清算过程中发生的所有合理费用，清算费用由基金清算组优先从基金财产中支付。</w:t>
      </w:r>
    </w:p>
    <w:p w:rsidR="000D2E93" w:rsidRPr="0087389D" w:rsidRDefault="000D2E9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6、基金财产清算剩余资产的分配</w:t>
      </w:r>
    </w:p>
    <w:p w:rsidR="000D2E93" w:rsidRPr="0087389D" w:rsidRDefault="000D2E9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基金财产按如下顺序进行清偿：</w:t>
      </w:r>
    </w:p>
    <w:p w:rsidR="000D2E93" w:rsidRPr="0087389D" w:rsidRDefault="000D2E9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（1）支付基金财产清算费用；</w:t>
      </w:r>
    </w:p>
    <w:p w:rsidR="000D2E93" w:rsidRPr="0087389D" w:rsidRDefault="000D2E9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（2）缴纳基金所欠税款；</w:t>
      </w:r>
    </w:p>
    <w:p w:rsidR="000D2E93" w:rsidRPr="0087389D" w:rsidRDefault="000D2E9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（3）清偿基金债务；</w:t>
      </w:r>
    </w:p>
    <w:p w:rsidR="000D2E93" w:rsidRPr="0087389D" w:rsidRDefault="000D2E9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（4）清算后如有余额，按基金份额持有人持有的基金份额比例进行分配。</w:t>
      </w:r>
    </w:p>
    <w:p w:rsidR="000D2E93" w:rsidRPr="0087389D" w:rsidRDefault="000D2E9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7、基金财产清算的公告</w:t>
      </w:r>
    </w:p>
    <w:p w:rsidR="000D2E93" w:rsidRPr="0087389D" w:rsidRDefault="000D2E9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DD6D95" w:rsidRPr="0087389D" w:rsidRDefault="000D2E93" w:rsidP="00555CE7">
      <w:pPr>
        <w:snapToGrid w:val="0"/>
        <w:spacing w:line="360" w:lineRule="auto"/>
        <w:ind w:firstLineChars="200" w:firstLine="420"/>
        <w:rPr>
          <w:rFonts w:asciiTheme="minorEastAsia" w:eastAsiaTheme="minorEastAsia" w:hAnsiTheme="minorEastAsia"/>
          <w:szCs w:val="21"/>
        </w:rPr>
      </w:pPr>
      <w:r w:rsidRPr="0087389D">
        <w:rPr>
          <w:rFonts w:asciiTheme="minorEastAsia" w:eastAsiaTheme="minorEastAsia" w:hAnsiTheme="minorEastAsia" w:hint="eastAsia"/>
          <w:szCs w:val="21"/>
        </w:rPr>
        <w:t>8、基金财产清算账册及文件由基金托管人保存15年以上。</w:t>
      </w:r>
    </w:p>
    <w:p w:rsidR="00BA4B87" w:rsidRPr="0087389D" w:rsidRDefault="002278E5" w:rsidP="00555CE7">
      <w:pPr>
        <w:pStyle w:val="1"/>
        <w:pageBreakBefore/>
        <w:snapToGrid w:val="0"/>
        <w:spacing w:beforeLines="0" w:afterLines="0" w:line="360" w:lineRule="auto"/>
        <w:ind w:firstLine="602"/>
        <w:rPr>
          <w:rFonts w:asciiTheme="minorEastAsia" w:eastAsiaTheme="minorEastAsia" w:hAnsiTheme="minorEastAsia"/>
          <w:b/>
          <w:bCs/>
        </w:rPr>
      </w:pPr>
      <w:bookmarkStart w:id="110" w:name="_Toc361403751"/>
      <w:bookmarkStart w:id="111" w:name="_Toc41644982"/>
      <w:r w:rsidRPr="0087389D">
        <w:rPr>
          <w:rFonts w:asciiTheme="minorEastAsia" w:eastAsiaTheme="minorEastAsia" w:hAnsiTheme="minorEastAsia"/>
          <w:b/>
          <w:sz w:val="30"/>
        </w:rPr>
        <w:lastRenderedPageBreak/>
        <w:t>二十</w:t>
      </w:r>
      <w:r w:rsidRPr="0087389D">
        <w:rPr>
          <w:rFonts w:asciiTheme="minorEastAsia" w:eastAsiaTheme="minorEastAsia" w:hAnsiTheme="minorEastAsia" w:hint="eastAsia"/>
          <w:b/>
          <w:sz w:val="30"/>
        </w:rPr>
        <w:t>四</w:t>
      </w:r>
      <w:r w:rsidR="00BA4B87" w:rsidRPr="0087389D">
        <w:rPr>
          <w:rFonts w:asciiTheme="minorEastAsia" w:eastAsiaTheme="minorEastAsia" w:hAnsiTheme="minorEastAsia"/>
          <w:b/>
          <w:sz w:val="30"/>
        </w:rPr>
        <w:t>、对基金份额持有人的服务</w:t>
      </w:r>
      <w:bookmarkEnd w:id="110"/>
      <w:bookmarkEnd w:id="111"/>
    </w:p>
    <w:p w:rsidR="002A1A17" w:rsidRPr="0087389D" w:rsidRDefault="002A1A17" w:rsidP="00555CE7">
      <w:pPr>
        <w:pStyle w:val="ac"/>
        <w:autoSpaceDE w:val="0"/>
        <w:autoSpaceDN w:val="0"/>
        <w:adjustRightInd w:val="0"/>
        <w:snapToGrid w:val="0"/>
        <w:spacing w:after="0" w:line="360" w:lineRule="auto"/>
        <w:ind w:firstLineChars="200"/>
        <w:rPr>
          <w:rFonts w:asciiTheme="minorEastAsia" w:eastAsiaTheme="minorEastAsia" w:hAnsiTheme="minorEastAsia"/>
        </w:rPr>
      </w:pPr>
      <w:r w:rsidRPr="0087389D">
        <w:rPr>
          <w:rFonts w:asciiTheme="minorEastAsia" w:eastAsiaTheme="minorEastAsia" w:hAnsiTheme="minorEastAsia"/>
        </w:rPr>
        <w:t>基金管理人承诺为基金份额持有人提供一系列的服务。以下是主要的服务内容，基金管理人根据基金份额持有人的需要和市场的变化，有权增加、修改这些服务项目：</w:t>
      </w:r>
    </w:p>
    <w:p w:rsidR="002A1A17" w:rsidRPr="0087389D" w:rsidRDefault="00B329B1" w:rsidP="00555CE7">
      <w:pPr>
        <w:pStyle w:val="ac"/>
        <w:autoSpaceDE w:val="0"/>
        <w:autoSpaceDN w:val="0"/>
        <w:adjustRightInd w:val="0"/>
        <w:snapToGrid w:val="0"/>
        <w:spacing w:after="0" w:line="360" w:lineRule="auto"/>
        <w:ind w:firstLineChars="200"/>
        <w:rPr>
          <w:rFonts w:asciiTheme="minorEastAsia" w:eastAsiaTheme="minorEastAsia" w:hAnsiTheme="minorEastAsia"/>
        </w:rPr>
      </w:pPr>
      <w:r w:rsidRPr="0087389D">
        <w:rPr>
          <w:rFonts w:asciiTheme="minorEastAsia" w:eastAsiaTheme="minorEastAsia" w:hAnsiTheme="minorEastAsia"/>
        </w:rPr>
        <w:t>（</w:t>
      </w:r>
      <w:r w:rsidR="002A1A17" w:rsidRPr="0087389D">
        <w:rPr>
          <w:rFonts w:asciiTheme="minorEastAsia" w:eastAsiaTheme="minorEastAsia" w:hAnsiTheme="minorEastAsia"/>
        </w:rPr>
        <w:t>一</w:t>
      </w:r>
      <w:r w:rsidRPr="0087389D">
        <w:rPr>
          <w:rFonts w:asciiTheme="minorEastAsia" w:eastAsiaTheme="minorEastAsia" w:hAnsiTheme="minorEastAsia"/>
        </w:rPr>
        <w:t>）</w:t>
      </w:r>
      <w:r w:rsidR="002A1A17" w:rsidRPr="0087389D">
        <w:rPr>
          <w:rFonts w:asciiTheme="minorEastAsia" w:eastAsiaTheme="minorEastAsia" w:hAnsiTheme="minorEastAsia"/>
        </w:rPr>
        <w:t>基金份额持有人投资交易确认服务</w:t>
      </w:r>
    </w:p>
    <w:p w:rsidR="002360EF" w:rsidRPr="0087389D" w:rsidRDefault="002A1A17" w:rsidP="00555CE7">
      <w:pPr>
        <w:pStyle w:val="ac"/>
        <w:autoSpaceDE w:val="0"/>
        <w:autoSpaceDN w:val="0"/>
        <w:adjustRightInd w:val="0"/>
        <w:snapToGrid w:val="0"/>
        <w:spacing w:after="0" w:line="360" w:lineRule="auto"/>
        <w:ind w:firstLineChars="200"/>
        <w:rPr>
          <w:rFonts w:asciiTheme="minorEastAsia" w:eastAsiaTheme="minorEastAsia" w:hAnsiTheme="minorEastAsia"/>
        </w:rPr>
      </w:pPr>
      <w:r w:rsidRPr="0087389D">
        <w:rPr>
          <w:rFonts w:asciiTheme="minorEastAsia" w:eastAsiaTheme="minorEastAsia" w:hAnsiTheme="minorEastAsia"/>
        </w:rPr>
        <w:t>基金登记机构保留基金份额持有人名册上列明的所有基金份额持有人的基金交易记录。</w:t>
      </w:r>
      <w:r w:rsidR="002360EF" w:rsidRPr="0087389D">
        <w:rPr>
          <w:rFonts w:asciiTheme="minorEastAsia" w:eastAsiaTheme="minorEastAsia" w:hAnsiTheme="minorEastAsia" w:hint="eastAsia"/>
        </w:rPr>
        <w:t>基金管理人直销网点应根据在基金管理人直销网点进行交易的投资者的要求提供成交确认单。基金非直销销售机构应根据在销售网点进行交易的投资者的要求提供成交确认单。</w:t>
      </w:r>
    </w:p>
    <w:p w:rsidR="002A1A17" w:rsidRPr="0087389D" w:rsidRDefault="00B329B1" w:rsidP="00555CE7">
      <w:pPr>
        <w:pStyle w:val="ac"/>
        <w:autoSpaceDE w:val="0"/>
        <w:autoSpaceDN w:val="0"/>
        <w:adjustRightInd w:val="0"/>
        <w:snapToGrid w:val="0"/>
        <w:spacing w:after="0" w:line="360" w:lineRule="auto"/>
        <w:ind w:firstLineChars="200"/>
        <w:rPr>
          <w:rFonts w:asciiTheme="minorEastAsia" w:eastAsiaTheme="minorEastAsia" w:hAnsiTheme="minorEastAsia"/>
        </w:rPr>
      </w:pPr>
      <w:r w:rsidRPr="0087389D">
        <w:rPr>
          <w:rFonts w:asciiTheme="minorEastAsia" w:eastAsiaTheme="minorEastAsia" w:hAnsiTheme="minorEastAsia"/>
        </w:rPr>
        <w:t>（</w:t>
      </w:r>
      <w:r w:rsidR="002A1A17" w:rsidRPr="0087389D">
        <w:rPr>
          <w:rFonts w:asciiTheme="minorEastAsia" w:eastAsiaTheme="minorEastAsia" w:hAnsiTheme="minorEastAsia"/>
        </w:rPr>
        <w:t>二</w:t>
      </w:r>
      <w:r w:rsidRPr="0087389D">
        <w:rPr>
          <w:rFonts w:asciiTheme="minorEastAsia" w:eastAsiaTheme="minorEastAsia" w:hAnsiTheme="minorEastAsia"/>
        </w:rPr>
        <w:t>）</w:t>
      </w:r>
      <w:r w:rsidR="002A1A17" w:rsidRPr="0087389D">
        <w:rPr>
          <w:rFonts w:asciiTheme="minorEastAsia" w:eastAsiaTheme="minorEastAsia" w:hAnsiTheme="minorEastAsia"/>
        </w:rPr>
        <w:t>基金份额持有人交易记录查询服务</w:t>
      </w:r>
    </w:p>
    <w:p w:rsidR="002A1A17" w:rsidRPr="0087389D" w:rsidRDefault="002A1A17" w:rsidP="00555CE7">
      <w:pPr>
        <w:pStyle w:val="ac"/>
        <w:autoSpaceDE w:val="0"/>
        <w:autoSpaceDN w:val="0"/>
        <w:adjustRightInd w:val="0"/>
        <w:snapToGrid w:val="0"/>
        <w:spacing w:after="0" w:line="360" w:lineRule="auto"/>
        <w:ind w:firstLineChars="200"/>
        <w:rPr>
          <w:rFonts w:asciiTheme="minorEastAsia" w:eastAsiaTheme="minorEastAsia" w:hAnsiTheme="minorEastAsia"/>
        </w:rPr>
      </w:pPr>
      <w:r w:rsidRPr="0087389D">
        <w:rPr>
          <w:rFonts w:asciiTheme="minorEastAsia" w:eastAsiaTheme="minorEastAsia" w:hAnsiTheme="minorEastAsia"/>
        </w:rPr>
        <w:t>本基金份额持有人可通过基金管理人的客户服务中心查询历史交易记录。</w:t>
      </w:r>
    </w:p>
    <w:p w:rsidR="002A1A17" w:rsidRPr="0087389D" w:rsidRDefault="00B329B1" w:rsidP="00555CE7">
      <w:pPr>
        <w:pStyle w:val="ac"/>
        <w:autoSpaceDE w:val="0"/>
        <w:autoSpaceDN w:val="0"/>
        <w:adjustRightInd w:val="0"/>
        <w:snapToGrid w:val="0"/>
        <w:spacing w:after="0" w:line="360" w:lineRule="auto"/>
        <w:ind w:firstLineChars="200"/>
        <w:rPr>
          <w:rFonts w:asciiTheme="minorEastAsia" w:eastAsiaTheme="minorEastAsia" w:hAnsiTheme="minorEastAsia"/>
        </w:rPr>
      </w:pPr>
      <w:r w:rsidRPr="0087389D">
        <w:rPr>
          <w:rFonts w:asciiTheme="minorEastAsia" w:eastAsiaTheme="minorEastAsia" w:hAnsiTheme="minorEastAsia"/>
        </w:rPr>
        <w:t>（</w:t>
      </w:r>
      <w:r w:rsidR="002A1A17" w:rsidRPr="0087389D">
        <w:rPr>
          <w:rFonts w:asciiTheme="minorEastAsia" w:eastAsiaTheme="minorEastAsia" w:hAnsiTheme="minorEastAsia"/>
        </w:rPr>
        <w:t>三</w:t>
      </w:r>
      <w:r w:rsidRPr="0087389D">
        <w:rPr>
          <w:rFonts w:asciiTheme="minorEastAsia" w:eastAsiaTheme="minorEastAsia" w:hAnsiTheme="minorEastAsia"/>
        </w:rPr>
        <w:t>）</w:t>
      </w:r>
      <w:r w:rsidR="002A1A17" w:rsidRPr="0087389D">
        <w:rPr>
          <w:rFonts w:asciiTheme="minorEastAsia" w:eastAsiaTheme="minorEastAsia" w:hAnsiTheme="minorEastAsia"/>
        </w:rPr>
        <w:t>基金份额持有人的对账单服务</w:t>
      </w:r>
    </w:p>
    <w:p w:rsidR="002A1A17" w:rsidRPr="0087389D" w:rsidRDefault="002A1A17" w:rsidP="00555CE7">
      <w:pPr>
        <w:pStyle w:val="ac"/>
        <w:autoSpaceDE w:val="0"/>
        <w:autoSpaceDN w:val="0"/>
        <w:adjustRightInd w:val="0"/>
        <w:snapToGrid w:val="0"/>
        <w:spacing w:after="0" w:line="360" w:lineRule="auto"/>
        <w:ind w:firstLineChars="200"/>
        <w:rPr>
          <w:rFonts w:asciiTheme="minorEastAsia" w:eastAsiaTheme="minorEastAsia" w:hAnsiTheme="minorEastAsia"/>
        </w:rPr>
      </w:pPr>
      <w:r w:rsidRPr="0087389D">
        <w:rPr>
          <w:rFonts w:asciiTheme="minorEastAsia" w:eastAsiaTheme="minorEastAsia" w:hAnsiTheme="minorEastAsia"/>
        </w:rPr>
        <w:t>1、基金份额持有人可登录本公司网站</w:t>
      </w:r>
      <w:r w:rsidR="00B329B1" w:rsidRPr="0087389D">
        <w:rPr>
          <w:rFonts w:asciiTheme="minorEastAsia" w:eastAsiaTheme="minorEastAsia" w:hAnsiTheme="minorEastAsia"/>
        </w:rPr>
        <w:t>（</w:t>
      </w:r>
      <w:hyperlink r:id="rId20" w:history="1">
        <w:r w:rsidRPr="0087389D">
          <w:rPr>
            <w:rFonts w:asciiTheme="minorEastAsia" w:eastAsiaTheme="minorEastAsia" w:hAnsiTheme="minorEastAsia"/>
          </w:rPr>
          <w:t>http://www.efunds.com.cn</w:t>
        </w:r>
      </w:hyperlink>
      <w:r w:rsidR="00B329B1" w:rsidRPr="0087389D">
        <w:rPr>
          <w:rFonts w:asciiTheme="minorEastAsia" w:eastAsiaTheme="minorEastAsia" w:hAnsiTheme="minorEastAsia"/>
        </w:rPr>
        <w:t>）</w:t>
      </w:r>
      <w:r w:rsidRPr="0087389D">
        <w:rPr>
          <w:rFonts w:asciiTheme="minorEastAsia" w:eastAsiaTheme="minorEastAsia" w:hAnsiTheme="minorEastAsia"/>
        </w:rPr>
        <w:t>查阅对账单。</w:t>
      </w:r>
    </w:p>
    <w:p w:rsidR="002360EF" w:rsidRPr="0087389D" w:rsidRDefault="002A1A17" w:rsidP="00555CE7">
      <w:pPr>
        <w:pStyle w:val="ac"/>
        <w:autoSpaceDE w:val="0"/>
        <w:autoSpaceDN w:val="0"/>
        <w:adjustRightInd w:val="0"/>
        <w:snapToGrid w:val="0"/>
        <w:spacing w:after="0" w:line="360" w:lineRule="auto"/>
        <w:ind w:firstLineChars="200"/>
        <w:rPr>
          <w:rFonts w:asciiTheme="minorEastAsia" w:eastAsiaTheme="minorEastAsia" w:hAnsiTheme="minorEastAsia"/>
        </w:rPr>
      </w:pPr>
      <w:r w:rsidRPr="0087389D">
        <w:rPr>
          <w:rFonts w:asciiTheme="minorEastAsia" w:eastAsiaTheme="minorEastAsia" w:hAnsiTheme="minorEastAsia"/>
        </w:rPr>
        <w:t>2、基金份额持有人也可向本公司定制纸质、电子或短信形式的定期或不定期对账单。</w:t>
      </w:r>
    </w:p>
    <w:p w:rsidR="002A1A17" w:rsidRPr="0087389D" w:rsidRDefault="002A1A17" w:rsidP="00555CE7">
      <w:pPr>
        <w:pStyle w:val="ac"/>
        <w:autoSpaceDE w:val="0"/>
        <w:autoSpaceDN w:val="0"/>
        <w:adjustRightInd w:val="0"/>
        <w:snapToGrid w:val="0"/>
        <w:spacing w:after="0" w:line="360" w:lineRule="auto"/>
        <w:ind w:firstLineChars="200"/>
        <w:rPr>
          <w:rFonts w:asciiTheme="minorEastAsia" w:eastAsiaTheme="minorEastAsia" w:hAnsiTheme="minorEastAsia"/>
        </w:rPr>
      </w:pPr>
      <w:r w:rsidRPr="0087389D">
        <w:rPr>
          <w:rFonts w:asciiTheme="minorEastAsia" w:eastAsiaTheme="minorEastAsia" w:hAnsiTheme="minorEastAsia"/>
        </w:rPr>
        <w:t>具体查阅和定制账单的方法可参见本公司网站或拨打客服热线咨询。</w:t>
      </w:r>
    </w:p>
    <w:p w:rsidR="002360EF" w:rsidRPr="0087389D" w:rsidRDefault="002360EF" w:rsidP="00555CE7">
      <w:pPr>
        <w:pStyle w:val="ac"/>
        <w:autoSpaceDE w:val="0"/>
        <w:autoSpaceDN w:val="0"/>
        <w:adjustRightInd w:val="0"/>
        <w:snapToGrid w:val="0"/>
        <w:spacing w:after="0" w:line="360" w:lineRule="auto"/>
        <w:ind w:firstLineChars="200"/>
        <w:rPr>
          <w:rFonts w:asciiTheme="minorEastAsia" w:eastAsiaTheme="minorEastAsia" w:hAnsiTheme="minorEastAsia"/>
        </w:rPr>
      </w:pPr>
      <w:r w:rsidRPr="0087389D">
        <w:rPr>
          <w:rFonts w:asciiTheme="minorEastAsia" w:eastAsiaTheme="minorEastAsia" w:hAnsiTheme="minorEastAsia" w:hint="eastAsia"/>
        </w:rPr>
        <w:t>（四）定期定额投资计划</w:t>
      </w:r>
    </w:p>
    <w:p w:rsidR="002360EF" w:rsidRPr="0087389D" w:rsidRDefault="002360EF" w:rsidP="00555CE7">
      <w:pPr>
        <w:pStyle w:val="ac"/>
        <w:autoSpaceDE w:val="0"/>
        <w:autoSpaceDN w:val="0"/>
        <w:adjustRightInd w:val="0"/>
        <w:snapToGrid w:val="0"/>
        <w:spacing w:after="0" w:line="360" w:lineRule="auto"/>
        <w:ind w:firstLineChars="200"/>
        <w:rPr>
          <w:rFonts w:asciiTheme="minorEastAsia" w:eastAsiaTheme="minorEastAsia" w:hAnsiTheme="minorEastAsia"/>
        </w:rPr>
      </w:pPr>
      <w:r w:rsidRPr="0087389D">
        <w:rPr>
          <w:rFonts w:asciiTheme="minorEastAsia" w:eastAsiaTheme="minorEastAsia" w:hAnsiTheme="minorEastAsia" w:hint="eastAsia"/>
          <w:kern w:val="0"/>
        </w:rPr>
        <w:t>基金管理人可利用非直销销售机构网点和本公司网上交易系统为投资者提供定期定额投资的</w:t>
      </w:r>
      <w:r w:rsidRPr="0087389D">
        <w:rPr>
          <w:rFonts w:asciiTheme="minorEastAsia" w:eastAsiaTheme="minorEastAsia" w:hAnsiTheme="minorEastAsia" w:hint="eastAsia"/>
          <w:kern w:val="0"/>
          <w:szCs w:val="21"/>
        </w:rPr>
        <w:t>服务（本公司网上交易系统的定期定额投资服务目前仅对个人投资者开通）。</w:t>
      </w:r>
      <w:r w:rsidRPr="0087389D">
        <w:rPr>
          <w:rFonts w:asciiTheme="minorEastAsia" w:eastAsiaTheme="minorEastAsia" w:hAnsiTheme="minorEastAsia" w:hint="eastAsia"/>
        </w:rPr>
        <w:t>通过定期定额投资计划，投资者可以通过固定的渠道，定期定额申购基金份额，具体实施方法见有关公告。</w:t>
      </w:r>
    </w:p>
    <w:p w:rsidR="002A1A17" w:rsidRPr="0087389D" w:rsidRDefault="00B329B1" w:rsidP="00555CE7">
      <w:pPr>
        <w:pStyle w:val="ac"/>
        <w:autoSpaceDE w:val="0"/>
        <w:autoSpaceDN w:val="0"/>
        <w:adjustRightInd w:val="0"/>
        <w:snapToGrid w:val="0"/>
        <w:spacing w:after="0" w:line="360" w:lineRule="auto"/>
        <w:ind w:firstLineChars="200"/>
        <w:rPr>
          <w:rFonts w:asciiTheme="minorEastAsia" w:eastAsiaTheme="minorEastAsia" w:hAnsiTheme="minorEastAsia"/>
        </w:rPr>
      </w:pPr>
      <w:r w:rsidRPr="0087389D">
        <w:rPr>
          <w:rFonts w:asciiTheme="minorEastAsia" w:eastAsiaTheme="minorEastAsia" w:hAnsiTheme="minorEastAsia"/>
        </w:rPr>
        <w:t>（</w:t>
      </w:r>
      <w:r w:rsidR="002360EF" w:rsidRPr="0087389D">
        <w:rPr>
          <w:rFonts w:asciiTheme="minorEastAsia" w:eastAsiaTheme="minorEastAsia" w:hAnsiTheme="minorEastAsia" w:hint="eastAsia"/>
        </w:rPr>
        <w:t>五</w:t>
      </w:r>
      <w:r w:rsidRPr="0087389D">
        <w:rPr>
          <w:rFonts w:asciiTheme="minorEastAsia" w:eastAsiaTheme="minorEastAsia" w:hAnsiTheme="minorEastAsia"/>
        </w:rPr>
        <w:t>）</w:t>
      </w:r>
      <w:r w:rsidR="002A1A17" w:rsidRPr="0087389D">
        <w:rPr>
          <w:rFonts w:asciiTheme="minorEastAsia" w:eastAsiaTheme="minorEastAsia" w:hAnsiTheme="minorEastAsia"/>
        </w:rPr>
        <w:t>资讯服务</w:t>
      </w:r>
    </w:p>
    <w:p w:rsidR="002A1A17" w:rsidRPr="0087389D" w:rsidRDefault="002A1A17" w:rsidP="00555CE7">
      <w:pPr>
        <w:pStyle w:val="ac"/>
        <w:autoSpaceDE w:val="0"/>
        <w:autoSpaceDN w:val="0"/>
        <w:adjustRightInd w:val="0"/>
        <w:snapToGrid w:val="0"/>
        <w:spacing w:after="0" w:line="360" w:lineRule="auto"/>
        <w:ind w:firstLineChars="200"/>
        <w:rPr>
          <w:rFonts w:asciiTheme="minorEastAsia" w:eastAsiaTheme="minorEastAsia" w:hAnsiTheme="minorEastAsia"/>
        </w:rPr>
      </w:pPr>
      <w:r w:rsidRPr="0087389D">
        <w:rPr>
          <w:rFonts w:asciiTheme="minorEastAsia" w:eastAsiaTheme="minorEastAsia" w:hAnsiTheme="minorEastAsia"/>
        </w:rPr>
        <w:t>1、客户服务中心电话</w:t>
      </w:r>
    </w:p>
    <w:p w:rsidR="002A1A17" w:rsidRPr="0087389D" w:rsidRDefault="00856FF8" w:rsidP="00555CE7">
      <w:pPr>
        <w:pStyle w:val="ac"/>
        <w:autoSpaceDE w:val="0"/>
        <w:autoSpaceDN w:val="0"/>
        <w:adjustRightInd w:val="0"/>
        <w:snapToGrid w:val="0"/>
        <w:spacing w:after="0" w:line="360" w:lineRule="auto"/>
        <w:ind w:firstLineChars="200"/>
        <w:rPr>
          <w:rFonts w:asciiTheme="minorEastAsia" w:eastAsiaTheme="minorEastAsia" w:hAnsiTheme="minorEastAsia"/>
        </w:rPr>
      </w:pPr>
      <w:r w:rsidRPr="0087389D">
        <w:rPr>
          <w:rFonts w:asciiTheme="minorEastAsia" w:eastAsiaTheme="minorEastAsia" w:hAnsiTheme="minorEastAsia" w:hint="eastAsia"/>
          <w:kern w:val="0"/>
          <w:szCs w:val="21"/>
        </w:rPr>
        <w:t>投资者如果想了解申购与赎回的交易情况、基金账户余额、基金产品与服务等信息</w:t>
      </w:r>
      <w:r w:rsidRPr="0087389D">
        <w:rPr>
          <w:rFonts w:asciiTheme="minorEastAsia" w:eastAsiaTheme="minorEastAsia" w:hAnsiTheme="minorEastAsia"/>
        </w:rPr>
        <w:t>，</w:t>
      </w:r>
      <w:r w:rsidR="006B6F89" w:rsidRPr="0087389D">
        <w:rPr>
          <w:rFonts w:asciiTheme="minorEastAsia" w:eastAsiaTheme="minorEastAsia" w:hAnsiTheme="minorEastAsia" w:hint="eastAsia"/>
          <w:kern w:val="0"/>
        </w:rPr>
        <w:t>或反馈投资过程中需要投诉与建议的情况，</w:t>
      </w:r>
      <w:r w:rsidRPr="0087389D">
        <w:rPr>
          <w:rFonts w:asciiTheme="minorEastAsia" w:eastAsiaTheme="minorEastAsia" w:hAnsiTheme="minorEastAsia"/>
        </w:rPr>
        <w:t>可拨打如下电话：4008818088</w:t>
      </w:r>
      <w:r w:rsidRPr="0087389D">
        <w:rPr>
          <w:rFonts w:asciiTheme="minorEastAsia" w:eastAsiaTheme="minorEastAsia" w:hAnsiTheme="minorEastAsia" w:hint="eastAsia"/>
        </w:rPr>
        <w:t>（</w:t>
      </w:r>
      <w:r w:rsidRPr="0087389D">
        <w:rPr>
          <w:rFonts w:asciiTheme="minorEastAsia" w:eastAsiaTheme="minorEastAsia" w:hAnsiTheme="minorEastAsia"/>
        </w:rPr>
        <w:t>免长途话费</w:t>
      </w:r>
      <w:r w:rsidRPr="0087389D">
        <w:rPr>
          <w:rFonts w:asciiTheme="minorEastAsia" w:eastAsiaTheme="minorEastAsia" w:hAnsiTheme="minorEastAsia" w:hint="eastAsia"/>
        </w:rPr>
        <w:t>）</w:t>
      </w:r>
      <w:r w:rsidR="002A1A17" w:rsidRPr="0087389D">
        <w:rPr>
          <w:rFonts w:asciiTheme="minorEastAsia" w:eastAsiaTheme="minorEastAsia" w:hAnsiTheme="minorEastAsia"/>
        </w:rPr>
        <w:t>。</w:t>
      </w:r>
      <w:r w:rsidR="00777FF4" w:rsidRPr="0087389D">
        <w:rPr>
          <w:rFonts w:asciiTheme="minorEastAsia" w:eastAsiaTheme="minorEastAsia" w:hAnsiTheme="minorEastAsia" w:hint="eastAsia"/>
        </w:rPr>
        <w:t>投资者如果认为自己不能准确理解本基金《招募说明书》、《基金合同》的具体内容，也可拨打上述电话详询。</w:t>
      </w:r>
    </w:p>
    <w:p w:rsidR="002A1A17" w:rsidRPr="0087389D" w:rsidRDefault="002A1A17" w:rsidP="00555CE7">
      <w:pPr>
        <w:pStyle w:val="ac"/>
        <w:autoSpaceDE w:val="0"/>
        <w:autoSpaceDN w:val="0"/>
        <w:adjustRightInd w:val="0"/>
        <w:snapToGrid w:val="0"/>
        <w:spacing w:after="0" w:line="360" w:lineRule="auto"/>
        <w:ind w:firstLineChars="200"/>
        <w:rPr>
          <w:rFonts w:asciiTheme="minorEastAsia" w:eastAsiaTheme="minorEastAsia" w:hAnsiTheme="minorEastAsia"/>
        </w:rPr>
      </w:pPr>
      <w:r w:rsidRPr="0087389D">
        <w:rPr>
          <w:rFonts w:asciiTheme="minorEastAsia" w:eastAsiaTheme="minorEastAsia" w:hAnsiTheme="minorEastAsia"/>
        </w:rPr>
        <w:t>2、互联网站及电子信箱</w:t>
      </w:r>
    </w:p>
    <w:p w:rsidR="002A1A17" w:rsidRPr="0087389D" w:rsidRDefault="002A1A17" w:rsidP="00555CE7">
      <w:pPr>
        <w:pStyle w:val="ac"/>
        <w:autoSpaceDE w:val="0"/>
        <w:autoSpaceDN w:val="0"/>
        <w:adjustRightInd w:val="0"/>
        <w:snapToGrid w:val="0"/>
        <w:spacing w:after="0" w:line="360" w:lineRule="auto"/>
        <w:ind w:firstLineChars="200"/>
        <w:rPr>
          <w:rFonts w:asciiTheme="minorEastAsia" w:eastAsiaTheme="minorEastAsia" w:hAnsiTheme="minorEastAsia"/>
        </w:rPr>
      </w:pPr>
      <w:r w:rsidRPr="0087389D">
        <w:rPr>
          <w:rFonts w:asciiTheme="minorEastAsia" w:eastAsiaTheme="minorEastAsia" w:hAnsiTheme="minorEastAsia"/>
        </w:rPr>
        <w:t>网址：</w:t>
      </w:r>
      <w:hyperlink r:id="rId21" w:history="1">
        <w:r w:rsidRPr="0087389D">
          <w:rPr>
            <w:rFonts w:asciiTheme="minorEastAsia" w:eastAsiaTheme="minorEastAsia" w:hAnsiTheme="minorEastAsia"/>
          </w:rPr>
          <w:t>http://www.efunds.com.cn</w:t>
        </w:r>
      </w:hyperlink>
    </w:p>
    <w:p w:rsidR="002A1A17" w:rsidRPr="0087389D" w:rsidRDefault="002A1A17" w:rsidP="00555CE7">
      <w:pPr>
        <w:pStyle w:val="ac"/>
        <w:autoSpaceDE w:val="0"/>
        <w:autoSpaceDN w:val="0"/>
        <w:adjustRightInd w:val="0"/>
        <w:snapToGrid w:val="0"/>
        <w:spacing w:after="0" w:line="360" w:lineRule="auto"/>
        <w:ind w:firstLineChars="200"/>
        <w:rPr>
          <w:rFonts w:asciiTheme="minorEastAsia" w:eastAsiaTheme="minorEastAsia" w:hAnsiTheme="minorEastAsia"/>
        </w:rPr>
      </w:pPr>
      <w:r w:rsidRPr="0087389D">
        <w:rPr>
          <w:rFonts w:asciiTheme="minorEastAsia" w:eastAsiaTheme="minorEastAsia" w:hAnsiTheme="minorEastAsia"/>
        </w:rPr>
        <w:t>电子信箱：</w:t>
      </w:r>
      <w:hyperlink r:id="rId22" w:history="1">
        <w:r w:rsidRPr="0087389D">
          <w:rPr>
            <w:rFonts w:asciiTheme="minorEastAsia" w:eastAsiaTheme="minorEastAsia" w:hAnsiTheme="minorEastAsia"/>
          </w:rPr>
          <w:t>service@efunds.com.cn</w:t>
        </w:r>
      </w:hyperlink>
    </w:p>
    <w:p w:rsidR="00BA4B87" w:rsidRPr="0087389D" w:rsidRDefault="00BA4B87" w:rsidP="00555CE7">
      <w:pPr>
        <w:snapToGrid w:val="0"/>
        <w:spacing w:line="360" w:lineRule="auto"/>
        <w:ind w:firstLine="420"/>
        <w:rPr>
          <w:rFonts w:asciiTheme="minorEastAsia" w:eastAsiaTheme="minorEastAsia" w:hAnsiTheme="minorEastAsia"/>
        </w:rPr>
      </w:pPr>
    </w:p>
    <w:p w:rsidR="00BA4B87" w:rsidRPr="0087389D" w:rsidRDefault="002278E5" w:rsidP="00555CE7">
      <w:pPr>
        <w:pStyle w:val="1"/>
        <w:pageBreakBefore/>
        <w:snapToGrid w:val="0"/>
        <w:spacing w:beforeLines="0" w:afterLines="0" w:line="360" w:lineRule="auto"/>
        <w:ind w:firstLineChars="850" w:firstLine="2560"/>
        <w:jc w:val="both"/>
        <w:rPr>
          <w:rFonts w:asciiTheme="minorEastAsia" w:eastAsiaTheme="minorEastAsia" w:hAnsiTheme="minorEastAsia"/>
          <w:b/>
        </w:rPr>
      </w:pPr>
      <w:bookmarkStart w:id="112" w:name="_Toc361403752"/>
      <w:bookmarkStart w:id="113" w:name="_Toc41644983"/>
      <w:r w:rsidRPr="0087389D">
        <w:rPr>
          <w:rFonts w:asciiTheme="minorEastAsia" w:eastAsiaTheme="minorEastAsia" w:hAnsiTheme="minorEastAsia"/>
          <w:b/>
          <w:sz w:val="30"/>
        </w:rPr>
        <w:lastRenderedPageBreak/>
        <w:t>二十</w:t>
      </w:r>
      <w:r w:rsidRPr="0087389D">
        <w:rPr>
          <w:rFonts w:asciiTheme="minorEastAsia" w:eastAsiaTheme="minorEastAsia" w:hAnsiTheme="minorEastAsia" w:hint="eastAsia"/>
          <w:b/>
          <w:sz w:val="30"/>
        </w:rPr>
        <w:t>五</w:t>
      </w:r>
      <w:r w:rsidR="00BA4B87" w:rsidRPr="0087389D">
        <w:rPr>
          <w:rFonts w:asciiTheme="minorEastAsia" w:eastAsiaTheme="minorEastAsia" w:hAnsiTheme="minorEastAsia"/>
          <w:b/>
          <w:sz w:val="30"/>
        </w:rPr>
        <w:t>、其他应披露事项</w:t>
      </w:r>
      <w:bookmarkEnd w:id="112"/>
      <w:bookmarkEnd w:id="113"/>
    </w:p>
    <w:tbl>
      <w:tblPr>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2317"/>
      </w:tblGrid>
      <w:tr w:rsidR="0087389D" w:rsidRPr="0087389D" w:rsidTr="0087389D">
        <w:trPr>
          <w:trHeight w:val="266"/>
        </w:trPr>
        <w:tc>
          <w:tcPr>
            <w:tcW w:w="62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0C9" w:rsidRPr="0087389D" w:rsidRDefault="00E17B2F" w:rsidP="0087389D">
            <w:pPr>
              <w:jc w:val="center"/>
              <w:rPr>
                <w:rFonts w:asciiTheme="minorEastAsia" w:eastAsiaTheme="minorEastAsia" w:hAnsiTheme="minorEastAsia"/>
                <w:szCs w:val="21"/>
              </w:rPr>
            </w:pPr>
            <w:r w:rsidRPr="0087389D">
              <w:rPr>
                <w:rFonts w:asciiTheme="minorEastAsia" w:eastAsiaTheme="minorEastAsia" w:hAnsiTheme="minorEastAsia" w:hint="eastAsia"/>
                <w:szCs w:val="21"/>
              </w:rPr>
              <w:t>公告事项</w:t>
            </w:r>
          </w:p>
        </w:tc>
        <w:tc>
          <w:tcPr>
            <w:tcW w:w="23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0C9" w:rsidRPr="0087389D" w:rsidRDefault="00E17B2F" w:rsidP="0087389D">
            <w:pPr>
              <w:jc w:val="center"/>
              <w:rPr>
                <w:rFonts w:asciiTheme="minorEastAsia" w:eastAsiaTheme="minorEastAsia" w:hAnsiTheme="minorEastAsia"/>
                <w:szCs w:val="21"/>
              </w:rPr>
            </w:pPr>
            <w:r w:rsidRPr="0087389D">
              <w:rPr>
                <w:rFonts w:asciiTheme="minorEastAsia" w:eastAsiaTheme="minorEastAsia" w:hAnsiTheme="minorEastAsia" w:hint="eastAsia"/>
                <w:szCs w:val="21"/>
              </w:rPr>
              <w:t>披露日期</w:t>
            </w:r>
          </w:p>
        </w:tc>
      </w:tr>
      <w:tr w:rsidR="0087389D" w:rsidRPr="0087389D" w:rsidTr="0087389D">
        <w:trPr>
          <w:trHeight w:val="266"/>
        </w:trPr>
        <w:tc>
          <w:tcPr>
            <w:tcW w:w="62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7B2F" w:rsidRPr="0087389D" w:rsidRDefault="00E17B2F" w:rsidP="0087389D">
            <w:pPr>
              <w:jc w:val="left"/>
              <w:rPr>
                <w:rFonts w:asciiTheme="minorEastAsia" w:eastAsiaTheme="minorEastAsia" w:hAnsiTheme="minorEastAsia"/>
                <w:szCs w:val="21"/>
              </w:rPr>
            </w:pPr>
            <w:r w:rsidRPr="0087389D">
              <w:rPr>
                <w:rFonts w:asciiTheme="minorEastAsia" w:eastAsiaTheme="minorEastAsia" w:hAnsiTheme="minorEastAsia" w:hint="eastAsia"/>
                <w:szCs w:val="21"/>
              </w:rPr>
              <w:t>易方达基金管理有限公司关于调整转换业务货币市场基金未付收益支付规则的公告</w:t>
            </w:r>
          </w:p>
        </w:tc>
        <w:tc>
          <w:tcPr>
            <w:tcW w:w="23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B2F" w:rsidRPr="0087389D" w:rsidRDefault="00E17B2F" w:rsidP="0087389D">
            <w:pPr>
              <w:jc w:val="center"/>
              <w:rPr>
                <w:rFonts w:asciiTheme="minorEastAsia" w:eastAsiaTheme="minorEastAsia" w:hAnsiTheme="minorEastAsia"/>
                <w:szCs w:val="21"/>
              </w:rPr>
            </w:pPr>
            <w:r w:rsidRPr="0087389D">
              <w:rPr>
                <w:rFonts w:asciiTheme="minorEastAsia" w:eastAsiaTheme="minorEastAsia" w:hAnsiTheme="minorEastAsia" w:hint="eastAsia"/>
                <w:szCs w:val="21"/>
              </w:rPr>
              <w:t>2019-06-20</w:t>
            </w:r>
          </w:p>
        </w:tc>
      </w:tr>
      <w:tr w:rsidR="0087389D" w:rsidRPr="0087389D" w:rsidTr="0087389D">
        <w:trPr>
          <w:trHeight w:val="266"/>
        </w:trPr>
        <w:tc>
          <w:tcPr>
            <w:tcW w:w="62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7B2F" w:rsidRPr="0087389D" w:rsidRDefault="00E17B2F" w:rsidP="0087389D">
            <w:pPr>
              <w:jc w:val="left"/>
              <w:rPr>
                <w:rFonts w:asciiTheme="minorEastAsia" w:eastAsiaTheme="minorEastAsia" w:hAnsiTheme="minorEastAsia"/>
                <w:szCs w:val="21"/>
              </w:rPr>
            </w:pPr>
            <w:r w:rsidRPr="0087389D">
              <w:rPr>
                <w:rFonts w:asciiTheme="minorEastAsia" w:eastAsiaTheme="minorEastAsia" w:hAnsiTheme="minorEastAsia" w:hint="eastAsia"/>
                <w:szCs w:val="21"/>
              </w:rPr>
              <w:t>易方达基金管理有限公司关于旗下部分开放式基金增加微众银行为销售机构的公告</w:t>
            </w:r>
          </w:p>
        </w:tc>
        <w:tc>
          <w:tcPr>
            <w:tcW w:w="23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B2F" w:rsidRPr="0087389D" w:rsidRDefault="00E17B2F" w:rsidP="0087389D">
            <w:pPr>
              <w:jc w:val="center"/>
              <w:rPr>
                <w:rFonts w:asciiTheme="minorEastAsia" w:eastAsiaTheme="minorEastAsia" w:hAnsiTheme="minorEastAsia"/>
                <w:szCs w:val="21"/>
              </w:rPr>
            </w:pPr>
            <w:r w:rsidRPr="0087389D">
              <w:rPr>
                <w:rFonts w:asciiTheme="minorEastAsia" w:eastAsiaTheme="minorEastAsia" w:hAnsiTheme="minorEastAsia" w:hint="eastAsia"/>
                <w:szCs w:val="21"/>
              </w:rPr>
              <w:t>2019-07-02</w:t>
            </w:r>
          </w:p>
        </w:tc>
      </w:tr>
      <w:tr w:rsidR="0087389D" w:rsidRPr="0087389D" w:rsidTr="0087389D">
        <w:trPr>
          <w:trHeight w:val="266"/>
        </w:trPr>
        <w:tc>
          <w:tcPr>
            <w:tcW w:w="62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7B2F" w:rsidRPr="0087389D" w:rsidRDefault="00E17B2F" w:rsidP="0087389D">
            <w:pPr>
              <w:jc w:val="left"/>
              <w:rPr>
                <w:rFonts w:asciiTheme="minorEastAsia" w:eastAsiaTheme="minorEastAsia" w:hAnsiTheme="minorEastAsia"/>
                <w:szCs w:val="21"/>
              </w:rPr>
            </w:pPr>
            <w:r w:rsidRPr="0087389D">
              <w:rPr>
                <w:rFonts w:asciiTheme="minorEastAsia" w:eastAsiaTheme="minorEastAsia" w:hAnsiTheme="minorEastAsia" w:hint="eastAsia"/>
                <w:szCs w:val="21"/>
              </w:rPr>
              <w:t>易方达基金管理有限公司关于旗下部分开放式基金增加广发银行为销售机构的公告</w:t>
            </w:r>
          </w:p>
        </w:tc>
        <w:tc>
          <w:tcPr>
            <w:tcW w:w="23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B2F" w:rsidRPr="0087389D" w:rsidRDefault="00E17B2F" w:rsidP="0087389D">
            <w:pPr>
              <w:jc w:val="center"/>
              <w:rPr>
                <w:rFonts w:asciiTheme="minorEastAsia" w:eastAsiaTheme="minorEastAsia" w:hAnsiTheme="minorEastAsia"/>
                <w:szCs w:val="21"/>
              </w:rPr>
            </w:pPr>
            <w:r w:rsidRPr="0087389D">
              <w:rPr>
                <w:rFonts w:asciiTheme="minorEastAsia" w:eastAsiaTheme="minorEastAsia" w:hAnsiTheme="minorEastAsia" w:hint="eastAsia"/>
                <w:szCs w:val="21"/>
              </w:rPr>
              <w:t>2019-07-10</w:t>
            </w:r>
          </w:p>
        </w:tc>
      </w:tr>
      <w:tr w:rsidR="0087389D" w:rsidRPr="0087389D" w:rsidTr="0087389D">
        <w:trPr>
          <w:trHeight w:val="266"/>
        </w:trPr>
        <w:tc>
          <w:tcPr>
            <w:tcW w:w="62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7B2F" w:rsidRPr="0087389D" w:rsidRDefault="00E17B2F" w:rsidP="0087389D">
            <w:pPr>
              <w:jc w:val="left"/>
              <w:rPr>
                <w:rFonts w:asciiTheme="minorEastAsia" w:eastAsiaTheme="minorEastAsia" w:hAnsiTheme="minorEastAsia"/>
                <w:szCs w:val="21"/>
              </w:rPr>
            </w:pPr>
            <w:r w:rsidRPr="0087389D">
              <w:rPr>
                <w:rFonts w:asciiTheme="minorEastAsia" w:eastAsiaTheme="minorEastAsia" w:hAnsiTheme="minorEastAsia" w:hint="eastAsia"/>
                <w:szCs w:val="21"/>
              </w:rPr>
              <w:t>易方达基金管理有限公司关于旗下部分开放式基金增加上海银行为销售机构的公告</w:t>
            </w:r>
          </w:p>
        </w:tc>
        <w:tc>
          <w:tcPr>
            <w:tcW w:w="23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B2F" w:rsidRPr="0087389D" w:rsidRDefault="00E17B2F" w:rsidP="0087389D">
            <w:pPr>
              <w:jc w:val="center"/>
              <w:rPr>
                <w:rFonts w:asciiTheme="minorEastAsia" w:eastAsiaTheme="minorEastAsia" w:hAnsiTheme="minorEastAsia"/>
                <w:szCs w:val="21"/>
              </w:rPr>
            </w:pPr>
            <w:r w:rsidRPr="0087389D">
              <w:rPr>
                <w:rFonts w:asciiTheme="minorEastAsia" w:eastAsiaTheme="minorEastAsia" w:hAnsiTheme="minorEastAsia" w:hint="eastAsia"/>
                <w:szCs w:val="21"/>
              </w:rPr>
              <w:t>2019-07-29</w:t>
            </w:r>
          </w:p>
        </w:tc>
      </w:tr>
      <w:tr w:rsidR="0087389D" w:rsidRPr="0087389D" w:rsidTr="0087389D">
        <w:trPr>
          <w:trHeight w:val="266"/>
        </w:trPr>
        <w:tc>
          <w:tcPr>
            <w:tcW w:w="62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7B2F" w:rsidRPr="0087389D" w:rsidRDefault="00E17B2F" w:rsidP="0087389D">
            <w:pPr>
              <w:jc w:val="left"/>
              <w:rPr>
                <w:rFonts w:asciiTheme="minorEastAsia" w:eastAsiaTheme="minorEastAsia" w:hAnsiTheme="minorEastAsia"/>
                <w:szCs w:val="21"/>
              </w:rPr>
            </w:pPr>
            <w:r w:rsidRPr="0087389D">
              <w:rPr>
                <w:rFonts w:asciiTheme="minorEastAsia" w:eastAsiaTheme="minorEastAsia" w:hAnsiTheme="minorEastAsia" w:hint="eastAsia"/>
                <w:szCs w:val="21"/>
              </w:rPr>
              <w:t>易方达基金管理有限公司关于暂停北京中期时代基金销售有限公司办理旗下基金相关销售业务的公告</w:t>
            </w:r>
          </w:p>
        </w:tc>
        <w:tc>
          <w:tcPr>
            <w:tcW w:w="23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B2F" w:rsidRPr="0087389D" w:rsidRDefault="00E17B2F" w:rsidP="0087389D">
            <w:pPr>
              <w:jc w:val="center"/>
              <w:rPr>
                <w:rFonts w:asciiTheme="minorEastAsia" w:eastAsiaTheme="minorEastAsia" w:hAnsiTheme="minorEastAsia"/>
                <w:szCs w:val="21"/>
              </w:rPr>
            </w:pPr>
            <w:r w:rsidRPr="0087389D">
              <w:rPr>
                <w:rFonts w:asciiTheme="minorEastAsia" w:eastAsiaTheme="minorEastAsia" w:hAnsiTheme="minorEastAsia" w:hint="eastAsia"/>
                <w:szCs w:val="21"/>
              </w:rPr>
              <w:t>2019-08-13</w:t>
            </w:r>
          </w:p>
        </w:tc>
      </w:tr>
      <w:tr w:rsidR="0087389D" w:rsidRPr="0087389D" w:rsidTr="0087389D">
        <w:trPr>
          <w:trHeight w:val="266"/>
        </w:trPr>
        <w:tc>
          <w:tcPr>
            <w:tcW w:w="62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7B2F" w:rsidRPr="0087389D" w:rsidRDefault="00E17B2F" w:rsidP="0087389D">
            <w:pPr>
              <w:jc w:val="left"/>
              <w:rPr>
                <w:rFonts w:asciiTheme="minorEastAsia" w:eastAsiaTheme="minorEastAsia" w:hAnsiTheme="minorEastAsia"/>
                <w:szCs w:val="21"/>
              </w:rPr>
            </w:pPr>
            <w:r w:rsidRPr="0087389D">
              <w:rPr>
                <w:rFonts w:asciiTheme="minorEastAsia" w:eastAsiaTheme="minorEastAsia" w:hAnsiTheme="minorEastAsia" w:hint="eastAsia"/>
                <w:szCs w:val="21"/>
              </w:rPr>
              <w:t>易方达基金管理有限公司关于暂停北京加和基金销售有限公司办理旗下基金相关销售业务的公告</w:t>
            </w:r>
          </w:p>
        </w:tc>
        <w:tc>
          <w:tcPr>
            <w:tcW w:w="23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B2F" w:rsidRPr="0087389D" w:rsidRDefault="00E17B2F" w:rsidP="0087389D">
            <w:pPr>
              <w:jc w:val="center"/>
              <w:rPr>
                <w:rFonts w:asciiTheme="minorEastAsia" w:eastAsiaTheme="minorEastAsia" w:hAnsiTheme="minorEastAsia"/>
                <w:szCs w:val="21"/>
              </w:rPr>
            </w:pPr>
            <w:r w:rsidRPr="0087389D">
              <w:rPr>
                <w:rFonts w:asciiTheme="minorEastAsia" w:eastAsiaTheme="minorEastAsia" w:hAnsiTheme="minorEastAsia" w:hint="eastAsia"/>
                <w:szCs w:val="21"/>
              </w:rPr>
              <w:t>2019-08-14</w:t>
            </w:r>
          </w:p>
        </w:tc>
      </w:tr>
      <w:tr w:rsidR="0087389D" w:rsidRPr="0087389D" w:rsidTr="0087389D">
        <w:trPr>
          <w:trHeight w:val="266"/>
        </w:trPr>
        <w:tc>
          <w:tcPr>
            <w:tcW w:w="62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7B2F" w:rsidRPr="0087389D" w:rsidRDefault="00E17B2F" w:rsidP="0087389D">
            <w:pPr>
              <w:jc w:val="left"/>
              <w:rPr>
                <w:rFonts w:asciiTheme="minorEastAsia" w:eastAsiaTheme="minorEastAsia" w:hAnsiTheme="minorEastAsia"/>
                <w:szCs w:val="21"/>
              </w:rPr>
            </w:pPr>
            <w:r w:rsidRPr="0087389D">
              <w:rPr>
                <w:rFonts w:asciiTheme="minorEastAsia" w:eastAsiaTheme="minorEastAsia" w:hAnsiTheme="minorEastAsia" w:hint="eastAsia"/>
                <w:szCs w:val="21"/>
              </w:rPr>
              <w:t>易方达基金管理有限公司关于暂停和谐保险销售有限公司办理旗下基金相关销售业务的公告</w:t>
            </w:r>
          </w:p>
        </w:tc>
        <w:tc>
          <w:tcPr>
            <w:tcW w:w="23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B2F" w:rsidRPr="0087389D" w:rsidRDefault="00E17B2F" w:rsidP="0087389D">
            <w:pPr>
              <w:jc w:val="center"/>
              <w:rPr>
                <w:rFonts w:asciiTheme="minorEastAsia" w:eastAsiaTheme="minorEastAsia" w:hAnsiTheme="minorEastAsia"/>
                <w:szCs w:val="21"/>
              </w:rPr>
            </w:pPr>
            <w:r w:rsidRPr="0087389D">
              <w:rPr>
                <w:rFonts w:asciiTheme="minorEastAsia" w:eastAsiaTheme="minorEastAsia" w:hAnsiTheme="minorEastAsia" w:hint="eastAsia"/>
                <w:szCs w:val="21"/>
              </w:rPr>
              <w:t>2019-08-14</w:t>
            </w:r>
          </w:p>
        </w:tc>
      </w:tr>
      <w:tr w:rsidR="0087389D" w:rsidRPr="0087389D" w:rsidTr="0087389D">
        <w:trPr>
          <w:trHeight w:val="266"/>
        </w:trPr>
        <w:tc>
          <w:tcPr>
            <w:tcW w:w="62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7B2F" w:rsidRPr="0087389D" w:rsidRDefault="00E17B2F" w:rsidP="0087389D">
            <w:pPr>
              <w:jc w:val="left"/>
              <w:rPr>
                <w:rFonts w:asciiTheme="minorEastAsia" w:eastAsiaTheme="minorEastAsia" w:hAnsiTheme="minorEastAsia"/>
                <w:szCs w:val="21"/>
              </w:rPr>
            </w:pPr>
            <w:r w:rsidRPr="0087389D">
              <w:rPr>
                <w:rFonts w:asciiTheme="minorEastAsia" w:eastAsiaTheme="minorEastAsia" w:hAnsiTheme="minorEastAsia" w:hint="eastAsia"/>
                <w:szCs w:val="21"/>
              </w:rPr>
              <w:t>易方达基金管理有限公司关于暂停上海凯石财富基金销售有限公司办理旗下基金相关销售业务的公告</w:t>
            </w:r>
          </w:p>
        </w:tc>
        <w:tc>
          <w:tcPr>
            <w:tcW w:w="23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B2F" w:rsidRPr="0087389D" w:rsidRDefault="00E17B2F" w:rsidP="0087389D">
            <w:pPr>
              <w:jc w:val="center"/>
              <w:rPr>
                <w:rFonts w:asciiTheme="minorEastAsia" w:eastAsiaTheme="minorEastAsia" w:hAnsiTheme="minorEastAsia"/>
                <w:szCs w:val="21"/>
              </w:rPr>
            </w:pPr>
            <w:r w:rsidRPr="0087389D">
              <w:rPr>
                <w:rFonts w:asciiTheme="minorEastAsia" w:eastAsiaTheme="minorEastAsia" w:hAnsiTheme="minorEastAsia" w:hint="eastAsia"/>
                <w:szCs w:val="21"/>
              </w:rPr>
              <w:t>2019-08-14</w:t>
            </w:r>
          </w:p>
        </w:tc>
      </w:tr>
      <w:tr w:rsidR="0087389D" w:rsidRPr="0087389D" w:rsidTr="0087389D">
        <w:trPr>
          <w:trHeight w:val="266"/>
        </w:trPr>
        <w:tc>
          <w:tcPr>
            <w:tcW w:w="62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7B2F" w:rsidRPr="0087389D" w:rsidRDefault="00E17B2F" w:rsidP="0087389D">
            <w:pPr>
              <w:jc w:val="left"/>
              <w:rPr>
                <w:rFonts w:asciiTheme="minorEastAsia" w:eastAsiaTheme="minorEastAsia" w:hAnsiTheme="minorEastAsia"/>
                <w:szCs w:val="21"/>
              </w:rPr>
            </w:pPr>
            <w:r w:rsidRPr="0087389D">
              <w:rPr>
                <w:rFonts w:asciiTheme="minorEastAsia" w:eastAsiaTheme="minorEastAsia" w:hAnsiTheme="minorEastAsia" w:hint="eastAsia"/>
                <w:szCs w:val="21"/>
              </w:rPr>
              <w:t>易方达基金管理有限公司关于暂停深圳宜投基金销售有限公司办理旗下基金相关销售业务的公告</w:t>
            </w:r>
          </w:p>
        </w:tc>
        <w:tc>
          <w:tcPr>
            <w:tcW w:w="23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B2F" w:rsidRPr="0087389D" w:rsidRDefault="00E17B2F" w:rsidP="0087389D">
            <w:pPr>
              <w:jc w:val="center"/>
              <w:rPr>
                <w:rFonts w:asciiTheme="minorEastAsia" w:eastAsiaTheme="minorEastAsia" w:hAnsiTheme="minorEastAsia"/>
                <w:szCs w:val="21"/>
              </w:rPr>
            </w:pPr>
            <w:r w:rsidRPr="0087389D">
              <w:rPr>
                <w:rFonts w:asciiTheme="minorEastAsia" w:eastAsiaTheme="minorEastAsia" w:hAnsiTheme="minorEastAsia" w:hint="eastAsia"/>
                <w:szCs w:val="21"/>
              </w:rPr>
              <w:t>2019-08-14</w:t>
            </w:r>
          </w:p>
        </w:tc>
      </w:tr>
      <w:tr w:rsidR="0087389D" w:rsidRPr="0087389D" w:rsidTr="0087389D">
        <w:trPr>
          <w:trHeight w:val="266"/>
        </w:trPr>
        <w:tc>
          <w:tcPr>
            <w:tcW w:w="62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7B2F" w:rsidRPr="0087389D" w:rsidRDefault="00E17B2F" w:rsidP="0087389D">
            <w:pPr>
              <w:jc w:val="left"/>
              <w:rPr>
                <w:rFonts w:asciiTheme="minorEastAsia" w:eastAsiaTheme="minorEastAsia" w:hAnsiTheme="minorEastAsia"/>
                <w:szCs w:val="21"/>
              </w:rPr>
            </w:pPr>
            <w:r w:rsidRPr="0087389D">
              <w:rPr>
                <w:rFonts w:asciiTheme="minorEastAsia" w:eastAsiaTheme="minorEastAsia" w:hAnsiTheme="minorEastAsia" w:hint="eastAsia"/>
                <w:szCs w:val="21"/>
              </w:rPr>
              <w:t>易方达基金管理有限公司关于暂停厦门市鑫鼎盛控股有限公司办理旗下基金相关销售业务的公告</w:t>
            </w:r>
          </w:p>
        </w:tc>
        <w:tc>
          <w:tcPr>
            <w:tcW w:w="23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B2F" w:rsidRPr="0087389D" w:rsidRDefault="00E17B2F" w:rsidP="0087389D">
            <w:pPr>
              <w:jc w:val="center"/>
              <w:rPr>
                <w:rFonts w:asciiTheme="minorEastAsia" w:eastAsiaTheme="minorEastAsia" w:hAnsiTheme="minorEastAsia"/>
                <w:szCs w:val="21"/>
              </w:rPr>
            </w:pPr>
            <w:r w:rsidRPr="0087389D">
              <w:rPr>
                <w:rFonts w:asciiTheme="minorEastAsia" w:eastAsiaTheme="minorEastAsia" w:hAnsiTheme="minorEastAsia" w:hint="eastAsia"/>
                <w:szCs w:val="21"/>
              </w:rPr>
              <w:t>2019-08-14</w:t>
            </w:r>
          </w:p>
        </w:tc>
      </w:tr>
      <w:tr w:rsidR="0087389D" w:rsidRPr="0087389D" w:rsidTr="0087389D">
        <w:trPr>
          <w:trHeight w:val="266"/>
        </w:trPr>
        <w:tc>
          <w:tcPr>
            <w:tcW w:w="62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7B2F" w:rsidRPr="0087389D" w:rsidRDefault="00E17B2F" w:rsidP="0087389D">
            <w:pPr>
              <w:jc w:val="left"/>
              <w:rPr>
                <w:rFonts w:asciiTheme="minorEastAsia" w:eastAsiaTheme="minorEastAsia" w:hAnsiTheme="minorEastAsia"/>
                <w:szCs w:val="21"/>
              </w:rPr>
            </w:pPr>
            <w:r w:rsidRPr="0087389D">
              <w:rPr>
                <w:rFonts w:asciiTheme="minorEastAsia" w:eastAsiaTheme="minorEastAsia" w:hAnsiTheme="minorEastAsia" w:hint="eastAsia"/>
                <w:szCs w:val="21"/>
              </w:rPr>
              <w:t>易方达基金管理有限公司关于暂停长春发展农村商业银行股份有限公司办理旗下基金销售业务的公告</w:t>
            </w:r>
          </w:p>
        </w:tc>
        <w:tc>
          <w:tcPr>
            <w:tcW w:w="23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B2F" w:rsidRPr="0087389D" w:rsidRDefault="00E17B2F" w:rsidP="0087389D">
            <w:pPr>
              <w:jc w:val="center"/>
              <w:rPr>
                <w:rFonts w:asciiTheme="minorEastAsia" w:eastAsiaTheme="minorEastAsia" w:hAnsiTheme="minorEastAsia"/>
                <w:szCs w:val="21"/>
              </w:rPr>
            </w:pPr>
            <w:r w:rsidRPr="0087389D">
              <w:rPr>
                <w:rFonts w:asciiTheme="minorEastAsia" w:eastAsiaTheme="minorEastAsia" w:hAnsiTheme="minorEastAsia" w:hint="eastAsia"/>
                <w:szCs w:val="21"/>
              </w:rPr>
              <w:t>2019-08-23</w:t>
            </w:r>
          </w:p>
        </w:tc>
      </w:tr>
      <w:tr w:rsidR="0087389D" w:rsidRPr="0087389D" w:rsidTr="0087389D">
        <w:trPr>
          <w:trHeight w:val="266"/>
        </w:trPr>
        <w:tc>
          <w:tcPr>
            <w:tcW w:w="62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7B2F" w:rsidRPr="0087389D" w:rsidRDefault="00E17B2F" w:rsidP="0087389D">
            <w:pPr>
              <w:jc w:val="left"/>
              <w:rPr>
                <w:rFonts w:asciiTheme="minorEastAsia" w:eastAsiaTheme="minorEastAsia" w:hAnsiTheme="minorEastAsia"/>
                <w:szCs w:val="21"/>
              </w:rPr>
            </w:pPr>
            <w:r w:rsidRPr="0087389D">
              <w:rPr>
                <w:rFonts w:asciiTheme="minorEastAsia" w:eastAsiaTheme="minorEastAsia" w:hAnsiTheme="minorEastAsia" w:hint="eastAsia"/>
                <w:szCs w:val="21"/>
              </w:rPr>
              <w:t>易方达基金管理有限公司旗下基金季度报告提示性公告</w:t>
            </w:r>
          </w:p>
        </w:tc>
        <w:tc>
          <w:tcPr>
            <w:tcW w:w="23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B2F" w:rsidRPr="0087389D" w:rsidRDefault="00E17B2F" w:rsidP="0087389D">
            <w:pPr>
              <w:jc w:val="center"/>
              <w:rPr>
                <w:rFonts w:asciiTheme="minorEastAsia" w:eastAsiaTheme="minorEastAsia" w:hAnsiTheme="minorEastAsia"/>
                <w:szCs w:val="21"/>
              </w:rPr>
            </w:pPr>
            <w:r w:rsidRPr="0087389D">
              <w:rPr>
                <w:rFonts w:asciiTheme="minorEastAsia" w:eastAsiaTheme="minorEastAsia" w:hAnsiTheme="minorEastAsia" w:hint="eastAsia"/>
                <w:szCs w:val="21"/>
              </w:rPr>
              <w:t>2019-10-24</w:t>
            </w:r>
          </w:p>
        </w:tc>
      </w:tr>
      <w:tr w:rsidR="0087389D" w:rsidRPr="0087389D" w:rsidTr="0087389D">
        <w:trPr>
          <w:trHeight w:val="266"/>
        </w:trPr>
        <w:tc>
          <w:tcPr>
            <w:tcW w:w="62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7B2F" w:rsidRPr="0087389D" w:rsidRDefault="00E17B2F" w:rsidP="0087389D">
            <w:pPr>
              <w:jc w:val="left"/>
              <w:rPr>
                <w:rFonts w:asciiTheme="minorEastAsia" w:eastAsiaTheme="minorEastAsia" w:hAnsiTheme="minorEastAsia"/>
                <w:szCs w:val="21"/>
              </w:rPr>
            </w:pPr>
            <w:r w:rsidRPr="0087389D">
              <w:rPr>
                <w:rFonts w:asciiTheme="minorEastAsia" w:eastAsiaTheme="minorEastAsia" w:hAnsiTheme="minorEastAsia" w:hint="eastAsia"/>
                <w:szCs w:val="21"/>
              </w:rPr>
              <w:t>易方达基金管理有限公司旗下部分开放式基金增加兴业银行为销售机构的公告</w:t>
            </w:r>
          </w:p>
        </w:tc>
        <w:tc>
          <w:tcPr>
            <w:tcW w:w="23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B2F" w:rsidRPr="0087389D" w:rsidRDefault="00E17B2F" w:rsidP="0087389D">
            <w:pPr>
              <w:jc w:val="center"/>
              <w:rPr>
                <w:rFonts w:asciiTheme="minorEastAsia" w:eastAsiaTheme="minorEastAsia" w:hAnsiTheme="minorEastAsia"/>
                <w:szCs w:val="21"/>
              </w:rPr>
            </w:pPr>
            <w:r w:rsidRPr="0087389D">
              <w:rPr>
                <w:rFonts w:asciiTheme="minorEastAsia" w:eastAsiaTheme="minorEastAsia" w:hAnsiTheme="minorEastAsia" w:hint="eastAsia"/>
                <w:szCs w:val="21"/>
              </w:rPr>
              <w:t>2019-10-25</w:t>
            </w:r>
          </w:p>
        </w:tc>
      </w:tr>
      <w:tr w:rsidR="0087389D" w:rsidRPr="0087389D" w:rsidTr="0087389D">
        <w:trPr>
          <w:trHeight w:val="266"/>
        </w:trPr>
        <w:tc>
          <w:tcPr>
            <w:tcW w:w="62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7B2F" w:rsidRPr="0087389D" w:rsidRDefault="00E17B2F" w:rsidP="0087389D">
            <w:pPr>
              <w:jc w:val="left"/>
              <w:rPr>
                <w:rFonts w:asciiTheme="minorEastAsia" w:eastAsiaTheme="minorEastAsia" w:hAnsiTheme="minorEastAsia"/>
                <w:szCs w:val="21"/>
              </w:rPr>
            </w:pPr>
            <w:r w:rsidRPr="0087389D">
              <w:rPr>
                <w:rFonts w:asciiTheme="minorEastAsia" w:eastAsiaTheme="minorEastAsia" w:hAnsiTheme="minorEastAsia" w:hint="eastAsia"/>
                <w:szCs w:val="21"/>
              </w:rPr>
              <w:t>易方达基金管理有限公司旗下部分开放式基金增加中邮证券为销售机构的公告</w:t>
            </w:r>
          </w:p>
        </w:tc>
        <w:tc>
          <w:tcPr>
            <w:tcW w:w="23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B2F" w:rsidRPr="0087389D" w:rsidRDefault="00E17B2F" w:rsidP="0087389D">
            <w:pPr>
              <w:jc w:val="center"/>
              <w:rPr>
                <w:rFonts w:asciiTheme="minorEastAsia" w:eastAsiaTheme="minorEastAsia" w:hAnsiTheme="minorEastAsia"/>
                <w:szCs w:val="21"/>
              </w:rPr>
            </w:pPr>
            <w:r w:rsidRPr="0087389D">
              <w:rPr>
                <w:rFonts w:asciiTheme="minorEastAsia" w:eastAsiaTheme="minorEastAsia" w:hAnsiTheme="minorEastAsia" w:hint="eastAsia"/>
                <w:szCs w:val="21"/>
              </w:rPr>
              <w:t>2019-11-20</w:t>
            </w:r>
          </w:p>
        </w:tc>
      </w:tr>
      <w:tr w:rsidR="0087389D" w:rsidRPr="0087389D" w:rsidTr="0087389D">
        <w:trPr>
          <w:trHeight w:val="266"/>
        </w:trPr>
        <w:tc>
          <w:tcPr>
            <w:tcW w:w="62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7B2F" w:rsidRPr="0087389D" w:rsidRDefault="00E17B2F" w:rsidP="0087389D">
            <w:pPr>
              <w:jc w:val="left"/>
              <w:rPr>
                <w:rFonts w:asciiTheme="minorEastAsia" w:eastAsiaTheme="minorEastAsia" w:hAnsiTheme="minorEastAsia"/>
                <w:szCs w:val="21"/>
              </w:rPr>
            </w:pPr>
            <w:r w:rsidRPr="0087389D">
              <w:rPr>
                <w:rFonts w:asciiTheme="minorEastAsia" w:eastAsiaTheme="minorEastAsia" w:hAnsiTheme="minorEastAsia" w:hint="eastAsia"/>
                <w:szCs w:val="21"/>
              </w:rPr>
              <w:t>易方达基金管理有限公司关于公司股权变更的公告</w:t>
            </w:r>
          </w:p>
        </w:tc>
        <w:tc>
          <w:tcPr>
            <w:tcW w:w="23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B2F" w:rsidRPr="0087389D" w:rsidRDefault="00E17B2F" w:rsidP="0087389D">
            <w:pPr>
              <w:jc w:val="center"/>
              <w:rPr>
                <w:rFonts w:asciiTheme="minorEastAsia" w:eastAsiaTheme="minorEastAsia" w:hAnsiTheme="minorEastAsia"/>
                <w:szCs w:val="21"/>
              </w:rPr>
            </w:pPr>
            <w:r w:rsidRPr="0087389D">
              <w:rPr>
                <w:rFonts w:asciiTheme="minorEastAsia" w:eastAsiaTheme="minorEastAsia" w:hAnsiTheme="minorEastAsia" w:hint="eastAsia"/>
                <w:szCs w:val="21"/>
              </w:rPr>
              <w:t>2019-12-31</w:t>
            </w:r>
          </w:p>
        </w:tc>
      </w:tr>
      <w:tr w:rsidR="0087389D" w:rsidRPr="0087389D" w:rsidTr="0087389D">
        <w:trPr>
          <w:trHeight w:val="266"/>
        </w:trPr>
        <w:tc>
          <w:tcPr>
            <w:tcW w:w="62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7B2F" w:rsidRPr="0087389D" w:rsidRDefault="00E17B2F" w:rsidP="0087389D">
            <w:pPr>
              <w:jc w:val="left"/>
              <w:rPr>
                <w:rFonts w:asciiTheme="minorEastAsia" w:eastAsiaTheme="minorEastAsia" w:hAnsiTheme="minorEastAsia"/>
                <w:szCs w:val="21"/>
              </w:rPr>
            </w:pPr>
            <w:r w:rsidRPr="0087389D">
              <w:rPr>
                <w:rFonts w:asciiTheme="minorEastAsia" w:eastAsiaTheme="minorEastAsia" w:hAnsiTheme="minorEastAsia" w:hint="eastAsia"/>
                <w:szCs w:val="21"/>
              </w:rPr>
              <w:t>易方达基金管理有限公司关于易方达财富快线货币市场基金根据《公开募集证券投资基金信息披露管理办法》修订基金合同、托管协议部分条款的公告</w:t>
            </w:r>
          </w:p>
        </w:tc>
        <w:tc>
          <w:tcPr>
            <w:tcW w:w="23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B2F" w:rsidRPr="0087389D" w:rsidRDefault="00E17B2F" w:rsidP="0087389D">
            <w:pPr>
              <w:jc w:val="center"/>
              <w:rPr>
                <w:rFonts w:asciiTheme="minorEastAsia" w:eastAsiaTheme="minorEastAsia" w:hAnsiTheme="minorEastAsia"/>
                <w:szCs w:val="21"/>
              </w:rPr>
            </w:pPr>
            <w:r w:rsidRPr="0087389D">
              <w:rPr>
                <w:rFonts w:asciiTheme="minorEastAsia" w:eastAsiaTheme="minorEastAsia" w:hAnsiTheme="minorEastAsia" w:hint="eastAsia"/>
                <w:szCs w:val="21"/>
              </w:rPr>
              <w:t>2019-12-31</w:t>
            </w:r>
          </w:p>
        </w:tc>
      </w:tr>
      <w:tr w:rsidR="0087389D" w:rsidRPr="0087389D" w:rsidTr="0087389D">
        <w:trPr>
          <w:trHeight w:val="266"/>
        </w:trPr>
        <w:tc>
          <w:tcPr>
            <w:tcW w:w="62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7B2F" w:rsidRPr="0087389D" w:rsidRDefault="00E17B2F" w:rsidP="0087389D">
            <w:pPr>
              <w:jc w:val="left"/>
              <w:rPr>
                <w:rFonts w:asciiTheme="minorEastAsia" w:eastAsiaTheme="minorEastAsia" w:hAnsiTheme="minorEastAsia"/>
                <w:szCs w:val="21"/>
              </w:rPr>
            </w:pPr>
            <w:r w:rsidRPr="0087389D">
              <w:rPr>
                <w:rFonts w:asciiTheme="minorEastAsia" w:eastAsiaTheme="minorEastAsia" w:hAnsiTheme="minorEastAsia" w:hint="eastAsia"/>
                <w:szCs w:val="21"/>
              </w:rPr>
              <w:t>易方达基金管理有限公司旗下基金2019年第4季度报告提示性公告</w:t>
            </w:r>
          </w:p>
        </w:tc>
        <w:tc>
          <w:tcPr>
            <w:tcW w:w="23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B2F" w:rsidRPr="0087389D" w:rsidRDefault="00E17B2F" w:rsidP="0087389D">
            <w:pPr>
              <w:jc w:val="center"/>
              <w:rPr>
                <w:rFonts w:asciiTheme="minorEastAsia" w:eastAsiaTheme="minorEastAsia" w:hAnsiTheme="minorEastAsia"/>
                <w:szCs w:val="21"/>
              </w:rPr>
            </w:pPr>
            <w:r w:rsidRPr="0087389D">
              <w:rPr>
                <w:rFonts w:asciiTheme="minorEastAsia" w:eastAsiaTheme="minorEastAsia" w:hAnsiTheme="minorEastAsia" w:hint="eastAsia"/>
                <w:szCs w:val="21"/>
              </w:rPr>
              <w:t>2020-01-18</w:t>
            </w:r>
          </w:p>
        </w:tc>
      </w:tr>
      <w:tr w:rsidR="0087389D" w:rsidRPr="0087389D" w:rsidTr="0087389D">
        <w:trPr>
          <w:trHeight w:val="266"/>
        </w:trPr>
        <w:tc>
          <w:tcPr>
            <w:tcW w:w="62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7B2F" w:rsidRPr="0087389D" w:rsidRDefault="00E17B2F" w:rsidP="0087389D">
            <w:pPr>
              <w:jc w:val="left"/>
              <w:rPr>
                <w:rFonts w:asciiTheme="minorEastAsia" w:eastAsiaTheme="minorEastAsia" w:hAnsiTheme="minorEastAsia"/>
                <w:szCs w:val="21"/>
              </w:rPr>
            </w:pPr>
            <w:r w:rsidRPr="0087389D">
              <w:rPr>
                <w:rFonts w:asciiTheme="minorEastAsia" w:eastAsiaTheme="minorEastAsia" w:hAnsiTheme="minorEastAsia" w:hint="eastAsia"/>
                <w:szCs w:val="21"/>
              </w:rPr>
              <w:t>易方达基金管理有限公司关于旗下基金2020年1月31日不开放申购、赎回、转换、定期定额投资等业务的提示性公告</w:t>
            </w:r>
          </w:p>
        </w:tc>
        <w:tc>
          <w:tcPr>
            <w:tcW w:w="23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B2F" w:rsidRPr="0087389D" w:rsidRDefault="00E17B2F" w:rsidP="0087389D">
            <w:pPr>
              <w:jc w:val="center"/>
              <w:rPr>
                <w:rFonts w:asciiTheme="minorEastAsia" w:eastAsiaTheme="minorEastAsia" w:hAnsiTheme="minorEastAsia"/>
                <w:szCs w:val="21"/>
              </w:rPr>
            </w:pPr>
            <w:r w:rsidRPr="0087389D">
              <w:rPr>
                <w:rFonts w:asciiTheme="minorEastAsia" w:eastAsiaTheme="minorEastAsia" w:hAnsiTheme="minorEastAsia" w:hint="eastAsia"/>
                <w:szCs w:val="21"/>
              </w:rPr>
              <w:t>2020-01-30</w:t>
            </w:r>
          </w:p>
        </w:tc>
      </w:tr>
      <w:tr w:rsidR="0087389D" w:rsidRPr="0087389D" w:rsidTr="0087389D">
        <w:trPr>
          <w:trHeight w:val="266"/>
        </w:trPr>
        <w:tc>
          <w:tcPr>
            <w:tcW w:w="62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7B2F" w:rsidRPr="0087389D" w:rsidRDefault="00E17B2F" w:rsidP="0087389D">
            <w:pPr>
              <w:jc w:val="left"/>
              <w:rPr>
                <w:rFonts w:asciiTheme="minorEastAsia" w:eastAsiaTheme="minorEastAsia" w:hAnsiTheme="minorEastAsia"/>
                <w:szCs w:val="21"/>
              </w:rPr>
            </w:pPr>
            <w:r w:rsidRPr="0087389D">
              <w:rPr>
                <w:rFonts w:asciiTheme="minorEastAsia" w:eastAsiaTheme="minorEastAsia" w:hAnsiTheme="minorEastAsia" w:hint="eastAsia"/>
                <w:szCs w:val="21"/>
              </w:rPr>
              <w:t>易方达基金管理有限公司及全资子公司投资旗下基金相关事宜的公告</w:t>
            </w:r>
          </w:p>
        </w:tc>
        <w:tc>
          <w:tcPr>
            <w:tcW w:w="23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B2F" w:rsidRPr="0087389D" w:rsidRDefault="00E17B2F" w:rsidP="0087389D">
            <w:pPr>
              <w:jc w:val="center"/>
              <w:rPr>
                <w:rFonts w:asciiTheme="minorEastAsia" w:eastAsiaTheme="minorEastAsia" w:hAnsiTheme="minorEastAsia"/>
                <w:szCs w:val="21"/>
              </w:rPr>
            </w:pPr>
            <w:r w:rsidRPr="0087389D">
              <w:rPr>
                <w:rFonts w:asciiTheme="minorEastAsia" w:eastAsiaTheme="minorEastAsia" w:hAnsiTheme="minorEastAsia" w:hint="eastAsia"/>
                <w:szCs w:val="21"/>
              </w:rPr>
              <w:t>2020-02-04</w:t>
            </w:r>
          </w:p>
        </w:tc>
      </w:tr>
      <w:tr w:rsidR="0087389D" w:rsidRPr="0087389D" w:rsidTr="0087389D">
        <w:trPr>
          <w:trHeight w:val="266"/>
        </w:trPr>
        <w:tc>
          <w:tcPr>
            <w:tcW w:w="62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7B2F" w:rsidRPr="0087389D" w:rsidRDefault="00E17B2F" w:rsidP="0087389D">
            <w:pPr>
              <w:jc w:val="left"/>
              <w:rPr>
                <w:rFonts w:asciiTheme="minorEastAsia" w:eastAsiaTheme="minorEastAsia" w:hAnsiTheme="minorEastAsia"/>
                <w:szCs w:val="21"/>
              </w:rPr>
            </w:pPr>
            <w:r w:rsidRPr="0087389D">
              <w:rPr>
                <w:rFonts w:asciiTheme="minorEastAsia" w:eastAsiaTheme="minorEastAsia" w:hAnsiTheme="minorEastAsia" w:hint="eastAsia"/>
                <w:szCs w:val="21"/>
              </w:rPr>
              <w:t>易方达财富快线货币市场基金A类基金份额增加浦发银行为销售机构的公告</w:t>
            </w:r>
          </w:p>
        </w:tc>
        <w:tc>
          <w:tcPr>
            <w:tcW w:w="23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B2F" w:rsidRPr="0087389D" w:rsidRDefault="00E17B2F" w:rsidP="0087389D">
            <w:pPr>
              <w:jc w:val="center"/>
              <w:rPr>
                <w:rFonts w:asciiTheme="minorEastAsia" w:eastAsiaTheme="minorEastAsia" w:hAnsiTheme="minorEastAsia"/>
                <w:szCs w:val="21"/>
              </w:rPr>
            </w:pPr>
            <w:r w:rsidRPr="0087389D">
              <w:rPr>
                <w:rFonts w:asciiTheme="minorEastAsia" w:eastAsiaTheme="minorEastAsia" w:hAnsiTheme="minorEastAsia" w:hint="eastAsia"/>
                <w:szCs w:val="21"/>
              </w:rPr>
              <w:t>2020-02-26</w:t>
            </w:r>
          </w:p>
        </w:tc>
      </w:tr>
      <w:tr w:rsidR="0087389D" w:rsidRPr="0087389D" w:rsidTr="0087389D">
        <w:trPr>
          <w:trHeight w:val="266"/>
        </w:trPr>
        <w:tc>
          <w:tcPr>
            <w:tcW w:w="62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7B2F" w:rsidRPr="0087389D" w:rsidRDefault="00E17B2F" w:rsidP="0087389D">
            <w:pPr>
              <w:jc w:val="left"/>
              <w:rPr>
                <w:rFonts w:asciiTheme="minorEastAsia" w:eastAsiaTheme="minorEastAsia" w:hAnsiTheme="minorEastAsia"/>
                <w:szCs w:val="21"/>
              </w:rPr>
            </w:pPr>
            <w:r w:rsidRPr="0087389D">
              <w:rPr>
                <w:rFonts w:asciiTheme="minorEastAsia" w:eastAsiaTheme="minorEastAsia" w:hAnsiTheme="minorEastAsia" w:hint="eastAsia"/>
                <w:szCs w:val="21"/>
              </w:rPr>
              <w:t>易方达财富快线货币市场基金A类基金份额在非直销销售机构恢复个人客户大额申购及大额转换转入业务的公告</w:t>
            </w:r>
          </w:p>
        </w:tc>
        <w:tc>
          <w:tcPr>
            <w:tcW w:w="23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B2F" w:rsidRPr="0087389D" w:rsidRDefault="00E17B2F" w:rsidP="0087389D">
            <w:pPr>
              <w:jc w:val="center"/>
              <w:rPr>
                <w:rFonts w:asciiTheme="minorEastAsia" w:eastAsiaTheme="minorEastAsia" w:hAnsiTheme="minorEastAsia"/>
                <w:szCs w:val="21"/>
              </w:rPr>
            </w:pPr>
            <w:r w:rsidRPr="0087389D">
              <w:rPr>
                <w:rFonts w:asciiTheme="minorEastAsia" w:eastAsiaTheme="minorEastAsia" w:hAnsiTheme="minorEastAsia" w:hint="eastAsia"/>
                <w:szCs w:val="21"/>
              </w:rPr>
              <w:t>2020-03-10</w:t>
            </w:r>
          </w:p>
        </w:tc>
      </w:tr>
      <w:tr w:rsidR="0087389D" w:rsidRPr="0087389D" w:rsidTr="0087389D">
        <w:trPr>
          <w:trHeight w:val="266"/>
        </w:trPr>
        <w:tc>
          <w:tcPr>
            <w:tcW w:w="62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7B2F" w:rsidRPr="0087389D" w:rsidRDefault="00E17B2F" w:rsidP="0087389D">
            <w:pPr>
              <w:jc w:val="left"/>
              <w:rPr>
                <w:rFonts w:asciiTheme="minorEastAsia" w:eastAsiaTheme="minorEastAsia" w:hAnsiTheme="minorEastAsia"/>
                <w:szCs w:val="21"/>
              </w:rPr>
            </w:pPr>
            <w:r w:rsidRPr="0087389D">
              <w:rPr>
                <w:rFonts w:asciiTheme="minorEastAsia" w:eastAsiaTheme="minorEastAsia" w:hAnsiTheme="minorEastAsia" w:hint="eastAsia"/>
                <w:szCs w:val="21"/>
              </w:rPr>
              <w:lastRenderedPageBreak/>
              <w:t>易方达基金管理有限公司旗下部分开放式基金增加华瑞保险销售为销售机构、参加华瑞保险销售费率优惠活动的公告</w:t>
            </w:r>
          </w:p>
        </w:tc>
        <w:tc>
          <w:tcPr>
            <w:tcW w:w="23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B2F" w:rsidRPr="0087389D" w:rsidRDefault="00E17B2F" w:rsidP="0087389D">
            <w:pPr>
              <w:jc w:val="center"/>
              <w:rPr>
                <w:rFonts w:asciiTheme="minorEastAsia" w:eastAsiaTheme="minorEastAsia" w:hAnsiTheme="minorEastAsia"/>
                <w:szCs w:val="21"/>
              </w:rPr>
            </w:pPr>
            <w:r w:rsidRPr="0087389D">
              <w:rPr>
                <w:rFonts w:asciiTheme="minorEastAsia" w:eastAsiaTheme="minorEastAsia" w:hAnsiTheme="minorEastAsia" w:hint="eastAsia"/>
                <w:szCs w:val="21"/>
              </w:rPr>
              <w:t>2020-03-23</w:t>
            </w:r>
          </w:p>
        </w:tc>
      </w:tr>
      <w:tr w:rsidR="0087389D" w:rsidRPr="0087389D" w:rsidTr="0087389D">
        <w:trPr>
          <w:trHeight w:val="266"/>
        </w:trPr>
        <w:tc>
          <w:tcPr>
            <w:tcW w:w="62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7B2F" w:rsidRPr="0087389D" w:rsidRDefault="00E17B2F" w:rsidP="0087389D">
            <w:pPr>
              <w:jc w:val="left"/>
              <w:rPr>
                <w:rFonts w:asciiTheme="minorEastAsia" w:eastAsiaTheme="minorEastAsia" w:hAnsiTheme="minorEastAsia"/>
                <w:szCs w:val="21"/>
              </w:rPr>
            </w:pPr>
            <w:r w:rsidRPr="0087389D">
              <w:rPr>
                <w:rFonts w:asciiTheme="minorEastAsia" w:eastAsiaTheme="minorEastAsia" w:hAnsiTheme="minorEastAsia" w:hint="eastAsia"/>
                <w:szCs w:val="21"/>
              </w:rPr>
              <w:t>易方达基金管理有限公司关于提醒投资者及时提供或更新身份信息资料的公告</w:t>
            </w:r>
          </w:p>
        </w:tc>
        <w:tc>
          <w:tcPr>
            <w:tcW w:w="23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B2F" w:rsidRPr="0087389D" w:rsidRDefault="00E17B2F" w:rsidP="0087389D">
            <w:pPr>
              <w:jc w:val="center"/>
              <w:rPr>
                <w:rFonts w:asciiTheme="minorEastAsia" w:eastAsiaTheme="minorEastAsia" w:hAnsiTheme="minorEastAsia"/>
                <w:szCs w:val="21"/>
              </w:rPr>
            </w:pPr>
            <w:r w:rsidRPr="0087389D">
              <w:rPr>
                <w:rFonts w:asciiTheme="minorEastAsia" w:eastAsiaTheme="minorEastAsia" w:hAnsiTheme="minorEastAsia" w:hint="eastAsia"/>
                <w:szCs w:val="21"/>
              </w:rPr>
              <w:t>2020-04-10</w:t>
            </w:r>
          </w:p>
        </w:tc>
      </w:tr>
    </w:tbl>
    <w:p w:rsidR="00BA4B87" w:rsidRPr="0087389D" w:rsidRDefault="00DC44CB" w:rsidP="00555CE7">
      <w:pPr>
        <w:snapToGrid w:val="0"/>
        <w:spacing w:line="360" w:lineRule="auto"/>
        <w:rPr>
          <w:rFonts w:asciiTheme="minorEastAsia" w:eastAsiaTheme="minorEastAsia" w:hAnsiTheme="minorEastAsia"/>
        </w:rPr>
      </w:pPr>
      <w:r w:rsidRPr="0087389D">
        <w:rPr>
          <w:rFonts w:asciiTheme="minorEastAsia" w:eastAsiaTheme="minorEastAsia" w:hAnsiTheme="minorEastAsia" w:hint="eastAsia"/>
          <w:kern w:val="0"/>
          <w:szCs w:val="21"/>
        </w:rPr>
        <w:t>注：以上公告事项披露在指定媒介及基金管理人网站上。</w:t>
      </w:r>
    </w:p>
    <w:p w:rsidR="00BA4B87" w:rsidRPr="0087389D" w:rsidRDefault="00BA4B87" w:rsidP="00555CE7">
      <w:pPr>
        <w:snapToGrid w:val="0"/>
        <w:spacing w:line="360" w:lineRule="auto"/>
        <w:rPr>
          <w:rFonts w:asciiTheme="minorEastAsia" w:eastAsiaTheme="minorEastAsia" w:hAnsiTheme="minorEastAsia"/>
        </w:rPr>
      </w:pPr>
    </w:p>
    <w:p w:rsidR="001409FD" w:rsidRPr="0087389D" w:rsidRDefault="001409FD" w:rsidP="00555CE7">
      <w:pPr>
        <w:snapToGrid w:val="0"/>
        <w:spacing w:line="360" w:lineRule="auto"/>
        <w:rPr>
          <w:rFonts w:asciiTheme="minorEastAsia" w:eastAsiaTheme="minorEastAsia" w:hAnsiTheme="minorEastAsia"/>
        </w:rPr>
        <w:sectPr w:rsidR="001409FD" w:rsidRPr="0087389D" w:rsidSect="0087389D">
          <w:footerReference w:type="default" r:id="rId23"/>
          <w:pgSz w:w="11906" w:h="16838" w:code="9"/>
          <w:pgMar w:top="1440" w:right="1800" w:bottom="1440" w:left="1800" w:header="720" w:footer="720" w:gutter="0"/>
          <w:pgNumType w:start="1"/>
          <w:cols w:space="720"/>
          <w:docGrid w:type="lines" w:linePitch="312"/>
        </w:sectPr>
      </w:pPr>
    </w:p>
    <w:p w:rsidR="00BA4B87" w:rsidRPr="0087389D" w:rsidRDefault="002278E5" w:rsidP="00555CE7">
      <w:pPr>
        <w:pStyle w:val="1"/>
        <w:snapToGrid w:val="0"/>
        <w:spacing w:beforeLines="0" w:afterLines="0" w:line="360" w:lineRule="auto"/>
        <w:ind w:firstLine="602"/>
        <w:rPr>
          <w:rFonts w:asciiTheme="minorEastAsia" w:eastAsiaTheme="minorEastAsia" w:hAnsiTheme="minorEastAsia"/>
          <w:b/>
          <w:bCs/>
          <w:szCs w:val="20"/>
        </w:rPr>
      </w:pPr>
      <w:bookmarkStart w:id="114" w:name="_Toc361403753"/>
      <w:bookmarkStart w:id="115" w:name="_Toc41644984"/>
      <w:r w:rsidRPr="0087389D">
        <w:rPr>
          <w:rFonts w:asciiTheme="minorEastAsia" w:eastAsiaTheme="minorEastAsia" w:hAnsiTheme="minorEastAsia"/>
          <w:b/>
          <w:sz w:val="30"/>
        </w:rPr>
        <w:lastRenderedPageBreak/>
        <w:t>二十</w:t>
      </w:r>
      <w:r w:rsidRPr="0087389D">
        <w:rPr>
          <w:rFonts w:asciiTheme="minorEastAsia" w:eastAsiaTheme="minorEastAsia" w:hAnsiTheme="minorEastAsia" w:hint="eastAsia"/>
          <w:b/>
          <w:sz w:val="30"/>
        </w:rPr>
        <w:t>六</w:t>
      </w:r>
      <w:r w:rsidR="00BA4B87" w:rsidRPr="0087389D">
        <w:rPr>
          <w:rFonts w:asciiTheme="minorEastAsia" w:eastAsiaTheme="minorEastAsia" w:hAnsiTheme="minorEastAsia"/>
          <w:b/>
          <w:sz w:val="30"/>
        </w:rPr>
        <w:t>、招募说明书的存放及查阅方式</w:t>
      </w:r>
      <w:bookmarkEnd w:id="114"/>
      <w:bookmarkEnd w:id="115"/>
    </w:p>
    <w:p w:rsidR="00BA4B87" w:rsidRPr="0087389D" w:rsidRDefault="00BA4B87"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rPr>
        <w:t>本招募说明书存放在基金管理人、基金托管人及基金</w:t>
      </w:r>
      <w:r w:rsidR="00AF2936" w:rsidRPr="0087389D">
        <w:rPr>
          <w:rFonts w:asciiTheme="minorEastAsia" w:eastAsiaTheme="minorEastAsia" w:hAnsiTheme="minorEastAsia" w:hint="eastAsia"/>
        </w:rPr>
        <w:t>销售</w:t>
      </w:r>
      <w:r w:rsidRPr="0087389D">
        <w:rPr>
          <w:rFonts w:asciiTheme="minorEastAsia" w:eastAsiaTheme="minorEastAsia" w:hAnsiTheme="minorEastAsia"/>
        </w:rPr>
        <w:t>机构处，投资者可在营业时间免费查阅，也可按工本费购买复印件。</w:t>
      </w:r>
    </w:p>
    <w:p w:rsidR="00BA4B87" w:rsidRPr="0087389D" w:rsidRDefault="00BA4B87"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rPr>
        <w:t>基金管理人和基金托管人保证文本的内容与公告的内容完全一致。</w:t>
      </w:r>
    </w:p>
    <w:p w:rsidR="00BA4B87" w:rsidRPr="0087389D" w:rsidRDefault="00BA4B87" w:rsidP="00555CE7">
      <w:pPr>
        <w:pStyle w:val="1"/>
        <w:snapToGrid w:val="0"/>
        <w:spacing w:beforeLines="0" w:afterLines="0" w:line="360" w:lineRule="auto"/>
        <w:ind w:firstLine="600"/>
        <w:rPr>
          <w:rFonts w:asciiTheme="minorEastAsia" w:eastAsiaTheme="minorEastAsia" w:hAnsiTheme="minorEastAsia"/>
          <w:b/>
          <w:bCs/>
          <w:szCs w:val="20"/>
        </w:rPr>
      </w:pPr>
      <w:r w:rsidRPr="0087389D">
        <w:rPr>
          <w:rFonts w:asciiTheme="minorEastAsia" w:eastAsiaTheme="minorEastAsia" w:hAnsiTheme="minorEastAsia"/>
          <w:sz w:val="30"/>
        </w:rPr>
        <w:br w:type="column"/>
      </w:r>
      <w:bookmarkStart w:id="116" w:name="_Toc361403754"/>
      <w:bookmarkStart w:id="117" w:name="_Toc41644985"/>
      <w:r w:rsidR="002278E5" w:rsidRPr="0087389D">
        <w:rPr>
          <w:rFonts w:asciiTheme="minorEastAsia" w:eastAsiaTheme="minorEastAsia" w:hAnsiTheme="minorEastAsia"/>
          <w:b/>
          <w:sz w:val="30"/>
        </w:rPr>
        <w:lastRenderedPageBreak/>
        <w:t>二十</w:t>
      </w:r>
      <w:r w:rsidR="002278E5" w:rsidRPr="0087389D">
        <w:rPr>
          <w:rFonts w:asciiTheme="minorEastAsia" w:eastAsiaTheme="minorEastAsia" w:hAnsiTheme="minorEastAsia" w:hint="eastAsia"/>
          <w:b/>
          <w:sz w:val="30"/>
        </w:rPr>
        <w:t>七</w:t>
      </w:r>
      <w:r w:rsidRPr="0087389D">
        <w:rPr>
          <w:rFonts w:asciiTheme="minorEastAsia" w:eastAsiaTheme="minorEastAsia" w:hAnsiTheme="minorEastAsia"/>
          <w:b/>
          <w:sz w:val="30"/>
        </w:rPr>
        <w:t>、备查文件</w:t>
      </w:r>
      <w:bookmarkEnd w:id="116"/>
      <w:bookmarkEnd w:id="117"/>
    </w:p>
    <w:p w:rsidR="00BA4B87" w:rsidRPr="0087389D" w:rsidRDefault="003B592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rPr>
        <w:t>1、</w:t>
      </w:r>
      <w:r w:rsidR="00BA4B87" w:rsidRPr="0087389D">
        <w:rPr>
          <w:rFonts w:asciiTheme="minorEastAsia" w:eastAsiaTheme="minorEastAsia" w:hAnsiTheme="minorEastAsia"/>
        </w:rPr>
        <w:t>中国证监会核准</w:t>
      </w:r>
      <w:r w:rsidR="00872236" w:rsidRPr="0087389D">
        <w:rPr>
          <w:rFonts w:asciiTheme="minorEastAsia" w:eastAsiaTheme="minorEastAsia" w:hAnsiTheme="minorEastAsia"/>
        </w:rPr>
        <w:t>易方达</w:t>
      </w:r>
      <w:r w:rsidR="00F64EC4" w:rsidRPr="0087389D">
        <w:rPr>
          <w:rFonts w:asciiTheme="minorEastAsia" w:eastAsiaTheme="minorEastAsia" w:hAnsiTheme="minorEastAsia"/>
        </w:rPr>
        <w:t>财富快线</w:t>
      </w:r>
      <w:r w:rsidR="00B66608" w:rsidRPr="0087389D">
        <w:rPr>
          <w:rFonts w:asciiTheme="minorEastAsia" w:eastAsiaTheme="minorEastAsia" w:hAnsiTheme="minorEastAsia"/>
        </w:rPr>
        <w:t>货币市场基金</w:t>
      </w:r>
      <w:r w:rsidR="00BA4B87" w:rsidRPr="0087389D">
        <w:rPr>
          <w:rFonts w:asciiTheme="minorEastAsia" w:eastAsiaTheme="minorEastAsia" w:hAnsiTheme="minorEastAsia"/>
        </w:rPr>
        <w:t>募集的文件；</w:t>
      </w:r>
    </w:p>
    <w:p w:rsidR="00BA4B87" w:rsidRPr="0087389D" w:rsidRDefault="003B592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rPr>
        <w:t>2、</w:t>
      </w:r>
      <w:r w:rsidR="00BA4B87" w:rsidRPr="0087389D">
        <w:rPr>
          <w:rFonts w:asciiTheme="minorEastAsia" w:eastAsiaTheme="minorEastAsia" w:hAnsiTheme="minorEastAsia"/>
        </w:rPr>
        <w:t>《</w:t>
      </w:r>
      <w:r w:rsidR="00872236" w:rsidRPr="0087389D">
        <w:rPr>
          <w:rFonts w:asciiTheme="minorEastAsia" w:eastAsiaTheme="minorEastAsia" w:hAnsiTheme="minorEastAsia"/>
        </w:rPr>
        <w:t>易方达</w:t>
      </w:r>
      <w:r w:rsidR="00F64EC4" w:rsidRPr="0087389D">
        <w:rPr>
          <w:rFonts w:asciiTheme="minorEastAsia" w:eastAsiaTheme="minorEastAsia" w:hAnsiTheme="minorEastAsia"/>
        </w:rPr>
        <w:t>财富快线</w:t>
      </w:r>
      <w:r w:rsidR="00B66608" w:rsidRPr="0087389D">
        <w:rPr>
          <w:rFonts w:asciiTheme="minorEastAsia" w:eastAsiaTheme="minorEastAsia" w:hAnsiTheme="minorEastAsia"/>
        </w:rPr>
        <w:t>货币市场基金</w:t>
      </w:r>
      <w:r w:rsidR="00BA4B87" w:rsidRPr="0087389D">
        <w:rPr>
          <w:rFonts w:asciiTheme="minorEastAsia" w:eastAsiaTheme="minorEastAsia" w:hAnsiTheme="minorEastAsia"/>
        </w:rPr>
        <w:t>基金合同》；</w:t>
      </w:r>
    </w:p>
    <w:p w:rsidR="00BA4B87" w:rsidRPr="0087389D" w:rsidRDefault="003B592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rPr>
        <w:t>3、</w:t>
      </w:r>
      <w:r w:rsidR="00BA4B87" w:rsidRPr="0087389D">
        <w:rPr>
          <w:rFonts w:asciiTheme="minorEastAsia" w:eastAsiaTheme="minorEastAsia" w:hAnsiTheme="minorEastAsia"/>
        </w:rPr>
        <w:t>《</w:t>
      </w:r>
      <w:r w:rsidR="00872236" w:rsidRPr="0087389D">
        <w:rPr>
          <w:rFonts w:asciiTheme="minorEastAsia" w:eastAsiaTheme="minorEastAsia" w:hAnsiTheme="minorEastAsia"/>
        </w:rPr>
        <w:t>易方达</w:t>
      </w:r>
      <w:r w:rsidR="00F64EC4" w:rsidRPr="0087389D">
        <w:rPr>
          <w:rFonts w:asciiTheme="minorEastAsia" w:eastAsiaTheme="minorEastAsia" w:hAnsiTheme="minorEastAsia"/>
        </w:rPr>
        <w:t>财富快线</w:t>
      </w:r>
      <w:r w:rsidR="00B66608" w:rsidRPr="0087389D">
        <w:rPr>
          <w:rFonts w:asciiTheme="minorEastAsia" w:eastAsiaTheme="minorEastAsia" w:hAnsiTheme="minorEastAsia"/>
        </w:rPr>
        <w:t>货币市场基金</w:t>
      </w:r>
      <w:r w:rsidR="00BA4B87" w:rsidRPr="0087389D">
        <w:rPr>
          <w:rFonts w:asciiTheme="minorEastAsia" w:eastAsiaTheme="minorEastAsia" w:hAnsiTheme="minorEastAsia"/>
        </w:rPr>
        <w:t>托管协议》；</w:t>
      </w:r>
    </w:p>
    <w:p w:rsidR="00BA4B87" w:rsidRPr="0087389D" w:rsidRDefault="003B592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rPr>
        <w:t>4、</w:t>
      </w:r>
      <w:r w:rsidR="00BA4B87" w:rsidRPr="0087389D">
        <w:rPr>
          <w:rFonts w:asciiTheme="minorEastAsia" w:eastAsiaTheme="minorEastAsia" w:hAnsiTheme="minorEastAsia"/>
        </w:rPr>
        <w:t>《易方达基金管理有限公司开放式基金业务规则》；</w:t>
      </w:r>
    </w:p>
    <w:p w:rsidR="00BA4B87" w:rsidRPr="0087389D" w:rsidRDefault="003B592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rPr>
        <w:t>5、</w:t>
      </w:r>
      <w:r w:rsidR="00BA4B87" w:rsidRPr="0087389D">
        <w:rPr>
          <w:rFonts w:asciiTheme="minorEastAsia" w:eastAsiaTheme="minorEastAsia" w:hAnsiTheme="minorEastAsia"/>
        </w:rPr>
        <w:t>法律意见书；</w:t>
      </w:r>
    </w:p>
    <w:p w:rsidR="00BA4B87" w:rsidRPr="0087389D" w:rsidRDefault="003B592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rPr>
        <w:t>6、</w:t>
      </w:r>
      <w:r w:rsidR="00BA4B87" w:rsidRPr="0087389D">
        <w:rPr>
          <w:rFonts w:asciiTheme="minorEastAsia" w:eastAsiaTheme="minorEastAsia" w:hAnsiTheme="minorEastAsia"/>
        </w:rPr>
        <w:t>基金管理人业务资格批件、营业执照；</w:t>
      </w:r>
    </w:p>
    <w:p w:rsidR="00BA4B87" w:rsidRPr="0087389D" w:rsidRDefault="003B592E"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rPr>
        <w:t>7、</w:t>
      </w:r>
      <w:r w:rsidR="00BA4B87" w:rsidRPr="0087389D">
        <w:rPr>
          <w:rFonts w:asciiTheme="minorEastAsia" w:eastAsiaTheme="minorEastAsia" w:hAnsiTheme="minorEastAsia"/>
        </w:rPr>
        <w:t>基金托管人业务资格批件、营业执照。</w:t>
      </w:r>
    </w:p>
    <w:p w:rsidR="00BA4B87" w:rsidRPr="0087389D" w:rsidRDefault="00BA4B87" w:rsidP="00555CE7">
      <w:pPr>
        <w:snapToGrid w:val="0"/>
        <w:spacing w:line="360" w:lineRule="auto"/>
        <w:ind w:firstLineChars="200" w:firstLine="420"/>
        <w:rPr>
          <w:rFonts w:asciiTheme="minorEastAsia" w:eastAsiaTheme="minorEastAsia" w:hAnsiTheme="minorEastAsia"/>
        </w:rPr>
      </w:pPr>
      <w:r w:rsidRPr="0087389D">
        <w:rPr>
          <w:rFonts w:asciiTheme="minorEastAsia" w:eastAsiaTheme="minorEastAsia" w:hAnsiTheme="minorEastAsia"/>
        </w:rPr>
        <w:t>存放地点：基金管理人、基金托管人处</w:t>
      </w:r>
    </w:p>
    <w:p w:rsidR="00BA4B87" w:rsidRPr="0087389D" w:rsidRDefault="00BA4B87" w:rsidP="00555CE7">
      <w:pPr>
        <w:pStyle w:val="a6"/>
        <w:snapToGrid w:val="0"/>
        <w:spacing w:line="360" w:lineRule="auto"/>
        <w:ind w:firstLine="420"/>
        <w:rPr>
          <w:rFonts w:asciiTheme="minorEastAsia" w:eastAsiaTheme="minorEastAsia" w:hAnsiTheme="minorEastAsia"/>
          <w:sz w:val="21"/>
        </w:rPr>
      </w:pPr>
      <w:r w:rsidRPr="0087389D">
        <w:rPr>
          <w:rFonts w:asciiTheme="minorEastAsia" w:eastAsiaTheme="minorEastAsia" w:hAnsiTheme="minorEastAsia"/>
          <w:sz w:val="21"/>
        </w:rPr>
        <w:t>查阅方式：投资者可在营业时间免费查阅，也可按工本费购买复印件。</w:t>
      </w:r>
    </w:p>
    <w:p w:rsidR="00BA4B87" w:rsidRPr="0087389D" w:rsidRDefault="00BA4B87" w:rsidP="00555CE7">
      <w:pPr>
        <w:pStyle w:val="a6"/>
        <w:snapToGrid w:val="0"/>
        <w:spacing w:line="360" w:lineRule="auto"/>
        <w:ind w:firstLine="420"/>
        <w:rPr>
          <w:rFonts w:asciiTheme="minorEastAsia" w:eastAsiaTheme="minorEastAsia" w:hAnsiTheme="minorEastAsia"/>
          <w:sz w:val="21"/>
        </w:rPr>
      </w:pPr>
    </w:p>
    <w:p w:rsidR="00BA4B87" w:rsidRPr="0087389D" w:rsidRDefault="00BA4B87" w:rsidP="00555CE7">
      <w:pPr>
        <w:pStyle w:val="a6"/>
        <w:snapToGrid w:val="0"/>
        <w:spacing w:line="360" w:lineRule="auto"/>
        <w:ind w:firstLine="420"/>
        <w:rPr>
          <w:rFonts w:asciiTheme="minorEastAsia" w:eastAsiaTheme="minorEastAsia" w:hAnsiTheme="minorEastAsia"/>
          <w:sz w:val="21"/>
        </w:rPr>
      </w:pPr>
    </w:p>
    <w:p w:rsidR="00106AF3" w:rsidRPr="0087389D" w:rsidRDefault="00106AF3" w:rsidP="00555CE7">
      <w:pPr>
        <w:pStyle w:val="a6"/>
        <w:snapToGrid w:val="0"/>
        <w:spacing w:line="360" w:lineRule="auto"/>
        <w:ind w:firstLine="420"/>
        <w:jc w:val="right"/>
        <w:rPr>
          <w:rFonts w:asciiTheme="minorEastAsia" w:eastAsiaTheme="minorEastAsia" w:hAnsiTheme="minorEastAsia"/>
          <w:sz w:val="21"/>
        </w:rPr>
      </w:pPr>
      <w:bookmarkStart w:id="118" w:name="_Toc38438350"/>
      <w:bookmarkStart w:id="119" w:name="_Toc38438687"/>
      <w:bookmarkStart w:id="120" w:name="_Toc38439024"/>
      <w:bookmarkStart w:id="121" w:name="_Toc38439361"/>
      <w:bookmarkStart w:id="122" w:name="_Toc38439698"/>
      <w:bookmarkStart w:id="123" w:name="_Toc38440035"/>
      <w:bookmarkStart w:id="124" w:name="_Toc38440372"/>
      <w:bookmarkStart w:id="125" w:name="_Toc38440904"/>
      <w:bookmarkStart w:id="126" w:name="_Toc38441236"/>
      <w:bookmarkStart w:id="127" w:name="_Toc38441568"/>
      <w:bookmarkStart w:id="128" w:name="_Toc38441896"/>
      <w:bookmarkStart w:id="129" w:name="_Toc38442228"/>
      <w:bookmarkStart w:id="130" w:name="_Toc38442560"/>
      <w:bookmarkStart w:id="131" w:name="_Toc38442891"/>
      <w:bookmarkStart w:id="132" w:name="_Toc38443222"/>
      <w:bookmarkStart w:id="133" w:name="_Toc38443553"/>
      <w:bookmarkStart w:id="134" w:name="_Toc38443883"/>
      <w:bookmarkStart w:id="135" w:name="_Toc38438351"/>
      <w:bookmarkStart w:id="136" w:name="_Toc38438688"/>
      <w:bookmarkStart w:id="137" w:name="_Toc38439025"/>
      <w:bookmarkStart w:id="138" w:name="_Toc38439362"/>
      <w:bookmarkStart w:id="139" w:name="_Toc38439699"/>
      <w:bookmarkStart w:id="140" w:name="_Toc38440036"/>
      <w:bookmarkStart w:id="141" w:name="_Toc38440373"/>
      <w:bookmarkStart w:id="142" w:name="_Toc38440905"/>
      <w:bookmarkStart w:id="143" w:name="_Toc38441237"/>
      <w:bookmarkStart w:id="144" w:name="_Toc38441569"/>
      <w:bookmarkStart w:id="145" w:name="_Toc38441897"/>
      <w:bookmarkStart w:id="146" w:name="_Toc38442229"/>
      <w:bookmarkStart w:id="147" w:name="_Toc38442561"/>
      <w:bookmarkStart w:id="148" w:name="_Toc38442892"/>
      <w:bookmarkStart w:id="149" w:name="_Toc38443223"/>
      <w:bookmarkStart w:id="150" w:name="_Toc38443554"/>
      <w:bookmarkStart w:id="151" w:name="_Toc38443884"/>
      <w:bookmarkStart w:id="152" w:name="_Toc38438352"/>
      <w:bookmarkStart w:id="153" w:name="_Toc38438689"/>
      <w:bookmarkStart w:id="154" w:name="_Toc38439026"/>
      <w:bookmarkStart w:id="155" w:name="_Toc38439363"/>
      <w:bookmarkStart w:id="156" w:name="_Toc38439700"/>
      <w:bookmarkStart w:id="157" w:name="_Toc38440037"/>
      <w:bookmarkStart w:id="158" w:name="_Toc38440374"/>
      <w:bookmarkStart w:id="159" w:name="_Toc38440906"/>
      <w:bookmarkStart w:id="160" w:name="_Toc38441238"/>
      <w:bookmarkStart w:id="161" w:name="_Toc38441570"/>
      <w:bookmarkStart w:id="162" w:name="_Toc38441898"/>
      <w:bookmarkStart w:id="163" w:name="_Toc38442230"/>
      <w:bookmarkStart w:id="164" w:name="_Toc38442562"/>
      <w:bookmarkStart w:id="165" w:name="_Toc38442893"/>
      <w:bookmarkStart w:id="166" w:name="_Toc38443224"/>
      <w:bookmarkStart w:id="167" w:name="_Toc38443555"/>
      <w:bookmarkStart w:id="168" w:name="_Toc38443885"/>
      <w:bookmarkStart w:id="169" w:name="_Toc38438353"/>
      <w:bookmarkStart w:id="170" w:name="_Toc38438690"/>
      <w:bookmarkStart w:id="171" w:name="_Toc38439027"/>
      <w:bookmarkStart w:id="172" w:name="_Toc38439364"/>
      <w:bookmarkStart w:id="173" w:name="_Toc38439701"/>
      <w:bookmarkStart w:id="174" w:name="_Toc38440038"/>
      <w:bookmarkStart w:id="175" w:name="_Toc38440375"/>
      <w:bookmarkStart w:id="176" w:name="_Toc38440907"/>
      <w:bookmarkStart w:id="177" w:name="_Toc38441239"/>
      <w:bookmarkStart w:id="178" w:name="_Toc38441571"/>
      <w:bookmarkStart w:id="179" w:name="_Toc38441899"/>
      <w:bookmarkStart w:id="180" w:name="_Toc38442231"/>
      <w:bookmarkStart w:id="181" w:name="_Toc38442563"/>
      <w:bookmarkStart w:id="182" w:name="_Toc38442894"/>
      <w:bookmarkStart w:id="183" w:name="_Toc38443225"/>
      <w:bookmarkStart w:id="184" w:name="_Toc38443556"/>
      <w:bookmarkStart w:id="185" w:name="_Toc38443886"/>
      <w:bookmarkStart w:id="186" w:name="_Toc38438354"/>
      <w:bookmarkStart w:id="187" w:name="_Toc38438691"/>
      <w:bookmarkStart w:id="188" w:name="_Toc38439028"/>
      <w:bookmarkStart w:id="189" w:name="_Toc38439365"/>
      <w:bookmarkStart w:id="190" w:name="_Toc38439702"/>
      <w:bookmarkStart w:id="191" w:name="_Toc38440039"/>
      <w:bookmarkStart w:id="192" w:name="_Toc38440376"/>
      <w:bookmarkStart w:id="193" w:name="_Toc38440908"/>
      <w:bookmarkStart w:id="194" w:name="_Toc38441240"/>
      <w:bookmarkStart w:id="195" w:name="_Toc38441572"/>
      <w:bookmarkStart w:id="196" w:name="_Toc38441900"/>
      <w:bookmarkStart w:id="197" w:name="_Toc38442232"/>
      <w:bookmarkStart w:id="198" w:name="_Toc38442564"/>
      <w:bookmarkStart w:id="199" w:name="_Toc38442895"/>
      <w:bookmarkStart w:id="200" w:name="_Toc38443226"/>
      <w:bookmarkStart w:id="201" w:name="_Toc38443557"/>
      <w:bookmarkStart w:id="202" w:name="_Toc38443887"/>
      <w:bookmarkStart w:id="203" w:name="_Toc38438355"/>
      <w:bookmarkStart w:id="204" w:name="_Toc38438692"/>
      <w:bookmarkStart w:id="205" w:name="_Toc38439029"/>
      <w:bookmarkStart w:id="206" w:name="_Toc38439366"/>
      <w:bookmarkStart w:id="207" w:name="_Toc38439703"/>
      <w:bookmarkStart w:id="208" w:name="_Toc38440040"/>
      <w:bookmarkStart w:id="209" w:name="_Toc38440377"/>
      <w:bookmarkStart w:id="210" w:name="_Toc38440909"/>
      <w:bookmarkStart w:id="211" w:name="_Toc38441241"/>
      <w:bookmarkStart w:id="212" w:name="_Toc38441573"/>
      <w:bookmarkStart w:id="213" w:name="_Toc38441901"/>
      <w:bookmarkStart w:id="214" w:name="_Toc38442233"/>
      <w:bookmarkStart w:id="215" w:name="_Toc38442565"/>
      <w:bookmarkStart w:id="216" w:name="_Toc38442896"/>
      <w:bookmarkStart w:id="217" w:name="_Toc38443227"/>
      <w:bookmarkStart w:id="218" w:name="_Toc38443558"/>
      <w:bookmarkStart w:id="219" w:name="_Toc38443888"/>
      <w:bookmarkStart w:id="220" w:name="_Toc38438356"/>
      <w:bookmarkStart w:id="221" w:name="_Toc38438693"/>
      <w:bookmarkStart w:id="222" w:name="_Toc38439030"/>
      <w:bookmarkStart w:id="223" w:name="_Toc38439367"/>
      <w:bookmarkStart w:id="224" w:name="_Toc38439704"/>
      <w:bookmarkStart w:id="225" w:name="_Toc38440041"/>
      <w:bookmarkStart w:id="226" w:name="_Toc38440378"/>
      <w:bookmarkStart w:id="227" w:name="_Toc38440910"/>
      <w:bookmarkStart w:id="228" w:name="_Toc38441242"/>
      <w:bookmarkStart w:id="229" w:name="_Toc38441574"/>
      <w:bookmarkStart w:id="230" w:name="_Toc38441902"/>
      <w:bookmarkStart w:id="231" w:name="_Toc38442234"/>
      <w:bookmarkStart w:id="232" w:name="_Toc38442566"/>
      <w:bookmarkStart w:id="233" w:name="_Toc38442897"/>
      <w:bookmarkStart w:id="234" w:name="_Toc38443228"/>
      <w:bookmarkStart w:id="235" w:name="_Toc38443559"/>
      <w:bookmarkStart w:id="236" w:name="_Toc38443889"/>
      <w:bookmarkStart w:id="237" w:name="_Toc38438357"/>
      <w:bookmarkStart w:id="238" w:name="_Toc38438694"/>
      <w:bookmarkStart w:id="239" w:name="_Toc38439031"/>
      <w:bookmarkStart w:id="240" w:name="_Toc38439368"/>
      <w:bookmarkStart w:id="241" w:name="_Toc38439705"/>
      <w:bookmarkStart w:id="242" w:name="_Toc38440042"/>
      <w:bookmarkStart w:id="243" w:name="_Toc38440379"/>
      <w:bookmarkStart w:id="244" w:name="_Toc38440911"/>
      <w:bookmarkStart w:id="245" w:name="_Toc38441243"/>
      <w:bookmarkStart w:id="246" w:name="_Toc38441575"/>
      <w:bookmarkStart w:id="247" w:name="_Toc38441903"/>
      <w:bookmarkStart w:id="248" w:name="_Toc38442235"/>
      <w:bookmarkStart w:id="249" w:name="_Toc38442567"/>
      <w:bookmarkStart w:id="250" w:name="_Toc38442898"/>
      <w:bookmarkStart w:id="251" w:name="_Toc38443229"/>
      <w:bookmarkStart w:id="252" w:name="_Toc38443560"/>
      <w:bookmarkStart w:id="253" w:name="_Toc38443890"/>
      <w:bookmarkStart w:id="254" w:name="_Toc38438358"/>
      <w:bookmarkStart w:id="255" w:name="_Toc38438695"/>
      <w:bookmarkStart w:id="256" w:name="_Toc38439032"/>
      <w:bookmarkStart w:id="257" w:name="_Toc38439369"/>
      <w:bookmarkStart w:id="258" w:name="_Toc38439706"/>
      <w:bookmarkStart w:id="259" w:name="_Toc38440043"/>
      <w:bookmarkStart w:id="260" w:name="_Toc38440380"/>
      <w:bookmarkStart w:id="261" w:name="_Toc38440912"/>
      <w:bookmarkStart w:id="262" w:name="_Toc38441244"/>
      <w:bookmarkStart w:id="263" w:name="_Toc38441576"/>
      <w:bookmarkStart w:id="264" w:name="_Toc38441904"/>
      <w:bookmarkStart w:id="265" w:name="_Toc38442236"/>
      <w:bookmarkStart w:id="266" w:name="_Toc38442568"/>
      <w:bookmarkStart w:id="267" w:name="_Toc38442899"/>
      <w:bookmarkStart w:id="268" w:name="_Toc38443230"/>
      <w:bookmarkStart w:id="269" w:name="_Toc38443561"/>
      <w:bookmarkStart w:id="270" w:name="_Toc38443891"/>
      <w:bookmarkStart w:id="271" w:name="_Toc38438359"/>
      <w:bookmarkStart w:id="272" w:name="_Toc38438696"/>
      <w:bookmarkStart w:id="273" w:name="_Toc38439033"/>
      <w:bookmarkStart w:id="274" w:name="_Toc38439370"/>
      <w:bookmarkStart w:id="275" w:name="_Toc38439707"/>
      <w:bookmarkStart w:id="276" w:name="_Toc38440044"/>
      <w:bookmarkStart w:id="277" w:name="_Toc38440381"/>
      <w:bookmarkStart w:id="278" w:name="_Toc38440913"/>
      <w:bookmarkStart w:id="279" w:name="_Toc38441245"/>
      <w:bookmarkStart w:id="280" w:name="_Toc38441577"/>
      <w:bookmarkStart w:id="281" w:name="_Toc38441905"/>
      <w:bookmarkStart w:id="282" w:name="_Toc38442237"/>
      <w:bookmarkStart w:id="283" w:name="_Toc38442569"/>
      <w:bookmarkStart w:id="284" w:name="_Toc38442900"/>
      <w:bookmarkStart w:id="285" w:name="_Toc38443231"/>
      <w:bookmarkStart w:id="286" w:name="_Toc38443562"/>
      <w:bookmarkStart w:id="287" w:name="_Toc38443892"/>
      <w:bookmarkStart w:id="288" w:name="_Toc38438360"/>
      <w:bookmarkStart w:id="289" w:name="_Toc38438697"/>
      <w:bookmarkStart w:id="290" w:name="_Toc38439034"/>
      <w:bookmarkStart w:id="291" w:name="_Toc38439371"/>
      <w:bookmarkStart w:id="292" w:name="_Toc38439708"/>
      <w:bookmarkStart w:id="293" w:name="_Toc38440045"/>
      <w:bookmarkStart w:id="294" w:name="_Toc38440382"/>
      <w:bookmarkStart w:id="295" w:name="_Toc38440914"/>
      <w:bookmarkStart w:id="296" w:name="_Toc38441246"/>
      <w:bookmarkStart w:id="297" w:name="_Toc38441578"/>
      <w:bookmarkStart w:id="298" w:name="_Toc38441906"/>
      <w:bookmarkStart w:id="299" w:name="_Toc38442238"/>
      <w:bookmarkStart w:id="300" w:name="_Toc38442570"/>
      <w:bookmarkStart w:id="301" w:name="_Toc38442901"/>
      <w:bookmarkStart w:id="302" w:name="_Toc38443232"/>
      <w:bookmarkStart w:id="303" w:name="_Toc38443563"/>
      <w:bookmarkStart w:id="304" w:name="_Toc38443893"/>
      <w:bookmarkStart w:id="305" w:name="_Toc38438361"/>
      <w:bookmarkStart w:id="306" w:name="_Toc38438698"/>
      <w:bookmarkStart w:id="307" w:name="_Toc38439035"/>
      <w:bookmarkStart w:id="308" w:name="_Toc38439372"/>
      <w:bookmarkStart w:id="309" w:name="_Toc38439709"/>
      <w:bookmarkStart w:id="310" w:name="_Toc38440046"/>
      <w:bookmarkStart w:id="311" w:name="_Toc38440383"/>
      <w:bookmarkStart w:id="312" w:name="_Toc38440915"/>
      <w:bookmarkStart w:id="313" w:name="_Toc38441247"/>
      <w:bookmarkStart w:id="314" w:name="_Toc38441579"/>
      <w:bookmarkStart w:id="315" w:name="_Toc38441907"/>
      <w:bookmarkStart w:id="316" w:name="_Toc38442239"/>
      <w:bookmarkStart w:id="317" w:name="_Toc38442571"/>
      <w:bookmarkStart w:id="318" w:name="_Toc38442902"/>
      <w:bookmarkStart w:id="319" w:name="_Toc38443233"/>
      <w:bookmarkStart w:id="320" w:name="_Toc38443564"/>
      <w:bookmarkStart w:id="321" w:name="_Toc38443894"/>
      <w:bookmarkStart w:id="322" w:name="_Toc38438362"/>
      <w:bookmarkStart w:id="323" w:name="_Toc38438699"/>
      <w:bookmarkStart w:id="324" w:name="_Toc38439036"/>
      <w:bookmarkStart w:id="325" w:name="_Toc38439373"/>
      <w:bookmarkStart w:id="326" w:name="_Toc38439710"/>
      <w:bookmarkStart w:id="327" w:name="_Toc38440047"/>
      <w:bookmarkStart w:id="328" w:name="_Toc38440384"/>
      <w:bookmarkStart w:id="329" w:name="_Toc38440916"/>
      <w:bookmarkStart w:id="330" w:name="_Toc38441248"/>
      <w:bookmarkStart w:id="331" w:name="_Toc38441580"/>
      <w:bookmarkStart w:id="332" w:name="_Toc38441908"/>
      <w:bookmarkStart w:id="333" w:name="_Toc38442240"/>
      <w:bookmarkStart w:id="334" w:name="_Toc38442572"/>
      <w:bookmarkStart w:id="335" w:name="_Toc38442903"/>
      <w:bookmarkStart w:id="336" w:name="_Toc38443234"/>
      <w:bookmarkStart w:id="337" w:name="_Toc38443565"/>
      <w:bookmarkStart w:id="338" w:name="_Toc38443895"/>
      <w:bookmarkStart w:id="339" w:name="_Toc38438363"/>
      <w:bookmarkStart w:id="340" w:name="_Toc38438700"/>
      <w:bookmarkStart w:id="341" w:name="_Toc38439037"/>
      <w:bookmarkStart w:id="342" w:name="_Toc38439374"/>
      <w:bookmarkStart w:id="343" w:name="_Toc38439711"/>
      <w:bookmarkStart w:id="344" w:name="_Toc38440048"/>
      <w:bookmarkStart w:id="345" w:name="_Toc38440385"/>
      <w:bookmarkStart w:id="346" w:name="_Toc38440917"/>
      <w:bookmarkStart w:id="347" w:name="_Toc38441249"/>
      <w:bookmarkStart w:id="348" w:name="_Toc38441581"/>
      <w:bookmarkStart w:id="349" w:name="_Toc38441909"/>
      <w:bookmarkStart w:id="350" w:name="_Toc38442241"/>
      <w:bookmarkStart w:id="351" w:name="_Toc38442573"/>
      <w:bookmarkStart w:id="352" w:name="_Toc38442904"/>
      <w:bookmarkStart w:id="353" w:name="_Toc38443235"/>
      <w:bookmarkStart w:id="354" w:name="_Toc38443566"/>
      <w:bookmarkStart w:id="355" w:name="_Toc38443896"/>
      <w:bookmarkStart w:id="356" w:name="_Toc38438364"/>
      <w:bookmarkStart w:id="357" w:name="_Toc38438701"/>
      <w:bookmarkStart w:id="358" w:name="_Toc38439038"/>
      <w:bookmarkStart w:id="359" w:name="_Toc38439375"/>
      <w:bookmarkStart w:id="360" w:name="_Toc38439712"/>
      <w:bookmarkStart w:id="361" w:name="_Toc38440049"/>
      <w:bookmarkStart w:id="362" w:name="_Toc38440386"/>
      <w:bookmarkStart w:id="363" w:name="_Toc38440918"/>
      <w:bookmarkStart w:id="364" w:name="_Toc38441250"/>
      <w:bookmarkStart w:id="365" w:name="_Toc38441582"/>
      <w:bookmarkStart w:id="366" w:name="_Toc38441910"/>
      <w:bookmarkStart w:id="367" w:name="_Toc38442242"/>
      <w:bookmarkStart w:id="368" w:name="_Toc38442574"/>
      <w:bookmarkStart w:id="369" w:name="_Toc38442905"/>
      <w:bookmarkStart w:id="370" w:name="_Toc38443236"/>
      <w:bookmarkStart w:id="371" w:name="_Toc38443567"/>
      <w:bookmarkStart w:id="372" w:name="_Toc38443897"/>
      <w:bookmarkStart w:id="373" w:name="_Toc38438365"/>
      <w:bookmarkStart w:id="374" w:name="_Toc38438702"/>
      <w:bookmarkStart w:id="375" w:name="_Toc38439039"/>
      <w:bookmarkStart w:id="376" w:name="_Toc38439376"/>
      <w:bookmarkStart w:id="377" w:name="_Toc38439713"/>
      <w:bookmarkStart w:id="378" w:name="_Toc38440050"/>
      <w:bookmarkStart w:id="379" w:name="_Toc38440387"/>
      <w:bookmarkStart w:id="380" w:name="_Toc38440919"/>
      <w:bookmarkStart w:id="381" w:name="_Toc38441251"/>
      <w:bookmarkStart w:id="382" w:name="_Toc38441583"/>
      <w:bookmarkStart w:id="383" w:name="_Toc38441911"/>
      <w:bookmarkStart w:id="384" w:name="_Toc38442243"/>
      <w:bookmarkStart w:id="385" w:name="_Toc38442575"/>
      <w:bookmarkStart w:id="386" w:name="_Toc38442906"/>
      <w:bookmarkStart w:id="387" w:name="_Toc38443237"/>
      <w:bookmarkStart w:id="388" w:name="_Toc38443568"/>
      <w:bookmarkStart w:id="389" w:name="_Toc38443898"/>
      <w:bookmarkStart w:id="390" w:name="_Toc38438366"/>
      <w:bookmarkStart w:id="391" w:name="_Toc38438703"/>
      <w:bookmarkStart w:id="392" w:name="_Toc38439040"/>
      <w:bookmarkStart w:id="393" w:name="_Toc38439377"/>
      <w:bookmarkStart w:id="394" w:name="_Toc38439714"/>
      <w:bookmarkStart w:id="395" w:name="_Toc38440051"/>
      <w:bookmarkStart w:id="396" w:name="_Toc38440388"/>
      <w:bookmarkStart w:id="397" w:name="_Toc38440920"/>
      <w:bookmarkStart w:id="398" w:name="_Toc38441252"/>
      <w:bookmarkStart w:id="399" w:name="_Toc38441584"/>
      <w:bookmarkStart w:id="400" w:name="_Toc38441912"/>
      <w:bookmarkStart w:id="401" w:name="_Toc38442244"/>
      <w:bookmarkStart w:id="402" w:name="_Toc38442576"/>
      <w:bookmarkStart w:id="403" w:name="_Toc38442907"/>
      <w:bookmarkStart w:id="404" w:name="_Toc38443238"/>
      <w:bookmarkStart w:id="405" w:name="_Toc38443569"/>
      <w:bookmarkStart w:id="406" w:name="_Toc38443899"/>
      <w:bookmarkStart w:id="407" w:name="_Toc38438367"/>
      <w:bookmarkStart w:id="408" w:name="_Toc38438704"/>
      <w:bookmarkStart w:id="409" w:name="_Toc38439041"/>
      <w:bookmarkStart w:id="410" w:name="_Toc38439378"/>
      <w:bookmarkStart w:id="411" w:name="_Toc38439715"/>
      <w:bookmarkStart w:id="412" w:name="_Toc38440052"/>
      <w:bookmarkStart w:id="413" w:name="_Toc38440389"/>
      <w:bookmarkStart w:id="414" w:name="_Toc38440921"/>
      <w:bookmarkStart w:id="415" w:name="_Toc38441253"/>
      <w:bookmarkStart w:id="416" w:name="_Toc38441585"/>
      <w:bookmarkStart w:id="417" w:name="_Toc38441913"/>
      <w:bookmarkStart w:id="418" w:name="_Toc38442245"/>
      <w:bookmarkStart w:id="419" w:name="_Toc38442577"/>
      <w:bookmarkStart w:id="420" w:name="_Toc38442908"/>
      <w:bookmarkStart w:id="421" w:name="_Toc38443239"/>
      <w:bookmarkStart w:id="422" w:name="_Toc38443570"/>
      <w:bookmarkStart w:id="423" w:name="_Toc38443900"/>
      <w:bookmarkStart w:id="424" w:name="_Toc38438368"/>
      <w:bookmarkStart w:id="425" w:name="_Toc38438705"/>
      <w:bookmarkStart w:id="426" w:name="_Toc38439042"/>
      <w:bookmarkStart w:id="427" w:name="_Toc38439379"/>
      <w:bookmarkStart w:id="428" w:name="_Toc38439716"/>
      <w:bookmarkStart w:id="429" w:name="_Toc38440053"/>
      <w:bookmarkStart w:id="430" w:name="_Toc38440390"/>
      <w:bookmarkStart w:id="431" w:name="_Toc38440922"/>
      <w:bookmarkStart w:id="432" w:name="_Toc38441254"/>
      <w:bookmarkStart w:id="433" w:name="_Toc38441586"/>
      <w:bookmarkStart w:id="434" w:name="_Toc38441914"/>
      <w:bookmarkStart w:id="435" w:name="_Toc38442246"/>
      <w:bookmarkStart w:id="436" w:name="_Toc38442578"/>
      <w:bookmarkStart w:id="437" w:name="_Toc38442909"/>
      <w:bookmarkStart w:id="438" w:name="_Toc38443240"/>
      <w:bookmarkStart w:id="439" w:name="_Toc38443571"/>
      <w:bookmarkStart w:id="440" w:name="_Toc38443901"/>
      <w:bookmarkStart w:id="441" w:name="_Toc38438369"/>
      <w:bookmarkStart w:id="442" w:name="_Toc38438706"/>
      <w:bookmarkStart w:id="443" w:name="_Toc38439043"/>
      <w:bookmarkStart w:id="444" w:name="_Toc38439380"/>
      <w:bookmarkStart w:id="445" w:name="_Toc38439717"/>
      <w:bookmarkStart w:id="446" w:name="_Toc38440054"/>
      <w:bookmarkStart w:id="447" w:name="_Toc38440391"/>
      <w:bookmarkStart w:id="448" w:name="_Toc38440923"/>
      <w:bookmarkStart w:id="449" w:name="_Toc38441255"/>
      <w:bookmarkStart w:id="450" w:name="_Toc38441587"/>
      <w:bookmarkStart w:id="451" w:name="_Toc38441915"/>
      <w:bookmarkStart w:id="452" w:name="_Toc38442247"/>
      <w:bookmarkStart w:id="453" w:name="_Toc38442579"/>
      <w:bookmarkStart w:id="454" w:name="_Toc38442910"/>
      <w:bookmarkStart w:id="455" w:name="_Toc38443241"/>
      <w:bookmarkStart w:id="456" w:name="_Toc38443572"/>
      <w:bookmarkStart w:id="457" w:name="_Toc38443902"/>
      <w:bookmarkStart w:id="458" w:name="_Toc38438371"/>
      <w:bookmarkStart w:id="459" w:name="_Toc38438708"/>
      <w:bookmarkStart w:id="460" w:name="_Toc38439045"/>
      <w:bookmarkStart w:id="461" w:name="_Toc38439382"/>
      <w:bookmarkStart w:id="462" w:name="_Toc38439719"/>
      <w:bookmarkStart w:id="463" w:name="_Toc38440056"/>
      <w:bookmarkStart w:id="464" w:name="_Toc38440393"/>
      <w:bookmarkStart w:id="465" w:name="_Toc38440925"/>
      <w:bookmarkStart w:id="466" w:name="_Toc38441257"/>
      <w:bookmarkStart w:id="467" w:name="_Toc38441589"/>
      <w:bookmarkStart w:id="468" w:name="_Toc38441917"/>
      <w:bookmarkStart w:id="469" w:name="_Toc38442249"/>
      <w:bookmarkStart w:id="470" w:name="_Toc38442581"/>
      <w:bookmarkStart w:id="471" w:name="_Toc38442912"/>
      <w:bookmarkStart w:id="472" w:name="_Toc38443243"/>
      <w:bookmarkStart w:id="473" w:name="_Toc38443574"/>
      <w:bookmarkStart w:id="474" w:name="_Toc38443904"/>
      <w:bookmarkStart w:id="475" w:name="_Toc38438372"/>
      <w:bookmarkStart w:id="476" w:name="_Toc38438709"/>
      <w:bookmarkStart w:id="477" w:name="_Toc38439046"/>
      <w:bookmarkStart w:id="478" w:name="_Toc38439383"/>
      <w:bookmarkStart w:id="479" w:name="_Toc38439720"/>
      <w:bookmarkStart w:id="480" w:name="_Toc38440057"/>
      <w:bookmarkStart w:id="481" w:name="_Toc38440394"/>
      <w:bookmarkStart w:id="482" w:name="_Toc38440926"/>
      <w:bookmarkStart w:id="483" w:name="_Toc38441258"/>
      <w:bookmarkStart w:id="484" w:name="_Toc38441590"/>
      <w:bookmarkStart w:id="485" w:name="_Toc38441918"/>
      <w:bookmarkStart w:id="486" w:name="_Toc38442250"/>
      <w:bookmarkStart w:id="487" w:name="_Toc38442582"/>
      <w:bookmarkStart w:id="488" w:name="_Toc38442913"/>
      <w:bookmarkStart w:id="489" w:name="_Toc38443244"/>
      <w:bookmarkStart w:id="490" w:name="_Toc38443575"/>
      <w:bookmarkStart w:id="491" w:name="_Toc38443905"/>
      <w:bookmarkStart w:id="492" w:name="_Toc38438373"/>
      <w:bookmarkStart w:id="493" w:name="_Toc38438710"/>
      <w:bookmarkStart w:id="494" w:name="_Toc38439047"/>
      <w:bookmarkStart w:id="495" w:name="_Toc38439384"/>
      <w:bookmarkStart w:id="496" w:name="_Toc38439721"/>
      <w:bookmarkStart w:id="497" w:name="_Toc38440058"/>
      <w:bookmarkStart w:id="498" w:name="_Toc38440395"/>
      <w:bookmarkStart w:id="499" w:name="_Toc38440927"/>
      <w:bookmarkStart w:id="500" w:name="_Toc38441259"/>
      <w:bookmarkStart w:id="501" w:name="_Toc38441591"/>
      <w:bookmarkStart w:id="502" w:name="_Toc38441919"/>
      <w:bookmarkStart w:id="503" w:name="_Toc38442251"/>
      <w:bookmarkStart w:id="504" w:name="_Toc38442583"/>
      <w:bookmarkStart w:id="505" w:name="_Toc38442914"/>
      <w:bookmarkStart w:id="506" w:name="_Toc38443245"/>
      <w:bookmarkStart w:id="507" w:name="_Toc38443576"/>
      <w:bookmarkStart w:id="508" w:name="_Toc38443906"/>
      <w:bookmarkStart w:id="509" w:name="_Toc38438374"/>
      <w:bookmarkStart w:id="510" w:name="_Toc38438711"/>
      <w:bookmarkStart w:id="511" w:name="_Toc38439048"/>
      <w:bookmarkStart w:id="512" w:name="_Toc38439385"/>
      <w:bookmarkStart w:id="513" w:name="_Toc38439722"/>
      <w:bookmarkStart w:id="514" w:name="_Toc38440059"/>
      <w:bookmarkStart w:id="515" w:name="_Toc38440396"/>
      <w:bookmarkStart w:id="516" w:name="_Toc38440928"/>
      <w:bookmarkStart w:id="517" w:name="_Toc38441260"/>
      <w:bookmarkStart w:id="518" w:name="_Toc38441592"/>
      <w:bookmarkStart w:id="519" w:name="_Toc38441920"/>
      <w:bookmarkStart w:id="520" w:name="_Toc38442252"/>
      <w:bookmarkStart w:id="521" w:name="_Toc38442584"/>
      <w:bookmarkStart w:id="522" w:name="_Toc38442915"/>
      <w:bookmarkStart w:id="523" w:name="_Toc38443246"/>
      <w:bookmarkStart w:id="524" w:name="_Toc38443577"/>
      <w:bookmarkStart w:id="525" w:name="_Toc38443907"/>
      <w:bookmarkStart w:id="526" w:name="_Toc38438375"/>
      <w:bookmarkStart w:id="527" w:name="_Toc38438712"/>
      <w:bookmarkStart w:id="528" w:name="_Toc38439049"/>
      <w:bookmarkStart w:id="529" w:name="_Toc38439386"/>
      <w:bookmarkStart w:id="530" w:name="_Toc38439723"/>
      <w:bookmarkStart w:id="531" w:name="_Toc38440060"/>
      <w:bookmarkStart w:id="532" w:name="_Toc38440397"/>
      <w:bookmarkStart w:id="533" w:name="_Toc38440929"/>
      <w:bookmarkStart w:id="534" w:name="_Toc38441261"/>
      <w:bookmarkStart w:id="535" w:name="_Toc38441593"/>
      <w:bookmarkStart w:id="536" w:name="_Toc38441921"/>
      <w:bookmarkStart w:id="537" w:name="_Toc38442253"/>
      <w:bookmarkStart w:id="538" w:name="_Toc38442585"/>
      <w:bookmarkStart w:id="539" w:name="_Toc38442916"/>
      <w:bookmarkStart w:id="540" w:name="_Toc38443247"/>
      <w:bookmarkStart w:id="541" w:name="_Toc38443578"/>
      <w:bookmarkStart w:id="542" w:name="_Toc38443908"/>
      <w:bookmarkStart w:id="543" w:name="_Toc38438376"/>
      <w:bookmarkStart w:id="544" w:name="_Toc38438713"/>
      <w:bookmarkStart w:id="545" w:name="_Toc38439050"/>
      <w:bookmarkStart w:id="546" w:name="_Toc38439387"/>
      <w:bookmarkStart w:id="547" w:name="_Toc38439724"/>
      <w:bookmarkStart w:id="548" w:name="_Toc38440061"/>
      <w:bookmarkStart w:id="549" w:name="_Toc38440398"/>
      <w:bookmarkStart w:id="550" w:name="_Toc38440930"/>
      <w:bookmarkStart w:id="551" w:name="_Toc38441262"/>
      <w:bookmarkStart w:id="552" w:name="_Toc38441594"/>
      <w:bookmarkStart w:id="553" w:name="_Toc38441922"/>
      <w:bookmarkStart w:id="554" w:name="_Toc38442254"/>
      <w:bookmarkStart w:id="555" w:name="_Toc38442586"/>
      <w:bookmarkStart w:id="556" w:name="_Toc38442917"/>
      <w:bookmarkStart w:id="557" w:name="_Toc38443248"/>
      <w:bookmarkStart w:id="558" w:name="_Toc38443579"/>
      <w:bookmarkStart w:id="559" w:name="_Toc38443909"/>
      <w:bookmarkStart w:id="560" w:name="_Toc38438377"/>
      <w:bookmarkStart w:id="561" w:name="_Toc38438714"/>
      <w:bookmarkStart w:id="562" w:name="_Toc38439051"/>
      <w:bookmarkStart w:id="563" w:name="_Toc38439388"/>
      <w:bookmarkStart w:id="564" w:name="_Toc38439725"/>
      <w:bookmarkStart w:id="565" w:name="_Toc38440062"/>
      <w:bookmarkStart w:id="566" w:name="_Toc38440399"/>
      <w:bookmarkStart w:id="567" w:name="_Toc38440931"/>
      <w:bookmarkStart w:id="568" w:name="_Toc38441263"/>
      <w:bookmarkStart w:id="569" w:name="_Toc38441595"/>
      <w:bookmarkStart w:id="570" w:name="_Toc38441923"/>
      <w:bookmarkStart w:id="571" w:name="_Toc38442255"/>
      <w:bookmarkStart w:id="572" w:name="_Toc38442587"/>
      <w:bookmarkStart w:id="573" w:name="_Toc38442918"/>
      <w:bookmarkStart w:id="574" w:name="_Toc38443249"/>
      <w:bookmarkStart w:id="575" w:name="_Toc38443580"/>
      <w:bookmarkStart w:id="576" w:name="_Toc38443910"/>
      <w:bookmarkStart w:id="577" w:name="_Toc38438378"/>
      <w:bookmarkStart w:id="578" w:name="_Toc38438715"/>
      <w:bookmarkStart w:id="579" w:name="_Toc38439052"/>
      <w:bookmarkStart w:id="580" w:name="_Toc38439389"/>
      <w:bookmarkStart w:id="581" w:name="_Toc38439726"/>
      <w:bookmarkStart w:id="582" w:name="_Toc38440063"/>
      <w:bookmarkStart w:id="583" w:name="_Toc38440400"/>
      <w:bookmarkStart w:id="584" w:name="_Toc38440932"/>
      <w:bookmarkStart w:id="585" w:name="_Toc38441264"/>
      <w:bookmarkStart w:id="586" w:name="_Toc38441596"/>
      <w:bookmarkStart w:id="587" w:name="_Toc38441924"/>
      <w:bookmarkStart w:id="588" w:name="_Toc38442256"/>
      <w:bookmarkStart w:id="589" w:name="_Toc38442588"/>
      <w:bookmarkStart w:id="590" w:name="_Toc38442919"/>
      <w:bookmarkStart w:id="591" w:name="_Toc38443250"/>
      <w:bookmarkStart w:id="592" w:name="_Toc38443581"/>
      <w:bookmarkStart w:id="593" w:name="_Toc38443911"/>
      <w:bookmarkStart w:id="594" w:name="_Toc38438379"/>
      <w:bookmarkStart w:id="595" w:name="_Toc38438716"/>
      <w:bookmarkStart w:id="596" w:name="_Toc38439053"/>
      <w:bookmarkStart w:id="597" w:name="_Toc38439390"/>
      <w:bookmarkStart w:id="598" w:name="_Toc38439727"/>
      <w:bookmarkStart w:id="599" w:name="_Toc38440064"/>
      <w:bookmarkStart w:id="600" w:name="_Toc38440401"/>
      <w:bookmarkStart w:id="601" w:name="_Toc38440933"/>
      <w:bookmarkStart w:id="602" w:name="_Toc38441265"/>
      <w:bookmarkStart w:id="603" w:name="_Toc38441597"/>
      <w:bookmarkStart w:id="604" w:name="_Toc38441925"/>
      <w:bookmarkStart w:id="605" w:name="_Toc38442257"/>
      <w:bookmarkStart w:id="606" w:name="_Toc38442589"/>
      <w:bookmarkStart w:id="607" w:name="_Toc38442920"/>
      <w:bookmarkStart w:id="608" w:name="_Toc38443251"/>
      <w:bookmarkStart w:id="609" w:name="_Toc38443582"/>
      <w:bookmarkStart w:id="610" w:name="_Toc38443912"/>
      <w:bookmarkStart w:id="611" w:name="_Toc38438380"/>
      <w:bookmarkStart w:id="612" w:name="_Toc38438717"/>
      <w:bookmarkStart w:id="613" w:name="_Toc38439054"/>
      <w:bookmarkStart w:id="614" w:name="_Toc38439391"/>
      <w:bookmarkStart w:id="615" w:name="_Toc38439728"/>
      <w:bookmarkStart w:id="616" w:name="_Toc38440065"/>
      <w:bookmarkStart w:id="617" w:name="_Toc38440402"/>
      <w:bookmarkStart w:id="618" w:name="_Toc38440934"/>
      <w:bookmarkStart w:id="619" w:name="_Toc38441266"/>
      <w:bookmarkStart w:id="620" w:name="_Toc38441598"/>
      <w:bookmarkStart w:id="621" w:name="_Toc38441926"/>
      <w:bookmarkStart w:id="622" w:name="_Toc38442258"/>
      <w:bookmarkStart w:id="623" w:name="_Toc38442590"/>
      <w:bookmarkStart w:id="624" w:name="_Toc38442921"/>
      <w:bookmarkStart w:id="625" w:name="_Toc38443252"/>
      <w:bookmarkStart w:id="626" w:name="_Toc38443583"/>
      <w:bookmarkStart w:id="627" w:name="_Toc38443913"/>
      <w:bookmarkStart w:id="628" w:name="_Toc38438381"/>
      <w:bookmarkStart w:id="629" w:name="_Toc38438718"/>
      <w:bookmarkStart w:id="630" w:name="_Toc38439055"/>
      <w:bookmarkStart w:id="631" w:name="_Toc38439392"/>
      <w:bookmarkStart w:id="632" w:name="_Toc38439729"/>
      <w:bookmarkStart w:id="633" w:name="_Toc38440066"/>
      <w:bookmarkStart w:id="634" w:name="_Toc38440403"/>
      <w:bookmarkStart w:id="635" w:name="_Toc38440935"/>
      <w:bookmarkStart w:id="636" w:name="_Toc38441267"/>
      <w:bookmarkStart w:id="637" w:name="_Toc38441599"/>
      <w:bookmarkStart w:id="638" w:name="_Toc38441927"/>
      <w:bookmarkStart w:id="639" w:name="_Toc38442259"/>
      <w:bookmarkStart w:id="640" w:name="_Toc38442591"/>
      <w:bookmarkStart w:id="641" w:name="_Toc38442922"/>
      <w:bookmarkStart w:id="642" w:name="_Toc38443253"/>
      <w:bookmarkStart w:id="643" w:name="_Toc38443584"/>
      <w:bookmarkStart w:id="644" w:name="_Toc38443914"/>
      <w:bookmarkStart w:id="645" w:name="_Toc38438382"/>
      <w:bookmarkStart w:id="646" w:name="_Toc38438719"/>
      <w:bookmarkStart w:id="647" w:name="_Toc38439056"/>
      <w:bookmarkStart w:id="648" w:name="_Toc38439393"/>
      <w:bookmarkStart w:id="649" w:name="_Toc38439730"/>
      <w:bookmarkStart w:id="650" w:name="_Toc38440067"/>
      <w:bookmarkStart w:id="651" w:name="_Toc38440404"/>
      <w:bookmarkStart w:id="652" w:name="_Toc38440936"/>
      <w:bookmarkStart w:id="653" w:name="_Toc38441268"/>
      <w:bookmarkStart w:id="654" w:name="_Toc38441600"/>
      <w:bookmarkStart w:id="655" w:name="_Toc38441928"/>
      <w:bookmarkStart w:id="656" w:name="_Toc38442260"/>
      <w:bookmarkStart w:id="657" w:name="_Toc38442592"/>
      <w:bookmarkStart w:id="658" w:name="_Toc38442923"/>
      <w:bookmarkStart w:id="659" w:name="_Toc38443254"/>
      <w:bookmarkStart w:id="660" w:name="_Toc38443585"/>
      <w:bookmarkStart w:id="661" w:name="_Toc38443915"/>
      <w:bookmarkStart w:id="662" w:name="_Toc38438383"/>
      <w:bookmarkStart w:id="663" w:name="_Toc38438720"/>
      <w:bookmarkStart w:id="664" w:name="_Toc38439057"/>
      <w:bookmarkStart w:id="665" w:name="_Toc38439394"/>
      <w:bookmarkStart w:id="666" w:name="_Toc38439731"/>
      <w:bookmarkStart w:id="667" w:name="_Toc38440068"/>
      <w:bookmarkStart w:id="668" w:name="_Toc38440405"/>
      <w:bookmarkStart w:id="669" w:name="_Toc38440937"/>
      <w:bookmarkStart w:id="670" w:name="_Toc38441269"/>
      <w:bookmarkStart w:id="671" w:name="_Toc38441601"/>
      <w:bookmarkStart w:id="672" w:name="_Toc38441929"/>
      <w:bookmarkStart w:id="673" w:name="_Toc38442261"/>
      <w:bookmarkStart w:id="674" w:name="_Toc38442593"/>
      <w:bookmarkStart w:id="675" w:name="_Toc38442924"/>
      <w:bookmarkStart w:id="676" w:name="_Toc38443255"/>
      <w:bookmarkStart w:id="677" w:name="_Toc38443586"/>
      <w:bookmarkStart w:id="678" w:name="_Toc38443916"/>
      <w:bookmarkStart w:id="679" w:name="_Toc38438384"/>
      <w:bookmarkStart w:id="680" w:name="_Toc38438721"/>
      <w:bookmarkStart w:id="681" w:name="_Toc38439058"/>
      <w:bookmarkStart w:id="682" w:name="_Toc38439395"/>
      <w:bookmarkStart w:id="683" w:name="_Toc38439732"/>
      <w:bookmarkStart w:id="684" w:name="_Toc38440069"/>
      <w:bookmarkStart w:id="685" w:name="_Toc38440406"/>
      <w:bookmarkStart w:id="686" w:name="_Toc38440938"/>
      <w:bookmarkStart w:id="687" w:name="_Toc38441270"/>
      <w:bookmarkStart w:id="688" w:name="_Toc38441602"/>
      <w:bookmarkStart w:id="689" w:name="_Toc38441930"/>
      <w:bookmarkStart w:id="690" w:name="_Toc38442262"/>
      <w:bookmarkStart w:id="691" w:name="_Toc38442594"/>
      <w:bookmarkStart w:id="692" w:name="_Toc38442925"/>
      <w:bookmarkStart w:id="693" w:name="_Toc38443256"/>
      <w:bookmarkStart w:id="694" w:name="_Toc38443587"/>
      <w:bookmarkStart w:id="695" w:name="_Toc38443917"/>
      <w:bookmarkStart w:id="696" w:name="_Toc38438385"/>
      <w:bookmarkStart w:id="697" w:name="_Toc38438722"/>
      <w:bookmarkStart w:id="698" w:name="_Toc38439059"/>
      <w:bookmarkStart w:id="699" w:name="_Toc38439396"/>
      <w:bookmarkStart w:id="700" w:name="_Toc38439733"/>
      <w:bookmarkStart w:id="701" w:name="_Toc38440070"/>
      <w:bookmarkStart w:id="702" w:name="_Toc38440407"/>
      <w:bookmarkStart w:id="703" w:name="_Toc38440939"/>
      <w:bookmarkStart w:id="704" w:name="_Toc38441271"/>
      <w:bookmarkStart w:id="705" w:name="_Toc38441603"/>
      <w:bookmarkStart w:id="706" w:name="_Toc38441931"/>
      <w:bookmarkStart w:id="707" w:name="_Toc38442263"/>
      <w:bookmarkStart w:id="708" w:name="_Toc38442595"/>
      <w:bookmarkStart w:id="709" w:name="_Toc38442926"/>
      <w:bookmarkStart w:id="710" w:name="_Toc38443257"/>
      <w:bookmarkStart w:id="711" w:name="_Toc38443588"/>
      <w:bookmarkStart w:id="712" w:name="_Toc38443918"/>
      <w:bookmarkStart w:id="713" w:name="_Toc38438386"/>
      <w:bookmarkStart w:id="714" w:name="_Toc38438723"/>
      <w:bookmarkStart w:id="715" w:name="_Toc38439060"/>
      <w:bookmarkStart w:id="716" w:name="_Toc38439397"/>
      <w:bookmarkStart w:id="717" w:name="_Toc38439734"/>
      <w:bookmarkStart w:id="718" w:name="_Toc38440071"/>
      <w:bookmarkStart w:id="719" w:name="_Toc38440408"/>
      <w:bookmarkStart w:id="720" w:name="_Toc38440940"/>
      <w:bookmarkStart w:id="721" w:name="_Toc38441272"/>
      <w:bookmarkStart w:id="722" w:name="_Toc38441604"/>
      <w:bookmarkStart w:id="723" w:name="_Toc38441932"/>
      <w:bookmarkStart w:id="724" w:name="_Toc38442264"/>
      <w:bookmarkStart w:id="725" w:name="_Toc38442596"/>
      <w:bookmarkStart w:id="726" w:name="_Toc38442927"/>
      <w:bookmarkStart w:id="727" w:name="_Toc38443258"/>
      <w:bookmarkStart w:id="728" w:name="_Toc38443589"/>
      <w:bookmarkStart w:id="729" w:name="_Toc38443919"/>
      <w:bookmarkStart w:id="730" w:name="_Toc38438387"/>
      <w:bookmarkStart w:id="731" w:name="_Toc38438724"/>
      <w:bookmarkStart w:id="732" w:name="_Toc38439061"/>
      <w:bookmarkStart w:id="733" w:name="_Toc38439398"/>
      <w:bookmarkStart w:id="734" w:name="_Toc38439735"/>
      <w:bookmarkStart w:id="735" w:name="_Toc38440072"/>
      <w:bookmarkStart w:id="736" w:name="_Toc38440409"/>
      <w:bookmarkStart w:id="737" w:name="_Toc38440941"/>
      <w:bookmarkStart w:id="738" w:name="_Toc38441273"/>
      <w:bookmarkStart w:id="739" w:name="_Toc38441605"/>
      <w:bookmarkStart w:id="740" w:name="_Toc38441933"/>
      <w:bookmarkStart w:id="741" w:name="_Toc38442265"/>
      <w:bookmarkStart w:id="742" w:name="_Toc38442597"/>
      <w:bookmarkStart w:id="743" w:name="_Toc38442928"/>
      <w:bookmarkStart w:id="744" w:name="_Toc38443259"/>
      <w:bookmarkStart w:id="745" w:name="_Toc38443590"/>
      <w:bookmarkStart w:id="746" w:name="_Toc38443920"/>
      <w:bookmarkStart w:id="747" w:name="_Toc38438388"/>
      <w:bookmarkStart w:id="748" w:name="_Toc38438725"/>
      <w:bookmarkStart w:id="749" w:name="_Toc38439062"/>
      <w:bookmarkStart w:id="750" w:name="_Toc38439399"/>
      <w:bookmarkStart w:id="751" w:name="_Toc38439736"/>
      <w:bookmarkStart w:id="752" w:name="_Toc38440073"/>
      <w:bookmarkStart w:id="753" w:name="_Toc38440410"/>
      <w:bookmarkStart w:id="754" w:name="_Toc38440942"/>
      <w:bookmarkStart w:id="755" w:name="_Toc38441274"/>
      <w:bookmarkStart w:id="756" w:name="_Toc38441606"/>
      <w:bookmarkStart w:id="757" w:name="_Toc38441934"/>
      <w:bookmarkStart w:id="758" w:name="_Toc38442266"/>
      <w:bookmarkStart w:id="759" w:name="_Toc38442598"/>
      <w:bookmarkStart w:id="760" w:name="_Toc38442929"/>
      <w:bookmarkStart w:id="761" w:name="_Toc38443260"/>
      <w:bookmarkStart w:id="762" w:name="_Toc38443591"/>
      <w:bookmarkStart w:id="763" w:name="_Toc38443921"/>
      <w:bookmarkStart w:id="764" w:name="_Toc38438389"/>
      <w:bookmarkStart w:id="765" w:name="_Toc38438726"/>
      <w:bookmarkStart w:id="766" w:name="_Toc38439063"/>
      <w:bookmarkStart w:id="767" w:name="_Toc38439400"/>
      <w:bookmarkStart w:id="768" w:name="_Toc38439737"/>
      <w:bookmarkStart w:id="769" w:name="_Toc38440074"/>
      <w:bookmarkStart w:id="770" w:name="_Toc38440411"/>
      <w:bookmarkStart w:id="771" w:name="_Toc38440943"/>
      <w:bookmarkStart w:id="772" w:name="_Toc38441275"/>
      <w:bookmarkStart w:id="773" w:name="_Toc38441607"/>
      <w:bookmarkStart w:id="774" w:name="_Toc38441935"/>
      <w:bookmarkStart w:id="775" w:name="_Toc38442267"/>
      <w:bookmarkStart w:id="776" w:name="_Toc38442599"/>
      <w:bookmarkStart w:id="777" w:name="_Toc38442930"/>
      <w:bookmarkStart w:id="778" w:name="_Toc38443261"/>
      <w:bookmarkStart w:id="779" w:name="_Toc38443592"/>
      <w:bookmarkStart w:id="780" w:name="_Toc38443922"/>
      <w:bookmarkStart w:id="781" w:name="_Toc38438390"/>
      <w:bookmarkStart w:id="782" w:name="_Toc38438727"/>
      <w:bookmarkStart w:id="783" w:name="_Toc38439064"/>
      <w:bookmarkStart w:id="784" w:name="_Toc38439401"/>
      <w:bookmarkStart w:id="785" w:name="_Toc38439738"/>
      <w:bookmarkStart w:id="786" w:name="_Toc38440075"/>
      <w:bookmarkStart w:id="787" w:name="_Toc38440412"/>
      <w:bookmarkStart w:id="788" w:name="_Toc38440944"/>
      <w:bookmarkStart w:id="789" w:name="_Toc38441276"/>
      <w:bookmarkStart w:id="790" w:name="_Toc38441608"/>
      <w:bookmarkStart w:id="791" w:name="_Toc38441936"/>
      <w:bookmarkStart w:id="792" w:name="_Toc38442268"/>
      <w:bookmarkStart w:id="793" w:name="_Toc38442600"/>
      <w:bookmarkStart w:id="794" w:name="_Toc38442931"/>
      <w:bookmarkStart w:id="795" w:name="_Toc38443262"/>
      <w:bookmarkStart w:id="796" w:name="_Toc38443593"/>
      <w:bookmarkStart w:id="797" w:name="_Toc38443923"/>
      <w:bookmarkStart w:id="798" w:name="_Toc38438391"/>
      <w:bookmarkStart w:id="799" w:name="_Toc38438728"/>
      <w:bookmarkStart w:id="800" w:name="_Toc38439065"/>
      <w:bookmarkStart w:id="801" w:name="_Toc38439402"/>
      <w:bookmarkStart w:id="802" w:name="_Toc38439739"/>
      <w:bookmarkStart w:id="803" w:name="_Toc38440076"/>
      <w:bookmarkStart w:id="804" w:name="_Toc38440413"/>
      <w:bookmarkStart w:id="805" w:name="_Toc38440945"/>
      <w:bookmarkStart w:id="806" w:name="_Toc38441277"/>
      <w:bookmarkStart w:id="807" w:name="_Toc38441609"/>
      <w:bookmarkStart w:id="808" w:name="_Toc38441937"/>
      <w:bookmarkStart w:id="809" w:name="_Toc38442269"/>
      <w:bookmarkStart w:id="810" w:name="_Toc38442601"/>
      <w:bookmarkStart w:id="811" w:name="_Toc38442932"/>
      <w:bookmarkStart w:id="812" w:name="_Toc38443263"/>
      <w:bookmarkStart w:id="813" w:name="_Toc38443594"/>
      <w:bookmarkStart w:id="814" w:name="_Toc38443924"/>
      <w:bookmarkStart w:id="815" w:name="_Toc38438392"/>
      <w:bookmarkStart w:id="816" w:name="_Toc38438729"/>
      <w:bookmarkStart w:id="817" w:name="_Toc38439066"/>
      <w:bookmarkStart w:id="818" w:name="_Toc38439403"/>
      <w:bookmarkStart w:id="819" w:name="_Toc38439740"/>
      <w:bookmarkStart w:id="820" w:name="_Toc38440077"/>
      <w:bookmarkStart w:id="821" w:name="_Toc38440414"/>
      <w:bookmarkStart w:id="822" w:name="_Toc38440946"/>
      <w:bookmarkStart w:id="823" w:name="_Toc38441278"/>
      <w:bookmarkStart w:id="824" w:name="_Toc38441610"/>
      <w:bookmarkStart w:id="825" w:name="_Toc38441938"/>
      <w:bookmarkStart w:id="826" w:name="_Toc38442270"/>
      <w:bookmarkStart w:id="827" w:name="_Toc38442602"/>
      <w:bookmarkStart w:id="828" w:name="_Toc38442933"/>
      <w:bookmarkStart w:id="829" w:name="_Toc38443264"/>
      <w:bookmarkStart w:id="830" w:name="_Toc38443595"/>
      <w:bookmarkStart w:id="831" w:name="_Toc38443925"/>
      <w:bookmarkStart w:id="832" w:name="_Toc38438393"/>
      <w:bookmarkStart w:id="833" w:name="_Toc38438730"/>
      <w:bookmarkStart w:id="834" w:name="_Toc38439067"/>
      <w:bookmarkStart w:id="835" w:name="_Toc38439404"/>
      <w:bookmarkStart w:id="836" w:name="_Toc38439741"/>
      <w:bookmarkStart w:id="837" w:name="_Toc38440078"/>
      <w:bookmarkStart w:id="838" w:name="_Toc38440415"/>
      <w:bookmarkStart w:id="839" w:name="_Toc38440947"/>
      <w:bookmarkStart w:id="840" w:name="_Toc38441279"/>
      <w:bookmarkStart w:id="841" w:name="_Toc38441611"/>
      <w:bookmarkStart w:id="842" w:name="_Toc38441939"/>
      <w:bookmarkStart w:id="843" w:name="_Toc38442271"/>
      <w:bookmarkStart w:id="844" w:name="_Toc38442603"/>
      <w:bookmarkStart w:id="845" w:name="_Toc38442934"/>
      <w:bookmarkStart w:id="846" w:name="_Toc38443265"/>
      <w:bookmarkStart w:id="847" w:name="_Toc38443596"/>
      <w:bookmarkStart w:id="848" w:name="_Toc38443926"/>
      <w:bookmarkStart w:id="849" w:name="_Toc38438394"/>
      <w:bookmarkStart w:id="850" w:name="_Toc38438731"/>
      <w:bookmarkStart w:id="851" w:name="_Toc38439068"/>
      <w:bookmarkStart w:id="852" w:name="_Toc38439405"/>
      <w:bookmarkStart w:id="853" w:name="_Toc38439742"/>
      <w:bookmarkStart w:id="854" w:name="_Toc38440079"/>
      <w:bookmarkStart w:id="855" w:name="_Toc38440416"/>
      <w:bookmarkStart w:id="856" w:name="_Toc38440948"/>
      <w:bookmarkStart w:id="857" w:name="_Toc38441280"/>
      <w:bookmarkStart w:id="858" w:name="_Toc38441612"/>
      <w:bookmarkStart w:id="859" w:name="_Toc38441940"/>
      <w:bookmarkStart w:id="860" w:name="_Toc38442272"/>
      <w:bookmarkStart w:id="861" w:name="_Toc38442604"/>
      <w:bookmarkStart w:id="862" w:name="_Toc38442935"/>
      <w:bookmarkStart w:id="863" w:name="_Toc38443266"/>
      <w:bookmarkStart w:id="864" w:name="_Toc38443597"/>
      <w:bookmarkStart w:id="865" w:name="_Toc38443927"/>
      <w:bookmarkStart w:id="866" w:name="_Toc38438395"/>
      <w:bookmarkStart w:id="867" w:name="_Toc38438732"/>
      <w:bookmarkStart w:id="868" w:name="_Toc38439069"/>
      <w:bookmarkStart w:id="869" w:name="_Toc38439406"/>
      <w:bookmarkStart w:id="870" w:name="_Toc38439743"/>
      <w:bookmarkStart w:id="871" w:name="_Toc38440080"/>
      <w:bookmarkStart w:id="872" w:name="_Toc38440417"/>
      <w:bookmarkStart w:id="873" w:name="_Toc38440949"/>
      <w:bookmarkStart w:id="874" w:name="_Toc38441281"/>
      <w:bookmarkStart w:id="875" w:name="_Toc38441613"/>
      <w:bookmarkStart w:id="876" w:name="_Toc38441941"/>
      <w:bookmarkStart w:id="877" w:name="_Toc38442273"/>
      <w:bookmarkStart w:id="878" w:name="_Toc38442605"/>
      <w:bookmarkStart w:id="879" w:name="_Toc38442936"/>
      <w:bookmarkStart w:id="880" w:name="_Toc38443267"/>
      <w:bookmarkStart w:id="881" w:name="_Toc38443598"/>
      <w:bookmarkStart w:id="882" w:name="_Toc38443928"/>
      <w:bookmarkStart w:id="883" w:name="_Toc38438396"/>
      <w:bookmarkStart w:id="884" w:name="_Toc38438733"/>
      <w:bookmarkStart w:id="885" w:name="_Toc38439070"/>
      <w:bookmarkStart w:id="886" w:name="_Toc38439407"/>
      <w:bookmarkStart w:id="887" w:name="_Toc38439744"/>
      <w:bookmarkStart w:id="888" w:name="_Toc38440081"/>
      <w:bookmarkStart w:id="889" w:name="_Toc38440418"/>
      <w:bookmarkStart w:id="890" w:name="_Toc38440950"/>
      <w:bookmarkStart w:id="891" w:name="_Toc38441282"/>
      <w:bookmarkStart w:id="892" w:name="_Toc38441614"/>
      <w:bookmarkStart w:id="893" w:name="_Toc38441942"/>
      <w:bookmarkStart w:id="894" w:name="_Toc38442274"/>
      <w:bookmarkStart w:id="895" w:name="_Toc38442606"/>
      <w:bookmarkStart w:id="896" w:name="_Toc38442937"/>
      <w:bookmarkStart w:id="897" w:name="_Toc38443268"/>
      <w:bookmarkStart w:id="898" w:name="_Toc38443599"/>
      <w:bookmarkStart w:id="899" w:name="_Toc38443929"/>
      <w:bookmarkStart w:id="900" w:name="_Toc38438397"/>
      <w:bookmarkStart w:id="901" w:name="_Toc38438734"/>
      <w:bookmarkStart w:id="902" w:name="_Toc38439071"/>
      <w:bookmarkStart w:id="903" w:name="_Toc38439408"/>
      <w:bookmarkStart w:id="904" w:name="_Toc38439745"/>
      <w:bookmarkStart w:id="905" w:name="_Toc38440082"/>
      <w:bookmarkStart w:id="906" w:name="_Toc38440419"/>
      <w:bookmarkStart w:id="907" w:name="_Toc38440951"/>
      <w:bookmarkStart w:id="908" w:name="_Toc38441283"/>
      <w:bookmarkStart w:id="909" w:name="_Toc38441615"/>
      <w:bookmarkStart w:id="910" w:name="_Toc38441943"/>
      <w:bookmarkStart w:id="911" w:name="_Toc38442275"/>
      <w:bookmarkStart w:id="912" w:name="_Toc38442607"/>
      <w:bookmarkStart w:id="913" w:name="_Toc38442938"/>
      <w:bookmarkStart w:id="914" w:name="_Toc38443269"/>
      <w:bookmarkStart w:id="915" w:name="_Toc38443600"/>
      <w:bookmarkStart w:id="916" w:name="_Toc38443930"/>
      <w:bookmarkStart w:id="917" w:name="_Toc38438398"/>
      <w:bookmarkStart w:id="918" w:name="_Toc38438735"/>
      <w:bookmarkStart w:id="919" w:name="_Toc38439072"/>
      <w:bookmarkStart w:id="920" w:name="_Toc38439409"/>
      <w:bookmarkStart w:id="921" w:name="_Toc38439746"/>
      <w:bookmarkStart w:id="922" w:name="_Toc38440083"/>
      <w:bookmarkStart w:id="923" w:name="_Toc38440420"/>
      <w:bookmarkStart w:id="924" w:name="_Toc38440952"/>
      <w:bookmarkStart w:id="925" w:name="_Toc38441284"/>
      <w:bookmarkStart w:id="926" w:name="_Toc38441616"/>
      <w:bookmarkStart w:id="927" w:name="_Toc38441944"/>
      <w:bookmarkStart w:id="928" w:name="_Toc38442276"/>
      <w:bookmarkStart w:id="929" w:name="_Toc38442608"/>
      <w:bookmarkStart w:id="930" w:name="_Toc38442939"/>
      <w:bookmarkStart w:id="931" w:name="_Toc38443270"/>
      <w:bookmarkStart w:id="932" w:name="_Toc38443601"/>
      <w:bookmarkStart w:id="933" w:name="_Toc38443931"/>
      <w:bookmarkStart w:id="934" w:name="_Toc38438400"/>
      <w:bookmarkStart w:id="935" w:name="_Toc38438737"/>
      <w:bookmarkStart w:id="936" w:name="_Toc38439074"/>
      <w:bookmarkStart w:id="937" w:name="_Toc38439411"/>
      <w:bookmarkStart w:id="938" w:name="_Toc38439748"/>
      <w:bookmarkStart w:id="939" w:name="_Toc38440085"/>
      <w:bookmarkStart w:id="940" w:name="_Toc38440422"/>
      <w:bookmarkStart w:id="941" w:name="_Toc38440954"/>
      <w:bookmarkStart w:id="942" w:name="_Toc38441286"/>
      <w:bookmarkStart w:id="943" w:name="_Toc38441618"/>
      <w:bookmarkStart w:id="944" w:name="_Toc38441946"/>
      <w:bookmarkStart w:id="945" w:name="_Toc38442278"/>
      <w:bookmarkStart w:id="946" w:name="_Toc38442610"/>
      <w:bookmarkStart w:id="947" w:name="_Toc38442941"/>
      <w:bookmarkStart w:id="948" w:name="_Toc38443272"/>
      <w:bookmarkStart w:id="949" w:name="_Toc38443603"/>
      <w:bookmarkStart w:id="950" w:name="_Toc38443933"/>
      <w:bookmarkStart w:id="951" w:name="_Toc38438401"/>
      <w:bookmarkStart w:id="952" w:name="_Toc38438738"/>
      <w:bookmarkStart w:id="953" w:name="_Toc38439075"/>
      <w:bookmarkStart w:id="954" w:name="_Toc38439412"/>
      <w:bookmarkStart w:id="955" w:name="_Toc38439749"/>
      <w:bookmarkStart w:id="956" w:name="_Toc38440086"/>
      <w:bookmarkStart w:id="957" w:name="_Toc38440423"/>
      <w:bookmarkStart w:id="958" w:name="_Toc38440955"/>
      <w:bookmarkStart w:id="959" w:name="_Toc38441287"/>
      <w:bookmarkStart w:id="960" w:name="_Toc38441619"/>
      <w:bookmarkStart w:id="961" w:name="_Toc38441947"/>
      <w:bookmarkStart w:id="962" w:name="_Toc38442279"/>
      <w:bookmarkStart w:id="963" w:name="_Toc38442611"/>
      <w:bookmarkStart w:id="964" w:name="_Toc38442942"/>
      <w:bookmarkStart w:id="965" w:name="_Toc38443273"/>
      <w:bookmarkStart w:id="966" w:name="_Toc38443604"/>
      <w:bookmarkStart w:id="967" w:name="_Toc38443934"/>
      <w:bookmarkStart w:id="968" w:name="_Toc38438402"/>
      <w:bookmarkStart w:id="969" w:name="_Toc38438739"/>
      <w:bookmarkStart w:id="970" w:name="_Toc38439076"/>
      <w:bookmarkStart w:id="971" w:name="_Toc38439413"/>
      <w:bookmarkStart w:id="972" w:name="_Toc38439750"/>
      <w:bookmarkStart w:id="973" w:name="_Toc38440087"/>
      <w:bookmarkStart w:id="974" w:name="_Toc38440424"/>
      <w:bookmarkStart w:id="975" w:name="_Toc38440956"/>
      <w:bookmarkStart w:id="976" w:name="_Toc38441288"/>
      <w:bookmarkStart w:id="977" w:name="_Toc38441620"/>
      <w:bookmarkStart w:id="978" w:name="_Toc38441948"/>
      <w:bookmarkStart w:id="979" w:name="_Toc38442280"/>
      <w:bookmarkStart w:id="980" w:name="_Toc38442612"/>
      <w:bookmarkStart w:id="981" w:name="_Toc38442943"/>
      <w:bookmarkStart w:id="982" w:name="_Toc38443274"/>
      <w:bookmarkStart w:id="983" w:name="_Toc38443605"/>
      <w:bookmarkStart w:id="984" w:name="_Toc38443935"/>
      <w:bookmarkStart w:id="985" w:name="_Toc38438404"/>
      <w:bookmarkStart w:id="986" w:name="_Toc38438741"/>
      <w:bookmarkStart w:id="987" w:name="_Toc38439078"/>
      <w:bookmarkStart w:id="988" w:name="_Toc38439415"/>
      <w:bookmarkStart w:id="989" w:name="_Toc38439752"/>
      <w:bookmarkStart w:id="990" w:name="_Toc38440089"/>
      <w:bookmarkStart w:id="991" w:name="_Toc38440426"/>
      <w:bookmarkStart w:id="992" w:name="_Toc38440958"/>
      <w:bookmarkStart w:id="993" w:name="_Toc38441290"/>
      <w:bookmarkStart w:id="994" w:name="_Toc38441622"/>
      <w:bookmarkStart w:id="995" w:name="_Toc38441950"/>
      <w:bookmarkStart w:id="996" w:name="_Toc38442282"/>
      <w:bookmarkStart w:id="997" w:name="_Toc38442614"/>
      <w:bookmarkStart w:id="998" w:name="_Toc38442945"/>
      <w:bookmarkStart w:id="999" w:name="_Toc38443276"/>
      <w:bookmarkStart w:id="1000" w:name="_Toc38443607"/>
      <w:bookmarkStart w:id="1001" w:name="_Toc38443937"/>
      <w:bookmarkStart w:id="1002" w:name="_Toc38438405"/>
      <w:bookmarkStart w:id="1003" w:name="_Toc38438742"/>
      <w:bookmarkStart w:id="1004" w:name="_Toc38439079"/>
      <w:bookmarkStart w:id="1005" w:name="_Toc38439416"/>
      <w:bookmarkStart w:id="1006" w:name="_Toc38439753"/>
      <w:bookmarkStart w:id="1007" w:name="_Toc38440090"/>
      <w:bookmarkStart w:id="1008" w:name="_Toc38440427"/>
      <w:bookmarkStart w:id="1009" w:name="_Toc38440959"/>
      <w:bookmarkStart w:id="1010" w:name="_Toc38441291"/>
      <w:bookmarkStart w:id="1011" w:name="_Toc38441623"/>
      <w:bookmarkStart w:id="1012" w:name="_Toc38441951"/>
      <w:bookmarkStart w:id="1013" w:name="_Toc38442283"/>
      <w:bookmarkStart w:id="1014" w:name="_Toc38442615"/>
      <w:bookmarkStart w:id="1015" w:name="_Toc38442946"/>
      <w:bookmarkStart w:id="1016" w:name="_Toc38443277"/>
      <w:bookmarkStart w:id="1017" w:name="_Toc38443608"/>
      <w:bookmarkStart w:id="1018" w:name="_Toc38443938"/>
      <w:bookmarkStart w:id="1019" w:name="_Toc38438406"/>
      <w:bookmarkStart w:id="1020" w:name="_Toc38438743"/>
      <w:bookmarkStart w:id="1021" w:name="_Toc38439080"/>
      <w:bookmarkStart w:id="1022" w:name="_Toc38439417"/>
      <w:bookmarkStart w:id="1023" w:name="_Toc38439754"/>
      <w:bookmarkStart w:id="1024" w:name="_Toc38440091"/>
      <w:bookmarkStart w:id="1025" w:name="_Toc38440428"/>
      <w:bookmarkStart w:id="1026" w:name="_Toc38440960"/>
      <w:bookmarkStart w:id="1027" w:name="_Toc38441292"/>
      <w:bookmarkStart w:id="1028" w:name="_Toc38441624"/>
      <w:bookmarkStart w:id="1029" w:name="_Toc38441952"/>
      <w:bookmarkStart w:id="1030" w:name="_Toc38442284"/>
      <w:bookmarkStart w:id="1031" w:name="_Toc38442616"/>
      <w:bookmarkStart w:id="1032" w:name="_Toc38442947"/>
      <w:bookmarkStart w:id="1033" w:name="_Toc38443278"/>
      <w:bookmarkStart w:id="1034" w:name="_Toc38443609"/>
      <w:bookmarkStart w:id="1035" w:name="_Toc38443939"/>
      <w:bookmarkStart w:id="1036" w:name="_Toc38438407"/>
      <w:bookmarkStart w:id="1037" w:name="_Toc38438744"/>
      <w:bookmarkStart w:id="1038" w:name="_Toc38439081"/>
      <w:bookmarkStart w:id="1039" w:name="_Toc38439418"/>
      <w:bookmarkStart w:id="1040" w:name="_Toc38439755"/>
      <w:bookmarkStart w:id="1041" w:name="_Toc38440092"/>
      <w:bookmarkStart w:id="1042" w:name="_Toc38440429"/>
      <w:bookmarkStart w:id="1043" w:name="_Toc38440961"/>
      <w:bookmarkStart w:id="1044" w:name="_Toc38441293"/>
      <w:bookmarkStart w:id="1045" w:name="_Toc38441625"/>
      <w:bookmarkStart w:id="1046" w:name="_Toc38441953"/>
      <w:bookmarkStart w:id="1047" w:name="_Toc38442285"/>
      <w:bookmarkStart w:id="1048" w:name="_Toc38442617"/>
      <w:bookmarkStart w:id="1049" w:name="_Toc38442948"/>
      <w:bookmarkStart w:id="1050" w:name="_Toc38443279"/>
      <w:bookmarkStart w:id="1051" w:name="_Toc38443610"/>
      <w:bookmarkStart w:id="1052" w:name="_Toc38443940"/>
      <w:bookmarkStart w:id="1053" w:name="_Toc38438408"/>
      <w:bookmarkStart w:id="1054" w:name="_Toc38438745"/>
      <w:bookmarkStart w:id="1055" w:name="_Toc38439082"/>
      <w:bookmarkStart w:id="1056" w:name="_Toc38439419"/>
      <w:bookmarkStart w:id="1057" w:name="_Toc38439756"/>
      <w:bookmarkStart w:id="1058" w:name="_Toc38440093"/>
      <w:bookmarkStart w:id="1059" w:name="_Toc38440430"/>
      <w:bookmarkStart w:id="1060" w:name="_Toc38440962"/>
      <w:bookmarkStart w:id="1061" w:name="_Toc38441294"/>
      <w:bookmarkStart w:id="1062" w:name="_Toc38441626"/>
      <w:bookmarkStart w:id="1063" w:name="_Toc38441954"/>
      <w:bookmarkStart w:id="1064" w:name="_Toc38442286"/>
      <w:bookmarkStart w:id="1065" w:name="_Toc38442618"/>
      <w:bookmarkStart w:id="1066" w:name="_Toc38442949"/>
      <w:bookmarkStart w:id="1067" w:name="_Toc38443280"/>
      <w:bookmarkStart w:id="1068" w:name="_Toc38443611"/>
      <w:bookmarkStart w:id="1069" w:name="_Toc38443941"/>
      <w:bookmarkStart w:id="1070" w:name="_Toc38438409"/>
      <w:bookmarkStart w:id="1071" w:name="_Toc38438746"/>
      <w:bookmarkStart w:id="1072" w:name="_Toc38439083"/>
      <w:bookmarkStart w:id="1073" w:name="_Toc38439420"/>
      <w:bookmarkStart w:id="1074" w:name="_Toc38439757"/>
      <w:bookmarkStart w:id="1075" w:name="_Toc38440094"/>
      <w:bookmarkStart w:id="1076" w:name="_Toc38440431"/>
      <w:bookmarkStart w:id="1077" w:name="_Toc38440963"/>
      <w:bookmarkStart w:id="1078" w:name="_Toc38441295"/>
      <w:bookmarkStart w:id="1079" w:name="_Toc38441627"/>
      <w:bookmarkStart w:id="1080" w:name="_Toc38441955"/>
      <w:bookmarkStart w:id="1081" w:name="_Toc38442287"/>
      <w:bookmarkStart w:id="1082" w:name="_Toc38442619"/>
      <w:bookmarkStart w:id="1083" w:name="_Toc38442950"/>
      <w:bookmarkStart w:id="1084" w:name="_Toc38443281"/>
      <w:bookmarkStart w:id="1085" w:name="_Toc38443612"/>
      <w:bookmarkStart w:id="1086" w:name="_Toc38443942"/>
      <w:bookmarkStart w:id="1087" w:name="_Toc38438410"/>
      <w:bookmarkStart w:id="1088" w:name="_Toc38438747"/>
      <w:bookmarkStart w:id="1089" w:name="_Toc38439084"/>
      <w:bookmarkStart w:id="1090" w:name="_Toc38439421"/>
      <w:bookmarkStart w:id="1091" w:name="_Toc38439758"/>
      <w:bookmarkStart w:id="1092" w:name="_Toc38440095"/>
      <w:bookmarkStart w:id="1093" w:name="_Toc38440432"/>
      <w:bookmarkStart w:id="1094" w:name="_Toc38440964"/>
      <w:bookmarkStart w:id="1095" w:name="_Toc38441296"/>
      <w:bookmarkStart w:id="1096" w:name="_Toc38441628"/>
      <w:bookmarkStart w:id="1097" w:name="_Toc38441956"/>
      <w:bookmarkStart w:id="1098" w:name="_Toc38442288"/>
      <w:bookmarkStart w:id="1099" w:name="_Toc38442620"/>
      <w:bookmarkStart w:id="1100" w:name="_Toc38442951"/>
      <w:bookmarkStart w:id="1101" w:name="_Toc38443282"/>
      <w:bookmarkStart w:id="1102" w:name="_Toc38443613"/>
      <w:bookmarkStart w:id="1103" w:name="_Toc38443943"/>
      <w:bookmarkStart w:id="1104" w:name="_Toc38438411"/>
      <w:bookmarkStart w:id="1105" w:name="_Toc38438748"/>
      <w:bookmarkStart w:id="1106" w:name="_Toc38439085"/>
      <w:bookmarkStart w:id="1107" w:name="_Toc38439422"/>
      <w:bookmarkStart w:id="1108" w:name="_Toc38439759"/>
      <w:bookmarkStart w:id="1109" w:name="_Toc38440096"/>
      <w:bookmarkStart w:id="1110" w:name="_Toc38440433"/>
      <w:bookmarkStart w:id="1111" w:name="_Toc38440965"/>
      <w:bookmarkStart w:id="1112" w:name="_Toc38441297"/>
      <w:bookmarkStart w:id="1113" w:name="_Toc38441629"/>
      <w:bookmarkStart w:id="1114" w:name="_Toc38441957"/>
      <w:bookmarkStart w:id="1115" w:name="_Toc38442289"/>
      <w:bookmarkStart w:id="1116" w:name="_Toc38442621"/>
      <w:bookmarkStart w:id="1117" w:name="_Toc38442952"/>
      <w:bookmarkStart w:id="1118" w:name="_Toc38443283"/>
      <w:bookmarkStart w:id="1119" w:name="_Toc38443614"/>
      <w:bookmarkStart w:id="1120" w:name="_Toc38443944"/>
      <w:bookmarkStart w:id="1121" w:name="_Toc38438412"/>
      <w:bookmarkStart w:id="1122" w:name="_Toc38438749"/>
      <w:bookmarkStart w:id="1123" w:name="_Toc38439086"/>
      <w:bookmarkStart w:id="1124" w:name="_Toc38439423"/>
      <w:bookmarkStart w:id="1125" w:name="_Toc38439760"/>
      <w:bookmarkStart w:id="1126" w:name="_Toc38440097"/>
      <w:bookmarkStart w:id="1127" w:name="_Toc38440434"/>
      <w:bookmarkStart w:id="1128" w:name="_Toc38440966"/>
      <w:bookmarkStart w:id="1129" w:name="_Toc38441298"/>
      <w:bookmarkStart w:id="1130" w:name="_Toc38441630"/>
      <w:bookmarkStart w:id="1131" w:name="_Toc38441958"/>
      <w:bookmarkStart w:id="1132" w:name="_Toc38442290"/>
      <w:bookmarkStart w:id="1133" w:name="_Toc38442622"/>
      <w:bookmarkStart w:id="1134" w:name="_Toc38442953"/>
      <w:bookmarkStart w:id="1135" w:name="_Toc38443284"/>
      <w:bookmarkStart w:id="1136" w:name="_Toc38443615"/>
      <w:bookmarkStart w:id="1137" w:name="_Toc38443945"/>
      <w:bookmarkStart w:id="1138" w:name="_Toc38438413"/>
      <w:bookmarkStart w:id="1139" w:name="_Toc38438750"/>
      <w:bookmarkStart w:id="1140" w:name="_Toc38439087"/>
      <w:bookmarkStart w:id="1141" w:name="_Toc38439424"/>
      <w:bookmarkStart w:id="1142" w:name="_Toc38439761"/>
      <w:bookmarkStart w:id="1143" w:name="_Toc38440098"/>
      <w:bookmarkStart w:id="1144" w:name="_Toc38440435"/>
      <w:bookmarkStart w:id="1145" w:name="_Toc38440967"/>
      <w:bookmarkStart w:id="1146" w:name="_Toc38441299"/>
      <w:bookmarkStart w:id="1147" w:name="_Toc38441631"/>
      <w:bookmarkStart w:id="1148" w:name="_Toc38441959"/>
      <w:bookmarkStart w:id="1149" w:name="_Toc38442291"/>
      <w:bookmarkStart w:id="1150" w:name="_Toc38442623"/>
      <w:bookmarkStart w:id="1151" w:name="_Toc38442954"/>
      <w:bookmarkStart w:id="1152" w:name="_Toc38443285"/>
      <w:bookmarkStart w:id="1153" w:name="_Toc38443616"/>
      <w:bookmarkStart w:id="1154" w:name="_Toc38443946"/>
      <w:bookmarkStart w:id="1155" w:name="_Toc38438414"/>
      <w:bookmarkStart w:id="1156" w:name="_Toc38438751"/>
      <w:bookmarkStart w:id="1157" w:name="_Toc38439088"/>
      <w:bookmarkStart w:id="1158" w:name="_Toc38439425"/>
      <w:bookmarkStart w:id="1159" w:name="_Toc38439762"/>
      <w:bookmarkStart w:id="1160" w:name="_Toc38440099"/>
      <w:bookmarkStart w:id="1161" w:name="_Toc38440436"/>
      <w:bookmarkStart w:id="1162" w:name="_Toc38440968"/>
      <w:bookmarkStart w:id="1163" w:name="_Toc38441300"/>
      <w:bookmarkStart w:id="1164" w:name="_Toc38441632"/>
      <w:bookmarkStart w:id="1165" w:name="_Toc38441960"/>
      <w:bookmarkStart w:id="1166" w:name="_Toc38442292"/>
      <w:bookmarkStart w:id="1167" w:name="_Toc38442624"/>
      <w:bookmarkStart w:id="1168" w:name="_Toc38442955"/>
      <w:bookmarkStart w:id="1169" w:name="_Toc38443286"/>
      <w:bookmarkStart w:id="1170" w:name="_Toc38443617"/>
      <w:bookmarkStart w:id="1171" w:name="_Toc38443947"/>
      <w:bookmarkStart w:id="1172" w:name="_Toc38438415"/>
      <w:bookmarkStart w:id="1173" w:name="_Toc38438752"/>
      <w:bookmarkStart w:id="1174" w:name="_Toc38439089"/>
      <w:bookmarkStart w:id="1175" w:name="_Toc38439426"/>
      <w:bookmarkStart w:id="1176" w:name="_Toc38439763"/>
      <w:bookmarkStart w:id="1177" w:name="_Toc38440100"/>
      <w:bookmarkStart w:id="1178" w:name="_Toc38440437"/>
      <w:bookmarkStart w:id="1179" w:name="_Toc38440969"/>
      <w:bookmarkStart w:id="1180" w:name="_Toc38441301"/>
      <w:bookmarkStart w:id="1181" w:name="_Toc38441633"/>
      <w:bookmarkStart w:id="1182" w:name="_Toc38441961"/>
      <w:bookmarkStart w:id="1183" w:name="_Toc38442293"/>
      <w:bookmarkStart w:id="1184" w:name="_Toc38442625"/>
      <w:bookmarkStart w:id="1185" w:name="_Toc38442956"/>
      <w:bookmarkStart w:id="1186" w:name="_Toc38443287"/>
      <w:bookmarkStart w:id="1187" w:name="_Toc38443618"/>
      <w:bookmarkStart w:id="1188" w:name="_Toc38443948"/>
      <w:bookmarkStart w:id="1189" w:name="_Toc38438416"/>
      <w:bookmarkStart w:id="1190" w:name="_Toc38438753"/>
      <w:bookmarkStart w:id="1191" w:name="_Toc38439090"/>
      <w:bookmarkStart w:id="1192" w:name="_Toc38439427"/>
      <w:bookmarkStart w:id="1193" w:name="_Toc38439764"/>
      <w:bookmarkStart w:id="1194" w:name="_Toc38440101"/>
      <w:bookmarkStart w:id="1195" w:name="_Toc38440438"/>
      <w:bookmarkStart w:id="1196" w:name="_Toc38440970"/>
      <w:bookmarkStart w:id="1197" w:name="_Toc38441302"/>
      <w:bookmarkStart w:id="1198" w:name="_Toc38441634"/>
      <w:bookmarkStart w:id="1199" w:name="_Toc38441962"/>
      <w:bookmarkStart w:id="1200" w:name="_Toc38442294"/>
      <w:bookmarkStart w:id="1201" w:name="_Toc38442626"/>
      <w:bookmarkStart w:id="1202" w:name="_Toc38442957"/>
      <w:bookmarkStart w:id="1203" w:name="_Toc38443288"/>
      <w:bookmarkStart w:id="1204" w:name="_Toc38443619"/>
      <w:bookmarkStart w:id="1205" w:name="_Toc38443949"/>
      <w:bookmarkStart w:id="1206" w:name="_Toc38438417"/>
      <w:bookmarkStart w:id="1207" w:name="_Toc38438754"/>
      <w:bookmarkStart w:id="1208" w:name="_Toc38439091"/>
      <w:bookmarkStart w:id="1209" w:name="_Toc38439428"/>
      <w:bookmarkStart w:id="1210" w:name="_Toc38439765"/>
      <w:bookmarkStart w:id="1211" w:name="_Toc38440102"/>
      <w:bookmarkStart w:id="1212" w:name="_Toc38440439"/>
      <w:bookmarkStart w:id="1213" w:name="_Toc38440971"/>
      <w:bookmarkStart w:id="1214" w:name="_Toc38441303"/>
      <w:bookmarkStart w:id="1215" w:name="_Toc38441635"/>
      <w:bookmarkStart w:id="1216" w:name="_Toc38441963"/>
      <w:bookmarkStart w:id="1217" w:name="_Toc38442295"/>
      <w:bookmarkStart w:id="1218" w:name="_Toc38442627"/>
      <w:bookmarkStart w:id="1219" w:name="_Toc38442958"/>
      <w:bookmarkStart w:id="1220" w:name="_Toc38443289"/>
      <w:bookmarkStart w:id="1221" w:name="_Toc38443620"/>
      <w:bookmarkStart w:id="1222" w:name="_Toc38443950"/>
      <w:bookmarkStart w:id="1223" w:name="_Toc38438418"/>
      <w:bookmarkStart w:id="1224" w:name="_Toc38438755"/>
      <w:bookmarkStart w:id="1225" w:name="_Toc38439092"/>
      <w:bookmarkStart w:id="1226" w:name="_Toc38439429"/>
      <w:bookmarkStart w:id="1227" w:name="_Toc38439766"/>
      <w:bookmarkStart w:id="1228" w:name="_Toc38440103"/>
      <w:bookmarkStart w:id="1229" w:name="_Toc38440440"/>
      <w:bookmarkStart w:id="1230" w:name="_Toc38440972"/>
      <w:bookmarkStart w:id="1231" w:name="_Toc38441304"/>
      <w:bookmarkStart w:id="1232" w:name="_Toc38441636"/>
      <w:bookmarkStart w:id="1233" w:name="_Toc38441964"/>
      <w:bookmarkStart w:id="1234" w:name="_Toc38442296"/>
      <w:bookmarkStart w:id="1235" w:name="_Toc38442628"/>
      <w:bookmarkStart w:id="1236" w:name="_Toc38442959"/>
      <w:bookmarkStart w:id="1237" w:name="_Toc38443290"/>
      <w:bookmarkStart w:id="1238" w:name="_Toc38443621"/>
      <w:bookmarkStart w:id="1239" w:name="_Toc38443951"/>
      <w:bookmarkStart w:id="1240" w:name="_Toc38438419"/>
      <w:bookmarkStart w:id="1241" w:name="_Toc38438756"/>
      <w:bookmarkStart w:id="1242" w:name="_Toc38439093"/>
      <w:bookmarkStart w:id="1243" w:name="_Toc38439430"/>
      <w:bookmarkStart w:id="1244" w:name="_Toc38439767"/>
      <w:bookmarkStart w:id="1245" w:name="_Toc38440104"/>
      <w:bookmarkStart w:id="1246" w:name="_Toc38440441"/>
      <w:bookmarkStart w:id="1247" w:name="_Toc38440973"/>
      <w:bookmarkStart w:id="1248" w:name="_Toc38441305"/>
      <w:bookmarkStart w:id="1249" w:name="_Toc38441637"/>
      <w:bookmarkStart w:id="1250" w:name="_Toc38441965"/>
      <w:bookmarkStart w:id="1251" w:name="_Toc38442297"/>
      <w:bookmarkStart w:id="1252" w:name="_Toc38442629"/>
      <w:bookmarkStart w:id="1253" w:name="_Toc38442960"/>
      <w:bookmarkStart w:id="1254" w:name="_Toc38443291"/>
      <w:bookmarkStart w:id="1255" w:name="_Toc38443622"/>
      <w:bookmarkStart w:id="1256" w:name="_Toc38443952"/>
      <w:bookmarkStart w:id="1257" w:name="_Toc38438420"/>
      <w:bookmarkStart w:id="1258" w:name="_Toc38438757"/>
      <w:bookmarkStart w:id="1259" w:name="_Toc38439094"/>
      <w:bookmarkStart w:id="1260" w:name="_Toc38439431"/>
      <w:bookmarkStart w:id="1261" w:name="_Toc38439768"/>
      <w:bookmarkStart w:id="1262" w:name="_Toc38440105"/>
      <w:bookmarkStart w:id="1263" w:name="_Toc38440442"/>
      <w:bookmarkStart w:id="1264" w:name="_Toc38440974"/>
      <w:bookmarkStart w:id="1265" w:name="_Toc38441306"/>
      <w:bookmarkStart w:id="1266" w:name="_Toc38441638"/>
      <w:bookmarkStart w:id="1267" w:name="_Toc38441966"/>
      <w:bookmarkStart w:id="1268" w:name="_Toc38442298"/>
      <w:bookmarkStart w:id="1269" w:name="_Toc38442630"/>
      <w:bookmarkStart w:id="1270" w:name="_Toc38442961"/>
      <w:bookmarkStart w:id="1271" w:name="_Toc38443292"/>
      <w:bookmarkStart w:id="1272" w:name="_Toc38443623"/>
      <w:bookmarkStart w:id="1273" w:name="_Toc38443953"/>
      <w:bookmarkStart w:id="1274" w:name="_Toc38438421"/>
      <w:bookmarkStart w:id="1275" w:name="_Toc38438758"/>
      <w:bookmarkStart w:id="1276" w:name="_Toc38439095"/>
      <w:bookmarkStart w:id="1277" w:name="_Toc38439432"/>
      <w:bookmarkStart w:id="1278" w:name="_Toc38439769"/>
      <w:bookmarkStart w:id="1279" w:name="_Toc38440106"/>
      <w:bookmarkStart w:id="1280" w:name="_Toc38440443"/>
      <w:bookmarkStart w:id="1281" w:name="_Toc38440975"/>
      <w:bookmarkStart w:id="1282" w:name="_Toc38441307"/>
      <w:bookmarkStart w:id="1283" w:name="_Toc38441639"/>
      <w:bookmarkStart w:id="1284" w:name="_Toc38441967"/>
      <w:bookmarkStart w:id="1285" w:name="_Toc38442299"/>
      <w:bookmarkStart w:id="1286" w:name="_Toc38442631"/>
      <w:bookmarkStart w:id="1287" w:name="_Toc38442962"/>
      <w:bookmarkStart w:id="1288" w:name="_Toc38443293"/>
      <w:bookmarkStart w:id="1289" w:name="_Toc38443624"/>
      <w:bookmarkStart w:id="1290" w:name="_Toc38443954"/>
      <w:bookmarkStart w:id="1291" w:name="_Toc38438422"/>
      <w:bookmarkStart w:id="1292" w:name="_Toc38438759"/>
      <w:bookmarkStart w:id="1293" w:name="_Toc38439096"/>
      <w:bookmarkStart w:id="1294" w:name="_Toc38439433"/>
      <w:bookmarkStart w:id="1295" w:name="_Toc38439770"/>
      <w:bookmarkStart w:id="1296" w:name="_Toc38440107"/>
      <w:bookmarkStart w:id="1297" w:name="_Toc38440444"/>
      <w:bookmarkStart w:id="1298" w:name="_Toc38440976"/>
      <w:bookmarkStart w:id="1299" w:name="_Toc38441308"/>
      <w:bookmarkStart w:id="1300" w:name="_Toc38441640"/>
      <w:bookmarkStart w:id="1301" w:name="_Toc38441968"/>
      <w:bookmarkStart w:id="1302" w:name="_Toc38442300"/>
      <w:bookmarkStart w:id="1303" w:name="_Toc38442632"/>
      <w:bookmarkStart w:id="1304" w:name="_Toc38442963"/>
      <w:bookmarkStart w:id="1305" w:name="_Toc38443294"/>
      <w:bookmarkStart w:id="1306" w:name="_Toc38443625"/>
      <w:bookmarkStart w:id="1307" w:name="_Toc38443955"/>
      <w:bookmarkStart w:id="1308" w:name="_Toc38438423"/>
      <w:bookmarkStart w:id="1309" w:name="_Toc38438760"/>
      <w:bookmarkStart w:id="1310" w:name="_Toc38439097"/>
      <w:bookmarkStart w:id="1311" w:name="_Toc38439434"/>
      <w:bookmarkStart w:id="1312" w:name="_Toc38439771"/>
      <w:bookmarkStart w:id="1313" w:name="_Toc38440108"/>
      <w:bookmarkStart w:id="1314" w:name="_Toc38440445"/>
      <w:bookmarkStart w:id="1315" w:name="_Toc38440977"/>
      <w:bookmarkStart w:id="1316" w:name="_Toc38441309"/>
      <w:bookmarkStart w:id="1317" w:name="_Toc38441641"/>
      <w:bookmarkStart w:id="1318" w:name="_Toc38441969"/>
      <w:bookmarkStart w:id="1319" w:name="_Toc38442301"/>
      <w:bookmarkStart w:id="1320" w:name="_Toc38442633"/>
      <w:bookmarkStart w:id="1321" w:name="_Toc38442964"/>
      <w:bookmarkStart w:id="1322" w:name="_Toc38443295"/>
      <w:bookmarkStart w:id="1323" w:name="_Toc38443626"/>
      <w:bookmarkStart w:id="1324" w:name="_Toc38443956"/>
      <w:bookmarkStart w:id="1325" w:name="_Toc38438424"/>
      <w:bookmarkStart w:id="1326" w:name="_Toc38438761"/>
      <w:bookmarkStart w:id="1327" w:name="_Toc38439098"/>
      <w:bookmarkStart w:id="1328" w:name="_Toc38439435"/>
      <w:bookmarkStart w:id="1329" w:name="_Toc38439772"/>
      <w:bookmarkStart w:id="1330" w:name="_Toc38440109"/>
      <w:bookmarkStart w:id="1331" w:name="_Toc38440446"/>
      <w:bookmarkStart w:id="1332" w:name="_Toc38440978"/>
      <w:bookmarkStart w:id="1333" w:name="_Toc38441310"/>
      <w:bookmarkStart w:id="1334" w:name="_Toc38441642"/>
      <w:bookmarkStart w:id="1335" w:name="_Toc38441970"/>
      <w:bookmarkStart w:id="1336" w:name="_Toc38442302"/>
      <w:bookmarkStart w:id="1337" w:name="_Toc38442634"/>
      <w:bookmarkStart w:id="1338" w:name="_Toc38442965"/>
      <w:bookmarkStart w:id="1339" w:name="_Toc38443296"/>
      <w:bookmarkStart w:id="1340" w:name="_Toc38443627"/>
      <w:bookmarkStart w:id="1341" w:name="_Toc38443957"/>
      <w:bookmarkStart w:id="1342" w:name="_Toc38438425"/>
      <w:bookmarkStart w:id="1343" w:name="_Toc38438762"/>
      <w:bookmarkStart w:id="1344" w:name="_Toc38439099"/>
      <w:bookmarkStart w:id="1345" w:name="_Toc38439436"/>
      <w:bookmarkStart w:id="1346" w:name="_Toc38439773"/>
      <w:bookmarkStart w:id="1347" w:name="_Toc38440110"/>
      <w:bookmarkStart w:id="1348" w:name="_Toc38440447"/>
      <w:bookmarkStart w:id="1349" w:name="_Toc38440979"/>
      <w:bookmarkStart w:id="1350" w:name="_Toc38441311"/>
      <w:bookmarkStart w:id="1351" w:name="_Toc38441643"/>
      <w:bookmarkStart w:id="1352" w:name="_Toc38441971"/>
      <w:bookmarkStart w:id="1353" w:name="_Toc38442303"/>
      <w:bookmarkStart w:id="1354" w:name="_Toc38442635"/>
      <w:bookmarkStart w:id="1355" w:name="_Toc38442966"/>
      <w:bookmarkStart w:id="1356" w:name="_Toc38443297"/>
      <w:bookmarkStart w:id="1357" w:name="_Toc38443628"/>
      <w:bookmarkStart w:id="1358" w:name="_Toc38443958"/>
      <w:bookmarkStart w:id="1359" w:name="_Toc38438426"/>
      <w:bookmarkStart w:id="1360" w:name="_Toc38438763"/>
      <w:bookmarkStart w:id="1361" w:name="_Toc38439100"/>
      <w:bookmarkStart w:id="1362" w:name="_Toc38439437"/>
      <w:bookmarkStart w:id="1363" w:name="_Toc38439774"/>
      <w:bookmarkStart w:id="1364" w:name="_Toc38440111"/>
      <w:bookmarkStart w:id="1365" w:name="_Toc38440448"/>
      <w:bookmarkStart w:id="1366" w:name="_Toc38440980"/>
      <w:bookmarkStart w:id="1367" w:name="_Toc38441312"/>
      <w:bookmarkStart w:id="1368" w:name="_Toc38441644"/>
      <w:bookmarkStart w:id="1369" w:name="_Toc38441972"/>
      <w:bookmarkStart w:id="1370" w:name="_Toc38442304"/>
      <w:bookmarkStart w:id="1371" w:name="_Toc38442636"/>
      <w:bookmarkStart w:id="1372" w:name="_Toc38442967"/>
      <w:bookmarkStart w:id="1373" w:name="_Toc38443298"/>
      <w:bookmarkStart w:id="1374" w:name="_Toc38443629"/>
      <w:bookmarkStart w:id="1375" w:name="_Toc38443959"/>
      <w:bookmarkStart w:id="1376" w:name="_Toc38438427"/>
      <w:bookmarkStart w:id="1377" w:name="_Toc38438764"/>
      <w:bookmarkStart w:id="1378" w:name="_Toc38439101"/>
      <w:bookmarkStart w:id="1379" w:name="_Toc38439438"/>
      <w:bookmarkStart w:id="1380" w:name="_Toc38439775"/>
      <w:bookmarkStart w:id="1381" w:name="_Toc38440112"/>
      <w:bookmarkStart w:id="1382" w:name="_Toc38440449"/>
      <w:bookmarkStart w:id="1383" w:name="_Toc38440981"/>
      <w:bookmarkStart w:id="1384" w:name="_Toc38441313"/>
      <w:bookmarkStart w:id="1385" w:name="_Toc38441645"/>
      <w:bookmarkStart w:id="1386" w:name="_Toc38441973"/>
      <w:bookmarkStart w:id="1387" w:name="_Toc38442305"/>
      <w:bookmarkStart w:id="1388" w:name="_Toc38442637"/>
      <w:bookmarkStart w:id="1389" w:name="_Toc38442968"/>
      <w:bookmarkStart w:id="1390" w:name="_Toc38443299"/>
      <w:bookmarkStart w:id="1391" w:name="_Toc38443630"/>
      <w:bookmarkStart w:id="1392" w:name="_Toc38443960"/>
      <w:bookmarkStart w:id="1393" w:name="_Toc38438428"/>
      <w:bookmarkStart w:id="1394" w:name="_Toc38438765"/>
      <w:bookmarkStart w:id="1395" w:name="_Toc38439102"/>
      <w:bookmarkStart w:id="1396" w:name="_Toc38439439"/>
      <w:bookmarkStart w:id="1397" w:name="_Toc38439776"/>
      <w:bookmarkStart w:id="1398" w:name="_Toc38440113"/>
      <w:bookmarkStart w:id="1399" w:name="_Toc38440450"/>
      <w:bookmarkStart w:id="1400" w:name="_Toc38440982"/>
      <w:bookmarkStart w:id="1401" w:name="_Toc38441314"/>
      <w:bookmarkStart w:id="1402" w:name="_Toc38441646"/>
      <w:bookmarkStart w:id="1403" w:name="_Toc38441974"/>
      <w:bookmarkStart w:id="1404" w:name="_Toc38442306"/>
      <w:bookmarkStart w:id="1405" w:name="_Toc38442638"/>
      <w:bookmarkStart w:id="1406" w:name="_Toc38442969"/>
      <w:bookmarkStart w:id="1407" w:name="_Toc38443300"/>
      <w:bookmarkStart w:id="1408" w:name="_Toc38443631"/>
      <w:bookmarkStart w:id="1409" w:name="_Toc38443961"/>
      <w:bookmarkStart w:id="1410" w:name="_Toc38438429"/>
      <w:bookmarkStart w:id="1411" w:name="_Toc38438766"/>
      <w:bookmarkStart w:id="1412" w:name="_Toc38439103"/>
      <w:bookmarkStart w:id="1413" w:name="_Toc38439440"/>
      <w:bookmarkStart w:id="1414" w:name="_Toc38439777"/>
      <w:bookmarkStart w:id="1415" w:name="_Toc38440114"/>
      <w:bookmarkStart w:id="1416" w:name="_Toc38440451"/>
      <w:bookmarkStart w:id="1417" w:name="_Toc38440983"/>
      <w:bookmarkStart w:id="1418" w:name="_Toc38441315"/>
      <w:bookmarkStart w:id="1419" w:name="_Toc38441647"/>
      <w:bookmarkStart w:id="1420" w:name="_Toc38441975"/>
      <w:bookmarkStart w:id="1421" w:name="_Toc38442307"/>
      <w:bookmarkStart w:id="1422" w:name="_Toc38442639"/>
      <w:bookmarkStart w:id="1423" w:name="_Toc38442970"/>
      <w:bookmarkStart w:id="1424" w:name="_Toc38443301"/>
      <w:bookmarkStart w:id="1425" w:name="_Toc38443632"/>
      <w:bookmarkStart w:id="1426" w:name="_Toc38443962"/>
      <w:bookmarkStart w:id="1427" w:name="_Toc38438430"/>
      <w:bookmarkStart w:id="1428" w:name="_Toc38438767"/>
      <w:bookmarkStart w:id="1429" w:name="_Toc38439104"/>
      <w:bookmarkStart w:id="1430" w:name="_Toc38439441"/>
      <w:bookmarkStart w:id="1431" w:name="_Toc38439778"/>
      <w:bookmarkStart w:id="1432" w:name="_Toc38440115"/>
      <w:bookmarkStart w:id="1433" w:name="_Toc38440452"/>
      <w:bookmarkStart w:id="1434" w:name="_Toc38440984"/>
      <w:bookmarkStart w:id="1435" w:name="_Toc38441316"/>
      <w:bookmarkStart w:id="1436" w:name="_Toc38441648"/>
      <w:bookmarkStart w:id="1437" w:name="_Toc38441976"/>
      <w:bookmarkStart w:id="1438" w:name="_Toc38442308"/>
      <w:bookmarkStart w:id="1439" w:name="_Toc38442640"/>
      <w:bookmarkStart w:id="1440" w:name="_Toc38442971"/>
      <w:bookmarkStart w:id="1441" w:name="_Toc38443302"/>
      <w:bookmarkStart w:id="1442" w:name="_Toc38443633"/>
      <w:bookmarkStart w:id="1443" w:name="_Toc38443963"/>
      <w:bookmarkStart w:id="1444" w:name="_Toc38438431"/>
      <w:bookmarkStart w:id="1445" w:name="_Toc38438768"/>
      <w:bookmarkStart w:id="1446" w:name="_Toc38439105"/>
      <w:bookmarkStart w:id="1447" w:name="_Toc38439442"/>
      <w:bookmarkStart w:id="1448" w:name="_Toc38439779"/>
      <w:bookmarkStart w:id="1449" w:name="_Toc38440116"/>
      <w:bookmarkStart w:id="1450" w:name="_Toc38440453"/>
      <w:bookmarkStart w:id="1451" w:name="_Toc38440985"/>
      <w:bookmarkStart w:id="1452" w:name="_Toc38441317"/>
      <w:bookmarkStart w:id="1453" w:name="_Toc38441649"/>
      <w:bookmarkStart w:id="1454" w:name="_Toc38441977"/>
      <w:bookmarkStart w:id="1455" w:name="_Toc38442309"/>
      <w:bookmarkStart w:id="1456" w:name="_Toc38442641"/>
      <w:bookmarkStart w:id="1457" w:name="_Toc38442972"/>
      <w:bookmarkStart w:id="1458" w:name="_Toc38443303"/>
      <w:bookmarkStart w:id="1459" w:name="_Toc38443634"/>
      <w:bookmarkStart w:id="1460" w:name="_Toc38443964"/>
      <w:bookmarkStart w:id="1461" w:name="_Toc38438432"/>
      <w:bookmarkStart w:id="1462" w:name="_Toc38438769"/>
      <w:bookmarkStart w:id="1463" w:name="_Toc38439106"/>
      <w:bookmarkStart w:id="1464" w:name="_Toc38439443"/>
      <w:bookmarkStart w:id="1465" w:name="_Toc38439780"/>
      <w:bookmarkStart w:id="1466" w:name="_Toc38440117"/>
      <w:bookmarkStart w:id="1467" w:name="_Toc38440454"/>
      <w:bookmarkStart w:id="1468" w:name="_Toc38440986"/>
      <w:bookmarkStart w:id="1469" w:name="_Toc38441318"/>
      <w:bookmarkStart w:id="1470" w:name="_Toc38441650"/>
      <w:bookmarkStart w:id="1471" w:name="_Toc38441978"/>
      <w:bookmarkStart w:id="1472" w:name="_Toc38442310"/>
      <w:bookmarkStart w:id="1473" w:name="_Toc38442642"/>
      <w:bookmarkStart w:id="1474" w:name="_Toc38442973"/>
      <w:bookmarkStart w:id="1475" w:name="_Toc38443304"/>
      <w:bookmarkStart w:id="1476" w:name="_Toc38443635"/>
      <w:bookmarkStart w:id="1477" w:name="_Toc38443965"/>
      <w:bookmarkStart w:id="1478" w:name="_Toc38438433"/>
      <w:bookmarkStart w:id="1479" w:name="_Toc38438770"/>
      <w:bookmarkStart w:id="1480" w:name="_Toc38439107"/>
      <w:bookmarkStart w:id="1481" w:name="_Toc38439444"/>
      <w:bookmarkStart w:id="1482" w:name="_Toc38439781"/>
      <w:bookmarkStart w:id="1483" w:name="_Toc38440118"/>
      <w:bookmarkStart w:id="1484" w:name="_Toc38440455"/>
      <w:bookmarkStart w:id="1485" w:name="_Toc38440987"/>
      <w:bookmarkStart w:id="1486" w:name="_Toc38441319"/>
      <w:bookmarkStart w:id="1487" w:name="_Toc38441651"/>
      <w:bookmarkStart w:id="1488" w:name="_Toc38441979"/>
      <w:bookmarkStart w:id="1489" w:name="_Toc38442311"/>
      <w:bookmarkStart w:id="1490" w:name="_Toc38442643"/>
      <w:bookmarkStart w:id="1491" w:name="_Toc38442974"/>
      <w:bookmarkStart w:id="1492" w:name="_Toc38443305"/>
      <w:bookmarkStart w:id="1493" w:name="_Toc38443636"/>
      <w:bookmarkStart w:id="1494" w:name="_Toc38443966"/>
      <w:bookmarkStart w:id="1495" w:name="_Toc38438434"/>
      <w:bookmarkStart w:id="1496" w:name="_Toc38438771"/>
      <w:bookmarkStart w:id="1497" w:name="_Toc38439108"/>
      <w:bookmarkStart w:id="1498" w:name="_Toc38439445"/>
      <w:bookmarkStart w:id="1499" w:name="_Toc38439782"/>
      <w:bookmarkStart w:id="1500" w:name="_Toc38440119"/>
      <w:bookmarkStart w:id="1501" w:name="_Toc38440456"/>
      <w:bookmarkStart w:id="1502" w:name="_Toc38440988"/>
      <w:bookmarkStart w:id="1503" w:name="_Toc38441320"/>
      <w:bookmarkStart w:id="1504" w:name="_Toc38441652"/>
      <w:bookmarkStart w:id="1505" w:name="_Toc38441980"/>
      <w:bookmarkStart w:id="1506" w:name="_Toc38442312"/>
      <w:bookmarkStart w:id="1507" w:name="_Toc38442644"/>
      <w:bookmarkStart w:id="1508" w:name="_Toc38442975"/>
      <w:bookmarkStart w:id="1509" w:name="_Toc38443306"/>
      <w:bookmarkStart w:id="1510" w:name="_Toc38443637"/>
      <w:bookmarkStart w:id="1511" w:name="_Toc38443967"/>
      <w:bookmarkStart w:id="1512" w:name="_Toc38438435"/>
      <w:bookmarkStart w:id="1513" w:name="_Toc38438772"/>
      <w:bookmarkStart w:id="1514" w:name="_Toc38439109"/>
      <w:bookmarkStart w:id="1515" w:name="_Toc38439446"/>
      <w:bookmarkStart w:id="1516" w:name="_Toc38439783"/>
      <w:bookmarkStart w:id="1517" w:name="_Toc38440120"/>
      <w:bookmarkStart w:id="1518" w:name="_Toc38440457"/>
      <w:bookmarkStart w:id="1519" w:name="_Toc38440989"/>
      <w:bookmarkStart w:id="1520" w:name="_Toc38441321"/>
      <w:bookmarkStart w:id="1521" w:name="_Toc38441653"/>
      <w:bookmarkStart w:id="1522" w:name="_Toc38441981"/>
      <w:bookmarkStart w:id="1523" w:name="_Toc38442313"/>
      <w:bookmarkStart w:id="1524" w:name="_Toc38442645"/>
      <w:bookmarkStart w:id="1525" w:name="_Toc38442976"/>
      <w:bookmarkStart w:id="1526" w:name="_Toc38443307"/>
      <w:bookmarkStart w:id="1527" w:name="_Toc38443638"/>
      <w:bookmarkStart w:id="1528" w:name="_Toc38443968"/>
      <w:bookmarkStart w:id="1529" w:name="_Toc38438436"/>
      <w:bookmarkStart w:id="1530" w:name="_Toc38438773"/>
      <w:bookmarkStart w:id="1531" w:name="_Toc38439110"/>
      <w:bookmarkStart w:id="1532" w:name="_Toc38439447"/>
      <w:bookmarkStart w:id="1533" w:name="_Toc38439784"/>
      <w:bookmarkStart w:id="1534" w:name="_Toc38440121"/>
      <w:bookmarkStart w:id="1535" w:name="_Toc38440458"/>
      <w:bookmarkStart w:id="1536" w:name="_Toc38440990"/>
      <w:bookmarkStart w:id="1537" w:name="_Toc38441322"/>
      <w:bookmarkStart w:id="1538" w:name="_Toc38441654"/>
      <w:bookmarkStart w:id="1539" w:name="_Toc38441982"/>
      <w:bookmarkStart w:id="1540" w:name="_Toc38442314"/>
      <w:bookmarkStart w:id="1541" w:name="_Toc38442646"/>
      <w:bookmarkStart w:id="1542" w:name="_Toc38442977"/>
      <w:bookmarkStart w:id="1543" w:name="_Toc38443308"/>
      <w:bookmarkStart w:id="1544" w:name="_Toc38443639"/>
      <w:bookmarkStart w:id="1545" w:name="_Toc38443969"/>
      <w:bookmarkStart w:id="1546" w:name="_Toc38438437"/>
      <w:bookmarkStart w:id="1547" w:name="_Toc38438774"/>
      <w:bookmarkStart w:id="1548" w:name="_Toc38439111"/>
      <w:bookmarkStart w:id="1549" w:name="_Toc38439448"/>
      <w:bookmarkStart w:id="1550" w:name="_Toc38439785"/>
      <w:bookmarkStart w:id="1551" w:name="_Toc38440122"/>
      <w:bookmarkStart w:id="1552" w:name="_Toc38440459"/>
      <w:bookmarkStart w:id="1553" w:name="_Toc38440991"/>
      <w:bookmarkStart w:id="1554" w:name="_Toc38441323"/>
      <w:bookmarkStart w:id="1555" w:name="_Toc38441655"/>
      <w:bookmarkStart w:id="1556" w:name="_Toc38441983"/>
      <w:bookmarkStart w:id="1557" w:name="_Toc38442315"/>
      <w:bookmarkStart w:id="1558" w:name="_Toc38442647"/>
      <w:bookmarkStart w:id="1559" w:name="_Toc38442978"/>
      <w:bookmarkStart w:id="1560" w:name="_Toc38443309"/>
      <w:bookmarkStart w:id="1561" w:name="_Toc38443640"/>
      <w:bookmarkStart w:id="1562" w:name="_Toc38443970"/>
      <w:bookmarkStart w:id="1563" w:name="_Toc38438438"/>
      <w:bookmarkStart w:id="1564" w:name="_Toc38438775"/>
      <w:bookmarkStart w:id="1565" w:name="_Toc38439112"/>
      <w:bookmarkStart w:id="1566" w:name="_Toc38439449"/>
      <w:bookmarkStart w:id="1567" w:name="_Toc38439786"/>
      <w:bookmarkStart w:id="1568" w:name="_Toc38440123"/>
      <w:bookmarkStart w:id="1569" w:name="_Toc38440460"/>
      <w:bookmarkStart w:id="1570" w:name="_Toc38440992"/>
      <w:bookmarkStart w:id="1571" w:name="_Toc38441324"/>
      <w:bookmarkStart w:id="1572" w:name="_Toc38441656"/>
      <w:bookmarkStart w:id="1573" w:name="_Toc38441984"/>
      <w:bookmarkStart w:id="1574" w:name="_Toc38442316"/>
      <w:bookmarkStart w:id="1575" w:name="_Toc38442648"/>
      <w:bookmarkStart w:id="1576" w:name="_Toc38442979"/>
      <w:bookmarkStart w:id="1577" w:name="_Toc38443310"/>
      <w:bookmarkStart w:id="1578" w:name="_Toc38443641"/>
      <w:bookmarkStart w:id="1579" w:name="_Toc38443971"/>
      <w:bookmarkStart w:id="1580" w:name="_Toc38438439"/>
      <w:bookmarkStart w:id="1581" w:name="_Toc38438776"/>
      <w:bookmarkStart w:id="1582" w:name="_Toc38439113"/>
      <w:bookmarkStart w:id="1583" w:name="_Toc38439450"/>
      <w:bookmarkStart w:id="1584" w:name="_Toc38439787"/>
      <w:bookmarkStart w:id="1585" w:name="_Toc38440124"/>
      <w:bookmarkStart w:id="1586" w:name="_Toc38440461"/>
      <w:bookmarkStart w:id="1587" w:name="_Toc38440993"/>
      <w:bookmarkStart w:id="1588" w:name="_Toc38441325"/>
      <w:bookmarkStart w:id="1589" w:name="_Toc38441657"/>
      <w:bookmarkStart w:id="1590" w:name="_Toc38441985"/>
      <w:bookmarkStart w:id="1591" w:name="_Toc38442317"/>
      <w:bookmarkStart w:id="1592" w:name="_Toc38442649"/>
      <w:bookmarkStart w:id="1593" w:name="_Toc38442980"/>
      <w:bookmarkStart w:id="1594" w:name="_Toc38443311"/>
      <w:bookmarkStart w:id="1595" w:name="_Toc38443642"/>
      <w:bookmarkStart w:id="1596" w:name="_Toc38443972"/>
      <w:bookmarkStart w:id="1597" w:name="_Toc38438440"/>
      <w:bookmarkStart w:id="1598" w:name="_Toc38438777"/>
      <w:bookmarkStart w:id="1599" w:name="_Toc38439114"/>
      <w:bookmarkStart w:id="1600" w:name="_Toc38439451"/>
      <w:bookmarkStart w:id="1601" w:name="_Toc38439788"/>
      <w:bookmarkStart w:id="1602" w:name="_Toc38440125"/>
      <w:bookmarkStart w:id="1603" w:name="_Toc38440462"/>
      <w:bookmarkStart w:id="1604" w:name="_Toc38440994"/>
      <w:bookmarkStart w:id="1605" w:name="_Toc38441326"/>
      <w:bookmarkStart w:id="1606" w:name="_Toc38441658"/>
      <w:bookmarkStart w:id="1607" w:name="_Toc38441986"/>
      <w:bookmarkStart w:id="1608" w:name="_Toc38442318"/>
      <w:bookmarkStart w:id="1609" w:name="_Toc38442650"/>
      <w:bookmarkStart w:id="1610" w:name="_Toc38442981"/>
      <w:bookmarkStart w:id="1611" w:name="_Toc38443312"/>
      <w:bookmarkStart w:id="1612" w:name="_Toc38443643"/>
      <w:bookmarkStart w:id="1613" w:name="_Toc38443973"/>
      <w:bookmarkStart w:id="1614" w:name="_Toc38438441"/>
      <w:bookmarkStart w:id="1615" w:name="_Toc38438778"/>
      <w:bookmarkStart w:id="1616" w:name="_Toc38439115"/>
      <w:bookmarkStart w:id="1617" w:name="_Toc38439452"/>
      <w:bookmarkStart w:id="1618" w:name="_Toc38439789"/>
      <w:bookmarkStart w:id="1619" w:name="_Toc38440126"/>
      <w:bookmarkStart w:id="1620" w:name="_Toc38440463"/>
      <w:bookmarkStart w:id="1621" w:name="_Toc38440995"/>
      <w:bookmarkStart w:id="1622" w:name="_Toc38441327"/>
      <w:bookmarkStart w:id="1623" w:name="_Toc38441659"/>
      <w:bookmarkStart w:id="1624" w:name="_Toc38441987"/>
      <w:bookmarkStart w:id="1625" w:name="_Toc38442319"/>
      <w:bookmarkStart w:id="1626" w:name="_Toc38442651"/>
      <w:bookmarkStart w:id="1627" w:name="_Toc38442982"/>
      <w:bookmarkStart w:id="1628" w:name="_Toc38443313"/>
      <w:bookmarkStart w:id="1629" w:name="_Toc38443644"/>
      <w:bookmarkStart w:id="1630" w:name="_Toc38443974"/>
      <w:bookmarkStart w:id="1631" w:name="_Toc38438442"/>
      <w:bookmarkStart w:id="1632" w:name="_Toc38438779"/>
      <w:bookmarkStart w:id="1633" w:name="_Toc38439116"/>
      <w:bookmarkStart w:id="1634" w:name="_Toc38439453"/>
      <w:bookmarkStart w:id="1635" w:name="_Toc38439790"/>
      <w:bookmarkStart w:id="1636" w:name="_Toc38440127"/>
      <w:bookmarkStart w:id="1637" w:name="_Toc38440464"/>
      <w:bookmarkStart w:id="1638" w:name="_Toc38440996"/>
      <w:bookmarkStart w:id="1639" w:name="_Toc38441328"/>
      <w:bookmarkStart w:id="1640" w:name="_Toc38441660"/>
      <w:bookmarkStart w:id="1641" w:name="_Toc38441988"/>
      <w:bookmarkStart w:id="1642" w:name="_Toc38442320"/>
      <w:bookmarkStart w:id="1643" w:name="_Toc38442652"/>
      <w:bookmarkStart w:id="1644" w:name="_Toc38442983"/>
      <w:bookmarkStart w:id="1645" w:name="_Toc38443314"/>
      <w:bookmarkStart w:id="1646" w:name="_Toc38443645"/>
      <w:bookmarkStart w:id="1647" w:name="_Toc38443975"/>
      <w:bookmarkStart w:id="1648" w:name="_Toc38438443"/>
      <w:bookmarkStart w:id="1649" w:name="_Toc38438780"/>
      <w:bookmarkStart w:id="1650" w:name="_Toc38439117"/>
      <w:bookmarkStart w:id="1651" w:name="_Toc38439454"/>
      <w:bookmarkStart w:id="1652" w:name="_Toc38439791"/>
      <w:bookmarkStart w:id="1653" w:name="_Toc38440128"/>
      <w:bookmarkStart w:id="1654" w:name="_Toc38440465"/>
      <w:bookmarkStart w:id="1655" w:name="_Toc38440997"/>
      <w:bookmarkStart w:id="1656" w:name="_Toc38441329"/>
      <w:bookmarkStart w:id="1657" w:name="_Toc38441661"/>
      <w:bookmarkStart w:id="1658" w:name="_Toc38441989"/>
      <w:bookmarkStart w:id="1659" w:name="_Toc38442321"/>
      <w:bookmarkStart w:id="1660" w:name="_Toc38442653"/>
      <w:bookmarkStart w:id="1661" w:name="_Toc38442984"/>
      <w:bookmarkStart w:id="1662" w:name="_Toc38443315"/>
      <w:bookmarkStart w:id="1663" w:name="_Toc38443646"/>
      <w:bookmarkStart w:id="1664" w:name="_Toc38443976"/>
      <w:bookmarkStart w:id="1665" w:name="_Toc38438444"/>
      <w:bookmarkStart w:id="1666" w:name="_Toc38438781"/>
      <w:bookmarkStart w:id="1667" w:name="_Toc38439118"/>
      <w:bookmarkStart w:id="1668" w:name="_Toc38439455"/>
      <w:bookmarkStart w:id="1669" w:name="_Toc38439792"/>
      <w:bookmarkStart w:id="1670" w:name="_Toc38440129"/>
      <w:bookmarkStart w:id="1671" w:name="_Toc38440466"/>
      <w:bookmarkStart w:id="1672" w:name="_Toc38440998"/>
      <w:bookmarkStart w:id="1673" w:name="_Toc38441330"/>
      <w:bookmarkStart w:id="1674" w:name="_Toc38441662"/>
      <w:bookmarkStart w:id="1675" w:name="_Toc38441990"/>
      <w:bookmarkStart w:id="1676" w:name="_Toc38442322"/>
      <w:bookmarkStart w:id="1677" w:name="_Toc38442654"/>
      <w:bookmarkStart w:id="1678" w:name="_Toc38442985"/>
      <w:bookmarkStart w:id="1679" w:name="_Toc38443316"/>
      <w:bookmarkStart w:id="1680" w:name="_Toc38443647"/>
      <w:bookmarkStart w:id="1681" w:name="_Toc38443977"/>
      <w:bookmarkStart w:id="1682" w:name="_Toc38438445"/>
      <w:bookmarkStart w:id="1683" w:name="_Toc38438782"/>
      <w:bookmarkStart w:id="1684" w:name="_Toc38439119"/>
      <w:bookmarkStart w:id="1685" w:name="_Toc38439456"/>
      <w:bookmarkStart w:id="1686" w:name="_Toc38439793"/>
      <w:bookmarkStart w:id="1687" w:name="_Toc38440130"/>
      <w:bookmarkStart w:id="1688" w:name="_Toc38440467"/>
      <w:bookmarkStart w:id="1689" w:name="_Toc38440999"/>
      <w:bookmarkStart w:id="1690" w:name="_Toc38441331"/>
      <w:bookmarkStart w:id="1691" w:name="_Toc38441663"/>
      <w:bookmarkStart w:id="1692" w:name="_Toc38441991"/>
      <w:bookmarkStart w:id="1693" w:name="_Toc38442323"/>
      <w:bookmarkStart w:id="1694" w:name="_Toc38442655"/>
      <w:bookmarkStart w:id="1695" w:name="_Toc38442986"/>
      <w:bookmarkStart w:id="1696" w:name="_Toc38443317"/>
      <w:bookmarkStart w:id="1697" w:name="_Toc38443648"/>
      <w:bookmarkStart w:id="1698" w:name="_Toc38443978"/>
      <w:bookmarkStart w:id="1699" w:name="_Toc38438446"/>
      <w:bookmarkStart w:id="1700" w:name="_Toc38438783"/>
      <w:bookmarkStart w:id="1701" w:name="_Toc38439120"/>
      <w:bookmarkStart w:id="1702" w:name="_Toc38439457"/>
      <w:bookmarkStart w:id="1703" w:name="_Toc38439794"/>
      <w:bookmarkStart w:id="1704" w:name="_Toc38440131"/>
      <w:bookmarkStart w:id="1705" w:name="_Toc38440468"/>
      <w:bookmarkStart w:id="1706" w:name="_Toc38441000"/>
      <w:bookmarkStart w:id="1707" w:name="_Toc38441332"/>
      <w:bookmarkStart w:id="1708" w:name="_Toc38441664"/>
      <w:bookmarkStart w:id="1709" w:name="_Toc38441992"/>
      <w:bookmarkStart w:id="1710" w:name="_Toc38442324"/>
      <w:bookmarkStart w:id="1711" w:name="_Toc38442656"/>
      <w:bookmarkStart w:id="1712" w:name="_Toc38442987"/>
      <w:bookmarkStart w:id="1713" w:name="_Toc38443318"/>
      <w:bookmarkStart w:id="1714" w:name="_Toc38443649"/>
      <w:bookmarkStart w:id="1715" w:name="_Toc38443979"/>
      <w:bookmarkStart w:id="1716" w:name="_Toc38438447"/>
      <w:bookmarkStart w:id="1717" w:name="_Toc38438784"/>
      <w:bookmarkStart w:id="1718" w:name="_Toc38439121"/>
      <w:bookmarkStart w:id="1719" w:name="_Toc38439458"/>
      <w:bookmarkStart w:id="1720" w:name="_Toc38439795"/>
      <w:bookmarkStart w:id="1721" w:name="_Toc38440132"/>
      <w:bookmarkStart w:id="1722" w:name="_Toc38440469"/>
      <w:bookmarkStart w:id="1723" w:name="_Toc38441001"/>
      <w:bookmarkStart w:id="1724" w:name="_Toc38441333"/>
      <w:bookmarkStart w:id="1725" w:name="_Toc38441665"/>
      <w:bookmarkStart w:id="1726" w:name="_Toc38441993"/>
      <w:bookmarkStart w:id="1727" w:name="_Toc38442325"/>
      <w:bookmarkStart w:id="1728" w:name="_Toc38442657"/>
      <w:bookmarkStart w:id="1729" w:name="_Toc38442988"/>
      <w:bookmarkStart w:id="1730" w:name="_Toc38443319"/>
      <w:bookmarkStart w:id="1731" w:name="_Toc38443650"/>
      <w:bookmarkStart w:id="1732" w:name="_Toc38443980"/>
      <w:bookmarkStart w:id="1733" w:name="_Toc38438448"/>
      <w:bookmarkStart w:id="1734" w:name="_Toc38438785"/>
      <w:bookmarkStart w:id="1735" w:name="_Toc38439122"/>
      <w:bookmarkStart w:id="1736" w:name="_Toc38439459"/>
      <w:bookmarkStart w:id="1737" w:name="_Toc38439796"/>
      <w:bookmarkStart w:id="1738" w:name="_Toc38440133"/>
      <w:bookmarkStart w:id="1739" w:name="_Toc38440470"/>
      <w:bookmarkStart w:id="1740" w:name="_Toc38441002"/>
      <w:bookmarkStart w:id="1741" w:name="_Toc38441334"/>
      <w:bookmarkStart w:id="1742" w:name="_Toc38441666"/>
      <w:bookmarkStart w:id="1743" w:name="_Toc38441994"/>
      <w:bookmarkStart w:id="1744" w:name="_Toc38442326"/>
      <w:bookmarkStart w:id="1745" w:name="_Toc38442658"/>
      <w:bookmarkStart w:id="1746" w:name="_Toc38442989"/>
      <w:bookmarkStart w:id="1747" w:name="_Toc38443320"/>
      <w:bookmarkStart w:id="1748" w:name="_Toc38443651"/>
      <w:bookmarkStart w:id="1749" w:name="_Toc38443981"/>
      <w:bookmarkStart w:id="1750" w:name="_Toc38438449"/>
      <w:bookmarkStart w:id="1751" w:name="_Toc38438786"/>
      <w:bookmarkStart w:id="1752" w:name="_Toc38439123"/>
      <w:bookmarkStart w:id="1753" w:name="_Toc38439460"/>
      <w:bookmarkStart w:id="1754" w:name="_Toc38439797"/>
      <w:bookmarkStart w:id="1755" w:name="_Toc38440134"/>
      <w:bookmarkStart w:id="1756" w:name="_Toc38440471"/>
      <w:bookmarkStart w:id="1757" w:name="_Toc38441003"/>
      <w:bookmarkStart w:id="1758" w:name="_Toc38441335"/>
      <w:bookmarkStart w:id="1759" w:name="_Toc38441667"/>
      <w:bookmarkStart w:id="1760" w:name="_Toc38441995"/>
      <w:bookmarkStart w:id="1761" w:name="_Toc38442327"/>
      <w:bookmarkStart w:id="1762" w:name="_Toc38442659"/>
      <w:bookmarkStart w:id="1763" w:name="_Toc38442990"/>
      <w:bookmarkStart w:id="1764" w:name="_Toc38443321"/>
      <w:bookmarkStart w:id="1765" w:name="_Toc38443652"/>
      <w:bookmarkStart w:id="1766" w:name="_Toc38443982"/>
      <w:bookmarkStart w:id="1767" w:name="_Toc38438450"/>
      <w:bookmarkStart w:id="1768" w:name="_Toc38438787"/>
      <w:bookmarkStart w:id="1769" w:name="_Toc38439124"/>
      <w:bookmarkStart w:id="1770" w:name="_Toc38439461"/>
      <w:bookmarkStart w:id="1771" w:name="_Toc38439798"/>
      <w:bookmarkStart w:id="1772" w:name="_Toc38440135"/>
      <w:bookmarkStart w:id="1773" w:name="_Toc38440472"/>
      <w:bookmarkStart w:id="1774" w:name="_Toc38441004"/>
      <w:bookmarkStart w:id="1775" w:name="_Toc38441336"/>
      <w:bookmarkStart w:id="1776" w:name="_Toc38441668"/>
      <w:bookmarkStart w:id="1777" w:name="_Toc38441996"/>
      <w:bookmarkStart w:id="1778" w:name="_Toc38442328"/>
      <w:bookmarkStart w:id="1779" w:name="_Toc38442660"/>
      <w:bookmarkStart w:id="1780" w:name="_Toc38442991"/>
      <w:bookmarkStart w:id="1781" w:name="_Toc38443322"/>
      <w:bookmarkStart w:id="1782" w:name="_Toc38443653"/>
      <w:bookmarkStart w:id="1783" w:name="_Toc38443983"/>
      <w:bookmarkStart w:id="1784" w:name="_Toc38438451"/>
      <w:bookmarkStart w:id="1785" w:name="_Toc38438788"/>
      <w:bookmarkStart w:id="1786" w:name="_Toc38439125"/>
      <w:bookmarkStart w:id="1787" w:name="_Toc38439462"/>
      <w:bookmarkStart w:id="1788" w:name="_Toc38439799"/>
      <w:bookmarkStart w:id="1789" w:name="_Toc38440136"/>
      <w:bookmarkStart w:id="1790" w:name="_Toc38440473"/>
      <w:bookmarkStart w:id="1791" w:name="_Toc38441005"/>
      <w:bookmarkStart w:id="1792" w:name="_Toc38441337"/>
      <w:bookmarkStart w:id="1793" w:name="_Toc38441669"/>
      <w:bookmarkStart w:id="1794" w:name="_Toc38441997"/>
      <w:bookmarkStart w:id="1795" w:name="_Toc38442329"/>
      <w:bookmarkStart w:id="1796" w:name="_Toc38442661"/>
      <w:bookmarkStart w:id="1797" w:name="_Toc38442992"/>
      <w:bookmarkStart w:id="1798" w:name="_Toc38443323"/>
      <w:bookmarkStart w:id="1799" w:name="_Toc38443654"/>
      <w:bookmarkStart w:id="1800" w:name="_Toc38443984"/>
      <w:bookmarkStart w:id="1801" w:name="_Toc38438452"/>
      <w:bookmarkStart w:id="1802" w:name="_Toc38438789"/>
      <w:bookmarkStart w:id="1803" w:name="_Toc38439126"/>
      <w:bookmarkStart w:id="1804" w:name="_Toc38439463"/>
      <w:bookmarkStart w:id="1805" w:name="_Toc38439800"/>
      <w:bookmarkStart w:id="1806" w:name="_Toc38440137"/>
      <w:bookmarkStart w:id="1807" w:name="_Toc38440474"/>
      <w:bookmarkStart w:id="1808" w:name="_Toc38441006"/>
      <w:bookmarkStart w:id="1809" w:name="_Toc38441338"/>
      <w:bookmarkStart w:id="1810" w:name="_Toc38441670"/>
      <w:bookmarkStart w:id="1811" w:name="_Toc38441998"/>
      <w:bookmarkStart w:id="1812" w:name="_Toc38442330"/>
      <w:bookmarkStart w:id="1813" w:name="_Toc38442662"/>
      <w:bookmarkStart w:id="1814" w:name="_Toc38442993"/>
      <w:bookmarkStart w:id="1815" w:name="_Toc38443324"/>
      <w:bookmarkStart w:id="1816" w:name="_Toc38443655"/>
      <w:bookmarkStart w:id="1817" w:name="_Toc38443985"/>
      <w:bookmarkStart w:id="1818" w:name="_Toc38438453"/>
      <w:bookmarkStart w:id="1819" w:name="_Toc38438790"/>
      <w:bookmarkStart w:id="1820" w:name="_Toc38439127"/>
      <w:bookmarkStart w:id="1821" w:name="_Toc38439464"/>
      <w:bookmarkStart w:id="1822" w:name="_Toc38439801"/>
      <w:bookmarkStart w:id="1823" w:name="_Toc38440138"/>
      <w:bookmarkStart w:id="1824" w:name="_Toc38440475"/>
      <w:bookmarkStart w:id="1825" w:name="_Toc38441007"/>
      <w:bookmarkStart w:id="1826" w:name="_Toc38441339"/>
      <w:bookmarkStart w:id="1827" w:name="_Toc38441671"/>
      <w:bookmarkStart w:id="1828" w:name="_Toc38441999"/>
      <w:bookmarkStart w:id="1829" w:name="_Toc38442331"/>
      <w:bookmarkStart w:id="1830" w:name="_Toc38442663"/>
      <w:bookmarkStart w:id="1831" w:name="_Toc38442994"/>
      <w:bookmarkStart w:id="1832" w:name="_Toc38443325"/>
      <w:bookmarkStart w:id="1833" w:name="_Toc38443656"/>
      <w:bookmarkStart w:id="1834" w:name="_Toc38443986"/>
      <w:bookmarkStart w:id="1835" w:name="_Toc38438454"/>
      <w:bookmarkStart w:id="1836" w:name="_Toc38438791"/>
      <w:bookmarkStart w:id="1837" w:name="_Toc38439128"/>
      <w:bookmarkStart w:id="1838" w:name="_Toc38439465"/>
      <w:bookmarkStart w:id="1839" w:name="_Toc38439802"/>
      <w:bookmarkStart w:id="1840" w:name="_Toc38440139"/>
      <w:bookmarkStart w:id="1841" w:name="_Toc38440476"/>
      <w:bookmarkStart w:id="1842" w:name="_Toc38441008"/>
      <w:bookmarkStart w:id="1843" w:name="_Toc38441340"/>
      <w:bookmarkStart w:id="1844" w:name="_Toc38441672"/>
      <w:bookmarkStart w:id="1845" w:name="_Toc38442000"/>
      <w:bookmarkStart w:id="1846" w:name="_Toc38442332"/>
      <w:bookmarkStart w:id="1847" w:name="_Toc38442664"/>
      <w:bookmarkStart w:id="1848" w:name="_Toc38442995"/>
      <w:bookmarkStart w:id="1849" w:name="_Toc38443326"/>
      <w:bookmarkStart w:id="1850" w:name="_Toc38443657"/>
      <w:bookmarkStart w:id="1851" w:name="_Toc38443987"/>
      <w:bookmarkStart w:id="1852" w:name="_Toc38438455"/>
      <w:bookmarkStart w:id="1853" w:name="_Toc38438792"/>
      <w:bookmarkStart w:id="1854" w:name="_Toc38439129"/>
      <w:bookmarkStart w:id="1855" w:name="_Toc38439466"/>
      <w:bookmarkStart w:id="1856" w:name="_Toc38439803"/>
      <w:bookmarkStart w:id="1857" w:name="_Toc38440140"/>
      <w:bookmarkStart w:id="1858" w:name="_Toc38440477"/>
      <w:bookmarkStart w:id="1859" w:name="_Toc38441009"/>
      <w:bookmarkStart w:id="1860" w:name="_Toc38441341"/>
      <w:bookmarkStart w:id="1861" w:name="_Toc38441673"/>
      <w:bookmarkStart w:id="1862" w:name="_Toc38442001"/>
      <w:bookmarkStart w:id="1863" w:name="_Toc38442333"/>
      <w:bookmarkStart w:id="1864" w:name="_Toc38442665"/>
      <w:bookmarkStart w:id="1865" w:name="_Toc38442996"/>
      <w:bookmarkStart w:id="1866" w:name="_Toc38443327"/>
      <w:bookmarkStart w:id="1867" w:name="_Toc38443658"/>
      <w:bookmarkStart w:id="1868" w:name="_Toc38443988"/>
      <w:bookmarkStart w:id="1869" w:name="_Toc38438456"/>
      <w:bookmarkStart w:id="1870" w:name="_Toc38438793"/>
      <w:bookmarkStart w:id="1871" w:name="_Toc38439130"/>
      <w:bookmarkStart w:id="1872" w:name="_Toc38439467"/>
      <w:bookmarkStart w:id="1873" w:name="_Toc38439804"/>
      <w:bookmarkStart w:id="1874" w:name="_Toc38440141"/>
      <w:bookmarkStart w:id="1875" w:name="_Toc38440478"/>
      <w:bookmarkStart w:id="1876" w:name="_Toc38441010"/>
      <w:bookmarkStart w:id="1877" w:name="_Toc38441342"/>
      <w:bookmarkStart w:id="1878" w:name="_Toc38441674"/>
      <w:bookmarkStart w:id="1879" w:name="_Toc38442002"/>
      <w:bookmarkStart w:id="1880" w:name="_Toc38442334"/>
      <w:bookmarkStart w:id="1881" w:name="_Toc38442666"/>
      <w:bookmarkStart w:id="1882" w:name="_Toc38442997"/>
      <w:bookmarkStart w:id="1883" w:name="_Toc38443328"/>
      <w:bookmarkStart w:id="1884" w:name="_Toc38443659"/>
      <w:bookmarkStart w:id="1885" w:name="_Toc38443989"/>
      <w:bookmarkStart w:id="1886" w:name="_Toc38438457"/>
      <w:bookmarkStart w:id="1887" w:name="_Toc38438794"/>
      <w:bookmarkStart w:id="1888" w:name="_Toc38439131"/>
      <w:bookmarkStart w:id="1889" w:name="_Toc38439468"/>
      <w:bookmarkStart w:id="1890" w:name="_Toc38439805"/>
      <w:bookmarkStart w:id="1891" w:name="_Toc38440142"/>
      <w:bookmarkStart w:id="1892" w:name="_Toc38440479"/>
      <w:bookmarkStart w:id="1893" w:name="_Toc38441011"/>
      <w:bookmarkStart w:id="1894" w:name="_Toc38441343"/>
      <w:bookmarkStart w:id="1895" w:name="_Toc38441675"/>
      <w:bookmarkStart w:id="1896" w:name="_Toc38442003"/>
      <w:bookmarkStart w:id="1897" w:name="_Toc38442335"/>
      <w:bookmarkStart w:id="1898" w:name="_Toc38442667"/>
      <w:bookmarkStart w:id="1899" w:name="_Toc38442998"/>
      <w:bookmarkStart w:id="1900" w:name="_Toc38443329"/>
      <w:bookmarkStart w:id="1901" w:name="_Toc38443660"/>
      <w:bookmarkStart w:id="1902" w:name="_Toc38443990"/>
      <w:bookmarkStart w:id="1903" w:name="_Toc38438458"/>
      <w:bookmarkStart w:id="1904" w:name="_Toc38438795"/>
      <w:bookmarkStart w:id="1905" w:name="_Toc38439132"/>
      <w:bookmarkStart w:id="1906" w:name="_Toc38439469"/>
      <w:bookmarkStart w:id="1907" w:name="_Toc38439806"/>
      <w:bookmarkStart w:id="1908" w:name="_Toc38440143"/>
      <w:bookmarkStart w:id="1909" w:name="_Toc38440480"/>
      <w:bookmarkStart w:id="1910" w:name="_Toc38441012"/>
      <w:bookmarkStart w:id="1911" w:name="_Toc38441344"/>
      <w:bookmarkStart w:id="1912" w:name="_Toc38441676"/>
      <w:bookmarkStart w:id="1913" w:name="_Toc38442004"/>
      <w:bookmarkStart w:id="1914" w:name="_Toc38442336"/>
      <w:bookmarkStart w:id="1915" w:name="_Toc38442668"/>
      <w:bookmarkStart w:id="1916" w:name="_Toc38442999"/>
      <w:bookmarkStart w:id="1917" w:name="_Toc38443330"/>
      <w:bookmarkStart w:id="1918" w:name="_Toc38443661"/>
      <w:bookmarkStart w:id="1919" w:name="_Toc38443991"/>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r w:rsidRPr="0087389D">
        <w:rPr>
          <w:rFonts w:asciiTheme="minorEastAsia" w:eastAsiaTheme="minorEastAsia" w:hAnsiTheme="minorEastAsia"/>
          <w:sz w:val="21"/>
        </w:rPr>
        <w:t>易方达基金管理有限公司</w:t>
      </w:r>
    </w:p>
    <w:p w:rsidR="00773967" w:rsidRPr="0087389D" w:rsidRDefault="00E17B2F" w:rsidP="008B2D68">
      <w:pPr>
        <w:wordWrap w:val="0"/>
        <w:snapToGrid w:val="0"/>
        <w:spacing w:line="360" w:lineRule="auto"/>
        <w:ind w:right="315"/>
        <w:jc w:val="right"/>
        <w:rPr>
          <w:rFonts w:asciiTheme="minorEastAsia" w:eastAsiaTheme="minorEastAsia" w:hAnsiTheme="minorEastAsia"/>
          <w:szCs w:val="21"/>
        </w:rPr>
      </w:pPr>
      <w:r w:rsidRPr="0087389D">
        <w:rPr>
          <w:rFonts w:asciiTheme="minorEastAsia" w:eastAsiaTheme="minorEastAsia" w:hAnsiTheme="minorEastAsia"/>
          <w:szCs w:val="21"/>
        </w:rPr>
        <w:t>2020年5月</w:t>
      </w:r>
      <w:r w:rsidR="0087389D" w:rsidRPr="0087389D">
        <w:rPr>
          <w:rFonts w:asciiTheme="minorEastAsia" w:eastAsiaTheme="minorEastAsia" w:hAnsiTheme="minorEastAsia"/>
          <w:szCs w:val="21"/>
        </w:rPr>
        <w:t>30</w:t>
      </w:r>
      <w:r w:rsidRPr="0087389D">
        <w:rPr>
          <w:rFonts w:asciiTheme="minorEastAsia" w:eastAsiaTheme="minorEastAsia" w:hAnsiTheme="minorEastAsia"/>
          <w:szCs w:val="21"/>
        </w:rPr>
        <w:t>日</w:t>
      </w:r>
    </w:p>
    <w:sectPr w:rsidR="00773967" w:rsidRPr="0087389D" w:rsidSect="00EE1A74">
      <w:pgSz w:w="11906" w:h="16838" w:code="9"/>
      <w:pgMar w:top="1440" w:right="1800" w:bottom="1440" w:left="1800" w:header="720" w:footer="720"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7D6" w:rsidRDefault="000A07D6">
      <w:r>
        <w:separator/>
      </w:r>
    </w:p>
  </w:endnote>
  <w:endnote w:type="continuationSeparator" w:id="0">
    <w:p w:rsidR="000A07D6" w:rsidRDefault="000A0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t.祯畴S.">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1" w:usb1="080E0000" w:usb2="00000010" w:usb3="00000000" w:csb0="00040000" w:csb1="00000000"/>
  </w:font>
  <w:font w:name="ˎ̥">
    <w:panose1 w:val="00000000000000000000"/>
    <w:charset w:val="00"/>
    <w:family w:val="roman"/>
    <w:notTrueType/>
    <w:pitch w:val="default"/>
  </w:font>
  <w:font w:name="宋体S.....">
    <w:altName w:val="Arial Unicode MS"/>
    <w:panose1 w:val="00000000000000000000"/>
    <w:charset w:val="86"/>
    <w:family w:val="roman"/>
    <w:notTrueType/>
    <w:pitch w:val="default"/>
    <w:sig w:usb0="00000001" w:usb1="080E0000" w:usb2="00000010" w:usb3="00000000" w:csb0="00040000" w:csb1="00000000"/>
  </w:font>
  <w:font w:name="Heiti SC Light">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BDC" w:rsidRDefault="00574BDC">
    <w:pPr>
      <w:pStyle w:val="a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BDC" w:rsidRDefault="00574BDC" w:rsidP="00834747">
    <w:pPr>
      <w:pStyle w:val="a9"/>
      <w:ind w:rightChars="171" w:right="359"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BDC" w:rsidRDefault="00574BDC">
    <w:pPr>
      <w:pStyle w:val="a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BDC" w:rsidRDefault="00574BDC" w:rsidP="004C0F6D">
    <w:pPr>
      <w:pStyle w:val="a9"/>
      <w:framePr w:wrap="around" w:vAnchor="text" w:hAnchor="margin" w:xAlign="center" w:y="1"/>
      <w:ind w:firstLineChars="0" w:firstLine="0"/>
      <w:rPr>
        <w:rStyle w:val="a8"/>
      </w:rPr>
    </w:pPr>
    <w:r>
      <w:rPr>
        <w:rStyle w:val="a8"/>
      </w:rPr>
      <w:fldChar w:fldCharType="begin"/>
    </w:r>
    <w:r>
      <w:rPr>
        <w:rStyle w:val="a8"/>
      </w:rPr>
      <w:instrText xml:space="preserve">PAGE  </w:instrText>
    </w:r>
    <w:r>
      <w:rPr>
        <w:rStyle w:val="a8"/>
      </w:rPr>
      <w:fldChar w:fldCharType="separate"/>
    </w:r>
    <w:r w:rsidR="00A60762">
      <w:rPr>
        <w:rStyle w:val="a8"/>
        <w:noProof/>
      </w:rPr>
      <w:t>I</w:t>
    </w:r>
    <w:r>
      <w:rPr>
        <w:rStyle w:val="a8"/>
      </w:rPr>
      <w:fldChar w:fldCharType="end"/>
    </w:r>
  </w:p>
  <w:p w:rsidR="00574BDC" w:rsidRDefault="00574BDC" w:rsidP="00834747">
    <w:pPr>
      <w:pStyle w:val="a9"/>
      <w:ind w:rightChars="171" w:right="359"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BDC" w:rsidRDefault="00574BDC" w:rsidP="00593EC0">
    <w:pPr>
      <w:pStyle w:val="a9"/>
      <w:framePr w:wrap="around" w:vAnchor="text" w:hAnchor="page" w:x="5716" w:y="-10"/>
      <w:ind w:firstLineChars="0" w:firstLine="0"/>
      <w:rPr>
        <w:rStyle w:val="a8"/>
      </w:rPr>
    </w:pPr>
    <w:r>
      <w:rPr>
        <w:rStyle w:val="a8"/>
      </w:rPr>
      <w:fldChar w:fldCharType="begin"/>
    </w:r>
    <w:r>
      <w:rPr>
        <w:rStyle w:val="a8"/>
      </w:rPr>
      <w:instrText xml:space="preserve">PAGE  </w:instrText>
    </w:r>
    <w:r>
      <w:rPr>
        <w:rStyle w:val="a8"/>
      </w:rPr>
      <w:fldChar w:fldCharType="separate"/>
    </w:r>
    <w:r w:rsidR="00A60762">
      <w:rPr>
        <w:rStyle w:val="a8"/>
        <w:noProof/>
      </w:rPr>
      <w:t>8</w:t>
    </w:r>
    <w:r>
      <w:rPr>
        <w:rStyle w:val="a8"/>
      </w:rPr>
      <w:fldChar w:fldCharType="end"/>
    </w:r>
  </w:p>
  <w:p w:rsidR="00574BDC" w:rsidRDefault="00574BDC" w:rsidP="0087389D">
    <w:pPr>
      <w:pStyle w:val="a9"/>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7D6" w:rsidRDefault="000A07D6">
      <w:r>
        <w:separator/>
      </w:r>
    </w:p>
  </w:footnote>
  <w:footnote w:type="continuationSeparator" w:id="0">
    <w:p w:rsidR="000A07D6" w:rsidRDefault="000A07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BDC" w:rsidRDefault="00574BDC">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BDC" w:rsidRPr="0070254F" w:rsidRDefault="00574BDC" w:rsidP="00E134EE">
    <w:pPr>
      <w:pStyle w:val="a7"/>
      <w:pBdr>
        <w:bottom w:val="none" w:sz="0" w:space="0" w:color="auto"/>
      </w:pBdr>
      <w:tabs>
        <w:tab w:val="clear" w:pos="4153"/>
        <w:tab w:val="center" w:pos="360"/>
      </w:tabs>
      <w:wordWrap w:val="0"/>
      <w:ind w:firstLineChars="0" w:firstLine="0"/>
      <w:jc w:val="right"/>
      <w:rPr>
        <w:rFonts w:ascii="宋体" w:eastAsia="宋体" w:hAnsi="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BDC" w:rsidRDefault="00574BDC">
    <w:pPr>
      <w:pStyle w:val="a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63ECB"/>
    <w:multiLevelType w:val="singleLevel"/>
    <w:tmpl w:val="2136817C"/>
    <w:lvl w:ilvl="0">
      <w:start w:val="1"/>
      <w:numFmt w:val="decimal"/>
      <w:pStyle w:val="Listbullet"/>
      <w:lvlText w:val="(%1)"/>
      <w:lvlJc w:val="left"/>
      <w:pPr>
        <w:tabs>
          <w:tab w:val="num" w:pos="425"/>
        </w:tabs>
        <w:ind w:left="425" w:hanging="425"/>
      </w:pPr>
      <w:rPr>
        <w:rFonts w:hint="eastAsia"/>
      </w:rPr>
    </w:lvl>
  </w:abstractNum>
  <w:abstractNum w:abstractNumId="1" w15:restartNumberingAfterBreak="0">
    <w:nsid w:val="1A4038FD"/>
    <w:multiLevelType w:val="hybridMultilevel"/>
    <w:tmpl w:val="127218AA"/>
    <w:lvl w:ilvl="0" w:tplc="FFFFFFFF">
      <w:start w:val="1"/>
      <w:numFmt w:val="japaneseCounting"/>
      <w:pStyle w:val="211"/>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 w15:restartNumberingAfterBreak="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pStyle w:val="2111111"/>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4"/>
      <w:suff w:val="nothing"/>
      <w:lvlText w:val=""/>
      <w:lvlJc w:val="left"/>
      <w:pPr>
        <w:ind w:left="851" w:firstLine="0"/>
      </w:pPr>
      <w:rPr>
        <w:rFonts w:hint="eastAsia"/>
      </w:rPr>
    </w:lvl>
    <w:lvl w:ilvl="4">
      <w:start w:val="1"/>
      <w:numFmt w:val="none"/>
      <w:pStyle w:val="5"/>
      <w:suff w:val="nothing"/>
      <w:lvlText w:val=""/>
      <w:lvlJc w:val="left"/>
      <w:pPr>
        <w:ind w:left="851" w:firstLine="0"/>
      </w:pPr>
      <w:rPr>
        <w:rFonts w:hint="eastAsia"/>
      </w:rPr>
    </w:lvl>
    <w:lvl w:ilvl="5">
      <w:start w:val="1"/>
      <w:numFmt w:val="none"/>
      <w:pStyle w:val="6"/>
      <w:suff w:val="nothing"/>
      <w:lvlText w:val=""/>
      <w:lvlJc w:val="left"/>
      <w:pPr>
        <w:ind w:left="851" w:firstLine="0"/>
      </w:pPr>
      <w:rPr>
        <w:rFonts w:hint="eastAsia"/>
      </w:rPr>
    </w:lvl>
    <w:lvl w:ilvl="6">
      <w:start w:val="1"/>
      <w:numFmt w:val="none"/>
      <w:pStyle w:val="7"/>
      <w:suff w:val="nothing"/>
      <w:lvlText w:val=""/>
      <w:lvlJc w:val="left"/>
      <w:pPr>
        <w:ind w:left="851" w:firstLine="0"/>
      </w:pPr>
      <w:rPr>
        <w:rFonts w:hint="eastAsia"/>
      </w:rPr>
    </w:lvl>
    <w:lvl w:ilvl="7">
      <w:start w:val="1"/>
      <w:numFmt w:val="none"/>
      <w:pStyle w:val="8"/>
      <w:suff w:val="nothing"/>
      <w:lvlText w:val=""/>
      <w:lvlJc w:val="left"/>
      <w:pPr>
        <w:ind w:left="851" w:firstLine="0"/>
      </w:pPr>
      <w:rPr>
        <w:rFonts w:hint="eastAsia"/>
      </w:rPr>
    </w:lvl>
    <w:lvl w:ilvl="8">
      <w:start w:val="1"/>
      <w:numFmt w:val="none"/>
      <w:pStyle w:val="9"/>
      <w:suff w:val="nothing"/>
      <w:lvlText w:val=""/>
      <w:lvlJc w:val="left"/>
      <w:pPr>
        <w:ind w:left="851" w:firstLine="0"/>
      </w:pPr>
      <w:rPr>
        <w:rFonts w:hint="eastAsia"/>
      </w:rPr>
    </w:lvl>
  </w:abstractNum>
  <w:abstractNum w:abstractNumId="3" w15:restartNumberingAfterBreak="0">
    <w:nsid w:val="3B252CEA"/>
    <w:multiLevelType w:val="hybridMultilevel"/>
    <w:tmpl w:val="69B4B7B0"/>
    <w:lvl w:ilvl="0" w:tplc="6CC42142">
      <w:start w:val="1"/>
      <w:numFmt w:val="decimalEnclosedCircle"/>
      <w:lvlText w:val="%1"/>
      <w:lvlJc w:val="left"/>
      <w:pPr>
        <w:ind w:left="570" w:hanging="360"/>
      </w:pPr>
      <w:rPr>
        <w:rFonts w:asciiTheme="minorEastAsia" w:eastAsiaTheme="minorEastAsia" w:hAnsiTheme="minorEastAsia" w:hint="default"/>
        <w:color w:val="auto"/>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4" w15:restartNumberingAfterBreak="0">
    <w:nsid w:val="4B385D0F"/>
    <w:multiLevelType w:val="hybridMultilevel"/>
    <w:tmpl w:val="36E8BDCC"/>
    <w:lvl w:ilvl="0" w:tplc="FFFFFFFF">
      <w:start w:val="1"/>
      <w:numFmt w:val="japaneseCounting"/>
      <w:lvlText w:val="（%1）"/>
      <w:lvlJc w:val="left"/>
      <w:pPr>
        <w:tabs>
          <w:tab w:val="num" w:pos="720"/>
        </w:tabs>
        <w:ind w:left="720" w:hanging="720"/>
      </w:pPr>
      <w:rPr>
        <w:rFonts w:hint="eastAsia"/>
      </w:rPr>
    </w:lvl>
    <w:lvl w:ilvl="1" w:tplc="FFFFFFFF">
      <w:start w:val="1"/>
      <w:numFmt w:val="decimal"/>
      <w:pStyle w:val="a"/>
      <w:lvlText w:val="%2、"/>
      <w:lvlJc w:val="left"/>
      <w:pPr>
        <w:tabs>
          <w:tab w:val="num" w:pos="780"/>
        </w:tabs>
        <w:ind w:left="780" w:hanging="360"/>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5" w15:restartNumberingAfterBreak="0">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6" w15:restartNumberingAfterBreak="0">
    <w:nsid w:val="77B4748A"/>
    <w:multiLevelType w:val="hybridMultilevel"/>
    <w:tmpl w:val="806C3D62"/>
    <w:lvl w:ilvl="0" w:tplc="7960D7AE">
      <w:start w:val="1"/>
      <w:numFmt w:val="decimal"/>
      <w:lvlText w:val="%1."/>
      <w:lvlJc w:val="left"/>
      <w:pPr>
        <w:tabs>
          <w:tab w:val="num" w:pos="780"/>
        </w:tabs>
        <w:ind w:left="420" w:firstLine="0"/>
      </w:pPr>
      <w:rPr>
        <w:rFonts w:hint="eastAsia"/>
      </w:rPr>
    </w:lvl>
    <w:lvl w:ilvl="1" w:tplc="04090019">
      <w:start w:val="1"/>
      <w:numFmt w:val="decimal"/>
      <w:lvlText w:val="（%2）"/>
      <w:lvlJc w:val="left"/>
      <w:pPr>
        <w:tabs>
          <w:tab w:val="num" w:pos="851"/>
        </w:tabs>
        <w:ind w:left="851" w:hanging="567"/>
      </w:pPr>
      <w:rPr>
        <w:rFonts w:hint="eastAsia"/>
      </w:rPr>
    </w:lvl>
    <w:lvl w:ilvl="2" w:tplc="0409001B">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2"/>
  </w:num>
  <w:num w:numId="4">
    <w:abstractNumId w:val="5"/>
  </w:num>
  <w:num w:numId="5">
    <w:abstractNumId w:val="4"/>
  </w:num>
  <w:num w:numId="6">
    <w:abstractNumId w:val="6"/>
  </w:num>
  <w:num w:numId="7">
    <w:abstractNumId w:val="5"/>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num>
  <w:num w:numId="1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30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A4B87"/>
    <w:rsid w:val="0000114E"/>
    <w:rsid w:val="0000266B"/>
    <w:rsid w:val="00003E90"/>
    <w:rsid w:val="00004523"/>
    <w:rsid w:val="00005717"/>
    <w:rsid w:val="000059BE"/>
    <w:rsid w:val="00006FA9"/>
    <w:rsid w:val="000101FD"/>
    <w:rsid w:val="0001041B"/>
    <w:rsid w:val="000106DC"/>
    <w:rsid w:val="000119F8"/>
    <w:rsid w:val="0001356E"/>
    <w:rsid w:val="00013699"/>
    <w:rsid w:val="0001622F"/>
    <w:rsid w:val="000162C3"/>
    <w:rsid w:val="00022390"/>
    <w:rsid w:val="00022FEE"/>
    <w:rsid w:val="0002668A"/>
    <w:rsid w:val="0002694B"/>
    <w:rsid w:val="00030638"/>
    <w:rsid w:val="00031061"/>
    <w:rsid w:val="000335F6"/>
    <w:rsid w:val="00034D92"/>
    <w:rsid w:val="000410B1"/>
    <w:rsid w:val="000417ED"/>
    <w:rsid w:val="000467C2"/>
    <w:rsid w:val="00046A2F"/>
    <w:rsid w:val="0005000F"/>
    <w:rsid w:val="0005247E"/>
    <w:rsid w:val="00052C9F"/>
    <w:rsid w:val="00053030"/>
    <w:rsid w:val="00055032"/>
    <w:rsid w:val="000553C5"/>
    <w:rsid w:val="00055884"/>
    <w:rsid w:val="0005633C"/>
    <w:rsid w:val="00056730"/>
    <w:rsid w:val="00056C0A"/>
    <w:rsid w:val="00056FA3"/>
    <w:rsid w:val="00060454"/>
    <w:rsid w:val="00060943"/>
    <w:rsid w:val="000610A1"/>
    <w:rsid w:val="00061A4B"/>
    <w:rsid w:val="00061CFB"/>
    <w:rsid w:val="00062004"/>
    <w:rsid w:val="00062E45"/>
    <w:rsid w:val="000640EF"/>
    <w:rsid w:val="00064C29"/>
    <w:rsid w:val="0006543E"/>
    <w:rsid w:val="000658E9"/>
    <w:rsid w:val="000673DD"/>
    <w:rsid w:val="00073E42"/>
    <w:rsid w:val="00076F24"/>
    <w:rsid w:val="0007767A"/>
    <w:rsid w:val="00077BD0"/>
    <w:rsid w:val="000835C3"/>
    <w:rsid w:val="00085AB9"/>
    <w:rsid w:val="00086F18"/>
    <w:rsid w:val="00087C08"/>
    <w:rsid w:val="00090469"/>
    <w:rsid w:val="00091AE3"/>
    <w:rsid w:val="000924F6"/>
    <w:rsid w:val="000926AD"/>
    <w:rsid w:val="00092C6F"/>
    <w:rsid w:val="0009469F"/>
    <w:rsid w:val="000955B2"/>
    <w:rsid w:val="000958BC"/>
    <w:rsid w:val="00096D64"/>
    <w:rsid w:val="00097569"/>
    <w:rsid w:val="000A0230"/>
    <w:rsid w:val="000A07D6"/>
    <w:rsid w:val="000A1577"/>
    <w:rsid w:val="000A195F"/>
    <w:rsid w:val="000A3E9C"/>
    <w:rsid w:val="000A420F"/>
    <w:rsid w:val="000A53A4"/>
    <w:rsid w:val="000A77A9"/>
    <w:rsid w:val="000B1562"/>
    <w:rsid w:val="000B1AC9"/>
    <w:rsid w:val="000B249F"/>
    <w:rsid w:val="000B2B07"/>
    <w:rsid w:val="000B2D1A"/>
    <w:rsid w:val="000B4169"/>
    <w:rsid w:val="000B46DC"/>
    <w:rsid w:val="000B77DC"/>
    <w:rsid w:val="000C1CAC"/>
    <w:rsid w:val="000C243D"/>
    <w:rsid w:val="000C2919"/>
    <w:rsid w:val="000C2C37"/>
    <w:rsid w:val="000C2D98"/>
    <w:rsid w:val="000C3945"/>
    <w:rsid w:val="000D03B5"/>
    <w:rsid w:val="000D2E93"/>
    <w:rsid w:val="000D50D0"/>
    <w:rsid w:val="000D7005"/>
    <w:rsid w:val="000D7412"/>
    <w:rsid w:val="000D7A47"/>
    <w:rsid w:val="000E283A"/>
    <w:rsid w:val="000E46D7"/>
    <w:rsid w:val="000F092C"/>
    <w:rsid w:val="000F2048"/>
    <w:rsid w:val="000F414B"/>
    <w:rsid w:val="000F434B"/>
    <w:rsid w:val="000F5FD8"/>
    <w:rsid w:val="000F6947"/>
    <w:rsid w:val="000F731D"/>
    <w:rsid w:val="001002D2"/>
    <w:rsid w:val="00100938"/>
    <w:rsid w:val="00103439"/>
    <w:rsid w:val="00103AE5"/>
    <w:rsid w:val="0010535B"/>
    <w:rsid w:val="0010655B"/>
    <w:rsid w:val="001065D4"/>
    <w:rsid w:val="00106AF3"/>
    <w:rsid w:val="00110B13"/>
    <w:rsid w:val="001138AD"/>
    <w:rsid w:val="001141BC"/>
    <w:rsid w:val="001176C5"/>
    <w:rsid w:val="00117B74"/>
    <w:rsid w:val="00120CC1"/>
    <w:rsid w:val="0012186C"/>
    <w:rsid w:val="00121F9C"/>
    <w:rsid w:val="00123A66"/>
    <w:rsid w:val="00125037"/>
    <w:rsid w:val="001318DA"/>
    <w:rsid w:val="0013196A"/>
    <w:rsid w:val="0013252E"/>
    <w:rsid w:val="00132C86"/>
    <w:rsid w:val="001347A5"/>
    <w:rsid w:val="00135E76"/>
    <w:rsid w:val="001404C8"/>
    <w:rsid w:val="001409FD"/>
    <w:rsid w:val="001421F6"/>
    <w:rsid w:val="001444F7"/>
    <w:rsid w:val="00146C0A"/>
    <w:rsid w:val="0014759F"/>
    <w:rsid w:val="00147833"/>
    <w:rsid w:val="00150866"/>
    <w:rsid w:val="00152152"/>
    <w:rsid w:val="00155662"/>
    <w:rsid w:val="00156C5A"/>
    <w:rsid w:val="00157BA1"/>
    <w:rsid w:val="00157F9D"/>
    <w:rsid w:val="00161296"/>
    <w:rsid w:val="00161D88"/>
    <w:rsid w:val="001624C3"/>
    <w:rsid w:val="00162D15"/>
    <w:rsid w:val="00163592"/>
    <w:rsid w:val="0016381A"/>
    <w:rsid w:val="00164A69"/>
    <w:rsid w:val="00164EE8"/>
    <w:rsid w:val="00164EFC"/>
    <w:rsid w:val="00166A18"/>
    <w:rsid w:val="001702EF"/>
    <w:rsid w:val="00170D48"/>
    <w:rsid w:val="001719F6"/>
    <w:rsid w:val="00172AC8"/>
    <w:rsid w:val="00173210"/>
    <w:rsid w:val="0017368D"/>
    <w:rsid w:val="00174565"/>
    <w:rsid w:val="00174A2E"/>
    <w:rsid w:val="00175BF6"/>
    <w:rsid w:val="001769C4"/>
    <w:rsid w:val="001815CA"/>
    <w:rsid w:val="00185F20"/>
    <w:rsid w:val="00185FA0"/>
    <w:rsid w:val="00187460"/>
    <w:rsid w:val="00190305"/>
    <w:rsid w:val="001930AD"/>
    <w:rsid w:val="00193187"/>
    <w:rsid w:val="00194C12"/>
    <w:rsid w:val="001952D0"/>
    <w:rsid w:val="0019543C"/>
    <w:rsid w:val="00195552"/>
    <w:rsid w:val="001A0AE7"/>
    <w:rsid w:val="001A1E0F"/>
    <w:rsid w:val="001A44D0"/>
    <w:rsid w:val="001A5037"/>
    <w:rsid w:val="001A5992"/>
    <w:rsid w:val="001A5D8C"/>
    <w:rsid w:val="001B03A4"/>
    <w:rsid w:val="001B1A16"/>
    <w:rsid w:val="001B1BEC"/>
    <w:rsid w:val="001B6831"/>
    <w:rsid w:val="001B77B7"/>
    <w:rsid w:val="001C27EC"/>
    <w:rsid w:val="001C3F5D"/>
    <w:rsid w:val="001C465E"/>
    <w:rsid w:val="001C513F"/>
    <w:rsid w:val="001C51A6"/>
    <w:rsid w:val="001C555F"/>
    <w:rsid w:val="001C5A87"/>
    <w:rsid w:val="001C6884"/>
    <w:rsid w:val="001D0E93"/>
    <w:rsid w:val="001D2A4F"/>
    <w:rsid w:val="001D4B9C"/>
    <w:rsid w:val="001D622E"/>
    <w:rsid w:val="001E34D2"/>
    <w:rsid w:val="001E3849"/>
    <w:rsid w:val="001E4C2E"/>
    <w:rsid w:val="001E4EBB"/>
    <w:rsid w:val="001E5840"/>
    <w:rsid w:val="001F046C"/>
    <w:rsid w:val="001F12B2"/>
    <w:rsid w:val="001F1346"/>
    <w:rsid w:val="001F3F96"/>
    <w:rsid w:val="001F41B6"/>
    <w:rsid w:val="0020065D"/>
    <w:rsid w:val="00200FCE"/>
    <w:rsid w:val="00202420"/>
    <w:rsid w:val="00202543"/>
    <w:rsid w:val="0020709B"/>
    <w:rsid w:val="002102FC"/>
    <w:rsid w:val="0021077E"/>
    <w:rsid w:val="00211EE0"/>
    <w:rsid w:val="00212E15"/>
    <w:rsid w:val="0021415F"/>
    <w:rsid w:val="00214437"/>
    <w:rsid w:val="0021491A"/>
    <w:rsid w:val="00214A68"/>
    <w:rsid w:val="00216D22"/>
    <w:rsid w:val="0021732E"/>
    <w:rsid w:val="002179DB"/>
    <w:rsid w:val="00217EB3"/>
    <w:rsid w:val="002213EA"/>
    <w:rsid w:val="00221C87"/>
    <w:rsid w:val="00223B76"/>
    <w:rsid w:val="00224477"/>
    <w:rsid w:val="002253ED"/>
    <w:rsid w:val="0022545D"/>
    <w:rsid w:val="00225BC3"/>
    <w:rsid w:val="0022644D"/>
    <w:rsid w:val="002265C2"/>
    <w:rsid w:val="002278E5"/>
    <w:rsid w:val="00227DC1"/>
    <w:rsid w:val="00233E25"/>
    <w:rsid w:val="0023420D"/>
    <w:rsid w:val="00234812"/>
    <w:rsid w:val="002360EF"/>
    <w:rsid w:val="002370E7"/>
    <w:rsid w:val="00240F42"/>
    <w:rsid w:val="002434E9"/>
    <w:rsid w:val="0024405B"/>
    <w:rsid w:val="00244A4B"/>
    <w:rsid w:val="00244BC7"/>
    <w:rsid w:val="00244E97"/>
    <w:rsid w:val="00251A63"/>
    <w:rsid w:val="002533DA"/>
    <w:rsid w:val="00253472"/>
    <w:rsid w:val="00254030"/>
    <w:rsid w:val="0025451A"/>
    <w:rsid w:val="002545D5"/>
    <w:rsid w:val="00254CE1"/>
    <w:rsid w:val="002567AE"/>
    <w:rsid w:val="00257E9C"/>
    <w:rsid w:val="00260637"/>
    <w:rsid w:val="002607EB"/>
    <w:rsid w:val="0026182C"/>
    <w:rsid w:val="0026186E"/>
    <w:rsid w:val="002629AD"/>
    <w:rsid w:val="002630E5"/>
    <w:rsid w:val="00263A88"/>
    <w:rsid w:val="00263C50"/>
    <w:rsid w:val="002655AA"/>
    <w:rsid w:val="00265870"/>
    <w:rsid w:val="00266B39"/>
    <w:rsid w:val="00267D71"/>
    <w:rsid w:val="00270AC6"/>
    <w:rsid w:val="00270BD2"/>
    <w:rsid w:val="00271129"/>
    <w:rsid w:val="002766D8"/>
    <w:rsid w:val="00277576"/>
    <w:rsid w:val="00282469"/>
    <w:rsid w:val="00283D42"/>
    <w:rsid w:val="002845FB"/>
    <w:rsid w:val="00285873"/>
    <w:rsid w:val="002906B3"/>
    <w:rsid w:val="00291EC8"/>
    <w:rsid w:val="00292810"/>
    <w:rsid w:val="00293311"/>
    <w:rsid w:val="00293935"/>
    <w:rsid w:val="00293B85"/>
    <w:rsid w:val="0029416D"/>
    <w:rsid w:val="00295DBC"/>
    <w:rsid w:val="002967FD"/>
    <w:rsid w:val="002A1A17"/>
    <w:rsid w:val="002A1D23"/>
    <w:rsid w:val="002A31EB"/>
    <w:rsid w:val="002A34DC"/>
    <w:rsid w:val="002A358A"/>
    <w:rsid w:val="002A4256"/>
    <w:rsid w:val="002A4B2F"/>
    <w:rsid w:val="002A518C"/>
    <w:rsid w:val="002A6C6A"/>
    <w:rsid w:val="002A7083"/>
    <w:rsid w:val="002A7D78"/>
    <w:rsid w:val="002B087F"/>
    <w:rsid w:val="002B115A"/>
    <w:rsid w:val="002B1524"/>
    <w:rsid w:val="002B1743"/>
    <w:rsid w:val="002B2254"/>
    <w:rsid w:val="002B6190"/>
    <w:rsid w:val="002C1473"/>
    <w:rsid w:val="002C1966"/>
    <w:rsid w:val="002C3B6A"/>
    <w:rsid w:val="002C4237"/>
    <w:rsid w:val="002C54A5"/>
    <w:rsid w:val="002C66C4"/>
    <w:rsid w:val="002C73B5"/>
    <w:rsid w:val="002C7E84"/>
    <w:rsid w:val="002C7F55"/>
    <w:rsid w:val="002D1AD3"/>
    <w:rsid w:val="002D4B6E"/>
    <w:rsid w:val="002D4D63"/>
    <w:rsid w:val="002D53DF"/>
    <w:rsid w:val="002D625A"/>
    <w:rsid w:val="002D6B11"/>
    <w:rsid w:val="002D7991"/>
    <w:rsid w:val="002E06F4"/>
    <w:rsid w:val="002E0F69"/>
    <w:rsid w:val="002E2BC4"/>
    <w:rsid w:val="002E2CCA"/>
    <w:rsid w:val="002E3851"/>
    <w:rsid w:val="002E3DA3"/>
    <w:rsid w:val="002E55B7"/>
    <w:rsid w:val="002E681B"/>
    <w:rsid w:val="002E75C8"/>
    <w:rsid w:val="002E7D4B"/>
    <w:rsid w:val="002F0B5A"/>
    <w:rsid w:val="002F3DCE"/>
    <w:rsid w:val="002F62DA"/>
    <w:rsid w:val="002F6B43"/>
    <w:rsid w:val="002F72F1"/>
    <w:rsid w:val="002F7D22"/>
    <w:rsid w:val="00300A25"/>
    <w:rsid w:val="003015DB"/>
    <w:rsid w:val="00301930"/>
    <w:rsid w:val="003028F5"/>
    <w:rsid w:val="003042BE"/>
    <w:rsid w:val="00306C4F"/>
    <w:rsid w:val="00307456"/>
    <w:rsid w:val="00310064"/>
    <w:rsid w:val="00310724"/>
    <w:rsid w:val="003110E4"/>
    <w:rsid w:val="00312475"/>
    <w:rsid w:val="0031314F"/>
    <w:rsid w:val="003151E6"/>
    <w:rsid w:val="0031729D"/>
    <w:rsid w:val="003173D1"/>
    <w:rsid w:val="00317546"/>
    <w:rsid w:val="003177D5"/>
    <w:rsid w:val="00317980"/>
    <w:rsid w:val="00320778"/>
    <w:rsid w:val="00322A0F"/>
    <w:rsid w:val="0032312B"/>
    <w:rsid w:val="00324017"/>
    <w:rsid w:val="0032452F"/>
    <w:rsid w:val="00324612"/>
    <w:rsid w:val="00324D06"/>
    <w:rsid w:val="003259C3"/>
    <w:rsid w:val="003278BD"/>
    <w:rsid w:val="003278E7"/>
    <w:rsid w:val="003301E1"/>
    <w:rsid w:val="00330B8F"/>
    <w:rsid w:val="00331853"/>
    <w:rsid w:val="003320B0"/>
    <w:rsid w:val="00332666"/>
    <w:rsid w:val="00333231"/>
    <w:rsid w:val="00334119"/>
    <w:rsid w:val="003347DC"/>
    <w:rsid w:val="00334A78"/>
    <w:rsid w:val="00335D43"/>
    <w:rsid w:val="00336E20"/>
    <w:rsid w:val="00336FF7"/>
    <w:rsid w:val="00341691"/>
    <w:rsid w:val="003433E5"/>
    <w:rsid w:val="003467E6"/>
    <w:rsid w:val="00347234"/>
    <w:rsid w:val="003513B1"/>
    <w:rsid w:val="003513E8"/>
    <w:rsid w:val="00354573"/>
    <w:rsid w:val="0035575C"/>
    <w:rsid w:val="003564A2"/>
    <w:rsid w:val="00361ABE"/>
    <w:rsid w:val="003624DD"/>
    <w:rsid w:val="003641B1"/>
    <w:rsid w:val="003647F2"/>
    <w:rsid w:val="003656D0"/>
    <w:rsid w:val="00367B03"/>
    <w:rsid w:val="00367E73"/>
    <w:rsid w:val="00370AF0"/>
    <w:rsid w:val="00371F54"/>
    <w:rsid w:val="003721A8"/>
    <w:rsid w:val="0037283A"/>
    <w:rsid w:val="00372ACF"/>
    <w:rsid w:val="00373276"/>
    <w:rsid w:val="003750CB"/>
    <w:rsid w:val="003758D9"/>
    <w:rsid w:val="003768BA"/>
    <w:rsid w:val="003769A7"/>
    <w:rsid w:val="00377560"/>
    <w:rsid w:val="00377DB7"/>
    <w:rsid w:val="00377E71"/>
    <w:rsid w:val="003856F5"/>
    <w:rsid w:val="00385D84"/>
    <w:rsid w:val="0038642B"/>
    <w:rsid w:val="00390F43"/>
    <w:rsid w:val="00392131"/>
    <w:rsid w:val="0039297F"/>
    <w:rsid w:val="0039370E"/>
    <w:rsid w:val="00393C14"/>
    <w:rsid w:val="00393ECA"/>
    <w:rsid w:val="003962C2"/>
    <w:rsid w:val="003A61E0"/>
    <w:rsid w:val="003A7BAC"/>
    <w:rsid w:val="003A7EFB"/>
    <w:rsid w:val="003B0C2D"/>
    <w:rsid w:val="003B2791"/>
    <w:rsid w:val="003B2979"/>
    <w:rsid w:val="003B3716"/>
    <w:rsid w:val="003B3BD8"/>
    <w:rsid w:val="003B4094"/>
    <w:rsid w:val="003B592E"/>
    <w:rsid w:val="003B637F"/>
    <w:rsid w:val="003B73F0"/>
    <w:rsid w:val="003B7D5C"/>
    <w:rsid w:val="003C05D8"/>
    <w:rsid w:val="003C0875"/>
    <w:rsid w:val="003C1F97"/>
    <w:rsid w:val="003C21AB"/>
    <w:rsid w:val="003C431D"/>
    <w:rsid w:val="003C6F6C"/>
    <w:rsid w:val="003D0375"/>
    <w:rsid w:val="003D0A5F"/>
    <w:rsid w:val="003D1FEA"/>
    <w:rsid w:val="003D3393"/>
    <w:rsid w:val="003D35FC"/>
    <w:rsid w:val="003D4703"/>
    <w:rsid w:val="003D5C0C"/>
    <w:rsid w:val="003D7500"/>
    <w:rsid w:val="003D7D7F"/>
    <w:rsid w:val="003E0E9A"/>
    <w:rsid w:val="003E11AD"/>
    <w:rsid w:val="003E1AB7"/>
    <w:rsid w:val="003E315E"/>
    <w:rsid w:val="003E3D06"/>
    <w:rsid w:val="003E6F50"/>
    <w:rsid w:val="003E7CBF"/>
    <w:rsid w:val="003E7F0D"/>
    <w:rsid w:val="003F01C6"/>
    <w:rsid w:val="003F1172"/>
    <w:rsid w:val="003F19EB"/>
    <w:rsid w:val="003F3A37"/>
    <w:rsid w:val="003F4654"/>
    <w:rsid w:val="003F5688"/>
    <w:rsid w:val="003F6B42"/>
    <w:rsid w:val="003F7DD5"/>
    <w:rsid w:val="00401BBA"/>
    <w:rsid w:val="00401F67"/>
    <w:rsid w:val="00404355"/>
    <w:rsid w:val="00407B6B"/>
    <w:rsid w:val="0041062F"/>
    <w:rsid w:val="004128C1"/>
    <w:rsid w:val="004133D4"/>
    <w:rsid w:val="004164C3"/>
    <w:rsid w:val="00417F69"/>
    <w:rsid w:val="0042097C"/>
    <w:rsid w:val="00421835"/>
    <w:rsid w:val="00421B98"/>
    <w:rsid w:val="00422464"/>
    <w:rsid w:val="00422E9F"/>
    <w:rsid w:val="00423D6E"/>
    <w:rsid w:val="00424D8B"/>
    <w:rsid w:val="0042752A"/>
    <w:rsid w:val="004300A8"/>
    <w:rsid w:val="004305F7"/>
    <w:rsid w:val="00430F0E"/>
    <w:rsid w:val="00431ABD"/>
    <w:rsid w:val="004327CF"/>
    <w:rsid w:val="00432D6D"/>
    <w:rsid w:val="00435AB9"/>
    <w:rsid w:val="00437B7D"/>
    <w:rsid w:val="0044087D"/>
    <w:rsid w:val="00440E1E"/>
    <w:rsid w:val="00441A0B"/>
    <w:rsid w:val="00441BCF"/>
    <w:rsid w:val="0044295E"/>
    <w:rsid w:val="00442D62"/>
    <w:rsid w:val="0044331E"/>
    <w:rsid w:val="004437D0"/>
    <w:rsid w:val="00444489"/>
    <w:rsid w:val="00444DB0"/>
    <w:rsid w:val="00446404"/>
    <w:rsid w:val="00451AAE"/>
    <w:rsid w:val="004549AC"/>
    <w:rsid w:val="00455A9C"/>
    <w:rsid w:val="00460D6A"/>
    <w:rsid w:val="00461ADF"/>
    <w:rsid w:val="00463163"/>
    <w:rsid w:val="0046386A"/>
    <w:rsid w:val="0046619F"/>
    <w:rsid w:val="0047168A"/>
    <w:rsid w:val="00472C0D"/>
    <w:rsid w:val="00473B8F"/>
    <w:rsid w:val="0047523D"/>
    <w:rsid w:val="004761CA"/>
    <w:rsid w:val="00476562"/>
    <w:rsid w:val="00481D97"/>
    <w:rsid w:val="00482342"/>
    <w:rsid w:val="00484145"/>
    <w:rsid w:val="0048430C"/>
    <w:rsid w:val="00485594"/>
    <w:rsid w:val="00485A2F"/>
    <w:rsid w:val="00485FB7"/>
    <w:rsid w:val="00486794"/>
    <w:rsid w:val="004872AA"/>
    <w:rsid w:val="004910E5"/>
    <w:rsid w:val="0049251C"/>
    <w:rsid w:val="00493030"/>
    <w:rsid w:val="00493758"/>
    <w:rsid w:val="00494A0A"/>
    <w:rsid w:val="004963C4"/>
    <w:rsid w:val="004A08B7"/>
    <w:rsid w:val="004A08D7"/>
    <w:rsid w:val="004A1416"/>
    <w:rsid w:val="004A2068"/>
    <w:rsid w:val="004A3E71"/>
    <w:rsid w:val="004A3F5D"/>
    <w:rsid w:val="004A4C9B"/>
    <w:rsid w:val="004A75F2"/>
    <w:rsid w:val="004B1393"/>
    <w:rsid w:val="004B2F38"/>
    <w:rsid w:val="004B350C"/>
    <w:rsid w:val="004B3D16"/>
    <w:rsid w:val="004B3F2B"/>
    <w:rsid w:val="004B3FBB"/>
    <w:rsid w:val="004B56FA"/>
    <w:rsid w:val="004B618C"/>
    <w:rsid w:val="004B6C3B"/>
    <w:rsid w:val="004B7DC9"/>
    <w:rsid w:val="004C0F6D"/>
    <w:rsid w:val="004C116B"/>
    <w:rsid w:val="004C2EDE"/>
    <w:rsid w:val="004C30A6"/>
    <w:rsid w:val="004C3BA4"/>
    <w:rsid w:val="004C3F19"/>
    <w:rsid w:val="004C6B69"/>
    <w:rsid w:val="004D20FA"/>
    <w:rsid w:val="004D2B9E"/>
    <w:rsid w:val="004D32CF"/>
    <w:rsid w:val="004D4547"/>
    <w:rsid w:val="004D4E4B"/>
    <w:rsid w:val="004D55C8"/>
    <w:rsid w:val="004E0440"/>
    <w:rsid w:val="004E0833"/>
    <w:rsid w:val="004E3259"/>
    <w:rsid w:val="004E4FC6"/>
    <w:rsid w:val="004E6129"/>
    <w:rsid w:val="004E6907"/>
    <w:rsid w:val="004F04B1"/>
    <w:rsid w:val="004F0A87"/>
    <w:rsid w:val="004F246B"/>
    <w:rsid w:val="004F28E1"/>
    <w:rsid w:val="004F36EF"/>
    <w:rsid w:val="004F4FB9"/>
    <w:rsid w:val="004F51D4"/>
    <w:rsid w:val="004F6F9C"/>
    <w:rsid w:val="004F70EB"/>
    <w:rsid w:val="0050025F"/>
    <w:rsid w:val="005034DE"/>
    <w:rsid w:val="00503B8B"/>
    <w:rsid w:val="005047DD"/>
    <w:rsid w:val="00506745"/>
    <w:rsid w:val="00507A26"/>
    <w:rsid w:val="0051067A"/>
    <w:rsid w:val="005118FF"/>
    <w:rsid w:val="0051195A"/>
    <w:rsid w:val="0051196D"/>
    <w:rsid w:val="00517F35"/>
    <w:rsid w:val="00524616"/>
    <w:rsid w:val="00524D02"/>
    <w:rsid w:val="0052525D"/>
    <w:rsid w:val="00525AD5"/>
    <w:rsid w:val="0052677C"/>
    <w:rsid w:val="00526AAE"/>
    <w:rsid w:val="00527245"/>
    <w:rsid w:val="005304B2"/>
    <w:rsid w:val="00531DAE"/>
    <w:rsid w:val="00532F60"/>
    <w:rsid w:val="00535475"/>
    <w:rsid w:val="0053552A"/>
    <w:rsid w:val="00537D3C"/>
    <w:rsid w:val="005408A1"/>
    <w:rsid w:val="00541326"/>
    <w:rsid w:val="005415A9"/>
    <w:rsid w:val="00542182"/>
    <w:rsid w:val="005441A7"/>
    <w:rsid w:val="00547620"/>
    <w:rsid w:val="005476ED"/>
    <w:rsid w:val="00547A9E"/>
    <w:rsid w:val="00547CB9"/>
    <w:rsid w:val="0055147F"/>
    <w:rsid w:val="005515C4"/>
    <w:rsid w:val="005515E6"/>
    <w:rsid w:val="0055183F"/>
    <w:rsid w:val="005525ED"/>
    <w:rsid w:val="005557A3"/>
    <w:rsid w:val="00555CE7"/>
    <w:rsid w:val="00560018"/>
    <w:rsid w:val="00560926"/>
    <w:rsid w:val="00562BB0"/>
    <w:rsid w:val="0056427E"/>
    <w:rsid w:val="00564FA5"/>
    <w:rsid w:val="0056667E"/>
    <w:rsid w:val="00566D73"/>
    <w:rsid w:val="00566DFF"/>
    <w:rsid w:val="0056736B"/>
    <w:rsid w:val="005742B4"/>
    <w:rsid w:val="00574BDC"/>
    <w:rsid w:val="00576868"/>
    <w:rsid w:val="005777C4"/>
    <w:rsid w:val="00580FE0"/>
    <w:rsid w:val="0058112B"/>
    <w:rsid w:val="005822FF"/>
    <w:rsid w:val="00583BD2"/>
    <w:rsid w:val="005849C3"/>
    <w:rsid w:val="00586F86"/>
    <w:rsid w:val="0059118C"/>
    <w:rsid w:val="00591577"/>
    <w:rsid w:val="005930C6"/>
    <w:rsid w:val="005931D8"/>
    <w:rsid w:val="00593CFE"/>
    <w:rsid w:val="00593EC0"/>
    <w:rsid w:val="00594501"/>
    <w:rsid w:val="005947B9"/>
    <w:rsid w:val="00594C7E"/>
    <w:rsid w:val="00597078"/>
    <w:rsid w:val="005A118A"/>
    <w:rsid w:val="005A52A4"/>
    <w:rsid w:val="005A54F3"/>
    <w:rsid w:val="005A69F6"/>
    <w:rsid w:val="005A6B3E"/>
    <w:rsid w:val="005A6CD3"/>
    <w:rsid w:val="005A743E"/>
    <w:rsid w:val="005A7855"/>
    <w:rsid w:val="005B1BF6"/>
    <w:rsid w:val="005B2EEF"/>
    <w:rsid w:val="005B43D5"/>
    <w:rsid w:val="005B5CEB"/>
    <w:rsid w:val="005B5ECF"/>
    <w:rsid w:val="005C0518"/>
    <w:rsid w:val="005C06C9"/>
    <w:rsid w:val="005C23A3"/>
    <w:rsid w:val="005C27BC"/>
    <w:rsid w:val="005C2CFC"/>
    <w:rsid w:val="005C2DBE"/>
    <w:rsid w:val="005C4DFC"/>
    <w:rsid w:val="005C5783"/>
    <w:rsid w:val="005C617B"/>
    <w:rsid w:val="005C7A00"/>
    <w:rsid w:val="005D0176"/>
    <w:rsid w:val="005D175D"/>
    <w:rsid w:val="005D17B7"/>
    <w:rsid w:val="005D17B9"/>
    <w:rsid w:val="005D286E"/>
    <w:rsid w:val="005D3E64"/>
    <w:rsid w:val="005D415B"/>
    <w:rsid w:val="005D4287"/>
    <w:rsid w:val="005D5358"/>
    <w:rsid w:val="005D761A"/>
    <w:rsid w:val="005E045A"/>
    <w:rsid w:val="005E1575"/>
    <w:rsid w:val="005E253C"/>
    <w:rsid w:val="005E2D40"/>
    <w:rsid w:val="005E3769"/>
    <w:rsid w:val="005E3848"/>
    <w:rsid w:val="005E448E"/>
    <w:rsid w:val="005E6884"/>
    <w:rsid w:val="005E6F6B"/>
    <w:rsid w:val="005E7A25"/>
    <w:rsid w:val="005F01D9"/>
    <w:rsid w:val="005F03A3"/>
    <w:rsid w:val="005F1331"/>
    <w:rsid w:val="005F1645"/>
    <w:rsid w:val="005F2545"/>
    <w:rsid w:val="005F4A38"/>
    <w:rsid w:val="005F56F8"/>
    <w:rsid w:val="0060014E"/>
    <w:rsid w:val="00600FA5"/>
    <w:rsid w:val="006013B6"/>
    <w:rsid w:val="00602285"/>
    <w:rsid w:val="006027E7"/>
    <w:rsid w:val="00603BD9"/>
    <w:rsid w:val="00604484"/>
    <w:rsid w:val="00611D4A"/>
    <w:rsid w:val="00612577"/>
    <w:rsid w:val="00612BAE"/>
    <w:rsid w:val="00613316"/>
    <w:rsid w:val="00613A29"/>
    <w:rsid w:val="00615395"/>
    <w:rsid w:val="00615AE2"/>
    <w:rsid w:val="006162BE"/>
    <w:rsid w:val="00616FDF"/>
    <w:rsid w:val="00617EE8"/>
    <w:rsid w:val="00620217"/>
    <w:rsid w:val="0062184D"/>
    <w:rsid w:val="006223CC"/>
    <w:rsid w:val="006229ED"/>
    <w:rsid w:val="006233D0"/>
    <w:rsid w:val="006241DE"/>
    <w:rsid w:val="00625043"/>
    <w:rsid w:val="00626A0B"/>
    <w:rsid w:val="00626CF6"/>
    <w:rsid w:val="0062796F"/>
    <w:rsid w:val="006319B4"/>
    <w:rsid w:val="00633B49"/>
    <w:rsid w:val="00634181"/>
    <w:rsid w:val="00635484"/>
    <w:rsid w:val="006367A2"/>
    <w:rsid w:val="006368EA"/>
    <w:rsid w:val="00636B62"/>
    <w:rsid w:val="006370C2"/>
    <w:rsid w:val="00640377"/>
    <w:rsid w:val="0064292E"/>
    <w:rsid w:val="006444A0"/>
    <w:rsid w:val="00645E5B"/>
    <w:rsid w:val="00650A4B"/>
    <w:rsid w:val="00650D61"/>
    <w:rsid w:val="00652F3D"/>
    <w:rsid w:val="00653292"/>
    <w:rsid w:val="006548E1"/>
    <w:rsid w:val="006558BB"/>
    <w:rsid w:val="00656ECD"/>
    <w:rsid w:val="0066069B"/>
    <w:rsid w:val="006612EE"/>
    <w:rsid w:val="006631A0"/>
    <w:rsid w:val="0066382E"/>
    <w:rsid w:val="0066458B"/>
    <w:rsid w:val="006662C8"/>
    <w:rsid w:val="006708E2"/>
    <w:rsid w:val="006725B6"/>
    <w:rsid w:val="00672AEA"/>
    <w:rsid w:val="00675047"/>
    <w:rsid w:val="00677E81"/>
    <w:rsid w:val="0068014D"/>
    <w:rsid w:val="00682228"/>
    <w:rsid w:val="006834F7"/>
    <w:rsid w:val="00683802"/>
    <w:rsid w:val="006840AD"/>
    <w:rsid w:val="0068422A"/>
    <w:rsid w:val="00684BDE"/>
    <w:rsid w:val="00685D02"/>
    <w:rsid w:val="00691E6E"/>
    <w:rsid w:val="00693A3A"/>
    <w:rsid w:val="006941BA"/>
    <w:rsid w:val="006942EF"/>
    <w:rsid w:val="0069522F"/>
    <w:rsid w:val="0069527F"/>
    <w:rsid w:val="00695ABA"/>
    <w:rsid w:val="006962DF"/>
    <w:rsid w:val="00696AD9"/>
    <w:rsid w:val="006A0C72"/>
    <w:rsid w:val="006A155B"/>
    <w:rsid w:val="006A19EB"/>
    <w:rsid w:val="006A1A39"/>
    <w:rsid w:val="006A1FFC"/>
    <w:rsid w:val="006A380C"/>
    <w:rsid w:val="006A3FD9"/>
    <w:rsid w:val="006A60EA"/>
    <w:rsid w:val="006A6E48"/>
    <w:rsid w:val="006B0442"/>
    <w:rsid w:val="006B2A1D"/>
    <w:rsid w:val="006B3334"/>
    <w:rsid w:val="006B5890"/>
    <w:rsid w:val="006B5C8E"/>
    <w:rsid w:val="006B6F89"/>
    <w:rsid w:val="006C0A26"/>
    <w:rsid w:val="006C3ED4"/>
    <w:rsid w:val="006C68A9"/>
    <w:rsid w:val="006C6D72"/>
    <w:rsid w:val="006C7E7E"/>
    <w:rsid w:val="006D070E"/>
    <w:rsid w:val="006D2D4F"/>
    <w:rsid w:val="006D3562"/>
    <w:rsid w:val="006D3773"/>
    <w:rsid w:val="006D4B42"/>
    <w:rsid w:val="006D4DDD"/>
    <w:rsid w:val="006D517B"/>
    <w:rsid w:val="006D5218"/>
    <w:rsid w:val="006D5375"/>
    <w:rsid w:val="006D6D81"/>
    <w:rsid w:val="006E0781"/>
    <w:rsid w:val="006E1CFE"/>
    <w:rsid w:val="006E245B"/>
    <w:rsid w:val="006E2E46"/>
    <w:rsid w:val="006E416B"/>
    <w:rsid w:val="006E4660"/>
    <w:rsid w:val="006E4C39"/>
    <w:rsid w:val="006E6546"/>
    <w:rsid w:val="006E6F7C"/>
    <w:rsid w:val="006E6FC0"/>
    <w:rsid w:val="006E7315"/>
    <w:rsid w:val="006F1CD6"/>
    <w:rsid w:val="006F335D"/>
    <w:rsid w:val="006F7DE4"/>
    <w:rsid w:val="0070147D"/>
    <w:rsid w:val="00701692"/>
    <w:rsid w:val="00701811"/>
    <w:rsid w:val="0070254F"/>
    <w:rsid w:val="0070420E"/>
    <w:rsid w:val="0070424E"/>
    <w:rsid w:val="007044E8"/>
    <w:rsid w:val="00704829"/>
    <w:rsid w:val="00706D4B"/>
    <w:rsid w:val="00707A51"/>
    <w:rsid w:val="00710C90"/>
    <w:rsid w:val="00712A55"/>
    <w:rsid w:val="00712F2A"/>
    <w:rsid w:val="00712FE7"/>
    <w:rsid w:val="0071332F"/>
    <w:rsid w:val="0071706C"/>
    <w:rsid w:val="00717E1C"/>
    <w:rsid w:val="007211C7"/>
    <w:rsid w:val="00722065"/>
    <w:rsid w:val="0072211F"/>
    <w:rsid w:val="007225C0"/>
    <w:rsid w:val="0072382D"/>
    <w:rsid w:val="00725050"/>
    <w:rsid w:val="007251CE"/>
    <w:rsid w:val="0072540E"/>
    <w:rsid w:val="00725D70"/>
    <w:rsid w:val="007261D5"/>
    <w:rsid w:val="00726B94"/>
    <w:rsid w:val="00726F81"/>
    <w:rsid w:val="007316B0"/>
    <w:rsid w:val="007337AC"/>
    <w:rsid w:val="00733912"/>
    <w:rsid w:val="007344DF"/>
    <w:rsid w:val="00736E99"/>
    <w:rsid w:val="007373B9"/>
    <w:rsid w:val="0073793E"/>
    <w:rsid w:val="00737AAC"/>
    <w:rsid w:val="00742A93"/>
    <w:rsid w:val="00745A7C"/>
    <w:rsid w:val="00746A7E"/>
    <w:rsid w:val="00747571"/>
    <w:rsid w:val="00751EA0"/>
    <w:rsid w:val="00753E6D"/>
    <w:rsid w:val="007548FD"/>
    <w:rsid w:val="007551AD"/>
    <w:rsid w:val="007553E9"/>
    <w:rsid w:val="0075750A"/>
    <w:rsid w:val="00757767"/>
    <w:rsid w:val="0076227F"/>
    <w:rsid w:val="00762360"/>
    <w:rsid w:val="00762E69"/>
    <w:rsid w:val="007639D0"/>
    <w:rsid w:val="00764DD9"/>
    <w:rsid w:val="007653AE"/>
    <w:rsid w:val="00766320"/>
    <w:rsid w:val="00772259"/>
    <w:rsid w:val="00773967"/>
    <w:rsid w:val="007760ED"/>
    <w:rsid w:val="00776263"/>
    <w:rsid w:val="007764EC"/>
    <w:rsid w:val="00777FF4"/>
    <w:rsid w:val="0078035E"/>
    <w:rsid w:val="00780802"/>
    <w:rsid w:val="00780D6C"/>
    <w:rsid w:val="007822C3"/>
    <w:rsid w:val="007825F1"/>
    <w:rsid w:val="00784A25"/>
    <w:rsid w:val="007865EA"/>
    <w:rsid w:val="00786A4D"/>
    <w:rsid w:val="00787392"/>
    <w:rsid w:val="0079032B"/>
    <w:rsid w:val="00791584"/>
    <w:rsid w:val="0079266E"/>
    <w:rsid w:val="00792D02"/>
    <w:rsid w:val="007931CF"/>
    <w:rsid w:val="00794947"/>
    <w:rsid w:val="0079551A"/>
    <w:rsid w:val="0079638E"/>
    <w:rsid w:val="007966E3"/>
    <w:rsid w:val="0079768D"/>
    <w:rsid w:val="0079797C"/>
    <w:rsid w:val="007A06DA"/>
    <w:rsid w:val="007A1B6E"/>
    <w:rsid w:val="007A1DD0"/>
    <w:rsid w:val="007A2AFC"/>
    <w:rsid w:val="007A4AA0"/>
    <w:rsid w:val="007A4D6E"/>
    <w:rsid w:val="007A4E13"/>
    <w:rsid w:val="007A57CD"/>
    <w:rsid w:val="007A6CE0"/>
    <w:rsid w:val="007A7CF7"/>
    <w:rsid w:val="007B0784"/>
    <w:rsid w:val="007B1898"/>
    <w:rsid w:val="007B1DE8"/>
    <w:rsid w:val="007B5C0C"/>
    <w:rsid w:val="007B68DD"/>
    <w:rsid w:val="007B7E25"/>
    <w:rsid w:val="007C180D"/>
    <w:rsid w:val="007C2F0B"/>
    <w:rsid w:val="007C3506"/>
    <w:rsid w:val="007C4A55"/>
    <w:rsid w:val="007C6206"/>
    <w:rsid w:val="007C62CC"/>
    <w:rsid w:val="007C6384"/>
    <w:rsid w:val="007D0C47"/>
    <w:rsid w:val="007D0E22"/>
    <w:rsid w:val="007D18A6"/>
    <w:rsid w:val="007D2FAC"/>
    <w:rsid w:val="007D39FE"/>
    <w:rsid w:val="007D3A86"/>
    <w:rsid w:val="007D6164"/>
    <w:rsid w:val="007D692F"/>
    <w:rsid w:val="007D79CA"/>
    <w:rsid w:val="007E2217"/>
    <w:rsid w:val="007E37C7"/>
    <w:rsid w:val="007E3BF8"/>
    <w:rsid w:val="007E421C"/>
    <w:rsid w:val="007E4416"/>
    <w:rsid w:val="007E5B08"/>
    <w:rsid w:val="007F06A5"/>
    <w:rsid w:val="007F14CC"/>
    <w:rsid w:val="007F2BD7"/>
    <w:rsid w:val="007F3C0C"/>
    <w:rsid w:val="007F5080"/>
    <w:rsid w:val="007F5382"/>
    <w:rsid w:val="007F64E2"/>
    <w:rsid w:val="00800110"/>
    <w:rsid w:val="0080180B"/>
    <w:rsid w:val="008018F5"/>
    <w:rsid w:val="0080240A"/>
    <w:rsid w:val="008027AD"/>
    <w:rsid w:val="00803C5E"/>
    <w:rsid w:val="00803CC2"/>
    <w:rsid w:val="008041E3"/>
    <w:rsid w:val="00804604"/>
    <w:rsid w:val="0080632D"/>
    <w:rsid w:val="0080687E"/>
    <w:rsid w:val="00806A09"/>
    <w:rsid w:val="00807618"/>
    <w:rsid w:val="0081086F"/>
    <w:rsid w:val="008111EB"/>
    <w:rsid w:val="0081132F"/>
    <w:rsid w:val="008141EA"/>
    <w:rsid w:val="0081455A"/>
    <w:rsid w:val="00815F6A"/>
    <w:rsid w:val="0081620A"/>
    <w:rsid w:val="00821B12"/>
    <w:rsid w:val="00823933"/>
    <w:rsid w:val="00827E71"/>
    <w:rsid w:val="00827F9E"/>
    <w:rsid w:val="00830CFA"/>
    <w:rsid w:val="008326D0"/>
    <w:rsid w:val="00834747"/>
    <w:rsid w:val="00835CF4"/>
    <w:rsid w:val="0084186C"/>
    <w:rsid w:val="008419AE"/>
    <w:rsid w:val="00843FC8"/>
    <w:rsid w:val="00844482"/>
    <w:rsid w:val="0084462C"/>
    <w:rsid w:val="00846259"/>
    <w:rsid w:val="00847EDC"/>
    <w:rsid w:val="008500C2"/>
    <w:rsid w:val="00852F25"/>
    <w:rsid w:val="008531A1"/>
    <w:rsid w:val="00853864"/>
    <w:rsid w:val="00853EA2"/>
    <w:rsid w:val="00856680"/>
    <w:rsid w:val="00856FF8"/>
    <w:rsid w:val="00857161"/>
    <w:rsid w:val="00857396"/>
    <w:rsid w:val="00857EB1"/>
    <w:rsid w:val="00860DF5"/>
    <w:rsid w:val="008628E5"/>
    <w:rsid w:val="00863195"/>
    <w:rsid w:val="0086629F"/>
    <w:rsid w:val="008701C9"/>
    <w:rsid w:val="00872236"/>
    <w:rsid w:val="0087389D"/>
    <w:rsid w:val="00873BE7"/>
    <w:rsid w:val="008748AC"/>
    <w:rsid w:val="00874AA4"/>
    <w:rsid w:val="008762E2"/>
    <w:rsid w:val="0088006A"/>
    <w:rsid w:val="00880780"/>
    <w:rsid w:val="008815FD"/>
    <w:rsid w:val="008816CB"/>
    <w:rsid w:val="0088221A"/>
    <w:rsid w:val="00883A52"/>
    <w:rsid w:val="00884427"/>
    <w:rsid w:val="008859F8"/>
    <w:rsid w:val="008867A9"/>
    <w:rsid w:val="00887328"/>
    <w:rsid w:val="0088732B"/>
    <w:rsid w:val="00890FE7"/>
    <w:rsid w:val="00891702"/>
    <w:rsid w:val="0089431C"/>
    <w:rsid w:val="00895FF2"/>
    <w:rsid w:val="00897003"/>
    <w:rsid w:val="00897B2D"/>
    <w:rsid w:val="00897BAD"/>
    <w:rsid w:val="008A168E"/>
    <w:rsid w:val="008A1779"/>
    <w:rsid w:val="008A17D6"/>
    <w:rsid w:val="008A1D6D"/>
    <w:rsid w:val="008A2F8B"/>
    <w:rsid w:val="008A4C13"/>
    <w:rsid w:val="008A4E68"/>
    <w:rsid w:val="008A60F7"/>
    <w:rsid w:val="008A6170"/>
    <w:rsid w:val="008A6705"/>
    <w:rsid w:val="008A7482"/>
    <w:rsid w:val="008B00E7"/>
    <w:rsid w:val="008B2D68"/>
    <w:rsid w:val="008B34C9"/>
    <w:rsid w:val="008B416E"/>
    <w:rsid w:val="008B4C39"/>
    <w:rsid w:val="008B523A"/>
    <w:rsid w:val="008B6117"/>
    <w:rsid w:val="008B63D7"/>
    <w:rsid w:val="008B654C"/>
    <w:rsid w:val="008B7221"/>
    <w:rsid w:val="008C0259"/>
    <w:rsid w:val="008C039A"/>
    <w:rsid w:val="008C04B9"/>
    <w:rsid w:val="008C160B"/>
    <w:rsid w:val="008C1D3B"/>
    <w:rsid w:val="008C2362"/>
    <w:rsid w:val="008C5ABB"/>
    <w:rsid w:val="008C7F86"/>
    <w:rsid w:val="008D0009"/>
    <w:rsid w:val="008D0878"/>
    <w:rsid w:val="008D18EE"/>
    <w:rsid w:val="008D1CBE"/>
    <w:rsid w:val="008D2930"/>
    <w:rsid w:val="008D4032"/>
    <w:rsid w:val="008D47DB"/>
    <w:rsid w:val="008D7686"/>
    <w:rsid w:val="008E0DB9"/>
    <w:rsid w:val="008E1D81"/>
    <w:rsid w:val="008E24C6"/>
    <w:rsid w:val="008E28E9"/>
    <w:rsid w:val="008E2E65"/>
    <w:rsid w:val="008E356B"/>
    <w:rsid w:val="008E35EA"/>
    <w:rsid w:val="008E42EE"/>
    <w:rsid w:val="008E4A08"/>
    <w:rsid w:val="008E4AF1"/>
    <w:rsid w:val="008E4CCD"/>
    <w:rsid w:val="008E571F"/>
    <w:rsid w:val="008E6FB1"/>
    <w:rsid w:val="008F14A0"/>
    <w:rsid w:val="008F2942"/>
    <w:rsid w:val="008F32A4"/>
    <w:rsid w:val="008F4F44"/>
    <w:rsid w:val="008F52A0"/>
    <w:rsid w:val="008F6919"/>
    <w:rsid w:val="008F6EFA"/>
    <w:rsid w:val="009009C3"/>
    <w:rsid w:val="00900C00"/>
    <w:rsid w:val="00901343"/>
    <w:rsid w:val="00902A55"/>
    <w:rsid w:val="00903CDD"/>
    <w:rsid w:val="00904133"/>
    <w:rsid w:val="00904929"/>
    <w:rsid w:val="00904AE6"/>
    <w:rsid w:val="009069A5"/>
    <w:rsid w:val="00911B63"/>
    <w:rsid w:val="0091210F"/>
    <w:rsid w:val="00912B84"/>
    <w:rsid w:val="00912ED1"/>
    <w:rsid w:val="0091345C"/>
    <w:rsid w:val="009148C8"/>
    <w:rsid w:val="00916FC5"/>
    <w:rsid w:val="00917AAA"/>
    <w:rsid w:val="00917B93"/>
    <w:rsid w:val="00917C98"/>
    <w:rsid w:val="00917E27"/>
    <w:rsid w:val="00920CCE"/>
    <w:rsid w:val="00924CC4"/>
    <w:rsid w:val="0092581D"/>
    <w:rsid w:val="00930A85"/>
    <w:rsid w:val="009317FF"/>
    <w:rsid w:val="00934AD6"/>
    <w:rsid w:val="00935489"/>
    <w:rsid w:val="00935CE5"/>
    <w:rsid w:val="009375CE"/>
    <w:rsid w:val="00940E19"/>
    <w:rsid w:val="00943624"/>
    <w:rsid w:val="00943928"/>
    <w:rsid w:val="009455A5"/>
    <w:rsid w:val="00945CFB"/>
    <w:rsid w:val="009512BC"/>
    <w:rsid w:val="00952576"/>
    <w:rsid w:val="00952AE5"/>
    <w:rsid w:val="0095413D"/>
    <w:rsid w:val="00954A92"/>
    <w:rsid w:val="009563EF"/>
    <w:rsid w:val="00956E3B"/>
    <w:rsid w:val="00957E4B"/>
    <w:rsid w:val="00960373"/>
    <w:rsid w:val="00960EF9"/>
    <w:rsid w:val="00961E25"/>
    <w:rsid w:val="00963F4A"/>
    <w:rsid w:val="009648D4"/>
    <w:rsid w:val="00964BE4"/>
    <w:rsid w:val="00964DCA"/>
    <w:rsid w:val="009665BB"/>
    <w:rsid w:val="00967182"/>
    <w:rsid w:val="00967563"/>
    <w:rsid w:val="00967D27"/>
    <w:rsid w:val="00970B89"/>
    <w:rsid w:val="0097141E"/>
    <w:rsid w:val="00971892"/>
    <w:rsid w:val="00972780"/>
    <w:rsid w:val="0098318A"/>
    <w:rsid w:val="009853C4"/>
    <w:rsid w:val="00986F01"/>
    <w:rsid w:val="009900DB"/>
    <w:rsid w:val="0099034C"/>
    <w:rsid w:val="00991018"/>
    <w:rsid w:val="009917F5"/>
    <w:rsid w:val="00992E9B"/>
    <w:rsid w:val="00992FE4"/>
    <w:rsid w:val="00993DEE"/>
    <w:rsid w:val="00994E5B"/>
    <w:rsid w:val="00995881"/>
    <w:rsid w:val="00996DC2"/>
    <w:rsid w:val="00997B5C"/>
    <w:rsid w:val="009A038A"/>
    <w:rsid w:val="009A2173"/>
    <w:rsid w:val="009A3158"/>
    <w:rsid w:val="009A3C38"/>
    <w:rsid w:val="009A40B7"/>
    <w:rsid w:val="009A7C47"/>
    <w:rsid w:val="009A7DC2"/>
    <w:rsid w:val="009B0752"/>
    <w:rsid w:val="009B0ABF"/>
    <w:rsid w:val="009B111D"/>
    <w:rsid w:val="009B13B7"/>
    <w:rsid w:val="009B2781"/>
    <w:rsid w:val="009B2C38"/>
    <w:rsid w:val="009B2E01"/>
    <w:rsid w:val="009B3528"/>
    <w:rsid w:val="009B3864"/>
    <w:rsid w:val="009B39D2"/>
    <w:rsid w:val="009B408A"/>
    <w:rsid w:val="009B5100"/>
    <w:rsid w:val="009B7CA3"/>
    <w:rsid w:val="009B7DA1"/>
    <w:rsid w:val="009C0BDD"/>
    <w:rsid w:val="009C1BD5"/>
    <w:rsid w:val="009C4DFA"/>
    <w:rsid w:val="009C575F"/>
    <w:rsid w:val="009C6BF0"/>
    <w:rsid w:val="009D3B89"/>
    <w:rsid w:val="009D4BBE"/>
    <w:rsid w:val="009D4EF9"/>
    <w:rsid w:val="009D5DFD"/>
    <w:rsid w:val="009E2B22"/>
    <w:rsid w:val="009E3D4E"/>
    <w:rsid w:val="009E5793"/>
    <w:rsid w:val="009E689B"/>
    <w:rsid w:val="009E6D56"/>
    <w:rsid w:val="009F114D"/>
    <w:rsid w:val="009F14A0"/>
    <w:rsid w:val="009F2292"/>
    <w:rsid w:val="009F239C"/>
    <w:rsid w:val="009F24D2"/>
    <w:rsid w:val="009F53F8"/>
    <w:rsid w:val="009F6A37"/>
    <w:rsid w:val="009F703B"/>
    <w:rsid w:val="009F7DEB"/>
    <w:rsid w:val="00A0347C"/>
    <w:rsid w:val="00A0455D"/>
    <w:rsid w:val="00A059A2"/>
    <w:rsid w:val="00A05FB4"/>
    <w:rsid w:val="00A0771F"/>
    <w:rsid w:val="00A114E4"/>
    <w:rsid w:val="00A1365A"/>
    <w:rsid w:val="00A143E8"/>
    <w:rsid w:val="00A15A6A"/>
    <w:rsid w:val="00A173D2"/>
    <w:rsid w:val="00A20AB9"/>
    <w:rsid w:val="00A22536"/>
    <w:rsid w:val="00A22886"/>
    <w:rsid w:val="00A22C17"/>
    <w:rsid w:val="00A22D7A"/>
    <w:rsid w:val="00A2578B"/>
    <w:rsid w:val="00A26104"/>
    <w:rsid w:val="00A26107"/>
    <w:rsid w:val="00A277EA"/>
    <w:rsid w:val="00A27C89"/>
    <w:rsid w:val="00A30592"/>
    <w:rsid w:val="00A30E47"/>
    <w:rsid w:val="00A310F8"/>
    <w:rsid w:val="00A319AE"/>
    <w:rsid w:val="00A31A7E"/>
    <w:rsid w:val="00A32BF6"/>
    <w:rsid w:val="00A32DB1"/>
    <w:rsid w:val="00A32FD5"/>
    <w:rsid w:val="00A36CA0"/>
    <w:rsid w:val="00A378B4"/>
    <w:rsid w:val="00A43908"/>
    <w:rsid w:val="00A43BF8"/>
    <w:rsid w:val="00A44241"/>
    <w:rsid w:val="00A45EF6"/>
    <w:rsid w:val="00A46181"/>
    <w:rsid w:val="00A47CA6"/>
    <w:rsid w:val="00A47FCE"/>
    <w:rsid w:val="00A531C2"/>
    <w:rsid w:val="00A53DD8"/>
    <w:rsid w:val="00A547E3"/>
    <w:rsid w:val="00A55308"/>
    <w:rsid w:val="00A5618D"/>
    <w:rsid w:val="00A572E1"/>
    <w:rsid w:val="00A574B0"/>
    <w:rsid w:val="00A60153"/>
    <w:rsid w:val="00A60762"/>
    <w:rsid w:val="00A61A88"/>
    <w:rsid w:val="00A62024"/>
    <w:rsid w:val="00A63241"/>
    <w:rsid w:val="00A65C01"/>
    <w:rsid w:val="00A6711E"/>
    <w:rsid w:val="00A6774A"/>
    <w:rsid w:val="00A70BE1"/>
    <w:rsid w:val="00A70EB7"/>
    <w:rsid w:val="00A724AB"/>
    <w:rsid w:val="00A72AA3"/>
    <w:rsid w:val="00A736B3"/>
    <w:rsid w:val="00A7412C"/>
    <w:rsid w:val="00A74625"/>
    <w:rsid w:val="00A74CB9"/>
    <w:rsid w:val="00A7564C"/>
    <w:rsid w:val="00A75E7E"/>
    <w:rsid w:val="00A76269"/>
    <w:rsid w:val="00A7659F"/>
    <w:rsid w:val="00A80568"/>
    <w:rsid w:val="00A808F0"/>
    <w:rsid w:val="00A8280C"/>
    <w:rsid w:val="00A8353F"/>
    <w:rsid w:val="00A849B9"/>
    <w:rsid w:val="00A84BC8"/>
    <w:rsid w:val="00A85194"/>
    <w:rsid w:val="00A87FE1"/>
    <w:rsid w:val="00A90BA0"/>
    <w:rsid w:val="00A91F78"/>
    <w:rsid w:val="00A920E5"/>
    <w:rsid w:val="00A93466"/>
    <w:rsid w:val="00A93A43"/>
    <w:rsid w:val="00A9560B"/>
    <w:rsid w:val="00A9605A"/>
    <w:rsid w:val="00A960A7"/>
    <w:rsid w:val="00A978F3"/>
    <w:rsid w:val="00AA11F1"/>
    <w:rsid w:val="00AA18B7"/>
    <w:rsid w:val="00AA313B"/>
    <w:rsid w:val="00AA64C2"/>
    <w:rsid w:val="00AA6728"/>
    <w:rsid w:val="00AB0133"/>
    <w:rsid w:val="00AB0595"/>
    <w:rsid w:val="00AB2463"/>
    <w:rsid w:val="00AB5B52"/>
    <w:rsid w:val="00AB5F22"/>
    <w:rsid w:val="00AB6514"/>
    <w:rsid w:val="00AC1A53"/>
    <w:rsid w:val="00AC4A24"/>
    <w:rsid w:val="00AC7269"/>
    <w:rsid w:val="00AD1F16"/>
    <w:rsid w:val="00AD32D9"/>
    <w:rsid w:val="00AD7BB9"/>
    <w:rsid w:val="00AE17E7"/>
    <w:rsid w:val="00AE33C8"/>
    <w:rsid w:val="00AE35AA"/>
    <w:rsid w:val="00AE56F4"/>
    <w:rsid w:val="00AE69DE"/>
    <w:rsid w:val="00AE6E36"/>
    <w:rsid w:val="00AE7668"/>
    <w:rsid w:val="00AF08E9"/>
    <w:rsid w:val="00AF1062"/>
    <w:rsid w:val="00AF1CAD"/>
    <w:rsid w:val="00AF2936"/>
    <w:rsid w:val="00AF578F"/>
    <w:rsid w:val="00AF677B"/>
    <w:rsid w:val="00AF7D08"/>
    <w:rsid w:val="00B002D3"/>
    <w:rsid w:val="00B00D23"/>
    <w:rsid w:val="00B01227"/>
    <w:rsid w:val="00B01705"/>
    <w:rsid w:val="00B01CC0"/>
    <w:rsid w:val="00B03F88"/>
    <w:rsid w:val="00B049BA"/>
    <w:rsid w:val="00B05073"/>
    <w:rsid w:val="00B050D0"/>
    <w:rsid w:val="00B0515F"/>
    <w:rsid w:val="00B05DB7"/>
    <w:rsid w:val="00B0626F"/>
    <w:rsid w:val="00B06E8B"/>
    <w:rsid w:val="00B07AFE"/>
    <w:rsid w:val="00B11B56"/>
    <w:rsid w:val="00B135CC"/>
    <w:rsid w:val="00B14FCF"/>
    <w:rsid w:val="00B16E6A"/>
    <w:rsid w:val="00B20935"/>
    <w:rsid w:val="00B2172E"/>
    <w:rsid w:val="00B21AE8"/>
    <w:rsid w:val="00B221B4"/>
    <w:rsid w:val="00B2266C"/>
    <w:rsid w:val="00B2398D"/>
    <w:rsid w:val="00B239DE"/>
    <w:rsid w:val="00B2548C"/>
    <w:rsid w:val="00B2624E"/>
    <w:rsid w:val="00B26963"/>
    <w:rsid w:val="00B270A5"/>
    <w:rsid w:val="00B27FCF"/>
    <w:rsid w:val="00B30B3B"/>
    <w:rsid w:val="00B30D64"/>
    <w:rsid w:val="00B30E0B"/>
    <w:rsid w:val="00B329B1"/>
    <w:rsid w:val="00B33144"/>
    <w:rsid w:val="00B34244"/>
    <w:rsid w:val="00B35304"/>
    <w:rsid w:val="00B35F11"/>
    <w:rsid w:val="00B361B2"/>
    <w:rsid w:val="00B3644D"/>
    <w:rsid w:val="00B366FD"/>
    <w:rsid w:val="00B37B27"/>
    <w:rsid w:val="00B37DF2"/>
    <w:rsid w:val="00B41568"/>
    <w:rsid w:val="00B41880"/>
    <w:rsid w:val="00B42BD8"/>
    <w:rsid w:val="00B43618"/>
    <w:rsid w:val="00B43B28"/>
    <w:rsid w:val="00B43DA4"/>
    <w:rsid w:val="00B4444D"/>
    <w:rsid w:val="00B44918"/>
    <w:rsid w:val="00B44DE6"/>
    <w:rsid w:val="00B455AE"/>
    <w:rsid w:val="00B458A3"/>
    <w:rsid w:val="00B47401"/>
    <w:rsid w:val="00B47834"/>
    <w:rsid w:val="00B47AD2"/>
    <w:rsid w:val="00B53990"/>
    <w:rsid w:val="00B5402F"/>
    <w:rsid w:val="00B543CE"/>
    <w:rsid w:val="00B543E6"/>
    <w:rsid w:val="00B5509E"/>
    <w:rsid w:val="00B55E67"/>
    <w:rsid w:val="00B56590"/>
    <w:rsid w:val="00B568B2"/>
    <w:rsid w:val="00B56DC7"/>
    <w:rsid w:val="00B57119"/>
    <w:rsid w:val="00B6257D"/>
    <w:rsid w:val="00B6270A"/>
    <w:rsid w:val="00B62D1E"/>
    <w:rsid w:val="00B63819"/>
    <w:rsid w:val="00B654A8"/>
    <w:rsid w:val="00B66608"/>
    <w:rsid w:val="00B66874"/>
    <w:rsid w:val="00B70481"/>
    <w:rsid w:val="00B71C69"/>
    <w:rsid w:val="00B71DD8"/>
    <w:rsid w:val="00B72360"/>
    <w:rsid w:val="00B737AE"/>
    <w:rsid w:val="00B759D0"/>
    <w:rsid w:val="00B77199"/>
    <w:rsid w:val="00B77D46"/>
    <w:rsid w:val="00B81452"/>
    <w:rsid w:val="00B818D1"/>
    <w:rsid w:val="00B83B23"/>
    <w:rsid w:val="00B84C98"/>
    <w:rsid w:val="00B860DB"/>
    <w:rsid w:val="00B86D47"/>
    <w:rsid w:val="00B933DC"/>
    <w:rsid w:val="00B944AC"/>
    <w:rsid w:val="00B96087"/>
    <w:rsid w:val="00B96274"/>
    <w:rsid w:val="00B96794"/>
    <w:rsid w:val="00BA064C"/>
    <w:rsid w:val="00BA2050"/>
    <w:rsid w:val="00BA279D"/>
    <w:rsid w:val="00BA2A7F"/>
    <w:rsid w:val="00BA2C14"/>
    <w:rsid w:val="00BA3873"/>
    <w:rsid w:val="00BA40E2"/>
    <w:rsid w:val="00BA4B00"/>
    <w:rsid w:val="00BA4B87"/>
    <w:rsid w:val="00BA50C2"/>
    <w:rsid w:val="00BA5645"/>
    <w:rsid w:val="00BA6655"/>
    <w:rsid w:val="00BA6E03"/>
    <w:rsid w:val="00BA746E"/>
    <w:rsid w:val="00BA7D18"/>
    <w:rsid w:val="00BB04FF"/>
    <w:rsid w:val="00BB3DC7"/>
    <w:rsid w:val="00BB3FAF"/>
    <w:rsid w:val="00BB5F32"/>
    <w:rsid w:val="00BB70EE"/>
    <w:rsid w:val="00BC1C03"/>
    <w:rsid w:val="00BC31EF"/>
    <w:rsid w:val="00BC71F9"/>
    <w:rsid w:val="00BD06DE"/>
    <w:rsid w:val="00BD3066"/>
    <w:rsid w:val="00BD51D3"/>
    <w:rsid w:val="00BD5ACD"/>
    <w:rsid w:val="00BD63D3"/>
    <w:rsid w:val="00BD6E3C"/>
    <w:rsid w:val="00BE17EB"/>
    <w:rsid w:val="00BE2773"/>
    <w:rsid w:val="00BE2EE5"/>
    <w:rsid w:val="00BE3594"/>
    <w:rsid w:val="00BE47CE"/>
    <w:rsid w:val="00BE5BDA"/>
    <w:rsid w:val="00BF0A17"/>
    <w:rsid w:val="00BF0CBF"/>
    <w:rsid w:val="00BF1567"/>
    <w:rsid w:val="00BF2556"/>
    <w:rsid w:val="00BF3A49"/>
    <w:rsid w:val="00BF41B8"/>
    <w:rsid w:val="00BF4204"/>
    <w:rsid w:val="00BF4A86"/>
    <w:rsid w:val="00BF663F"/>
    <w:rsid w:val="00BF7823"/>
    <w:rsid w:val="00C00E22"/>
    <w:rsid w:val="00C014AA"/>
    <w:rsid w:val="00C01E1C"/>
    <w:rsid w:val="00C02F0E"/>
    <w:rsid w:val="00C0536B"/>
    <w:rsid w:val="00C05517"/>
    <w:rsid w:val="00C05B2E"/>
    <w:rsid w:val="00C07F41"/>
    <w:rsid w:val="00C11092"/>
    <w:rsid w:val="00C112C9"/>
    <w:rsid w:val="00C126C4"/>
    <w:rsid w:val="00C12733"/>
    <w:rsid w:val="00C12BCB"/>
    <w:rsid w:val="00C143CA"/>
    <w:rsid w:val="00C15193"/>
    <w:rsid w:val="00C15ECE"/>
    <w:rsid w:val="00C1763C"/>
    <w:rsid w:val="00C21398"/>
    <w:rsid w:val="00C2154E"/>
    <w:rsid w:val="00C218F6"/>
    <w:rsid w:val="00C21E8F"/>
    <w:rsid w:val="00C226CE"/>
    <w:rsid w:val="00C2270D"/>
    <w:rsid w:val="00C26435"/>
    <w:rsid w:val="00C266C9"/>
    <w:rsid w:val="00C279AD"/>
    <w:rsid w:val="00C302D2"/>
    <w:rsid w:val="00C34EAF"/>
    <w:rsid w:val="00C3751C"/>
    <w:rsid w:val="00C401C6"/>
    <w:rsid w:val="00C4162A"/>
    <w:rsid w:val="00C44E27"/>
    <w:rsid w:val="00C4543B"/>
    <w:rsid w:val="00C464B4"/>
    <w:rsid w:val="00C46639"/>
    <w:rsid w:val="00C5109D"/>
    <w:rsid w:val="00C51FAC"/>
    <w:rsid w:val="00C5368F"/>
    <w:rsid w:val="00C54058"/>
    <w:rsid w:val="00C56C93"/>
    <w:rsid w:val="00C61F79"/>
    <w:rsid w:val="00C62ED4"/>
    <w:rsid w:val="00C64751"/>
    <w:rsid w:val="00C64F3B"/>
    <w:rsid w:val="00C65C6D"/>
    <w:rsid w:val="00C676FF"/>
    <w:rsid w:val="00C71451"/>
    <w:rsid w:val="00C71BD6"/>
    <w:rsid w:val="00C72E57"/>
    <w:rsid w:val="00C73EB3"/>
    <w:rsid w:val="00C75523"/>
    <w:rsid w:val="00C75765"/>
    <w:rsid w:val="00C76D97"/>
    <w:rsid w:val="00C8049D"/>
    <w:rsid w:val="00C81217"/>
    <w:rsid w:val="00C8218F"/>
    <w:rsid w:val="00C82DF0"/>
    <w:rsid w:val="00C831FE"/>
    <w:rsid w:val="00C83CC1"/>
    <w:rsid w:val="00C83FD2"/>
    <w:rsid w:val="00C8515F"/>
    <w:rsid w:val="00C90411"/>
    <w:rsid w:val="00C931BF"/>
    <w:rsid w:val="00C9594C"/>
    <w:rsid w:val="00C95A0D"/>
    <w:rsid w:val="00C96143"/>
    <w:rsid w:val="00C961FC"/>
    <w:rsid w:val="00CA0FD1"/>
    <w:rsid w:val="00CA16C1"/>
    <w:rsid w:val="00CA545A"/>
    <w:rsid w:val="00CB013C"/>
    <w:rsid w:val="00CB04FF"/>
    <w:rsid w:val="00CB09E3"/>
    <w:rsid w:val="00CB4F48"/>
    <w:rsid w:val="00CB5A82"/>
    <w:rsid w:val="00CB719A"/>
    <w:rsid w:val="00CC135E"/>
    <w:rsid w:val="00CC393E"/>
    <w:rsid w:val="00CC45AD"/>
    <w:rsid w:val="00CC5FBB"/>
    <w:rsid w:val="00CC79F4"/>
    <w:rsid w:val="00CD1960"/>
    <w:rsid w:val="00CD4FE9"/>
    <w:rsid w:val="00CD58E5"/>
    <w:rsid w:val="00CD6A7D"/>
    <w:rsid w:val="00CD73C6"/>
    <w:rsid w:val="00CE240E"/>
    <w:rsid w:val="00CE56E4"/>
    <w:rsid w:val="00CE6A06"/>
    <w:rsid w:val="00CE7C40"/>
    <w:rsid w:val="00CF055C"/>
    <w:rsid w:val="00CF1705"/>
    <w:rsid w:val="00CF535A"/>
    <w:rsid w:val="00CF5BF7"/>
    <w:rsid w:val="00CF69A7"/>
    <w:rsid w:val="00CF76BF"/>
    <w:rsid w:val="00D00300"/>
    <w:rsid w:val="00D019DA"/>
    <w:rsid w:val="00D06106"/>
    <w:rsid w:val="00D11851"/>
    <w:rsid w:val="00D23F32"/>
    <w:rsid w:val="00D24749"/>
    <w:rsid w:val="00D2527C"/>
    <w:rsid w:val="00D25F72"/>
    <w:rsid w:val="00D27BC3"/>
    <w:rsid w:val="00D35D94"/>
    <w:rsid w:val="00D37B99"/>
    <w:rsid w:val="00D406A6"/>
    <w:rsid w:val="00D41D69"/>
    <w:rsid w:val="00D43820"/>
    <w:rsid w:val="00D46974"/>
    <w:rsid w:val="00D46A5B"/>
    <w:rsid w:val="00D46DA4"/>
    <w:rsid w:val="00D47FEF"/>
    <w:rsid w:val="00D51853"/>
    <w:rsid w:val="00D52221"/>
    <w:rsid w:val="00D53C4A"/>
    <w:rsid w:val="00D5413D"/>
    <w:rsid w:val="00D55E50"/>
    <w:rsid w:val="00D56182"/>
    <w:rsid w:val="00D577B9"/>
    <w:rsid w:val="00D660C9"/>
    <w:rsid w:val="00D663C3"/>
    <w:rsid w:val="00D6715A"/>
    <w:rsid w:val="00D67A50"/>
    <w:rsid w:val="00D67B1C"/>
    <w:rsid w:val="00D70AE0"/>
    <w:rsid w:val="00D70D0F"/>
    <w:rsid w:val="00D71054"/>
    <w:rsid w:val="00D72373"/>
    <w:rsid w:val="00D81322"/>
    <w:rsid w:val="00D82802"/>
    <w:rsid w:val="00D8280C"/>
    <w:rsid w:val="00D82F04"/>
    <w:rsid w:val="00D8593E"/>
    <w:rsid w:val="00D86078"/>
    <w:rsid w:val="00D869D0"/>
    <w:rsid w:val="00D87F09"/>
    <w:rsid w:val="00D910C4"/>
    <w:rsid w:val="00D9197A"/>
    <w:rsid w:val="00D932C4"/>
    <w:rsid w:val="00D94556"/>
    <w:rsid w:val="00D977A5"/>
    <w:rsid w:val="00DA12DC"/>
    <w:rsid w:val="00DA1475"/>
    <w:rsid w:val="00DA4486"/>
    <w:rsid w:val="00DA72BA"/>
    <w:rsid w:val="00DB0D7A"/>
    <w:rsid w:val="00DB17CC"/>
    <w:rsid w:val="00DB1A48"/>
    <w:rsid w:val="00DB23EA"/>
    <w:rsid w:val="00DB29F6"/>
    <w:rsid w:val="00DB401F"/>
    <w:rsid w:val="00DB4390"/>
    <w:rsid w:val="00DB553A"/>
    <w:rsid w:val="00DB65CF"/>
    <w:rsid w:val="00DC1326"/>
    <w:rsid w:val="00DC196C"/>
    <w:rsid w:val="00DC1D1F"/>
    <w:rsid w:val="00DC44CB"/>
    <w:rsid w:val="00DC7940"/>
    <w:rsid w:val="00DC7F6E"/>
    <w:rsid w:val="00DD34D1"/>
    <w:rsid w:val="00DD5378"/>
    <w:rsid w:val="00DD600A"/>
    <w:rsid w:val="00DD637B"/>
    <w:rsid w:val="00DD6D95"/>
    <w:rsid w:val="00DD72AD"/>
    <w:rsid w:val="00DE0271"/>
    <w:rsid w:val="00DE05FC"/>
    <w:rsid w:val="00DE1B1C"/>
    <w:rsid w:val="00DE2920"/>
    <w:rsid w:val="00DE2DF8"/>
    <w:rsid w:val="00DE5084"/>
    <w:rsid w:val="00DE57B6"/>
    <w:rsid w:val="00DE60C9"/>
    <w:rsid w:val="00DE6702"/>
    <w:rsid w:val="00DE6E70"/>
    <w:rsid w:val="00DE75D0"/>
    <w:rsid w:val="00DF0531"/>
    <w:rsid w:val="00DF7593"/>
    <w:rsid w:val="00E000E3"/>
    <w:rsid w:val="00E009BD"/>
    <w:rsid w:val="00E01035"/>
    <w:rsid w:val="00E0223C"/>
    <w:rsid w:val="00E043F4"/>
    <w:rsid w:val="00E05F89"/>
    <w:rsid w:val="00E1249D"/>
    <w:rsid w:val="00E1322D"/>
    <w:rsid w:val="00E132EC"/>
    <w:rsid w:val="00E134EE"/>
    <w:rsid w:val="00E15100"/>
    <w:rsid w:val="00E1528F"/>
    <w:rsid w:val="00E158EE"/>
    <w:rsid w:val="00E16E36"/>
    <w:rsid w:val="00E17B2F"/>
    <w:rsid w:val="00E17BE1"/>
    <w:rsid w:val="00E17CD4"/>
    <w:rsid w:val="00E20CA7"/>
    <w:rsid w:val="00E2291A"/>
    <w:rsid w:val="00E238B1"/>
    <w:rsid w:val="00E24B12"/>
    <w:rsid w:val="00E24E2B"/>
    <w:rsid w:val="00E2585B"/>
    <w:rsid w:val="00E25C35"/>
    <w:rsid w:val="00E26EBE"/>
    <w:rsid w:val="00E272A5"/>
    <w:rsid w:val="00E301A0"/>
    <w:rsid w:val="00E311D4"/>
    <w:rsid w:val="00E34575"/>
    <w:rsid w:val="00E348E8"/>
    <w:rsid w:val="00E34F0F"/>
    <w:rsid w:val="00E350A7"/>
    <w:rsid w:val="00E35B86"/>
    <w:rsid w:val="00E36186"/>
    <w:rsid w:val="00E37D01"/>
    <w:rsid w:val="00E37D54"/>
    <w:rsid w:val="00E41463"/>
    <w:rsid w:val="00E4474C"/>
    <w:rsid w:val="00E459F0"/>
    <w:rsid w:val="00E46656"/>
    <w:rsid w:val="00E46D44"/>
    <w:rsid w:val="00E46EFF"/>
    <w:rsid w:val="00E510B7"/>
    <w:rsid w:val="00E51AE0"/>
    <w:rsid w:val="00E51D51"/>
    <w:rsid w:val="00E528BE"/>
    <w:rsid w:val="00E53A3B"/>
    <w:rsid w:val="00E54BDC"/>
    <w:rsid w:val="00E568AD"/>
    <w:rsid w:val="00E57D3A"/>
    <w:rsid w:val="00E60CAA"/>
    <w:rsid w:val="00E61446"/>
    <w:rsid w:val="00E6328E"/>
    <w:rsid w:val="00E63669"/>
    <w:rsid w:val="00E63AC5"/>
    <w:rsid w:val="00E70C4C"/>
    <w:rsid w:val="00E70FCF"/>
    <w:rsid w:val="00E7101A"/>
    <w:rsid w:val="00E719BB"/>
    <w:rsid w:val="00E73276"/>
    <w:rsid w:val="00E7626F"/>
    <w:rsid w:val="00E764FC"/>
    <w:rsid w:val="00E77666"/>
    <w:rsid w:val="00E77E64"/>
    <w:rsid w:val="00E801E2"/>
    <w:rsid w:val="00E804E2"/>
    <w:rsid w:val="00E82697"/>
    <w:rsid w:val="00E82F8A"/>
    <w:rsid w:val="00E8300B"/>
    <w:rsid w:val="00E836D1"/>
    <w:rsid w:val="00E8375E"/>
    <w:rsid w:val="00E839C3"/>
    <w:rsid w:val="00E865B8"/>
    <w:rsid w:val="00E87F8B"/>
    <w:rsid w:val="00E9367C"/>
    <w:rsid w:val="00E93BC4"/>
    <w:rsid w:val="00E9438D"/>
    <w:rsid w:val="00E9444F"/>
    <w:rsid w:val="00E95359"/>
    <w:rsid w:val="00E95F0A"/>
    <w:rsid w:val="00E96DFD"/>
    <w:rsid w:val="00E97E53"/>
    <w:rsid w:val="00EA010D"/>
    <w:rsid w:val="00EA27C1"/>
    <w:rsid w:val="00EA369E"/>
    <w:rsid w:val="00EA50BF"/>
    <w:rsid w:val="00EA532F"/>
    <w:rsid w:val="00EA58FD"/>
    <w:rsid w:val="00EB0832"/>
    <w:rsid w:val="00EB160B"/>
    <w:rsid w:val="00EB45C3"/>
    <w:rsid w:val="00EC0869"/>
    <w:rsid w:val="00EC08CA"/>
    <w:rsid w:val="00EC33BD"/>
    <w:rsid w:val="00EC4FA3"/>
    <w:rsid w:val="00EC5245"/>
    <w:rsid w:val="00EC78EA"/>
    <w:rsid w:val="00ED0CCA"/>
    <w:rsid w:val="00ED1858"/>
    <w:rsid w:val="00ED25F8"/>
    <w:rsid w:val="00ED2AFB"/>
    <w:rsid w:val="00ED3374"/>
    <w:rsid w:val="00ED3FF1"/>
    <w:rsid w:val="00ED674A"/>
    <w:rsid w:val="00ED75A3"/>
    <w:rsid w:val="00EE1A74"/>
    <w:rsid w:val="00EE202F"/>
    <w:rsid w:val="00EE2049"/>
    <w:rsid w:val="00EE2464"/>
    <w:rsid w:val="00EE678D"/>
    <w:rsid w:val="00EE7007"/>
    <w:rsid w:val="00EE73E2"/>
    <w:rsid w:val="00EF0A7C"/>
    <w:rsid w:val="00EF2C83"/>
    <w:rsid w:val="00EF3304"/>
    <w:rsid w:val="00EF3CAC"/>
    <w:rsid w:val="00EF3DD0"/>
    <w:rsid w:val="00EF40EC"/>
    <w:rsid w:val="00EF5049"/>
    <w:rsid w:val="00EF58D9"/>
    <w:rsid w:val="00F00F6D"/>
    <w:rsid w:val="00F01E94"/>
    <w:rsid w:val="00F02AD6"/>
    <w:rsid w:val="00F0463B"/>
    <w:rsid w:val="00F05DD8"/>
    <w:rsid w:val="00F1047C"/>
    <w:rsid w:val="00F10A71"/>
    <w:rsid w:val="00F135E4"/>
    <w:rsid w:val="00F139F0"/>
    <w:rsid w:val="00F13B15"/>
    <w:rsid w:val="00F13CA3"/>
    <w:rsid w:val="00F14066"/>
    <w:rsid w:val="00F144BB"/>
    <w:rsid w:val="00F149FE"/>
    <w:rsid w:val="00F16056"/>
    <w:rsid w:val="00F16E6E"/>
    <w:rsid w:val="00F170A8"/>
    <w:rsid w:val="00F17DCD"/>
    <w:rsid w:val="00F20EBB"/>
    <w:rsid w:val="00F2348B"/>
    <w:rsid w:val="00F2379D"/>
    <w:rsid w:val="00F25658"/>
    <w:rsid w:val="00F25F8A"/>
    <w:rsid w:val="00F2668D"/>
    <w:rsid w:val="00F274C7"/>
    <w:rsid w:val="00F276C8"/>
    <w:rsid w:val="00F30E7C"/>
    <w:rsid w:val="00F31B73"/>
    <w:rsid w:val="00F31E25"/>
    <w:rsid w:val="00F33779"/>
    <w:rsid w:val="00F343FC"/>
    <w:rsid w:val="00F3703F"/>
    <w:rsid w:val="00F4145F"/>
    <w:rsid w:val="00F41B7C"/>
    <w:rsid w:val="00F424B8"/>
    <w:rsid w:val="00F42B7B"/>
    <w:rsid w:val="00F42CE5"/>
    <w:rsid w:val="00F446F5"/>
    <w:rsid w:val="00F4513E"/>
    <w:rsid w:val="00F46125"/>
    <w:rsid w:val="00F46AAC"/>
    <w:rsid w:val="00F504BD"/>
    <w:rsid w:val="00F50D72"/>
    <w:rsid w:val="00F526EF"/>
    <w:rsid w:val="00F52AA9"/>
    <w:rsid w:val="00F55768"/>
    <w:rsid w:val="00F573C5"/>
    <w:rsid w:val="00F63CAF"/>
    <w:rsid w:val="00F646EA"/>
    <w:rsid w:val="00F64EC4"/>
    <w:rsid w:val="00F6699F"/>
    <w:rsid w:val="00F670AE"/>
    <w:rsid w:val="00F67695"/>
    <w:rsid w:val="00F678F0"/>
    <w:rsid w:val="00F72CAB"/>
    <w:rsid w:val="00F75C45"/>
    <w:rsid w:val="00F75D31"/>
    <w:rsid w:val="00F76FE5"/>
    <w:rsid w:val="00F7721B"/>
    <w:rsid w:val="00F773A9"/>
    <w:rsid w:val="00F80883"/>
    <w:rsid w:val="00F810CF"/>
    <w:rsid w:val="00F81823"/>
    <w:rsid w:val="00F82D98"/>
    <w:rsid w:val="00F82DDD"/>
    <w:rsid w:val="00F87E92"/>
    <w:rsid w:val="00F92375"/>
    <w:rsid w:val="00F928CA"/>
    <w:rsid w:val="00F94276"/>
    <w:rsid w:val="00F94640"/>
    <w:rsid w:val="00F9473A"/>
    <w:rsid w:val="00F954B2"/>
    <w:rsid w:val="00F9620C"/>
    <w:rsid w:val="00F9631C"/>
    <w:rsid w:val="00FA06EE"/>
    <w:rsid w:val="00FA0770"/>
    <w:rsid w:val="00FA242D"/>
    <w:rsid w:val="00FA2CA0"/>
    <w:rsid w:val="00FA5091"/>
    <w:rsid w:val="00FA5B52"/>
    <w:rsid w:val="00FA5F27"/>
    <w:rsid w:val="00FA6BBF"/>
    <w:rsid w:val="00FB1184"/>
    <w:rsid w:val="00FB1262"/>
    <w:rsid w:val="00FB1678"/>
    <w:rsid w:val="00FB403B"/>
    <w:rsid w:val="00FB46FE"/>
    <w:rsid w:val="00FB5338"/>
    <w:rsid w:val="00FB56C8"/>
    <w:rsid w:val="00FB7A90"/>
    <w:rsid w:val="00FB7B5D"/>
    <w:rsid w:val="00FC0129"/>
    <w:rsid w:val="00FC0401"/>
    <w:rsid w:val="00FC1A3C"/>
    <w:rsid w:val="00FC2025"/>
    <w:rsid w:val="00FC38B3"/>
    <w:rsid w:val="00FC7C63"/>
    <w:rsid w:val="00FD0F40"/>
    <w:rsid w:val="00FD21EC"/>
    <w:rsid w:val="00FD32C7"/>
    <w:rsid w:val="00FD3D9E"/>
    <w:rsid w:val="00FD3DF1"/>
    <w:rsid w:val="00FD5440"/>
    <w:rsid w:val="00FD54AB"/>
    <w:rsid w:val="00FD5A2E"/>
    <w:rsid w:val="00FD6D6D"/>
    <w:rsid w:val="00FD75A4"/>
    <w:rsid w:val="00FD76D3"/>
    <w:rsid w:val="00FE2174"/>
    <w:rsid w:val="00FE34F0"/>
    <w:rsid w:val="00FE386C"/>
    <w:rsid w:val="00FE4693"/>
    <w:rsid w:val="00FE5A77"/>
    <w:rsid w:val="00FE67B0"/>
    <w:rsid w:val="00FE7A3E"/>
    <w:rsid w:val="00FF0903"/>
    <w:rsid w:val="00FF1A2C"/>
    <w:rsid w:val="00FF20F5"/>
    <w:rsid w:val="00FF3402"/>
    <w:rsid w:val="00FF5048"/>
    <w:rsid w:val="00FF525A"/>
    <w:rsid w:val="00FF5E39"/>
    <w:rsid w:val="00FF5FED"/>
    <w:rsid w:val="00FF7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4EC0BD6-CE9F-4862-96F5-3F4431BD1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6E48"/>
    <w:pPr>
      <w:widowControl w:val="0"/>
      <w:jc w:val="both"/>
    </w:pPr>
    <w:rPr>
      <w:kern w:val="2"/>
      <w:sz w:val="21"/>
      <w:szCs w:val="24"/>
    </w:rPr>
  </w:style>
  <w:style w:type="paragraph" w:styleId="1">
    <w:name w:val="heading 1"/>
    <w:aliases w:val="Heading 0,H1,PIM 1,Heading 11,level 1,Level 1 Head,h1,123321,Level 1 Topic Heading"/>
    <w:basedOn w:val="a0"/>
    <w:next w:val="a0"/>
    <w:link w:val="1Char"/>
    <w:qFormat/>
    <w:rsid w:val="00BA4B87"/>
    <w:pPr>
      <w:keepNext/>
      <w:spacing w:beforeLines="100" w:afterLines="100"/>
      <w:ind w:firstLineChars="200" w:firstLine="200"/>
      <w:jc w:val="center"/>
      <w:outlineLvl w:val="0"/>
    </w:pPr>
    <w:rPr>
      <w:rFonts w:ascii="黑体" w:eastAsia="黑体"/>
      <w:sz w:val="32"/>
      <w:szCs w:val="32"/>
    </w:rPr>
  </w:style>
  <w:style w:type="paragraph" w:styleId="2">
    <w:name w:val="heading 2"/>
    <w:aliases w:val="H2,Heading 2 Hidden,Heading 2 CCBS,标题 2 Char Char,2nd level,h2,2,Header 2,PIM2,l2,Level 2 Head,proj2,proj21,proj22,proj23,proj24,proj25,proj26,proj27,proj28,proj29,proj210,proj211,proj212,proj221,proj231,proj241,proj251,proj261,proj271,proj281"/>
    <w:basedOn w:val="a0"/>
    <w:next w:val="a0"/>
    <w:link w:val="2Char"/>
    <w:qFormat/>
    <w:rsid w:val="00BA4B87"/>
    <w:pPr>
      <w:keepNext/>
      <w:keepLines/>
      <w:spacing w:beforeLines="100" w:afterLines="100"/>
      <w:ind w:firstLineChars="200" w:firstLine="200"/>
      <w:outlineLvl w:val="1"/>
    </w:pPr>
    <w:rPr>
      <w:rFonts w:ascii="Arial" w:hAnsi="Arial"/>
      <w:b/>
      <w:sz w:val="28"/>
      <w:szCs w:val="28"/>
    </w:rPr>
  </w:style>
  <w:style w:type="paragraph" w:styleId="3">
    <w:name w:val="heading 3"/>
    <w:basedOn w:val="a0"/>
    <w:next w:val="a0"/>
    <w:link w:val="3Char"/>
    <w:qFormat/>
    <w:rsid w:val="00BA4B87"/>
    <w:pPr>
      <w:numPr>
        <w:ilvl w:val="2"/>
        <w:numId w:val="4"/>
      </w:numPr>
      <w:spacing w:before="260" w:after="260" w:line="416" w:lineRule="auto"/>
      <w:outlineLvl w:val="2"/>
    </w:pPr>
    <w:rPr>
      <w:rFonts w:ascii="仿宋_GB2312" w:eastAsia="仿宋_GB2312"/>
      <w:sz w:val="24"/>
      <w:szCs w:val="20"/>
    </w:rPr>
  </w:style>
  <w:style w:type="paragraph" w:styleId="4">
    <w:name w:val="heading 4"/>
    <w:basedOn w:val="a0"/>
    <w:next w:val="a0"/>
    <w:link w:val="4Char"/>
    <w:qFormat/>
    <w:rsid w:val="00BA4B87"/>
    <w:pPr>
      <w:keepNext/>
      <w:keepLines/>
      <w:numPr>
        <w:ilvl w:val="3"/>
        <w:numId w:val="3"/>
      </w:numPr>
      <w:spacing w:before="280" w:after="290" w:line="376" w:lineRule="auto"/>
      <w:outlineLvl w:val="3"/>
    </w:pPr>
    <w:rPr>
      <w:rFonts w:ascii="Arial" w:eastAsia="黑体" w:hAnsi="Arial"/>
      <w:b/>
      <w:bCs/>
      <w:sz w:val="28"/>
      <w:szCs w:val="28"/>
    </w:rPr>
  </w:style>
  <w:style w:type="paragraph" w:styleId="5">
    <w:name w:val="heading 5"/>
    <w:basedOn w:val="a0"/>
    <w:next w:val="a0"/>
    <w:link w:val="5Char"/>
    <w:qFormat/>
    <w:rsid w:val="00BA4B87"/>
    <w:pPr>
      <w:keepNext/>
      <w:keepLines/>
      <w:numPr>
        <w:ilvl w:val="4"/>
        <w:numId w:val="3"/>
      </w:numPr>
      <w:spacing w:before="280" w:after="290" w:line="376" w:lineRule="auto"/>
      <w:ind w:firstLineChars="200" w:firstLine="200"/>
      <w:outlineLvl w:val="4"/>
    </w:pPr>
    <w:rPr>
      <w:b/>
      <w:bCs/>
      <w:sz w:val="28"/>
      <w:szCs w:val="28"/>
    </w:rPr>
  </w:style>
  <w:style w:type="paragraph" w:styleId="6">
    <w:name w:val="heading 6"/>
    <w:basedOn w:val="a0"/>
    <w:next w:val="a0"/>
    <w:link w:val="6Char"/>
    <w:qFormat/>
    <w:rsid w:val="00BA4B87"/>
    <w:pPr>
      <w:keepNext/>
      <w:keepLines/>
      <w:numPr>
        <w:ilvl w:val="5"/>
        <w:numId w:val="3"/>
      </w:numPr>
      <w:spacing w:before="240" w:after="64" w:line="320" w:lineRule="auto"/>
      <w:ind w:firstLineChars="200" w:firstLine="200"/>
      <w:outlineLvl w:val="5"/>
    </w:pPr>
    <w:rPr>
      <w:rFonts w:ascii="Arial" w:eastAsia="黑体" w:hAnsi="Arial"/>
      <w:b/>
      <w:bCs/>
      <w:sz w:val="24"/>
    </w:rPr>
  </w:style>
  <w:style w:type="paragraph" w:styleId="7">
    <w:name w:val="heading 7"/>
    <w:basedOn w:val="a0"/>
    <w:next w:val="a0"/>
    <w:link w:val="7Char"/>
    <w:qFormat/>
    <w:rsid w:val="00BA4B87"/>
    <w:pPr>
      <w:keepNext/>
      <w:keepLines/>
      <w:numPr>
        <w:ilvl w:val="6"/>
        <w:numId w:val="3"/>
      </w:numPr>
      <w:spacing w:before="240" w:after="64" w:line="320" w:lineRule="auto"/>
      <w:ind w:firstLineChars="200" w:firstLine="200"/>
      <w:outlineLvl w:val="6"/>
    </w:pPr>
    <w:rPr>
      <w:b/>
      <w:bCs/>
      <w:sz w:val="24"/>
    </w:rPr>
  </w:style>
  <w:style w:type="paragraph" w:styleId="8">
    <w:name w:val="heading 8"/>
    <w:basedOn w:val="a0"/>
    <w:next w:val="a0"/>
    <w:link w:val="8Char"/>
    <w:qFormat/>
    <w:rsid w:val="00BA4B87"/>
    <w:pPr>
      <w:keepNext/>
      <w:keepLines/>
      <w:numPr>
        <w:ilvl w:val="7"/>
        <w:numId w:val="3"/>
      </w:numPr>
      <w:spacing w:before="240" w:after="64" w:line="320" w:lineRule="auto"/>
      <w:ind w:firstLineChars="200" w:firstLine="200"/>
      <w:outlineLvl w:val="7"/>
    </w:pPr>
    <w:rPr>
      <w:rFonts w:ascii="Arial" w:eastAsia="黑体" w:hAnsi="Arial"/>
      <w:sz w:val="24"/>
    </w:rPr>
  </w:style>
  <w:style w:type="paragraph" w:styleId="9">
    <w:name w:val="heading 9"/>
    <w:basedOn w:val="a0"/>
    <w:next w:val="a0"/>
    <w:link w:val="9Char"/>
    <w:qFormat/>
    <w:rsid w:val="00BA4B87"/>
    <w:pPr>
      <w:keepNext/>
      <w:keepLines/>
      <w:numPr>
        <w:ilvl w:val="8"/>
        <w:numId w:val="3"/>
      </w:numPr>
      <w:spacing w:before="240" w:after="64" w:line="320" w:lineRule="auto"/>
      <w:ind w:firstLineChars="200" w:firstLine="200"/>
      <w:outlineLvl w:val="8"/>
    </w:pPr>
    <w:rPr>
      <w:rFonts w:ascii="Arial" w:eastAsia="黑体" w:hAnsi="Arial"/>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1">
    <w:name w:val="样式 标题 2 + 段前: 1 行 段后: 1 行"/>
    <w:basedOn w:val="2"/>
    <w:rsid w:val="00BA4B87"/>
    <w:pPr>
      <w:numPr>
        <w:numId w:val="2"/>
      </w:numPr>
      <w:spacing w:before="447" w:after="447"/>
    </w:pPr>
    <w:rPr>
      <w:b w:val="0"/>
      <w:szCs w:val="20"/>
    </w:rPr>
  </w:style>
  <w:style w:type="paragraph" w:customStyle="1" w:styleId="2111111">
    <w:name w:val="样式 样式 样式 标题 2 + 段前: 1 行 段后: 1 行1 + 段前: 1 行 段后: 1 行 + 段前: 1 行 段后..."/>
    <w:basedOn w:val="a0"/>
    <w:rsid w:val="00BA4B87"/>
    <w:pPr>
      <w:keepNext/>
      <w:keepLines/>
      <w:numPr>
        <w:ilvl w:val="1"/>
        <w:numId w:val="3"/>
      </w:numPr>
      <w:spacing w:beforeLines="100" w:afterLines="100"/>
      <w:outlineLvl w:val="1"/>
    </w:pPr>
    <w:rPr>
      <w:rFonts w:ascii="Arial" w:hAnsi="Arial"/>
      <w:b/>
      <w:bCs/>
      <w:sz w:val="28"/>
      <w:szCs w:val="20"/>
    </w:rPr>
  </w:style>
  <w:style w:type="paragraph" w:styleId="a">
    <w:name w:val="Body Text"/>
    <w:basedOn w:val="a0"/>
    <w:link w:val="Char"/>
    <w:rsid w:val="00BA4B87"/>
    <w:pPr>
      <w:numPr>
        <w:ilvl w:val="1"/>
        <w:numId w:val="5"/>
      </w:numPr>
      <w:tabs>
        <w:tab w:val="num" w:pos="0"/>
      </w:tabs>
      <w:autoSpaceDE w:val="0"/>
      <w:autoSpaceDN w:val="0"/>
      <w:adjustRightInd w:val="0"/>
      <w:ind w:left="0" w:firstLine="540"/>
      <w:jc w:val="left"/>
    </w:pPr>
    <w:rPr>
      <w:rFonts w:ascii="宋体"/>
      <w:kern w:val="0"/>
      <w:sz w:val="24"/>
    </w:rPr>
  </w:style>
  <w:style w:type="paragraph" w:styleId="a4">
    <w:name w:val="Normal Indent"/>
    <w:aliases w:val="正文缩进1,ALT+Z"/>
    <w:basedOn w:val="a0"/>
    <w:rsid w:val="00BA4B87"/>
    <w:pPr>
      <w:ind w:firstLine="420"/>
    </w:pPr>
    <w:rPr>
      <w:szCs w:val="20"/>
    </w:rPr>
  </w:style>
  <w:style w:type="character" w:styleId="a5">
    <w:name w:val="Hyperlink"/>
    <w:basedOn w:val="a1"/>
    <w:uiPriority w:val="99"/>
    <w:rsid w:val="00BA4B87"/>
    <w:rPr>
      <w:color w:val="0000FF"/>
      <w:u w:val="single"/>
    </w:rPr>
  </w:style>
  <w:style w:type="paragraph" w:styleId="10">
    <w:name w:val="toc 1"/>
    <w:basedOn w:val="a0"/>
    <w:next w:val="a0"/>
    <w:autoRedefine/>
    <w:uiPriority w:val="39"/>
    <w:qFormat/>
    <w:rsid w:val="00BA4B87"/>
    <w:pPr>
      <w:tabs>
        <w:tab w:val="right" w:leader="dot" w:pos="8296"/>
      </w:tabs>
      <w:spacing w:line="360" w:lineRule="exact"/>
      <w:jc w:val="left"/>
    </w:pPr>
    <w:rPr>
      <w:rFonts w:ascii="宋体" w:eastAsia="黑体" w:hAnsi="宋体"/>
      <w:caps/>
      <w:noProof/>
      <w:color w:val="000000"/>
      <w:sz w:val="24"/>
      <w:szCs w:val="28"/>
    </w:rPr>
  </w:style>
  <w:style w:type="paragraph" w:styleId="20">
    <w:name w:val="toc 2"/>
    <w:basedOn w:val="a0"/>
    <w:next w:val="a0"/>
    <w:autoRedefine/>
    <w:uiPriority w:val="39"/>
    <w:qFormat/>
    <w:rsid w:val="00BA4B87"/>
    <w:pPr>
      <w:ind w:left="320" w:firstLineChars="200" w:firstLine="200"/>
      <w:jc w:val="left"/>
    </w:pPr>
    <w:rPr>
      <w:rFonts w:eastAsia="仿宋_GB2312"/>
      <w:smallCaps/>
      <w:szCs w:val="20"/>
    </w:rPr>
  </w:style>
  <w:style w:type="paragraph" w:customStyle="1" w:styleId="11">
    <w:name w:val="样式 标题 1 + 黑体 非加粗"/>
    <w:basedOn w:val="1"/>
    <w:rsid w:val="00BA4B87"/>
    <w:pPr>
      <w:pageBreakBefore/>
    </w:pPr>
    <w:rPr>
      <w:rFonts w:hAnsi="黑体"/>
      <w:b/>
    </w:rPr>
  </w:style>
  <w:style w:type="paragraph" w:customStyle="1" w:styleId="111">
    <w:name w:val="样式 标题 1 + 段前: 1 行 段后: 1 行"/>
    <w:basedOn w:val="1"/>
    <w:rsid w:val="00BA4B87"/>
    <w:pPr>
      <w:pageBreakBefore/>
    </w:pPr>
    <w:rPr>
      <w:szCs w:val="20"/>
    </w:rPr>
  </w:style>
  <w:style w:type="paragraph" w:customStyle="1" w:styleId="21">
    <w:name w:val="样式 首行缩进:  2 字符"/>
    <w:basedOn w:val="a0"/>
    <w:rsid w:val="00BA4B87"/>
    <w:pPr>
      <w:spacing w:before="100" w:beforeAutospacing="1" w:after="100" w:afterAutospacing="1" w:line="360" w:lineRule="auto"/>
      <w:ind w:firstLineChars="200" w:firstLine="480"/>
    </w:pPr>
    <w:rPr>
      <w:szCs w:val="20"/>
    </w:rPr>
  </w:style>
  <w:style w:type="paragraph" w:styleId="a6">
    <w:name w:val="Plain Text"/>
    <w:basedOn w:val="a0"/>
    <w:link w:val="Char0"/>
    <w:rsid w:val="00BA4B87"/>
    <w:pPr>
      <w:ind w:firstLineChars="200" w:firstLine="200"/>
    </w:pPr>
    <w:rPr>
      <w:rFonts w:ascii="宋体" w:hAnsi="Courier New"/>
      <w:sz w:val="24"/>
      <w:szCs w:val="21"/>
    </w:rPr>
  </w:style>
  <w:style w:type="paragraph" w:styleId="a7">
    <w:name w:val="header"/>
    <w:basedOn w:val="a0"/>
    <w:link w:val="Char1"/>
    <w:uiPriority w:val="99"/>
    <w:rsid w:val="00BA4B87"/>
    <w:pPr>
      <w:pBdr>
        <w:bottom w:val="single" w:sz="6" w:space="1" w:color="auto"/>
      </w:pBdr>
      <w:tabs>
        <w:tab w:val="center" w:pos="4153"/>
        <w:tab w:val="right" w:pos="8306"/>
      </w:tabs>
      <w:snapToGrid w:val="0"/>
      <w:ind w:firstLineChars="200" w:firstLine="200"/>
      <w:jc w:val="center"/>
    </w:pPr>
    <w:rPr>
      <w:rFonts w:eastAsia="仿宋_GB2312"/>
      <w:sz w:val="18"/>
      <w:szCs w:val="20"/>
    </w:rPr>
  </w:style>
  <w:style w:type="character" w:styleId="a8">
    <w:name w:val="page number"/>
    <w:basedOn w:val="a1"/>
    <w:rsid w:val="00BA4B87"/>
  </w:style>
  <w:style w:type="paragraph" w:styleId="a9">
    <w:name w:val="footer"/>
    <w:basedOn w:val="a0"/>
    <w:link w:val="Char2"/>
    <w:uiPriority w:val="99"/>
    <w:rsid w:val="00BA4B87"/>
    <w:pPr>
      <w:tabs>
        <w:tab w:val="center" w:pos="4153"/>
        <w:tab w:val="right" w:pos="8306"/>
      </w:tabs>
      <w:snapToGrid w:val="0"/>
      <w:ind w:firstLineChars="200" w:firstLine="200"/>
      <w:jc w:val="left"/>
    </w:pPr>
    <w:rPr>
      <w:rFonts w:eastAsia="仿宋_GB2312"/>
      <w:sz w:val="18"/>
      <w:szCs w:val="20"/>
    </w:rPr>
  </w:style>
  <w:style w:type="character" w:customStyle="1" w:styleId="da">
    <w:name w:val="da"/>
    <w:basedOn w:val="a1"/>
    <w:rsid w:val="00BA4B87"/>
  </w:style>
  <w:style w:type="paragraph" w:customStyle="1" w:styleId="aa">
    <w:name w:val="特点"/>
    <w:aliases w:val="表正文,正文非缩进,段1"/>
    <w:basedOn w:val="a0"/>
    <w:next w:val="a4"/>
    <w:rsid w:val="00BA4B87"/>
    <w:pPr>
      <w:ind w:firstLine="420"/>
    </w:pPr>
    <w:rPr>
      <w:szCs w:val="20"/>
    </w:rPr>
  </w:style>
  <w:style w:type="paragraph" w:styleId="ab">
    <w:name w:val="Balloon Text"/>
    <w:basedOn w:val="a0"/>
    <w:link w:val="Char3"/>
    <w:semiHidden/>
    <w:rsid w:val="00BA4B87"/>
    <w:pPr>
      <w:ind w:firstLineChars="200" w:firstLine="200"/>
    </w:pPr>
    <w:rPr>
      <w:sz w:val="18"/>
      <w:szCs w:val="18"/>
    </w:rPr>
  </w:style>
  <w:style w:type="paragraph" w:styleId="ac">
    <w:name w:val="Body Text First Indent"/>
    <w:basedOn w:val="a"/>
    <w:link w:val="Char4"/>
    <w:rsid w:val="00BA4B87"/>
    <w:pPr>
      <w:numPr>
        <w:ilvl w:val="0"/>
        <w:numId w:val="0"/>
      </w:numPr>
      <w:tabs>
        <w:tab w:val="clear" w:pos="780"/>
      </w:tabs>
      <w:autoSpaceDE/>
      <w:autoSpaceDN/>
      <w:adjustRightInd/>
      <w:spacing w:after="120"/>
      <w:ind w:firstLineChars="100" w:firstLine="420"/>
      <w:jc w:val="both"/>
    </w:pPr>
    <w:rPr>
      <w:rFonts w:ascii="Times New Roman"/>
      <w:kern w:val="2"/>
      <w:sz w:val="21"/>
    </w:rPr>
  </w:style>
  <w:style w:type="character" w:styleId="ad">
    <w:name w:val="annotation reference"/>
    <w:basedOn w:val="a1"/>
    <w:rsid w:val="00BA4B87"/>
    <w:rPr>
      <w:sz w:val="21"/>
      <w:szCs w:val="21"/>
    </w:rPr>
  </w:style>
  <w:style w:type="paragraph" w:styleId="ae">
    <w:name w:val="annotation text"/>
    <w:basedOn w:val="a0"/>
    <w:link w:val="Char5"/>
    <w:rsid w:val="00BA4B87"/>
    <w:pPr>
      <w:jc w:val="left"/>
    </w:pPr>
  </w:style>
  <w:style w:type="character" w:customStyle="1" w:styleId="Char5">
    <w:name w:val="批注文字 Char"/>
    <w:basedOn w:val="a1"/>
    <w:link w:val="ae"/>
    <w:rsid w:val="00BA4B87"/>
    <w:rPr>
      <w:rFonts w:eastAsia="宋体"/>
      <w:kern w:val="2"/>
      <w:sz w:val="21"/>
      <w:szCs w:val="24"/>
      <w:lang w:val="en-US" w:eastAsia="zh-CN" w:bidi="ar-SA"/>
    </w:rPr>
  </w:style>
  <w:style w:type="character" w:styleId="af">
    <w:name w:val="Strong"/>
    <w:basedOn w:val="a1"/>
    <w:qFormat/>
    <w:rsid w:val="00BA4B87"/>
    <w:rPr>
      <w:b/>
      <w:bCs/>
    </w:rPr>
  </w:style>
  <w:style w:type="character" w:customStyle="1" w:styleId="read">
    <w:name w:val="read"/>
    <w:basedOn w:val="a1"/>
    <w:rsid w:val="00BA4B87"/>
  </w:style>
  <w:style w:type="character" w:customStyle="1" w:styleId="unnamed11">
    <w:name w:val="unnamed11"/>
    <w:basedOn w:val="a1"/>
    <w:rsid w:val="00BD3066"/>
    <w:rPr>
      <w:rFonts w:ascii="宋体" w:eastAsia="宋体" w:hAnsi="宋体" w:hint="eastAsia"/>
      <w:sz w:val="18"/>
      <w:szCs w:val="18"/>
    </w:rPr>
  </w:style>
  <w:style w:type="character" w:customStyle="1" w:styleId="CharChar1">
    <w:name w:val="Char Char1"/>
    <w:basedOn w:val="a1"/>
    <w:rsid w:val="003656D0"/>
    <w:rPr>
      <w:rFonts w:eastAsia="宋体"/>
      <w:kern w:val="2"/>
      <w:sz w:val="21"/>
      <w:szCs w:val="24"/>
      <w:lang w:val="en-US" w:eastAsia="zh-CN" w:bidi="ar-SA"/>
    </w:rPr>
  </w:style>
  <w:style w:type="paragraph" w:styleId="af0">
    <w:name w:val="annotation subject"/>
    <w:basedOn w:val="ae"/>
    <w:next w:val="ae"/>
    <w:link w:val="Char6"/>
    <w:semiHidden/>
    <w:rsid w:val="009009C3"/>
    <w:rPr>
      <w:b/>
      <w:bCs/>
    </w:rPr>
  </w:style>
  <w:style w:type="paragraph" w:styleId="30">
    <w:name w:val="toc 3"/>
    <w:basedOn w:val="a0"/>
    <w:next w:val="a0"/>
    <w:autoRedefine/>
    <w:uiPriority w:val="39"/>
    <w:qFormat/>
    <w:rsid w:val="00972780"/>
    <w:pPr>
      <w:ind w:leftChars="400" w:left="840"/>
    </w:pPr>
  </w:style>
  <w:style w:type="paragraph" w:styleId="af1">
    <w:name w:val="Document Map"/>
    <w:basedOn w:val="a0"/>
    <w:link w:val="Char7"/>
    <w:rsid w:val="00685D02"/>
    <w:rPr>
      <w:rFonts w:ascii="宋体"/>
      <w:sz w:val="18"/>
      <w:szCs w:val="18"/>
    </w:rPr>
  </w:style>
  <w:style w:type="character" w:customStyle="1" w:styleId="Char7">
    <w:name w:val="文档结构图 Char"/>
    <w:basedOn w:val="a1"/>
    <w:link w:val="af1"/>
    <w:rsid w:val="00685D02"/>
    <w:rPr>
      <w:rFonts w:ascii="宋体"/>
      <w:kern w:val="2"/>
      <w:sz w:val="18"/>
      <w:szCs w:val="18"/>
    </w:rPr>
  </w:style>
  <w:style w:type="paragraph" w:styleId="af2">
    <w:name w:val="Normal (Web)"/>
    <w:basedOn w:val="a0"/>
    <w:uiPriority w:val="99"/>
    <w:rsid w:val="00125037"/>
    <w:pPr>
      <w:widowControl/>
      <w:spacing w:before="100" w:beforeAutospacing="1" w:after="100" w:afterAutospacing="1"/>
      <w:jc w:val="left"/>
    </w:pPr>
    <w:rPr>
      <w:rFonts w:ascii="宋体" w:hAnsi="宋体" w:cs="宋体"/>
      <w:kern w:val="0"/>
      <w:sz w:val="24"/>
    </w:rPr>
  </w:style>
  <w:style w:type="paragraph" w:styleId="40">
    <w:name w:val="toc 4"/>
    <w:basedOn w:val="a0"/>
    <w:next w:val="a0"/>
    <w:autoRedefine/>
    <w:uiPriority w:val="39"/>
    <w:unhideWhenUsed/>
    <w:rsid w:val="00484145"/>
    <w:pPr>
      <w:ind w:leftChars="600" w:left="1260"/>
    </w:pPr>
    <w:rPr>
      <w:rFonts w:ascii="Calibri" w:hAnsi="Calibri"/>
      <w:szCs w:val="22"/>
    </w:rPr>
  </w:style>
  <w:style w:type="paragraph" w:styleId="50">
    <w:name w:val="toc 5"/>
    <w:basedOn w:val="a0"/>
    <w:next w:val="a0"/>
    <w:autoRedefine/>
    <w:uiPriority w:val="39"/>
    <w:unhideWhenUsed/>
    <w:rsid w:val="00484145"/>
    <w:pPr>
      <w:ind w:leftChars="800" w:left="1680"/>
    </w:pPr>
    <w:rPr>
      <w:rFonts w:ascii="Calibri" w:hAnsi="Calibri"/>
      <w:szCs w:val="22"/>
    </w:rPr>
  </w:style>
  <w:style w:type="paragraph" w:styleId="60">
    <w:name w:val="toc 6"/>
    <w:basedOn w:val="a0"/>
    <w:next w:val="a0"/>
    <w:autoRedefine/>
    <w:uiPriority w:val="39"/>
    <w:unhideWhenUsed/>
    <w:rsid w:val="00484145"/>
    <w:pPr>
      <w:ind w:leftChars="1000" w:left="2100"/>
    </w:pPr>
    <w:rPr>
      <w:rFonts w:ascii="Calibri" w:hAnsi="Calibri"/>
      <w:szCs w:val="22"/>
    </w:rPr>
  </w:style>
  <w:style w:type="paragraph" w:styleId="70">
    <w:name w:val="toc 7"/>
    <w:basedOn w:val="a0"/>
    <w:next w:val="a0"/>
    <w:autoRedefine/>
    <w:uiPriority w:val="39"/>
    <w:unhideWhenUsed/>
    <w:rsid w:val="00484145"/>
    <w:pPr>
      <w:ind w:leftChars="1200" w:left="2520"/>
    </w:pPr>
    <w:rPr>
      <w:rFonts w:ascii="Calibri" w:hAnsi="Calibri"/>
      <w:szCs w:val="22"/>
    </w:rPr>
  </w:style>
  <w:style w:type="paragraph" w:styleId="80">
    <w:name w:val="toc 8"/>
    <w:basedOn w:val="a0"/>
    <w:next w:val="a0"/>
    <w:autoRedefine/>
    <w:uiPriority w:val="39"/>
    <w:unhideWhenUsed/>
    <w:rsid w:val="00484145"/>
    <w:pPr>
      <w:ind w:leftChars="1400" w:left="2940"/>
    </w:pPr>
    <w:rPr>
      <w:rFonts w:ascii="Calibri" w:hAnsi="Calibri"/>
      <w:szCs w:val="22"/>
    </w:rPr>
  </w:style>
  <w:style w:type="paragraph" w:styleId="90">
    <w:name w:val="toc 9"/>
    <w:basedOn w:val="a0"/>
    <w:next w:val="a0"/>
    <w:autoRedefine/>
    <w:uiPriority w:val="39"/>
    <w:unhideWhenUsed/>
    <w:rsid w:val="00484145"/>
    <w:pPr>
      <w:ind w:leftChars="1600" w:left="3360"/>
    </w:pPr>
    <w:rPr>
      <w:rFonts w:ascii="Calibri" w:hAnsi="Calibri"/>
      <w:szCs w:val="22"/>
    </w:rPr>
  </w:style>
  <w:style w:type="paragraph" w:styleId="af3">
    <w:name w:val="Revision"/>
    <w:hidden/>
    <w:uiPriority w:val="99"/>
    <w:semiHidden/>
    <w:rsid w:val="006558BB"/>
    <w:rPr>
      <w:kern w:val="2"/>
      <w:sz w:val="21"/>
      <w:szCs w:val="24"/>
    </w:rPr>
  </w:style>
  <w:style w:type="character" w:styleId="af4">
    <w:name w:val="FollowedHyperlink"/>
    <w:basedOn w:val="a1"/>
    <w:uiPriority w:val="99"/>
    <w:rsid w:val="008D7686"/>
    <w:rPr>
      <w:color w:val="800080"/>
      <w:u w:val="single"/>
    </w:rPr>
  </w:style>
  <w:style w:type="character" w:customStyle="1" w:styleId="heigh1801">
    <w:name w:val="heigh1801"/>
    <w:basedOn w:val="a1"/>
    <w:rsid w:val="00A80568"/>
  </w:style>
  <w:style w:type="paragraph" w:customStyle="1" w:styleId="Default">
    <w:name w:val="Default"/>
    <w:rsid w:val="00F30E7C"/>
    <w:pPr>
      <w:widowControl w:val="0"/>
      <w:autoSpaceDE w:val="0"/>
      <w:autoSpaceDN w:val="0"/>
      <w:adjustRightInd w:val="0"/>
    </w:pPr>
    <w:rPr>
      <w:rFonts w:ascii="宋体t.祯畴S." w:eastAsia="宋体t.祯畴S." w:cs="宋体t.祯畴S."/>
      <w:color w:val="000000"/>
      <w:sz w:val="24"/>
      <w:szCs w:val="24"/>
    </w:rPr>
  </w:style>
  <w:style w:type="table" w:styleId="af5">
    <w:name w:val="Table Grid"/>
    <w:basedOn w:val="a2"/>
    <w:uiPriority w:val="99"/>
    <w:rsid w:val="003E7F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0">
    <w:name w:val="纯文本 Char"/>
    <w:basedOn w:val="a1"/>
    <w:link w:val="a6"/>
    <w:rsid w:val="00D2527C"/>
    <w:rPr>
      <w:rFonts w:ascii="宋体" w:hAnsi="Courier New"/>
      <w:kern w:val="2"/>
      <w:sz w:val="24"/>
      <w:szCs w:val="21"/>
    </w:rPr>
  </w:style>
  <w:style w:type="character" w:customStyle="1" w:styleId="Char1">
    <w:name w:val="页眉 Char"/>
    <w:basedOn w:val="a1"/>
    <w:link w:val="a7"/>
    <w:uiPriority w:val="99"/>
    <w:rsid w:val="009B7CA3"/>
    <w:rPr>
      <w:rFonts w:eastAsia="仿宋_GB2312"/>
      <w:kern w:val="2"/>
      <w:sz w:val="18"/>
    </w:rPr>
  </w:style>
  <w:style w:type="paragraph" w:customStyle="1" w:styleId="Listbullet">
    <w:name w:val="List_bullet"/>
    <w:basedOn w:val="a0"/>
    <w:uiPriority w:val="99"/>
    <w:rsid w:val="004F4FB9"/>
    <w:pPr>
      <w:widowControl/>
      <w:numPr>
        <w:numId w:val="1"/>
      </w:numPr>
      <w:tabs>
        <w:tab w:val="left" w:pos="360"/>
      </w:tabs>
      <w:jc w:val="left"/>
    </w:pPr>
    <w:rPr>
      <w:kern w:val="0"/>
      <w:sz w:val="24"/>
      <w:szCs w:val="20"/>
    </w:rPr>
  </w:style>
  <w:style w:type="character" w:customStyle="1" w:styleId="Char2">
    <w:name w:val="页脚 Char"/>
    <w:basedOn w:val="a1"/>
    <w:link w:val="a9"/>
    <w:uiPriority w:val="99"/>
    <w:rsid w:val="00E26EBE"/>
    <w:rPr>
      <w:rFonts w:eastAsia="仿宋_GB2312"/>
      <w:kern w:val="2"/>
      <w:sz w:val="18"/>
    </w:rPr>
  </w:style>
  <w:style w:type="character" w:customStyle="1" w:styleId="Char4">
    <w:name w:val="正文首行缩进 Char"/>
    <w:basedOn w:val="a1"/>
    <w:link w:val="ac"/>
    <w:rsid w:val="002360EF"/>
    <w:rPr>
      <w:kern w:val="2"/>
      <w:sz w:val="21"/>
      <w:szCs w:val="24"/>
    </w:rPr>
  </w:style>
  <w:style w:type="character" w:customStyle="1" w:styleId="big1">
    <w:name w:val="big1"/>
    <w:basedOn w:val="a1"/>
    <w:rsid w:val="005408A1"/>
    <w:rPr>
      <w:spacing w:val="360"/>
      <w:sz w:val="22"/>
      <w:szCs w:val="22"/>
    </w:rPr>
  </w:style>
  <w:style w:type="paragraph" w:styleId="TOC">
    <w:name w:val="TOC Heading"/>
    <w:basedOn w:val="1"/>
    <w:next w:val="a0"/>
    <w:uiPriority w:val="39"/>
    <w:semiHidden/>
    <w:unhideWhenUsed/>
    <w:qFormat/>
    <w:rsid w:val="00AA313B"/>
    <w:pPr>
      <w:keepLines/>
      <w:widowControl/>
      <w:spacing w:beforeLines="0" w:afterLines="0" w:line="276" w:lineRule="auto"/>
      <w:ind w:firstLineChars="0" w:firstLine="0"/>
      <w:jc w:val="left"/>
      <w:outlineLvl w:val="9"/>
    </w:pPr>
    <w:rPr>
      <w:rFonts w:ascii="Cambria" w:eastAsia="宋体" w:hAnsi="Cambria"/>
      <w:b/>
      <w:bCs/>
      <w:color w:val="365F91"/>
      <w:kern w:val="0"/>
      <w:sz w:val="28"/>
      <w:szCs w:val="28"/>
    </w:rPr>
  </w:style>
  <w:style w:type="paragraph" w:styleId="af6">
    <w:name w:val="Body Text Indent"/>
    <w:basedOn w:val="a0"/>
    <w:link w:val="Char8"/>
    <w:uiPriority w:val="99"/>
    <w:rsid w:val="00A378B4"/>
    <w:pPr>
      <w:spacing w:line="360" w:lineRule="auto"/>
      <w:ind w:firstLineChars="200" w:firstLine="480"/>
    </w:pPr>
    <w:rPr>
      <w:sz w:val="24"/>
    </w:rPr>
  </w:style>
  <w:style w:type="character" w:customStyle="1" w:styleId="Char8">
    <w:name w:val="正文文本缩进 Char"/>
    <w:basedOn w:val="a1"/>
    <w:link w:val="af6"/>
    <w:uiPriority w:val="99"/>
    <w:rsid w:val="00A378B4"/>
    <w:rPr>
      <w:kern w:val="2"/>
      <w:sz w:val="24"/>
      <w:szCs w:val="24"/>
    </w:rPr>
  </w:style>
  <w:style w:type="paragraph" w:styleId="31">
    <w:name w:val="Body Text Indent 3"/>
    <w:basedOn w:val="a0"/>
    <w:link w:val="3Char0"/>
    <w:uiPriority w:val="99"/>
    <w:rsid w:val="00A378B4"/>
    <w:pPr>
      <w:tabs>
        <w:tab w:val="left" w:pos="1080"/>
      </w:tabs>
      <w:ind w:firstLine="360"/>
    </w:pPr>
    <w:rPr>
      <w:rFonts w:ascii="仿宋_GB2312" w:eastAsia="仿宋_GB2312" w:hAnsi="宋体"/>
      <w:sz w:val="24"/>
    </w:rPr>
  </w:style>
  <w:style w:type="character" w:customStyle="1" w:styleId="3Char0">
    <w:name w:val="正文文本缩进 3 Char"/>
    <w:basedOn w:val="a1"/>
    <w:link w:val="31"/>
    <w:uiPriority w:val="99"/>
    <w:rsid w:val="00A378B4"/>
    <w:rPr>
      <w:rFonts w:ascii="仿宋_GB2312" w:eastAsia="仿宋_GB2312" w:hAnsi="宋体"/>
      <w:kern w:val="2"/>
      <w:sz w:val="24"/>
      <w:szCs w:val="24"/>
    </w:rPr>
  </w:style>
  <w:style w:type="paragraph" w:styleId="22">
    <w:name w:val="Body Text Indent 2"/>
    <w:basedOn w:val="a0"/>
    <w:link w:val="2Char0"/>
    <w:uiPriority w:val="99"/>
    <w:rsid w:val="00A378B4"/>
    <w:pPr>
      <w:spacing w:before="60" w:line="360" w:lineRule="auto"/>
      <w:ind w:firstLine="345"/>
    </w:pPr>
    <w:rPr>
      <w:color w:val="3366FF"/>
      <w:sz w:val="24"/>
    </w:rPr>
  </w:style>
  <w:style w:type="character" w:customStyle="1" w:styleId="2Char0">
    <w:name w:val="正文文本缩进 2 Char"/>
    <w:basedOn w:val="a1"/>
    <w:link w:val="22"/>
    <w:uiPriority w:val="99"/>
    <w:rsid w:val="00A378B4"/>
    <w:rPr>
      <w:color w:val="3366FF"/>
      <w:kern w:val="2"/>
      <w:sz w:val="24"/>
      <w:szCs w:val="24"/>
    </w:rPr>
  </w:style>
  <w:style w:type="paragraph" w:customStyle="1" w:styleId="af7">
    <w:name w:val="项目"/>
    <w:basedOn w:val="4"/>
    <w:uiPriority w:val="99"/>
    <w:rsid w:val="00A378B4"/>
    <w:pPr>
      <w:numPr>
        <w:ilvl w:val="0"/>
        <w:numId w:val="0"/>
      </w:numPr>
      <w:snapToGrid w:val="0"/>
      <w:spacing w:before="120" w:after="120" w:line="360" w:lineRule="auto"/>
    </w:pPr>
    <w:rPr>
      <w:rFonts w:ascii="Times New Roman" w:eastAsia="楷体_GB2312" w:hAnsi="Times New Roman"/>
      <w:b w:val="0"/>
      <w:sz w:val="24"/>
      <w:szCs w:val="20"/>
    </w:rPr>
  </w:style>
  <w:style w:type="paragraph" w:customStyle="1" w:styleId="af8">
    <w:name w:val="表格文字"/>
    <w:basedOn w:val="a"/>
    <w:uiPriority w:val="99"/>
    <w:rsid w:val="00A378B4"/>
    <w:pPr>
      <w:numPr>
        <w:ilvl w:val="0"/>
        <w:numId w:val="0"/>
      </w:numPr>
      <w:autoSpaceDE/>
      <w:autoSpaceDN/>
      <w:adjustRightInd/>
      <w:spacing w:before="60" w:after="60"/>
      <w:jc w:val="center"/>
    </w:pPr>
    <w:rPr>
      <w:rFonts w:ascii="Times New Roman" w:eastAsia="楷体_GB2312"/>
      <w:bCs/>
      <w:kern w:val="2"/>
      <w:sz w:val="21"/>
      <w:szCs w:val="20"/>
    </w:rPr>
  </w:style>
  <w:style w:type="character" w:customStyle="1" w:styleId="read1">
    <w:name w:val="read1"/>
    <w:basedOn w:val="a1"/>
    <w:rsid w:val="00A378B4"/>
    <w:rPr>
      <w:rFonts w:ascii="ˎ̥" w:hAnsi="ˎ̥" w:hint="default"/>
      <w:strike w:val="0"/>
      <w:dstrike w:val="0"/>
      <w:color w:val="000000"/>
      <w:u w:val="none"/>
      <w:effect w:val="none"/>
    </w:rPr>
  </w:style>
  <w:style w:type="paragraph" w:styleId="23">
    <w:name w:val="Body Text 2"/>
    <w:basedOn w:val="a0"/>
    <w:link w:val="2Char1"/>
    <w:uiPriority w:val="99"/>
    <w:rsid w:val="00A378B4"/>
    <w:pPr>
      <w:adjustRightInd w:val="0"/>
      <w:snapToGrid w:val="0"/>
      <w:spacing w:line="360" w:lineRule="auto"/>
    </w:pPr>
    <w:rPr>
      <w:color w:val="0C6C9C"/>
      <w:szCs w:val="18"/>
    </w:rPr>
  </w:style>
  <w:style w:type="character" w:customStyle="1" w:styleId="2Char1">
    <w:name w:val="正文文本 2 Char"/>
    <w:basedOn w:val="a1"/>
    <w:link w:val="23"/>
    <w:uiPriority w:val="99"/>
    <w:rsid w:val="00A378B4"/>
    <w:rPr>
      <w:color w:val="0C6C9C"/>
      <w:kern w:val="2"/>
      <w:sz w:val="21"/>
      <w:szCs w:val="18"/>
    </w:rPr>
  </w:style>
  <w:style w:type="character" w:customStyle="1" w:styleId="font141">
    <w:name w:val="font141"/>
    <w:basedOn w:val="a1"/>
    <w:rsid w:val="00A378B4"/>
    <w:rPr>
      <w:rFonts w:ascii="宋体" w:eastAsia="宋体" w:hAnsi="宋体" w:hint="eastAsia"/>
      <w:spacing w:val="300"/>
      <w:sz w:val="21"/>
      <w:szCs w:val="21"/>
    </w:rPr>
  </w:style>
  <w:style w:type="paragraph" w:customStyle="1" w:styleId="CharCharCharChar">
    <w:name w:val="Char Char Char Char"/>
    <w:basedOn w:val="a0"/>
    <w:autoRedefine/>
    <w:uiPriority w:val="99"/>
    <w:rsid w:val="00A378B4"/>
    <w:pPr>
      <w:tabs>
        <w:tab w:val="num" w:pos="360"/>
      </w:tabs>
    </w:pPr>
    <w:rPr>
      <w:sz w:val="24"/>
    </w:rPr>
  </w:style>
  <w:style w:type="paragraph" w:customStyle="1" w:styleId="CharCharChar">
    <w:name w:val="Char Char Char"/>
    <w:basedOn w:val="a0"/>
    <w:uiPriority w:val="99"/>
    <w:rsid w:val="00A378B4"/>
  </w:style>
  <w:style w:type="paragraph" w:customStyle="1" w:styleId="Char9">
    <w:name w:val="Char"/>
    <w:basedOn w:val="a0"/>
    <w:uiPriority w:val="99"/>
    <w:rsid w:val="00A378B4"/>
  </w:style>
  <w:style w:type="table" w:styleId="af9">
    <w:name w:val="Table Theme"/>
    <w:basedOn w:val="a2"/>
    <w:rsid w:val="00A378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0"/>
    <w:next w:val="a0"/>
    <w:link w:val="Chara"/>
    <w:uiPriority w:val="99"/>
    <w:rsid w:val="00A378B4"/>
    <w:pPr>
      <w:ind w:leftChars="2500" w:left="100"/>
    </w:pPr>
  </w:style>
  <w:style w:type="character" w:customStyle="1" w:styleId="Chara">
    <w:name w:val="日期 Char"/>
    <w:basedOn w:val="a1"/>
    <w:link w:val="afa"/>
    <w:uiPriority w:val="99"/>
    <w:rsid w:val="00A378B4"/>
    <w:rPr>
      <w:kern w:val="2"/>
      <w:sz w:val="21"/>
      <w:szCs w:val="24"/>
    </w:rPr>
  </w:style>
  <w:style w:type="character" w:styleId="HTML">
    <w:name w:val="HTML Typewriter"/>
    <w:basedOn w:val="a1"/>
    <w:rsid w:val="00A378B4"/>
    <w:rPr>
      <w:rFonts w:ascii="黑体" w:eastAsia="黑体" w:hAnsi="Courier New" w:cs="Courier New"/>
      <w:sz w:val="20"/>
      <w:szCs w:val="20"/>
    </w:rPr>
  </w:style>
  <w:style w:type="paragraph" w:styleId="afb">
    <w:name w:val="Title"/>
    <w:basedOn w:val="a0"/>
    <w:next w:val="a0"/>
    <w:link w:val="Charb"/>
    <w:uiPriority w:val="99"/>
    <w:qFormat/>
    <w:rsid w:val="005947B9"/>
    <w:pPr>
      <w:spacing w:before="240" w:after="60"/>
      <w:jc w:val="center"/>
      <w:outlineLvl w:val="0"/>
    </w:pPr>
    <w:rPr>
      <w:rFonts w:ascii="Cambria" w:hAnsi="Cambria"/>
      <w:b/>
      <w:bCs/>
      <w:sz w:val="32"/>
      <w:szCs w:val="32"/>
    </w:rPr>
  </w:style>
  <w:style w:type="character" w:customStyle="1" w:styleId="Charb">
    <w:name w:val="标题 Char"/>
    <w:basedOn w:val="a1"/>
    <w:link w:val="afb"/>
    <w:uiPriority w:val="99"/>
    <w:rsid w:val="005947B9"/>
    <w:rPr>
      <w:rFonts w:ascii="Cambria" w:hAnsi="Cambria" w:cs="Times New Roman"/>
      <w:b/>
      <w:bCs/>
      <w:kern w:val="2"/>
      <w:sz w:val="32"/>
      <w:szCs w:val="32"/>
    </w:rPr>
  </w:style>
  <w:style w:type="character" w:customStyle="1" w:styleId="Char10">
    <w:name w:val="纯文本 Char1"/>
    <w:basedOn w:val="a1"/>
    <w:semiHidden/>
    <w:locked/>
    <w:rsid w:val="00100938"/>
    <w:rPr>
      <w:rFonts w:ascii="宋体" w:hAnsi="Courier New" w:cs="Courier New"/>
      <w:kern w:val="2"/>
      <w:sz w:val="21"/>
      <w:szCs w:val="21"/>
    </w:rPr>
  </w:style>
  <w:style w:type="character" w:customStyle="1" w:styleId="1Char">
    <w:name w:val="标题 1 Char"/>
    <w:aliases w:val="Heading 0 Char1,H1 Char1,PIM 1 Char1,Heading 11 Char1,level 1 Char1,Level 1 Head Char1,h1 Char1,123321 Char1,Level 1 Topic Heading Char1"/>
    <w:basedOn w:val="a1"/>
    <w:link w:val="1"/>
    <w:rsid w:val="00B56590"/>
    <w:rPr>
      <w:rFonts w:ascii="黑体" w:eastAsia="黑体"/>
      <w:kern w:val="2"/>
      <w:sz w:val="32"/>
      <w:szCs w:val="32"/>
    </w:rPr>
  </w:style>
  <w:style w:type="character" w:customStyle="1" w:styleId="2Char">
    <w:name w:val="标题 2 Char"/>
    <w:aliases w:val="H2 Char1,Heading 2 Hidden Char1,Heading 2 CCBS Char1,标题 2 Char Char Char1,2nd level Char1,h2 Char1,2 Char1,Header 2 Char1,PIM2 Char1,l2 Char1,Level 2 Head Char1,proj2 Char1,proj21 Char1,proj22 Char1,proj23 Char1,proj24 Char1,proj25 Char1"/>
    <w:basedOn w:val="a1"/>
    <w:link w:val="2"/>
    <w:rsid w:val="00B56590"/>
    <w:rPr>
      <w:rFonts w:ascii="Arial" w:hAnsi="Arial"/>
      <w:b/>
      <w:kern w:val="2"/>
      <w:sz w:val="28"/>
      <w:szCs w:val="28"/>
    </w:rPr>
  </w:style>
  <w:style w:type="character" w:customStyle="1" w:styleId="3Char">
    <w:name w:val="标题 3 Char"/>
    <w:basedOn w:val="a1"/>
    <w:link w:val="3"/>
    <w:rsid w:val="00B56590"/>
    <w:rPr>
      <w:rFonts w:ascii="仿宋_GB2312" w:eastAsia="仿宋_GB2312"/>
      <w:kern w:val="2"/>
      <w:sz w:val="24"/>
    </w:rPr>
  </w:style>
  <w:style w:type="character" w:customStyle="1" w:styleId="4Char">
    <w:name w:val="标题 4 Char"/>
    <w:basedOn w:val="a1"/>
    <w:link w:val="4"/>
    <w:rsid w:val="00B56590"/>
    <w:rPr>
      <w:rFonts w:ascii="Arial" w:eastAsia="黑体" w:hAnsi="Arial"/>
      <w:b/>
      <w:bCs/>
      <w:kern w:val="2"/>
      <w:sz w:val="28"/>
      <w:szCs w:val="28"/>
    </w:rPr>
  </w:style>
  <w:style w:type="character" w:customStyle="1" w:styleId="5Char">
    <w:name w:val="标题 5 Char"/>
    <w:basedOn w:val="a1"/>
    <w:link w:val="5"/>
    <w:rsid w:val="00B56590"/>
    <w:rPr>
      <w:b/>
      <w:bCs/>
      <w:kern w:val="2"/>
      <w:sz w:val="28"/>
      <w:szCs w:val="28"/>
    </w:rPr>
  </w:style>
  <w:style w:type="character" w:customStyle="1" w:styleId="6Char">
    <w:name w:val="标题 6 Char"/>
    <w:basedOn w:val="a1"/>
    <w:link w:val="6"/>
    <w:rsid w:val="00B56590"/>
    <w:rPr>
      <w:rFonts w:ascii="Arial" w:eastAsia="黑体" w:hAnsi="Arial"/>
      <w:b/>
      <w:bCs/>
      <w:kern w:val="2"/>
      <w:sz w:val="24"/>
      <w:szCs w:val="24"/>
    </w:rPr>
  </w:style>
  <w:style w:type="character" w:customStyle="1" w:styleId="7Char">
    <w:name w:val="标题 7 Char"/>
    <w:basedOn w:val="a1"/>
    <w:link w:val="7"/>
    <w:uiPriority w:val="99"/>
    <w:rsid w:val="00B56590"/>
    <w:rPr>
      <w:b/>
      <w:bCs/>
      <w:kern w:val="2"/>
      <w:sz w:val="24"/>
      <w:szCs w:val="24"/>
    </w:rPr>
  </w:style>
  <w:style w:type="character" w:customStyle="1" w:styleId="8Char">
    <w:name w:val="标题 8 Char"/>
    <w:basedOn w:val="a1"/>
    <w:link w:val="8"/>
    <w:uiPriority w:val="99"/>
    <w:rsid w:val="00B56590"/>
    <w:rPr>
      <w:rFonts w:ascii="Arial" w:eastAsia="黑体" w:hAnsi="Arial"/>
      <w:kern w:val="2"/>
      <w:sz w:val="24"/>
      <w:szCs w:val="24"/>
    </w:rPr>
  </w:style>
  <w:style w:type="character" w:customStyle="1" w:styleId="9Char">
    <w:name w:val="标题 9 Char"/>
    <w:basedOn w:val="a1"/>
    <w:link w:val="9"/>
    <w:uiPriority w:val="99"/>
    <w:rsid w:val="00B56590"/>
    <w:rPr>
      <w:rFonts w:ascii="Arial" w:eastAsia="黑体" w:hAnsi="Arial"/>
      <w:kern w:val="2"/>
      <w:sz w:val="24"/>
      <w:szCs w:val="21"/>
    </w:rPr>
  </w:style>
  <w:style w:type="character" w:customStyle="1" w:styleId="1Char1">
    <w:name w:val="标题 1 Char1"/>
    <w:aliases w:val="Heading 0 Char,H1 Char,PIM 1 Char,Heading 11 Char,level 1 Char,Level 1 Head Char,h1 Char,123321 Char,Level 1 Topic Heading Char"/>
    <w:basedOn w:val="a1"/>
    <w:rsid w:val="00B56590"/>
    <w:rPr>
      <w:b/>
      <w:bCs/>
      <w:kern w:val="44"/>
      <w:sz w:val="44"/>
      <w:szCs w:val="44"/>
    </w:rPr>
  </w:style>
  <w:style w:type="character" w:customStyle="1" w:styleId="2Char10">
    <w:name w:val="标题 2 Char1"/>
    <w:aliases w:val="H2 Char,Heading 2 Hidden Char,Heading 2 CCBS Char,标题 2 Char Char Char,2nd level Char,h2 Char,2 Char,Header 2 Char,PIM2 Char,l2 Char,Level 2 Head Char,proj2 Char,proj21 Char,proj22 Char,proj23 Char,proj24 Char,proj25 Char,proj26 Char"/>
    <w:basedOn w:val="a1"/>
    <w:semiHidden/>
    <w:rsid w:val="00B56590"/>
    <w:rPr>
      <w:rFonts w:asciiTheme="majorHAnsi" w:eastAsiaTheme="majorEastAsia" w:hAnsiTheme="majorHAnsi" w:cstheme="majorBidi" w:hint="default"/>
      <w:b/>
      <w:bCs/>
      <w:kern w:val="2"/>
      <w:sz w:val="32"/>
      <w:szCs w:val="32"/>
    </w:rPr>
  </w:style>
  <w:style w:type="character" w:customStyle="1" w:styleId="Char">
    <w:name w:val="正文文本 Char"/>
    <w:basedOn w:val="a1"/>
    <w:link w:val="a"/>
    <w:uiPriority w:val="99"/>
    <w:rsid w:val="00B56590"/>
    <w:rPr>
      <w:rFonts w:ascii="宋体"/>
      <w:sz w:val="24"/>
      <w:szCs w:val="24"/>
    </w:rPr>
  </w:style>
  <w:style w:type="character" w:customStyle="1" w:styleId="Char6">
    <w:name w:val="批注主题 Char"/>
    <w:basedOn w:val="Char5"/>
    <w:link w:val="af0"/>
    <w:uiPriority w:val="99"/>
    <w:semiHidden/>
    <w:rsid w:val="00B56590"/>
    <w:rPr>
      <w:rFonts w:eastAsia="宋体"/>
      <w:b/>
      <w:bCs/>
      <w:kern w:val="2"/>
      <w:sz w:val="21"/>
      <w:szCs w:val="24"/>
      <w:lang w:val="en-US" w:eastAsia="zh-CN" w:bidi="ar-SA"/>
    </w:rPr>
  </w:style>
  <w:style w:type="character" w:customStyle="1" w:styleId="Char3">
    <w:name w:val="批注框文本 Char"/>
    <w:basedOn w:val="a1"/>
    <w:link w:val="ab"/>
    <w:uiPriority w:val="99"/>
    <w:semiHidden/>
    <w:rsid w:val="00B56590"/>
    <w:rPr>
      <w:kern w:val="2"/>
      <w:sz w:val="18"/>
      <w:szCs w:val="18"/>
    </w:rPr>
  </w:style>
  <w:style w:type="paragraph" w:styleId="HTML0">
    <w:name w:val="HTML Preformatted"/>
    <w:basedOn w:val="a0"/>
    <w:link w:val="HTMLChar"/>
    <w:uiPriority w:val="99"/>
    <w:semiHidden/>
    <w:unhideWhenUsed/>
    <w:rsid w:val="00A920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0"/>
    <w:uiPriority w:val="99"/>
    <w:semiHidden/>
    <w:rsid w:val="00A920E5"/>
    <w:rPr>
      <w:rFonts w:ascii="宋体" w:hAnsi="宋体"/>
      <w:sz w:val="24"/>
      <w:szCs w:val="24"/>
    </w:rPr>
  </w:style>
  <w:style w:type="character" w:styleId="afc">
    <w:name w:val="footnote reference"/>
    <w:basedOn w:val="a1"/>
    <w:rsid w:val="00943624"/>
    <w:rPr>
      <w:vertAlign w:val="superscript"/>
    </w:rPr>
  </w:style>
  <w:style w:type="paragraph" w:styleId="afd">
    <w:name w:val="List Paragraph"/>
    <w:basedOn w:val="a0"/>
    <w:uiPriority w:val="34"/>
    <w:qFormat/>
    <w:rsid w:val="00943624"/>
    <w:pPr>
      <w:ind w:firstLineChars="200" w:firstLine="420"/>
    </w:pPr>
    <w:rPr>
      <w:szCs w:val="21"/>
    </w:rPr>
  </w:style>
  <w:style w:type="character" w:customStyle="1" w:styleId="t1">
    <w:name w:val="t1"/>
    <w:basedOn w:val="a1"/>
    <w:rsid w:val="00943624"/>
    <w:rPr>
      <w:color w:val="99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4037">
      <w:bodyDiv w:val="1"/>
      <w:marLeft w:val="0"/>
      <w:marRight w:val="0"/>
      <w:marTop w:val="0"/>
      <w:marBottom w:val="0"/>
      <w:divBdr>
        <w:top w:val="none" w:sz="0" w:space="0" w:color="auto"/>
        <w:left w:val="none" w:sz="0" w:space="0" w:color="auto"/>
        <w:bottom w:val="none" w:sz="0" w:space="0" w:color="auto"/>
        <w:right w:val="none" w:sz="0" w:space="0" w:color="auto"/>
      </w:divBdr>
    </w:div>
    <w:div w:id="56245570">
      <w:bodyDiv w:val="1"/>
      <w:marLeft w:val="0"/>
      <w:marRight w:val="0"/>
      <w:marTop w:val="0"/>
      <w:marBottom w:val="0"/>
      <w:divBdr>
        <w:top w:val="none" w:sz="0" w:space="0" w:color="auto"/>
        <w:left w:val="none" w:sz="0" w:space="0" w:color="auto"/>
        <w:bottom w:val="none" w:sz="0" w:space="0" w:color="auto"/>
        <w:right w:val="none" w:sz="0" w:space="0" w:color="auto"/>
      </w:divBdr>
    </w:div>
    <w:div w:id="75830743">
      <w:bodyDiv w:val="1"/>
      <w:marLeft w:val="0"/>
      <w:marRight w:val="0"/>
      <w:marTop w:val="0"/>
      <w:marBottom w:val="0"/>
      <w:divBdr>
        <w:top w:val="none" w:sz="0" w:space="0" w:color="auto"/>
        <w:left w:val="none" w:sz="0" w:space="0" w:color="auto"/>
        <w:bottom w:val="none" w:sz="0" w:space="0" w:color="auto"/>
        <w:right w:val="none" w:sz="0" w:space="0" w:color="auto"/>
      </w:divBdr>
    </w:div>
    <w:div w:id="78720675">
      <w:bodyDiv w:val="1"/>
      <w:marLeft w:val="0"/>
      <w:marRight w:val="0"/>
      <w:marTop w:val="0"/>
      <w:marBottom w:val="0"/>
      <w:divBdr>
        <w:top w:val="none" w:sz="0" w:space="0" w:color="auto"/>
        <w:left w:val="none" w:sz="0" w:space="0" w:color="auto"/>
        <w:bottom w:val="none" w:sz="0" w:space="0" w:color="auto"/>
        <w:right w:val="none" w:sz="0" w:space="0" w:color="auto"/>
      </w:divBdr>
    </w:div>
    <w:div w:id="81605562">
      <w:bodyDiv w:val="1"/>
      <w:marLeft w:val="0"/>
      <w:marRight w:val="0"/>
      <w:marTop w:val="0"/>
      <w:marBottom w:val="0"/>
      <w:divBdr>
        <w:top w:val="none" w:sz="0" w:space="0" w:color="auto"/>
        <w:left w:val="none" w:sz="0" w:space="0" w:color="auto"/>
        <w:bottom w:val="none" w:sz="0" w:space="0" w:color="auto"/>
        <w:right w:val="none" w:sz="0" w:space="0" w:color="auto"/>
      </w:divBdr>
    </w:div>
    <w:div w:id="93868472">
      <w:bodyDiv w:val="1"/>
      <w:marLeft w:val="0"/>
      <w:marRight w:val="0"/>
      <w:marTop w:val="0"/>
      <w:marBottom w:val="0"/>
      <w:divBdr>
        <w:top w:val="none" w:sz="0" w:space="0" w:color="auto"/>
        <w:left w:val="none" w:sz="0" w:space="0" w:color="auto"/>
        <w:bottom w:val="none" w:sz="0" w:space="0" w:color="auto"/>
        <w:right w:val="none" w:sz="0" w:space="0" w:color="auto"/>
      </w:divBdr>
    </w:div>
    <w:div w:id="100994257">
      <w:bodyDiv w:val="1"/>
      <w:marLeft w:val="0"/>
      <w:marRight w:val="0"/>
      <w:marTop w:val="0"/>
      <w:marBottom w:val="0"/>
      <w:divBdr>
        <w:top w:val="none" w:sz="0" w:space="0" w:color="auto"/>
        <w:left w:val="none" w:sz="0" w:space="0" w:color="auto"/>
        <w:bottom w:val="none" w:sz="0" w:space="0" w:color="auto"/>
        <w:right w:val="none" w:sz="0" w:space="0" w:color="auto"/>
      </w:divBdr>
    </w:div>
    <w:div w:id="134571420">
      <w:bodyDiv w:val="1"/>
      <w:marLeft w:val="0"/>
      <w:marRight w:val="0"/>
      <w:marTop w:val="0"/>
      <w:marBottom w:val="0"/>
      <w:divBdr>
        <w:top w:val="none" w:sz="0" w:space="0" w:color="auto"/>
        <w:left w:val="none" w:sz="0" w:space="0" w:color="auto"/>
        <w:bottom w:val="none" w:sz="0" w:space="0" w:color="auto"/>
        <w:right w:val="none" w:sz="0" w:space="0" w:color="auto"/>
      </w:divBdr>
    </w:div>
    <w:div w:id="139999835">
      <w:bodyDiv w:val="1"/>
      <w:marLeft w:val="0"/>
      <w:marRight w:val="0"/>
      <w:marTop w:val="0"/>
      <w:marBottom w:val="0"/>
      <w:divBdr>
        <w:top w:val="none" w:sz="0" w:space="0" w:color="auto"/>
        <w:left w:val="none" w:sz="0" w:space="0" w:color="auto"/>
        <w:bottom w:val="none" w:sz="0" w:space="0" w:color="auto"/>
        <w:right w:val="none" w:sz="0" w:space="0" w:color="auto"/>
      </w:divBdr>
    </w:div>
    <w:div w:id="154491092">
      <w:bodyDiv w:val="1"/>
      <w:marLeft w:val="0"/>
      <w:marRight w:val="0"/>
      <w:marTop w:val="0"/>
      <w:marBottom w:val="0"/>
      <w:divBdr>
        <w:top w:val="none" w:sz="0" w:space="0" w:color="auto"/>
        <w:left w:val="none" w:sz="0" w:space="0" w:color="auto"/>
        <w:bottom w:val="none" w:sz="0" w:space="0" w:color="auto"/>
        <w:right w:val="none" w:sz="0" w:space="0" w:color="auto"/>
      </w:divBdr>
    </w:div>
    <w:div w:id="194200590">
      <w:bodyDiv w:val="1"/>
      <w:marLeft w:val="0"/>
      <w:marRight w:val="0"/>
      <w:marTop w:val="0"/>
      <w:marBottom w:val="0"/>
      <w:divBdr>
        <w:top w:val="none" w:sz="0" w:space="0" w:color="auto"/>
        <w:left w:val="none" w:sz="0" w:space="0" w:color="auto"/>
        <w:bottom w:val="none" w:sz="0" w:space="0" w:color="auto"/>
        <w:right w:val="none" w:sz="0" w:space="0" w:color="auto"/>
      </w:divBdr>
    </w:div>
    <w:div w:id="211429539">
      <w:bodyDiv w:val="1"/>
      <w:marLeft w:val="0"/>
      <w:marRight w:val="0"/>
      <w:marTop w:val="0"/>
      <w:marBottom w:val="0"/>
      <w:divBdr>
        <w:top w:val="none" w:sz="0" w:space="0" w:color="auto"/>
        <w:left w:val="none" w:sz="0" w:space="0" w:color="auto"/>
        <w:bottom w:val="none" w:sz="0" w:space="0" w:color="auto"/>
        <w:right w:val="none" w:sz="0" w:space="0" w:color="auto"/>
      </w:divBdr>
    </w:div>
    <w:div w:id="248345686">
      <w:bodyDiv w:val="1"/>
      <w:marLeft w:val="0"/>
      <w:marRight w:val="0"/>
      <w:marTop w:val="0"/>
      <w:marBottom w:val="0"/>
      <w:divBdr>
        <w:top w:val="none" w:sz="0" w:space="0" w:color="auto"/>
        <w:left w:val="none" w:sz="0" w:space="0" w:color="auto"/>
        <w:bottom w:val="none" w:sz="0" w:space="0" w:color="auto"/>
        <w:right w:val="none" w:sz="0" w:space="0" w:color="auto"/>
      </w:divBdr>
    </w:div>
    <w:div w:id="255527607">
      <w:bodyDiv w:val="1"/>
      <w:marLeft w:val="0"/>
      <w:marRight w:val="0"/>
      <w:marTop w:val="0"/>
      <w:marBottom w:val="0"/>
      <w:divBdr>
        <w:top w:val="none" w:sz="0" w:space="0" w:color="auto"/>
        <w:left w:val="none" w:sz="0" w:space="0" w:color="auto"/>
        <w:bottom w:val="none" w:sz="0" w:space="0" w:color="auto"/>
        <w:right w:val="none" w:sz="0" w:space="0" w:color="auto"/>
      </w:divBdr>
    </w:div>
    <w:div w:id="286474576">
      <w:bodyDiv w:val="1"/>
      <w:marLeft w:val="0"/>
      <w:marRight w:val="0"/>
      <w:marTop w:val="0"/>
      <w:marBottom w:val="0"/>
      <w:divBdr>
        <w:top w:val="none" w:sz="0" w:space="0" w:color="auto"/>
        <w:left w:val="none" w:sz="0" w:space="0" w:color="auto"/>
        <w:bottom w:val="none" w:sz="0" w:space="0" w:color="auto"/>
        <w:right w:val="none" w:sz="0" w:space="0" w:color="auto"/>
      </w:divBdr>
    </w:div>
    <w:div w:id="288779555">
      <w:bodyDiv w:val="1"/>
      <w:marLeft w:val="0"/>
      <w:marRight w:val="0"/>
      <w:marTop w:val="0"/>
      <w:marBottom w:val="0"/>
      <w:divBdr>
        <w:top w:val="none" w:sz="0" w:space="0" w:color="auto"/>
        <w:left w:val="none" w:sz="0" w:space="0" w:color="auto"/>
        <w:bottom w:val="none" w:sz="0" w:space="0" w:color="auto"/>
        <w:right w:val="none" w:sz="0" w:space="0" w:color="auto"/>
      </w:divBdr>
    </w:div>
    <w:div w:id="293295562">
      <w:bodyDiv w:val="1"/>
      <w:marLeft w:val="0"/>
      <w:marRight w:val="0"/>
      <w:marTop w:val="0"/>
      <w:marBottom w:val="0"/>
      <w:divBdr>
        <w:top w:val="none" w:sz="0" w:space="0" w:color="auto"/>
        <w:left w:val="none" w:sz="0" w:space="0" w:color="auto"/>
        <w:bottom w:val="none" w:sz="0" w:space="0" w:color="auto"/>
        <w:right w:val="none" w:sz="0" w:space="0" w:color="auto"/>
      </w:divBdr>
    </w:div>
    <w:div w:id="327295491">
      <w:bodyDiv w:val="1"/>
      <w:marLeft w:val="0"/>
      <w:marRight w:val="0"/>
      <w:marTop w:val="0"/>
      <w:marBottom w:val="0"/>
      <w:divBdr>
        <w:top w:val="none" w:sz="0" w:space="0" w:color="auto"/>
        <w:left w:val="none" w:sz="0" w:space="0" w:color="auto"/>
        <w:bottom w:val="none" w:sz="0" w:space="0" w:color="auto"/>
        <w:right w:val="none" w:sz="0" w:space="0" w:color="auto"/>
      </w:divBdr>
    </w:div>
    <w:div w:id="329258958">
      <w:bodyDiv w:val="1"/>
      <w:marLeft w:val="0"/>
      <w:marRight w:val="0"/>
      <w:marTop w:val="0"/>
      <w:marBottom w:val="0"/>
      <w:divBdr>
        <w:top w:val="none" w:sz="0" w:space="0" w:color="auto"/>
        <w:left w:val="none" w:sz="0" w:space="0" w:color="auto"/>
        <w:bottom w:val="none" w:sz="0" w:space="0" w:color="auto"/>
        <w:right w:val="none" w:sz="0" w:space="0" w:color="auto"/>
      </w:divBdr>
    </w:div>
    <w:div w:id="336882586">
      <w:bodyDiv w:val="1"/>
      <w:marLeft w:val="0"/>
      <w:marRight w:val="0"/>
      <w:marTop w:val="0"/>
      <w:marBottom w:val="0"/>
      <w:divBdr>
        <w:top w:val="none" w:sz="0" w:space="0" w:color="auto"/>
        <w:left w:val="none" w:sz="0" w:space="0" w:color="auto"/>
        <w:bottom w:val="none" w:sz="0" w:space="0" w:color="auto"/>
        <w:right w:val="none" w:sz="0" w:space="0" w:color="auto"/>
      </w:divBdr>
    </w:div>
    <w:div w:id="339964232">
      <w:bodyDiv w:val="1"/>
      <w:marLeft w:val="0"/>
      <w:marRight w:val="0"/>
      <w:marTop w:val="0"/>
      <w:marBottom w:val="0"/>
      <w:divBdr>
        <w:top w:val="none" w:sz="0" w:space="0" w:color="auto"/>
        <w:left w:val="none" w:sz="0" w:space="0" w:color="auto"/>
        <w:bottom w:val="none" w:sz="0" w:space="0" w:color="auto"/>
        <w:right w:val="none" w:sz="0" w:space="0" w:color="auto"/>
      </w:divBdr>
    </w:div>
    <w:div w:id="367797088">
      <w:bodyDiv w:val="1"/>
      <w:marLeft w:val="0"/>
      <w:marRight w:val="0"/>
      <w:marTop w:val="0"/>
      <w:marBottom w:val="0"/>
      <w:divBdr>
        <w:top w:val="none" w:sz="0" w:space="0" w:color="auto"/>
        <w:left w:val="none" w:sz="0" w:space="0" w:color="auto"/>
        <w:bottom w:val="none" w:sz="0" w:space="0" w:color="auto"/>
        <w:right w:val="none" w:sz="0" w:space="0" w:color="auto"/>
      </w:divBdr>
    </w:div>
    <w:div w:id="369033360">
      <w:bodyDiv w:val="1"/>
      <w:marLeft w:val="0"/>
      <w:marRight w:val="0"/>
      <w:marTop w:val="0"/>
      <w:marBottom w:val="0"/>
      <w:divBdr>
        <w:top w:val="none" w:sz="0" w:space="0" w:color="auto"/>
        <w:left w:val="none" w:sz="0" w:space="0" w:color="auto"/>
        <w:bottom w:val="none" w:sz="0" w:space="0" w:color="auto"/>
        <w:right w:val="none" w:sz="0" w:space="0" w:color="auto"/>
      </w:divBdr>
    </w:div>
    <w:div w:id="397361396">
      <w:bodyDiv w:val="1"/>
      <w:marLeft w:val="0"/>
      <w:marRight w:val="0"/>
      <w:marTop w:val="0"/>
      <w:marBottom w:val="0"/>
      <w:divBdr>
        <w:top w:val="none" w:sz="0" w:space="0" w:color="auto"/>
        <w:left w:val="none" w:sz="0" w:space="0" w:color="auto"/>
        <w:bottom w:val="none" w:sz="0" w:space="0" w:color="auto"/>
        <w:right w:val="none" w:sz="0" w:space="0" w:color="auto"/>
      </w:divBdr>
    </w:div>
    <w:div w:id="404500950">
      <w:bodyDiv w:val="1"/>
      <w:marLeft w:val="0"/>
      <w:marRight w:val="0"/>
      <w:marTop w:val="0"/>
      <w:marBottom w:val="0"/>
      <w:divBdr>
        <w:top w:val="none" w:sz="0" w:space="0" w:color="auto"/>
        <w:left w:val="none" w:sz="0" w:space="0" w:color="auto"/>
        <w:bottom w:val="none" w:sz="0" w:space="0" w:color="auto"/>
        <w:right w:val="none" w:sz="0" w:space="0" w:color="auto"/>
      </w:divBdr>
    </w:div>
    <w:div w:id="415590487">
      <w:bodyDiv w:val="1"/>
      <w:marLeft w:val="0"/>
      <w:marRight w:val="0"/>
      <w:marTop w:val="0"/>
      <w:marBottom w:val="0"/>
      <w:divBdr>
        <w:top w:val="none" w:sz="0" w:space="0" w:color="auto"/>
        <w:left w:val="none" w:sz="0" w:space="0" w:color="auto"/>
        <w:bottom w:val="none" w:sz="0" w:space="0" w:color="auto"/>
        <w:right w:val="none" w:sz="0" w:space="0" w:color="auto"/>
      </w:divBdr>
    </w:div>
    <w:div w:id="425929709">
      <w:bodyDiv w:val="1"/>
      <w:marLeft w:val="0"/>
      <w:marRight w:val="0"/>
      <w:marTop w:val="0"/>
      <w:marBottom w:val="0"/>
      <w:divBdr>
        <w:top w:val="none" w:sz="0" w:space="0" w:color="auto"/>
        <w:left w:val="none" w:sz="0" w:space="0" w:color="auto"/>
        <w:bottom w:val="none" w:sz="0" w:space="0" w:color="auto"/>
        <w:right w:val="none" w:sz="0" w:space="0" w:color="auto"/>
      </w:divBdr>
    </w:div>
    <w:div w:id="451049702">
      <w:bodyDiv w:val="1"/>
      <w:marLeft w:val="0"/>
      <w:marRight w:val="0"/>
      <w:marTop w:val="0"/>
      <w:marBottom w:val="0"/>
      <w:divBdr>
        <w:top w:val="none" w:sz="0" w:space="0" w:color="auto"/>
        <w:left w:val="none" w:sz="0" w:space="0" w:color="auto"/>
        <w:bottom w:val="none" w:sz="0" w:space="0" w:color="auto"/>
        <w:right w:val="none" w:sz="0" w:space="0" w:color="auto"/>
      </w:divBdr>
    </w:div>
    <w:div w:id="472337869">
      <w:bodyDiv w:val="1"/>
      <w:marLeft w:val="0"/>
      <w:marRight w:val="0"/>
      <w:marTop w:val="0"/>
      <w:marBottom w:val="0"/>
      <w:divBdr>
        <w:top w:val="none" w:sz="0" w:space="0" w:color="auto"/>
        <w:left w:val="none" w:sz="0" w:space="0" w:color="auto"/>
        <w:bottom w:val="none" w:sz="0" w:space="0" w:color="auto"/>
        <w:right w:val="none" w:sz="0" w:space="0" w:color="auto"/>
      </w:divBdr>
    </w:div>
    <w:div w:id="481966881">
      <w:bodyDiv w:val="1"/>
      <w:marLeft w:val="0"/>
      <w:marRight w:val="0"/>
      <w:marTop w:val="0"/>
      <w:marBottom w:val="0"/>
      <w:divBdr>
        <w:top w:val="none" w:sz="0" w:space="0" w:color="auto"/>
        <w:left w:val="none" w:sz="0" w:space="0" w:color="auto"/>
        <w:bottom w:val="none" w:sz="0" w:space="0" w:color="auto"/>
        <w:right w:val="none" w:sz="0" w:space="0" w:color="auto"/>
      </w:divBdr>
    </w:div>
    <w:div w:id="483352072">
      <w:bodyDiv w:val="1"/>
      <w:marLeft w:val="0"/>
      <w:marRight w:val="0"/>
      <w:marTop w:val="0"/>
      <w:marBottom w:val="0"/>
      <w:divBdr>
        <w:top w:val="none" w:sz="0" w:space="0" w:color="auto"/>
        <w:left w:val="none" w:sz="0" w:space="0" w:color="auto"/>
        <w:bottom w:val="none" w:sz="0" w:space="0" w:color="auto"/>
        <w:right w:val="none" w:sz="0" w:space="0" w:color="auto"/>
      </w:divBdr>
    </w:div>
    <w:div w:id="497696174">
      <w:bodyDiv w:val="1"/>
      <w:marLeft w:val="0"/>
      <w:marRight w:val="0"/>
      <w:marTop w:val="0"/>
      <w:marBottom w:val="0"/>
      <w:divBdr>
        <w:top w:val="none" w:sz="0" w:space="0" w:color="auto"/>
        <w:left w:val="none" w:sz="0" w:space="0" w:color="auto"/>
        <w:bottom w:val="none" w:sz="0" w:space="0" w:color="auto"/>
        <w:right w:val="none" w:sz="0" w:space="0" w:color="auto"/>
      </w:divBdr>
    </w:div>
    <w:div w:id="504977349">
      <w:bodyDiv w:val="1"/>
      <w:marLeft w:val="0"/>
      <w:marRight w:val="0"/>
      <w:marTop w:val="0"/>
      <w:marBottom w:val="0"/>
      <w:divBdr>
        <w:top w:val="none" w:sz="0" w:space="0" w:color="auto"/>
        <w:left w:val="none" w:sz="0" w:space="0" w:color="auto"/>
        <w:bottom w:val="none" w:sz="0" w:space="0" w:color="auto"/>
        <w:right w:val="none" w:sz="0" w:space="0" w:color="auto"/>
      </w:divBdr>
    </w:div>
    <w:div w:id="564536131">
      <w:bodyDiv w:val="1"/>
      <w:marLeft w:val="0"/>
      <w:marRight w:val="0"/>
      <w:marTop w:val="0"/>
      <w:marBottom w:val="0"/>
      <w:divBdr>
        <w:top w:val="none" w:sz="0" w:space="0" w:color="auto"/>
        <w:left w:val="none" w:sz="0" w:space="0" w:color="auto"/>
        <w:bottom w:val="none" w:sz="0" w:space="0" w:color="auto"/>
        <w:right w:val="none" w:sz="0" w:space="0" w:color="auto"/>
      </w:divBdr>
    </w:div>
    <w:div w:id="576718040">
      <w:bodyDiv w:val="1"/>
      <w:marLeft w:val="0"/>
      <w:marRight w:val="0"/>
      <w:marTop w:val="0"/>
      <w:marBottom w:val="0"/>
      <w:divBdr>
        <w:top w:val="none" w:sz="0" w:space="0" w:color="auto"/>
        <w:left w:val="none" w:sz="0" w:space="0" w:color="auto"/>
        <w:bottom w:val="none" w:sz="0" w:space="0" w:color="auto"/>
        <w:right w:val="none" w:sz="0" w:space="0" w:color="auto"/>
      </w:divBdr>
    </w:div>
    <w:div w:id="577708694">
      <w:bodyDiv w:val="1"/>
      <w:marLeft w:val="0"/>
      <w:marRight w:val="0"/>
      <w:marTop w:val="0"/>
      <w:marBottom w:val="0"/>
      <w:divBdr>
        <w:top w:val="none" w:sz="0" w:space="0" w:color="auto"/>
        <w:left w:val="none" w:sz="0" w:space="0" w:color="auto"/>
        <w:bottom w:val="none" w:sz="0" w:space="0" w:color="auto"/>
        <w:right w:val="none" w:sz="0" w:space="0" w:color="auto"/>
      </w:divBdr>
    </w:div>
    <w:div w:id="581991155">
      <w:bodyDiv w:val="1"/>
      <w:marLeft w:val="0"/>
      <w:marRight w:val="0"/>
      <w:marTop w:val="0"/>
      <w:marBottom w:val="0"/>
      <w:divBdr>
        <w:top w:val="none" w:sz="0" w:space="0" w:color="auto"/>
        <w:left w:val="none" w:sz="0" w:space="0" w:color="auto"/>
        <w:bottom w:val="none" w:sz="0" w:space="0" w:color="auto"/>
        <w:right w:val="none" w:sz="0" w:space="0" w:color="auto"/>
      </w:divBdr>
    </w:div>
    <w:div w:id="596837604">
      <w:bodyDiv w:val="1"/>
      <w:marLeft w:val="0"/>
      <w:marRight w:val="0"/>
      <w:marTop w:val="0"/>
      <w:marBottom w:val="0"/>
      <w:divBdr>
        <w:top w:val="none" w:sz="0" w:space="0" w:color="auto"/>
        <w:left w:val="none" w:sz="0" w:space="0" w:color="auto"/>
        <w:bottom w:val="none" w:sz="0" w:space="0" w:color="auto"/>
        <w:right w:val="none" w:sz="0" w:space="0" w:color="auto"/>
      </w:divBdr>
    </w:div>
    <w:div w:id="598176537">
      <w:bodyDiv w:val="1"/>
      <w:marLeft w:val="0"/>
      <w:marRight w:val="0"/>
      <w:marTop w:val="0"/>
      <w:marBottom w:val="0"/>
      <w:divBdr>
        <w:top w:val="none" w:sz="0" w:space="0" w:color="auto"/>
        <w:left w:val="none" w:sz="0" w:space="0" w:color="auto"/>
        <w:bottom w:val="none" w:sz="0" w:space="0" w:color="auto"/>
        <w:right w:val="none" w:sz="0" w:space="0" w:color="auto"/>
      </w:divBdr>
    </w:div>
    <w:div w:id="640157264">
      <w:bodyDiv w:val="1"/>
      <w:marLeft w:val="0"/>
      <w:marRight w:val="0"/>
      <w:marTop w:val="0"/>
      <w:marBottom w:val="0"/>
      <w:divBdr>
        <w:top w:val="none" w:sz="0" w:space="0" w:color="auto"/>
        <w:left w:val="none" w:sz="0" w:space="0" w:color="auto"/>
        <w:bottom w:val="none" w:sz="0" w:space="0" w:color="auto"/>
        <w:right w:val="none" w:sz="0" w:space="0" w:color="auto"/>
      </w:divBdr>
    </w:div>
    <w:div w:id="724454241">
      <w:bodyDiv w:val="1"/>
      <w:marLeft w:val="0"/>
      <w:marRight w:val="0"/>
      <w:marTop w:val="0"/>
      <w:marBottom w:val="0"/>
      <w:divBdr>
        <w:top w:val="none" w:sz="0" w:space="0" w:color="auto"/>
        <w:left w:val="none" w:sz="0" w:space="0" w:color="auto"/>
        <w:bottom w:val="none" w:sz="0" w:space="0" w:color="auto"/>
        <w:right w:val="none" w:sz="0" w:space="0" w:color="auto"/>
      </w:divBdr>
    </w:div>
    <w:div w:id="728916437">
      <w:bodyDiv w:val="1"/>
      <w:marLeft w:val="0"/>
      <w:marRight w:val="0"/>
      <w:marTop w:val="0"/>
      <w:marBottom w:val="0"/>
      <w:divBdr>
        <w:top w:val="none" w:sz="0" w:space="0" w:color="auto"/>
        <w:left w:val="none" w:sz="0" w:space="0" w:color="auto"/>
        <w:bottom w:val="none" w:sz="0" w:space="0" w:color="auto"/>
        <w:right w:val="none" w:sz="0" w:space="0" w:color="auto"/>
      </w:divBdr>
    </w:div>
    <w:div w:id="746920370">
      <w:bodyDiv w:val="1"/>
      <w:marLeft w:val="0"/>
      <w:marRight w:val="0"/>
      <w:marTop w:val="0"/>
      <w:marBottom w:val="0"/>
      <w:divBdr>
        <w:top w:val="none" w:sz="0" w:space="0" w:color="auto"/>
        <w:left w:val="none" w:sz="0" w:space="0" w:color="auto"/>
        <w:bottom w:val="none" w:sz="0" w:space="0" w:color="auto"/>
        <w:right w:val="none" w:sz="0" w:space="0" w:color="auto"/>
      </w:divBdr>
    </w:div>
    <w:div w:id="751463133">
      <w:bodyDiv w:val="1"/>
      <w:marLeft w:val="0"/>
      <w:marRight w:val="0"/>
      <w:marTop w:val="0"/>
      <w:marBottom w:val="0"/>
      <w:divBdr>
        <w:top w:val="none" w:sz="0" w:space="0" w:color="auto"/>
        <w:left w:val="none" w:sz="0" w:space="0" w:color="auto"/>
        <w:bottom w:val="none" w:sz="0" w:space="0" w:color="auto"/>
        <w:right w:val="none" w:sz="0" w:space="0" w:color="auto"/>
      </w:divBdr>
    </w:div>
    <w:div w:id="763182462">
      <w:bodyDiv w:val="1"/>
      <w:marLeft w:val="0"/>
      <w:marRight w:val="0"/>
      <w:marTop w:val="0"/>
      <w:marBottom w:val="0"/>
      <w:divBdr>
        <w:top w:val="none" w:sz="0" w:space="0" w:color="auto"/>
        <w:left w:val="none" w:sz="0" w:space="0" w:color="auto"/>
        <w:bottom w:val="none" w:sz="0" w:space="0" w:color="auto"/>
        <w:right w:val="none" w:sz="0" w:space="0" w:color="auto"/>
      </w:divBdr>
    </w:div>
    <w:div w:id="771096740">
      <w:bodyDiv w:val="1"/>
      <w:marLeft w:val="0"/>
      <w:marRight w:val="0"/>
      <w:marTop w:val="0"/>
      <w:marBottom w:val="0"/>
      <w:divBdr>
        <w:top w:val="none" w:sz="0" w:space="0" w:color="auto"/>
        <w:left w:val="none" w:sz="0" w:space="0" w:color="auto"/>
        <w:bottom w:val="none" w:sz="0" w:space="0" w:color="auto"/>
        <w:right w:val="none" w:sz="0" w:space="0" w:color="auto"/>
      </w:divBdr>
    </w:div>
    <w:div w:id="807089234">
      <w:bodyDiv w:val="1"/>
      <w:marLeft w:val="0"/>
      <w:marRight w:val="0"/>
      <w:marTop w:val="0"/>
      <w:marBottom w:val="0"/>
      <w:divBdr>
        <w:top w:val="none" w:sz="0" w:space="0" w:color="auto"/>
        <w:left w:val="none" w:sz="0" w:space="0" w:color="auto"/>
        <w:bottom w:val="none" w:sz="0" w:space="0" w:color="auto"/>
        <w:right w:val="none" w:sz="0" w:space="0" w:color="auto"/>
      </w:divBdr>
    </w:div>
    <w:div w:id="808865682">
      <w:bodyDiv w:val="1"/>
      <w:marLeft w:val="0"/>
      <w:marRight w:val="0"/>
      <w:marTop w:val="0"/>
      <w:marBottom w:val="0"/>
      <w:divBdr>
        <w:top w:val="none" w:sz="0" w:space="0" w:color="auto"/>
        <w:left w:val="none" w:sz="0" w:space="0" w:color="auto"/>
        <w:bottom w:val="none" w:sz="0" w:space="0" w:color="auto"/>
        <w:right w:val="none" w:sz="0" w:space="0" w:color="auto"/>
      </w:divBdr>
    </w:div>
    <w:div w:id="820927494">
      <w:bodyDiv w:val="1"/>
      <w:marLeft w:val="0"/>
      <w:marRight w:val="0"/>
      <w:marTop w:val="0"/>
      <w:marBottom w:val="0"/>
      <w:divBdr>
        <w:top w:val="none" w:sz="0" w:space="0" w:color="auto"/>
        <w:left w:val="none" w:sz="0" w:space="0" w:color="auto"/>
        <w:bottom w:val="none" w:sz="0" w:space="0" w:color="auto"/>
        <w:right w:val="none" w:sz="0" w:space="0" w:color="auto"/>
      </w:divBdr>
    </w:div>
    <w:div w:id="874120471">
      <w:bodyDiv w:val="1"/>
      <w:marLeft w:val="0"/>
      <w:marRight w:val="0"/>
      <w:marTop w:val="0"/>
      <w:marBottom w:val="0"/>
      <w:divBdr>
        <w:top w:val="none" w:sz="0" w:space="0" w:color="auto"/>
        <w:left w:val="none" w:sz="0" w:space="0" w:color="auto"/>
        <w:bottom w:val="none" w:sz="0" w:space="0" w:color="auto"/>
        <w:right w:val="none" w:sz="0" w:space="0" w:color="auto"/>
      </w:divBdr>
    </w:div>
    <w:div w:id="878275336">
      <w:bodyDiv w:val="1"/>
      <w:marLeft w:val="0"/>
      <w:marRight w:val="0"/>
      <w:marTop w:val="0"/>
      <w:marBottom w:val="0"/>
      <w:divBdr>
        <w:top w:val="none" w:sz="0" w:space="0" w:color="auto"/>
        <w:left w:val="none" w:sz="0" w:space="0" w:color="auto"/>
        <w:bottom w:val="none" w:sz="0" w:space="0" w:color="auto"/>
        <w:right w:val="none" w:sz="0" w:space="0" w:color="auto"/>
      </w:divBdr>
    </w:div>
    <w:div w:id="878932924">
      <w:bodyDiv w:val="1"/>
      <w:marLeft w:val="0"/>
      <w:marRight w:val="0"/>
      <w:marTop w:val="0"/>
      <w:marBottom w:val="0"/>
      <w:divBdr>
        <w:top w:val="none" w:sz="0" w:space="0" w:color="auto"/>
        <w:left w:val="none" w:sz="0" w:space="0" w:color="auto"/>
        <w:bottom w:val="none" w:sz="0" w:space="0" w:color="auto"/>
        <w:right w:val="none" w:sz="0" w:space="0" w:color="auto"/>
      </w:divBdr>
    </w:div>
    <w:div w:id="889852038">
      <w:bodyDiv w:val="1"/>
      <w:marLeft w:val="0"/>
      <w:marRight w:val="0"/>
      <w:marTop w:val="0"/>
      <w:marBottom w:val="0"/>
      <w:divBdr>
        <w:top w:val="none" w:sz="0" w:space="0" w:color="auto"/>
        <w:left w:val="none" w:sz="0" w:space="0" w:color="auto"/>
        <w:bottom w:val="none" w:sz="0" w:space="0" w:color="auto"/>
        <w:right w:val="none" w:sz="0" w:space="0" w:color="auto"/>
      </w:divBdr>
    </w:div>
    <w:div w:id="911162161">
      <w:bodyDiv w:val="1"/>
      <w:marLeft w:val="0"/>
      <w:marRight w:val="0"/>
      <w:marTop w:val="0"/>
      <w:marBottom w:val="0"/>
      <w:divBdr>
        <w:top w:val="none" w:sz="0" w:space="0" w:color="auto"/>
        <w:left w:val="none" w:sz="0" w:space="0" w:color="auto"/>
        <w:bottom w:val="none" w:sz="0" w:space="0" w:color="auto"/>
        <w:right w:val="none" w:sz="0" w:space="0" w:color="auto"/>
      </w:divBdr>
    </w:div>
    <w:div w:id="922109265">
      <w:bodyDiv w:val="1"/>
      <w:marLeft w:val="0"/>
      <w:marRight w:val="0"/>
      <w:marTop w:val="0"/>
      <w:marBottom w:val="0"/>
      <w:divBdr>
        <w:top w:val="none" w:sz="0" w:space="0" w:color="auto"/>
        <w:left w:val="none" w:sz="0" w:space="0" w:color="auto"/>
        <w:bottom w:val="none" w:sz="0" w:space="0" w:color="auto"/>
        <w:right w:val="none" w:sz="0" w:space="0" w:color="auto"/>
      </w:divBdr>
    </w:div>
    <w:div w:id="923228306">
      <w:bodyDiv w:val="1"/>
      <w:marLeft w:val="0"/>
      <w:marRight w:val="0"/>
      <w:marTop w:val="0"/>
      <w:marBottom w:val="0"/>
      <w:divBdr>
        <w:top w:val="none" w:sz="0" w:space="0" w:color="auto"/>
        <w:left w:val="none" w:sz="0" w:space="0" w:color="auto"/>
        <w:bottom w:val="none" w:sz="0" w:space="0" w:color="auto"/>
        <w:right w:val="none" w:sz="0" w:space="0" w:color="auto"/>
      </w:divBdr>
    </w:div>
    <w:div w:id="945044454">
      <w:bodyDiv w:val="1"/>
      <w:marLeft w:val="0"/>
      <w:marRight w:val="0"/>
      <w:marTop w:val="0"/>
      <w:marBottom w:val="0"/>
      <w:divBdr>
        <w:top w:val="none" w:sz="0" w:space="0" w:color="auto"/>
        <w:left w:val="none" w:sz="0" w:space="0" w:color="auto"/>
        <w:bottom w:val="none" w:sz="0" w:space="0" w:color="auto"/>
        <w:right w:val="none" w:sz="0" w:space="0" w:color="auto"/>
      </w:divBdr>
    </w:div>
    <w:div w:id="954755927">
      <w:bodyDiv w:val="1"/>
      <w:marLeft w:val="0"/>
      <w:marRight w:val="0"/>
      <w:marTop w:val="0"/>
      <w:marBottom w:val="0"/>
      <w:divBdr>
        <w:top w:val="none" w:sz="0" w:space="0" w:color="auto"/>
        <w:left w:val="none" w:sz="0" w:space="0" w:color="auto"/>
        <w:bottom w:val="none" w:sz="0" w:space="0" w:color="auto"/>
        <w:right w:val="none" w:sz="0" w:space="0" w:color="auto"/>
      </w:divBdr>
    </w:div>
    <w:div w:id="961812349">
      <w:bodyDiv w:val="1"/>
      <w:marLeft w:val="0"/>
      <w:marRight w:val="0"/>
      <w:marTop w:val="0"/>
      <w:marBottom w:val="0"/>
      <w:divBdr>
        <w:top w:val="none" w:sz="0" w:space="0" w:color="auto"/>
        <w:left w:val="none" w:sz="0" w:space="0" w:color="auto"/>
        <w:bottom w:val="none" w:sz="0" w:space="0" w:color="auto"/>
        <w:right w:val="none" w:sz="0" w:space="0" w:color="auto"/>
      </w:divBdr>
    </w:div>
    <w:div w:id="974532683">
      <w:bodyDiv w:val="1"/>
      <w:marLeft w:val="0"/>
      <w:marRight w:val="0"/>
      <w:marTop w:val="0"/>
      <w:marBottom w:val="0"/>
      <w:divBdr>
        <w:top w:val="none" w:sz="0" w:space="0" w:color="auto"/>
        <w:left w:val="none" w:sz="0" w:space="0" w:color="auto"/>
        <w:bottom w:val="none" w:sz="0" w:space="0" w:color="auto"/>
        <w:right w:val="none" w:sz="0" w:space="0" w:color="auto"/>
      </w:divBdr>
    </w:div>
    <w:div w:id="980038855">
      <w:bodyDiv w:val="1"/>
      <w:marLeft w:val="0"/>
      <w:marRight w:val="0"/>
      <w:marTop w:val="0"/>
      <w:marBottom w:val="0"/>
      <w:divBdr>
        <w:top w:val="none" w:sz="0" w:space="0" w:color="auto"/>
        <w:left w:val="none" w:sz="0" w:space="0" w:color="auto"/>
        <w:bottom w:val="none" w:sz="0" w:space="0" w:color="auto"/>
        <w:right w:val="none" w:sz="0" w:space="0" w:color="auto"/>
      </w:divBdr>
    </w:div>
    <w:div w:id="1047024158">
      <w:bodyDiv w:val="1"/>
      <w:marLeft w:val="0"/>
      <w:marRight w:val="0"/>
      <w:marTop w:val="0"/>
      <w:marBottom w:val="0"/>
      <w:divBdr>
        <w:top w:val="none" w:sz="0" w:space="0" w:color="auto"/>
        <w:left w:val="none" w:sz="0" w:space="0" w:color="auto"/>
        <w:bottom w:val="none" w:sz="0" w:space="0" w:color="auto"/>
        <w:right w:val="none" w:sz="0" w:space="0" w:color="auto"/>
      </w:divBdr>
    </w:div>
    <w:div w:id="1058822394">
      <w:bodyDiv w:val="1"/>
      <w:marLeft w:val="0"/>
      <w:marRight w:val="0"/>
      <w:marTop w:val="0"/>
      <w:marBottom w:val="0"/>
      <w:divBdr>
        <w:top w:val="none" w:sz="0" w:space="0" w:color="auto"/>
        <w:left w:val="none" w:sz="0" w:space="0" w:color="auto"/>
        <w:bottom w:val="none" w:sz="0" w:space="0" w:color="auto"/>
        <w:right w:val="none" w:sz="0" w:space="0" w:color="auto"/>
      </w:divBdr>
    </w:div>
    <w:div w:id="1061975521">
      <w:bodyDiv w:val="1"/>
      <w:marLeft w:val="0"/>
      <w:marRight w:val="0"/>
      <w:marTop w:val="0"/>
      <w:marBottom w:val="0"/>
      <w:divBdr>
        <w:top w:val="none" w:sz="0" w:space="0" w:color="auto"/>
        <w:left w:val="none" w:sz="0" w:space="0" w:color="auto"/>
        <w:bottom w:val="none" w:sz="0" w:space="0" w:color="auto"/>
        <w:right w:val="none" w:sz="0" w:space="0" w:color="auto"/>
      </w:divBdr>
    </w:div>
    <w:div w:id="1085105703">
      <w:bodyDiv w:val="1"/>
      <w:marLeft w:val="0"/>
      <w:marRight w:val="0"/>
      <w:marTop w:val="0"/>
      <w:marBottom w:val="0"/>
      <w:divBdr>
        <w:top w:val="none" w:sz="0" w:space="0" w:color="auto"/>
        <w:left w:val="none" w:sz="0" w:space="0" w:color="auto"/>
        <w:bottom w:val="none" w:sz="0" w:space="0" w:color="auto"/>
        <w:right w:val="none" w:sz="0" w:space="0" w:color="auto"/>
      </w:divBdr>
    </w:div>
    <w:div w:id="1092705056">
      <w:bodyDiv w:val="1"/>
      <w:marLeft w:val="0"/>
      <w:marRight w:val="0"/>
      <w:marTop w:val="0"/>
      <w:marBottom w:val="0"/>
      <w:divBdr>
        <w:top w:val="none" w:sz="0" w:space="0" w:color="auto"/>
        <w:left w:val="none" w:sz="0" w:space="0" w:color="auto"/>
        <w:bottom w:val="none" w:sz="0" w:space="0" w:color="auto"/>
        <w:right w:val="none" w:sz="0" w:space="0" w:color="auto"/>
      </w:divBdr>
    </w:div>
    <w:div w:id="1094134158">
      <w:bodyDiv w:val="1"/>
      <w:marLeft w:val="0"/>
      <w:marRight w:val="0"/>
      <w:marTop w:val="0"/>
      <w:marBottom w:val="0"/>
      <w:divBdr>
        <w:top w:val="none" w:sz="0" w:space="0" w:color="auto"/>
        <w:left w:val="none" w:sz="0" w:space="0" w:color="auto"/>
        <w:bottom w:val="none" w:sz="0" w:space="0" w:color="auto"/>
        <w:right w:val="none" w:sz="0" w:space="0" w:color="auto"/>
      </w:divBdr>
    </w:div>
    <w:div w:id="1152789224">
      <w:bodyDiv w:val="1"/>
      <w:marLeft w:val="0"/>
      <w:marRight w:val="0"/>
      <w:marTop w:val="0"/>
      <w:marBottom w:val="0"/>
      <w:divBdr>
        <w:top w:val="none" w:sz="0" w:space="0" w:color="auto"/>
        <w:left w:val="none" w:sz="0" w:space="0" w:color="auto"/>
        <w:bottom w:val="none" w:sz="0" w:space="0" w:color="auto"/>
        <w:right w:val="none" w:sz="0" w:space="0" w:color="auto"/>
      </w:divBdr>
    </w:div>
    <w:div w:id="1155221677">
      <w:bodyDiv w:val="1"/>
      <w:marLeft w:val="0"/>
      <w:marRight w:val="0"/>
      <w:marTop w:val="0"/>
      <w:marBottom w:val="0"/>
      <w:divBdr>
        <w:top w:val="none" w:sz="0" w:space="0" w:color="auto"/>
        <w:left w:val="none" w:sz="0" w:space="0" w:color="auto"/>
        <w:bottom w:val="none" w:sz="0" w:space="0" w:color="auto"/>
        <w:right w:val="none" w:sz="0" w:space="0" w:color="auto"/>
      </w:divBdr>
    </w:div>
    <w:div w:id="1168864276">
      <w:bodyDiv w:val="1"/>
      <w:marLeft w:val="0"/>
      <w:marRight w:val="0"/>
      <w:marTop w:val="0"/>
      <w:marBottom w:val="0"/>
      <w:divBdr>
        <w:top w:val="none" w:sz="0" w:space="0" w:color="auto"/>
        <w:left w:val="none" w:sz="0" w:space="0" w:color="auto"/>
        <w:bottom w:val="none" w:sz="0" w:space="0" w:color="auto"/>
        <w:right w:val="none" w:sz="0" w:space="0" w:color="auto"/>
      </w:divBdr>
    </w:div>
    <w:div w:id="1170636386">
      <w:bodyDiv w:val="1"/>
      <w:marLeft w:val="0"/>
      <w:marRight w:val="0"/>
      <w:marTop w:val="0"/>
      <w:marBottom w:val="0"/>
      <w:divBdr>
        <w:top w:val="none" w:sz="0" w:space="0" w:color="auto"/>
        <w:left w:val="none" w:sz="0" w:space="0" w:color="auto"/>
        <w:bottom w:val="none" w:sz="0" w:space="0" w:color="auto"/>
        <w:right w:val="none" w:sz="0" w:space="0" w:color="auto"/>
      </w:divBdr>
    </w:div>
    <w:div w:id="1174029786">
      <w:bodyDiv w:val="1"/>
      <w:marLeft w:val="0"/>
      <w:marRight w:val="0"/>
      <w:marTop w:val="0"/>
      <w:marBottom w:val="0"/>
      <w:divBdr>
        <w:top w:val="none" w:sz="0" w:space="0" w:color="auto"/>
        <w:left w:val="none" w:sz="0" w:space="0" w:color="auto"/>
        <w:bottom w:val="none" w:sz="0" w:space="0" w:color="auto"/>
        <w:right w:val="none" w:sz="0" w:space="0" w:color="auto"/>
      </w:divBdr>
    </w:div>
    <w:div w:id="1255478536">
      <w:bodyDiv w:val="1"/>
      <w:marLeft w:val="0"/>
      <w:marRight w:val="0"/>
      <w:marTop w:val="0"/>
      <w:marBottom w:val="0"/>
      <w:divBdr>
        <w:top w:val="none" w:sz="0" w:space="0" w:color="auto"/>
        <w:left w:val="none" w:sz="0" w:space="0" w:color="auto"/>
        <w:bottom w:val="none" w:sz="0" w:space="0" w:color="auto"/>
        <w:right w:val="none" w:sz="0" w:space="0" w:color="auto"/>
      </w:divBdr>
    </w:div>
    <w:div w:id="1266159929">
      <w:bodyDiv w:val="1"/>
      <w:marLeft w:val="0"/>
      <w:marRight w:val="0"/>
      <w:marTop w:val="0"/>
      <w:marBottom w:val="0"/>
      <w:divBdr>
        <w:top w:val="none" w:sz="0" w:space="0" w:color="auto"/>
        <w:left w:val="none" w:sz="0" w:space="0" w:color="auto"/>
        <w:bottom w:val="none" w:sz="0" w:space="0" w:color="auto"/>
        <w:right w:val="none" w:sz="0" w:space="0" w:color="auto"/>
      </w:divBdr>
    </w:div>
    <w:div w:id="1270546829">
      <w:bodyDiv w:val="1"/>
      <w:marLeft w:val="0"/>
      <w:marRight w:val="0"/>
      <w:marTop w:val="0"/>
      <w:marBottom w:val="0"/>
      <w:divBdr>
        <w:top w:val="none" w:sz="0" w:space="0" w:color="auto"/>
        <w:left w:val="none" w:sz="0" w:space="0" w:color="auto"/>
        <w:bottom w:val="none" w:sz="0" w:space="0" w:color="auto"/>
        <w:right w:val="none" w:sz="0" w:space="0" w:color="auto"/>
      </w:divBdr>
    </w:div>
    <w:div w:id="1311637741">
      <w:bodyDiv w:val="1"/>
      <w:marLeft w:val="0"/>
      <w:marRight w:val="0"/>
      <w:marTop w:val="0"/>
      <w:marBottom w:val="0"/>
      <w:divBdr>
        <w:top w:val="none" w:sz="0" w:space="0" w:color="auto"/>
        <w:left w:val="none" w:sz="0" w:space="0" w:color="auto"/>
        <w:bottom w:val="none" w:sz="0" w:space="0" w:color="auto"/>
        <w:right w:val="none" w:sz="0" w:space="0" w:color="auto"/>
      </w:divBdr>
    </w:div>
    <w:div w:id="1326319608">
      <w:bodyDiv w:val="1"/>
      <w:marLeft w:val="0"/>
      <w:marRight w:val="0"/>
      <w:marTop w:val="0"/>
      <w:marBottom w:val="0"/>
      <w:divBdr>
        <w:top w:val="none" w:sz="0" w:space="0" w:color="auto"/>
        <w:left w:val="none" w:sz="0" w:space="0" w:color="auto"/>
        <w:bottom w:val="none" w:sz="0" w:space="0" w:color="auto"/>
        <w:right w:val="none" w:sz="0" w:space="0" w:color="auto"/>
      </w:divBdr>
    </w:div>
    <w:div w:id="1340505154">
      <w:bodyDiv w:val="1"/>
      <w:marLeft w:val="0"/>
      <w:marRight w:val="0"/>
      <w:marTop w:val="0"/>
      <w:marBottom w:val="0"/>
      <w:divBdr>
        <w:top w:val="none" w:sz="0" w:space="0" w:color="auto"/>
        <w:left w:val="none" w:sz="0" w:space="0" w:color="auto"/>
        <w:bottom w:val="none" w:sz="0" w:space="0" w:color="auto"/>
        <w:right w:val="none" w:sz="0" w:space="0" w:color="auto"/>
      </w:divBdr>
    </w:div>
    <w:div w:id="1346175755">
      <w:bodyDiv w:val="1"/>
      <w:marLeft w:val="0"/>
      <w:marRight w:val="0"/>
      <w:marTop w:val="0"/>
      <w:marBottom w:val="0"/>
      <w:divBdr>
        <w:top w:val="none" w:sz="0" w:space="0" w:color="auto"/>
        <w:left w:val="none" w:sz="0" w:space="0" w:color="auto"/>
        <w:bottom w:val="none" w:sz="0" w:space="0" w:color="auto"/>
        <w:right w:val="none" w:sz="0" w:space="0" w:color="auto"/>
      </w:divBdr>
    </w:div>
    <w:div w:id="1363941728">
      <w:bodyDiv w:val="1"/>
      <w:marLeft w:val="0"/>
      <w:marRight w:val="0"/>
      <w:marTop w:val="0"/>
      <w:marBottom w:val="0"/>
      <w:divBdr>
        <w:top w:val="none" w:sz="0" w:space="0" w:color="auto"/>
        <w:left w:val="none" w:sz="0" w:space="0" w:color="auto"/>
        <w:bottom w:val="none" w:sz="0" w:space="0" w:color="auto"/>
        <w:right w:val="none" w:sz="0" w:space="0" w:color="auto"/>
      </w:divBdr>
    </w:div>
    <w:div w:id="1395078838">
      <w:bodyDiv w:val="1"/>
      <w:marLeft w:val="0"/>
      <w:marRight w:val="0"/>
      <w:marTop w:val="0"/>
      <w:marBottom w:val="0"/>
      <w:divBdr>
        <w:top w:val="none" w:sz="0" w:space="0" w:color="auto"/>
        <w:left w:val="none" w:sz="0" w:space="0" w:color="auto"/>
        <w:bottom w:val="none" w:sz="0" w:space="0" w:color="auto"/>
        <w:right w:val="none" w:sz="0" w:space="0" w:color="auto"/>
      </w:divBdr>
    </w:div>
    <w:div w:id="1413162903">
      <w:bodyDiv w:val="1"/>
      <w:marLeft w:val="0"/>
      <w:marRight w:val="0"/>
      <w:marTop w:val="0"/>
      <w:marBottom w:val="0"/>
      <w:divBdr>
        <w:top w:val="none" w:sz="0" w:space="0" w:color="auto"/>
        <w:left w:val="none" w:sz="0" w:space="0" w:color="auto"/>
        <w:bottom w:val="none" w:sz="0" w:space="0" w:color="auto"/>
        <w:right w:val="none" w:sz="0" w:space="0" w:color="auto"/>
      </w:divBdr>
    </w:div>
    <w:div w:id="1418403423">
      <w:bodyDiv w:val="1"/>
      <w:marLeft w:val="0"/>
      <w:marRight w:val="0"/>
      <w:marTop w:val="0"/>
      <w:marBottom w:val="0"/>
      <w:divBdr>
        <w:top w:val="none" w:sz="0" w:space="0" w:color="auto"/>
        <w:left w:val="none" w:sz="0" w:space="0" w:color="auto"/>
        <w:bottom w:val="none" w:sz="0" w:space="0" w:color="auto"/>
        <w:right w:val="none" w:sz="0" w:space="0" w:color="auto"/>
      </w:divBdr>
    </w:div>
    <w:div w:id="1424640783">
      <w:bodyDiv w:val="1"/>
      <w:marLeft w:val="0"/>
      <w:marRight w:val="0"/>
      <w:marTop w:val="0"/>
      <w:marBottom w:val="0"/>
      <w:divBdr>
        <w:top w:val="none" w:sz="0" w:space="0" w:color="auto"/>
        <w:left w:val="none" w:sz="0" w:space="0" w:color="auto"/>
        <w:bottom w:val="none" w:sz="0" w:space="0" w:color="auto"/>
        <w:right w:val="none" w:sz="0" w:space="0" w:color="auto"/>
      </w:divBdr>
    </w:div>
    <w:div w:id="1433089402">
      <w:bodyDiv w:val="1"/>
      <w:marLeft w:val="0"/>
      <w:marRight w:val="0"/>
      <w:marTop w:val="0"/>
      <w:marBottom w:val="0"/>
      <w:divBdr>
        <w:top w:val="none" w:sz="0" w:space="0" w:color="auto"/>
        <w:left w:val="none" w:sz="0" w:space="0" w:color="auto"/>
        <w:bottom w:val="none" w:sz="0" w:space="0" w:color="auto"/>
        <w:right w:val="none" w:sz="0" w:space="0" w:color="auto"/>
      </w:divBdr>
    </w:div>
    <w:div w:id="1458723653">
      <w:bodyDiv w:val="1"/>
      <w:marLeft w:val="0"/>
      <w:marRight w:val="0"/>
      <w:marTop w:val="0"/>
      <w:marBottom w:val="0"/>
      <w:divBdr>
        <w:top w:val="none" w:sz="0" w:space="0" w:color="auto"/>
        <w:left w:val="none" w:sz="0" w:space="0" w:color="auto"/>
        <w:bottom w:val="none" w:sz="0" w:space="0" w:color="auto"/>
        <w:right w:val="none" w:sz="0" w:space="0" w:color="auto"/>
      </w:divBdr>
    </w:div>
    <w:div w:id="1511019788">
      <w:bodyDiv w:val="1"/>
      <w:marLeft w:val="0"/>
      <w:marRight w:val="0"/>
      <w:marTop w:val="0"/>
      <w:marBottom w:val="0"/>
      <w:divBdr>
        <w:top w:val="none" w:sz="0" w:space="0" w:color="auto"/>
        <w:left w:val="none" w:sz="0" w:space="0" w:color="auto"/>
        <w:bottom w:val="none" w:sz="0" w:space="0" w:color="auto"/>
        <w:right w:val="none" w:sz="0" w:space="0" w:color="auto"/>
      </w:divBdr>
    </w:div>
    <w:div w:id="1511337340">
      <w:bodyDiv w:val="1"/>
      <w:marLeft w:val="0"/>
      <w:marRight w:val="0"/>
      <w:marTop w:val="0"/>
      <w:marBottom w:val="0"/>
      <w:divBdr>
        <w:top w:val="none" w:sz="0" w:space="0" w:color="auto"/>
        <w:left w:val="none" w:sz="0" w:space="0" w:color="auto"/>
        <w:bottom w:val="none" w:sz="0" w:space="0" w:color="auto"/>
        <w:right w:val="none" w:sz="0" w:space="0" w:color="auto"/>
      </w:divBdr>
    </w:div>
    <w:div w:id="1512062428">
      <w:bodyDiv w:val="1"/>
      <w:marLeft w:val="0"/>
      <w:marRight w:val="0"/>
      <w:marTop w:val="0"/>
      <w:marBottom w:val="0"/>
      <w:divBdr>
        <w:top w:val="none" w:sz="0" w:space="0" w:color="auto"/>
        <w:left w:val="none" w:sz="0" w:space="0" w:color="auto"/>
        <w:bottom w:val="none" w:sz="0" w:space="0" w:color="auto"/>
        <w:right w:val="none" w:sz="0" w:space="0" w:color="auto"/>
      </w:divBdr>
    </w:div>
    <w:div w:id="1524439558">
      <w:bodyDiv w:val="1"/>
      <w:marLeft w:val="0"/>
      <w:marRight w:val="0"/>
      <w:marTop w:val="0"/>
      <w:marBottom w:val="0"/>
      <w:divBdr>
        <w:top w:val="none" w:sz="0" w:space="0" w:color="auto"/>
        <w:left w:val="none" w:sz="0" w:space="0" w:color="auto"/>
        <w:bottom w:val="none" w:sz="0" w:space="0" w:color="auto"/>
        <w:right w:val="none" w:sz="0" w:space="0" w:color="auto"/>
      </w:divBdr>
    </w:div>
    <w:div w:id="1551382141">
      <w:bodyDiv w:val="1"/>
      <w:marLeft w:val="0"/>
      <w:marRight w:val="0"/>
      <w:marTop w:val="0"/>
      <w:marBottom w:val="0"/>
      <w:divBdr>
        <w:top w:val="none" w:sz="0" w:space="0" w:color="auto"/>
        <w:left w:val="none" w:sz="0" w:space="0" w:color="auto"/>
        <w:bottom w:val="none" w:sz="0" w:space="0" w:color="auto"/>
        <w:right w:val="none" w:sz="0" w:space="0" w:color="auto"/>
      </w:divBdr>
    </w:div>
    <w:div w:id="1563903567">
      <w:bodyDiv w:val="1"/>
      <w:marLeft w:val="0"/>
      <w:marRight w:val="0"/>
      <w:marTop w:val="0"/>
      <w:marBottom w:val="0"/>
      <w:divBdr>
        <w:top w:val="none" w:sz="0" w:space="0" w:color="auto"/>
        <w:left w:val="none" w:sz="0" w:space="0" w:color="auto"/>
        <w:bottom w:val="none" w:sz="0" w:space="0" w:color="auto"/>
        <w:right w:val="none" w:sz="0" w:space="0" w:color="auto"/>
      </w:divBdr>
    </w:div>
    <w:div w:id="1607469826">
      <w:bodyDiv w:val="1"/>
      <w:marLeft w:val="0"/>
      <w:marRight w:val="0"/>
      <w:marTop w:val="0"/>
      <w:marBottom w:val="0"/>
      <w:divBdr>
        <w:top w:val="none" w:sz="0" w:space="0" w:color="auto"/>
        <w:left w:val="none" w:sz="0" w:space="0" w:color="auto"/>
        <w:bottom w:val="none" w:sz="0" w:space="0" w:color="auto"/>
        <w:right w:val="none" w:sz="0" w:space="0" w:color="auto"/>
      </w:divBdr>
    </w:div>
    <w:div w:id="1610699423">
      <w:bodyDiv w:val="1"/>
      <w:marLeft w:val="0"/>
      <w:marRight w:val="0"/>
      <w:marTop w:val="0"/>
      <w:marBottom w:val="0"/>
      <w:divBdr>
        <w:top w:val="none" w:sz="0" w:space="0" w:color="auto"/>
        <w:left w:val="none" w:sz="0" w:space="0" w:color="auto"/>
        <w:bottom w:val="none" w:sz="0" w:space="0" w:color="auto"/>
        <w:right w:val="none" w:sz="0" w:space="0" w:color="auto"/>
      </w:divBdr>
    </w:div>
    <w:div w:id="1617522074">
      <w:bodyDiv w:val="1"/>
      <w:marLeft w:val="0"/>
      <w:marRight w:val="0"/>
      <w:marTop w:val="0"/>
      <w:marBottom w:val="0"/>
      <w:divBdr>
        <w:top w:val="none" w:sz="0" w:space="0" w:color="auto"/>
        <w:left w:val="none" w:sz="0" w:space="0" w:color="auto"/>
        <w:bottom w:val="none" w:sz="0" w:space="0" w:color="auto"/>
        <w:right w:val="none" w:sz="0" w:space="0" w:color="auto"/>
      </w:divBdr>
    </w:div>
    <w:div w:id="1628657429">
      <w:bodyDiv w:val="1"/>
      <w:marLeft w:val="0"/>
      <w:marRight w:val="0"/>
      <w:marTop w:val="0"/>
      <w:marBottom w:val="0"/>
      <w:divBdr>
        <w:top w:val="none" w:sz="0" w:space="0" w:color="auto"/>
        <w:left w:val="none" w:sz="0" w:space="0" w:color="auto"/>
        <w:bottom w:val="none" w:sz="0" w:space="0" w:color="auto"/>
        <w:right w:val="none" w:sz="0" w:space="0" w:color="auto"/>
      </w:divBdr>
    </w:div>
    <w:div w:id="1634554860">
      <w:bodyDiv w:val="1"/>
      <w:marLeft w:val="0"/>
      <w:marRight w:val="0"/>
      <w:marTop w:val="0"/>
      <w:marBottom w:val="0"/>
      <w:divBdr>
        <w:top w:val="none" w:sz="0" w:space="0" w:color="auto"/>
        <w:left w:val="none" w:sz="0" w:space="0" w:color="auto"/>
        <w:bottom w:val="none" w:sz="0" w:space="0" w:color="auto"/>
        <w:right w:val="none" w:sz="0" w:space="0" w:color="auto"/>
      </w:divBdr>
    </w:div>
    <w:div w:id="1658531452">
      <w:bodyDiv w:val="1"/>
      <w:marLeft w:val="0"/>
      <w:marRight w:val="0"/>
      <w:marTop w:val="0"/>
      <w:marBottom w:val="0"/>
      <w:divBdr>
        <w:top w:val="none" w:sz="0" w:space="0" w:color="auto"/>
        <w:left w:val="none" w:sz="0" w:space="0" w:color="auto"/>
        <w:bottom w:val="none" w:sz="0" w:space="0" w:color="auto"/>
        <w:right w:val="none" w:sz="0" w:space="0" w:color="auto"/>
      </w:divBdr>
    </w:div>
    <w:div w:id="1663239218">
      <w:bodyDiv w:val="1"/>
      <w:marLeft w:val="0"/>
      <w:marRight w:val="0"/>
      <w:marTop w:val="0"/>
      <w:marBottom w:val="0"/>
      <w:divBdr>
        <w:top w:val="none" w:sz="0" w:space="0" w:color="auto"/>
        <w:left w:val="none" w:sz="0" w:space="0" w:color="auto"/>
        <w:bottom w:val="none" w:sz="0" w:space="0" w:color="auto"/>
        <w:right w:val="none" w:sz="0" w:space="0" w:color="auto"/>
      </w:divBdr>
    </w:div>
    <w:div w:id="1682703717">
      <w:bodyDiv w:val="1"/>
      <w:marLeft w:val="0"/>
      <w:marRight w:val="0"/>
      <w:marTop w:val="0"/>
      <w:marBottom w:val="0"/>
      <w:divBdr>
        <w:top w:val="none" w:sz="0" w:space="0" w:color="auto"/>
        <w:left w:val="none" w:sz="0" w:space="0" w:color="auto"/>
        <w:bottom w:val="none" w:sz="0" w:space="0" w:color="auto"/>
        <w:right w:val="none" w:sz="0" w:space="0" w:color="auto"/>
      </w:divBdr>
    </w:div>
    <w:div w:id="1683122095">
      <w:bodyDiv w:val="1"/>
      <w:marLeft w:val="0"/>
      <w:marRight w:val="0"/>
      <w:marTop w:val="0"/>
      <w:marBottom w:val="0"/>
      <w:divBdr>
        <w:top w:val="none" w:sz="0" w:space="0" w:color="auto"/>
        <w:left w:val="none" w:sz="0" w:space="0" w:color="auto"/>
        <w:bottom w:val="none" w:sz="0" w:space="0" w:color="auto"/>
        <w:right w:val="none" w:sz="0" w:space="0" w:color="auto"/>
      </w:divBdr>
    </w:div>
    <w:div w:id="1689871349">
      <w:bodyDiv w:val="1"/>
      <w:marLeft w:val="0"/>
      <w:marRight w:val="0"/>
      <w:marTop w:val="0"/>
      <w:marBottom w:val="0"/>
      <w:divBdr>
        <w:top w:val="none" w:sz="0" w:space="0" w:color="auto"/>
        <w:left w:val="none" w:sz="0" w:space="0" w:color="auto"/>
        <w:bottom w:val="none" w:sz="0" w:space="0" w:color="auto"/>
        <w:right w:val="none" w:sz="0" w:space="0" w:color="auto"/>
      </w:divBdr>
    </w:div>
    <w:div w:id="1698695310">
      <w:bodyDiv w:val="1"/>
      <w:marLeft w:val="0"/>
      <w:marRight w:val="0"/>
      <w:marTop w:val="0"/>
      <w:marBottom w:val="0"/>
      <w:divBdr>
        <w:top w:val="none" w:sz="0" w:space="0" w:color="auto"/>
        <w:left w:val="none" w:sz="0" w:space="0" w:color="auto"/>
        <w:bottom w:val="none" w:sz="0" w:space="0" w:color="auto"/>
        <w:right w:val="none" w:sz="0" w:space="0" w:color="auto"/>
      </w:divBdr>
    </w:div>
    <w:div w:id="1721436405">
      <w:bodyDiv w:val="1"/>
      <w:marLeft w:val="0"/>
      <w:marRight w:val="0"/>
      <w:marTop w:val="0"/>
      <w:marBottom w:val="0"/>
      <w:divBdr>
        <w:top w:val="none" w:sz="0" w:space="0" w:color="auto"/>
        <w:left w:val="none" w:sz="0" w:space="0" w:color="auto"/>
        <w:bottom w:val="none" w:sz="0" w:space="0" w:color="auto"/>
        <w:right w:val="none" w:sz="0" w:space="0" w:color="auto"/>
      </w:divBdr>
    </w:div>
    <w:div w:id="1742949132">
      <w:bodyDiv w:val="1"/>
      <w:marLeft w:val="0"/>
      <w:marRight w:val="0"/>
      <w:marTop w:val="0"/>
      <w:marBottom w:val="0"/>
      <w:divBdr>
        <w:top w:val="none" w:sz="0" w:space="0" w:color="auto"/>
        <w:left w:val="none" w:sz="0" w:space="0" w:color="auto"/>
        <w:bottom w:val="none" w:sz="0" w:space="0" w:color="auto"/>
        <w:right w:val="none" w:sz="0" w:space="0" w:color="auto"/>
      </w:divBdr>
    </w:div>
    <w:div w:id="1783258172">
      <w:bodyDiv w:val="1"/>
      <w:marLeft w:val="0"/>
      <w:marRight w:val="0"/>
      <w:marTop w:val="0"/>
      <w:marBottom w:val="0"/>
      <w:divBdr>
        <w:top w:val="none" w:sz="0" w:space="0" w:color="auto"/>
        <w:left w:val="none" w:sz="0" w:space="0" w:color="auto"/>
        <w:bottom w:val="none" w:sz="0" w:space="0" w:color="auto"/>
        <w:right w:val="none" w:sz="0" w:space="0" w:color="auto"/>
      </w:divBdr>
    </w:div>
    <w:div w:id="1786801660">
      <w:bodyDiv w:val="1"/>
      <w:marLeft w:val="0"/>
      <w:marRight w:val="0"/>
      <w:marTop w:val="0"/>
      <w:marBottom w:val="0"/>
      <w:divBdr>
        <w:top w:val="none" w:sz="0" w:space="0" w:color="auto"/>
        <w:left w:val="none" w:sz="0" w:space="0" w:color="auto"/>
        <w:bottom w:val="none" w:sz="0" w:space="0" w:color="auto"/>
        <w:right w:val="none" w:sz="0" w:space="0" w:color="auto"/>
      </w:divBdr>
    </w:div>
    <w:div w:id="1829665950">
      <w:bodyDiv w:val="1"/>
      <w:marLeft w:val="0"/>
      <w:marRight w:val="0"/>
      <w:marTop w:val="0"/>
      <w:marBottom w:val="0"/>
      <w:divBdr>
        <w:top w:val="none" w:sz="0" w:space="0" w:color="auto"/>
        <w:left w:val="none" w:sz="0" w:space="0" w:color="auto"/>
        <w:bottom w:val="none" w:sz="0" w:space="0" w:color="auto"/>
        <w:right w:val="none" w:sz="0" w:space="0" w:color="auto"/>
      </w:divBdr>
    </w:div>
    <w:div w:id="1843466740">
      <w:bodyDiv w:val="1"/>
      <w:marLeft w:val="0"/>
      <w:marRight w:val="0"/>
      <w:marTop w:val="0"/>
      <w:marBottom w:val="0"/>
      <w:divBdr>
        <w:top w:val="none" w:sz="0" w:space="0" w:color="auto"/>
        <w:left w:val="none" w:sz="0" w:space="0" w:color="auto"/>
        <w:bottom w:val="none" w:sz="0" w:space="0" w:color="auto"/>
        <w:right w:val="none" w:sz="0" w:space="0" w:color="auto"/>
      </w:divBdr>
    </w:div>
    <w:div w:id="1876769338">
      <w:bodyDiv w:val="1"/>
      <w:marLeft w:val="0"/>
      <w:marRight w:val="0"/>
      <w:marTop w:val="0"/>
      <w:marBottom w:val="0"/>
      <w:divBdr>
        <w:top w:val="none" w:sz="0" w:space="0" w:color="auto"/>
        <w:left w:val="none" w:sz="0" w:space="0" w:color="auto"/>
        <w:bottom w:val="none" w:sz="0" w:space="0" w:color="auto"/>
        <w:right w:val="none" w:sz="0" w:space="0" w:color="auto"/>
      </w:divBdr>
    </w:div>
    <w:div w:id="1884245978">
      <w:bodyDiv w:val="1"/>
      <w:marLeft w:val="0"/>
      <w:marRight w:val="0"/>
      <w:marTop w:val="0"/>
      <w:marBottom w:val="0"/>
      <w:divBdr>
        <w:top w:val="none" w:sz="0" w:space="0" w:color="auto"/>
        <w:left w:val="none" w:sz="0" w:space="0" w:color="auto"/>
        <w:bottom w:val="none" w:sz="0" w:space="0" w:color="auto"/>
        <w:right w:val="none" w:sz="0" w:space="0" w:color="auto"/>
      </w:divBdr>
    </w:div>
    <w:div w:id="1885365210">
      <w:bodyDiv w:val="1"/>
      <w:marLeft w:val="0"/>
      <w:marRight w:val="0"/>
      <w:marTop w:val="0"/>
      <w:marBottom w:val="0"/>
      <w:divBdr>
        <w:top w:val="none" w:sz="0" w:space="0" w:color="auto"/>
        <w:left w:val="none" w:sz="0" w:space="0" w:color="auto"/>
        <w:bottom w:val="none" w:sz="0" w:space="0" w:color="auto"/>
        <w:right w:val="none" w:sz="0" w:space="0" w:color="auto"/>
      </w:divBdr>
    </w:div>
    <w:div w:id="1891260707">
      <w:bodyDiv w:val="1"/>
      <w:marLeft w:val="0"/>
      <w:marRight w:val="0"/>
      <w:marTop w:val="0"/>
      <w:marBottom w:val="0"/>
      <w:divBdr>
        <w:top w:val="none" w:sz="0" w:space="0" w:color="auto"/>
        <w:left w:val="none" w:sz="0" w:space="0" w:color="auto"/>
        <w:bottom w:val="none" w:sz="0" w:space="0" w:color="auto"/>
        <w:right w:val="none" w:sz="0" w:space="0" w:color="auto"/>
      </w:divBdr>
    </w:div>
    <w:div w:id="1915435660">
      <w:bodyDiv w:val="1"/>
      <w:marLeft w:val="0"/>
      <w:marRight w:val="0"/>
      <w:marTop w:val="0"/>
      <w:marBottom w:val="0"/>
      <w:divBdr>
        <w:top w:val="none" w:sz="0" w:space="0" w:color="auto"/>
        <w:left w:val="none" w:sz="0" w:space="0" w:color="auto"/>
        <w:bottom w:val="none" w:sz="0" w:space="0" w:color="auto"/>
        <w:right w:val="none" w:sz="0" w:space="0" w:color="auto"/>
      </w:divBdr>
    </w:div>
    <w:div w:id="1935166040">
      <w:bodyDiv w:val="1"/>
      <w:marLeft w:val="0"/>
      <w:marRight w:val="0"/>
      <w:marTop w:val="0"/>
      <w:marBottom w:val="0"/>
      <w:divBdr>
        <w:top w:val="none" w:sz="0" w:space="0" w:color="auto"/>
        <w:left w:val="none" w:sz="0" w:space="0" w:color="auto"/>
        <w:bottom w:val="none" w:sz="0" w:space="0" w:color="auto"/>
        <w:right w:val="none" w:sz="0" w:space="0" w:color="auto"/>
      </w:divBdr>
    </w:div>
    <w:div w:id="1956905057">
      <w:bodyDiv w:val="1"/>
      <w:marLeft w:val="0"/>
      <w:marRight w:val="0"/>
      <w:marTop w:val="0"/>
      <w:marBottom w:val="0"/>
      <w:divBdr>
        <w:top w:val="none" w:sz="0" w:space="0" w:color="auto"/>
        <w:left w:val="none" w:sz="0" w:space="0" w:color="auto"/>
        <w:bottom w:val="none" w:sz="0" w:space="0" w:color="auto"/>
        <w:right w:val="none" w:sz="0" w:space="0" w:color="auto"/>
      </w:divBdr>
    </w:div>
    <w:div w:id="1999528425">
      <w:bodyDiv w:val="1"/>
      <w:marLeft w:val="0"/>
      <w:marRight w:val="0"/>
      <w:marTop w:val="0"/>
      <w:marBottom w:val="0"/>
      <w:divBdr>
        <w:top w:val="none" w:sz="0" w:space="0" w:color="auto"/>
        <w:left w:val="none" w:sz="0" w:space="0" w:color="auto"/>
        <w:bottom w:val="none" w:sz="0" w:space="0" w:color="auto"/>
        <w:right w:val="none" w:sz="0" w:space="0" w:color="auto"/>
      </w:divBdr>
    </w:div>
    <w:div w:id="2011131083">
      <w:bodyDiv w:val="1"/>
      <w:marLeft w:val="0"/>
      <w:marRight w:val="0"/>
      <w:marTop w:val="0"/>
      <w:marBottom w:val="0"/>
      <w:divBdr>
        <w:top w:val="none" w:sz="0" w:space="0" w:color="auto"/>
        <w:left w:val="none" w:sz="0" w:space="0" w:color="auto"/>
        <w:bottom w:val="none" w:sz="0" w:space="0" w:color="auto"/>
        <w:right w:val="none" w:sz="0" w:space="0" w:color="auto"/>
      </w:divBdr>
    </w:div>
    <w:div w:id="2021734767">
      <w:bodyDiv w:val="1"/>
      <w:marLeft w:val="0"/>
      <w:marRight w:val="0"/>
      <w:marTop w:val="0"/>
      <w:marBottom w:val="0"/>
      <w:divBdr>
        <w:top w:val="none" w:sz="0" w:space="0" w:color="auto"/>
        <w:left w:val="none" w:sz="0" w:space="0" w:color="auto"/>
        <w:bottom w:val="none" w:sz="0" w:space="0" w:color="auto"/>
        <w:right w:val="none" w:sz="0" w:space="0" w:color="auto"/>
      </w:divBdr>
    </w:div>
    <w:div w:id="2040667326">
      <w:bodyDiv w:val="1"/>
      <w:marLeft w:val="0"/>
      <w:marRight w:val="0"/>
      <w:marTop w:val="0"/>
      <w:marBottom w:val="0"/>
      <w:divBdr>
        <w:top w:val="none" w:sz="0" w:space="0" w:color="auto"/>
        <w:left w:val="none" w:sz="0" w:space="0" w:color="auto"/>
        <w:bottom w:val="none" w:sz="0" w:space="0" w:color="auto"/>
        <w:right w:val="none" w:sz="0" w:space="0" w:color="auto"/>
      </w:divBdr>
    </w:div>
    <w:div w:id="2045330454">
      <w:bodyDiv w:val="1"/>
      <w:marLeft w:val="0"/>
      <w:marRight w:val="0"/>
      <w:marTop w:val="0"/>
      <w:marBottom w:val="0"/>
      <w:divBdr>
        <w:top w:val="none" w:sz="0" w:space="0" w:color="auto"/>
        <w:left w:val="none" w:sz="0" w:space="0" w:color="auto"/>
        <w:bottom w:val="none" w:sz="0" w:space="0" w:color="auto"/>
        <w:right w:val="none" w:sz="0" w:space="0" w:color="auto"/>
      </w:divBdr>
    </w:div>
    <w:div w:id="2047873656">
      <w:bodyDiv w:val="1"/>
      <w:marLeft w:val="0"/>
      <w:marRight w:val="0"/>
      <w:marTop w:val="0"/>
      <w:marBottom w:val="0"/>
      <w:divBdr>
        <w:top w:val="none" w:sz="0" w:space="0" w:color="auto"/>
        <w:left w:val="none" w:sz="0" w:space="0" w:color="auto"/>
        <w:bottom w:val="none" w:sz="0" w:space="0" w:color="auto"/>
        <w:right w:val="none" w:sz="0" w:space="0" w:color="auto"/>
      </w:divBdr>
    </w:div>
    <w:div w:id="2060667222">
      <w:bodyDiv w:val="1"/>
      <w:marLeft w:val="0"/>
      <w:marRight w:val="0"/>
      <w:marTop w:val="0"/>
      <w:marBottom w:val="0"/>
      <w:divBdr>
        <w:top w:val="none" w:sz="0" w:space="0" w:color="auto"/>
        <w:left w:val="none" w:sz="0" w:space="0" w:color="auto"/>
        <w:bottom w:val="none" w:sz="0" w:space="0" w:color="auto"/>
        <w:right w:val="none" w:sz="0" w:space="0" w:color="auto"/>
      </w:divBdr>
    </w:div>
    <w:div w:id="2065448992">
      <w:bodyDiv w:val="1"/>
      <w:marLeft w:val="0"/>
      <w:marRight w:val="0"/>
      <w:marTop w:val="0"/>
      <w:marBottom w:val="0"/>
      <w:divBdr>
        <w:top w:val="none" w:sz="0" w:space="0" w:color="auto"/>
        <w:left w:val="none" w:sz="0" w:space="0" w:color="auto"/>
        <w:bottom w:val="none" w:sz="0" w:space="0" w:color="auto"/>
        <w:right w:val="none" w:sz="0" w:space="0" w:color="auto"/>
      </w:divBdr>
    </w:div>
    <w:div w:id="2074768647">
      <w:bodyDiv w:val="1"/>
      <w:marLeft w:val="0"/>
      <w:marRight w:val="0"/>
      <w:marTop w:val="0"/>
      <w:marBottom w:val="0"/>
      <w:divBdr>
        <w:top w:val="none" w:sz="0" w:space="0" w:color="auto"/>
        <w:left w:val="none" w:sz="0" w:space="0" w:color="auto"/>
        <w:bottom w:val="none" w:sz="0" w:space="0" w:color="auto"/>
        <w:right w:val="none" w:sz="0" w:space="0" w:color="auto"/>
      </w:divBdr>
    </w:div>
    <w:div w:id="2083486567">
      <w:bodyDiv w:val="1"/>
      <w:marLeft w:val="0"/>
      <w:marRight w:val="0"/>
      <w:marTop w:val="0"/>
      <w:marBottom w:val="0"/>
      <w:divBdr>
        <w:top w:val="none" w:sz="0" w:space="0" w:color="auto"/>
        <w:left w:val="none" w:sz="0" w:space="0" w:color="auto"/>
        <w:bottom w:val="none" w:sz="0" w:space="0" w:color="auto"/>
        <w:right w:val="none" w:sz="0" w:space="0" w:color="auto"/>
      </w:divBdr>
    </w:div>
    <w:div w:id="2099061100">
      <w:bodyDiv w:val="1"/>
      <w:marLeft w:val="0"/>
      <w:marRight w:val="0"/>
      <w:marTop w:val="0"/>
      <w:marBottom w:val="0"/>
      <w:divBdr>
        <w:top w:val="none" w:sz="0" w:space="0" w:color="auto"/>
        <w:left w:val="none" w:sz="0" w:space="0" w:color="auto"/>
        <w:bottom w:val="none" w:sz="0" w:space="0" w:color="auto"/>
        <w:right w:val="none" w:sz="0" w:space="0" w:color="auto"/>
      </w:divBdr>
    </w:div>
    <w:div w:id="2108037225">
      <w:bodyDiv w:val="1"/>
      <w:marLeft w:val="0"/>
      <w:marRight w:val="0"/>
      <w:marTop w:val="0"/>
      <w:marBottom w:val="0"/>
      <w:divBdr>
        <w:top w:val="none" w:sz="0" w:space="0" w:color="auto"/>
        <w:left w:val="none" w:sz="0" w:space="0" w:color="auto"/>
        <w:bottom w:val="none" w:sz="0" w:space="0" w:color="auto"/>
        <w:right w:val="none" w:sz="0" w:space="0" w:color="auto"/>
      </w:divBdr>
    </w:div>
    <w:div w:id="2129860408">
      <w:bodyDiv w:val="1"/>
      <w:marLeft w:val="0"/>
      <w:marRight w:val="0"/>
      <w:marTop w:val="0"/>
      <w:marBottom w:val="0"/>
      <w:divBdr>
        <w:top w:val="none" w:sz="0" w:space="0" w:color="auto"/>
        <w:left w:val="none" w:sz="0" w:space="0" w:color="auto"/>
        <w:bottom w:val="none" w:sz="0" w:space="0" w:color="auto"/>
        <w:right w:val="none" w:sz="0" w:space="0" w:color="auto"/>
      </w:divBdr>
    </w:div>
    <w:div w:id="2131318513">
      <w:bodyDiv w:val="1"/>
      <w:marLeft w:val="0"/>
      <w:marRight w:val="0"/>
      <w:marTop w:val="0"/>
      <w:marBottom w:val="0"/>
      <w:divBdr>
        <w:top w:val="none" w:sz="0" w:space="0" w:color="auto"/>
        <w:left w:val="none" w:sz="0" w:space="0" w:color="auto"/>
        <w:bottom w:val="none" w:sz="0" w:space="0" w:color="auto"/>
        <w:right w:val="none" w:sz="0" w:space="0" w:color="auto"/>
      </w:divBdr>
    </w:div>
    <w:div w:id="214199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hyperlink" Target="http://www.efunds.com.cn"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w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efunds.com.cn" TargetMode="External"/><Relationship Id="rId20" Type="http://schemas.openxmlformats.org/officeDocument/2006/relationships/hyperlink" Target="http://www.efunds.com.cn"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service@efunds.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90E06A-B9A1-4074-904B-7D25A6492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168</Pages>
  <Words>19363</Words>
  <Characters>110370</Characters>
  <Application>Microsoft Office Word</Application>
  <DocSecurity>0</DocSecurity>
  <Lines>919</Lines>
  <Paragraphs>258</Paragraphs>
  <ScaleCrop>false</ScaleCrop>
  <Company>E FUND</Company>
  <LinksUpToDate>false</LinksUpToDate>
  <CharactersWithSpaces>129475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徐晶</dc:creator>
  <cp:lastModifiedBy>陈红</cp:lastModifiedBy>
  <cp:revision>8</cp:revision>
  <cp:lastPrinted>2014-04-24T07:37:00Z</cp:lastPrinted>
  <dcterms:created xsi:type="dcterms:W3CDTF">2020-05-25T12:00:00Z</dcterms:created>
  <dcterms:modified xsi:type="dcterms:W3CDTF">2020-05-29T10:32:00Z</dcterms:modified>
</cp:coreProperties>
</file>