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CC" w:rsidRPr="00F17515" w:rsidRDefault="007228CC" w:rsidP="0071223F">
      <w:pPr>
        <w:snapToGrid w:val="0"/>
        <w:spacing w:line="360" w:lineRule="auto"/>
        <w:ind w:firstLine="881"/>
        <w:jc w:val="center"/>
        <w:rPr>
          <w:rFonts w:asciiTheme="minorEastAsia" w:eastAsiaTheme="minorEastAsia" w:hAnsiTheme="minorEastAsia"/>
          <w:b/>
          <w:sz w:val="44"/>
        </w:rPr>
      </w:pPr>
    </w:p>
    <w:p w:rsidR="007228CC" w:rsidRPr="00F17515" w:rsidRDefault="007228CC" w:rsidP="0071223F">
      <w:pPr>
        <w:snapToGrid w:val="0"/>
        <w:spacing w:line="360" w:lineRule="auto"/>
        <w:ind w:firstLine="881"/>
        <w:jc w:val="center"/>
        <w:rPr>
          <w:rFonts w:asciiTheme="minorEastAsia" w:eastAsiaTheme="minorEastAsia" w:hAnsiTheme="minorEastAsia"/>
          <w:b/>
          <w:sz w:val="44"/>
        </w:rPr>
      </w:pPr>
    </w:p>
    <w:p w:rsidR="007228CC" w:rsidRPr="00F17515" w:rsidRDefault="007228CC" w:rsidP="0071223F">
      <w:pPr>
        <w:snapToGrid w:val="0"/>
        <w:spacing w:line="360" w:lineRule="auto"/>
        <w:ind w:firstLine="881"/>
        <w:jc w:val="center"/>
        <w:rPr>
          <w:rFonts w:asciiTheme="minorEastAsia" w:eastAsiaTheme="minorEastAsia" w:hAnsiTheme="minorEastAsia"/>
          <w:b/>
          <w:sz w:val="44"/>
        </w:rPr>
      </w:pPr>
    </w:p>
    <w:p w:rsidR="007228CC" w:rsidRPr="00F17515" w:rsidRDefault="007228CC" w:rsidP="0071223F">
      <w:pPr>
        <w:snapToGrid w:val="0"/>
        <w:spacing w:line="360" w:lineRule="auto"/>
        <w:jc w:val="center"/>
        <w:rPr>
          <w:rFonts w:asciiTheme="minorEastAsia" w:eastAsiaTheme="minorEastAsia" w:hAnsiTheme="minorEastAsia"/>
          <w:sz w:val="44"/>
          <w:szCs w:val="44"/>
        </w:rPr>
      </w:pPr>
      <w:r w:rsidRPr="00F17515">
        <w:rPr>
          <w:rFonts w:asciiTheme="minorEastAsia" w:eastAsiaTheme="minorEastAsia" w:hAnsiTheme="minorEastAsia" w:hint="eastAsia"/>
          <w:sz w:val="44"/>
          <w:szCs w:val="44"/>
        </w:rPr>
        <w:t>易方达增强回报债券型证券投资基金</w:t>
      </w:r>
    </w:p>
    <w:p w:rsidR="007228CC" w:rsidRPr="00F17515" w:rsidRDefault="007228CC" w:rsidP="0071223F">
      <w:pPr>
        <w:snapToGrid w:val="0"/>
        <w:spacing w:line="360" w:lineRule="auto"/>
        <w:jc w:val="center"/>
        <w:rPr>
          <w:rFonts w:asciiTheme="minorEastAsia" w:eastAsiaTheme="minorEastAsia" w:hAnsiTheme="minorEastAsia"/>
          <w:sz w:val="44"/>
          <w:szCs w:val="44"/>
        </w:rPr>
      </w:pPr>
      <w:r w:rsidRPr="00F17515">
        <w:rPr>
          <w:rFonts w:asciiTheme="minorEastAsia" w:eastAsiaTheme="minorEastAsia" w:hAnsiTheme="minorEastAsia" w:hint="eastAsia"/>
          <w:sz w:val="44"/>
          <w:szCs w:val="44"/>
        </w:rPr>
        <w:t>更新的招募说明书</w:t>
      </w:r>
    </w:p>
    <w:p w:rsidR="007228CC" w:rsidRPr="00F17515" w:rsidRDefault="007228CC" w:rsidP="0071223F">
      <w:pPr>
        <w:snapToGrid w:val="0"/>
        <w:spacing w:line="360" w:lineRule="auto"/>
        <w:jc w:val="center"/>
        <w:rPr>
          <w:rFonts w:asciiTheme="minorEastAsia" w:eastAsiaTheme="minorEastAsia" w:hAnsiTheme="minorEastAsia"/>
          <w:b/>
          <w:sz w:val="32"/>
          <w:szCs w:val="32"/>
        </w:rPr>
      </w:pPr>
    </w:p>
    <w:p w:rsidR="007228CC" w:rsidRPr="00F17515" w:rsidRDefault="007228CC" w:rsidP="0071223F">
      <w:pPr>
        <w:snapToGrid w:val="0"/>
        <w:spacing w:line="360" w:lineRule="auto"/>
        <w:ind w:left="360" w:right="26"/>
        <w:jc w:val="center"/>
        <w:rPr>
          <w:rFonts w:asciiTheme="minorEastAsia" w:eastAsiaTheme="minorEastAsia" w:hAnsiTheme="minorEastAsia"/>
          <w:b/>
          <w:sz w:val="44"/>
        </w:rPr>
      </w:pPr>
    </w:p>
    <w:p w:rsidR="007228CC" w:rsidRPr="00F17515" w:rsidRDefault="007228CC" w:rsidP="0071223F">
      <w:pPr>
        <w:snapToGrid w:val="0"/>
        <w:spacing w:line="360" w:lineRule="auto"/>
        <w:ind w:left="360" w:right="26"/>
        <w:jc w:val="center"/>
        <w:rPr>
          <w:rFonts w:asciiTheme="minorEastAsia" w:eastAsiaTheme="minorEastAsia" w:hAnsiTheme="minorEastAsia"/>
          <w:b/>
          <w:sz w:val="44"/>
        </w:rPr>
      </w:pPr>
    </w:p>
    <w:p w:rsidR="007228CC" w:rsidRPr="00F17515" w:rsidRDefault="007228CC" w:rsidP="0071223F">
      <w:pPr>
        <w:snapToGrid w:val="0"/>
        <w:spacing w:line="360" w:lineRule="auto"/>
        <w:ind w:firstLine="600"/>
        <w:jc w:val="center"/>
        <w:rPr>
          <w:rFonts w:asciiTheme="minorEastAsia" w:eastAsiaTheme="minorEastAsia" w:hAnsiTheme="minorEastAsia"/>
          <w:sz w:val="24"/>
        </w:rPr>
      </w:pPr>
    </w:p>
    <w:p w:rsidR="007228CC" w:rsidRPr="00F17515" w:rsidRDefault="007228CC" w:rsidP="0071223F">
      <w:pPr>
        <w:snapToGrid w:val="0"/>
        <w:spacing w:line="360" w:lineRule="auto"/>
        <w:ind w:leftChars="800" w:left="1680"/>
        <w:rPr>
          <w:rFonts w:asciiTheme="minorEastAsia" w:eastAsiaTheme="minorEastAsia" w:hAnsiTheme="minorEastAsia"/>
          <w:sz w:val="30"/>
          <w:szCs w:val="30"/>
        </w:rPr>
      </w:pPr>
    </w:p>
    <w:p w:rsidR="0071223F" w:rsidRPr="00F17515" w:rsidRDefault="0071223F" w:rsidP="0071223F">
      <w:pPr>
        <w:snapToGrid w:val="0"/>
        <w:spacing w:line="360" w:lineRule="auto"/>
        <w:ind w:leftChars="800" w:left="1680"/>
        <w:rPr>
          <w:rFonts w:asciiTheme="minorEastAsia" w:eastAsiaTheme="minorEastAsia" w:hAnsiTheme="minorEastAsia"/>
          <w:sz w:val="30"/>
          <w:szCs w:val="30"/>
        </w:rPr>
      </w:pPr>
    </w:p>
    <w:p w:rsidR="0071223F" w:rsidRPr="00F17515" w:rsidRDefault="0071223F" w:rsidP="0071223F">
      <w:pPr>
        <w:snapToGrid w:val="0"/>
        <w:spacing w:line="360" w:lineRule="auto"/>
        <w:ind w:leftChars="800" w:left="1680"/>
        <w:rPr>
          <w:rFonts w:asciiTheme="minorEastAsia" w:eastAsiaTheme="minorEastAsia" w:hAnsiTheme="minorEastAsia"/>
          <w:sz w:val="30"/>
          <w:szCs w:val="30"/>
        </w:rPr>
      </w:pPr>
    </w:p>
    <w:p w:rsidR="007228CC" w:rsidRPr="00F17515" w:rsidRDefault="007228CC" w:rsidP="0071223F">
      <w:pPr>
        <w:snapToGrid w:val="0"/>
        <w:spacing w:line="360" w:lineRule="auto"/>
        <w:ind w:leftChars="800" w:left="1680"/>
        <w:rPr>
          <w:rFonts w:asciiTheme="minorEastAsia" w:eastAsiaTheme="minorEastAsia" w:hAnsiTheme="minorEastAsia"/>
          <w:sz w:val="30"/>
          <w:szCs w:val="30"/>
        </w:rPr>
      </w:pPr>
    </w:p>
    <w:p w:rsidR="007228CC" w:rsidRPr="00F17515" w:rsidRDefault="007228CC" w:rsidP="0071223F">
      <w:pPr>
        <w:snapToGrid w:val="0"/>
        <w:spacing w:line="360" w:lineRule="auto"/>
        <w:ind w:leftChars="800" w:left="1680"/>
        <w:rPr>
          <w:rFonts w:asciiTheme="minorEastAsia" w:eastAsiaTheme="minorEastAsia" w:hAnsiTheme="minorEastAsia"/>
          <w:sz w:val="30"/>
          <w:szCs w:val="30"/>
        </w:rPr>
      </w:pPr>
    </w:p>
    <w:p w:rsidR="007228CC" w:rsidRPr="00F17515" w:rsidRDefault="007228CC" w:rsidP="0071223F">
      <w:pPr>
        <w:snapToGrid w:val="0"/>
        <w:spacing w:line="360" w:lineRule="auto"/>
        <w:jc w:val="center"/>
        <w:rPr>
          <w:rFonts w:asciiTheme="minorEastAsia" w:eastAsiaTheme="minorEastAsia" w:hAnsiTheme="minorEastAsia"/>
          <w:sz w:val="30"/>
          <w:szCs w:val="30"/>
        </w:rPr>
      </w:pPr>
      <w:r w:rsidRPr="00F17515">
        <w:rPr>
          <w:rFonts w:asciiTheme="minorEastAsia" w:eastAsiaTheme="minorEastAsia" w:hAnsiTheme="minorEastAsia" w:hint="eastAsia"/>
          <w:sz w:val="30"/>
          <w:szCs w:val="30"/>
        </w:rPr>
        <w:t>基金管理人：易方达基金管理有限公司</w:t>
      </w:r>
    </w:p>
    <w:p w:rsidR="002A7F91" w:rsidRPr="00F17515" w:rsidRDefault="007228CC" w:rsidP="009D2370">
      <w:pPr>
        <w:snapToGrid w:val="0"/>
        <w:spacing w:line="360" w:lineRule="auto"/>
        <w:jc w:val="center"/>
        <w:rPr>
          <w:rFonts w:asciiTheme="minorEastAsia" w:eastAsiaTheme="minorEastAsia" w:hAnsiTheme="minorEastAsia"/>
          <w:sz w:val="30"/>
          <w:szCs w:val="30"/>
        </w:rPr>
      </w:pPr>
      <w:r w:rsidRPr="00F17515">
        <w:rPr>
          <w:rFonts w:asciiTheme="minorEastAsia" w:eastAsiaTheme="minorEastAsia" w:hAnsiTheme="minorEastAsia" w:hint="eastAsia"/>
          <w:sz w:val="30"/>
          <w:szCs w:val="30"/>
        </w:rPr>
        <w:t>基金托管人：中国建设银行股份有限公司</w:t>
      </w:r>
    </w:p>
    <w:p w:rsidR="000329F7" w:rsidRPr="00F17515" w:rsidRDefault="000329F7" w:rsidP="009D2370">
      <w:pPr>
        <w:snapToGrid w:val="0"/>
        <w:spacing w:line="360" w:lineRule="auto"/>
        <w:jc w:val="center"/>
        <w:rPr>
          <w:rFonts w:asciiTheme="minorEastAsia" w:eastAsiaTheme="minorEastAsia" w:hAnsiTheme="minorEastAsia"/>
          <w:sz w:val="30"/>
          <w:szCs w:val="30"/>
        </w:rPr>
      </w:pPr>
    </w:p>
    <w:p w:rsidR="00451364" w:rsidRPr="00F17515" w:rsidRDefault="00451364" w:rsidP="0071223F">
      <w:pPr>
        <w:snapToGrid w:val="0"/>
        <w:spacing w:line="360" w:lineRule="auto"/>
        <w:jc w:val="center"/>
        <w:rPr>
          <w:rFonts w:asciiTheme="minorEastAsia" w:eastAsiaTheme="minorEastAsia" w:hAnsiTheme="minorEastAsia"/>
          <w:sz w:val="30"/>
          <w:szCs w:val="30"/>
        </w:rPr>
      </w:pPr>
      <w:r w:rsidRPr="00F17515">
        <w:rPr>
          <w:rFonts w:asciiTheme="minorEastAsia" w:eastAsiaTheme="minorEastAsia" w:hAnsiTheme="minorEastAsia" w:hint="eastAsia"/>
          <w:sz w:val="30"/>
          <w:szCs w:val="30"/>
        </w:rPr>
        <w:t>二○二○年</w:t>
      </w:r>
      <w:r w:rsidR="00F162DE" w:rsidRPr="00F17515">
        <w:rPr>
          <w:rFonts w:asciiTheme="minorEastAsia" w:eastAsiaTheme="minorEastAsia" w:hAnsiTheme="minorEastAsia" w:hint="eastAsia"/>
          <w:sz w:val="30"/>
          <w:szCs w:val="30"/>
        </w:rPr>
        <w:t>五</w:t>
      </w:r>
      <w:r w:rsidRPr="00F17515">
        <w:rPr>
          <w:rFonts w:asciiTheme="minorEastAsia" w:eastAsiaTheme="minorEastAsia" w:hAnsiTheme="minorEastAsia" w:hint="eastAsia"/>
          <w:sz w:val="30"/>
          <w:szCs w:val="30"/>
        </w:rPr>
        <w:t>月</w:t>
      </w:r>
    </w:p>
    <w:p w:rsidR="007228CC" w:rsidRPr="00F17515" w:rsidRDefault="007228CC" w:rsidP="0071223F">
      <w:pPr>
        <w:snapToGrid w:val="0"/>
        <w:spacing w:line="360" w:lineRule="auto"/>
        <w:jc w:val="center"/>
        <w:rPr>
          <w:rFonts w:asciiTheme="minorEastAsia" w:eastAsiaTheme="minorEastAsia" w:hAnsiTheme="minorEastAsia"/>
          <w:sz w:val="30"/>
          <w:szCs w:val="30"/>
        </w:rPr>
      </w:pPr>
    </w:p>
    <w:p w:rsidR="001363DB" w:rsidRPr="00F17515" w:rsidRDefault="001363DB" w:rsidP="0071223F">
      <w:pPr>
        <w:snapToGrid w:val="0"/>
        <w:spacing w:line="360" w:lineRule="auto"/>
        <w:jc w:val="center"/>
        <w:rPr>
          <w:rFonts w:asciiTheme="minorEastAsia" w:eastAsiaTheme="minorEastAsia" w:hAnsiTheme="minorEastAsia"/>
          <w:sz w:val="30"/>
          <w:szCs w:val="30"/>
        </w:rPr>
      </w:pPr>
    </w:p>
    <w:p w:rsidR="007228CC" w:rsidRPr="00F17515" w:rsidRDefault="007228CC" w:rsidP="0071223F">
      <w:pPr>
        <w:snapToGrid w:val="0"/>
        <w:spacing w:line="360" w:lineRule="auto"/>
        <w:ind w:firstLine="561"/>
        <w:jc w:val="center"/>
        <w:rPr>
          <w:rFonts w:asciiTheme="minorEastAsia" w:eastAsiaTheme="minorEastAsia" w:hAnsiTheme="minorEastAsia"/>
          <w:b/>
          <w:sz w:val="28"/>
          <w:szCs w:val="28"/>
        </w:rPr>
      </w:pPr>
      <w:r w:rsidRPr="00F17515">
        <w:rPr>
          <w:rFonts w:asciiTheme="minorEastAsia" w:eastAsiaTheme="minorEastAsia" w:hAnsiTheme="minorEastAsia" w:hint="eastAsia"/>
          <w:b/>
          <w:sz w:val="28"/>
          <w:szCs w:val="28"/>
        </w:rPr>
        <w:lastRenderedPageBreak/>
        <w:t>重要提示</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本基金根据2008年2月3日中国证券监督管理委员会《关于核准易方达增强回报债券型证券投资基金募集的批复》（证监</w:t>
      </w:r>
      <w:r w:rsidR="00E21266" w:rsidRPr="00F17515">
        <w:rPr>
          <w:rFonts w:asciiTheme="minorEastAsia" w:eastAsiaTheme="minorEastAsia" w:hAnsiTheme="minorEastAsia" w:hint="eastAsia"/>
          <w:szCs w:val="21"/>
        </w:rPr>
        <w:t>许可</w:t>
      </w:r>
      <w:r w:rsidRPr="00F17515">
        <w:rPr>
          <w:rFonts w:asciiTheme="minorEastAsia" w:eastAsiaTheme="minorEastAsia" w:hAnsiTheme="minorEastAsia"/>
          <w:szCs w:val="21"/>
        </w:rPr>
        <w:t>[200</w:t>
      </w:r>
      <w:r w:rsidRPr="00F17515">
        <w:rPr>
          <w:rFonts w:asciiTheme="minorEastAsia" w:eastAsiaTheme="minorEastAsia" w:hAnsiTheme="minorEastAsia" w:hint="eastAsia"/>
          <w:szCs w:val="21"/>
        </w:rPr>
        <w:t>8]226号）和</w:t>
      </w:r>
      <w:r w:rsidRPr="00F17515">
        <w:rPr>
          <w:rFonts w:asciiTheme="minorEastAsia" w:eastAsiaTheme="minorEastAsia" w:hAnsiTheme="minorEastAsia"/>
          <w:szCs w:val="21"/>
        </w:rPr>
        <w:t>200</w:t>
      </w:r>
      <w:r w:rsidRPr="00F17515">
        <w:rPr>
          <w:rFonts w:asciiTheme="minorEastAsia" w:eastAsiaTheme="minorEastAsia" w:hAnsiTheme="minorEastAsia" w:hint="eastAsia"/>
          <w:szCs w:val="21"/>
        </w:rPr>
        <w:t>8年2月21日《关于易方达增强回报债券型证券投资基金募集时间安排的确认函》（基金部函</w:t>
      </w:r>
      <w:r w:rsidRPr="00F17515">
        <w:rPr>
          <w:rFonts w:asciiTheme="minorEastAsia" w:eastAsiaTheme="minorEastAsia" w:hAnsiTheme="minorEastAsia"/>
          <w:szCs w:val="21"/>
        </w:rPr>
        <w:t>[200</w:t>
      </w:r>
      <w:r w:rsidRPr="00F17515">
        <w:rPr>
          <w:rFonts w:asciiTheme="minorEastAsia" w:eastAsiaTheme="minorEastAsia" w:hAnsiTheme="minorEastAsia" w:hint="eastAsia"/>
          <w:szCs w:val="21"/>
        </w:rPr>
        <w:t>8]44号）的核准，进行募集。</w:t>
      </w:r>
      <w:r w:rsidRPr="00F17515">
        <w:rPr>
          <w:rFonts w:asciiTheme="minorEastAsia" w:eastAsiaTheme="minorEastAsia" w:hAnsiTheme="minorEastAsia" w:hint="eastAsia"/>
        </w:rPr>
        <w:t>本基金的基金合同于2008年3月19日正式生效。</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基金管理人保证《招募说明书》的内容真实、准确、完整。</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基金的过往业绩并不预示其未来表现。</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基金管理人依照恪尽职守、诚实信用、谨慎勤勉的原则管理和运用基金财产，但不保证基金一定盈利，也不保证最低收益。</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本基金主要投资于固定收益品种并参与新股申购（含增发）和套利性机会投资，投资者在投资本基金前，需充分了解本基金的产品特性，并承担基金投资中出现的各类风险，投资风险，包括</w:t>
      </w:r>
      <w:r w:rsidR="000C2537" w:rsidRPr="00F17515">
        <w:rPr>
          <w:rFonts w:asciiTheme="minorEastAsia" w:eastAsiaTheme="minorEastAsia" w:hAnsiTheme="minorEastAsia" w:hint="eastAsia"/>
        </w:rPr>
        <w:t>因整体政治、经济、社会等环境因素对证券市场价格产生影响的市场风险，基金管理人在基金管理实施过程中产生的基金管理风险，由于基金份额持有人大量赎回基金或证券市场交易量不足导致的流动性风险</w:t>
      </w:r>
      <w:r w:rsidRPr="00F17515">
        <w:rPr>
          <w:rFonts w:asciiTheme="minorEastAsia" w:eastAsiaTheme="minorEastAsia" w:hAnsiTheme="minorEastAsia" w:hint="eastAsia"/>
          <w:szCs w:val="21"/>
        </w:rPr>
        <w:t>，</w:t>
      </w:r>
      <w:r w:rsidR="00E028D5" w:rsidRPr="00F17515">
        <w:rPr>
          <w:rFonts w:asciiTheme="minorEastAsia" w:eastAsiaTheme="minorEastAsia" w:hAnsiTheme="minorEastAsia" w:hint="eastAsia"/>
        </w:rPr>
        <w:t>以及</w:t>
      </w:r>
      <w:r w:rsidR="00E028D5" w:rsidRPr="00F17515">
        <w:rPr>
          <w:rFonts w:asciiTheme="minorEastAsia" w:eastAsiaTheme="minorEastAsia" w:hAnsiTheme="minorEastAsia" w:hint="eastAsia"/>
          <w:szCs w:val="21"/>
        </w:rPr>
        <w:t>本基金法律文件中涉及基金风险特征的表述与销售机构对基金的风险评级可能不一致的风险，</w:t>
      </w:r>
      <w:r w:rsidRPr="00F17515">
        <w:rPr>
          <w:rFonts w:asciiTheme="minorEastAsia" w:eastAsiaTheme="minorEastAsia" w:hAnsiTheme="minorEastAsia" w:hint="eastAsia"/>
          <w:szCs w:val="21"/>
        </w:rPr>
        <w:t>等等。此外，本基金以1元初始面值进行募集，在市场波动等因素的影响下，存在单位份额净值跌破1元初始面值的风险。</w:t>
      </w:r>
    </w:p>
    <w:p w:rsidR="007228CC" w:rsidRPr="00F17515" w:rsidRDefault="005025A4"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基金不同于银行储蓄</w:t>
      </w:r>
      <w:r w:rsidR="007228CC" w:rsidRPr="00F17515">
        <w:rPr>
          <w:rFonts w:asciiTheme="minorEastAsia" w:eastAsiaTheme="minorEastAsia" w:hAnsiTheme="minorEastAsia" w:hint="eastAsia"/>
          <w:szCs w:val="21"/>
        </w:rPr>
        <w:t>，基金投资者有可能获得较高的收益，也有可能损失本金。投资者在进行投资决策前，请仔细阅读本基金的</w:t>
      </w:r>
      <w:r w:rsidR="00DB3139" w:rsidRPr="00F17515">
        <w:rPr>
          <w:rFonts w:asciiTheme="minorEastAsia" w:eastAsiaTheme="minorEastAsia" w:hAnsiTheme="minorEastAsia" w:hint="eastAsia"/>
          <w:szCs w:val="21"/>
        </w:rPr>
        <w:t>招募说明书、基金合同和基金产品资料概要等信息披露文件</w:t>
      </w:r>
      <w:r w:rsidR="007228CC" w:rsidRPr="00F17515">
        <w:rPr>
          <w:rFonts w:asciiTheme="minorEastAsia" w:eastAsiaTheme="minorEastAsia" w:hAnsiTheme="minorEastAsia" w:hint="eastAsia"/>
          <w:szCs w:val="21"/>
        </w:rPr>
        <w:t>。基金管理人提醒投资者基金投资的“买者自负”原则，在投资者作出投资决策后，基金运营状况与基金净值变化引致的投资风险，由投资者自行负责。</w:t>
      </w:r>
    </w:p>
    <w:p w:rsidR="00DB3139" w:rsidRPr="00F17515" w:rsidRDefault="00DB3139"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基金合同约定的基金产品资料概要编制、披露与更新要求，自《信息披露办法》实施之日起一年后开始执行。</w:t>
      </w:r>
    </w:p>
    <w:p w:rsidR="007228CC" w:rsidRPr="00F17515" w:rsidRDefault="00F162DE" w:rsidP="0071223F">
      <w:pPr>
        <w:adjustRightInd w:val="0"/>
        <w:snapToGrid w:val="0"/>
        <w:spacing w:line="360" w:lineRule="auto"/>
        <w:ind w:firstLineChars="200" w:firstLine="420"/>
        <w:rPr>
          <w:rFonts w:asciiTheme="minorEastAsia" w:eastAsiaTheme="minorEastAsia" w:hAnsiTheme="minorEastAsia"/>
          <w:b/>
          <w:sz w:val="28"/>
          <w:szCs w:val="28"/>
        </w:rPr>
      </w:pPr>
      <w:r w:rsidRPr="00F17515">
        <w:rPr>
          <w:rFonts w:asciiTheme="minorEastAsia" w:eastAsiaTheme="minorEastAsia" w:hAnsiTheme="minorEastAsia" w:hint="eastAsia"/>
        </w:rPr>
        <w:t>本基金本次更新招募说明书对基金经理变更的相关信息进行更新，基金经理变更相关信息更新截止日为2020年5月27日。</w:t>
      </w:r>
      <w:r w:rsidR="006C742B" w:rsidRPr="00F17515">
        <w:rPr>
          <w:rFonts w:asciiTheme="minorEastAsia" w:eastAsiaTheme="minorEastAsia" w:hAnsiTheme="minorEastAsia" w:hint="eastAsia"/>
        </w:rPr>
        <w:t>除非另有说明，</w:t>
      </w:r>
      <w:r w:rsidR="00451364" w:rsidRPr="00F17515">
        <w:rPr>
          <w:rFonts w:asciiTheme="minorEastAsia" w:eastAsiaTheme="minorEastAsia" w:hAnsiTheme="minorEastAsia" w:hint="eastAsia"/>
          <w:szCs w:val="21"/>
        </w:rPr>
        <w:t>本招募说明书</w:t>
      </w:r>
      <w:r w:rsidRPr="00F17515">
        <w:rPr>
          <w:rFonts w:asciiTheme="minorEastAsia" w:eastAsiaTheme="minorEastAsia" w:hAnsiTheme="minorEastAsia" w:hint="eastAsia"/>
          <w:szCs w:val="21"/>
        </w:rPr>
        <w:t>其他</w:t>
      </w:r>
      <w:r w:rsidR="00451364" w:rsidRPr="00F17515">
        <w:rPr>
          <w:rFonts w:asciiTheme="minorEastAsia" w:eastAsiaTheme="minorEastAsia" w:hAnsiTheme="minorEastAsia" w:hint="eastAsia"/>
          <w:szCs w:val="21"/>
        </w:rPr>
        <w:t>所载内容截止日为2020年2月16日</w:t>
      </w:r>
      <w:r w:rsidR="002A0418" w:rsidRPr="00F17515">
        <w:rPr>
          <w:rFonts w:asciiTheme="minorEastAsia" w:eastAsiaTheme="minorEastAsia" w:hAnsiTheme="minorEastAsia" w:hint="eastAsia"/>
          <w:kern w:val="0"/>
          <w:szCs w:val="21"/>
        </w:rPr>
        <w:t>，</w:t>
      </w:r>
      <w:r w:rsidR="00451364" w:rsidRPr="00F17515">
        <w:rPr>
          <w:rFonts w:asciiTheme="minorEastAsia" w:eastAsiaTheme="minorEastAsia" w:hAnsiTheme="minorEastAsia" w:hint="eastAsia"/>
          <w:kern w:val="0"/>
          <w:szCs w:val="21"/>
        </w:rPr>
        <w:t>有关财务数据截止日为2019年12月31日</w:t>
      </w:r>
      <w:r w:rsidR="002A0418" w:rsidRPr="00F17515">
        <w:rPr>
          <w:rFonts w:asciiTheme="minorEastAsia" w:eastAsiaTheme="minorEastAsia" w:hAnsiTheme="minorEastAsia" w:hint="eastAsia"/>
          <w:kern w:val="0"/>
          <w:szCs w:val="21"/>
        </w:rPr>
        <w:t>，</w:t>
      </w:r>
      <w:r w:rsidR="00451364" w:rsidRPr="00F17515">
        <w:rPr>
          <w:rFonts w:asciiTheme="minorEastAsia" w:eastAsiaTheme="minorEastAsia" w:hAnsiTheme="minorEastAsia" w:hint="eastAsia"/>
          <w:kern w:val="0"/>
          <w:szCs w:val="21"/>
        </w:rPr>
        <w:t>净值表现截止日为2019年12月31日</w:t>
      </w:r>
      <w:r w:rsidR="007228CC" w:rsidRPr="00F17515">
        <w:rPr>
          <w:rFonts w:asciiTheme="minorEastAsia" w:eastAsiaTheme="minorEastAsia" w:hAnsiTheme="minorEastAsia" w:hint="eastAsia"/>
          <w:szCs w:val="21"/>
        </w:rPr>
        <w:t>。（本报告中财务数据未经审计）</w:t>
      </w:r>
    </w:p>
    <w:p w:rsidR="007228CC" w:rsidRPr="00F17515" w:rsidRDefault="007228CC" w:rsidP="0071223F">
      <w:pPr>
        <w:adjustRightInd w:val="0"/>
        <w:snapToGrid w:val="0"/>
        <w:spacing w:line="360" w:lineRule="auto"/>
        <w:jc w:val="center"/>
        <w:rPr>
          <w:rFonts w:asciiTheme="minorEastAsia" w:eastAsiaTheme="minorEastAsia" w:hAnsiTheme="minorEastAsia"/>
          <w:b/>
          <w:sz w:val="28"/>
          <w:szCs w:val="28"/>
        </w:rPr>
        <w:sectPr w:rsidR="007228CC" w:rsidRPr="00F17515" w:rsidSect="002A7F9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814" w:bottom="1701" w:left="1814" w:header="1134" w:footer="1247" w:gutter="0"/>
          <w:pgNumType w:fmt="upperRoman" w:start="1"/>
          <w:cols w:space="425"/>
          <w:titlePg/>
          <w:docGrid w:type="lines" w:linePitch="447"/>
        </w:sectPr>
      </w:pPr>
    </w:p>
    <w:p w:rsidR="007228CC" w:rsidRPr="00F17515" w:rsidRDefault="007228CC" w:rsidP="0071223F">
      <w:pPr>
        <w:adjustRightInd w:val="0"/>
        <w:snapToGrid w:val="0"/>
        <w:spacing w:line="360" w:lineRule="auto"/>
        <w:jc w:val="center"/>
        <w:rPr>
          <w:rFonts w:asciiTheme="minorEastAsia" w:eastAsiaTheme="minorEastAsia" w:hAnsiTheme="minorEastAsia"/>
          <w:b/>
          <w:sz w:val="28"/>
          <w:szCs w:val="28"/>
        </w:rPr>
      </w:pPr>
      <w:r w:rsidRPr="00F17515">
        <w:rPr>
          <w:rFonts w:asciiTheme="minorEastAsia" w:eastAsiaTheme="minorEastAsia" w:hAnsiTheme="minorEastAsia" w:hint="eastAsia"/>
          <w:b/>
          <w:sz w:val="28"/>
          <w:szCs w:val="28"/>
        </w:rPr>
        <w:lastRenderedPageBreak/>
        <w:t>目录</w:t>
      </w:r>
    </w:p>
    <w:p w:rsidR="00F17515" w:rsidRDefault="00F33FDA">
      <w:pPr>
        <w:pStyle w:val="10"/>
        <w:rPr>
          <w:rFonts w:asciiTheme="minorHAnsi" w:eastAsiaTheme="minorEastAsia" w:hAnsiTheme="minorHAnsi" w:cstheme="minorBidi"/>
          <w:caps w:val="0"/>
          <w:sz w:val="21"/>
          <w:szCs w:val="22"/>
        </w:rPr>
      </w:pPr>
      <w:r w:rsidRPr="00F17515">
        <w:rPr>
          <w:rFonts w:asciiTheme="minorEastAsia" w:eastAsiaTheme="minorEastAsia" w:hAnsiTheme="minorEastAsia"/>
        </w:rPr>
        <w:fldChar w:fldCharType="begin"/>
      </w:r>
      <w:r w:rsidR="007228CC" w:rsidRPr="00F17515">
        <w:rPr>
          <w:rFonts w:asciiTheme="minorEastAsia" w:eastAsiaTheme="minorEastAsia" w:hAnsiTheme="minorEastAsia"/>
        </w:rPr>
        <w:instrText xml:space="preserve"> TOC \o "1-2" \h \z \u </w:instrText>
      </w:r>
      <w:r w:rsidRPr="00F17515">
        <w:rPr>
          <w:rFonts w:asciiTheme="minorEastAsia" w:eastAsiaTheme="minorEastAsia" w:hAnsiTheme="minorEastAsia"/>
        </w:rPr>
        <w:fldChar w:fldCharType="separate"/>
      </w:r>
      <w:hyperlink w:anchor="_Toc41556752" w:history="1">
        <w:r w:rsidR="00F17515" w:rsidRPr="007B7978">
          <w:rPr>
            <w:rStyle w:val="af0"/>
            <w:rFonts w:asciiTheme="minorEastAsia" w:hAnsiTheme="minorEastAsia" w:hint="eastAsia"/>
            <w:b/>
          </w:rPr>
          <w:t>一、</w:t>
        </w:r>
        <w:r w:rsidR="00F17515">
          <w:rPr>
            <w:rFonts w:asciiTheme="minorHAnsi" w:eastAsiaTheme="minorEastAsia" w:hAnsiTheme="minorHAnsi" w:cstheme="minorBidi"/>
            <w:caps w:val="0"/>
            <w:sz w:val="21"/>
            <w:szCs w:val="22"/>
          </w:rPr>
          <w:tab/>
        </w:r>
        <w:r w:rsidR="00F17515" w:rsidRPr="007B7978">
          <w:rPr>
            <w:rStyle w:val="af0"/>
            <w:rFonts w:asciiTheme="minorEastAsia" w:hAnsiTheme="minorEastAsia" w:hint="eastAsia"/>
            <w:b/>
          </w:rPr>
          <w:t>绪言</w:t>
        </w:r>
        <w:r w:rsidR="00F17515">
          <w:rPr>
            <w:webHidden/>
          </w:rPr>
          <w:tab/>
        </w:r>
        <w:r w:rsidR="00F17515">
          <w:rPr>
            <w:webHidden/>
          </w:rPr>
          <w:fldChar w:fldCharType="begin"/>
        </w:r>
        <w:r w:rsidR="00F17515">
          <w:rPr>
            <w:webHidden/>
          </w:rPr>
          <w:instrText xml:space="preserve"> PAGEREF _Toc41556752 \h </w:instrText>
        </w:r>
        <w:r w:rsidR="00F17515">
          <w:rPr>
            <w:webHidden/>
          </w:rPr>
        </w:r>
        <w:r w:rsidR="00F17515">
          <w:rPr>
            <w:webHidden/>
          </w:rPr>
          <w:fldChar w:fldCharType="separate"/>
        </w:r>
        <w:r w:rsidR="00F17515">
          <w:rPr>
            <w:webHidden/>
          </w:rPr>
          <w:t>1</w:t>
        </w:r>
        <w:r w:rsidR="00F17515">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53" w:history="1">
        <w:r w:rsidRPr="007B7978">
          <w:rPr>
            <w:rStyle w:val="af0"/>
            <w:rFonts w:asciiTheme="minorEastAsia" w:hAnsiTheme="minorEastAsia" w:hint="eastAsia"/>
            <w:b/>
          </w:rPr>
          <w:t>二、</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释义</w:t>
        </w:r>
        <w:r>
          <w:rPr>
            <w:webHidden/>
          </w:rPr>
          <w:tab/>
        </w:r>
        <w:r>
          <w:rPr>
            <w:webHidden/>
          </w:rPr>
          <w:fldChar w:fldCharType="begin"/>
        </w:r>
        <w:r>
          <w:rPr>
            <w:webHidden/>
          </w:rPr>
          <w:instrText xml:space="preserve"> PAGEREF _Toc41556753 \h </w:instrText>
        </w:r>
        <w:r>
          <w:rPr>
            <w:webHidden/>
          </w:rPr>
        </w:r>
        <w:r>
          <w:rPr>
            <w:webHidden/>
          </w:rPr>
          <w:fldChar w:fldCharType="separate"/>
        </w:r>
        <w:r>
          <w:rPr>
            <w:webHidden/>
          </w:rPr>
          <w:t>2</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54" w:history="1">
        <w:r w:rsidRPr="007B7978">
          <w:rPr>
            <w:rStyle w:val="af0"/>
            <w:rFonts w:asciiTheme="minorEastAsia" w:hAnsiTheme="minorEastAsia" w:hint="eastAsia"/>
            <w:b/>
          </w:rPr>
          <w:t>三、</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基金管理人</w:t>
        </w:r>
        <w:r>
          <w:rPr>
            <w:webHidden/>
          </w:rPr>
          <w:tab/>
        </w:r>
        <w:r>
          <w:rPr>
            <w:webHidden/>
          </w:rPr>
          <w:fldChar w:fldCharType="begin"/>
        </w:r>
        <w:r>
          <w:rPr>
            <w:webHidden/>
          </w:rPr>
          <w:instrText xml:space="preserve"> PAGEREF _Toc41556754 \h </w:instrText>
        </w:r>
        <w:r>
          <w:rPr>
            <w:webHidden/>
          </w:rPr>
        </w:r>
        <w:r>
          <w:rPr>
            <w:webHidden/>
          </w:rPr>
          <w:fldChar w:fldCharType="separate"/>
        </w:r>
        <w:r>
          <w:rPr>
            <w:webHidden/>
          </w:rPr>
          <w:t>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55" w:history="1">
        <w:r w:rsidRPr="007B7978">
          <w:rPr>
            <w:rStyle w:val="af0"/>
            <w:rFonts w:asciiTheme="minorEastAsia" w:hAnsiTheme="minorEastAsia" w:cs="仿宋_GB2312" w:hint="eastAsia"/>
            <w:bCs/>
            <w:kern w:val="0"/>
          </w:rPr>
          <w:t>（一）基金管理人基本情况</w:t>
        </w:r>
        <w:r>
          <w:rPr>
            <w:webHidden/>
          </w:rPr>
          <w:tab/>
        </w:r>
        <w:r>
          <w:rPr>
            <w:webHidden/>
          </w:rPr>
          <w:fldChar w:fldCharType="begin"/>
        </w:r>
        <w:r>
          <w:rPr>
            <w:webHidden/>
          </w:rPr>
          <w:instrText xml:space="preserve"> PAGEREF _Toc41556755 \h </w:instrText>
        </w:r>
        <w:r>
          <w:rPr>
            <w:webHidden/>
          </w:rPr>
        </w:r>
        <w:r>
          <w:rPr>
            <w:webHidden/>
          </w:rPr>
          <w:fldChar w:fldCharType="separate"/>
        </w:r>
        <w:r>
          <w:rPr>
            <w:webHidden/>
          </w:rPr>
          <w:t>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56" w:history="1">
        <w:r w:rsidRPr="007B7978">
          <w:rPr>
            <w:rStyle w:val="af0"/>
            <w:rFonts w:asciiTheme="minorEastAsia" w:hAnsiTheme="minorEastAsia" w:hint="eastAsia"/>
            <w:bCs/>
          </w:rPr>
          <w:t>（二）主要人员情况</w:t>
        </w:r>
        <w:r>
          <w:rPr>
            <w:webHidden/>
          </w:rPr>
          <w:tab/>
        </w:r>
        <w:r>
          <w:rPr>
            <w:webHidden/>
          </w:rPr>
          <w:fldChar w:fldCharType="begin"/>
        </w:r>
        <w:r>
          <w:rPr>
            <w:webHidden/>
          </w:rPr>
          <w:instrText xml:space="preserve"> PAGEREF _Toc41556756 \h </w:instrText>
        </w:r>
        <w:r>
          <w:rPr>
            <w:webHidden/>
          </w:rPr>
        </w:r>
        <w:r>
          <w:rPr>
            <w:webHidden/>
          </w:rPr>
          <w:fldChar w:fldCharType="separate"/>
        </w:r>
        <w:r>
          <w:rPr>
            <w:webHidden/>
          </w:rPr>
          <w:t>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57" w:history="1">
        <w:r w:rsidRPr="007B7978">
          <w:rPr>
            <w:rStyle w:val="af0"/>
            <w:rFonts w:asciiTheme="minorEastAsia" w:hAnsiTheme="minorEastAsia" w:hint="eastAsia"/>
            <w:bCs/>
          </w:rPr>
          <w:t>（三）基金管理人的职责</w:t>
        </w:r>
        <w:r>
          <w:rPr>
            <w:webHidden/>
          </w:rPr>
          <w:tab/>
        </w:r>
        <w:r>
          <w:rPr>
            <w:webHidden/>
          </w:rPr>
          <w:fldChar w:fldCharType="begin"/>
        </w:r>
        <w:r>
          <w:rPr>
            <w:webHidden/>
          </w:rPr>
          <w:instrText xml:space="preserve"> PAGEREF _Toc41556757 \h </w:instrText>
        </w:r>
        <w:r>
          <w:rPr>
            <w:webHidden/>
          </w:rPr>
        </w:r>
        <w:r>
          <w:rPr>
            <w:webHidden/>
          </w:rPr>
          <w:fldChar w:fldCharType="separate"/>
        </w:r>
        <w:r>
          <w:rPr>
            <w:webHidden/>
          </w:rPr>
          <w:t>12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58" w:history="1">
        <w:r w:rsidRPr="007B7978">
          <w:rPr>
            <w:rStyle w:val="af0"/>
            <w:rFonts w:asciiTheme="minorEastAsia" w:hAnsiTheme="minorEastAsia" w:hint="eastAsia"/>
            <w:bCs/>
          </w:rPr>
          <w:t>（四）基金管理人的承诺</w:t>
        </w:r>
        <w:r>
          <w:rPr>
            <w:webHidden/>
          </w:rPr>
          <w:tab/>
        </w:r>
        <w:r>
          <w:rPr>
            <w:webHidden/>
          </w:rPr>
          <w:fldChar w:fldCharType="begin"/>
        </w:r>
        <w:r>
          <w:rPr>
            <w:webHidden/>
          </w:rPr>
          <w:instrText xml:space="preserve"> PAGEREF _Toc41556758 \h </w:instrText>
        </w:r>
        <w:r>
          <w:rPr>
            <w:webHidden/>
          </w:rPr>
        </w:r>
        <w:r>
          <w:rPr>
            <w:webHidden/>
          </w:rPr>
          <w:fldChar w:fldCharType="separate"/>
        </w:r>
        <w:r>
          <w:rPr>
            <w:webHidden/>
          </w:rPr>
          <w:t>13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59" w:history="1">
        <w:r w:rsidRPr="007B7978">
          <w:rPr>
            <w:rStyle w:val="af0"/>
            <w:rFonts w:asciiTheme="minorEastAsia" w:hAnsiTheme="minorEastAsia" w:hint="eastAsia"/>
            <w:bCs/>
          </w:rPr>
          <w:t>（五）基金管理人的内部控制制度</w:t>
        </w:r>
        <w:r>
          <w:rPr>
            <w:webHidden/>
          </w:rPr>
          <w:tab/>
        </w:r>
        <w:r>
          <w:rPr>
            <w:webHidden/>
          </w:rPr>
          <w:fldChar w:fldCharType="begin"/>
        </w:r>
        <w:r>
          <w:rPr>
            <w:webHidden/>
          </w:rPr>
          <w:instrText xml:space="preserve"> PAGEREF _Toc41556759 \h </w:instrText>
        </w:r>
        <w:r>
          <w:rPr>
            <w:webHidden/>
          </w:rPr>
        </w:r>
        <w:r>
          <w:rPr>
            <w:webHidden/>
          </w:rPr>
          <w:fldChar w:fldCharType="separate"/>
        </w:r>
        <w:r>
          <w:rPr>
            <w:webHidden/>
          </w:rPr>
          <w:t>14</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60" w:history="1">
        <w:r w:rsidRPr="007B7978">
          <w:rPr>
            <w:rStyle w:val="af0"/>
            <w:rFonts w:asciiTheme="minorEastAsia" w:hAnsiTheme="minorEastAsia" w:hint="eastAsia"/>
            <w:b/>
          </w:rPr>
          <w:t>四、</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基金托管人</w:t>
        </w:r>
        <w:r>
          <w:rPr>
            <w:webHidden/>
          </w:rPr>
          <w:tab/>
        </w:r>
        <w:r>
          <w:rPr>
            <w:webHidden/>
          </w:rPr>
          <w:fldChar w:fldCharType="begin"/>
        </w:r>
        <w:r>
          <w:rPr>
            <w:webHidden/>
          </w:rPr>
          <w:instrText xml:space="preserve"> PAGEREF _Toc41556760 \h </w:instrText>
        </w:r>
        <w:r>
          <w:rPr>
            <w:webHidden/>
          </w:rPr>
        </w:r>
        <w:r>
          <w:rPr>
            <w:webHidden/>
          </w:rPr>
          <w:fldChar w:fldCharType="separate"/>
        </w:r>
        <w:r>
          <w:rPr>
            <w:webHidden/>
          </w:rPr>
          <w:t>17</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61" w:history="1">
        <w:r w:rsidRPr="007B7978">
          <w:rPr>
            <w:rStyle w:val="af0"/>
            <w:rFonts w:asciiTheme="minorEastAsia" w:hAnsiTheme="minorEastAsia" w:hint="eastAsia"/>
            <w:b/>
          </w:rPr>
          <w:t>五、</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相关服务机构</w:t>
        </w:r>
        <w:r>
          <w:rPr>
            <w:webHidden/>
          </w:rPr>
          <w:tab/>
        </w:r>
        <w:r>
          <w:rPr>
            <w:webHidden/>
          </w:rPr>
          <w:fldChar w:fldCharType="begin"/>
        </w:r>
        <w:r>
          <w:rPr>
            <w:webHidden/>
          </w:rPr>
          <w:instrText xml:space="preserve"> PAGEREF _Toc41556761 \h </w:instrText>
        </w:r>
        <w:r>
          <w:rPr>
            <w:webHidden/>
          </w:rPr>
        </w:r>
        <w:r>
          <w:rPr>
            <w:webHidden/>
          </w:rPr>
          <w:fldChar w:fldCharType="separate"/>
        </w:r>
        <w:r>
          <w:rPr>
            <w:webHidden/>
          </w:rPr>
          <w:t>21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62" w:history="1">
        <w:r w:rsidRPr="007B7978">
          <w:rPr>
            <w:rStyle w:val="af0"/>
            <w:rFonts w:asciiTheme="minorEastAsia" w:hAnsiTheme="minorEastAsia" w:hint="eastAsia"/>
            <w:bCs/>
          </w:rPr>
          <w:t>（一）基金份额销售机构</w:t>
        </w:r>
        <w:r>
          <w:rPr>
            <w:webHidden/>
          </w:rPr>
          <w:tab/>
        </w:r>
        <w:r>
          <w:rPr>
            <w:webHidden/>
          </w:rPr>
          <w:fldChar w:fldCharType="begin"/>
        </w:r>
        <w:r>
          <w:rPr>
            <w:webHidden/>
          </w:rPr>
          <w:instrText xml:space="preserve"> PAGEREF _Toc41556762 \h </w:instrText>
        </w:r>
        <w:r>
          <w:rPr>
            <w:webHidden/>
          </w:rPr>
        </w:r>
        <w:r>
          <w:rPr>
            <w:webHidden/>
          </w:rPr>
          <w:fldChar w:fldCharType="separate"/>
        </w:r>
        <w:r>
          <w:rPr>
            <w:webHidden/>
          </w:rPr>
          <w:t>21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63" w:history="1">
        <w:r w:rsidRPr="007B7978">
          <w:rPr>
            <w:rStyle w:val="af0"/>
            <w:rFonts w:asciiTheme="minorEastAsia" w:hAnsiTheme="minorEastAsia" w:hint="eastAsia"/>
            <w:bCs/>
          </w:rPr>
          <w:t>（二）基金注册登记机构</w:t>
        </w:r>
        <w:r>
          <w:rPr>
            <w:webHidden/>
          </w:rPr>
          <w:tab/>
        </w:r>
        <w:r>
          <w:rPr>
            <w:webHidden/>
          </w:rPr>
          <w:fldChar w:fldCharType="begin"/>
        </w:r>
        <w:r>
          <w:rPr>
            <w:webHidden/>
          </w:rPr>
          <w:instrText xml:space="preserve"> PAGEREF _Toc41556763 \h </w:instrText>
        </w:r>
        <w:r>
          <w:rPr>
            <w:webHidden/>
          </w:rPr>
        </w:r>
        <w:r>
          <w:rPr>
            <w:webHidden/>
          </w:rPr>
          <w:fldChar w:fldCharType="separate"/>
        </w:r>
        <w:r>
          <w:rPr>
            <w:webHidden/>
          </w:rPr>
          <w:t>84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64" w:history="1">
        <w:r w:rsidRPr="007B7978">
          <w:rPr>
            <w:rStyle w:val="af0"/>
            <w:rFonts w:asciiTheme="minorEastAsia" w:hAnsiTheme="minorEastAsia" w:hint="eastAsia"/>
          </w:rPr>
          <w:t>（三）律师事务所和经办律师</w:t>
        </w:r>
        <w:r>
          <w:rPr>
            <w:webHidden/>
          </w:rPr>
          <w:tab/>
        </w:r>
        <w:r>
          <w:rPr>
            <w:webHidden/>
          </w:rPr>
          <w:fldChar w:fldCharType="begin"/>
        </w:r>
        <w:r>
          <w:rPr>
            <w:webHidden/>
          </w:rPr>
          <w:instrText xml:space="preserve"> PAGEREF _Toc41556764 \h </w:instrText>
        </w:r>
        <w:r>
          <w:rPr>
            <w:webHidden/>
          </w:rPr>
        </w:r>
        <w:r>
          <w:rPr>
            <w:webHidden/>
          </w:rPr>
          <w:fldChar w:fldCharType="separate"/>
        </w:r>
        <w:r>
          <w:rPr>
            <w:webHidden/>
          </w:rPr>
          <w:t>84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65" w:history="1">
        <w:r w:rsidRPr="007B7978">
          <w:rPr>
            <w:rStyle w:val="af0"/>
            <w:rFonts w:asciiTheme="minorEastAsia" w:hAnsiTheme="minorEastAsia" w:hint="eastAsia"/>
          </w:rPr>
          <w:t>（四）会计师事务所和经办注册会计师</w:t>
        </w:r>
        <w:r>
          <w:rPr>
            <w:webHidden/>
          </w:rPr>
          <w:tab/>
        </w:r>
        <w:r>
          <w:rPr>
            <w:webHidden/>
          </w:rPr>
          <w:fldChar w:fldCharType="begin"/>
        </w:r>
        <w:r>
          <w:rPr>
            <w:webHidden/>
          </w:rPr>
          <w:instrText xml:space="preserve"> PAGEREF _Toc41556765 \h </w:instrText>
        </w:r>
        <w:r>
          <w:rPr>
            <w:webHidden/>
          </w:rPr>
        </w:r>
        <w:r>
          <w:rPr>
            <w:webHidden/>
          </w:rPr>
          <w:fldChar w:fldCharType="separate"/>
        </w:r>
        <w:r>
          <w:rPr>
            <w:webHidden/>
          </w:rPr>
          <w:t>84</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66" w:history="1">
        <w:r w:rsidRPr="007B7978">
          <w:rPr>
            <w:rStyle w:val="af0"/>
            <w:rFonts w:asciiTheme="minorEastAsia" w:hAnsiTheme="minorEastAsia" w:hint="eastAsia"/>
            <w:b/>
          </w:rPr>
          <w:t>六、</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基金的募集</w:t>
        </w:r>
        <w:r>
          <w:rPr>
            <w:webHidden/>
          </w:rPr>
          <w:tab/>
        </w:r>
        <w:r>
          <w:rPr>
            <w:webHidden/>
          </w:rPr>
          <w:fldChar w:fldCharType="begin"/>
        </w:r>
        <w:r>
          <w:rPr>
            <w:webHidden/>
          </w:rPr>
          <w:instrText xml:space="preserve"> PAGEREF _Toc41556766 \h </w:instrText>
        </w:r>
        <w:r>
          <w:rPr>
            <w:webHidden/>
          </w:rPr>
        </w:r>
        <w:r>
          <w:rPr>
            <w:webHidden/>
          </w:rPr>
          <w:fldChar w:fldCharType="separate"/>
        </w:r>
        <w:r>
          <w:rPr>
            <w:webHidden/>
          </w:rPr>
          <w:t>85</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67" w:history="1">
        <w:r w:rsidRPr="007B7978">
          <w:rPr>
            <w:rStyle w:val="af0"/>
            <w:rFonts w:asciiTheme="minorEastAsia" w:hAnsiTheme="minorEastAsia" w:hint="eastAsia"/>
            <w:b/>
          </w:rPr>
          <w:t>七、</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基金合同的生效</w:t>
        </w:r>
        <w:r>
          <w:rPr>
            <w:webHidden/>
          </w:rPr>
          <w:tab/>
        </w:r>
        <w:r>
          <w:rPr>
            <w:webHidden/>
          </w:rPr>
          <w:fldChar w:fldCharType="begin"/>
        </w:r>
        <w:r>
          <w:rPr>
            <w:webHidden/>
          </w:rPr>
          <w:instrText xml:space="preserve"> PAGEREF _Toc41556767 \h </w:instrText>
        </w:r>
        <w:r>
          <w:rPr>
            <w:webHidden/>
          </w:rPr>
        </w:r>
        <w:r>
          <w:rPr>
            <w:webHidden/>
          </w:rPr>
          <w:fldChar w:fldCharType="separate"/>
        </w:r>
        <w:r>
          <w:rPr>
            <w:webHidden/>
          </w:rPr>
          <w:t>86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68" w:history="1">
        <w:r w:rsidRPr="007B7978">
          <w:rPr>
            <w:rStyle w:val="af0"/>
            <w:rFonts w:asciiTheme="minorEastAsia" w:hAnsiTheme="minorEastAsia" w:hint="eastAsia"/>
          </w:rPr>
          <w:t>（一）基金合同的生效</w:t>
        </w:r>
        <w:r>
          <w:rPr>
            <w:webHidden/>
          </w:rPr>
          <w:tab/>
        </w:r>
        <w:r>
          <w:rPr>
            <w:webHidden/>
          </w:rPr>
          <w:fldChar w:fldCharType="begin"/>
        </w:r>
        <w:r>
          <w:rPr>
            <w:webHidden/>
          </w:rPr>
          <w:instrText xml:space="preserve"> PAGEREF _Toc41556768 \h </w:instrText>
        </w:r>
        <w:r>
          <w:rPr>
            <w:webHidden/>
          </w:rPr>
        </w:r>
        <w:r>
          <w:rPr>
            <w:webHidden/>
          </w:rPr>
          <w:fldChar w:fldCharType="separate"/>
        </w:r>
        <w:r>
          <w:rPr>
            <w:webHidden/>
          </w:rPr>
          <w:t>86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69" w:history="1">
        <w:r w:rsidRPr="007B7978">
          <w:rPr>
            <w:rStyle w:val="af0"/>
            <w:rFonts w:asciiTheme="minorEastAsia" w:hAnsiTheme="minorEastAsia" w:hint="eastAsia"/>
          </w:rPr>
          <w:t>（二）基金存续期内的基金份额持有人数量和资产规模</w:t>
        </w:r>
        <w:r>
          <w:rPr>
            <w:webHidden/>
          </w:rPr>
          <w:tab/>
        </w:r>
        <w:r>
          <w:rPr>
            <w:webHidden/>
          </w:rPr>
          <w:fldChar w:fldCharType="begin"/>
        </w:r>
        <w:r>
          <w:rPr>
            <w:webHidden/>
          </w:rPr>
          <w:instrText xml:space="preserve"> PAGEREF _Toc41556769 \h </w:instrText>
        </w:r>
        <w:r>
          <w:rPr>
            <w:webHidden/>
          </w:rPr>
        </w:r>
        <w:r>
          <w:rPr>
            <w:webHidden/>
          </w:rPr>
          <w:fldChar w:fldCharType="separate"/>
        </w:r>
        <w:r>
          <w:rPr>
            <w:webHidden/>
          </w:rPr>
          <w:t>86</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70" w:history="1">
        <w:r w:rsidRPr="007B7978">
          <w:rPr>
            <w:rStyle w:val="af0"/>
            <w:rFonts w:asciiTheme="minorEastAsia" w:hAnsiTheme="minorEastAsia" w:hint="eastAsia"/>
            <w:b/>
          </w:rPr>
          <w:t>八、</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基金份额的申购、赎回</w:t>
        </w:r>
        <w:r>
          <w:rPr>
            <w:webHidden/>
          </w:rPr>
          <w:tab/>
        </w:r>
        <w:r>
          <w:rPr>
            <w:webHidden/>
          </w:rPr>
          <w:fldChar w:fldCharType="begin"/>
        </w:r>
        <w:r>
          <w:rPr>
            <w:webHidden/>
          </w:rPr>
          <w:instrText xml:space="preserve"> PAGEREF _Toc41556770 \h </w:instrText>
        </w:r>
        <w:r>
          <w:rPr>
            <w:webHidden/>
          </w:rPr>
        </w:r>
        <w:r>
          <w:rPr>
            <w:webHidden/>
          </w:rPr>
          <w:fldChar w:fldCharType="separate"/>
        </w:r>
        <w:r>
          <w:rPr>
            <w:webHidden/>
          </w:rPr>
          <w:t>87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1" w:history="1">
        <w:r w:rsidRPr="007B7978">
          <w:rPr>
            <w:rStyle w:val="af0"/>
            <w:rFonts w:asciiTheme="minorEastAsia" w:hAnsiTheme="minorEastAsia" w:hint="eastAsia"/>
          </w:rPr>
          <w:t>（一）基金投资者范围</w:t>
        </w:r>
        <w:r>
          <w:rPr>
            <w:webHidden/>
          </w:rPr>
          <w:tab/>
        </w:r>
        <w:r>
          <w:rPr>
            <w:webHidden/>
          </w:rPr>
          <w:fldChar w:fldCharType="begin"/>
        </w:r>
        <w:r>
          <w:rPr>
            <w:webHidden/>
          </w:rPr>
          <w:instrText xml:space="preserve"> PAGEREF _Toc41556771 \h </w:instrText>
        </w:r>
        <w:r>
          <w:rPr>
            <w:webHidden/>
          </w:rPr>
        </w:r>
        <w:r>
          <w:rPr>
            <w:webHidden/>
          </w:rPr>
          <w:fldChar w:fldCharType="separate"/>
        </w:r>
        <w:r>
          <w:rPr>
            <w:webHidden/>
          </w:rPr>
          <w:t>87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2" w:history="1">
        <w:r w:rsidRPr="007B7978">
          <w:rPr>
            <w:rStyle w:val="af0"/>
            <w:rFonts w:asciiTheme="minorEastAsia" w:hAnsiTheme="minorEastAsia" w:hint="eastAsia"/>
          </w:rPr>
          <w:t>（二）申购和赎回办理的场所</w:t>
        </w:r>
        <w:r>
          <w:rPr>
            <w:webHidden/>
          </w:rPr>
          <w:tab/>
        </w:r>
        <w:r>
          <w:rPr>
            <w:webHidden/>
          </w:rPr>
          <w:fldChar w:fldCharType="begin"/>
        </w:r>
        <w:r>
          <w:rPr>
            <w:webHidden/>
          </w:rPr>
          <w:instrText xml:space="preserve"> PAGEREF _Toc41556772 \h </w:instrText>
        </w:r>
        <w:r>
          <w:rPr>
            <w:webHidden/>
          </w:rPr>
        </w:r>
        <w:r>
          <w:rPr>
            <w:webHidden/>
          </w:rPr>
          <w:fldChar w:fldCharType="separate"/>
        </w:r>
        <w:r>
          <w:rPr>
            <w:webHidden/>
          </w:rPr>
          <w:t>87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3" w:history="1">
        <w:r w:rsidRPr="007B7978">
          <w:rPr>
            <w:rStyle w:val="af0"/>
            <w:rFonts w:asciiTheme="minorEastAsia" w:hAnsiTheme="minorEastAsia" w:hint="eastAsia"/>
          </w:rPr>
          <w:t>（三）申购与赎回办理的开放日及时间</w:t>
        </w:r>
        <w:r>
          <w:rPr>
            <w:webHidden/>
          </w:rPr>
          <w:tab/>
        </w:r>
        <w:r>
          <w:rPr>
            <w:webHidden/>
          </w:rPr>
          <w:fldChar w:fldCharType="begin"/>
        </w:r>
        <w:r>
          <w:rPr>
            <w:webHidden/>
          </w:rPr>
          <w:instrText xml:space="preserve"> PAGEREF _Toc41556773 \h </w:instrText>
        </w:r>
        <w:r>
          <w:rPr>
            <w:webHidden/>
          </w:rPr>
        </w:r>
        <w:r>
          <w:rPr>
            <w:webHidden/>
          </w:rPr>
          <w:fldChar w:fldCharType="separate"/>
        </w:r>
        <w:r>
          <w:rPr>
            <w:webHidden/>
          </w:rPr>
          <w:t>87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4" w:history="1">
        <w:r w:rsidRPr="007B7978">
          <w:rPr>
            <w:rStyle w:val="af0"/>
            <w:rFonts w:asciiTheme="minorEastAsia" w:hAnsiTheme="minorEastAsia" w:hint="eastAsia"/>
            <w:bCs/>
          </w:rPr>
          <w:t>（四）申购与赎回的原则</w:t>
        </w:r>
        <w:r>
          <w:rPr>
            <w:webHidden/>
          </w:rPr>
          <w:tab/>
        </w:r>
        <w:r>
          <w:rPr>
            <w:webHidden/>
          </w:rPr>
          <w:fldChar w:fldCharType="begin"/>
        </w:r>
        <w:r>
          <w:rPr>
            <w:webHidden/>
          </w:rPr>
          <w:instrText xml:space="preserve"> PAGEREF _Toc41556774 \h </w:instrText>
        </w:r>
        <w:r>
          <w:rPr>
            <w:webHidden/>
          </w:rPr>
        </w:r>
        <w:r>
          <w:rPr>
            <w:webHidden/>
          </w:rPr>
          <w:fldChar w:fldCharType="separate"/>
        </w:r>
        <w:r>
          <w:rPr>
            <w:webHidden/>
          </w:rPr>
          <w:t>87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5" w:history="1">
        <w:r w:rsidRPr="007B7978">
          <w:rPr>
            <w:rStyle w:val="af0"/>
            <w:rFonts w:asciiTheme="minorEastAsia" w:hAnsiTheme="minorEastAsia" w:hint="eastAsia"/>
          </w:rPr>
          <w:t>（五）申购与赎回的程序</w:t>
        </w:r>
        <w:r>
          <w:rPr>
            <w:webHidden/>
          </w:rPr>
          <w:tab/>
        </w:r>
        <w:r>
          <w:rPr>
            <w:webHidden/>
          </w:rPr>
          <w:fldChar w:fldCharType="begin"/>
        </w:r>
        <w:r>
          <w:rPr>
            <w:webHidden/>
          </w:rPr>
          <w:instrText xml:space="preserve"> PAGEREF _Toc41556775 \h </w:instrText>
        </w:r>
        <w:r>
          <w:rPr>
            <w:webHidden/>
          </w:rPr>
        </w:r>
        <w:r>
          <w:rPr>
            <w:webHidden/>
          </w:rPr>
          <w:fldChar w:fldCharType="separate"/>
        </w:r>
        <w:r>
          <w:rPr>
            <w:webHidden/>
          </w:rPr>
          <w:t>88</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6" w:history="1">
        <w:r w:rsidRPr="007B7978">
          <w:rPr>
            <w:rStyle w:val="af0"/>
            <w:rFonts w:asciiTheme="minorEastAsia" w:hAnsiTheme="minorEastAsia" w:hint="eastAsia"/>
          </w:rPr>
          <w:t>（六）申购和赎回的数额限制</w:t>
        </w:r>
        <w:r>
          <w:rPr>
            <w:webHidden/>
          </w:rPr>
          <w:tab/>
        </w:r>
        <w:r>
          <w:rPr>
            <w:webHidden/>
          </w:rPr>
          <w:fldChar w:fldCharType="begin"/>
        </w:r>
        <w:r>
          <w:rPr>
            <w:webHidden/>
          </w:rPr>
          <w:instrText xml:space="preserve"> PAGEREF _Toc41556776 \h </w:instrText>
        </w:r>
        <w:r>
          <w:rPr>
            <w:webHidden/>
          </w:rPr>
        </w:r>
        <w:r>
          <w:rPr>
            <w:webHidden/>
          </w:rPr>
          <w:fldChar w:fldCharType="separate"/>
        </w:r>
        <w:r>
          <w:rPr>
            <w:webHidden/>
          </w:rPr>
          <w:t>88</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7" w:history="1">
        <w:r w:rsidRPr="007B7978">
          <w:rPr>
            <w:rStyle w:val="af0"/>
            <w:rFonts w:asciiTheme="minorEastAsia" w:hAnsiTheme="minorEastAsia" w:hint="eastAsia"/>
          </w:rPr>
          <w:t>（七）申购与赎回的费率</w:t>
        </w:r>
        <w:r>
          <w:rPr>
            <w:webHidden/>
          </w:rPr>
          <w:tab/>
        </w:r>
        <w:r>
          <w:rPr>
            <w:webHidden/>
          </w:rPr>
          <w:fldChar w:fldCharType="begin"/>
        </w:r>
        <w:r>
          <w:rPr>
            <w:webHidden/>
          </w:rPr>
          <w:instrText xml:space="preserve"> PAGEREF _Toc41556777 \h </w:instrText>
        </w:r>
        <w:r>
          <w:rPr>
            <w:webHidden/>
          </w:rPr>
        </w:r>
        <w:r>
          <w:rPr>
            <w:webHidden/>
          </w:rPr>
          <w:fldChar w:fldCharType="separate"/>
        </w:r>
        <w:r>
          <w:rPr>
            <w:webHidden/>
          </w:rPr>
          <w:t>89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8" w:history="1">
        <w:r w:rsidRPr="007B7978">
          <w:rPr>
            <w:rStyle w:val="af0"/>
            <w:rFonts w:asciiTheme="minorEastAsia" w:hAnsiTheme="minorEastAsia" w:hint="eastAsia"/>
          </w:rPr>
          <w:t>（八）申购份额与赎回金额的计算方式</w:t>
        </w:r>
        <w:r>
          <w:rPr>
            <w:webHidden/>
          </w:rPr>
          <w:tab/>
        </w:r>
        <w:r>
          <w:rPr>
            <w:webHidden/>
          </w:rPr>
          <w:fldChar w:fldCharType="begin"/>
        </w:r>
        <w:r>
          <w:rPr>
            <w:webHidden/>
          </w:rPr>
          <w:instrText xml:space="preserve"> PAGEREF _Toc41556778 \h </w:instrText>
        </w:r>
        <w:r>
          <w:rPr>
            <w:webHidden/>
          </w:rPr>
        </w:r>
        <w:r>
          <w:rPr>
            <w:webHidden/>
          </w:rPr>
          <w:fldChar w:fldCharType="separate"/>
        </w:r>
        <w:r>
          <w:rPr>
            <w:webHidden/>
          </w:rPr>
          <w:t>90</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79" w:history="1">
        <w:r w:rsidRPr="007B7978">
          <w:rPr>
            <w:rStyle w:val="af0"/>
            <w:rFonts w:asciiTheme="minorEastAsia" w:hAnsiTheme="minorEastAsia" w:hint="eastAsia"/>
          </w:rPr>
          <w:t>（九）申购、赎回的注册登记</w:t>
        </w:r>
        <w:r>
          <w:rPr>
            <w:webHidden/>
          </w:rPr>
          <w:tab/>
        </w:r>
        <w:r>
          <w:rPr>
            <w:webHidden/>
          </w:rPr>
          <w:fldChar w:fldCharType="begin"/>
        </w:r>
        <w:r>
          <w:rPr>
            <w:webHidden/>
          </w:rPr>
          <w:instrText xml:space="preserve"> PAGEREF _Toc41556779 \h </w:instrText>
        </w:r>
        <w:r>
          <w:rPr>
            <w:webHidden/>
          </w:rPr>
        </w:r>
        <w:r>
          <w:rPr>
            <w:webHidden/>
          </w:rPr>
          <w:fldChar w:fldCharType="separate"/>
        </w:r>
        <w:r>
          <w:rPr>
            <w:webHidden/>
          </w:rPr>
          <w:t>92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0" w:history="1">
        <w:r w:rsidRPr="007B7978">
          <w:rPr>
            <w:rStyle w:val="af0"/>
            <w:rFonts w:asciiTheme="minorEastAsia" w:hAnsiTheme="minorEastAsia" w:hint="eastAsia"/>
          </w:rPr>
          <w:t>（十）巨额赎回的认定及处理方式</w:t>
        </w:r>
        <w:r>
          <w:rPr>
            <w:webHidden/>
          </w:rPr>
          <w:tab/>
        </w:r>
        <w:r>
          <w:rPr>
            <w:webHidden/>
          </w:rPr>
          <w:fldChar w:fldCharType="begin"/>
        </w:r>
        <w:r>
          <w:rPr>
            <w:webHidden/>
          </w:rPr>
          <w:instrText xml:space="preserve"> PAGEREF _Toc41556780 \h </w:instrText>
        </w:r>
        <w:r>
          <w:rPr>
            <w:webHidden/>
          </w:rPr>
        </w:r>
        <w:r>
          <w:rPr>
            <w:webHidden/>
          </w:rPr>
          <w:fldChar w:fldCharType="separate"/>
        </w:r>
        <w:r>
          <w:rPr>
            <w:webHidden/>
          </w:rPr>
          <w:t>92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1" w:history="1">
        <w:r w:rsidRPr="007B7978">
          <w:rPr>
            <w:rStyle w:val="af0"/>
            <w:rFonts w:asciiTheme="minorEastAsia" w:hAnsiTheme="minorEastAsia" w:hint="eastAsia"/>
          </w:rPr>
          <w:t>（十一）拒绝或暂停申购、赎回的情形及处理方式</w:t>
        </w:r>
        <w:r>
          <w:rPr>
            <w:webHidden/>
          </w:rPr>
          <w:tab/>
        </w:r>
        <w:r>
          <w:rPr>
            <w:webHidden/>
          </w:rPr>
          <w:fldChar w:fldCharType="begin"/>
        </w:r>
        <w:r>
          <w:rPr>
            <w:webHidden/>
          </w:rPr>
          <w:instrText xml:space="preserve"> PAGEREF _Toc41556781 \h </w:instrText>
        </w:r>
        <w:r>
          <w:rPr>
            <w:webHidden/>
          </w:rPr>
        </w:r>
        <w:r>
          <w:rPr>
            <w:webHidden/>
          </w:rPr>
          <w:fldChar w:fldCharType="separate"/>
        </w:r>
        <w:r>
          <w:rPr>
            <w:webHidden/>
          </w:rPr>
          <w:t>93</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82" w:history="1">
        <w:r w:rsidRPr="007B7978">
          <w:rPr>
            <w:rStyle w:val="af0"/>
            <w:rFonts w:asciiTheme="minorEastAsia" w:hAnsiTheme="minorEastAsia" w:hint="eastAsia"/>
            <w:b/>
          </w:rPr>
          <w:t>九、</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基金转换</w:t>
        </w:r>
        <w:r>
          <w:rPr>
            <w:webHidden/>
          </w:rPr>
          <w:tab/>
        </w:r>
        <w:r>
          <w:rPr>
            <w:webHidden/>
          </w:rPr>
          <w:fldChar w:fldCharType="begin"/>
        </w:r>
        <w:r>
          <w:rPr>
            <w:webHidden/>
          </w:rPr>
          <w:instrText xml:space="preserve"> PAGEREF _Toc41556782 \h </w:instrText>
        </w:r>
        <w:r>
          <w:rPr>
            <w:webHidden/>
          </w:rPr>
        </w:r>
        <w:r>
          <w:rPr>
            <w:webHidden/>
          </w:rPr>
          <w:fldChar w:fldCharType="separate"/>
        </w:r>
        <w:r>
          <w:rPr>
            <w:webHidden/>
          </w:rPr>
          <w:t>96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3" w:history="1">
        <w:r w:rsidRPr="007B7978">
          <w:rPr>
            <w:rStyle w:val="af0"/>
            <w:rFonts w:asciiTheme="minorEastAsia" w:hAnsiTheme="minorEastAsia" w:hint="eastAsia"/>
          </w:rPr>
          <w:t>（一）基金转换开始日及时间</w:t>
        </w:r>
        <w:r>
          <w:rPr>
            <w:webHidden/>
          </w:rPr>
          <w:tab/>
        </w:r>
        <w:r>
          <w:rPr>
            <w:webHidden/>
          </w:rPr>
          <w:fldChar w:fldCharType="begin"/>
        </w:r>
        <w:r>
          <w:rPr>
            <w:webHidden/>
          </w:rPr>
          <w:instrText xml:space="preserve"> PAGEREF _Toc41556783 \h </w:instrText>
        </w:r>
        <w:r>
          <w:rPr>
            <w:webHidden/>
          </w:rPr>
        </w:r>
        <w:r>
          <w:rPr>
            <w:webHidden/>
          </w:rPr>
          <w:fldChar w:fldCharType="separate"/>
        </w:r>
        <w:r>
          <w:rPr>
            <w:webHidden/>
          </w:rPr>
          <w:t>96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4" w:history="1">
        <w:r w:rsidRPr="007B7978">
          <w:rPr>
            <w:rStyle w:val="af0"/>
            <w:rFonts w:asciiTheme="minorEastAsia" w:hAnsiTheme="minorEastAsia" w:hint="eastAsia"/>
          </w:rPr>
          <w:t>（二）基金转换的原则</w:t>
        </w:r>
        <w:r>
          <w:rPr>
            <w:webHidden/>
          </w:rPr>
          <w:tab/>
        </w:r>
        <w:r>
          <w:rPr>
            <w:webHidden/>
          </w:rPr>
          <w:fldChar w:fldCharType="begin"/>
        </w:r>
        <w:r>
          <w:rPr>
            <w:webHidden/>
          </w:rPr>
          <w:instrText xml:space="preserve"> PAGEREF _Toc41556784 \h </w:instrText>
        </w:r>
        <w:r>
          <w:rPr>
            <w:webHidden/>
          </w:rPr>
        </w:r>
        <w:r>
          <w:rPr>
            <w:webHidden/>
          </w:rPr>
          <w:fldChar w:fldCharType="separate"/>
        </w:r>
        <w:r>
          <w:rPr>
            <w:webHidden/>
          </w:rPr>
          <w:t>96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5" w:history="1">
        <w:r w:rsidRPr="007B7978">
          <w:rPr>
            <w:rStyle w:val="af0"/>
            <w:rFonts w:asciiTheme="minorEastAsia" w:hAnsiTheme="minorEastAsia" w:hint="eastAsia"/>
          </w:rPr>
          <w:t>（三）基金转换的程序</w:t>
        </w:r>
        <w:r>
          <w:rPr>
            <w:webHidden/>
          </w:rPr>
          <w:tab/>
        </w:r>
        <w:r>
          <w:rPr>
            <w:webHidden/>
          </w:rPr>
          <w:fldChar w:fldCharType="begin"/>
        </w:r>
        <w:r>
          <w:rPr>
            <w:webHidden/>
          </w:rPr>
          <w:instrText xml:space="preserve"> PAGEREF _Toc41556785 \h </w:instrText>
        </w:r>
        <w:r>
          <w:rPr>
            <w:webHidden/>
          </w:rPr>
        </w:r>
        <w:r>
          <w:rPr>
            <w:webHidden/>
          </w:rPr>
          <w:fldChar w:fldCharType="separate"/>
        </w:r>
        <w:r>
          <w:rPr>
            <w:webHidden/>
          </w:rPr>
          <w:t>96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6" w:history="1">
        <w:r w:rsidRPr="007B7978">
          <w:rPr>
            <w:rStyle w:val="af0"/>
            <w:rFonts w:asciiTheme="minorEastAsia" w:hAnsiTheme="minorEastAsia" w:hint="eastAsia"/>
          </w:rPr>
          <w:t>（四）基金转换的数额限制</w:t>
        </w:r>
        <w:r>
          <w:rPr>
            <w:webHidden/>
          </w:rPr>
          <w:tab/>
        </w:r>
        <w:r>
          <w:rPr>
            <w:webHidden/>
          </w:rPr>
          <w:fldChar w:fldCharType="begin"/>
        </w:r>
        <w:r>
          <w:rPr>
            <w:webHidden/>
          </w:rPr>
          <w:instrText xml:space="preserve"> PAGEREF _Toc41556786 \h </w:instrText>
        </w:r>
        <w:r>
          <w:rPr>
            <w:webHidden/>
          </w:rPr>
        </w:r>
        <w:r>
          <w:rPr>
            <w:webHidden/>
          </w:rPr>
          <w:fldChar w:fldCharType="separate"/>
        </w:r>
        <w:r>
          <w:rPr>
            <w:webHidden/>
          </w:rPr>
          <w:t>97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7" w:history="1">
        <w:r w:rsidRPr="007B7978">
          <w:rPr>
            <w:rStyle w:val="af0"/>
            <w:rFonts w:asciiTheme="minorEastAsia" w:hAnsiTheme="minorEastAsia" w:hint="eastAsia"/>
          </w:rPr>
          <w:t>（五）基金转换费率</w:t>
        </w:r>
        <w:r>
          <w:rPr>
            <w:webHidden/>
          </w:rPr>
          <w:tab/>
        </w:r>
        <w:r>
          <w:rPr>
            <w:webHidden/>
          </w:rPr>
          <w:fldChar w:fldCharType="begin"/>
        </w:r>
        <w:r>
          <w:rPr>
            <w:webHidden/>
          </w:rPr>
          <w:instrText xml:space="preserve"> PAGEREF _Toc41556787 \h </w:instrText>
        </w:r>
        <w:r>
          <w:rPr>
            <w:webHidden/>
          </w:rPr>
        </w:r>
        <w:r>
          <w:rPr>
            <w:webHidden/>
          </w:rPr>
          <w:fldChar w:fldCharType="separate"/>
        </w:r>
        <w:r>
          <w:rPr>
            <w:webHidden/>
          </w:rPr>
          <w:t>97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8" w:history="1">
        <w:r w:rsidRPr="007B7978">
          <w:rPr>
            <w:rStyle w:val="af0"/>
            <w:rFonts w:asciiTheme="minorEastAsia" w:hAnsiTheme="minorEastAsia" w:hint="eastAsia"/>
          </w:rPr>
          <w:t>（六）基金转换份额的计算方式</w:t>
        </w:r>
        <w:r>
          <w:rPr>
            <w:webHidden/>
          </w:rPr>
          <w:tab/>
        </w:r>
        <w:r>
          <w:rPr>
            <w:webHidden/>
          </w:rPr>
          <w:fldChar w:fldCharType="begin"/>
        </w:r>
        <w:r>
          <w:rPr>
            <w:webHidden/>
          </w:rPr>
          <w:instrText xml:space="preserve"> PAGEREF _Toc41556788 \h </w:instrText>
        </w:r>
        <w:r>
          <w:rPr>
            <w:webHidden/>
          </w:rPr>
        </w:r>
        <w:r>
          <w:rPr>
            <w:webHidden/>
          </w:rPr>
          <w:fldChar w:fldCharType="separate"/>
        </w:r>
        <w:r>
          <w:rPr>
            <w:webHidden/>
          </w:rPr>
          <w:t>97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89" w:history="1">
        <w:r w:rsidRPr="007B7978">
          <w:rPr>
            <w:rStyle w:val="af0"/>
            <w:rFonts w:asciiTheme="minorEastAsia" w:hAnsiTheme="minorEastAsia" w:hint="eastAsia"/>
          </w:rPr>
          <w:t>（七）基金转换的注册登记</w:t>
        </w:r>
        <w:r>
          <w:rPr>
            <w:webHidden/>
          </w:rPr>
          <w:tab/>
        </w:r>
        <w:r>
          <w:rPr>
            <w:webHidden/>
          </w:rPr>
          <w:fldChar w:fldCharType="begin"/>
        </w:r>
        <w:r>
          <w:rPr>
            <w:webHidden/>
          </w:rPr>
          <w:instrText xml:space="preserve"> PAGEREF _Toc41556789 \h </w:instrText>
        </w:r>
        <w:r>
          <w:rPr>
            <w:webHidden/>
          </w:rPr>
        </w:r>
        <w:r>
          <w:rPr>
            <w:webHidden/>
          </w:rPr>
          <w:fldChar w:fldCharType="separate"/>
        </w:r>
        <w:r>
          <w:rPr>
            <w:webHidden/>
          </w:rPr>
          <w:t>100</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90" w:history="1">
        <w:r w:rsidRPr="007B7978">
          <w:rPr>
            <w:rStyle w:val="af0"/>
            <w:rFonts w:asciiTheme="minorEastAsia" w:hAnsiTheme="minorEastAsia" w:hint="eastAsia"/>
          </w:rPr>
          <w:t>（八）基金转换与巨额赎回</w:t>
        </w:r>
        <w:r>
          <w:rPr>
            <w:webHidden/>
          </w:rPr>
          <w:tab/>
        </w:r>
        <w:r>
          <w:rPr>
            <w:webHidden/>
          </w:rPr>
          <w:fldChar w:fldCharType="begin"/>
        </w:r>
        <w:r>
          <w:rPr>
            <w:webHidden/>
          </w:rPr>
          <w:instrText xml:space="preserve"> PAGEREF _Toc41556790 \h </w:instrText>
        </w:r>
        <w:r>
          <w:rPr>
            <w:webHidden/>
          </w:rPr>
        </w:r>
        <w:r>
          <w:rPr>
            <w:webHidden/>
          </w:rPr>
          <w:fldChar w:fldCharType="separate"/>
        </w:r>
        <w:r>
          <w:rPr>
            <w:webHidden/>
          </w:rPr>
          <w:t>100</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91" w:history="1">
        <w:r w:rsidRPr="007B7978">
          <w:rPr>
            <w:rStyle w:val="af0"/>
            <w:rFonts w:asciiTheme="minorEastAsia" w:hAnsiTheme="minorEastAsia" w:hint="eastAsia"/>
          </w:rPr>
          <w:t>（九）拒绝或暂停基金转换的情形</w:t>
        </w:r>
        <w:r>
          <w:rPr>
            <w:webHidden/>
          </w:rPr>
          <w:tab/>
        </w:r>
        <w:r>
          <w:rPr>
            <w:webHidden/>
          </w:rPr>
          <w:fldChar w:fldCharType="begin"/>
        </w:r>
        <w:r>
          <w:rPr>
            <w:webHidden/>
          </w:rPr>
          <w:instrText xml:space="preserve"> PAGEREF _Toc41556791 \h </w:instrText>
        </w:r>
        <w:r>
          <w:rPr>
            <w:webHidden/>
          </w:rPr>
        </w:r>
        <w:r>
          <w:rPr>
            <w:webHidden/>
          </w:rPr>
          <w:fldChar w:fldCharType="separate"/>
        </w:r>
        <w:r>
          <w:rPr>
            <w:webHidden/>
          </w:rPr>
          <w:t>100</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92" w:history="1">
        <w:r w:rsidRPr="007B7978">
          <w:rPr>
            <w:rStyle w:val="af0"/>
            <w:rFonts w:asciiTheme="minorEastAsia" w:hAnsiTheme="minorEastAsia" w:hint="eastAsia"/>
            <w:b/>
          </w:rPr>
          <w:t>十、</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定期定额投资计划</w:t>
        </w:r>
        <w:r>
          <w:rPr>
            <w:webHidden/>
          </w:rPr>
          <w:tab/>
        </w:r>
        <w:r>
          <w:rPr>
            <w:webHidden/>
          </w:rPr>
          <w:fldChar w:fldCharType="begin"/>
        </w:r>
        <w:r>
          <w:rPr>
            <w:webHidden/>
          </w:rPr>
          <w:instrText xml:space="preserve"> PAGEREF _Toc41556792 \h </w:instrText>
        </w:r>
        <w:r>
          <w:rPr>
            <w:webHidden/>
          </w:rPr>
        </w:r>
        <w:r>
          <w:rPr>
            <w:webHidden/>
          </w:rPr>
          <w:fldChar w:fldCharType="separate"/>
        </w:r>
        <w:r>
          <w:rPr>
            <w:webHidden/>
          </w:rPr>
          <w:t>102</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93" w:history="1">
        <w:r w:rsidRPr="007B7978">
          <w:rPr>
            <w:rStyle w:val="af0"/>
            <w:rFonts w:asciiTheme="minorEastAsia" w:hAnsiTheme="minorEastAsia" w:hint="eastAsia"/>
            <w:b/>
          </w:rPr>
          <w:t>十一、</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基金的非交易过户、转托管、冻结与解冻</w:t>
        </w:r>
        <w:r>
          <w:rPr>
            <w:webHidden/>
          </w:rPr>
          <w:tab/>
        </w:r>
        <w:r>
          <w:rPr>
            <w:webHidden/>
          </w:rPr>
          <w:fldChar w:fldCharType="begin"/>
        </w:r>
        <w:r>
          <w:rPr>
            <w:webHidden/>
          </w:rPr>
          <w:instrText xml:space="preserve"> PAGEREF _Toc41556793 \h </w:instrText>
        </w:r>
        <w:r>
          <w:rPr>
            <w:webHidden/>
          </w:rPr>
        </w:r>
        <w:r>
          <w:rPr>
            <w:webHidden/>
          </w:rPr>
          <w:fldChar w:fldCharType="separate"/>
        </w:r>
        <w:r>
          <w:rPr>
            <w:webHidden/>
          </w:rPr>
          <w:t>103</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794" w:history="1">
        <w:r w:rsidRPr="007B7978">
          <w:rPr>
            <w:rStyle w:val="af0"/>
            <w:rFonts w:asciiTheme="minorEastAsia" w:hAnsiTheme="minorEastAsia" w:hint="eastAsia"/>
            <w:b/>
          </w:rPr>
          <w:t>十二、</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基金的投资</w:t>
        </w:r>
        <w:r>
          <w:rPr>
            <w:webHidden/>
          </w:rPr>
          <w:tab/>
        </w:r>
        <w:r>
          <w:rPr>
            <w:webHidden/>
          </w:rPr>
          <w:fldChar w:fldCharType="begin"/>
        </w:r>
        <w:r>
          <w:rPr>
            <w:webHidden/>
          </w:rPr>
          <w:instrText xml:space="preserve"> PAGEREF _Toc41556794 \h </w:instrText>
        </w:r>
        <w:r>
          <w:rPr>
            <w:webHidden/>
          </w:rPr>
        </w:r>
        <w:r>
          <w:rPr>
            <w:webHidden/>
          </w:rPr>
          <w:fldChar w:fldCharType="separate"/>
        </w:r>
        <w:r>
          <w:rPr>
            <w:webHidden/>
          </w:rPr>
          <w:t>104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95" w:history="1">
        <w:r w:rsidRPr="007B7978">
          <w:rPr>
            <w:rStyle w:val="af0"/>
            <w:rFonts w:asciiTheme="minorEastAsia" w:hAnsiTheme="minorEastAsia" w:hint="eastAsia"/>
          </w:rPr>
          <w:t>（一）投资目标</w:t>
        </w:r>
        <w:r>
          <w:rPr>
            <w:webHidden/>
          </w:rPr>
          <w:tab/>
        </w:r>
        <w:r>
          <w:rPr>
            <w:webHidden/>
          </w:rPr>
          <w:fldChar w:fldCharType="begin"/>
        </w:r>
        <w:r>
          <w:rPr>
            <w:webHidden/>
          </w:rPr>
          <w:instrText xml:space="preserve"> PAGEREF _Toc41556795 \h </w:instrText>
        </w:r>
        <w:r>
          <w:rPr>
            <w:webHidden/>
          </w:rPr>
        </w:r>
        <w:r>
          <w:rPr>
            <w:webHidden/>
          </w:rPr>
          <w:fldChar w:fldCharType="separate"/>
        </w:r>
        <w:r>
          <w:rPr>
            <w:webHidden/>
          </w:rPr>
          <w:t>104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96" w:history="1">
        <w:r w:rsidRPr="007B7978">
          <w:rPr>
            <w:rStyle w:val="af0"/>
            <w:rFonts w:asciiTheme="minorEastAsia" w:hAnsiTheme="minorEastAsia" w:hint="eastAsia"/>
          </w:rPr>
          <w:t>（二）投资范围</w:t>
        </w:r>
        <w:r>
          <w:rPr>
            <w:webHidden/>
          </w:rPr>
          <w:tab/>
        </w:r>
        <w:r>
          <w:rPr>
            <w:webHidden/>
          </w:rPr>
          <w:fldChar w:fldCharType="begin"/>
        </w:r>
        <w:r>
          <w:rPr>
            <w:webHidden/>
          </w:rPr>
          <w:instrText xml:space="preserve"> PAGEREF _Toc41556796 \h </w:instrText>
        </w:r>
        <w:r>
          <w:rPr>
            <w:webHidden/>
          </w:rPr>
        </w:r>
        <w:r>
          <w:rPr>
            <w:webHidden/>
          </w:rPr>
          <w:fldChar w:fldCharType="separate"/>
        </w:r>
        <w:r>
          <w:rPr>
            <w:webHidden/>
          </w:rPr>
          <w:t>104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97" w:history="1">
        <w:r w:rsidRPr="007B7978">
          <w:rPr>
            <w:rStyle w:val="af0"/>
            <w:rFonts w:asciiTheme="minorEastAsia" w:hAnsiTheme="minorEastAsia" w:hint="eastAsia"/>
          </w:rPr>
          <w:t>（三）投资理念</w:t>
        </w:r>
        <w:r>
          <w:rPr>
            <w:webHidden/>
          </w:rPr>
          <w:tab/>
        </w:r>
        <w:r>
          <w:rPr>
            <w:webHidden/>
          </w:rPr>
          <w:fldChar w:fldCharType="begin"/>
        </w:r>
        <w:r>
          <w:rPr>
            <w:webHidden/>
          </w:rPr>
          <w:instrText xml:space="preserve"> PAGEREF _Toc41556797 \h </w:instrText>
        </w:r>
        <w:r>
          <w:rPr>
            <w:webHidden/>
          </w:rPr>
        </w:r>
        <w:r>
          <w:rPr>
            <w:webHidden/>
          </w:rPr>
          <w:fldChar w:fldCharType="separate"/>
        </w:r>
        <w:r>
          <w:rPr>
            <w:webHidden/>
          </w:rPr>
          <w:t>104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98" w:history="1">
        <w:r w:rsidRPr="007B7978">
          <w:rPr>
            <w:rStyle w:val="af0"/>
            <w:rFonts w:asciiTheme="minorEastAsia" w:hAnsiTheme="minorEastAsia" w:hint="eastAsia"/>
          </w:rPr>
          <w:t>（四）投资策略</w:t>
        </w:r>
        <w:r>
          <w:rPr>
            <w:webHidden/>
          </w:rPr>
          <w:tab/>
        </w:r>
        <w:r>
          <w:rPr>
            <w:webHidden/>
          </w:rPr>
          <w:fldChar w:fldCharType="begin"/>
        </w:r>
        <w:r>
          <w:rPr>
            <w:webHidden/>
          </w:rPr>
          <w:instrText xml:space="preserve"> PAGEREF _Toc41556798 \h </w:instrText>
        </w:r>
        <w:r>
          <w:rPr>
            <w:webHidden/>
          </w:rPr>
        </w:r>
        <w:r>
          <w:rPr>
            <w:webHidden/>
          </w:rPr>
          <w:fldChar w:fldCharType="separate"/>
        </w:r>
        <w:r>
          <w:rPr>
            <w:webHidden/>
          </w:rPr>
          <w:t>104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799" w:history="1">
        <w:r w:rsidRPr="007B7978">
          <w:rPr>
            <w:rStyle w:val="af0"/>
            <w:rFonts w:asciiTheme="minorEastAsia" w:hAnsiTheme="minorEastAsia" w:hint="eastAsia"/>
          </w:rPr>
          <w:t>（五）业绩比较基准</w:t>
        </w:r>
        <w:r>
          <w:rPr>
            <w:webHidden/>
          </w:rPr>
          <w:tab/>
        </w:r>
        <w:r>
          <w:rPr>
            <w:webHidden/>
          </w:rPr>
          <w:fldChar w:fldCharType="begin"/>
        </w:r>
        <w:r>
          <w:rPr>
            <w:webHidden/>
          </w:rPr>
          <w:instrText xml:space="preserve"> PAGEREF _Toc41556799 \h </w:instrText>
        </w:r>
        <w:r>
          <w:rPr>
            <w:webHidden/>
          </w:rPr>
        </w:r>
        <w:r>
          <w:rPr>
            <w:webHidden/>
          </w:rPr>
          <w:fldChar w:fldCharType="separate"/>
        </w:r>
        <w:r>
          <w:rPr>
            <w:webHidden/>
          </w:rPr>
          <w:t>107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00" w:history="1">
        <w:r w:rsidRPr="007B7978">
          <w:rPr>
            <w:rStyle w:val="af0"/>
            <w:rFonts w:asciiTheme="minorEastAsia" w:hAnsiTheme="minorEastAsia" w:hint="eastAsia"/>
          </w:rPr>
          <w:t>（六）风险收益特征</w:t>
        </w:r>
        <w:r>
          <w:rPr>
            <w:webHidden/>
          </w:rPr>
          <w:tab/>
        </w:r>
        <w:r>
          <w:rPr>
            <w:webHidden/>
          </w:rPr>
          <w:fldChar w:fldCharType="begin"/>
        </w:r>
        <w:r>
          <w:rPr>
            <w:webHidden/>
          </w:rPr>
          <w:instrText xml:space="preserve"> PAGEREF _Toc41556800 \h </w:instrText>
        </w:r>
        <w:r>
          <w:rPr>
            <w:webHidden/>
          </w:rPr>
        </w:r>
        <w:r>
          <w:rPr>
            <w:webHidden/>
          </w:rPr>
          <w:fldChar w:fldCharType="separate"/>
        </w:r>
        <w:r>
          <w:rPr>
            <w:webHidden/>
          </w:rPr>
          <w:t>107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01" w:history="1">
        <w:r w:rsidRPr="007B7978">
          <w:rPr>
            <w:rStyle w:val="af0"/>
            <w:rFonts w:asciiTheme="minorEastAsia" w:hAnsiTheme="minorEastAsia" w:hint="eastAsia"/>
          </w:rPr>
          <w:t>（七）投资决策</w:t>
        </w:r>
        <w:r>
          <w:rPr>
            <w:webHidden/>
          </w:rPr>
          <w:tab/>
        </w:r>
        <w:r>
          <w:rPr>
            <w:webHidden/>
          </w:rPr>
          <w:fldChar w:fldCharType="begin"/>
        </w:r>
        <w:r>
          <w:rPr>
            <w:webHidden/>
          </w:rPr>
          <w:instrText xml:space="preserve"> PAGEREF _Toc41556801 \h </w:instrText>
        </w:r>
        <w:r>
          <w:rPr>
            <w:webHidden/>
          </w:rPr>
        </w:r>
        <w:r>
          <w:rPr>
            <w:webHidden/>
          </w:rPr>
          <w:fldChar w:fldCharType="separate"/>
        </w:r>
        <w:r>
          <w:rPr>
            <w:webHidden/>
          </w:rPr>
          <w:t>107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02" w:history="1">
        <w:r w:rsidRPr="007B7978">
          <w:rPr>
            <w:rStyle w:val="af0"/>
            <w:rFonts w:asciiTheme="minorEastAsia" w:hAnsiTheme="minorEastAsia" w:hint="eastAsia"/>
          </w:rPr>
          <w:t>（八）投资组合限制</w:t>
        </w:r>
        <w:r>
          <w:rPr>
            <w:webHidden/>
          </w:rPr>
          <w:tab/>
        </w:r>
        <w:r>
          <w:rPr>
            <w:webHidden/>
          </w:rPr>
          <w:fldChar w:fldCharType="begin"/>
        </w:r>
        <w:r>
          <w:rPr>
            <w:webHidden/>
          </w:rPr>
          <w:instrText xml:space="preserve"> PAGEREF _Toc41556802 \h </w:instrText>
        </w:r>
        <w:r>
          <w:rPr>
            <w:webHidden/>
          </w:rPr>
        </w:r>
        <w:r>
          <w:rPr>
            <w:webHidden/>
          </w:rPr>
          <w:fldChar w:fldCharType="separate"/>
        </w:r>
        <w:r>
          <w:rPr>
            <w:webHidden/>
          </w:rPr>
          <w:t>107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03" w:history="1">
        <w:r w:rsidRPr="007B7978">
          <w:rPr>
            <w:rStyle w:val="af0"/>
            <w:rFonts w:asciiTheme="minorEastAsia" w:hAnsiTheme="minorEastAsia" w:hint="eastAsia"/>
          </w:rPr>
          <w:t>（九）禁止行为</w:t>
        </w:r>
        <w:r>
          <w:rPr>
            <w:webHidden/>
          </w:rPr>
          <w:tab/>
        </w:r>
        <w:r>
          <w:rPr>
            <w:webHidden/>
          </w:rPr>
          <w:fldChar w:fldCharType="begin"/>
        </w:r>
        <w:r>
          <w:rPr>
            <w:webHidden/>
          </w:rPr>
          <w:instrText xml:space="preserve"> PAGEREF _Toc41556803 \h </w:instrText>
        </w:r>
        <w:r>
          <w:rPr>
            <w:webHidden/>
          </w:rPr>
        </w:r>
        <w:r>
          <w:rPr>
            <w:webHidden/>
          </w:rPr>
          <w:fldChar w:fldCharType="separate"/>
        </w:r>
        <w:r>
          <w:rPr>
            <w:webHidden/>
          </w:rPr>
          <w:t>109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04" w:history="1">
        <w:r w:rsidRPr="007B7978">
          <w:rPr>
            <w:rStyle w:val="af0"/>
            <w:rFonts w:asciiTheme="minorEastAsia" w:hAnsiTheme="minorEastAsia" w:hint="eastAsia"/>
          </w:rPr>
          <w:t>（十）基金管理人代表基金行使所投资证券产生权利的处理原则及方法</w:t>
        </w:r>
        <w:r>
          <w:rPr>
            <w:webHidden/>
          </w:rPr>
          <w:tab/>
        </w:r>
        <w:r>
          <w:rPr>
            <w:webHidden/>
          </w:rPr>
          <w:fldChar w:fldCharType="begin"/>
        </w:r>
        <w:r>
          <w:rPr>
            <w:webHidden/>
          </w:rPr>
          <w:instrText xml:space="preserve"> PAGEREF _Toc41556804 \h </w:instrText>
        </w:r>
        <w:r>
          <w:rPr>
            <w:webHidden/>
          </w:rPr>
        </w:r>
        <w:r>
          <w:rPr>
            <w:webHidden/>
          </w:rPr>
          <w:fldChar w:fldCharType="separate"/>
        </w:r>
        <w:r>
          <w:rPr>
            <w:webHidden/>
          </w:rPr>
          <w:t>109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05" w:history="1">
        <w:r w:rsidRPr="007B7978">
          <w:rPr>
            <w:rStyle w:val="af0"/>
            <w:rFonts w:asciiTheme="minorEastAsia" w:hAnsiTheme="minorEastAsia" w:hint="eastAsia"/>
          </w:rPr>
          <w:t>（十一）基金的融资、融券</w:t>
        </w:r>
        <w:r>
          <w:rPr>
            <w:webHidden/>
          </w:rPr>
          <w:tab/>
        </w:r>
        <w:r>
          <w:rPr>
            <w:webHidden/>
          </w:rPr>
          <w:fldChar w:fldCharType="begin"/>
        </w:r>
        <w:r>
          <w:rPr>
            <w:webHidden/>
          </w:rPr>
          <w:instrText xml:space="preserve"> PAGEREF _Toc41556805 \h </w:instrText>
        </w:r>
        <w:r>
          <w:rPr>
            <w:webHidden/>
          </w:rPr>
        </w:r>
        <w:r>
          <w:rPr>
            <w:webHidden/>
          </w:rPr>
          <w:fldChar w:fldCharType="separate"/>
        </w:r>
        <w:r>
          <w:rPr>
            <w:webHidden/>
          </w:rPr>
          <w:t>109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06" w:history="1">
        <w:r w:rsidRPr="007B7978">
          <w:rPr>
            <w:rStyle w:val="af0"/>
            <w:rFonts w:asciiTheme="minorEastAsia" w:hAnsiTheme="minorEastAsia" w:hint="eastAsia"/>
          </w:rPr>
          <w:t>（十二）基金投资组合报告（未经审计）</w:t>
        </w:r>
        <w:r>
          <w:rPr>
            <w:webHidden/>
          </w:rPr>
          <w:tab/>
        </w:r>
        <w:r>
          <w:rPr>
            <w:webHidden/>
          </w:rPr>
          <w:fldChar w:fldCharType="begin"/>
        </w:r>
        <w:r>
          <w:rPr>
            <w:webHidden/>
          </w:rPr>
          <w:instrText xml:space="preserve"> PAGEREF _Toc41556806 \h </w:instrText>
        </w:r>
        <w:r>
          <w:rPr>
            <w:webHidden/>
          </w:rPr>
        </w:r>
        <w:r>
          <w:rPr>
            <w:webHidden/>
          </w:rPr>
          <w:fldChar w:fldCharType="separate"/>
        </w:r>
        <w:r>
          <w:rPr>
            <w:webHidden/>
          </w:rPr>
          <w:t>109</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807" w:history="1">
        <w:r w:rsidRPr="007B7978">
          <w:rPr>
            <w:rStyle w:val="af0"/>
            <w:rFonts w:asciiTheme="minorEastAsia" w:hAnsiTheme="minorEastAsia" w:hint="eastAsia"/>
            <w:b/>
          </w:rPr>
          <w:t>十三、</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基金的业绩</w:t>
        </w:r>
        <w:r>
          <w:rPr>
            <w:webHidden/>
          </w:rPr>
          <w:tab/>
        </w:r>
        <w:r>
          <w:rPr>
            <w:webHidden/>
          </w:rPr>
          <w:fldChar w:fldCharType="begin"/>
        </w:r>
        <w:r>
          <w:rPr>
            <w:webHidden/>
          </w:rPr>
          <w:instrText xml:space="preserve"> PAGEREF _Toc41556807 \h </w:instrText>
        </w:r>
        <w:r>
          <w:rPr>
            <w:webHidden/>
          </w:rPr>
        </w:r>
        <w:r>
          <w:rPr>
            <w:webHidden/>
          </w:rPr>
          <w:fldChar w:fldCharType="separate"/>
        </w:r>
        <w:r>
          <w:rPr>
            <w:webHidden/>
          </w:rPr>
          <w:t>115</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808" w:history="1">
        <w:r w:rsidRPr="007B7978">
          <w:rPr>
            <w:rStyle w:val="af0"/>
            <w:rFonts w:asciiTheme="minorEastAsia" w:hAnsiTheme="minorEastAsia" w:hint="eastAsia"/>
            <w:b/>
          </w:rPr>
          <w:t>十四、</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基金的财产</w:t>
        </w:r>
        <w:r>
          <w:rPr>
            <w:webHidden/>
          </w:rPr>
          <w:tab/>
        </w:r>
        <w:r>
          <w:rPr>
            <w:webHidden/>
          </w:rPr>
          <w:fldChar w:fldCharType="begin"/>
        </w:r>
        <w:r>
          <w:rPr>
            <w:webHidden/>
          </w:rPr>
          <w:instrText xml:space="preserve"> PAGEREF _Toc41556808 \h </w:instrText>
        </w:r>
        <w:r>
          <w:rPr>
            <w:webHidden/>
          </w:rPr>
        </w:r>
        <w:r>
          <w:rPr>
            <w:webHidden/>
          </w:rPr>
          <w:fldChar w:fldCharType="separate"/>
        </w:r>
        <w:r>
          <w:rPr>
            <w:webHidden/>
          </w:rPr>
          <w:t>118</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09" w:history="1">
        <w:r w:rsidRPr="007B7978">
          <w:rPr>
            <w:rStyle w:val="af0"/>
            <w:rFonts w:asciiTheme="minorEastAsia" w:hAnsiTheme="minorEastAsia" w:hint="eastAsia"/>
          </w:rPr>
          <w:t>（一）基金资产总值</w:t>
        </w:r>
        <w:r>
          <w:rPr>
            <w:webHidden/>
          </w:rPr>
          <w:tab/>
        </w:r>
        <w:r>
          <w:rPr>
            <w:webHidden/>
          </w:rPr>
          <w:fldChar w:fldCharType="begin"/>
        </w:r>
        <w:r>
          <w:rPr>
            <w:webHidden/>
          </w:rPr>
          <w:instrText xml:space="preserve"> PAGEREF _Toc41556809 \h </w:instrText>
        </w:r>
        <w:r>
          <w:rPr>
            <w:webHidden/>
          </w:rPr>
        </w:r>
        <w:r>
          <w:rPr>
            <w:webHidden/>
          </w:rPr>
          <w:fldChar w:fldCharType="separate"/>
        </w:r>
        <w:r>
          <w:rPr>
            <w:webHidden/>
          </w:rPr>
          <w:t>118</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0" w:history="1">
        <w:r w:rsidRPr="007B7978">
          <w:rPr>
            <w:rStyle w:val="af0"/>
            <w:rFonts w:asciiTheme="minorEastAsia" w:hAnsiTheme="minorEastAsia" w:hint="eastAsia"/>
          </w:rPr>
          <w:t>（二）基金资产净值</w:t>
        </w:r>
        <w:r>
          <w:rPr>
            <w:webHidden/>
          </w:rPr>
          <w:tab/>
        </w:r>
        <w:r>
          <w:rPr>
            <w:webHidden/>
          </w:rPr>
          <w:fldChar w:fldCharType="begin"/>
        </w:r>
        <w:r>
          <w:rPr>
            <w:webHidden/>
          </w:rPr>
          <w:instrText xml:space="preserve"> PAGEREF _Toc41556810 \h </w:instrText>
        </w:r>
        <w:r>
          <w:rPr>
            <w:webHidden/>
          </w:rPr>
        </w:r>
        <w:r>
          <w:rPr>
            <w:webHidden/>
          </w:rPr>
          <w:fldChar w:fldCharType="separate"/>
        </w:r>
        <w:r>
          <w:rPr>
            <w:webHidden/>
          </w:rPr>
          <w:t>118</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1" w:history="1">
        <w:r w:rsidRPr="007B7978">
          <w:rPr>
            <w:rStyle w:val="af0"/>
            <w:rFonts w:asciiTheme="minorEastAsia" w:hAnsiTheme="minorEastAsia" w:hint="eastAsia"/>
          </w:rPr>
          <w:t>（三）基金财产的账户</w:t>
        </w:r>
        <w:r>
          <w:rPr>
            <w:webHidden/>
          </w:rPr>
          <w:tab/>
        </w:r>
        <w:r>
          <w:rPr>
            <w:webHidden/>
          </w:rPr>
          <w:fldChar w:fldCharType="begin"/>
        </w:r>
        <w:r>
          <w:rPr>
            <w:webHidden/>
          </w:rPr>
          <w:instrText xml:space="preserve"> PAGEREF _Toc41556811 \h </w:instrText>
        </w:r>
        <w:r>
          <w:rPr>
            <w:webHidden/>
          </w:rPr>
        </w:r>
        <w:r>
          <w:rPr>
            <w:webHidden/>
          </w:rPr>
          <w:fldChar w:fldCharType="separate"/>
        </w:r>
        <w:r>
          <w:rPr>
            <w:webHidden/>
          </w:rPr>
          <w:t>118</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2" w:history="1">
        <w:r w:rsidRPr="007B7978">
          <w:rPr>
            <w:rStyle w:val="af0"/>
            <w:rFonts w:asciiTheme="minorEastAsia" w:hAnsiTheme="minorEastAsia" w:hint="eastAsia"/>
          </w:rPr>
          <w:t>（四）基金财产的处分</w:t>
        </w:r>
        <w:r>
          <w:rPr>
            <w:webHidden/>
          </w:rPr>
          <w:tab/>
        </w:r>
        <w:r>
          <w:rPr>
            <w:webHidden/>
          </w:rPr>
          <w:fldChar w:fldCharType="begin"/>
        </w:r>
        <w:r>
          <w:rPr>
            <w:webHidden/>
          </w:rPr>
          <w:instrText xml:space="preserve"> PAGEREF _Toc41556812 \h </w:instrText>
        </w:r>
        <w:r>
          <w:rPr>
            <w:webHidden/>
          </w:rPr>
        </w:r>
        <w:r>
          <w:rPr>
            <w:webHidden/>
          </w:rPr>
          <w:fldChar w:fldCharType="separate"/>
        </w:r>
        <w:r>
          <w:rPr>
            <w:webHidden/>
          </w:rPr>
          <w:t>118</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813" w:history="1">
        <w:r w:rsidRPr="007B7978">
          <w:rPr>
            <w:rStyle w:val="af0"/>
            <w:rFonts w:asciiTheme="minorEastAsia" w:hAnsiTheme="minorEastAsia" w:hint="eastAsia"/>
            <w:b/>
          </w:rPr>
          <w:t>十五、</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基金资产估值</w:t>
        </w:r>
        <w:r>
          <w:rPr>
            <w:webHidden/>
          </w:rPr>
          <w:tab/>
        </w:r>
        <w:r>
          <w:rPr>
            <w:webHidden/>
          </w:rPr>
          <w:fldChar w:fldCharType="begin"/>
        </w:r>
        <w:r>
          <w:rPr>
            <w:webHidden/>
          </w:rPr>
          <w:instrText xml:space="preserve"> PAGEREF _Toc41556813 \h </w:instrText>
        </w:r>
        <w:r>
          <w:rPr>
            <w:webHidden/>
          </w:rPr>
        </w:r>
        <w:r>
          <w:rPr>
            <w:webHidden/>
          </w:rPr>
          <w:fldChar w:fldCharType="separate"/>
        </w:r>
        <w:r>
          <w:rPr>
            <w:webHidden/>
          </w:rPr>
          <w:t>119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4" w:history="1">
        <w:r w:rsidRPr="007B7978">
          <w:rPr>
            <w:rStyle w:val="af0"/>
            <w:rFonts w:asciiTheme="minorEastAsia" w:hAnsiTheme="minorEastAsia" w:hint="eastAsia"/>
          </w:rPr>
          <w:t>（一）估值目的</w:t>
        </w:r>
        <w:r>
          <w:rPr>
            <w:webHidden/>
          </w:rPr>
          <w:tab/>
        </w:r>
        <w:r>
          <w:rPr>
            <w:webHidden/>
          </w:rPr>
          <w:fldChar w:fldCharType="begin"/>
        </w:r>
        <w:r>
          <w:rPr>
            <w:webHidden/>
          </w:rPr>
          <w:instrText xml:space="preserve"> PAGEREF _Toc41556814 \h </w:instrText>
        </w:r>
        <w:r>
          <w:rPr>
            <w:webHidden/>
          </w:rPr>
        </w:r>
        <w:r>
          <w:rPr>
            <w:webHidden/>
          </w:rPr>
          <w:fldChar w:fldCharType="separate"/>
        </w:r>
        <w:r>
          <w:rPr>
            <w:webHidden/>
          </w:rPr>
          <w:t>119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5" w:history="1">
        <w:r w:rsidRPr="007B7978">
          <w:rPr>
            <w:rStyle w:val="af0"/>
            <w:rFonts w:asciiTheme="minorEastAsia" w:hAnsiTheme="minorEastAsia" w:hint="eastAsia"/>
          </w:rPr>
          <w:t>（二）估值日</w:t>
        </w:r>
        <w:r>
          <w:rPr>
            <w:webHidden/>
          </w:rPr>
          <w:tab/>
        </w:r>
        <w:r>
          <w:rPr>
            <w:webHidden/>
          </w:rPr>
          <w:fldChar w:fldCharType="begin"/>
        </w:r>
        <w:r>
          <w:rPr>
            <w:webHidden/>
          </w:rPr>
          <w:instrText xml:space="preserve"> PAGEREF _Toc41556815 \h </w:instrText>
        </w:r>
        <w:r>
          <w:rPr>
            <w:webHidden/>
          </w:rPr>
        </w:r>
        <w:r>
          <w:rPr>
            <w:webHidden/>
          </w:rPr>
          <w:fldChar w:fldCharType="separate"/>
        </w:r>
        <w:r>
          <w:rPr>
            <w:webHidden/>
          </w:rPr>
          <w:t>119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6" w:history="1">
        <w:r w:rsidRPr="007B7978">
          <w:rPr>
            <w:rStyle w:val="af0"/>
            <w:rFonts w:asciiTheme="minorEastAsia" w:hAnsiTheme="minorEastAsia" w:hint="eastAsia"/>
          </w:rPr>
          <w:t>（三）估值对象</w:t>
        </w:r>
        <w:r>
          <w:rPr>
            <w:webHidden/>
          </w:rPr>
          <w:tab/>
        </w:r>
        <w:r>
          <w:rPr>
            <w:webHidden/>
          </w:rPr>
          <w:fldChar w:fldCharType="begin"/>
        </w:r>
        <w:r>
          <w:rPr>
            <w:webHidden/>
          </w:rPr>
          <w:instrText xml:space="preserve"> PAGEREF _Toc41556816 \h </w:instrText>
        </w:r>
        <w:r>
          <w:rPr>
            <w:webHidden/>
          </w:rPr>
        </w:r>
        <w:r>
          <w:rPr>
            <w:webHidden/>
          </w:rPr>
          <w:fldChar w:fldCharType="separate"/>
        </w:r>
        <w:r>
          <w:rPr>
            <w:webHidden/>
          </w:rPr>
          <w:t>119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7" w:history="1">
        <w:r w:rsidRPr="007B7978">
          <w:rPr>
            <w:rStyle w:val="af0"/>
            <w:rFonts w:asciiTheme="minorEastAsia" w:hAnsiTheme="minorEastAsia" w:hint="eastAsia"/>
          </w:rPr>
          <w:t>（四）估值方法</w:t>
        </w:r>
        <w:r>
          <w:rPr>
            <w:webHidden/>
          </w:rPr>
          <w:tab/>
        </w:r>
        <w:r>
          <w:rPr>
            <w:webHidden/>
          </w:rPr>
          <w:fldChar w:fldCharType="begin"/>
        </w:r>
        <w:r>
          <w:rPr>
            <w:webHidden/>
          </w:rPr>
          <w:instrText xml:space="preserve"> PAGEREF _Toc41556817 \h </w:instrText>
        </w:r>
        <w:r>
          <w:rPr>
            <w:webHidden/>
          </w:rPr>
        </w:r>
        <w:r>
          <w:rPr>
            <w:webHidden/>
          </w:rPr>
          <w:fldChar w:fldCharType="separate"/>
        </w:r>
        <w:r>
          <w:rPr>
            <w:webHidden/>
          </w:rPr>
          <w:t>119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8" w:history="1">
        <w:r w:rsidRPr="007B7978">
          <w:rPr>
            <w:rStyle w:val="af0"/>
            <w:rFonts w:asciiTheme="minorEastAsia" w:hAnsiTheme="minorEastAsia" w:hint="eastAsia"/>
          </w:rPr>
          <w:t>（五）估值程序</w:t>
        </w:r>
        <w:r>
          <w:rPr>
            <w:webHidden/>
          </w:rPr>
          <w:tab/>
        </w:r>
        <w:r>
          <w:rPr>
            <w:webHidden/>
          </w:rPr>
          <w:fldChar w:fldCharType="begin"/>
        </w:r>
        <w:r>
          <w:rPr>
            <w:webHidden/>
          </w:rPr>
          <w:instrText xml:space="preserve"> PAGEREF _Toc41556818 \h </w:instrText>
        </w:r>
        <w:r>
          <w:rPr>
            <w:webHidden/>
          </w:rPr>
        </w:r>
        <w:r>
          <w:rPr>
            <w:webHidden/>
          </w:rPr>
          <w:fldChar w:fldCharType="separate"/>
        </w:r>
        <w:r>
          <w:rPr>
            <w:webHidden/>
          </w:rPr>
          <w:t>120</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19" w:history="1">
        <w:r w:rsidRPr="007B7978">
          <w:rPr>
            <w:rStyle w:val="af0"/>
            <w:rFonts w:asciiTheme="minorEastAsia" w:hAnsiTheme="minorEastAsia" w:hint="eastAsia"/>
          </w:rPr>
          <w:t>（六）暂停公告净值的情形</w:t>
        </w:r>
        <w:r>
          <w:rPr>
            <w:webHidden/>
          </w:rPr>
          <w:tab/>
        </w:r>
        <w:r>
          <w:rPr>
            <w:webHidden/>
          </w:rPr>
          <w:fldChar w:fldCharType="begin"/>
        </w:r>
        <w:r>
          <w:rPr>
            <w:webHidden/>
          </w:rPr>
          <w:instrText xml:space="preserve"> PAGEREF _Toc41556819 \h </w:instrText>
        </w:r>
        <w:r>
          <w:rPr>
            <w:webHidden/>
          </w:rPr>
        </w:r>
        <w:r>
          <w:rPr>
            <w:webHidden/>
          </w:rPr>
          <w:fldChar w:fldCharType="separate"/>
        </w:r>
        <w:r>
          <w:rPr>
            <w:webHidden/>
          </w:rPr>
          <w:t>121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20" w:history="1">
        <w:r w:rsidRPr="007B7978">
          <w:rPr>
            <w:rStyle w:val="af0"/>
            <w:rFonts w:asciiTheme="minorEastAsia" w:hAnsiTheme="minorEastAsia" w:hint="eastAsia"/>
          </w:rPr>
          <w:t>（七）估值错误处理</w:t>
        </w:r>
        <w:r>
          <w:rPr>
            <w:webHidden/>
          </w:rPr>
          <w:tab/>
        </w:r>
        <w:r>
          <w:rPr>
            <w:webHidden/>
          </w:rPr>
          <w:fldChar w:fldCharType="begin"/>
        </w:r>
        <w:r>
          <w:rPr>
            <w:webHidden/>
          </w:rPr>
          <w:instrText xml:space="preserve"> PAGEREF _Toc41556820 \h </w:instrText>
        </w:r>
        <w:r>
          <w:rPr>
            <w:webHidden/>
          </w:rPr>
        </w:r>
        <w:r>
          <w:rPr>
            <w:webHidden/>
          </w:rPr>
          <w:fldChar w:fldCharType="separate"/>
        </w:r>
        <w:r>
          <w:rPr>
            <w:webHidden/>
          </w:rPr>
          <w:t>121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21" w:history="1">
        <w:r w:rsidRPr="007B7978">
          <w:rPr>
            <w:rStyle w:val="af0"/>
            <w:rFonts w:asciiTheme="minorEastAsia" w:hAnsiTheme="minorEastAsia" w:hint="eastAsia"/>
          </w:rPr>
          <w:t>（八）基金净值的确认</w:t>
        </w:r>
        <w:r>
          <w:rPr>
            <w:webHidden/>
          </w:rPr>
          <w:tab/>
        </w:r>
        <w:r>
          <w:rPr>
            <w:webHidden/>
          </w:rPr>
          <w:fldChar w:fldCharType="begin"/>
        </w:r>
        <w:r>
          <w:rPr>
            <w:webHidden/>
          </w:rPr>
          <w:instrText xml:space="preserve"> PAGEREF _Toc41556821 \h </w:instrText>
        </w:r>
        <w:r>
          <w:rPr>
            <w:webHidden/>
          </w:rPr>
        </w:r>
        <w:r>
          <w:rPr>
            <w:webHidden/>
          </w:rPr>
          <w:fldChar w:fldCharType="separate"/>
        </w:r>
        <w:r>
          <w:rPr>
            <w:webHidden/>
          </w:rPr>
          <w:t>122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22" w:history="1">
        <w:r w:rsidRPr="007B7978">
          <w:rPr>
            <w:rStyle w:val="af0"/>
            <w:rFonts w:asciiTheme="minorEastAsia" w:hAnsiTheme="minorEastAsia" w:hint="eastAsia"/>
          </w:rPr>
          <w:t>（九）特殊情形的处理</w:t>
        </w:r>
        <w:r>
          <w:rPr>
            <w:webHidden/>
          </w:rPr>
          <w:tab/>
        </w:r>
        <w:r>
          <w:rPr>
            <w:webHidden/>
          </w:rPr>
          <w:fldChar w:fldCharType="begin"/>
        </w:r>
        <w:r>
          <w:rPr>
            <w:webHidden/>
          </w:rPr>
          <w:instrText xml:space="preserve"> PAGEREF _Toc41556822 \h </w:instrText>
        </w:r>
        <w:r>
          <w:rPr>
            <w:webHidden/>
          </w:rPr>
        </w:r>
        <w:r>
          <w:rPr>
            <w:webHidden/>
          </w:rPr>
          <w:fldChar w:fldCharType="separate"/>
        </w:r>
        <w:r>
          <w:rPr>
            <w:webHidden/>
          </w:rPr>
          <w:t>123</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823" w:history="1">
        <w:r w:rsidRPr="007B7978">
          <w:rPr>
            <w:rStyle w:val="af0"/>
            <w:rFonts w:asciiTheme="minorEastAsia" w:hAnsiTheme="minorEastAsia" w:hint="eastAsia"/>
            <w:b/>
          </w:rPr>
          <w:t>十六、</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基金的收益与分配</w:t>
        </w:r>
        <w:r>
          <w:rPr>
            <w:webHidden/>
          </w:rPr>
          <w:tab/>
        </w:r>
        <w:r>
          <w:rPr>
            <w:webHidden/>
          </w:rPr>
          <w:fldChar w:fldCharType="begin"/>
        </w:r>
        <w:r>
          <w:rPr>
            <w:webHidden/>
          </w:rPr>
          <w:instrText xml:space="preserve"> PAGEREF _Toc41556823 \h </w:instrText>
        </w:r>
        <w:r>
          <w:rPr>
            <w:webHidden/>
          </w:rPr>
        </w:r>
        <w:r>
          <w:rPr>
            <w:webHidden/>
          </w:rPr>
          <w:fldChar w:fldCharType="separate"/>
        </w:r>
        <w:r>
          <w:rPr>
            <w:webHidden/>
          </w:rPr>
          <w:t>124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24" w:history="1">
        <w:r w:rsidRPr="007B7978">
          <w:rPr>
            <w:rStyle w:val="af0"/>
            <w:rFonts w:asciiTheme="minorEastAsia" w:hAnsiTheme="minorEastAsia" w:hint="eastAsia"/>
          </w:rPr>
          <w:t>（一）收益的构成</w:t>
        </w:r>
        <w:r>
          <w:rPr>
            <w:webHidden/>
          </w:rPr>
          <w:tab/>
        </w:r>
        <w:r>
          <w:rPr>
            <w:webHidden/>
          </w:rPr>
          <w:fldChar w:fldCharType="begin"/>
        </w:r>
        <w:r>
          <w:rPr>
            <w:webHidden/>
          </w:rPr>
          <w:instrText xml:space="preserve"> PAGEREF _Toc41556824 \h </w:instrText>
        </w:r>
        <w:r>
          <w:rPr>
            <w:webHidden/>
          </w:rPr>
        </w:r>
        <w:r>
          <w:rPr>
            <w:webHidden/>
          </w:rPr>
          <w:fldChar w:fldCharType="separate"/>
        </w:r>
        <w:r>
          <w:rPr>
            <w:webHidden/>
          </w:rPr>
          <w:t>124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25" w:history="1">
        <w:r w:rsidRPr="007B7978">
          <w:rPr>
            <w:rStyle w:val="af0"/>
            <w:rFonts w:asciiTheme="minorEastAsia" w:hAnsiTheme="minorEastAsia" w:hint="eastAsia"/>
          </w:rPr>
          <w:t>（二）收益分配原则</w:t>
        </w:r>
        <w:r>
          <w:rPr>
            <w:webHidden/>
          </w:rPr>
          <w:tab/>
        </w:r>
        <w:r>
          <w:rPr>
            <w:webHidden/>
          </w:rPr>
          <w:fldChar w:fldCharType="begin"/>
        </w:r>
        <w:r>
          <w:rPr>
            <w:webHidden/>
          </w:rPr>
          <w:instrText xml:space="preserve"> PAGEREF _Toc41556825 \h </w:instrText>
        </w:r>
        <w:r>
          <w:rPr>
            <w:webHidden/>
          </w:rPr>
        </w:r>
        <w:r>
          <w:rPr>
            <w:webHidden/>
          </w:rPr>
          <w:fldChar w:fldCharType="separate"/>
        </w:r>
        <w:r>
          <w:rPr>
            <w:webHidden/>
          </w:rPr>
          <w:t>124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26" w:history="1">
        <w:r w:rsidRPr="007B7978">
          <w:rPr>
            <w:rStyle w:val="af0"/>
            <w:rFonts w:asciiTheme="minorEastAsia" w:hAnsiTheme="minorEastAsia" w:hint="eastAsia"/>
          </w:rPr>
          <w:t>（三）收益分配方案</w:t>
        </w:r>
        <w:r>
          <w:rPr>
            <w:webHidden/>
          </w:rPr>
          <w:tab/>
        </w:r>
        <w:r>
          <w:rPr>
            <w:webHidden/>
          </w:rPr>
          <w:fldChar w:fldCharType="begin"/>
        </w:r>
        <w:r>
          <w:rPr>
            <w:webHidden/>
          </w:rPr>
          <w:instrText xml:space="preserve"> PAGEREF _Toc41556826 \h </w:instrText>
        </w:r>
        <w:r>
          <w:rPr>
            <w:webHidden/>
          </w:rPr>
        </w:r>
        <w:r>
          <w:rPr>
            <w:webHidden/>
          </w:rPr>
          <w:fldChar w:fldCharType="separate"/>
        </w:r>
        <w:r>
          <w:rPr>
            <w:webHidden/>
          </w:rPr>
          <w:t>124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27" w:history="1">
        <w:r w:rsidRPr="007B7978">
          <w:rPr>
            <w:rStyle w:val="af0"/>
            <w:rFonts w:asciiTheme="minorEastAsia" w:hAnsiTheme="minorEastAsia" w:hint="eastAsia"/>
          </w:rPr>
          <w:t>（四）收益分配的时间和程序</w:t>
        </w:r>
        <w:r>
          <w:rPr>
            <w:webHidden/>
          </w:rPr>
          <w:tab/>
        </w:r>
        <w:r>
          <w:rPr>
            <w:webHidden/>
          </w:rPr>
          <w:fldChar w:fldCharType="begin"/>
        </w:r>
        <w:r>
          <w:rPr>
            <w:webHidden/>
          </w:rPr>
          <w:instrText xml:space="preserve"> PAGEREF _Toc41556827 \h </w:instrText>
        </w:r>
        <w:r>
          <w:rPr>
            <w:webHidden/>
          </w:rPr>
        </w:r>
        <w:r>
          <w:rPr>
            <w:webHidden/>
          </w:rPr>
          <w:fldChar w:fldCharType="separate"/>
        </w:r>
        <w:r>
          <w:rPr>
            <w:webHidden/>
          </w:rPr>
          <w:t>124</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28" w:history="1">
        <w:r w:rsidRPr="007B7978">
          <w:rPr>
            <w:rStyle w:val="af0"/>
            <w:rFonts w:asciiTheme="minorEastAsia" w:hAnsiTheme="minorEastAsia" w:hint="eastAsia"/>
          </w:rPr>
          <w:t>（五）收益分配中发生的费用</w:t>
        </w:r>
        <w:r>
          <w:rPr>
            <w:webHidden/>
          </w:rPr>
          <w:tab/>
        </w:r>
        <w:r>
          <w:rPr>
            <w:webHidden/>
          </w:rPr>
          <w:fldChar w:fldCharType="begin"/>
        </w:r>
        <w:r>
          <w:rPr>
            <w:webHidden/>
          </w:rPr>
          <w:instrText xml:space="preserve"> PAGEREF _Toc41556828 \h </w:instrText>
        </w:r>
        <w:r>
          <w:rPr>
            <w:webHidden/>
          </w:rPr>
        </w:r>
        <w:r>
          <w:rPr>
            <w:webHidden/>
          </w:rPr>
          <w:fldChar w:fldCharType="separate"/>
        </w:r>
        <w:r>
          <w:rPr>
            <w:webHidden/>
          </w:rPr>
          <w:t>124</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829" w:history="1">
        <w:r w:rsidRPr="007B7978">
          <w:rPr>
            <w:rStyle w:val="af0"/>
            <w:rFonts w:asciiTheme="minorEastAsia" w:hAnsiTheme="minorEastAsia" w:hint="eastAsia"/>
            <w:b/>
          </w:rPr>
          <w:t>十七、</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基金的费用与税收</w:t>
        </w:r>
        <w:r>
          <w:rPr>
            <w:webHidden/>
          </w:rPr>
          <w:tab/>
        </w:r>
        <w:r>
          <w:rPr>
            <w:webHidden/>
          </w:rPr>
          <w:fldChar w:fldCharType="begin"/>
        </w:r>
        <w:r>
          <w:rPr>
            <w:webHidden/>
          </w:rPr>
          <w:instrText xml:space="preserve"> PAGEREF _Toc41556829 \h </w:instrText>
        </w:r>
        <w:r>
          <w:rPr>
            <w:webHidden/>
          </w:rPr>
        </w:r>
        <w:r>
          <w:rPr>
            <w:webHidden/>
          </w:rPr>
          <w:fldChar w:fldCharType="separate"/>
        </w:r>
        <w:r>
          <w:rPr>
            <w:webHidden/>
          </w:rPr>
          <w:t>126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30" w:history="1">
        <w:r w:rsidRPr="007B7978">
          <w:rPr>
            <w:rStyle w:val="af0"/>
            <w:rFonts w:asciiTheme="minorEastAsia" w:hAnsiTheme="minorEastAsia" w:hint="eastAsia"/>
          </w:rPr>
          <w:t>（一）与基金运作相关的费用</w:t>
        </w:r>
        <w:r>
          <w:rPr>
            <w:webHidden/>
          </w:rPr>
          <w:tab/>
        </w:r>
        <w:r>
          <w:rPr>
            <w:webHidden/>
          </w:rPr>
          <w:fldChar w:fldCharType="begin"/>
        </w:r>
        <w:r>
          <w:rPr>
            <w:webHidden/>
          </w:rPr>
          <w:instrText xml:space="preserve"> PAGEREF _Toc41556830 \h </w:instrText>
        </w:r>
        <w:r>
          <w:rPr>
            <w:webHidden/>
          </w:rPr>
        </w:r>
        <w:r>
          <w:rPr>
            <w:webHidden/>
          </w:rPr>
          <w:fldChar w:fldCharType="separate"/>
        </w:r>
        <w:r>
          <w:rPr>
            <w:webHidden/>
          </w:rPr>
          <w:t>126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31" w:history="1">
        <w:r w:rsidRPr="007B7978">
          <w:rPr>
            <w:rStyle w:val="af0"/>
            <w:rFonts w:asciiTheme="minorEastAsia" w:hAnsiTheme="minorEastAsia" w:hint="eastAsia"/>
          </w:rPr>
          <w:t>（二）与基金销售有关的费用</w:t>
        </w:r>
        <w:r>
          <w:rPr>
            <w:webHidden/>
          </w:rPr>
          <w:tab/>
        </w:r>
        <w:r>
          <w:rPr>
            <w:webHidden/>
          </w:rPr>
          <w:fldChar w:fldCharType="begin"/>
        </w:r>
        <w:r>
          <w:rPr>
            <w:webHidden/>
          </w:rPr>
          <w:instrText xml:space="preserve"> PAGEREF _Toc41556831 \h </w:instrText>
        </w:r>
        <w:r>
          <w:rPr>
            <w:webHidden/>
          </w:rPr>
        </w:r>
        <w:r>
          <w:rPr>
            <w:webHidden/>
          </w:rPr>
          <w:fldChar w:fldCharType="separate"/>
        </w:r>
        <w:r>
          <w:rPr>
            <w:webHidden/>
          </w:rPr>
          <w:t>127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32" w:history="1">
        <w:r w:rsidRPr="007B7978">
          <w:rPr>
            <w:rStyle w:val="af0"/>
            <w:rFonts w:asciiTheme="minorEastAsia" w:hAnsiTheme="minorEastAsia" w:hint="eastAsia"/>
          </w:rPr>
          <w:t>（三）税收</w:t>
        </w:r>
        <w:r>
          <w:rPr>
            <w:webHidden/>
          </w:rPr>
          <w:tab/>
        </w:r>
        <w:r>
          <w:rPr>
            <w:webHidden/>
          </w:rPr>
          <w:fldChar w:fldCharType="begin"/>
        </w:r>
        <w:r>
          <w:rPr>
            <w:webHidden/>
          </w:rPr>
          <w:instrText xml:space="preserve"> PAGEREF _Toc41556832 \h </w:instrText>
        </w:r>
        <w:r>
          <w:rPr>
            <w:webHidden/>
          </w:rPr>
        </w:r>
        <w:r>
          <w:rPr>
            <w:webHidden/>
          </w:rPr>
          <w:fldChar w:fldCharType="separate"/>
        </w:r>
        <w:r>
          <w:rPr>
            <w:webHidden/>
          </w:rPr>
          <w:t>128</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833" w:history="1">
        <w:r w:rsidRPr="007B7978">
          <w:rPr>
            <w:rStyle w:val="af0"/>
            <w:rFonts w:asciiTheme="minorEastAsia" w:hAnsiTheme="minorEastAsia" w:hint="eastAsia"/>
            <w:b/>
          </w:rPr>
          <w:t>十八、</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基金的会计与审计</w:t>
        </w:r>
        <w:r>
          <w:rPr>
            <w:webHidden/>
          </w:rPr>
          <w:tab/>
        </w:r>
        <w:r>
          <w:rPr>
            <w:webHidden/>
          </w:rPr>
          <w:fldChar w:fldCharType="begin"/>
        </w:r>
        <w:r>
          <w:rPr>
            <w:webHidden/>
          </w:rPr>
          <w:instrText xml:space="preserve"> PAGEREF _Toc41556833 \h </w:instrText>
        </w:r>
        <w:r>
          <w:rPr>
            <w:webHidden/>
          </w:rPr>
        </w:r>
        <w:r>
          <w:rPr>
            <w:webHidden/>
          </w:rPr>
          <w:fldChar w:fldCharType="separate"/>
        </w:r>
        <w:r>
          <w:rPr>
            <w:webHidden/>
          </w:rPr>
          <w:t>129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34" w:history="1">
        <w:r w:rsidRPr="007B7978">
          <w:rPr>
            <w:rStyle w:val="af0"/>
            <w:rFonts w:asciiTheme="minorEastAsia" w:hAnsiTheme="minorEastAsia" w:hint="eastAsia"/>
          </w:rPr>
          <w:t>（一）基金会计政策</w:t>
        </w:r>
        <w:r>
          <w:rPr>
            <w:webHidden/>
          </w:rPr>
          <w:tab/>
        </w:r>
        <w:r>
          <w:rPr>
            <w:webHidden/>
          </w:rPr>
          <w:fldChar w:fldCharType="begin"/>
        </w:r>
        <w:r>
          <w:rPr>
            <w:webHidden/>
          </w:rPr>
          <w:instrText xml:space="preserve"> PAGEREF _Toc41556834 \h </w:instrText>
        </w:r>
        <w:r>
          <w:rPr>
            <w:webHidden/>
          </w:rPr>
        </w:r>
        <w:r>
          <w:rPr>
            <w:webHidden/>
          </w:rPr>
          <w:fldChar w:fldCharType="separate"/>
        </w:r>
        <w:r>
          <w:rPr>
            <w:webHidden/>
          </w:rPr>
          <w:t>129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35" w:history="1">
        <w:r w:rsidRPr="007B7978">
          <w:rPr>
            <w:rStyle w:val="af0"/>
            <w:rFonts w:asciiTheme="minorEastAsia" w:hAnsiTheme="minorEastAsia" w:hint="eastAsia"/>
          </w:rPr>
          <w:t>（二）基金年度审计</w:t>
        </w:r>
        <w:r>
          <w:rPr>
            <w:webHidden/>
          </w:rPr>
          <w:tab/>
        </w:r>
        <w:r>
          <w:rPr>
            <w:webHidden/>
          </w:rPr>
          <w:fldChar w:fldCharType="begin"/>
        </w:r>
        <w:r>
          <w:rPr>
            <w:webHidden/>
          </w:rPr>
          <w:instrText xml:space="preserve"> PAGEREF _Toc41556835 \h </w:instrText>
        </w:r>
        <w:r>
          <w:rPr>
            <w:webHidden/>
          </w:rPr>
        </w:r>
        <w:r>
          <w:rPr>
            <w:webHidden/>
          </w:rPr>
          <w:fldChar w:fldCharType="separate"/>
        </w:r>
        <w:r>
          <w:rPr>
            <w:webHidden/>
          </w:rPr>
          <w:t>129</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836" w:history="1">
        <w:r w:rsidRPr="007B7978">
          <w:rPr>
            <w:rStyle w:val="af0"/>
            <w:rFonts w:asciiTheme="minorEastAsia" w:hAnsiTheme="minorEastAsia" w:hint="eastAsia"/>
            <w:b/>
          </w:rPr>
          <w:t>十九、</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基金的信息披露</w:t>
        </w:r>
        <w:r>
          <w:rPr>
            <w:webHidden/>
          </w:rPr>
          <w:tab/>
        </w:r>
        <w:r>
          <w:rPr>
            <w:webHidden/>
          </w:rPr>
          <w:fldChar w:fldCharType="begin"/>
        </w:r>
        <w:r>
          <w:rPr>
            <w:webHidden/>
          </w:rPr>
          <w:instrText xml:space="preserve"> PAGEREF _Toc41556836 \h </w:instrText>
        </w:r>
        <w:r>
          <w:rPr>
            <w:webHidden/>
          </w:rPr>
        </w:r>
        <w:r>
          <w:rPr>
            <w:webHidden/>
          </w:rPr>
          <w:fldChar w:fldCharType="separate"/>
        </w:r>
        <w:r>
          <w:rPr>
            <w:webHidden/>
          </w:rPr>
          <w:t>130</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37" w:history="1">
        <w:r w:rsidRPr="007B7978">
          <w:rPr>
            <w:rStyle w:val="af0"/>
            <w:rFonts w:asciiTheme="minorEastAsia" w:hAnsiTheme="minorEastAsia" w:hint="eastAsia"/>
          </w:rPr>
          <w:t>（一）招募说明书</w:t>
        </w:r>
        <w:r>
          <w:rPr>
            <w:webHidden/>
          </w:rPr>
          <w:tab/>
        </w:r>
        <w:r>
          <w:rPr>
            <w:webHidden/>
          </w:rPr>
          <w:fldChar w:fldCharType="begin"/>
        </w:r>
        <w:r>
          <w:rPr>
            <w:webHidden/>
          </w:rPr>
          <w:instrText xml:space="preserve"> PAGEREF _Toc41556837 \h </w:instrText>
        </w:r>
        <w:r>
          <w:rPr>
            <w:webHidden/>
          </w:rPr>
        </w:r>
        <w:r>
          <w:rPr>
            <w:webHidden/>
          </w:rPr>
          <w:fldChar w:fldCharType="separate"/>
        </w:r>
        <w:r>
          <w:rPr>
            <w:webHidden/>
          </w:rPr>
          <w:t>130</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38" w:history="1">
        <w:r w:rsidRPr="007B7978">
          <w:rPr>
            <w:rStyle w:val="af0"/>
            <w:rFonts w:asciiTheme="minorEastAsia" w:hAnsiTheme="minorEastAsia" w:hint="eastAsia"/>
          </w:rPr>
          <w:t>（二）基金合同、托管协议</w:t>
        </w:r>
        <w:r>
          <w:rPr>
            <w:webHidden/>
          </w:rPr>
          <w:tab/>
        </w:r>
        <w:r>
          <w:rPr>
            <w:webHidden/>
          </w:rPr>
          <w:fldChar w:fldCharType="begin"/>
        </w:r>
        <w:r>
          <w:rPr>
            <w:webHidden/>
          </w:rPr>
          <w:instrText xml:space="preserve"> PAGEREF _Toc41556838 \h </w:instrText>
        </w:r>
        <w:r>
          <w:rPr>
            <w:webHidden/>
          </w:rPr>
        </w:r>
        <w:r>
          <w:rPr>
            <w:webHidden/>
          </w:rPr>
          <w:fldChar w:fldCharType="separate"/>
        </w:r>
        <w:r>
          <w:rPr>
            <w:webHidden/>
          </w:rPr>
          <w:t>130</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39" w:history="1">
        <w:r w:rsidRPr="007B7978">
          <w:rPr>
            <w:rStyle w:val="af0"/>
            <w:rFonts w:asciiTheme="minorEastAsia" w:hAnsiTheme="minorEastAsia" w:hint="eastAsia"/>
          </w:rPr>
          <w:t>（三）基金产品资料概要</w:t>
        </w:r>
        <w:r>
          <w:rPr>
            <w:webHidden/>
          </w:rPr>
          <w:tab/>
        </w:r>
        <w:r>
          <w:rPr>
            <w:webHidden/>
          </w:rPr>
          <w:fldChar w:fldCharType="begin"/>
        </w:r>
        <w:r>
          <w:rPr>
            <w:webHidden/>
          </w:rPr>
          <w:instrText xml:space="preserve"> PAGEREF _Toc41556839 \h </w:instrText>
        </w:r>
        <w:r>
          <w:rPr>
            <w:webHidden/>
          </w:rPr>
        </w:r>
        <w:r>
          <w:rPr>
            <w:webHidden/>
          </w:rPr>
          <w:fldChar w:fldCharType="separate"/>
        </w:r>
        <w:r>
          <w:rPr>
            <w:webHidden/>
          </w:rPr>
          <w:t>131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0" w:history="1">
        <w:r w:rsidRPr="007B7978">
          <w:rPr>
            <w:rStyle w:val="af0"/>
            <w:rFonts w:asciiTheme="minorEastAsia" w:hAnsiTheme="minorEastAsia" w:hint="eastAsia"/>
          </w:rPr>
          <w:t>（四）基金份额发售公告</w:t>
        </w:r>
        <w:r>
          <w:rPr>
            <w:webHidden/>
          </w:rPr>
          <w:tab/>
        </w:r>
        <w:r>
          <w:rPr>
            <w:webHidden/>
          </w:rPr>
          <w:fldChar w:fldCharType="begin"/>
        </w:r>
        <w:r>
          <w:rPr>
            <w:webHidden/>
          </w:rPr>
          <w:instrText xml:space="preserve"> PAGEREF _Toc41556840 \h </w:instrText>
        </w:r>
        <w:r>
          <w:rPr>
            <w:webHidden/>
          </w:rPr>
        </w:r>
        <w:r>
          <w:rPr>
            <w:webHidden/>
          </w:rPr>
          <w:fldChar w:fldCharType="separate"/>
        </w:r>
        <w:r>
          <w:rPr>
            <w:webHidden/>
          </w:rPr>
          <w:t>131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1" w:history="1">
        <w:r w:rsidRPr="007B7978">
          <w:rPr>
            <w:rStyle w:val="af0"/>
            <w:rFonts w:asciiTheme="minorEastAsia" w:hAnsiTheme="minorEastAsia" w:hint="eastAsia"/>
          </w:rPr>
          <w:t>（五）基金合同生效公告</w:t>
        </w:r>
        <w:r>
          <w:rPr>
            <w:webHidden/>
          </w:rPr>
          <w:tab/>
        </w:r>
        <w:r>
          <w:rPr>
            <w:webHidden/>
          </w:rPr>
          <w:fldChar w:fldCharType="begin"/>
        </w:r>
        <w:r>
          <w:rPr>
            <w:webHidden/>
          </w:rPr>
          <w:instrText xml:space="preserve"> PAGEREF _Toc41556841 \h </w:instrText>
        </w:r>
        <w:r>
          <w:rPr>
            <w:webHidden/>
          </w:rPr>
        </w:r>
        <w:r>
          <w:rPr>
            <w:webHidden/>
          </w:rPr>
          <w:fldChar w:fldCharType="separate"/>
        </w:r>
        <w:r>
          <w:rPr>
            <w:webHidden/>
          </w:rPr>
          <w:t>131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2" w:history="1">
        <w:r w:rsidRPr="007B7978">
          <w:rPr>
            <w:rStyle w:val="af0"/>
            <w:rFonts w:asciiTheme="minorEastAsia" w:hAnsiTheme="minorEastAsia" w:hint="eastAsia"/>
          </w:rPr>
          <w:t>（六）基金净值信息</w:t>
        </w:r>
        <w:r>
          <w:rPr>
            <w:webHidden/>
          </w:rPr>
          <w:tab/>
        </w:r>
        <w:r>
          <w:rPr>
            <w:webHidden/>
          </w:rPr>
          <w:fldChar w:fldCharType="begin"/>
        </w:r>
        <w:r>
          <w:rPr>
            <w:webHidden/>
          </w:rPr>
          <w:instrText xml:space="preserve"> PAGEREF _Toc41556842 \h </w:instrText>
        </w:r>
        <w:r>
          <w:rPr>
            <w:webHidden/>
          </w:rPr>
        </w:r>
        <w:r>
          <w:rPr>
            <w:webHidden/>
          </w:rPr>
          <w:fldChar w:fldCharType="separate"/>
        </w:r>
        <w:r>
          <w:rPr>
            <w:webHidden/>
          </w:rPr>
          <w:t>131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3" w:history="1">
        <w:r w:rsidRPr="007B7978">
          <w:rPr>
            <w:rStyle w:val="af0"/>
            <w:rFonts w:asciiTheme="minorEastAsia" w:hAnsiTheme="minorEastAsia" w:hint="eastAsia"/>
          </w:rPr>
          <w:t>（七）基金份额申购、赎回价格公告</w:t>
        </w:r>
        <w:r>
          <w:rPr>
            <w:webHidden/>
          </w:rPr>
          <w:tab/>
        </w:r>
        <w:r>
          <w:rPr>
            <w:webHidden/>
          </w:rPr>
          <w:fldChar w:fldCharType="begin"/>
        </w:r>
        <w:r>
          <w:rPr>
            <w:webHidden/>
          </w:rPr>
          <w:instrText xml:space="preserve"> PAGEREF _Toc41556843 \h </w:instrText>
        </w:r>
        <w:r>
          <w:rPr>
            <w:webHidden/>
          </w:rPr>
        </w:r>
        <w:r>
          <w:rPr>
            <w:webHidden/>
          </w:rPr>
          <w:fldChar w:fldCharType="separate"/>
        </w:r>
        <w:r>
          <w:rPr>
            <w:webHidden/>
          </w:rPr>
          <w:t>131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4" w:history="1">
        <w:r w:rsidRPr="007B7978">
          <w:rPr>
            <w:rStyle w:val="af0"/>
            <w:rFonts w:asciiTheme="minorEastAsia" w:hAnsiTheme="minorEastAsia" w:hint="eastAsia"/>
          </w:rPr>
          <w:t>（八）基金年度报告、基金中期报告、基金季度报告</w:t>
        </w:r>
        <w:r>
          <w:rPr>
            <w:webHidden/>
          </w:rPr>
          <w:tab/>
        </w:r>
        <w:r>
          <w:rPr>
            <w:webHidden/>
          </w:rPr>
          <w:fldChar w:fldCharType="begin"/>
        </w:r>
        <w:r>
          <w:rPr>
            <w:webHidden/>
          </w:rPr>
          <w:instrText xml:space="preserve"> PAGEREF _Toc41556844 \h </w:instrText>
        </w:r>
        <w:r>
          <w:rPr>
            <w:webHidden/>
          </w:rPr>
        </w:r>
        <w:r>
          <w:rPr>
            <w:webHidden/>
          </w:rPr>
          <w:fldChar w:fldCharType="separate"/>
        </w:r>
        <w:r>
          <w:rPr>
            <w:webHidden/>
          </w:rPr>
          <w:t>131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5" w:history="1">
        <w:r w:rsidRPr="007B7978">
          <w:rPr>
            <w:rStyle w:val="af0"/>
            <w:rFonts w:asciiTheme="minorEastAsia" w:hAnsiTheme="minorEastAsia" w:hint="eastAsia"/>
          </w:rPr>
          <w:t>（九）临时报告</w:t>
        </w:r>
        <w:r>
          <w:rPr>
            <w:webHidden/>
          </w:rPr>
          <w:tab/>
        </w:r>
        <w:r>
          <w:rPr>
            <w:webHidden/>
          </w:rPr>
          <w:fldChar w:fldCharType="begin"/>
        </w:r>
        <w:r>
          <w:rPr>
            <w:webHidden/>
          </w:rPr>
          <w:instrText xml:space="preserve"> PAGEREF _Toc41556845 \h </w:instrText>
        </w:r>
        <w:r>
          <w:rPr>
            <w:webHidden/>
          </w:rPr>
        </w:r>
        <w:r>
          <w:rPr>
            <w:webHidden/>
          </w:rPr>
          <w:fldChar w:fldCharType="separate"/>
        </w:r>
        <w:r>
          <w:rPr>
            <w:webHidden/>
          </w:rPr>
          <w:t>132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6" w:history="1">
        <w:r w:rsidRPr="007B7978">
          <w:rPr>
            <w:rStyle w:val="af0"/>
            <w:rFonts w:asciiTheme="minorEastAsia" w:hAnsiTheme="minorEastAsia" w:hint="eastAsia"/>
          </w:rPr>
          <w:t>（十）澄清公告</w:t>
        </w:r>
        <w:r>
          <w:rPr>
            <w:webHidden/>
          </w:rPr>
          <w:tab/>
        </w:r>
        <w:r>
          <w:rPr>
            <w:webHidden/>
          </w:rPr>
          <w:fldChar w:fldCharType="begin"/>
        </w:r>
        <w:r>
          <w:rPr>
            <w:webHidden/>
          </w:rPr>
          <w:instrText xml:space="preserve"> PAGEREF _Toc41556846 \h </w:instrText>
        </w:r>
        <w:r>
          <w:rPr>
            <w:webHidden/>
          </w:rPr>
        </w:r>
        <w:r>
          <w:rPr>
            <w:webHidden/>
          </w:rPr>
          <w:fldChar w:fldCharType="separate"/>
        </w:r>
        <w:r>
          <w:rPr>
            <w:webHidden/>
          </w:rPr>
          <w:t>133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7" w:history="1">
        <w:r w:rsidRPr="007B7978">
          <w:rPr>
            <w:rStyle w:val="af0"/>
            <w:rFonts w:asciiTheme="minorEastAsia" w:hAnsiTheme="minorEastAsia" w:hint="eastAsia"/>
          </w:rPr>
          <w:t>（十一）清算报告</w:t>
        </w:r>
        <w:r>
          <w:rPr>
            <w:webHidden/>
          </w:rPr>
          <w:tab/>
        </w:r>
        <w:r>
          <w:rPr>
            <w:webHidden/>
          </w:rPr>
          <w:fldChar w:fldCharType="begin"/>
        </w:r>
        <w:r>
          <w:rPr>
            <w:webHidden/>
          </w:rPr>
          <w:instrText xml:space="preserve"> PAGEREF _Toc41556847 \h </w:instrText>
        </w:r>
        <w:r>
          <w:rPr>
            <w:webHidden/>
          </w:rPr>
        </w:r>
        <w:r>
          <w:rPr>
            <w:webHidden/>
          </w:rPr>
          <w:fldChar w:fldCharType="separate"/>
        </w:r>
        <w:r>
          <w:rPr>
            <w:webHidden/>
          </w:rPr>
          <w:t>133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8" w:history="1">
        <w:r w:rsidRPr="007B7978">
          <w:rPr>
            <w:rStyle w:val="af0"/>
            <w:rFonts w:asciiTheme="minorEastAsia" w:hAnsiTheme="minorEastAsia" w:hint="eastAsia"/>
          </w:rPr>
          <w:t>（十二）基金份额持有人大会决议</w:t>
        </w:r>
        <w:r>
          <w:rPr>
            <w:webHidden/>
          </w:rPr>
          <w:tab/>
        </w:r>
        <w:r>
          <w:rPr>
            <w:webHidden/>
          </w:rPr>
          <w:fldChar w:fldCharType="begin"/>
        </w:r>
        <w:r>
          <w:rPr>
            <w:webHidden/>
          </w:rPr>
          <w:instrText xml:space="preserve"> PAGEREF _Toc41556848 \h </w:instrText>
        </w:r>
        <w:r>
          <w:rPr>
            <w:webHidden/>
          </w:rPr>
        </w:r>
        <w:r>
          <w:rPr>
            <w:webHidden/>
          </w:rPr>
          <w:fldChar w:fldCharType="separate"/>
        </w:r>
        <w:r>
          <w:rPr>
            <w:webHidden/>
          </w:rPr>
          <w:t>133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49" w:history="1">
        <w:r w:rsidRPr="007B7978">
          <w:rPr>
            <w:rStyle w:val="af0"/>
            <w:rFonts w:asciiTheme="minorEastAsia" w:hAnsiTheme="minorEastAsia" w:hint="eastAsia"/>
          </w:rPr>
          <w:t>（十三）中国证监会规定的其他信息</w:t>
        </w:r>
        <w:r>
          <w:rPr>
            <w:webHidden/>
          </w:rPr>
          <w:tab/>
        </w:r>
        <w:r>
          <w:rPr>
            <w:webHidden/>
          </w:rPr>
          <w:fldChar w:fldCharType="begin"/>
        </w:r>
        <w:r>
          <w:rPr>
            <w:webHidden/>
          </w:rPr>
          <w:instrText xml:space="preserve"> PAGEREF _Toc41556849 \h </w:instrText>
        </w:r>
        <w:r>
          <w:rPr>
            <w:webHidden/>
          </w:rPr>
        </w:r>
        <w:r>
          <w:rPr>
            <w:webHidden/>
          </w:rPr>
          <w:fldChar w:fldCharType="separate"/>
        </w:r>
        <w:r>
          <w:rPr>
            <w:webHidden/>
          </w:rPr>
          <w:t>133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50" w:history="1">
        <w:r w:rsidRPr="007B7978">
          <w:rPr>
            <w:rStyle w:val="af0"/>
            <w:rFonts w:asciiTheme="minorEastAsia" w:hAnsiTheme="minorEastAsia" w:hint="eastAsia"/>
          </w:rPr>
          <w:t>（十四）信息披露文件的存放与查阅</w:t>
        </w:r>
        <w:r>
          <w:rPr>
            <w:webHidden/>
          </w:rPr>
          <w:tab/>
        </w:r>
        <w:r>
          <w:rPr>
            <w:webHidden/>
          </w:rPr>
          <w:fldChar w:fldCharType="begin"/>
        </w:r>
        <w:r>
          <w:rPr>
            <w:webHidden/>
          </w:rPr>
          <w:instrText xml:space="preserve"> PAGEREF _Toc41556850 \h </w:instrText>
        </w:r>
        <w:r>
          <w:rPr>
            <w:webHidden/>
          </w:rPr>
        </w:r>
        <w:r>
          <w:rPr>
            <w:webHidden/>
          </w:rPr>
          <w:fldChar w:fldCharType="separate"/>
        </w:r>
        <w:r>
          <w:rPr>
            <w:webHidden/>
          </w:rPr>
          <w:t>133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51" w:history="1">
        <w:r w:rsidRPr="007B7978">
          <w:rPr>
            <w:rStyle w:val="af0"/>
            <w:rFonts w:asciiTheme="minorEastAsia" w:hAnsiTheme="minorEastAsia" w:hint="eastAsia"/>
          </w:rPr>
          <w:t>（十五）信息披露事务管理</w:t>
        </w:r>
        <w:r>
          <w:rPr>
            <w:webHidden/>
          </w:rPr>
          <w:tab/>
        </w:r>
        <w:r>
          <w:rPr>
            <w:webHidden/>
          </w:rPr>
          <w:fldChar w:fldCharType="begin"/>
        </w:r>
        <w:r>
          <w:rPr>
            <w:webHidden/>
          </w:rPr>
          <w:instrText xml:space="preserve"> PAGEREF _Toc41556851 \h </w:instrText>
        </w:r>
        <w:r>
          <w:rPr>
            <w:webHidden/>
          </w:rPr>
        </w:r>
        <w:r>
          <w:rPr>
            <w:webHidden/>
          </w:rPr>
          <w:fldChar w:fldCharType="separate"/>
        </w:r>
        <w:r>
          <w:rPr>
            <w:webHidden/>
          </w:rPr>
          <w:t>133</w:t>
        </w:r>
        <w:r>
          <w:rPr>
            <w:webHidden/>
          </w:rPr>
          <w:fldChar w:fldCharType="end"/>
        </w:r>
      </w:hyperlink>
    </w:p>
    <w:p w:rsidR="00F17515" w:rsidRDefault="00F17515">
      <w:pPr>
        <w:pStyle w:val="10"/>
        <w:rPr>
          <w:rFonts w:asciiTheme="minorHAnsi" w:eastAsiaTheme="minorEastAsia" w:hAnsiTheme="minorHAnsi" w:cstheme="minorBidi"/>
          <w:caps w:val="0"/>
          <w:sz w:val="21"/>
          <w:szCs w:val="22"/>
        </w:rPr>
      </w:pPr>
      <w:hyperlink w:anchor="_Toc41556852" w:history="1">
        <w:r w:rsidRPr="007B7978">
          <w:rPr>
            <w:rStyle w:val="af0"/>
            <w:rFonts w:asciiTheme="minorEastAsia" w:hAnsiTheme="minorEastAsia" w:hint="eastAsia"/>
            <w:b/>
          </w:rPr>
          <w:t>二十、</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风险揭示</w:t>
        </w:r>
        <w:r>
          <w:rPr>
            <w:webHidden/>
          </w:rPr>
          <w:tab/>
        </w:r>
        <w:r>
          <w:rPr>
            <w:webHidden/>
          </w:rPr>
          <w:fldChar w:fldCharType="begin"/>
        </w:r>
        <w:r>
          <w:rPr>
            <w:webHidden/>
          </w:rPr>
          <w:instrText xml:space="preserve"> PAGEREF _Toc41556852 \h </w:instrText>
        </w:r>
        <w:r>
          <w:rPr>
            <w:webHidden/>
          </w:rPr>
        </w:r>
        <w:r>
          <w:rPr>
            <w:webHidden/>
          </w:rPr>
          <w:fldChar w:fldCharType="separate"/>
        </w:r>
        <w:r>
          <w:rPr>
            <w:webHidden/>
          </w:rPr>
          <w:t>135</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53" w:history="1">
        <w:r w:rsidRPr="007B7978">
          <w:rPr>
            <w:rStyle w:val="af0"/>
            <w:rFonts w:asciiTheme="minorEastAsia" w:hAnsiTheme="minorEastAsia" w:hint="eastAsia"/>
          </w:rPr>
          <w:t>（一）市场风险</w:t>
        </w:r>
        <w:r>
          <w:rPr>
            <w:webHidden/>
          </w:rPr>
          <w:tab/>
        </w:r>
        <w:r>
          <w:rPr>
            <w:webHidden/>
          </w:rPr>
          <w:fldChar w:fldCharType="begin"/>
        </w:r>
        <w:r>
          <w:rPr>
            <w:webHidden/>
          </w:rPr>
          <w:instrText xml:space="preserve"> PAGEREF _Toc41556853 \h </w:instrText>
        </w:r>
        <w:r>
          <w:rPr>
            <w:webHidden/>
          </w:rPr>
        </w:r>
        <w:r>
          <w:rPr>
            <w:webHidden/>
          </w:rPr>
          <w:fldChar w:fldCharType="separate"/>
        </w:r>
        <w:r>
          <w:rPr>
            <w:webHidden/>
          </w:rPr>
          <w:t>135</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54" w:history="1">
        <w:r w:rsidRPr="007B7978">
          <w:rPr>
            <w:rStyle w:val="af0"/>
            <w:rFonts w:asciiTheme="minorEastAsia" w:hAnsiTheme="minorEastAsia" w:hint="eastAsia"/>
          </w:rPr>
          <w:t>（二）管理风险</w:t>
        </w:r>
        <w:r>
          <w:rPr>
            <w:webHidden/>
          </w:rPr>
          <w:tab/>
        </w:r>
        <w:r>
          <w:rPr>
            <w:webHidden/>
          </w:rPr>
          <w:fldChar w:fldCharType="begin"/>
        </w:r>
        <w:r>
          <w:rPr>
            <w:webHidden/>
          </w:rPr>
          <w:instrText xml:space="preserve"> PAGEREF _Toc41556854 \h </w:instrText>
        </w:r>
        <w:r>
          <w:rPr>
            <w:webHidden/>
          </w:rPr>
        </w:r>
        <w:r>
          <w:rPr>
            <w:webHidden/>
          </w:rPr>
          <w:fldChar w:fldCharType="separate"/>
        </w:r>
        <w:r>
          <w:rPr>
            <w:webHidden/>
          </w:rPr>
          <w:t>136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55" w:history="1">
        <w:r w:rsidRPr="007B7978">
          <w:rPr>
            <w:rStyle w:val="af0"/>
            <w:rFonts w:asciiTheme="minorEastAsia" w:hAnsiTheme="minorEastAsia" w:hint="eastAsia"/>
          </w:rPr>
          <w:t>（三）流动性风险</w:t>
        </w:r>
        <w:r>
          <w:rPr>
            <w:webHidden/>
          </w:rPr>
          <w:tab/>
        </w:r>
        <w:r>
          <w:rPr>
            <w:webHidden/>
          </w:rPr>
          <w:fldChar w:fldCharType="begin"/>
        </w:r>
        <w:r>
          <w:rPr>
            <w:webHidden/>
          </w:rPr>
          <w:instrText xml:space="preserve"> PAGEREF _Toc41556855 \h </w:instrText>
        </w:r>
        <w:r>
          <w:rPr>
            <w:webHidden/>
          </w:rPr>
        </w:r>
        <w:r>
          <w:rPr>
            <w:webHidden/>
          </w:rPr>
          <w:fldChar w:fldCharType="separate"/>
        </w:r>
        <w:r>
          <w:rPr>
            <w:webHidden/>
          </w:rPr>
          <w:t>136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56" w:history="1">
        <w:r w:rsidRPr="007B7978">
          <w:rPr>
            <w:rStyle w:val="af0"/>
            <w:rFonts w:asciiTheme="minorEastAsia" w:hAnsiTheme="minorEastAsia" w:hint="eastAsia"/>
          </w:rPr>
          <w:t>（四）本基金法律文件中涉及基金风险特征的表述与销售机构对基金的风险评级可能不一致的风险</w:t>
        </w:r>
        <w:r>
          <w:rPr>
            <w:webHidden/>
          </w:rPr>
          <w:tab/>
        </w:r>
        <w:r>
          <w:rPr>
            <w:webHidden/>
          </w:rPr>
          <w:fldChar w:fldCharType="begin"/>
        </w:r>
        <w:r>
          <w:rPr>
            <w:webHidden/>
          </w:rPr>
          <w:instrText xml:space="preserve"> PAGEREF _Toc41556856 \h </w:instrText>
        </w:r>
        <w:r>
          <w:rPr>
            <w:webHidden/>
          </w:rPr>
        </w:r>
        <w:r>
          <w:rPr>
            <w:webHidden/>
          </w:rPr>
          <w:fldChar w:fldCharType="separate"/>
        </w:r>
        <w:r>
          <w:rPr>
            <w:webHidden/>
          </w:rPr>
          <w:t>137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57" w:history="1">
        <w:r w:rsidRPr="007B7978">
          <w:rPr>
            <w:rStyle w:val="af0"/>
            <w:rFonts w:asciiTheme="minorEastAsia" w:hAnsiTheme="minorEastAsia" w:hint="eastAsia"/>
          </w:rPr>
          <w:t>（五）</w:t>
        </w:r>
        <w:r w:rsidRPr="007B7978">
          <w:rPr>
            <w:rStyle w:val="af0"/>
            <w:rFonts w:asciiTheme="minorEastAsia" w:hAnsiTheme="minorEastAsia" w:hint="eastAsia"/>
            <w:kern w:val="0"/>
          </w:rPr>
          <w:t>本基金的特有风险</w:t>
        </w:r>
        <w:r>
          <w:rPr>
            <w:webHidden/>
          </w:rPr>
          <w:tab/>
        </w:r>
        <w:r>
          <w:rPr>
            <w:webHidden/>
          </w:rPr>
          <w:fldChar w:fldCharType="begin"/>
        </w:r>
        <w:r>
          <w:rPr>
            <w:webHidden/>
          </w:rPr>
          <w:instrText xml:space="preserve"> PAGEREF _Toc41556857 \h </w:instrText>
        </w:r>
        <w:r>
          <w:rPr>
            <w:webHidden/>
          </w:rPr>
        </w:r>
        <w:r>
          <w:rPr>
            <w:webHidden/>
          </w:rPr>
          <w:fldChar w:fldCharType="separate"/>
        </w:r>
        <w:r>
          <w:rPr>
            <w:webHidden/>
          </w:rPr>
          <w:t>137</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58" w:history="1">
        <w:r w:rsidRPr="007B7978">
          <w:rPr>
            <w:rStyle w:val="af0"/>
            <w:rFonts w:asciiTheme="minorEastAsia" w:hAnsiTheme="minorEastAsia" w:hint="eastAsia"/>
          </w:rPr>
          <w:t>（六）其他风险</w:t>
        </w:r>
        <w:r>
          <w:rPr>
            <w:webHidden/>
          </w:rPr>
          <w:tab/>
        </w:r>
        <w:r>
          <w:rPr>
            <w:webHidden/>
          </w:rPr>
          <w:fldChar w:fldCharType="begin"/>
        </w:r>
        <w:r>
          <w:rPr>
            <w:webHidden/>
          </w:rPr>
          <w:instrText xml:space="preserve"> PAGEREF _Toc41556858 \h </w:instrText>
        </w:r>
        <w:r>
          <w:rPr>
            <w:webHidden/>
          </w:rPr>
        </w:r>
        <w:r>
          <w:rPr>
            <w:webHidden/>
          </w:rPr>
          <w:fldChar w:fldCharType="separate"/>
        </w:r>
        <w:r>
          <w:rPr>
            <w:webHidden/>
          </w:rPr>
          <w:t>137</w:t>
        </w:r>
        <w:r>
          <w:rPr>
            <w:webHidden/>
          </w:rPr>
          <w:fldChar w:fldCharType="end"/>
        </w:r>
      </w:hyperlink>
    </w:p>
    <w:p w:rsidR="00F17515" w:rsidRDefault="00F17515">
      <w:pPr>
        <w:pStyle w:val="10"/>
        <w:tabs>
          <w:tab w:val="left" w:pos="1260"/>
        </w:tabs>
        <w:rPr>
          <w:rFonts w:asciiTheme="minorHAnsi" w:eastAsiaTheme="minorEastAsia" w:hAnsiTheme="minorHAnsi" w:cstheme="minorBidi"/>
          <w:caps w:val="0"/>
          <w:sz w:val="21"/>
          <w:szCs w:val="22"/>
        </w:rPr>
      </w:pPr>
      <w:hyperlink w:anchor="_Toc41556859" w:history="1">
        <w:r w:rsidRPr="007B7978">
          <w:rPr>
            <w:rStyle w:val="af0"/>
            <w:rFonts w:asciiTheme="minorEastAsia" w:hAnsiTheme="minorEastAsia" w:hint="eastAsia"/>
            <w:b/>
          </w:rPr>
          <w:t>二十一、</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基金合同的变更、终止与基金财产的清算</w:t>
        </w:r>
        <w:r>
          <w:rPr>
            <w:webHidden/>
          </w:rPr>
          <w:tab/>
        </w:r>
        <w:r>
          <w:rPr>
            <w:webHidden/>
          </w:rPr>
          <w:fldChar w:fldCharType="begin"/>
        </w:r>
        <w:r>
          <w:rPr>
            <w:webHidden/>
          </w:rPr>
          <w:instrText xml:space="preserve"> PAGEREF _Toc41556859 \h </w:instrText>
        </w:r>
        <w:r>
          <w:rPr>
            <w:webHidden/>
          </w:rPr>
        </w:r>
        <w:r>
          <w:rPr>
            <w:webHidden/>
          </w:rPr>
          <w:fldChar w:fldCharType="separate"/>
        </w:r>
        <w:r>
          <w:rPr>
            <w:webHidden/>
          </w:rPr>
          <w:t>139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0" w:history="1">
        <w:r w:rsidRPr="007B7978">
          <w:rPr>
            <w:rStyle w:val="af0"/>
            <w:rFonts w:asciiTheme="minorEastAsia" w:hAnsiTheme="minorEastAsia"/>
          </w:rPr>
          <w:t>(</w:t>
        </w:r>
        <w:r w:rsidRPr="007B7978">
          <w:rPr>
            <w:rStyle w:val="af0"/>
            <w:rFonts w:asciiTheme="minorEastAsia" w:hAnsiTheme="minorEastAsia" w:hint="eastAsia"/>
          </w:rPr>
          <w:t>一</w:t>
        </w:r>
        <w:r w:rsidRPr="007B7978">
          <w:rPr>
            <w:rStyle w:val="af0"/>
            <w:rFonts w:asciiTheme="minorEastAsia" w:hAnsiTheme="minorEastAsia"/>
          </w:rPr>
          <w:t>)</w:t>
        </w:r>
        <w:r w:rsidRPr="007B7978">
          <w:rPr>
            <w:rStyle w:val="af0"/>
            <w:rFonts w:asciiTheme="minorEastAsia" w:hAnsiTheme="minorEastAsia" w:hint="eastAsia"/>
          </w:rPr>
          <w:t>基金合同的变更</w:t>
        </w:r>
        <w:r>
          <w:rPr>
            <w:webHidden/>
          </w:rPr>
          <w:tab/>
        </w:r>
        <w:r>
          <w:rPr>
            <w:webHidden/>
          </w:rPr>
          <w:fldChar w:fldCharType="begin"/>
        </w:r>
        <w:r>
          <w:rPr>
            <w:webHidden/>
          </w:rPr>
          <w:instrText xml:space="preserve"> PAGEREF _Toc41556860 \h </w:instrText>
        </w:r>
        <w:r>
          <w:rPr>
            <w:webHidden/>
          </w:rPr>
        </w:r>
        <w:r>
          <w:rPr>
            <w:webHidden/>
          </w:rPr>
          <w:fldChar w:fldCharType="separate"/>
        </w:r>
        <w:r>
          <w:rPr>
            <w:webHidden/>
          </w:rPr>
          <w:t>139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1" w:history="1">
        <w:r w:rsidRPr="007B7978">
          <w:rPr>
            <w:rStyle w:val="af0"/>
            <w:rFonts w:asciiTheme="minorEastAsia" w:hAnsiTheme="minorEastAsia"/>
          </w:rPr>
          <w:t>(</w:t>
        </w:r>
        <w:r w:rsidRPr="007B7978">
          <w:rPr>
            <w:rStyle w:val="af0"/>
            <w:rFonts w:asciiTheme="minorEastAsia" w:hAnsiTheme="minorEastAsia" w:hint="eastAsia"/>
          </w:rPr>
          <w:t>二</w:t>
        </w:r>
        <w:r w:rsidRPr="007B7978">
          <w:rPr>
            <w:rStyle w:val="af0"/>
            <w:rFonts w:asciiTheme="minorEastAsia" w:hAnsiTheme="minorEastAsia"/>
          </w:rPr>
          <w:t>)</w:t>
        </w:r>
        <w:r w:rsidRPr="007B7978">
          <w:rPr>
            <w:rStyle w:val="af0"/>
            <w:rFonts w:asciiTheme="minorEastAsia" w:hAnsiTheme="minorEastAsia" w:hint="eastAsia"/>
          </w:rPr>
          <w:t>基金合同的终止</w:t>
        </w:r>
        <w:r>
          <w:rPr>
            <w:webHidden/>
          </w:rPr>
          <w:tab/>
        </w:r>
        <w:r>
          <w:rPr>
            <w:webHidden/>
          </w:rPr>
          <w:fldChar w:fldCharType="begin"/>
        </w:r>
        <w:r>
          <w:rPr>
            <w:webHidden/>
          </w:rPr>
          <w:instrText xml:space="preserve"> PAGEREF _Toc41556861 \h </w:instrText>
        </w:r>
        <w:r>
          <w:rPr>
            <w:webHidden/>
          </w:rPr>
        </w:r>
        <w:r>
          <w:rPr>
            <w:webHidden/>
          </w:rPr>
          <w:fldChar w:fldCharType="separate"/>
        </w:r>
        <w:r>
          <w:rPr>
            <w:webHidden/>
          </w:rPr>
          <w:t>139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2" w:history="1">
        <w:r w:rsidRPr="007B7978">
          <w:rPr>
            <w:rStyle w:val="af0"/>
            <w:rFonts w:asciiTheme="minorEastAsia" w:hAnsiTheme="minorEastAsia"/>
          </w:rPr>
          <w:t>(</w:t>
        </w:r>
        <w:r w:rsidRPr="007B7978">
          <w:rPr>
            <w:rStyle w:val="af0"/>
            <w:rFonts w:asciiTheme="minorEastAsia" w:hAnsiTheme="minorEastAsia" w:hint="eastAsia"/>
          </w:rPr>
          <w:t>三</w:t>
        </w:r>
        <w:r w:rsidRPr="007B7978">
          <w:rPr>
            <w:rStyle w:val="af0"/>
            <w:rFonts w:asciiTheme="minorEastAsia" w:hAnsiTheme="minorEastAsia"/>
          </w:rPr>
          <w:t>)</w:t>
        </w:r>
        <w:r w:rsidRPr="007B7978">
          <w:rPr>
            <w:rStyle w:val="af0"/>
            <w:rFonts w:asciiTheme="minorEastAsia" w:hAnsiTheme="minorEastAsia" w:hint="eastAsia"/>
          </w:rPr>
          <w:t>基金财产的清算</w:t>
        </w:r>
        <w:r>
          <w:rPr>
            <w:webHidden/>
          </w:rPr>
          <w:tab/>
        </w:r>
        <w:r>
          <w:rPr>
            <w:webHidden/>
          </w:rPr>
          <w:fldChar w:fldCharType="begin"/>
        </w:r>
        <w:r>
          <w:rPr>
            <w:webHidden/>
          </w:rPr>
          <w:instrText xml:space="preserve"> PAGEREF _Toc41556862 \h </w:instrText>
        </w:r>
        <w:r>
          <w:rPr>
            <w:webHidden/>
          </w:rPr>
        </w:r>
        <w:r>
          <w:rPr>
            <w:webHidden/>
          </w:rPr>
          <w:fldChar w:fldCharType="separate"/>
        </w:r>
        <w:r>
          <w:rPr>
            <w:webHidden/>
          </w:rPr>
          <w:t>140</w:t>
        </w:r>
        <w:r>
          <w:rPr>
            <w:webHidden/>
          </w:rPr>
          <w:fldChar w:fldCharType="end"/>
        </w:r>
      </w:hyperlink>
    </w:p>
    <w:p w:rsidR="00F17515" w:rsidRDefault="00F17515">
      <w:pPr>
        <w:pStyle w:val="10"/>
        <w:tabs>
          <w:tab w:val="left" w:pos="1260"/>
        </w:tabs>
        <w:rPr>
          <w:rFonts w:asciiTheme="minorHAnsi" w:eastAsiaTheme="minorEastAsia" w:hAnsiTheme="minorHAnsi" w:cstheme="minorBidi"/>
          <w:caps w:val="0"/>
          <w:sz w:val="21"/>
          <w:szCs w:val="22"/>
        </w:rPr>
      </w:pPr>
      <w:hyperlink w:anchor="_Toc41556863" w:history="1">
        <w:r w:rsidRPr="007B7978">
          <w:rPr>
            <w:rStyle w:val="af0"/>
            <w:rFonts w:asciiTheme="minorEastAsia" w:hAnsiTheme="minorEastAsia" w:hint="eastAsia"/>
            <w:b/>
          </w:rPr>
          <w:t>二十二、</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基金合同内容摘要</w:t>
        </w:r>
        <w:r>
          <w:rPr>
            <w:webHidden/>
          </w:rPr>
          <w:tab/>
        </w:r>
        <w:r>
          <w:rPr>
            <w:webHidden/>
          </w:rPr>
          <w:fldChar w:fldCharType="begin"/>
        </w:r>
        <w:r>
          <w:rPr>
            <w:webHidden/>
          </w:rPr>
          <w:instrText xml:space="preserve"> PAGEREF _Toc41556863 \h </w:instrText>
        </w:r>
        <w:r>
          <w:rPr>
            <w:webHidden/>
          </w:rPr>
        </w:r>
        <w:r>
          <w:rPr>
            <w:webHidden/>
          </w:rPr>
          <w:fldChar w:fldCharType="separate"/>
        </w:r>
        <w:r>
          <w:rPr>
            <w:webHidden/>
          </w:rPr>
          <w:t>142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4" w:history="1">
        <w:r w:rsidRPr="007B7978">
          <w:rPr>
            <w:rStyle w:val="af0"/>
            <w:rFonts w:asciiTheme="minorEastAsia" w:hAnsiTheme="minorEastAsia" w:hint="eastAsia"/>
            <w:bCs/>
          </w:rPr>
          <w:t>（一）基金管理人的权利与义务</w:t>
        </w:r>
        <w:r>
          <w:rPr>
            <w:webHidden/>
          </w:rPr>
          <w:tab/>
        </w:r>
        <w:r>
          <w:rPr>
            <w:webHidden/>
          </w:rPr>
          <w:fldChar w:fldCharType="begin"/>
        </w:r>
        <w:r>
          <w:rPr>
            <w:webHidden/>
          </w:rPr>
          <w:instrText xml:space="preserve"> PAGEREF _Toc41556864 \h </w:instrText>
        </w:r>
        <w:r>
          <w:rPr>
            <w:webHidden/>
          </w:rPr>
        </w:r>
        <w:r>
          <w:rPr>
            <w:webHidden/>
          </w:rPr>
          <w:fldChar w:fldCharType="separate"/>
        </w:r>
        <w:r>
          <w:rPr>
            <w:webHidden/>
          </w:rPr>
          <w:t>142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5" w:history="1">
        <w:r w:rsidRPr="007B7978">
          <w:rPr>
            <w:rStyle w:val="af0"/>
            <w:rFonts w:asciiTheme="minorEastAsia" w:hAnsiTheme="minorEastAsia" w:hint="eastAsia"/>
            <w:bCs/>
          </w:rPr>
          <w:t>（二）基金托管人的权利与义务</w:t>
        </w:r>
        <w:r>
          <w:rPr>
            <w:webHidden/>
          </w:rPr>
          <w:tab/>
        </w:r>
        <w:r>
          <w:rPr>
            <w:webHidden/>
          </w:rPr>
          <w:fldChar w:fldCharType="begin"/>
        </w:r>
        <w:r>
          <w:rPr>
            <w:webHidden/>
          </w:rPr>
          <w:instrText xml:space="preserve"> PAGEREF _Toc41556865 \h </w:instrText>
        </w:r>
        <w:r>
          <w:rPr>
            <w:webHidden/>
          </w:rPr>
        </w:r>
        <w:r>
          <w:rPr>
            <w:webHidden/>
          </w:rPr>
          <w:fldChar w:fldCharType="separate"/>
        </w:r>
        <w:r>
          <w:rPr>
            <w:webHidden/>
          </w:rPr>
          <w:t>143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6" w:history="1">
        <w:r w:rsidRPr="007B7978">
          <w:rPr>
            <w:rStyle w:val="af0"/>
            <w:rFonts w:asciiTheme="minorEastAsia" w:hAnsiTheme="minorEastAsia" w:hint="eastAsia"/>
            <w:bCs/>
          </w:rPr>
          <w:t>（三）基金份额持有人的权利与义务</w:t>
        </w:r>
        <w:r>
          <w:rPr>
            <w:webHidden/>
          </w:rPr>
          <w:tab/>
        </w:r>
        <w:r>
          <w:rPr>
            <w:webHidden/>
          </w:rPr>
          <w:fldChar w:fldCharType="begin"/>
        </w:r>
        <w:r>
          <w:rPr>
            <w:webHidden/>
          </w:rPr>
          <w:instrText xml:space="preserve"> PAGEREF _Toc41556866 \h </w:instrText>
        </w:r>
        <w:r>
          <w:rPr>
            <w:webHidden/>
          </w:rPr>
        </w:r>
        <w:r>
          <w:rPr>
            <w:webHidden/>
          </w:rPr>
          <w:fldChar w:fldCharType="separate"/>
        </w:r>
        <w:r>
          <w:rPr>
            <w:webHidden/>
          </w:rPr>
          <w:t>145</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7" w:history="1">
        <w:r w:rsidRPr="007B7978">
          <w:rPr>
            <w:rStyle w:val="af0"/>
            <w:rFonts w:asciiTheme="minorEastAsia" w:hAnsiTheme="minorEastAsia" w:hint="eastAsia"/>
            <w:bCs/>
          </w:rPr>
          <w:t>（四）基金份额持有人大会</w:t>
        </w:r>
        <w:r>
          <w:rPr>
            <w:webHidden/>
          </w:rPr>
          <w:tab/>
        </w:r>
        <w:r>
          <w:rPr>
            <w:webHidden/>
          </w:rPr>
          <w:fldChar w:fldCharType="begin"/>
        </w:r>
        <w:r>
          <w:rPr>
            <w:webHidden/>
          </w:rPr>
          <w:instrText xml:space="preserve"> PAGEREF _Toc41556867 \h </w:instrText>
        </w:r>
        <w:r>
          <w:rPr>
            <w:webHidden/>
          </w:rPr>
        </w:r>
        <w:r>
          <w:rPr>
            <w:webHidden/>
          </w:rPr>
          <w:fldChar w:fldCharType="separate"/>
        </w:r>
        <w:r>
          <w:rPr>
            <w:webHidden/>
          </w:rPr>
          <w:t>146</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8" w:history="1">
        <w:r w:rsidRPr="007B7978">
          <w:rPr>
            <w:rStyle w:val="af0"/>
            <w:rFonts w:asciiTheme="minorEastAsia" w:hAnsiTheme="minorEastAsia" w:hint="eastAsia"/>
            <w:bCs/>
          </w:rPr>
          <w:t>（五）基金合同解除和终止的事由、程序</w:t>
        </w:r>
        <w:r>
          <w:rPr>
            <w:webHidden/>
          </w:rPr>
          <w:tab/>
        </w:r>
        <w:r>
          <w:rPr>
            <w:webHidden/>
          </w:rPr>
          <w:fldChar w:fldCharType="begin"/>
        </w:r>
        <w:r>
          <w:rPr>
            <w:webHidden/>
          </w:rPr>
          <w:instrText xml:space="preserve"> PAGEREF _Toc41556868 \h </w:instrText>
        </w:r>
        <w:r>
          <w:rPr>
            <w:webHidden/>
          </w:rPr>
        </w:r>
        <w:r>
          <w:rPr>
            <w:webHidden/>
          </w:rPr>
          <w:fldChar w:fldCharType="separate"/>
        </w:r>
        <w:r>
          <w:rPr>
            <w:webHidden/>
          </w:rPr>
          <w:t>151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69" w:history="1">
        <w:r w:rsidRPr="007B7978">
          <w:rPr>
            <w:rStyle w:val="af0"/>
            <w:rFonts w:asciiTheme="minorEastAsia" w:hAnsiTheme="minorEastAsia" w:hint="eastAsia"/>
            <w:bCs/>
          </w:rPr>
          <w:t>（六）争议解决方式</w:t>
        </w:r>
        <w:r>
          <w:rPr>
            <w:webHidden/>
          </w:rPr>
          <w:tab/>
        </w:r>
        <w:r>
          <w:rPr>
            <w:webHidden/>
          </w:rPr>
          <w:fldChar w:fldCharType="begin"/>
        </w:r>
        <w:r>
          <w:rPr>
            <w:webHidden/>
          </w:rPr>
          <w:instrText xml:space="preserve"> PAGEREF _Toc41556869 \h </w:instrText>
        </w:r>
        <w:r>
          <w:rPr>
            <w:webHidden/>
          </w:rPr>
        </w:r>
        <w:r>
          <w:rPr>
            <w:webHidden/>
          </w:rPr>
          <w:fldChar w:fldCharType="separate"/>
        </w:r>
        <w:r>
          <w:rPr>
            <w:webHidden/>
          </w:rPr>
          <w:t>153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0" w:history="1">
        <w:r w:rsidRPr="007B7978">
          <w:rPr>
            <w:rStyle w:val="af0"/>
            <w:rFonts w:asciiTheme="minorEastAsia" w:hAnsiTheme="minorEastAsia" w:hint="eastAsia"/>
          </w:rPr>
          <w:t>（七）基金合同存放地和投资者取得基金合同的方式</w:t>
        </w:r>
        <w:r>
          <w:rPr>
            <w:webHidden/>
          </w:rPr>
          <w:tab/>
        </w:r>
        <w:r>
          <w:rPr>
            <w:webHidden/>
          </w:rPr>
          <w:fldChar w:fldCharType="begin"/>
        </w:r>
        <w:r>
          <w:rPr>
            <w:webHidden/>
          </w:rPr>
          <w:instrText xml:space="preserve"> PAGEREF _Toc41556870 \h </w:instrText>
        </w:r>
        <w:r>
          <w:rPr>
            <w:webHidden/>
          </w:rPr>
        </w:r>
        <w:r>
          <w:rPr>
            <w:webHidden/>
          </w:rPr>
          <w:fldChar w:fldCharType="separate"/>
        </w:r>
        <w:r>
          <w:rPr>
            <w:webHidden/>
          </w:rPr>
          <w:t>153</w:t>
        </w:r>
        <w:r>
          <w:rPr>
            <w:webHidden/>
          </w:rPr>
          <w:fldChar w:fldCharType="end"/>
        </w:r>
      </w:hyperlink>
    </w:p>
    <w:p w:rsidR="00F17515" w:rsidRDefault="00F17515">
      <w:pPr>
        <w:pStyle w:val="10"/>
        <w:tabs>
          <w:tab w:val="left" w:pos="1260"/>
        </w:tabs>
        <w:rPr>
          <w:rFonts w:asciiTheme="minorHAnsi" w:eastAsiaTheme="minorEastAsia" w:hAnsiTheme="minorHAnsi" w:cstheme="minorBidi"/>
          <w:caps w:val="0"/>
          <w:sz w:val="21"/>
          <w:szCs w:val="22"/>
        </w:rPr>
      </w:pPr>
      <w:hyperlink w:anchor="_Toc41556871" w:history="1">
        <w:r w:rsidRPr="007B7978">
          <w:rPr>
            <w:rStyle w:val="af0"/>
            <w:rFonts w:asciiTheme="minorEastAsia" w:hAnsiTheme="minorEastAsia" w:hint="eastAsia"/>
            <w:b/>
          </w:rPr>
          <w:t>二十三、</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基金托管协议的内容摘要</w:t>
        </w:r>
        <w:r>
          <w:rPr>
            <w:webHidden/>
          </w:rPr>
          <w:tab/>
        </w:r>
        <w:r>
          <w:rPr>
            <w:webHidden/>
          </w:rPr>
          <w:fldChar w:fldCharType="begin"/>
        </w:r>
        <w:r>
          <w:rPr>
            <w:webHidden/>
          </w:rPr>
          <w:instrText xml:space="preserve"> PAGEREF _Toc41556871 \h </w:instrText>
        </w:r>
        <w:r>
          <w:rPr>
            <w:webHidden/>
          </w:rPr>
        </w:r>
        <w:r>
          <w:rPr>
            <w:webHidden/>
          </w:rPr>
          <w:fldChar w:fldCharType="separate"/>
        </w:r>
        <w:r>
          <w:rPr>
            <w:webHidden/>
          </w:rPr>
          <w:t>155</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2" w:history="1">
        <w:r w:rsidRPr="007B7978">
          <w:rPr>
            <w:rStyle w:val="af0"/>
            <w:rFonts w:asciiTheme="minorEastAsia" w:hAnsiTheme="minorEastAsia" w:hint="eastAsia"/>
            <w:bCs/>
          </w:rPr>
          <w:t>（一）托管协议当事人</w:t>
        </w:r>
        <w:r>
          <w:rPr>
            <w:webHidden/>
          </w:rPr>
          <w:tab/>
        </w:r>
        <w:r>
          <w:rPr>
            <w:webHidden/>
          </w:rPr>
          <w:fldChar w:fldCharType="begin"/>
        </w:r>
        <w:r>
          <w:rPr>
            <w:webHidden/>
          </w:rPr>
          <w:instrText xml:space="preserve"> PAGEREF _Toc41556872 \h </w:instrText>
        </w:r>
        <w:r>
          <w:rPr>
            <w:webHidden/>
          </w:rPr>
        </w:r>
        <w:r>
          <w:rPr>
            <w:webHidden/>
          </w:rPr>
          <w:fldChar w:fldCharType="separate"/>
        </w:r>
        <w:r>
          <w:rPr>
            <w:webHidden/>
          </w:rPr>
          <w:t>155</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3" w:history="1">
        <w:r w:rsidRPr="007B7978">
          <w:rPr>
            <w:rStyle w:val="af0"/>
            <w:rFonts w:asciiTheme="minorEastAsia" w:hAnsiTheme="minorEastAsia" w:hint="eastAsia"/>
            <w:bCs/>
          </w:rPr>
          <w:t>（二）基金托管人对基金管理人的业务监督和核查</w:t>
        </w:r>
        <w:r>
          <w:rPr>
            <w:webHidden/>
          </w:rPr>
          <w:tab/>
        </w:r>
        <w:r>
          <w:rPr>
            <w:webHidden/>
          </w:rPr>
          <w:fldChar w:fldCharType="begin"/>
        </w:r>
        <w:r>
          <w:rPr>
            <w:webHidden/>
          </w:rPr>
          <w:instrText xml:space="preserve"> PAGEREF _Toc41556873 \h </w:instrText>
        </w:r>
        <w:r>
          <w:rPr>
            <w:webHidden/>
          </w:rPr>
        </w:r>
        <w:r>
          <w:rPr>
            <w:webHidden/>
          </w:rPr>
          <w:fldChar w:fldCharType="separate"/>
        </w:r>
        <w:r>
          <w:rPr>
            <w:webHidden/>
          </w:rPr>
          <w:t>155</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4" w:history="1">
        <w:r w:rsidRPr="007B7978">
          <w:rPr>
            <w:rStyle w:val="af0"/>
            <w:rFonts w:asciiTheme="minorEastAsia" w:hAnsiTheme="minorEastAsia" w:hint="eastAsia"/>
            <w:bCs/>
          </w:rPr>
          <w:t>（三）基金管理人对基金托管人的业务核查</w:t>
        </w:r>
        <w:r>
          <w:rPr>
            <w:webHidden/>
          </w:rPr>
          <w:tab/>
        </w:r>
        <w:r>
          <w:rPr>
            <w:webHidden/>
          </w:rPr>
          <w:fldChar w:fldCharType="begin"/>
        </w:r>
        <w:r>
          <w:rPr>
            <w:webHidden/>
          </w:rPr>
          <w:instrText xml:space="preserve"> PAGEREF _Toc41556874 \h </w:instrText>
        </w:r>
        <w:r>
          <w:rPr>
            <w:webHidden/>
          </w:rPr>
        </w:r>
        <w:r>
          <w:rPr>
            <w:webHidden/>
          </w:rPr>
          <w:fldChar w:fldCharType="separate"/>
        </w:r>
        <w:r>
          <w:rPr>
            <w:webHidden/>
          </w:rPr>
          <w:t>159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5" w:history="1">
        <w:r w:rsidRPr="007B7978">
          <w:rPr>
            <w:rStyle w:val="af0"/>
            <w:rFonts w:asciiTheme="minorEastAsia" w:hAnsiTheme="minorEastAsia" w:hint="eastAsia"/>
            <w:bCs/>
          </w:rPr>
          <w:t>（四）基金财产的保管</w:t>
        </w:r>
        <w:r>
          <w:rPr>
            <w:webHidden/>
          </w:rPr>
          <w:tab/>
        </w:r>
        <w:r>
          <w:rPr>
            <w:webHidden/>
          </w:rPr>
          <w:fldChar w:fldCharType="begin"/>
        </w:r>
        <w:r>
          <w:rPr>
            <w:webHidden/>
          </w:rPr>
          <w:instrText xml:space="preserve"> PAGEREF _Toc41556875 \h </w:instrText>
        </w:r>
        <w:r>
          <w:rPr>
            <w:webHidden/>
          </w:rPr>
        </w:r>
        <w:r>
          <w:rPr>
            <w:webHidden/>
          </w:rPr>
          <w:fldChar w:fldCharType="separate"/>
        </w:r>
        <w:r>
          <w:rPr>
            <w:webHidden/>
          </w:rPr>
          <w:t>159</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6" w:history="1">
        <w:r w:rsidRPr="007B7978">
          <w:rPr>
            <w:rStyle w:val="af0"/>
            <w:rFonts w:asciiTheme="minorEastAsia" w:hAnsiTheme="minorEastAsia" w:hint="eastAsia"/>
            <w:bCs/>
          </w:rPr>
          <w:t>（五）基金资产净值计算与复核</w:t>
        </w:r>
        <w:r>
          <w:rPr>
            <w:webHidden/>
          </w:rPr>
          <w:tab/>
        </w:r>
        <w:r>
          <w:rPr>
            <w:webHidden/>
          </w:rPr>
          <w:fldChar w:fldCharType="begin"/>
        </w:r>
        <w:r>
          <w:rPr>
            <w:webHidden/>
          </w:rPr>
          <w:instrText xml:space="preserve"> PAGEREF _Toc41556876 \h </w:instrText>
        </w:r>
        <w:r>
          <w:rPr>
            <w:webHidden/>
          </w:rPr>
        </w:r>
        <w:r>
          <w:rPr>
            <w:webHidden/>
          </w:rPr>
          <w:fldChar w:fldCharType="separate"/>
        </w:r>
        <w:r>
          <w:rPr>
            <w:webHidden/>
          </w:rPr>
          <w:t>161</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7" w:history="1">
        <w:r w:rsidRPr="007B7978">
          <w:rPr>
            <w:rStyle w:val="af0"/>
            <w:rFonts w:asciiTheme="minorEastAsia" w:hAnsiTheme="minorEastAsia" w:hint="eastAsia"/>
            <w:bCs/>
          </w:rPr>
          <w:t>（六）基金份额持有人名册的登记与保管</w:t>
        </w:r>
        <w:r>
          <w:rPr>
            <w:webHidden/>
          </w:rPr>
          <w:tab/>
        </w:r>
        <w:r>
          <w:rPr>
            <w:webHidden/>
          </w:rPr>
          <w:fldChar w:fldCharType="begin"/>
        </w:r>
        <w:r>
          <w:rPr>
            <w:webHidden/>
          </w:rPr>
          <w:instrText xml:space="preserve"> PAGEREF _Toc41556877 \h </w:instrText>
        </w:r>
        <w:r>
          <w:rPr>
            <w:webHidden/>
          </w:rPr>
        </w:r>
        <w:r>
          <w:rPr>
            <w:webHidden/>
          </w:rPr>
          <w:fldChar w:fldCharType="separate"/>
        </w:r>
        <w:r>
          <w:rPr>
            <w:webHidden/>
          </w:rPr>
          <w:t>162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8" w:history="1">
        <w:r w:rsidRPr="007B7978">
          <w:rPr>
            <w:rStyle w:val="af0"/>
            <w:rFonts w:asciiTheme="minorEastAsia" w:hAnsiTheme="minorEastAsia" w:hint="eastAsia"/>
            <w:bCs/>
          </w:rPr>
          <w:t>（七）争议解决方式</w:t>
        </w:r>
        <w:r>
          <w:rPr>
            <w:webHidden/>
          </w:rPr>
          <w:tab/>
        </w:r>
        <w:r>
          <w:rPr>
            <w:webHidden/>
          </w:rPr>
          <w:fldChar w:fldCharType="begin"/>
        </w:r>
        <w:r>
          <w:rPr>
            <w:webHidden/>
          </w:rPr>
          <w:instrText xml:space="preserve"> PAGEREF _Toc41556878 \h </w:instrText>
        </w:r>
        <w:r>
          <w:rPr>
            <w:webHidden/>
          </w:rPr>
        </w:r>
        <w:r>
          <w:rPr>
            <w:webHidden/>
          </w:rPr>
          <w:fldChar w:fldCharType="separate"/>
        </w:r>
        <w:r>
          <w:rPr>
            <w:webHidden/>
          </w:rPr>
          <w:t>162</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79" w:history="1">
        <w:r w:rsidRPr="007B7978">
          <w:rPr>
            <w:rStyle w:val="af0"/>
            <w:rFonts w:asciiTheme="minorEastAsia" w:hAnsiTheme="minorEastAsia" w:hint="eastAsia"/>
            <w:bCs/>
          </w:rPr>
          <w:t>（八）托管协议的修改与终止</w:t>
        </w:r>
        <w:r>
          <w:rPr>
            <w:webHidden/>
          </w:rPr>
          <w:tab/>
        </w:r>
        <w:r>
          <w:rPr>
            <w:webHidden/>
          </w:rPr>
          <w:fldChar w:fldCharType="begin"/>
        </w:r>
        <w:r>
          <w:rPr>
            <w:webHidden/>
          </w:rPr>
          <w:instrText xml:space="preserve"> PAGEREF _Toc41556879 \h </w:instrText>
        </w:r>
        <w:r>
          <w:rPr>
            <w:webHidden/>
          </w:rPr>
        </w:r>
        <w:r>
          <w:rPr>
            <w:webHidden/>
          </w:rPr>
          <w:fldChar w:fldCharType="separate"/>
        </w:r>
        <w:r>
          <w:rPr>
            <w:webHidden/>
          </w:rPr>
          <w:t>162</w:t>
        </w:r>
        <w:r>
          <w:rPr>
            <w:webHidden/>
          </w:rPr>
          <w:fldChar w:fldCharType="end"/>
        </w:r>
      </w:hyperlink>
    </w:p>
    <w:p w:rsidR="00F17515" w:rsidRDefault="00F17515">
      <w:pPr>
        <w:pStyle w:val="10"/>
        <w:tabs>
          <w:tab w:val="left" w:pos="1260"/>
        </w:tabs>
        <w:rPr>
          <w:rFonts w:asciiTheme="minorHAnsi" w:eastAsiaTheme="minorEastAsia" w:hAnsiTheme="minorHAnsi" w:cstheme="minorBidi"/>
          <w:caps w:val="0"/>
          <w:sz w:val="21"/>
          <w:szCs w:val="22"/>
        </w:rPr>
      </w:pPr>
      <w:hyperlink w:anchor="_Toc41556880" w:history="1">
        <w:r w:rsidRPr="007B7978">
          <w:rPr>
            <w:rStyle w:val="af0"/>
            <w:rFonts w:asciiTheme="minorEastAsia" w:hAnsiTheme="minorEastAsia" w:hint="eastAsia"/>
            <w:b/>
          </w:rPr>
          <w:t>二十四、</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对基金份额持有人的服务</w:t>
        </w:r>
        <w:r>
          <w:rPr>
            <w:webHidden/>
          </w:rPr>
          <w:tab/>
        </w:r>
        <w:r>
          <w:rPr>
            <w:webHidden/>
          </w:rPr>
          <w:fldChar w:fldCharType="begin"/>
        </w:r>
        <w:r>
          <w:rPr>
            <w:webHidden/>
          </w:rPr>
          <w:instrText xml:space="preserve"> PAGEREF _Toc41556880 \h </w:instrText>
        </w:r>
        <w:r>
          <w:rPr>
            <w:webHidden/>
          </w:rPr>
        </w:r>
        <w:r>
          <w:rPr>
            <w:webHidden/>
          </w:rPr>
          <w:fldChar w:fldCharType="separate"/>
        </w:r>
        <w:r>
          <w:rPr>
            <w:webHidden/>
          </w:rPr>
          <w:t>163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81" w:history="1">
        <w:r w:rsidRPr="007B7978">
          <w:rPr>
            <w:rStyle w:val="af0"/>
            <w:rFonts w:asciiTheme="minorEastAsia" w:hAnsiTheme="minorEastAsia" w:hint="eastAsia"/>
            <w:bCs/>
          </w:rPr>
          <w:t>（一）基金份额持有人投资交易确认服务</w:t>
        </w:r>
        <w:r>
          <w:rPr>
            <w:webHidden/>
          </w:rPr>
          <w:tab/>
        </w:r>
        <w:r>
          <w:rPr>
            <w:webHidden/>
          </w:rPr>
          <w:fldChar w:fldCharType="begin"/>
        </w:r>
        <w:r>
          <w:rPr>
            <w:webHidden/>
          </w:rPr>
          <w:instrText xml:space="preserve"> PAGEREF _Toc41556881 \h </w:instrText>
        </w:r>
        <w:r>
          <w:rPr>
            <w:webHidden/>
          </w:rPr>
        </w:r>
        <w:r>
          <w:rPr>
            <w:webHidden/>
          </w:rPr>
          <w:fldChar w:fldCharType="separate"/>
        </w:r>
        <w:r>
          <w:rPr>
            <w:webHidden/>
          </w:rPr>
          <w:t>163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82" w:history="1">
        <w:r w:rsidRPr="007B7978">
          <w:rPr>
            <w:rStyle w:val="af0"/>
            <w:rFonts w:asciiTheme="minorEastAsia" w:hAnsiTheme="minorEastAsia" w:hint="eastAsia"/>
            <w:bCs/>
          </w:rPr>
          <w:t>（二）基金份额持有人交易记录查询服务</w:t>
        </w:r>
        <w:r>
          <w:rPr>
            <w:webHidden/>
          </w:rPr>
          <w:tab/>
        </w:r>
        <w:r>
          <w:rPr>
            <w:webHidden/>
          </w:rPr>
          <w:fldChar w:fldCharType="begin"/>
        </w:r>
        <w:r>
          <w:rPr>
            <w:webHidden/>
          </w:rPr>
          <w:instrText xml:space="preserve"> PAGEREF _Toc41556882 \h </w:instrText>
        </w:r>
        <w:r>
          <w:rPr>
            <w:webHidden/>
          </w:rPr>
        </w:r>
        <w:r>
          <w:rPr>
            <w:webHidden/>
          </w:rPr>
          <w:fldChar w:fldCharType="separate"/>
        </w:r>
        <w:r>
          <w:rPr>
            <w:webHidden/>
          </w:rPr>
          <w:t>163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83" w:history="1">
        <w:r w:rsidRPr="007B7978">
          <w:rPr>
            <w:rStyle w:val="af0"/>
            <w:rFonts w:asciiTheme="minorEastAsia" w:hAnsiTheme="minorEastAsia" w:hint="eastAsia"/>
            <w:bCs/>
          </w:rPr>
          <w:t>（三）基金份额持有人的对账单服务</w:t>
        </w:r>
        <w:r>
          <w:rPr>
            <w:webHidden/>
          </w:rPr>
          <w:tab/>
        </w:r>
        <w:r>
          <w:rPr>
            <w:webHidden/>
          </w:rPr>
          <w:fldChar w:fldCharType="begin"/>
        </w:r>
        <w:r>
          <w:rPr>
            <w:webHidden/>
          </w:rPr>
          <w:instrText xml:space="preserve"> PAGEREF _Toc41556883 \h </w:instrText>
        </w:r>
        <w:r>
          <w:rPr>
            <w:webHidden/>
          </w:rPr>
        </w:r>
        <w:r>
          <w:rPr>
            <w:webHidden/>
          </w:rPr>
          <w:fldChar w:fldCharType="separate"/>
        </w:r>
        <w:r>
          <w:rPr>
            <w:webHidden/>
          </w:rPr>
          <w:t>163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84" w:history="1">
        <w:r w:rsidRPr="007B7978">
          <w:rPr>
            <w:rStyle w:val="af0"/>
            <w:rFonts w:asciiTheme="minorEastAsia" w:hAnsiTheme="minorEastAsia" w:hint="eastAsia"/>
            <w:bCs/>
          </w:rPr>
          <w:t>（四）定期定额投资计划</w:t>
        </w:r>
        <w:r>
          <w:rPr>
            <w:webHidden/>
          </w:rPr>
          <w:tab/>
        </w:r>
        <w:r>
          <w:rPr>
            <w:webHidden/>
          </w:rPr>
          <w:fldChar w:fldCharType="begin"/>
        </w:r>
        <w:r>
          <w:rPr>
            <w:webHidden/>
          </w:rPr>
          <w:instrText xml:space="preserve"> PAGEREF _Toc41556884 \h </w:instrText>
        </w:r>
        <w:r>
          <w:rPr>
            <w:webHidden/>
          </w:rPr>
        </w:r>
        <w:r>
          <w:rPr>
            <w:webHidden/>
          </w:rPr>
          <w:fldChar w:fldCharType="separate"/>
        </w:r>
        <w:r>
          <w:rPr>
            <w:webHidden/>
          </w:rPr>
          <w:t>163</w:t>
        </w:r>
        <w:r>
          <w:rPr>
            <w:webHidden/>
          </w:rPr>
          <w:fldChar w:fldCharType="end"/>
        </w:r>
      </w:hyperlink>
    </w:p>
    <w:p w:rsidR="00F17515" w:rsidRDefault="00F17515">
      <w:pPr>
        <w:pStyle w:val="20"/>
        <w:ind w:firstLine="731"/>
        <w:rPr>
          <w:rFonts w:asciiTheme="minorHAnsi" w:eastAsiaTheme="minorEastAsia" w:hAnsiTheme="minorHAnsi" w:cstheme="minorBidi"/>
          <w:smallCaps w:val="0"/>
          <w:szCs w:val="22"/>
        </w:rPr>
      </w:pPr>
      <w:hyperlink w:anchor="_Toc41556885" w:history="1">
        <w:r w:rsidRPr="007B7978">
          <w:rPr>
            <w:rStyle w:val="af0"/>
            <w:rFonts w:asciiTheme="minorEastAsia" w:hAnsiTheme="minorEastAsia" w:hint="eastAsia"/>
            <w:bCs/>
          </w:rPr>
          <w:t>（五）资讯服务</w:t>
        </w:r>
        <w:r>
          <w:rPr>
            <w:webHidden/>
          </w:rPr>
          <w:tab/>
        </w:r>
        <w:r>
          <w:rPr>
            <w:webHidden/>
          </w:rPr>
          <w:fldChar w:fldCharType="begin"/>
        </w:r>
        <w:r>
          <w:rPr>
            <w:webHidden/>
          </w:rPr>
          <w:instrText xml:space="preserve"> PAGEREF _Toc41556885 \h </w:instrText>
        </w:r>
        <w:r>
          <w:rPr>
            <w:webHidden/>
          </w:rPr>
        </w:r>
        <w:r>
          <w:rPr>
            <w:webHidden/>
          </w:rPr>
          <w:fldChar w:fldCharType="separate"/>
        </w:r>
        <w:r>
          <w:rPr>
            <w:webHidden/>
          </w:rPr>
          <w:t>163</w:t>
        </w:r>
        <w:r>
          <w:rPr>
            <w:webHidden/>
          </w:rPr>
          <w:fldChar w:fldCharType="end"/>
        </w:r>
      </w:hyperlink>
    </w:p>
    <w:p w:rsidR="00F17515" w:rsidRDefault="00F17515">
      <w:pPr>
        <w:pStyle w:val="10"/>
        <w:tabs>
          <w:tab w:val="left" w:pos="1260"/>
        </w:tabs>
        <w:rPr>
          <w:rFonts w:asciiTheme="minorHAnsi" w:eastAsiaTheme="minorEastAsia" w:hAnsiTheme="minorHAnsi" w:cstheme="minorBidi"/>
          <w:caps w:val="0"/>
          <w:sz w:val="21"/>
          <w:szCs w:val="22"/>
        </w:rPr>
      </w:pPr>
      <w:hyperlink w:anchor="_Toc41556886" w:history="1">
        <w:r w:rsidRPr="007B7978">
          <w:rPr>
            <w:rStyle w:val="af0"/>
            <w:rFonts w:asciiTheme="minorEastAsia" w:hAnsiTheme="minorEastAsia" w:hint="eastAsia"/>
            <w:b/>
          </w:rPr>
          <w:t>二十五、</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其他应披露事项</w:t>
        </w:r>
        <w:r>
          <w:rPr>
            <w:webHidden/>
          </w:rPr>
          <w:tab/>
        </w:r>
        <w:r>
          <w:rPr>
            <w:webHidden/>
          </w:rPr>
          <w:fldChar w:fldCharType="begin"/>
        </w:r>
        <w:r>
          <w:rPr>
            <w:webHidden/>
          </w:rPr>
          <w:instrText xml:space="preserve"> PAGEREF _Toc41556886 \h </w:instrText>
        </w:r>
        <w:r>
          <w:rPr>
            <w:webHidden/>
          </w:rPr>
        </w:r>
        <w:r>
          <w:rPr>
            <w:webHidden/>
          </w:rPr>
          <w:fldChar w:fldCharType="separate"/>
        </w:r>
        <w:r>
          <w:rPr>
            <w:webHidden/>
          </w:rPr>
          <w:t>164</w:t>
        </w:r>
        <w:r>
          <w:rPr>
            <w:webHidden/>
          </w:rPr>
          <w:fldChar w:fldCharType="end"/>
        </w:r>
      </w:hyperlink>
    </w:p>
    <w:p w:rsidR="00F17515" w:rsidRDefault="00F17515">
      <w:pPr>
        <w:pStyle w:val="10"/>
        <w:tabs>
          <w:tab w:val="left" w:pos="1260"/>
        </w:tabs>
        <w:rPr>
          <w:rFonts w:asciiTheme="minorHAnsi" w:eastAsiaTheme="minorEastAsia" w:hAnsiTheme="minorHAnsi" w:cstheme="minorBidi"/>
          <w:caps w:val="0"/>
          <w:sz w:val="21"/>
          <w:szCs w:val="22"/>
        </w:rPr>
      </w:pPr>
      <w:hyperlink w:anchor="_Toc41556887" w:history="1">
        <w:r w:rsidRPr="007B7978">
          <w:rPr>
            <w:rStyle w:val="af0"/>
            <w:rFonts w:asciiTheme="minorEastAsia" w:hAnsiTheme="minorEastAsia" w:hint="eastAsia"/>
            <w:b/>
          </w:rPr>
          <w:t>二十六、</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招募说明书存放及查阅方式</w:t>
        </w:r>
        <w:r>
          <w:rPr>
            <w:webHidden/>
          </w:rPr>
          <w:tab/>
        </w:r>
        <w:r>
          <w:rPr>
            <w:webHidden/>
          </w:rPr>
          <w:fldChar w:fldCharType="begin"/>
        </w:r>
        <w:r>
          <w:rPr>
            <w:webHidden/>
          </w:rPr>
          <w:instrText xml:space="preserve"> PAGEREF _Toc41556887 \h </w:instrText>
        </w:r>
        <w:r>
          <w:rPr>
            <w:webHidden/>
          </w:rPr>
        </w:r>
        <w:r>
          <w:rPr>
            <w:webHidden/>
          </w:rPr>
          <w:fldChar w:fldCharType="separate"/>
        </w:r>
        <w:r>
          <w:rPr>
            <w:webHidden/>
          </w:rPr>
          <w:t>167</w:t>
        </w:r>
        <w:r>
          <w:rPr>
            <w:webHidden/>
          </w:rPr>
          <w:fldChar w:fldCharType="end"/>
        </w:r>
      </w:hyperlink>
    </w:p>
    <w:p w:rsidR="00F17515" w:rsidRDefault="00F17515">
      <w:pPr>
        <w:pStyle w:val="10"/>
        <w:tabs>
          <w:tab w:val="left" w:pos="1260"/>
        </w:tabs>
        <w:rPr>
          <w:rFonts w:asciiTheme="minorHAnsi" w:eastAsiaTheme="minorEastAsia" w:hAnsiTheme="minorHAnsi" w:cstheme="minorBidi"/>
          <w:caps w:val="0"/>
          <w:sz w:val="21"/>
          <w:szCs w:val="22"/>
        </w:rPr>
      </w:pPr>
      <w:hyperlink w:anchor="_Toc41556888" w:history="1">
        <w:r w:rsidRPr="007B7978">
          <w:rPr>
            <w:rStyle w:val="af0"/>
            <w:rFonts w:asciiTheme="minorEastAsia" w:hAnsiTheme="minorEastAsia" w:hint="eastAsia"/>
            <w:b/>
          </w:rPr>
          <w:t>二十七、</w:t>
        </w:r>
        <w:r>
          <w:rPr>
            <w:rFonts w:asciiTheme="minorHAnsi" w:eastAsiaTheme="minorEastAsia" w:hAnsiTheme="minorHAnsi" w:cstheme="minorBidi"/>
            <w:caps w:val="0"/>
            <w:sz w:val="21"/>
            <w:szCs w:val="22"/>
          </w:rPr>
          <w:tab/>
        </w:r>
        <w:r w:rsidRPr="007B7978">
          <w:rPr>
            <w:rStyle w:val="af0"/>
            <w:rFonts w:asciiTheme="minorEastAsia" w:hAnsiTheme="minorEastAsia" w:hint="eastAsia"/>
            <w:b/>
          </w:rPr>
          <w:t>备查文件</w:t>
        </w:r>
        <w:r>
          <w:rPr>
            <w:webHidden/>
          </w:rPr>
          <w:tab/>
        </w:r>
        <w:r>
          <w:rPr>
            <w:webHidden/>
          </w:rPr>
          <w:fldChar w:fldCharType="begin"/>
        </w:r>
        <w:r>
          <w:rPr>
            <w:webHidden/>
          </w:rPr>
          <w:instrText xml:space="preserve"> PAGEREF _Toc41556888 \h </w:instrText>
        </w:r>
        <w:r>
          <w:rPr>
            <w:webHidden/>
          </w:rPr>
        </w:r>
        <w:r>
          <w:rPr>
            <w:webHidden/>
          </w:rPr>
          <w:fldChar w:fldCharType="separate"/>
        </w:r>
        <w:r>
          <w:rPr>
            <w:webHidden/>
          </w:rPr>
          <w:t>168</w:t>
        </w:r>
        <w:r>
          <w:rPr>
            <w:webHidden/>
          </w:rPr>
          <w:fldChar w:fldCharType="end"/>
        </w:r>
      </w:hyperlink>
    </w:p>
    <w:p w:rsidR="007228CC" w:rsidRPr="00F17515" w:rsidRDefault="00F33FDA" w:rsidP="0071223F">
      <w:pPr>
        <w:snapToGrid w:val="0"/>
        <w:spacing w:line="360" w:lineRule="auto"/>
        <w:rPr>
          <w:rFonts w:asciiTheme="minorEastAsia" w:eastAsiaTheme="minorEastAsia" w:hAnsiTheme="minorEastAsia"/>
        </w:rPr>
        <w:sectPr w:rsidR="007228CC" w:rsidRPr="00F17515" w:rsidSect="00DE4B5E">
          <w:footerReference w:type="default" r:id="rId15"/>
          <w:footerReference w:type="first" r:id="rId16"/>
          <w:pgSz w:w="11906" w:h="16838" w:code="9"/>
          <w:pgMar w:top="1701" w:right="1814" w:bottom="1701" w:left="1814" w:header="1134" w:footer="1247" w:gutter="0"/>
          <w:pgNumType w:fmt="upperRoman" w:start="1"/>
          <w:cols w:space="425"/>
          <w:docGrid w:type="lines" w:linePitch="447"/>
        </w:sectPr>
      </w:pPr>
      <w:r w:rsidRPr="00F17515">
        <w:rPr>
          <w:rFonts w:asciiTheme="minorEastAsia" w:eastAsiaTheme="minorEastAsia" w:hAnsiTheme="minorEastAsia"/>
        </w:rPr>
        <w:fldChar w:fldCharType="end"/>
      </w:r>
    </w:p>
    <w:p w:rsidR="007228CC" w:rsidRPr="00F17515" w:rsidRDefault="007228CC" w:rsidP="0071223F">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0" w:name="_Toc38432421"/>
      <w:bookmarkStart w:id="1" w:name="_Toc211920117"/>
      <w:bookmarkStart w:id="2" w:name="_Toc211927648"/>
      <w:bookmarkStart w:id="3" w:name="_Toc41556752"/>
      <w:r w:rsidRPr="00F17515">
        <w:rPr>
          <w:rFonts w:asciiTheme="minorEastAsia" w:eastAsiaTheme="minorEastAsia" w:hAnsiTheme="minorEastAsia" w:hint="eastAsia"/>
          <w:b/>
        </w:rPr>
        <w:lastRenderedPageBreak/>
        <w:t>绪言</w:t>
      </w:r>
      <w:bookmarkEnd w:id="0"/>
      <w:bookmarkEnd w:id="1"/>
      <w:bookmarkEnd w:id="2"/>
      <w:bookmarkEnd w:id="3"/>
    </w:p>
    <w:p w:rsidR="007228CC" w:rsidRPr="00F17515" w:rsidRDefault="007228CC" w:rsidP="0071223F">
      <w:pPr>
        <w:snapToGrid w:val="0"/>
        <w:spacing w:line="360" w:lineRule="auto"/>
        <w:ind w:firstLine="482"/>
        <w:rPr>
          <w:rFonts w:asciiTheme="minorEastAsia" w:eastAsiaTheme="minorEastAsia" w:hAnsiTheme="minorEastAsia"/>
          <w:szCs w:val="21"/>
        </w:rPr>
      </w:pPr>
      <w:r w:rsidRPr="00F17515">
        <w:rPr>
          <w:rFonts w:asciiTheme="minorEastAsia" w:eastAsiaTheme="minorEastAsia" w:hAnsiTheme="minorEastAsia" w:hint="eastAsia"/>
          <w:szCs w:val="21"/>
        </w:rPr>
        <w:t>本《招募说明书》依据《中华人民共和国证券投资基金法》（以下简称《基金法》）、《证券投资基金运作管理办法》（以下简称《运作办法》）、《证券投资基金销售管理办法》（以下简称《销售办法》）、《</w:t>
      </w:r>
      <w:r w:rsidR="00575E02" w:rsidRPr="00F17515">
        <w:rPr>
          <w:rFonts w:asciiTheme="minorEastAsia" w:eastAsiaTheme="minorEastAsia" w:hAnsiTheme="minorEastAsia" w:hint="eastAsia"/>
          <w:szCs w:val="21"/>
        </w:rPr>
        <w:t>公开募集</w:t>
      </w:r>
      <w:r w:rsidRPr="00F17515">
        <w:rPr>
          <w:rFonts w:asciiTheme="minorEastAsia" w:eastAsiaTheme="minorEastAsia" w:hAnsiTheme="minorEastAsia" w:hint="eastAsia"/>
          <w:szCs w:val="21"/>
        </w:rPr>
        <w:t>证券投资基金信息披露管理办法》（以下简称《信息披露办法》）、</w:t>
      </w:r>
      <w:r w:rsidRPr="00F17515">
        <w:rPr>
          <w:rFonts w:asciiTheme="minorEastAsia" w:eastAsiaTheme="minorEastAsia" w:hAnsiTheme="minorEastAsia" w:hint="eastAsia"/>
        </w:rPr>
        <w:t>《证券投资基金信息披露内容与格式准则第</w:t>
      </w:r>
      <w:r w:rsidRPr="00F17515">
        <w:rPr>
          <w:rFonts w:asciiTheme="minorEastAsia" w:eastAsiaTheme="minorEastAsia" w:hAnsiTheme="minorEastAsia"/>
        </w:rPr>
        <w:t>5</w:t>
      </w:r>
      <w:r w:rsidRPr="00F17515">
        <w:rPr>
          <w:rFonts w:asciiTheme="minorEastAsia" w:eastAsiaTheme="minorEastAsia" w:hAnsiTheme="minorEastAsia" w:hint="eastAsia"/>
        </w:rPr>
        <w:t>号</w:t>
      </w:r>
      <w:r w:rsidRPr="00F17515">
        <w:rPr>
          <w:rFonts w:asciiTheme="minorEastAsia" w:eastAsiaTheme="minorEastAsia" w:hAnsiTheme="minorEastAsia"/>
        </w:rPr>
        <w:t>&lt;</w:t>
      </w:r>
      <w:r w:rsidRPr="00F17515">
        <w:rPr>
          <w:rFonts w:asciiTheme="minorEastAsia" w:eastAsiaTheme="minorEastAsia" w:hAnsiTheme="minorEastAsia" w:hint="eastAsia"/>
        </w:rPr>
        <w:t>招募说明书的内容与格式</w:t>
      </w:r>
      <w:r w:rsidRPr="00F17515">
        <w:rPr>
          <w:rFonts w:asciiTheme="minorEastAsia" w:eastAsiaTheme="minorEastAsia" w:hAnsiTheme="minorEastAsia"/>
        </w:rPr>
        <w:t>&gt;</w:t>
      </w:r>
      <w:r w:rsidRPr="00F17515">
        <w:rPr>
          <w:rFonts w:asciiTheme="minorEastAsia" w:eastAsiaTheme="minorEastAsia" w:hAnsiTheme="minorEastAsia" w:hint="eastAsia"/>
        </w:rPr>
        <w:t>》</w:t>
      </w:r>
      <w:r w:rsidR="00C609DD" w:rsidRPr="00F17515">
        <w:rPr>
          <w:rFonts w:asciiTheme="minorEastAsia" w:eastAsiaTheme="minorEastAsia" w:hAnsiTheme="minorEastAsia" w:hint="eastAsia"/>
        </w:rPr>
        <w:t>、《公开募集开放式证券投资基金流动性风险管理规定》（以下简称“《管理规定》”）</w:t>
      </w:r>
      <w:r w:rsidRPr="00F17515">
        <w:rPr>
          <w:rFonts w:asciiTheme="minorEastAsia" w:eastAsiaTheme="minorEastAsia" w:hAnsiTheme="minorEastAsia" w:hint="eastAsia"/>
          <w:szCs w:val="21"/>
        </w:rPr>
        <w:t>等有关法律法规以及《易方达增强回报债券型证券投资基金基金合同》编写。</w:t>
      </w:r>
    </w:p>
    <w:p w:rsidR="007228CC" w:rsidRPr="00F17515" w:rsidRDefault="007228CC" w:rsidP="0071223F">
      <w:pPr>
        <w:snapToGrid w:val="0"/>
        <w:spacing w:line="360" w:lineRule="auto"/>
        <w:ind w:firstLine="482"/>
        <w:rPr>
          <w:rStyle w:val="da"/>
          <w:rFonts w:asciiTheme="minorEastAsia" w:eastAsiaTheme="minorEastAsia" w:hAnsiTheme="minorEastAsia"/>
        </w:rPr>
      </w:pPr>
      <w:r w:rsidRPr="00F17515">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F17515">
        <w:rPr>
          <w:rStyle w:val="da"/>
          <w:rFonts w:asciiTheme="minorEastAsia" w:eastAsiaTheme="minorEastAsia" w:hAnsiTheme="minorEastAsia" w:hint="eastAsia"/>
        </w:rPr>
        <w:t>，</w:t>
      </w:r>
      <w:r w:rsidRPr="00F17515">
        <w:rPr>
          <w:rStyle w:val="da"/>
          <w:rFonts w:asciiTheme="minorEastAsia" w:eastAsiaTheme="minorEastAsia" w:hAnsiTheme="minorEastAsia"/>
        </w:rPr>
        <w:t>或对本招募说明书作任何解释或者说明。</w:t>
      </w:r>
    </w:p>
    <w:p w:rsidR="007228CC" w:rsidRPr="00F17515" w:rsidRDefault="007228CC" w:rsidP="0071223F">
      <w:pPr>
        <w:snapToGrid w:val="0"/>
        <w:spacing w:line="360" w:lineRule="auto"/>
        <w:ind w:firstLine="482"/>
        <w:rPr>
          <w:rStyle w:val="da"/>
          <w:rFonts w:asciiTheme="minorEastAsia" w:eastAsiaTheme="minorEastAsia" w:hAnsiTheme="minorEastAsia"/>
        </w:rPr>
      </w:pPr>
      <w:r w:rsidRPr="00F17515">
        <w:rPr>
          <w:rStyle w:val="da"/>
          <w:rFonts w:asciiTheme="minorEastAsia" w:eastAsiaTheme="minorEastAsia" w:hAnsiTheme="minorEastAsia"/>
        </w:rPr>
        <w:t>本招募说明书根据本基金的基金合同编写</w:t>
      </w:r>
      <w:r w:rsidRPr="00F17515">
        <w:rPr>
          <w:rStyle w:val="da"/>
          <w:rFonts w:asciiTheme="minorEastAsia" w:eastAsiaTheme="minorEastAsia" w:hAnsiTheme="minorEastAsia" w:hint="eastAsia"/>
        </w:rPr>
        <w:t>，</w:t>
      </w:r>
      <w:r w:rsidRPr="00F17515">
        <w:rPr>
          <w:rStyle w:val="da"/>
          <w:rFonts w:asciiTheme="minorEastAsia" w:eastAsiaTheme="minorEastAsia" w:hAnsiTheme="minorEastAsia"/>
        </w:rPr>
        <w:t>并经中国证监会核准。基金合同是约定基金当事人之间权利、义务的法律文件。基金投资者自依基金合同取得基金份额</w:t>
      </w:r>
      <w:r w:rsidRPr="00F17515">
        <w:rPr>
          <w:rStyle w:val="da"/>
          <w:rFonts w:asciiTheme="minorEastAsia" w:eastAsiaTheme="minorEastAsia" w:hAnsiTheme="minorEastAsia" w:hint="eastAsia"/>
        </w:rPr>
        <w:t>，</w:t>
      </w:r>
      <w:r w:rsidRPr="00F17515">
        <w:rPr>
          <w:rStyle w:val="da"/>
          <w:rFonts w:asciiTheme="minorEastAsia" w:eastAsiaTheme="minorEastAsia" w:hAnsiTheme="minorEastAsia"/>
        </w:rPr>
        <w:t>即成为基金份额持有人和本基金合同的当事人</w:t>
      </w:r>
      <w:r w:rsidRPr="00F17515">
        <w:rPr>
          <w:rStyle w:val="da"/>
          <w:rFonts w:asciiTheme="minorEastAsia" w:eastAsiaTheme="minorEastAsia" w:hAnsiTheme="minorEastAsia" w:hint="eastAsia"/>
        </w:rPr>
        <w:t>，</w:t>
      </w:r>
      <w:r w:rsidRPr="00F17515">
        <w:rPr>
          <w:rStyle w:val="da"/>
          <w:rFonts w:asciiTheme="minorEastAsia" w:eastAsiaTheme="minorEastAsia" w:hAnsiTheme="minorEastAsia"/>
        </w:rPr>
        <w:t>其持有基金份额的行为本身即表明其对基金合同的承认和接受</w:t>
      </w:r>
      <w:r w:rsidRPr="00F17515">
        <w:rPr>
          <w:rStyle w:val="da"/>
          <w:rFonts w:asciiTheme="minorEastAsia" w:eastAsiaTheme="minorEastAsia" w:hAnsiTheme="minorEastAsia" w:hint="eastAsia"/>
        </w:rPr>
        <w:t>，</w:t>
      </w:r>
      <w:r w:rsidRPr="00F17515">
        <w:rPr>
          <w:rStyle w:val="da"/>
          <w:rFonts w:asciiTheme="minorEastAsia" w:eastAsiaTheme="minorEastAsia" w:hAnsiTheme="minorEastAsia"/>
        </w:rPr>
        <w:t>并按照《基金法》、基金合同及其他有关规定享有权利、承担义务。基金投资者欲了解基金份额持有人的权利和义务</w:t>
      </w:r>
      <w:r w:rsidRPr="00F17515">
        <w:rPr>
          <w:rStyle w:val="da"/>
          <w:rFonts w:asciiTheme="minorEastAsia" w:eastAsiaTheme="minorEastAsia" w:hAnsiTheme="minorEastAsia" w:hint="eastAsia"/>
        </w:rPr>
        <w:t>，</w:t>
      </w:r>
      <w:r w:rsidRPr="00F17515">
        <w:rPr>
          <w:rStyle w:val="da"/>
          <w:rFonts w:asciiTheme="minorEastAsia" w:eastAsiaTheme="minorEastAsia" w:hAnsiTheme="minorEastAsia"/>
        </w:rPr>
        <w:t>应详细查阅基金合同</w:t>
      </w:r>
      <w:r w:rsidRPr="00F17515">
        <w:rPr>
          <w:rStyle w:val="da"/>
          <w:rFonts w:asciiTheme="minorEastAsia" w:eastAsiaTheme="minorEastAsia" w:hAnsiTheme="minorEastAsia" w:hint="eastAsia"/>
        </w:rPr>
        <w:t>。</w:t>
      </w:r>
    </w:p>
    <w:p w:rsidR="007228CC" w:rsidRPr="00F17515" w:rsidRDefault="007228CC" w:rsidP="0071223F">
      <w:pPr>
        <w:snapToGrid w:val="0"/>
        <w:spacing w:line="360" w:lineRule="auto"/>
        <w:ind w:firstLine="482"/>
        <w:rPr>
          <w:rFonts w:asciiTheme="minorEastAsia" w:eastAsiaTheme="minorEastAsia" w:hAnsiTheme="minorEastAsia"/>
          <w:szCs w:val="21"/>
        </w:rPr>
      </w:pPr>
    </w:p>
    <w:p w:rsidR="007228CC" w:rsidRPr="00F17515" w:rsidRDefault="007228CC" w:rsidP="0071223F">
      <w:pPr>
        <w:snapToGrid w:val="0"/>
        <w:spacing w:line="360" w:lineRule="auto"/>
        <w:ind w:firstLine="482"/>
        <w:rPr>
          <w:rFonts w:asciiTheme="minorEastAsia" w:eastAsiaTheme="minorEastAsia" w:hAnsiTheme="minorEastAsia"/>
          <w:szCs w:val="21"/>
        </w:rPr>
      </w:pPr>
    </w:p>
    <w:p w:rsidR="007228CC" w:rsidRPr="00F17515" w:rsidRDefault="007228CC" w:rsidP="0071223F">
      <w:pPr>
        <w:snapToGrid w:val="0"/>
        <w:spacing w:line="360" w:lineRule="auto"/>
        <w:ind w:firstLine="482"/>
        <w:rPr>
          <w:rFonts w:asciiTheme="minorEastAsia" w:eastAsiaTheme="minorEastAsia" w:hAnsiTheme="minorEastAsia"/>
          <w:szCs w:val="21"/>
        </w:rPr>
      </w:pPr>
    </w:p>
    <w:p w:rsidR="007228CC" w:rsidRPr="00F17515" w:rsidRDefault="007228CC" w:rsidP="0071223F">
      <w:pPr>
        <w:snapToGrid w:val="0"/>
        <w:spacing w:line="360" w:lineRule="auto"/>
        <w:ind w:firstLine="482"/>
        <w:rPr>
          <w:rFonts w:asciiTheme="minorEastAsia" w:eastAsiaTheme="minorEastAsia" w:hAnsiTheme="minorEastAsia"/>
          <w:szCs w:val="21"/>
        </w:rPr>
      </w:pPr>
    </w:p>
    <w:p w:rsidR="007228CC" w:rsidRPr="00F17515" w:rsidRDefault="007228CC" w:rsidP="0071223F">
      <w:pPr>
        <w:snapToGrid w:val="0"/>
        <w:spacing w:line="360" w:lineRule="auto"/>
        <w:ind w:firstLine="482"/>
        <w:rPr>
          <w:rFonts w:asciiTheme="minorEastAsia" w:eastAsiaTheme="minorEastAsia" w:hAnsiTheme="minorEastAsia"/>
          <w:szCs w:val="21"/>
        </w:rPr>
      </w:pPr>
    </w:p>
    <w:p w:rsidR="007228CC" w:rsidRPr="00F17515" w:rsidRDefault="007228CC" w:rsidP="0071223F">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 w:name="_Toc38432422"/>
      <w:bookmarkStart w:id="5" w:name="_Toc211920118"/>
      <w:bookmarkStart w:id="6" w:name="_Toc211927649"/>
      <w:bookmarkStart w:id="7" w:name="_Toc41556753"/>
      <w:r w:rsidRPr="00F17515">
        <w:rPr>
          <w:rFonts w:asciiTheme="minorEastAsia" w:eastAsiaTheme="minorEastAsia" w:hAnsiTheme="minorEastAsia" w:hint="eastAsia"/>
          <w:b/>
        </w:rPr>
        <w:lastRenderedPageBreak/>
        <w:t>释义</w:t>
      </w:r>
      <w:bookmarkEnd w:id="4"/>
      <w:bookmarkEnd w:id="5"/>
      <w:bookmarkEnd w:id="6"/>
      <w:bookmarkEnd w:id="7"/>
    </w:p>
    <w:p w:rsidR="007228CC" w:rsidRPr="00F17515" w:rsidRDefault="0071223F"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基金或本基金</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易方达增强回报债券型</w:t>
      </w:r>
      <w:r w:rsidR="007228CC" w:rsidRPr="00F17515">
        <w:rPr>
          <w:rFonts w:asciiTheme="minorEastAsia" w:eastAsiaTheme="minorEastAsia" w:hAnsiTheme="minorEastAsia"/>
          <w:szCs w:val="21"/>
        </w:rPr>
        <w:t>证券投资基金</w:t>
      </w:r>
    </w:p>
    <w:p w:rsidR="007228CC" w:rsidRPr="00F17515" w:rsidRDefault="0071223F"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szCs w:val="21"/>
        </w:rPr>
        <w:t>基金管理人：指</w:t>
      </w:r>
      <w:r w:rsidR="007228CC" w:rsidRPr="00F17515">
        <w:rPr>
          <w:rFonts w:asciiTheme="minorEastAsia" w:eastAsiaTheme="minorEastAsia" w:hAnsiTheme="minorEastAsia" w:hint="eastAsia"/>
          <w:szCs w:val="21"/>
        </w:rPr>
        <w:t>易方达</w:t>
      </w:r>
      <w:r w:rsidR="007228CC" w:rsidRPr="00F17515">
        <w:rPr>
          <w:rFonts w:asciiTheme="minorEastAsia" w:eastAsiaTheme="minorEastAsia" w:hAnsiTheme="minorEastAsia"/>
          <w:szCs w:val="21"/>
        </w:rPr>
        <w:t>基金管理有限公司</w:t>
      </w:r>
    </w:p>
    <w:p w:rsidR="007228CC" w:rsidRPr="00F17515" w:rsidRDefault="0071223F"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szCs w:val="21"/>
        </w:rPr>
        <w:t>基金托管人：指中国建设银行股份有限公司</w:t>
      </w:r>
    </w:p>
    <w:p w:rsidR="007228CC" w:rsidRPr="00F17515" w:rsidRDefault="0071223F"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szCs w:val="21"/>
        </w:rPr>
        <w:t>基金合同或本基金合同</w:t>
      </w:r>
      <w:r w:rsidR="007228CC" w:rsidRPr="00F17515">
        <w:rPr>
          <w:rFonts w:asciiTheme="minorEastAsia" w:eastAsiaTheme="minorEastAsia" w:hAnsiTheme="minorEastAsia" w:hint="eastAsia"/>
          <w:szCs w:val="21"/>
        </w:rPr>
        <w:t>：指</w:t>
      </w:r>
      <w:r w:rsidR="007228CC" w:rsidRPr="00F17515">
        <w:rPr>
          <w:rFonts w:asciiTheme="minorEastAsia" w:eastAsiaTheme="minorEastAsia" w:hAnsiTheme="minorEastAsia"/>
          <w:szCs w:val="21"/>
        </w:rPr>
        <w:t>《</w:t>
      </w:r>
      <w:r w:rsidR="007228CC" w:rsidRPr="00F17515">
        <w:rPr>
          <w:rFonts w:asciiTheme="minorEastAsia" w:eastAsiaTheme="minorEastAsia" w:hAnsiTheme="minorEastAsia" w:hint="eastAsia"/>
          <w:szCs w:val="21"/>
        </w:rPr>
        <w:t>易方达增强回报债券型</w:t>
      </w:r>
      <w:r w:rsidR="007228CC" w:rsidRPr="00F17515">
        <w:rPr>
          <w:rFonts w:asciiTheme="minorEastAsia" w:eastAsiaTheme="minorEastAsia" w:hAnsiTheme="minorEastAsia"/>
          <w:szCs w:val="21"/>
        </w:rPr>
        <w:t>证券投资基金基金合同》及对本基金合同的任何有效修订和补充</w:t>
      </w:r>
    </w:p>
    <w:p w:rsidR="007228CC" w:rsidRPr="00F17515" w:rsidRDefault="0071223F"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5、</w:t>
      </w:r>
      <w:r w:rsidR="007228CC" w:rsidRPr="00F17515">
        <w:rPr>
          <w:rFonts w:asciiTheme="minorEastAsia" w:eastAsiaTheme="minorEastAsia" w:hAnsiTheme="minorEastAsia"/>
          <w:szCs w:val="21"/>
        </w:rPr>
        <w:t>托管协议</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指基金管理人与基金托管人就本基金签订之《</w:t>
      </w:r>
      <w:r w:rsidR="007228CC" w:rsidRPr="00F17515">
        <w:rPr>
          <w:rFonts w:asciiTheme="minorEastAsia" w:eastAsiaTheme="minorEastAsia" w:hAnsiTheme="minorEastAsia" w:hint="eastAsia"/>
          <w:szCs w:val="21"/>
        </w:rPr>
        <w:t>易方达增强回报债券型</w:t>
      </w:r>
      <w:r w:rsidR="007228CC" w:rsidRPr="00F17515">
        <w:rPr>
          <w:rFonts w:asciiTheme="minorEastAsia" w:eastAsiaTheme="minorEastAsia" w:hAnsiTheme="minorEastAsia"/>
          <w:szCs w:val="21"/>
        </w:rPr>
        <w:t>证券投资基金托管协议》及对该</w:t>
      </w:r>
      <w:r w:rsidR="007228CC" w:rsidRPr="00F17515">
        <w:rPr>
          <w:rFonts w:asciiTheme="minorEastAsia" w:eastAsiaTheme="minorEastAsia" w:hAnsiTheme="minorEastAsia" w:hint="eastAsia"/>
          <w:szCs w:val="21"/>
        </w:rPr>
        <w:t>托管</w:t>
      </w:r>
      <w:r w:rsidR="007228CC" w:rsidRPr="00F17515">
        <w:rPr>
          <w:rFonts w:asciiTheme="minorEastAsia" w:eastAsiaTheme="minorEastAsia" w:hAnsiTheme="minorEastAsia"/>
          <w:szCs w:val="21"/>
        </w:rPr>
        <w:t>协议的任何有效修订和补充</w:t>
      </w:r>
    </w:p>
    <w:p w:rsidR="007228CC" w:rsidRPr="00F17515" w:rsidRDefault="0071223F"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007228CC" w:rsidRPr="00F17515">
        <w:rPr>
          <w:rFonts w:asciiTheme="minorEastAsia" w:eastAsiaTheme="minorEastAsia" w:hAnsiTheme="minorEastAsia"/>
          <w:szCs w:val="21"/>
        </w:rPr>
        <w:t>招募说明书</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易方达增强回报债券型</w:t>
      </w:r>
      <w:r w:rsidR="007228CC" w:rsidRPr="00F17515">
        <w:rPr>
          <w:rFonts w:asciiTheme="minorEastAsia" w:eastAsiaTheme="minorEastAsia" w:hAnsiTheme="minorEastAsia"/>
          <w:szCs w:val="21"/>
        </w:rPr>
        <w:t>证券投资基金招募说明书》</w:t>
      </w:r>
      <w:r w:rsidR="007228CC" w:rsidRPr="00F17515">
        <w:rPr>
          <w:rFonts w:asciiTheme="minorEastAsia" w:eastAsiaTheme="minorEastAsia" w:hAnsiTheme="minorEastAsia" w:hint="eastAsia"/>
          <w:szCs w:val="21"/>
        </w:rPr>
        <w:t>及其更新</w:t>
      </w:r>
    </w:p>
    <w:p w:rsidR="00575E02" w:rsidRPr="00F17515" w:rsidRDefault="00575E02" w:rsidP="0071223F">
      <w:pPr>
        <w:snapToGrid w:val="0"/>
        <w:spacing w:line="360" w:lineRule="auto"/>
        <w:ind w:firstLineChars="200" w:firstLine="452"/>
        <w:rPr>
          <w:rFonts w:asciiTheme="minorEastAsia" w:eastAsiaTheme="minorEastAsia" w:hAnsiTheme="minorEastAsia"/>
          <w:spacing w:val="8"/>
          <w:szCs w:val="21"/>
        </w:rPr>
      </w:pPr>
      <w:r w:rsidRPr="00F17515">
        <w:rPr>
          <w:rFonts w:asciiTheme="minorEastAsia" w:eastAsiaTheme="minorEastAsia" w:hAnsiTheme="minorEastAsia" w:hint="eastAsia"/>
          <w:spacing w:val="8"/>
          <w:szCs w:val="21"/>
        </w:rPr>
        <w:t>7.基金产品资料概要：指《易方达增强回报债券型证券投资基金基金产品资料概要》及其更新</w:t>
      </w:r>
    </w:p>
    <w:p w:rsidR="007228CC" w:rsidRPr="00F17515" w:rsidRDefault="00575E02"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8</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基金份额发售公告</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易方达增强回报债券型</w:t>
      </w:r>
      <w:r w:rsidR="007228CC" w:rsidRPr="00F17515">
        <w:rPr>
          <w:rFonts w:asciiTheme="minorEastAsia" w:eastAsiaTheme="minorEastAsia" w:hAnsiTheme="minorEastAsia"/>
          <w:szCs w:val="21"/>
        </w:rPr>
        <w:t>证券投资基金份额发售公告》</w:t>
      </w:r>
    </w:p>
    <w:p w:rsidR="007228CC" w:rsidRPr="00F17515" w:rsidRDefault="00575E02"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9</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法律法规</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指中国现</w:t>
      </w:r>
      <w:r w:rsidR="007228CC" w:rsidRPr="00F17515">
        <w:rPr>
          <w:rFonts w:asciiTheme="minorEastAsia" w:eastAsiaTheme="minorEastAsia" w:hAnsiTheme="minorEastAsia" w:hint="eastAsia"/>
          <w:szCs w:val="21"/>
        </w:rPr>
        <w:t>行</w:t>
      </w:r>
      <w:r w:rsidR="007228CC" w:rsidRPr="00F17515">
        <w:rPr>
          <w:rFonts w:asciiTheme="minorEastAsia" w:eastAsiaTheme="minorEastAsia" w:hAnsiTheme="minorEastAsia"/>
          <w:szCs w:val="21"/>
        </w:rPr>
        <w:t>有效并公布实施的法律、行政法规</w:t>
      </w:r>
      <w:r w:rsidR="007228CC" w:rsidRPr="00F17515">
        <w:rPr>
          <w:rFonts w:asciiTheme="minorEastAsia" w:eastAsiaTheme="minorEastAsia" w:hAnsiTheme="minorEastAsia" w:hint="eastAsia"/>
          <w:szCs w:val="21"/>
        </w:rPr>
        <w:t>、规范性文件、司法解释、</w:t>
      </w:r>
      <w:r w:rsidR="007228CC" w:rsidRPr="00F17515">
        <w:rPr>
          <w:rFonts w:asciiTheme="minorEastAsia" w:eastAsiaTheme="minorEastAsia" w:hAnsiTheme="minorEastAsia"/>
          <w:szCs w:val="21"/>
        </w:rPr>
        <w:t>行政规章</w:t>
      </w:r>
      <w:r w:rsidR="007228CC" w:rsidRPr="00F17515">
        <w:rPr>
          <w:rFonts w:asciiTheme="minorEastAsia" w:eastAsiaTheme="minorEastAsia" w:hAnsiTheme="minorEastAsia" w:hint="eastAsia"/>
          <w:szCs w:val="21"/>
        </w:rPr>
        <w:t>以及其他对基金合同当事人有约束力的决定、决议、通知等</w:t>
      </w:r>
    </w:p>
    <w:p w:rsidR="007228CC" w:rsidRPr="00F17515" w:rsidRDefault="00575E02"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10</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《基金法》：指2003年10月28日</w:t>
      </w:r>
      <w:r w:rsidR="007228CC" w:rsidRPr="00F17515">
        <w:rPr>
          <w:rFonts w:asciiTheme="minorEastAsia" w:eastAsiaTheme="minorEastAsia" w:hAnsiTheme="minorEastAsia" w:hint="eastAsia"/>
          <w:szCs w:val="21"/>
        </w:rPr>
        <w:t>经</w:t>
      </w:r>
      <w:r w:rsidR="007228CC" w:rsidRPr="00F17515">
        <w:rPr>
          <w:rFonts w:asciiTheme="minorEastAsia" w:eastAsiaTheme="minorEastAsia" w:hAnsiTheme="minorEastAsia"/>
          <w:szCs w:val="21"/>
        </w:rPr>
        <w:t>第十届全国人民代表大会常务委员会第五次会议通过</w:t>
      </w:r>
      <w:r w:rsidR="007228CC" w:rsidRPr="00F17515">
        <w:rPr>
          <w:rFonts w:asciiTheme="minorEastAsia" w:eastAsiaTheme="minorEastAsia" w:hAnsiTheme="minorEastAsia" w:hint="eastAsia"/>
          <w:szCs w:val="21"/>
        </w:rPr>
        <w:t>，自2004年6月1日起实施的</w:t>
      </w:r>
      <w:r w:rsidR="007228CC" w:rsidRPr="00F17515">
        <w:rPr>
          <w:rFonts w:asciiTheme="minorEastAsia" w:eastAsiaTheme="minorEastAsia" w:hAnsiTheme="minorEastAsia"/>
          <w:szCs w:val="21"/>
        </w:rPr>
        <w:t>《中华人民共和国证券投资基金法》及颁布机关对其不时</w:t>
      </w:r>
      <w:r w:rsidR="007228CC" w:rsidRPr="00F17515">
        <w:rPr>
          <w:rFonts w:asciiTheme="minorEastAsia" w:eastAsiaTheme="minorEastAsia" w:hAnsiTheme="minorEastAsia" w:hint="eastAsia"/>
          <w:szCs w:val="21"/>
        </w:rPr>
        <w:t>做</w:t>
      </w:r>
      <w:r w:rsidR="007228CC" w:rsidRPr="00F17515">
        <w:rPr>
          <w:rFonts w:asciiTheme="minorEastAsia" w:eastAsiaTheme="minorEastAsia" w:hAnsiTheme="minorEastAsia"/>
          <w:szCs w:val="21"/>
        </w:rPr>
        <w:t>出的修订</w:t>
      </w:r>
    </w:p>
    <w:p w:rsidR="007228CC" w:rsidRPr="00F17515" w:rsidRDefault="0071223F"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1</w:t>
      </w:r>
      <w:r w:rsidR="00575E02" w:rsidRPr="00F17515">
        <w:rPr>
          <w:rFonts w:asciiTheme="minorEastAsia" w:eastAsiaTheme="minorEastAsia" w:hAnsiTheme="minorEastAsia" w:hint="eastAsia"/>
          <w:szCs w:val="21"/>
        </w:rPr>
        <w:t>1</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w:t>
      </w:r>
      <w:r w:rsidR="007228CC" w:rsidRPr="00F17515">
        <w:rPr>
          <w:rFonts w:asciiTheme="minorEastAsia" w:eastAsiaTheme="minorEastAsia" w:hAnsiTheme="minorEastAsia" w:hint="eastAsia"/>
          <w:szCs w:val="21"/>
        </w:rPr>
        <w:t>销售</w:t>
      </w:r>
      <w:r w:rsidR="007228CC" w:rsidRPr="00F17515">
        <w:rPr>
          <w:rFonts w:asciiTheme="minorEastAsia" w:eastAsiaTheme="minorEastAsia" w:hAnsiTheme="minorEastAsia"/>
          <w:szCs w:val="21"/>
        </w:rPr>
        <w:t>办法》：指</w:t>
      </w:r>
      <w:r w:rsidR="007228CC" w:rsidRPr="00F17515">
        <w:rPr>
          <w:rFonts w:asciiTheme="minorEastAsia" w:eastAsiaTheme="minorEastAsia" w:hAnsiTheme="minorEastAsia" w:hint="eastAsia"/>
          <w:szCs w:val="21"/>
        </w:rPr>
        <w:t>中国证监会2010年10月25日修订、2011年10月1日实施的</w:t>
      </w:r>
      <w:r w:rsidR="007228CC" w:rsidRPr="00F17515">
        <w:rPr>
          <w:rFonts w:asciiTheme="minorEastAsia" w:eastAsiaTheme="minorEastAsia" w:hAnsiTheme="minorEastAsia"/>
          <w:szCs w:val="21"/>
        </w:rPr>
        <w:t>《证券投资基金</w:t>
      </w:r>
      <w:r w:rsidR="007228CC" w:rsidRPr="00F17515">
        <w:rPr>
          <w:rFonts w:asciiTheme="minorEastAsia" w:eastAsiaTheme="minorEastAsia" w:hAnsiTheme="minorEastAsia" w:hint="eastAsia"/>
          <w:szCs w:val="21"/>
        </w:rPr>
        <w:t>销售</w:t>
      </w:r>
      <w:r w:rsidR="007228CC" w:rsidRPr="00F17515">
        <w:rPr>
          <w:rFonts w:asciiTheme="minorEastAsia" w:eastAsiaTheme="minorEastAsia" w:hAnsiTheme="minorEastAsia"/>
          <w:szCs w:val="21"/>
        </w:rPr>
        <w:t>管理办法》</w:t>
      </w:r>
      <w:r w:rsidR="007228CC" w:rsidRPr="00F17515">
        <w:rPr>
          <w:rFonts w:asciiTheme="minorEastAsia" w:eastAsiaTheme="minorEastAsia" w:hAnsiTheme="minorEastAsia" w:hint="eastAsia"/>
          <w:szCs w:val="21"/>
        </w:rPr>
        <w:t>及颁布机关对其不时做出的修订</w:t>
      </w:r>
    </w:p>
    <w:p w:rsidR="007228CC" w:rsidRPr="00F17515" w:rsidRDefault="0071223F"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1</w:t>
      </w:r>
      <w:r w:rsidR="00575E02" w:rsidRPr="00F17515">
        <w:rPr>
          <w:rFonts w:asciiTheme="minorEastAsia" w:eastAsiaTheme="minorEastAsia" w:hAnsiTheme="minorEastAsia" w:hint="eastAsia"/>
          <w:szCs w:val="21"/>
        </w:rPr>
        <w:t>2</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《信息披露办法》：</w:t>
      </w:r>
      <w:r w:rsidR="00575E02" w:rsidRPr="00F17515">
        <w:rPr>
          <w:rFonts w:asciiTheme="minorEastAsia" w:eastAsiaTheme="minorEastAsia" w:hAnsiTheme="minorEastAsia" w:hint="eastAsia"/>
          <w:szCs w:val="21"/>
        </w:rPr>
        <w:t>指中国证监会2019年7月26日颁布、同年9月1日实施的《公开募集证券投资基金信息披露管理办法》及颁布机关对其不时做出的修订</w:t>
      </w:r>
    </w:p>
    <w:p w:rsidR="007228CC" w:rsidRPr="00F17515" w:rsidRDefault="0071223F"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575E02" w:rsidRPr="00F17515">
        <w:rPr>
          <w:rFonts w:asciiTheme="minorEastAsia" w:eastAsiaTheme="minorEastAsia" w:hAnsiTheme="minorEastAsia" w:hint="eastAsia"/>
          <w:szCs w:val="21"/>
        </w:rPr>
        <w:t>3</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《运作办法》</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中国证监会2004年6月29日颁布、同年7月1日实施的</w:t>
      </w:r>
      <w:r w:rsidR="007228CC" w:rsidRPr="00F17515">
        <w:rPr>
          <w:rFonts w:asciiTheme="minorEastAsia" w:eastAsiaTheme="minorEastAsia" w:hAnsiTheme="minorEastAsia"/>
          <w:szCs w:val="21"/>
        </w:rPr>
        <w:t>《证券投资基金运作管理办法》</w:t>
      </w:r>
      <w:r w:rsidR="007228CC" w:rsidRPr="00F17515">
        <w:rPr>
          <w:rFonts w:asciiTheme="minorEastAsia" w:eastAsiaTheme="minorEastAsia" w:hAnsiTheme="minorEastAsia" w:hint="eastAsia"/>
          <w:szCs w:val="21"/>
        </w:rPr>
        <w:t>及颁布机关对其不时做出的修订</w:t>
      </w:r>
    </w:p>
    <w:p w:rsidR="00C609DD"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1</w:t>
      </w:r>
      <w:r w:rsidR="00575E02" w:rsidRPr="00F17515">
        <w:rPr>
          <w:rFonts w:asciiTheme="minorEastAsia" w:eastAsiaTheme="minorEastAsia" w:hAnsiTheme="minorEastAsia" w:hint="eastAsia"/>
          <w:szCs w:val="21"/>
        </w:rPr>
        <w:t>4</w:t>
      </w:r>
      <w:r w:rsidRPr="00F17515">
        <w:rPr>
          <w:rFonts w:asciiTheme="minorEastAsia" w:eastAsiaTheme="minorEastAsia" w:hAnsiTheme="minorEastAsia" w:hint="eastAsia"/>
          <w:szCs w:val="21"/>
        </w:rPr>
        <w:t>、《管理规定》：</w:t>
      </w:r>
      <w:r w:rsidRPr="00F17515">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1</w:t>
      </w:r>
      <w:r w:rsidR="00575E02" w:rsidRPr="00F17515">
        <w:rPr>
          <w:rFonts w:asciiTheme="minorEastAsia" w:eastAsiaTheme="minorEastAsia" w:hAnsiTheme="minorEastAsia"/>
          <w:szCs w:val="21"/>
        </w:rPr>
        <w:t>5</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中国证监会</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指中国证券监督管理委员会</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1</w:t>
      </w:r>
      <w:r w:rsidR="00575E02" w:rsidRPr="00F17515">
        <w:rPr>
          <w:rFonts w:asciiTheme="minorEastAsia" w:eastAsiaTheme="minorEastAsia" w:hAnsiTheme="minorEastAsia"/>
          <w:szCs w:val="21"/>
        </w:rPr>
        <w:t>6</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银行业监督管理机构</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指中国人民银行和/</w:t>
      </w:r>
      <w:r w:rsidR="001363DB" w:rsidRPr="00F17515">
        <w:rPr>
          <w:rFonts w:asciiTheme="minorEastAsia" w:eastAsiaTheme="minorEastAsia" w:hAnsiTheme="minorEastAsia"/>
          <w:szCs w:val="21"/>
        </w:rPr>
        <w:t>或中国银行</w:t>
      </w:r>
      <w:r w:rsidR="001363DB" w:rsidRPr="00F17515">
        <w:rPr>
          <w:rFonts w:asciiTheme="minorEastAsia" w:eastAsiaTheme="minorEastAsia" w:hAnsiTheme="minorEastAsia" w:hint="eastAsia"/>
          <w:szCs w:val="21"/>
        </w:rPr>
        <w:t>保险</w:t>
      </w:r>
      <w:r w:rsidR="001363DB" w:rsidRPr="00F17515">
        <w:rPr>
          <w:rFonts w:asciiTheme="minorEastAsia" w:eastAsiaTheme="minorEastAsia" w:hAnsiTheme="minorEastAsia"/>
          <w:szCs w:val="21"/>
        </w:rPr>
        <w:t>监督管理委员会</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1</w:t>
      </w:r>
      <w:r w:rsidR="00575E02" w:rsidRPr="00F17515">
        <w:rPr>
          <w:rFonts w:asciiTheme="minorEastAsia" w:eastAsiaTheme="minorEastAsia" w:hAnsiTheme="minorEastAsia"/>
          <w:szCs w:val="21"/>
        </w:rPr>
        <w:t>7</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基金合同当事人：指受基金合同约束，根据基金合同享有权利并承担义务的</w:t>
      </w:r>
      <w:r w:rsidR="007228CC" w:rsidRPr="00F17515">
        <w:rPr>
          <w:rFonts w:asciiTheme="minorEastAsia" w:eastAsiaTheme="minorEastAsia" w:hAnsiTheme="minorEastAsia" w:hint="eastAsia"/>
          <w:szCs w:val="21"/>
        </w:rPr>
        <w:t>法律主体，包括</w:t>
      </w:r>
      <w:r w:rsidR="007228CC" w:rsidRPr="00F17515">
        <w:rPr>
          <w:rFonts w:asciiTheme="minorEastAsia" w:eastAsiaTheme="minorEastAsia" w:hAnsiTheme="minorEastAsia"/>
          <w:szCs w:val="21"/>
        </w:rPr>
        <w:t>基金管理人、基金托管人和基金份额持有人</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1</w:t>
      </w:r>
      <w:r w:rsidR="00575E02" w:rsidRPr="00F17515">
        <w:rPr>
          <w:rFonts w:asciiTheme="minorEastAsia" w:eastAsiaTheme="minorEastAsia" w:hAnsiTheme="minorEastAsia"/>
          <w:szCs w:val="21"/>
        </w:rPr>
        <w:t>8</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个人投资者：</w:t>
      </w:r>
      <w:r w:rsidR="007228CC" w:rsidRPr="00F17515">
        <w:rPr>
          <w:rFonts w:asciiTheme="minorEastAsia" w:eastAsiaTheme="minorEastAsia" w:hAnsiTheme="minorEastAsia"/>
          <w:szCs w:val="21"/>
        </w:rPr>
        <w:t>指符合法律法规规定的条件可以投资开放式证券投资基金的自然人</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1</w:t>
      </w:r>
      <w:r w:rsidR="00575E02" w:rsidRPr="00F17515">
        <w:rPr>
          <w:rFonts w:asciiTheme="minorEastAsia" w:eastAsiaTheme="minorEastAsia" w:hAnsiTheme="minorEastAsia"/>
          <w:szCs w:val="21"/>
        </w:rPr>
        <w:t>9</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机构投资者：指符合法律法规规定</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可以投资开放式证券投资基金的</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在中国注册登记或经政府有关部门批准设立的法人、社会团体和其他组织、机构</w:t>
      </w:r>
    </w:p>
    <w:p w:rsidR="007228CC" w:rsidRPr="00F17515" w:rsidRDefault="00575E02"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20</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合格境外机构投资者</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指符合法律法规规定的</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可投资于中国境内证券市场的中国</w:t>
      </w:r>
      <w:r w:rsidR="007228CC" w:rsidRPr="00F17515">
        <w:rPr>
          <w:rFonts w:asciiTheme="minorEastAsia" w:eastAsiaTheme="minorEastAsia" w:hAnsiTheme="minorEastAsia"/>
          <w:szCs w:val="21"/>
        </w:rPr>
        <w:lastRenderedPageBreak/>
        <w:t>境外机构投资者</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1</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：指个人投资者、机构投资者和合格境外机构投资者</w:t>
      </w:r>
      <w:r w:rsidR="007228CC" w:rsidRPr="00F17515">
        <w:rPr>
          <w:rFonts w:asciiTheme="minorEastAsia" w:eastAsiaTheme="minorEastAsia" w:hAnsiTheme="minorEastAsia" w:hint="eastAsia"/>
          <w:szCs w:val="21"/>
        </w:rPr>
        <w:t>以及法律法规或中国证监会允许购买证券投资基金的其他投资人</w:t>
      </w:r>
      <w:r w:rsidR="007228CC" w:rsidRPr="00F17515">
        <w:rPr>
          <w:rFonts w:asciiTheme="minorEastAsia" w:eastAsiaTheme="minorEastAsia" w:hAnsiTheme="minorEastAsia"/>
          <w:szCs w:val="21"/>
        </w:rPr>
        <w:t>的合称</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2</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基金份额持有人：指依基金合同</w:t>
      </w:r>
      <w:r w:rsidR="007228CC" w:rsidRPr="00F17515">
        <w:rPr>
          <w:rFonts w:asciiTheme="minorEastAsia" w:eastAsiaTheme="minorEastAsia" w:hAnsiTheme="minorEastAsia" w:hint="eastAsia"/>
          <w:szCs w:val="21"/>
        </w:rPr>
        <w:t>和</w:t>
      </w:r>
      <w:r w:rsidR="007228CC" w:rsidRPr="00F17515">
        <w:rPr>
          <w:rFonts w:asciiTheme="minorEastAsia" w:eastAsiaTheme="minorEastAsia" w:hAnsiTheme="minorEastAsia"/>
          <w:szCs w:val="21"/>
        </w:rPr>
        <w:t>招募说明书</w:t>
      </w:r>
      <w:r w:rsidR="007228CC" w:rsidRPr="00F17515">
        <w:rPr>
          <w:rFonts w:asciiTheme="minorEastAsia" w:eastAsiaTheme="minorEastAsia" w:hAnsiTheme="minorEastAsia" w:hint="eastAsia"/>
          <w:szCs w:val="21"/>
        </w:rPr>
        <w:t>合法</w:t>
      </w:r>
      <w:r w:rsidR="007228CC" w:rsidRPr="00F17515">
        <w:rPr>
          <w:rFonts w:asciiTheme="minorEastAsia" w:eastAsiaTheme="minorEastAsia" w:hAnsiTheme="minorEastAsia"/>
          <w:szCs w:val="21"/>
        </w:rPr>
        <w:t>取得基金份额的投资</w:t>
      </w:r>
      <w:r w:rsidR="007228CC" w:rsidRPr="00F17515">
        <w:rPr>
          <w:rFonts w:asciiTheme="minorEastAsia" w:eastAsiaTheme="minorEastAsia" w:hAnsiTheme="minorEastAsia" w:hint="eastAsia"/>
          <w:szCs w:val="21"/>
        </w:rPr>
        <w:t>人</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3</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基金销售业务：指</w:t>
      </w:r>
      <w:r w:rsidR="007228CC" w:rsidRPr="00F17515">
        <w:rPr>
          <w:rFonts w:asciiTheme="minorEastAsia" w:eastAsiaTheme="minorEastAsia" w:hAnsiTheme="minorEastAsia" w:hint="eastAsia"/>
          <w:szCs w:val="21"/>
        </w:rPr>
        <w:t>基金管理人或</w:t>
      </w:r>
      <w:r w:rsidR="00B47054" w:rsidRPr="00F17515">
        <w:rPr>
          <w:rFonts w:asciiTheme="minorEastAsia" w:eastAsiaTheme="minorEastAsia" w:hAnsiTheme="minorEastAsia" w:hint="eastAsia"/>
          <w:szCs w:val="21"/>
        </w:rPr>
        <w:t>销售</w:t>
      </w:r>
      <w:r w:rsidR="007228CC" w:rsidRPr="00F17515">
        <w:rPr>
          <w:rFonts w:asciiTheme="minorEastAsia" w:eastAsiaTheme="minorEastAsia" w:hAnsiTheme="minorEastAsia" w:hint="eastAsia"/>
          <w:szCs w:val="21"/>
        </w:rPr>
        <w:t>机构宣传推介基金，发售基金份额，办理基金份额的</w:t>
      </w:r>
      <w:r w:rsidR="007228CC" w:rsidRPr="00F17515">
        <w:rPr>
          <w:rFonts w:asciiTheme="minorEastAsia" w:eastAsiaTheme="minorEastAsia" w:hAnsiTheme="minorEastAsia"/>
          <w:szCs w:val="21"/>
        </w:rPr>
        <w:t>申购、赎回、转换、非交易过户、转托管等业务</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4</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销售机构</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指直销机构和</w:t>
      </w:r>
      <w:r w:rsidR="00B47054" w:rsidRPr="00F17515">
        <w:rPr>
          <w:rFonts w:asciiTheme="minorEastAsia" w:eastAsiaTheme="minorEastAsia" w:hAnsiTheme="minorEastAsia" w:hint="eastAsia"/>
          <w:szCs w:val="21"/>
        </w:rPr>
        <w:t>非直销销售</w:t>
      </w:r>
      <w:r w:rsidR="007228CC" w:rsidRPr="00F17515">
        <w:rPr>
          <w:rFonts w:asciiTheme="minorEastAsia" w:eastAsiaTheme="minorEastAsia" w:hAnsiTheme="minorEastAsia"/>
          <w:szCs w:val="21"/>
        </w:rPr>
        <w:t>机构</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5</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直销机构：指</w:t>
      </w:r>
      <w:r w:rsidR="007228CC" w:rsidRPr="00F17515">
        <w:rPr>
          <w:rFonts w:asciiTheme="minorEastAsia" w:eastAsiaTheme="minorEastAsia" w:hAnsiTheme="minorEastAsia" w:hint="eastAsia"/>
          <w:szCs w:val="21"/>
        </w:rPr>
        <w:t>易方达</w:t>
      </w:r>
      <w:r w:rsidR="007228CC" w:rsidRPr="00F17515">
        <w:rPr>
          <w:rFonts w:asciiTheme="minorEastAsia" w:eastAsiaTheme="minorEastAsia" w:hAnsiTheme="minorEastAsia"/>
          <w:szCs w:val="21"/>
        </w:rPr>
        <w:t>基金管理有限公司</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6</w:t>
      </w:r>
      <w:r w:rsidR="0071223F" w:rsidRPr="00F17515">
        <w:rPr>
          <w:rFonts w:asciiTheme="minorEastAsia" w:eastAsiaTheme="minorEastAsia" w:hAnsiTheme="minorEastAsia" w:hint="eastAsia"/>
          <w:szCs w:val="21"/>
        </w:rPr>
        <w:t>、</w:t>
      </w:r>
      <w:r w:rsidR="00B47054" w:rsidRPr="00F17515">
        <w:rPr>
          <w:rFonts w:asciiTheme="minorEastAsia" w:eastAsiaTheme="minorEastAsia" w:hAnsiTheme="minorEastAsia" w:hint="eastAsia"/>
          <w:szCs w:val="21"/>
        </w:rPr>
        <w:t>非直销销售</w:t>
      </w:r>
      <w:r w:rsidR="007228CC" w:rsidRPr="00F17515">
        <w:rPr>
          <w:rFonts w:asciiTheme="minorEastAsia" w:eastAsiaTheme="minorEastAsia" w:hAnsiTheme="minorEastAsia"/>
          <w:szCs w:val="21"/>
        </w:rPr>
        <w:t>机构</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指符合《销售办法》和中国证监会规定的其他条件，取得基金</w:t>
      </w:r>
      <w:r w:rsidR="00B47054" w:rsidRPr="00F17515">
        <w:rPr>
          <w:rFonts w:asciiTheme="minorEastAsia" w:eastAsiaTheme="minorEastAsia" w:hAnsiTheme="minorEastAsia" w:hint="eastAsia"/>
          <w:szCs w:val="21"/>
        </w:rPr>
        <w:t>销售</w:t>
      </w:r>
      <w:r w:rsidR="007228CC" w:rsidRPr="00F17515">
        <w:rPr>
          <w:rFonts w:asciiTheme="minorEastAsia" w:eastAsiaTheme="minorEastAsia" w:hAnsiTheme="minorEastAsia"/>
          <w:szCs w:val="21"/>
        </w:rPr>
        <w:t>业务资格并与基金管理人签订了基金销售服务协议，办理基金销售业务的机构</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7</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基金销售网点</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指直销机构的直销</w:t>
      </w:r>
      <w:r w:rsidR="00AA175D" w:rsidRPr="00F17515">
        <w:rPr>
          <w:rFonts w:asciiTheme="minorEastAsia" w:eastAsiaTheme="minorEastAsia" w:hAnsiTheme="minorEastAsia" w:hint="eastAsia"/>
          <w:szCs w:val="21"/>
        </w:rPr>
        <w:t>网点</w:t>
      </w:r>
      <w:r w:rsidR="007228CC" w:rsidRPr="00F17515">
        <w:rPr>
          <w:rFonts w:asciiTheme="minorEastAsia" w:eastAsiaTheme="minorEastAsia" w:hAnsiTheme="minorEastAsia"/>
          <w:szCs w:val="21"/>
        </w:rPr>
        <w:t>及</w:t>
      </w:r>
      <w:r w:rsidR="00B47054" w:rsidRPr="00F17515">
        <w:rPr>
          <w:rFonts w:asciiTheme="minorEastAsia" w:eastAsiaTheme="minorEastAsia" w:hAnsiTheme="minorEastAsia" w:hint="eastAsia"/>
          <w:szCs w:val="21"/>
        </w:rPr>
        <w:t>非直销销售</w:t>
      </w:r>
      <w:r w:rsidR="007228CC" w:rsidRPr="00F17515">
        <w:rPr>
          <w:rFonts w:asciiTheme="minorEastAsia" w:eastAsiaTheme="minorEastAsia" w:hAnsiTheme="minorEastAsia"/>
          <w:szCs w:val="21"/>
        </w:rPr>
        <w:t>机构的</w:t>
      </w:r>
      <w:r w:rsidR="00B47054" w:rsidRPr="00F17515">
        <w:rPr>
          <w:rFonts w:asciiTheme="minorEastAsia" w:eastAsiaTheme="minorEastAsia" w:hAnsiTheme="minorEastAsia" w:hint="eastAsia"/>
          <w:szCs w:val="21"/>
        </w:rPr>
        <w:t>销售</w:t>
      </w:r>
      <w:r w:rsidR="007228CC" w:rsidRPr="00F17515">
        <w:rPr>
          <w:rFonts w:asciiTheme="minorEastAsia" w:eastAsiaTheme="minorEastAsia" w:hAnsiTheme="minorEastAsia"/>
          <w:szCs w:val="21"/>
        </w:rPr>
        <w:t>网点</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8</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注册登记业务：指基金登记、存管、过户、清算和结算业务，具体内容包括投资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基金账户的建立和管理、基金份额注册登记、基金</w:t>
      </w:r>
      <w:r w:rsidR="007228CC" w:rsidRPr="00F17515">
        <w:rPr>
          <w:rFonts w:asciiTheme="minorEastAsia" w:eastAsiaTheme="minorEastAsia" w:hAnsiTheme="minorEastAsia" w:hint="eastAsia"/>
          <w:szCs w:val="21"/>
        </w:rPr>
        <w:t>销售业务的</w:t>
      </w:r>
      <w:r w:rsidR="007228CC" w:rsidRPr="00F17515">
        <w:rPr>
          <w:rFonts w:asciiTheme="minorEastAsia" w:eastAsiaTheme="minorEastAsia" w:hAnsiTheme="minorEastAsia"/>
          <w:szCs w:val="21"/>
        </w:rPr>
        <w:t>确认、清算和结算、代理发放红利、建立并保管基金份额持有人名册等</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2</w:t>
      </w:r>
      <w:r w:rsidR="00575E02" w:rsidRPr="00F17515">
        <w:rPr>
          <w:rFonts w:asciiTheme="minorEastAsia" w:eastAsiaTheme="minorEastAsia" w:hAnsiTheme="minorEastAsia"/>
          <w:szCs w:val="21"/>
        </w:rPr>
        <w:t>9</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注册登记机构：指办理注册登记业务的机构。基金的注册登记机构为</w:t>
      </w:r>
      <w:r w:rsidR="007228CC" w:rsidRPr="00F17515">
        <w:rPr>
          <w:rFonts w:asciiTheme="minorEastAsia" w:eastAsiaTheme="minorEastAsia" w:hAnsiTheme="minorEastAsia" w:hint="eastAsia"/>
          <w:szCs w:val="21"/>
        </w:rPr>
        <w:t>易方达</w:t>
      </w:r>
      <w:r w:rsidR="007228CC" w:rsidRPr="00F17515">
        <w:rPr>
          <w:rFonts w:asciiTheme="minorEastAsia" w:eastAsiaTheme="minorEastAsia" w:hAnsiTheme="minorEastAsia"/>
          <w:szCs w:val="21"/>
        </w:rPr>
        <w:t>基金管理有限公司或接受</w:t>
      </w:r>
      <w:r w:rsidR="007228CC" w:rsidRPr="00F17515">
        <w:rPr>
          <w:rFonts w:asciiTheme="minorEastAsia" w:eastAsiaTheme="minorEastAsia" w:hAnsiTheme="minorEastAsia" w:hint="eastAsia"/>
          <w:szCs w:val="21"/>
        </w:rPr>
        <w:t>易方达</w:t>
      </w:r>
      <w:r w:rsidR="007228CC" w:rsidRPr="00F17515">
        <w:rPr>
          <w:rFonts w:asciiTheme="minorEastAsia" w:eastAsiaTheme="minorEastAsia" w:hAnsiTheme="minorEastAsia"/>
          <w:szCs w:val="21"/>
        </w:rPr>
        <w:t>基金管理有限公司委托代为办理注册登记业务的机构</w:t>
      </w:r>
    </w:p>
    <w:p w:rsidR="007228CC" w:rsidRPr="00F17515" w:rsidRDefault="00575E02"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30</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基金账户</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指注册登记机构为投资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开立的、记录其持有的、基金管理人所管理的基金份额余额及其变动情况的账户</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1</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基金交易账户：指销售机构为投资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开立的、记录投资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通过该销售机构买卖</w:t>
      </w:r>
      <w:r w:rsidR="007228CC" w:rsidRPr="00F17515">
        <w:rPr>
          <w:rFonts w:asciiTheme="minorEastAsia" w:eastAsiaTheme="minorEastAsia" w:hAnsiTheme="minorEastAsia" w:hint="eastAsia"/>
          <w:szCs w:val="21"/>
        </w:rPr>
        <w:t>本基金的</w:t>
      </w:r>
      <w:r w:rsidR="007228CC" w:rsidRPr="00F17515">
        <w:rPr>
          <w:rFonts w:asciiTheme="minorEastAsia" w:eastAsiaTheme="minorEastAsia" w:hAnsiTheme="minorEastAsia"/>
          <w:szCs w:val="21"/>
        </w:rPr>
        <w:t>基金份额变动及结余情况的账户</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2</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基金合同生效日</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基金募集达到法律法规规定及基金合同规定的条件，基金管理人向</w:t>
      </w:r>
      <w:r w:rsidR="007228CC" w:rsidRPr="00F17515">
        <w:rPr>
          <w:rFonts w:asciiTheme="minorEastAsia" w:eastAsiaTheme="minorEastAsia" w:hAnsiTheme="minorEastAsia"/>
          <w:szCs w:val="21"/>
        </w:rPr>
        <w:t>中国证监会</w:t>
      </w:r>
      <w:r w:rsidR="007228CC" w:rsidRPr="00F17515">
        <w:rPr>
          <w:rFonts w:asciiTheme="minorEastAsia" w:eastAsiaTheme="minorEastAsia" w:hAnsiTheme="minorEastAsia" w:hint="eastAsia"/>
          <w:szCs w:val="21"/>
        </w:rPr>
        <w:t>办理基金备案手续完毕，并获得中国证监会书面确认的日期</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3</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基金合同终止日：指基金合同规定的基金合同终止事由出现后</w:t>
      </w:r>
      <w:r w:rsidR="007228CC" w:rsidRPr="00F17515">
        <w:rPr>
          <w:rFonts w:asciiTheme="minorEastAsia" w:eastAsiaTheme="minorEastAsia" w:hAnsiTheme="minorEastAsia" w:hint="eastAsia"/>
          <w:szCs w:val="21"/>
        </w:rPr>
        <w:t>，基金财产清算完毕，清算结果报中国证监会备案并予以公告</w:t>
      </w:r>
      <w:r w:rsidR="007228CC" w:rsidRPr="00F17515">
        <w:rPr>
          <w:rFonts w:asciiTheme="minorEastAsia" w:eastAsiaTheme="minorEastAsia" w:hAnsiTheme="minorEastAsia"/>
          <w:szCs w:val="21"/>
        </w:rPr>
        <w:t>的日期</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4</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基金募集期</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自</w:t>
      </w:r>
      <w:r w:rsidR="007228CC" w:rsidRPr="00F17515">
        <w:rPr>
          <w:rFonts w:asciiTheme="minorEastAsia" w:eastAsiaTheme="minorEastAsia" w:hAnsiTheme="minorEastAsia"/>
          <w:szCs w:val="21"/>
        </w:rPr>
        <w:t>基金份额发售之日起至发售结束之日止的期间，最长不得超过</w:t>
      </w:r>
      <w:r w:rsidR="007228CC" w:rsidRPr="00F17515">
        <w:rPr>
          <w:rFonts w:asciiTheme="minorEastAsia" w:eastAsiaTheme="minorEastAsia" w:hAnsiTheme="minorEastAsia" w:hint="eastAsia"/>
          <w:szCs w:val="21"/>
        </w:rPr>
        <w:t>3</w:t>
      </w:r>
      <w:r w:rsidR="007228CC" w:rsidRPr="00F17515">
        <w:rPr>
          <w:rFonts w:asciiTheme="minorEastAsia" w:eastAsiaTheme="minorEastAsia" w:hAnsiTheme="minorEastAsia"/>
          <w:szCs w:val="21"/>
        </w:rPr>
        <w:t>个月</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5</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存续期</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指基金合同生效至终止之间的不定期期限</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6</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工作日</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指上海证券交易所、深圳证券交易所的正常交易日</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7</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T日</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销售机构在规定时间受理</w:t>
      </w:r>
      <w:r w:rsidR="007228CC" w:rsidRPr="00F17515">
        <w:rPr>
          <w:rFonts w:asciiTheme="minorEastAsia" w:eastAsiaTheme="minorEastAsia" w:hAnsiTheme="minorEastAsia"/>
          <w:szCs w:val="21"/>
        </w:rPr>
        <w:t>投资</w:t>
      </w:r>
      <w:r w:rsidR="007228CC" w:rsidRPr="00F17515">
        <w:rPr>
          <w:rFonts w:asciiTheme="minorEastAsia" w:eastAsiaTheme="minorEastAsia" w:hAnsiTheme="minorEastAsia" w:hint="eastAsia"/>
          <w:szCs w:val="21"/>
        </w:rPr>
        <w:t>人申购、赎回或其他业务</w:t>
      </w:r>
      <w:r w:rsidR="007228CC" w:rsidRPr="00F17515">
        <w:rPr>
          <w:rFonts w:asciiTheme="minorEastAsia" w:eastAsiaTheme="minorEastAsia" w:hAnsiTheme="minorEastAsia"/>
          <w:szCs w:val="21"/>
        </w:rPr>
        <w:t>申请</w:t>
      </w:r>
      <w:r w:rsidR="007228CC" w:rsidRPr="00F17515">
        <w:rPr>
          <w:rFonts w:asciiTheme="minorEastAsia" w:eastAsiaTheme="minorEastAsia" w:hAnsiTheme="minorEastAsia" w:hint="eastAsia"/>
          <w:szCs w:val="21"/>
        </w:rPr>
        <w:t>的</w:t>
      </w:r>
      <w:r w:rsidR="007228CC" w:rsidRPr="00F17515">
        <w:rPr>
          <w:rFonts w:asciiTheme="minorEastAsia" w:eastAsiaTheme="minorEastAsia" w:hAnsiTheme="minorEastAsia"/>
          <w:szCs w:val="21"/>
        </w:rPr>
        <w:t>工作日</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8</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T+n日</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指自T日起第n个工作日</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不包含T日</w:t>
      </w:r>
      <w:r w:rsidR="007228CC" w:rsidRPr="00F17515">
        <w:rPr>
          <w:rFonts w:asciiTheme="minorEastAsia" w:eastAsiaTheme="minorEastAsia" w:hAnsiTheme="minorEastAsia" w:hint="eastAsia"/>
          <w:szCs w:val="21"/>
        </w:rPr>
        <w:t>)</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3</w:t>
      </w:r>
      <w:r w:rsidR="00575E02" w:rsidRPr="00F17515">
        <w:rPr>
          <w:rFonts w:asciiTheme="minorEastAsia" w:eastAsiaTheme="minorEastAsia" w:hAnsiTheme="minorEastAsia"/>
          <w:szCs w:val="21"/>
        </w:rPr>
        <w:t>9</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开放日</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为投资人</w:t>
      </w:r>
      <w:r w:rsidR="007228CC" w:rsidRPr="00F17515">
        <w:rPr>
          <w:rFonts w:asciiTheme="minorEastAsia" w:eastAsiaTheme="minorEastAsia" w:hAnsiTheme="minorEastAsia"/>
          <w:szCs w:val="21"/>
        </w:rPr>
        <w:t>办理基金份额申购、赎回</w:t>
      </w:r>
      <w:r w:rsidR="007228CC" w:rsidRPr="00F17515">
        <w:rPr>
          <w:rFonts w:asciiTheme="minorEastAsia" w:eastAsiaTheme="minorEastAsia" w:hAnsiTheme="minorEastAsia" w:hint="eastAsia"/>
          <w:szCs w:val="21"/>
        </w:rPr>
        <w:t>或其他</w:t>
      </w:r>
      <w:r w:rsidR="007228CC" w:rsidRPr="00F17515">
        <w:rPr>
          <w:rFonts w:asciiTheme="minorEastAsia" w:eastAsiaTheme="minorEastAsia" w:hAnsiTheme="minorEastAsia"/>
          <w:szCs w:val="21"/>
        </w:rPr>
        <w:t>业务的</w:t>
      </w:r>
      <w:r w:rsidR="007228CC" w:rsidRPr="00F17515">
        <w:rPr>
          <w:rFonts w:asciiTheme="minorEastAsia" w:eastAsiaTheme="minorEastAsia" w:hAnsiTheme="minorEastAsia" w:hint="eastAsia"/>
          <w:szCs w:val="21"/>
        </w:rPr>
        <w:t>工作日</w:t>
      </w:r>
    </w:p>
    <w:p w:rsidR="007228CC" w:rsidRPr="00F17515" w:rsidRDefault="00575E02"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40</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交易时间：指开放日基金接受申购、赎回或其他交易的时间段</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4</w:t>
      </w:r>
      <w:r w:rsidR="00575E02" w:rsidRPr="00F17515">
        <w:rPr>
          <w:rFonts w:asciiTheme="minorEastAsia" w:eastAsiaTheme="minorEastAsia" w:hAnsiTheme="minorEastAsia"/>
          <w:szCs w:val="21"/>
        </w:rPr>
        <w:t>1</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业务规则</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易方达</w:t>
      </w:r>
      <w:r w:rsidR="007228CC" w:rsidRPr="00F17515">
        <w:rPr>
          <w:rFonts w:asciiTheme="minorEastAsia" w:eastAsiaTheme="minorEastAsia" w:hAnsiTheme="minorEastAsia"/>
          <w:szCs w:val="21"/>
        </w:rPr>
        <w:t>基金管理有限公司开放式基金业务规则》，是规范基金管理人所管理的开放式证券投资基金注册登记方面的业务规则</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lastRenderedPageBreak/>
        <w:t>4</w:t>
      </w:r>
      <w:r w:rsidR="00575E02" w:rsidRPr="00F17515">
        <w:rPr>
          <w:rFonts w:asciiTheme="minorEastAsia" w:eastAsiaTheme="minorEastAsia" w:hAnsiTheme="minorEastAsia"/>
          <w:szCs w:val="21"/>
        </w:rPr>
        <w:t>2</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认购</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指在基金募集期</w:t>
      </w:r>
      <w:r w:rsidR="007228CC" w:rsidRPr="00F17515">
        <w:rPr>
          <w:rFonts w:asciiTheme="minorEastAsia" w:eastAsiaTheme="minorEastAsia" w:hAnsiTheme="minorEastAsia" w:hint="eastAsia"/>
          <w:szCs w:val="21"/>
        </w:rPr>
        <w:t>内</w:t>
      </w:r>
      <w:r w:rsidR="007228CC" w:rsidRPr="00F17515">
        <w:rPr>
          <w:rFonts w:asciiTheme="minorEastAsia" w:eastAsiaTheme="minorEastAsia" w:hAnsiTheme="minorEastAsia"/>
          <w:szCs w:val="21"/>
        </w:rPr>
        <w:t>，投资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申请购买基金份额的行为</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4</w:t>
      </w:r>
      <w:r w:rsidR="00575E02" w:rsidRPr="00F17515">
        <w:rPr>
          <w:rFonts w:asciiTheme="minorEastAsia" w:eastAsiaTheme="minorEastAsia" w:hAnsiTheme="minorEastAsia"/>
          <w:szCs w:val="21"/>
        </w:rPr>
        <w:t>3</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申购</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基金合同生效后</w:t>
      </w:r>
      <w:r w:rsidR="007228CC" w:rsidRPr="00F17515">
        <w:rPr>
          <w:rFonts w:asciiTheme="minorEastAsia" w:eastAsiaTheme="minorEastAsia" w:hAnsiTheme="minorEastAsia"/>
          <w:szCs w:val="21"/>
        </w:rPr>
        <w:t>，投资</w:t>
      </w:r>
      <w:r w:rsidR="007228CC" w:rsidRPr="00F17515">
        <w:rPr>
          <w:rFonts w:asciiTheme="minorEastAsia" w:eastAsiaTheme="minorEastAsia" w:hAnsiTheme="minorEastAsia" w:hint="eastAsia"/>
          <w:szCs w:val="21"/>
        </w:rPr>
        <w:t>人根据基金合同和招募说明书的规定</w:t>
      </w:r>
      <w:r w:rsidR="007228CC" w:rsidRPr="00F17515">
        <w:rPr>
          <w:rFonts w:asciiTheme="minorEastAsia" w:eastAsiaTheme="minorEastAsia" w:hAnsiTheme="minorEastAsia"/>
          <w:szCs w:val="21"/>
        </w:rPr>
        <w:t>申请购买基金份额的行为</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4</w:t>
      </w:r>
      <w:r w:rsidR="00575E02" w:rsidRPr="00F17515">
        <w:rPr>
          <w:rFonts w:asciiTheme="minorEastAsia" w:eastAsiaTheme="minorEastAsia" w:hAnsiTheme="minorEastAsia"/>
          <w:szCs w:val="21"/>
        </w:rPr>
        <w:t>4</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赎回</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w:t>
      </w:r>
      <w:r w:rsidR="007228CC" w:rsidRPr="00F17515">
        <w:rPr>
          <w:rFonts w:asciiTheme="minorEastAsia" w:eastAsiaTheme="minorEastAsia" w:hAnsiTheme="minorEastAsia" w:hint="eastAsia"/>
          <w:szCs w:val="21"/>
        </w:rPr>
        <w:t>基金合同生效后，</w:t>
      </w:r>
      <w:r w:rsidR="007228CC" w:rsidRPr="00F17515">
        <w:rPr>
          <w:rFonts w:asciiTheme="minorEastAsia" w:eastAsiaTheme="minorEastAsia" w:hAnsiTheme="minorEastAsia"/>
          <w:szCs w:val="21"/>
        </w:rPr>
        <w:t>基金份额持有人按基金合同规定的条件要求</w:t>
      </w:r>
      <w:r w:rsidR="007228CC" w:rsidRPr="00F17515">
        <w:rPr>
          <w:rFonts w:asciiTheme="minorEastAsia" w:eastAsiaTheme="minorEastAsia" w:hAnsiTheme="minorEastAsia" w:hint="eastAsia"/>
          <w:szCs w:val="21"/>
        </w:rPr>
        <w:t>将</w:t>
      </w:r>
      <w:r w:rsidR="007228CC" w:rsidRPr="00F17515">
        <w:rPr>
          <w:rFonts w:asciiTheme="minorEastAsia" w:eastAsiaTheme="minorEastAsia" w:hAnsiTheme="minorEastAsia"/>
          <w:szCs w:val="21"/>
        </w:rPr>
        <w:t>基金份额</w:t>
      </w:r>
      <w:r w:rsidR="007228CC" w:rsidRPr="00F17515">
        <w:rPr>
          <w:rFonts w:asciiTheme="minorEastAsia" w:eastAsiaTheme="minorEastAsia" w:hAnsiTheme="minorEastAsia" w:hint="eastAsia"/>
          <w:szCs w:val="21"/>
        </w:rPr>
        <w:t>兑换为现金</w:t>
      </w:r>
      <w:r w:rsidR="007228CC" w:rsidRPr="00F17515">
        <w:rPr>
          <w:rFonts w:asciiTheme="minorEastAsia" w:eastAsiaTheme="minorEastAsia" w:hAnsiTheme="minorEastAsia"/>
          <w:szCs w:val="21"/>
        </w:rPr>
        <w:t>的行为</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4</w:t>
      </w:r>
      <w:r w:rsidR="00575E02" w:rsidRPr="00F17515">
        <w:rPr>
          <w:rFonts w:asciiTheme="minorEastAsia" w:eastAsiaTheme="minorEastAsia" w:hAnsiTheme="minorEastAsia"/>
          <w:szCs w:val="21"/>
        </w:rPr>
        <w:t>5</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销售服务费：指从基金资产中计提的，用于本基金市场推广、销售以及基金份额持有人服务的费用</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4</w:t>
      </w:r>
      <w:r w:rsidR="00575E02" w:rsidRPr="00F17515">
        <w:rPr>
          <w:rFonts w:asciiTheme="minorEastAsia" w:eastAsiaTheme="minorEastAsia" w:hAnsiTheme="minorEastAsia"/>
          <w:szCs w:val="21"/>
        </w:rPr>
        <w:t>6</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基金份额类别：指根据认购/申购费用、赎回费用收取方式的不同将基金份额分为不同的类别，各基金份额类别代码不同，基金份额净值和基金份额累计净值或有不同</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4</w:t>
      </w:r>
      <w:r w:rsidR="00575E02" w:rsidRPr="00F17515">
        <w:rPr>
          <w:rFonts w:asciiTheme="minorEastAsia" w:eastAsiaTheme="minorEastAsia" w:hAnsiTheme="minorEastAsia"/>
          <w:szCs w:val="21"/>
        </w:rPr>
        <w:t>7</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基金转换：指基金份额持有人按照本基金合同和基金管理人届时有效公告规定的条件，申请将其持有基金管理人管理的、某一基金的基金份额转换为基金管理人管理的、且由同一</w:t>
      </w:r>
      <w:r w:rsidR="007228CC" w:rsidRPr="00F17515">
        <w:rPr>
          <w:rFonts w:asciiTheme="minorEastAsia" w:eastAsiaTheme="minorEastAsia" w:hAnsiTheme="minorEastAsia"/>
          <w:szCs w:val="21"/>
        </w:rPr>
        <w:t>注册登记</w:t>
      </w:r>
      <w:r w:rsidR="007228CC" w:rsidRPr="00F17515">
        <w:rPr>
          <w:rFonts w:asciiTheme="minorEastAsia" w:eastAsiaTheme="minorEastAsia" w:hAnsiTheme="minorEastAsia" w:hint="eastAsia"/>
          <w:szCs w:val="21"/>
        </w:rPr>
        <w:t>机构办理</w:t>
      </w:r>
      <w:r w:rsidR="007228CC" w:rsidRPr="00F17515">
        <w:rPr>
          <w:rFonts w:asciiTheme="minorEastAsia" w:eastAsiaTheme="minorEastAsia" w:hAnsiTheme="minorEastAsia"/>
          <w:szCs w:val="21"/>
        </w:rPr>
        <w:t>注册登记</w:t>
      </w:r>
      <w:r w:rsidR="007228CC" w:rsidRPr="00F17515">
        <w:rPr>
          <w:rFonts w:asciiTheme="minorEastAsia" w:eastAsiaTheme="minorEastAsia" w:hAnsiTheme="minorEastAsia" w:hint="eastAsia"/>
          <w:szCs w:val="21"/>
        </w:rPr>
        <w:t>的其他基金基金份额的行为</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4</w:t>
      </w:r>
      <w:r w:rsidR="00575E02" w:rsidRPr="00F17515">
        <w:rPr>
          <w:rFonts w:asciiTheme="minorEastAsia" w:eastAsiaTheme="minorEastAsia" w:hAnsiTheme="minorEastAsia"/>
          <w:szCs w:val="21"/>
        </w:rPr>
        <w:t>8</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转托管：指基金份额持有人在本基金的不同销售机构之间实施的变更所持基金份额销售机构的操作</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4</w:t>
      </w:r>
      <w:r w:rsidR="00575E02" w:rsidRPr="00F17515">
        <w:rPr>
          <w:rFonts w:asciiTheme="minorEastAsia" w:eastAsiaTheme="minorEastAsia" w:hAnsiTheme="minorEastAsia"/>
          <w:szCs w:val="21"/>
        </w:rPr>
        <w:t>9</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pacing w:val="8"/>
          <w:szCs w:val="21"/>
        </w:rPr>
        <w:t>定期定额投资计划：指投资人通过有关销售机构提出申请，约定每期扣款日、扣款金额及扣款方式，由销售机构于每期约定扣款日在投资人指定银行账户内自动完成扣款及基金申购申请的一种投资方式</w:t>
      </w:r>
    </w:p>
    <w:p w:rsidR="007228CC" w:rsidRPr="00F17515" w:rsidRDefault="00575E02" w:rsidP="00685A2C">
      <w:pPr>
        <w:snapToGrid w:val="0"/>
        <w:spacing w:line="360" w:lineRule="auto"/>
        <w:ind w:firstLineChars="200" w:firstLine="452"/>
        <w:rPr>
          <w:rFonts w:asciiTheme="minorEastAsia" w:eastAsiaTheme="minorEastAsia" w:hAnsiTheme="minorEastAsia"/>
          <w:spacing w:val="8"/>
          <w:szCs w:val="21"/>
        </w:rPr>
      </w:pPr>
      <w:r w:rsidRPr="00F17515">
        <w:rPr>
          <w:rFonts w:asciiTheme="minorEastAsia" w:eastAsiaTheme="minorEastAsia" w:hAnsiTheme="minorEastAsia"/>
          <w:spacing w:val="8"/>
          <w:szCs w:val="21"/>
        </w:rPr>
        <w:t>50</w:t>
      </w:r>
      <w:r w:rsidR="0071223F" w:rsidRPr="00F17515">
        <w:rPr>
          <w:rFonts w:asciiTheme="minorEastAsia" w:eastAsiaTheme="minorEastAsia" w:hAnsiTheme="minorEastAsia" w:hint="eastAsia"/>
          <w:spacing w:val="8"/>
          <w:szCs w:val="21"/>
        </w:rPr>
        <w:t>、</w:t>
      </w:r>
      <w:r w:rsidR="007228CC" w:rsidRPr="00F17515">
        <w:rPr>
          <w:rFonts w:asciiTheme="minorEastAsia" w:eastAsiaTheme="minorEastAsia" w:hAnsiTheme="minorEastAsia"/>
          <w:spacing w:val="8"/>
          <w:szCs w:val="21"/>
        </w:rPr>
        <w:t>巨额赎回</w:t>
      </w:r>
      <w:r w:rsidR="007228CC" w:rsidRPr="00F17515">
        <w:rPr>
          <w:rFonts w:asciiTheme="minorEastAsia" w:eastAsiaTheme="minorEastAsia" w:hAnsiTheme="minorEastAsia" w:hint="eastAsia"/>
          <w:spacing w:val="8"/>
          <w:szCs w:val="21"/>
        </w:rPr>
        <w:t>：指</w:t>
      </w:r>
      <w:r w:rsidR="007228CC" w:rsidRPr="00F17515">
        <w:rPr>
          <w:rFonts w:asciiTheme="minorEastAsia" w:eastAsiaTheme="minorEastAsia" w:hAnsiTheme="minorEastAsia"/>
          <w:spacing w:val="8"/>
          <w:szCs w:val="21"/>
        </w:rPr>
        <w:t>本基金单个开放日</w:t>
      </w:r>
      <w:r w:rsidR="007228CC" w:rsidRPr="00F17515">
        <w:rPr>
          <w:rFonts w:asciiTheme="minorEastAsia" w:eastAsiaTheme="minorEastAsia" w:hAnsiTheme="minorEastAsia" w:hint="eastAsia"/>
          <w:spacing w:val="8"/>
          <w:szCs w:val="21"/>
        </w:rPr>
        <w:t>，</w:t>
      </w:r>
      <w:r w:rsidR="007228CC" w:rsidRPr="00F17515">
        <w:rPr>
          <w:rFonts w:asciiTheme="minorEastAsia" w:eastAsiaTheme="minorEastAsia" w:hAnsiTheme="minorEastAsia"/>
          <w:spacing w:val="8"/>
          <w:szCs w:val="21"/>
        </w:rPr>
        <w:t>基金净赎回申请</w:t>
      </w:r>
      <w:r w:rsidR="007228CC" w:rsidRPr="00F17515">
        <w:rPr>
          <w:rFonts w:asciiTheme="minorEastAsia" w:eastAsiaTheme="minorEastAsia" w:hAnsiTheme="minorEastAsia" w:hint="eastAsia"/>
          <w:spacing w:val="8"/>
          <w:szCs w:val="21"/>
        </w:rPr>
        <w:t>(</w:t>
      </w:r>
      <w:r w:rsidR="007228CC" w:rsidRPr="00F17515">
        <w:rPr>
          <w:rFonts w:asciiTheme="minorEastAsia" w:eastAsiaTheme="minorEastAsia" w:hAnsiTheme="minorEastAsia"/>
          <w:spacing w:val="8"/>
          <w:szCs w:val="21"/>
        </w:rPr>
        <w:t>赎回申请份额总数加上基金转换中转出申请份额总数后扣除申购申请份额总数及基金转换中转入申请份额总数后的余额</w:t>
      </w:r>
      <w:r w:rsidR="007228CC" w:rsidRPr="00F17515">
        <w:rPr>
          <w:rFonts w:asciiTheme="minorEastAsia" w:eastAsiaTheme="minorEastAsia" w:hAnsiTheme="minorEastAsia" w:hint="eastAsia"/>
          <w:spacing w:val="8"/>
          <w:szCs w:val="21"/>
        </w:rPr>
        <w:t>)</w:t>
      </w:r>
      <w:r w:rsidR="007228CC" w:rsidRPr="00F17515">
        <w:rPr>
          <w:rFonts w:asciiTheme="minorEastAsia" w:eastAsiaTheme="minorEastAsia" w:hAnsiTheme="minorEastAsia"/>
          <w:spacing w:val="8"/>
          <w:szCs w:val="21"/>
        </w:rPr>
        <w:t>超过上一</w:t>
      </w:r>
      <w:r w:rsidR="007228CC" w:rsidRPr="00F17515">
        <w:rPr>
          <w:rFonts w:asciiTheme="minorEastAsia" w:eastAsiaTheme="minorEastAsia" w:hAnsiTheme="minorEastAsia" w:hint="eastAsia"/>
          <w:spacing w:val="8"/>
          <w:szCs w:val="21"/>
        </w:rPr>
        <w:t>开放</w:t>
      </w:r>
      <w:r w:rsidR="007228CC" w:rsidRPr="00F17515">
        <w:rPr>
          <w:rFonts w:asciiTheme="minorEastAsia" w:eastAsiaTheme="minorEastAsia" w:hAnsiTheme="minorEastAsia"/>
          <w:spacing w:val="8"/>
          <w:szCs w:val="21"/>
        </w:rPr>
        <w:t>日基金总份额的10%</w:t>
      </w:r>
    </w:p>
    <w:p w:rsidR="007228CC" w:rsidRPr="00F17515" w:rsidRDefault="00C609DD" w:rsidP="00685A2C">
      <w:pPr>
        <w:snapToGrid w:val="0"/>
        <w:spacing w:line="360" w:lineRule="auto"/>
        <w:ind w:firstLineChars="200" w:firstLine="452"/>
        <w:rPr>
          <w:rFonts w:asciiTheme="minorEastAsia" w:eastAsiaTheme="minorEastAsia" w:hAnsiTheme="minorEastAsia"/>
          <w:spacing w:val="8"/>
          <w:szCs w:val="21"/>
        </w:rPr>
      </w:pPr>
      <w:r w:rsidRPr="00F17515">
        <w:rPr>
          <w:rFonts w:asciiTheme="minorEastAsia" w:eastAsiaTheme="minorEastAsia" w:hAnsiTheme="minorEastAsia"/>
          <w:spacing w:val="8"/>
          <w:szCs w:val="21"/>
        </w:rPr>
        <w:t>5</w:t>
      </w:r>
      <w:r w:rsidR="00575E02" w:rsidRPr="00F17515">
        <w:rPr>
          <w:rFonts w:asciiTheme="minorEastAsia" w:eastAsiaTheme="minorEastAsia" w:hAnsiTheme="minorEastAsia"/>
          <w:spacing w:val="8"/>
          <w:szCs w:val="21"/>
        </w:rPr>
        <w:t>1</w:t>
      </w:r>
      <w:r w:rsidR="0071223F" w:rsidRPr="00F17515">
        <w:rPr>
          <w:rFonts w:asciiTheme="minorEastAsia" w:eastAsiaTheme="minorEastAsia" w:hAnsiTheme="minorEastAsia" w:hint="eastAsia"/>
          <w:spacing w:val="8"/>
          <w:szCs w:val="21"/>
        </w:rPr>
        <w:t>、</w:t>
      </w:r>
      <w:r w:rsidR="007228CC" w:rsidRPr="00F17515">
        <w:rPr>
          <w:rFonts w:asciiTheme="minorEastAsia" w:eastAsiaTheme="minorEastAsia" w:hAnsiTheme="minorEastAsia"/>
          <w:spacing w:val="8"/>
          <w:szCs w:val="21"/>
        </w:rPr>
        <w:t>元</w:t>
      </w:r>
      <w:r w:rsidR="007228CC" w:rsidRPr="00F17515">
        <w:rPr>
          <w:rFonts w:asciiTheme="minorEastAsia" w:eastAsiaTheme="minorEastAsia" w:hAnsiTheme="minorEastAsia" w:hint="eastAsia"/>
          <w:spacing w:val="8"/>
          <w:szCs w:val="21"/>
        </w:rPr>
        <w:t>：</w:t>
      </w:r>
      <w:r w:rsidR="007228CC" w:rsidRPr="00F17515">
        <w:rPr>
          <w:rFonts w:asciiTheme="minorEastAsia" w:eastAsiaTheme="minorEastAsia" w:hAnsiTheme="minorEastAsia"/>
          <w:spacing w:val="8"/>
          <w:szCs w:val="21"/>
        </w:rPr>
        <w:t>指人民币元</w:t>
      </w:r>
    </w:p>
    <w:p w:rsidR="007228CC" w:rsidRPr="00F17515" w:rsidRDefault="00C609DD" w:rsidP="00685A2C">
      <w:pPr>
        <w:snapToGrid w:val="0"/>
        <w:spacing w:line="360" w:lineRule="auto"/>
        <w:ind w:firstLineChars="200" w:firstLine="452"/>
        <w:rPr>
          <w:rFonts w:asciiTheme="minorEastAsia" w:eastAsiaTheme="minorEastAsia" w:hAnsiTheme="minorEastAsia"/>
          <w:spacing w:val="8"/>
          <w:szCs w:val="21"/>
        </w:rPr>
      </w:pPr>
      <w:r w:rsidRPr="00F17515">
        <w:rPr>
          <w:rFonts w:asciiTheme="minorEastAsia" w:eastAsiaTheme="minorEastAsia" w:hAnsiTheme="minorEastAsia"/>
          <w:spacing w:val="8"/>
          <w:szCs w:val="21"/>
        </w:rPr>
        <w:t>5</w:t>
      </w:r>
      <w:r w:rsidR="00575E02" w:rsidRPr="00F17515">
        <w:rPr>
          <w:rFonts w:asciiTheme="minorEastAsia" w:eastAsiaTheme="minorEastAsia" w:hAnsiTheme="minorEastAsia"/>
          <w:spacing w:val="8"/>
          <w:szCs w:val="21"/>
        </w:rPr>
        <w:t>2</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基金收益</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指基金投资所得红利、股息、债券利息、买卖证券价差、银行存款利息</w:t>
      </w:r>
      <w:r w:rsidR="007228CC" w:rsidRPr="00F17515">
        <w:rPr>
          <w:rFonts w:asciiTheme="minorEastAsia" w:eastAsiaTheme="minorEastAsia" w:hAnsiTheme="minorEastAsia" w:hint="eastAsia"/>
          <w:szCs w:val="21"/>
        </w:rPr>
        <w:t>、已实现的其他合法收入及因运用基金财产带来的成本和费用的节约</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5</w:t>
      </w:r>
      <w:r w:rsidR="00575E02" w:rsidRPr="00F17515">
        <w:rPr>
          <w:rFonts w:asciiTheme="minorEastAsia" w:eastAsiaTheme="minorEastAsia" w:hAnsiTheme="minorEastAsia"/>
          <w:szCs w:val="21"/>
        </w:rPr>
        <w:t>3</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基金资产总值：指基金拥有的各类有价证券、银行存款本息、基金应收申购款及其他资产的价值总和</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5</w:t>
      </w:r>
      <w:r w:rsidR="00575E02" w:rsidRPr="00F17515">
        <w:rPr>
          <w:rFonts w:asciiTheme="minorEastAsia" w:eastAsiaTheme="minorEastAsia" w:hAnsiTheme="minorEastAsia"/>
          <w:szCs w:val="21"/>
        </w:rPr>
        <w:t>4</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基金资产净值</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指基金资产总值减去基金负债后的价值</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5</w:t>
      </w:r>
      <w:r w:rsidR="00575E02" w:rsidRPr="00F17515">
        <w:rPr>
          <w:rFonts w:asciiTheme="minorEastAsia" w:eastAsiaTheme="minorEastAsia" w:hAnsiTheme="minorEastAsia"/>
          <w:szCs w:val="21"/>
        </w:rPr>
        <w:t>5</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基金份额净值：指计算日基金资产净值除以计算日基金份额总数</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5</w:t>
      </w:r>
      <w:r w:rsidR="00575E02" w:rsidRPr="00F17515">
        <w:rPr>
          <w:rFonts w:asciiTheme="minorEastAsia" w:eastAsiaTheme="minorEastAsia" w:hAnsiTheme="minorEastAsia"/>
          <w:szCs w:val="21"/>
        </w:rPr>
        <w:t>6</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基金资产估值：指计算评估基金</w:t>
      </w:r>
      <w:r w:rsidR="007228CC" w:rsidRPr="00F17515">
        <w:rPr>
          <w:rFonts w:asciiTheme="minorEastAsia" w:eastAsiaTheme="minorEastAsia" w:hAnsiTheme="minorEastAsia" w:hint="eastAsia"/>
          <w:szCs w:val="21"/>
        </w:rPr>
        <w:t>资产</w:t>
      </w:r>
      <w:r w:rsidR="007228CC" w:rsidRPr="00F17515">
        <w:rPr>
          <w:rFonts w:asciiTheme="minorEastAsia" w:eastAsiaTheme="minorEastAsia" w:hAnsiTheme="minorEastAsia"/>
          <w:szCs w:val="21"/>
        </w:rPr>
        <w:t>和负债的价值，以确定基金资产净值和基金份额净值的过程</w:t>
      </w:r>
    </w:p>
    <w:p w:rsidR="007228CC"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szCs w:val="21"/>
        </w:rPr>
        <w:t>5</w:t>
      </w:r>
      <w:r w:rsidR="00575E02" w:rsidRPr="00F17515">
        <w:rPr>
          <w:rFonts w:asciiTheme="minorEastAsia" w:eastAsiaTheme="minorEastAsia" w:hAnsiTheme="minorEastAsia"/>
          <w:szCs w:val="21"/>
        </w:rPr>
        <w:t>7</w:t>
      </w:r>
      <w:r w:rsidR="0071223F" w:rsidRPr="00F17515">
        <w:rPr>
          <w:rFonts w:asciiTheme="minorEastAsia" w:eastAsiaTheme="minorEastAsia" w:hAnsiTheme="minorEastAsia" w:hint="eastAsia"/>
          <w:szCs w:val="21"/>
        </w:rPr>
        <w:t>、</w:t>
      </w:r>
      <w:r w:rsidR="00575E02" w:rsidRPr="00F17515">
        <w:rPr>
          <w:rFonts w:asciiTheme="minorEastAsia" w:eastAsiaTheme="minorEastAsia" w:hAnsiTheme="minorEastAsia"/>
          <w:szCs w:val="21"/>
        </w:rPr>
        <w:t>指定媒介</w:t>
      </w:r>
      <w:r w:rsidR="007228CC" w:rsidRPr="00F17515">
        <w:rPr>
          <w:rFonts w:asciiTheme="minorEastAsia" w:eastAsiaTheme="minorEastAsia" w:hAnsiTheme="minorEastAsia" w:hint="eastAsia"/>
          <w:szCs w:val="21"/>
        </w:rPr>
        <w:t>：</w:t>
      </w:r>
      <w:r w:rsidR="00575E02" w:rsidRPr="00F17515">
        <w:rPr>
          <w:rFonts w:asciiTheme="minorEastAsia" w:eastAsiaTheme="minorEastAsia" w:hAnsiTheme="minorEastAsia" w:hint="eastAsia"/>
          <w:szCs w:val="21"/>
        </w:rPr>
        <w:t>指中国证监会指定的用以进行信息披露的全国性报刊及指定互联网网站（包括基金管理人网站、基金托管人网站、中国证监会基金电子披露网站）等媒介</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5</w:t>
      </w:r>
      <w:r w:rsidR="00575E02" w:rsidRPr="00F17515">
        <w:rPr>
          <w:rFonts w:asciiTheme="minorEastAsia" w:eastAsiaTheme="minorEastAsia" w:hAnsiTheme="minorEastAsia"/>
          <w:szCs w:val="21"/>
        </w:rPr>
        <w:t>8</w:t>
      </w:r>
      <w:r w:rsidR="0071223F"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不可抗力</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指本基金合同当事人无法预见、无法抗拒、无法避免且在本基金合同由基金管理人、基金托管人签署之日后发生的，使本基金合同当事人无法全部或部分</w:t>
      </w:r>
      <w:r w:rsidR="007228CC" w:rsidRPr="00F17515">
        <w:rPr>
          <w:rFonts w:asciiTheme="minorEastAsia" w:eastAsiaTheme="minorEastAsia" w:hAnsiTheme="minorEastAsia" w:hint="eastAsia"/>
          <w:szCs w:val="21"/>
        </w:rPr>
        <w:t>履行</w:t>
      </w:r>
      <w:r w:rsidR="007228CC" w:rsidRPr="00F17515">
        <w:rPr>
          <w:rFonts w:asciiTheme="minorEastAsia" w:eastAsiaTheme="minorEastAsia" w:hAnsiTheme="minorEastAsia"/>
          <w:szCs w:val="21"/>
        </w:rPr>
        <w:t>本基金合同的任何事件，包括但不限于洪水、地震及其</w:t>
      </w:r>
      <w:r w:rsidR="007228CC" w:rsidRPr="00F17515">
        <w:rPr>
          <w:rFonts w:asciiTheme="minorEastAsia" w:eastAsiaTheme="minorEastAsia" w:hAnsiTheme="minorEastAsia" w:hint="eastAsia"/>
          <w:szCs w:val="21"/>
        </w:rPr>
        <w:t>他</w:t>
      </w:r>
      <w:r w:rsidR="007228CC" w:rsidRPr="00F17515">
        <w:rPr>
          <w:rFonts w:asciiTheme="minorEastAsia" w:eastAsiaTheme="minorEastAsia" w:hAnsiTheme="minorEastAsia"/>
          <w:szCs w:val="21"/>
        </w:rPr>
        <w:t>自然灾害、战争、骚乱、火灾、政府征</w:t>
      </w:r>
      <w:r w:rsidR="007228CC" w:rsidRPr="00F17515">
        <w:rPr>
          <w:rFonts w:asciiTheme="minorEastAsia" w:eastAsiaTheme="minorEastAsia" w:hAnsiTheme="minorEastAsia"/>
          <w:szCs w:val="21"/>
        </w:rPr>
        <w:lastRenderedPageBreak/>
        <w:t>用、没收、</w:t>
      </w:r>
      <w:r w:rsidR="007228CC" w:rsidRPr="00F17515">
        <w:rPr>
          <w:rFonts w:asciiTheme="minorEastAsia" w:eastAsiaTheme="minorEastAsia" w:hAnsiTheme="minorEastAsia" w:hint="eastAsia"/>
          <w:szCs w:val="21"/>
        </w:rPr>
        <w:t>恐怖袭击、传染病传播、</w:t>
      </w:r>
      <w:r w:rsidR="007228CC" w:rsidRPr="00F17515">
        <w:rPr>
          <w:rFonts w:asciiTheme="minorEastAsia" w:eastAsiaTheme="minorEastAsia" w:hAnsiTheme="minorEastAsia"/>
          <w:szCs w:val="21"/>
        </w:rPr>
        <w:t>法律法规变化、突发停电或其他突发事件、证券交易所非正常暂停或停止交易</w:t>
      </w:r>
    </w:p>
    <w:p w:rsidR="00C609DD" w:rsidRPr="00F17515" w:rsidRDefault="00C609DD" w:rsidP="0071223F">
      <w:pPr>
        <w:snapToGrid w:val="0"/>
        <w:spacing w:line="360" w:lineRule="auto"/>
        <w:ind w:firstLineChars="200" w:firstLine="420"/>
        <w:rPr>
          <w:rFonts w:asciiTheme="minorEastAsia" w:eastAsiaTheme="minorEastAsia" w:hAnsiTheme="minorEastAsia"/>
          <w:spacing w:val="8"/>
          <w:szCs w:val="21"/>
        </w:rPr>
      </w:pPr>
      <w:r w:rsidRPr="00F17515">
        <w:rPr>
          <w:rFonts w:asciiTheme="minorEastAsia" w:eastAsiaTheme="minorEastAsia" w:hAnsiTheme="minorEastAsia" w:hint="eastAsia"/>
          <w:szCs w:val="21"/>
        </w:rPr>
        <w:t>5</w:t>
      </w:r>
      <w:r w:rsidR="00575E02" w:rsidRPr="00F17515">
        <w:rPr>
          <w:rFonts w:asciiTheme="minorEastAsia" w:eastAsiaTheme="minorEastAsia" w:hAnsiTheme="minorEastAsia" w:hint="eastAsia"/>
          <w:szCs w:val="21"/>
        </w:rPr>
        <w:t>9</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流动性受限资产：</w:t>
      </w:r>
      <w:r w:rsidRPr="00F17515">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8" w:name="_Toc211920119"/>
      <w:bookmarkStart w:id="9" w:name="_Toc211927650"/>
      <w:bookmarkStart w:id="10" w:name="_Toc41556754"/>
      <w:r w:rsidRPr="00F17515">
        <w:rPr>
          <w:rFonts w:asciiTheme="minorEastAsia" w:eastAsiaTheme="minorEastAsia" w:hAnsiTheme="minorEastAsia" w:hint="eastAsia"/>
          <w:b/>
        </w:rPr>
        <w:lastRenderedPageBreak/>
        <w:t>基金管理人</w:t>
      </w:r>
      <w:bookmarkEnd w:id="8"/>
      <w:bookmarkEnd w:id="9"/>
      <w:bookmarkEnd w:id="10"/>
    </w:p>
    <w:p w:rsidR="007228CC" w:rsidRPr="00F17515" w:rsidRDefault="007228CC" w:rsidP="00941EC8">
      <w:pPr>
        <w:pStyle w:val="2"/>
        <w:keepNext w:val="0"/>
        <w:snapToGrid w:val="0"/>
        <w:spacing w:beforeLines="0" w:afterLines="0" w:line="360" w:lineRule="auto"/>
        <w:ind w:firstLineChars="0" w:firstLine="0"/>
        <w:rPr>
          <w:rFonts w:asciiTheme="minorEastAsia" w:eastAsiaTheme="minorEastAsia" w:hAnsiTheme="minorEastAsia"/>
          <w:sz w:val="21"/>
        </w:rPr>
      </w:pPr>
      <w:bookmarkStart w:id="11" w:name="_Toc133292563"/>
      <w:bookmarkStart w:id="12" w:name="_Toc163189520"/>
      <w:bookmarkStart w:id="13" w:name="_Toc211920120"/>
      <w:bookmarkStart w:id="14" w:name="_Toc211927651"/>
      <w:bookmarkStart w:id="15" w:name="_Toc41556755"/>
      <w:r w:rsidRPr="00F17515">
        <w:rPr>
          <w:rFonts w:asciiTheme="minorEastAsia" w:eastAsiaTheme="minorEastAsia" w:hAnsiTheme="minorEastAsia" w:cs="仿宋_GB2312" w:hint="eastAsia"/>
          <w:bCs/>
          <w:kern w:val="0"/>
          <w:szCs w:val="24"/>
        </w:rPr>
        <w:t>（一）</w:t>
      </w:r>
      <w:r w:rsidRPr="00F17515">
        <w:rPr>
          <w:rFonts w:asciiTheme="minorEastAsia" w:eastAsiaTheme="minorEastAsia" w:hAnsiTheme="minorEastAsia" w:cs="仿宋_GB2312"/>
          <w:bCs/>
          <w:kern w:val="0"/>
          <w:szCs w:val="24"/>
        </w:rPr>
        <w:t>基金管理人</w:t>
      </w:r>
      <w:r w:rsidRPr="00F17515">
        <w:rPr>
          <w:rFonts w:asciiTheme="minorEastAsia" w:eastAsiaTheme="minorEastAsia" w:hAnsiTheme="minorEastAsia" w:cs="仿宋_GB2312" w:hint="eastAsia"/>
          <w:bCs/>
          <w:kern w:val="0"/>
          <w:szCs w:val="24"/>
        </w:rPr>
        <w:t>基本情况</w:t>
      </w:r>
      <w:bookmarkEnd w:id="11"/>
      <w:bookmarkEnd w:id="12"/>
      <w:bookmarkEnd w:id="13"/>
      <w:bookmarkEnd w:id="14"/>
      <w:bookmarkEnd w:id="15"/>
    </w:p>
    <w:p w:rsidR="007A1498" w:rsidRPr="00F17515" w:rsidRDefault="0071223F" w:rsidP="0071223F">
      <w:pPr>
        <w:pStyle w:val="af"/>
        <w:adjustRightInd w:val="0"/>
        <w:snapToGrid w:val="0"/>
        <w:spacing w:line="360" w:lineRule="auto"/>
        <w:ind w:firstLine="420"/>
        <w:textAlignment w:val="baseline"/>
        <w:rPr>
          <w:rFonts w:asciiTheme="minorEastAsia" w:eastAsiaTheme="minorEastAsia" w:hAnsiTheme="minorEastAsia"/>
          <w:kern w:val="0"/>
          <w:szCs w:val="24"/>
        </w:rPr>
      </w:pPr>
      <w:r w:rsidRPr="00F17515">
        <w:rPr>
          <w:rFonts w:asciiTheme="minorEastAsia" w:eastAsiaTheme="minorEastAsia" w:hAnsiTheme="minorEastAsia" w:hint="eastAsia"/>
          <w:kern w:val="0"/>
          <w:szCs w:val="24"/>
        </w:rPr>
        <w:t>1、</w:t>
      </w:r>
      <w:r w:rsidR="007228CC" w:rsidRPr="00F17515">
        <w:rPr>
          <w:rFonts w:asciiTheme="minorEastAsia" w:eastAsiaTheme="minorEastAsia" w:hAnsiTheme="minorEastAsia"/>
          <w:kern w:val="0"/>
          <w:szCs w:val="24"/>
        </w:rPr>
        <w:t>基金管理人：</w:t>
      </w:r>
      <w:r w:rsidR="007A1498" w:rsidRPr="00F17515">
        <w:rPr>
          <w:rFonts w:asciiTheme="minorEastAsia" w:eastAsiaTheme="minorEastAsia" w:hAnsiTheme="minorEastAsia" w:hint="eastAsia"/>
          <w:kern w:val="0"/>
          <w:szCs w:val="24"/>
        </w:rPr>
        <w:t>易方达基金管理有限公司</w:t>
      </w:r>
    </w:p>
    <w:p w:rsidR="00F600E2" w:rsidRPr="00F17515" w:rsidRDefault="0061227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注册地址：</w:t>
      </w:r>
      <w:r w:rsidR="00F600E2" w:rsidRPr="00F17515">
        <w:rPr>
          <w:rFonts w:asciiTheme="minorEastAsia" w:eastAsiaTheme="minorEastAsia" w:hAnsiTheme="minorEastAsia" w:hint="eastAsia"/>
        </w:rPr>
        <w:t>广东省珠海市横琴新区宝华路6号105室-42891（集中办公区）</w:t>
      </w:r>
    </w:p>
    <w:p w:rsidR="0061227C" w:rsidRPr="00F17515" w:rsidRDefault="0061227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办公地址：广州市</w:t>
      </w:r>
      <w:r w:rsidR="001E4DE9" w:rsidRPr="00F17515">
        <w:rPr>
          <w:rFonts w:asciiTheme="minorEastAsia" w:eastAsiaTheme="minorEastAsia" w:hAnsiTheme="minorEastAsia" w:hint="eastAsia"/>
        </w:rPr>
        <w:t>天河区珠江新城珠江东路30号广州银行大厦40-43楼</w:t>
      </w:r>
    </w:p>
    <w:p w:rsidR="0061227C" w:rsidRPr="00F17515" w:rsidRDefault="0061227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设立日期：2001年4月17日</w:t>
      </w:r>
    </w:p>
    <w:p w:rsidR="0061227C" w:rsidRPr="00F17515" w:rsidRDefault="0061227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法定代表人：</w:t>
      </w:r>
      <w:r w:rsidR="00C45C67" w:rsidRPr="00F17515">
        <w:rPr>
          <w:rFonts w:asciiTheme="minorEastAsia" w:eastAsiaTheme="minorEastAsia" w:hAnsiTheme="minorEastAsia" w:hint="eastAsia"/>
        </w:rPr>
        <w:t>刘晓艳</w:t>
      </w:r>
    </w:p>
    <w:p w:rsidR="0061227C" w:rsidRPr="00F17515" w:rsidRDefault="0061227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联系电话：4008818088</w:t>
      </w:r>
    </w:p>
    <w:p w:rsidR="0061227C" w:rsidRPr="00F17515" w:rsidRDefault="00235681"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联系人：李红枫</w:t>
      </w:r>
    </w:p>
    <w:p w:rsidR="007228CC" w:rsidRPr="00F17515" w:rsidRDefault="000D0F2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rPr>
        <w:t>注册资本：13,244.2万元人民币</w:t>
      </w:r>
    </w:p>
    <w:p w:rsidR="007228CC" w:rsidRPr="00F17515" w:rsidRDefault="0071223F" w:rsidP="0071223F">
      <w:pPr>
        <w:pStyle w:val="CharCharCharCharCharCharChar"/>
        <w:numPr>
          <w:ilvl w:val="0"/>
          <w:numId w:val="0"/>
        </w:numPr>
        <w:adjustRightInd w:val="0"/>
        <w:snapToGrid w:val="0"/>
        <w:spacing w:after="0" w:line="360" w:lineRule="auto"/>
        <w:ind w:firstLineChars="202" w:firstLine="424"/>
        <w:textAlignment w:val="baseline"/>
        <w:rPr>
          <w:rFonts w:asciiTheme="minorEastAsia" w:eastAsiaTheme="minorEastAsia" w:hAnsiTheme="minorEastAsia"/>
          <w:sz w:val="21"/>
        </w:rPr>
      </w:pPr>
      <w:r w:rsidRPr="00F17515">
        <w:rPr>
          <w:rFonts w:asciiTheme="minorEastAsia" w:eastAsiaTheme="minorEastAsia" w:hAnsiTheme="minorEastAsia" w:hint="eastAsia"/>
          <w:sz w:val="21"/>
        </w:rPr>
        <w:t>2、</w:t>
      </w:r>
      <w:r w:rsidR="007228CC" w:rsidRPr="00F17515">
        <w:rPr>
          <w:rFonts w:asciiTheme="minorEastAsia" w:eastAsiaTheme="minorEastAsia" w:hAnsiTheme="minorEastAsia" w:hint="eastAsia"/>
          <w:sz w:val="21"/>
        </w:rPr>
        <w:t>股权结构：</w:t>
      </w:r>
    </w:p>
    <w:tbl>
      <w:tblPr>
        <w:tblW w:w="6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1837"/>
      </w:tblGrid>
      <w:tr w:rsidR="00F17515" w:rsidRPr="00F17515" w:rsidTr="00022BC6">
        <w:trPr>
          <w:trHeight w:val="525"/>
          <w:jc w:val="center"/>
        </w:trPr>
        <w:tc>
          <w:tcPr>
            <w:tcW w:w="4785" w:type="dxa"/>
            <w:vAlign w:val="center"/>
          </w:tcPr>
          <w:p w:rsidR="003F3D6A" w:rsidRPr="00F17515" w:rsidRDefault="007228CC">
            <w:pPr>
              <w:snapToGrid w:val="0"/>
              <w:spacing w:line="360" w:lineRule="auto"/>
              <w:ind w:firstLine="420"/>
              <w:jc w:val="center"/>
              <w:rPr>
                <w:rFonts w:asciiTheme="minorEastAsia" w:eastAsiaTheme="minorEastAsia" w:hAnsiTheme="minorEastAsia"/>
                <w:b/>
              </w:rPr>
            </w:pPr>
            <w:r w:rsidRPr="00F17515">
              <w:rPr>
                <w:rFonts w:asciiTheme="minorEastAsia" w:eastAsiaTheme="minorEastAsia" w:hAnsiTheme="minorEastAsia" w:hint="eastAsia"/>
                <w:b/>
              </w:rPr>
              <w:t>股东名称</w:t>
            </w:r>
          </w:p>
        </w:tc>
        <w:tc>
          <w:tcPr>
            <w:tcW w:w="1837" w:type="dxa"/>
            <w:vAlign w:val="center"/>
          </w:tcPr>
          <w:p w:rsidR="003F3D6A" w:rsidRPr="00F17515" w:rsidRDefault="007228CC">
            <w:pPr>
              <w:snapToGrid w:val="0"/>
              <w:spacing w:line="360" w:lineRule="auto"/>
              <w:ind w:firstLine="420"/>
              <w:jc w:val="center"/>
              <w:rPr>
                <w:rFonts w:asciiTheme="minorEastAsia" w:eastAsiaTheme="minorEastAsia" w:hAnsiTheme="minorEastAsia"/>
                <w:b/>
              </w:rPr>
            </w:pPr>
            <w:r w:rsidRPr="00F17515">
              <w:rPr>
                <w:rFonts w:asciiTheme="minorEastAsia" w:eastAsiaTheme="minorEastAsia" w:hAnsiTheme="minorEastAsia" w:hint="eastAsia"/>
                <w:b/>
              </w:rPr>
              <w:t>出资比例</w:t>
            </w:r>
          </w:p>
        </w:tc>
      </w:tr>
      <w:tr w:rsidR="00F17515" w:rsidRPr="00F17515" w:rsidTr="00022BC6">
        <w:trPr>
          <w:trHeight w:val="525"/>
          <w:jc w:val="center"/>
        </w:trPr>
        <w:tc>
          <w:tcPr>
            <w:tcW w:w="4785" w:type="dxa"/>
            <w:vAlign w:val="center"/>
          </w:tcPr>
          <w:p w:rsidR="00B43765"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广东粤财信托有限公司</w:t>
            </w:r>
          </w:p>
        </w:tc>
        <w:tc>
          <w:tcPr>
            <w:tcW w:w="1837" w:type="dxa"/>
            <w:vAlign w:val="center"/>
          </w:tcPr>
          <w:p w:rsidR="003F3D6A"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22.6514％</w:t>
            </w:r>
          </w:p>
        </w:tc>
      </w:tr>
      <w:tr w:rsidR="00F17515" w:rsidRPr="00F17515" w:rsidTr="00022BC6">
        <w:trPr>
          <w:trHeight w:val="525"/>
          <w:jc w:val="center"/>
        </w:trPr>
        <w:tc>
          <w:tcPr>
            <w:tcW w:w="4785" w:type="dxa"/>
            <w:vAlign w:val="center"/>
          </w:tcPr>
          <w:p w:rsidR="00B43765" w:rsidRPr="00F17515" w:rsidRDefault="000D0F2C" w:rsidP="004E41A1">
            <w:pPr>
              <w:pStyle w:val="CharCharCharCharCharCharChar"/>
              <w:numPr>
                <w:ilvl w:val="0"/>
                <w:numId w:val="0"/>
              </w:numPr>
              <w:snapToGrid w:val="0"/>
              <w:spacing w:after="0"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sz w:val="21"/>
                <w:szCs w:val="24"/>
              </w:rPr>
              <w:t>广发证券股份有限公司</w:t>
            </w:r>
          </w:p>
        </w:tc>
        <w:tc>
          <w:tcPr>
            <w:tcW w:w="1837" w:type="dxa"/>
            <w:vAlign w:val="center"/>
          </w:tcPr>
          <w:p w:rsidR="003F3D6A"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22.6514％</w:t>
            </w:r>
          </w:p>
        </w:tc>
      </w:tr>
      <w:tr w:rsidR="00F17515" w:rsidRPr="00F17515" w:rsidTr="00022BC6">
        <w:trPr>
          <w:trHeight w:val="525"/>
          <w:jc w:val="center"/>
        </w:trPr>
        <w:tc>
          <w:tcPr>
            <w:tcW w:w="4785" w:type="dxa"/>
            <w:vAlign w:val="center"/>
          </w:tcPr>
          <w:p w:rsidR="00B43765"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盈峰控股集团有限公司</w:t>
            </w:r>
          </w:p>
        </w:tc>
        <w:tc>
          <w:tcPr>
            <w:tcW w:w="1837" w:type="dxa"/>
            <w:vAlign w:val="center"/>
          </w:tcPr>
          <w:p w:rsidR="003F3D6A"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22.6514％</w:t>
            </w:r>
          </w:p>
        </w:tc>
      </w:tr>
      <w:tr w:rsidR="00F17515" w:rsidRPr="00F17515" w:rsidTr="00022BC6">
        <w:trPr>
          <w:trHeight w:val="525"/>
          <w:jc w:val="center"/>
        </w:trPr>
        <w:tc>
          <w:tcPr>
            <w:tcW w:w="4785" w:type="dxa"/>
            <w:vAlign w:val="center"/>
          </w:tcPr>
          <w:p w:rsidR="00B43765"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广东省广晟资产经营有限公司</w:t>
            </w:r>
          </w:p>
        </w:tc>
        <w:tc>
          <w:tcPr>
            <w:tcW w:w="1837" w:type="dxa"/>
            <w:vAlign w:val="center"/>
          </w:tcPr>
          <w:p w:rsidR="003F3D6A"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15.1010％</w:t>
            </w:r>
          </w:p>
        </w:tc>
      </w:tr>
      <w:tr w:rsidR="00F17515" w:rsidRPr="00F17515" w:rsidTr="00022BC6">
        <w:trPr>
          <w:trHeight w:val="525"/>
          <w:jc w:val="center"/>
        </w:trPr>
        <w:tc>
          <w:tcPr>
            <w:tcW w:w="4785" w:type="dxa"/>
            <w:vAlign w:val="center"/>
          </w:tcPr>
          <w:p w:rsidR="00B43765"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广州市广永国有资产经营有限公司</w:t>
            </w:r>
          </w:p>
        </w:tc>
        <w:tc>
          <w:tcPr>
            <w:tcW w:w="1837" w:type="dxa"/>
            <w:vAlign w:val="center"/>
          </w:tcPr>
          <w:p w:rsidR="003F3D6A"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7.5505％</w:t>
            </w:r>
          </w:p>
        </w:tc>
      </w:tr>
      <w:tr w:rsidR="00F17515" w:rsidRPr="00F17515" w:rsidTr="00022BC6">
        <w:trPr>
          <w:trHeight w:val="525"/>
          <w:jc w:val="center"/>
        </w:trPr>
        <w:tc>
          <w:tcPr>
            <w:tcW w:w="4785" w:type="dxa"/>
            <w:vAlign w:val="center"/>
          </w:tcPr>
          <w:p w:rsidR="00B43765"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珠海祺荣宝股权投资合伙企业（有限合伙）</w:t>
            </w:r>
          </w:p>
        </w:tc>
        <w:tc>
          <w:tcPr>
            <w:tcW w:w="1837" w:type="dxa"/>
            <w:vAlign w:val="center"/>
          </w:tcPr>
          <w:p w:rsidR="003F3D6A"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1.5087％</w:t>
            </w:r>
          </w:p>
        </w:tc>
      </w:tr>
      <w:tr w:rsidR="00F17515" w:rsidRPr="00F17515" w:rsidTr="00022BC6">
        <w:trPr>
          <w:trHeight w:val="525"/>
          <w:jc w:val="center"/>
        </w:trPr>
        <w:tc>
          <w:tcPr>
            <w:tcW w:w="4785" w:type="dxa"/>
            <w:vAlign w:val="center"/>
          </w:tcPr>
          <w:p w:rsidR="000D0F2C"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珠海祺泰宝股权投资合伙企业（有限合伙）</w:t>
            </w:r>
          </w:p>
        </w:tc>
        <w:tc>
          <w:tcPr>
            <w:tcW w:w="1837" w:type="dxa"/>
            <w:vAlign w:val="center"/>
          </w:tcPr>
          <w:p w:rsidR="000D0F2C"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1.6205％</w:t>
            </w:r>
          </w:p>
        </w:tc>
      </w:tr>
      <w:tr w:rsidR="00F17515" w:rsidRPr="00F17515" w:rsidTr="00022BC6">
        <w:trPr>
          <w:trHeight w:val="525"/>
          <w:jc w:val="center"/>
        </w:trPr>
        <w:tc>
          <w:tcPr>
            <w:tcW w:w="4785" w:type="dxa"/>
            <w:vAlign w:val="center"/>
          </w:tcPr>
          <w:p w:rsidR="000D0F2C"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珠海祺丰宝股权投资合伙企业（有限合伙）</w:t>
            </w:r>
          </w:p>
        </w:tc>
        <w:tc>
          <w:tcPr>
            <w:tcW w:w="1837" w:type="dxa"/>
            <w:vAlign w:val="center"/>
          </w:tcPr>
          <w:p w:rsidR="000D0F2C"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1.5309％</w:t>
            </w:r>
          </w:p>
        </w:tc>
      </w:tr>
      <w:tr w:rsidR="00F17515" w:rsidRPr="00F17515" w:rsidTr="00022BC6">
        <w:trPr>
          <w:trHeight w:val="525"/>
          <w:jc w:val="center"/>
        </w:trPr>
        <w:tc>
          <w:tcPr>
            <w:tcW w:w="4785" w:type="dxa"/>
            <w:vAlign w:val="center"/>
          </w:tcPr>
          <w:p w:rsidR="000D0F2C"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珠海聚莱康股权投资合伙企业（有限合伙）</w:t>
            </w:r>
          </w:p>
        </w:tc>
        <w:tc>
          <w:tcPr>
            <w:tcW w:w="1837" w:type="dxa"/>
            <w:vAlign w:val="center"/>
          </w:tcPr>
          <w:p w:rsidR="000D0F2C"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1.7558％</w:t>
            </w:r>
          </w:p>
        </w:tc>
      </w:tr>
      <w:tr w:rsidR="00F17515" w:rsidRPr="00F17515" w:rsidTr="00022BC6">
        <w:trPr>
          <w:trHeight w:val="525"/>
          <w:jc w:val="center"/>
        </w:trPr>
        <w:tc>
          <w:tcPr>
            <w:tcW w:w="4785" w:type="dxa"/>
            <w:vAlign w:val="center"/>
          </w:tcPr>
          <w:p w:rsidR="000D0F2C"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珠海聚宁康股权投资合伙企业（有限合伙）</w:t>
            </w:r>
          </w:p>
        </w:tc>
        <w:tc>
          <w:tcPr>
            <w:tcW w:w="1837" w:type="dxa"/>
            <w:vAlign w:val="center"/>
          </w:tcPr>
          <w:p w:rsidR="000D0F2C"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1.4396％</w:t>
            </w:r>
          </w:p>
        </w:tc>
      </w:tr>
      <w:tr w:rsidR="00F17515" w:rsidRPr="00F17515" w:rsidTr="00022BC6">
        <w:trPr>
          <w:trHeight w:val="525"/>
          <w:jc w:val="center"/>
        </w:trPr>
        <w:tc>
          <w:tcPr>
            <w:tcW w:w="4785" w:type="dxa"/>
            <w:vAlign w:val="center"/>
          </w:tcPr>
          <w:p w:rsidR="000D0F2C"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珠海聚弘康股权投资合伙企业（有限合伙）</w:t>
            </w:r>
          </w:p>
        </w:tc>
        <w:tc>
          <w:tcPr>
            <w:tcW w:w="1837" w:type="dxa"/>
            <w:vAlign w:val="center"/>
          </w:tcPr>
          <w:p w:rsidR="000D0F2C"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1.5388％</w:t>
            </w:r>
          </w:p>
        </w:tc>
      </w:tr>
      <w:tr w:rsidR="00F17515" w:rsidRPr="00F17515" w:rsidTr="00022BC6">
        <w:trPr>
          <w:trHeight w:val="525"/>
          <w:jc w:val="center"/>
        </w:trPr>
        <w:tc>
          <w:tcPr>
            <w:tcW w:w="4785" w:type="dxa"/>
            <w:vAlign w:val="center"/>
          </w:tcPr>
          <w:p w:rsidR="000D0F2C" w:rsidRPr="00F17515" w:rsidRDefault="000D0F2C" w:rsidP="004E41A1">
            <w:pPr>
              <w:snapToGrid w:val="0"/>
              <w:spacing w:line="360" w:lineRule="auto"/>
              <w:ind w:firstLine="420"/>
              <w:jc w:val="center"/>
              <w:rPr>
                <w:rFonts w:asciiTheme="minorEastAsia" w:eastAsiaTheme="minorEastAsia" w:hAnsiTheme="minorEastAsia"/>
              </w:rPr>
            </w:pPr>
            <w:r w:rsidRPr="00F17515">
              <w:rPr>
                <w:rFonts w:asciiTheme="minorEastAsia" w:eastAsiaTheme="minorEastAsia" w:hAnsiTheme="minorEastAsia" w:hint="eastAsia"/>
              </w:rPr>
              <w:t>总</w:t>
            </w:r>
            <w:r w:rsidRPr="00F17515">
              <w:rPr>
                <w:rFonts w:asciiTheme="minorEastAsia" w:eastAsiaTheme="minorEastAsia" w:hAnsiTheme="minorEastAsia"/>
              </w:rPr>
              <w:t>计</w:t>
            </w:r>
          </w:p>
        </w:tc>
        <w:tc>
          <w:tcPr>
            <w:tcW w:w="1837" w:type="dxa"/>
            <w:vAlign w:val="center"/>
          </w:tcPr>
          <w:p w:rsidR="000D0F2C" w:rsidRPr="00F17515" w:rsidRDefault="000D0F2C">
            <w:pPr>
              <w:tabs>
                <w:tab w:val="left" w:pos="1621"/>
              </w:tabs>
              <w:snapToGrid w:val="0"/>
              <w:spacing w:line="360" w:lineRule="auto"/>
              <w:ind w:rightChars="-56" w:right="-118"/>
              <w:jc w:val="center"/>
              <w:rPr>
                <w:rFonts w:asciiTheme="minorEastAsia" w:eastAsiaTheme="minorEastAsia" w:hAnsiTheme="minorEastAsia"/>
              </w:rPr>
            </w:pPr>
            <w:r w:rsidRPr="00F17515">
              <w:rPr>
                <w:rFonts w:asciiTheme="minorEastAsia" w:eastAsiaTheme="minorEastAsia" w:hAnsiTheme="minorEastAsia"/>
              </w:rPr>
              <w:t>100％</w:t>
            </w:r>
          </w:p>
        </w:tc>
      </w:tr>
    </w:tbl>
    <w:p w:rsidR="007228CC" w:rsidRPr="00F17515" w:rsidRDefault="007228CC" w:rsidP="0071223F">
      <w:pPr>
        <w:pStyle w:val="2"/>
        <w:snapToGrid w:val="0"/>
        <w:spacing w:beforeLines="0" w:afterLines="0" w:line="360" w:lineRule="auto"/>
        <w:ind w:firstLineChars="0" w:firstLine="0"/>
        <w:rPr>
          <w:rFonts w:asciiTheme="minorEastAsia" w:eastAsiaTheme="minorEastAsia" w:hAnsiTheme="minorEastAsia" w:cs="仿宋_GB2312"/>
          <w:bCs/>
          <w:kern w:val="0"/>
          <w:szCs w:val="24"/>
        </w:rPr>
      </w:pPr>
      <w:bookmarkStart w:id="16" w:name="_Toc133292564"/>
      <w:bookmarkStart w:id="17" w:name="_Toc163189521"/>
      <w:bookmarkStart w:id="18" w:name="_Toc211920121"/>
      <w:bookmarkStart w:id="19" w:name="_Toc211927652"/>
      <w:bookmarkStart w:id="20" w:name="_Toc41556756"/>
      <w:r w:rsidRPr="00F17515">
        <w:rPr>
          <w:rFonts w:asciiTheme="minorEastAsia" w:eastAsiaTheme="minorEastAsia" w:hAnsiTheme="minorEastAsia" w:hint="eastAsia"/>
          <w:bCs/>
          <w:szCs w:val="21"/>
        </w:rPr>
        <w:t>（二）</w:t>
      </w:r>
      <w:r w:rsidRPr="00F17515">
        <w:rPr>
          <w:rFonts w:asciiTheme="minorEastAsia" w:eastAsiaTheme="minorEastAsia" w:hAnsiTheme="minorEastAsia"/>
          <w:bCs/>
          <w:szCs w:val="21"/>
        </w:rPr>
        <w:t>主要人员情况</w:t>
      </w:r>
      <w:bookmarkEnd w:id="16"/>
      <w:bookmarkEnd w:id="17"/>
      <w:bookmarkEnd w:id="18"/>
      <w:bookmarkEnd w:id="19"/>
      <w:bookmarkEnd w:id="20"/>
    </w:p>
    <w:p w:rsidR="007228CC" w:rsidRPr="00F17515" w:rsidRDefault="0071223F" w:rsidP="0071223F">
      <w:pPr>
        <w:pStyle w:val="af"/>
        <w:adjustRightInd w:val="0"/>
        <w:snapToGrid w:val="0"/>
        <w:spacing w:line="360" w:lineRule="auto"/>
        <w:ind w:firstLine="420"/>
        <w:textAlignment w:val="baseline"/>
        <w:rPr>
          <w:rFonts w:asciiTheme="minorEastAsia" w:eastAsiaTheme="minorEastAsia" w:hAnsiTheme="minorEastAsia"/>
          <w:kern w:val="0"/>
        </w:rPr>
      </w:pPr>
      <w:r w:rsidRPr="00F17515">
        <w:rPr>
          <w:rFonts w:asciiTheme="minorEastAsia" w:eastAsiaTheme="minorEastAsia" w:hAnsiTheme="minorEastAsia"/>
          <w:kern w:val="0"/>
        </w:rPr>
        <w:t>1、</w:t>
      </w:r>
      <w:r w:rsidR="007228CC" w:rsidRPr="00F17515">
        <w:rPr>
          <w:rFonts w:asciiTheme="minorEastAsia" w:eastAsiaTheme="minorEastAsia" w:hAnsiTheme="minorEastAsia" w:hint="eastAsia"/>
          <w:kern w:val="0"/>
        </w:rPr>
        <w:t>董事、监事及高级管理人员</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w:t>
      </w:r>
      <w:r w:rsidRPr="00F17515">
        <w:rPr>
          <w:rFonts w:asciiTheme="minorEastAsia" w:eastAsiaTheme="minorEastAsia" w:hAnsiTheme="minorEastAsia" w:cs="Times New Roman" w:hint="eastAsia"/>
          <w:szCs w:val="24"/>
        </w:rPr>
        <w:lastRenderedPageBreak/>
        <w:t>持工作）；全国社会保障基金理事会投资部资产配置处处长、投资部副主任、境外投资部主任、投资部主任、证券投资部主任。现任易方达基金管理有限公司董事长；易方达国际控股有限公司董事长。</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易方达基金管理有限公司董事；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谭劲松先生，管理学博士（会计学），独立董事。曾任邵阳市财会学校教师；中山大学管理学院助教、讲师、副教授。现任易方达基金管理有限公司独立董事；中山大学管理学院</w:t>
      </w:r>
      <w:r w:rsidRPr="00F17515">
        <w:rPr>
          <w:rFonts w:asciiTheme="minorEastAsia" w:eastAsiaTheme="minorEastAsia" w:hAnsiTheme="minorEastAsia" w:cs="Times New Roman" w:hint="eastAsia"/>
          <w:szCs w:val="24"/>
        </w:rPr>
        <w:lastRenderedPageBreak/>
        <w:t>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刘发宏先生，工商管理硕士（MBA），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纪委委员、党委办主任、人力资源部总经理。</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党总支部委员会委员、董事长；广州广永股权投资基金管理有限公司董事长；广州广永投资管理有限公司支部书记、董事长、总经理。</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张优造先生，工商管理硕士(MBA)，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lastRenderedPageBreak/>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马骏先生，高级管理人员工商管理硕士（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裁；易方达资产管理（香港）有限公司董事、人民币合格境外投资者（RQFII）业务负责人、证券交易负责人员（RO）、就证券提供意见负责人员（RO）、提供资产管理负责人员（RO）、固定收益投资决策委员会委员、产品审批委员会委员。</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张南女士，经济学博士，督察长。曾任广东省经济贸易委员会主任科员、副处长；易方达基金管理有限公司市场拓展部副总经理、监察部总经理。现任易方达基金管理有限公司督察长。</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范岳先生，工商管理硕士(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关秀霞女士，财务硕士、工商管理硕士，首席国际业务官。曾任中国银行 (香港) 分析员；Daniel Dennis 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高松凡先生，高级管理人员工商管理硕士（EMBA），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rsidR="00730CCC" w:rsidRPr="00F17515" w:rsidRDefault="00730CCC" w:rsidP="00730CCC">
      <w:pPr>
        <w:pStyle w:val="af"/>
        <w:adjustRightInd w:val="0"/>
        <w:snapToGrid w:val="0"/>
        <w:spacing w:line="360" w:lineRule="auto"/>
        <w:ind w:firstLine="420"/>
        <w:textAlignment w:val="baseline"/>
        <w:rPr>
          <w:rFonts w:asciiTheme="minorEastAsia" w:eastAsiaTheme="minorEastAsia" w:hAnsiTheme="minorEastAsia" w:cs="Times New Roman"/>
          <w:szCs w:val="24"/>
        </w:rPr>
      </w:pPr>
      <w:r w:rsidRPr="00F17515">
        <w:rPr>
          <w:rFonts w:asciiTheme="minorEastAsia" w:eastAsiaTheme="minorEastAsia" w:hAnsiTheme="minorEastAsia" w:cs="Times New Roman" w:hint="eastAsia"/>
          <w:szCs w:val="24"/>
        </w:rPr>
        <w:t>陈荣女士，经济学博士，首席运营官。曾任中国人民银行广州分行统计研究处科员；易</w:t>
      </w:r>
      <w:r w:rsidRPr="00F17515">
        <w:rPr>
          <w:rFonts w:asciiTheme="minorEastAsia" w:eastAsiaTheme="minorEastAsia" w:hAnsiTheme="minorEastAsia" w:cs="Times New Roman" w:hint="eastAsia"/>
          <w:szCs w:val="24"/>
        </w:rPr>
        <w:lastRenderedPageBreak/>
        <w:t>方达基金管理有限公司运作支持部经理、核算部总经理助理、核算部副总经理、核算部总经理、投资风险管理部总经理、公司总裁助理、公司董事会秘书。现任易方达基金管理有限公司首席运营官、公司财务中心主任；易方达资产管理（香港）有限公司董事；易方达资产管理有限公司监事；易方达海外投资（深圳）有限公司监事。</w:t>
      </w:r>
    </w:p>
    <w:p w:rsidR="00851736" w:rsidRPr="00F17515" w:rsidRDefault="00730CCC"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rsidR="00451364" w:rsidRPr="00F17515" w:rsidRDefault="00451364"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rPr>
        <w:t>2、基金经理</w:t>
      </w:r>
    </w:p>
    <w:p w:rsidR="00DD133B" w:rsidRPr="00F17515" w:rsidRDefault="00DD133B"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王晓晨女士，经济学硕士。曾任易方达基金管理有限公司集中交易室债券交易员、债券交易主管、固定收益总部总经理助理、固定收益基金投资部副总经理、易方达货币市场基金基金经理（自2013年4月22日至2014年11月21日）、易方达保证金收益货币市场基金基金经理（自2013年4月22日至2014年11月21日）、易方达保本一号混合型证券投资基金基金经理（自2016年1月13日至2019年2月18日）、易方达新鑫灵活配置混合型证券投资基金基金经理（自2018年1月31日至2019年7月2日）、易方达纯债债券型证券投资基金基金经理（自2017年2月15日至2019年9月10日）、易方达恒益定期开放债券型发起式证券投资基金基金经理（自2017年10月25日至2019年9月10日）、易方达中债3-5年期国债指数证券投资基金基金经理（自2017年2月15日至2019年9月27日）、易方达中债7-10年期国开行债券指数证券投资基金基金经理（自2017年2月15日至2019年10月28日）。现任易方达基金管理有限公司固定收益投资部副总经理、易方达增强回报债券型证券投资基金基金经理（自2011年8月15日起任职）、易方达投资级信用债债券型证券投资基金基金经理（自2013年9月10日起任职）、易方达中债新综合债券指数发起式证券投资基金（LOF）基金经理（自2014年7月5日起任职）、易方达双债增强债券型证券投资基金基金经理（自2016年12月3日起任职）、易方达恒安定期开放债券型发起式证券投资基金基金经理（自2018年5月15日起任职）、易方达富财纯债债券型证券投资基金基金经理（自2018年10月26日起任职）、易方达安瑞短债债券型证券投资基金基金经理（自2018年11月14日起任职）、易方达中债1-3年国开行债券指数证券投资基金基金经理（自2019年4月29日起任职）、易方达中债3-5年国开行债券指数证券投资基金基金经理（自2019年7月8日起任职）、易方达恒兴3个月定期开放债券型发起式证券投资基金基金经理（自2019年10月15日起任职）、易方达中债1-3年政策性金融债指数证券投资基金基金经理（自2019年12月3日起任职）、易方达中债3-5年政策性金融债指数证券投资基金基金经理（自2019年12月4日起任职），易方达资产管理（香港）有限公司基金经理、就证券提供意见负责人员（RO）、提供资产管理负责人员（RO）、易方达资产管理（香港）有限公司固定收益投资决策委员会委员。</w:t>
      </w:r>
    </w:p>
    <w:p w:rsidR="00BA0ADC" w:rsidRPr="00F17515" w:rsidRDefault="00BA0ADC" w:rsidP="00BA0AD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lastRenderedPageBreak/>
        <w:t>张凯頔先生，经济学硕士。曾任工银瑞信基金管理有限公司债券交易员，易方达基金管理有限公司债券交易员、易方达保本一号混合型证券投资基金基金经理助理、易方达恒益定期开放债券型发起式证券投资基金基金经理助理、易方达高等级信用债债券型证券投资基金基金经理助理。现任易方达基金管理有限公司易方达双债增强债券型证券投资基金基金经理助理、易方达岁丰添利债券型证券投资基金基金经理助理、易方达裕鑫债券型证券投资基金基金经理助理、易方达投资级信用债债券型证券投资基金基金经理助理、易方达增强回报债券型证券投资基金基金经理助理、易方达中债1-3年国开行债券指数证券投资基金基金经理助理、易方达中债3-5年国开行债券指数证券投资基金基金经理助理、易方达中债1-3年政策性金融债指数证券投资基金基金经理助理、易方达中债3-5年政策性金融债指数证券投资基金基金经理助理、易方达恒安定期开放债券型发起式证券投资基金基金经理助理。</w:t>
      </w:r>
    </w:p>
    <w:p w:rsidR="00BA0ADC" w:rsidRPr="00F17515" w:rsidRDefault="00BA0ADC" w:rsidP="00BA0AD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本基金历任基金经理情况：钟鸣远先生，管理时间为2008年3月19日至2014年1月17日；张雅君女士，管理时间为2014年7月19日至2020年5月26日。</w:t>
      </w:r>
    </w:p>
    <w:p w:rsidR="00451364" w:rsidRPr="00F17515" w:rsidRDefault="00451364"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rPr>
        <w:t>3、固定收益投资决策委员会成员</w:t>
      </w:r>
    </w:p>
    <w:p w:rsidR="00DD133B" w:rsidRPr="00F17515" w:rsidRDefault="00DD133B"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本公司固定收益投资决策委员会成员包括：马骏先生、胡剑先生、张清华先生、王晓晨女士、袁方女士、刘朝阳女士、祁广东先生。</w:t>
      </w:r>
    </w:p>
    <w:p w:rsidR="00DD133B" w:rsidRPr="00F17515" w:rsidRDefault="00DD133B"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马骏先生，同上。</w:t>
      </w:r>
    </w:p>
    <w:p w:rsidR="00DD133B" w:rsidRPr="00F17515" w:rsidRDefault="00DD133B"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胡剑先生，经济学硕士。曾任易方达基金管理有限公司固定收益部债券研究员、基金经理助理、固定收益研究部负责人、固定收益总部总经理助理、易方达中债新综合债券指数发起式证券投资基金（LOF）基金经理、易方达纯债1年定期开放债券型证券投资基金基金经理、易方达永旭添利定期开放债券型证券投资基金基金经理、易方达纯债债券型证券投资基金基金经理、易方达裕景添利6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合型证券投资基金基金经理、易方达瑞财灵活配置混合型证券投资基金基金经理。现任易方达基金管理有限公司固定收益投资部总经理、固定收益研究部总经理、易方达稳健收益债券型证券投资基金基金经理、易方达信用债债券型证券投资基金基金经理、易方达裕惠回报定期开放式混合型发起式证券投资基金基金经理、易方达丰惠混合型证券投资基金基金经理、易方达瑞富灵活配置混合型证券投资基金基金经理、易方达3年封闭运作战略配售灵活配置混合型证券投资基金（LOF）基金经理、易方达岁丰添利债券型证券投资基金基金经理、易方达恒利3个月定期开放债券型发起式证券投资基金基金经理、易方达恒益定期开放债券型发起式证券投资基金基金经理、易方达恒盛3个月定期开放混合型发起式证券投资基金基金经理、易方达富惠纯债债券型证券投资基金基金经理、易方达中债3-5年期国债指数证券投资基金基金经理、易方达中债7-10年期国开行债券指数证券投资基金基金经理。</w:t>
      </w:r>
    </w:p>
    <w:p w:rsidR="00DD133B" w:rsidRPr="00F17515" w:rsidRDefault="00DD133B"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lastRenderedPageBreak/>
        <w:t>张清华先生，物理学硕士。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易方达裕鑫债券型证券投资基金基金经理、易方达瑞信灵活配置混合型证券投资基金基金经理、易方达瑞和灵活配置混合型证券投资基金基金经理、易方达鑫转添利混合型证券投资基金基金经理、易方达鑫转增利混合型证券投资基金基金经理、易方达鑫转招利混合型证券投资基金基金经理。现任易方达基金管理有限公司混合资产投资部总经理、易方达安心回报债券型证券投资基金基金经理、易方达裕丰回报债券型证券投资基金基金经理、易方达安心回馈混合型证券投资基金基金经理、易方达裕祥回报债券型证券投资基金基金经理、易方达丰和债券型证券投资基金基金经理、易方达安盈回报混合型证券投资基金基金经理、易方达新收益灵活配置混合型证券投资基金基金经理、易方达丰华债券型证券投资基金基金经理。</w:t>
      </w:r>
    </w:p>
    <w:p w:rsidR="00DD133B" w:rsidRPr="00F17515" w:rsidRDefault="00DD133B"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王晓晨女士，</w:t>
      </w:r>
      <w:r w:rsidR="00BA0ADC" w:rsidRPr="00F17515">
        <w:rPr>
          <w:rFonts w:asciiTheme="minorEastAsia" w:eastAsiaTheme="minorEastAsia" w:hAnsiTheme="minorEastAsia" w:hint="eastAsia"/>
        </w:rPr>
        <w:t>同上</w:t>
      </w:r>
      <w:r w:rsidRPr="00F17515">
        <w:rPr>
          <w:rFonts w:asciiTheme="minorEastAsia" w:eastAsiaTheme="minorEastAsia" w:hAnsiTheme="minorEastAsia" w:hint="eastAsia"/>
        </w:rPr>
        <w:t>。</w:t>
      </w:r>
    </w:p>
    <w:p w:rsidR="00DD133B" w:rsidRPr="00F17515" w:rsidRDefault="00DD133B"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rsidR="00DD133B" w:rsidRPr="00F17515" w:rsidRDefault="00DD133B"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rsidR="000D6C92" w:rsidRPr="00F17515" w:rsidRDefault="00BA0ADC" w:rsidP="00AE7D92">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祁广东先生，经济学硕士。曾任申银万国证券固定收益总部助理分析师、交易员、助理投资经理，申银万国投资管理（亚洲）有限公司基金经理，易方达资产管理（香港）有限公司投资经理。现任易方达基金管理有限公司投资经理、易方达中短期美元债债券型证券投资基金（QDII）基金经理，易方达资产管理（香港）有限公司就证券提供意见负责人员（RO）、提供资产管理负责人员（RO）、固定收益投资决策委员会委员、固定收益部主管、基金经理。</w:t>
      </w:r>
    </w:p>
    <w:p w:rsidR="001366A8" w:rsidRPr="00F17515" w:rsidRDefault="001366A8" w:rsidP="001366A8">
      <w:pPr>
        <w:pStyle w:val="af"/>
        <w:adjustRightInd w:val="0"/>
        <w:snapToGrid w:val="0"/>
        <w:spacing w:line="360" w:lineRule="auto"/>
        <w:ind w:firstLine="422"/>
        <w:textAlignment w:val="baseline"/>
        <w:rPr>
          <w:rStyle w:val="da"/>
          <w:rFonts w:asciiTheme="minorEastAsia" w:eastAsiaTheme="minorEastAsia" w:hAnsiTheme="minorEastAsia"/>
        </w:rPr>
      </w:pPr>
      <w:bookmarkStart w:id="21" w:name="_Toc182920392"/>
      <w:bookmarkStart w:id="22" w:name="_Toc182920586"/>
      <w:bookmarkStart w:id="23" w:name="_Toc183353718"/>
      <w:bookmarkStart w:id="24" w:name="_Toc183400076"/>
      <w:bookmarkStart w:id="25" w:name="_Toc531317900"/>
      <w:bookmarkStart w:id="26" w:name="_Toc531323664"/>
      <w:r w:rsidRPr="00F17515">
        <w:rPr>
          <w:rFonts w:asciiTheme="minorEastAsia" w:eastAsiaTheme="minorEastAsia" w:hAnsiTheme="minorEastAsia"/>
          <w:kern w:val="0"/>
        </w:rPr>
        <w:t>4、上述人员之间均不存在近亲属关系。</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cs="仿宋_GB2312"/>
          <w:bCs/>
        </w:rPr>
      </w:pPr>
      <w:bookmarkStart w:id="27" w:name="_Toc133292565"/>
      <w:bookmarkStart w:id="28" w:name="_Toc163189522"/>
      <w:bookmarkStart w:id="29" w:name="_Toc211920122"/>
      <w:bookmarkStart w:id="30" w:name="_Toc211927653"/>
      <w:bookmarkStart w:id="31" w:name="_Toc41556757"/>
      <w:bookmarkEnd w:id="21"/>
      <w:bookmarkEnd w:id="22"/>
      <w:bookmarkEnd w:id="23"/>
      <w:bookmarkEnd w:id="24"/>
      <w:bookmarkEnd w:id="25"/>
      <w:bookmarkEnd w:id="26"/>
      <w:r w:rsidRPr="00F17515">
        <w:rPr>
          <w:rFonts w:asciiTheme="minorEastAsia" w:eastAsiaTheme="minorEastAsia" w:hAnsiTheme="minorEastAsia" w:hint="eastAsia"/>
          <w:bCs/>
          <w:szCs w:val="21"/>
        </w:rPr>
        <w:t>（三）</w:t>
      </w:r>
      <w:r w:rsidRPr="00F17515">
        <w:rPr>
          <w:rFonts w:asciiTheme="minorEastAsia" w:eastAsiaTheme="minorEastAsia" w:hAnsiTheme="minorEastAsia"/>
          <w:bCs/>
          <w:szCs w:val="21"/>
        </w:rPr>
        <w:t>基金管理人的职责</w:t>
      </w:r>
      <w:bookmarkEnd w:id="27"/>
      <w:bookmarkEnd w:id="28"/>
      <w:bookmarkEnd w:id="29"/>
      <w:bookmarkEnd w:id="30"/>
      <w:bookmarkEnd w:id="31"/>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w:t>
      </w:r>
      <w:r w:rsidR="00220D38" w:rsidRPr="00F17515">
        <w:rPr>
          <w:rFonts w:asciiTheme="minorEastAsia" w:eastAsiaTheme="minorEastAsia" w:hAnsiTheme="minorEastAsia" w:cs="Arial" w:hint="eastAsia"/>
          <w:szCs w:val="21"/>
        </w:rPr>
        <w:t>依法募集资金，办理基金份额的发售和登记事宜</w:t>
      </w:r>
      <w:r w:rsidR="007228CC" w:rsidRPr="00F17515">
        <w:rPr>
          <w:rFonts w:asciiTheme="minorEastAsia" w:eastAsiaTheme="minorEastAsia" w:hAnsiTheme="minorEastAsia" w:cs="Arial"/>
          <w:szCs w:val="21"/>
        </w:rPr>
        <w:t>；</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lastRenderedPageBreak/>
        <w:t>2、</w:t>
      </w:r>
      <w:r w:rsidR="007228CC" w:rsidRPr="00F17515">
        <w:rPr>
          <w:rFonts w:asciiTheme="minorEastAsia" w:eastAsiaTheme="minorEastAsia" w:hAnsiTheme="minorEastAsia" w:cs="Arial"/>
          <w:szCs w:val="21"/>
        </w:rPr>
        <w:t>办理基金备案手续；</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w:t>
      </w:r>
      <w:r w:rsidR="007228CC" w:rsidRPr="00F17515">
        <w:rPr>
          <w:rFonts w:asciiTheme="minorEastAsia" w:eastAsiaTheme="minorEastAsia" w:hAnsiTheme="minorEastAsia" w:cs="Arial"/>
          <w:szCs w:val="21"/>
        </w:rPr>
        <w:t>对所管理的不同基金财产分别管理、分别记账，进行证券投资；</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w:t>
      </w:r>
      <w:r w:rsidR="007228CC" w:rsidRPr="00F17515">
        <w:rPr>
          <w:rFonts w:asciiTheme="minorEastAsia" w:eastAsiaTheme="minorEastAsia" w:hAnsiTheme="minorEastAsia" w:cs="Arial"/>
          <w:szCs w:val="21"/>
        </w:rPr>
        <w:t>按照基金合同的约定确定基金收益分配方案，及时向基金份额持有人分配收益；</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5、</w:t>
      </w:r>
      <w:r w:rsidR="007228CC" w:rsidRPr="00F17515">
        <w:rPr>
          <w:rFonts w:asciiTheme="minorEastAsia" w:eastAsiaTheme="minorEastAsia" w:hAnsiTheme="minorEastAsia" w:cs="Arial"/>
          <w:szCs w:val="21"/>
        </w:rPr>
        <w:t>进行基金会计核算并编制基金财务会计报告；</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6、</w:t>
      </w:r>
      <w:r w:rsidR="007228CC" w:rsidRPr="00F17515">
        <w:rPr>
          <w:rFonts w:asciiTheme="minorEastAsia" w:eastAsiaTheme="minorEastAsia" w:hAnsiTheme="minorEastAsia" w:cs="Arial"/>
          <w:szCs w:val="21"/>
        </w:rPr>
        <w:t>编制</w:t>
      </w:r>
      <w:r w:rsidR="007228CC" w:rsidRPr="00F17515">
        <w:rPr>
          <w:rFonts w:asciiTheme="minorEastAsia" w:eastAsiaTheme="minorEastAsia" w:hAnsiTheme="minorEastAsia" w:cs="Arial" w:hint="eastAsia"/>
          <w:szCs w:val="21"/>
        </w:rPr>
        <w:t>季度</w:t>
      </w:r>
      <w:r w:rsidR="00575E02" w:rsidRPr="00F17515">
        <w:rPr>
          <w:rFonts w:asciiTheme="minorEastAsia" w:eastAsiaTheme="minorEastAsia" w:hAnsiTheme="minorEastAsia" w:cs="Arial" w:hint="eastAsia"/>
          <w:szCs w:val="21"/>
        </w:rPr>
        <w:t>报告</w:t>
      </w:r>
      <w:r w:rsidR="007228CC" w:rsidRPr="00F17515">
        <w:rPr>
          <w:rFonts w:asciiTheme="minorEastAsia" w:eastAsiaTheme="minorEastAsia" w:hAnsiTheme="minorEastAsia" w:cs="Arial" w:hint="eastAsia"/>
          <w:szCs w:val="21"/>
        </w:rPr>
        <w:t>、</w:t>
      </w:r>
      <w:r w:rsidR="00575E02" w:rsidRPr="00F17515">
        <w:rPr>
          <w:rFonts w:asciiTheme="minorEastAsia" w:eastAsiaTheme="minorEastAsia" w:hAnsiTheme="minorEastAsia" w:cs="Arial"/>
          <w:szCs w:val="21"/>
        </w:rPr>
        <w:t>中期报告</w:t>
      </w:r>
      <w:r w:rsidR="007228CC" w:rsidRPr="00F17515">
        <w:rPr>
          <w:rFonts w:asciiTheme="minorEastAsia" w:eastAsiaTheme="minorEastAsia" w:hAnsiTheme="minorEastAsia" w:cs="Arial"/>
          <w:szCs w:val="21"/>
        </w:rPr>
        <w:t>和年度报告；</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7、</w:t>
      </w:r>
      <w:r w:rsidR="007228CC" w:rsidRPr="00F17515">
        <w:rPr>
          <w:rFonts w:asciiTheme="minorEastAsia" w:eastAsiaTheme="minorEastAsia" w:hAnsiTheme="minorEastAsia" w:cs="Arial"/>
          <w:szCs w:val="21"/>
        </w:rPr>
        <w:t>计算并公告基金净值</w:t>
      </w:r>
      <w:r w:rsidR="00575E02" w:rsidRPr="00F17515">
        <w:rPr>
          <w:rFonts w:asciiTheme="minorEastAsia" w:eastAsiaTheme="minorEastAsia" w:hAnsiTheme="minorEastAsia" w:cs="Arial"/>
          <w:szCs w:val="21"/>
        </w:rPr>
        <w:t>信息</w:t>
      </w:r>
      <w:r w:rsidR="007228CC" w:rsidRPr="00F17515">
        <w:rPr>
          <w:rFonts w:asciiTheme="minorEastAsia" w:eastAsiaTheme="minorEastAsia" w:hAnsiTheme="minorEastAsia" w:cs="Arial"/>
          <w:szCs w:val="21"/>
        </w:rPr>
        <w:t>；</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8、</w:t>
      </w:r>
      <w:r w:rsidR="007228CC" w:rsidRPr="00F17515">
        <w:rPr>
          <w:rFonts w:asciiTheme="minorEastAsia" w:eastAsiaTheme="minorEastAsia" w:hAnsiTheme="minorEastAsia" w:cs="Arial"/>
          <w:szCs w:val="21"/>
        </w:rPr>
        <w:t>办理与基金财产管理业务活动有关的信息披露事项；</w:t>
      </w:r>
    </w:p>
    <w:p w:rsidR="007228CC" w:rsidRPr="00F17515" w:rsidRDefault="0081558F" w:rsidP="00A138B5">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9、</w:t>
      </w:r>
      <w:r w:rsidR="00220D38" w:rsidRPr="00F17515">
        <w:rPr>
          <w:rFonts w:asciiTheme="minorEastAsia" w:eastAsiaTheme="minorEastAsia" w:hAnsiTheme="minorEastAsia" w:cs="Arial" w:hint="eastAsia"/>
          <w:szCs w:val="21"/>
        </w:rPr>
        <w:t>按照规定</w:t>
      </w:r>
      <w:r w:rsidR="007228CC" w:rsidRPr="00F17515">
        <w:rPr>
          <w:rFonts w:asciiTheme="minorEastAsia" w:eastAsiaTheme="minorEastAsia" w:hAnsiTheme="minorEastAsia" w:cs="Arial"/>
          <w:szCs w:val="21"/>
        </w:rPr>
        <w:t>召集基金份额持有人大会；</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10、</w:t>
      </w:r>
      <w:r w:rsidR="007228CC" w:rsidRPr="00F17515">
        <w:rPr>
          <w:rFonts w:asciiTheme="minorEastAsia" w:eastAsiaTheme="minorEastAsia" w:hAnsiTheme="minorEastAsia" w:cs="Arial" w:hint="eastAsia"/>
          <w:szCs w:val="21"/>
        </w:rPr>
        <w:t>保存基</w:t>
      </w:r>
      <w:r w:rsidR="007228CC" w:rsidRPr="00F17515">
        <w:rPr>
          <w:rFonts w:asciiTheme="minorEastAsia" w:eastAsiaTheme="minorEastAsia" w:hAnsiTheme="minorEastAsia" w:cs="Arial"/>
          <w:szCs w:val="21"/>
        </w:rPr>
        <w:t>金财产管理业务活动的记录、账册、报表和其他相关资料；</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11、</w:t>
      </w:r>
      <w:r w:rsidR="007228CC" w:rsidRPr="00F17515">
        <w:rPr>
          <w:rFonts w:asciiTheme="minorEastAsia" w:eastAsiaTheme="minorEastAsia" w:hAnsiTheme="minorEastAsia" w:cs="Arial"/>
          <w:szCs w:val="21"/>
        </w:rPr>
        <w:t>以基金管理人名义，代表基金份额持有人利益行使诉讼权利或者实施其他法律行为；</w:t>
      </w:r>
    </w:p>
    <w:p w:rsidR="007228CC" w:rsidRPr="00F17515" w:rsidRDefault="0081558F" w:rsidP="0081558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12、</w:t>
      </w:r>
      <w:r w:rsidR="007228CC" w:rsidRPr="00F17515">
        <w:rPr>
          <w:rFonts w:asciiTheme="minorEastAsia" w:eastAsiaTheme="minorEastAsia" w:hAnsiTheme="minorEastAsia" w:cs="Arial"/>
          <w:szCs w:val="21"/>
        </w:rPr>
        <w:t>国务院证券监督管理机构规定的其他职责。</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sz w:val="21"/>
        </w:rPr>
      </w:pPr>
      <w:bookmarkStart w:id="32" w:name="_Toc133292566"/>
      <w:bookmarkStart w:id="33" w:name="_Toc163189523"/>
      <w:bookmarkStart w:id="34" w:name="_Toc211920123"/>
      <w:bookmarkStart w:id="35" w:name="_Toc211927654"/>
      <w:bookmarkStart w:id="36" w:name="_Toc41556758"/>
      <w:r w:rsidRPr="00F17515">
        <w:rPr>
          <w:rFonts w:asciiTheme="minorEastAsia" w:eastAsiaTheme="minorEastAsia" w:hAnsiTheme="minorEastAsia" w:hint="eastAsia"/>
          <w:bCs/>
          <w:szCs w:val="21"/>
        </w:rPr>
        <w:t>（四）</w:t>
      </w:r>
      <w:r w:rsidRPr="00F17515">
        <w:rPr>
          <w:rFonts w:asciiTheme="minorEastAsia" w:eastAsiaTheme="minorEastAsia" w:hAnsiTheme="minorEastAsia"/>
          <w:bCs/>
          <w:szCs w:val="21"/>
        </w:rPr>
        <w:t>基金管理人的承诺</w:t>
      </w:r>
      <w:bookmarkEnd w:id="32"/>
      <w:bookmarkEnd w:id="33"/>
      <w:bookmarkEnd w:id="34"/>
      <w:bookmarkEnd w:id="35"/>
      <w:bookmarkEnd w:id="36"/>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1</w:t>
      </w:r>
      <w:r w:rsidR="0081558F" w:rsidRPr="00F17515">
        <w:rPr>
          <w:rFonts w:asciiTheme="minorEastAsia" w:eastAsiaTheme="minorEastAsia" w:hAnsiTheme="minorEastAsia" w:hint="eastAsia"/>
          <w:kern w:val="0"/>
          <w:szCs w:val="21"/>
        </w:rPr>
        <w:t>、</w:t>
      </w:r>
      <w:r w:rsidRPr="00F17515">
        <w:rPr>
          <w:rFonts w:asciiTheme="minorEastAsia" w:eastAsiaTheme="minorEastAsia" w:hAnsiTheme="minor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7228CC" w:rsidRPr="00F17515" w:rsidRDefault="007228CC" w:rsidP="0071223F">
      <w:pPr>
        <w:autoSpaceDE w:val="0"/>
        <w:autoSpaceDN w:val="0"/>
        <w:adjustRightInd w:val="0"/>
        <w:snapToGrid w:val="0"/>
        <w:spacing w:line="360" w:lineRule="auto"/>
        <w:ind w:firstLineChars="200" w:firstLine="420"/>
        <w:jc w:val="left"/>
        <w:rPr>
          <w:rFonts w:asciiTheme="minorEastAsia" w:eastAsiaTheme="minorEastAsia" w:hAnsiTheme="minorEastAsia"/>
        </w:rPr>
      </w:pPr>
      <w:r w:rsidRPr="00F17515">
        <w:rPr>
          <w:rFonts w:asciiTheme="minorEastAsia" w:eastAsiaTheme="minorEastAsia" w:hAnsiTheme="minorEastAsia"/>
          <w:kern w:val="0"/>
          <w:szCs w:val="21"/>
        </w:rPr>
        <w:t>2</w:t>
      </w:r>
      <w:r w:rsidR="0081558F" w:rsidRPr="00F17515">
        <w:rPr>
          <w:rFonts w:asciiTheme="minorEastAsia" w:eastAsiaTheme="minorEastAsia" w:hAnsiTheme="minorEastAsia" w:hint="eastAsia"/>
          <w:kern w:val="0"/>
          <w:szCs w:val="21"/>
        </w:rPr>
        <w:t>、</w:t>
      </w:r>
      <w:r w:rsidRPr="00F17515">
        <w:rPr>
          <w:rFonts w:asciiTheme="minorEastAsia" w:eastAsiaTheme="minorEastAsia" w:hAnsiTheme="minorEastAsia"/>
        </w:rPr>
        <w:t>本</w:t>
      </w:r>
      <w:r w:rsidRPr="00F17515">
        <w:rPr>
          <w:rFonts w:asciiTheme="minorEastAsia" w:eastAsiaTheme="minorEastAsia" w:hAnsiTheme="minorEastAsia" w:hint="eastAsia"/>
        </w:rPr>
        <w:t>基金管理人承诺严格遵守《证券法》、《基金法》及有关法律法规，建立健全内部控</w:t>
      </w:r>
      <w:r w:rsidRPr="00F17515">
        <w:rPr>
          <w:rFonts w:asciiTheme="minorEastAsia" w:eastAsiaTheme="minorEastAsia" w:hAnsiTheme="minorEastAsia"/>
        </w:rPr>
        <w:t>制制度，采取有效措施，防止下列行为发生：</w:t>
      </w:r>
    </w:p>
    <w:p w:rsidR="007228CC" w:rsidRPr="00F17515" w:rsidRDefault="007228CC" w:rsidP="0071223F">
      <w:pPr>
        <w:numPr>
          <w:ilvl w:val="1"/>
          <w:numId w:val="6"/>
        </w:numPr>
        <w:tabs>
          <w:tab w:val="left" w:pos="735"/>
          <w:tab w:val="num" w:pos="1320"/>
        </w:tabs>
        <w:snapToGrid w:val="0"/>
        <w:spacing w:line="360" w:lineRule="auto"/>
        <w:rPr>
          <w:rFonts w:asciiTheme="minorEastAsia" w:eastAsiaTheme="minorEastAsia" w:hAnsiTheme="minorEastAsia"/>
        </w:rPr>
      </w:pPr>
      <w:r w:rsidRPr="00F17515">
        <w:rPr>
          <w:rFonts w:asciiTheme="minorEastAsia" w:eastAsiaTheme="minorEastAsia" w:hAnsiTheme="minorEastAsia"/>
        </w:rPr>
        <w:t>将其固有财产或者他人财产混同于基金财产从事证券投资；</w:t>
      </w:r>
    </w:p>
    <w:p w:rsidR="007228CC" w:rsidRPr="00F17515" w:rsidRDefault="007228CC" w:rsidP="00A138B5">
      <w:pPr>
        <w:pStyle w:val="af"/>
        <w:adjustRightInd w:val="0"/>
        <w:snapToGrid w:val="0"/>
        <w:spacing w:line="360" w:lineRule="auto"/>
        <w:ind w:firstLine="420"/>
        <w:textAlignment w:val="baseline"/>
        <w:rPr>
          <w:rFonts w:asciiTheme="minorEastAsia" w:eastAsiaTheme="minorEastAsia" w:hAnsiTheme="minorEastAsia"/>
        </w:rPr>
      </w:pPr>
      <w:r w:rsidRPr="00F17515">
        <w:rPr>
          <w:rFonts w:asciiTheme="minorEastAsia" w:eastAsiaTheme="minorEastAsia" w:hAnsiTheme="minorEastAsia"/>
          <w:b/>
          <w:kern w:val="0"/>
        </w:rPr>
        <w:t>不公平地对待其管理的不同基金财产</w:t>
      </w:r>
      <w:r w:rsidRPr="00F17515">
        <w:rPr>
          <w:rFonts w:asciiTheme="minorEastAsia" w:eastAsiaTheme="minorEastAsia" w:hAnsiTheme="minorEastAsia"/>
        </w:rPr>
        <w:t>；</w:t>
      </w:r>
    </w:p>
    <w:p w:rsidR="007228CC" w:rsidRPr="00F17515" w:rsidRDefault="007228CC" w:rsidP="0071223F">
      <w:pPr>
        <w:numPr>
          <w:ilvl w:val="1"/>
          <w:numId w:val="6"/>
        </w:numPr>
        <w:tabs>
          <w:tab w:val="left" w:pos="735"/>
          <w:tab w:val="num" w:pos="1320"/>
        </w:tabs>
        <w:snapToGrid w:val="0"/>
        <w:spacing w:line="360" w:lineRule="auto"/>
        <w:rPr>
          <w:rFonts w:asciiTheme="minorEastAsia" w:eastAsiaTheme="minorEastAsia" w:hAnsiTheme="minorEastAsia"/>
        </w:rPr>
      </w:pPr>
      <w:r w:rsidRPr="00F17515">
        <w:rPr>
          <w:rFonts w:asciiTheme="minorEastAsia" w:eastAsiaTheme="minorEastAsia" w:hAnsiTheme="minorEastAsia"/>
        </w:rPr>
        <w:t>利用基金财产</w:t>
      </w:r>
      <w:r w:rsidR="00220D38" w:rsidRPr="00F17515">
        <w:rPr>
          <w:rFonts w:asciiTheme="minorEastAsia" w:eastAsiaTheme="minorEastAsia" w:hAnsiTheme="minorEastAsia" w:hint="eastAsia"/>
        </w:rPr>
        <w:t>或者职务之便</w:t>
      </w:r>
      <w:r w:rsidRPr="00F17515">
        <w:rPr>
          <w:rFonts w:asciiTheme="minorEastAsia" w:eastAsiaTheme="minorEastAsia" w:hAnsiTheme="minorEastAsia"/>
        </w:rPr>
        <w:t>为基金份额持有人以外的第三人谋取利益；</w:t>
      </w:r>
    </w:p>
    <w:p w:rsidR="007228CC" w:rsidRPr="00F17515" w:rsidRDefault="007228CC" w:rsidP="0071223F">
      <w:pPr>
        <w:numPr>
          <w:ilvl w:val="1"/>
          <w:numId w:val="6"/>
        </w:numPr>
        <w:tabs>
          <w:tab w:val="left" w:pos="735"/>
          <w:tab w:val="num" w:pos="1320"/>
        </w:tabs>
        <w:snapToGrid w:val="0"/>
        <w:spacing w:line="360" w:lineRule="auto"/>
        <w:rPr>
          <w:rFonts w:asciiTheme="minorEastAsia" w:eastAsiaTheme="minorEastAsia" w:hAnsiTheme="minorEastAsia"/>
        </w:rPr>
      </w:pPr>
      <w:r w:rsidRPr="00F17515">
        <w:rPr>
          <w:rFonts w:asciiTheme="minorEastAsia" w:eastAsiaTheme="minorEastAsia" w:hAnsiTheme="minorEastAsia"/>
        </w:rPr>
        <w:t>向基金份额持有人违规承诺收益或者承担损失；</w:t>
      </w:r>
    </w:p>
    <w:p w:rsidR="00220D38" w:rsidRPr="00F17515" w:rsidRDefault="00220D38" w:rsidP="0071223F">
      <w:pPr>
        <w:numPr>
          <w:ilvl w:val="1"/>
          <w:numId w:val="6"/>
        </w:numPr>
        <w:tabs>
          <w:tab w:val="clear" w:pos="1134"/>
          <w:tab w:val="left" w:pos="735"/>
          <w:tab w:val="num" w:pos="1140"/>
          <w:tab w:val="num" w:pos="1320"/>
        </w:tabs>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侵占、挪用基金财产；</w:t>
      </w:r>
    </w:p>
    <w:p w:rsidR="00220D38" w:rsidRPr="00F17515" w:rsidRDefault="00220D38" w:rsidP="0071223F">
      <w:pPr>
        <w:numPr>
          <w:ilvl w:val="1"/>
          <w:numId w:val="6"/>
        </w:numPr>
        <w:tabs>
          <w:tab w:val="clear" w:pos="1134"/>
          <w:tab w:val="left" w:pos="735"/>
          <w:tab w:val="num" w:pos="1140"/>
          <w:tab w:val="num" w:pos="1320"/>
        </w:tabs>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泄露因职务便利获取的未公开信息、利用该信息从事或者明示、暗示他人从事相关的交易活动；</w:t>
      </w:r>
    </w:p>
    <w:p w:rsidR="00220D38" w:rsidRPr="00F17515" w:rsidRDefault="00220D38" w:rsidP="0071223F">
      <w:pPr>
        <w:numPr>
          <w:ilvl w:val="1"/>
          <w:numId w:val="6"/>
        </w:numPr>
        <w:tabs>
          <w:tab w:val="clear" w:pos="1134"/>
          <w:tab w:val="left" w:pos="735"/>
          <w:tab w:val="num" w:pos="1140"/>
          <w:tab w:val="num" w:pos="1320"/>
        </w:tabs>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玩忽职守，不按照规定履行职责；</w:t>
      </w:r>
    </w:p>
    <w:p w:rsidR="007228CC" w:rsidRPr="00F17515" w:rsidRDefault="00220D38" w:rsidP="0071223F">
      <w:pPr>
        <w:numPr>
          <w:ilvl w:val="1"/>
          <w:numId w:val="6"/>
        </w:numPr>
        <w:tabs>
          <w:tab w:val="left" w:pos="735"/>
          <w:tab w:val="num" w:pos="1320"/>
        </w:tabs>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法律、行政法规和中国证监会规定禁止的其他行为。</w:t>
      </w:r>
    </w:p>
    <w:p w:rsidR="007228CC" w:rsidRPr="00F17515" w:rsidRDefault="007228CC" w:rsidP="0071223F">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3</w:t>
      </w:r>
      <w:r w:rsidR="0081558F" w:rsidRPr="00F17515">
        <w:rPr>
          <w:rFonts w:asciiTheme="minorEastAsia" w:eastAsiaTheme="minorEastAsia" w:hAnsiTheme="minorEastAsia" w:hint="eastAsia"/>
          <w:kern w:val="0"/>
          <w:szCs w:val="21"/>
        </w:rPr>
        <w:t>、</w:t>
      </w:r>
      <w:r w:rsidRPr="00F17515">
        <w:rPr>
          <w:rFonts w:asciiTheme="minorEastAsia" w:eastAsiaTheme="minorEastAsia" w:hAnsiTheme="minorEastAsia"/>
          <w:kern w:val="0"/>
          <w:szCs w:val="21"/>
        </w:rPr>
        <w:t>本基金管理人承诺加强人员管理，强化职业操守，督促和约束员工遵守国家有关法律、法规及行业规范，诚实信用、勤勉尽责，不从事以下活动：</w:t>
      </w:r>
    </w:p>
    <w:p w:rsidR="007228CC" w:rsidRPr="00F17515" w:rsidRDefault="007228CC" w:rsidP="0071223F">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（1）越权或违规经营；</w:t>
      </w:r>
    </w:p>
    <w:p w:rsidR="007228CC" w:rsidRPr="00F17515" w:rsidRDefault="007228CC" w:rsidP="0071223F">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（2）违反基金合同或托管协议；</w:t>
      </w:r>
    </w:p>
    <w:p w:rsidR="007228CC" w:rsidRPr="00F17515" w:rsidRDefault="007228CC" w:rsidP="0071223F">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（3）故意损害基金份额持有人或其他基金相关机构的合法利益；</w:t>
      </w:r>
    </w:p>
    <w:p w:rsidR="007228CC" w:rsidRPr="00F17515" w:rsidRDefault="007228CC" w:rsidP="0071223F">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（4）在向中国证监会报送的资料中弄虚作假；</w:t>
      </w:r>
    </w:p>
    <w:p w:rsidR="007228CC" w:rsidRPr="00F17515" w:rsidRDefault="007228CC" w:rsidP="0071223F">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（5）拒绝、干扰、阻挠或严重影响中国证监会依法监管；</w:t>
      </w:r>
    </w:p>
    <w:p w:rsidR="007228CC" w:rsidRPr="00F17515" w:rsidRDefault="007228CC" w:rsidP="0071223F">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（6）玩忽职守、滥用职权；</w:t>
      </w:r>
    </w:p>
    <w:p w:rsidR="007228CC" w:rsidRPr="00F17515" w:rsidRDefault="007228CC" w:rsidP="0071223F">
      <w:pPr>
        <w:tabs>
          <w:tab w:val="left" w:pos="851"/>
        </w:tabs>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lastRenderedPageBreak/>
        <w:t>（7）违反现行有效的有关法律、法规、规章、基金合同和中国证监会的有关规定，泄漏在任职期间知悉的有关证券、基金的商业秘密，尚未依法公开的基金投资内容、基金投资计划等信息；</w:t>
      </w:r>
    </w:p>
    <w:p w:rsidR="007228CC" w:rsidRPr="00F17515" w:rsidRDefault="007228CC" w:rsidP="0071223F">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（8）违反证券交易场所业务规则，利用对敲、倒仓等手段操纵市场价格，扰乱市场秩序；</w:t>
      </w:r>
    </w:p>
    <w:p w:rsidR="007228CC" w:rsidRPr="00F17515" w:rsidRDefault="007228CC" w:rsidP="0071223F">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（9）贬损同行，以抬高自己；</w:t>
      </w:r>
    </w:p>
    <w:p w:rsidR="007228CC" w:rsidRPr="00F17515" w:rsidRDefault="007228CC" w:rsidP="0071223F">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（10）以不正当手段谋求业务发展；</w:t>
      </w:r>
    </w:p>
    <w:p w:rsidR="007228CC" w:rsidRPr="00F17515" w:rsidRDefault="007228CC" w:rsidP="0071223F">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（11）有悖社会公德，损害证券投资基金人员形象；</w:t>
      </w:r>
    </w:p>
    <w:p w:rsidR="007228CC" w:rsidRPr="00F17515" w:rsidRDefault="007228CC" w:rsidP="0071223F">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（12）在公开信息披露和广告中故意含有虚假、误导、欺诈成分；</w:t>
      </w:r>
    </w:p>
    <w:p w:rsidR="007228CC" w:rsidRPr="00F17515" w:rsidRDefault="007228CC" w:rsidP="0071223F">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（13）其他法律、行政法规以及中国证监会禁止的行为。</w:t>
      </w:r>
    </w:p>
    <w:p w:rsidR="007228CC" w:rsidRPr="00F17515" w:rsidRDefault="007228CC" w:rsidP="0071223F">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4</w:t>
      </w:r>
      <w:r w:rsidR="0081558F" w:rsidRPr="00F17515">
        <w:rPr>
          <w:rFonts w:asciiTheme="minorEastAsia" w:eastAsiaTheme="minorEastAsia" w:hAnsiTheme="minorEastAsia" w:hint="eastAsia"/>
          <w:kern w:val="0"/>
          <w:szCs w:val="21"/>
        </w:rPr>
        <w:t>、</w:t>
      </w:r>
      <w:r w:rsidRPr="00F17515">
        <w:rPr>
          <w:rFonts w:asciiTheme="minorEastAsia" w:eastAsiaTheme="minorEastAsia" w:hAnsiTheme="minorEastAsia"/>
          <w:kern w:val="0"/>
          <w:szCs w:val="21"/>
        </w:rPr>
        <w:t>基金经理承诺</w:t>
      </w:r>
    </w:p>
    <w:p w:rsidR="007228CC" w:rsidRPr="00F17515" w:rsidRDefault="007228CC" w:rsidP="0071223F">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（1）依照有关法律、法规和基金合同的规定，本着谨慎的原则为基金份额持有人谋取最大利益；</w:t>
      </w:r>
    </w:p>
    <w:p w:rsidR="007228CC" w:rsidRPr="00F17515" w:rsidRDefault="007228CC" w:rsidP="0071223F">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F17515">
        <w:rPr>
          <w:rFonts w:asciiTheme="minorEastAsia" w:eastAsiaTheme="minorEastAsia" w:hAnsiTheme="minorEastAsia"/>
          <w:kern w:val="0"/>
          <w:szCs w:val="21"/>
        </w:rPr>
        <w:t>（2）不利用职务之便为自己及其代理人、受雇人或任何第三人谋取利益；</w:t>
      </w:r>
    </w:p>
    <w:p w:rsidR="007228CC" w:rsidRPr="00F17515" w:rsidRDefault="007228CC" w:rsidP="0071223F">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F17515">
        <w:rPr>
          <w:rFonts w:asciiTheme="minorEastAsia" w:eastAsiaTheme="minorEastAsia" w:hAnsiTheme="minorEastAsia"/>
          <w:kern w:val="0"/>
        </w:rPr>
        <w:t>（3）不</w:t>
      </w:r>
      <w:r w:rsidRPr="00F17515">
        <w:rPr>
          <w:rFonts w:asciiTheme="minorEastAsia" w:eastAsiaTheme="minorEastAsia" w:hAnsiTheme="minorEastAsia"/>
          <w:kern w:val="0"/>
          <w:szCs w:val="21"/>
        </w:rPr>
        <w:t>违反现行有效的有关法律、法规、规章、基金合同和中国证监会的有关规定，</w:t>
      </w:r>
      <w:r w:rsidRPr="00F17515">
        <w:rPr>
          <w:rFonts w:asciiTheme="minorEastAsia" w:eastAsiaTheme="minorEastAsia" w:hAnsiTheme="minorEastAsia"/>
          <w:kern w:val="0"/>
        </w:rPr>
        <w:t>泄漏在任职期间知悉的有关证券、基金的商业秘密、尚未依法公开的基金投资内容、基金投资计划等信息；</w:t>
      </w:r>
    </w:p>
    <w:p w:rsidR="007228CC" w:rsidRPr="00F17515" w:rsidRDefault="007228CC" w:rsidP="0071223F">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F17515">
        <w:rPr>
          <w:rFonts w:asciiTheme="minorEastAsia" w:eastAsiaTheme="minorEastAsia" w:hAnsiTheme="minorEastAsia"/>
          <w:kern w:val="0"/>
        </w:rPr>
        <w:t>（4）不从事损害基金财产和基金份额持有人利益的证券交易及其他活动。</w:t>
      </w:r>
    </w:p>
    <w:p w:rsidR="007228CC" w:rsidRPr="00F17515" w:rsidRDefault="007228CC" w:rsidP="009A1EA6">
      <w:pPr>
        <w:pStyle w:val="2"/>
        <w:snapToGrid w:val="0"/>
        <w:spacing w:beforeLines="0" w:afterLines="0" w:line="360" w:lineRule="auto"/>
        <w:ind w:firstLineChars="0" w:firstLine="0"/>
        <w:rPr>
          <w:rStyle w:val="da"/>
          <w:rFonts w:asciiTheme="minorEastAsia" w:eastAsiaTheme="minorEastAsia" w:hAnsiTheme="minorEastAsia"/>
          <w:sz w:val="21"/>
        </w:rPr>
      </w:pPr>
      <w:bookmarkStart w:id="37" w:name="_Toc133292567"/>
      <w:bookmarkStart w:id="38" w:name="_Toc163189524"/>
      <w:bookmarkStart w:id="39" w:name="_Toc211920124"/>
      <w:bookmarkStart w:id="40" w:name="_Toc211927655"/>
      <w:bookmarkStart w:id="41" w:name="_Toc41556759"/>
      <w:r w:rsidRPr="00F17515">
        <w:rPr>
          <w:rFonts w:asciiTheme="minorEastAsia" w:eastAsiaTheme="minorEastAsia" w:hAnsiTheme="minorEastAsia" w:hint="eastAsia"/>
          <w:bCs/>
          <w:szCs w:val="21"/>
        </w:rPr>
        <w:t>（五）</w:t>
      </w:r>
      <w:r w:rsidRPr="00F17515">
        <w:rPr>
          <w:rFonts w:asciiTheme="minorEastAsia" w:eastAsiaTheme="minorEastAsia" w:hAnsiTheme="minorEastAsia"/>
          <w:bCs/>
          <w:szCs w:val="21"/>
        </w:rPr>
        <w:t>基金管理人的内部控制制度</w:t>
      </w:r>
      <w:bookmarkEnd w:id="37"/>
      <w:bookmarkEnd w:id="38"/>
      <w:bookmarkEnd w:id="39"/>
      <w:bookmarkEnd w:id="40"/>
      <w:bookmarkEnd w:id="41"/>
    </w:p>
    <w:p w:rsidR="007228CC" w:rsidRPr="00F17515" w:rsidRDefault="007228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7228CC" w:rsidRPr="00F17515" w:rsidRDefault="002A7F91" w:rsidP="002A7F91">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公司内部控制的总体目标</w:t>
      </w:r>
    </w:p>
    <w:p w:rsidR="007228CC" w:rsidRPr="00F17515" w:rsidRDefault="007228CC" w:rsidP="0071223F">
      <w:pPr>
        <w:numPr>
          <w:ilvl w:val="1"/>
          <w:numId w:val="7"/>
        </w:numPr>
        <w:tabs>
          <w:tab w:val="clear" w:pos="851"/>
          <w:tab w:val="num" w:pos="993"/>
        </w:tabs>
        <w:snapToGrid w:val="0"/>
        <w:spacing w:line="360" w:lineRule="auto"/>
        <w:ind w:hanging="425"/>
        <w:rPr>
          <w:rFonts w:asciiTheme="minorEastAsia" w:eastAsiaTheme="minorEastAsia" w:hAnsiTheme="minorEastAsia"/>
        </w:rPr>
      </w:pPr>
      <w:r w:rsidRPr="00F17515">
        <w:rPr>
          <w:rFonts w:asciiTheme="minorEastAsia" w:eastAsiaTheme="minorEastAsia" w:hAnsiTheme="minorEastAsia"/>
        </w:rPr>
        <w:t>保证公司经营管理活动的合法合规性；</w:t>
      </w:r>
    </w:p>
    <w:p w:rsidR="007228CC" w:rsidRPr="00F17515" w:rsidRDefault="007228CC" w:rsidP="0071223F">
      <w:pPr>
        <w:numPr>
          <w:ilvl w:val="1"/>
          <w:numId w:val="7"/>
        </w:numPr>
        <w:tabs>
          <w:tab w:val="clear" w:pos="851"/>
          <w:tab w:val="num" w:pos="993"/>
        </w:tabs>
        <w:snapToGrid w:val="0"/>
        <w:spacing w:line="360" w:lineRule="auto"/>
        <w:ind w:hanging="425"/>
        <w:rPr>
          <w:rFonts w:asciiTheme="minorEastAsia" w:eastAsiaTheme="minorEastAsia" w:hAnsiTheme="minorEastAsia"/>
        </w:rPr>
      </w:pPr>
      <w:r w:rsidRPr="00F17515">
        <w:rPr>
          <w:rFonts w:asciiTheme="minorEastAsia" w:eastAsiaTheme="minorEastAsia" w:hAnsiTheme="minorEastAsia"/>
        </w:rPr>
        <w:t>保证基金份额持有人的合法权益不受侵犯；</w:t>
      </w:r>
    </w:p>
    <w:p w:rsidR="007228CC" w:rsidRPr="00F17515" w:rsidRDefault="007228CC" w:rsidP="0071223F">
      <w:pPr>
        <w:numPr>
          <w:ilvl w:val="1"/>
          <w:numId w:val="7"/>
        </w:numPr>
        <w:tabs>
          <w:tab w:val="clear" w:pos="851"/>
          <w:tab w:val="num" w:pos="993"/>
        </w:tabs>
        <w:snapToGrid w:val="0"/>
        <w:spacing w:line="360" w:lineRule="auto"/>
        <w:ind w:hanging="425"/>
        <w:rPr>
          <w:rFonts w:asciiTheme="minorEastAsia" w:eastAsiaTheme="minorEastAsia" w:hAnsiTheme="minorEastAsia"/>
        </w:rPr>
      </w:pPr>
      <w:r w:rsidRPr="00F17515">
        <w:rPr>
          <w:rFonts w:asciiTheme="minorEastAsia" w:eastAsiaTheme="minorEastAsia" w:hAnsiTheme="minorEastAsia"/>
        </w:rPr>
        <w:t>实现公司稳健、持续发展，维护股东权益；</w:t>
      </w:r>
    </w:p>
    <w:p w:rsidR="007228CC" w:rsidRPr="00F17515" w:rsidRDefault="007228CC" w:rsidP="0071223F">
      <w:pPr>
        <w:numPr>
          <w:ilvl w:val="1"/>
          <w:numId w:val="7"/>
        </w:numPr>
        <w:tabs>
          <w:tab w:val="clear" w:pos="851"/>
          <w:tab w:val="num" w:pos="993"/>
        </w:tabs>
        <w:snapToGrid w:val="0"/>
        <w:spacing w:line="360" w:lineRule="auto"/>
        <w:ind w:hanging="425"/>
        <w:rPr>
          <w:rFonts w:asciiTheme="minorEastAsia" w:eastAsiaTheme="minorEastAsia" w:hAnsiTheme="minorEastAsia"/>
        </w:rPr>
      </w:pPr>
      <w:r w:rsidRPr="00F17515">
        <w:rPr>
          <w:rFonts w:asciiTheme="minorEastAsia" w:eastAsiaTheme="minorEastAsia" w:hAnsiTheme="minorEastAsia"/>
        </w:rPr>
        <w:t>促进公司全体员工恪守职业操守，正直诚信，廉洁自律，勤勉尽责；</w:t>
      </w:r>
    </w:p>
    <w:p w:rsidR="007228CC" w:rsidRPr="00F17515" w:rsidRDefault="007228CC" w:rsidP="0071223F">
      <w:pPr>
        <w:numPr>
          <w:ilvl w:val="1"/>
          <w:numId w:val="7"/>
        </w:numPr>
        <w:tabs>
          <w:tab w:val="clear" w:pos="851"/>
          <w:tab w:val="num" w:pos="993"/>
        </w:tabs>
        <w:snapToGrid w:val="0"/>
        <w:spacing w:line="360" w:lineRule="auto"/>
        <w:ind w:hanging="425"/>
        <w:rPr>
          <w:rFonts w:asciiTheme="minorEastAsia" w:eastAsiaTheme="minorEastAsia" w:hAnsiTheme="minorEastAsia"/>
        </w:rPr>
      </w:pPr>
      <w:r w:rsidRPr="00F17515">
        <w:rPr>
          <w:rFonts w:asciiTheme="minorEastAsia" w:eastAsiaTheme="minorEastAsia" w:hAnsiTheme="minorEastAsia"/>
        </w:rPr>
        <w:t>保护公司最重要的资本：公司声誉。</w:t>
      </w:r>
    </w:p>
    <w:p w:rsidR="007228CC" w:rsidRPr="00F17515" w:rsidRDefault="002A7F91" w:rsidP="002A7F91">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公司内部控制遵循的原则</w:t>
      </w:r>
    </w:p>
    <w:p w:rsidR="007228CC" w:rsidRPr="00F17515" w:rsidRDefault="007228CC" w:rsidP="0071223F">
      <w:pPr>
        <w:numPr>
          <w:ilvl w:val="0"/>
          <w:numId w:val="11"/>
        </w:numPr>
        <w:tabs>
          <w:tab w:val="clear" w:pos="851"/>
          <w:tab w:val="num" w:pos="993"/>
        </w:tabs>
        <w:snapToGrid w:val="0"/>
        <w:spacing w:line="360" w:lineRule="auto"/>
        <w:ind w:left="0" w:firstLine="426"/>
        <w:rPr>
          <w:rFonts w:asciiTheme="minorEastAsia" w:eastAsiaTheme="minorEastAsia" w:hAnsiTheme="minorEastAsia"/>
        </w:rPr>
      </w:pPr>
      <w:r w:rsidRPr="00F17515">
        <w:rPr>
          <w:rFonts w:asciiTheme="minorEastAsia" w:eastAsiaTheme="minorEastAsia" w:hAnsiTheme="minorEastAsia"/>
        </w:rPr>
        <w:t>全面性原则：内部控制必须覆盖公司的所有部门和岗位，渗透各项业务过程和业务环节，并普遍适用于公司每一位职员；</w:t>
      </w:r>
    </w:p>
    <w:p w:rsidR="007228CC" w:rsidRPr="00F17515" w:rsidRDefault="007228CC" w:rsidP="0071223F">
      <w:pPr>
        <w:numPr>
          <w:ilvl w:val="0"/>
          <w:numId w:val="11"/>
        </w:numPr>
        <w:tabs>
          <w:tab w:val="clear" w:pos="851"/>
          <w:tab w:val="num" w:pos="993"/>
        </w:tabs>
        <w:snapToGrid w:val="0"/>
        <w:spacing w:line="360" w:lineRule="auto"/>
        <w:ind w:left="0" w:firstLine="426"/>
        <w:rPr>
          <w:rFonts w:asciiTheme="minorEastAsia" w:eastAsiaTheme="minorEastAsia" w:hAnsiTheme="minorEastAsia"/>
        </w:rPr>
      </w:pPr>
      <w:r w:rsidRPr="00F17515">
        <w:rPr>
          <w:rFonts w:asciiTheme="minorEastAsia" w:eastAsiaTheme="minorEastAsia" w:hAnsiTheme="minorEastAsia"/>
        </w:rPr>
        <w:t>审慎性原则：内部控制的核心是有效防范各种风险，公司组织体系的构成、内部管理制度的建立都要以防范风险、审慎经营为出发点；</w:t>
      </w:r>
    </w:p>
    <w:p w:rsidR="007228CC" w:rsidRPr="00F17515" w:rsidRDefault="007228CC" w:rsidP="0071223F">
      <w:pPr>
        <w:numPr>
          <w:ilvl w:val="0"/>
          <w:numId w:val="11"/>
        </w:numPr>
        <w:tabs>
          <w:tab w:val="clear" w:pos="851"/>
          <w:tab w:val="num" w:pos="993"/>
        </w:tabs>
        <w:snapToGrid w:val="0"/>
        <w:spacing w:line="360" w:lineRule="auto"/>
        <w:ind w:left="0" w:firstLine="426"/>
        <w:rPr>
          <w:rFonts w:asciiTheme="minorEastAsia" w:eastAsiaTheme="minorEastAsia" w:hAnsiTheme="minorEastAsia"/>
        </w:rPr>
      </w:pPr>
      <w:r w:rsidRPr="00F17515">
        <w:rPr>
          <w:rFonts w:asciiTheme="minorEastAsia" w:eastAsiaTheme="minorEastAsia" w:hAnsiTheme="minorEastAsia"/>
        </w:rPr>
        <w:t>相互制约原则：公司设置的各部门、各岗位权责分明、相互制衡。</w:t>
      </w:r>
    </w:p>
    <w:p w:rsidR="007228CC" w:rsidRPr="00F17515" w:rsidRDefault="007228CC" w:rsidP="0071223F">
      <w:pPr>
        <w:numPr>
          <w:ilvl w:val="0"/>
          <w:numId w:val="11"/>
        </w:numPr>
        <w:tabs>
          <w:tab w:val="clear" w:pos="851"/>
          <w:tab w:val="num" w:pos="993"/>
        </w:tabs>
        <w:snapToGrid w:val="0"/>
        <w:spacing w:line="360" w:lineRule="auto"/>
        <w:ind w:left="0" w:firstLine="426"/>
        <w:rPr>
          <w:rFonts w:asciiTheme="minorEastAsia" w:eastAsiaTheme="minorEastAsia" w:hAnsiTheme="minorEastAsia"/>
        </w:rPr>
      </w:pPr>
      <w:r w:rsidRPr="00F17515">
        <w:rPr>
          <w:rFonts w:asciiTheme="minorEastAsia" w:eastAsiaTheme="minorEastAsia" w:hAnsiTheme="minorEastAsia"/>
        </w:rPr>
        <w:lastRenderedPageBreak/>
        <w:t>独立性原则：公司根据业务的需要设立相对独立的机构、部门和岗位；公司内部部门和岗位的设置必须权责分明；</w:t>
      </w:r>
    </w:p>
    <w:p w:rsidR="007228CC" w:rsidRPr="00F17515" w:rsidRDefault="007228CC" w:rsidP="0071223F">
      <w:pPr>
        <w:numPr>
          <w:ilvl w:val="0"/>
          <w:numId w:val="11"/>
        </w:numPr>
        <w:tabs>
          <w:tab w:val="clear" w:pos="851"/>
          <w:tab w:val="num" w:pos="993"/>
        </w:tabs>
        <w:snapToGrid w:val="0"/>
        <w:spacing w:line="360" w:lineRule="auto"/>
        <w:ind w:left="0" w:firstLine="426"/>
        <w:rPr>
          <w:rFonts w:asciiTheme="minorEastAsia" w:eastAsiaTheme="minorEastAsia" w:hAnsiTheme="minorEastAsia"/>
        </w:rPr>
      </w:pPr>
      <w:r w:rsidRPr="00F17515">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rsidR="007228CC" w:rsidRPr="00F17515" w:rsidRDefault="007228CC" w:rsidP="0071223F">
      <w:pPr>
        <w:numPr>
          <w:ilvl w:val="0"/>
          <w:numId w:val="11"/>
        </w:numPr>
        <w:tabs>
          <w:tab w:val="clear" w:pos="851"/>
          <w:tab w:val="num" w:pos="993"/>
        </w:tabs>
        <w:snapToGrid w:val="0"/>
        <w:spacing w:line="360" w:lineRule="auto"/>
        <w:ind w:left="0" w:firstLine="426"/>
        <w:rPr>
          <w:rFonts w:asciiTheme="minorEastAsia" w:eastAsiaTheme="minorEastAsia" w:hAnsiTheme="minorEastAsia"/>
        </w:rPr>
      </w:pPr>
      <w:r w:rsidRPr="00F17515">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rsidR="007228CC" w:rsidRPr="00F17515" w:rsidRDefault="007228CC" w:rsidP="0071223F">
      <w:pPr>
        <w:numPr>
          <w:ilvl w:val="0"/>
          <w:numId w:val="11"/>
        </w:numPr>
        <w:tabs>
          <w:tab w:val="clear" w:pos="851"/>
          <w:tab w:val="num" w:pos="993"/>
        </w:tabs>
        <w:snapToGrid w:val="0"/>
        <w:spacing w:line="360" w:lineRule="auto"/>
        <w:ind w:left="0" w:firstLine="426"/>
        <w:rPr>
          <w:rFonts w:asciiTheme="minorEastAsia" w:eastAsiaTheme="minorEastAsia" w:hAnsiTheme="minorEastAsia"/>
        </w:rPr>
      </w:pPr>
      <w:r w:rsidRPr="00F17515">
        <w:rPr>
          <w:rFonts w:asciiTheme="minorEastAsia" w:eastAsiaTheme="minorEastAsia" w:hAnsiTheme="minorEastAsia"/>
        </w:rPr>
        <w:t>成本效益原则：公司运用科学化的经营管理方法降低运作成本，提高经济效益，力争以合理的控制成本达到最佳的内部控制效果。</w:t>
      </w:r>
    </w:p>
    <w:p w:rsidR="007228CC" w:rsidRPr="00F17515" w:rsidRDefault="002A7F91" w:rsidP="002A7F91">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内部控制的制度体系</w:t>
      </w:r>
    </w:p>
    <w:p w:rsidR="007228CC" w:rsidRPr="00F17515" w:rsidRDefault="007228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7228CC" w:rsidRPr="00F17515" w:rsidRDefault="002A7F91" w:rsidP="002A7F91">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hint="eastAsia"/>
          <w:szCs w:val="21"/>
        </w:rPr>
        <w:t>关于授权、研究、投资、交易等方面的控制点</w:t>
      </w:r>
    </w:p>
    <w:p w:rsidR="007228CC" w:rsidRPr="00F17515" w:rsidRDefault="007228CC" w:rsidP="0071223F">
      <w:pPr>
        <w:numPr>
          <w:ilvl w:val="0"/>
          <w:numId w:val="12"/>
        </w:numPr>
        <w:tabs>
          <w:tab w:val="left" w:pos="735"/>
        </w:tabs>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rPr>
        <w:t>授权制度</w:t>
      </w:r>
    </w:p>
    <w:p w:rsidR="007228CC" w:rsidRPr="00F17515" w:rsidRDefault="007228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7228CC" w:rsidRPr="00F17515" w:rsidRDefault="007228CC" w:rsidP="0071223F">
      <w:pPr>
        <w:numPr>
          <w:ilvl w:val="0"/>
          <w:numId w:val="12"/>
        </w:numPr>
        <w:tabs>
          <w:tab w:val="left" w:pos="735"/>
        </w:tabs>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公司研究业务</w:t>
      </w:r>
    </w:p>
    <w:p w:rsidR="007228CC" w:rsidRPr="00F17515" w:rsidRDefault="007228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7228CC" w:rsidRPr="00F17515" w:rsidRDefault="007228CC" w:rsidP="0071223F">
      <w:pPr>
        <w:numPr>
          <w:ilvl w:val="0"/>
          <w:numId w:val="12"/>
        </w:numPr>
        <w:tabs>
          <w:tab w:val="left" w:pos="735"/>
        </w:tabs>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基金投资业务</w:t>
      </w:r>
    </w:p>
    <w:p w:rsidR="007228CC" w:rsidRPr="00F17515" w:rsidRDefault="007228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w:t>
      </w:r>
      <w:r w:rsidRPr="00F17515">
        <w:rPr>
          <w:rFonts w:asciiTheme="minorEastAsia" w:eastAsiaTheme="minorEastAsia" w:hAnsiTheme="minorEastAsia" w:hint="eastAsia"/>
          <w:szCs w:val="21"/>
        </w:rPr>
        <w:lastRenderedPageBreak/>
        <w:t>评估与管理制度，将重点投资限制在规定的风险权限额度内；对于投资结果建立科学的投资管理业绩评价体系。</w:t>
      </w:r>
    </w:p>
    <w:p w:rsidR="007228CC" w:rsidRPr="00F17515" w:rsidRDefault="007228CC" w:rsidP="0071223F">
      <w:pPr>
        <w:numPr>
          <w:ilvl w:val="0"/>
          <w:numId w:val="12"/>
        </w:numPr>
        <w:tabs>
          <w:tab w:val="left" w:pos="735"/>
        </w:tabs>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rPr>
        <w:t>交易业务</w:t>
      </w:r>
    </w:p>
    <w:p w:rsidR="007228CC" w:rsidRPr="00F17515" w:rsidRDefault="007228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7228CC" w:rsidRPr="00F17515" w:rsidRDefault="007228CC" w:rsidP="0071223F">
      <w:pPr>
        <w:numPr>
          <w:ilvl w:val="0"/>
          <w:numId w:val="12"/>
        </w:numPr>
        <w:tabs>
          <w:tab w:val="left" w:pos="735"/>
        </w:tabs>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rPr>
        <w:t>基金会计核算</w:t>
      </w:r>
    </w:p>
    <w:p w:rsidR="007228CC" w:rsidRPr="00F17515" w:rsidRDefault="007228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7228CC" w:rsidRPr="00F17515" w:rsidRDefault="007228CC" w:rsidP="0071223F">
      <w:pPr>
        <w:numPr>
          <w:ilvl w:val="0"/>
          <w:numId w:val="12"/>
        </w:numPr>
        <w:tabs>
          <w:tab w:val="left" w:pos="735"/>
        </w:tabs>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rPr>
        <w:t>信息披露</w:t>
      </w:r>
    </w:p>
    <w:p w:rsidR="007228CC" w:rsidRPr="00F17515" w:rsidRDefault="007228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7228CC" w:rsidRPr="00F17515" w:rsidRDefault="00235681" w:rsidP="0071223F">
      <w:pPr>
        <w:numPr>
          <w:ilvl w:val="0"/>
          <w:numId w:val="12"/>
        </w:numPr>
        <w:tabs>
          <w:tab w:val="left" w:pos="735"/>
        </w:tabs>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rPr>
        <w:t>监察与合规管理</w:t>
      </w:r>
    </w:p>
    <w:p w:rsidR="00730CCC" w:rsidRPr="00F17515" w:rsidRDefault="00730CCC" w:rsidP="00AE7D92">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730CCC" w:rsidRPr="00F17515" w:rsidRDefault="00730CCC" w:rsidP="00AE7D92">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730CCC" w:rsidRPr="00F17515" w:rsidRDefault="00730CCC" w:rsidP="00AE7D92">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rsidR="007228CC" w:rsidRPr="00F17515" w:rsidRDefault="00730CCC" w:rsidP="0071223F">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rsidR="007228CC" w:rsidRPr="00F17515" w:rsidRDefault="002A7F91" w:rsidP="002A7F91">
      <w:pPr>
        <w:pStyle w:val="ad"/>
        <w:autoSpaceDE w:val="0"/>
        <w:autoSpaceDN w:val="0"/>
        <w:adjustRightInd w:val="0"/>
        <w:snapToGrid w:val="0"/>
        <w:spacing w:line="360" w:lineRule="auto"/>
        <w:ind w:firstLineChars="200"/>
        <w:rPr>
          <w:rFonts w:asciiTheme="minorEastAsia" w:eastAsiaTheme="minorEastAsia" w:hAnsiTheme="minorEastAsia"/>
          <w:szCs w:val="21"/>
        </w:rPr>
      </w:pPr>
      <w:r w:rsidRPr="00F17515">
        <w:rPr>
          <w:rFonts w:asciiTheme="minorEastAsia" w:eastAsiaTheme="minorEastAsia" w:hAnsiTheme="minorEastAsia" w:hint="eastAsia"/>
          <w:szCs w:val="21"/>
        </w:rPr>
        <w:t>5、</w:t>
      </w:r>
      <w:r w:rsidR="007228CC" w:rsidRPr="00F17515">
        <w:rPr>
          <w:rFonts w:asciiTheme="minorEastAsia" w:eastAsiaTheme="minorEastAsia" w:hAnsiTheme="minorEastAsia" w:hint="eastAsia"/>
          <w:szCs w:val="21"/>
        </w:rPr>
        <w:t>基金管理人关于内部控制制度声明书</w:t>
      </w:r>
    </w:p>
    <w:p w:rsidR="007228CC" w:rsidRPr="00F17515" w:rsidRDefault="007228CC" w:rsidP="0071223F">
      <w:pPr>
        <w:numPr>
          <w:ilvl w:val="0"/>
          <w:numId w:val="13"/>
        </w:numPr>
        <w:tabs>
          <w:tab w:val="left" w:pos="735"/>
        </w:tabs>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rPr>
        <w:t>本公司承诺以上关于内部控制制度的披露真实、准确；</w:t>
      </w:r>
    </w:p>
    <w:p w:rsidR="007228CC" w:rsidRPr="00F17515" w:rsidRDefault="007228CC" w:rsidP="0071223F">
      <w:pPr>
        <w:numPr>
          <w:ilvl w:val="0"/>
          <w:numId w:val="13"/>
        </w:numPr>
        <w:tabs>
          <w:tab w:val="left" w:pos="735"/>
        </w:tabs>
        <w:snapToGrid w:val="0"/>
        <w:spacing w:line="360" w:lineRule="auto"/>
        <w:rPr>
          <w:rFonts w:asciiTheme="minorEastAsia" w:eastAsiaTheme="minorEastAsia" w:hAnsiTheme="minorEastAsia"/>
        </w:rPr>
        <w:sectPr w:rsidR="007228CC" w:rsidRPr="00F17515" w:rsidSect="00DE4B5E">
          <w:pgSz w:w="11906" w:h="16838" w:code="9"/>
          <w:pgMar w:top="1440" w:right="1800" w:bottom="1440" w:left="1800" w:header="851" w:footer="992" w:gutter="0"/>
          <w:pgNumType w:start="1"/>
          <w:cols w:space="425"/>
          <w:docGrid w:type="lines" w:linePitch="312"/>
        </w:sectPr>
      </w:pPr>
      <w:r w:rsidRPr="00F17515">
        <w:rPr>
          <w:rFonts w:asciiTheme="minorEastAsia" w:eastAsiaTheme="minorEastAsia" w:hAnsiTheme="minorEastAsia" w:hint="eastAsia"/>
        </w:rPr>
        <w:t>本公司承诺根据市场变化和公司业务发展不断完善内部控制制度。</w:t>
      </w:r>
    </w:p>
    <w:p w:rsidR="007228CC" w:rsidRPr="00F17515" w:rsidRDefault="007228CC" w:rsidP="0071223F">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2" w:name="_Toc211920125"/>
      <w:bookmarkStart w:id="43" w:name="_Toc211927656"/>
      <w:bookmarkStart w:id="44" w:name="_Toc41556760"/>
      <w:r w:rsidRPr="00F17515">
        <w:rPr>
          <w:rFonts w:asciiTheme="minorEastAsia" w:eastAsiaTheme="minorEastAsia" w:hAnsiTheme="minorEastAsia" w:hint="eastAsia"/>
          <w:b/>
        </w:rPr>
        <w:lastRenderedPageBreak/>
        <w:t>基金托管人</w:t>
      </w:r>
      <w:bookmarkEnd w:id="42"/>
      <w:bookmarkEnd w:id="43"/>
      <w:bookmarkEnd w:id="44"/>
    </w:p>
    <w:p w:rsidR="00451364" w:rsidRPr="00F17515" w:rsidRDefault="00451364" w:rsidP="00AE7D92">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（一）基金托管人情况</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1、基本情况</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名称：中国建设银行股份有限公司(简称：中国建设银行)</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住所：北京市西城区金融大街25号</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办公地址：北京市西城区闹市口大街1号院1号楼</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法定代表人：田国立</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sidRPr="00F17515">
          <w:rPr>
            <w:rFonts w:asciiTheme="minorEastAsia" w:eastAsiaTheme="minorEastAsia" w:hAnsiTheme="minorEastAsia" w:hint="eastAsia"/>
            <w:szCs w:val="21"/>
          </w:rPr>
          <w:t>2004年09月17日</w:t>
        </w:r>
      </w:smartTag>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组织形式：股份有限公司</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注册资本：贰仟伍佰亿壹仟零玖拾柒万柒仟肆佰捌拾陆元整</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存续期间：持续经营</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基金托管资格批文及文号：中国证监会证监基字[1998]12号</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联系人：田  青</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联系电话：(010)6759 5096</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w:t>
      </w:r>
      <w:r w:rsidRPr="00F17515">
        <w:rPr>
          <w:rFonts w:asciiTheme="minorEastAsia" w:eastAsiaTheme="minorEastAsia" w:hAnsiTheme="minorEastAsia" w:hint="eastAsia"/>
          <w:szCs w:val="21"/>
        </w:rPr>
        <w:lastRenderedPageBreak/>
        <w:t>管运营中心，在上海设有托管运营中心上海分中心，共有员工300余人。自2007年起，托管部连续聘请外部会计师事务所对托管业务进行内部控制审计，并已经成为常规化的内控工作手段。</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2、主要人员情况</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龚毅，资产托管业务部资深经理（专业技术一级），曾就职于中国建设银行北京市分行国际部、营业部并担任副行长，长期从事信贷业务和集团客户业务等工作，具有丰富的客户服务和业务管理经验。</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黄秀莲，资产托管业务部资深经理（专业技术一级），曾就职于中国建设银行总行会计部，长期从事托管业务管理等工作，具有丰富的客户服务和业务管理经验。</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郑绍平，资产托管业务部副总经理，曾就职于中国建设银行总行投资部、委托代理部、战略客户部，长期从事客户服务、信贷业务管理等工作，具有丰富的客户服务和业务管理经验。</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3、基金托管业务经营情况</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451364" w:rsidRPr="00F17515" w:rsidRDefault="00451364" w:rsidP="00AE7D92">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（二）基金托管人的内部控制制度</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1、内部控制目标</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2、内部控制组织结构</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3、内部控制制度及措施</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51364" w:rsidRPr="00F17515" w:rsidRDefault="00451364" w:rsidP="00AE7D92">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（三）基金托管人对基金管理人运作基金进行监督的方法和程序</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1、监督方法</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2、监督流程</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（2）收到基金管理人的划款指令后，对指令要素等内容进行核查。</w:t>
      </w:r>
    </w:p>
    <w:p w:rsidR="00451364" w:rsidRPr="00F17515" w:rsidRDefault="00451364" w:rsidP="00451364">
      <w:pPr>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（3）通过技术或非技术手段发现基金涉嫌违规交易，电话或书面要求基金管理人进行</w:t>
      </w:r>
      <w:r w:rsidRPr="00F17515">
        <w:rPr>
          <w:rFonts w:asciiTheme="minorEastAsia" w:eastAsiaTheme="minorEastAsia" w:hAnsiTheme="minorEastAsia" w:hint="eastAsia"/>
          <w:szCs w:val="21"/>
        </w:rPr>
        <w:lastRenderedPageBreak/>
        <w:t>解释或举证，如有必要将及时报告中国证监会。</w:t>
      </w:r>
    </w:p>
    <w:p w:rsidR="00451364" w:rsidRPr="00F17515" w:rsidRDefault="00451364" w:rsidP="00451364">
      <w:pPr>
        <w:spacing w:line="360" w:lineRule="auto"/>
        <w:ind w:firstLineChars="200" w:firstLine="420"/>
        <w:rPr>
          <w:rFonts w:asciiTheme="minorEastAsia" w:eastAsiaTheme="minorEastAsia" w:hAnsiTheme="minorEastAsia"/>
          <w:szCs w:val="21"/>
        </w:rPr>
      </w:pPr>
    </w:p>
    <w:p w:rsidR="007228CC" w:rsidRPr="00F17515" w:rsidRDefault="007228CC" w:rsidP="0071223F">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5" w:name="_Toc211920129"/>
      <w:bookmarkStart w:id="46" w:name="_Toc211927660"/>
      <w:bookmarkStart w:id="47" w:name="_Toc41556761"/>
      <w:r w:rsidRPr="00F17515">
        <w:rPr>
          <w:rFonts w:asciiTheme="minorEastAsia" w:eastAsiaTheme="minorEastAsia" w:hAnsiTheme="minorEastAsia" w:hint="eastAsia"/>
          <w:b/>
        </w:rPr>
        <w:lastRenderedPageBreak/>
        <w:t>相关服务机构</w:t>
      </w:r>
      <w:bookmarkEnd w:id="45"/>
      <w:bookmarkEnd w:id="46"/>
      <w:bookmarkEnd w:id="47"/>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Cs/>
          <w:szCs w:val="21"/>
        </w:rPr>
      </w:pPr>
      <w:bookmarkStart w:id="48" w:name="_Toc211920130"/>
      <w:bookmarkStart w:id="49" w:name="_Toc211927661"/>
      <w:bookmarkStart w:id="50" w:name="_Toc41556762"/>
      <w:r w:rsidRPr="00F17515">
        <w:rPr>
          <w:rFonts w:asciiTheme="minorEastAsia" w:eastAsiaTheme="minorEastAsia" w:hAnsiTheme="minorEastAsia" w:hint="eastAsia"/>
          <w:bCs/>
          <w:szCs w:val="21"/>
        </w:rPr>
        <w:t>（一）基金份额</w:t>
      </w:r>
      <w:r w:rsidR="008D22FF" w:rsidRPr="00F17515">
        <w:rPr>
          <w:rFonts w:asciiTheme="minorEastAsia" w:eastAsiaTheme="minorEastAsia" w:hAnsiTheme="minorEastAsia" w:hint="eastAsia"/>
          <w:bCs/>
          <w:szCs w:val="21"/>
        </w:rPr>
        <w:t>销售</w:t>
      </w:r>
      <w:r w:rsidRPr="00F17515">
        <w:rPr>
          <w:rFonts w:asciiTheme="minorEastAsia" w:eastAsiaTheme="minorEastAsia" w:hAnsiTheme="minorEastAsia" w:hint="eastAsia"/>
          <w:bCs/>
          <w:szCs w:val="21"/>
        </w:rPr>
        <w:t>机构</w:t>
      </w:r>
      <w:bookmarkEnd w:id="48"/>
      <w:bookmarkEnd w:id="49"/>
      <w:bookmarkEnd w:id="50"/>
    </w:p>
    <w:p w:rsidR="007228CC" w:rsidRPr="00F17515" w:rsidRDefault="002A7F91"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w:t>
      </w:r>
      <w:r w:rsidR="007228CC" w:rsidRPr="00F17515">
        <w:rPr>
          <w:rFonts w:asciiTheme="minorEastAsia" w:eastAsiaTheme="minorEastAsia" w:hAnsiTheme="minorEastAsia" w:cs="宋体" w:hint="eastAsia"/>
          <w:kern w:val="0"/>
          <w:szCs w:val="21"/>
        </w:rPr>
        <w:t>直销机构</w:t>
      </w:r>
    </w:p>
    <w:p w:rsidR="007228CC" w:rsidRPr="00F17515" w:rsidRDefault="007228CC"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易方达基金管理有限公司</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w:t>
      </w:r>
      <w:r w:rsidR="00361CC0" w:rsidRPr="00F17515">
        <w:rPr>
          <w:rFonts w:asciiTheme="minorEastAsia" w:eastAsiaTheme="minorEastAsia" w:hAnsiTheme="minorEastAsia" w:cs="宋体" w:hint="eastAsia"/>
          <w:kern w:val="0"/>
          <w:szCs w:val="21"/>
        </w:rPr>
        <w:t>广东省珠海市横琴新区宝华路6号105室-42891（集中办公区）</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办公地址：广州市天河区珠江新城珠江东路30号广州银行大厦40-43楼</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w:t>
      </w:r>
      <w:r w:rsidR="00BF3F91" w:rsidRPr="00F17515">
        <w:rPr>
          <w:rFonts w:asciiTheme="minorEastAsia" w:eastAsiaTheme="minorEastAsia" w:hAnsiTheme="minorEastAsia" w:cs="宋体" w:hint="eastAsia"/>
          <w:kern w:val="0"/>
          <w:szCs w:val="21"/>
        </w:rPr>
        <w:t>刘晓艳</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电话：020-85102506</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传真：4008818099</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w:t>
      </w:r>
      <w:r w:rsidR="00730CCC" w:rsidRPr="00F17515">
        <w:rPr>
          <w:rFonts w:asciiTheme="minorEastAsia" w:eastAsiaTheme="minorEastAsia" w:hAnsiTheme="minorEastAsia" w:cs="宋体" w:hint="eastAsia"/>
          <w:kern w:val="0"/>
          <w:szCs w:val="21"/>
        </w:rPr>
        <w:t>王峰</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网址：www.efunds.com.cn</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直销机构网点信息：</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（1）易方达基金管理有限公司广州直销中心</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办公地址：广州市天河区珠江新城珠江东路30号广州银行大厦40楼</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电话：020-85102506</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传真：4008818099</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w:t>
      </w:r>
      <w:r w:rsidR="00730CCC" w:rsidRPr="00F17515">
        <w:rPr>
          <w:rFonts w:asciiTheme="minorEastAsia" w:eastAsiaTheme="minorEastAsia" w:hAnsiTheme="minorEastAsia" w:cs="宋体" w:hint="eastAsia"/>
          <w:kern w:val="0"/>
          <w:szCs w:val="21"/>
        </w:rPr>
        <w:t>王峰</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（2）易方达基金管理有限公司北京直销中心</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w:t>
      </w:r>
      <w:r w:rsidR="00235681" w:rsidRPr="00F17515">
        <w:rPr>
          <w:rFonts w:asciiTheme="minorEastAsia" w:eastAsiaTheme="minorEastAsia" w:hAnsiTheme="minorEastAsia" w:cs="宋体" w:hint="eastAsia"/>
          <w:kern w:val="0"/>
          <w:szCs w:val="21"/>
        </w:rPr>
        <w:t>北京市西城区武定侯街2号泰康国际大厦18层</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电话：010-63213377</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传真：4008818099</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w:t>
      </w:r>
      <w:r w:rsidR="00BF3F91" w:rsidRPr="00F17515">
        <w:rPr>
          <w:rFonts w:asciiTheme="minorEastAsia" w:eastAsiaTheme="minorEastAsia" w:hAnsiTheme="minorEastAsia" w:cs="宋体" w:hint="eastAsia"/>
          <w:kern w:val="0"/>
          <w:szCs w:val="21"/>
        </w:rPr>
        <w:t>刘蕾</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（3）易方达基金管理有限公司上海直销中心</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w:t>
      </w:r>
      <w:r w:rsidR="004F66AC" w:rsidRPr="00F17515">
        <w:rPr>
          <w:rFonts w:asciiTheme="minorEastAsia" w:eastAsiaTheme="minorEastAsia" w:hAnsiTheme="minorEastAsia" w:cs="宋体" w:hint="eastAsia"/>
          <w:kern w:val="0"/>
          <w:szCs w:val="21"/>
        </w:rPr>
        <w:t>浦东新区</w:t>
      </w:r>
      <w:r w:rsidRPr="00F17515">
        <w:rPr>
          <w:rFonts w:asciiTheme="minorEastAsia" w:eastAsiaTheme="minorEastAsia" w:hAnsiTheme="minorEastAsia" w:cs="宋体" w:hint="eastAsia"/>
          <w:kern w:val="0"/>
          <w:szCs w:val="21"/>
        </w:rPr>
        <w:t>世纪大道88号金茂大厦</w:t>
      </w:r>
      <w:r w:rsidR="004F66AC" w:rsidRPr="00F17515">
        <w:rPr>
          <w:rFonts w:asciiTheme="minorEastAsia" w:eastAsiaTheme="minorEastAsia" w:hAnsiTheme="minorEastAsia" w:cs="宋体"/>
          <w:kern w:val="0"/>
          <w:szCs w:val="21"/>
        </w:rPr>
        <w:t>46楼</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电话：021-50476668</w:t>
      </w:r>
    </w:p>
    <w:p w:rsidR="005C25A2"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传真：4008818099</w:t>
      </w:r>
    </w:p>
    <w:p w:rsidR="007228CC" w:rsidRPr="00F17515" w:rsidRDefault="005C25A2"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联系人：于楠</w:t>
      </w:r>
    </w:p>
    <w:p w:rsidR="007228CC" w:rsidRPr="00F17515" w:rsidRDefault="007228CC"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（4）易方达基金管理有限公司网上交易系统</w:t>
      </w:r>
    </w:p>
    <w:p w:rsidR="007228CC" w:rsidRPr="00F17515" w:rsidRDefault="007228CC"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t>
      </w:r>
      <w:hyperlink r:id="rId17" w:history="1">
        <w:r w:rsidRPr="00F17515">
          <w:rPr>
            <w:rFonts w:asciiTheme="minorEastAsia" w:eastAsiaTheme="minorEastAsia" w:hAnsiTheme="minorEastAsia" w:cs="宋体" w:hint="eastAsia"/>
            <w:kern w:val="0"/>
          </w:rPr>
          <w:t>www.efunds.com.cn</w:t>
        </w:r>
      </w:hyperlink>
    </w:p>
    <w:p w:rsidR="007228CC" w:rsidRPr="00F17515" w:rsidRDefault="002A7F91" w:rsidP="0071223F">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w:t>
      </w:r>
      <w:r w:rsidR="00B47054" w:rsidRPr="00F17515">
        <w:rPr>
          <w:rFonts w:asciiTheme="minorEastAsia" w:eastAsiaTheme="minorEastAsia" w:hAnsiTheme="minorEastAsia" w:cs="宋体" w:hint="eastAsia"/>
          <w:kern w:val="0"/>
          <w:szCs w:val="21"/>
        </w:rPr>
        <w:t>非直销销售</w:t>
      </w:r>
      <w:r w:rsidR="007228CC" w:rsidRPr="00F17515">
        <w:rPr>
          <w:rFonts w:asciiTheme="minorEastAsia" w:eastAsiaTheme="minorEastAsia" w:hAnsiTheme="minorEastAsia" w:cs="宋体" w:hint="eastAsia"/>
          <w:kern w:val="0"/>
          <w:szCs w:val="21"/>
        </w:rPr>
        <w:t>机构（以下排序不分先后）</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bookmarkStart w:id="51" w:name="_Toc38432429"/>
      <w:bookmarkStart w:id="52" w:name="_Toc211920131"/>
      <w:bookmarkStart w:id="53" w:name="_Toc211927662"/>
      <w:r w:rsidRPr="00F17515">
        <w:rPr>
          <w:rFonts w:asciiTheme="minorEastAsia" w:eastAsiaTheme="minorEastAsia" w:hAnsiTheme="minorEastAsia" w:cs="宋体" w:hint="eastAsia"/>
          <w:kern w:val="0"/>
          <w:szCs w:val="21"/>
        </w:rPr>
        <w:t>(1) 中国建设银行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注册地址：北京市西城区金融大街25号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办公地址：北京市西城区闹市口大街1号院1号楼</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法定代表人：田国立</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联系人：王未雨</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客户服务电话：95533</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网址：www.ccb.com</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 渤海银行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注册地址：天津市河东区海河东路218号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办公地址：天津市河东区海河东路218号渤海银行大厦</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法定代表人：李伏安</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联系人：王宏</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联系电话：022-58316666</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客户服务电话：95541</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传真：022-58316569</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网址：www.cbhb.com.cn</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 广发银行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注册地址：广东省广州市越秀区东风东路713号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办公地址：广东省广州市越秀区东风东路713号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法定代表人：王滨</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客户服务电话：400-830-8003</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网址：www.cgbchina.com.cn</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 华夏银行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注册地址：北京市东城区建国门内大街22号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办公地址：北京市东城区建国门内大街22号华夏银行大厦</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法定代表人：李民吉</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联系人：王者凡</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客户服务电话：95577</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传真：010-85238680</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网址：www.hxb.com.cn</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 交通银行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注册地址：中国（上海）自由贸易试验区银城中路188号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办公地址：中国（上海）自由贸易试验区银城中路188号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法定代表人：彭纯</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联系人：王菁</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联系电话：021-58781234</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客户服务电话：95559</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网址：www.bankcomm.com</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 平安银行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注册地址：广东省深圳市罗湖区深南东路5047号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办公地址：广东省深圳市罗湖区深南东路5047号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法定代表人：谢永林</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联系人：赵杨</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联系电话：0755-22166574</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客户服务电话：95511-3</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传真：021-50979507</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网址：bank.pingan.com</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 浦发银行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注册地址：上海市中山东一路12号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办公地址：上海市中山东一路12号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法定代表人：郑杨</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联系人：赵守良</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联系电话：021-61618888</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客户服务电话：95528</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传真：021-63604196</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网址：www.spdb.com.cn</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 兴业银行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注册地址：福州市湖东路154号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办公地址：上海市静安区江宁路168号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法定代表人：高建平</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联系人：李博</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联系电话：021-52629999</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客户服务电话：95561</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网址：www.cib.com.cn</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 招商银行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注册地址：深圳市福田区深南大道7088号招商银行大厦</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办公地址：深圳市福田区深南大道7088号招商银行大厦</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法定代表人：李建红</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联系人：季平伟 </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客户服务电话：95555</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网址：www.cmbchina.com</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(10) 浙商银行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注册地址：浙江杭州市庆春路288号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办公地址：浙江杭州市庆春路288号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法定代表人：沈仁康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联系人：沈崟杰</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联系电话：0571- 88261822</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客户服务电话：95527</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传真：0571-87659954</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网址：www.czbank.com</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 中国工商银行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注册地址：北京西城区复兴门内大街55号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办公地址：北京西城区复兴门内大街55号</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法定代表人：陈四清</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联系人：杨菲</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客户服务电话：95588</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网址：www.icbc.com.cn</w:t>
      </w:r>
    </w:p>
    <w:p w:rsidR="00B05B0D" w:rsidRPr="00F17515" w:rsidRDefault="00B05B0D"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 中国光大银行</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注册地址：北京市西城区太平桥大街25号、甲25号中国光大中心</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办公地址：北京市西城区太平桥大街25号金融街F3大厦（中国光大中心）</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法定代表人：李晓鹏</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联系人：朱红</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联系电话：010-63636153</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客户服务电话：95595</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传真：010-63639709</w:t>
      </w:r>
    </w:p>
    <w:p w:rsidR="00B05B0D" w:rsidRPr="00F17515" w:rsidRDefault="00B05B0D">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网址：www.cebbank.com </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 中国民生银行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注册地址：北京市西城区复兴门内大街2号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办公地址：北京市西城区复兴门内大街2号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法定代表人：洪崎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联系人：穆婷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客户服务电话：95568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网址：www.cmbc.com.cn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 中国农业银行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注册地址：北京市东城区建国门内大街69号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办公地址：北京市东城区建国门内大街69号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法定代表人：周慕冰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联系人：李紫钰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传真：010-85109219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网址：www.abchina.com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 中国银行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注册地址：北京市西城区复兴门内大街1号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办公地址：北京市西城区复兴门内大街1号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法定代表人：刘连舸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网址：www.boc.cn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 中国邮政储蓄银行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注册地址：北京市西城区金融大街3号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办公地址：北京市西城区金融大街3号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法定代表人：张金良</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联系人：王硕</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客户服务电话：95580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传真：010-68858057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网址：www.psbc.com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 中信银行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注册地址：北京市东城区朝阳门北大街9号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办公地址：北京市东城区朝阳门北大街9号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法定代表人：李庆萍</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联系人：王晓琳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客户服务电话：95558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传真：010-85230049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网址：bank.ecitic.com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 包商银行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注册地址：内蒙古自治区包头市青山区钢铁大街6号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办公地址：内蒙古自治区包头市青山区钢铁大街6号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法定代表人：李镇西</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联系人：张晶</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联系电话：0472-5189165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客户服务电话：95352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传真：010-84596546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网址：www.bsb.com.cn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 北京银行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注册地址：北京市西城区金融大街甲17号首层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办公地址：北京市西城区金融大街丙17号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法定代表人：张东宁</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联系人：韩裕</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传真：010-66226045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网址：www.bankofbeijing.com.cn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 长安银行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注册地址：西安市高新技术产业开发区高新四路13号1幢1单元10101室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办公地址：西安市高新技术产业开发区高新四路13号朗臣大厦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法定代表人：赵永军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联系人：闫石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客户服务电话：400-05-96669；（029）96669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传真：029-88609566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网址：http://www.ccabchina.com/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 长城华西银行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注册地址：德阳市旌阳区蒙山街14号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办公地址：四川省德阳市旌阳区蒙山街14号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法定代表人：谭运财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联系人：王丽鹃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电话：028-61963271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客户服务电话：0838-96836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传真：0838-2371812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网址：www.dyccb.com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 长春农商银行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注册地址：吉林省长春市二道区自由大路5755号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办公地址：吉林省长春市绿园区正阳街4288号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法定代表人：马铁刚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联系人：张俊峰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客户服务电话：96888-1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网址：www.cccb.cn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 成都农商银行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注册地址：成都市武侯区科华中路88号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办公地址：成都市武侯区科华中路88号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法定代表人：陈萍</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联系人：杨琪</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联系电话：028-85315412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客户服务电话：028-962711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传真：028-85390961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网址：http://www.cdrcb.com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(24) 大连银行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注册地址：大连市中山区中山路88号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办公地址：大连市中山区中山路88号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法定代表人：崔磊</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联系人：朱珠</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联系电话：0411-82356695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客户服务电话：400-664-0099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网址：www.bankofdl.com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(25) 德州银行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注册地址：山东省德州市三八东路1266号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办公地址：山东省德州市三八东路1266号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法定代表人：董合平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联系人：王方震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电话：0534-2297326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客户服务电话：40084-96588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网址：www.dzbchina.com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(26) 东莞农村商业银行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注册地址：广东省东莞市东城区鸿福东路2号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办公地址：广东省东莞市东城区鸿福东路2号东莞农商银行大厦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法定代表人：王耀球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联系人：洪晓琳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客户服务电话：0769-961122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网址：www.drcbank.com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(27) 东莞银行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注册地址：东莞市莞城区体育路21号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办公地址：东莞市莞城区体育路21号东莞银行大厦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法定代表人：卢国锋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联系人：朱杰霞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联系电话：0769-22865177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客户服务电话：96228（广东省内）、40011-96228（全国）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网址：www.dongguanbank.cn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(28) 佛山农商银行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注册地址：佛山市禅城区华远东路5号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办公地址：佛山市禅城区华远东路5号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法定代表人：李川</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联系人：曾敏琪</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客户服务电话：96138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网址：www.foshanbank.cn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(29) 福建海峡银行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注册地址：福建省福州市台江区江滨中大道358号海峡银行大厦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办公地址：福建省福州市台江区江滨中大道358号福建海峡银行8楼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法定代表人：俞敏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联系人：黄钰雯</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联系电话：0591-87332762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客户服务电话：400-893-9999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传真：0591-87330926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网址：www.fjhxbank.com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(30) 富滇银行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注册地址：云南省昆明市拓东路41号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办公地址：云南省昆明市拓东路41号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法定代表人：洪维智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联系人：杨翊琳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电话：0871-63140324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客户服务电话：400-88-96533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传真：0871-63194471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网址：http://www.fudian-bank.com/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(31) 富阳农商银行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注册地址：杭州市富阳区鹿山街道依江路501号第1幢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办公地址：杭州市富阳区鹿山街道依江路501号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法定代表人：丁松茂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联系人：陈硕</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联系电话：0571-63280253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客户服务电话：96596、4008896596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网址：www.fyrcbk.com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(32) 广东华兴银行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注册地址：广东省汕头市龙湖区黄山路28号四层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办公地址：广州市天河区天河路533号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法定代表人：周泽荣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联系人：许悦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联系电话：020-38173552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客户服务电话：4008308001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传真：020-38173857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网址：www.ghbank.com.cn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(33) 广东南粤银行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注册地址：广东省湛江市经济技术开发区乐山大道60号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办公地址：广东省湛江市经济技术开发区乐山大道60号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法定代表人：蒋丹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联系人：陈静</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联系电话：020-28308757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客户服务电话：4000-961818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网址：www.gdnybank.com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(34) 广州农商银行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注册地址：广州市黄埔区映日路9号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办公地址：广州市天河区珠江新城华夏路1号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法定代表人：王继康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联系电话：020-22389067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传真：020-22389031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网址：www.grcbank.com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(35) 广州银行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注册地址：广州市天河区珠江东路30号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办公地址：广州市天河区珠江东路30号广州银行大厦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法定代表人：黄子励</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联系人：唐荟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客户服务电话：96699（广东）400-83-96699（全国）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网址：www.gzcb.com.cn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(36) 贵阳银行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注册地址：贵州省贵阳市中华北路77号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办公地址：贵州省贵阳市中华北路77号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法定代表人：陈宗权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联系人：何西</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电话：0851-86858673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客户服务电话：40011-96033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传真：0851-86858673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网址：http://www.96033.cn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(37) 哈尔滨银行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注册地址：哈尔滨市道里区尚志大街160号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办公地址：哈尔滨市道里区上江街888号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法定代表人：郭志文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联系人：何岩岩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电话：0451-87792450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客户服务电话：95537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传真：0451-87792682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网址：www.hrbb.com.cn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(38) 杭州联合银行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注册地址：浙江省杭州市上城区建国中路99号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办公地址：杭州市建国中路99号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法定代表人：张海林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联系人：胡莹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联系电话：0571-87923324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客户服务电话：96596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传真：0571-87923214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网址：www.urcb.com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(39) 杭州银行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注册地址：杭州市下城区庆春路46号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办公地址：杭州市下城区庆春路46号杭州银行大厦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法定代表人：陈震山</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联系人：陈振峰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联系电话：0571-85872972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客户服务电话：95398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传真：0571-85106576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网址：www.hzbank.com.cn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(40) 河北银行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注册地址：石家庄市平安北大街28号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办公地址：石家庄市平安北大街28号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法定代表人：乔志强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联系人：王丽辉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联系电话：0311-67807030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客户服务电话：400-612-9999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传真：0311-67806407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网址：www.hebbank.com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(41) 华融湘江银行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注册地址：长沙市天心区芙蓉南路一段828号杰座大厦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办公地址：湖南省长沙市湘府东路二段208号万境财智中心南栋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法定代表人：张永宏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联系人：闾娇蓉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联系电话：0731-89828182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客户服务电话：0731-96599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传真：0731-89828806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网址：www.hrxjbank.com.cn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(42) 吉林银行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注册地址：吉林省长春市经济技术开发区东南湖大路1817号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办公地址：吉林省长春市经济技术开发区东南湖大路1817号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法定代表人：张宝祥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联系人：孙琦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联系电话：0431-84999627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客户服务电话：400-88-96666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传真：0431-84992649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网址：www.jlbank.com.cn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(43) 嘉兴银行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注册地址：浙江省嘉兴市昌盛南路1001号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办公地址：浙江省嘉兴市昌盛南路1001号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法定代表人：夏林生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联系人：余舟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联系电话：0573-82080201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客户服务电话：0573-96528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网址：http://www.bojx.com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(44) 江南农村商业银行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注册地址：常州市和平中路413号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办公地址：常州市和平中路413号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法定代表人：陆向阳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联系人：李仙</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电话：0519-80585939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客户服务电话：0519-96005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传真：0519-89995170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网址：http://www.jnbank.com.cn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(45) 江苏银行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注册地址：南京市中华路26号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办公地址：南京市中华路26号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法定代表人：夏平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联系人：张洪玮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联系电话：025-58587036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客户服务电话：95319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传真：025-58587820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网址：www.jsbchina.cn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(46) 江西银行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注册地址：江西省南昌市红谷滩新区金融大街699号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办公地址：江西省南昌市红谷滩新区金融大街699号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法定代表人：陈晓明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联系人：陈云波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联系电话：0791-86796029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客户服务电话：956055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传真：0791-86790795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网址：www.jx-bank.com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(47) 金华银行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注册地址：浙江省金华市丹溪路1388号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办公地址：浙江省金华市金东区光南路668号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法定代表人：徐雅清</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联系人：何赛丽、陈霞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联系电话：0579-82178270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客户服务电话：400-711-6668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传真：0579-82178321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网址：www.jhccb.com.cn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(48) 锦州银行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注册地址：辽宁省锦州市科技路68号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办公地址：辽宁省锦州市科技路68号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法定代表人：魏学坤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联系人：庞璐璐</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客户服务电话：400-66-96178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网址：www.jinzhoubank.com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(49) 晋商银行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注册地址：山西省太原市长风西街1号丽华大厦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办公地址：山西省太原市小店区长风街59号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法定代表人：阎俊生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联系人：董嘉文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联系电话：0351-6819579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客户服务电话：9510-5588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传真：0351-6819926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网址：www.jshbank.com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(50) 九江银行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注册地址：江西省九江市濂溪区长虹大道619号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办公地址：江西省九江市濂溪区长虹大道619号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法定代表人：刘羡庭</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联系人：胡浩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联系电话：0792-2171968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客户服务电话：95316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网址：www.jjccb.com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(51) 昆仑银行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注册地址：新疆克拉玛依市世纪大道7号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办公地址：北京市西城区金融大街1号B座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法定代表人：蒋尚军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联系人：张碧华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联系电话：010-89026813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客户服务电话：95379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传真：010-89025421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网址：www.klb.cn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(52) 昆山农村商业银行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注册地址：江苏省昆山市前进东路828号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办公地址：江苏省昆山市前进东路828号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法定代表人：张哲清</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联系人：黄怡</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客户服务电话：0512-96079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网址：www.ksrcb.com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(53) 乐清农商银行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注册地址：浙江省乐清市城南街道伯乐西路99号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办公地址：浙江省乐清市城南街道伯乐西路99号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法定代表人：高剑飞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联系人：金晓娇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联系电话：0577-61566028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客户服务电话：4008896596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传真：0577-61566063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网址：www.yqbank.com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(54) 临海农商银行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注册地址：浙江省临海市古城街道巾山中路2号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办公地址：浙江省临海市古城街道巾山中路2号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法定代表人：张宇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电话：0576-85317606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客户服务电话：4008896596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传真：0576-85317599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 www.zjlhbank.com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(55) 龙江银行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注册地址：黑龙江省哈尔滨市道里区友谊路436号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办公地址：黑龙江省哈尔滨市道里区友谊路436号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法定代表人：张建辉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联系人：闫勇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联系电话：0451-85706107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客户服务电话：400-645-8888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传真：0451-85706036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网址：http://www.lj-bank.com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(56) 龙湾农商银行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注册地址：浙江省温州市龙湾区永中街道永宁西路555号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办公地址：浙江省温州市龙湾区永中街道永宁西路555号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法定代表人：刘少云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联系人：胡俊杰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联系电话：0577-86923223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客户服务电话：4008296596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传真：0577-86921250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网址：www.lwrcb.com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(57) 鹿城农商银行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注册地址：浙江省温州市鹿城区会展路1500号富银大厦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办公地址：温州市车站大道547号信合大厦A幢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法定代表人：陈宏强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联系人：董雷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联系电话：0577-88077675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客户服务电话：96526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网址：http://www.lcrcbank.com/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(58) 洛阳银行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注册地址：洛阳市洛阳新区开元大道与通济街交叉口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办公地址：河南省洛阳市开元大道256号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法定代表人：王建甫</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联系人：郭文博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联系电话：0379-65921977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客户服务电话：0379-96699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传真：0379-65938595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网址：www.bankofluoyang.com.cn/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(59) 南海农商银行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注册地址：广东省佛山市南海区桂城街道南海大道北26号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办公地址：广东省佛山市南海区桂城街道南海大道北26号农商银行大厦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法定代表人：李宜心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联系人：廖雪</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电话：0757-86266566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客户服务电话：96138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传真：0757-86250627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网址：www.nanhaibank.com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(60) 南京银行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注册地址：南京市玄武区中山路288号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办公地址：南京市玄武区中山路288号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法定代表人：胡升荣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联系人：李冰洁</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客户服务电话：95302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网址：www.njcb.com.cn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(61) 宁波银行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注册地址：浙江省宁波市鄞州区宁东路345号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办公地址：浙江省宁波市鄞州区宁东路345号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法定代表人：陆华裕</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联系人：施豪迪</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客户服务电话：95574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网址：www.nbcb.com.cn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(62) 齐商银行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注册地址：淄博市张店区中心路105号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办公地址：山东省淄博市张店区金晶大道105号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法定代表人：杲传勇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联系人：焦浦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联系电话：0533-2178888-9907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客户服务电话：400-86-96588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传真：0533-2180303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网址：www.qsbank.cc</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(63) 青岛银行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注册地址：山东省青岛市崂山区秦岭路6号3号楼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办公地址：山东省青岛市崂山区秦岭路6号3号楼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法定代表人：郭少泉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联系人：徐伟静</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联系电话：0532-68629925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客户服务电话：96588（青岛）400-66-96588（全国）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网址：http://www.qdccb.com/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(64) 青海银行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注册地址：青海省西宁市黄河路36号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办公地址：青海省西宁市黄河路36号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联系人：李万芳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联系电话：0971-6111792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客户服务电话：0971-96399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传真：0971-6111792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网址：www.bankqh.com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(65) 泉州银行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注册地址：泉州市丰泽区云鹿路3号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办公地址：泉州市丰泽区云鹿路3号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法定代表人：傅子能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联系人：董培姗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联系电话：0595-22551071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客户服务电话：400-88-96312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传真：0595-22578871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网址：www.qzccbank.com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(66) 日照银行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注册地址：山东省日照市烟台路197号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办公地址：山东省日照市烟台路197号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联系人：孔颖</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联系电话：0633-8081590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客户服务电话：400-68-96588（全国）、0633-96588（日照）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传真：0633-8081276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网址：http://www.bankofrizhao.com.cn/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(67) 瑞安农商银行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注册地址：瑞安市安阳街道万松东路148号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办公地址：瑞安市安阳街道万松东路148号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法定代表人：王光领</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联系人：吴清萍</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联系电话：0577-66816501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客户服务电话：4008057702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网址：https://www.rarcbank.com/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(68) 瑞丰银行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注册地址：浙江省绍兴市柯桥区笛扬路1363号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办公地址：浙江省绍兴市柯桥区笛扬路1363号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法定代表人：俞俊海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联系人：孟建潮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联系电话：0575-81105323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客户服务电话：400-88-96596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传真：0575-84788134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网址：www.borf.cn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(69) 上海农村商业银行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注册地址：上海市黄浦区中山东二路70号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办公地址：上海市黄浦区中山东二路70号上海农商银行大厦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法定代表人：徐力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联系人：施传荣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联系电话：021-61899999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客户服务电话：021-962999、4006962999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开放式基金业务传真：021-50105124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网址：www.srcb.com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(70) 上海银行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注册地址：中国（上海）自由贸易试验区银城中路168号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办公地址：上海市浦东新区银城中路168号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法定代表人：金煜</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联系电话：021-68475732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客户服务电话：95594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网址：http://www.bosc.cn/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(71) 顺德农村商业银行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注册地址：佛山市顺德区大良德和居委会拥翠路2号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办公地址：佛山市顺德区大良德和居委会拥翠路2号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法定代表人：姚真勇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联系人：陈素莹、区敏欣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联系电话：0757-22385879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客户服务电话：0757-22223388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传真：0757-22388235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网址：www.sdebank.com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(72) 四川天府银行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注册地址：四川省南充市涪江路1号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办公地址：四川省成都市锦江区东大街下东大街258号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法定代表人：邢敏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联系人：周乃雍</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联系电话：028-67676038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客户服务电话：400-16-96869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网址：www.tf.cn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(73) 苏州农村商业银行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注册地址：江苏省苏州市吴江区中山南路1777号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办公地址：江苏省苏州市吴江区中山南路1777号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法定代表人：魏礼亚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联系人：杨晨</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联系电话：0512-63969209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客户服务电话：96068（江苏省内）、400-86-96068（江苏省外）</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传真：0512-63969071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网址：www.wjrcb.com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(74) 苏州银行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注册地址：江苏省苏州市工业园区钟园路728号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办公地址：江苏省苏州市工业园区钟园路728号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法定代表人：王兰凤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联系人：吴骏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联系电话：0512-69868373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客户服务电话：96067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传真：0512-69868373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网址：www.suzhoubank.com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(75) 天津农商银行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注册地址：天津市河西区马场道59号国际经济贸易中心A座1-6层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办公地址：天津市河西区马场道59号国际经济贸易中心A座1-6层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法定代表人：黄卫忠</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联系人：满与谦、梁冯雷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联系电话：022-83872155，022-83872800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客户服务电话：022-96155，400-80-96155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传真：022-83872156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网址：www.trcbank.com.cn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(76) 天津银行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注册地址：天津市河西区友谊路15号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办公地址：天津市河西区友谊路15号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法定代表人：李宗唐</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联系电话：022-28405684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客户服务电话：956056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传真：022-28405631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网址：www.bank-of-tianjin.com.cn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(77) 威海市商业银行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注册地址：威海市宝泉路9号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办公地址：威海市宝泉路9号财政大厦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法定代表人：谭先国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联系人：冯十卉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联系电话：0531-68978175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客户服务电话：山东省内96636、中国境内40000-96636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传真：0531-68978176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网址：www.whccb.com，www.whccb.com.cn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(78) 微众银行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注册地址：深圳市前海深港合作区前湾一路1号A栋201室（入驻深圳市前海商务秘书有限公司）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办公地址：广东省深圳市南山区沙河西路1819号深圳湾科技生态园7栋A座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法定代表人：顾敏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客户服务电话：95384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网址：http://www.webank.com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(79) 潍坊银行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注册地址：山东省潍坊市奎文区胜利东街5139号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办公地址：山东省潍坊市奎文区胜利东街5139号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法定代表人：郭虎英</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联系人：井靖</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联系电话：0536-8051904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客户服务电话：400-61-96588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传真：0536-8056061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网址：www.wfccb.com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(80) 厦门银行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注册地址：厦门市思明区湖滨北路101号商业银行大厦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办公地址：厦门市思明区湖滨北路101号商业银行大厦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法定代表人：吴世群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联系人：孙瑜</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联系电话：0592-5310251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客户服务电话：400-858-8888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传真：0592-5373973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网址：www.xmbankonline.com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(81) 西安银行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注册地址：西安市高新路60号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办公地址：西安市高新路60号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法定代表人：郭军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联系人：白智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联系电话：029-88992881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客户服务电话：40086-96779（全国）、96779（陕西）</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网址：www.xacbank.com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(82) 萧山农商银行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注册地址：萧山区人民路258号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办公地址：浙江省杭州市萧山区人民路258号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法定代表人：王云龙</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联系人：朱光锋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联系电话：0571-82739513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客户服务电话：96596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网址：http://www.zjxsbank.com/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(83) 新昌农商银行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注册地址：浙江省绍兴市新昌县七星街道七星路18号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办公地址：浙江省绍兴市新昌县七星街道七星路18号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法定代表人：吴智晖</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联系人：陈春华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联系电话：0575-86266991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客户服务电话：96596、0575-86266928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传真：0575-86383121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网址：http://xcbank.com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(84) 烟台银行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注册地址：山东省烟台市芝罘区海港路25号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办公地址：山东省烟台市芝罘区海港路25号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法定代表人：吴明理</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联系人：张卓智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联系电话：0535-6699671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客户服务电话：4008-311-777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传真：0535-6699884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网址：www.yantaibank.net</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(85) 余杭农村商业银行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注册地址：杭州市余杭区南苑街道南大街72号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办公地址：杭州市余杭区南苑街道南大街72号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法定代表人：来煜标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联系人：蔡亮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联系电话：0571-86209980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客户服务电话：96596，4008896596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网址：www.yhrcb.com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(86) 云南红塔银行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注册地址：云南省玉溪市东风南路2号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办公地址：云南省昆明市盘龙区世博路低碳中心A座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法定代表人：李光林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联系人：马杰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联系电话：0871-65236624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客户服务电话：0877-96522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网址：www.ynhtbank.com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(87) 浙江稠州商业银行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注册地址：浙江省义乌市江滨路义乌乐园东侧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办公地址：杭州市上城区望潮路158号稠银大厦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法定代表人：金子军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联系人：谢圆圆</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联系电话：0571-87117661/13777805250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客户服务电话：0571-96527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传真：0571-87117607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网址：http://www.czcb.com.cn/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(88) 浙江泰隆商业银行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注册地址：浙江省台州市路桥区南官大道188号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办公地址：浙江省台州市路桥区南官大道188号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联系人：陈妍宇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联系电话：0571-87219677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客户服务电话：95347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网址：www.zjtlcb.com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(89) 郑州银行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注册地址：河南省郑州市郑东新区商务外环路22号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办公地址：河南省郑州市郑东新区商务外环路22号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法定代表人：王天宇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联系人：焦明飞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联系电话：0371-67009917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客户服务电话：95097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传真：0371-67009097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网址：http://www.zzbank.cn/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(90) 中原银行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注册地址：河南省郑州市郑东新区CBD商务外环路23号中科金座大厦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办公地址：河南省郑州市郑东新区CBD商务外环路23号中科金座大厦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法定代表人：窦荣兴</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联系人：张星强  联系电话：0371-85517713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客户服务电话：95186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网址：www.zybank.com.cn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(91) 重庆农村商业银行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注册地址：重庆市江北区金沙门路36号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办公地址：重庆市江北区金沙门路36号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法定代表人：刘建忠</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联系人：范亮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联系电话：023-61110146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客户服务电话：95389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传真：023-61110146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网址：www.cqrcb.com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(92) 重庆银行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注册地址：重庆市渝中区邹容路153号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办公地址：重庆市江北区永平门街6号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法定代表人：林军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联系人：石千凡</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联系电话：023-63367180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客户服务电话：96899，4007096899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网址：www.cqcbank.com.cn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(93) 珠海华润银行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注册地址：广东省珠海市吉大九洲大道东1346号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办公地址：广东省珠海市吉大九洲大道东1346号珠海华润银行大厦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法定代表人：刘晓勇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联系电话：4008800338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客户服务电话：96588（广东省外请加拨0756），400-8800-338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网址：www.crbank.com.cn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(94) 安信证券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注册地址：深圳市福田区金田路4018号安联大厦35层、28层A02单元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办公地址：深圳市福田区金田路4018号安联大厦35层、28层A02单元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          深圳市福田区深南大道2008号中国凤凰大厦1栋9层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法定代表人：王连志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联系人：陈剑虹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联系电话：0755-82825551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客户服务电话：95517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传真：0755-82558355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网址：www.essence.com.cn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(95) 渤海证券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注册地址：天津市经济技术开发区第二大街42号写字楼101室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办公地址：天津市南开区宾水西道8号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法定代表人：王春峰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联系人：蔡霆</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联系电话：022-28451991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客户服务电话：400-651-5988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传真：022-28451892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网址：www.ewww.com.cn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(96) 财达证券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注册地址：河北省石家庄市桥西区自强路35号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办公地址：河北省石家庄市桥西区自强路35号庄家金融大厦23-26层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法定代表人：翟建强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联系人：李卓颖</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联系电话：0311-66008561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客户服务电话：95363（河北省内）；0311-95363（河北省外）</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传真：0311-66006414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网址：www.s10000.com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(97) 财富证券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注册地址：长沙市芙蓉中路二段80号顺天国际财富中心26层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办公地址：长沙市芙蓉中路二段80号顺天国际财富中心26-28层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法定代表人：刘宛晨</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联系人：郭静</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联系电话：0731-84403347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客户服务电话：95317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传真：0731-84403439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网址：www.cfzq.com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(98) 财通证券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注册地址：浙江省杭州市杭大路15号嘉华国际商务中心201，501，502，1103，1601-1615，1701-1716室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办公地址：浙江省杭州市杭大路15号嘉华国际商务中心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法定代表人：陆建强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联系人：陶志华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联系电话：0571－87789160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客户服务电话：95336、40086-96336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网址：www.ctsec.com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(99) 长城国瑞证券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注册地址：厦门市思明区莲前西路2号莲富大厦17楼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办公地址：厦门市思明区深田路46号深田国际大厦20楼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联系人：邱震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联系电话：0592-2079259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客户服务电话：400-0099-886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传真：0592-2079602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网址：www.gwgsc.com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(100) 长城证券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注册地址：深圳市福田区福田街道金田路2026号能源大厦南塔楼10-19层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办公地址：深圳市福田区福田街道金田路2026号能源大厦南塔楼10-19层长城证券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法定代表人：曹宏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联系人：梁浩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联系电话：0755-83530715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客户服务电话：400-6666-888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传真：0755-83516199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网址：www.cgws.com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(101) 长江证券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注册地址：湖北省武汉市新华路特8号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办公地址：湖北省武汉市新华路特8号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法定代表人：李新华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联系人：奚博宇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联系电话：027-65799999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客户服务电话：95579或4008-888-999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传真：027-85481900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网址：www.95579.com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(102) 川财证券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注册地址：中国（四川）自由贸易试验区成都高新区交子大道177号中海国际中心B座17楼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办公地址：四川省成都高新区交子大道177号中海国际中心B座17楼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法定代表人：孟建军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联系人：匡婷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联系电话：028-86583053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客户服务电话：028-86583000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网址：www.cczq.com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(103) 大通证券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注册地址：辽宁省大连市沙河口区会展路129号大连国际金融中心A座-大连期货大厦38、39层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办公地址：辽宁省大连市沙河口区会展路129号大连国际金融中心A座-大连期货大厦38、39层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法定代表人：赵玺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联系人：谢立军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联系电话：0411-39991807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客户服务电话：4008-169-169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传真：0411-39673214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网址：www.daton.com.cn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(104) 大同证券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注册地址：山西省大同市城区迎宾街15号桐城中央21层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办公地址：山西省太原市小店区长治路111号山西世贸中心A座F12、F13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法定代表人：董祥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联系人：薛津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联系电话：0351-4130322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客户服务电话：4007121212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传真：0351-7219891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网址：www.dtsbc.com.cn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(105) 德邦证券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注册地址：上海市普陀区曹杨路510号南半幢9楼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办公地址：上海市福山路500号城建国际中心29楼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法定代表人：武晓春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联系人：刘熠</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联系电话：021-68761616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客户服务电话：400-8888-128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传真：021-68767880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网址：http://www.tebon.com.cn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(106) 第一创业证券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注册地址：深圳市福田区福华一路115号投行大厦20楼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办公地址：深圳市福田区福华一路115号投行大厦20楼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法定代表人：刘学民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联系人：毛诗莉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联系电话：0755-23838750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客户服务电话：95358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网址：www.firstcapital.com.cn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(107) 东北证券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注册地址：长春市生态大街6666号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办公地址：长春市生态大街6666号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法定代表人：李福春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联系人：安岩岩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联系电话：0431-85096517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客户服务电话：95360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传真：0431-85096795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网址：www.nesc.cn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(108) 东方证券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注册地址：上海市中山南路318号2号楼22层、23层、25层-29层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办公地址：上海市中山南路318号2号楼13层、21层-23层、25-29层、32 层、36 层、39 层、40 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法定代表人：潘鑫军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联系人：朱琼玉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联系电话：021-63325888-3134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客户服务电话：95503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传真：021-63326729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网址：http://www.dfzq.com.cn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(109) 东莞证券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注册地址：东莞市莞城区可园南路一号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办公地址：东莞市莞城区可园南路1号金源中心30楼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法定代表人：陈照星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联系电话：0769-22115712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客户服务电话：95328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传真：0769-22115712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网址：www.dgzq.com.cn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(110) 东海证券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注册地址：江苏省常州市延陵西路23号投资广场18层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办公地址：上海市浦东新区东方路1928号东海证券大厦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法定代表人：陈耀庭</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联系人：王一彦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联系电话：021-20333333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客户服务电话：95531、400-8888-588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传真：021-50498825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网址：www.longone.com.cn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(111) 东吴证券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注册地址：苏州工业园区星阳街5号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办公地址：苏州工业园区星阳街5号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法定代表人：范力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联系人：陆晓</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联系电话：0512-62938521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客户服务电话：95330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传真：0512-65588021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网址：www.dwzq.com.cn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(112) 东兴证券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注册地址：北京市西城区金融大街5号（新盛大厦）12、15层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办公地址：北京市西城区金融大街5号新盛大厦B座12-15层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法定代表人：魏庆华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联系人：和志鹏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联系电话：010-66559371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客户服务电话：95309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传真：010-66555133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网址：www.dxzq.net</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(113) 方正证券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注册地址：长沙市天心区湘江中路二段36号华远华中心4、5号楼3701-3717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办公地址：北京市朝阳区北四环中路27号盘古大观A座40F</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法定代表人：施华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联系人：程博怡</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联系电话：010-56437060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传真：010-56437013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网址：www.foundersc.com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(114) 光大证券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注册地址：上海市静安区新闸路1508号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办公地址：上海市静安区新闸路1508号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法定代表人：周健男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联系人：龚俊涛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联系电话：021-22169999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客户服务电话：95525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传真：021-22169134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网址：www.ebscn.com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(115) 广发证券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注册地址：广东省广州市黄埔区中新广州知识城腾飞一街2号618室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办公地址：广州市天河区马场路26号广发证券大厦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法定代表人：孙树明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联系人：黄岚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客户服务电话：95575或02095575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网址：www.gf.com.cn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(116) 国都证券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注册地址：北京市东城区东直门南大街3号国华投资大厦9层10层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办公地址：北京市东城区东直门南大街3号国华投资大厦9层10层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法定代表人：王少华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联系人：黄静</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联系电话：010-84183389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客户服务电话：400-818-8118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传真：010-84183311-3122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网址：www.guodu.com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(117) 国海证券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注册地址：广西桂林市辅星路13号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办公地址：深圳市福田区竹子林四路光大银行大厦3楼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法定代表人：何春梅</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联系人：田密</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联系电话：0755-83716916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客户服务电话：95563或0771-95563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网址：www.ghzq.com.cn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(118) 国金证券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注册地址：成都市青羊区东城根上街95号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办公地址：成都市青羊区东城根上街95号成证大厦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法定代表人：冉云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联系人：杜晶、黎建平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联系电话：028-86690057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客户服务电话：95310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传真：028-86690126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网址：www.gjzq.com.cn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(119) 国联证券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注册地址：江苏省无锡市太湖新城金融一街8号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办公地址：江苏省无锡市太湖新城金融一街8号国联金融大厦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法定代表人：姚志勇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联系人：祁昊</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联系电话：0510-82831662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客户服务电话：95570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传真：0510-82830162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网址：www.glsc.com.cn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(120) 国融证券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注册地址：内蒙古自治区呼和浩特市武川县腾飞大道1号4楼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办公地址：内蒙古自治区呼和浩特市武川县腾飞大道与呈祥路交汇处武川立农村镇银行股份有限公司四楼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法定代表人：张智河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联系人：郭一非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联系电话：010-83991777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客户服务电话：95385或400-660-9839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传真：010-66412537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网址：www.grzq.com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(121) 国盛证券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注册地址：江西省南昌市新建区子实路1589号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办公地址：江西省南昌市红谷滩新区凤凰中大道1115号北京银行大厦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法定代表人：徐丽峰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联系人：占文驰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联系电话：0791-86283372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客户服务电话：956080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传真：0791-86281305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网址：www.gszq.com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(122) 国泰君安证券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注册地址：中国（上海）自由贸易试验区商城路618号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办公地址：上海市静安区南京西路768号国泰君安大厦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法定代表人：杨德红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联系人：芮敏祺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传真：021-38670666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网址：www.gtja.com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(123) 国信证券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注册地址：深圳市罗湖区红岭中路1012号国信证券大厦十六层至二十六层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办公地址：深圳市罗湖区红岭中路1012号国信证券大厦十六层至二十六层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法定代表人：何如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联系人：李颖</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联系电话：0755-82130833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客户服务电话：95536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传真：0755-82133952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网址：www.guosen.com.cn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(124) 国元证券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注册地址：安徽省合肥市梅山路18号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办公地址：安徽省合肥市梅山路18号安徽国际金融中心A座国元证券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法定代表人：蔡咏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联系人：李蔡</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客户服务电话：95578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传真：0551-2272100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网址：www.gyzq.com.cn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(125) 海通证券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注册地址：上海市广东路689号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办公地址：上海市广东路689号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法定代表人：周杰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联系人：金芸、李笑鸣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联系电话：021-23219000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客户服务电话：95553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传真：021-23219100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网址：www.htsec.com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(126) 恒泰证券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注册地址：内蒙古自治区呼和浩特市新城区海拉尔东街满世尚都办公商业综合楼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办公地址：呼和浩特市新城区海拉尔东街满世书香苑办公楼7楼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法定代表人：庞介民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联系人：熊丽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联系电话：0471-4972675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客户服务电话：4001966188,956088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网址：www.cnht.com.cn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(127) 红塔证券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注册地址：云南省昆明市北京路155号附1号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办公地址：云南省昆明市北京路155号附1号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法定代表人：李素明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联系人：罗德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联系电话：0871-63582843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客户服务电话：956060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传真：0871-63578827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网址：http://www.hongtastock.com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(128) 华安证券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注册地址：安徽省合肥市政务文化新区天鹅湖路198号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办公地址：安徽省合肥市政务文化新区天鹅湖路198号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法定代表人：章宏韬</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联系人：范超</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联系电话：0551-65161821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传真：0551-65161825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网址：www.hazq.com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(129) 华宝证券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注册地址：中国（上海）自由贸易试验区世纪大道100号57层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办公地址：中国（上海）自由贸易试验区世纪大道100号57层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联系人：刘闻川</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联系电话：021-20657517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客户服务电话：400-820-9898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传真：021-20515593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网址：www.cnhbstock.com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(130) 华福证券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注册地址：福建省福州市鼓楼区鼓屏路27号1#楼3层、4层、5层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办公地址：上海市浦东新区陆家嘴环路1088号招商银行大厦18-19楼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法定代表人：黄金琳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联系电话：021-20655183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客户服务电话：95547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传真：021-20655196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网址：www.hfzq.com.cn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(131) 华林证券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注册地址：拉萨市柳梧新区国际总部城3幢1单元5-5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办公地址：深圳市福田区民田路178号华融大厦6楼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法定代表人：林立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联系人：胡倩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联系电话：0755-83255199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客户服务电话：400-188-3888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网址：www.chinalin.com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(132) 华龙证券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注册地址：兰州市城关区东岗西路638号兰州财富中心21楼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办公地址：兰州市城关区东岗西路638号兰州财富中心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法定代表人：陈牧原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联系人：范坤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联系电话：0931-4890208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客户服务电话：95368、400-689-8888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传真：0931-4890628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网址：www.hlzq.com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(133) 华融证券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注册地址：北京市西城区金融大街8号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办公地址：北京市朝阳区朝阳门北大街18号中国人保寿险大厦11至18层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法定代表人：祝献忠</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联系人：孙燕波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联系电话：010-85556048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客户服务电话：95390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传真：010-85556088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网址：www.hrsec.com.cn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(134) 华泰证券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注册地址：南京市江东中路228号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办公地址：南京市建邺区江东中路228号华泰证券广场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联系人：庞晓芸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联系电话：0755-82492193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客户服务电话：95597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传真：025-83387523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网址：www.htsc.com.cn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(135) 华西证券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注册地址：四川省成都市高新区天府二街198号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办公地址：四川省成都市高新区天府二街198号华西证券大厦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法定代表人：杨炯洋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联系人：谢国梅</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联系电话：010-58124967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客户服务电话：95584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传真：028-86150040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网址：www.hx168.com.cn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(136) 华鑫证券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注册地址：深圳市福田区莲花街道福中社区深南大道2008号中国凤凰大厦1栋20C-1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办公地址：上海市徐汇区宛平南路8号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法定代表人：俞洋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联系人：杨莉娟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联系电话：021-54967552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客户服务电话：95323（全国）、400-109-9918（全国）、029-68918888（西安）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传真：021-54967293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网址：www.cfsc.com.cn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(137) 华信证券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注册地址：上海浦东新区世纪大道100号环球金融中心9楼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办公地址：上海市黄浦区南京西路399号明天广场23楼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法定代表人：陈灿辉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联系人：徐璐</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联系电话：021-63898952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客户服务电话：400-820-5999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传真：021-68776977转8952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网址：www.shhxzq.com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(138) 江海证券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注册地址：黑龙江省哈尔滨市香坊区赣水路56号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办公地址：黑龙江省哈尔滨市松北区创新三路833号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法定代表人：赵洪波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联系人：姜志伟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联系电话：0451-87765732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客户服务电话：400-666-2288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传真：0451-82337279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网址：www.jhzq.com.cn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(139) 金元证券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注册地址：海口市南宝路36号证券大厦4楼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办公地址：深圳市深南大道4001号时代金融中心大厦17楼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法定代表人：王作义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联系人：刘萍</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联系电话：0755-83025693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客户服务电话：95372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传真：0755-83025625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网址：www.jyzq.cn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(140) 九州证券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注册地址：青海省西宁市南川工业园区创业路108号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办公地址：北京市朝阳区安立路30号仰山公园东一门2号楼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法定代表人：魏先锋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联系人：张思思</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联系电话：010-57672272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客户服务电话：95305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传真：010-57672296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网址：www.jzsec.com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(141) 开源证券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注册地址：陕西省西安市高新区锦业路1号都市之门B座5层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办公地址：陕西省西安市高新区锦业路1号都市之门B座5层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联系人：张蕊</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联系电话：029-88365809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客户服务电话：95325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网址：www.kysec.cn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(142) 联储证券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注册地址：广东省深圳市福田区福田街道岗厦社区深南大道南侧金地中心大厦9楼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办公地址：上海市浦东新区陆家嘴环路333号金砖大厦8楼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法定代表人：吕春卫</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联系人：丁倩云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联系电话：010-86499427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客户服务电话：400-620-6868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网址：www.lczq.com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(143) 南京证券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注册地址：南京市江东中路389号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办公地址：南京市江东中路389号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法定代表人：步国旬</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联系人：王万君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联系电话：025-58519523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客户服务电话：95386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传真：025-83369725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网址：www.njzq.com.cn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(144) 平安证券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注册地址：深圳市福田区福田街道益田路5023号平安金融中心B座第22-25层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办公地址：深圳市福田区金田路4036号荣超大厦16-20层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法定代表人：何之江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联系人：周驰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联系电话：021-38643230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客户服务电话：95511-8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传真：021-58991896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网址：stock.pingan.com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(145) 瑞银证券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注册地址：北京市西城区金融大街7号英蓝国际金融中心12层、15层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办公地址：北京市西城区金融大街7号英蓝国际金融中心12层、15层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法定代表人：钱于军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联系人：谢丹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联系电话：0755-22158878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客户服务电话：400-887-8827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传真：010-58328170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网址：https://www.ubs.com/ubssecurities</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(146) 山西证券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注册地址：太原市府西街69号山西国际贸易中心东塔楼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办公地址：太原市府西街69号山西国际贸易中心东塔楼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法定代表人：侯巍</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联系人：郭熠</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联系电话：0351-8686659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客户服务电话：95573或400-666-1618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传真：0351-8686619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网址：www.i618.com.cn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(147) 上海证券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注册地址：上海市黄浦区四川中路213号7楼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办公地址：上海市四川中路213号久事商务大厦7楼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法定代表人：李俊杰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联系人：邵珍珍</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联系电话：021-53686888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客户服务电话：4008-918-918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传真：021-53686100、021-53686200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网址：https://www.shzq.com/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(148) 申万宏源西部证券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注册地址：新疆乌鲁木齐市高新区（新市区）北京南路358号大成国际大厦20楼2005室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办公地址：新疆乌鲁木齐市高新区（新市区）北京南路358号大成国际大厦20楼2005室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联系人：王怀春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联系电话：0991-2307105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客户服务电话：4008-000-562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传真：010-88085195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网址：www.hysec.com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(149) 申万宏源证券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注册地址：上海市徐汇区长乐路989号45层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办公地址：上海市徐汇区长乐路989号世纪商贸广场45层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法定代表人：杨玉成</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联系人：余敏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联系电话：021-33388252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客户服务电话：95523、4008895523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传真：021-33388224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网址：www.swhysc.com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(150) 世纪证券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注册地址：深圳市前海深港合作区南山街道桂湾五路128号前海深港基金小镇对冲基金中心406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办公地址：深圳市福田区深南大道招商银行大厦40-42层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联系人：王雯</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联系电话：0755-83199511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客户服务电话：4008323000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网址：www.csco.com.cn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(151) 首创证券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注册地址：北京市西城区德胜门外大街115号德胜尚城E座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办公地址：北京市西城区德胜门外大街115号德胜尚城E座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法定代表人：毕劲松</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联系电话：010-59366070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客户服务电话：400-620-0620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传真：010-59366055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网址：http://www.sczq.com.cn/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(152) 天风证券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注册地址：湖北省武汉市东湖新技术开发区关东园路2号高科大厦四楼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办公地址：湖北省武汉市武昌区中南路99号保利广场A座37楼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法定代表人：余磊</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联系人：程晓英</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联系电话：027-87617017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客户服务电话：4008005000、95391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传真：027-87618863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网址：http://www.tfzq.com/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(153) 万联证券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注册地址：广州市天河区珠江东路11号18、19楼全层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办公地址：广州市天河区珠江东路13号高德置地广场E栋12层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法定代表人：罗钦城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联系人：甘蕾</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联系电话：020-38286026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客户服务电话：95322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传真：020-38286588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网址：www.wlzq.cn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(154) 西部证券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注册地址：陕西省西安市新城区东新街319号8幢10000室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办公地址：陕西省西安市新城区东新街319号8幢10000室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法定代表人：徐朝晖</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联系人：梁承华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联系电话：029-87211526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客户服务电话：95582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传真：029-87211478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网址：www.westsecu.com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(155) 西南证券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注册地址：重庆市江北区桥北苑8号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办公地址：重庆市江北区桥北苑8号西南证券大厦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法定代表人：廖庆轩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联系人：周青</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联系电话：023-63786633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客户服务电话：4008096096或95355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传真：023-63786212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网址：www.swsc.com.cn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(156) 湘财证券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注册地址：湖南省长沙市天心区湘府中路198号新南城商务中心A栋11楼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办公地址：湖南省长沙市天心区湘府中路198号新南城商务中心A栋11楼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法定代表人：孙永祥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联系电话：021-38784580-8918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客户服务电话：95351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传真：021-68865680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网址：www.xcsc.com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(157) 新时代证券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注册地址：北京市海淀区北三环西路99号院1号楼15层1501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办公地址：北京市海淀区北三环西路99号院1号楼15层1501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法定代表人：叶顺德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联系人：田芳芳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联系电话：010-83561146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网址：www.xsdzq.cn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(158) 信达证券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注册地址：北京市西城区闹市口大街9号院1号楼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办公地址：北京市西城区闹市口大街9号院1号楼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法定代表人：张志刚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联系人：尹旭航</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联系电话：010-63081000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传真：010-63080978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网址：www.cindasc.com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(159) 兴业证券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注册地址：福州市湖东路268号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办公地址：上海浦东新区长柳路36号兴业证券大厦20楼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法定代表人：杨华辉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联系人：乔琳雪</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联系电话：021-38565547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客户服务电话：95562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网址：www.xyzq.com.cn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(160) 银河证券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注册地址：北京市西城区金融大街35号2-6层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办公地址：北京市西城区金融大街35号国际企业大厦C座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法定代表人：陈共炎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联系人：辛国政</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联系电话：010-83574507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客户服务电话：4008-888-888或95551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网址：www.chinastock.com.cn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(161) 粤开证券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注册地址：惠州市江北东江三路55号广播电视新闻中心西面一层大堂和三、四层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办公地址：深圳市福田区深南中路2002号中广核大厦北楼10层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法定代表人：严亦斌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联系人：彭莲</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联系电话：0755-83331195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客户服务电话：95564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公司网址：http://www.ykzq.com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(162) 招商证券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注册地址：深圳市福田区福田街道福华一路111号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办公地址：深圳市福田区福田街道福华一路111号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法定代表人：霍达</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联系人：黄婵君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联系电话：0755-82943666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客户服务电话：95565、400-8888-111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传真：0755-82943636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网址：www.newone.com.cn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(163) 浙商证券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注册地址：浙江省杭州市江干区五星路201号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办公地址：浙江省杭州市江干区五星路201号浙商证券大楼8楼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法定代表人：吴承根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联系人：高扬</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联系电话：0571-87902974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客户服务电话：95345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传真：0571-87901913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网址：www.stocke.com.cn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(164) 中航证券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注册地址：江西省南昌市红谷滩新区红谷中大道1619号南昌国际金融大厦A栋41层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办公地址：江西省南昌市红谷滩新区红谷中大道1619号南昌国际金融大厦A栋41层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法定代表人：王晓峰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联系人：王紫雯</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联系电话：15611538682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客户服务电话：95335或400-88-95335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传真：010-59562637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网址：www.avicsec.com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(165) 中金财富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注册地址：深圳市福田区益田路与福中路交界处荣超商务中心A栋第18-21层及第04层01.02.03.05.11.12.13.15.16.18.19.20.21.22.23单元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办公地址：深圳福田区益田路6003号荣超商务中心A座4层、18-21层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法定代表人：高涛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联系人：万玉琳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联系电话：0755-82026907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客户服务电话：95532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网址：https://www.ciccwm.com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(166) 中金公司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注册地址：北京市朝阳区建国门外大街1号国贸大厦2座27层及28层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办公地址：北京市朝阳区建国门外大街1号国贸大厦2座27层及28层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法定代表人：沈如军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联系人：杨涵宇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联系电话：010-65051166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客户服务电话：4009101166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网址：www.cicc.com.cn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(167) 中山证券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注册地址：深圳市南山区粤海街道蔚蓝海岸社区创业路1777号海信南方大厦21、22层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办公地址：深圳市南山区创业路1777号海信南方大厦21、22层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法定代表人：林炳城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联系人：罗艺琳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电话：0755-82943755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传真：0755-82960582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客户服务电话：95329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网址：www.zszq.com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(168) 中泰证券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注册地址：济南市市中区经七路86号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办公地址：山东省济南市经七路86号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联系人：许曼华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联系电话：021-20315290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客户服务电话：95538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传真：0531-68889095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网址：www.zts.com.cn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(169) 中天证券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注册地址：辽宁省沈阳市和平区光荣街23甲</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办公地址：辽宁省沈阳市和平区光荣街23甲</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法定代表人：马功勋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联系人：李泓灏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联系电话：024-23255256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客户服务电话：024-95346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传真：024-23255606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网址：www.iztzq.com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(170) 中信建投证券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注册地址：北京市朝阳区安立路66号4号楼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办公地址：北京市朝阳门内大街188号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法定代表人：王常青</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联系电话：010－85130554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客户服务电话：95587或4008-888-108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网址：http://www.csc108.com/ </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(171) 中信证券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注册地址：广东省深圳市福田区中心三路8号卓越时代广场（二期）北座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办公地址：北京市朝阳区亮马桥路48号中信证券大厦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法定代表人：张佑君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 xml:space="preserve">联系人：王一通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联系电话：010-60838888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客户服务电话：95548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传真：010-60836029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网址：www.cs.ecitic.com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(172) 中信证券（华南）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注册地址：广州市天河区珠江西路5号广州国际金融中心主塔19层、20层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办公地址：广州市天河区珠江西路5号广州国际金融中心主塔19层、20层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法定代表人：胡伏云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联系人：梁微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联系电话：020-88836999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传真：020-88836984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网址：www.gzs.com.cn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(173) 中信证券（山东）</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注册地址：青岛市崂山区深圳路222号1号楼2001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办公地址：青岛市市南区东海西路28号龙翔广场东座5层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法定代表人：姜晓林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联系人：焦刚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联系电话：0531-89606166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客户服务电话：95548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传真：0532-85022605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网址：http://sd.citics.com/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(174) 中银国际证券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注册地址：上海市浦东新区银城中路200号中银大厦39层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办公地址：上海市浦东新区银城中路200号中银大厦39-40层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法定代表人：宁敏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联系人：王炜哲</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客户服务电话：400-620-8888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传真：021-50372474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网址：www.bocichina.com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(175) 中邮证券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注册地址：陕西省西安市唐延路5号（陕西邮政信息大厦9-11层）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办公地址：北京市东城区珠市口东大街17号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法定代表人：丁奇文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联系人：岳帅</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 010-67017788-6068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客户服务电话：4008-888-005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传真：010-67017788-9696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网址：www.cnpsec.com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(176) 中原证券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注册地址：郑州市郑东新区商务外环路10号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办公地址：河南省郑州市郑东新区商务外环路10号中原广发金融大厦19楼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法定代表人：菅明军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联系人：程月艳  李盼盼 党静</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联系电话：0371-69099882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客户服务电话：95377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传真：0371-65585899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网址：www.ccnew.com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(177) 百度百盈</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注册地址：北京市海淀区上地十街10号1幢1层101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办公地址：北京市海淀区西北旺东路10号院西区4号楼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法定代表人：张旭阳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联系人：孙博超</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联系电话：010-59403028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客户服务电话：95055-4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网址：www.baiyingfund.com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(178) 长量基金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注册地址：上海市浦东新区高翔路526号2幢220室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办公地址：上海市浦东新区东方路1267号陆家嘴金融服务广场二期11层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法定代表人：张跃伟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联系人：党敏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联系电话：021-20691935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客户服务电话：400-820-2899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传真：021-20691861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网址：www.erichfund.com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(179) 朝阳永续</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注册地址：浦东新区上丰路977号1幢B座812室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办公地址：上海市浦东新区碧波路690号4号楼2楼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法人代表：廖冰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联系人：陆纪青</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联系电话：021-80234888-6813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客户服务电话：400-699-1888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网址：www.998fund.com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(180) 创金启富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注册地址：北京市西城区白纸坊东街2号院6号楼712室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办公地址：北京市西城区白纸坊东街2号院6号楼712室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法定代表人：梁蓉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联系人：李慧慧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联系电话：010-66154828-8047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客户服务电话：400-6262-818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传真：010-63583991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网址：www.5irich.com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(181) 大泰金石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注册地址：南京市建邺区江东中路102号708室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办公地址：上海市浦东新区峨山路505号东方纯一大厦15楼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法定代表人：陈达伟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联系人：孟召社</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联系电话：021-20324176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客户服务电话：400-995-9220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传真：021-20324199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网址：www.dtfunds.com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(182) 大智慧基金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注册地址：中国（上海）自由贸易试验区杨高南路428号1号楼1102单元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办公地址：中国（上海）自由贸易试验区杨高南路428号1号楼1102单元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法定代表人：申健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联系人：张蜓</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联系电话：021-20219988-35374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客户服务电话：021-20292031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传真：021-20219923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网址：https://www.wg.com.cn/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(183) 蛋卷基金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注册地址：北京市朝阳区阜通东大街1号院6号楼2单元21层222507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办公地址：北京市朝阳区阜通东大街1号院6号楼2单元21层222507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法定代表人：钟斐斐</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联系人：侯芳芳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联系电话：010-61840688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客户服务电话：4001599288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网址：https://danjuanapp.com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(184) 鼎信汇金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注册地址：北京市海淀区太月园3号楼5层521室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办公地址：北京市海淀区太月园3号楼5层521室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法定代表人：齐凌峰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联系人：阮志凌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联系电话：010-82050520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客户服务电话：400-886-3311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传真：010-82086110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网址：www.9ifund.com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(185) 东海期货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注册地址：江苏省常州市延陵西路23、25、27、29号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办公地址：上海市浦东新区东方路1928号东海证券大厦8楼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法定代表人：陈太康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联系人：陶云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联系电话：021-68751603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客户服务电话：95531/400-8888588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传真：021-68756991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网址：www.qh168.com.cn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(186) 东证期货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注册地址：中国（上海）自由贸易试验区浦电路500号上海期货大厦14层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办公地址：上海市黄浦区中山南路318号2号楼22楼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法定代表人：卢大印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联系人：张敏圆</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联系电话：021-63325888-4259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客户服务电话：4008859999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传真：021-63326752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网址：www.dzqh.com.cn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(187) 泛华普益</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注册地址：四川省成都市成华区建设路9号高地中心1101室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办公地址：四川省成都市锦江区东大街99号平安金融中心1501室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法定代表人：于海锋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联系人：陈金红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联系电话：028-86758820-803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客户服务电话：400-020-0606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网址：www.puyifund.com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(188) 富济基金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注册地址：深圳市福田区福田街道岗厦社区金田路3088号中洲大厦3203A单元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办公地址：深圳市福田区福田街道岗厦社区金田路3088号中洲大厦3203A单元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法定代表人：祝中村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联系人：曾瑶敏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联系电话：0755-83999907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客户服务电话：0755-83999907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传真：0755-83999926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网址：www.fujifund.cn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(189) 海银基金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注册地址：中国（上海）自由贸易试验区银城中路8号402室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办公地址：上海市浦东新区银城中路8号海银金融中心4楼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法定代表人：惠晓川</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联系人：毛林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联系电话：021-80133597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客户服务电话：400-808-1016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传真：021-80133413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网址：www.fundhaiyin.com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(190) 好买基金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注册地址：上海市虹口区欧阳路196号26号楼2楼41号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办公地址：上海市浦东南路1118号鄂尔多斯国际大厦903～906室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法定代表人：杨文斌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联系电话：021-20613600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客户服务电话：400-700-9665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传真：021-68596916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网址：www.ehowbuy.com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(191) 和谐销售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注册地址：北京市朝阳区建国门外大街6号11层1102内103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办公地址：北京市朝阳区建国门外大街6号安邦金融中心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法定代表人：左荣林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联系人：张楠</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联系电话：010-85256214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客户服务电话：4008195569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网址：www.hx-sales.com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(192) 和讯信息</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注册地址：北京市朝阳区朝外大街22号1002室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办公地址：北京市朝阳区朝外大街22号泛利大厦10层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联系人：陈慧慧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联系电话：010-85657353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客户服务电话：400-920-0022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传真：010-65884788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网址：http://licaike.hexun.com/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(193) 恒天明泽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注册地址：北京市经济技术开发区宏达北路10号五层5122室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办公地址：北京市朝阳区东三环北路甲19号SOHO嘉盛中心30层3001室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法定代表人：周斌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联系电话：010-59313555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客户服务电话：4008980618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传真：010-59313586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网址：www.chtwm.com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(194) 弘业期货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注册地址：江苏省南京市秦淮区中华路50号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办公地址：江苏省南京市秦淮区中华路50号弘业大厦9楼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法人代表：周剑秋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联系人：孙朝旺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联系电话：025-52278870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客户服务电话：400-828-1288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网址：www.ftol.com.cn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(195) 虹点基金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注册地址：北京市朝阳区东三环北路17号10层1015室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办公地址：北京市朝阳区工体北路甲2号盈科中心东门2层216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法定代表人：何静</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联系人：牛亚楠</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联系电话：010-65951887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客户服务电话：400-618-0707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网址：www.hongdianfund.com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(196) 华夏财富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注册地址：上海市虹口区东大名路687号1幢2楼268室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办公地址：北京市西城区金融大街33号通泰大厦B座8层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法定代表人：毛淮平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联系人：张静怡</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联系电话：010-88066632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客户服务电话：400-817-5666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传真：010-63136184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网址：www.amcfortune.com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(197) 徽商期货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注册地址：安徽省合肥市芜湖路258号3号楼6-7层，6号楼1-2层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办公地址：合肥市芜湖路258号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法人代表：吴国华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联系人：申倩倩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联系电话：0551-62865215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客户服务电话：400-887-8707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网址：www.hsqh.net</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(198) 汇成基金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注册地址：北京市海淀区中关村大街11号11层1108号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办公地址：北京市西城区西直门外大街1号院2号楼 19层 19C13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法定代表人：王伟刚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联系人：王骁骁</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联系电话：010-56251471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客户服务电话：400-619-9059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网址：www.hcjijin.com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(199) 汇付基金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注册地址：上海市黄浦区黄河路333号201室A区056单元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办公地址：上海市徐汇区宜山路700号普天信息产业园2期C5栋 汇付天下总部大楼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法定代表人：金佶</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联系人：甄宝林</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联系电话：021-34013996-3011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客户服务电话：021-34013999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传真：021-33323837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网址：www.hotjijin.com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(200) 济安财富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注册地址：北京市朝阳区太阳宫中路16号院1号楼3层307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办公地址：北京市朝阳区太阳宫中路16号院1号楼冠捷大厦3层307单元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法定代表人：杨健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联系人：李海燕</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联系电话：010-65309516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客户服务电话：400-673-7010（济安财富官网）  400-071-6766（腾讯财经）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传真：010-65330699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网址：www.jianfortune.com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(201) 加和基金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注册地址：北京市西城区德胜门外大街13号院1号楼5层505室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办公地址：北京市西城区德胜门外大街13号院1号楼5层505室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法定代表人：曲阳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联系人：王梓骄</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联系电话：010-80456756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客户服务电话：400-803-1188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传真：010-80456278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网址：www.bzfunds.com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(202) 嘉实财富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注册地址：中国（上海）自由贸易试验区世纪大道8号上海国金中心办公楼二期53层5312-15单元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办公地址：北京市朝阳区建国路91号金地中心A座6层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法定代表人：赵学军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联系人：李雯</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联系电话：010-60842306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客户服务电话：400-021-8850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传真：010-85712195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网址：www.harvestwm.cn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(203) 金百临</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注册地址：无锡市滨湖区锦溪路99号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办公地址：江苏省无锡市太湖新城锦溪道楝泽路9号楼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法人代表：费晓燕</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联系人：邹云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联系电话：0510-81188088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客户服务电话：0510-9688988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网址：www.jsjbl.com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(204) 金观诚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注册地址：杭州拱墅区登云路45号金诚集团（锦昌大厦）1幢10楼1001室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办公地址：杭州拱墅区登云路55号金诚集团（锦昌大厦）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法定代表人：蒋雪琦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联系人：来舒岚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联系电话：0571-88337888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客户服务电话：4000680058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传真：0571-88337666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网址：http://www.jincheng-fund.com/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(205) 久富财富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注册地址：上海市浦东新区莱阳路2819号1幢109室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办公地址：上海市浦东新区民生路1403号上海信息大厦1215室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法定代表人：赵惠蓉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联系人：赵惠蓉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联系电话：021-68682279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客户服务电话：400-102-1813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传真：021-68682297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网址：www.jfcta.com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(206) 凯石财富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注册地址：上海市黄浦区西藏南路765号602-115室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办公地址：上海市黄浦区延安东路1号凯石大厦4楼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法定代表人：陈继武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联系人：冯强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联系电话：021-63333389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客户服务电话：4006-433-389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传真：021-63333390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网址：www.vstonewealth.com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(207) 肯特瑞基金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注册地址：北京市海淀区显龙山路19号1幢4层1座401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办公地址：北京市大兴区亦庄经济开发区科创十一街十八号院京东集团总部A座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法定代表人：江卉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联系人：韩锦星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联系电话：010-89189291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客户服务电话：95118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网址：http://fund.jd.com/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(208) 利得基金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注册地址：上海市宝山区蕴川路5475号1033室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办公地址：上海市虹口区东大名路1098号浦江国际金融广场53层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法定代表人：李兴春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联系人：陈孜明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联系电话：86-021-50583533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客户服务电话：95733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传真：86-21-61101630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网址：www.leadfund.com.cn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(209) 联泰基金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注册地址：中国（上海）自由贸易试验区富特北路277号3层310室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办公地址：上海市长宁区福泉北路518号8座3楼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法定代表人：尹彬彬</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联系人：陈东</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联系电话：021-52822063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客户服务电话：400-118-1188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传真：021-52975270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网址：www.66zichan.com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(210) 陆基金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注册地址：中国（上海）自由贸易试验区陆家嘴环路1333号14楼09单元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办公地址：中国（上海）自由贸易试验区陆家嘴环路1333号14楼09单元</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法定代表人：王之光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联系人：宁博宇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联系电话：021-20665952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客户服务电话：4008219031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传真：021-22066653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网址：www.lufunds.com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(211) 蚂蚁基金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注册地址：浙江省杭州市余杭区五常街道文一西路969号3幢5层599室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办公地址：浙江省杭州市西湖区万塘路18号黄龙时代广场B座6F</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法定代表人：祖国明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联系人：韩爱彬</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联系电话：0571-26888888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客户服务电话：4000-766-123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网址：http://www.fund123.cn/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(212) 民商基金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注册地址：上海黄浦区北京东路666号H区（东座）6楼A31室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办公地址：上海市浦东新区张杨路707号生命人寿大厦32楼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法定代表人：贲惠琴</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联系人：杨一新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联系电话：021-50206003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客户服务电话：021-50206002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传真：021-50206001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网址：http://www.msftec.com/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(213) 诺亚正行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注册地址：上海市虹口区飞虹路360弄9号3724室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办公地址：上海杨浦区秦皇岛路32号C栋 2楼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法定代表人：汪静波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联系人：余翼飞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联系电话：021-80358749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客户服务电话：400-821-5399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传真：021-38509777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网址：www.noah-fund.com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(214) 浦领基金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注册地址：北京市朝阳区望京东园四区13号楼A座9层908室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办公地址：北京市朝阳区望京浦项中心A座9层04-08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法定代表人：聂婉君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联系电话：010-59497361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客户服务电话：400-012-5899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传真：010-64788016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网址：www.zscffund.com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(215) 钱景基金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注册地址：北京市海淀区中关村东路18号1号楼11层B-1108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办公地址：北京市海淀区中关村东路18号财智国际大厦B-1108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法定代表人：王利刚</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联系人：姚付景</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联系电话：010-62565181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客户服务电话：400-893-6885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传真：010-57569671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网址：www.qianjing.com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(216) 深圳新兰德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注册地址：深圳市福田区福田街道民田路178号华融大厦27层2704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办公地址：北京市西城区宣武门外大街28号富卓大厦A座7层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法定代表人：洪弘</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联系人：张燕</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联系电话：010-83363099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客户服务电话：400-166-1188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传真：010-83363010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网址：http://8.jrj.com.cn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(217) 晟视天下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注册地址：北京市怀柔区九渡河镇黄坎村735号03室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办公地址：北京市朝阳区朝外大街甲六号万通中心D座21层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法定代表人：蒋煜</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联系人：史俊杰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联系电话：010-58170936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客户服务电话：010-58170761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传真：010-58170800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网址：www.shengshiview.com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(218) 苏宁基金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注册地址：南京市玄武区苏宁大道1-5号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办公地址：南京市玄武区苏宁大道1-5号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联系人：张云飞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联系电话：025-66996699-882796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客户服务电话：95177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网址：www.snjijin.com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(219) 腾安基金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注册地址：深圳市前海深港合作区前湾一路1号A栋201室（入驻深圳市前海商务秘书有限公司）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办公地址：深圳市南山区海天二路33号腾讯滨海大厦15楼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法定代表人：刘明军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联系人：谭广锋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客户服务电话：95017（拨通后转1转8）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公司网址：https://www.txfund.com/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(220) 天天基金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注册地址：上海市徐汇区龙田路190号2号楼2层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办公地址：上海市徐汇区宛平南路88号东方财富大厦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法定代表人：其实</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联系人：屠彦洋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联系电话：021-54509977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客户服务电话：95021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传真：021-64385308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网址：www.1234567.com.cn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(221) 通华财富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注册地址：上海市虹口区同丰路667弄107号201室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办公地址：上海市浦东新区金沪路55号通华科技大厦7楼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法定代表人：沈丹义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联系人：杨涛、庄洁茹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联系电话：021-60810586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客户服务电话：95177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传真：021-60810695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网址：www.tonghuafund.com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(222) 同花顺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注册地址：浙江省杭州市文二西路1号903室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办公地址：杭州市余杭区五常街道同顺街18号同花顺大楼4层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法定代表人：吴强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联系人：吴强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联系电话：0571-88911818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客户服务电话：952555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传真：0571-86800423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网址：www.5ifund.com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(223) 途牛基金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注册地址：江苏省南京市玄武区玄武大道699-1号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办公地址：江苏省南京市玄武区玄武大道699-32号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法人代表：宋时琳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联系人：贺杰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联系电话：025-86853960-66727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客户服务电话：4007-999-999转3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网址：http://jr.tuniu.com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(224) 挖财基金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注册地址：中国（上海）自由贸易试验区杨高南路799号5楼01、02、03室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办公地址：上海市浦东新区杨高南路799号陆家嘴世纪金融广场3号楼5层01、02、03层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法定代表人：冷飞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联系电话：021-50810687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客户服务电话：021-50810673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网址：www.wacaijijin.com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(225) 万得基金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注册地址：中国（上海）自由贸易试验区福山路33号11楼B座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办公地址：上海市浦东新区浦明路1500号万得大厦11楼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法定代表人：黄祎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联系人：徐亚丹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联系电话：021-50712782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客户服务电话：400-799-1888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网址：www.520fund.com.cn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(226) 万家财富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注册地址：天津自贸区（中心商务区）迎宾大道1988号滨海浙商大厦公寓2-2413室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办公地址：北京市西城区丰盛胡同28号太平洋保险大厦A座5层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联系人：王芳芳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联系电话：010-59013828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客户服务电话：010-59013895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网址：http://www.wanjiawealth.com/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(227) 新浪仓石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注册地址：北京市海淀区东北旺西路中关村软件园二期（西扩）N-1、N-2地块新浪总部科研楼5层518室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办公地址：北京市海淀区西北旺东路10号院东区3号楼为明大厦C座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法定代表人：赵芯蕊</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联系人：赵芯蕊</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联系电话：010-62625768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客户服务电话：010-62675369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传真：010-62676582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网址：www.xincai.com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(228) 鑫鼎盛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注册地址：厦门市思明区鹭江道2号厦门第一广场西座1501-1502室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办公地址：厦门市思明区鹭江道2号厦门第一广场西座1501-1502室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 xml:space="preserve">法定代表人：陈洪生 </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联系人：梁云波</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联系电话：0592-3122757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客户服务电话：400-918-0808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网址：www.xds.com.cn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(229) 阳光人寿保险</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注册地址：海南省三亚市迎宾路360-1号三亚阳光金融广场16层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办公地址：北京市朝阳区朝外大街20号联合大厦701A室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法定代表人：李科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联系人：龙尧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联系电话：010-59053779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客户服务电话：95510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传真：010-59053700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网址：http://fund.sinosig.com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(230) 一路财富</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注册地址：北京市西城区阜成门外大街2号1幢A2208室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办公地址：北京市海淀区宝盛南路奥北科技园20号楼国泰大厦9层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法定代表人：吴雪秀</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联系人：刘栋栋</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联系电话：010-88312877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客户服务电话：400-001-1566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传真：010-88312099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网址：www.yilucaifu.com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(231) 宜投基金销售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注册地址：深圳市前海深港合作区前湾一路1号A栋201室（入驻深圳市前海商务秘书有限公司）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办公地址：深圳市福田区嘉里建设广场2座15楼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法定代表人：雷凤潮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联系人：梁菲菲</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联系电话：0755-88603874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客户服务电话：4008-955-811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网址：www.yitfund.com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(232) 宜信普泽</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注册地址：北京市朝阳区建国路88号9号楼15层1809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办公地址：北京市朝阳区建国路88号楼SOHO现代城C座18层1809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法定代表人：戎兵</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联系人：魏晨</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联系电话：010-52413385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客户服务电话：400-6099-200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传真：010-85800047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网址：www.yixinfund.com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(233) 奕丰金融</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注册地址：深圳市前海深港合作区前湾一路1号A栋201室（入驻深圳市前海商务秘书有限公司）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办公地址：深圳市南山区海德三道航天科技广场A座17楼1704室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法定代表人：TEO WEE HOWE</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联系人：叶健</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联系电话：0755-89460507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客户服务电话：400-684-0500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传真：0755-21674453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网址：www.ifastps.com.cn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(234) 盈米基金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注册地址：珠海市横琴新区宝华路6号105室-3491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办公地址：广州市海珠区琶洲大道东路1号保利国际广场南塔1201-1203室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法定代表人：肖雯</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联系人：邱湘湘</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联系电话：020-89629099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客户服务电话：020-89629066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传真：020-89629011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网址：www.yingmi.cn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(235) 云湾基金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注册地址：中国（上海）自由贸易试验区新金桥路27号、明月路1257号1幢1层103-1、103-2办公区</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办公地址：上海市浦东新区新金桥路27号1号楼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法定代表人：冯轶明</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联系人：范泽杰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联系电话：021-20530186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客户服务电话：400-820-1515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传真：021-20539999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网址：http://www.zhengtongfunds.com/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(236) 增财基金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注册地址：北京市西城区南礼士路66号建威大厦1208室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办公地址：北京市西城区南礼士路66号建威大厦1208-1209室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法定代表人：罗细安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联系人：闫丽敏</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联系电话：010-67000988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客户服务电话：400-001-8811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传真：010-67000988-6000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网址：www.zcvc.com.cn</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(237) 展恒基金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注册地址：北京市顺义区后沙峪镇安富街6号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办公地址：北京市朝阳区安苑路15-1号邮电新闻大厦6层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法定代表人：闫振杰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联系人：李晓芳</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联系电话：010-59601366-7167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客户服务电话：400-818-8000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传真：0351-4110714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网址：www.myfund.com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(238) 中国国际期货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注册地址：北京市朝阳区建国门外光华路14号1幢6层609号、610号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办公地址：北京市朝阳区建国门外光华路14号1幢1层、2层、9层、11层、12层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法定代表人：王兵</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联系人：霍丽文</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联系电话：010-65807827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客户服务电话：95162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传真：010-59539806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网址：http://www.cifco.net/</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(239) 中期时代基金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注册地址：北京市朝阳区建国门外光华路14号1幢11层1103号</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办公地址：北京市朝阳区建国门外光华路14号1幢4层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法定代表人：田宏莉</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联系人：尹庆</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联系电话：010-65807865</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客户服务电话：95162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传真：010-65807864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网址：www.jrtoo.com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(240) 中信建投期货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注册地址：重庆市渝中区中山三路107号上站大楼平街11-B，名义层11-A，8-B4，9-B、C</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办公地址：重庆市渝中区中山三路107号皇冠大厦11楼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法定代表人：王广学</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联系人：刘芸</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联系电话：023-86769637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客户服务电话：400-8877-780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传真：023-86769629</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网址：www.cfc108.com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(241) 中信期货</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注册地址：广东省深圳市福田区中心三路8号卓越时代广场（二期）北座13层1301-1305室、14层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办公地址：深圳市福田区中心三路8号卓越时代广场（二期）北座13层1301-1305室、14层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法定代表人：张皓</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联系人：刘宏莹</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联系电话：010-6083 3754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客户服务电话：400-990-8826</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传真：021-60819988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网址：www.citicsf.com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(242) 中正达广</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注册地址：上海市徐汇区龙腾大道2815号302室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办公地址：上海市徐汇区龙腾大道2815号302室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法定代表人：黄欣</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联系人：戴珉微</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联系电话：021-33768132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客户服务电话：400-6767-523</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传真：021-33768132-802</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网址：www.zhongzhengfund.com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(243) 中证金牛</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注册地址：北京市丰台区东管头1号2号楼2-45室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办公地址：北京市西城区宣武门外大街甲1号环球财讯中心A座5层</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法定代表人：钱昊旻</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联系人：沈晨</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联系电话：010-59336544</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客户服务电话：4008-909-998</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网址：www.jnlc.com</w:t>
      </w:r>
    </w:p>
    <w:p w:rsidR="00737A69"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(244) 众禄基金</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注册地址：深圳市罗湖区笋岗街道笋西社区梨园路8号HALO广场一期四层12-13室</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办公地址：深圳市罗湖区梨园路HALO广场4楼</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法定代表人：薛峰</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联系人：龚江江</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联系电话：0755-33227950</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客户服务电话：4006-788-887</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传真：0755-33227951</w:t>
      </w:r>
    </w:p>
    <w:p w:rsidR="00737A69" w:rsidRPr="00F17515" w:rsidRDefault="00737A69">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网址：www.zlfund.cn    www.jjmmw.com</w:t>
      </w:r>
    </w:p>
    <w:p w:rsidR="00F45307" w:rsidRPr="00F17515" w:rsidRDefault="00737A69" w:rsidP="00AE7D9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注：微众银行仅销售本基金B类基金份额，详见相关公告及通知。</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Cs/>
          <w:szCs w:val="21"/>
        </w:rPr>
      </w:pPr>
      <w:bookmarkStart w:id="54" w:name="_Toc41556763"/>
      <w:r w:rsidRPr="00F17515">
        <w:rPr>
          <w:rFonts w:asciiTheme="minorEastAsia" w:eastAsiaTheme="minorEastAsia" w:hAnsiTheme="minorEastAsia" w:hint="eastAsia"/>
          <w:bCs/>
          <w:szCs w:val="21"/>
        </w:rPr>
        <w:t>（二）基金注册登记机构</w:t>
      </w:r>
      <w:bookmarkEnd w:id="51"/>
      <w:bookmarkEnd w:id="52"/>
      <w:bookmarkEnd w:id="53"/>
      <w:bookmarkEnd w:id="54"/>
    </w:p>
    <w:p w:rsidR="007228CC" w:rsidRPr="00F17515" w:rsidRDefault="007228CC" w:rsidP="0071223F">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名称：易方达基金管理有限公司</w:t>
      </w:r>
    </w:p>
    <w:p w:rsidR="00B850EA" w:rsidRPr="00F17515" w:rsidRDefault="00B850EA" w:rsidP="0071223F">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注册地址：</w:t>
      </w:r>
      <w:r w:rsidR="008D2A66" w:rsidRPr="00F17515">
        <w:rPr>
          <w:rFonts w:asciiTheme="minorEastAsia" w:eastAsiaTheme="minorEastAsia" w:hAnsiTheme="minorEastAsia" w:cs="宋体" w:hint="eastAsia"/>
          <w:kern w:val="0"/>
          <w:szCs w:val="21"/>
        </w:rPr>
        <w:t>广东省珠海市横琴新区宝华路6号105室-42891（集中办公区）</w:t>
      </w:r>
    </w:p>
    <w:p w:rsidR="007228CC" w:rsidRPr="00F17515" w:rsidRDefault="00B850EA" w:rsidP="0071223F">
      <w:pPr>
        <w:snapToGrid w:val="0"/>
        <w:spacing w:line="360" w:lineRule="auto"/>
        <w:ind w:firstLine="480"/>
        <w:rPr>
          <w:rFonts w:asciiTheme="minorEastAsia" w:eastAsiaTheme="minorEastAsia" w:hAnsiTheme="minorEastAsia"/>
          <w:szCs w:val="21"/>
        </w:rPr>
      </w:pPr>
      <w:r w:rsidRPr="00F17515">
        <w:rPr>
          <w:rFonts w:asciiTheme="minorEastAsia" w:eastAsiaTheme="minorEastAsia" w:hAnsiTheme="minorEastAsia" w:hint="eastAsia"/>
        </w:rPr>
        <w:t>办公地址：广州市天河区珠江新城珠江东路30号广州银行大厦40-43楼</w:t>
      </w:r>
    </w:p>
    <w:p w:rsidR="007228CC" w:rsidRPr="00F17515" w:rsidRDefault="007228CC" w:rsidP="0071223F">
      <w:pPr>
        <w:snapToGrid w:val="0"/>
        <w:spacing w:line="360" w:lineRule="auto"/>
        <w:ind w:firstLine="480"/>
        <w:rPr>
          <w:rFonts w:asciiTheme="minorEastAsia" w:eastAsiaTheme="minorEastAsia" w:hAnsiTheme="minorEastAsia"/>
          <w:szCs w:val="21"/>
        </w:rPr>
      </w:pPr>
      <w:r w:rsidRPr="00F17515">
        <w:rPr>
          <w:rFonts w:asciiTheme="minorEastAsia" w:eastAsiaTheme="minorEastAsia" w:hAnsiTheme="minorEastAsia" w:hint="eastAsia"/>
          <w:szCs w:val="21"/>
        </w:rPr>
        <w:t>法定代表人：</w:t>
      </w:r>
      <w:r w:rsidR="0007593B" w:rsidRPr="00F17515">
        <w:rPr>
          <w:rFonts w:asciiTheme="minorEastAsia" w:eastAsiaTheme="minorEastAsia" w:hAnsiTheme="minorEastAsia" w:hint="eastAsia"/>
          <w:szCs w:val="21"/>
        </w:rPr>
        <w:t>刘晓艳</w:t>
      </w:r>
    </w:p>
    <w:p w:rsidR="007228CC" w:rsidRPr="00F17515" w:rsidRDefault="007228CC" w:rsidP="0071223F">
      <w:pPr>
        <w:snapToGrid w:val="0"/>
        <w:spacing w:line="360" w:lineRule="auto"/>
        <w:ind w:firstLine="480"/>
        <w:rPr>
          <w:rFonts w:asciiTheme="minorEastAsia" w:eastAsiaTheme="minorEastAsia" w:hAnsiTheme="minorEastAsia"/>
          <w:szCs w:val="21"/>
        </w:rPr>
      </w:pPr>
      <w:r w:rsidRPr="00F17515">
        <w:rPr>
          <w:rFonts w:asciiTheme="minorEastAsia" w:eastAsiaTheme="minorEastAsia" w:hAnsiTheme="minorEastAsia" w:hint="eastAsia"/>
          <w:szCs w:val="21"/>
        </w:rPr>
        <w:t>电话：4008818088</w:t>
      </w:r>
    </w:p>
    <w:p w:rsidR="007228CC" w:rsidRPr="00F17515" w:rsidRDefault="007228CC" w:rsidP="0071223F">
      <w:pPr>
        <w:snapToGrid w:val="0"/>
        <w:spacing w:line="360" w:lineRule="auto"/>
        <w:ind w:firstLine="480"/>
        <w:rPr>
          <w:rFonts w:asciiTheme="minorEastAsia" w:eastAsiaTheme="minorEastAsia" w:hAnsiTheme="minorEastAsia"/>
          <w:szCs w:val="21"/>
        </w:rPr>
      </w:pPr>
      <w:r w:rsidRPr="00F17515">
        <w:rPr>
          <w:rFonts w:asciiTheme="minorEastAsia" w:eastAsiaTheme="minorEastAsia" w:hAnsiTheme="minorEastAsia" w:hint="eastAsia"/>
          <w:szCs w:val="21"/>
        </w:rPr>
        <w:t>传真：</w:t>
      </w:r>
      <w:r w:rsidRPr="00F17515">
        <w:rPr>
          <w:rFonts w:asciiTheme="minorEastAsia" w:eastAsiaTheme="minorEastAsia" w:hAnsiTheme="minorEastAsia"/>
          <w:szCs w:val="21"/>
        </w:rPr>
        <w:t>020</w:t>
      </w:r>
      <w:r w:rsidRPr="00F17515">
        <w:rPr>
          <w:rFonts w:asciiTheme="minorEastAsia" w:eastAsiaTheme="minorEastAsia" w:hAnsiTheme="minorEastAsia" w:hint="eastAsia"/>
          <w:szCs w:val="21"/>
        </w:rPr>
        <w:t>-38799249</w:t>
      </w:r>
    </w:p>
    <w:p w:rsidR="007228CC" w:rsidRPr="00F17515" w:rsidRDefault="007228CC" w:rsidP="0071223F">
      <w:pPr>
        <w:snapToGrid w:val="0"/>
        <w:spacing w:line="360" w:lineRule="auto"/>
        <w:ind w:firstLine="480"/>
        <w:rPr>
          <w:rFonts w:asciiTheme="minorEastAsia" w:eastAsiaTheme="minorEastAsia" w:hAnsiTheme="minorEastAsia"/>
          <w:szCs w:val="21"/>
        </w:rPr>
      </w:pPr>
      <w:r w:rsidRPr="00F17515">
        <w:rPr>
          <w:rFonts w:asciiTheme="minorEastAsia" w:eastAsiaTheme="minorEastAsia" w:hAnsiTheme="minorEastAsia" w:hint="eastAsia"/>
          <w:szCs w:val="21"/>
        </w:rPr>
        <w:t>联系人：余贤高</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55" w:name="_Toc182018733"/>
      <w:bookmarkStart w:id="56" w:name="_Toc211920132"/>
      <w:bookmarkStart w:id="57" w:name="_Toc211927663"/>
      <w:bookmarkStart w:id="58" w:name="_Toc38432430"/>
      <w:bookmarkStart w:id="59" w:name="_Toc41556764"/>
      <w:r w:rsidRPr="00F17515">
        <w:rPr>
          <w:rFonts w:asciiTheme="minorEastAsia" w:eastAsiaTheme="minorEastAsia" w:hAnsiTheme="minorEastAsia" w:hint="eastAsia"/>
        </w:rPr>
        <w:t>（三）律师事务所和经办律师</w:t>
      </w:r>
      <w:bookmarkEnd w:id="55"/>
      <w:bookmarkEnd w:id="56"/>
      <w:bookmarkEnd w:id="57"/>
      <w:bookmarkEnd w:id="59"/>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律师事务所：北京市天元律师事务所</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地址：北京市西城区丰盛胡同</w:t>
      </w:r>
      <w:r w:rsidRPr="00F17515">
        <w:rPr>
          <w:rFonts w:asciiTheme="minorEastAsia" w:eastAsiaTheme="minorEastAsia" w:hAnsiTheme="minorEastAsia"/>
        </w:rPr>
        <w:t>28</w:t>
      </w:r>
      <w:r w:rsidRPr="00F17515">
        <w:rPr>
          <w:rFonts w:asciiTheme="minorEastAsia" w:eastAsiaTheme="minorEastAsia" w:hAnsiTheme="minorEastAsia" w:hint="eastAsia"/>
        </w:rPr>
        <w:t>号太平洋保险大厦</w:t>
      </w:r>
      <w:r w:rsidRPr="00F17515">
        <w:rPr>
          <w:rFonts w:asciiTheme="minorEastAsia" w:eastAsiaTheme="minorEastAsia" w:hAnsiTheme="minorEastAsia"/>
        </w:rPr>
        <w:t>10</w:t>
      </w:r>
      <w:r w:rsidRPr="00F17515">
        <w:rPr>
          <w:rFonts w:asciiTheme="minorEastAsia" w:eastAsiaTheme="minorEastAsia" w:hAnsiTheme="minorEastAsia" w:hint="eastAsia"/>
        </w:rPr>
        <w:t>层</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负责人：王立华</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电话：010-88092188</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传真：010-88092150</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经办律师：朱小辉、陈华</w:t>
      </w:r>
      <w:bookmarkStart w:id="60" w:name="_Toc182018734"/>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联系人：王立华</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61" w:name="_Toc41556765"/>
      <w:r w:rsidRPr="00F17515">
        <w:rPr>
          <w:rFonts w:asciiTheme="minorEastAsia" w:eastAsiaTheme="minorEastAsia" w:hAnsiTheme="minorEastAsia" w:hint="eastAsia"/>
        </w:rPr>
        <w:t>（四）会计师事务所和经办注册会计师</w:t>
      </w:r>
      <w:bookmarkEnd w:id="60"/>
      <w:bookmarkEnd w:id="61"/>
    </w:p>
    <w:p w:rsidR="005C228C" w:rsidRPr="00F17515" w:rsidRDefault="005C228C" w:rsidP="0071223F">
      <w:pPr>
        <w:snapToGrid w:val="0"/>
        <w:spacing w:line="360" w:lineRule="auto"/>
        <w:ind w:firstLineChars="200" w:firstLine="420"/>
        <w:rPr>
          <w:rFonts w:asciiTheme="minorEastAsia" w:eastAsiaTheme="minorEastAsia" w:hAnsiTheme="minorEastAsia"/>
          <w:szCs w:val="21"/>
        </w:rPr>
      </w:pPr>
      <w:bookmarkStart w:id="62" w:name="_Toc198959672"/>
      <w:bookmarkStart w:id="63" w:name="_Toc211920134"/>
      <w:bookmarkStart w:id="64" w:name="_Toc211927665"/>
      <w:bookmarkEnd w:id="58"/>
      <w:r w:rsidRPr="00F17515">
        <w:rPr>
          <w:rFonts w:asciiTheme="minorEastAsia" w:eastAsiaTheme="minorEastAsia" w:hAnsiTheme="minorEastAsia" w:hint="eastAsia"/>
          <w:szCs w:val="21"/>
        </w:rPr>
        <w:t>会计师事务所：普华永道中天会计师事务所（特殊普通合伙）</w:t>
      </w:r>
    </w:p>
    <w:p w:rsidR="005C228C" w:rsidRPr="00F17515" w:rsidRDefault="005C228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住所：</w:t>
      </w:r>
      <w:r w:rsidR="00C6218B" w:rsidRPr="00F17515">
        <w:rPr>
          <w:rFonts w:asciiTheme="minorEastAsia" w:eastAsiaTheme="minorEastAsia" w:hAnsiTheme="minorEastAsia" w:hint="eastAsia"/>
          <w:szCs w:val="21"/>
        </w:rPr>
        <w:t>上海市湖滨路202号普华永道中心11楼</w:t>
      </w:r>
    </w:p>
    <w:p w:rsidR="005C228C" w:rsidRPr="00F17515" w:rsidRDefault="005C228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办公地址：上海市湖滨路202号普华永道中心11楼</w:t>
      </w:r>
    </w:p>
    <w:p w:rsidR="005C228C" w:rsidRPr="00F17515" w:rsidRDefault="005C228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首席合伙人：李丹</w:t>
      </w:r>
    </w:p>
    <w:p w:rsidR="005C228C" w:rsidRPr="00F17515" w:rsidRDefault="005C228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电话：（021）23238888</w:t>
      </w:r>
    </w:p>
    <w:p w:rsidR="005C228C" w:rsidRPr="00F17515" w:rsidRDefault="005C228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传真：（021）23238800</w:t>
      </w:r>
    </w:p>
    <w:p w:rsidR="005C228C" w:rsidRPr="00F17515" w:rsidRDefault="005C228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经办注册会计师：</w:t>
      </w:r>
      <w:r w:rsidR="00235681" w:rsidRPr="00F17515">
        <w:rPr>
          <w:rFonts w:asciiTheme="minorEastAsia" w:eastAsiaTheme="minorEastAsia" w:hAnsiTheme="minorEastAsia"/>
        </w:rPr>
        <w:t>陈熹、周祎</w:t>
      </w:r>
    </w:p>
    <w:p w:rsidR="005C228C" w:rsidRPr="00F17515" w:rsidRDefault="005C228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联系人：</w:t>
      </w:r>
      <w:r w:rsidR="00C6218B" w:rsidRPr="00F17515">
        <w:rPr>
          <w:rFonts w:asciiTheme="minorEastAsia" w:eastAsiaTheme="minorEastAsia" w:hAnsiTheme="minorEastAsia" w:hint="eastAsia"/>
          <w:szCs w:val="21"/>
        </w:rPr>
        <w:t>周祎</w:t>
      </w:r>
    </w:p>
    <w:p w:rsidR="005C228C" w:rsidRPr="00F17515" w:rsidRDefault="005C228C" w:rsidP="0071223F">
      <w:pPr>
        <w:snapToGrid w:val="0"/>
        <w:spacing w:line="360" w:lineRule="auto"/>
        <w:ind w:firstLineChars="200" w:firstLine="420"/>
        <w:rPr>
          <w:rFonts w:asciiTheme="minorEastAsia" w:eastAsiaTheme="minorEastAsia" w:hAnsiTheme="minorEastAsia"/>
        </w:rPr>
        <w:sectPr w:rsidR="005C228C" w:rsidRPr="00F17515" w:rsidSect="00DE4B5E">
          <w:pgSz w:w="11906" w:h="16838" w:code="9"/>
          <w:pgMar w:top="1440" w:right="1800" w:bottom="1440" w:left="1800" w:header="851" w:footer="992" w:gutter="0"/>
          <w:cols w:space="425"/>
          <w:docGrid w:type="lines" w:linePitch="312"/>
        </w:sectPr>
      </w:pP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65" w:name="_Toc41556766"/>
      <w:r w:rsidRPr="00F17515">
        <w:rPr>
          <w:rFonts w:asciiTheme="minorEastAsia" w:eastAsiaTheme="minorEastAsia" w:hAnsiTheme="minorEastAsia" w:hint="eastAsia"/>
          <w:b/>
        </w:rPr>
        <w:lastRenderedPageBreak/>
        <w:t>基金的募集</w:t>
      </w:r>
      <w:bookmarkEnd w:id="65"/>
    </w:p>
    <w:p w:rsidR="007228CC" w:rsidRPr="00F17515" w:rsidRDefault="007228CC" w:rsidP="0071223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本基金由基金管理人依照《基金法》、《运作办法》、《销售办法》、基金合同的相关规定、并经中国证券监督管理委员会《关于核准易方达增强回报债券型证券投资基金募集的批复》（证监基金字</w:t>
      </w:r>
      <w:r w:rsidRPr="00F17515">
        <w:rPr>
          <w:rFonts w:asciiTheme="minorEastAsia" w:eastAsiaTheme="minorEastAsia" w:hAnsiTheme="minorEastAsia"/>
        </w:rPr>
        <w:t>[200</w:t>
      </w:r>
      <w:r w:rsidRPr="00F17515">
        <w:rPr>
          <w:rFonts w:asciiTheme="minorEastAsia" w:eastAsiaTheme="minorEastAsia" w:hAnsiTheme="minorEastAsia" w:hint="eastAsia"/>
        </w:rPr>
        <w:t>8]226号）核准募集。</w:t>
      </w:r>
    </w:p>
    <w:p w:rsidR="007228CC" w:rsidRPr="00F17515" w:rsidRDefault="007228CC" w:rsidP="0071223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本基金为</w:t>
      </w:r>
      <w:r w:rsidRPr="00F17515">
        <w:rPr>
          <w:rFonts w:asciiTheme="minorEastAsia" w:eastAsiaTheme="minorEastAsia" w:hAnsiTheme="minorEastAsia"/>
        </w:rPr>
        <w:t>契约型开放式</w:t>
      </w:r>
      <w:r w:rsidRPr="00F17515">
        <w:rPr>
          <w:rFonts w:asciiTheme="minorEastAsia" w:eastAsiaTheme="minorEastAsia" w:hAnsiTheme="minorEastAsia" w:hint="eastAsia"/>
        </w:rPr>
        <w:t>债券型基金</w:t>
      </w:r>
      <w:r w:rsidRPr="00F17515">
        <w:rPr>
          <w:rFonts w:asciiTheme="minorEastAsia" w:eastAsiaTheme="minorEastAsia" w:hAnsiTheme="minorEastAsia"/>
        </w:rPr>
        <w:t>。基金</w:t>
      </w:r>
      <w:r w:rsidRPr="00F17515">
        <w:rPr>
          <w:rFonts w:asciiTheme="minorEastAsia" w:eastAsiaTheme="minorEastAsia" w:hAnsiTheme="minorEastAsia" w:hint="eastAsia"/>
        </w:rPr>
        <w:t>的</w:t>
      </w:r>
      <w:r w:rsidRPr="00F17515">
        <w:rPr>
          <w:rFonts w:asciiTheme="minorEastAsia" w:eastAsiaTheme="minorEastAsia" w:hAnsiTheme="minorEastAsia"/>
        </w:rPr>
        <w:t>存续期间</w:t>
      </w:r>
      <w:r w:rsidRPr="00F17515">
        <w:rPr>
          <w:rFonts w:asciiTheme="minorEastAsia" w:eastAsiaTheme="minorEastAsia" w:hAnsiTheme="minorEastAsia" w:hint="eastAsia"/>
        </w:rPr>
        <w:t>为</w:t>
      </w:r>
      <w:r w:rsidRPr="00F17515">
        <w:rPr>
          <w:rFonts w:asciiTheme="minorEastAsia" w:eastAsiaTheme="minorEastAsia" w:hAnsiTheme="minorEastAsia"/>
        </w:rPr>
        <w:t>不定期</w:t>
      </w:r>
      <w:r w:rsidRPr="00F17515">
        <w:rPr>
          <w:rFonts w:asciiTheme="minorEastAsia" w:eastAsiaTheme="minorEastAsia" w:hAnsiTheme="minorEastAsia" w:hint="eastAsia"/>
        </w:rPr>
        <w:t>。</w:t>
      </w:r>
    </w:p>
    <w:p w:rsidR="007228CC" w:rsidRPr="00F17515" w:rsidRDefault="007228CC" w:rsidP="0071223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rPr>
        <w:t>本基金</w:t>
      </w:r>
      <w:r w:rsidRPr="00F17515">
        <w:rPr>
          <w:rFonts w:asciiTheme="minorEastAsia" w:eastAsiaTheme="minorEastAsia" w:hAnsiTheme="minorEastAsia" w:hint="eastAsia"/>
        </w:rPr>
        <w:t>募集期间</w:t>
      </w:r>
      <w:r w:rsidRPr="00F17515">
        <w:rPr>
          <w:rFonts w:asciiTheme="minorEastAsia" w:eastAsiaTheme="minorEastAsia" w:hAnsiTheme="minorEastAsia"/>
        </w:rPr>
        <w:t>每份基金份额的</w:t>
      </w:r>
      <w:r w:rsidRPr="00F17515">
        <w:rPr>
          <w:rFonts w:asciiTheme="minorEastAsia" w:eastAsiaTheme="minorEastAsia" w:hAnsiTheme="minorEastAsia" w:hint="eastAsia"/>
        </w:rPr>
        <w:t>初始</w:t>
      </w:r>
      <w:r w:rsidRPr="00F17515">
        <w:rPr>
          <w:rFonts w:asciiTheme="minorEastAsia" w:eastAsiaTheme="minorEastAsia" w:hAnsiTheme="minorEastAsia"/>
        </w:rPr>
        <w:t>面值为人民币1.00元</w:t>
      </w:r>
      <w:r w:rsidRPr="00F17515">
        <w:rPr>
          <w:rFonts w:asciiTheme="minorEastAsia" w:eastAsiaTheme="minorEastAsia" w:hAnsiTheme="minorEastAsia" w:hint="eastAsia"/>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本基金募集期自</w:t>
      </w:r>
      <w:r w:rsidRPr="00F17515">
        <w:rPr>
          <w:rFonts w:asciiTheme="minorEastAsia" w:eastAsiaTheme="minorEastAsia" w:hAnsiTheme="minorEastAsia"/>
          <w:szCs w:val="21"/>
        </w:rPr>
        <w:t>2008年2月28日</w:t>
      </w:r>
      <w:r w:rsidRPr="00F17515">
        <w:rPr>
          <w:rFonts w:asciiTheme="minorEastAsia" w:eastAsiaTheme="minorEastAsia" w:hAnsiTheme="minorEastAsia" w:hint="eastAsia"/>
          <w:szCs w:val="21"/>
        </w:rPr>
        <w:t>至</w:t>
      </w:r>
      <w:r w:rsidRPr="00F17515">
        <w:rPr>
          <w:rFonts w:asciiTheme="minorEastAsia" w:eastAsiaTheme="minorEastAsia" w:hAnsiTheme="minorEastAsia"/>
          <w:szCs w:val="21"/>
        </w:rPr>
        <w:t>2008年3月</w:t>
      </w:r>
      <w:r w:rsidRPr="00F17515">
        <w:rPr>
          <w:rFonts w:asciiTheme="minorEastAsia" w:eastAsiaTheme="minorEastAsia" w:hAnsiTheme="minorEastAsia" w:hint="eastAsia"/>
          <w:szCs w:val="21"/>
        </w:rPr>
        <w:t>13</w:t>
      </w:r>
      <w:r w:rsidRPr="00F17515">
        <w:rPr>
          <w:rFonts w:asciiTheme="minorEastAsia" w:eastAsiaTheme="minorEastAsia" w:hAnsiTheme="minorEastAsia"/>
          <w:szCs w:val="21"/>
        </w:rPr>
        <w:t>日</w:t>
      </w:r>
      <w:r w:rsidRPr="00F17515">
        <w:rPr>
          <w:rFonts w:asciiTheme="minorEastAsia" w:eastAsiaTheme="minorEastAsia" w:hAnsiTheme="minorEastAsia" w:hint="eastAsia"/>
          <w:szCs w:val="21"/>
        </w:rPr>
        <w:t>。</w:t>
      </w:r>
      <w:r w:rsidRPr="00F17515">
        <w:rPr>
          <w:rFonts w:asciiTheme="minorEastAsia" w:eastAsiaTheme="minorEastAsia" w:hAnsiTheme="minorEastAsia" w:hint="eastAsia"/>
        </w:rPr>
        <w:t>募集对象为符合法律法规规定的可投资于证券投资基金的个人投资者、机构投资者和合格境外机构投资者以及法律法规或中国证监会允许购买证券投资基金的其他投资人。</w:t>
      </w:r>
    </w:p>
    <w:p w:rsidR="007228CC" w:rsidRPr="00F17515" w:rsidRDefault="007228CC" w:rsidP="0071223F">
      <w:pPr>
        <w:snapToGrid w:val="0"/>
        <w:spacing w:line="360" w:lineRule="auto"/>
        <w:ind w:firstLine="640"/>
        <w:rPr>
          <w:rFonts w:asciiTheme="minorEastAsia" w:eastAsiaTheme="minorEastAsia" w:hAnsiTheme="minorEastAsia"/>
        </w:rPr>
      </w:pP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66" w:name="_Toc41556767"/>
      <w:r w:rsidRPr="00F17515">
        <w:rPr>
          <w:rFonts w:asciiTheme="minorEastAsia" w:eastAsiaTheme="minorEastAsia" w:hAnsiTheme="minorEastAsia" w:hint="eastAsia"/>
          <w:b/>
        </w:rPr>
        <w:lastRenderedPageBreak/>
        <w:t>基金合同的生效</w:t>
      </w:r>
      <w:bookmarkEnd w:id="66"/>
    </w:p>
    <w:p w:rsidR="00425732" w:rsidRPr="00F17515" w:rsidRDefault="00425732" w:rsidP="009A1EA6">
      <w:pPr>
        <w:pStyle w:val="2"/>
        <w:snapToGrid w:val="0"/>
        <w:spacing w:beforeLines="0" w:afterLines="0" w:line="360" w:lineRule="auto"/>
        <w:ind w:firstLineChars="0" w:firstLine="0"/>
        <w:rPr>
          <w:rFonts w:asciiTheme="minorEastAsia" w:eastAsiaTheme="minorEastAsia" w:hAnsiTheme="minorEastAsia"/>
        </w:rPr>
      </w:pPr>
      <w:bookmarkStart w:id="67" w:name="_Toc322594135"/>
      <w:bookmarkStart w:id="68" w:name="_Toc41556768"/>
      <w:bookmarkEnd w:id="62"/>
      <w:bookmarkEnd w:id="63"/>
      <w:bookmarkEnd w:id="64"/>
      <w:r w:rsidRPr="00F17515">
        <w:rPr>
          <w:rFonts w:asciiTheme="minorEastAsia" w:eastAsiaTheme="minorEastAsia" w:hAnsiTheme="minorEastAsia" w:hint="eastAsia"/>
        </w:rPr>
        <w:t>（一）基金合同的生效</w:t>
      </w:r>
      <w:bookmarkEnd w:id="67"/>
      <w:bookmarkEnd w:id="68"/>
    </w:p>
    <w:p w:rsidR="007228CC" w:rsidRPr="00F17515" w:rsidRDefault="007228CC" w:rsidP="0071223F">
      <w:pPr>
        <w:snapToGrid w:val="0"/>
        <w:spacing w:line="360" w:lineRule="auto"/>
        <w:ind w:firstLine="408"/>
        <w:rPr>
          <w:rFonts w:asciiTheme="minorEastAsia" w:eastAsiaTheme="minorEastAsia" w:hAnsiTheme="minorEastAsia"/>
        </w:rPr>
      </w:pPr>
      <w:r w:rsidRPr="00F17515">
        <w:rPr>
          <w:rFonts w:asciiTheme="minorEastAsia" w:eastAsiaTheme="minorEastAsia" w:hAnsiTheme="minorEastAsia"/>
        </w:rPr>
        <w:t>本基金</w:t>
      </w:r>
      <w:r w:rsidRPr="00F17515">
        <w:rPr>
          <w:rFonts w:asciiTheme="minorEastAsia" w:eastAsiaTheme="minorEastAsia" w:hAnsiTheme="minorEastAsia" w:hint="eastAsia"/>
        </w:rPr>
        <w:t>基金合同于2008年3月19日正式生效。自基金合同生效日起，本基金管理人正式开始管理本基金。</w:t>
      </w:r>
    </w:p>
    <w:p w:rsidR="007228CC" w:rsidRPr="00F17515" w:rsidRDefault="00425732" w:rsidP="009A1EA6">
      <w:pPr>
        <w:pStyle w:val="2"/>
        <w:snapToGrid w:val="0"/>
        <w:spacing w:beforeLines="0" w:afterLines="0" w:line="360" w:lineRule="auto"/>
        <w:ind w:firstLineChars="0" w:firstLine="0"/>
        <w:rPr>
          <w:rFonts w:asciiTheme="minorEastAsia" w:eastAsiaTheme="minorEastAsia" w:hAnsiTheme="minorEastAsia"/>
        </w:rPr>
      </w:pPr>
      <w:bookmarkStart w:id="69" w:name="_Toc41556769"/>
      <w:r w:rsidRPr="00F17515">
        <w:rPr>
          <w:rFonts w:asciiTheme="minorEastAsia" w:eastAsiaTheme="minorEastAsia" w:hAnsiTheme="minorEastAsia" w:hint="eastAsia"/>
        </w:rPr>
        <w:t>（二）基金存续期内的基金份额持有人数量和资产规模</w:t>
      </w:r>
      <w:bookmarkEnd w:id="69"/>
    </w:p>
    <w:p w:rsidR="007228CC" w:rsidRPr="00F17515" w:rsidRDefault="00425732"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基金合同生效后的存续期内，基金份额持有人数量不满200人或者基金资产净值低于5000万元，基金管理人应当及时报告中国证监会；基金份额持有人数量连续</w:t>
      </w:r>
      <w:r w:rsidRPr="00F17515">
        <w:rPr>
          <w:rFonts w:asciiTheme="minorEastAsia" w:eastAsiaTheme="minorEastAsia" w:hAnsiTheme="minorEastAsia"/>
        </w:rPr>
        <w:t>20</w:t>
      </w:r>
      <w:r w:rsidRPr="00F17515">
        <w:rPr>
          <w:rFonts w:asciiTheme="minorEastAsia" w:eastAsiaTheme="minorEastAsia" w:hAnsiTheme="minorEastAsia" w:hint="eastAsia"/>
        </w:rPr>
        <w:t>个工作日达不到2</w:t>
      </w:r>
      <w:r w:rsidRPr="00F17515">
        <w:rPr>
          <w:rFonts w:asciiTheme="minorEastAsia" w:eastAsiaTheme="minorEastAsia" w:hAnsiTheme="minorEastAsia"/>
        </w:rPr>
        <w:t>00</w:t>
      </w:r>
      <w:r w:rsidRPr="00F17515">
        <w:rPr>
          <w:rFonts w:asciiTheme="minorEastAsia" w:eastAsiaTheme="minorEastAsia" w:hAnsiTheme="minorEastAsia" w:hint="eastAsia"/>
        </w:rPr>
        <w:t>人，或连续</w:t>
      </w:r>
      <w:r w:rsidRPr="00F17515">
        <w:rPr>
          <w:rFonts w:asciiTheme="minorEastAsia" w:eastAsiaTheme="minorEastAsia" w:hAnsiTheme="minorEastAsia"/>
        </w:rPr>
        <w:t>20</w:t>
      </w:r>
      <w:r w:rsidRPr="00F17515">
        <w:rPr>
          <w:rFonts w:asciiTheme="minorEastAsia" w:eastAsiaTheme="minorEastAsia" w:hAnsiTheme="minorEastAsia" w:hint="eastAsia"/>
        </w:rPr>
        <w:t>个工作日基金资产净值低于</w:t>
      </w:r>
      <w:r w:rsidRPr="00F17515">
        <w:rPr>
          <w:rFonts w:asciiTheme="minorEastAsia" w:eastAsiaTheme="minorEastAsia" w:hAnsiTheme="minorEastAsia"/>
        </w:rPr>
        <w:t>5000</w:t>
      </w:r>
      <w:r w:rsidRPr="00F17515">
        <w:rPr>
          <w:rFonts w:asciiTheme="minorEastAsia" w:eastAsiaTheme="minorEastAsia" w:hAnsiTheme="minorEastAsia" w:hint="eastAsia"/>
        </w:rPr>
        <w:t>万元，基金管理人应当向中国证监会说明出现上述情况的原因并提出解决方案。</w:t>
      </w: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70" w:name="_Toc41556770"/>
      <w:r w:rsidRPr="00F17515">
        <w:rPr>
          <w:rFonts w:asciiTheme="minorEastAsia" w:eastAsiaTheme="minorEastAsia" w:hAnsiTheme="minorEastAsia" w:hint="eastAsia"/>
          <w:b/>
        </w:rPr>
        <w:lastRenderedPageBreak/>
        <w:t>基金份额的申购、赎回</w:t>
      </w:r>
      <w:bookmarkEnd w:id="70"/>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71" w:name="_Toc211920137"/>
      <w:bookmarkStart w:id="72" w:name="_Toc211927668"/>
      <w:bookmarkStart w:id="73" w:name="_Toc41556771"/>
      <w:r w:rsidRPr="00F17515">
        <w:rPr>
          <w:rFonts w:asciiTheme="minorEastAsia" w:eastAsiaTheme="minorEastAsia" w:hAnsiTheme="minorEastAsia" w:hint="eastAsia"/>
        </w:rPr>
        <w:t>（一）基金投资者范围</w:t>
      </w:r>
      <w:bookmarkEnd w:id="71"/>
      <w:bookmarkEnd w:id="72"/>
      <w:bookmarkEnd w:id="73"/>
    </w:p>
    <w:p w:rsidR="007228CC" w:rsidRPr="00F17515" w:rsidRDefault="007228CC" w:rsidP="0071223F">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F17515">
        <w:rPr>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74" w:name="_Toc211920138"/>
      <w:bookmarkStart w:id="75" w:name="_Toc211927669"/>
      <w:bookmarkStart w:id="76" w:name="_Toc41556772"/>
      <w:r w:rsidRPr="00F17515">
        <w:rPr>
          <w:rFonts w:asciiTheme="minorEastAsia" w:eastAsiaTheme="minorEastAsia" w:hAnsiTheme="minorEastAsia" w:hint="eastAsia"/>
        </w:rPr>
        <w:t>（二）申购和赎回办理的场所</w:t>
      </w:r>
      <w:bookmarkEnd w:id="74"/>
      <w:bookmarkEnd w:id="75"/>
      <w:bookmarkEnd w:id="76"/>
    </w:p>
    <w:p w:rsidR="007228CC" w:rsidRPr="00F17515" w:rsidRDefault="007228CC" w:rsidP="0071223F">
      <w:pPr>
        <w:pStyle w:val="21"/>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F17515">
        <w:rPr>
          <w:rFonts w:asciiTheme="minorEastAsia" w:eastAsiaTheme="minorEastAsia" w:hAnsiTheme="minorEastAsia"/>
        </w:rPr>
        <w:t>1</w:t>
      </w:r>
      <w:r w:rsidR="002A7F91" w:rsidRPr="00F17515">
        <w:rPr>
          <w:rFonts w:asciiTheme="minorEastAsia" w:eastAsiaTheme="minorEastAsia" w:hAnsiTheme="minorEastAsia" w:hint="eastAsia"/>
        </w:rPr>
        <w:t>、</w:t>
      </w:r>
      <w:r w:rsidRPr="00F17515">
        <w:rPr>
          <w:rFonts w:asciiTheme="minorEastAsia" w:eastAsiaTheme="minorEastAsia" w:hAnsiTheme="minorEastAsia"/>
        </w:rPr>
        <w:t>基金管理</w:t>
      </w:r>
      <w:r w:rsidRPr="00F17515">
        <w:rPr>
          <w:rFonts w:asciiTheme="minorEastAsia" w:eastAsiaTheme="minorEastAsia" w:hAnsiTheme="minorEastAsia" w:hint="eastAsia"/>
        </w:rPr>
        <w:t>人直销</w:t>
      </w:r>
      <w:r w:rsidR="00AA175D" w:rsidRPr="00F17515">
        <w:rPr>
          <w:rFonts w:asciiTheme="minorEastAsia" w:eastAsiaTheme="minorEastAsia" w:hAnsiTheme="minorEastAsia" w:hint="eastAsia"/>
        </w:rPr>
        <w:t>中心</w:t>
      </w:r>
      <w:r w:rsidRPr="00F17515">
        <w:rPr>
          <w:rFonts w:asciiTheme="minorEastAsia" w:eastAsiaTheme="minorEastAsia" w:hAnsiTheme="minorEastAsia" w:hint="eastAsia"/>
        </w:rPr>
        <w:t>、网上交易系统(www.efunds.com.cn)</w:t>
      </w:r>
      <w:r w:rsidRPr="00F17515">
        <w:rPr>
          <w:rFonts w:asciiTheme="minorEastAsia" w:eastAsiaTheme="minorEastAsia" w:hAnsiTheme="minorEastAsia"/>
        </w:rPr>
        <w:t>；</w:t>
      </w:r>
    </w:p>
    <w:p w:rsidR="007228CC" w:rsidRPr="00F17515" w:rsidRDefault="007228CC" w:rsidP="0071223F">
      <w:pPr>
        <w:pStyle w:val="21"/>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F17515">
        <w:rPr>
          <w:rFonts w:asciiTheme="minorEastAsia" w:eastAsiaTheme="minorEastAsia" w:hAnsiTheme="minorEastAsia"/>
        </w:rPr>
        <w:t>2</w:t>
      </w:r>
      <w:r w:rsidR="002A7F91" w:rsidRPr="00F17515">
        <w:rPr>
          <w:rFonts w:asciiTheme="minorEastAsia" w:eastAsiaTheme="minorEastAsia" w:hAnsiTheme="minorEastAsia" w:hint="eastAsia"/>
        </w:rPr>
        <w:t>、</w:t>
      </w:r>
      <w:r w:rsidRPr="00F17515">
        <w:rPr>
          <w:rFonts w:asciiTheme="minorEastAsia" w:eastAsiaTheme="minorEastAsia" w:hAnsiTheme="minorEastAsia"/>
        </w:rPr>
        <w:t>各</w:t>
      </w:r>
      <w:r w:rsidR="00B47054" w:rsidRPr="00F17515">
        <w:rPr>
          <w:rFonts w:asciiTheme="minorEastAsia" w:eastAsiaTheme="minorEastAsia" w:hAnsiTheme="minorEastAsia" w:hint="eastAsia"/>
        </w:rPr>
        <w:t>非直销销售</w:t>
      </w:r>
      <w:r w:rsidRPr="00F17515">
        <w:rPr>
          <w:rFonts w:asciiTheme="minorEastAsia" w:eastAsiaTheme="minorEastAsia" w:hAnsiTheme="minorEastAsia" w:hint="eastAsia"/>
        </w:rPr>
        <w:t>机构</w:t>
      </w:r>
      <w:r w:rsidRPr="00F17515">
        <w:rPr>
          <w:rFonts w:asciiTheme="minorEastAsia" w:eastAsiaTheme="minorEastAsia" w:hAnsiTheme="minorEastAsia"/>
        </w:rPr>
        <w:t>开办开放式基金业务的营业网点。</w:t>
      </w:r>
    </w:p>
    <w:p w:rsidR="007228CC" w:rsidRPr="00F17515" w:rsidRDefault="007228CC" w:rsidP="0071223F">
      <w:pPr>
        <w:pStyle w:val="21"/>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F17515">
        <w:rPr>
          <w:rFonts w:asciiTheme="minorEastAsia" w:eastAsiaTheme="minorEastAsia" w:hAnsiTheme="minorEastAsia" w:hint="eastAsia"/>
        </w:rPr>
        <w:t>基金管理人可根据情况变更基金的销售机构</w:t>
      </w:r>
      <w:r w:rsidR="00575E02" w:rsidRPr="00F17515">
        <w:rPr>
          <w:rFonts w:asciiTheme="minorEastAsia" w:eastAsiaTheme="minorEastAsia" w:hAnsiTheme="minorEastAsia" w:hint="eastAsia"/>
        </w:rPr>
        <w:t>，并在基金管理人网站公示</w:t>
      </w:r>
      <w:r w:rsidRPr="00F17515">
        <w:rPr>
          <w:rFonts w:asciiTheme="minorEastAsia" w:eastAsiaTheme="minorEastAsia" w:hAnsiTheme="minorEastAsia" w:hint="eastAsia"/>
        </w:rPr>
        <w:t>。</w:t>
      </w:r>
    </w:p>
    <w:p w:rsidR="007228CC" w:rsidRPr="00F17515" w:rsidRDefault="007228CC" w:rsidP="0071223F">
      <w:pPr>
        <w:pStyle w:val="21"/>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F17515">
        <w:rPr>
          <w:rFonts w:asciiTheme="minorEastAsia" w:eastAsiaTheme="minorEastAsia" w:hAnsiTheme="minorEastAsia" w:hint="eastAsia"/>
        </w:rPr>
        <w:t>投资者还可通过基金管理人或者指定的基金</w:t>
      </w:r>
      <w:r w:rsidR="00B47054" w:rsidRPr="00F17515">
        <w:rPr>
          <w:rFonts w:asciiTheme="minorEastAsia" w:eastAsiaTheme="minorEastAsia" w:hAnsiTheme="minorEastAsia" w:hint="eastAsia"/>
        </w:rPr>
        <w:t>销售</w:t>
      </w:r>
      <w:r w:rsidRPr="00F17515">
        <w:rPr>
          <w:rFonts w:asciiTheme="minorEastAsia" w:eastAsiaTheme="minorEastAsia" w:hAnsiTheme="minorEastAsia" w:hint="eastAsia"/>
        </w:rPr>
        <w:t>机构以电话或互联网或</w:t>
      </w:r>
      <w:r w:rsidRPr="00F17515">
        <w:rPr>
          <w:rFonts w:asciiTheme="minorEastAsia" w:eastAsiaTheme="minorEastAsia" w:hAnsiTheme="minorEastAsia"/>
        </w:rPr>
        <w:t>其他电子交易方式</w:t>
      </w:r>
      <w:r w:rsidRPr="00F17515">
        <w:rPr>
          <w:rFonts w:asciiTheme="minorEastAsia" w:eastAsiaTheme="minorEastAsia" w:hAnsiTheme="minorEastAsia" w:hint="eastAsia"/>
        </w:rPr>
        <w:t>进行申购、赎回</w:t>
      </w:r>
      <w:r w:rsidRPr="00F17515">
        <w:rPr>
          <w:rFonts w:asciiTheme="minorEastAsia" w:eastAsiaTheme="minorEastAsia" w:hAnsiTheme="minorEastAsia" w:hint="eastAsia"/>
          <w:szCs w:val="24"/>
        </w:rPr>
        <w:t>，具体以各销售机构的规定为准</w:t>
      </w:r>
      <w:r w:rsidRPr="00F17515">
        <w:rPr>
          <w:rFonts w:asciiTheme="minorEastAsia" w:eastAsiaTheme="minorEastAsia" w:hAnsiTheme="minorEastAsia" w:hint="eastAsia"/>
        </w:rPr>
        <w:t>。</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77" w:name="_Toc211920139"/>
      <w:bookmarkStart w:id="78" w:name="_Toc211927670"/>
      <w:bookmarkStart w:id="79" w:name="_Toc41556773"/>
      <w:r w:rsidRPr="00F17515">
        <w:rPr>
          <w:rFonts w:asciiTheme="minorEastAsia" w:eastAsiaTheme="minorEastAsia" w:hAnsiTheme="minorEastAsia" w:hint="eastAsia"/>
        </w:rPr>
        <w:t>（三）申购与赎回办理的开放日及时间</w:t>
      </w:r>
      <w:bookmarkEnd w:id="77"/>
      <w:bookmarkEnd w:id="78"/>
      <w:bookmarkEnd w:id="79"/>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本基金已于2008年4月30日开始办理日常赎回业务，于2008年8月5日开始办理日常申购业务。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cs="宋体" w:hint="eastAsia"/>
          <w:kern w:val="0"/>
          <w:szCs w:val="21"/>
        </w:rPr>
        <w:t>上海证券交易所和深圳证券交易所同时开放交易的工作日为本基金的开放日。</w:t>
      </w:r>
      <w:r w:rsidRPr="00F17515">
        <w:rPr>
          <w:rFonts w:asciiTheme="minorEastAsia" w:eastAsiaTheme="minorEastAsia" w:hAnsiTheme="minorEastAsia" w:hint="eastAsia"/>
          <w:szCs w:val="21"/>
        </w:rPr>
        <w:t>但基金管理人根据法律法规、中国证监会的要求或本基金合同的规定公告暂停申购、赎回时除外。</w:t>
      </w:r>
      <w:r w:rsidRPr="00F17515">
        <w:rPr>
          <w:rFonts w:asciiTheme="minorEastAsia" w:eastAsiaTheme="minorEastAsia" w:hAnsiTheme="minorEastAsia"/>
          <w:szCs w:val="21"/>
        </w:rPr>
        <w:t>投资</w:t>
      </w:r>
      <w:r w:rsidRPr="00F17515">
        <w:rPr>
          <w:rFonts w:asciiTheme="minorEastAsia" w:eastAsiaTheme="minorEastAsia" w:hAnsiTheme="minorEastAsia" w:hint="eastAsia"/>
          <w:szCs w:val="21"/>
        </w:rPr>
        <w:t>人</w:t>
      </w:r>
      <w:r w:rsidRPr="00F17515">
        <w:rPr>
          <w:rFonts w:asciiTheme="minorEastAsia" w:eastAsiaTheme="minorEastAsia" w:hAnsiTheme="minorEastAsia"/>
          <w:szCs w:val="21"/>
        </w:rPr>
        <w:t>在开放日办理基金份额的申购和赎回</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具体办理时间为上海证券交易所、深圳证券交易所的正常交易日的交易时间</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基金合同生效后，若出现新的证券交易市场、证券交易所交易时间变更或其他特殊情况，基金管理人将视情况对前述开放日及开放时间进行相应的调整</w:t>
      </w:r>
      <w:r w:rsidRPr="00F17515">
        <w:rPr>
          <w:rFonts w:asciiTheme="minorEastAsia" w:eastAsiaTheme="minorEastAsia" w:hAnsiTheme="minorEastAsia" w:hint="eastAsia"/>
          <w:szCs w:val="21"/>
        </w:rPr>
        <w:t>，但应在实施日前依照《信息披露办法》的有关规定在</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上公告。</w:t>
      </w:r>
    </w:p>
    <w:p w:rsidR="007228CC" w:rsidRPr="00F17515" w:rsidRDefault="007228CC" w:rsidP="0071223F">
      <w:pPr>
        <w:widowControl/>
        <w:snapToGrid w:val="0"/>
        <w:spacing w:line="360" w:lineRule="auto"/>
        <w:ind w:firstLine="480"/>
        <w:jc w:val="left"/>
        <w:textAlignment w:val="bottom"/>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投资人在基金合同约定之外的日期和时间提出申购、赎回或者转换申请的，其基金份额申购、赎回价格为下次办理基金份额申购、赎回时间所在开放日的价格。</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Cs/>
        </w:rPr>
      </w:pPr>
      <w:bookmarkStart w:id="80" w:name="_Toc211920140"/>
      <w:bookmarkStart w:id="81" w:name="_Toc211927671"/>
      <w:bookmarkStart w:id="82" w:name="_Toc41556774"/>
      <w:r w:rsidRPr="00F17515">
        <w:rPr>
          <w:rFonts w:asciiTheme="minorEastAsia" w:eastAsiaTheme="minorEastAsia" w:hAnsiTheme="minorEastAsia" w:hint="eastAsia"/>
          <w:bCs/>
        </w:rPr>
        <w:t>（四）申购与赎回的原则</w:t>
      </w:r>
      <w:bookmarkEnd w:id="80"/>
      <w:bookmarkEnd w:id="81"/>
      <w:bookmarkEnd w:id="82"/>
    </w:p>
    <w:p w:rsidR="007228CC" w:rsidRPr="00F17515" w:rsidRDefault="002A7F91" w:rsidP="002A7F9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w:t>
      </w:r>
      <w:r w:rsidR="007228CC" w:rsidRPr="00F17515">
        <w:rPr>
          <w:rFonts w:asciiTheme="minorEastAsia" w:eastAsiaTheme="minorEastAsia" w:hAnsiTheme="minorEastAsia"/>
        </w:rPr>
        <w:t>未知价原则</w:t>
      </w:r>
      <w:r w:rsidR="007228CC" w:rsidRPr="00F17515">
        <w:rPr>
          <w:rFonts w:asciiTheme="minorEastAsia" w:eastAsiaTheme="minorEastAsia" w:hAnsiTheme="minorEastAsia" w:hint="eastAsia"/>
        </w:rPr>
        <w:t>”</w:t>
      </w:r>
      <w:r w:rsidR="007228CC" w:rsidRPr="00F17515">
        <w:rPr>
          <w:rFonts w:asciiTheme="minorEastAsia" w:eastAsiaTheme="minorEastAsia" w:hAnsiTheme="minorEastAsia"/>
        </w:rPr>
        <w:t>，</w:t>
      </w:r>
      <w:r w:rsidR="007228CC" w:rsidRPr="00F17515">
        <w:rPr>
          <w:rFonts w:asciiTheme="minorEastAsia" w:eastAsiaTheme="minorEastAsia" w:hAnsiTheme="minorEastAsia" w:hint="eastAsia"/>
        </w:rPr>
        <w:t>即本基金的申购与赎回价格以受理申请当日收市后计算的基金份额净值为基准进行计算；</w:t>
      </w:r>
    </w:p>
    <w:p w:rsidR="007228CC" w:rsidRPr="00F17515" w:rsidRDefault="002A7F91" w:rsidP="002A7F9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本基金采用</w:t>
      </w:r>
      <w:r w:rsidR="007228CC" w:rsidRPr="00F17515">
        <w:rPr>
          <w:rFonts w:asciiTheme="minorEastAsia" w:eastAsiaTheme="minorEastAsia" w:hAnsiTheme="minorEastAsia"/>
        </w:rPr>
        <w:t>金额申购、份额赎回原则</w:t>
      </w:r>
      <w:r w:rsidR="007228CC" w:rsidRPr="00F17515">
        <w:rPr>
          <w:rFonts w:asciiTheme="minorEastAsia" w:eastAsiaTheme="minorEastAsia" w:hAnsiTheme="minorEastAsia" w:hint="eastAsia"/>
        </w:rPr>
        <w:t>，</w:t>
      </w:r>
      <w:r w:rsidR="007228CC" w:rsidRPr="00F17515">
        <w:rPr>
          <w:rFonts w:asciiTheme="minorEastAsia" w:eastAsiaTheme="minorEastAsia" w:hAnsiTheme="minorEastAsia"/>
        </w:rPr>
        <w:t>即申购以金额申请</w:t>
      </w:r>
      <w:r w:rsidR="007228CC" w:rsidRPr="00F17515">
        <w:rPr>
          <w:rFonts w:asciiTheme="minorEastAsia" w:eastAsiaTheme="minorEastAsia" w:hAnsiTheme="minorEastAsia" w:hint="eastAsia"/>
        </w:rPr>
        <w:t>，</w:t>
      </w:r>
      <w:r w:rsidR="007228CC" w:rsidRPr="00F17515">
        <w:rPr>
          <w:rFonts w:asciiTheme="minorEastAsia" w:eastAsiaTheme="minorEastAsia" w:hAnsiTheme="minorEastAsia"/>
        </w:rPr>
        <w:t>赎回以份额申请；</w:t>
      </w:r>
    </w:p>
    <w:p w:rsidR="007228CC" w:rsidRPr="00F17515" w:rsidRDefault="002A7F91" w:rsidP="002A7F9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3、</w:t>
      </w:r>
      <w:r w:rsidR="007228CC" w:rsidRPr="00F17515">
        <w:rPr>
          <w:rFonts w:asciiTheme="minorEastAsia" w:eastAsiaTheme="minorEastAsia" w:hAnsiTheme="minorEastAsia" w:hint="eastAsia"/>
        </w:rPr>
        <w:t>基金份额持有人赎回时，除指定赎回外，基金管理人按先进先出的原则，对该持有人账户在该销售机构托管的基金份额进行处理，即注册日期在先的基金份额先赎回，注册日期在后的基金份额后赎回；</w:t>
      </w:r>
    </w:p>
    <w:p w:rsidR="007228CC" w:rsidRPr="00F17515" w:rsidRDefault="002A7F91" w:rsidP="002A7F9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4、</w:t>
      </w:r>
      <w:r w:rsidR="007228CC" w:rsidRPr="00F17515">
        <w:rPr>
          <w:rFonts w:asciiTheme="minorEastAsia" w:eastAsiaTheme="minorEastAsia" w:hAnsiTheme="minorEastAsia" w:hint="eastAsia"/>
        </w:rPr>
        <w:t>当日的申购、赎回申请可以在当日交易结束时间前撤销，在当日的交易时间结束后不得撤销；</w:t>
      </w:r>
    </w:p>
    <w:p w:rsidR="007228CC" w:rsidRPr="00F17515" w:rsidRDefault="002A7F91" w:rsidP="002A7F9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5、</w:t>
      </w:r>
      <w:r w:rsidR="007228CC" w:rsidRPr="00F17515">
        <w:rPr>
          <w:rFonts w:asciiTheme="minorEastAsia" w:eastAsiaTheme="minorEastAsia" w:hAnsiTheme="minorEastAsia" w:hint="eastAsia"/>
        </w:rPr>
        <w:t>基金管理人可根据基金运作的实际情况依法对上述原则进行调整。基金管理人必须</w:t>
      </w:r>
      <w:r w:rsidR="007228CC" w:rsidRPr="00F17515">
        <w:rPr>
          <w:rFonts w:asciiTheme="minorEastAsia" w:eastAsiaTheme="minorEastAsia" w:hAnsiTheme="minorEastAsia" w:hint="eastAsia"/>
        </w:rPr>
        <w:lastRenderedPageBreak/>
        <w:t>在新规则开始实施前依照《信息披露办法》的有关规定在</w:t>
      </w:r>
      <w:r w:rsidR="00575E02" w:rsidRPr="00F17515">
        <w:rPr>
          <w:rFonts w:asciiTheme="minorEastAsia" w:eastAsiaTheme="minorEastAsia" w:hAnsiTheme="minorEastAsia" w:hint="eastAsia"/>
        </w:rPr>
        <w:t>指定媒介</w:t>
      </w:r>
      <w:r w:rsidR="007228CC" w:rsidRPr="00F17515">
        <w:rPr>
          <w:rFonts w:asciiTheme="minorEastAsia" w:eastAsiaTheme="minorEastAsia" w:hAnsiTheme="minorEastAsia" w:hint="eastAsia"/>
        </w:rPr>
        <w:t>上公告。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83" w:name="_Toc211920141"/>
      <w:bookmarkStart w:id="84" w:name="_Toc211927672"/>
      <w:bookmarkStart w:id="85" w:name="_Toc41556775"/>
      <w:r w:rsidRPr="00F17515">
        <w:rPr>
          <w:rFonts w:asciiTheme="minorEastAsia" w:eastAsiaTheme="minorEastAsia" w:hAnsiTheme="minorEastAsia" w:hint="eastAsia"/>
        </w:rPr>
        <w:t>（五）申购与赎回的程序</w:t>
      </w:r>
      <w:bookmarkEnd w:id="83"/>
      <w:bookmarkEnd w:id="84"/>
      <w:bookmarkEnd w:id="85"/>
    </w:p>
    <w:p w:rsidR="007228CC" w:rsidRPr="00F17515" w:rsidRDefault="002A7F91" w:rsidP="002A7F9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申购、赎回的申请方式</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基金投资者必须根据基金管理人和基金</w:t>
      </w:r>
      <w:r w:rsidR="00B47054" w:rsidRPr="00F17515">
        <w:rPr>
          <w:rFonts w:asciiTheme="minorEastAsia" w:eastAsiaTheme="minorEastAsia" w:hAnsiTheme="minorEastAsia" w:hint="eastAsia"/>
        </w:rPr>
        <w:t>销售</w:t>
      </w:r>
      <w:r w:rsidRPr="00F17515">
        <w:rPr>
          <w:rFonts w:asciiTheme="minorEastAsia" w:eastAsiaTheme="minorEastAsia" w:hAnsiTheme="minorEastAsia" w:hint="eastAsia"/>
        </w:rPr>
        <w:t>机构规定的手续，在开放日的</w:t>
      </w:r>
      <w:r w:rsidRPr="00F17515">
        <w:rPr>
          <w:rFonts w:asciiTheme="minorEastAsia" w:eastAsiaTheme="minorEastAsia" w:hAnsiTheme="minorEastAsia" w:hint="eastAsia"/>
          <w:szCs w:val="21"/>
        </w:rPr>
        <w:t>业务办理时间</w:t>
      </w:r>
      <w:r w:rsidRPr="00F17515">
        <w:rPr>
          <w:rFonts w:asciiTheme="minorEastAsia" w:eastAsiaTheme="minorEastAsia" w:hAnsiTheme="minorEastAsia" w:hint="eastAsia"/>
        </w:rPr>
        <w:t>提出申购、赎回的申请。</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投资人在提交申购申请时须按销售机构规定的方式备足申购资金，投资人在提交赎回申请时须持有足够的基金份额余额，否则所提交的申购、赎回申请无效。</w:t>
      </w:r>
    </w:p>
    <w:p w:rsidR="007228CC" w:rsidRPr="00F17515" w:rsidRDefault="002A7F91" w:rsidP="002A7F9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申购、赎回申请的确认</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基金管理人应以交易时间结束前受理申购和赎回申请的当天作为申购或赎回申请日(</w:t>
      </w:r>
      <w:r w:rsidRPr="00F17515">
        <w:rPr>
          <w:rFonts w:asciiTheme="minorEastAsia" w:eastAsiaTheme="minorEastAsia" w:hAnsiTheme="minorEastAsia"/>
          <w:szCs w:val="21"/>
        </w:rPr>
        <w:t>T</w:t>
      </w:r>
      <w:r w:rsidRPr="00F17515">
        <w:rPr>
          <w:rFonts w:asciiTheme="minorEastAsia" w:eastAsiaTheme="minorEastAsia" w:hAnsiTheme="minorEastAsia" w:hint="eastAsia"/>
          <w:szCs w:val="21"/>
        </w:rPr>
        <w:t>日)，在正常情况下，本基金</w:t>
      </w:r>
      <w:r w:rsidRPr="00F17515">
        <w:rPr>
          <w:rFonts w:asciiTheme="minorEastAsia" w:eastAsiaTheme="minorEastAsia" w:hAnsiTheme="minorEastAsia"/>
          <w:szCs w:val="21"/>
        </w:rPr>
        <w:t>注册登记</w:t>
      </w:r>
      <w:r w:rsidRPr="00F17515">
        <w:rPr>
          <w:rFonts w:asciiTheme="minorEastAsia" w:eastAsiaTheme="minorEastAsia" w:hAnsiTheme="minorEastAsia" w:hint="eastAsia"/>
          <w:szCs w:val="21"/>
        </w:rPr>
        <w:t>机构在</w:t>
      </w:r>
      <w:r w:rsidRPr="00F17515">
        <w:rPr>
          <w:rFonts w:asciiTheme="minorEastAsia" w:eastAsiaTheme="minorEastAsia" w:hAnsiTheme="minorEastAsia"/>
          <w:szCs w:val="21"/>
        </w:rPr>
        <w:t>T+1日</w:t>
      </w:r>
      <w:r w:rsidRPr="00F17515">
        <w:rPr>
          <w:rFonts w:asciiTheme="minorEastAsia" w:eastAsiaTheme="minorEastAsia" w:hAnsiTheme="minorEastAsia" w:hint="eastAsia"/>
          <w:szCs w:val="21"/>
        </w:rPr>
        <w:t>内对该交易的有效性进行确认。</w:t>
      </w:r>
      <w:r w:rsidRPr="00F17515">
        <w:rPr>
          <w:rFonts w:asciiTheme="minorEastAsia" w:eastAsiaTheme="minorEastAsia" w:hAnsiTheme="minorEastAsia"/>
          <w:szCs w:val="21"/>
        </w:rPr>
        <w:t>T日提交的有效申请，投资人可在T+</w:t>
      </w: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日</w:t>
      </w:r>
      <w:r w:rsidRPr="00F17515">
        <w:rPr>
          <w:rFonts w:asciiTheme="minorEastAsia" w:eastAsiaTheme="minorEastAsia" w:hAnsiTheme="minorEastAsia" w:hint="eastAsia"/>
          <w:szCs w:val="21"/>
        </w:rPr>
        <w:t>后（包括该日）</w:t>
      </w:r>
      <w:r w:rsidRPr="00F17515">
        <w:rPr>
          <w:rFonts w:asciiTheme="minorEastAsia" w:eastAsiaTheme="minorEastAsia" w:hAnsiTheme="minorEastAsia"/>
          <w:szCs w:val="21"/>
        </w:rPr>
        <w:t>到销售网点柜台或以销售机构规定的其他方式查询申请的确认情况</w:t>
      </w:r>
      <w:r w:rsidRPr="00F17515">
        <w:rPr>
          <w:rFonts w:asciiTheme="minorEastAsia" w:eastAsiaTheme="minorEastAsia" w:hAnsiTheme="minorEastAsia" w:hint="eastAsia"/>
        </w:rPr>
        <w:t>，基金管理人及销售机构不承担其他通知义务，由于投资者未进行查询造成的责任和后果由投资者承担</w:t>
      </w:r>
      <w:r w:rsidRPr="00F17515">
        <w:rPr>
          <w:rFonts w:asciiTheme="minorEastAsia" w:eastAsiaTheme="minorEastAsia" w:hAnsiTheme="minorEastAsia" w:hint="eastAsia"/>
          <w:szCs w:val="21"/>
        </w:rPr>
        <w:t>。</w:t>
      </w:r>
    </w:p>
    <w:p w:rsidR="007228CC" w:rsidRPr="00F17515" w:rsidRDefault="002A7F91" w:rsidP="002A7F9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3、</w:t>
      </w:r>
      <w:r w:rsidR="007228CC" w:rsidRPr="00F17515">
        <w:rPr>
          <w:rFonts w:asciiTheme="minorEastAsia" w:eastAsiaTheme="minorEastAsia" w:hAnsiTheme="minorEastAsia" w:hint="eastAsia"/>
        </w:rPr>
        <w:t>申购和赎回的款项支付</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w:t>
      </w:r>
      <w:r w:rsidR="00B47054" w:rsidRPr="00F17515">
        <w:rPr>
          <w:rFonts w:asciiTheme="minorEastAsia" w:eastAsiaTheme="minorEastAsia" w:hAnsiTheme="minorEastAsia" w:hint="eastAsia"/>
          <w:szCs w:val="21"/>
        </w:rPr>
        <w:t>销售</w:t>
      </w:r>
      <w:r w:rsidRPr="00F17515">
        <w:rPr>
          <w:rFonts w:asciiTheme="minorEastAsia" w:eastAsiaTheme="minorEastAsia" w:hAnsiTheme="minorEastAsia" w:hint="eastAsia"/>
          <w:szCs w:val="21"/>
        </w:rPr>
        <w:t>机构将投资人已缴付的申购款项退还给投资人。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投资人赎回申请成功后，基金管理人将在</w:t>
      </w:r>
      <w:r w:rsidRPr="00F17515">
        <w:rPr>
          <w:rFonts w:asciiTheme="minorEastAsia" w:eastAsiaTheme="minorEastAsia" w:hAnsiTheme="minorEastAsia"/>
          <w:szCs w:val="21"/>
        </w:rPr>
        <w:t>T</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7</w:t>
      </w:r>
      <w:r w:rsidRPr="00F17515">
        <w:rPr>
          <w:rFonts w:asciiTheme="minorEastAsia" w:eastAsiaTheme="minorEastAsia" w:hAnsiTheme="minorEastAsia" w:hint="eastAsia"/>
          <w:szCs w:val="21"/>
        </w:rPr>
        <w:t>日(包括该日)内支付赎回款项。在发生巨额赎回时，款项的支付办法参照本基金合同有关条款处理。</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86" w:name="_Toc211920142"/>
      <w:bookmarkStart w:id="87" w:name="_Toc211927673"/>
      <w:bookmarkStart w:id="88" w:name="_Toc41556776"/>
      <w:r w:rsidRPr="00F17515">
        <w:rPr>
          <w:rFonts w:asciiTheme="minorEastAsia" w:eastAsiaTheme="minorEastAsia" w:hAnsiTheme="minorEastAsia" w:hint="eastAsia"/>
        </w:rPr>
        <w:t>（六）申购和赎回的数额限制</w:t>
      </w:r>
      <w:bookmarkEnd w:id="86"/>
      <w:bookmarkEnd w:id="87"/>
      <w:bookmarkEnd w:id="88"/>
    </w:p>
    <w:p w:rsidR="007228CC" w:rsidRPr="00F17515" w:rsidRDefault="002A7F91" w:rsidP="002A7F91">
      <w:pPr>
        <w:snapToGrid w:val="0"/>
        <w:spacing w:line="360" w:lineRule="auto"/>
        <w:ind w:left="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申购基金的金额限制</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投资者通过</w:t>
      </w:r>
      <w:r w:rsidR="00B47054" w:rsidRPr="00F17515">
        <w:rPr>
          <w:rFonts w:asciiTheme="minorEastAsia" w:eastAsiaTheme="minorEastAsia" w:hAnsiTheme="minorEastAsia" w:hint="eastAsia"/>
        </w:rPr>
        <w:t>非直销销售机构</w:t>
      </w:r>
      <w:r w:rsidRPr="00F17515">
        <w:rPr>
          <w:rFonts w:asciiTheme="minorEastAsia" w:eastAsiaTheme="minorEastAsia" w:hAnsiTheme="minorEastAsia" w:hint="eastAsia"/>
        </w:rPr>
        <w:t>或本公司网上交易系统首次申购的单笔最低金额为</w:t>
      </w:r>
      <w:r w:rsidR="005B2687" w:rsidRPr="00F17515">
        <w:rPr>
          <w:rFonts w:asciiTheme="minorEastAsia" w:eastAsiaTheme="minorEastAsia" w:hAnsiTheme="minorEastAsia" w:hint="eastAsia"/>
        </w:rPr>
        <w:t>1</w:t>
      </w:r>
      <w:r w:rsidRPr="00F17515">
        <w:rPr>
          <w:rFonts w:asciiTheme="minorEastAsia" w:eastAsiaTheme="minorEastAsia" w:hAnsiTheme="minorEastAsia" w:hint="eastAsia"/>
        </w:rPr>
        <w:t>元人民币</w:t>
      </w:r>
      <w:r w:rsidR="00B47054" w:rsidRPr="00F17515">
        <w:rPr>
          <w:rFonts w:asciiTheme="minorEastAsia" w:eastAsiaTheme="minorEastAsia" w:hAnsiTheme="minorEastAsia" w:hint="eastAsia"/>
        </w:rPr>
        <w:t>，追加申购单笔最低金额为</w:t>
      </w:r>
      <w:r w:rsidR="005B2687" w:rsidRPr="00F17515">
        <w:rPr>
          <w:rFonts w:asciiTheme="minorEastAsia" w:eastAsiaTheme="minorEastAsia" w:hAnsiTheme="minorEastAsia" w:hint="eastAsia"/>
        </w:rPr>
        <w:t>1</w:t>
      </w:r>
      <w:r w:rsidR="00B47054" w:rsidRPr="00F17515">
        <w:rPr>
          <w:rFonts w:asciiTheme="minorEastAsia" w:eastAsiaTheme="minorEastAsia" w:hAnsiTheme="minorEastAsia" w:hint="eastAsia"/>
        </w:rPr>
        <w:t>元人民币；</w:t>
      </w:r>
      <w:r w:rsidRPr="00F17515">
        <w:rPr>
          <w:rFonts w:asciiTheme="minorEastAsia" w:eastAsiaTheme="minorEastAsia" w:hAnsiTheme="minorEastAsia" w:hint="eastAsia"/>
        </w:rPr>
        <w:t>通过</w:t>
      </w:r>
      <w:r w:rsidR="009A707A" w:rsidRPr="00F17515">
        <w:rPr>
          <w:rFonts w:asciiTheme="minorEastAsia" w:eastAsiaTheme="minorEastAsia" w:hAnsiTheme="minorEastAsia" w:hint="eastAsia"/>
        </w:rPr>
        <w:t>本公司</w:t>
      </w:r>
      <w:r w:rsidRPr="00F17515">
        <w:rPr>
          <w:rFonts w:asciiTheme="minorEastAsia" w:eastAsiaTheme="minorEastAsia" w:hAnsiTheme="minorEastAsia" w:hint="eastAsia"/>
        </w:rPr>
        <w:t>直销中心首次申购的单笔最低金额为50000元人民币，追加申购单笔最低金额为1000元人民币。</w:t>
      </w:r>
      <w:r w:rsidR="00AA4F26" w:rsidRPr="00F17515">
        <w:rPr>
          <w:rFonts w:asciiTheme="minorEastAsia" w:eastAsiaTheme="minorEastAsia" w:hAnsiTheme="minorEastAsia" w:hint="eastAsia"/>
        </w:rPr>
        <w:t>在符合法律法规规定的前提下，</w:t>
      </w:r>
      <w:r w:rsidRPr="00F17515">
        <w:rPr>
          <w:rFonts w:asciiTheme="minorEastAsia" w:eastAsiaTheme="minorEastAsia" w:hAnsiTheme="minorEastAsia" w:hint="eastAsia"/>
        </w:rPr>
        <w:t>各</w:t>
      </w:r>
      <w:r w:rsidR="00B47054" w:rsidRPr="00F17515">
        <w:rPr>
          <w:rFonts w:asciiTheme="minorEastAsia" w:eastAsiaTheme="minorEastAsia" w:hAnsiTheme="minorEastAsia" w:hint="eastAsia"/>
        </w:rPr>
        <w:t>销售</w:t>
      </w:r>
      <w:r w:rsidRPr="00F17515">
        <w:rPr>
          <w:rFonts w:asciiTheme="minorEastAsia" w:eastAsiaTheme="minorEastAsia" w:hAnsiTheme="minorEastAsia" w:hint="eastAsia"/>
        </w:rPr>
        <w:t>机构对最低申购限额及交易级差有其他规定的,</w:t>
      </w:r>
      <w:r w:rsidR="007C3B09" w:rsidRPr="00F17515">
        <w:rPr>
          <w:rFonts w:asciiTheme="minorEastAsia" w:eastAsiaTheme="minorEastAsia" w:hAnsiTheme="minorEastAsia" w:hint="eastAsia"/>
        </w:rPr>
        <w:t>需同时遵循该销售机构的相关规定</w:t>
      </w:r>
      <w:r w:rsidRPr="00F17515">
        <w:rPr>
          <w:rFonts w:asciiTheme="minorEastAsia" w:eastAsiaTheme="minorEastAsia" w:hAnsiTheme="minorEastAsia" w:hint="eastAsia"/>
        </w:rPr>
        <w:t>。</w:t>
      </w:r>
      <w:r w:rsidR="005E04E3" w:rsidRPr="00F17515">
        <w:rPr>
          <w:rFonts w:asciiTheme="minorEastAsia" w:eastAsiaTheme="minorEastAsia" w:hAnsiTheme="minorEastAsia" w:hint="eastAsia"/>
          <w:szCs w:val="21"/>
        </w:rPr>
        <w:t>（以上金额均含申购费）</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投资者将当期分配的基金收益转购基金份额或采用定期定额投资计划时，不受最低申购金额的限制。</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投资者可多次申购，对单个投资者累计持有份额不设上限限制。</w:t>
      </w:r>
      <w:r w:rsidR="00C609DD" w:rsidRPr="00F17515">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F17515">
        <w:rPr>
          <w:rFonts w:asciiTheme="minorEastAsia" w:eastAsiaTheme="minorEastAsia" w:hAnsiTheme="minorEastAsia" w:hint="eastAsia"/>
        </w:rPr>
        <w:t>法律法规、中国证监会另有规定的除外。</w:t>
      </w:r>
    </w:p>
    <w:p w:rsidR="007228CC" w:rsidRPr="00F17515" w:rsidRDefault="002A7F91" w:rsidP="002A7F91">
      <w:pPr>
        <w:snapToGrid w:val="0"/>
        <w:spacing w:line="360" w:lineRule="auto"/>
        <w:ind w:left="420"/>
        <w:rPr>
          <w:rFonts w:asciiTheme="minorEastAsia" w:eastAsiaTheme="minorEastAsia" w:hAnsiTheme="minorEastAsia"/>
          <w:szCs w:val="21"/>
        </w:rPr>
      </w:pPr>
      <w:bookmarkStart w:id="89" w:name="OLE_LINK2"/>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赎回的份额限制</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rPr>
        <w:t>投资者可将其全部或部分基金</w:t>
      </w:r>
      <w:r w:rsidRPr="00F17515">
        <w:rPr>
          <w:rFonts w:asciiTheme="minorEastAsia" w:eastAsiaTheme="minorEastAsia" w:hAnsiTheme="minorEastAsia" w:hint="eastAsia"/>
        </w:rPr>
        <w:t>份额</w:t>
      </w:r>
      <w:r w:rsidRPr="00F17515">
        <w:rPr>
          <w:rFonts w:asciiTheme="minorEastAsia" w:eastAsiaTheme="minorEastAsia" w:hAnsiTheme="minorEastAsia"/>
        </w:rPr>
        <w:t>赎回。</w:t>
      </w:r>
      <w:r w:rsidRPr="00F17515">
        <w:rPr>
          <w:rFonts w:asciiTheme="minorEastAsia" w:eastAsiaTheme="minorEastAsia" w:hAnsiTheme="minorEastAsia" w:hint="eastAsia"/>
        </w:rPr>
        <w:t>每类基金份额</w:t>
      </w:r>
      <w:r w:rsidRPr="00F17515">
        <w:rPr>
          <w:rFonts w:asciiTheme="minorEastAsia" w:eastAsiaTheme="minorEastAsia" w:hAnsiTheme="minorEastAsia"/>
        </w:rPr>
        <w:t>单笔赎回或转换不得少于</w:t>
      </w:r>
      <w:r w:rsidR="005B2687" w:rsidRPr="00F17515">
        <w:rPr>
          <w:rFonts w:asciiTheme="minorEastAsia" w:eastAsiaTheme="minorEastAsia" w:hAnsiTheme="minorEastAsia" w:hint="eastAsia"/>
        </w:rPr>
        <w:t>1</w:t>
      </w:r>
      <w:r w:rsidRPr="00F17515">
        <w:rPr>
          <w:rFonts w:asciiTheme="minorEastAsia" w:eastAsiaTheme="minorEastAsia" w:hAnsiTheme="minorEastAsia"/>
        </w:rPr>
        <w:t>份(</w:t>
      </w:r>
      <w:r w:rsidR="007F6FE2" w:rsidRPr="00F17515">
        <w:rPr>
          <w:rFonts w:asciiTheme="minorEastAsia" w:eastAsiaTheme="minorEastAsia" w:hAnsiTheme="minorEastAsia"/>
        </w:rPr>
        <w:t>如</w:t>
      </w:r>
      <w:r w:rsidR="007F6FE2" w:rsidRPr="00F17515">
        <w:rPr>
          <w:rFonts w:asciiTheme="minorEastAsia" w:eastAsiaTheme="minorEastAsia" w:hAnsiTheme="minorEastAsia"/>
        </w:rPr>
        <w:lastRenderedPageBreak/>
        <w:t>该</w:t>
      </w:r>
      <w:r w:rsidR="007F6FE2" w:rsidRPr="00F17515">
        <w:rPr>
          <w:rFonts w:asciiTheme="minorEastAsia" w:eastAsiaTheme="minorEastAsia" w:hAnsiTheme="minorEastAsia" w:hint="eastAsia"/>
        </w:rPr>
        <w:t>账户</w:t>
      </w:r>
      <w:r w:rsidR="007F6FE2" w:rsidRPr="00F17515">
        <w:rPr>
          <w:rFonts w:asciiTheme="minorEastAsia" w:eastAsiaTheme="minorEastAsia" w:hAnsiTheme="minorEastAsia"/>
        </w:rPr>
        <w:t>在该销售机构托管的</w:t>
      </w:r>
      <w:r w:rsidR="007F6FE2" w:rsidRPr="00F17515">
        <w:rPr>
          <w:rFonts w:asciiTheme="minorEastAsia" w:eastAsiaTheme="minorEastAsia" w:hAnsiTheme="minorEastAsia" w:hint="eastAsia"/>
        </w:rPr>
        <w:t>该类</w:t>
      </w:r>
      <w:r w:rsidR="007F6FE2" w:rsidRPr="00F17515">
        <w:rPr>
          <w:rFonts w:asciiTheme="minorEastAsia" w:eastAsiaTheme="minorEastAsia" w:hAnsiTheme="minorEastAsia"/>
        </w:rPr>
        <w:t>基金余额不足</w:t>
      </w:r>
      <w:r w:rsidR="005B2687" w:rsidRPr="00F17515">
        <w:rPr>
          <w:rFonts w:asciiTheme="minorEastAsia" w:eastAsiaTheme="minorEastAsia" w:hAnsiTheme="minorEastAsia" w:hint="eastAsia"/>
        </w:rPr>
        <w:t>1</w:t>
      </w:r>
      <w:r w:rsidRPr="00F17515">
        <w:rPr>
          <w:rFonts w:asciiTheme="minorEastAsia" w:eastAsiaTheme="minorEastAsia" w:hAnsiTheme="minorEastAsia"/>
        </w:rPr>
        <w:t>份</w:t>
      </w:r>
      <w:r w:rsidRPr="00F17515">
        <w:rPr>
          <w:rFonts w:asciiTheme="minorEastAsia" w:eastAsiaTheme="minorEastAsia" w:hAnsiTheme="minorEastAsia" w:hint="eastAsia"/>
        </w:rPr>
        <w:t>，</w:t>
      </w:r>
      <w:r w:rsidRPr="00F17515">
        <w:rPr>
          <w:rFonts w:asciiTheme="minorEastAsia" w:eastAsiaTheme="minorEastAsia" w:hAnsiTheme="minorEastAsia"/>
        </w:rPr>
        <w:t>则必须一次性赎回或转出该</w:t>
      </w:r>
      <w:r w:rsidRPr="00F17515">
        <w:rPr>
          <w:rFonts w:asciiTheme="minorEastAsia" w:eastAsiaTheme="minorEastAsia" w:hAnsiTheme="minorEastAsia" w:hint="eastAsia"/>
        </w:rPr>
        <w:t>类</w:t>
      </w:r>
      <w:r w:rsidRPr="00F17515">
        <w:rPr>
          <w:rFonts w:asciiTheme="minorEastAsia" w:eastAsiaTheme="minorEastAsia" w:hAnsiTheme="minorEastAsia"/>
        </w:rPr>
        <w:t>基金全部份额)；若某笔赎回将导致投资者在</w:t>
      </w:r>
      <w:r w:rsidR="007F6FE2" w:rsidRPr="00F17515">
        <w:rPr>
          <w:rFonts w:asciiTheme="minorEastAsia" w:eastAsiaTheme="minorEastAsia" w:hAnsiTheme="minorEastAsia" w:hint="eastAsia"/>
        </w:rPr>
        <w:t>该</w:t>
      </w:r>
      <w:r w:rsidRPr="00F17515">
        <w:rPr>
          <w:rFonts w:asciiTheme="minorEastAsia" w:eastAsiaTheme="minorEastAsia" w:hAnsiTheme="minorEastAsia"/>
        </w:rPr>
        <w:t>销售机构托管的</w:t>
      </w:r>
      <w:r w:rsidRPr="00F17515">
        <w:rPr>
          <w:rFonts w:asciiTheme="minorEastAsia" w:eastAsiaTheme="minorEastAsia" w:hAnsiTheme="minorEastAsia" w:hint="eastAsia"/>
        </w:rPr>
        <w:t>该类</w:t>
      </w:r>
      <w:r w:rsidRPr="00F17515">
        <w:rPr>
          <w:rFonts w:asciiTheme="minorEastAsia" w:eastAsiaTheme="minorEastAsia" w:hAnsiTheme="minorEastAsia"/>
        </w:rPr>
        <w:t>基金余额不足</w:t>
      </w:r>
      <w:r w:rsidR="005B2687" w:rsidRPr="00F17515">
        <w:rPr>
          <w:rFonts w:asciiTheme="minorEastAsia" w:eastAsiaTheme="minorEastAsia" w:hAnsiTheme="minorEastAsia" w:hint="eastAsia"/>
        </w:rPr>
        <w:t>1</w:t>
      </w:r>
      <w:r w:rsidRPr="00F17515">
        <w:rPr>
          <w:rFonts w:asciiTheme="minorEastAsia" w:eastAsiaTheme="minorEastAsia" w:hAnsiTheme="minorEastAsia"/>
        </w:rPr>
        <w:t>份时</w:t>
      </w:r>
      <w:r w:rsidRPr="00F17515">
        <w:rPr>
          <w:rFonts w:asciiTheme="minorEastAsia" w:eastAsiaTheme="minorEastAsia" w:hAnsiTheme="minorEastAsia" w:hint="eastAsia"/>
        </w:rPr>
        <w:t>，</w:t>
      </w:r>
      <w:r w:rsidRPr="00F17515">
        <w:rPr>
          <w:rFonts w:asciiTheme="minorEastAsia" w:eastAsiaTheme="minorEastAsia" w:hAnsiTheme="minorEastAsia"/>
        </w:rPr>
        <w:t>基金管理人有权将投资者在该销售机构托管的该</w:t>
      </w:r>
      <w:r w:rsidRPr="00F17515">
        <w:rPr>
          <w:rFonts w:asciiTheme="minorEastAsia" w:eastAsiaTheme="minorEastAsia" w:hAnsiTheme="minorEastAsia" w:hint="eastAsia"/>
        </w:rPr>
        <w:t>类</w:t>
      </w:r>
      <w:r w:rsidRPr="00F17515">
        <w:rPr>
          <w:rFonts w:asciiTheme="minorEastAsia" w:eastAsiaTheme="minorEastAsia" w:hAnsiTheme="minorEastAsia"/>
        </w:rPr>
        <w:t>基金剩余份额一次性全部赎回</w:t>
      </w:r>
      <w:r w:rsidR="005B2687" w:rsidRPr="00F17515">
        <w:rPr>
          <w:rFonts w:asciiTheme="minorEastAsia" w:eastAsiaTheme="minorEastAsia" w:hAnsiTheme="minorEastAsia" w:hint="eastAsia"/>
          <w:szCs w:val="21"/>
        </w:rPr>
        <w:t>。</w:t>
      </w:r>
      <w:r w:rsidR="007F6B48" w:rsidRPr="00F17515">
        <w:rPr>
          <w:rFonts w:asciiTheme="minorEastAsia" w:eastAsiaTheme="minorEastAsia" w:hAnsiTheme="minorEastAsia" w:hint="eastAsia"/>
          <w:szCs w:val="21"/>
        </w:rPr>
        <w:t>在符合法律法规规定的前提下，各销售机构对赎回份额限制有其他规定的，需同时遵循该销售机构的相关规定。</w:t>
      </w:r>
    </w:p>
    <w:bookmarkEnd w:id="89"/>
    <w:p w:rsidR="00C609DD" w:rsidRPr="00F17515" w:rsidRDefault="002A7F91" w:rsidP="002A7F91">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3、</w:t>
      </w:r>
      <w:r w:rsidR="00C609DD" w:rsidRPr="00F17515">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7228CC" w:rsidRPr="00F17515" w:rsidRDefault="00C609DD" w:rsidP="002A7F91">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4</w:t>
      </w:r>
      <w:r w:rsidRPr="00F17515">
        <w:rPr>
          <w:rFonts w:asciiTheme="minorEastAsia" w:eastAsiaTheme="minorEastAsia" w:hAnsiTheme="minorEastAsia"/>
        </w:rPr>
        <w:t>、</w:t>
      </w:r>
      <w:r w:rsidR="007228CC" w:rsidRPr="00F17515">
        <w:rPr>
          <w:rFonts w:asciiTheme="minorEastAsia" w:eastAsiaTheme="minorEastAsia" w:hAnsiTheme="minorEastAsia" w:hint="eastAsia"/>
        </w:rPr>
        <w:t>基金管理人可根据市场情况制定或调整上述申购、赎回的程序及有关限制，</w:t>
      </w:r>
      <w:r w:rsidRPr="00F17515">
        <w:rPr>
          <w:rFonts w:asciiTheme="minorEastAsia" w:eastAsiaTheme="minorEastAsia" w:hAnsiTheme="minorEastAsia" w:hint="eastAsia"/>
          <w:szCs w:val="21"/>
        </w:rPr>
        <w:t>或者新增基金规模控制措施，</w:t>
      </w:r>
      <w:r w:rsidR="007228CC" w:rsidRPr="00F17515">
        <w:rPr>
          <w:rFonts w:asciiTheme="minorEastAsia" w:eastAsiaTheme="minorEastAsia" w:hAnsiTheme="minorEastAsia" w:hint="eastAsia"/>
        </w:rPr>
        <w:t>但应在调整生效前2日至少在一家指定报刊及网站公告。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90" w:name="_Toc211920143"/>
      <w:bookmarkStart w:id="91" w:name="_Toc211927674"/>
      <w:bookmarkStart w:id="92" w:name="_Toc41556777"/>
      <w:r w:rsidRPr="00F17515">
        <w:rPr>
          <w:rFonts w:asciiTheme="minorEastAsia" w:eastAsiaTheme="minorEastAsia" w:hAnsiTheme="minorEastAsia" w:hint="eastAsia"/>
        </w:rPr>
        <w:t>（七）申购与赎回的费率</w:t>
      </w:r>
      <w:bookmarkEnd w:id="90"/>
      <w:bookmarkEnd w:id="91"/>
      <w:bookmarkEnd w:id="92"/>
    </w:p>
    <w:p w:rsidR="00107B19" w:rsidRPr="00F17515" w:rsidRDefault="00E035E7" w:rsidP="00CA6FB1">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w:t>
      </w:r>
      <w:r w:rsidR="004F66AC" w:rsidRPr="00F17515">
        <w:rPr>
          <w:rFonts w:asciiTheme="minorEastAsia" w:eastAsiaTheme="minorEastAsia" w:hAnsiTheme="minorEastAsia" w:hint="eastAsia"/>
          <w:szCs w:val="21"/>
        </w:rPr>
        <w:t>A</w:t>
      </w:r>
      <w:r w:rsidR="004F66AC" w:rsidRPr="00F17515">
        <w:rPr>
          <w:rFonts w:asciiTheme="minorEastAsia" w:eastAsiaTheme="minorEastAsia" w:hAnsiTheme="minorEastAsia"/>
          <w:szCs w:val="21"/>
        </w:rPr>
        <w:t>类基金份额</w:t>
      </w:r>
      <w:r w:rsidRPr="00F17515">
        <w:rPr>
          <w:rFonts w:asciiTheme="minorEastAsia" w:eastAsiaTheme="minorEastAsia" w:hAnsiTheme="minorEastAsia" w:hint="eastAsia"/>
          <w:szCs w:val="21"/>
        </w:rPr>
        <w:t>对通过直销中心申购的特定投资群体与除此之外的其他投资者实施差别的申购</w:t>
      </w:r>
      <w:r w:rsidR="004F66AC" w:rsidRPr="00F17515">
        <w:rPr>
          <w:rFonts w:asciiTheme="minorEastAsia" w:eastAsiaTheme="minorEastAsia" w:hAnsiTheme="minorEastAsia" w:hint="eastAsia"/>
          <w:szCs w:val="21"/>
        </w:rPr>
        <w:t>费率。</w:t>
      </w:r>
      <w:r w:rsidRPr="00F17515">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E035E7" w:rsidRPr="00F17515" w:rsidRDefault="00E035E7"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通过基金管理人的直销中心申购本基金A类份额的特定投资群体申购费率</w:t>
      </w:r>
      <w:r w:rsidR="004903CE" w:rsidRPr="00F17515">
        <w:rPr>
          <w:rFonts w:asciiTheme="minorEastAsia" w:eastAsiaTheme="minorEastAsia" w:hAnsiTheme="minorEastAsia" w:hint="eastAsia"/>
          <w:szCs w:val="21"/>
        </w:rPr>
        <w:t>为</w:t>
      </w:r>
      <w:r w:rsidRPr="00F17515">
        <w:rPr>
          <w:rFonts w:asciiTheme="minorEastAsia" w:eastAsiaTheme="minorEastAsia" w:hAnsiTheme="minorEastAsia" w:hint="eastAsia"/>
          <w:szCs w:val="21"/>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880"/>
      </w:tblGrid>
      <w:tr w:rsidR="00F17515" w:rsidRPr="00F17515" w:rsidTr="00795B37">
        <w:tc>
          <w:tcPr>
            <w:tcW w:w="3420" w:type="dxa"/>
          </w:tcPr>
          <w:p w:rsidR="00E035E7" w:rsidRPr="00F17515" w:rsidRDefault="00E035E7"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申购金额M（元）（含申购费）</w:t>
            </w:r>
          </w:p>
        </w:tc>
        <w:tc>
          <w:tcPr>
            <w:tcW w:w="2880" w:type="dxa"/>
          </w:tcPr>
          <w:p w:rsidR="00E035E7" w:rsidRPr="00F17515" w:rsidRDefault="00E035E7"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申购费率</w:t>
            </w:r>
          </w:p>
        </w:tc>
      </w:tr>
      <w:tr w:rsidR="00F17515" w:rsidRPr="00F17515" w:rsidTr="00795B37">
        <w:tc>
          <w:tcPr>
            <w:tcW w:w="3420" w:type="dxa"/>
          </w:tcPr>
          <w:p w:rsidR="00E035E7" w:rsidRPr="00F17515" w:rsidRDefault="00E035E7" w:rsidP="0071223F">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M&lt;100万</w:t>
            </w:r>
          </w:p>
        </w:tc>
        <w:tc>
          <w:tcPr>
            <w:tcW w:w="2880" w:type="dxa"/>
          </w:tcPr>
          <w:p w:rsidR="00E035E7" w:rsidRPr="00F17515" w:rsidRDefault="00E035E7"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0.08%</w:t>
            </w:r>
          </w:p>
        </w:tc>
      </w:tr>
      <w:tr w:rsidR="00F17515" w:rsidRPr="00F17515" w:rsidTr="00795B37">
        <w:tc>
          <w:tcPr>
            <w:tcW w:w="3420" w:type="dxa"/>
          </w:tcPr>
          <w:p w:rsidR="00E035E7" w:rsidRPr="00F17515" w:rsidRDefault="00E035E7" w:rsidP="006472BD">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100万</w:t>
            </w:r>
            <w:r w:rsidR="006472BD"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M&lt;500万</w:t>
            </w:r>
          </w:p>
        </w:tc>
        <w:tc>
          <w:tcPr>
            <w:tcW w:w="2880" w:type="dxa"/>
          </w:tcPr>
          <w:p w:rsidR="00E035E7" w:rsidRPr="00F17515" w:rsidRDefault="00E035E7"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0.04%</w:t>
            </w:r>
          </w:p>
        </w:tc>
      </w:tr>
      <w:tr w:rsidR="00F17515" w:rsidRPr="00F17515" w:rsidTr="00795B37">
        <w:tc>
          <w:tcPr>
            <w:tcW w:w="3420" w:type="dxa"/>
          </w:tcPr>
          <w:p w:rsidR="00E035E7" w:rsidRPr="00F17515" w:rsidRDefault="00E035E7" w:rsidP="006472BD">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500万</w:t>
            </w:r>
            <w:r w:rsidR="006472BD"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M&lt;1000万</w:t>
            </w:r>
          </w:p>
        </w:tc>
        <w:tc>
          <w:tcPr>
            <w:tcW w:w="2880" w:type="dxa"/>
          </w:tcPr>
          <w:p w:rsidR="00E035E7" w:rsidRPr="00F17515" w:rsidRDefault="00E035E7"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0.01%</w:t>
            </w:r>
          </w:p>
        </w:tc>
      </w:tr>
      <w:tr w:rsidR="00F17515" w:rsidRPr="00F17515" w:rsidTr="00795B37">
        <w:tc>
          <w:tcPr>
            <w:tcW w:w="3420" w:type="dxa"/>
          </w:tcPr>
          <w:p w:rsidR="00E035E7" w:rsidRPr="00F17515" w:rsidRDefault="00F15716" w:rsidP="0071223F">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1000万</w:t>
            </w:r>
            <w:r w:rsidR="009A707A"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M</w:t>
            </w:r>
          </w:p>
        </w:tc>
        <w:tc>
          <w:tcPr>
            <w:tcW w:w="2880" w:type="dxa"/>
          </w:tcPr>
          <w:p w:rsidR="00E035E7" w:rsidRPr="00F17515" w:rsidRDefault="00E035E7"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每笔1000元</w:t>
            </w:r>
          </w:p>
        </w:tc>
      </w:tr>
    </w:tbl>
    <w:p w:rsidR="007228CC" w:rsidRPr="00F17515" w:rsidRDefault="00E035E7" w:rsidP="0071223F">
      <w:pPr>
        <w:snapToGrid w:val="0"/>
        <w:spacing w:line="360" w:lineRule="auto"/>
        <w:ind w:firstLine="480"/>
        <w:rPr>
          <w:rFonts w:asciiTheme="minorEastAsia" w:eastAsiaTheme="minorEastAsia" w:hAnsiTheme="minorEastAsia"/>
          <w:szCs w:val="21"/>
        </w:rPr>
      </w:pPr>
      <w:r w:rsidRPr="00F17515">
        <w:rPr>
          <w:rFonts w:asciiTheme="minorEastAsia" w:eastAsiaTheme="minorEastAsia" w:hAnsiTheme="minorEastAsia" w:hint="eastAsia"/>
          <w:szCs w:val="21"/>
        </w:rPr>
        <w:t>其他投资者申购</w:t>
      </w:r>
      <w:r w:rsidR="007228CC" w:rsidRPr="00F17515">
        <w:rPr>
          <w:rFonts w:asciiTheme="minorEastAsia" w:eastAsiaTheme="minorEastAsia" w:hAnsiTheme="minorEastAsia" w:hint="eastAsia"/>
          <w:szCs w:val="21"/>
        </w:rPr>
        <w:t>本基金A类基金份额的申购费率为：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880"/>
      </w:tblGrid>
      <w:tr w:rsidR="00F17515" w:rsidRPr="00F17515" w:rsidTr="00DE4B5E">
        <w:tc>
          <w:tcPr>
            <w:tcW w:w="3420" w:type="dxa"/>
          </w:tcPr>
          <w:p w:rsidR="007228CC" w:rsidRPr="00F17515" w:rsidRDefault="007228CC"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申购金额M（元）（含申购费）</w:t>
            </w:r>
          </w:p>
        </w:tc>
        <w:tc>
          <w:tcPr>
            <w:tcW w:w="2880" w:type="dxa"/>
          </w:tcPr>
          <w:p w:rsidR="007228CC" w:rsidRPr="00F17515" w:rsidRDefault="007228CC"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申购费率</w:t>
            </w:r>
          </w:p>
        </w:tc>
      </w:tr>
      <w:tr w:rsidR="00F17515" w:rsidRPr="00F17515" w:rsidTr="00DE4B5E">
        <w:tc>
          <w:tcPr>
            <w:tcW w:w="3420" w:type="dxa"/>
          </w:tcPr>
          <w:p w:rsidR="007228CC" w:rsidRPr="00F17515" w:rsidRDefault="007228CC" w:rsidP="0071223F">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M&lt;100万</w:t>
            </w:r>
          </w:p>
        </w:tc>
        <w:tc>
          <w:tcPr>
            <w:tcW w:w="2880" w:type="dxa"/>
          </w:tcPr>
          <w:p w:rsidR="007228CC" w:rsidRPr="00F17515" w:rsidRDefault="007228CC"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0.8%</w:t>
            </w:r>
          </w:p>
        </w:tc>
      </w:tr>
      <w:tr w:rsidR="00F17515" w:rsidRPr="00F17515" w:rsidTr="00DE4B5E">
        <w:tc>
          <w:tcPr>
            <w:tcW w:w="3420" w:type="dxa"/>
          </w:tcPr>
          <w:p w:rsidR="007228CC" w:rsidRPr="00F17515" w:rsidRDefault="007228CC" w:rsidP="006472BD">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100万</w:t>
            </w:r>
            <w:r w:rsidR="006472BD"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M&lt;500万</w:t>
            </w:r>
          </w:p>
        </w:tc>
        <w:tc>
          <w:tcPr>
            <w:tcW w:w="2880" w:type="dxa"/>
          </w:tcPr>
          <w:p w:rsidR="007228CC" w:rsidRPr="00F17515" w:rsidRDefault="007228CC"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0.4%</w:t>
            </w:r>
          </w:p>
        </w:tc>
      </w:tr>
      <w:tr w:rsidR="00F17515" w:rsidRPr="00F17515" w:rsidTr="00DE4B5E">
        <w:tc>
          <w:tcPr>
            <w:tcW w:w="3420" w:type="dxa"/>
          </w:tcPr>
          <w:p w:rsidR="007228CC" w:rsidRPr="00F17515" w:rsidRDefault="007228CC" w:rsidP="006472BD">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500万</w:t>
            </w:r>
            <w:r w:rsidR="006472BD"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M&lt;1000万</w:t>
            </w:r>
          </w:p>
        </w:tc>
        <w:tc>
          <w:tcPr>
            <w:tcW w:w="2880" w:type="dxa"/>
          </w:tcPr>
          <w:p w:rsidR="007228CC" w:rsidRPr="00F17515" w:rsidRDefault="007228CC"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0.1%</w:t>
            </w:r>
          </w:p>
        </w:tc>
      </w:tr>
      <w:tr w:rsidR="00F17515" w:rsidRPr="00F17515" w:rsidTr="00DE4B5E">
        <w:tc>
          <w:tcPr>
            <w:tcW w:w="3420" w:type="dxa"/>
          </w:tcPr>
          <w:p w:rsidR="007228CC" w:rsidRPr="00F17515" w:rsidRDefault="00F15716" w:rsidP="0071223F">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1000万</w:t>
            </w:r>
            <w:r w:rsidR="009A707A"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M</w:t>
            </w:r>
          </w:p>
        </w:tc>
        <w:tc>
          <w:tcPr>
            <w:tcW w:w="2880" w:type="dxa"/>
          </w:tcPr>
          <w:p w:rsidR="007228CC" w:rsidRPr="00F17515" w:rsidRDefault="007228CC"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每笔1000元</w:t>
            </w:r>
          </w:p>
        </w:tc>
      </w:tr>
    </w:tbl>
    <w:p w:rsidR="007228CC" w:rsidRPr="00F17515" w:rsidRDefault="007228CC"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在申购费按金额分档的情况下，如果投资者多次申购，申购费适用单笔申购金额所对应的费率。</w:t>
      </w:r>
    </w:p>
    <w:p w:rsidR="00C609DD" w:rsidRPr="00F17515" w:rsidRDefault="00C609DD" w:rsidP="0071223F">
      <w:pPr>
        <w:widowControl/>
        <w:snapToGrid w:val="0"/>
        <w:spacing w:line="360" w:lineRule="auto"/>
        <w:ind w:firstLineChars="200" w:firstLine="420"/>
        <w:jc w:val="left"/>
        <w:rPr>
          <w:rFonts w:asciiTheme="minorEastAsia" w:eastAsiaTheme="minorEastAsia" w:hAnsiTheme="minorEastAsia"/>
          <w:szCs w:val="21"/>
        </w:rPr>
      </w:pPr>
      <w:r w:rsidRPr="00F17515">
        <w:rPr>
          <w:rFonts w:asciiTheme="minorEastAsia" w:eastAsiaTheme="minorEastAsia" w:hAnsiTheme="minorEastAsia" w:hint="eastAsia"/>
          <w:szCs w:val="21"/>
        </w:rPr>
        <w:t>本基金B类基金份额不收取申购费。</w:t>
      </w:r>
    </w:p>
    <w:p w:rsidR="00C609DD" w:rsidRPr="00F17515" w:rsidRDefault="00C609DD"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hint="eastAsia"/>
        </w:rPr>
        <w:t>本基金的申购费由申购人承担，不计入基金财产。</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rPr>
        <w:t>本基金</w:t>
      </w:r>
      <w:r w:rsidRPr="00F17515">
        <w:rPr>
          <w:rFonts w:asciiTheme="minorEastAsia" w:eastAsiaTheme="minorEastAsia" w:hAnsiTheme="minorEastAsia" w:hint="eastAsia"/>
          <w:szCs w:val="21"/>
        </w:rPr>
        <w:t>A类基金份额的赎回费率为：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880"/>
      </w:tblGrid>
      <w:tr w:rsidR="00F17515" w:rsidRPr="00F17515" w:rsidTr="00DE4B5E">
        <w:trPr>
          <w:trHeight w:val="366"/>
        </w:trPr>
        <w:tc>
          <w:tcPr>
            <w:tcW w:w="3420" w:type="dxa"/>
          </w:tcPr>
          <w:p w:rsidR="007228CC" w:rsidRPr="00F17515" w:rsidRDefault="007228CC"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lastRenderedPageBreak/>
              <w:t>持有</w:t>
            </w:r>
            <w:r w:rsidR="00737A69" w:rsidRPr="00F17515">
              <w:rPr>
                <w:rFonts w:asciiTheme="minorEastAsia" w:eastAsiaTheme="minorEastAsia" w:hAnsiTheme="minorEastAsia" w:hint="eastAsia"/>
                <w:kern w:val="0"/>
                <w:szCs w:val="21"/>
              </w:rPr>
              <w:t>时间（天）</w:t>
            </w:r>
          </w:p>
        </w:tc>
        <w:tc>
          <w:tcPr>
            <w:tcW w:w="2880" w:type="dxa"/>
          </w:tcPr>
          <w:p w:rsidR="007228CC" w:rsidRPr="00F17515" w:rsidRDefault="007228CC"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赎回费率</w:t>
            </w:r>
          </w:p>
        </w:tc>
      </w:tr>
      <w:tr w:rsidR="00F17515" w:rsidRPr="00F17515" w:rsidTr="00DE4B5E">
        <w:trPr>
          <w:trHeight w:val="366"/>
        </w:trPr>
        <w:tc>
          <w:tcPr>
            <w:tcW w:w="3420" w:type="dxa"/>
          </w:tcPr>
          <w:p w:rsidR="007F6B48" w:rsidRPr="00F17515" w:rsidRDefault="00737A69"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0-6</w:t>
            </w:r>
          </w:p>
        </w:tc>
        <w:tc>
          <w:tcPr>
            <w:tcW w:w="2880" w:type="dxa"/>
          </w:tcPr>
          <w:p w:rsidR="007F6B48" w:rsidRPr="00F17515" w:rsidRDefault="007F6B48"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1.5%</w:t>
            </w:r>
          </w:p>
        </w:tc>
      </w:tr>
      <w:tr w:rsidR="00F17515" w:rsidRPr="00F17515" w:rsidTr="00DE4B5E">
        <w:trPr>
          <w:trHeight w:val="366"/>
        </w:trPr>
        <w:tc>
          <w:tcPr>
            <w:tcW w:w="3420" w:type="dxa"/>
          </w:tcPr>
          <w:p w:rsidR="00737A69" w:rsidRPr="00F17515" w:rsidRDefault="00737A69">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7-29</w:t>
            </w:r>
          </w:p>
        </w:tc>
        <w:tc>
          <w:tcPr>
            <w:tcW w:w="2880" w:type="dxa"/>
          </w:tcPr>
          <w:p w:rsidR="00737A69" w:rsidRPr="00F17515" w:rsidRDefault="00737A69"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0.75%</w:t>
            </w:r>
          </w:p>
        </w:tc>
      </w:tr>
      <w:tr w:rsidR="00F17515" w:rsidRPr="00F17515" w:rsidTr="00DE4B5E">
        <w:trPr>
          <w:trHeight w:val="366"/>
        </w:trPr>
        <w:tc>
          <w:tcPr>
            <w:tcW w:w="3420" w:type="dxa"/>
          </w:tcPr>
          <w:p w:rsidR="007228CC" w:rsidRPr="00F17515" w:rsidRDefault="00737A69"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30-364</w:t>
            </w:r>
          </w:p>
        </w:tc>
        <w:tc>
          <w:tcPr>
            <w:tcW w:w="2880" w:type="dxa"/>
          </w:tcPr>
          <w:p w:rsidR="007228CC" w:rsidRPr="00F17515" w:rsidRDefault="007228CC"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0.</w:t>
            </w:r>
            <w:r w:rsidRPr="00F17515">
              <w:rPr>
                <w:rFonts w:asciiTheme="minorEastAsia" w:eastAsiaTheme="minorEastAsia" w:hAnsiTheme="minorEastAsia" w:hint="eastAsia"/>
                <w:kern w:val="0"/>
                <w:szCs w:val="21"/>
              </w:rPr>
              <w:t>1</w:t>
            </w:r>
            <w:r w:rsidRPr="00F17515">
              <w:rPr>
                <w:rFonts w:asciiTheme="minorEastAsia" w:eastAsiaTheme="minorEastAsia" w:hAnsiTheme="minorEastAsia"/>
                <w:kern w:val="0"/>
                <w:szCs w:val="21"/>
              </w:rPr>
              <w:t>%</w:t>
            </w:r>
          </w:p>
        </w:tc>
      </w:tr>
      <w:tr w:rsidR="00F17515" w:rsidRPr="00F17515" w:rsidTr="00DE4B5E">
        <w:trPr>
          <w:trHeight w:val="366"/>
        </w:trPr>
        <w:tc>
          <w:tcPr>
            <w:tcW w:w="3420" w:type="dxa"/>
          </w:tcPr>
          <w:p w:rsidR="007228CC" w:rsidRPr="00F17515" w:rsidRDefault="00737A69"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365-729</w:t>
            </w:r>
          </w:p>
        </w:tc>
        <w:tc>
          <w:tcPr>
            <w:tcW w:w="2880" w:type="dxa"/>
          </w:tcPr>
          <w:p w:rsidR="007228CC" w:rsidRPr="00F17515" w:rsidRDefault="007228CC"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0.05%</w:t>
            </w:r>
          </w:p>
        </w:tc>
      </w:tr>
      <w:tr w:rsidR="00F17515" w:rsidRPr="00F17515" w:rsidTr="00DE4B5E">
        <w:trPr>
          <w:trHeight w:val="366"/>
        </w:trPr>
        <w:tc>
          <w:tcPr>
            <w:tcW w:w="3420" w:type="dxa"/>
          </w:tcPr>
          <w:p w:rsidR="007228CC" w:rsidRPr="00F17515" w:rsidRDefault="00737A69"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730</w:t>
            </w:r>
            <w:r w:rsidRPr="00F17515">
              <w:rPr>
                <w:rFonts w:asciiTheme="minorEastAsia" w:eastAsiaTheme="minorEastAsia" w:hAnsiTheme="minorEastAsia" w:hint="eastAsia"/>
                <w:kern w:val="0"/>
                <w:szCs w:val="21"/>
              </w:rPr>
              <w:t>及以上</w:t>
            </w:r>
          </w:p>
        </w:tc>
        <w:tc>
          <w:tcPr>
            <w:tcW w:w="2880" w:type="dxa"/>
          </w:tcPr>
          <w:p w:rsidR="007228CC" w:rsidRPr="00F17515" w:rsidRDefault="007228CC" w:rsidP="0071223F">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0%</w:t>
            </w:r>
          </w:p>
        </w:tc>
      </w:tr>
    </w:tbl>
    <w:p w:rsidR="00F45307" w:rsidRPr="00F17515" w:rsidRDefault="00737A69" w:rsidP="00AE7D92">
      <w:pPr>
        <w:pStyle w:val="a9"/>
        <w:tabs>
          <w:tab w:val="left" w:pos="420"/>
        </w:tabs>
        <w:snapToGrid w:val="0"/>
        <w:spacing w:after="0" w:line="360" w:lineRule="auto"/>
        <w:rPr>
          <w:rFonts w:asciiTheme="minorEastAsia" w:eastAsiaTheme="minorEastAsia" w:hAnsiTheme="minorEastAsia"/>
          <w:szCs w:val="21"/>
        </w:rPr>
      </w:pPr>
      <w:bookmarkStart w:id="93" w:name="_Toc182920433"/>
      <w:bookmarkStart w:id="94" w:name="_Toc182920629"/>
      <w:r w:rsidRPr="00F17515">
        <w:rPr>
          <w:rFonts w:asciiTheme="minorEastAsia" w:eastAsiaTheme="minorEastAsia" w:hAnsiTheme="minorEastAsia" w:hint="eastAsia"/>
          <w:szCs w:val="21"/>
        </w:rPr>
        <w:t xml:space="preserve">  </w:t>
      </w:r>
      <w:r w:rsidRPr="00F17515">
        <w:rPr>
          <w:rFonts w:asciiTheme="minorEastAsia" w:eastAsiaTheme="minorEastAsia" w:hAnsiTheme="minorEastAsia"/>
          <w:szCs w:val="21"/>
        </w:rPr>
        <w:t xml:space="preserve">  </w:t>
      </w:r>
      <w:r w:rsidR="00D75BAA" w:rsidRPr="00F17515">
        <w:rPr>
          <w:rFonts w:asciiTheme="minorEastAsia" w:eastAsiaTheme="minorEastAsia" w:hAnsiTheme="minorEastAsia" w:hint="eastAsia"/>
        </w:rPr>
        <w:t>本基金</w:t>
      </w:r>
      <w:r w:rsidR="00D75BAA" w:rsidRPr="00F17515">
        <w:rPr>
          <w:rFonts w:asciiTheme="minorEastAsia" w:eastAsiaTheme="minorEastAsia" w:hAnsiTheme="minorEastAsia" w:hint="eastAsia"/>
          <w:szCs w:val="21"/>
        </w:rPr>
        <w:t>B类基金份额的赎回费率为：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880"/>
      </w:tblGrid>
      <w:tr w:rsidR="00F17515" w:rsidRPr="00F17515" w:rsidTr="00D75BAA">
        <w:trPr>
          <w:trHeight w:val="366"/>
        </w:trPr>
        <w:tc>
          <w:tcPr>
            <w:tcW w:w="3420" w:type="dxa"/>
          </w:tcPr>
          <w:p w:rsidR="00D75BAA" w:rsidRPr="00F17515" w:rsidRDefault="00D75BAA" w:rsidP="00D75BAA">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持有</w:t>
            </w:r>
            <w:r w:rsidR="00737A69" w:rsidRPr="00F17515">
              <w:rPr>
                <w:rFonts w:asciiTheme="minorEastAsia" w:eastAsiaTheme="minorEastAsia" w:hAnsiTheme="minorEastAsia" w:hint="eastAsia"/>
                <w:kern w:val="0"/>
                <w:szCs w:val="21"/>
              </w:rPr>
              <w:t>时间（天）</w:t>
            </w:r>
          </w:p>
        </w:tc>
        <w:tc>
          <w:tcPr>
            <w:tcW w:w="2880" w:type="dxa"/>
          </w:tcPr>
          <w:p w:rsidR="00D75BAA" w:rsidRPr="00F17515" w:rsidRDefault="00D75BAA" w:rsidP="00D75BAA">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赎回费率</w:t>
            </w:r>
          </w:p>
        </w:tc>
      </w:tr>
      <w:tr w:rsidR="00F17515" w:rsidRPr="00F17515" w:rsidTr="00D75BAA">
        <w:trPr>
          <w:trHeight w:val="366"/>
        </w:trPr>
        <w:tc>
          <w:tcPr>
            <w:tcW w:w="3420" w:type="dxa"/>
          </w:tcPr>
          <w:p w:rsidR="00D75BAA" w:rsidRPr="00F17515" w:rsidRDefault="00737A69" w:rsidP="00D75BAA">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0-6</w:t>
            </w:r>
          </w:p>
        </w:tc>
        <w:tc>
          <w:tcPr>
            <w:tcW w:w="2880" w:type="dxa"/>
          </w:tcPr>
          <w:p w:rsidR="00D75BAA" w:rsidRPr="00F17515" w:rsidRDefault="00D75BAA" w:rsidP="00D75BAA">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1.5%</w:t>
            </w:r>
          </w:p>
        </w:tc>
      </w:tr>
      <w:tr w:rsidR="00F17515" w:rsidRPr="00F17515" w:rsidTr="00D75BAA">
        <w:trPr>
          <w:trHeight w:val="366"/>
        </w:trPr>
        <w:tc>
          <w:tcPr>
            <w:tcW w:w="3420" w:type="dxa"/>
          </w:tcPr>
          <w:p w:rsidR="00737A69" w:rsidRPr="00F17515" w:rsidRDefault="00737A69" w:rsidP="00D75BAA">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7-29</w:t>
            </w:r>
          </w:p>
        </w:tc>
        <w:tc>
          <w:tcPr>
            <w:tcW w:w="2880" w:type="dxa"/>
          </w:tcPr>
          <w:p w:rsidR="00737A69" w:rsidRPr="00F17515" w:rsidRDefault="00737A69" w:rsidP="00D75BAA">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0.75%</w:t>
            </w:r>
          </w:p>
        </w:tc>
      </w:tr>
      <w:tr w:rsidR="00F17515" w:rsidRPr="00F17515" w:rsidTr="00D75BAA">
        <w:trPr>
          <w:trHeight w:val="366"/>
        </w:trPr>
        <w:tc>
          <w:tcPr>
            <w:tcW w:w="3420" w:type="dxa"/>
          </w:tcPr>
          <w:p w:rsidR="00D75BAA" w:rsidRPr="00F17515" w:rsidRDefault="00737A69" w:rsidP="00D75BAA">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30</w:t>
            </w:r>
            <w:r w:rsidRPr="00F17515">
              <w:rPr>
                <w:rFonts w:asciiTheme="minorEastAsia" w:eastAsiaTheme="minorEastAsia" w:hAnsiTheme="minorEastAsia" w:hint="eastAsia"/>
                <w:kern w:val="0"/>
                <w:szCs w:val="21"/>
              </w:rPr>
              <w:t>及以上</w:t>
            </w:r>
          </w:p>
        </w:tc>
        <w:tc>
          <w:tcPr>
            <w:tcW w:w="2880" w:type="dxa"/>
          </w:tcPr>
          <w:p w:rsidR="00D75BAA" w:rsidRPr="00F17515" w:rsidRDefault="00D75BAA" w:rsidP="00D75BAA">
            <w:pPr>
              <w:widowControl/>
              <w:snapToGrid w:val="0"/>
              <w:spacing w:line="360" w:lineRule="auto"/>
              <w:jc w:val="center"/>
              <w:rPr>
                <w:rFonts w:asciiTheme="minorEastAsia" w:eastAsiaTheme="minorEastAsia" w:hAnsiTheme="minorEastAsia"/>
                <w:kern w:val="0"/>
                <w:szCs w:val="21"/>
              </w:rPr>
            </w:pPr>
            <w:r w:rsidRPr="00F17515">
              <w:rPr>
                <w:rFonts w:asciiTheme="minorEastAsia" w:eastAsiaTheme="minorEastAsia" w:hAnsiTheme="minorEastAsia"/>
                <w:kern w:val="0"/>
                <w:szCs w:val="21"/>
              </w:rPr>
              <w:t>0%</w:t>
            </w:r>
          </w:p>
        </w:tc>
      </w:tr>
    </w:tbl>
    <w:p w:rsidR="007228CC" w:rsidRPr="00F17515" w:rsidRDefault="00C609DD" w:rsidP="0071223F">
      <w:pPr>
        <w:snapToGrid w:val="0"/>
        <w:spacing w:line="360" w:lineRule="auto"/>
        <w:ind w:firstLineChars="202" w:firstLine="424"/>
        <w:rPr>
          <w:rFonts w:asciiTheme="minorEastAsia" w:eastAsiaTheme="minorEastAsia" w:hAnsiTheme="minorEastAsia"/>
        </w:rPr>
      </w:pPr>
      <w:r w:rsidRPr="00F17515">
        <w:rPr>
          <w:rFonts w:asciiTheme="minorEastAsia" w:eastAsiaTheme="minorEastAsia" w:hAnsiTheme="minorEastAsia" w:hint="eastAsia"/>
          <w:szCs w:val="21"/>
        </w:rPr>
        <w:t>本基金的赎回费由赎回人承担，在基金份额持有人赎回基金份额时收取，对持有期少于7天（不含）的基金份额持有人所收取赎回费全额计入基金财产，对持有期在7天以上（含）的基金份额持有人所收取赎回费用总额的25%计入基金资产，其余用于支付注册登记费和其他必要的手续费。</w:t>
      </w:r>
    </w:p>
    <w:p w:rsidR="007228CC" w:rsidRPr="00F17515" w:rsidRDefault="007228CC" w:rsidP="0071223F">
      <w:pPr>
        <w:snapToGrid w:val="0"/>
        <w:spacing w:line="360" w:lineRule="auto"/>
        <w:ind w:firstLineChars="202" w:firstLine="424"/>
        <w:rPr>
          <w:rFonts w:asciiTheme="minorEastAsia" w:eastAsiaTheme="minorEastAsia" w:hAnsiTheme="minorEastAsia"/>
        </w:rPr>
      </w:pPr>
      <w:r w:rsidRPr="00F17515">
        <w:rPr>
          <w:rFonts w:asciiTheme="minorEastAsia" w:eastAsiaTheme="minorEastAsia" w:hAnsiTheme="minorEastAsia"/>
        </w:rPr>
        <w:t>基金管理人可以在基金合同规定的范围内调整申购费率和赎回费率。上述费率如发生变更，基金管理人还应最</w:t>
      </w:r>
      <w:r w:rsidRPr="00F17515">
        <w:rPr>
          <w:rFonts w:asciiTheme="minorEastAsia" w:eastAsiaTheme="minorEastAsia" w:hAnsiTheme="minorEastAsia" w:hint="eastAsia"/>
        </w:rPr>
        <w:t>迟</w:t>
      </w:r>
      <w:r w:rsidRPr="00F17515">
        <w:rPr>
          <w:rFonts w:asciiTheme="minorEastAsia" w:eastAsiaTheme="minorEastAsia" w:hAnsiTheme="minorEastAsia"/>
        </w:rPr>
        <w:t>于新的费率实施前2日在至少一家指定</w:t>
      </w:r>
      <w:r w:rsidR="00D53B98" w:rsidRPr="00F17515">
        <w:rPr>
          <w:rFonts w:asciiTheme="minorEastAsia" w:eastAsiaTheme="minorEastAsia" w:hAnsiTheme="minorEastAsia" w:hint="eastAsia"/>
        </w:rPr>
        <w:t>媒介</w:t>
      </w:r>
      <w:r w:rsidRPr="00F17515">
        <w:rPr>
          <w:rFonts w:asciiTheme="minorEastAsia" w:eastAsiaTheme="minorEastAsia" w:hAnsiTheme="minorEastAsia"/>
        </w:rPr>
        <w:t>公告。</w:t>
      </w:r>
    </w:p>
    <w:p w:rsidR="007228CC" w:rsidRPr="00F17515" w:rsidRDefault="009861F0" w:rsidP="0071223F">
      <w:pPr>
        <w:snapToGrid w:val="0"/>
        <w:spacing w:line="360" w:lineRule="auto"/>
        <w:ind w:firstLineChars="202" w:firstLine="424"/>
        <w:rPr>
          <w:rFonts w:asciiTheme="minorEastAsia" w:eastAsiaTheme="minorEastAsia" w:hAnsiTheme="minorEastAsia"/>
          <w:szCs w:val="21"/>
        </w:rPr>
      </w:pPr>
      <w:r w:rsidRPr="00F17515">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r w:rsidR="007228CC" w:rsidRPr="00F17515">
        <w:rPr>
          <w:rFonts w:asciiTheme="minorEastAsia" w:eastAsiaTheme="minorEastAsia" w:hAnsiTheme="minorEastAsia" w:hint="eastAsia"/>
        </w:rPr>
        <w:t>。</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95" w:name="_Toc211920144"/>
      <w:bookmarkStart w:id="96" w:name="_Toc211927675"/>
      <w:bookmarkStart w:id="97" w:name="_Toc41556778"/>
      <w:bookmarkEnd w:id="93"/>
      <w:bookmarkEnd w:id="94"/>
      <w:r w:rsidRPr="00F17515">
        <w:rPr>
          <w:rFonts w:asciiTheme="minorEastAsia" w:eastAsiaTheme="minorEastAsia" w:hAnsiTheme="minorEastAsia" w:hint="eastAsia"/>
        </w:rPr>
        <w:t>（八）申购份额与赎回金额的计算方式</w:t>
      </w:r>
      <w:bookmarkEnd w:id="95"/>
      <w:bookmarkEnd w:id="96"/>
      <w:bookmarkEnd w:id="97"/>
    </w:p>
    <w:p w:rsidR="007228CC" w:rsidRPr="00F17515" w:rsidRDefault="002A7F91" w:rsidP="0071223F">
      <w:pPr>
        <w:snapToGrid w:val="0"/>
        <w:spacing w:line="360" w:lineRule="auto"/>
        <w:ind w:firstLineChars="202" w:firstLine="424"/>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申购份额的计算</w:t>
      </w:r>
    </w:p>
    <w:p w:rsidR="007228CC" w:rsidRPr="00F17515" w:rsidRDefault="007228CC" w:rsidP="00A138B5">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(1)A类基金份额申购份额的计算</w:t>
      </w:r>
    </w:p>
    <w:p w:rsidR="007228CC" w:rsidRPr="00F17515" w:rsidRDefault="007228CC" w:rsidP="0071223F">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购费用=</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购金额/（1＋</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购费率）×</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购费率，对于1000万元（含）以上的</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购适用绝对数额的</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购费金额</w:t>
      </w:r>
    </w:p>
    <w:p w:rsidR="007228CC" w:rsidRPr="00F17515" w:rsidRDefault="007228CC" w:rsidP="0071223F">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kern w:val="0"/>
          <w:szCs w:val="21"/>
        </w:rPr>
        <w:t>净</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购金额=</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购金额-</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购费用</w:t>
      </w:r>
    </w:p>
    <w:p w:rsidR="007228CC" w:rsidRPr="00F17515" w:rsidRDefault="007228CC" w:rsidP="0071223F">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申购份额=净申购金额/T日基金份额净值</w:t>
      </w:r>
    </w:p>
    <w:p w:rsidR="007228CC" w:rsidRPr="00F17515" w:rsidRDefault="007228CC" w:rsidP="0071223F">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例一：假定投资者</w:t>
      </w:r>
      <w:r w:rsidR="00E035E7" w:rsidRPr="00F17515">
        <w:rPr>
          <w:rFonts w:asciiTheme="minorEastAsia" w:eastAsiaTheme="minorEastAsia" w:hAnsiTheme="minorEastAsia" w:cs="宋体" w:hint="eastAsia"/>
          <w:kern w:val="0"/>
          <w:szCs w:val="21"/>
        </w:rPr>
        <w:t>（非特定投资群体）</w:t>
      </w:r>
      <w:r w:rsidRPr="00F17515">
        <w:rPr>
          <w:rFonts w:asciiTheme="minorEastAsia" w:eastAsiaTheme="minorEastAsia" w:hAnsiTheme="minorEastAsia" w:cs="宋体" w:hint="eastAsia"/>
          <w:kern w:val="0"/>
          <w:szCs w:val="21"/>
        </w:rPr>
        <w:t>在T日申购10，000元A类基金份额，T日A类基金份额净值为2.000元，则其可得到的申购份额计算方法为：</w:t>
      </w:r>
    </w:p>
    <w:p w:rsidR="007228CC" w:rsidRPr="00F17515" w:rsidRDefault="007228CC" w:rsidP="0071223F">
      <w:pPr>
        <w:widowControl/>
        <w:adjustRightInd w:val="0"/>
        <w:snapToGrid w:val="0"/>
        <w:spacing w:line="360" w:lineRule="auto"/>
        <w:ind w:firstLine="420"/>
        <w:jc w:val="left"/>
        <w:rPr>
          <w:rFonts w:asciiTheme="minorEastAsia" w:eastAsiaTheme="minorEastAsia" w:hAnsiTheme="minorEastAsia"/>
          <w:szCs w:val="21"/>
        </w:rPr>
      </w:pP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购费用</w:t>
      </w:r>
      <w:r w:rsidRPr="00F17515">
        <w:rPr>
          <w:rFonts w:asciiTheme="minorEastAsia" w:eastAsiaTheme="minorEastAsia" w:hAnsiTheme="minorEastAsia" w:cs="宋体" w:hint="eastAsia"/>
          <w:kern w:val="0"/>
          <w:szCs w:val="21"/>
        </w:rPr>
        <w:t>=</w:t>
      </w:r>
      <w:r w:rsidR="00065CF9" w:rsidRPr="00F17515">
        <w:rPr>
          <w:rFonts w:asciiTheme="minorEastAsia" w:eastAsiaTheme="minorEastAsia" w:hAnsiTheme="minorEastAsia" w:hint="eastAsia"/>
          <w:szCs w:val="21"/>
        </w:rPr>
        <w:t>10,000</w:t>
      </w:r>
      <w:r w:rsidRPr="00F17515">
        <w:rPr>
          <w:rFonts w:asciiTheme="minorEastAsia" w:eastAsiaTheme="minorEastAsia" w:hAnsiTheme="minorEastAsia" w:cs="宋体" w:hint="eastAsia"/>
          <w:kern w:val="0"/>
          <w:szCs w:val="21"/>
        </w:rPr>
        <w:t>/(1+</w:t>
      </w:r>
      <w:r w:rsidRPr="00F17515">
        <w:rPr>
          <w:rFonts w:asciiTheme="minorEastAsia" w:eastAsiaTheme="minorEastAsia" w:hAnsiTheme="minorEastAsia" w:hint="eastAsia"/>
          <w:szCs w:val="21"/>
        </w:rPr>
        <w:t>0.8%)</w:t>
      </w:r>
      <w:r w:rsidRPr="00F17515">
        <w:rPr>
          <w:rFonts w:asciiTheme="minorEastAsia" w:eastAsiaTheme="minorEastAsia" w:hAnsiTheme="minorEastAsia" w:cs="宋体"/>
          <w:kern w:val="0"/>
          <w:szCs w:val="21"/>
        </w:rPr>
        <w:t>×</w:t>
      </w:r>
      <w:r w:rsidRPr="00F17515">
        <w:rPr>
          <w:rFonts w:asciiTheme="minorEastAsia" w:eastAsiaTheme="minorEastAsia" w:hAnsiTheme="minorEastAsia" w:hint="eastAsia"/>
          <w:szCs w:val="21"/>
        </w:rPr>
        <w:t>0.8%=79.37元</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kern w:val="0"/>
          <w:szCs w:val="21"/>
        </w:rPr>
        <w:t>净</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购金额</w:t>
      </w:r>
      <w:r w:rsidRPr="00F17515">
        <w:rPr>
          <w:rFonts w:asciiTheme="minorEastAsia" w:eastAsiaTheme="minorEastAsia" w:hAnsiTheme="minorEastAsia" w:cs="宋体" w:hint="eastAsia"/>
          <w:kern w:val="0"/>
          <w:szCs w:val="21"/>
        </w:rPr>
        <w:t>=</w:t>
      </w:r>
      <w:r w:rsidRPr="00F17515">
        <w:rPr>
          <w:rFonts w:asciiTheme="minorEastAsia" w:eastAsiaTheme="minorEastAsia" w:hAnsiTheme="minorEastAsia" w:hint="eastAsia"/>
          <w:szCs w:val="21"/>
        </w:rPr>
        <w:t>10,000-79.37=9,920.63元</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申购份额=9,920.63/2.000=4,960.32份</w:t>
      </w:r>
    </w:p>
    <w:p w:rsidR="00E035E7" w:rsidRPr="00F17515" w:rsidRDefault="00E035E7" w:rsidP="0071223F">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例二：假定投资者（特定投资群体）通过本管理人的直销中心在T日申购100，000元A类基金份额，T日A类基金份额净值为2.000元，则其可得到的申购份额计算方法为：</w:t>
      </w:r>
    </w:p>
    <w:p w:rsidR="00E035E7" w:rsidRPr="00F17515" w:rsidRDefault="00E035E7" w:rsidP="0071223F">
      <w:pPr>
        <w:widowControl/>
        <w:adjustRightInd w:val="0"/>
        <w:snapToGrid w:val="0"/>
        <w:spacing w:line="360" w:lineRule="auto"/>
        <w:ind w:firstLine="420"/>
        <w:jc w:val="left"/>
        <w:rPr>
          <w:rFonts w:asciiTheme="minorEastAsia" w:eastAsiaTheme="minorEastAsia" w:hAnsiTheme="minorEastAsia"/>
          <w:szCs w:val="21"/>
        </w:rPr>
      </w:pP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购费用</w:t>
      </w:r>
      <w:r w:rsidRPr="00F17515">
        <w:rPr>
          <w:rFonts w:asciiTheme="minorEastAsia" w:eastAsiaTheme="minorEastAsia" w:hAnsiTheme="minorEastAsia" w:cs="宋体" w:hint="eastAsia"/>
          <w:kern w:val="0"/>
          <w:szCs w:val="21"/>
        </w:rPr>
        <w:t>=</w:t>
      </w:r>
      <w:r w:rsidR="00065CF9" w:rsidRPr="00F17515">
        <w:rPr>
          <w:rFonts w:asciiTheme="minorEastAsia" w:eastAsiaTheme="minorEastAsia" w:hAnsiTheme="minorEastAsia" w:hint="eastAsia"/>
          <w:szCs w:val="21"/>
        </w:rPr>
        <w:t>100,000</w:t>
      </w:r>
      <w:r w:rsidRPr="00F17515">
        <w:rPr>
          <w:rFonts w:asciiTheme="minorEastAsia" w:eastAsiaTheme="minorEastAsia" w:hAnsiTheme="minorEastAsia" w:cs="宋体" w:hint="eastAsia"/>
          <w:kern w:val="0"/>
          <w:szCs w:val="21"/>
        </w:rPr>
        <w:t>/(1+</w:t>
      </w:r>
      <w:r w:rsidRPr="00F17515">
        <w:rPr>
          <w:rFonts w:asciiTheme="minorEastAsia" w:eastAsiaTheme="minorEastAsia" w:hAnsiTheme="minorEastAsia" w:hint="eastAsia"/>
          <w:szCs w:val="21"/>
        </w:rPr>
        <w:t>0.</w:t>
      </w:r>
      <w:r w:rsidR="00065CF9" w:rsidRPr="00F17515">
        <w:rPr>
          <w:rFonts w:asciiTheme="minorEastAsia" w:eastAsiaTheme="minorEastAsia" w:hAnsiTheme="minorEastAsia" w:hint="eastAsia"/>
          <w:szCs w:val="21"/>
        </w:rPr>
        <w:t>0</w:t>
      </w:r>
      <w:r w:rsidRPr="00F17515">
        <w:rPr>
          <w:rFonts w:asciiTheme="minorEastAsia" w:eastAsiaTheme="minorEastAsia" w:hAnsiTheme="minorEastAsia" w:hint="eastAsia"/>
          <w:szCs w:val="21"/>
        </w:rPr>
        <w:t>8%)</w:t>
      </w:r>
      <w:r w:rsidRPr="00F17515">
        <w:rPr>
          <w:rFonts w:asciiTheme="minorEastAsia" w:eastAsiaTheme="minorEastAsia" w:hAnsiTheme="minorEastAsia" w:cs="宋体"/>
          <w:kern w:val="0"/>
          <w:szCs w:val="21"/>
        </w:rPr>
        <w:t>×</w:t>
      </w:r>
      <w:r w:rsidRPr="00F17515">
        <w:rPr>
          <w:rFonts w:asciiTheme="minorEastAsia" w:eastAsiaTheme="minorEastAsia" w:hAnsiTheme="minorEastAsia" w:hint="eastAsia"/>
          <w:szCs w:val="21"/>
        </w:rPr>
        <w:t>0.</w:t>
      </w:r>
      <w:r w:rsidR="00065CF9" w:rsidRPr="00F17515">
        <w:rPr>
          <w:rFonts w:asciiTheme="minorEastAsia" w:eastAsiaTheme="minorEastAsia" w:hAnsiTheme="minorEastAsia" w:hint="eastAsia"/>
          <w:szCs w:val="21"/>
        </w:rPr>
        <w:t>0</w:t>
      </w:r>
      <w:r w:rsidRPr="00F17515">
        <w:rPr>
          <w:rFonts w:asciiTheme="minorEastAsia" w:eastAsiaTheme="minorEastAsia" w:hAnsiTheme="minorEastAsia" w:hint="eastAsia"/>
          <w:szCs w:val="21"/>
        </w:rPr>
        <w:t>8%=79.</w:t>
      </w:r>
      <w:r w:rsidR="00065CF9" w:rsidRPr="00F17515">
        <w:rPr>
          <w:rFonts w:asciiTheme="minorEastAsia" w:eastAsiaTheme="minorEastAsia" w:hAnsiTheme="minorEastAsia" w:hint="eastAsia"/>
          <w:szCs w:val="21"/>
        </w:rPr>
        <w:t>94</w:t>
      </w:r>
      <w:r w:rsidRPr="00F17515">
        <w:rPr>
          <w:rFonts w:asciiTheme="minorEastAsia" w:eastAsiaTheme="minorEastAsia" w:hAnsiTheme="minorEastAsia" w:hint="eastAsia"/>
          <w:szCs w:val="21"/>
        </w:rPr>
        <w:t>元</w:t>
      </w:r>
    </w:p>
    <w:p w:rsidR="00E035E7" w:rsidRPr="00F17515" w:rsidRDefault="00E035E7" w:rsidP="0071223F">
      <w:pPr>
        <w:autoSpaceDE w:val="0"/>
        <w:autoSpaceDN w:val="0"/>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kern w:val="0"/>
          <w:szCs w:val="21"/>
        </w:rPr>
        <w:t>净</w:t>
      </w:r>
      <w:r w:rsidRPr="00F17515">
        <w:rPr>
          <w:rFonts w:asciiTheme="minorEastAsia" w:eastAsiaTheme="minorEastAsia" w:hAnsiTheme="minorEastAsia" w:cs="宋体" w:hint="eastAsia"/>
          <w:kern w:val="0"/>
          <w:szCs w:val="21"/>
        </w:rPr>
        <w:t>申</w:t>
      </w:r>
      <w:r w:rsidRPr="00F17515">
        <w:rPr>
          <w:rFonts w:asciiTheme="minorEastAsia" w:eastAsiaTheme="minorEastAsia" w:hAnsiTheme="minorEastAsia" w:cs="宋体"/>
          <w:kern w:val="0"/>
          <w:szCs w:val="21"/>
        </w:rPr>
        <w:t>购金额</w:t>
      </w:r>
      <w:r w:rsidRPr="00F17515">
        <w:rPr>
          <w:rFonts w:asciiTheme="minorEastAsia" w:eastAsiaTheme="minorEastAsia" w:hAnsiTheme="minorEastAsia" w:cs="宋体" w:hint="eastAsia"/>
          <w:kern w:val="0"/>
          <w:szCs w:val="21"/>
        </w:rPr>
        <w:t>=</w:t>
      </w:r>
      <w:r w:rsidRPr="00F17515">
        <w:rPr>
          <w:rFonts w:asciiTheme="minorEastAsia" w:eastAsiaTheme="minorEastAsia" w:hAnsiTheme="minorEastAsia" w:hint="eastAsia"/>
          <w:szCs w:val="21"/>
        </w:rPr>
        <w:t>10</w:t>
      </w:r>
      <w:r w:rsidR="00065CF9" w:rsidRPr="00F17515">
        <w:rPr>
          <w:rFonts w:asciiTheme="minorEastAsia" w:eastAsiaTheme="minorEastAsia" w:hAnsiTheme="minorEastAsia" w:hint="eastAsia"/>
          <w:szCs w:val="21"/>
        </w:rPr>
        <w:t>0</w:t>
      </w:r>
      <w:r w:rsidRPr="00F17515">
        <w:rPr>
          <w:rFonts w:asciiTheme="minorEastAsia" w:eastAsiaTheme="minorEastAsia" w:hAnsiTheme="minorEastAsia" w:hint="eastAsia"/>
          <w:szCs w:val="21"/>
        </w:rPr>
        <w:t>,000-79.</w:t>
      </w:r>
      <w:r w:rsidR="00065CF9" w:rsidRPr="00F17515">
        <w:rPr>
          <w:rFonts w:asciiTheme="minorEastAsia" w:eastAsiaTheme="minorEastAsia" w:hAnsiTheme="minorEastAsia" w:hint="eastAsia"/>
          <w:szCs w:val="21"/>
        </w:rPr>
        <w:t>94</w:t>
      </w:r>
      <w:r w:rsidRPr="00F17515">
        <w:rPr>
          <w:rFonts w:asciiTheme="minorEastAsia" w:eastAsiaTheme="minorEastAsia" w:hAnsiTheme="minorEastAsia" w:hint="eastAsia"/>
          <w:szCs w:val="21"/>
        </w:rPr>
        <w:t>=9</w:t>
      </w:r>
      <w:r w:rsidR="00065CF9" w:rsidRPr="00F17515">
        <w:rPr>
          <w:rFonts w:asciiTheme="minorEastAsia" w:eastAsiaTheme="minorEastAsia" w:hAnsiTheme="minorEastAsia" w:hint="eastAsia"/>
          <w:szCs w:val="21"/>
        </w:rPr>
        <w:t>9</w:t>
      </w:r>
      <w:r w:rsidRPr="00F17515">
        <w:rPr>
          <w:rFonts w:asciiTheme="minorEastAsia" w:eastAsiaTheme="minorEastAsia" w:hAnsiTheme="minorEastAsia" w:hint="eastAsia"/>
          <w:szCs w:val="21"/>
        </w:rPr>
        <w:t>,920.</w:t>
      </w:r>
      <w:r w:rsidR="00065CF9" w:rsidRPr="00F17515">
        <w:rPr>
          <w:rFonts w:asciiTheme="minorEastAsia" w:eastAsiaTheme="minorEastAsia" w:hAnsiTheme="minorEastAsia" w:hint="eastAsia"/>
          <w:szCs w:val="21"/>
        </w:rPr>
        <w:t>06</w:t>
      </w:r>
      <w:r w:rsidRPr="00F17515">
        <w:rPr>
          <w:rFonts w:asciiTheme="minorEastAsia" w:eastAsiaTheme="minorEastAsia" w:hAnsiTheme="minorEastAsia" w:hint="eastAsia"/>
          <w:szCs w:val="21"/>
        </w:rPr>
        <w:t>元</w:t>
      </w:r>
    </w:p>
    <w:p w:rsidR="00E035E7" w:rsidRPr="00F17515" w:rsidRDefault="00E035E7"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申购份额=9</w:t>
      </w:r>
      <w:r w:rsidR="00065CF9" w:rsidRPr="00F17515">
        <w:rPr>
          <w:rFonts w:asciiTheme="minorEastAsia" w:eastAsiaTheme="minorEastAsia" w:hAnsiTheme="minorEastAsia" w:hint="eastAsia"/>
        </w:rPr>
        <w:t>9</w:t>
      </w:r>
      <w:r w:rsidRPr="00F17515">
        <w:rPr>
          <w:rFonts w:asciiTheme="minorEastAsia" w:eastAsiaTheme="minorEastAsia" w:hAnsiTheme="minorEastAsia" w:hint="eastAsia"/>
        </w:rPr>
        <w:t>,920.</w:t>
      </w:r>
      <w:r w:rsidR="00065CF9" w:rsidRPr="00F17515">
        <w:rPr>
          <w:rFonts w:asciiTheme="minorEastAsia" w:eastAsiaTheme="minorEastAsia" w:hAnsiTheme="minorEastAsia" w:hint="eastAsia"/>
        </w:rPr>
        <w:t>06</w:t>
      </w:r>
      <w:r w:rsidRPr="00F17515">
        <w:rPr>
          <w:rFonts w:asciiTheme="minorEastAsia" w:eastAsiaTheme="minorEastAsia" w:hAnsiTheme="minorEastAsia" w:hint="eastAsia"/>
        </w:rPr>
        <w:t>/2.000=4</w:t>
      </w:r>
      <w:r w:rsidR="00065CF9" w:rsidRPr="00F17515">
        <w:rPr>
          <w:rFonts w:asciiTheme="minorEastAsia" w:eastAsiaTheme="minorEastAsia" w:hAnsiTheme="minorEastAsia" w:hint="eastAsia"/>
        </w:rPr>
        <w:t>9</w:t>
      </w:r>
      <w:r w:rsidRPr="00F17515">
        <w:rPr>
          <w:rFonts w:asciiTheme="minorEastAsia" w:eastAsiaTheme="minorEastAsia" w:hAnsiTheme="minorEastAsia" w:hint="eastAsia"/>
        </w:rPr>
        <w:t>,960.</w:t>
      </w:r>
      <w:r w:rsidR="00065CF9" w:rsidRPr="00F17515">
        <w:rPr>
          <w:rFonts w:asciiTheme="minorEastAsia" w:eastAsiaTheme="minorEastAsia" w:hAnsiTheme="minorEastAsia" w:hint="eastAsia"/>
        </w:rPr>
        <w:t>03</w:t>
      </w:r>
      <w:r w:rsidRPr="00F17515">
        <w:rPr>
          <w:rFonts w:asciiTheme="minorEastAsia" w:eastAsiaTheme="minorEastAsia" w:hAnsiTheme="minorEastAsia" w:hint="eastAsia"/>
        </w:rPr>
        <w:t>份</w:t>
      </w:r>
    </w:p>
    <w:p w:rsidR="007228CC" w:rsidRPr="00F17515" w:rsidRDefault="007228CC" w:rsidP="00A138B5">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(2)B类基金份额申购份额的计算</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申购份额＝申购金额／T日基金份额净值</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例</w:t>
      </w:r>
      <w:r w:rsidR="00065CF9" w:rsidRPr="00F17515">
        <w:rPr>
          <w:rFonts w:asciiTheme="minorEastAsia" w:eastAsiaTheme="minorEastAsia" w:hAnsiTheme="minorEastAsia" w:hint="eastAsia"/>
        </w:rPr>
        <w:t>三</w:t>
      </w:r>
      <w:r w:rsidRPr="00F17515">
        <w:rPr>
          <w:rFonts w:asciiTheme="minorEastAsia" w:eastAsiaTheme="minorEastAsia" w:hAnsiTheme="minorEastAsia" w:hint="eastAsia"/>
        </w:rPr>
        <w:t>：假定投资者在T日申购10,000元B类基金份额,T日B类基金份额净值为2.000元，则其可得到的申购份额计算方法为：</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申购份额=10,000/2.000=5,000份</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szCs w:val="21"/>
        </w:rPr>
      </w:pPr>
      <w:r w:rsidRPr="00F17515">
        <w:rPr>
          <w:rFonts w:asciiTheme="minorEastAsia" w:eastAsiaTheme="minorEastAsia" w:hAnsiTheme="minorEastAsia" w:hint="eastAsia"/>
        </w:rPr>
        <w:t>以上计算结果按</w:t>
      </w:r>
      <w:r w:rsidRPr="00F17515">
        <w:rPr>
          <w:rFonts w:asciiTheme="minorEastAsia" w:eastAsiaTheme="minorEastAsia" w:hAnsiTheme="minorEastAsia" w:hint="eastAsia"/>
          <w:szCs w:val="21"/>
        </w:rPr>
        <w:t>四舍五入方法，保留到小数点后两位，</w:t>
      </w:r>
      <w:r w:rsidRPr="00F17515">
        <w:rPr>
          <w:rFonts w:asciiTheme="minorEastAsia" w:eastAsiaTheme="minorEastAsia" w:hAnsiTheme="minorEastAsia"/>
          <w:szCs w:val="21"/>
        </w:rPr>
        <w:t>由此产生的</w:t>
      </w:r>
      <w:r w:rsidRPr="00F17515">
        <w:rPr>
          <w:rFonts w:asciiTheme="minorEastAsia" w:eastAsiaTheme="minorEastAsia" w:hAnsiTheme="minorEastAsia" w:hint="eastAsia"/>
          <w:szCs w:val="21"/>
        </w:rPr>
        <w:t>收益或</w:t>
      </w:r>
      <w:r w:rsidRPr="00F17515">
        <w:rPr>
          <w:rFonts w:asciiTheme="minorEastAsia" w:eastAsiaTheme="minorEastAsia" w:hAnsiTheme="minorEastAsia"/>
          <w:szCs w:val="21"/>
        </w:rPr>
        <w:t>损失由基金财产承担。</w:t>
      </w:r>
    </w:p>
    <w:p w:rsidR="007228CC" w:rsidRPr="00F17515" w:rsidRDefault="002A7F91"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基金赎回金额的计算</w:t>
      </w:r>
    </w:p>
    <w:p w:rsidR="007228CC" w:rsidRPr="00F17515" w:rsidRDefault="007228CC" w:rsidP="0071223F">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（1）A类基金份额赎回金额的计算</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本基金的赎回金额为赎回总额扣减赎回费用，其中：</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赎回总额=赎回数量</w:t>
      </w:r>
      <w:r w:rsidRPr="00F17515">
        <w:rPr>
          <w:rFonts w:asciiTheme="minorEastAsia" w:eastAsiaTheme="minorEastAsia" w:hAnsiTheme="minorEastAsia" w:hint="eastAsia"/>
        </w:rPr>
        <w:sym w:font="Symbol" w:char="F0B4"/>
      </w:r>
      <w:r w:rsidRPr="00F17515">
        <w:rPr>
          <w:rFonts w:asciiTheme="minorEastAsia" w:eastAsiaTheme="minorEastAsia" w:hAnsiTheme="minorEastAsia" w:hint="eastAsia"/>
        </w:rPr>
        <w:t>T日基金份额净值</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赎回费用=赎回总额</w:t>
      </w:r>
      <w:r w:rsidRPr="00F17515">
        <w:rPr>
          <w:rFonts w:asciiTheme="minorEastAsia" w:eastAsiaTheme="minorEastAsia" w:hAnsiTheme="minorEastAsia" w:hint="eastAsia"/>
        </w:rPr>
        <w:sym w:font="Symbol" w:char="F0B4"/>
      </w:r>
      <w:r w:rsidRPr="00F17515">
        <w:rPr>
          <w:rFonts w:asciiTheme="minorEastAsia" w:eastAsiaTheme="minorEastAsia" w:hAnsiTheme="minorEastAsia" w:hint="eastAsia"/>
        </w:rPr>
        <w:t>赎回费率</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赎回金额=赎回总额</w:t>
      </w:r>
      <w:r w:rsidRPr="00F17515">
        <w:rPr>
          <w:rFonts w:asciiTheme="minorEastAsia" w:eastAsiaTheme="minorEastAsia" w:hAnsiTheme="minorEastAsia" w:hint="eastAsia"/>
        </w:rPr>
        <w:sym w:font="Symbol" w:char="F02D"/>
      </w:r>
      <w:r w:rsidRPr="00F17515">
        <w:rPr>
          <w:rFonts w:asciiTheme="minorEastAsia" w:eastAsiaTheme="minorEastAsia" w:hAnsiTheme="minorEastAsia" w:hint="eastAsia"/>
        </w:rPr>
        <w:t>赎回费用</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例</w:t>
      </w:r>
      <w:r w:rsidR="00065CF9" w:rsidRPr="00F17515">
        <w:rPr>
          <w:rFonts w:asciiTheme="minorEastAsia" w:eastAsiaTheme="minorEastAsia" w:hAnsiTheme="minorEastAsia" w:hint="eastAsia"/>
        </w:rPr>
        <w:t>四</w:t>
      </w:r>
      <w:r w:rsidRPr="00F17515">
        <w:rPr>
          <w:rFonts w:asciiTheme="minorEastAsia" w:eastAsiaTheme="minorEastAsia" w:hAnsiTheme="minorEastAsia" w:hint="eastAsia"/>
        </w:rPr>
        <w:t>：假定某投资者在T日赎回10</w:t>
      </w:r>
      <w:r w:rsidRPr="00F17515">
        <w:rPr>
          <w:rFonts w:asciiTheme="minorEastAsia" w:eastAsiaTheme="minorEastAsia" w:hAnsiTheme="minorEastAsia"/>
        </w:rPr>
        <w:t>,000</w:t>
      </w:r>
      <w:r w:rsidRPr="00F17515">
        <w:rPr>
          <w:rFonts w:asciiTheme="minorEastAsia" w:eastAsiaTheme="minorEastAsia" w:hAnsiTheme="minorEastAsia" w:hint="eastAsia"/>
        </w:rPr>
        <w:t>份A类基金份额，持有时间为100天，T日A类基金份额净值为2.000元,则其获得的赎回金额计算如下:</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赎回总额=10,000</w:t>
      </w:r>
      <w:r w:rsidRPr="00F17515">
        <w:rPr>
          <w:rFonts w:asciiTheme="minorEastAsia" w:eastAsiaTheme="minorEastAsia" w:hAnsiTheme="minorEastAsia" w:hint="eastAsia"/>
        </w:rPr>
        <w:sym w:font="Symbol" w:char="F0B4"/>
      </w:r>
      <w:r w:rsidRPr="00F17515">
        <w:rPr>
          <w:rFonts w:asciiTheme="minorEastAsia" w:eastAsiaTheme="minorEastAsia" w:hAnsiTheme="minorEastAsia" w:hint="eastAsia"/>
        </w:rPr>
        <w:t>2.000=20,000.00元</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赎回费用=20,000.00</w:t>
      </w:r>
      <w:r w:rsidRPr="00F17515">
        <w:rPr>
          <w:rFonts w:asciiTheme="minorEastAsia" w:eastAsiaTheme="minorEastAsia" w:hAnsiTheme="minorEastAsia" w:hint="eastAsia"/>
        </w:rPr>
        <w:sym w:font="Symbol" w:char="F0B4"/>
      </w:r>
      <w:r w:rsidRPr="00F17515">
        <w:rPr>
          <w:rFonts w:asciiTheme="minorEastAsia" w:eastAsiaTheme="minorEastAsia" w:hAnsiTheme="minorEastAsia" w:hint="eastAsia"/>
        </w:rPr>
        <w:t>0.1%=20.00元</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赎回金额=20,000.00</w:t>
      </w:r>
      <w:r w:rsidRPr="00F17515">
        <w:rPr>
          <w:rFonts w:asciiTheme="minorEastAsia" w:eastAsiaTheme="minorEastAsia" w:hAnsiTheme="minorEastAsia" w:hint="eastAsia"/>
        </w:rPr>
        <w:sym w:font="Symbol" w:char="F02D"/>
      </w:r>
      <w:r w:rsidRPr="00F17515">
        <w:rPr>
          <w:rFonts w:asciiTheme="minorEastAsia" w:eastAsiaTheme="minorEastAsia" w:hAnsiTheme="minorEastAsia" w:hint="eastAsia"/>
        </w:rPr>
        <w:t>20.00=19,980.00元</w:t>
      </w:r>
    </w:p>
    <w:p w:rsidR="00154B54" w:rsidRPr="00F17515" w:rsidRDefault="00154B54" w:rsidP="00154B54">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例五</w:t>
      </w:r>
      <w:r w:rsidRPr="00F17515">
        <w:rPr>
          <w:rFonts w:asciiTheme="minorEastAsia" w:eastAsiaTheme="minorEastAsia" w:hAnsiTheme="minorEastAsia"/>
        </w:rPr>
        <w:t>：</w:t>
      </w:r>
      <w:r w:rsidRPr="00F17515">
        <w:rPr>
          <w:rFonts w:asciiTheme="minorEastAsia" w:eastAsiaTheme="minorEastAsia" w:hAnsiTheme="minorEastAsia" w:hint="eastAsia"/>
        </w:rPr>
        <w:t>假定某投资者在T日赎回10</w:t>
      </w:r>
      <w:r w:rsidRPr="00F17515">
        <w:rPr>
          <w:rFonts w:asciiTheme="minorEastAsia" w:eastAsiaTheme="minorEastAsia" w:hAnsiTheme="minorEastAsia"/>
        </w:rPr>
        <w:t>,000</w:t>
      </w:r>
      <w:r w:rsidRPr="00F17515">
        <w:rPr>
          <w:rFonts w:asciiTheme="minorEastAsia" w:eastAsiaTheme="minorEastAsia" w:hAnsiTheme="minorEastAsia" w:hint="eastAsia"/>
        </w:rPr>
        <w:t>份A类基金份额，持有时间为</w:t>
      </w:r>
      <w:r w:rsidRPr="00F17515">
        <w:rPr>
          <w:rFonts w:asciiTheme="minorEastAsia" w:eastAsiaTheme="minorEastAsia" w:hAnsiTheme="minorEastAsia"/>
        </w:rPr>
        <w:t>6</w:t>
      </w:r>
      <w:r w:rsidRPr="00F17515">
        <w:rPr>
          <w:rFonts w:asciiTheme="minorEastAsia" w:eastAsiaTheme="minorEastAsia" w:hAnsiTheme="minorEastAsia" w:hint="eastAsia"/>
        </w:rPr>
        <w:t>天，T日A类基金份额净值为2.000元,则其获得的赎回金额计算如下:</w:t>
      </w:r>
    </w:p>
    <w:p w:rsidR="00154B54" w:rsidRPr="00F17515" w:rsidRDefault="00154B54" w:rsidP="00154B54">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赎回总额=10,000</w:t>
      </w:r>
      <w:r w:rsidRPr="00F17515">
        <w:rPr>
          <w:rFonts w:asciiTheme="minorEastAsia" w:eastAsiaTheme="minorEastAsia" w:hAnsiTheme="minorEastAsia" w:hint="eastAsia"/>
        </w:rPr>
        <w:sym w:font="Symbol" w:char="F0B4"/>
      </w:r>
      <w:r w:rsidRPr="00F17515">
        <w:rPr>
          <w:rFonts w:asciiTheme="minorEastAsia" w:eastAsiaTheme="minorEastAsia" w:hAnsiTheme="minorEastAsia" w:hint="eastAsia"/>
        </w:rPr>
        <w:t>2.000=20,000.00元</w:t>
      </w:r>
    </w:p>
    <w:p w:rsidR="00154B54" w:rsidRPr="00F17515" w:rsidRDefault="00154B54" w:rsidP="00154B54">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赎回费用=20,000.00</w:t>
      </w:r>
      <w:r w:rsidRPr="00F17515">
        <w:rPr>
          <w:rFonts w:asciiTheme="minorEastAsia" w:eastAsiaTheme="minorEastAsia" w:hAnsiTheme="minorEastAsia" w:hint="eastAsia"/>
        </w:rPr>
        <w:sym w:font="Symbol" w:char="F0B4"/>
      </w:r>
      <w:r w:rsidRPr="00F17515">
        <w:rPr>
          <w:rFonts w:asciiTheme="minorEastAsia" w:eastAsiaTheme="minorEastAsia" w:hAnsiTheme="minorEastAsia"/>
        </w:rPr>
        <w:t>1.5</w:t>
      </w:r>
      <w:r w:rsidRPr="00F17515">
        <w:rPr>
          <w:rFonts w:asciiTheme="minorEastAsia" w:eastAsiaTheme="minorEastAsia" w:hAnsiTheme="minorEastAsia" w:hint="eastAsia"/>
        </w:rPr>
        <w:t>%=</w:t>
      </w:r>
      <w:r w:rsidRPr="00F17515">
        <w:rPr>
          <w:rFonts w:asciiTheme="minorEastAsia" w:eastAsiaTheme="minorEastAsia" w:hAnsiTheme="minorEastAsia"/>
        </w:rPr>
        <w:t>300</w:t>
      </w:r>
      <w:r w:rsidRPr="00F17515">
        <w:rPr>
          <w:rFonts w:asciiTheme="minorEastAsia" w:eastAsiaTheme="minorEastAsia" w:hAnsiTheme="minorEastAsia" w:hint="eastAsia"/>
        </w:rPr>
        <w:t>.00元</w:t>
      </w:r>
    </w:p>
    <w:p w:rsidR="00154B54" w:rsidRPr="00F17515" w:rsidRDefault="00154B54" w:rsidP="00154B54">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赎回金额=20,000.00</w:t>
      </w:r>
      <w:r w:rsidRPr="00F17515">
        <w:rPr>
          <w:rFonts w:asciiTheme="minorEastAsia" w:eastAsiaTheme="minorEastAsia" w:hAnsiTheme="minorEastAsia" w:hint="eastAsia"/>
        </w:rPr>
        <w:sym w:font="Symbol" w:char="F02D"/>
      </w:r>
      <w:r w:rsidRPr="00F17515">
        <w:rPr>
          <w:rFonts w:asciiTheme="minorEastAsia" w:eastAsiaTheme="minorEastAsia" w:hAnsiTheme="minorEastAsia"/>
        </w:rPr>
        <w:t>300</w:t>
      </w:r>
      <w:r w:rsidRPr="00F17515">
        <w:rPr>
          <w:rFonts w:asciiTheme="minorEastAsia" w:eastAsiaTheme="minorEastAsia" w:hAnsiTheme="minorEastAsia" w:hint="eastAsia"/>
        </w:rPr>
        <w:t>.00=19,</w:t>
      </w:r>
      <w:r w:rsidRPr="00F17515">
        <w:rPr>
          <w:rFonts w:asciiTheme="minorEastAsia" w:eastAsiaTheme="minorEastAsia" w:hAnsiTheme="minorEastAsia"/>
        </w:rPr>
        <w:t>70</w:t>
      </w:r>
      <w:r w:rsidRPr="00F17515">
        <w:rPr>
          <w:rFonts w:asciiTheme="minorEastAsia" w:eastAsiaTheme="minorEastAsia" w:hAnsiTheme="minorEastAsia" w:hint="eastAsia"/>
        </w:rPr>
        <w:t>0.00元</w:t>
      </w:r>
    </w:p>
    <w:p w:rsidR="007228CC" w:rsidRPr="00F17515" w:rsidRDefault="007228CC" w:rsidP="0071223F">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（2）B类基金份额赎回金额的计算</w:t>
      </w:r>
    </w:p>
    <w:p w:rsidR="007228CC" w:rsidRPr="00F17515" w:rsidRDefault="007228C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赎回金额=赎回份额×T日基金份额净值</w:t>
      </w:r>
    </w:p>
    <w:p w:rsidR="007228CC" w:rsidRPr="00F17515" w:rsidRDefault="00154B54"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例六</w:t>
      </w:r>
      <w:r w:rsidR="007228CC" w:rsidRPr="00F17515">
        <w:rPr>
          <w:rFonts w:asciiTheme="minorEastAsia" w:eastAsiaTheme="minorEastAsia" w:hAnsiTheme="minorEastAsia" w:hint="eastAsia"/>
        </w:rPr>
        <w:t>：假定某投资者在T日赎回10</w:t>
      </w:r>
      <w:r w:rsidR="007228CC" w:rsidRPr="00F17515">
        <w:rPr>
          <w:rFonts w:asciiTheme="minorEastAsia" w:eastAsiaTheme="minorEastAsia" w:hAnsiTheme="minorEastAsia"/>
        </w:rPr>
        <w:t>,000</w:t>
      </w:r>
      <w:r w:rsidR="007228CC" w:rsidRPr="00F17515">
        <w:rPr>
          <w:rFonts w:asciiTheme="minorEastAsia" w:eastAsiaTheme="minorEastAsia" w:hAnsiTheme="minorEastAsia" w:hint="eastAsia"/>
        </w:rPr>
        <w:t>份B类基金份额，</w:t>
      </w:r>
      <w:r w:rsidRPr="00F17515">
        <w:rPr>
          <w:rFonts w:asciiTheme="minorEastAsia" w:eastAsiaTheme="minorEastAsia" w:hAnsiTheme="minorEastAsia" w:hint="eastAsia"/>
        </w:rPr>
        <w:t>持有时间为100天，</w:t>
      </w:r>
      <w:r w:rsidR="007228CC" w:rsidRPr="00F17515">
        <w:rPr>
          <w:rFonts w:asciiTheme="minorEastAsia" w:eastAsiaTheme="minorEastAsia" w:hAnsiTheme="minorEastAsia" w:hint="eastAsia"/>
        </w:rPr>
        <w:t>T日B类基金份额净值为2.000元，则其获得的赎回金额计算如下：</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赎回金额=</w:t>
      </w:r>
      <w:r w:rsidRPr="00F17515">
        <w:rPr>
          <w:rFonts w:asciiTheme="minorEastAsia" w:eastAsiaTheme="minorEastAsia" w:hAnsiTheme="minorEastAsia"/>
        </w:rPr>
        <w:t>10</w:t>
      </w:r>
      <w:r w:rsidRPr="00F17515">
        <w:rPr>
          <w:rFonts w:asciiTheme="minorEastAsia" w:eastAsiaTheme="minorEastAsia" w:hAnsiTheme="minorEastAsia" w:hint="eastAsia"/>
        </w:rPr>
        <w:t>,</w:t>
      </w:r>
      <w:r w:rsidRPr="00F17515">
        <w:rPr>
          <w:rFonts w:asciiTheme="minorEastAsia" w:eastAsiaTheme="minorEastAsia" w:hAnsiTheme="minorEastAsia"/>
        </w:rPr>
        <w:t>000</w:t>
      </w:r>
      <w:r w:rsidRPr="00F17515">
        <w:rPr>
          <w:rFonts w:asciiTheme="minorEastAsia" w:eastAsiaTheme="minorEastAsia" w:hAnsiTheme="minorEastAsia" w:hint="eastAsia"/>
        </w:rPr>
        <w:t>×2.000=20,000.00元</w:t>
      </w:r>
    </w:p>
    <w:p w:rsidR="00154B54" w:rsidRPr="00F17515" w:rsidRDefault="00154B54"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例七</w:t>
      </w:r>
      <w:r w:rsidRPr="00F17515">
        <w:rPr>
          <w:rFonts w:asciiTheme="minorEastAsia" w:eastAsiaTheme="minorEastAsia" w:hAnsiTheme="minorEastAsia"/>
        </w:rPr>
        <w:t>：</w:t>
      </w:r>
      <w:r w:rsidRPr="00F17515">
        <w:rPr>
          <w:rFonts w:asciiTheme="minorEastAsia" w:eastAsiaTheme="minorEastAsia" w:hAnsiTheme="minorEastAsia" w:hint="eastAsia"/>
        </w:rPr>
        <w:t>假定某投资者在T日赎回10</w:t>
      </w:r>
      <w:r w:rsidRPr="00F17515">
        <w:rPr>
          <w:rFonts w:asciiTheme="minorEastAsia" w:eastAsiaTheme="minorEastAsia" w:hAnsiTheme="minorEastAsia"/>
        </w:rPr>
        <w:t>,000</w:t>
      </w:r>
      <w:r w:rsidRPr="00F17515">
        <w:rPr>
          <w:rFonts w:asciiTheme="minorEastAsia" w:eastAsiaTheme="minorEastAsia" w:hAnsiTheme="minorEastAsia" w:hint="eastAsia"/>
        </w:rPr>
        <w:t>份B类基金份额，持有时间为</w:t>
      </w:r>
      <w:r w:rsidRPr="00F17515">
        <w:rPr>
          <w:rFonts w:asciiTheme="minorEastAsia" w:eastAsiaTheme="minorEastAsia" w:hAnsiTheme="minorEastAsia"/>
        </w:rPr>
        <w:t>6</w:t>
      </w:r>
      <w:r w:rsidRPr="00F17515">
        <w:rPr>
          <w:rFonts w:asciiTheme="minorEastAsia" w:eastAsiaTheme="minorEastAsia" w:hAnsiTheme="minorEastAsia" w:hint="eastAsia"/>
        </w:rPr>
        <w:t>天，T日B类基金份</w:t>
      </w:r>
      <w:r w:rsidRPr="00F17515">
        <w:rPr>
          <w:rFonts w:asciiTheme="minorEastAsia" w:eastAsiaTheme="minorEastAsia" w:hAnsiTheme="minorEastAsia" w:hint="eastAsia"/>
        </w:rPr>
        <w:lastRenderedPageBreak/>
        <w:t>额净值为2.000元，则其获得的赎回金额计算如下：</w:t>
      </w:r>
    </w:p>
    <w:p w:rsidR="00154B54" w:rsidRPr="00F17515" w:rsidRDefault="00154B54" w:rsidP="00154B54">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赎回总额=10,000</w:t>
      </w:r>
      <w:r w:rsidRPr="00F17515">
        <w:rPr>
          <w:rFonts w:asciiTheme="minorEastAsia" w:eastAsiaTheme="minorEastAsia" w:hAnsiTheme="minorEastAsia" w:hint="eastAsia"/>
        </w:rPr>
        <w:sym w:font="Symbol" w:char="F0B4"/>
      </w:r>
      <w:r w:rsidRPr="00F17515">
        <w:rPr>
          <w:rFonts w:asciiTheme="minorEastAsia" w:eastAsiaTheme="minorEastAsia" w:hAnsiTheme="minorEastAsia" w:hint="eastAsia"/>
        </w:rPr>
        <w:t>2.000=20,000.00元</w:t>
      </w:r>
    </w:p>
    <w:p w:rsidR="00154B54" w:rsidRPr="00F17515" w:rsidRDefault="00154B54" w:rsidP="00154B54">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赎回费用=20,000.00</w:t>
      </w:r>
      <w:r w:rsidRPr="00F17515">
        <w:rPr>
          <w:rFonts w:asciiTheme="minorEastAsia" w:eastAsiaTheme="minorEastAsia" w:hAnsiTheme="minorEastAsia" w:hint="eastAsia"/>
        </w:rPr>
        <w:sym w:font="Symbol" w:char="F0B4"/>
      </w:r>
      <w:r w:rsidRPr="00F17515">
        <w:rPr>
          <w:rFonts w:asciiTheme="minorEastAsia" w:eastAsiaTheme="minorEastAsia" w:hAnsiTheme="minorEastAsia"/>
        </w:rPr>
        <w:t>1.5</w:t>
      </w:r>
      <w:r w:rsidRPr="00F17515">
        <w:rPr>
          <w:rFonts w:asciiTheme="minorEastAsia" w:eastAsiaTheme="minorEastAsia" w:hAnsiTheme="minorEastAsia" w:hint="eastAsia"/>
        </w:rPr>
        <w:t>%=</w:t>
      </w:r>
      <w:r w:rsidRPr="00F17515">
        <w:rPr>
          <w:rFonts w:asciiTheme="minorEastAsia" w:eastAsiaTheme="minorEastAsia" w:hAnsiTheme="minorEastAsia"/>
        </w:rPr>
        <w:t>300</w:t>
      </w:r>
      <w:r w:rsidRPr="00F17515">
        <w:rPr>
          <w:rFonts w:asciiTheme="minorEastAsia" w:eastAsiaTheme="minorEastAsia" w:hAnsiTheme="minorEastAsia" w:hint="eastAsia"/>
        </w:rPr>
        <w:t>.00元</w:t>
      </w:r>
    </w:p>
    <w:p w:rsidR="00154B54" w:rsidRPr="00F17515" w:rsidRDefault="00154B54" w:rsidP="00154B54">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赎回金额=20,000.00</w:t>
      </w:r>
      <w:r w:rsidRPr="00F17515">
        <w:rPr>
          <w:rFonts w:asciiTheme="minorEastAsia" w:eastAsiaTheme="minorEastAsia" w:hAnsiTheme="minorEastAsia" w:hint="eastAsia"/>
        </w:rPr>
        <w:sym w:font="Symbol" w:char="F02D"/>
      </w:r>
      <w:r w:rsidRPr="00F17515">
        <w:rPr>
          <w:rFonts w:asciiTheme="minorEastAsia" w:eastAsiaTheme="minorEastAsia" w:hAnsiTheme="minorEastAsia"/>
        </w:rPr>
        <w:t>300</w:t>
      </w:r>
      <w:r w:rsidRPr="00F17515">
        <w:rPr>
          <w:rFonts w:asciiTheme="minorEastAsia" w:eastAsiaTheme="minorEastAsia" w:hAnsiTheme="minorEastAsia" w:hint="eastAsia"/>
        </w:rPr>
        <w:t>.00=19,</w:t>
      </w:r>
      <w:r w:rsidRPr="00F17515">
        <w:rPr>
          <w:rFonts w:asciiTheme="minorEastAsia" w:eastAsiaTheme="minorEastAsia" w:hAnsiTheme="minorEastAsia"/>
        </w:rPr>
        <w:t>70</w:t>
      </w:r>
      <w:r w:rsidRPr="00F17515">
        <w:rPr>
          <w:rFonts w:asciiTheme="minorEastAsia" w:eastAsiaTheme="minorEastAsia" w:hAnsiTheme="minorEastAsia" w:hint="eastAsia"/>
        </w:rPr>
        <w:t>0.00元</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上</w:t>
      </w:r>
      <w:r w:rsidRPr="00F17515">
        <w:rPr>
          <w:rFonts w:asciiTheme="minorEastAsia" w:eastAsiaTheme="minorEastAsia" w:hAnsiTheme="minorEastAsia"/>
        </w:rPr>
        <w:t>述计算结果均按四舍五入方法，保留</w:t>
      </w:r>
      <w:r w:rsidRPr="00F17515">
        <w:rPr>
          <w:rFonts w:asciiTheme="minorEastAsia" w:eastAsiaTheme="minorEastAsia" w:hAnsiTheme="minorEastAsia" w:hint="eastAsia"/>
        </w:rPr>
        <w:t>到</w:t>
      </w:r>
      <w:r w:rsidRPr="00F17515">
        <w:rPr>
          <w:rFonts w:asciiTheme="minorEastAsia" w:eastAsiaTheme="minorEastAsia" w:hAnsiTheme="minorEastAsia"/>
        </w:rPr>
        <w:t>小数点后两位</w:t>
      </w:r>
      <w:r w:rsidRPr="00F17515">
        <w:rPr>
          <w:rFonts w:asciiTheme="minorEastAsia" w:eastAsiaTheme="minorEastAsia" w:hAnsiTheme="minorEastAsia" w:hint="eastAsia"/>
        </w:rPr>
        <w:t>，</w:t>
      </w:r>
      <w:r w:rsidRPr="00F17515">
        <w:rPr>
          <w:rFonts w:asciiTheme="minorEastAsia" w:eastAsiaTheme="minorEastAsia" w:hAnsiTheme="minorEastAsia"/>
        </w:rPr>
        <w:t>由此产生的</w:t>
      </w:r>
      <w:r w:rsidRPr="00F17515">
        <w:rPr>
          <w:rFonts w:asciiTheme="minorEastAsia" w:eastAsiaTheme="minorEastAsia" w:hAnsiTheme="minorEastAsia" w:hint="eastAsia"/>
        </w:rPr>
        <w:t>收益或</w:t>
      </w:r>
      <w:r w:rsidRPr="00F17515">
        <w:rPr>
          <w:rFonts w:asciiTheme="minorEastAsia" w:eastAsiaTheme="minorEastAsia" w:hAnsiTheme="minorEastAsia"/>
        </w:rPr>
        <w:t>损失</w:t>
      </w:r>
      <w:r w:rsidRPr="00F17515">
        <w:rPr>
          <w:rFonts w:asciiTheme="minorEastAsia" w:eastAsiaTheme="minorEastAsia" w:hAnsiTheme="minorEastAsia" w:hint="eastAsia"/>
        </w:rPr>
        <w:t>归入</w:t>
      </w:r>
      <w:r w:rsidRPr="00F17515">
        <w:rPr>
          <w:rFonts w:asciiTheme="minorEastAsia" w:eastAsiaTheme="minorEastAsia" w:hAnsiTheme="minorEastAsia"/>
        </w:rPr>
        <w:t>基金财产</w:t>
      </w:r>
      <w:r w:rsidRPr="00F17515">
        <w:rPr>
          <w:rFonts w:asciiTheme="minorEastAsia" w:eastAsiaTheme="minorEastAsia" w:hAnsiTheme="minorEastAsia" w:hint="eastAsia"/>
        </w:rPr>
        <w:t>。</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3</w:t>
      </w:r>
      <w:r w:rsidR="002A7F91" w:rsidRPr="00F17515">
        <w:rPr>
          <w:rFonts w:asciiTheme="minorEastAsia" w:eastAsiaTheme="minorEastAsia" w:hAnsiTheme="minorEastAsia" w:hint="eastAsia"/>
        </w:rPr>
        <w:t>、</w:t>
      </w:r>
      <w:r w:rsidRPr="00F17515">
        <w:rPr>
          <w:rFonts w:asciiTheme="minorEastAsia" w:eastAsiaTheme="minorEastAsia" w:hAnsiTheme="minorEastAsia" w:hint="eastAsia"/>
        </w:rPr>
        <w:t>T日的基金份额净值在当天收市后计算，并在T+1日内公告。遇特殊情况，可以适当延迟计算或公告。其计算公式为：计算日该级基金份额净值=计算日该级基金资产净值/计算日该级基金总份额。本基金份额净值的计算，保留到小数点后3位，小数点后第4位四舍五入</w:t>
      </w:r>
      <w:r w:rsidRPr="00F17515">
        <w:rPr>
          <w:rFonts w:asciiTheme="minorEastAsia" w:eastAsiaTheme="minorEastAsia" w:hAnsiTheme="minorEastAsia"/>
        </w:rPr>
        <w:t>，由此产生</w:t>
      </w:r>
      <w:r w:rsidRPr="00F17515">
        <w:rPr>
          <w:rFonts w:asciiTheme="minorEastAsia" w:eastAsiaTheme="minorEastAsia" w:hAnsiTheme="minorEastAsia" w:hint="eastAsia"/>
        </w:rPr>
        <w:t>的收益或损失归入基金财产。</w:t>
      </w:r>
    </w:p>
    <w:p w:rsidR="00B722D3" w:rsidRPr="00F17515" w:rsidRDefault="002A7F91" w:rsidP="00B722D3">
      <w:pPr>
        <w:snapToGrid w:val="0"/>
        <w:spacing w:line="360" w:lineRule="auto"/>
        <w:ind w:firstLineChars="202" w:firstLine="424"/>
        <w:rPr>
          <w:rFonts w:asciiTheme="minorEastAsia" w:eastAsiaTheme="minorEastAsia" w:hAnsiTheme="minorEastAsia"/>
        </w:rPr>
      </w:pPr>
      <w:r w:rsidRPr="00F17515">
        <w:rPr>
          <w:rFonts w:asciiTheme="minorEastAsia" w:eastAsiaTheme="minorEastAsia" w:hAnsiTheme="minorEastAsia" w:hint="eastAsia"/>
        </w:rPr>
        <w:t>4、</w:t>
      </w:r>
      <w:r w:rsidR="007228CC" w:rsidRPr="00F17515">
        <w:rPr>
          <w:rFonts w:asciiTheme="minorEastAsia" w:eastAsiaTheme="minorEastAsia" w:hAnsiTheme="minorEastAsia" w:hint="eastAsia"/>
          <w:szCs w:val="21"/>
        </w:rPr>
        <w:t>本基金的申购费由投资人承担，不列入基金财产</w:t>
      </w:r>
      <w:r w:rsidR="007228CC" w:rsidRPr="00F17515">
        <w:rPr>
          <w:rFonts w:asciiTheme="minorEastAsia" w:eastAsiaTheme="minorEastAsia" w:hAnsiTheme="minorEastAsia"/>
          <w:szCs w:val="21"/>
        </w:rPr>
        <w:t>，主要用于本基金的市场推广、销售、注册登记等各项费用</w:t>
      </w:r>
      <w:r w:rsidR="007228CC" w:rsidRPr="00F17515">
        <w:rPr>
          <w:rFonts w:asciiTheme="minorEastAsia" w:eastAsiaTheme="minorEastAsia" w:hAnsiTheme="minorEastAsia" w:hint="eastAsia"/>
          <w:szCs w:val="21"/>
        </w:rPr>
        <w:t>；</w:t>
      </w:r>
      <w:r w:rsidR="00C609DD" w:rsidRPr="00F17515">
        <w:rPr>
          <w:rFonts w:asciiTheme="minorEastAsia" w:eastAsiaTheme="minorEastAsia" w:hAnsiTheme="minorEastAsia" w:hint="eastAsia"/>
          <w:szCs w:val="21"/>
        </w:rPr>
        <w:t>本基金的赎回费由赎回人承担，在基金份额持有人赎回基金份额时收取，对持有期少于7天（不含）的基金份额持有人所收取赎回费全额计入基金财产，对持有期在7天以上（含）的基金份额持有人所收取赎回费用总额的25%计入基金资产，其余用于支付注册登记费和其他必要的手续费。</w:t>
      </w:r>
    </w:p>
    <w:p w:rsidR="007228CC" w:rsidRPr="00F17515" w:rsidRDefault="007228CC" w:rsidP="0071223F">
      <w:pPr>
        <w:snapToGrid w:val="0"/>
        <w:spacing w:line="360" w:lineRule="auto"/>
        <w:ind w:firstLineChars="202" w:firstLine="424"/>
        <w:rPr>
          <w:rFonts w:asciiTheme="minorEastAsia" w:eastAsiaTheme="minorEastAsia" w:hAnsiTheme="minorEastAsia"/>
          <w:szCs w:val="21"/>
        </w:rPr>
      </w:pP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szCs w:val="21"/>
        </w:rPr>
      </w:pPr>
      <w:bookmarkStart w:id="98" w:name="_Toc211920145"/>
      <w:bookmarkStart w:id="99" w:name="_Toc211927676"/>
      <w:bookmarkStart w:id="100" w:name="_Toc41556779"/>
      <w:r w:rsidRPr="00F17515">
        <w:rPr>
          <w:rFonts w:asciiTheme="minorEastAsia" w:eastAsiaTheme="minorEastAsia" w:hAnsiTheme="minorEastAsia" w:hint="eastAsia"/>
        </w:rPr>
        <w:t>（九）申购、赎回的注册登记</w:t>
      </w:r>
      <w:bookmarkEnd w:id="98"/>
      <w:bookmarkEnd w:id="99"/>
      <w:bookmarkEnd w:id="100"/>
    </w:p>
    <w:p w:rsidR="007228CC" w:rsidRPr="00F17515" w:rsidRDefault="002A7F91" w:rsidP="0071223F">
      <w:pPr>
        <w:snapToGrid w:val="0"/>
        <w:spacing w:line="360" w:lineRule="auto"/>
        <w:ind w:firstLineChars="202" w:firstLine="424"/>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投资者申购基金成功后，正常情况下，基金注册登记机构在T+1工作日为投资者增加权益并办理注册登记手续，投资者自T+2工作日起有权赎回该部分基金份额。</w:t>
      </w:r>
    </w:p>
    <w:p w:rsidR="007228CC" w:rsidRPr="00F17515" w:rsidRDefault="002A7F91" w:rsidP="0071223F">
      <w:pPr>
        <w:snapToGrid w:val="0"/>
        <w:spacing w:line="360" w:lineRule="auto"/>
        <w:ind w:firstLineChars="202" w:firstLine="424"/>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投资者赎回基金成功后，正常情况下，基金注册登记机构在T+1工作日为投资者扣除权益并办理相应的注册登记手续。</w:t>
      </w:r>
    </w:p>
    <w:p w:rsidR="007228CC" w:rsidRPr="00F17515" w:rsidRDefault="007228CC" w:rsidP="0071223F">
      <w:pPr>
        <w:snapToGrid w:val="0"/>
        <w:spacing w:line="360" w:lineRule="auto"/>
        <w:ind w:firstLineChars="202" w:firstLine="424"/>
        <w:rPr>
          <w:rFonts w:asciiTheme="minorEastAsia" w:eastAsiaTheme="minorEastAsia" w:hAnsiTheme="minorEastAsia"/>
          <w:szCs w:val="21"/>
        </w:rPr>
      </w:pPr>
      <w:r w:rsidRPr="00F17515">
        <w:rPr>
          <w:rFonts w:asciiTheme="minorEastAsia" w:eastAsiaTheme="minorEastAsia" w:hAnsiTheme="minorEastAsia" w:hint="eastAsia"/>
          <w:szCs w:val="21"/>
        </w:rPr>
        <w:t>基金管理人可在法律法规允许的范围内，对上述注册登记办理时间进行调整，并最迟于开始实施前2日予以公告。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101" w:name="_Toc211920146"/>
      <w:bookmarkStart w:id="102" w:name="_Toc211927677"/>
      <w:bookmarkStart w:id="103" w:name="_Toc41556780"/>
      <w:r w:rsidRPr="00F17515">
        <w:rPr>
          <w:rFonts w:asciiTheme="minorEastAsia" w:eastAsiaTheme="minorEastAsia" w:hAnsiTheme="minorEastAsia" w:hint="eastAsia"/>
        </w:rPr>
        <w:t>（十）巨额赎回的认定及处理方式</w:t>
      </w:r>
      <w:bookmarkEnd w:id="101"/>
      <w:bookmarkEnd w:id="102"/>
      <w:bookmarkEnd w:id="103"/>
    </w:p>
    <w:p w:rsidR="007228CC" w:rsidRPr="00F17515" w:rsidRDefault="002A7F91" w:rsidP="0071223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巨额赎回的认定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若本基金单个开放日内的基金份额净赎回申请(</w:t>
      </w:r>
      <w:r w:rsidRPr="00F17515">
        <w:rPr>
          <w:rFonts w:asciiTheme="minorEastAsia" w:eastAsiaTheme="minorEastAsia" w:hAnsiTheme="minorEastAsia"/>
          <w:szCs w:val="21"/>
        </w:rPr>
        <w:t>赎回申请份额总数加上基金转换中转出申请份额总数后扣除申购申请份额总数及基金转换中转入申请份额总数后的余额</w:t>
      </w:r>
      <w:r w:rsidRPr="00F17515">
        <w:rPr>
          <w:rFonts w:asciiTheme="minorEastAsia" w:eastAsiaTheme="minorEastAsia" w:hAnsiTheme="minorEastAsia" w:hint="eastAsia"/>
          <w:szCs w:val="21"/>
        </w:rPr>
        <w:t>)超过前一开放日的基金总份额的</w:t>
      </w:r>
      <w:r w:rsidRPr="00F17515">
        <w:rPr>
          <w:rFonts w:asciiTheme="minorEastAsia" w:eastAsiaTheme="minorEastAsia" w:hAnsiTheme="minorEastAsia"/>
          <w:szCs w:val="21"/>
        </w:rPr>
        <w:t>10%</w:t>
      </w:r>
      <w:r w:rsidRPr="00F17515">
        <w:rPr>
          <w:rFonts w:asciiTheme="minorEastAsia" w:eastAsiaTheme="minorEastAsia" w:hAnsiTheme="minorEastAsia" w:hint="eastAsia"/>
          <w:szCs w:val="21"/>
        </w:rPr>
        <w:t>，即认为是发生了巨额赎回。</w:t>
      </w:r>
    </w:p>
    <w:p w:rsidR="007228CC" w:rsidRPr="00F17515" w:rsidRDefault="002A7F91"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巨额赎回的处理方式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当基金出现巨额赎回时，基金管理人可以根据基金当时的资产组合状况决定全额赎回或部分延期赎回。</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(1)全额赎回：当基金管理人认为有能力支付投资人的全部赎回申请时，按正常赎回程序执行。</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17515">
        <w:rPr>
          <w:rFonts w:asciiTheme="minorEastAsia" w:eastAsiaTheme="minorEastAsia" w:hAnsiTheme="minorEastAsia"/>
          <w:szCs w:val="21"/>
        </w:rPr>
        <w:t>10</w:t>
      </w:r>
      <w:r w:rsidRPr="00F17515">
        <w:rPr>
          <w:rFonts w:asciiTheme="minorEastAsia" w:eastAsiaTheme="minorEastAsia" w:hAnsiTheme="minorEastAsia"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609DD"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(3)暂停赎回：连续2日以上(含本数)发生巨额赎回，如基金管理人认为有必要，可暂停接受基金的赎回申请；已经接受的赎回申请可以延缓支付赎回款项，但不得超过</w:t>
      </w:r>
      <w:r w:rsidRPr="00F17515">
        <w:rPr>
          <w:rFonts w:asciiTheme="minorEastAsia" w:eastAsiaTheme="minorEastAsia" w:hAnsiTheme="minorEastAsia"/>
          <w:szCs w:val="21"/>
        </w:rPr>
        <w:t>20</w:t>
      </w:r>
      <w:r w:rsidRPr="00F17515">
        <w:rPr>
          <w:rFonts w:asciiTheme="minorEastAsia" w:eastAsiaTheme="minorEastAsia" w:hAnsiTheme="minorEastAsia" w:hint="eastAsia"/>
          <w:szCs w:val="21"/>
        </w:rPr>
        <w:t>个工作日，并应当在</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上进行公告。</w:t>
      </w:r>
    </w:p>
    <w:p w:rsidR="007228CC" w:rsidRPr="00F17515" w:rsidRDefault="002A7F91"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巨额赎回的公告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当发生上述延期赎回并延期办理时，基金管理人</w:t>
      </w:r>
      <w:r w:rsidRPr="00F17515">
        <w:rPr>
          <w:rFonts w:asciiTheme="minorEastAsia" w:eastAsiaTheme="minorEastAsia" w:hAnsiTheme="minorEastAsia"/>
          <w:szCs w:val="21"/>
        </w:rPr>
        <w:t>应</w:t>
      </w:r>
      <w:r w:rsidRPr="00F17515">
        <w:rPr>
          <w:rFonts w:asciiTheme="minorEastAsia" w:eastAsiaTheme="minorEastAsia" w:hAnsiTheme="minorEastAsia" w:hint="eastAsia"/>
          <w:szCs w:val="21"/>
        </w:rPr>
        <w:t>当通过邮寄、传真或者招募说明书规定的其他方式在3个交易日内通知基金份额持有人，说明有关处理方法，</w:t>
      </w:r>
      <w:r w:rsidR="00DA0868" w:rsidRPr="00F17515">
        <w:rPr>
          <w:rFonts w:asciiTheme="minorEastAsia" w:eastAsiaTheme="minorEastAsia" w:hAnsiTheme="minorEastAsia" w:hint="eastAsia"/>
          <w:szCs w:val="21"/>
        </w:rPr>
        <w:t>并在2日内</w:t>
      </w:r>
      <w:r w:rsidRPr="00F17515">
        <w:rPr>
          <w:rFonts w:asciiTheme="minorEastAsia" w:eastAsiaTheme="minorEastAsia" w:hAnsiTheme="minorEastAsia" w:hint="eastAsia"/>
          <w:szCs w:val="21"/>
        </w:rPr>
        <w:t>在</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上刊登公告。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104" w:name="_Toc211920147"/>
      <w:bookmarkStart w:id="105" w:name="_Toc211927678"/>
      <w:bookmarkStart w:id="106" w:name="_Toc41556781"/>
      <w:r w:rsidRPr="00F17515">
        <w:rPr>
          <w:rFonts w:asciiTheme="minorEastAsia" w:eastAsiaTheme="minorEastAsia" w:hAnsiTheme="minorEastAsia" w:hint="eastAsia"/>
        </w:rPr>
        <w:t>（十一）拒绝或暂停申购、赎回的情形及处理方式</w:t>
      </w:r>
      <w:bookmarkEnd w:id="104"/>
      <w:bookmarkEnd w:id="105"/>
      <w:bookmarkEnd w:id="106"/>
    </w:p>
    <w:p w:rsidR="007228CC" w:rsidRPr="00F17515" w:rsidRDefault="002A7F91"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发生下列情况时，基金管理人可拒绝或暂停接受投资人的申购申请：</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（1）因</w:t>
      </w:r>
      <w:r w:rsidRPr="00F17515">
        <w:rPr>
          <w:rFonts w:asciiTheme="minorEastAsia" w:eastAsiaTheme="minorEastAsia" w:hAnsiTheme="minorEastAsia"/>
          <w:szCs w:val="21"/>
        </w:rPr>
        <w:t>不可抗力</w:t>
      </w:r>
      <w:r w:rsidRPr="00F17515">
        <w:rPr>
          <w:rFonts w:asciiTheme="minorEastAsia" w:eastAsiaTheme="minorEastAsia" w:hAnsiTheme="minorEastAsia" w:hint="eastAsia"/>
          <w:szCs w:val="21"/>
        </w:rPr>
        <w:t>导致基金无法正常运作。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证券交易所交易时间非正常停市，导致基金管理人无法计算当日基金资产净值</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发生本基金合同规定的暂停基金资产估值情况</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基金管理人</w:t>
      </w:r>
      <w:r w:rsidRPr="00F17515">
        <w:rPr>
          <w:rFonts w:asciiTheme="minorEastAsia" w:eastAsiaTheme="minorEastAsia" w:hAnsiTheme="minorEastAsia" w:hint="eastAsia"/>
          <w:szCs w:val="21"/>
        </w:rPr>
        <w:t>认为接受某笔或某些申购申请可能会影响或损害现有基金份额持有人利益时。</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（5）基金资产规模过大，使基金管理人无法找到合适的投资品种，或其他可能对基金</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业绩产生负面影响，从而损害现有基金份额持有人利益的情形。</w:t>
      </w:r>
    </w:p>
    <w:p w:rsidR="002B1010" w:rsidRPr="00F17515" w:rsidRDefault="00B72058" w:rsidP="001366A8">
      <w:pPr>
        <w:pStyle w:val="afb"/>
        <w:numPr>
          <w:ilvl w:val="1"/>
          <w:numId w:val="7"/>
        </w:numPr>
        <w:snapToGrid w:val="0"/>
        <w:spacing w:line="360" w:lineRule="auto"/>
        <w:ind w:firstLineChars="0"/>
        <w:rPr>
          <w:rFonts w:asciiTheme="minorEastAsia" w:eastAsiaTheme="minorEastAsia" w:hAnsiTheme="minorEastAsia"/>
          <w:szCs w:val="21"/>
        </w:rPr>
      </w:pPr>
      <w:r w:rsidRPr="00F17515">
        <w:rPr>
          <w:rFonts w:asciiTheme="minorEastAsia" w:eastAsiaTheme="minorEastAsia" w:hAnsiTheme="minorEastAsia" w:hint="eastAsia"/>
          <w:szCs w:val="21"/>
        </w:rPr>
        <w:t>基金管理人接受某笔或者某些申购申请有可能导致单一投资者持有基金份额的比例达到或者超过</w:t>
      </w:r>
      <w:r w:rsidRPr="00F17515">
        <w:rPr>
          <w:rFonts w:asciiTheme="minorEastAsia" w:eastAsiaTheme="minorEastAsia" w:hAnsiTheme="minorEastAsia"/>
          <w:szCs w:val="21"/>
        </w:rPr>
        <w:t>50%</w:t>
      </w:r>
      <w:r w:rsidRPr="00F17515">
        <w:rPr>
          <w:rFonts w:asciiTheme="minorEastAsia" w:eastAsiaTheme="minorEastAsia" w:hAnsiTheme="minorEastAsia" w:hint="eastAsia"/>
          <w:szCs w:val="21"/>
        </w:rPr>
        <w:t>，或者变相规避</w:t>
      </w:r>
      <w:r w:rsidRPr="00F17515">
        <w:rPr>
          <w:rFonts w:asciiTheme="minorEastAsia" w:eastAsiaTheme="minorEastAsia" w:hAnsiTheme="minorEastAsia"/>
          <w:szCs w:val="21"/>
        </w:rPr>
        <w:t>50%</w:t>
      </w:r>
      <w:r w:rsidRPr="00F17515">
        <w:rPr>
          <w:rFonts w:asciiTheme="minorEastAsia" w:eastAsiaTheme="minorEastAsia" w:hAnsiTheme="minorEastAsia" w:hint="eastAsia"/>
          <w:szCs w:val="21"/>
        </w:rPr>
        <w:t>集中度的情形时。</w:t>
      </w:r>
    </w:p>
    <w:p w:rsidR="0094778B" w:rsidRPr="00F17515" w:rsidRDefault="0094778B" w:rsidP="0094778B">
      <w:pPr>
        <w:pStyle w:val="afb"/>
        <w:numPr>
          <w:ilvl w:val="1"/>
          <w:numId w:val="7"/>
        </w:numPr>
        <w:snapToGrid w:val="0"/>
        <w:spacing w:line="360" w:lineRule="auto"/>
        <w:ind w:firstLineChars="0"/>
        <w:rPr>
          <w:rFonts w:asciiTheme="minorEastAsia" w:eastAsiaTheme="minorEastAsia" w:hAnsiTheme="minorEastAsia"/>
          <w:szCs w:val="21"/>
        </w:rPr>
      </w:pPr>
      <w:r w:rsidRPr="00F17515">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w:t>
      </w:r>
      <w:r w:rsidRPr="00F17515">
        <w:rPr>
          <w:rFonts w:asciiTheme="minorEastAsia" w:eastAsiaTheme="minorEastAsia" w:hAnsiTheme="minorEastAsia" w:hint="eastAsia"/>
          <w:szCs w:val="21"/>
        </w:rPr>
        <w:lastRenderedPageBreak/>
        <w:t>时。</w:t>
      </w:r>
    </w:p>
    <w:p w:rsidR="002B1010" w:rsidRPr="00F17515" w:rsidRDefault="0094778B" w:rsidP="001366A8">
      <w:pPr>
        <w:pStyle w:val="afb"/>
        <w:numPr>
          <w:ilvl w:val="1"/>
          <w:numId w:val="7"/>
        </w:numPr>
        <w:snapToGrid w:val="0"/>
        <w:spacing w:line="360" w:lineRule="auto"/>
        <w:ind w:firstLineChars="0"/>
        <w:rPr>
          <w:rFonts w:asciiTheme="minorEastAsia" w:eastAsiaTheme="minorEastAsia" w:hAnsiTheme="minorEastAsia"/>
          <w:szCs w:val="21"/>
        </w:rPr>
      </w:pPr>
      <w:r w:rsidRPr="00F17515">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2B1010" w:rsidRPr="00F17515" w:rsidRDefault="007228CC" w:rsidP="001366A8">
      <w:pPr>
        <w:pStyle w:val="afb"/>
        <w:numPr>
          <w:ilvl w:val="1"/>
          <w:numId w:val="7"/>
        </w:numPr>
        <w:snapToGrid w:val="0"/>
        <w:spacing w:line="360" w:lineRule="auto"/>
        <w:ind w:firstLineChars="0"/>
        <w:rPr>
          <w:rFonts w:asciiTheme="minorEastAsia" w:eastAsiaTheme="minorEastAsia" w:hAnsiTheme="minorEastAsia"/>
          <w:szCs w:val="21"/>
        </w:rPr>
      </w:pPr>
      <w:r w:rsidRPr="00F17515">
        <w:rPr>
          <w:rFonts w:asciiTheme="minorEastAsia" w:eastAsiaTheme="minorEastAsia" w:hAnsiTheme="minorEastAsia"/>
          <w:szCs w:val="21"/>
        </w:rPr>
        <w:t>法律法规规定或中国证监会认定的其他情形</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发生</w:t>
      </w:r>
      <w:r w:rsidR="0094778B" w:rsidRPr="00F17515">
        <w:rPr>
          <w:rFonts w:asciiTheme="minorEastAsia" w:eastAsiaTheme="minorEastAsia" w:hAnsiTheme="minorEastAsia" w:hint="eastAsia"/>
          <w:szCs w:val="21"/>
        </w:rPr>
        <w:t>除上述第</w:t>
      </w:r>
      <w:r w:rsidR="00F55E0F" w:rsidRPr="00F17515">
        <w:rPr>
          <w:rFonts w:asciiTheme="minorEastAsia" w:eastAsiaTheme="minorEastAsia" w:hAnsiTheme="minorEastAsia" w:hint="eastAsia"/>
          <w:szCs w:val="21"/>
        </w:rPr>
        <w:t>（</w:t>
      </w:r>
      <w:r w:rsidR="0094778B" w:rsidRPr="00F17515">
        <w:rPr>
          <w:rFonts w:asciiTheme="minorEastAsia" w:eastAsiaTheme="minorEastAsia" w:hAnsiTheme="minorEastAsia" w:hint="eastAsia"/>
          <w:szCs w:val="21"/>
        </w:rPr>
        <w:t>4</w:t>
      </w:r>
      <w:r w:rsidR="00F55E0F" w:rsidRPr="00F17515">
        <w:rPr>
          <w:rFonts w:asciiTheme="minorEastAsia" w:eastAsiaTheme="minorEastAsia" w:hAnsiTheme="minorEastAsia" w:hint="eastAsia"/>
          <w:szCs w:val="21"/>
        </w:rPr>
        <w:t>）</w:t>
      </w:r>
      <w:r w:rsidR="0094778B" w:rsidRPr="00F17515">
        <w:rPr>
          <w:rFonts w:asciiTheme="minorEastAsia" w:eastAsiaTheme="minorEastAsia" w:hAnsiTheme="minorEastAsia" w:hint="eastAsia"/>
          <w:szCs w:val="21"/>
        </w:rPr>
        <w:t>、</w:t>
      </w:r>
      <w:r w:rsidR="00F55E0F" w:rsidRPr="00F17515">
        <w:rPr>
          <w:rFonts w:asciiTheme="minorEastAsia" w:eastAsiaTheme="minorEastAsia" w:hAnsiTheme="minorEastAsia" w:hint="eastAsia"/>
          <w:szCs w:val="21"/>
        </w:rPr>
        <w:t>（</w:t>
      </w:r>
      <w:r w:rsidR="0094778B" w:rsidRPr="00F17515">
        <w:rPr>
          <w:rFonts w:asciiTheme="minorEastAsia" w:eastAsiaTheme="minorEastAsia" w:hAnsiTheme="minorEastAsia" w:hint="eastAsia"/>
          <w:szCs w:val="21"/>
        </w:rPr>
        <w:t>6</w:t>
      </w:r>
      <w:r w:rsidR="00F55E0F" w:rsidRPr="00F17515">
        <w:rPr>
          <w:rFonts w:asciiTheme="minorEastAsia" w:eastAsiaTheme="minorEastAsia" w:hAnsiTheme="minorEastAsia" w:hint="eastAsia"/>
          <w:szCs w:val="21"/>
        </w:rPr>
        <w:t>）</w:t>
      </w:r>
      <w:r w:rsidR="0094778B" w:rsidRPr="00F17515">
        <w:rPr>
          <w:rFonts w:asciiTheme="minorEastAsia" w:eastAsiaTheme="minorEastAsia" w:hAnsiTheme="minorEastAsia" w:hint="eastAsia"/>
          <w:szCs w:val="21"/>
        </w:rPr>
        <w:t>项</w:t>
      </w:r>
      <w:r w:rsidRPr="00F17515">
        <w:rPr>
          <w:rFonts w:asciiTheme="minorEastAsia" w:eastAsiaTheme="minorEastAsia" w:hAnsiTheme="minorEastAsia" w:hint="eastAsia"/>
          <w:szCs w:val="21"/>
        </w:rPr>
        <w:t>上述暂停申购情形时，基金管理人应当根据有关规定在</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上刊登暂停申购公告。</w:t>
      </w:r>
      <w:r w:rsidRPr="00F17515">
        <w:rPr>
          <w:rFonts w:asciiTheme="minorEastAsia" w:eastAsiaTheme="minorEastAsia" w:hAnsiTheme="minorEastAsia"/>
          <w:szCs w:val="21"/>
        </w:rPr>
        <w:t>如果投资</w:t>
      </w:r>
      <w:r w:rsidRPr="00F17515">
        <w:rPr>
          <w:rFonts w:asciiTheme="minorEastAsia" w:eastAsiaTheme="minorEastAsia" w:hAnsiTheme="minorEastAsia" w:hint="eastAsia"/>
          <w:szCs w:val="21"/>
        </w:rPr>
        <w:t>人</w:t>
      </w:r>
      <w:r w:rsidRPr="00F17515">
        <w:rPr>
          <w:rFonts w:asciiTheme="minorEastAsia" w:eastAsiaTheme="minorEastAsia" w:hAnsiTheme="minorEastAsia"/>
          <w:szCs w:val="21"/>
        </w:rPr>
        <w:t>的申购申请被拒绝，被拒绝的申购款项将退还给投资</w:t>
      </w:r>
      <w:r w:rsidRPr="00F17515">
        <w:rPr>
          <w:rFonts w:asciiTheme="minorEastAsia" w:eastAsiaTheme="minorEastAsia" w:hAnsiTheme="minorEastAsia" w:hint="eastAsia"/>
          <w:szCs w:val="21"/>
        </w:rPr>
        <w:t>人。</w:t>
      </w:r>
      <w:r w:rsidRPr="00F17515">
        <w:rPr>
          <w:rFonts w:asciiTheme="minorEastAsia" w:eastAsiaTheme="minorEastAsia" w:hAnsiTheme="minorEastAsia"/>
          <w:szCs w:val="21"/>
        </w:rPr>
        <w:t>在暂停申购的情况消除时，基金管理人应及时恢复申购业务的办理。</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基金管理人拒绝或暂停接受申购的方式包括：</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1</w:t>
      </w:r>
      <w:r w:rsidRPr="00F17515">
        <w:rPr>
          <w:rFonts w:asciiTheme="minorEastAsia" w:eastAsiaTheme="minorEastAsia" w:hAnsiTheme="minorEastAsia" w:hint="eastAsia"/>
          <w:szCs w:val="21"/>
        </w:rPr>
        <w:t>）拒绝接受、暂停接受某笔或某数笔申购申请；</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2</w:t>
      </w:r>
      <w:r w:rsidRPr="00F17515">
        <w:rPr>
          <w:rFonts w:asciiTheme="minorEastAsia" w:eastAsiaTheme="minorEastAsia" w:hAnsiTheme="minorEastAsia" w:hint="eastAsia"/>
          <w:szCs w:val="21"/>
        </w:rPr>
        <w:t>）拒绝接受、暂停接受某个或某数个工作日的全部申购申请；</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3</w:t>
      </w:r>
      <w:r w:rsidRPr="00F17515">
        <w:rPr>
          <w:rFonts w:asciiTheme="minorEastAsia" w:eastAsiaTheme="minorEastAsia" w:hAnsiTheme="minorEastAsia" w:hint="eastAsia"/>
          <w:szCs w:val="21"/>
        </w:rPr>
        <w:t>）按比例拒绝接受、暂停接受某个或某数个工作日的申购申请。</w:t>
      </w:r>
    </w:p>
    <w:p w:rsidR="007228CC" w:rsidRPr="00F17515" w:rsidRDefault="002A7F91"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szCs w:val="21"/>
        </w:rPr>
        <w:t>发生下列情形时，基金管理人可暂停接受投资人的赎回申请或延缓支付赎回款项</w:t>
      </w:r>
      <w:r w:rsidR="007228CC"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（1）因</w:t>
      </w:r>
      <w:r w:rsidRPr="00F17515">
        <w:rPr>
          <w:rFonts w:asciiTheme="minorEastAsia" w:eastAsiaTheme="minorEastAsia" w:hAnsiTheme="minorEastAsia"/>
          <w:szCs w:val="21"/>
        </w:rPr>
        <w:t>不可抗力</w:t>
      </w:r>
      <w:r w:rsidRPr="00F17515">
        <w:rPr>
          <w:rFonts w:asciiTheme="minorEastAsia" w:eastAsiaTheme="minorEastAsia" w:hAnsiTheme="minorEastAsia" w:hint="eastAsia"/>
          <w:szCs w:val="21"/>
        </w:rPr>
        <w:t>导致基金无法正常运作。</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证券交易所交易时间非正常停市，导致基金管理人无法计算当日基金资产净值</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连续两个</w:t>
      </w:r>
      <w:r w:rsidRPr="00F17515">
        <w:rPr>
          <w:rFonts w:asciiTheme="minorEastAsia" w:eastAsiaTheme="minorEastAsia" w:hAnsiTheme="minorEastAsia" w:hint="eastAsia"/>
          <w:szCs w:val="21"/>
        </w:rPr>
        <w:t>或两个以上</w:t>
      </w:r>
      <w:r w:rsidRPr="00F17515">
        <w:rPr>
          <w:rFonts w:asciiTheme="minorEastAsia" w:eastAsiaTheme="minorEastAsia" w:hAnsiTheme="minorEastAsia"/>
          <w:szCs w:val="21"/>
        </w:rPr>
        <w:t>开放日发生巨额赎回</w:t>
      </w:r>
      <w:r w:rsidRPr="00F17515">
        <w:rPr>
          <w:rFonts w:asciiTheme="minorEastAsia" w:eastAsiaTheme="minorEastAsia" w:hAnsiTheme="minorEastAsia" w:hint="eastAsia"/>
          <w:szCs w:val="21"/>
        </w:rPr>
        <w:t>。</w:t>
      </w:r>
    </w:p>
    <w:p w:rsidR="006001E9" w:rsidRPr="00F17515" w:rsidRDefault="007228C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发生本基金合同规定的暂停基金资产估值情况</w:t>
      </w:r>
      <w:r w:rsidRPr="00F17515">
        <w:rPr>
          <w:rFonts w:asciiTheme="minorEastAsia" w:eastAsiaTheme="minorEastAsia" w:hAnsiTheme="minorEastAsia" w:hint="eastAsia"/>
          <w:szCs w:val="21"/>
        </w:rPr>
        <w:t>。</w:t>
      </w:r>
    </w:p>
    <w:p w:rsidR="0094778B" w:rsidRPr="00F17515" w:rsidRDefault="006001E9">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0094778B" w:rsidRPr="00F17515">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006001E9" w:rsidRPr="00F17515">
        <w:rPr>
          <w:rFonts w:asciiTheme="minorEastAsia" w:eastAsiaTheme="minorEastAsia" w:hAnsiTheme="minorEastAsia"/>
          <w:szCs w:val="21"/>
        </w:rPr>
        <w:t>6</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法律法规规定或中国证监会认定的其他情形</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szCs w:val="21"/>
        </w:rPr>
        <w:t>发生上述情形时，基金管理人应在当日</w:t>
      </w:r>
      <w:r w:rsidRPr="00F17515">
        <w:rPr>
          <w:rFonts w:asciiTheme="minorEastAsia" w:eastAsiaTheme="minorEastAsia" w:hAnsiTheme="minorEastAsia" w:hint="eastAsia"/>
          <w:szCs w:val="21"/>
        </w:rPr>
        <w:t>报</w:t>
      </w:r>
      <w:r w:rsidRPr="00F17515">
        <w:rPr>
          <w:rFonts w:asciiTheme="minorEastAsia" w:eastAsiaTheme="minorEastAsia" w:hAnsiTheme="minorEastAsia"/>
          <w:szCs w:val="21"/>
        </w:rPr>
        <w:t>中国证监会</w:t>
      </w:r>
      <w:r w:rsidRPr="00F17515">
        <w:rPr>
          <w:rFonts w:asciiTheme="minorEastAsia" w:eastAsiaTheme="minorEastAsia" w:hAnsiTheme="minorEastAsia" w:hint="eastAsia"/>
          <w:szCs w:val="21"/>
        </w:rPr>
        <w:t>备案</w:t>
      </w:r>
      <w:r w:rsidRPr="00F17515">
        <w:rPr>
          <w:rFonts w:asciiTheme="minorEastAsia" w:eastAsiaTheme="minorEastAsia" w:hAnsiTheme="minorEastAsia"/>
          <w:szCs w:val="21"/>
        </w:rPr>
        <w:t>，已接受的赎回申请，基金管理人应足额支付；如暂时不能足额支付，</w:t>
      </w:r>
      <w:r w:rsidRPr="00F17515">
        <w:rPr>
          <w:rFonts w:asciiTheme="minorEastAsia" w:eastAsiaTheme="minorEastAsia" w:hAnsiTheme="minorEastAsia" w:hint="eastAsia"/>
          <w:szCs w:val="21"/>
        </w:rPr>
        <w:t>应将</w:t>
      </w:r>
      <w:r w:rsidRPr="00F17515">
        <w:rPr>
          <w:rFonts w:asciiTheme="minorEastAsia" w:eastAsiaTheme="minorEastAsia" w:hAnsiTheme="minorEastAsia"/>
          <w:szCs w:val="21"/>
        </w:rPr>
        <w:t>可支付部分按单个账户申请量占申请总量的比例分配给赎回申请人，未支付部分可延期支付，</w:t>
      </w:r>
      <w:r w:rsidRPr="00F17515">
        <w:rPr>
          <w:rFonts w:asciiTheme="minorEastAsia" w:eastAsiaTheme="minorEastAsia" w:hAnsiTheme="minorEastAsia" w:hint="eastAsia"/>
          <w:szCs w:val="21"/>
        </w:rPr>
        <w:t>并以后续开放日的基金份额净值为依据计算赎回金额。若连续两个或两个以上开放日发生巨额赎回，延期支付最长</w:t>
      </w:r>
      <w:r w:rsidRPr="00F17515">
        <w:rPr>
          <w:rFonts w:asciiTheme="minorEastAsia" w:eastAsiaTheme="minorEastAsia" w:hAnsiTheme="minorEastAsia"/>
          <w:szCs w:val="21"/>
        </w:rPr>
        <w:t>不得超过20个工作日</w:t>
      </w:r>
      <w:r w:rsidRPr="00F17515">
        <w:rPr>
          <w:rFonts w:asciiTheme="minorEastAsia" w:eastAsiaTheme="minorEastAsia" w:hAnsiTheme="minorEastAsia" w:hint="eastAsia"/>
          <w:szCs w:val="21"/>
        </w:rPr>
        <w:t>，并在</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上公告</w:t>
      </w:r>
      <w:r w:rsidRPr="00F17515">
        <w:rPr>
          <w:rFonts w:asciiTheme="minorEastAsia" w:eastAsiaTheme="minorEastAsia" w:hAnsiTheme="minorEastAsia"/>
          <w:szCs w:val="21"/>
        </w:rPr>
        <w:t>。投资</w:t>
      </w:r>
      <w:r w:rsidRPr="00F17515">
        <w:rPr>
          <w:rFonts w:asciiTheme="minorEastAsia" w:eastAsiaTheme="minorEastAsia" w:hAnsiTheme="minorEastAsia" w:hint="eastAsia"/>
          <w:szCs w:val="21"/>
        </w:rPr>
        <w:t>人</w:t>
      </w:r>
      <w:r w:rsidRPr="00F17515">
        <w:rPr>
          <w:rFonts w:asciiTheme="minorEastAsia" w:eastAsiaTheme="minorEastAsia" w:hAnsiTheme="minorEastAsia"/>
          <w:szCs w:val="21"/>
        </w:rPr>
        <w:t>在申请赎回时可事先选择将当日可能未获受理部分予以撤销。在暂停赎回的情况消除时，基金管理人应及时恢复赎回业务的办理</w:t>
      </w:r>
      <w:r w:rsidRPr="00F17515">
        <w:rPr>
          <w:rFonts w:asciiTheme="minorEastAsia" w:eastAsiaTheme="minorEastAsia" w:hAnsiTheme="minorEastAsia" w:hint="eastAsia"/>
          <w:szCs w:val="21"/>
        </w:rPr>
        <w:t>并予以公告</w:t>
      </w:r>
      <w:r w:rsidRPr="00F17515">
        <w:rPr>
          <w:rFonts w:asciiTheme="minorEastAsia" w:eastAsiaTheme="minorEastAsia" w:hAnsiTheme="minorEastAsia"/>
          <w:szCs w:val="21"/>
        </w:rPr>
        <w:t>。</w:t>
      </w:r>
    </w:p>
    <w:p w:rsidR="007228CC" w:rsidRPr="00F17515" w:rsidRDefault="002A7F91"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暂停申购或赎回的</w:t>
      </w:r>
      <w:r w:rsidR="007228CC" w:rsidRPr="00F17515">
        <w:rPr>
          <w:rFonts w:asciiTheme="minorEastAsia" w:eastAsiaTheme="minorEastAsia" w:hAnsiTheme="minorEastAsia"/>
          <w:szCs w:val="21"/>
        </w:rPr>
        <w:t>公告</w:t>
      </w:r>
      <w:r w:rsidR="007228CC" w:rsidRPr="00F17515">
        <w:rPr>
          <w:rFonts w:asciiTheme="minorEastAsia" w:eastAsiaTheme="minorEastAsia" w:hAnsiTheme="minorEastAsia" w:hint="eastAsia"/>
          <w:szCs w:val="21"/>
        </w:rPr>
        <w:t>和重新开放申购或赎回的公告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发生上述暂停申购或赎回情况的，基金管理人当日应立即向中国证监会备案</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并在规定期限内在</w:t>
      </w:r>
      <w:r w:rsidR="00575E02" w:rsidRPr="00F17515">
        <w:rPr>
          <w:rFonts w:asciiTheme="minorEastAsia" w:eastAsiaTheme="minorEastAsia" w:hAnsiTheme="minorEastAsia"/>
          <w:szCs w:val="21"/>
        </w:rPr>
        <w:t>指定媒介</w:t>
      </w:r>
      <w:r w:rsidRPr="00F17515">
        <w:rPr>
          <w:rFonts w:asciiTheme="minorEastAsia" w:eastAsiaTheme="minorEastAsia" w:hAnsiTheme="minorEastAsia"/>
          <w:szCs w:val="21"/>
        </w:rPr>
        <w:t>上刊登暂停公告</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如发生暂停的时间为</w:t>
      </w: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日，基金管理人应</w:t>
      </w:r>
      <w:r w:rsidRPr="00F17515">
        <w:rPr>
          <w:rFonts w:asciiTheme="minorEastAsia" w:eastAsiaTheme="minorEastAsia" w:hAnsiTheme="minorEastAsia" w:hint="eastAsia"/>
          <w:szCs w:val="21"/>
        </w:rPr>
        <w:t>于重新开放日，</w:t>
      </w:r>
      <w:r w:rsidRPr="00F17515">
        <w:rPr>
          <w:rFonts w:asciiTheme="minorEastAsia" w:eastAsiaTheme="minorEastAsia" w:hAnsiTheme="minorEastAsia"/>
          <w:szCs w:val="21"/>
        </w:rPr>
        <w:t>在</w:t>
      </w:r>
      <w:r w:rsidR="00575E02" w:rsidRPr="00F17515">
        <w:rPr>
          <w:rFonts w:asciiTheme="minorEastAsia" w:eastAsiaTheme="minorEastAsia" w:hAnsiTheme="minorEastAsia"/>
          <w:szCs w:val="21"/>
        </w:rPr>
        <w:t>指定媒介</w:t>
      </w:r>
      <w:r w:rsidRPr="00F17515">
        <w:rPr>
          <w:rFonts w:asciiTheme="minorEastAsia" w:eastAsiaTheme="minorEastAsia" w:hAnsiTheme="minorEastAsia"/>
          <w:szCs w:val="21"/>
        </w:rPr>
        <w:t>上刊登基金重新开放申购或赎回公告</w:t>
      </w:r>
      <w:r w:rsidRPr="00F17515">
        <w:rPr>
          <w:rFonts w:asciiTheme="minorEastAsia" w:eastAsiaTheme="minorEastAsia" w:hAnsiTheme="minorEastAsia" w:hint="eastAsia"/>
          <w:szCs w:val="21"/>
        </w:rPr>
        <w:t>，并公布最近1个开放日的基金份额净值。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如发生暂停的时间超过</w:t>
      </w: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日但少于</w:t>
      </w: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周，</w:t>
      </w:r>
      <w:r w:rsidRPr="00F17515">
        <w:rPr>
          <w:rFonts w:asciiTheme="minorEastAsia" w:eastAsiaTheme="minorEastAsia" w:hAnsiTheme="minorEastAsia" w:hint="eastAsia"/>
          <w:szCs w:val="21"/>
        </w:rPr>
        <w:t>暂停结束，</w:t>
      </w:r>
      <w:r w:rsidRPr="00F17515">
        <w:rPr>
          <w:rFonts w:asciiTheme="minorEastAsia" w:eastAsiaTheme="minorEastAsia" w:hAnsiTheme="minorEastAsia"/>
          <w:szCs w:val="21"/>
        </w:rPr>
        <w:t>基金重新开放申购或赎回时，基金管理人应提前</w:t>
      </w: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日在</w:t>
      </w:r>
      <w:r w:rsidR="00575E02" w:rsidRPr="00F17515">
        <w:rPr>
          <w:rFonts w:asciiTheme="minorEastAsia" w:eastAsiaTheme="minorEastAsia" w:hAnsiTheme="minorEastAsia"/>
          <w:szCs w:val="21"/>
        </w:rPr>
        <w:t>指定媒介</w:t>
      </w:r>
      <w:r w:rsidRPr="00F17515">
        <w:rPr>
          <w:rFonts w:asciiTheme="minorEastAsia" w:eastAsiaTheme="minorEastAsia" w:hAnsiTheme="minorEastAsia"/>
          <w:szCs w:val="21"/>
        </w:rPr>
        <w:t>上刊登基金重新开放申购或赎回公告</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并公告最近1个开</w:t>
      </w:r>
      <w:r w:rsidRPr="00F17515">
        <w:rPr>
          <w:rFonts w:asciiTheme="minorEastAsia" w:eastAsiaTheme="minorEastAsia" w:hAnsiTheme="minorEastAsia"/>
          <w:szCs w:val="21"/>
        </w:rPr>
        <w:lastRenderedPageBreak/>
        <w:t>放日的基金份额净值</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如发生暂停的时间超过</w:t>
      </w: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周，暂停期间，基金管理人应每</w:t>
      </w: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周至少刊登暂停公告</w:t>
      </w: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次。暂停结束，基金重新开放申购或赎回时，基金管理人应提前</w:t>
      </w: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日在</w:t>
      </w:r>
      <w:r w:rsidR="00575E02" w:rsidRPr="00F17515">
        <w:rPr>
          <w:rFonts w:asciiTheme="minorEastAsia" w:eastAsiaTheme="minorEastAsia" w:hAnsiTheme="minorEastAsia"/>
          <w:szCs w:val="21"/>
        </w:rPr>
        <w:t>指定媒介</w:t>
      </w:r>
      <w:r w:rsidRPr="00F17515">
        <w:rPr>
          <w:rFonts w:asciiTheme="minorEastAsia" w:eastAsiaTheme="minorEastAsia" w:hAnsiTheme="minorEastAsia"/>
          <w:szCs w:val="21"/>
        </w:rPr>
        <w:t>上连续刊登基金重新开放申购或赎回公告</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并公告最近</w:t>
      </w: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个开放日的基金份额净值。</w:t>
      </w: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107" w:name="_Toc41556782"/>
      <w:r w:rsidRPr="00F17515">
        <w:rPr>
          <w:rFonts w:asciiTheme="minorEastAsia" w:eastAsiaTheme="minorEastAsia" w:hAnsiTheme="minorEastAsia" w:hint="eastAsia"/>
          <w:b/>
        </w:rPr>
        <w:lastRenderedPageBreak/>
        <w:t>基金转换</w:t>
      </w:r>
      <w:bookmarkEnd w:id="107"/>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rPr>
        <w:t>基金转换是指基金份额持有人按基金管理人规定的条件将其持有的某一只基金的基金份额转换为同一基金管理人管理的另一只基金的基金份额的行为。</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08" w:name="_Toc198959616"/>
      <w:bookmarkStart w:id="109" w:name="_Toc41556783"/>
      <w:r w:rsidRPr="00F17515">
        <w:rPr>
          <w:rFonts w:asciiTheme="minorEastAsia" w:eastAsiaTheme="minorEastAsia" w:hAnsiTheme="minorEastAsia" w:hint="eastAsia"/>
        </w:rPr>
        <w:t>（一）</w:t>
      </w:r>
      <w:r w:rsidRPr="00F17515">
        <w:rPr>
          <w:rFonts w:asciiTheme="minorEastAsia" w:eastAsiaTheme="minorEastAsia" w:hAnsiTheme="minorEastAsia"/>
        </w:rPr>
        <w:t>基金转换开始日及</w:t>
      </w:r>
      <w:r w:rsidRPr="00F17515">
        <w:rPr>
          <w:rFonts w:asciiTheme="minorEastAsia" w:eastAsiaTheme="minorEastAsia" w:hAnsiTheme="minorEastAsia" w:hint="eastAsia"/>
        </w:rPr>
        <w:t>时间</w:t>
      </w:r>
      <w:bookmarkEnd w:id="108"/>
      <w:bookmarkEnd w:id="109"/>
    </w:p>
    <w:p w:rsidR="007228CC" w:rsidRPr="00F17515" w:rsidRDefault="004F0411"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本基金已于2008年9月26日开始办理</w:t>
      </w:r>
      <w:r w:rsidRPr="00F17515">
        <w:rPr>
          <w:rFonts w:asciiTheme="minorEastAsia" w:eastAsiaTheme="minorEastAsia" w:hAnsiTheme="minorEastAsia" w:hint="eastAsia"/>
          <w:szCs w:val="21"/>
        </w:rPr>
        <w:t>转换</w:t>
      </w:r>
      <w:r w:rsidRPr="00F17515">
        <w:rPr>
          <w:rFonts w:asciiTheme="minorEastAsia" w:eastAsiaTheme="minorEastAsia" w:hAnsiTheme="minorEastAsia" w:hint="eastAsia"/>
        </w:rPr>
        <w:t>业务</w:t>
      </w:r>
      <w:r w:rsidR="007228CC" w:rsidRPr="00F17515">
        <w:rPr>
          <w:rFonts w:asciiTheme="minorEastAsia" w:eastAsiaTheme="minorEastAsia" w:hAnsiTheme="minorEastAsia" w:hint="eastAsia"/>
        </w:rPr>
        <w:t>，具体实施办法参见相关公告</w:t>
      </w:r>
      <w:r w:rsidR="007228CC" w:rsidRPr="00F17515">
        <w:rPr>
          <w:rFonts w:asciiTheme="minorEastAsia" w:eastAsiaTheme="minorEastAsia" w:hAnsiTheme="minorEastAsia" w:cs="宋体" w:hint="eastAsia"/>
          <w:kern w:val="0"/>
          <w:szCs w:val="21"/>
        </w:rPr>
        <w:t>。</w:t>
      </w:r>
    </w:p>
    <w:p w:rsidR="007228CC" w:rsidRPr="00F17515" w:rsidRDefault="007228CC"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本基金办理转换业务的开放日为上海证券交易所和深圳证券交易所交易日。</w:t>
      </w:r>
      <w:r w:rsidRPr="00F17515">
        <w:rPr>
          <w:rFonts w:asciiTheme="minorEastAsia" w:eastAsiaTheme="minorEastAsia" w:hAnsiTheme="minorEastAsia" w:hint="eastAsia"/>
          <w:kern w:val="0"/>
          <w:szCs w:val="21"/>
        </w:rPr>
        <w:t>但基金管理人根据法律法规、中国证监会的要求或本基金合同的规定公告暂停转换时除外。</w:t>
      </w:r>
      <w:r w:rsidRPr="00F17515">
        <w:rPr>
          <w:rFonts w:asciiTheme="minorEastAsia" w:eastAsiaTheme="minorEastAsia" w:hAnsiTheme="minorEastAsia" w:hint="eastAsia"/>
          <w:szCs w:val="21"/>
        </w:rPr>
        <w:t>具体业务办理时间为上海证券交易所、深圳证券交易所的交易时间。若出现新的证券交易市场或交易所交易时间更改或</w:t>
      </w:r>
      <w:r w:rsidRPr="00F17515">
        <w:rPr>
          <w:rFonts w:asciiTheme="minorEastAsia" w:eastAsiaTheme="minorEastAsia" w:hAnsiTheme="minorEastAsia" w:hint="eastAsia"/>
          <w:kern w:val="0"/>
          <w:szCs w:val="21"/>
        </w:rPr>
        <w:t>其他特殊情况</w:t>
      </w:r>
      <w:r w:rsidRPr="00F17515">
        <w:rPr>
          <w:rFonts w:asciiTheme="minorEastAsia" w:eastAsiaTheme="minorEastAsia" w:hAnsiTheme="minorEastAsia" w:hint="eastAsia"/>
          <w:szCs w:val="21"/>
        </w:rPr>
        <w:t>，</w:t>
      </w:r>
      <w:r w:rsidRPr="00F17515">
        <w:rPr>
          <w:rFonts w:asciiTheme="minorEastAsia" w:eastAsiaTheme="minorEastAsia" w:hAnsiTheme="minorEastAsia" w:hint="eastAsia"/>
          <w:kern w:val="0"/>
          <w:szCs w:val="21"/>
        </w:rPr>
        <w:t>基金管理人将视情况对前述开放日及具体业务办理时间进行相应的调整并提前公告</w:t>
      </w:r>
      <w:r w:rsidRPr="00F17515">
        <w:rPr>
          <w:rFonts w:asciiTheme="minorEastAsia" w:eastAsiaTheme="minorEastAsia" w:hAnsiTheme="minorEastAsia" w:hint="eastAsia"/>
          <w:szCs w:val="21"/>
        </w:rPr>
        <w:t>。</w:t>
      </w:r>
    </w:p>
    <w:p w:rsidR="007228CC" w:rsidRPr="00F17515" w:rsidRDefault="007228CC"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投资者需在转出基金和转入基金均有交易的当日，方可办理基金转换业务。</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10" w:name="_Toc198959617"/>
      <w:bookmarkStart w:id="111" w:name="_Toc41556784"/>
      <w:r w:rsidRPr="00F17515">
        <w:rPr>
          <w:rFonts w:asciiTheme="minorEastAsia" w:eastAsiaTheme="minorEastAsia" w:hAnsiTheme="minorEastAsia" w:hint="eastAsia"/>
        </w:rPr>
        <w:t>（二）</w:t>
      </w:r>
      <w:r w:rsidRPr="00F17515">
        <w:rPr>
          <w:rFonts w:asciiTheme="minorEastAsia" w:eastAsiaTheme="minorEastAsia" w:hAnsiTheme="minorEastAsia"/>
        </w:rPr>
        <w:t>基金转换的原则</w:t>
      </w:r>
      <w:bookmarkEnd w:id="110"/>
      <w:bookmarkEnd w:id="111"/>
    </w:p>
    <w:p w:rsidR="007228CC" w:rsidRPr="00F17515" w:rsidRDefault="002A7F91"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本基金采用</w:t>
      </w:r>
      <w:r w:rsidR="007228CC" w:rsidRPr="00F17515">
        <w:rPr>
          <w:rFonts w:asciiTheme="minorEastAsia" w:eastAsiaTheme="minorEastAsia" w:hAnsiTheme="minorEastAsia"/>
        </w:rPr>
        <w:t>份额转换原则</w:t>
      </w:r>
      <w:r w:rsidR="007228CC" w:rsidRPr="00F17515">
        <w:rPr>
          <w:rFonts w:asciiTheme="minorEastAsia" w:eastAsiaTheme="minorEastAsia" w:hAnsiTheme="minorEastAsia" w:hint="eastAsia"/>
        </w:rPr>
        <w:t>，</w:t>
      </w:r>
      <w:r w:rsidR="007228CC" w:rsidRPr="00F17515">
        <w:rPr>
          <w:rFonts w:asciiTheme="minorEastAsia" w:eastAsiaTheme="minorEastAsia" w:hAnsiTheme="minorEastAsia"/>
        </w:rPr>
        <w:t>即转换以份额申请；</w:t>
      </w:r>
    </w:p>
    <w:p w:rsidR="007228CC" w:rsidRPr="00F17515" w:rsidRDefault="002A7F91"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当日的转换申请可以在当日交易结束时间前撤销，在当日的交易时间结束后不得撤销；</w:t>
      </w:r>
    </w:p>
    <w:p w:rsidR="007228CC" w:rsidRPr="00F17515" w:rsidRDefault="002A7F91"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3、</w:t>
      </w:r>
      <w:r w:rsidR="007228CC" w:rsidRPr="00F17515">
        <w:rPr>
          <w:rFonts w:asciiTheme="minorEastAsia" w:eastAsiaTheme="minorEastAsia" w:hAnsiTheme="minorEastAsia" w:hint="eastAsia"/>
        </w:rPr>
        <w:t>基金转换价格以申请转换当日各基金份额净值为基础计算；</w:t>
      </w:r>
    </w:p>
    <w:p w:rsidR="007228CC" w:rsidRPr="00F17515" w:rsidRDefault="002A7F91"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4、</w:t>
      </w:r>
      <w:r w:rsidR="007228CC" w:rsidRPr="00F17515">
        <w:rPr>
          <w:rFonts w:asciiTheme="minorEastAsia" w:eastAsiaTheme="minorEastAsia" w:hAnsiTheme="minorEastAsia" w:hint="eastAsia"/>
        </w:rPr>
        <w:t>投资者可在同时销售拟转出基金及转入基金的销售机构处办理基金转换。基金转换只能在同一销售机构进行。转换的两只基金必须都是该销售机构</w:t>
      </w:r>
      <w:r w:rsidR="00EA0085" w:rsidRPr="00F17515">
        <w:rPr>
          <w:rFonts w:asciiTheme="minorEastAsia" w:eastAsiaTheme="minorEastAsia" w:hAnsiTheme="minorEastAsia" w:hint="eastAsia"/>
        </w:rPr>
        <w:t>销售</w:t>
      </w:r>
      <w:r w:rsidR="007228CC" w:rsidRPr="00F17515">
        <w:rPr>
          <w:rFonts w:asciiTheme="minorEastAsia" w:eastAsiaTheme="minorEastAsia" w:hAnsiTheme="minorEastAsia" w:hint="eastAsia"/>
        </w:rPr>
        <w:t>的同一基金管理人管理的、在同一基金注册登记机构处注册的基金；</w:t>
      </w:r>
    </w:p>
    <w:p w:rsidR="007228CC" w:rsidRPr="00F17515" w:rsidRDefault="002A7F91"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5、</w:t>
      </w:r>
      <w:r w:rsidR="007228CC" w:rsidRPr="00F17515">
        <w:rPr>
          <w:rFonts w:asciiTheme="minorEastAsia" w:eastAsiaTheme="minorEastAsia" w:hAnsiTheme="minorEastAsia" w:hint="eastAsia"/>
        </w:rPr>
        <w:t>投资者办理基金转换业务时，转出方的基金必须处于可赎回状态，转入方的基金必须处于可申购状态；</w:t>
      </w:r>
    </w:p>
    <w:p w:rsidR="007228CC" w:rsidRPr="00F17515" w:rsidRDefault="002A7F91"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6、</w:t>
      </w:r>
      <w:r w:rsidR="007228CC" w:rsidRPr="00F17515">
        <w:rPr>
          <w:rFonts w:asciiTheme="minorEastAsia" w:eastAsiaTheme="minorEastAsia" w:hAnsiTheme="minorEastAsia"/>
        </w:rPr>
        <w:t>基金转换后，转入的基金份额的持有期将自转入的基金份额被确认之日起重新开始计算</w:t>
      </w:r>
      <w:r w:rsidR="007228CC" w:rsidRPr="00F17515">
        <w:rPr>
          <w:rFonts w:asciiTheme="minorEastAsia" w:eastAsiaTheme="minorEastAsia" w:hAnsiTheme="minorEastAsia" w:hint="eastAsia"/>
        </w:rPr>
        <w:t>；</w:t>
      </w:r>
    </w:p>
    <w:p w:rsidR="007228CC" w:rsidRPr="00F17515" w:rsidRDefault="002A7F91" w:rsidP="0071223F">
      <w:pPr>
        <w:pStyle w:val="ae"/>
        <w:snapToGrid w:val="0"/>
        <w:spacing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7、</w:t>
      </w:r>
      <w:r w:rsidR="007228CC" w:rsidRPr="00F17515">
        <w:rPr>
          <w:rFonts w:asciiTheme="minorEastAsia" w:eastAsiaTheme="minorEastAsia" w:hAnsiTheme="minorEastAsia"/>
        </w:rPr>
        <w:t>转换业务遵循“先进先出”的业务规则，</w:t>
      </w:r>
      <w:r w:rsidR="007228CC" w:rsidRPr="00F17515">
        <w:rPr>
          <w:rFonts w:asciiTheme="minorEastAsia" w:eastAsiaTheme="minorEastAsia" w:hAnsiTheme="minorEastAsia" w:hint="eastAsia"/>
        </w:rPr>
        <w:t>即份额注册日期在前的先转换出，份额注册日期在后的后转换出</w:t>
      </w:r>
      <w:r w:rsidR="007228CC" w:rsidRPr="00F17515">
        <w:rPr>
          <w:rFonts w:asciiTheme="minorEastAsia" w:eastAsiaTheme="minorEastAsia" w:hAnsiTheme="minorEastAsia"/>
        </w:rPr>
        <w:t>，如果转换申请当日，同时有赎回申请的情况下，则遵循先赎回后转换的处理原则；</w:t>
      </w:r>
    </w:p>
    <w:p w:rsidR="007228CC" w:rsidRPr="00F17515" w:rsidRDefault="002A7F91" w:rsidP="0071223F">
      <w:pPr>
        <w:pStyle w:val="ae"/>
        <w:snapToGrid w:val="0"/>
        <w:spacing w:line="360" w:lineRule="auto"/>
        <w:rPr>
          <w:rFonts w:asciiTheme="minorEastAsia" w:eastAsiaTheme="minorEastAsia" w:hAnsiTheme="minorEastAsia" w:cs="宋体"/>
          <w:kern w:val="0"/>
          <w:szCs w:val="21"/>
        </w:rPr>
      </w:pPr>
      <w:r w:rsidRPr="00F17515">
        <w:rPr>
          <w:rFonts w:asciiTheme="minorEastAsia" w:eastAsiaTheme="minorEastAsia" w:hAnsiTheme="minorEastAsia" w:hint="eastAsia"/>
        </w:rPr>
        <w:t>8、</w:t>
      </w:r>
      <w:r w:rsidR="007228CC" w:rsidRPr="00F17515">
        <w:rPr>
          <w:rFonts w:asciiTheme="minorEastAsia" w:eastAsiaTheme="minorEastAsia" w:hAnsiTheme="minorEastAsia" w:hint="eastAsia"/>
        </w:rPr>
        <w:t>基金管理人可在不损害基金份额持有人权益的情况下更改上述原则，但</w:t>
      </w:r>
      <w:r w:rsidR="007228CC" w:rsidRPr="00F17515">
        <w:rPr>
          <w:rFonts w:asciiTheme="minorEastAsia" w:eastAsiaTheme="minorEastAsia" w:hAnsiTheme="minorEastAsia" w:cs="宋体" w:hint="eastAsia"/>
          <w:kern w:val="0"/>
          <w:szCs w:val="21"/>
        </w:rPr>
        <w:t>最迟应在调整生效前</w:t>
      </w:r>
      <w:r w:rsidR="007228CC" w:rsidRPr="00F17515">
        <w:rPr>
          <w:rFonts w:asciiTheme="minorEastAsia" w:eastAsiaTheme="minorEastAsia" w:hAnsiTheme="minorEastAsia"/>
          <w:kern w:val="0"/>
          <w:szCs w:val="21"/>
        </w:rPr>
        <w:t>2</w:t>
      </w:r>
      <w:r w:rsidR="007228CC" w:rsidRPr="00F17515">
        <w:rPr>
          <w:rFonts w:asciiTheme="minorEastAsia" w:eastAsiaTheme="minorEastAsia" w:hAnsiTheme="minorEastAsia" w:cs="宋体" w:hint="eastAsia"/>
          <w:kern w:val="0"/>
          <w:szCs w:val="21"/>
        </w:rPr>
        <w:t>日至少在一种中国证监会指定的媒体上予以公告。</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12" w:name="_Toc198959618"/>
      <w:bookmarkStart w:id="113" w:name="_Toc41556785"/>
      <w:r w:rsidRPr="00F17515">
        <w:rPr>
          <w:rFonts w:asciiTheme="minorEastAsia" w:eastAsiaTheme="minorEastAsia" w:hAnsiTheme="minorEastAsia" w:hint="eastAsia"/>
        </w:rPr>
        <w:t>（三）基金转换的程序</w:t>
      </w:r>
      <w:bookmarkEnd w:id="112"/>
      <w:bookmarkEnd w:id="113"/>
    </w:p>
    <w:p w:rsidR="007228CC" w:rsidRPr="00F17515" w:rsidRDefault="002A7F91"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基金转换的申请方式</w:t>
      </w:r>
    </w:p>
    <w:p w:rsidR="007228CC" w:rsidRPr="00F17515" w:rsidRDefault="007228CC"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基金投资者必须根据基金管理人和基金</w:t>
      </w:r>
      <w:r w:rsidR="00B47054" w:rsidRPr="00F17515">
        <w:rPr>
          <w:rFonts w:asciiTheme="minorEastAsia" w:eastAsiaTheme="minorEastAsia" w:hAnsiTheme="minorEastAsia" w:hint="eastAsia"/>
        </w:rPr>
        <w:t>销售</w:t>
      </w:r>
      <w:r w:rsidRPr="00F17515">
        <w:rPr>
          <w:rFonts w:asciiTheme="minorEastAsia" w:eastAsiaTheme="minorEastAsia" w:hAnsiTheme="minorEastAsia" w:hint="eastAsia"/>
        </w:rPr>
        <w:t>机构规定的手续，在开放日的业务办理时间提出转换的申请。</w:t>
      </w:r>
    </w:p>
    <w:p w:rsidR="007228CC" w:rsidRPr="00F17515" w:rsidRDefault="007228CC"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lastRenderedPageBreak/>
        <w:t>提交基金转换申请时，账户中必须有足够可用的转出基金份额余额。</w:t>
      </w:r>
    </w:p>
    <w:p w:rsidR="007228CC" w:rsidRPr="00F17515" w:rsidRDefault="002A7F91"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基金转换申请的确认</w:t>
      </w:r>
    </w:p>
    <w:p w:rsidR="007228CC" w:rsidRPr="00F17515" w:rsidRDefault="007228CC"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14" w:name="_Toc198959619"/>
      <w:bookmarkStart w:id="115" w:name="_Toc41556786"/>
      <w:r w:rsidRPr="00F17515">
        <w:rPr>
          <w:rFonts w:asciiTheme="minorEastAsia" w:eastAsiaTheme="minorEastAsia" w:hAnsiTheme="minorEastAsia" w:hint="eastAsia"/>
        </w:rPr>
        <w:t>（四）基金转换的数额限制</w:t>
      </w:r>
      <w:bookmarkEnd w:id="114"/>
      <w:bookmarkEnd w:id="115"/>
    </w:p>
    <w:p w:rsidR="007228CC" w:rsidRPr="00F17515" w:rsidRDefault="007228CC"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cs="宋体" w:hint="eastAsia"/>
          <w:kern w:val="0"/>
          <w:szCs w:val="21"/>
        </w:rPr>
        <w:t>基金份额持有人可将其全部或部分基金份额转换成另一只基金，</w:t>
      </w:r>
      <w:r w:rsidR="007F6FE2" w:rsidRPr="00F17515">
        <w:rPr>
          <w:rFonts w:asciiTheme="minorEastAsia" w:eastAsiaTheme="minorEastAsia" w:hAnsiTheme="minorEastAsia" w:cs="宋体" w:hint="eastAsia"/>
          <w:kern w:val="0"/>
          <w:szCs w:val="21"/>
        </w:rPr>
        <w:t>每类基金份额单笔转出申请不得少于</w:t>
      </w:r>
      <w:r w:rsidR="005B2687" w:rsidRPr="00F17515">
        <w:rPr>
          <w:rFonts w:asciiTheme="minorEastAsia" w:eastAsiaTheme="minorEastAsia" w:hAnsiTheme="minorEastAsia" w:cs="宋体" w:hint="eastAsia"/>
          <w:kern w:val="0"/>
          <w:szCs w:val="21"/>
        </w:rPr>
        <w:t>1</w:t>
      </w:r>
      <w:r w:rsidRPr="00F17515">
        <w:rPr>
          <w:rFonts w:asciiTheme="minorEastAsia" w:eastAsiaTheme="minorEastAsia" w:hAnsiTheme="minorEastAsia" w:cs="宋体" w:hint="eastAsia"/>
          <w:kern w:val="0"/>
          <w:szCs w:val="21"/>
        </w:rPr>
        <w:t>份（</w:t>
      </w:r>
      <w:r w:rsidR="007F6FE2" w:rsidRPr="00F17515">
        <w:rPr>
          <w:rFonts w:asciiTheme="minorEastAsia" w:eastAsiaTheme="minorEastAsia" w:hAnsiTheme="minorEastAsia" w:cs="宋体" w:hint="eastAsia"/>
          <w:kern w:val="0"/>
          <w:szCs w:val="21"/>
        </w:rPr>
        <w:t>如该账户在该销售机构托管的该类基金余额不足</w:t>
      </w:r>
      <w:r w:rsidR="005B2687" w:rsidRPr="00F17515">
        <w:rPr>
          <w:rFonts w:asciiTheme="minorEastAsia" w:eastAsiaTheme="minorEastAsia" w:hAnsiTheme="minorEastAsia" w:cs="宋体" w:hint="eastAsia"/>
          <w:kern w:val="0"/>
          <w:szCs w:val="21"/>
        </w:rPr>
        <w:t>1</w:t>
      </w:r>
      <w:r w:rsidRPr="00F17515">
        <w:rPr>
          <w:rFonts w:asciiTheme="minorEastAsia" w:eastAsiaTheme="minorEastAsia" w:hAnsiTheme="minorEastAsia" w:cs="宋体" w:hint="eastAsia"/>
          <w:kern w:val="0"/>
          <w:szCs w:val="21"/>
        </w:rPr>
        <w:t>份，则必须一次性赎回或转出该</w:t>
      </w:r>
      <w:r w:rsidR="007F6FE2" w:rsidRPr="00F17515">
        <w:rPr>
          <w:rFonts w:asciiTheme="minorEastAsia" w:eastAsiaTheme="minorEastAsia" w:hAnsiTheme="minorEastAsia" w:cs="宋体" w:hint="eastAsia"/>
          <w:kern w:val="0"/>
          <w:szCs w:val="21"/>
        </w:rPr>
        <w:t>类</w:t>
      </w:r>
      <w:r w:rsidRPr="00F17515">
        <w:rPr>
          <w:rFonts w:asciiTheme="minorEastAsia" w:eastAsiaTheme="minorEastAsia" w:hAnsiTheme="minorEastAsia" w:cs="宋体" w:hint="eastAsia"/>
          <w:kern w:val="0"/>
          <w:szCs w:val="21"/>
        </w:rPr>
        <w:t>基金全部份额）；若某笔转换导致投资者在</w:t>
      </w:r>
      <w:r w:rsidR="007F6FE2" w:rsidRPr="00F17515">
        <w:rPr>
          <w:rFonts w:asciiTheme="minorEastAsia" w:eastAsiaTheme="minorEastAsia" w:hAnsiTheme="minorEastAsia" w:cs="宋体" w:hint="eastAsia"/>
          <w:kern w:val="0"/>
          <w:szCs w:val="21"/>
        </w:rPr>
        <w:t>该</w:t>
      </w:r>
      <w:r w:rsidRPr="00F17515">
        <w:rPr>
          <w:rFonts w:asciiTheme="minorEastAsia" w:eastAsiaTheme="minorEastAsia" w:hAnsiTheme="minorEastAsia" w:cs="宋体" w:hint="eastAsia"/>
          <w:kern w:val="0"/>
          <w:szCs w:val="21"/>
        </w:rPr>
        <w:t>销售机构托管的该类基金余额不足</w:t>
      </w:r>
      <w:r w:rsidR="005B2687" w:rsidRPr="00F17515">
        <w:rPr>
          <w:rFonts w:asciiTheme="minorEastAsia" w:eastAsiaTheme="minorEastAsia" w:hAnsiTheme="minorEastAsia" w:cs="宋体" w:hint="eastAsia"/>
          <w:kern w:val="0"/>
          <w:szCs w:val="21"/>
        </w:rPr>
        <w:t>1</w:t>
      </w:r>
      <w:r w:rsidRPr="00F17515">
        <w:rPr>
          <w:rFonts w:asciiTheme="minorEastAsia" w:eastAsiaTheme="minorEastAsia" w:hAnsiTheme="minorEastAsia" w:cs="宋体" w:hint="eastAsia"/>
          <w:kern w:val="0"/>
          <w:szCs w:val="21"/>
        </w:rPr>
        <w:t>份时，基金管理人有权将投资者在该销售机构托管的该类基金剩余份额一次性全部赎回。</w:t>
      </w:r>
    </w:p>
    <w:p w:rsidR="007228CC" w:rsidRPr="00F17515" w:rsidRDefault="007228CC"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基金管理人可根据市场情况制定或调整上述基金转换的程序及有关限制，但</w:t>
      </w:r>
      <w:r w:rsidRPr="00F17515">
        <w:rPr>
          <w:rFonts w:asciiTheme="minorEastAsia" w:eastAsiaTheme="minorEastAsia" w:hAnsiTheme="minorEastAsia" w:cs="宋体" w:hint="eastAsia"/>
          <w:kern w:val="0"/>
          <w:szCs w:val="21"/>
        </w:rPr>
        <w:t>最迟应在调整生效前</w:t>
      </w:r>
      <w:r w:rsidRPr="00F17515">
        <w:rPr>
          <w:rFonts w:asciiTheme="minorEastAsia" w:eastAsiaTheme="minorEastAsia" w:hAnsiTheme="minorEastAsia"/>
          <w:kern w:val="0"/>
          <w:szCs w:val="21"/>
        </w:rPr>
        <w:t>2</w:t>
      </w:r>
      <w:r w:rsidRPr="00F17515">
        <w:rPr>
          <w:rFonts w:asciiTheme="minorEastAsia" w:eastAsiaTheme="minorEastAsia" w:hAnsiTheme="minorEastAsia" w:cs="宋体" w:hint="eastAsia"/>
          <w:kern w:val="0"/>
          <w:szCs w:val="21"/>
        </w:rPr>
        <w:t>日至少在一种中国证监会指定的媒体上予以公告。</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16" w:name="_Toc87367293"/>
      <w:bookmarkStart w:id="117" w:name="_Toc198959620"/>
      <w:bookmarkStart w:id="118" w:name="_Toc41556787"/>
      <w:r w:rsidRPr="00F17515">
        <w:rPr>
          <w:rFonts w:asciiTheme="minorEastAsia" w:eastAsiaTheme="minorEastAsia" w:hAnsiTheme="minorEastAsia" w:hint="eastAsia"/>
        </w:rPr>
        <w:t>（五）基金转换费率</w:t>
      </w:r>
      <w:bookmarkEnd w:id="116"/>
      <w:bookmarkEnd w:id="117"/>
      <w:bookmarkEnd w:id="118"/>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szCs w:val="21"/>
        </w:rPr>
      </w:pPr>
      <w:r w:rsidRPr="00F17515">
        <w:rPr>
          <w:rFonts w:asciiTheme="minorEastAsia" w:eastAsiaTheme="minorEastAsia" w:hAnsiTheme="minorEastAsia" w:hint="eastAsia"/>
        </w:rPr>
        <w:t>基金转换费由基金份额持有人承担，</w:t>
      </w:r>
      <w:r w:rsidRPr="00F17515">
        <w:rPr>
          <w:rFonts w:asciiTheme="minorEastAsia" w:eastAsiaTheme="minorEastAsia" w:hAnsiTheme="minorEastAsia" w:hint="eastAsia"/>
          <w:szCs w:val="21"/>
        </w:rPr>
        <w:t>由转出基金赎回费用及基金申购补差费用构成，其中赎回费按照</w:t>
      </w:r>
      <w:r w:rsidR="006001E9" w:rsidRPr="00F17515">
        <w:rPr>
          <w:rFonts w:asciiTheme="minorEastAsia" w:eastAsiaTheme="minorEastAsia" w:hAnsiTheme="minorEastAsia" w:hint="eastAsia"/>
          <w:szCs w:val="21"/>
        </w:rPr>
        <w:t>各</w:t>
      </w:r>
      <w:r w:rsidR="006001E9" w:rsidRPr="00F17515">
        <w:rPr>
          <w:rFonts w:asciiTheme="minorEastAsia" w:eastAsiaTheme="minorEastAsia" w:hAnsiTheme="minorEastAsia"/>
          <w:szCs w:val="21"/>
        </w:rPr>
        <w:t>基金的</w:t>
      </w:r>
      <w:r w:rsidRPr="00F17515">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F17515">
        <w:rPr>
          <w:rFonts w:asciiTheme="minorEastAsia" w:eastAsiaTheme="minorEastAsia" w:hAnsiTheme="minorEastAsia" w:hint="eastAsia"/>
        </w:rPr>
        <w:t>基金转换费率详见相关公告。</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bookmarkStart w:id="119" w:name="_Toc182826360"/>
      <w:bookmarkStart w:id="120" w:name="_Toc198959621"/>
      <w:r w:rsidRPr="00F17515">
        <w:rPr>
          <w:rFonts w:asciiTheme="minorEastAsia" w:eastAsiaTheme="minorEastAsia" w:hAnsiTheme="minorEastAsia"/>
        </w:rPr>
        <w:t>基金管理人可以在基金合同规定的范围内调整</w:t>
      </w:r>
      <w:r w:rsidRPr="00F17515">
        <w:rPr>
          <w:rFonts w:asciiTheme="minorEastAsia" w:eastAsiaTheme="minorEastAsia" w:hAnsiTheme="minorEastAsia" w:hint="eastAsia"/>
        </w:rPr>
        <w:t>上述</w:t>
      </w:r>
      <w:r w:rsidRPr="00F17515">
        <w:rPr>
          <w:rFonts w:asciiTheme="minorEastAsia" w:eastAsiaTheme="minorEastAsia" w:hAnsiTheme="minorEastAsia"/>
        </w:rPr>
        <w:t>费率</w:t>
      </w:r>
      <w:r w:rsidRPr="00F17515">
        <w:rPr>
          <w:rFonts w:asciiTheme="minorEastAsia" w:eastAsiaTheme="minorEastAsia" w:hAnsiTheme="minorEastAsia" w:hint="eastAsia"/>
        </w:rPr>
        <w:t>。</w:t>
      </w:r>
      <w:r w:rsidRPr="00F17515">
        <w:rPr>
          <w:rFonts w:asciiTheme="minorEastAsia" w:eastAsiaTheme="minorEastAsia" w:hAnsiTheme="minorEastAsia"/>
        </w:rPr>
        <w:t>上述费率如发生变更，基金管理人应最迟于新的费率实施前</w:t>
      </w:r>
      <w:r w:rsidRPr="00F17515">
        <w:rPr>
          <w:rFonts w:asciiTheme="minorEastAsia" w:eastAsiaTheme="minorEastAsia" w:hAnsiTheme="minorEastAsia" w:hint="eastAsia"/>
        </w:rPr>
        <w:t>2</w:t>
      </w:r>
      <w:r w:rsidRPr="00F17515">
        <w:rPr>
          <w:rFonts w:asciiTheme="minorEastAsia" w:eastAsiaTheme="minorEastAsia" w:hAnsiTheme="minorEastAsia"/>
        </w:rPr>
        <w:t>日在至少一种中国证监会指定</w:t>
      </w:r>
      <w:r w:rsidR="00D53B98" w:rsidRPr="00F17515">
        <w:rPr>
          <w:rFonts w:asciiTheme="minorEastAsia" w:eastAsiaTheme="minorEastAsia" w:hAnsiTheme="minorEastAsia" w:hint="eastAsia"/>
        </w:rPr>
        <w:t>媒介</w:t>
      </w:r>
      <w:r w:rsidRPr="00F17515">
        <w:rPr>
          <w:rFonts w:asciiTheme="minorEastAsia" w:eastAsiaTheme="minorEastAsia" w:hAnsiTheme="minorEastAsia"/>
        </w:rPr>
        <w:t>公告。</w:t>
      </w:r>
    </w:p>
    <w:p w:rsidR="007228CC" w:rsidRPr="00F17515" w:rsidRDefault="009861F0"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21" w:name="_Toc41556788"/>
      <w:r w:rsidRPr="00F17515">
        <w:rPr>
          <w:rFonts w:asciiTheme="minorEastAsia" w:eastAsiaTheme="minorEastAsia" w:hAnsiTheme="minorEastAsia" w:hint="eastAsia"/>
        </w:rPr>
        <w:t>（六）基金转换份额的计算方式</w:t>
      </w:r>
      <w:bookmarkEnd w:id="119"/>
      <w:bookmarkEnd w:id="120"/>
      <w:bookmarkEnd w:id="121"/>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计算公式：</w:t>
      </w:r>
    </w:p>
    <w:p w:rsidR="007228CC" w:rsidRPr="00F17515" w:rsidRDefault="007228CC" w:rsidP="00AE7D92">
      <w:pPr>
        <w:snapToGrid w:val="0"/>
        <w:spacing w:line="360" w:lineRule="auto"/>
        <w:ind w:firstLine="482"/>
        <w:rPr>
          <w:rFonts w:asciiTheme="minorEastAsia" w:eastAsiaTheme="minorEastAsia" w:hAnsiTheme="minorEastAsia"/>
        </w:rPr>
      </w:pPr>
      <w:r w:rsidRPr="00F17515">
        <w:rPr>
          <w:rFonts w:asciiTheme="minorEastAsia" w:eastAsiaTheme="minorEastAsia" w:hAnsiTheme="minorEastAsia" w:hint="eastAsia"/>
        </w:rPr>
        <w:t>A＝［B×C×(1-D)/（1+G）+F］/E</w:t>
      </w:r>
    </w:p>
    <w:p w:rsidR="007228CC" w:rsidRPr="00F17515" w:rsidRDefault="007228CC" w:rsidP="00AE7D92">
      <w:pPr>
        <w:snapToGrid w:val="0"/>
        <w:spacing w:line="360" w:lineRule="auto"/>
        <w:ind w:firstLine="482"/>
        <w:rPr>
          <w:rFonts w:asciiTheme="minorEastAsia" w:eastAsiaTheme="minorEastAsia" w:hAnsiTheme="minorEastAsia"/>
        </w:rPr>
      </w:pPr>
      <w:r w:rsidRPr="00F17515">
        <w:rPr>
          <w:rFonts w:asciiTheme="minorEastAsia" w:eastAsiaTheme="minorEastAsia" w:hAnsiTheme="minorEastAsia" w:hint="eastAsia"/>
        </w:rPr>
        <w:t>H＝</w:t>
      </w:r>
      <w:r w:rsidRPr="00F17515">
        <w:rPr>
          <w:rFonts w:asciiTheme="minorEastAsia" w:eastAsiaTheme="minorEastAsia" w:hAnsiTheme="minorEastAsia"/>
        </w:rPr>
        <w:t>B×C×D</w:t>
      </w:r>
    </w:p>
    <w:p w:rsidR="007228CC" w:rsidRPr="00F17515" w:rsidRDefault="007228CC" w:rsidP="00AE7D92">
      <w:pPr>
        <w:snapToGrid w:val="0"/>
        <w:spacing w:line="360" w:lineRule="auto"/>
        <w:ind w:firstLine="482"/>
        <w:rPr>
          <w:rFonts w:asciiTheme="minorEastAsia" w:eastAsiaTheme="minorEastAsia" w:hAnsiTheme="minorEastAsia"/>
        </w:rPr>
      </w:pPr>
      <w:r w:rsidRPr="00F17515">
        <w:rPr>
          <w:rFonts w:asciiTheme="minorEastAsia" w:eastAsiaTheme="minorEastAsia" w:hAnsiTheme="minorEastAsia" w:hint="eastAsia"/>
        </w:rPr>
        <w:t>J＝[B×C×(1-D)/(1+G)]×G</w:t>
      </w:r>
    </w:p>
    <w:p w:rsidR="007228CC" w:rsidRPr="00F17515" w:rsidRDefault="007228CC" w:rsidP="0071223F">
      <w:pPr>
        <w:snapToGrid w:val="0"/>
        <w:spacing w:line="360" w:lineRule="auto"/>
        <w:ind w:firstLine="482"/>
        <w:rPr>
          <w:rFonts w:asciiTheme="minorEastAsia" w:eastAsiaTheme="minorEastAsia" w:hAnsiTheme="minorEastAsia"/>
        </w:rPr>
      </w:pPr>
      <w:r w:rsidRPr="00F17515">
        <w:rPr>
          <w:rFonts w:asciiTheme="minorEastAsia" w:eastAsiaTheme="minorEastAsia" w:hAnsiTheme="minorEastAsia" w:hint="eastAsia"/>
        </w:rPr>
        <w:t>其中，</w:t>
      </w:r>
      <w:r w:rsidRPr="00F17515">
        <w:rPr>
          <w:rFonts w:asciiTheme="minorEastAsia" w:eastAsiaTheme="minorEastAsia" w:hAnsiTheme="minorEastAsia"/>
        </w:rPr>
        <w:t>A</w:t>
      </w:r>
      <w:r w:rsidRPr="00F17515">
        <w:rPr>
          <w:rFonts w:asciiTheme="minorEastAsia" w:eastAsiaTheme="minorEastAsia" w:hAnsiTheme="minorEastAsia" w:hint="eastAsia"/>
        </w:rPr>
        <w:t>为转入的基金份额；</w:t>
      </w:r>
      <w:r w:rsidRPr="00F17515">
        <w:rPr>
          <w:rFonts w:asciiTheme="minorEastAsia" w:eastAsiaTheme="minorEastAsia" w:hAnsiTheme="minorEastAsia"/>
        </w:rPr>
        <w:t>B</w:t>
      </w:r>
      <w:r w:rsidRPr="00F17515">
        <w:rPr>
          <w:rFonts w:asciiTheme="minorEastAsia" w:eastAsiaTheme="minorEastAsia" w:hAnsiTheme="minorEastAsia" w:hint="eastAsia"/>
        </w:rPr>
        <w:t>为转出的基金份额；</w:t>
      </w:r>
      <w:r w:rsidRPr="00F17515">
        <w:rPr>
          <w:rFonts w:asciiTheme="minorEastAsia" w:eastAsiaTheme="minorEastAsia" w:hAnsiTheme="minorEastAsia"/>
        </w:rPr>
        <w:t>C</w:t>
      </w:r>
      <w:r w:rsidRPr="00F17515">
        <w:rPr>
          <w:rFonts w:asciiTheme="minorEastAsia" w:eastAsiaTheme="minorEastAsia" w:hAnsiTheme="minorEastAsia" w:hint="eastAsia"/>
        </w:rPr>
        <w:t>为转换申请当日转出基金的基金份额净值；</w:t>
      </w:r>
      <w:r w:rsidRPr="00F17515">
        <w:rPr>
          <w:rFonts w:asciiTheme="minorEastAsia" w:eastAsiaTheme="minorEastAsia" w:hAnsiTheme="minorEastAsia"/>
        </w:rPr>
        <w:t>D</w:t>
      </w:r>
      <w:r w:rsidRPr="00F17515">
        <w:rPr>
          <w:rFonts w:asciiTheme="minorEastAsia" w:eastAsiaTheme="minorEastAsia" w:hAnsiTheme="minorEastAsia" w:hint="eastAsia"/>
        </w:rPr>
        <w:t>为转出基金的对应赎回费率，</w:t>
      </w:r>
      <w:r w:rsidRPr="00F17515">
        <w:rPr>
          <w:rFonts w:asciiTheme="minorEastAsia" w:eastAsiaTheme="minorEastAsia" w:hAnsiTheme="minorEastAsia"/>
        </w:rPr>
        <w:t>G</w:t>
      </w:r>
      <w:r w:rsidRPr="00F17515">
        <w:rPr>
          <w:rFonts w:asciiTheme="minorEastAsia" w:eastAsiaTheme="minorEastAsia" w:hAnsiTheme="minorEastAsia" w:hint="eastAsia"/>
        </w:rPr>
        <w:t>为对应的申购补差费率；</w:t>
      </w:r>
      <w:r w:rsidRPr="00F17515">
        <w:rPr>
          <w:rFonts w:asciiTheme="minorEastAsia" w:eastAsiaTheme="minorEastAsia" w:hAnsiTheme="minorEastAsia"/>
        </w:rPr>
        <w:t>E</w:t>
      </w:r>
      <w:r w:rsidRPr="00F17515">
        <w:rPr>
          <w:rFonts w:asciiTheme="minorEastAsia" w:eastAsiaTheme="minorEastAsia" w:hAnsiTheme="minorEastAsia" w:hint="eastAsia"/>
        </w:rPr>
        <w:t>为转换申请当日转入基金的基金份额净值；</w:t>
      </w:r>
      <w:r w:rsidR="00737A69" w:rsidRPr="00F17515">
        <w:rPr>
          <w:rFonts w:asciiTheme="minorEastAsia" w:eastAsiaTheme="minorEastAsia" w:hAnsiTheme="minorEastAsia" w:hint="eastAsia"/>
        </w:rPr>
        <w:t>F为货币市场基金全部转出时注册登记机构已支付的未付收益</w:t>
      </w:r>
      <w:r w:rsidR="007C3B09" w:rsidRPr="00F17515">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1015EA" w:rsidRPr="00F17515">
        <w:rPr>
          <w:rFonts w:asciiTheme="minorEastAsia" w:eastAsiaTheme="minorEastAsia" w:hAnsiTheme="minorEastAsia" w:hint="eastAsia"/>
        </w:rPr>
        <w:t>、易</w:t>
      </w:r>
      <w:r w:rsidR="007C3B09" w:rsidRPr="00F17515">
        <w:rPr>
          <w:rFonts w:asciiTheme="minorEastAsia" w:eastAsiaTheme="minorEastAsia" w:hAnsiTheme="minorEastAsia" w:hint="eastAsia"/>
        </w:rPr>
        <w:t>方达龙宝货币市场基金</w:t>
      </w:r>
      <w:r w:rsidR="001015EA" w:rsidRPr="00F17515">
        <w:rPr>
          <w:rFonts w:asciiTheme="minorEastAsia" w:eastAsiaTheme="minorEastAsia" w:hAnsiTheme="minorEastAsia" w:hint="eastAsia"/>
        </w:rPr>
        <w:t>、易方达增金宝货币市场基金</w:t>
      </w:r>
      <w:r w:rsidR="009A1EA6" w:rsidRPr="00F17515">
        <w:rPr>
          <w:rFonts w:asciiTheme="minorEastAsia" w:eastAsiaTheme="minorEastAsia" w:hAnsiTheme="minorEastAsia" w:hint="eastAsia"/>
        </w:rPr>
        <w:t>、易</w:t>
      </w:r>
      <w:r w:rsidR="001015EA" w:rsidRPr="00F17515">
        <w:rPr>
          <w:rFonts w:asciiTheme="minorEastAsia" w:eastAsiaTheme="minorEastAsia" w:hAnsiTheme="minorEastAsia" w:hint="eastAsia"/>
        </w:rPr>
        <w:t>方达现金增利货币市场基金</w:t>
      </w:r>
      <w:r w:rsidR="009A1EA6" w:rsidRPr="00F17515">
        <w:rPr>
          <w:rFonts w:asciiTheme="minorEastAsia" w:eastAsiaTheme="minorEastAsia" w:hAnsiTheme="minorEastAsia" w:hint="eastAsia"/>
        </w:rPr>
        <w:t>、易方达天天发货币市场基金</w:t>
      </w:r>
      <w:r w:rsidR="00737A69" w:rsidRPr="00F17515">
        <w:rPr>
          <w:rFonts w:asciiTheme="minorEastAsia" w:eastAsiaTheme="minorEastAsia" w:hAnsiTheme="minorEastAsia" w:hint="eastAsia"/>
        </w:rPr>
        <w:t>、易方达易理财货币市场</w:t>
      </w:r>
      <w:r w:rsidR="00737A69" w:rsidRPr="00F17515">
        <w:rPr>
          <w:rFonts w:asciiTheme="minorEastAsia" w:eastAsiaTheme="minorEastAsia" w:hAnsiTheme="minorEastAsia" w:hint="eastAsia"/>
        </w:rPr>
        <w:lastRenderedPageBreak/>
        <w:t>基金</w:t>
      </w:r>
      <w:r w:rsidR="007C3B09" w:rsidRPr="00F17515">
        <w:rPr>
          <w:rFonts w:asciiTheme="minorEastAsia" w:eastAsiaTheme="minorEastAsia" w:hAnsiTheme="minorEastAsia" w:hint="eastAsia"/>
        </w:rPr>
        <w:t>）或者短期理财基金转出时对应的累计未付收益（</w:t>
      </w:r>
      <w:r w:rsidR="007F6FE2" w:rsidRPr="00F17515">
        <w:rPr>
          <w:rFonts w:asciiTheme="minorEastAsia" w:eastAsiaTheme="minorEastAsia" w:hAnsiTheme="minorEastAsia" w:hint="eastAsia"/>
        </w:rPr>
        <w:t>转出基金为易方达月月利理财债券型证券投资基金和易方达掌柜季季盈理财债券型证券投资基金</w:t>
      </w:r>
      <w:r w:rsidR="007C3B09" w:rsidRPr="00F17515">
        <w:rPr>
          <w:rFonts w:asciiTheme="minorEastAsia" w:eastAsiaTheme="minorEastAsia" w:hAnsiTheme="minorEastAsia" w:hint="eastAsia"/>
        </w:rPr>
        <w:t>）</w:t>
      </w:r>
      <w:r w:rsidRPr="00F17515">
        <w:rPr>
          <w:rFonts w:asciiTheme="minorEastAsia" w:eastAsiaTheme="minorEastAsia" w:hAnsiTheme="minorEastAsia" w:hint="eastAsia"/>
          <w:szCs w:val="20"/>
        </w:rPr>
        <w:t>；H为</w:t>
      </w:r>
      <w:r w:rsidRPr="00F17515">
        <w:rPr>
          <w:rFonts w:asciiTheme="minorEastAsia" w:eastAsiaTheme="minorEastAsia" w:hAnsiTheme="minorEastAsia" w:hint="eastAsia"/>
        </w:rPr>
        <w:t>转出基金赎回费；J为申购补差费。</w:t>
      </w:r>
    </w:p>
    <w:p w:rsidR="00737A69" w:rsidRPr="00F17515" w:rsidRDefault="00737A69" w:rsidP="0071223F">
      <w:pPr>
        <w:snapToGrid w:val="0"/>
        <w:spacing w:line="360" w:lineRule="auto"/>
        <w:ind w:firstLine="482"/>
        <w:rPr>
          <w:rFonts w:asciiTheme="minorEastAsia" w:eastAsiaTheme="minorEastAsia" w:hAnsiTheme="minorEastAsia"/>
        </w:rPr>
      </w:pPr>
      <w:r w:rsidRPr="00F17515">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7228CC" w:rsidRPr="00F17515" w:rsidRDefault="007228CC" w:rsidP="0071223F">
      <w:pPr>
        <w:snapToGrid w:val="0"/>
        <w:spacing w:line="360" w:lineRule="auto"/>
        <w:ind w:firstLine="482"/>
        <w:rPr>
          <w:rFonts w:asciiTheme="minorEastAsia" w:eastAsiaTheme="minorEastAsia" w:hAnsiTheme="minorEastAsia"/>
        </w:rPr>
      </w:pPr>
      <w:r w:rsidRPr="00F17515">
        <w:rPr>
          <w:rFonts w:asciiTheme="minorEastAsia" w:eastAsiaTheme="minorEastAsia" w:hAnsiTheme="minorEastAsia" w:hint="eastAsia"/>
        </w:rPr>
        <w:t>说明：</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rPr>
        <w:t>1</w:t>
      </w:r>
      <w:r w:rsidR="002A7F91" w:rsidRPr="00F17515">
        <w:rPr>
          <w:rFonts w:asciiTheme="minorEastAsia" w:eastAsiaTheme="minorEastAsia" w:hAnsiTheme="minorEastAsia" w:hint="eastAsia"/>
        </w:rPr>
        <w:t>、</w:t>
      </w:r>
      <w:r w:rsidRPr="00F17515">
        <w:rPr>
          <w:rFonts w:asciiTheme="minorEastAsia" w:eastAsiaTheme="minorEastAsia" w:hAnsiTheme="minorEastAsia" w:hint="eastAsia"/>
        </w:rPr>
        <w:t>基金转换费用由转出基金赎回费用及基金申购补差费用构成。</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rPr>
        <w:t>2</w:t>
      </w:r>
      <w:r w:rsidR="002A7F91" w:rsidRPr="00F17515">
        <w:rPr>
          <w:rFonts w:asciiTheme="minorEastAsia" w:eastAsiaTheme="minorEastAsia" w:hAnsiTheme="minorEastAsia" w:hint="eastAsia"/>
        </w:rPr>
        <w:t>、</w:t>
      </w:r>
      <w:r w:rsidRPr="00F17515">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F17515">
        <w:rPr>
          <w:rFonts w:asciiTheme="minorEastAsia" w:eastAsiaTheme="minorEastAsia" w:hAnsiTheme="minorEastAsia"/>
        </w:rPr>
        <w:t>,</w:t>
      </w:r>
      <w:r w:rsidRPr="00F17515">
        <w:rPr>
          <w:rFonts w:asciiTheme="minorEastAsia" w:eastAsiaTheme="minorEastAsia" w:hAnsiTheme="minorEastAsia" w:hint="eastAsia"/>
        </w:rPr>
        <w:t>不收取申购补差费用</w:t>
      </w:r>
      <w:r w:rsidR="00941EC8" w:rsidRPr="00F17515">
        <w:rPr>
          <w:rFonts w:asciiTheme="minorEastAsia" w:eastAsiaTheme="minorEastAsia" w:hAnsiTheme="minorEastAsia" w:hint="eastAsia"/>
          <w:szCs w:val="21"/>
        </w:rPr>
        <w:t>（注：对通过直销中心申购实施差别申购费率的特定投资群体基金份额的申购费，以除通过直销中心申购的特定投资群体之外的其他投资者申购费为比较标准）</w:t>
      </w:r>
      <w:r w:rsidRPr="00F17515">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。申购补差费用按照转换金额对应的转出基金与转入基金的申购费率差额进行补差，具体收取情况视每次转换时两只基金的申购费率的差异情况而定并见相关公告。</w:t>
      </w:r>
    </w:p>
    <w:p w:rsidR="007228CC" w:rsidRPr="00F17515" w:rsidRDefault="002A7F91"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3、</w:t>
      </w:r>
      <w:r w:rsidR="007228CC" w:rsidRPr="00F17515">
        <w:rPr>
          <w:rFonts w:asciiTheme="minorEastAsia" w:eastAsiaTheme="minorEastAsia" w:hAnsiTheme="minorEastAsia" w:hint="eastAsia"/>
        </w:rPr>
        <w:t>转出基金时，如涉及的转出基金有赎回费用，收取该基金的赎回费用。收取的赎回费按照</w:t>
      </w:r>
      <w:r w:rsidR="009A1EA6" w:rsidRPr="00F17515">
        <w:rPr>
          <w:rFonts w:asciiTheme="minorEastAsia" w:eastAsiaTheme="minorEastAsia" w:hAnsiTheme="minorEastAsia" w:hint="eastAsia"/>
        </w:rPr>
        <w:t>各基金的</w:t>
      </w:r>
      <w:r w:rsidR="007228CC" w:rsidRPr="00F17515">
        <w:rPr>
          <w:rFonts w:asciiTheme="minorEastAsia" w:eastAsiaTheme="minorEastAsia" w:hAnsiTheme="minorEastAsia" w:hint="eastAsia"/>
        </w:rPr>
        <w:t>基金合同、更新的招募说明书及最新的相关公告约定的比例归入基金财产，其余部分用于支付注册登记费等相关手续费。</w:t>
      </w:r>
    </w:p>
    <w:p w:rsidR="007228CC" w:rsidRPr="00F17515" w:rsidRDefault="002A7F91"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4、</w:t>
      </w:r>
      <w:r w:rsidR="007228CC" w:rsidRPr="00F17515">
        <w:rPr>
          <w:rFonts w:asciiTheme="minorEastAsia" w:eastAsiaTheme="minorEastAsia" w:hAnsiTheme="minorEastAsia" w:hint="eastAsia"/>
        </w:rPr>
        <w:t>投资者可以发起多次基金转换业务，基金转换费用按每笔申请单独计算。</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举例说明</w:t>
      </w:r>
      <w:r w:rsidRPr="00F17515">
        <w:rPr>
          <w:rFonts w:asciiTheme="minorEastAsia" w:eastAsiaTheme="minorEastAsia" w:hAnsiTheme="minorEastAsia"/>
        </w:rPr>
        <w:t>：</w:t>
      </w:r>
      <w:r w:rsidRPr="00F17515">
        <w:rPr>
          <w:rFonts w:asciiTheme="minorEastAsia" w:eastAsiaTheme="minorEastAsia" w:hAnsiTheme="minorEastAsia" w:hint="eastAsia"/>
        </w:rPr>
        <w:t>假定某投资者</w:t>
      </w:r>
      <w:r w:rsidR="007F6FE2" w:rsidRPr="00F17515">
        <w:rPr>
          <w:rFonts w:asciiTheme="minorEastAsia" w:eastAsiaTheme="minorEastAsia" w:hAnsiTheme="minorEastAsia" w:hint="eastAsia"/>
        </w:rPr>
        <w:t>（非</w:t>
      </w:r>
      <w:r w:rsidR="007F6FE2" w:rsidRPr="00F17515">
        <w:rPr>
          <w:rFonts w:asciiTheme="minorEastAsia" w:eastAsiaTheme="minorEastAsia" w:hAnsiTheme="minorEastAsia" w:hint="eastAsia"/>
          <w:szCs w:val="21"/>
        </w:rPr>
        <w:t>特定投资群体）</w:t>
      </w:r>
      <w:r w:rsidRPr="00F17515">
        <w:rPr>
          <w:rFonts w:asciiTheme="minorEastAsia" w:eastAsiaTheme="minorEastAsia" w:hAnsiTheme="minorEastAsia" w:hint="eastAsia"/>
        </w:rPr>
        <w:t>在T日转出10,000份易方达增强回报债券型基金A类至</w:t>
      </w:r>
      <w:r w:rsidRPr="00F17515">
        <w:rPr>
          <w:rFonts w:asciiTheme="minorEastAsia" w:eastAsiaTheme="minorEastAsia" w:hAnsiTheme="minorEastAsia"/>
        </w:rPr>
        <w:t>易方达策略成长二号混合型基金</w:t>
      </w:r>
      <w:r w:rsidRPr="00F17515">
        <w:rPr>
          <w:rFonts w:asciiTheme="minorEastAsia" w:eastAsiaTheme="minorEastAsia" w:hAnsiTheme="minorEastAsia" w:hint="eastAsia"/>
        </w:rPr>
        <w:t>份额，转出基金T日的基金份额净值为1.100元，转入</w:t>
      </w:r>
      <w:r w:rsidRPr="00F17515">
        <w:rPr>
          <w:rFonts w:asciiTheme="minorEastAsia" w:eastAsiaTheme="minorEastAsia" w:hAnsiTheme="minorEastAsia"/>
        </w:rPr>
        <w:t>易方达策略成长二号混合型基金</w:t>
      </w:r>
      <w:r w:rsidRPr="00F17515">
        <w:rPr>
          <w:rFonts w:asciiTheme="minorEastAsia" w:eastAsiaTheme="minorEastAsia" w:hAnsiTheme="minorEastAsia" w:hint="eastAsia"/>
        </w:rPr>
        <w:t>T日的基金份额净值为1.020元，假设该转出基金的赎回费率为0.10%，申购补差费率为1.20%，则可获得转入基金的</w:t>
      </w:r>
      <w:r w:rsidRPr="00F17515">
        <w:rPr>
          <w:rFonts w:asciiTheme="minorEastAsia" w:eastAsiaTheme="minorEastAsia" w:hAnsiTheme="minorEastAsia"/>
        </w:rPr>
        <w:t>易方达策略成长二号混合型基金</w:t>
      </w:r>
      <w:r w:rsidRPr="00F17515">
        <w:rPr>
          <w:rFonts w:asciiTheme="minorEastAsia" w:eastAsiaTheme="minorEastAsia" w:hAnsiTheme="minorEastAsia" w:hint="eastAsia"/>
        </w:rPr>
        <w:t>基金份额计算如下：</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转换</w:t>
      </w:r>
      <w:r w:rsidRPr="00F17515">
        <w:rPr>
          <w:rFonts w:asciiTheme="minorEastAsia" w:eastAsiaTheme="minorEastAsia" w:hAnsiTheme="minorEastAsia"/>
        </w:rPr>
        <w:t>金额＝转出基金申请份额×转出基金份额净值=10</w:t>
      </w:r>
      <w:r w:rsidRPr="00F17515">
        <w:rPr>
          <w:rFonts w:asciiTheme="minorEastAsia" w:eastAsiaTheme="minorEastAsia" w:hAnsiTheme="minorEastAsia" w:hint="eastAsia"/>
        </w:rPr>
        <w:t>,</w:t>
      </w:r>
      <w:r w:rsidRPr="00F17515">
        <w:rPr>
          <w:rFonts w:asciiTheme="minorEastAsia" w:eastAsiaTheme="minorEastAsia" w:hAnsiTheme="minorEastAsia"/>
        </w:rPr>
        <w:t>000×1</w:t>
      </w:r>
      <w:r w:rsidRPr="00F17515">
        <w:rPr>
          <w:rFonts w:asciiTheme="minorEastAsia" w:eastAsiaTheme="minorEastAsia" w:hAnsiTheme="minorEastAsia" w:hint="eastAsia"/>
        </w:rPr>
        <w:t>.100</w:t>
      </w:r>
      <w:r w:rsidRPr="00F17515">
        <w:rPr>
          <w:rFonts w:asciiTheme="minorEastAsia" w:eastAsiaTheme="minorEastAsia" w:hAnsiTheme="minorEastAsia"/>
        </w:rPr>
        <w:t>＝1</w:t>
      </w:r>
      <w:r w:rsidRPr="00F17515">
        <w:rPr>
          <w:rFonts w:asciiTheme="minorEastAsia" w:eastAsiaTheme="minorEastAsia" w:hAnsiTheme="minorEastAsia" w:hint="eastAsia"/>
        </w:rPr>
        <w:t>1,</w:t>
      </w:r>
      <w:r w:rsidRPr="00F17515">
        <w:rPr>
          <w:rFonts w:asciiTheme="minorEastAsia" w:eastAsiaTheme="minorEastAsia" w:hAnsiTheme="minorEastAsia"/>
        </w:rPr>
        <w:t>000</w:t>
      </w:r>
      <w:r w:rsidRPr="00F17515">
        <w:rPr>
          <w:rFonts w:asciiTheme="minorEastAsia" w:eastAsiaTheme="minorEastAsia" w:hAnsiTheme="minorEastAsia" w:hint="eastAsia"/>
        </w:rPr>
        <w:t>.00</w:t>
      </w:r>
      <w:r w:rsidRPr="00F17515">
        <w:rPr>
          <w:rFonts w:asciiTheme="minorEastAsia" w:eastAsiaTheme="minorEastAsia" w:hAnsiTheme="minorEastAsia"/>
        </w:rPr>
        <w:t>元</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转出基金</w:t>
      </w:r>
      <w:r w:rsidRPr="00F17515">
        <w:rPr>
          <w:rFonts w:asciiTheme="minorEastAsia" w:eastAsiaTheme="minorEastAsia" w:hAnsiTheme="minorEastAsia"/>
        </w:rPr>
        <w:t>赎回费＝</w:t>
      </w:r>
      <w:r w:rsidRPr="00F17515">
        <w:rPr>
          <w:rFonts w:asciiTheme="minorEastAsia" w:eastAsiaTheme="minorEastAsia" w:hAnsiTheme="minorEastAsia" w:hint="eastAsia"/>
        </w:rPr>
        <w:t>转换</w:t>
      </w:r>
      <w:r w:rsidRPr="00F17515">
        <w:rPr>
          <w:rFonts w:asciiTheme="minorEastAsia" w:eastAsiaTheme="minorEastAsia" w:hAnsiTheme="minorEastAsia"/>
        </w:rPr>
        <w:t>金额×</w:t>
      </w:r>
      <w:r w:rsidRPr="00F17515">
        <w:rPr>
          <w:rFonts w:asciiTheme="minorEastAsia" w:eastAsiaTheme="minorEastAsia" w:hAnsiTheme="minorEastAsia" w:hint="eastAsia"/>
        </w:rPr>
        <w:t>转出基金</w:t>
      </w:r>
      <w:r w:rsidRPr="00F17515">
        <w:rPr>
          <w:rFonts w:asciiTheme="minorEastAsia" w:eastAsiaTheme="minorEastAsia" w:hAnsiTheme="minorEastAsia"/>
        </w:rPr>
        <w:t>赎回费率</w:t>
      </w:r>
      <w:r w:rsidRPr="00F17515">
        <w:rPr>
          <w:rFonts w:asciiTheme="minorEastAsia" w:eastAsiaTheme="minorEastAsia" w:hAnsiTheme="minorEastAsia" w:hint="eastAsia"/>
        </w:rPr>
        <w:t>=</w:t>
      </w:r>
      <w:r w:rsidRPr="00F17515">
        <w:rPr>
          <w:rFonts w:asciiTheme="minorEastAsia" w:eastAsiaTheme="minorEastAsia" w:hAnsiTheme="minorEastAsia"/>
        </w:rPr>
        <w:t>1</w:t>
      </w:r>
      <w:r w:rsidRPr="00F17515">
        <w:rPr>
          <w:rFonts w:asciiTheme="minorEastAsia" w:eastAsiaTheme="minorEastAsia" w:hAnsiTheme="minorEastAsia" w:hint="eastAsia"/>
        </w:rPr>
        <w:t>1,</w:t>
      </w:r>
      <w:r w:rsidRPr="00F17515">
        <w:rPr>
          <w:rFonts w:asciiTheme="minorEastAsia" w:eastAsiaTheme="minorEastAsia" w:hAnsiTheme="minorEastAsia"/>
        </w:rPr>
        <w:t>000</w:t>
      </w:r>
      <w:r w:rsidRPr="00F17515">
        <w:rPr>
          <w:rFonts w:asciiTheme="minorEastAsia" w:eastAsiaTheme="minorEastAsia" w:hAnsiTheme="minorEastAsia" w:hint="eastAsia"/>
        </w:rPr>
        <w:t>.00</w:t>
      </w:r>
      <w:r w:rsidRPr="00F17515">
        <w:rPr>
          <w:rFonts w:asciiTheme="minorEastAsia" w:eastAsiaTheme="minorEastAsia" w:hAnsiTheme="minorEastAsia"/>
        </w:rPr>
        <w:t>×</w:t>
      </w:r>
      <w:r w:rsidRPr="00F17515">
        <w:rPr>
          <w:rFonts w:asciiTheme="minorEastAsia" w:eastAsiaTheme="minorEastAsia" w:hAnsiTheme="minorEastAsia" w:hint="eastAsia"/>
        </w:rPr>
        <w:t>0.10%=11.00元</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申购</w:t>
      </w:r>
      <w:r w:rsidRPr="00F17515">
        <w:rPr>
          <w:rFonts w:asciiTheme="minorEastAsia" w:eastAsiaTheme="minorEastAsia" w:hAnsiTheme="minorEastAsia"/>
        </w:rPr>
        <w:t>补差费</w:t>
      </w:r>
      <w:r w:rsidRPr="00F17515">
        <w:rPr>
          <w:rFonts w:asciiTheme="minorEastAsia" w:eastAsiaTheme="minorEastAsia" w:hAnsiTheme="minorEastAsia" w:hint="eastAsia"/>
        </w:rPr>
        <w:t>=（转换</w:t>
      </w:r>
      <w:r w:rsidRPr="00F17515">
        <w:rPr>
          <w:rFonts w:asciiTheme="minorEastAsia" w:eastAsiaTheme="minorEastAsia" w:hAnsiTheme="minorEastAsia"/>
        </w:rPr>
        <w:t>金额</w:t>
      </w:r>
      <w:r w:rsidRPr="00F17515">
        <w:rPr>
          <w:rFonts w:asciiTheme="minorEastAsia" w:eastAsiaTheme="minorEastAsia" w:hAnsiTheme="minorEastAsia" w:hint="eastAsia"/>
        </w:rPr>
        <w:t>—转出基金</w:t>
      </w:r>
      <w:r w:rsidRPr="00F17515">
        <w:rPr>
          <w:rFonts w:asciiTheme="minorEastAsia" w:eastAsiaTheme="minorEastAsia" w:hAnsiTheme="minorEastAsia"/>
        </w:rPr>
        <w:t>赎回费</w:t>
      </w:r>
      <w:r w:rsidRPr="00F17515">
        <w:rPr>
          <w:rFonts w:asciiTheme="minorEastAsia" w:eastAsiaTheme="minorEastAsia" w:hAnsiTheme="minorEastAsia" w:hint="eastAsia"/>
        </w:rPr>
        <w:t>）</w:t>
      </w:r>
      <w:r w:rsidRPr="00F17515">
        <w:rPr>
          <w:rFonts w:asciiTheme="minorEastAsia" w:eastAsiaTheme="minorEastAsia" w:hAnsiTheme="minorEastAsia"/>
        </w:rPr>
        <w:t>×</w:t>
      </w:r>
      <w:r w:rsidRPr="00F17515">
        <w:rPr>
          <w:rFonts w:asciiTheme="minorEastAsia" w:eastAsiaTheme="minorEastAsia" w:hAnsiTheme="minorEastAsia" w:hint="eastAsia"/>
        </w:rPr>
        <w:t>申购</w:t>
      </w:r>
      <w:r w:rsidRPr="00F17515">
        <w:rPr>
          <w:rFonts w:asciiTheme="minorEastAsia" w:eastAsiaTheme="minorEastAsia" w:hAnsiTheme="minorEastAsia"/>
        </w:rPr>
        <w:t>补差费率÷（１＋</w:t>
      </w:r>
      <w:r w:rsidRPr="00F17515">
        <w:rPr>
          <w:rFonts w:asciiTheme="minorEastAsia" w:eastAsiaTheme="minorEastAsia" w:hAnsiTheme="minorEastAsia" w:hint="eastAsia"/>
        </w:rPr>
        <w:t>申购</w:t>
      </w:r>
      <w:r w:rsidRPr="00F17515">
        <w:rPr>
          <w:rFonts w:asciiTheme="minorEastAsia" w:eastAsiaTheme="minorEastAsia" w:hAnsiTheme="minorEastAsia"/>
        </w:rPr>
        <w:t>补差费率）</w:t>
      </w:r>
      <w:r w:rsidRPr="00F17515">
        <w:rPr>
          <w:rFonts w:asciiTheme="minorEastAsia" w:eastAsiaTheme="minorEastAsia" w:hAnsiTheme="minorEastAsia" w:hint="eastAsia"/>
        </w:rPr>
        <w:t>=（</w:t>
      </w:r>
      <w:r w:rsidRPr="00F17515">
        <w:rPr>
          <w:rFonts w:asciiTheme="minorEastAsia" w:eastAsiaTheme="minorEastAsia" w:hAnsiTheme="minorEastAsia"/>
        </w:rPr>
        <w:t>1</w:t>
      </w:r>
      <w:r w:rsidRPr="00F17515">
        <w:rPr>
          <w:rFonts w:asciiTheme="minorEastAsia" w:eastAsiaTheme="minorEastAsia" w:hAnsiTheme="minorEastAsia" w:hint="eastAsia"/>
        </w:rPr>
        <w:t>1,</w:t>
      </w:r>
      <w:r w:rsidRPr="00F17515">
        <w:rPr>
          <w:rFonts w:asciiTheme="minorEastAsia" w:eastAsiaTheme="minorEastAsia" w:hAnsiTheme="minorEastAsia"/>
        </w:rPr>
        <w:t>000</w:t>
      </w:r>
      <w:r w:rsidRPr="00F17515">
        <w:rPr>
          <w:rFonts w:asciiTheme="minorEastAsia" w:eastAsiaTheme="minorEastAsia" w:hAnsiTheme="minorEastAsia" w:hint="eastAsia"/>
        </w:rPr>
        <w:t>.00-11.00）</w:t>
      </w:r>
      <w:r w:rsidRPr="00F17515">
        <w:rPr>
          <w:rFonts w:asciiTheme="minorEastAsia" w:eastAsiaTheme="minorEastAsia" w:hAnsiTheme="minorEastAsia"/>
        </w:rPr>
        <w:t>×</w:t>
      </w:r>
      <w:r w:rsidRPr="00F17515">
        <w:rPr>
          <w:rFonts w:asciiTheme="minorEastAsia" w:eastAsiaTheme="minorEastAsia" w:hAnsiTheme="minorEastAsia" w:hint="eastAsia"/>
        </w:rPr>
        <w:t>1.20%</w:t>
      </w:r>
      <w:r w:rsidRPr="00F17515">
        <w:rPr>
          <w:rFonts w:asciiTheme="minorEastAsia" w:eastAsiaTheme="minorEastAsia" w:hAnsiTheme="minorEastAsia"/>
        </w:rPr>
        <w:t>÷</w:t>
      </w:r>
      <w:r w:rsidRPr="00F17515">
        <w:rPr>
          <w:rFonts w:asciiTheme="minorEastAsia" w:eastAsiaTheme="minorEastAsia" w:hAnsiTheme="minorEastAsia" w:hint="eastAsia"/>
        </w:rPr>
        <w:t>(1+1.20%)=130.30元</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rPr>
        <w:t>转换费＝转出基金赎回费+申购补差费=</w:t>
      </w:r>
      <w:r w:rsidRPr="00F17515">
        <w:rPr>
          <w:rFonts w:asciiTheme="minorEastAsia" w:eastAsiaTheme="minorEastAsia" w:hAnsiTheme="minorEastAsia" w:hint="eastAsia"/>
        </w:rPr>
        <w:t>11.00</w:t>
      </w:r>
      <w:r w:rsidRPr="00F17515">
        <w:rPr>
          <w:rFonts w:asciiTheme="minorEastAsia" w:eastAsiaTheme="minorEastAsia" w:hAnsiTheme="minorEastAsia"/>
        </w:rPr>
        <w:t>+</w:t>
      </w:r>
      <w:r w:rsidRPr="00F17515">
        <w:rPr>
          <w:rFonts w:asciiTheme="minorEastAsia" w:eastAsiaTheme="minorEastAsia" w:hAnsiTheme="minorEastAsia" w:hint="eastAsia"/>
        </w:rPr>
        <w:t>130.30</w:t>
      </w:r>
      <w:r w:rsidRPr="00F17515">
        <w:rPr>
          <w:rFonts w:asciiTheme="minorEastAsia" w:eastAsiaTheme="minorEastAsia" w:hAnsiTheme="minorEastAsia"/>
        </w:rPr>
        <w:t>＝</w:t>
      </w:r>
      <w:r w:rsidRPr="00F17515">
        <w:rPr>
          <w:rFonts w:asciiTheme="minorEastAsia" w:eastAsiaTheme="minorEastAsia" w:hAnsiTheme="minorEastAsia" w:hint="eastAsia"/>
        </w:rPr>
        <w:t>141.30元</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转入金额=转换</w:t>
      </w:r>
      <w:r w:rsidRPr="00F17515">
        <w:rPr>
          <w:rFonts w:asciiTheme="minorEastAsia" w:eastAsiaTheme="minorEastAsia" w:hAnsiTheme="minorEastAsia"/>
        </w:rPr>
        <w:t>金额</w:t>
      </w:r>
      <w:r w:rsidRPr="00F17515">
        <w:rPr>
          <w:rFonts w:asciiTheme="minorEastAsia" w:eastAsiaTheme="minorEastAsia" w:hAnsiTheme="minorEastAsia" w:hint="eastAsia"/>
        </w:rPr>
        <w:t>—</w:t>
      </w:r>
      <w:r w:rsidRPr="00F17515">
        <w:rPr>
          <w:rFonts w:asciiTheme="minorEastAsia" w:eastAsiaTheme="minorEastAsia" w:hAnsiTheme="minorEastAsia"/>
        </w:rPr>
        <w:t>转换费</w:t>
      </w:r>
      <w:r w:rsidRPr="00F17515">
        <w:rPr>
          <w:rFonts w:asciiTheme="minorEastAsia" w:eastAsiaTheme="minorEastAsia" w:hAnsiTheme="minorEastAsia" w:hint="eastAsia"/>
        </w:rPr>
        <w:t>=</w:t>
      </w:r>
      <w:r w:rsidRPr="00F17515">
        <w:rPr>
          <w:rFonts w:asciiTheme="minorEastAsia" w:eastAsiaTheme="minorEastAsia" w:hAnsiTheme="minorEastAsia"/>
        </w:rPr>
        <w:t>1</w:t>
      </w:r>
      <w:r w:rsidRPr="00F17515">
        <w:rPr>
          <w:rFonts w:asciiTheme="minorEastAsia" w:eastAsiaTheme="minorEastAsia" w:hAnsiTheme="minorEastAsia" w:hint="eastAsia"/>
        </w:rPr>
        <w:t>1,</w:t>
      </w:r>
      <w:r w:rsidRPr="00F17515">
        <w:rPr>
          <w:rFonts w:asciiTheme="minorEastAsia" w:eastAsiaTheme="minorEastAsia" w:hAnsiTheme="minorEastAsia"/>
        </w:rPr>
        <w:t>000</w:t>
      </w:r>
      <w:r w:rsidRPr="00F17515">
        <w:rPr>
          <w:rFonts w:asciiTheme="minorEastAsia" w:eastAsiaTheme="minorEastAsia" w:hAnsiTheme="minorEastAsia" w:hint="eastAsia"/>
        </w:rPr>
        <w:t>.00-141.30=10,858.70元</w:t>
      </w:r>
    </w:p>
    <w:p w:rsidR="007228CC" w:rsidRPr="00F17515" w:rsidRDefault="007228CC" w:rsidP="0071223F">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转入份额=转入金额</w:t>
      </w:r>
      <w:r w:rsidRPr="00F17515">
        <w:rPr>
          <w:rFonts w:asciiTheme="minorEastAsia" w:eastAsiaTheme="minorEastAsia" w:hAnsiTheme="minorEastAsia"/>
        </w:rPr>
        <w:t>÷</w:t>
      </w:r>
      <w:r w:rsidRPr="00F17515">
        <w:rPr>
          <w:rFonts w:asciiTheme="minorEastAsia" w:eastAsiaTheme="minorEastAsia" w:hAnsiTheme="minorEastAsia" w:hint="eastAsia"/>
        </w:rPr>
        <w:t>转入基金份额净值=10,858.70</w:t>
      </w:r>
      <w:r w:rsidRPr="00F17515">
        <w:rPr>
          <w:rFonts w:asciiTheme="minorEastAsia" w:eastAsiaTheme="minorEastAsia" w:hAnsiTheme="minorEastAsia"/>
        </w:rPr>
        <w:t>÷</w:t>
      </w:r>
      <w:r w:rsidRPr="00F17515">
        <w:rPr>
          <w:rFonts w:asciiTheme="minorEastAsia" w:eastAsiaTheme="minorEastAsia" w:hAnsiTheme="minorEastAsia" w:hint="eastAsia"/>
        </w:rPr>
        <w:t>1.020=10,645.78份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F17515" w:rsidRPr="00F17515" w:rsidTr="00DE4B5E">
        <w:trPr>
          <w:trHeight w:val="413"/>
        </w:trPr>
        <w:tc>
          <w:tcPr>
            <w:tcW w:w="1080" w:type="dxa"/>
            <w:vMerge w:val="restart"/>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转出</w:t>
            </w:r>
            <w:r w:rsidRPr="00F17515">
              <w:rPr>
                <w:rFonts w:asciiTheme="minorEastAsia" w:eastAsiaTheme="minorEastAsia" w:hAnsiTheme="minorEastAsia"/>
                <w:szCs w:val="20"/>
              </w:rPr>
              <w:t>份额</w:t>
            </w:r>
          </w:p>
        </w:tc>
        <w:tc>
          <w:tcPr>
            <w:tcW w:w="900" w:type="dxa"/>
            <w:vMerge w:val="restart"/>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转出</w:t>
            </w:r>
            <w:r w:rsidRPr="00F17515">
              <w:rPr>
                <w:rFonts w:asciiTheme="minorEastAsia" w:eastAsiaTheme="minorEastAsia" w:hAnsiTheme="minorEastAsia"/>
                <w:szCs w:val="20"/>
              </w:rPr>
              <w:t>基金</w:t>
            </w:r>
            <w:r w:rsidRPr="00F17515">
              <w:rPr>
                <w:rFonts w:asciiTheme="minorEastAsia" w:eastAsiaTheme="minorEastAsia" w:hAnsiTheme="minorEastAsia" w:hint="eastAsia"/>
                <w:szCs w:val="20"/>
              </w:rPr>
              <w:t>份额</w:t>
            </w:r>
            <w:r w:rsidRPr="00F17515">
              <w:rPr>
                <w:rFonts w:asciiTheme="minorEastAsia" w:eastAsiaTheme="minorEastAsia" w:hAnsiTheme="minorEastAsia"/>
                <w:szCs w:val="20"/>
              </w:rPr>
              <w:t>净值</w:t>
            </w:r>
          </w:p>
        </w:tc>
        <w:tc>
          <w:tcPr>
            <w:tcW w:w="1440" w:type="dxa"/>
            <w:vMerge w:val="restart"/>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转换金额</w:t>
            </w:r>
          </w:p>
        </w:tc>
        <w:tc>
          <w:tcPr>
            <w:tcW w:w="2340" w:type="dxa"/>
            <w:gridSpan w:val="2"/>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转换费</w:t>
            </w:r>
          </w:p>
        </w:tc>
        <w:tc>
          <w:tcPr>
            <w:tcW w:w="1440" w:type="dxa"/>
            <w:vMerge w:val="restart"/>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转入金额</w:t>
            </w:r>
          </w:p>
        </w:tc>
        <w:tc>
          <w:tcPr>
            <w:tcW w:w="1185" w:type="dxa"/>
            <w:vMerge w:val="restart"/>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转入</w:t>
            </w:r>
            <w:r w:rsidRPr="00F17515">
              <w:rPr>
                <w:rFonts w:asciiTheme="minorEastAsia" w:eastAsiaTheme="minorEastAsia" w:hAnsiTheme="minorEastAsia"/>
                <w:szCs w:val="20"/>
              </w:rPr>
              <w:t>基金</w:t>
            </w:r>
            <w:r w:rsidRPr="00F17515">
              <w:rPr>
                <w:rFonts w:asciiTheme="minorEastAsia" w:eastAsiaTheme="minorEastAsia" w:hAnsiTheme="minorEastAsia" w:hint="eastAsia"/>
                <w:szCs w:val="20"/>
              </w:rPr>
              <w:t>份额</w:t>
            </w:r>
            <w:r w:rsidRPr="00F17515">
              <w:rPr>
                <w:rFonts w:asciiTheme="minorEastAsia" w:eastAsiaTheme="minorEastAsia" w:hAnsiTheme="minorEastAsia"/>
                <w:szCs w:val="20"/>
              </w:rPr>
              <w:t>净值</w:t>
            </w:r>
          </w:p>
        </w:tc>
        <w:tc>
          <w:tcPr>
            <w:tcW w:w="1335" w:type="dxa"/>
            <w:vMerge w:val="restart"/>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转入份额</w:t>
            </w:r>
          </w:p>
        </w:tc>
      </w:tr>
      <w:tr w:rsidR="00F17515" w:rsidRPr="00F17515" w:rsidTr="00DE4B5E">
        <w:trPr>
          <w:trHeight w:val="412"/>
        </w:trPr>
        <w:tc>
          <w:tcPr>
            <w:tcW w:w="1080" w:type="dxa"/>
            <w:vMerge/>
          </w:tcPr>
          <w:p w:rsidR="007228CC" w:rsidRPr="00F17515" w:rsidRDefault="007228CC" w:rsidP="0071223F">
            <w:pPr>
              <w:snapToGrid w:val="0"/>
              <w:spacing w:line="360" w:lineRule="auto"/>
              <w:ind w:firstLine="420"/>
              <w:rPr>
                <w:rFonts w:asciiTheme="minorEastAsia" w:eastAsiaTheme="minorEastAsia" w:hAnsiTheme="minorEastAsia"/>
                <w:szCs w:val="20"/>
              </w:rPr>
            </w:pPr>
          </w:p>
        </w:tc>
        <w:tc>
          <w:tcPr>
            <w:tcW w:w="900" w:type="dxa"/>
            <w:vMerge/>
          </w:tcPr>
          <w:p w:rsidR="007228CC" w:rsidRPr="00F17515" w:rsidRDefault="007228CC" w:rsidP="0071223F">
            <w:pPr>
              <w:snapToGrid w:val="0"/>
              <w:spacing w:line="360" w:lineRule="auto"/>
              <w:ind w:firstLine="420"/>
              <w:rPr>
                <w:rFonts w:asciiTheme="minorEastAsia" w:eastAsiaTheme="minorEastAsia" w:hAnsiTheme="minorEastAsia"/>
                <w:szCs w:val="20"/>
              </w:rPr>
            </w:pPr>
          </w:p>
        </w:tc>
        <w:tc>
          <w:tcPr>
            <w:tcW w:w="1440" w:type="dxa"/>
            <w:vMerge/>
          </w:tcPr>
          <w:p w:rsidR="007228CC" w:rsidRPr="00F17515" w:rsidRDefault="007228CC" w:rsidP="0071223F">
            <w:pPr>
              <w:snapToGrid w:val="0"/>
              <w:spacing w:line="360" w:lineRule="auto"/>
              <w:ind w:firstLine="420"/>
              <w:rPr>
                <w:rFonts w:asciiTheme="minorEastAsia" w:eastAsiaTheme="minorEastAsia" w:hAnsiTheme="minorEastAsia"/>
                <w:szCs w:val="20"/>
              </w:rPr>
            </w:pPr>
          </w:p>
        </w:tc>
        <w:tc>
          <w:tcPr>
            <w:tcW w:w="1260"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转出基金</w:t>
            </w:r>
            <w:r w:rsidRPr="00F17515">
              <w:rPr>
                <w:rFonts w:asciiTheme="minorEastAsia" w:eastAsiaTheme="minorEastAsia" w:hAnsiTheme="minorEastAsia"/>
                <w:szCs w:val="20"/>
              </w:rPr>
              <w:t>赎</w:t>
            </w:r>
            <w:r w:rsidRPr="00F17515">
              <w:rPr>
                <w:rFonts w:asciiTheme="minorEastAsia" w:eastAsiaTheme="minorEastAsia" w:hAnsiTheme="minorEastAsia"/>
                <w:szCs w:val="20"/>
              </w:rPr>
              <w:lastRenderedPageBreak/>
              <w:t>回费</w:t>
            </w:r>
          </w:p>
        </w:tc>
        <w:tc>
          <w:tcPr>
            <w:tcW w:w="1080"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lastRenderedPageBreak/>
              <w:t>申购</w:t>
            </w:r>
            <w:r w:rsidRPr="00F17515">
              <w:rPr>
                <w:rFonts w:asciiTheme="minorEastAsia" w:eastAsiaTheme="minorEastAsia" w:hAnsiTheme="minorEastAsia"/>
                <w:szCs w:val="20"/>
              </w:rPr>
              <w:t>补差费</w:t>
            </w:r>
          </w:p>
        </w:tc>
        <w:tc>
          <w:tcPr>
            <w:tcW w:w="1440" w:type="dxa"/>
            <w:vMerge/>
          </w:tcPr>
          <w:p w:rsidR="007228CC" w:rsidRPr="00F17515" w:rsidRDefault="007228CC" w:rsidP="0071223F">
            <w:pPr>
              <w:snapToGrid w:val="0"/>
              <w:spacing w:line="360" w:lineRule="auto"/>
              <w:ind w:firstLine="420"/>
              <w:rPr>
                <w:rFonts w:asciiTheme="minorEastAsia" w:eastAsiaTheme="minorEastAsia" w:hAnsiTheme="minorEastAsia"/>
                <w:szCs w:val="20"/>
              </w:rPr>
            </w:pPr>
          </w:p>
        </w:tc>
        <w:tc>
          <w:tcPr>
            <w:tcW w:w="1185" w:type="dxa"/>
            <w:vMerge/>
          </w:tcPr>
          <w:p w:rsidR="007228CC" w:rsidRPr="00F17515" w:rsidRDefault="007228CC" w:rsidP="0071223F">
            <w:pPr>
              <w:snapToGrid w:val="0"/>
              <w:spacing w:line="360" w:lineRule="auto"/>
              <w:ind w:firstLine="420"/>
              <w:rPr>
                <w:rFonts w:asciiTheme="minorEastAsia" w:eastAsiaTheme="minorEastAsia" w:hAnsiTheme="minorEastAsia"/>
                <w:szCs w:val="20"/>
              </w:rPr>
            </w:pPr>
          </w:p>
        </w:tc>
        <w:tc>
          <w:tcPr>
            <w:tcW w:w="1335" w:type="dxa"/>
            <w:vMerge/>
          </w:tcPr>
          <w:p w:rsidR="007228CC" w:rsidRPr="00F17515" w:rsidRDefault="007228CC" w:rsidP="0071223F">
            <w:pPr>
              <w:snapToGrid w:val="0"/>
              <w:spacing w:line="360" w:lineRule="auto"/>
              <w:ind w:firstLine="420"/>
              <w:rPr>
                <w:rFonts w:asciiTheme="minorEastAsia" w:eastAsiaTheme="minorEastAsia" w:hAnsiTheme="minorEastAsia"/>
                <w:szCs w:val="20"/>
              </w:rPr>
            </w:pPr>
          </w:p>
        </w:tc>
      </w:tr>
      <w:tr w:rsidR="00F17515" w:rsidRPr="00F17515" w:rsidTr="00DE4B5E">
        <w:tc>
          <w:tcPr>
            <w:tcW w:w="1080"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szCs w:val="20"/>
              </w:rPr>
              <w:t>10,000</w:t>
            </w:r>
            <w:r w:rsidRPr="00F17515">
              <w:rPr>
                <w:rFonts w:asciiTheme="minorEastAsia" w:eastAsiaTheme="minorEastAsia" w:hAnsiTheme="minorEastAsia" w:hint="eastAsia"/>
                <w:szCs w:val="20"/>
              </w:rPr>
              <w:t>份</w:t>
            </w:r>
          </w:p>
        </w:tc>
        <w:tc>
          <w:tcPr>
            <w:tcW w:w="900"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szCs w:val="20"/>
              </w:rPr>
              <w:t>1.</w:t>
            </w:r>
            <w:r w:rsidRPr="00F17515">
              <w:rPr>
                <w:rFonts w:asciiTheme="minorEastAsia" w:eastAsiaTheme="minorEastAsia" w:hAnsiTheme="minorEastAsia" w:hint="eastAsia"/>
                <w:szCs w:val="20"/>
              </w:rPr>
              <w:t>1</w:t>
            </w:r>
            <w:r w:rsidRPr="00F17515">
              <w:rPr>
                <w:rFonts w:asciiTheme="minorEastAsia" w:eastAsiaTheme="minorEastAsia" w:hAnsiTheme="minorEastAsia"/>
                <w:szCs w:val="20"/>
              </w:rPr>
              <w:t>0</w:t>
            </w:r>
            <w:r w:rsidRPr="00F17515">
              <w:rPr>
                <w:rFonts w:asciiTheme="minorEastAsia" w:eastAsiaTheme="minorEastAsia" w:hAnsiTheme="minorEastAsia" w:hint="eastAsia"/>
                <w:szCs w:val="20"/>
              </w:rPr>
              <w:t>0</w:t>
            </w:r>
            <w:r w:rsidRPr="00F17515">
              <w:rPr>
                <w:rFonts w:asciiTheme="minorEastAsia" w:eastAsiaTheme="minorEastAsia" w:hAnsiTheme="minorEastAsia"/>
                <w:szCs w:val="20"/>
              </w:rPr>
              <w:t>元</w:t>
            </w:r>
          </w:p>
        </w:tc>
        <w:tc>
          <w:tcPr>
            <w:tcW w:w="1440"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11,000.00元</w:t>
            </w:r>
          </w:p>
        </w:tc>
        <w:tc>
          <w:tcPr>
            <w:tcW w:w="1260"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11.00元</w:t>
            </w:r>
          </w:p>
        </w:tc>
        <w:tc>
          <w:tcPr>
            <w:tcW w:w="1080"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rPr>
              <w:t>130.30</w:t>
            </w:r>
            <w:r w:rsidRPr="00F17515">
              <w:rPr>
                <w:rFonts w:asciiTheme="minorEastAsia" w:eastAsiaTheme="minorEastAsia" w:hAnsiTheme="minorEastAsia" w:hint="eastAsia"/>
                <w:szCs w:val="20"/>
              </w:rPr>
              <w:t>元</w:t>
            </w:r>
          </w:p>
        </w:tc>
        <w:tc>
          <w:tcPr>
            <w:tcW w:w="1440"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10,8</w:t>
            </w:r>
            <w:r w:rsidRPr="00F17515">
              <w:rPr>
                <w:rFonts w:asciiTheme="minorEastAsia" w:eastAsiaTheme="minorEastAsia" w:hAnsiTheme="minorEastAsia" w:hint="eastAsia"/>
              </w:rPr>
              <w:t>58</w:t>
            </w:r>
            <w:r w:rsidRPr="00F17515">
              <w:rPr>
                <w:rFonts w:asciiTheme="minorEastAsia" w:eastAsiaTheme="minorEastAsia" w:hAnsiTheme="minorEastAsia" w:hint="eastAsia"/>
                <w:szCs w:val="20"/>
              </w:rPr>
              <w:t>.</w:t>
            </w:r>
            <w:r w:rsidRPr="00F17515">
              <w:rPr>
                <w:rFonts w:asciiTheme="minorEastAsia" w:eastAsiaTheme="minorEastAsia" w:hAnsiTheme="minorEastAsia" w:hint="eastAsia"/>
              </w:rPr>
              <w:t>70</w:t>
            </w:r>
            <w:r w:rsidRPr="00F17515">
              <w:rPr>
                <w:rFonts w:asciiTheme="minorEastAsia" w:eastAsiaTheme="minorEastAsia" w:hAnsiTheme="minorEastAsia" w:hint="eastAsia"/>
                <w:szCs w:val="20"/>
              </w:rPr>
              <w:t>元</w:t>
            </w:r>
          </w:p>
        </w:tc>
        <w:tc>
          <w:tcPr>
            <w:tcW w:w="1185"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1.020元</w:t>
            </w:r>
          </w:p>
        </w:tc>
        <w:tc>
          <w:tcPr>
            <w:tcW w:w="1335" w:type="dxa"/>
          </w:tcPr>
          <w:p w:rsidR="007228CC" w:rsidRPr="00F17515" w:rsidRDefault="007228CC" w:rsidP="0071223F">
            <w:pPr>
              <w:snapToGrid w:val="0"/>
              <w:spacing w:line="360" w:lineRule="auto"/>
              <w:ind w:leftChars="-45" w:left="-94" w:rightChars="-57" w:right="-120"/>
              <w:jc w:val="center"/>
              <w:rPr>
                <w:rFonts w:asciiTheme="minorEastAsia" w:eastAsiaTheme="minorEastAsia" w:hAnsiTheme="minorEastAsia"/>
                <w:szCs w:val="20"/>
              </w:rPr>
            </w:pPr>
            <w:r w:rsidRPr="00F17515">
              <w:rPr>
                <w:rFonts w:asciiTheme="minorEastAsia" w:eastAsiaTheme="minorEastAsia" w:hAnsiTheme="minorEastAsia" w:hint="eastAsia"/>
                <w:szCs w:val="20"/>
              </w:rPr>
              <w:t>10,6</w:t>
            </w:r>
            <w:r w:rsidRPr="00F17515">
              <w:rPr>
                <w:rFonts w:asciiTheme="minorEastAsia" w:eastAsiaTheme="minorEastAsia" w:hAnsiTheme="minorEastAsia" w:hint="eastAsia"/>
              </w:rPr>
              <w:t>45</w:t>
            </w:r>
            <w:r w:rsidRPr="00F17515">
              <w:rPr>
                <w:rFonts w:asciiTheme="minorEastAsia" w:eastAsiaTheme="minorEastAsia" w:hAnsiTheme="minorEastAsia" w:hint="eastAsia"/>
                <w:szCs w:val="20"/>
              </w:rPr>
              <w:t>.</w:t>
            </w:r>
            <w:r w:rsidRPr="00F17515">
              <w:rPr>
                <w:rFonts w:asciiTheme="minorEastAsia" w:eastAsiaTheme="minorEastAsia" w:hAnsiTheme="minorEastAsia" w:hint="eastAsia"/>
              </w:rPr>
              <w:t>78</w:t>
            </w:r>
            <w:r w:rsidRPr="00F17515">
              <w:rPr>
                <w:rFonts w:asciiTheme="minorEastAsia" w:eastAsiaTheme="minorEastAsia" w:hAnsiTheme="minorEastAsia" w:hint="eastAsia"/>
                <w:szCs w:val="20"/>
              </w:rPr>
              <w:t>份</w:t>
            </w:r>
          </w:p>
        </w:tc>
      </w:tr>
    </w:tbl>
    <w:p w:rsidR="00451364" w:rsidRPr="00F17515" w:rsidRDefault="00451364" w:rsidP="00451364">
      <w:pPr>
        <w:autoSpaceDE w:val="0"/>
        <w:autoSpaceDN w:val="0"/>
        <w:snapToGrid w:val="0"/>
        <w:spacing w:line="360" w:lineRule="auto"/>
        <w:ind w:firstLine="420"/>
        <w:textAlignment w:val="bottom"/>
        <w:rPr>
          <w:rFonts w:asciiTheme="minorEastAsia" w:eastAsiaTheme="minorEastAsia" w:hAnsiTheme="minorEastAsia"/>
        </w:rPr>
      </w:pPr>
      <w:r w:rsidRPr="00F17515">
        <w:rPr>
          <w:rFonts w:asciiTheme="minorEastAsia" w:eastAsiaTheme="minorEastAsia" w:hAnsiTheme="minorEastAsia" w:hint="eastAsia"/>
        </w:rPr>
        <w:t>注：本基金转出至易方达平稳增长混合、易方达策略成长混合、易方达上证</w:t>
      </w:r>
      <w:r w:rsidRPr="00F17515">
        <w:rPr>
          <w:rFonts w:asciiTheme="minorEastAsia" w:eastAsiaTheme="minorEastAsia" w:hAnsiTheme="minorEastAsia"/>
        </w:rPr>
        <w:t>50</w:t>
      </w:r>
      <w:r w:rsidRPr="00F17515">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F17515">
        <w:rPr>
          <w:rFonts w:asciiTheme="minorEastAsia" w:eastAsiaTheme="minorEastAsia" w:hAnsiTheme="minorEastAsia"/>
        </w:rPr>
        <w:t>1</w:t>
      </w:r>
      <w:r w:rsidRPr="00F17515">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F17515">
        <w:rPr>
          <w:rFonts w:asciiTheme="minorEastAsia" w:eastAsiaTheme="minorEastAsia" w:hAnsiTheme="minorEastAsia"/>
        </w:rPr>
        <w:t>1</w:t>
      </w:r>
      <w:r w:rsidRPr="00F17515">
        <w:rPr>
          <w:rFonts w:asciiTheme="minorEastAsia" w:eastAsiaTheme="minorEastAsia" w:hAnsiTheme="minorEastAsia" w:hint="eastAsia"/>
        </w:rPr>
        <w:t>年定期债券、易方达黄金</w:t>
      </w:r>
      <w:r w:rsidRPr="00F17515">
        <w:rPr>
          <w:rFonts w:asciiTheme="minorEastAsia" w:eastAsiaTheme="minorEastAsia" w:hAnsiTheme="minorEastAsia"/>
        </w:rPr>
        <w:t>ETF</w:t>
      </w:r>
      <w:r w:rsidRPr="00F17515">
        <w:rPr>
          <w:rFonts w:asciiTheme="minorEastAsia" w:eastAsiaTheme="minorEastAsia" w:hAnsiTheme="minorEastAsia" w:hint="eastAsia"/>
        </w:rPr>
        <w:t>联接、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F17515">
        <w:rPr>
          <w:rFonts w:asciiTheme="minorEastAsia" w:eastAsiaTheme="minorEastAsia" w:hAnsiTheme="minorEastAsia"/>
        </w:rPr>
        <w:t>300</w:t>
      </w:r>
      <w:r w:rsidRPr="00F17515">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F17515">
        <w:rPr>
          <w:rFonts w:asciiTheme="minorEastAsia" w:eastAsiaTheme="minorEastAsia" w:hAnsiTheme="minorEastAsia"/>
        </w:rPr>
        <w:t>300</w:t>
      </w:r>
      <w:r w:rsidRPr="00F17515">
        <w:rPr>
          <w:rFonts w:asciiTheme="minorEastAsia" w:eastAsiaTheme="minorEastAsia" w:hAnsiTheme="minorEastAsia" w:hint="eastAsia"/>
        </w:rPr>
        <w:t>医药</w:t>
      </w:r>
      <w:r w:rsidRPr="00F17515">
        <w:rPr>
          <w:rFonts w:asciiTheme="minorEastAsia" w:eastAsiaTheme="minorEastAsia" w:hAnsiTheme="minorEastAsia"/>
        </w:rPr>
        <w:t>ETF</w:t>
      </w:r>
      <w:r w:rsidRPr="00F17515">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F17515">
        <w:rPr>
          <w:rFonts w:asciiTheme="minorEastAsia" w:eastAsiaTheme="minorEastAsia" w:hAnsiTheme="minorEastAsia"/>
        </w:rPr>
        <w:t>3-5</w:t>
      </w:r>
      <w:r w:rsidRPr="00F17515">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F17515">
        <w:rPr>
          <w:rFonts w:asciiTheme="minorEastAsia" w:eastAsiaTheme="minorEastAsia" w:hAnsiTheme="minorEastAsia"/>
        </w:rPr>
        <w:t>6</w:t>
      </w:r>
      <w:r w:rsidRPr="00F17515">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F17515">
        <w:rPr>
          <w:rFonts w:asciiTheme="minorEastAsia" w:eastAsiaTheme="minorEastAsia" w:hAnsiTheme="minorEastAsia"/>
        </w:rPr>
        <w:t>7-10</w:t>
      </w:r>
      <w:r w:rsidRPr="00F17515">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F17515">
        <w:rPr>
          <w:rFonts w:asciiTheme="minorEastAsia" w:eastAsiaTheme="minorEastAsia" w:hAnsiTheme="minorEastAsia"/>
        </w:rPr>
        <w:t>MSCI</w:t>
      </w:r>
      <w:r w:rsidRPr="00F17515">
        <w:rPr>
          <w:rFonts w:asciiTheme="minorEastAsia" w:eastAsiaTheme="minorEastAsia" w:hAnsiTheme="minorEastAsia" w:hint="eastAsia"/>
        </w:rPr>
        <w:t>中国</w:t>
      </w:r>
      <w:r w:rsidRPr="00F17515">
        <w:rPr>
          <w:rFonts w:asciiTheme="minorEastAsia" w:eastAsiaTheme="minorEastAsia" w:hAnsiTheme="minorEastAsia"/>
        </w:rPr>
        <w:t>A</w:t>
      </w:r>
      <w:r w:rsidRPr="00F17515">
        <w:rPr>
          <w:rFonts w:asciiTheme="minorEastAsia" w:eastAsiaTheme="minorEastAsia" w:hAnsiTheme="minorEastAsia" w:hint="eastAsia"/>
        </w:rPr>
        <w:t>股国际通</w:t>
      </w:r>
      <w:r w:rsidRPr="00F17515">
        <w:rPr>
          <w:rFonts w:asciiTheme="minorEastAsia" w:eastAsiaTheme="minorEastAsia" w:hAnsiTheme="minorEastAsia"/>
        </w:rPr>
        <w:t>ETF</w:t>
      </w:r>
      <w:r w:rsidRPr="00F17515">
        <w:rPr>
          <w:rFonts w:asciiTheme="minorEastAsia" w:eastAsiaTheme="minorEastAsia" w:hAnsiTheme="minorEastAsia" w:hint="eastAsia"/>
        </w:rPr>
        <w:t>联接发起式、易方达中证</w:t>
      </w:r>
      <w:r w:rsidRPr="00F17515">
        <w:rPr>
          <w:rFonts w:asciiTheme="minorEastAsia" w:eastAsiaTheme="minorEastAsia" w:hAnsiTheme="minorEastAsia"/>
        </w:rPr>
        <w:t>500ETF</w:t>
      </w:r>
      <w:r w:rsidRPr="00F17515">
        <w:rPr>
          <w:rFonts w:asciiTheme="minorEastAsia" w:eastAsiaTheme="minorEastAsia" w:hAnsiTheme="minorEastAsia" w:hint="eastAsia"/>
        </w:rPr>
        <w:t>联接发起式、易方达恒利</w:t>
      </w:r>
      <w:r w:rsidRPr="00F17515">
        <w:rPr>
          <w:rFonts w:asciiTheme="minorEastAsia" w:eastAsiaTheme="minorEastAsia" w:hAnsiTheme="minorEastAsia"/>
        </w:rPr>
        <w:t>3</w:t>
      </w:r>
      <w:r w:rsidRPr="00F17515">
        <w:rPr>
          <w:rFonts w:asciiTheme="minorEastAsia" w:eastAsiaTheme="minorEastAsia" w:hAnsiTheme="minorEastAsia" w:hint="eastAsia"/>
        </w:rPr>
        <w:t>个月定开债券发起式、易方达中债</w:t>
      </w:r>
      <w:r w:rsidRPr="00F17515">
        <w:rPr>
          <w:rFonts w:asciiTheme="minorEastAsia" w:eastAsiaTheme="minorEastAsia" w:hAnsiTheme="minorEastAsia"/>
        </w:rPr>
        <w:t>1-3</w:t>
      </w:r>
      <w:r w:rsidRPr="00F17515">
        <w:rPr>
          <w:rFonts w:asciiTheme="minorEastAsia" w:eastAsiaTheme="minorEastAsia" w:hAnsiTheme="minorEastAsia" w:hint="eastAsia"/>
        </w:rPr>
        <w:t>年国开行债券指数、易方达中债</w:t>
      </w:r>
      <w:r w:rsidRPr="00F17515">
        <w:rPr>
          <w:rFonts w:asciiTheme="minorEastAsia" w:eastAsiaTheme="minorEastAsia" w:hAnsiTheme="minorEastAsia"/>
        </w:rPr>
        <w:t>3-5</w:t>
      </w:r>
      <w:r w:rsidRPr="00F17515">
        <w:rPr>
          <w:rFonts w:asciiTheme="minorEastAsia" w:eastAsiaTheme="minorEastAsia" w:hAnsiTheme="minorEastAsia" w:hint="eastAsia"/>
        </w:rPr>
        <w:t>年国开行债券指数、易方达中债</w:t>
      </w:r>
      <w:r w:rsidRPr="00F17515">
        <w:rPr>
          <w:rFonts w:asciiTheme="minorEastAsia" w:eastAsiaTheme="minorEastAsia" w:hAnsiTheme="minorEastAsia"/>
        </w:rPr>
        <w:t>1-3</w:t>
      </w:r>
      <w:r w:rsidRPr="00F17515">
        <w:rPr>
          <w:rFonts w:asciiTheme="minorEastAsia" w:eastAsiaTheme="minorEastAsia" w:hAnsiTheme="minorEastAsia" w:hint="eastAsia"/>
        </w:rPr>
        <w:t>年政金债指数、易方达中债</w:t>
      </w:r>
      <w:r w:rsidRPr="00F17515">
        <w:rPr>
          <w:rFonts w:asciiTheme="minorEastAsia" w:eastAsiaTheme="minorEastAsia" w:hAnsiTheme="minorEastAsia"/>
        </w:rPr>
        <w:t>3-5</w:t>
      </w:r>
      <w:r w:rsidRPr="00F17515">
        <w:rPr>
          <w:rFonts w:asciiTheme="minorEastAsia" w:eastAsiaTheme="minorEastAsia" w:hAnsiTheme="minorEastAsia" w:hint="eastAsia"/>
        </w:rPr>
        <w:t>年政金债指数、易方达上证</w:t>
      </w:r>
      <w:r w:rsidRPr="00F17515">
        <w:rPr>
          <w:rFonts w:asciiTheme="minorEastAsia" w:eastAsiaTheme="minorEastAsia" w:hAnsiTheme="minorEastAsia"/>
        </w:rPr>
        <w:t>50ETF</w:t>
      </w:r>
      <w:r w:rsidRPr="00F17515">
        <w:rPr>
          <w:rFonts w:asciiTheme="minorEastAsia" w:eastAsiaTheme="minorEastAsia" w:hAnsiTheme="minorEastAsia" w:hint="eastAsia"/>
        </w:rPr>
        <w:t>联接发起式、易方达恒兴</w:t>
      </w:r>
      <w:r w:rsidRPr="00F17515">
        <w:rPr>
          <w:rFonts w:asciiTheme="minorEastAsia" w:eastAsiaTheme="minorEastAsia" w:hAnsiTheme="minorEastAsia"/>
        </w:rPr>
        <w:t>3</w:t>
      </w:r>
      <w:r w:rsidRPr="00F17515">
        <w:rPr>
          <w:rFonts w:asciiTheme="minorEastAsia" w:eastAsiaTheme="minorEastAsia" w:hAnsiTheme="minorEastAsia" w:hint="eastAsia"/>
        </w:rPr>
        <w:t>个月定开债券发起式、易方达</w:t>
      </w:r>
      <w:r w:rsidRPr="00F17515">
        <w:rPr>
          <w:rFonts w:asciiTheme="minorEastAsia" w:eastAsiaTheme="minorEastAsia" w:hAnsiTheme="minorEastAsia"/>
        </w:rPr>
        <w:t>ESG</w:t>
      </w:r>
      <w:r w:rsidRPr="00F17515">
        <w:rPr>
          <w:rFonts w:asciiTheme="minorEastAsia" w:eastAsiaTheme="minorEastAsia" w:hAnsiTheme="minorEastAsia" w:hint="eastAsia"/>
        </w:rPr>
        <w:t>责任投资股票发起式、易方达中证</w:t>
      </w:r>
      <w:r w:rsidRPr="00F17515">
        <w:rPr>
          <w:rFonts w:asciiTheme="minorEastAsia" w:eastAsiaTheme="minorEastAsia" w:hAnsiTheme="minorEastAsia"/>
        </w:rPr>
        <w:t>800ETF</w:t>
      </w:r>
      <w:r w:rsidRPr="00F17515">
        <w:rPr>
          <w:rFonts w:asciiTheme="minorEastAsia" w:eastAsiaTheme="minorEastAsia" w:hAnsiTheme="minorEastAsia" w:hint="eastAsia"/>
        </w:rPr>
        <w:t>联接发起式、易方达恒盛</w:t>
      </w:r>
      <w:r w:rsidRPr="00F17515">
        <w:rPr>
          <w:rFonts w:asciiTheme="minorEastAsia" w:eastAsiaTheme="minorEastAsia" w:hAnsiTheme="minorEastAsia"/>
        </w:rPr>
        <w:t>3</w:t>
      </w:r>
      <w:r w:rsidRPr="00F17515">
        <w:rPr>
          <w:rFonts w:asciiTheme="minorEastAsia" w:eastAsiaTheme="minorEastAsia" w:hAnsiTheme="minorEastAsia" w:hint="eastAsia"/>
        </w:rPr>
        <w:t>个月定开混合发起式、易方达价值精选混合、易方达价值成长混合、易方达中小盘混合、易方达科汇灵活配置混合、易方达科翔混合、易方达行业领先混合、易方达深证</w:t>
      </w:r>
      <w:r w:rsidRPr="00F17515">
        <w:rPr>
          <w:rFonts w:asciiTheme="minorEastAsia" w:eastAsiaTheme="minorEastAsia" w:hAnsiTheme="minorEastAsia"/>
        </w:rPr>
        <w:t>100ETF</w:t>
      </w:r>
      <w:r w:rsidRPr="00F17515">
        <w:rPr>
          <w:rFonts w:asciiTheme="minorEastAsia" w:eastAsiaTheme="minorEastAsia" w:hAnsiTheme="minorEastAsia" w:hint="eastAsia"/>
        </w:rPr>
        <w:t>联接、易方达沪深</w:t>
      </w:r>
      <w:r w:rsidRPr="00F17515">
        <w:rPr>
          <w:rFonts w:asciiTheme="minorEastAsia" w:eastAsiaTheme="minorEastAsia" w:hAnsiTheme="minorEastAsia"/>
        </w:rPr>
        <w:t>300ETF</w:t>
      </w:r>
      <w:r w:rsidRPr="00F17515">
        <w:rPr>
          <w:rFonts w:asciiTheme="minorEastAsia" w:eastAsiaTheme="minorEastAsia" w:hAnsiTheme="minorEastAsia" w:hint="eastAsia"/>
        </w:rPr>
        <w:t>发起式联接、易方达上证中盘</w:t>
      </w:r>
      <w:r w:rsidRPr="00F17515">
        <w:rPr>
          <w:rFonts w:asciiTheme="minorEastAsia" w:eastAsiaTheme="minorEastAsia" w:hAnsiTheme="minorEastAsia"/>
        </w:rPr>
        <w:t>ETF</w:t>
      </w:r>
      <w:r w:rsidRPr="00F17515">
        <w:rPr>
          <w:rFonts w:asciiTheme="minorEastAsia" w:eastAsiaTheme="minorEastAsia" w:hAnsiTheme="minorEastAsia" w:hint="eastAsia"/>
        </w:rPr>
        <w:t>联接、易方达消费行业股票、易方达医疗保健行业混合、易方达资源行业混合、易方达创业板</w:t>
      </w:r>
      <w:r w:rsidRPr="00F17515">
        <w:rPr>
          <w:rFonts w:asciiTheme="minorEastAsia" w:eastAsiaTheme="minorEastAsia" w:hAnsiTheme="minorEastAsia"/>
        </w:rPr>
        <w:t>ETF</w:t>
      </w:r>
      <w:r w:rsidRPr="00F17515">
        <w:rPr>
          <w:rFonts w:asciiTheme="minorEastAsia" w:eastAsiaTheme="minorEastAsia" w:hAnsiTheme="minorEastAsia" w:hint="eastAsia"/>
        </w:rPr>
        <w:t>联接、易方达安心回报债券、易方达科讯混合、易方达沪深</w:t>
      </w:r>
      <w:r w:rsidRPr="00F17515">
        <w:rPr>
          <w:rFonts w:asciiTheme="minorEastAsia" w:eastAsiaTheme="minorEastAsia" w:hAnsiTheme="minorEastAsia"/>
        </w:rPr>
        <w:t>300</w:t>
      </w:r>
      <w:r w:rsidRPr="00F17515">
        <w:rPr>
          <w:rFonts w:asciiTheme="minorEastAsia" w:eastAsiaTheme="minorEastAsia" w:hAnsiTheme="minorEastAsia" w:hint="eastAsia"/>
        </w:rPr>
        <w:t>量化增强、易方达双债增强债券、易方达纯债债券、易方达月月利理财债券、易方达</w:t>
      </w:r>
      <w:r w:rsidRPr="00F17515">
        <w:rPr>
          <w:rFonts w:asciiTheme="minorEastAsia" w:eastAsiaTheme="minorEastAsia" w:hAnsiTheme="minorEastAsia" w:hint="eastAsia"/>
        </w:rPr>
        <w:lastRenderedPageBreak/>
        <w:t>安源中短债债券、易方达策略成长二号混合</w:t>
      </w:r>
      <w:r w:rsidR="00737A69" w:rsidRPr="00F17515">
        <w:rPr>
          <w:rFonts w:asciiTheme="minorEastAsia" w:eastAsiaTheme="minorEastAsia" w:hAnsiTheme="minorEastAsia" w:hint="eastAsia"/>
        </w:rPr>
        <w:t>、易方达易理财货币市场基金</w:t>
      </w:r>
      <w:r w:rsidR="00D272BE" w:rsidRPr="00F17515">
        <w:rPr>
          <w:rFonts w:asciiTheme="minorEastAsia" w:eastAsiaTheme="minorEastAsia" w:hAnsiTheme="minorEastAsia" w:hint="eastAsia"/>
        </w:rPr>
        <w:t>、易方达中证国企一带一路ETF联接</w:t>
      </w:r>
      <w:r w:rsidRPr="00F17515">
        <w:rPr>
          <w:rFonts w:asciiTheme="minorEastAsia" w:eastAsiaTheme="minorEastAsia" w:hAnsiTheme="minorEastAsia" w:hint="eastAsia"/>
        </w:rPr>
        <w:t>时，转入份额的计算结果保留到小数点后两位，小数点后两位以后的部分四舍五入，由此误差产生的损失由基金财产承担，产生的收益归基金财产所有。</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22" w:name="_Toc198959622"/>
      <w:bookmarkStart w:id="123" w:name="_Toc41556789"/>
      <w:r w:rsidRPr="00F17515">
        <w:rPr>
          <w:rFonts w:asciiTheme="minorEastAsia" w:eastAsiaTheme="minorEastAsia" w:hAnsiTheme="minorEastAsia" w:hint="eastAsia"/>
        </w:rPr>
        <w:t>（七）基金转换的注册登记</w:t>
      </w:r>
      <w:bookmarkEnd w:id="122"/>
      <w:bookmarkEnd w:id="123"/>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cs="宋体" w:hint="eastAsia"/>
          <w:snapToGrid w:val="0"/>
          <w:kern w:val="0"/>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7228CC" w:rsidRPr="00F17515" w:rsidRDefault="007228CC" w:rsidP="0071223F">
      <w:pPr>
        <w:pStyle w:val="aa"/>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基金管理人可在法律法规允许的范围内，对上述注册登记办理时间进行调整，并</w:t>
      </w:r>
      <w:r w:rsidRPr="00F17515">
        <w:rPr>
          <w:rFonts w:asciiTheme="minorEastAsia" w:eastAsiaTheme="minorEastAsia" w:hAnsiTheme="minorEastAsia" w:cs="宋体" w:hint="eastAsia"/>
          <w:kern w:val="0"/>
          <w:szCs w:val="21"/>
        </w:rPr>
        <w:t>最迟应在调整生效前</w:t>
      </w:r>
      <w:r w:rsidRPr="00F17515">
        <w:rPr>
          <w:rFonts w:asciiTheme="minorEastAsia" w:eastAsiaTheme="minorEastAsia" w:hAnsiTheme="minorEastAsia"/>
          <w:kern w:val="0"/>
          <w:szCs w:val="21"/>
        </w:rPr>
        <w:t>2</w:t>
      </w:r>
      <w:r w:rsidRPr="00F17515">
        <w:rPr>
          <w:rFonts w:asciiTheme="minorEastAsia" w:eastAsiaTheme="minorEastAsia" w:hAnsiTheme="minorEastAsia" w:cs="宋体" w:hint="eastAsia"/>
          <w:kern w:val="0"/>
          <w:szCs w:val="21"/>
        </w:rPr>
        <w:t>日至少在一种中国证监会指定的媒体上予以公告。</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24" w:name="_Toc198959623"/>
      <w:bookmarkStart w:id="125" w:name="_Toc41556790"/>
      <w:r w:rsidRPr="00F17515">
        <w:rPr>
          <w:rFonts w:asciiTheme="minorEastAsia" w:eastAsiaTheme="minorEastAsia" w:hAnsiTheme="minorEastAsia" w:hint="eastAsia"/>
        </w:rPr>
        <w:t>（八）基金转换</w:t>
      </w:r>
      <w:r w:rsidRPr="00F17515">
        <w:rPr>
          <w:rFonts w:asciiTheme="minorEastAsia" w:eastAsiaTheme="minorEastAsia" w:hAnsiTheme="minorEastAsia"/>
        </w:rPr>
        <w:t>与巨额赎回</w:t>
      </w:r>
      <w:bookmarkEnd w:id="124"/>
      <w:bookmarkEnd w:id="125"/>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rPr>
        <w:t>当</w:t>
      </w:r>
      <w:r w:rsidRPr="00F17515">
        <w:rPr>
          <w:rFonts w:asciiTheme="minorEastAsia" w:eastAsiaTheme="minorEastAsia" w:hAnsiTheme="minorEastAsia" w:cs="宋体" w:hint="eastAsia"/>
          <w:kern w:val="0"/>
          <w:szCs w:val="2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26" w:name="_Toc198959624"/>
      <w:bookmarkStart w:id="127" w:name="_Toc41556791"/>
      <w:r w:rsidRPr="00F17515">
        <w:rPr>
          <w:rFonts w:asciiTheme="minorEastAsia" w:eastAsiaTheme="minorEastAsia" w:hAnsiTheme="minorEastAsia" w:hint="eastAsia"/>
        </w:rPr>
        <w:t>（九）拒绝或暂停基金转换的情形</w:t>
      </w:r>
      <w:bookmarkEnd w:id="126"/>
      <w:bookmarkEnd w:id="127"/>
    </w:p>
    <w:p w:rsidR="007228CC" w:rsidRPr="00F17515" w:rsidRDefault="007228CC"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出现下列情况之一时,基金管理人可以暂停接受基金份额持有人的基金转换申请：</w:t>
      </w:r>
    </w:p>
    <w:p w:rsidR="007228CC" w:rsidRPr="00F17515" w:rsidRDefault="002A7F91" w:rsidP="001037EA">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1、</w:t>
      </w:r>
      <w:r w:rsidR="007228CC" w:rsidRPr="00F17515">
        <w:rPr>
          <w:rFonts w:asciiTheme="minorEastAsia" w:eastAsiaTheme="minorEastAsia" w:hAnsiTheme="minorEastAsia" w:cs="宋体" w:hint="eastAsia"/>
          <w:kern w:val="0"/>
          <w:szCs w:val="21"/>
        </w:rPr>
        <w:t>不可抗力的原因导致基金无法正常运作；</w:t>
      </w:r>
    </w:p>
    <w:p w:rsidR="007228CC" w:rsidRPr="00F17515" w:rsidRDefault="002A7F91"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2、</w:t>
      </w:r>
      <w:r w:rsidR="007228CC" w:rsidRPr="00F17515">
        <w:rPr>
          <w:rFonts w:asciiTheme="minorEastAsia" w:eastAsiaTheme="minorEastAsia" w:hAnsiTheme="minorEastAsia" w:cs="宋体" w:hint="eastAsia"/>
          <w:kern w:val="0"/>
          <w:szCs w:val="21"/>
        </w:rPr>
        <w:t>证券交易场所在交易时间非正常停市或证券交易场所依法决定临时停市，导致当日基金资产净值无法计算；</w:t>
      </w:r>
    </w:p>
    <w:p w:rsidR="007228CC" w:rsidRPr="00F17515" w:rsidRDefault="002A7F91"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3、</w:t>
      </w:r>
      <w:r w:rsidR="007228CC" w:rsidRPr="00F17515">
        <w:rPr>
          <w:rFonts w:asciiTheme="minorEastAsia" w:eastAsiaTheme="minorEastAsia" w:hAnsiTheme="minorEastAsia" w:cs="宋体" w:hint="eastAsia"/>
          <w:kern w:val="0"/>
          <w:szCs w:val="21"/>
        </w:rPr>
        <w:t>因市场剧烈波动或其它原因而出现连续巨额赎回，导致本基金的现金支付出现困难；</w:t>
      </w:r>
    </w:p>
    <w:p w:rsidR="007228CC" w:rsidRPr="00F17515" w:rsidRDefault="002A7F91"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4、</w:t>
      </w:r>
      <w:r w:rsidR="007228CC" w:rsidRPr="00F17515">
        <w:rPr>
          <w:rFonts w:asciiTheme="minorEastAsia" w:eastAsiaTheme="minorEastAsia" w:hAnsiTheme="minorEastAsia" w:cs="宋体" w:hint="eastAsia"/>
          <w:kern w:val="0"/>
          <w:szCs w:val="21"/>
        </w:rPr>
        <w:t>基金管理人认为会有损于现有基金份额持有人利益的某笔转入或某笔转出；</w:t>
      </w:r>
    </w:p>
    <w:p w:rsidR="007228CC" w:rsidRPr="00F17515" w:rsidRDefault="002A7F91" w:rsidP="001037EA">
      <w:pPr>
        <w:widowControl/>
        <w:adjustRightInd w:val="0"/>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5、</w:t>
      </w:r>
      <w:r w:rsidR="007228CC" w:rsidRPr="00F17515">
        <w:rPr>
          <w:rFonts w:asciiTheme="minorEastAsia" w:eastAsiaTheme="minorEastAsia" w:hAnsiTheme="minorEastAsia" w:cs="宋体" w:hint="eastAsia"/>
          <w:kern w:val="0"/>
          <w:szCs w:val="21"/>
        </w:rPr>
        <w:t>发生基金合同规定的暂停基金资产估值情况；</w:t>
      </w:r>
    </w:p>
    <w:p w:rsidR="007228CC" w:rsidRPr="00F17515" w:rsidRDefault="002A7F91"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6、</w:t>
      </w:r>
      <w:r w:rsidR="007228CC" w:rsidRPr="00F17515">
        <w:rPr>
          <w:rFonts w:asciiTheme="minorEastAsia" w:eastAsiaTheme="minorEastAsia" w:hAnsiTheme="minorEastAsia" w:cs="宋体" w:hint="eastAsia"/>
          <w:kern w:val="0"/>
          <w:szCs w:val="21"/>
        </w:rPr>
        <w:t>基金资产规模过大，使基金管理人无法找到合适的投资品种，或可能对基金业绩产生负面影响，从而损害现有基金份额持有人的利益；</w:t>
      </w:r>
    </w:p>
    <w:p w:rsidR="00C609DD" w:rsidRPr="00F17515" w:rsidRDefault="002A7F91"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7、</w:t>
      </w:r>
      <w:r w:rsidR="00154B54" w:rsidRPr="00F17515">
        <w:rPr>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r w:rsidR="00C609DD" w:rsidRPr="00F17515">
        <w:rPr>
          <w:rFonts w:asciiTheme="minorEastAsia" w:eastAsiaTheme="minorEastAsia" w:hAnsiTheme="minorEastAsia" w:cs="宋体" w:hint="eastAsia"/>
          <w:kern w:val="0"/>
          <w:szCs w:val="21"/>
        </w:rPr>
        <w:t>；</w:t>
      </w:r>
    </w:p>
    <w:p w:rsidR="00C609DD" w:rsidRPr="00F17515" w:rsidRDefault="00C609DD"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kern w:val="0"/>
          <w:szCs w:val="21"/>
        </w:rPr>
        <w:t>8、</w:t>
      </w:r>
      <w:r w:rsidR="00154B54" w:rsidRPr="00F17515">
        <w:rPr>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Pr="00F17515">
        <w:rPr>
          <w:rFonts w:asciiTheme="minorEastAsia" w:eastAsiaTheme="minorEastAsia" w:hAnsiTheme="minorEastAsia" w:cs="宋体" w:hint="eastAsia"/>
          <w:kern w:val="0"/>
          <w:szCs w:val="21"/>
        </w:rPr>
        <w:t>；</w:t>
      </w:r>
    </w:p>
    <w:p w:rsidR="00C609DD" w:rsidRPr="00F17515" w:rsidRDefault="00C609DD"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kern w:val="0"/>
          <w:szCs w:val="21"/>
        </w:rPr>
        <w:t>9、</w:t>
      </w:r>
      <w:r w:rsidR="00154B54" w:rsidRPr="00F17515">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当前一估值日基金资产净值50%以上的资产出现无可参考的活跃市场价格且采用估值技术仍导致公允价值存在重大不确定性时，经与基金托管人协商确认后，基金管理人应当采取暂停接受基金转换申请的措施时</w:t>
      </w:r>
      <w:r w:rsidRPr="00F17515">
        <w:rPr>
          <w:rFonts w:asciiTheme="minorEastAsia" w:eastAsiaTheme="minorEastAsia" w:hAnsiTheme="minorEastAsia" w:cs="宋体" w:hint="eastAsia"/>
          <w:kern w:val="0"/>
          <w:szCs w:val="21"/>
        </w:rPr>
        <w:t>；</w:t>
      </w:r>
    </w:p>
    <w:p w:rsidR="007228CC" w:rsidRPr="00F17515" w:rsidRDefault="00C609DD"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lastRenderedPageBreak/>
        <w:t>1</w:t>
      </w:r>
      <w:r w:rsidRPr="00F17515">
        <w:rPr>
          <w:rFonts w:asciiTheme="minorEastAsia" w:eastAsiaTheme="minorEastAsia" w:hAnsiTheme="minorEastAsia" w:cs="宋体"/>
          <w:kern w:val="0"/>
          <w:szCs w:val="21"/>
        </w:rPr>
        <w:t>0、</w:t>
      </w:r>
      <w:r w:rsidR="007228CC" w:rsidRPr="00F17515">
        <w:rPr>
          <w:rFonts w:asciiTheme="minorEastAsia" w:eastAsiaTheme="minorEastAsia" w:hAnsiTheme="minorEastAsia" w:cs="宋体" w:hint="eastAsia"/>
          <w:kern w:val="0"/>
          <w:szCs w:val="21"/>
        </w:rPr>
        <w:t>法律、法规规定或中国证监会认定的其他情形。</w:t>
      </w:r>
    </w:p>
    <w:p w:rsidR="007228CC" w:rsidRPr="00F17515" w:rsidRDefault="007228CC"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基金暂停转换或暂停后重新开放转换时，基金管理人应立即向中国证监会备案并在至少一种中国证监会指定的信息披露媒体上公告。</w:t>
      </w:r>
    </w:p>
    <w:p w:rsidR="007228CC" w:rsidRPr="00F17515" w:rsidRDefault="007228CC" w:rsidP="0071223F">
      <w:pPr>
        <w:widowControl/>
        <w:snapToGrid w:val="0"/>
        <w:spacing w:line="360" w:lineRule="auto"/>
        <w:ind w:firstLineChars="200"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基金转换业务的解释权归本基金管理人，本公司可以根据市场情况在不违背有关法律、法规和基金合同的规定之前提下调整上述转换的收费方式、费率水平、业务规则及有关限制</w:t>
      </w:r>
      <w:r w:rsidRPr="00F17515">
        <w:rPr>
          <w:rFonts w:asciiTheme="minorEastAsia" w:eastAsiaTheme="minorEastAsia" w:hAnsiTheme="minorEastAsia"/>
          <w:kern w:val="0"/>
          <w:szCs w:val="21"/>
        </w:rPr>
        <w:t>,</w:t>
      </w:r>
      <w:r w:rsidRPr="00F17515">
        <w:rPr>
          <w:rFonts w:asciiTheme="minorEastAsia" w:eastAsiaTheme="minorEastAsia" w:hAnsiTheme="minorEastAsia" w:cs="宋体" w:hint="eastAsia"/>
          <w:kern w:val="0"/>
          <w:szCs w:val="21"/>
        </w:rPr>
        <w:t>但最迟应在调整生效前</w:t>
      </w:r>
      <w:r w:rsidRPr="00F17515">
        <w:rPr>
          <w:rFonts w:asciiTheme="minorEastAsia" w:eastAsiaTheme="minorEastAsia" w:hAnsiTheme="minorEastAsia"/>
          <w:kern w:val="0"/>
          <w:szCs w:val="21"/>
        </w:rPr>
        <w:t>2</w:t>
      </w:r>
      <w:r w:rsidRPr="00F17515">
        <w:rPr>
          <w:rFonts w:asciiTheme="minorEastAsia" w:eastAsiaTheme="minorEastAsia" w:hAnsiTheme="minorEastAsia" w:cs="宋体" w:hint="eastAsia"/>
          <w:kern w:val="0"/>
          <w:szCs w:val="21"/>
        </w:rPr>
        <w:t>日至少在一种中国证监会指定的媒体上予以公告。</w:t>
      </w:r>
    </w:p>
    <w:p w:rsidR="007228CC" w:rsidRPr="00F17515" w:rsidRDefault="007228CC" w:rsidP="0071223F">
      <w:pPr>
        <w:widowControl/>
        <w:snapToGrid w:val="0"/>
        <w:spacing w:line="360" w:lineRule="auto"/>
        <w:ind w:firstLineChars="200" w:firstLine="420"/>
        <w:jc w:val="left"/>
        <w:rPr>
          <w:rFonts w:asciiTheme="minorEastAsia" w:eastAsiaTheme="minorEastAsia" w:hAnsiTheme="minorEastAsia" w:cs="宋体"/>
          <w:kern w:val="0"/>
          <w:szCs w:val="21"/>
        </w:rPr>
      </w:pP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szCs w:val="32"/>
        </w:rPr>
      </w:pPr>
      <w:bookmarkStart w:id="128" w:name="_Toc531323712"/>
      <w:bookmarkStart w:id="129" w:name="_Toc86560070"/>
      <w:bookmarkStart w:id="130" w:name="_Toc86635162"/>
      <w:bookmarkStart w:id="131" w:name="_Toc91335002"/>
      <w:bookmarkStart w:id="132" w:name="_Toc211920150"/>
      <w:bookmarkStart w:id="133" w:name="_Toc211927681"/>
      <w:bookmarkStart w:id="134" w:name="_Toc41556792"/>
      <w:r w:rsidRPr="00F17515">
        <w:rPr>
          <w:rFonts w:asciiTheme="minorEastAsia" w:eastAsiaTheme="minorEastAsia" w:hAnsiTheme="minorEastAsia" w:hint="eastAsia"/>
          <w:b/>
        </w:rPr>
        <w:lastRenderedPageBreak/>
        <w:t>定期定额投资计划</w:t>
      </w:r>
      <w:bookmarkEnd w:id="128"/>
      <w:bookmarkEnd w:id="134"/>
    </w:p>
    <w:p w:rsidR="007228CC" w:rsidRPr="00F17515" w:rsidRDefault="007228CC" w:rsidP="0071223F">
      <w:pPr>
        <w:widowControl/>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定期定额申购业务是指投资者可通过本基金管理人指定的销售机构提交申请，约定每期扣款时间、扣款金额，由指定的销售机构于每期约定扣款日在投资者指定资金账户内自动完成扣款，并提交基金申购申请的一种长期投资方式。</w:t>
      </w:r>
    </w:p>
    <w:p w:rsidR="007228CC" w:rsidRPr="00F17515" w:rsidRDefault="007228CC" w:rsidP="0071223F">
      <w:pPr>
        <w:widowControl/>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本基金已于</w:t>
      </w:r>
      <w:r w:rsidRPr="00F17515">
        <w:rPr>
          <w:rFonts w:asciiTheme="minorEastAsia" w:eastAsiaTheme="minorEastAsia" w:hAnsiTheme="minorEastAsia" w:cs="宋体"/>
          <w:kern w:val="0"/>
          <w:szCs w:val="21"/>
        </w:rPr>
        <w:t>200</w:t>
      </w:r>
      <w:r w:rsidRPr="00F17515">
        <w:rPr>
          <w:rFonts w:asciiTheme="minorEastAsia" w:eastAsiaTheme="minorEastAsia" w:hAnsiTheme="minorEastAsia" w:cs="宋体" w:hint="eastAsia"/>
          <w:kern w:val="0"/>
          <w:szCs w:val="21"/>
        </w:rPr>
        <w:t>8年9月26日开通定期定额申购业务</w:t>
      </w:r>
      <w:r w:rsidRPr="00F17515">
        <w:rPr>
          <w:rFonts w:asciiTheme="minorEastAsia" w:eastAsiaTheme="minorEastAsia" w:hAnsiTheme="minorEastAsia" w:hint="eastAsia"/>
        </w:rPr>
        <w:t>，具体实施办法详见相关公告</w:t>
      </w:r>
      <w:r w:rsidRPr="00F17515">
        <w:rPr>
          <w:rFonts w:asciiTheme="minorEastAsia" w:eastAsiaTheme="minorEastAsia" w:hAnsiTheme="minorEastAsia" w:cs="宋体" w:hint="eastAsia"/>
          <w:kern w:val="0"/>
          <w:szCs w:val="21"/>
        </w:rPr>
        <w:t>。</w:t>
      </w: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135" w:name="_Toc41556793"/>
      <w:r w:rsidRPr="00F17515">
        <w:rPr>
          <w:rFonts w:asciiTheme="minorEastAsia" w:eastAsiaTheme="minorEastAsia" w:hAnsiTheme="minorEastAsia" w:hint="eastAsia"/>
          <w:b/>
        </w:rPr>
        <w:lastRenderedPageBreak/>
        <w:t>基金的非交易过户、转托管、冻结与</w:t>
      </w:r>
      <w:bookmarkEnd w:id="129"/>
      <w:bookmarkEnd w:id="130"/>
      <w:bookmarkEnd w:id="131"/>
      <w:r w:rsidRPr="00F17515">
        <w:rPr>
          <w:rFonts w:asciiTheme="minorEastAsia" w:eastAsiaTheme="minorEastAsia" w:hAnsiTheme="minorEastAsia" w:hint="eastAsia"/>
          <w:b/>
        </w:rPr>
        <w:t>解冻</w:t>
      </w:r>
      <w:bookmarkEnd w:id="132"/>
      <w:bookmarkEnd w:id="133"/>
      <w:bookmarkEnd w:id="135"/>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szCs w:val="21"/>
        </w:rPr>
        <w:t>（</w:t>
      </w:r>
      <w:r w:rsidRPr="00F17515">
        <w:rPr>
          <w:rFonts w:asciiTheme="minorEastAsia" w:eastAsiaTheme="minorEastAsia" w:hAnsiTheme="minorEastAsia" w:hint="eastAsia"/>
        </w:rPr>
        <w:t>一）</w:t>
      </w:r>
      <w:r w:rsidRPr="00F17515">
        <w:rPr>
          <w:rFonts w:asciiTheme="minorEastAsia" w:eastAsiaTheme="minorEastAsia" w:hAnsiTheme="minorEastAsia"/>
        </w:rPr>
        <w:t>非交易过户是指不采用申购、赎回等基金交易方式，将一定数量的基金份额按照一定规则从某一投资者基金账户转移到另一投资者基金账户的行为</w:t>
      </w:r>
      <w:r w:rsidRPr="00F17515">
        <w:rPr>
          <w:rFonts w:asciiTheme="minorEastAsia" w:eastAsiaTheme="minorEastAsia" w:hAnsiTheme="minorEastAsia" w:hint="eastAsia"/>
        </w:rPr>
        <w:t>，包括</w:t>
      </w:r>
      <w:r w:rsidRPr="00F17515">
        <w:rPr>
          <w:rFonts w:asciiTheme="minorEastAsia" w:eastAsiaTheme="minorEastAsia" w:hAnsiTheme="minorEastAsia"/>
        </w:rPr>
        <w:t>继承、捐赠、</w:t>
      </w:r>
      <w:r w:rsidRPr="00F17515">
        <w:rPr>
          <w:rFonts w:asciiTheme="minorEastAsia" w:eastAsiaTheme="minorEastAsia" w:hAnsiTheme="minorEastAsia" w:hint="eastAsia"/>
        </w:rPr>
        <w:t>强制</w:t>
      </w:r>
      <w:r w:rsidRPr="00F17515">
        <w:rPr>
          <w:rFonts w:asciiTheme="minorEastAsia" w:eastAsiaTheme="minorEastAsia" w:hAnsiTheme="minorEastAsia"/>
        </w:rPr>
        <w:t>执行</w:t>
      </w:r>
      <w:r w:rsidRPr="00F17515">
        <w:rPr>
          <w:rFonts w:asciiTheme="minorEastAsia" w:eastAsiaTheme="minorEastAsia" w:hAnsiTheme="minorEastAsia" w:hint="eastAsia"/>
        </w:rPr>
        <w:t>及基金注册登记机构认可的其它情况下的非交易过户</w:t>
      </w:r>
      <w:r w:rsidRPr="00F17515">
        <w:rPr>
          <w:rFonts w:asciiTheme="minorEastAsia" w:eastAsiaTheme="minorEastAsia" w:hAnsiTheme="minorEastAsia"/>
        </w:rPr>
        <w:t>。</w:t>
      </w:r>
      <w:r w:rsidRPr="00F17515">
        <w:rPr>
          <w:rFonts w:asciiTheme="minorEastAsia" w:eastAsiaTheme="minorEastAsia" w:hAnsiTheme="minorEastAsia" w:hint="eastAsia"/>
          <w:szCs w:val="21"/>
        </w:rPr>
        <w:t>无论在上述何种情况下，接受划转的主体应符合相关法律法规和基金合同规定的持有本基金份额的投资者的条件。</w:t>
      </w:r>
      <w:r w:rsidRPr="00F17515">
        <w:rPr>
          <w:rFonts w:asciiTheme="minorEastAsia" w:eastAsiaTheme="minorEastAsia" w:hAnsiTheme="minorEastAsia" w:hint="eastAsia"/>
        </w:rPr>
        <w:t>其中：</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“继承”是指基金份额持有人死亡，其持有的基金份额由其合法的继承人或受遗赠人继承；</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“捐赠”仅指基金份额持有人将其合法持有的基金份额捐赠给福利性质的基金会或社会团体；</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“强制执行”是指国家有权机关依据生效的法律文书将基金份额持有人持有的基金份额强制执行划转给其他自然人、法人、社会团体或其他组织。</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（二）</w:t>
      </w:r>
      <w:r w:rsidRPr="00F17515">
        <w:rPr>
          <w:rFonts w:asciiTheme="minorEastAsia" w:eastAsiaTheme="minorEastAsia" w:hAnsiTheme="minorEastAsia" w:hint="eastAsia"/>
          <w:szCs w:val="21"/>
        </w:rPr>
        <w:t>办理非交易过户业务必须提供基金注册登</w:t>
      </w:r>
      <w:r w:rsidRPr="00F17515">
        <w:rPr>
          <w:rFonts w:asciiTheme="minorEastAsia" w:eastAsiaTheme="minorEastAsia" w:hAnsiTheme="minorEastAsia" w:hint="eastAsia"/>
        </w:rPr>
        <w:t>记机构规定的相关资料，注册登记机构办理上述情况下</w:t>
      </w:r>
      <w:r w:rsidRPr="00F17515">
        <w:rPr>
          <w:rFonts w:asciiTheme="minorEastAsia" w:eastAsiaTheme="minorEastAsia" w:hAnsiTheme="minorEastAsia"/>
        </w:rPr>
        <w:t>的非交易过户</w:t>
      </w:r>
      <w:r w:rsidRPr="00F17515">
        <w:rPr>
          <w:rFonts w:asciiTheme="minorEastAsia" w:eastAsiaTheme="minorEastAsia" w:hAnsiTheme="minorEastAsia" w:hint="eastAsia"/>
        </w:rPr>
        <w:t>，其他销售机构可代为受理投资者的申请材料，但不得办理该项业务。</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（三）符合条件的非交易过户申请自申请受理日起，两个月内办理；申请人按基金注册登记机构规定的标准缴纳过户费用。</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（四）基金份额持有人可以办理其基金份额在不同销售机构的转托管手续，转托管业务由各销售机构负责受理。</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五）基金注册登记机构只受理国家有权机关依法要求以及注册登记机构认可的其他情况下的基金账户或基金份额的冻结与解冻。基金账户或基金份额被冻结的，被冻结部分产生的权益（包括现金分红和红利再投资）一并冻结，</w:t>
      </w:r>
      <w:r w:rsidRPr="00F17515">
        <w:rPr>
          <w:rFonts w:asciiTheme="minorEastAsia" w:eastAsiaTheme="minorEastAsia" w:hAnsiTheme="minorEastAsia" w:hint="eastAsia"/>
          <w:szCs w:val="21"/>
        </w:rPr>
        <w:t>被冻结部分份额仍然参与收益分配与支付</w:t>
      </w:r>
      <w:r w:rsidRPr="00F17515">
        <w:rPr>
          <w:rFonts w:asciiTheme="minorEastAsia" w:eastAsiaTheme="minorEastAsia" w:hAnsiTheme="minorEastAsia" w:hint="eastAsia"/>
        </w:rPr>
        <w:t>。</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（六）根据相关法律法规的规定，基金管理人将可以办理基金份额的质押业务或其他基金业务，并制定和实施相应的业务规则。</w:t>
      </w:r>
    </w:p>
    <w:p w:rsidR="007228CC" w:rsidRPr="00F17515" w:rsidRDefault="007228CC" w:rsidP="0071223F">
      <w:pPr>
        <w:snapToGrid w:val="0"/>
        <w:spacing w:line="360" w:lineRule="auto"/>
        <w:ind w:firstLine="640"/>
        <w:rPr>
          <w:rFonts w:asciiTheme="minorEastAsia" w:eastAsiaTheme="minorEastAsia" w:hAnsiTheme="minorEastAsia"/>
        </w:rPr>
      </w:pPr>
      <w:bookmarkStart w:id="136" w:name="_Toc52310853"/>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137" w:name="_Toc41556794"/>
      <w:r w:rsidRPr="00F17515">
        <w:rPr>
          <w:rFonts w:asciiTheme="minorEastAsia" w:eastAsiaTheme="minorEastAsia" w:hAnsiTheme="minorEastAsia" w:hint="eastAsia"/>
          <w:b/>
        </w:rPr>
        <w:lastRenderedPageBreak/>
        <w:t>基金的投资</w:t>
      </w:r>
      <w:bookmarkEnd w:id="137"/>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38" w:name="_Toc182018760"/>
      <w:bookmarkStart w:id="139" w:name="_Toc211920152"/>
      <w:bookmarkStart w:id="140" w:name="_Toc211927683"/>
      <w:bookmarkStart w:id="141" w:name="_Toc41556795"/>
      <w:r w:rsidRPr="00F17515">
        <w:rPr>
          <w:rFonts w:asciiTheme="minorEastAsia" w:eastAsiaTheme="minorEastAsia" w:hAnsiTheme="minorEastAsia" w:hint="eastAsia"/>
        </w:rPr>
        <w:t>（一）投资目标</w:t>
      </w:r>
      <w:bookmarkEnd w:id="138"/>
      <w:bookmarkEnd w:id="139"/>
      <w:bookmarkEnd w:id="140"/>
      <w:bookmarkEnd w:id="141"/>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通过主要投资于债券品种，力争为基金持有人创造较高的当期收益和总回报，实现基金资产的长期稳健增值。</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42" w:name="_Toc182018761"/>
      <w:bookmarkStart w:id="143" w:name="_Toc211920153"/>
      <w:bookmarkStart w:id="144" w:name="_Toc211927684"/>
      <w:bookmarkStart w:id="145" w:name="_Toc41556796"/>
      <w:r w:rsidRPr="00F17515">
        <w:rPr>
          <w:rFonts w:asciiTheme="minorEastAsia" w:eastAsiaTheme="minorEastAsia" w:hAnsiTheme="minorEastAsia" w:hint="eastAsia"/>
        </w:rPr>
        <w:t>（二）投资范围</w:t>
      </w:r>
      <w:bookmarkEnd w:id="142"/>
      <w:bookmarkEnd w:id="143"/>
      <w:bookmarkEnd w:id="144"/>
      <w:bookmarkEnd w:id="145"/>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本基金</w:t>
      </w:r>
      <w:r w:rsidRPr="00F17515">
        <w:rPr>
          <w:rFonts w:asciiTheme="minorEastAsia" w:eastAsiaTheme="minorEastAsia" w:hAnsiTheme="minorEastAsia" w:hint="eastAsia"/>
          <w:szCs w:val="21"/>
        </w:rPr>
        <w:t>的投资范围为</w:t>
      </w:r>
      <w:r w:rsidRPr="00F17515">
        <w:rPr>
          <w:rFonts w:asciiTheme="minorEastAsia" w:eastAsiaTheme="minorEastAsia" w:hAnsiTheme="minorEastAsia"/>
          <w:szCs w:val="21"/>
        </w:rPr>
        <w:t>具有良好流动性的</w:t>
      </w:r>
      <w:r w:rsidRPr="00F17515">
        <w:rPr>
          <w:rFonts w:asciiTheme="minorEastAsia" w:eastAsiaTheme="minorEastAsia" w:hAnsiTheme="minorEastAsia" w:hint="eastAsia"/>
          <w:szCs w:val="21"/>
        </w:rPr>
        <w:t>金融工具</w:t>
      </w:r>
      <w:r w:rsidRPr="00F17515">
        <w:rPr>
          <w:rFonts w:asciiTheme="minorEastAsia" w:eastAsiaTheme="minorEastAsia" w:hAnsiTheme="minorEastAsia"/>
          <w:szCs w:val="21"/>
        </w:rPr>
        <w:t>，包括</w:t>
      </w:r>
      <w:r w:rsidRPr="00F17515">
        <w:rPr>
          <w:rFonts w:asciiTheme="minorEastAsia" w:eastAsiaTheme="minorEastAsia" w:hAnsiTheme="minorEastAsia" w:hint="eastAsia"/>
          <w:szCs w:val="21"/>
        </w:rPr>
        <w:t>债券</w:t>
      </w:r>
      <w:r w:rsidRPr="00F17515">
        <w:rPr>
          <w:rFonts w:asciiTheme="minorEastAsia" w:eastAsiaTheme="minorEastAsia" w:hAnsiTheme="minorEastAsia"/>
          <w:szCs w:val="21"/>
        </w:rPr>
        <w:t>回购、央行票据</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国债</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金融债、企业债、</w:t>
      </w:r>
      <w:r w:rsidRPr="00F17515">
        <w:rPr>
          <w:rFonts w:asciiTheme="minorEastAsia" w:eastAsiaTheme="minorEastAsia" w:hAnsiTheme="minorEastAsia" w:hint="eastAsia"/>
          <w:szCs w:val="21"/>
        </w:rPr>
        <w:t>公司债、</w:t>
      </w:r>
      <w:r w:rsidRPr="00F17515">
        <w:rPr>
          <w:rFonts w:asciiTheme="minorEastAsia" w:eastAsiaTheme="minorEastAsia" w:hAnsiTheme="minorEastAsia"/>
          <w:szCs w:val="21"/>
        </w:rPr>
        <w:t>可转换债券</w:t>
      </w:r>
      <w:r w:rsidRPr="00F17515">
        <w:rPr>
          <w:rFonts w:asciiTheme="minorEastAsia" w:eastAsiaTheme="minorEastAsia" w:hAnsiTheme="minorEastAsia" w:hint="eastAsia"/>
          <w:szCs w:val="21"/>
        </w:rPr>
        <w:t>（含分离型可转换债券）</w:t>
      </w:r>
      <w:r w:rsidRPr="00F17515">
        <w:rPr>
          <w:rFonts w:asciiTheme="minorEastAsia" w:eastAsiaTheme="minorEastAsia" w:hAnsiTheme="minorEastAsia"/>
          <w:szCs w:val="21"/>
        </w:rPr>
        <w:t>、资产支持证券</w:t>
      </w:r>
      <w:r w:rsidRPr="00F17515">
        <w:rPr>
          <w:rFonts w:asciiTheme="minorEastAsia" w:eastAsiaTheme="minorEastAsia" w:hAnsiTheme="minorEastAsia" w:hint="eastAsia"/>
          <w:szCs w:val="21"/>
        </w:rPr>
        <w:t>、股票以及法律法规或中国证监会允许基金投资的其他金融工具。</w:t>
      </w:r>
      <w:r w:rsidRPr="00F17515">
        <w:rPr>
          <w:rFonts w:asciiTheme="minorEastAsia" w:eastAsiaTheme="minorEastAsia" w:hAnsiTheme="minorEastAsia"/>
          <w:szCs w:val="21"/>
        </w:rPr>
        <w:t>如法律法规或监管机构以后允许基金投资其他品种，基金管理人在履行适当程序后，可以将其纳入投资范围。</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各类资产的投资比例范围为：债券等固定收益类资产的比例不低于基金资产的80%，其中，公司债、企业债、短期融资券、金融债等信用类固定收益品种不低于固定收益资产总值的50%，可转换债券不高于基金资产净值的30%，本基金持有的全部资产支持证券，其市值不得超过基金资产净值的</w:t>
      </w:r>
      <w:r w:rsidRPr="00F17515">
        <w:rPr>
          <w:rFonts w:asciiTheme="minorEastAsia" w:eastAsiaTheme="minorEastAsia" w:hAnsiTheme="minorEastAsia"/>
          <w:szCs w:val="21"/>
        </w:rPr>
        <w:t>20%</w:t>
      </w:r>
      <w:r w:rsidRPr="00F17515">
        <w:rPr>
          <w:rFonts w:asciiTheme="minorEastAsia" w:eastAsiaTheme="minorEastAsia" w:hAnsiTheme="minorEastAsia" w:hint="eastAsia"/>
          <w:szCs w:val="21"/>
        </w:rPr>
        <w:t>；股票等权益类品种不高于基金资产的20%；基金保留的现金以及到期日在一年以内的政府债券的比例合计不低于基金资产净值的5%</w:t>
      </w:r>
      <w:r w:rsidR="00C609DD" w:rsidRPr="00F17515">
        <w:rPr>
          <w:rFonts w:asciiTheme="minorEastAsia" w:eastAsiaTheme="minorEastAsia" w:hAnsiTheme="minorEastAsia" w:hint="eastAsia"/>
          <w:szCs w:val="21"/>
        </w:rPr>
        <w:t>，现金不包括结算备付金、存出保证金、应收申购款等</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此处信用类固定收益品种是指除了国债和央行票据等并非由国家信用担保的固定收益证券品种。</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46" w:name="_Toc182018762"/>
      <w:bookmarkStart w:id="147" w:name="_Toc211920154"/>
      <w:bookmarkStart w:id="148" w:name="_Toc211927685"/>
      <w:bookmarkStart w:id="149" w:name="_Toc41556797"/>
      <w:r w:rsidRPr="00F17515">
        <w:rPr>
          <w:rFonts w:asciiTheme="minorEastAsia" w:eastAsiaTheme="minorEastAsia" w:hAnsiTheme="minorEastAsia" w:hint="eastAsia"/>
        </w:rPr>
        <w:t>（三）投资理念</w:t>
      </w:r>
      <w:bookmarkEnd w:id="146"/>
      <w:bookmarkEnd w:id="147"/>
      <w:bookmarkEnd w:id="148"/>
      <w:bookmarkEnd w:id="149"/>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以宏观经济研究主导债券投资，在可控风险下提高债券总收益。通过严格的信用评估、信用利差分析等技术手段，提高基金收益水平。积极运用新股申购等方式增强基金收益。</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50" w:name="_Toc182018763"/>
      <w:bookmarkStart w:id="151" w:name="_Toc211920155"/>
      <w:bookmarkStart w:id="152" w:name="_Toc211927686"/>
      <w:bookmarkStart w:id="153" w:name="_Toc41556798"/>
      <w:r w:rsidRPr="00F17515">
        <w:rPr>
          <w:rFonts w:asciiTheme="minorEastAsia" w:eastAsiaTheme="minorEastAsia" w:hAnsiTheme="minorEastAsia" w:hint="eastAsia"/>
        </w:rPr>
        <w:t>（四）投资策略</w:t>
      </w:r>
      <w:bookmarkEnd w:id="150"/>
      <w:bookmarkEnd w:id="151"/>
      <w:bookmarkEnd w:id="152"/>
      <w:bookmarkEnd w:id="153"/>
    </w:p>
    <w:p w:rsidR="007228CC" w:rsidRPr="00F17515" w:rsidRDefault="002A7F91"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资产配置策略</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基于对以下因素的判断，进行基金资产在非信用类固定收益品种（国债、央行票据等）、信用类固定收益品种（含可转换债券）、新股（含增发）申购之间的配置：1）基于对利率走势、利率期限结构等因素的分析，预测固定收益品种的投资收益和风险；2）对宏观经济、行业前景以及公司财务进行严谨的分析，考察其对固定收益市场信用利差的影响；3）基于新股发行频率、中签率、上市后的平均涨幅等的分析，预测新股申购的收益率以及风险；4）套利性投资机会的投资期间及预期收益率；5）股票市场走势的预测；6）可转换债券发行公司的成长性和转债价值的判断。</w:t>
      </w:r>
    </w:p>
    <w:p w:rsidR="007228CC" w:rsidRPr="00F17515" w:rsidRDefault="002A7F91"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固定收益品种投资策略</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（1）固定收益品种的配置策略</w:t>
      </w:r>
    </w:p>
    <w:p w:rsidR="007228CC" w:rsidRPr="00F17515" w:rsidRDefault="002A7F91"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平均久期配置</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本基金通过对宏观经济变量（包括国内生产总值、工业增长、货币信贷、固定资产投资、消费、外贸差额、财政收支、价格指数和汇率等）和宏观经济政策（包括货币政策、财政政策、产业政策、外贸和汇率政策等）进行分析，预测未来的利率趋势，判断债券市场对上述变量和政策的反应，并据此积极调整债券组合的平均久期，</w:t>
      </w:r>
      <w:r w:rsidRPr="00F17515">
        <w:rPr>
          <w:rFonts w:asciiTheme="minorEastAsia" w:eastAsiaTheme="minorEastAsia" w:hAnsiTheme="minorEastAsia"/>
          <w:szCs w:val="21"/>
        </w:rPr>
        <w:t>提高债券组合的</w:t>
      </w:r>
      <w:r w:rsidRPr="00F17515">
        <w:rPr>
          <w:rFonts w:asciiTheme="minorEastAsia" w:eastAsiaTheme="minorEastAsia" w:hAnsiTheme="minorEastAsia" w:hint="eastAsia"/>
          <w:szCs w:val="21"/>
        </w:rPr>
        <w:t>总投资</w:t>
      </w:r>
      <w:r w:rsidRPr="00F17515">
        <w:rPr>
          <w:rFonts w:asciiTheme="minorEastAsia" w:eastAsiaTheme="minorEastAsia" w:hAnsiTheme="minorEastAsia"/>
          <w:szCs w:val="21"/>
        </w:rPr>
        <w:t>收益。</w:t>
      </w:r>
    </w:p>
    <w:p w:rsidR="007228CC" w:rsidRPr="00F17515" w:rsidRDefault="002A7F91"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期限结构配置</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w:t>
      </w:r>
      <w:r w:rsidRPr="00F17515">
        <w:rPr>
          <w:rFonts w:asciiTheme="minorEastAsia" w:eastAsiaTheme="minorEastAsia" w:hAnsiTheme="minorEastAsia"/>
          <w:szCs w:val="21"/>
        </w:rPr>
        <w:t>对债券市场</w:t>
      </w:r>
      <w:r w:rsidRPr="00F17515">
        <w:rPr>
          <w:rFonts w:asciiTheme="minorEastAsia" w:eastAsiaTheme="minorEastAsia" w:hAnsiTheme="minorEastAsia" w:hint="eastAsia"/>
          <w:szCs w:val="21"/>
        </w:rPr>
        <w:t>收益率期限结构进行</w:t>
      </w:r>
      <w:r w:rsidRPr="00F17515">
        <w:rPr>
          <w:rFonts w:asciiTheme="minorEastAsia" w:eastAsiaTheme="minorEastAsia" w:hAnsiTheme="minorEastAsia"/>
          <w:szCs w:val="21"/>
        </w:rPr>
        <w:t>分析，</w:t>
      </w:r>
      <w:r w:rsidRPr="00F17515">
        <w:rPr>
          <w:rFonts w:asciiTheme="minorEastAsia" w:eastAsiaTheme="minorEastAsia" w:hAnsiTheme="minorEastAsia" w:hint="eastAsia"/>
          <w:szCs w:val="21"/>
        </w:rPr>
        <w:t>运用统计和数量分析技术，预测收益率期限结构的变化方式，选择确定期限结构配置策略，配置各期限固定收益品种的比例，以达到预期投资收益最大化的目的。</w:t>
      </w:r>
    </w:p>
    <w:p w:rsidR="007228CC" w:rsidRPr="00F17515" w:rsidRDefault="002A7F91"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szCs w:val="21"/>
        </w:rPr>
        <w:t>类属配置</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本</w:t>
      </w:r>
      <w:r w:rsidRPr="00F17515">
        <w:rPr>
          <w:rFonts w:asciiTheme="minorEastAsia" w:eastAsiaTheme="minorEastAsia" w:hAnsiTheme="minorEastAsia" w:hint="eastAsia"/>
          <w:szCs w:val="21"/>
        </w:rPr>
        <w:t>基金</w:t>
      </w:r>
      <w:r w:rsidRPr="00F17515">
        <w:rPr>
          <w:rFonts w:asciiTheme="minorEastAsia" w:eastAsiaTheme="minorEastAsia" w:hAnsiTheme="minorEastAsia"/>
          <w:szCs w:val="21"/>
        </w:rPr>
        <w:t>对</w:t>
      </w:r>
      <w:r w:rsidRPr="00F17515">
        <w:rPr>
          <w:rFonts w:asciiTheme="minorEastAsia" w:eastAsiaTheme="minorEastAsia" w:hAnsiTheme="minorEastAsia" w:hint="eastAsia"/>
          <w:szCs w:val="21"/>
        </w:rPr>
        <w:t>不同类型固定收益品种的信用风险、税赋水平、市场流动性、市场风险等因素进行分析，研究同期限的国债、</w:t>
      </w:r>
      <w:r w:rsidRPr="00F17515">
        <w:rPr>
          <w:rFonts w:asciiTheme="minorEastAsia" w:eastAsiaTheme="minorEastAsia" w:hAnsiTheme="minorEastAsia"/>
          <w:szCs w:val="21"/>
        </w:rPr>
        <w:t>金融债</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企业债</w:t>
      </w:r>
      <w:r w:rsidRPr="00F17515">
        <w:rPr>
          <w:rFonts w:asciiTheme="minorEastAsia" w:eastAsiaTheme="minorEastAsia" w:hAnsiTheme="minorEastAsia" w:hint="eastAsia"/>
          <w:szCs w:val="21"/>
        </w:rPr>
        <w:t>、交易所和银行间市场投资品种的</w:t>
      </w:r>
      <w:r w:rsidRPr="00F17515">
        <w:rPr>
          <w:rFonts w:asciiTheme="minorEastAsia" w:eastAsiaTheme="minorEastAsia" w:hAnsiTheme="minorEastAsia"/>
          <w:szCs w:val="21"/>
        </w:rPr>
        <w:t>利差</w:t>
      </w:r>
      <w:r w:rsidRPr="00F17515">
        <w:rPr>
          <w:rFonts w:asciiTheme="minorEastAsia" w:eastAsiaTheme="minorEastAsia" w:hAnsiTheme="minorEastAsia" w:hint="eastAsia"/>
          <w:szCs w:val="21"/>
        </w:rPr>
        <w:t>和变化趋势</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制定债券类属配置策略</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以</w:t>
      </w:r>
      <w:r w:rsidRPr="00F17515">
        <w:rPr>
          <w:rFonts w:asciiTheme="minorEastAsia" w:eastAsiaTheme="minorEastAsia" w:hAnsiTheme="minorEastAsia"/>
          <w:szCs w:val="21"/>
        </w:rPr>
        <w:t>获取不同债券类属之间利差变化所带来的投资收益。</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（2）固定收益品种的选择</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在</w:t>
      </w:r>
      <w:r w:rsidRPr="00F17515">
        <w:rPr>
          <w:rFonts w:asciiTheme="minorEastAsia" w:eastAsiaTheme="minorEastAsia" w:hAnsiTheme="minorEastAsia" w:hint="eastAsia"/>
          <w:szCs w:val="21"/>
        </w:rPr>
        <w:t>债券组合平均久期、期限结构和</w:t>
      </w:r>
      <w:r w:rsidRPr="00F17515">
        <w:rPr>
          <w:rFonts w:asciiTheme="minorEastAsia" w:eastAsiaTheme="minorEastAsia" w:hAnsiTheme="minorEastAsia"/>
          <w:szCs w:val="21"/>
        </w:rPr>
        <w:t>类属配置的基础上，本基金</w:t>
      </w:r>
      <w:r w:rsidRPr="00F17515">
        <w:rPr>
          <w:rFonts w:asciiTheme="minorEastAsia" w:eastAsiaTheme="minorEastAsia" w:hAnsiTheme="minorEastAsia" w:hint="eastAsia"/>
          <w:szCs w:val="21"/>
        </w:rPr>
        <w:t>对影响个别</w:t>
      </w:r>
      <w:r w:rsidRPr="00F17515">
        <w:rPr>
          <w:rFonts w:asciiTheme="minorEastAsia" w:eastAsiaTheme="minorEastAsia" w:hAnsiTheme="minorEastAsia"/>
          <w:szCs w:val="21"/>
        </w:rPr>
        <w:t>债券</w:t>
      </w:r>
      <w:r w:rsidRPr="00F17515">
        <w:rPr>
          <w:rFonts w:asciiTheme="minorEastAsia" w:eastAsiaTheme="minorEastAsia" w:hAnsiTheme="minorEastAsia" w:hint="eastAsia"/>
          <w:szCs w:val="21"/>
        </w:rPr>
        <w:t>定价的主要因素，包括流动性、市场供求、</w:t>
      </w:r>
      <w:r w:rsidRPr="00F17515">
        <w:rPr>
          <w:rFonts w:asciiTheme="minorEastAsia" w:eastAsiaTheme="minorEastAsia" w:hAnsiTheme="minorEastAsia"/>
          <w:szCs w:val="21"/>
        </w:rPr>
        <w:t>信用</w:t>
      </w:r>
      <w:r w:rsidRPr="00F17515">
        <w:rPr>
          <w:rFonts w:asciiTheme="minorEastAsia" w:eastAsiaTheme="minorEastAsia" w:hAnsiTheme="minorEastAsia" w:hint="eastAsia"/>
          <w:szCs w:val="21"/>
        </w:rPr>
        <w:t>风险</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票息及付息频率、</w:t>
      </w:r>
      <w:r w:rsidRPr="00F17515">
        <w:rPr>
          <w:rFonts w:asciiTheme="minorEastAsia" w:eastAsiaTheme="minorEastAsia" w:hAnsiTheme="minorEastAsia"/>
          <w:szCs w:val="21"/>
        </w:rPr>
        <w:t>税赋、</w:t>
      </w:r>
      <w:r w:rsidRPr="00F17515">
        <w:rPr>
          <w:rFonts w:asciiTheme="minorEastAsia" w:eastAsiaTheme="minorEastAsia" w:hAnsiTheme="minorEastAsia" w:hint="eastAsia"/>
          <w:szCs w:val="21"/>
        </w:rPr>
        <w:t>含权</w:t>
      </w:r>
      <w:r w:rsidRPr="00F17515">
        <w:rPr>
          <w:rFonts w:asciiTheme="minorEastAsia" w:eastAsiaTheme="minorEastAsia" w:hAnsiTheme="minorEastAsia"/>
          <w:szCs w:val="21"/>
        </w:rPr>
        <w:t>等因素</w:t>
      </w:r>
      <w:r w:rsidRPr="00F17515">
        <w:rPr>
          <w:rFonts w:asciiTheme="minorEastAsia" w:eastAsiaTheme="minorEastAsia" w:hAnsiTheme="minorEastAsia" w:hint="eastAsia"/>
          <w:szCs w:val="21"/>
        </w:rPr>
        <w:t>进行分析</w:t>
      </w:r>
      <w:r w:rsidRPr="00F17515">
        <w:rPr>
          <w:rFonts w:asciiTheme="minorEastAsia" w:eastAsiaTheme="minorEastAsia" w:hAnsiTheme="minorEastAsia"/>
          <w:szCs w:val="21"/>
        </w:rPr>
        <w:t>，选择具有良好投资价值的债券品种进行投资。</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1）非信用类固定收益品种（国债、央行票据等）的选择</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本基金对国债、央行票据等非信用类固定收益品种的投资，主要根据宏观经济变量和宏观经济政策的分析，预测未来收益率曲线的变动趋势，综合考虑组合流动性决定投资品种。</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2）信用类固定收益品种（除可转换债券）的选择</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本基金投资信用状况良好的信用类债券。通过对宏观经济和企业财务状况进行分析，对固定收益品种的信用风险进行度量及定价，利用市场对信用利差定价的相对失衡，对溢价率较高的品种进行投资。</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本基金对金融债、企业债、公司债和短期融资券等信用类债券采取自上而下的投资策略。</w:t>
      </w:r>
    </w:p>
    <w:p w:rsidR="007228CC" w:rsidRPr="00F17515" w:rsidRDefault="007228CC" w:rsidP="0071223F">
      <w:pPr>
        <w:numPr>
          <w:ilvl w:val="0"/>
          <w:numId w:val="14"/>
        </w:numPr>
        <w:snapToGrid w:val="0"/>
        <w:spacing w:line="360" w:lineRule="auto"/>
        <w:ind w:left="539"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根据宏观经济环境及各行业的发展状况，决定各行业的配置比例；</w:t>
      </w:r>
    </w:p>
    <w:p w:rsidR="007228CC" w:rsidRPr="00F17515" w:rsidRDefault="007228CC" w:rsidP="0071223F">
      <w:pPr>
        <w:numPr>
          <w:ilvl w:val="0"/>
          <w:numId w:val="14"/>
        </w:numPr>
        <w:snapToGrid w:val="0"/>
        <w:spacing w:line="360" w:lineRule="auto"/>
        <w:ind w:left="539"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充分分析债券发行人的产业趋势、监管环境、公司背景、盈利情况、竞争地位、治理结构、特殊事件风险等基本面信息，分析企业的长期运作风险；</w:t>
      </w:r>
    </w:p>
    <w:p w:rsidR="007228CC" w:rsidRPr="00F17515" w:rsidRDefault="007228CC" w:rsidP="0071223F">
      <w:pPr>
        <w:numPr>
          <w:ilvl w:val="0"/>
          <w:numId w:val="14"/>
        </w:numPr>
        <w:snapToGrid w:val="0"/>
        <w:spacing w:line="360" w:lineRule="auto"/>
        <w:ind w:left="539"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运用财务评分模型对债券发行人的资产流动性、盈利能力、偿债能力、现金流水平等方面进行综合评分，度量发行人财务风险；</w:t>
      </w:r>
    </w:p>
    <w:p w:rsidR="007228CC" w:rsidRPr="00F17515" w:rsidRDefault="007228CC" w:rsidP="0071223F">
      <w:pPr>
        <w:numPr>
          <w:ilvl w:val="0"/>
          <w:numId w:val="14"/>
        </w:numPr>
        <w:snapToGrid w:val="0"/>
        <w:spacing w:line="360" w:lineRule="auto"/>
        <w:ind w:left="539"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利用历史数据、市场价格以及资产质量等信息，估算债券发行人的违约率及违约损失率；</w:t>
      </w:r>
    </w:p>
    <w:p w:rsidR="007228CC" w:rsidRPr="00F17515" w:rsidRDefault="007228CC" w:rsidP="0071223F">
      <w:pPr>
        <w:numPr>
          <w:ilvl w:val="0"/>
          <w:numId w:val="14"/>
        </w:numPr>
        <w:snapToGrid w:val="0"/>
        <w:spacing w:line="360" w:lineRule="auto"/>
        <w:ind w:left="539"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综合发行人各方面分析结果，采用数量化模型，确定信用利差的合理水平，利用市场的相对失衡，选择溢价偏高的品种进行投资。</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3）可转换债券的投资策略</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可转换债券的价值主要取决于其股权价值、债券价值和转换期权价值，本基金管理人将对可转换债券的价值进行评估，选择具有较高投资价值的可转换债券。</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管理人将对发行公司的基本面进行分析，包括所处行业的景气度、公司成长性、市场竞争力等，并参考同类公司的估值水平，判断可转换债券的股权投资价值；基于对利率水平、票息率、派息频率及信用风险等因素的分析，判断其债券投资价值；采用期权定价模型，估算可转换债券的转换期权价值。综合以上因素，对可转换债券进行定价分析，制定可转换债券的投资策略。</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此外，本基金还将根据新发可转债的预计中签率、模型定价结果，积极参与可转债新券的申购。为控制基金的波动性和流动性风险，</w:t>
      </w:r>
      <w:r w:rsidRPr="00F17515">
        <w:rPr>
          <w:rFonts w:asciiTheme="minorEastAsia" w:eastAsiaTheme="minorEastAsia" w:hAnsiTheme="minorEastAsia"/>
          <w:szCs w:val="21"/>
        </w:rPr>
        <w:t>本基金</w:t>
      </w:r>
      <w:r w:rsidRPr="00F17515">
        <w:rPr>
          <w:rFonts w:asciiTheme="minorEastAsia" w:eastAsiaTheme="minorEastAsia" w:hAnsiTheme="minorEastAsia" w:hint="eastAsia"/>
          <w:szCs w:val="21"/>
        </w:rPr>
        <w:t>投资</w:t>
      </w:r>
      <w:r w:rsidRPr="00F17515">
        <w:rPr>
          <w:rFonts w:asciiTheme="minorEastAsia" w:eastAsiaTheme="minorEastAsia" w:hAnsiTheme="minorEastAsia"/>
          <w:szCs w:val="21"/>
        </w:rPr>
        <w:t>可转换债券</w:t>
      </w:r>
      <w:r w:rsidRPr="00F17515">
        <w:rPr>
          <w:rFonts w:asciiTheme="minorEastAsia" w:eastAsiaTheme="minorEastAsia" w:hAnsiTheme="minorEastAsia" w:hint="eastAsia"/>
          <w:szCs w:val="21"/>
        </w:rPr>
        <w:t>的资产</w:t>
      </w:r>
      <w:r w:rsidRPr="00F17515">
        <w:rPr>
          <w:rFonts w:asciiTheme="minorEastAsia" w:eastAsiaTheme="minorEastAsia" w:hAnsiTheme="minorEastAsia"/>
          <w:szCs w:val="21"/>
        </w:rPr>
        <w:t>不超过基金资产</w:t>
      </w:r>
      <w:r w:rsidRPr="00F17515">
        <w:rPr>
          <w:rFonts w:asciiTheme="minorEastAsia" w:eastAsiaTheme="minorEastAsia" w:hAnsiTheme="minorEastAsia" w:hint="eastAsia"/>
          <w:szCs w:val="21"/>
        </w:rPr>
        <w:t>净值</w:t>
      </w:r>
      <w:r w:rsidRPr="00F17515">
        <w:rPr>
          <w:rFonts w:asciiTheme="minorEastAsia" w:eastAsiaTheme="minorEastAsia" w:hAnsiTheme="minorEastAsia"/>
          <w:szCs w:val="21"/>
        </w:rPr>
        <w:t>的</w:t>
      </w: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0%</w:t>
      </w:r>
      <w:r w:rsidRPr="00F17515">
        <w:rPr>
          <w:rFonts w:asciiTheme="minorEastAsia" w:eastAsiaTheme="minorEastAsia" w:hAnsiTheme="minorEastAsia" w:hint="eastAsia"/>
          <w:szCs w:val="21"/>
        </w:rPr>
        <w:t>。</w:t>
      </w:r>
    </w:p>
    <w:p w:rsidR="007228CC" w:rsidRPr="00F17515" w:rsidRDefault="007228CC" w:rsidP="001037EA">
      <w:pPr>
        <w:widowControl/>
        <w:adjustRightInd w:val="0"/>
        <w:snapToGrid w:val="0"/>
        <w:spacing w:line="360" w:lineRule="auto"/>
        <w:ind w:firstLine="420"/>
        <w:jc w:val="left"/>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cs="宋体"/>
          <w:kern w:val="0"/>
          <w:szCs w:val="21"/>
        </w:rPr>
        <w:t>资产支持证券投资</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本基金</w:t>
      </w:r>
      <w:r w:rsidRPr="00F17515">
        <w:rPr>
          <w:rFonts w:asciiTheme="minorEastAsia" w:eastAsiaTheme="minorEastAsia" w:hAnsiTheme="minorEastAsia" w:hint="eastAsia"/>
          <w:szCs w:val="21"/>
        </w:rPr>
        <w:t>将分析</w:t>
      </w:r>
      <w:r w:rsidRPr="00F17515">
        <w:rPr>
          <w:rFonts w:asciiTheme="minorEastAsia" w:eastAsiaTheme="minorEastAsia" w:hAnsiTheme="minorEastAsia"/>
          <w:szCs w:val="21"/>
        </w:rPr>
        <w:t>资产支持证券的资产特征，估计违约</w:t>
      </w:r>
      <w:r w:rsidRPr="00F17515">
        <w:rPr>
          <w:rFonts w:asciiTheme="minorEastAsia" w:eastAsiaTheme="minorEastAsia" w:hAnsiTheme="minorEastAsia" w:hint="eastAsia"/>
          <w:szCs w:val="21"/>
        </w:rPr>
        <w:t>率</w:t>
      </w:r>
      <w:r w:rsidRPr="00F17515">
        <w:rPr>
          <w:rFonts w:asciiTheme="minorEastAsia" w:eastAsiaTheme="minorEastAsia" w:hAnsiTheme="minorEastAsia"/>
          <w:szCs w:val="21"/>
        </w:rPr>
        <w:t>和提前偿付</w:t>
      </w:r>
      <w:r w:rsidRPr="00F17515">
        <w:rPr>
          <w:rFonts w:asciiTheme="minorEastAsia" w:eastAsiaTheme="minorEastAsia" w:hAnsiTheme="minorEastAsia" w:hint="eastAsia"/>
          <w:szCs w:val="21"/>
        </w:rPr>
        <w:t>比率</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并</w:t>
      </w:r>
      <w:r w:rsidRPr="00F17515">
        <w:rPr>
          <w:rFonts w:asciiTheme="minorEastAsia" w:eastAsiaTheme="minorEastAsia" w:hAnsiTheme="minorEastAsia"/>
          <w:szCs w:val="21"/>
        </w:rPr>
        <w:t>利用收益率曲线</w:t>
      </w:r>
      <w:r w:rsidRPr="00F17515">
        <w:rPr>
          <w:rFonts w:asciiTheme="minorEastAsia" w:eastAsiaTheme="minorEastAsia" w:hAnsiTheme="minorEastAsia" w:hint="eastAsia"/>
          <w:szCs w:val="21"/>
        </w:rPr>
        <w:t>和期权定价模型,</w:t>
      </w:r>
      <w:r w:rsidRPr="00F17515">
        <w:rPr>
          <w:rFonts w:asciiTheme="minorEastAsia" w:eastAsiaTheme="minorEastAsia" w:hAnsiTheme="minorEastAsia"/>
          <w:szCs w:val="21"/>
        </w:rPr>
        <w:t>对资产支持证券进行估值</w:t>
      </w:r>
      <w:r w:rsidRPr="00F17515">
        <w:rPr>
          <w:rFonts w:asciiTheme="minorEastAsia" w:eastAsiaTheme="minorEastAsia" w:hAnsiTheme="minorEastAsia" w:hint="eastAsia"/>
          <w:szCs w:val="21"/>
        </w:rPr>
        <w:t>。本基金将严格控制资产支持证券的总体投资规模并进行分散投资，以降低流动性风险</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本基金投资资产支持证券的比例不高于基金资产净值的20%。</w:t>
      </w:r>
    </w:p>
    <w:p w:rsidR="007228CC" w:rsidRPr="00F17515" w:rsidRDefault="007228CC" w:rsidP="001037EA">
      <w:pPr>
        <w:widowControl/>
        <w:adjustRightInd w:val="0"/>
        <w:snapToGrid w:val="0"/>
        <w:spacing w:line="360" w:lineRule="auto"/>
        <w:ind w:firstLine="420"/>
        <w:jc w:val="left"/>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cs="宋体" w:hint="eastAsia"/>
          <w:kern w:val="0"/>
          <w:szCs w:val="21"/>
        </w:rPr>
        <w:t>信用类固定收益品种的风险管理</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针对发行主体的信用风险，我们通过以下三个方面来进行信用风险的管理：1）进行独立的发行主体信用分析，不断在实践中完善分析方法和积累分析经验数据；2）严格遵守信用类债券的备选库制度，根据不同的信用风险等级，按照不同的投资管理流程和权限管理制度，对入库债券进行定期信用跟踪分析；3）采取分散化投资策略和集中度限制，严格控制组合整体的违约风险水平。</w:t>
      </w:r>
    </w:p>
    <w:p w:rsidR="007228CC" w:rsidRPr="00F17515" w:rsidRDefault="0021144C" w:rsidP="001037EA">
      <w:pPr>
        <w:widowControl/>
        <w:adjustRightInd w:val="0"/>
        <w:snapToGrid w:val="0"/>
        <w:spacing w:line="360" w:lineRule="auto"/>
        <w:ind w:firstLine="420"/>
        <w:jc w:val="left"/>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cs="宋体" w:hint="eastAsia"/>
          <w:kern w:val="0"/>
          <w:szCs w:val="21"/>
        </w:rPr>
        <w:t>股票及权证等权益类品种的投资策略</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本基金股票部分除新股申购（含增发）和套利性机会外，不直接从二级市场买入股票。</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本基金</w:t>
      </w:r>
      <w:r w:rsidRPr="00F17515">
        <w:rPr>
          <w:rFonts w:asciiTheme="minorEastAsia" w:eastAsiaTheme="minorEastAsia" w:hAnsiTheme="minorEastAsia" w:hint="eastAsia"/>
          <w:szCs w:val="21"/>
        </w:rPr>
        <w:t>通过对新股发行公司的行业景气度、财务稳健性、公司竞争力、利润成长性等因素的分析，参考同类公司的估值水平，进行股票的价值评估，从而判断一、二级市场价差的大小，并根据资金成本、新股的中签率及上市后股价涨幅的统计、股票锁定期间投资风险的判断，制定新股申购策略。</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在新发股票获准上市后以及可转换债券转股后，本基金管理人将根据对股票内在投资价值的判断，结合股票市场环境的分析，选择适当的时机卖出。</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本基金所指套利性机会指的是，在确定的期限内，预期股票投资可获得固定的收益率，例如要约收购过程中存在的投资机会。本基金将在严格测算交易成本、投资收益率的基础上，参与股票的套利。</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本基金不主动进行权证的投资。对</w:t>
      </w:r>
      <w:r w:rsidRPr="00F17515">
        <w:rPr>
          <w:rFonts w:asciiTheme="minorEastAsia" w:eastAsiaTheme="minorEastAsia" w:hAnsiTheme="minorEastAsia"/>
          <w:szCs w:val="21"/>
        </w:rPr>
        <w:t>分离交易的可转换公司债券</w:t>
      </w:r>
      <w:r w:rsidRPr="00F17515">
        <w:rPr>
          <w:rFonts w:asciiTheme="minorEastAsia" w:eastAsiaTheme="minorEastAsia" w:hAnsiTheme="minorEastAsia" w:hint="eastAsia"/>
          <w:szCs w:val="21"/>
        </w:rPr>
        <w:t>，在认股权证上市后，</w:t>
      </w:r>
      <w:r w:rsidRPr="00F17515">
        <w:rPr>
          <w:rFonts w:asciiTheme="minorEastAsia" w:eastAsiaTheme="minorEastAsia" w:hAnsiTheme="minorEastAsia" w:hint="eastAsia"/>
          <w:szCs w:val="21"/>
        </w:rPr>
        <w:lastRenderedPageBreak/>
        <w:t>本基金将根据权证估值模型的分析结果，在权证价值被高估时，选择适当的时机卖出。</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54" w:name="_Toc182018764"/>
      <w:bookmarkStart w:id="155" w:name="_Toc211920156"/>
      <w:bookmarkStart w:id="156" w:name="_Toc211927687"/>
      <w:bookmarkStart w:id="157" w:name="_Toc41556799"/>
      <w:r w:rsidRPr="00F17515">
        <w:rPr>
          <w:rFonts w:asciiTheme="minorEastAsia" w:eastAsiaTheme="minorEastAsia" w:hAnsiTheme="minorEastAsia" w:hint="eastAsia"/>
        </w:rPr>
        <w:t>（五）业绩</w:t>
      </w:r>
      <w:r w:rsidRPr="00F17515">
        <w:rPr>
          <w:rFonts w:asciiTheme="minorEastAsia" w:eastAsiaTheme="minorEastAsia" w:hAnsiTheme="minorEastAsia"/>
        </w:rPr>
        <w:t>比较基准</w:t>
      </w:r>
      <w:bookmarkEnd w:id="154"/>
      <w:bookmarkEnd w:id="155"/>
      <w:bookmarkEnd w:id="156"/>
      <w:bookmarkEnd w:id="157"/>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中债总指数（全价）</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中债总指数由中央国债登记结算有限责任公司编制，能够反映债券市场总体走势，具有较强的代表性、权威性，并得到投资者的广泛认同，适合作为本基金的业绩比较基准。</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szCs w:val="21"/>
        </w:rPr>
        <w:t>将来如有更合适的指数推出，基金管理人可以根据本基金的投资范围和投资策略，确定变更基金的</w:t>
      </w:r>
      <w:r w:rsidRPr="00F17515">
        <w:rPr>
          <w:rFonts w:asciiTheme="minorEastAsia" w:eastAsiaTheme="minorEastAsia" w:hAnsiTheme="minorEastAsia" w:hint="eastAsia"/>
          <w:szCs w:val="21"/>
        </w:rPr>
        <w:t>业绩</w:t>
      </w:r>
      <w:r w:rsidRPr="00F17515">
        <w:rPr>
          <w:rFonts w:asciiTheme="minorEastAsia" w:eastAsiaTheme="minorEastAsia" w:hAnsiTheme="minorEastAsia"/>
          <w:szCs w:val="21"/>
        </w:rPr>
        <w:t>比较基准。业绩比较基准的变更需经基金管理人与基金托管人协商一致</w:t>
      </w:r>
      <w:r w:rsidRPr="00F17515">
        <w:rPr>
          <w:rFonts w:asciiTheme="minorEastAsia" w:eastAsiaTheme="minorEastAsia" w:hAnsiTheme="minorEastAsia" w:hint="eastAsia"/>
          <w:szCs w:val="21"/>
        </w:rPr>
        <w:t>。基金管理人最迟应于新的业绩比较基准实施前2日在至少一种</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上进行公告并报中国证监会备案。</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58" w:name="_Toc182018765"/>
      <w:bookmarkStart w:id="159" w:name="_Toc211920157"/>
      <w:bookmarkStart w:id="160" w:name="_Toc211927688"/>
      <w:bookmarkStart w:id="161" w:name="_Toc41556800"/>
      <w:r w:rsidRPr="00F17515">
        <w:rPr>
          <w:rFonts w:asciiTheme="minorEastAsia" w:eastAsiaTheme="minorEastAsia" w:hAnsiTheme="minorEastAsia" w:hint="eastAsia"/>
        </w:rPr>
        <w:t>（六）风险收益特征</w:t>
      </w:r>
      <w:bookmarkEnd w:id="158"/>
      <w:bookmarkEnd w:id="159"/>
      <w:bookmarkEnd w:id="160"/>
      <w:bookmarkEnd w:id="161"/>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本基金为债券型基金，其长期平均风险和预期收益率低于混合型基金、股票型基金，高于货币市场基金。</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62" w:name="_Toc182018766"/>
      <w:bookmarkStart w:id="163" w:name="_Toc211920158"/>
      <w:bookmarkStart w:id="164" w:name="_Toc211927689"/>
      <w:bookmarkStart w:id="165" w:name="_Toc41556801"/>
      <w:r w:rsidRPr="00F17515">
        <w:rPr>
          <w:rFonts w:asciiTheme="minorEastAsia" w:eastAsiaTheme="minorEastAsia" w:hAnsiTheme="minorEastAsia" w:hint="eastAsia"/>
        </w:rPr>
        <w:t>（七）投资决策</w:t>
      </w:r>
      <w:bookmarkEnd w:id="162"/>
      <w:bookmarkEnd w:id="163"/>
      <w:bookmarkEnd w:id="164"/>
      <w:bookmarkEnd w:id="165"/>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1</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决策依据</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1</w:t>
      </w:r>
      <w:r w:rsidRPr="00F17515">
        <w:rPr>
          <w:rFonts w:asciiTheme="minorEastAsia" w:eastAsiaTheme="minorEastAsia" w:hAnsiTheme="minorEastAsia" w:hint="eastAsia"/>
          <w:szCs w:val="21"/>
        </w:rPr>
        <w:t>）国家有关法律、法规和本基金合同的有关规定。</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（2）宏观经济发展态势、微观经济运行环境和证券市场走势。</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2</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决策程序</w:t>
      </w:r>
    </w:p>
    <w:p w:rsidR="007228CC" w:rsidRPr="00F17515" w:rsidRDefault="007228CC" w:rsidP="0071223F">
      <w:pPr>
        <w:numPr>
          <w:ilvl w:val="0"/>
          <w:numId w:val="15"/>
        </w:num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研究员提交宏观经济、债券市场、行业分析、新股申购、公司研究及信用分析报告；</w:t>
      </w:r>
    </w:p>
    <w:p w:rsidR="007228CC" w:rsidRPr="00F17515" w:rsidRDefault="007228CC" w:rsidP="0071223F">
      <w:pPr>
        <w:numPr>
          <w:ilvl w:val="0"/>
          <w:numId w:val="15"/>
        </w:num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基金经理根据研究报告以及对宏观经济、债券市场投资机会、新股申购收益率、股票市场预期收益水平的判断，制定资产配置计划，按制度提交审议并实施；</w:t>
      </w:r>
    </w:p>
    <w:p w:rsidR="007228CC" w:rsidRPr="00F17515" w:rsidRDefault="007228CC" w:rsidP="0071223F">
      <w:pPr>
        <w:numPr>
          <w:ilvl w:val="0"/>
          <w:numId w:val="15"/>
        </w:num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基金经理制定具体的固定收益品种、新股（含增发）的投资方案，构造投资组合；</w:t>
      </w:r>
    </w:p>
    <w:p w:rsidR="007228CC" w:rsidRPr="00F17515" w:rsidRDefault="007228CC" w:rsidP="0071223F">
      <w:pPr>
        <w:numPr>
          <w:ilvl w:val="0"/>
          <w:numId w:val="15"/>
        </w:num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集中交易室依据基金经理的指令，执行交易；</w:t>
      </w:r>
    </w:p>
    <w:p w:rsidR="00026B6C" w:rsidRPr="00F17515" w:rsidRDefault="00AE7D92" w:rsidP="00AE7D92">
      <w:pPr>
        <w:numPr>
          <w:ilvl w:val="0"/>
          <w:numId w:val="15"/>
        </w:num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bCs/>
          <w:szCs w:val="21"/>
        </w:rPr>
        <w:t>监察合规管理部门</w:t>
      </w:r>
      <w:r w:rsidR="00026B6C" w:rsidRPr="00F17515">
        <w:rPr>
          <w:rFonts w:asciiTheme="minorEastAsia" w:eastAsiaTheme="minorEastAsia" w:hAnsiTheme="minorEastAsia" w:hint="eastAsia"/>
          <w:bCs/>
          <w:szCs w:val="21"/>
        </w:rPr>
        <w:t>对基金的日常投资和交易是否遵守法律法规、基金合同进行独立监督检查；</w:t>
      </w:r>
    </w:p>
    <w:p w:rsidR="007228CC" w:rsidRPr="00F17515" w:rsidRDefault="007228CC" w:rsidP="0071223F">
      <w:pPr>
        <w:numPr>
          <w:ilvl w:val="0"/>
          <w:numId w:val="15"/>
        </w:num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投资风险管理部定期出具基金绩效评估和风险管理报告</w:t>
      </w:r>
      <w:r w:rsidR="00026B6C" w:rsidRPr="00F17515">
        <w:rPr>
          <w:rFonts w:asciiTheme="minorEastAsia" w:eastAsiaTheme="minorEastAsia" w:hAnsiTheme="minorEastAsia" w:hint="eastAsia"/>
          <w:kern w:val="0"/>
          <w:szCs w:val="21"/>
        </w:rPr>
        <w:t>，供基金经理调整投资组合时参考</w:t>
      </w:r>
      <w:r w:rsidRPr="00F17515">
        <w:rPr>
          <w:rFonts w:asciiTheme="minorEastAsia" w:eastAsiaTheme="minorEastAsia" w:hAnsiTheme="minorEastAsia" w:hint="eastAsia"/>
          <w:szCs w:val="21"/>
        </w:rPr>
        <w:t>；</w:t>
      </w:r>
    </w:p>
    <w:p w:rsidR="007228CC" w:rsidRPr="00F17515" w:rsidRDefault="007228CC" w:rsidP="0071223F">
      <w:pPr>
        <w:numPr>
          <w:ilvl w:val="0"/>
          <w:numId w:val="15"/>
        </w:num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基金经理定期检讨投资组合的运作成效，并</w:t>
      </w:r>
      <w:r w:rsidRPr="00F17515">
        <w:rPr>
          <w:rFonts w:asciiTheme="minorEastAsia" w:eastAsiaTheme="minorEastAsia" w:hAnsiTheme="minorEastAsia" w:hint="eastAsia"/>
          <w:szCs w:val="21"/>
        </w:rPr>
        <w:t>进行相应的组合调整</w:t>
      </w:r>
      <w:r w:rsidRPr="00F17515">
        <w:rPr>
          <w:rFonts w:asciiTheme="minorEastAsia" w:eastAsiaTheme="minorEastAsia" w:hAnsiTheme="minorEastAsia"/>
          <w:szCs w:val="21"/>
        </w:rPr>
        <w:t>。</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66" w:name="_Toc182018767"/>
      <w:bookmarkStart w:id="167" w:name="_Toc211920159"/>
      <w:bookmarkStart w:id="168" w:name="_Toc211927690"/>
      <w:bookmarkStart w:id="169" w:name="_Toc41556802"/>
      <w:r w:rsidRPr="00F17515">
        <w:rPr>
          <w:rFonts w:asciiTheme="minorEastAsia" w:eastAsiaTheme="minorEastAsia" w:hAnsiTheme="minorEastAsia" w:hint="eastAsia"/>
        </w:rPr>
        <w:t>（八）投资组合限制</w:t>
      </w:r>
      <w:bookmarkEnd w:id="166"/>
      <w:bookmarkEnd w:id="167"/>
      <w:bookmarkEnd w:id="168"/>
      <w:bookmarkEnd w:id="169"/>
    </w:p>
    <w:p w:rsidR="00C609DD" w:rsidRPr="00F17515" w:rsidRDefault="0021144C"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债券等固定收益资产的比例不低于基金资产的80%，其中，公司债、企业债、短期融资券、金融债等信用品种不低于固定收益类投资总额的50%，且可转换债券不高于基金资产净值的30%；股票等权益类品种不高于基金资产的20%；</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lastRenderedPageBreak/>
        <w:t>2、</w:t>
      </w:r>
      <w:r w:rsidR="007228CC" w:rsidRPr="00F17515">
        <w:rPr>
          <w:rFonts w:asciiTheme="minorEastAsia" w:eastAsiaTheme="minorEastAsia" w:hAnsiTheme="minorEastAsia" w:hint="eastAsia"/>
          <w:szCs w:val="21"/>
        </w:rPr>
        <w:t>基金保留的现金以及到期日在一年以内的政府债券的比例合计不低于基金资产净值的</w:t>
      </w:r>
      <w:r w:rsidR="007228CC" w:rsidRPr="00F17515">
        <w:rPr>
          <w:rFonts w:asciiTheme="minorEastAsia" w:eastAsiaTheme="minorEastAsia" w:hAnsiTheme="minorEastAsia"/>
          <w:szCs w:val="21"/>
        </w:rPr>
        <w:t>5%</w:t>
      </w:r>
      <w:r w:rsidRPr="00F17515">
        <w:rPr>
          <w:rFonts w:asciiTheme="minorEastAsia" w:eastAsiaTheme="minorEastAsia" w:hAnsiTheme="minorEastAsia" w:hint="eastAsia"/>
          <w:szCs w:val="21"/>
        </w:rPr>
        <w:t>，现金不包括结算备付金、存出保证金、应收申购款等</w:t>
      </w:r>
      <w:r w:rsidR="007228CC" w:rsidRPr="00F17515">
        <w:rPr>
          <w:rFonts w:asciiTheme="minorEastAsia" w:eastAsiaTheme="minorEastAsia" w:hAnsiTheme="minorEastAsia"/>
          <w:szCs w:val="21"/>
        </w:rPr>
        <w:t>；</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3</w:t>
      </w:r>
      <w:r w:rsidR="0021144C"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本基金投资于同一公司发行的股票不得超过基金资产净值的10%；</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4</w:t>
      </w:r>
      <w:r w:rsidR="0021144C"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本基金投资于同一公司发行的债券不得超过基金资产净值的10%；</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5</w:t>
      </w:r>
      <w:r w:rsidR="0021144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本基金与由本基金管理人管理的其他基金持有一家公司发行的证券，不超过该证券的10%；</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6</w:t>
      </w:r>
      <w:r w:rsidR="0021144C"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本基金持有的全部权证，其市值不得超过基金资产净值的3％；本基金管理人管理的全部基金持有的同一权证，不得超过该权证的10％；</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7</w:t>
      </w:r>
      <w:r w:rsidR="0021144C"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本基金持有的同一（指同一信用级别）资产支持证券的比例，不得超过该资产支持证券规模的</w:t>
      </w:r>
      <w:r w:rsidR="007228CC" w:rsidRPr="00F17515">
        <w:rPr>
          <w:rFonts w:asciiTheme="minorEastAsia" w:eastAsiaTheme="minorEastAsia" w:hAnsiTheme="minorEastAsia"/>
          <w:szCs w:val="21"/>
        </w:rPr>
        <w:t>10%</w:t>
      </w:r>
      <w:r w:rsidR="007228CC" w:rsidRPr="00F17515">
        <w:rPr>
          <w:rFonts w:asciiTheme="minorEastAsia" w:eastAsiaTheme="minorEastAsia" w:hAnsiTheme="minorEastAsia" w:hint="eastAsia"/>
          <w:szCs w:val="21"/>
        </w:rPr>
        <w:t>；本基金投资于同一原始权益人的各类资产支持证券的比例，不得超过基金资产净值的</w:t>
      </w:r>
      <w:r w:rsidR="007228CC" w:rsidRPr="00F17515">
        <w:rPr>
          <w:rFonts w:asciiTheme="minorEastAsia" w:eastAsiaTheme="minorEastAsia" w:hAnsiTheme="minorEastAsia"/>
          <w:szCs w:val="21"/>
        </w:rPr>
        <w:t>10%</w:t>
      </w:r>
      <w:r w:rsidR="007228CC" w:rsidRPr="00F17515">
        <w:rPr>
          <w:rFonts w:asciiTheme="minorEastAsia" w:eastAsiaTheme="minorEastAsia" w:hAnsiTheme="minorEastAsia" w:hint="eastAsia"/>
          <w:szCs w:val="21"/>
        </w:rPr>
        <w:t>。；本基金管理人管理的全部证券投资基金投资于同一原始权益人的各类资产支持证券，不得超过其各类资产支持证券合计规模的</w:t>
      </w:r>
      <w:r w:rsidR="007228CC" w:rsidRPr="00F17515">
        <w:rPr>
          <w:rFonts w:asciiTheme="minorEastAsia" w:eastAsiaTheme="minorEastAsia" w:hAnsiTheme="minorEastAsia"/>
          <w:szCs w:val="21"/>
        </w:rPr>
        <w:t>10%</w:t>
      </w:r>
      <w:r w:rsidR="007228CC" w:rsidRPr="00F17515">
        <w:rPr>
          <w:rFonts w:asciiTheme="minorEastAsia" w:eastAsiaTheme="minorEastAsia" w:hAnsiTheme="minorEastAsia" w:hint="eastAsia"/>
          <w:szCs w:val="21"/>
        </w:rPr>
        <w:t>；本基金持有的全部资产支持证券，其市值不得超过基金资产净值的</w:t>
      </w:r>
      <w:r w:rsidR="007228CC" w:rsidRPr="00F17515">
        <w:rPr>
          <w:rFonts w:asciiTheme="minorEastAsia" w:eastAsiaTheme="minorEastAsia" w:hAnsiTheme="minorEastAsia"/>
          <w:szCs w:val="21"/>
        </w:rPr>
        <w:t>20%</w:t>
      </w:r>
      <w:r w:rsidR="007228CC" w:rsidRPr="00F17515">
        <w:rPr>
          <w:rFonts w:asciiTheme="minorEastAsia" w:eastAsiaTheme="minorEastAsia" w:hAnsiTheme="minorEastAsia" w:hint="eastAsia"/>
          <w:szCs w:val="21"/>
        </w:rPr>
        <w:t>；</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8</w:t>
      </w:r>
      <w:r w:rsidR="0021144C"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本基金在全国银行间债券市场债券正回购的资金余额不得超过基金资产净值的40%；</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9</w:t>
      </w:r>
      <w:r w:rsidR="0021144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本基金参与股票发行申购，所申报的金额不超过本基金的总资产，所申报的股票数量不超过拟发行股票公司本次发行股票的总量；</w:t>
      </w:r>
    </w:p>
    <w:p w:rsidR="00C609DD"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10</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C609DD" w:rsidRPr="00F17515" w:rsidRDefault="00C609DD" w:rsidP="00C609DD">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1、</w:t>
      </w:r>
      <w:r w:rsidRPr="00F17515">
        <w:rPr>
          <w:rFonts w:asciiTheme="minorEastAsia" w:eastAsiaTheme="minorEastAsia" w:hAnsiTheme="minorEastAsia" w:hint="eastAsia"/>
          <w:szCs w:val="21"/>
        </w:rPr>
        <w:t>本基金主动投资于流动性受限资产的市值合计不得超过该基金资产净值的15%。</w:t>
      </w:r>
    </w:p>
    <w:p w:rsidR="00C609DD" w:rsidRPr="00F17515" w:rsidRDefault="00C609DD" w:rsidP="00C609DD">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C609DD" w:rsidRPr="00F17515" w:rsidRDefault="00C609DD" w:rsidP="00C609DD">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12、</w:t>
      </w:r>
      <w:r w:rsidRPr="00F17515">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7228CC" w:rsidRPr="00F17515" w:rsidRDefault="00C609DD" w:rsidP="0021144C">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3、</w:t>
      </w:r>
      <w:r w:rsidR="007228CC" w:rsidRPr="00F17515">
        <w:rPr>
          <w:rFonts w:asciiTheme="minorEastAsia" w:eastAsiaTheme="minorEastAsia" w:hAnsiTheme="minorEastAsia" w:hint="eastAsia"/>
          <w:szCs w:val="21"/>
        </w:rPr>
        <w:t>中国证监会、中国人民银行规定的其他比例限制。</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如果法律法规对本基金合同约定投资组合比例限制进行变更的，以变更后的规定为准。</w:t>
      </w:r>
      <w:r w:rsidRPr="00F17515">
        <w:rPr>
          <w:rFonts w:asciiTheme="minorEastAsia" w:eastAsiaTheme="minorEastAsia" w:hAnsiTheme="minorEastAsia"/>
          <w:szCs w:val="21"/>
        </w:rPr>
        <w:t>法律法规或</w:t>
      </w:r>
      <w:r w:rsidRPr="00F17515">
        <w:rPr>
          <w:rFonts w:asciiTheme="minorEastAsia" w:eastAsiaTheme="minorEastAsia" w:hAnsiTheme="minorEastAsia" w:hint="eastAsia"/>
          <w:szCs w:val="21"/>
        </w:rPr>
        <w:t>监管部门取消</w:t>
      </w:r>
      <w:r w:rsidRPr="00F17515">
        <w:rPr>
          <w:rFonts w:asciiTheme="minorEastAsia" w:eastAsiaTheme="minorEastAsia" w:hAnsiTheme="minorEastAsia"/>
          <w:szCs w:val="21"/>
        </w:rPr>
        <w:t>上述限制，</w:t>
      </w:r>
      <w:r w:rsidRPr="00F17515">
        <w:rPr>
          <w:rFonts w:asciiTheme="minorEastAsia" w:eastAsiaTheme="minorEastAsia" w:hAnsiTheme="minorEastAsia" w:hint="eastAsia"/>
          <w:szCs w:val="21"/>
        </w:rPr>
        <w:t>如适用于本基金，则本基金投资不再受相关限制</w:t>
      </w:r>
      <w:r w:rsidRPr="00F17515">
        <w:rPr>
          <w:rFonts w:asciiTheme="minorEastAsia" w:eastAsiaTheme="minorEastAsia" w:hAnsiTheme="minorEastAsia"/>
          <w:szCs w:val="21"/>
        </w:rPr>
        <w:t>。</w:t>
      </w:r>
    </w:p>
    <w:p w:rsidR="007228CC" w:rsidRPr="00F17515" w:rsidRDefault="00C609DD"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除上述2、9、11、12以外，</w:t>
      </w:r>
      <w:r w:rsidR="007228CC" w:rsidRPr="00F17515">
        <w:rPr>
          <w:rFonts w:asciiTheme="minorEastAsia" w:eastAsiaTheme="minorEastAsia" w:hAnsiTheme="minorEastAsia"/>
          <w:szCs w:val="21"/>
        </w:rPr>
        <w:t>因证券市场波动、上市公司合并、基金规模变动</w:t>
      </w:r>
      <w:r w:rsidR="007228CC" w:rsidRPr="00F17515">
        <w:rPr>
          <w:rFonts w:asciiTheme="minorEastAsia" w:eastAsiaTheme="minorEastAsia" w:hAnsiTheme="minorEastAsia" w:hint="eastAsia"/>
          <w:szCs w:val="21"/>
        </w:rPr>
        <w:t>、股权分置改革中支付对价</w:t>
      </w:r>
      <w:r w:rsidR="007228CC" w:rsidRPr="00F17515">
        <w:rPr>
          <w:rFonts w:asciiTheme="minorEastAsia" w:eastAsiaTheme="minorEastAsia" w:hAnsiTheme="minorEastAsia"/>
          <w:szCs w:val="21"/>
        </w:rPr>
        <w:t>等基金管理人之外的因素致使基金投资比例不符合上述</w:t>
      </w:r>
      <w:r w:rsidR="007228CC" w:rsidRPr="00F17515">
        <w:rPr>
          <w:rFonts w:asciiTheme="minorEastAsia" w:eastAsiaTheme="minorEastAsia" w:hAnsiTheme="minorEastAsia" w:hint="eastAsia"/>
          <w:szCs w:val="21"/>
        </w:rPr>
        <w:t>规定</w:t>
      </w:r>
      <w:r w:rsidR="007228CC" w:rsidRPr="00F17515">
        <w:rPr>
          <w:rFonts w:asciiTheme="minorEastAsia" w:eastAsiaTheme="minorEastAsia" w:hAnsiTheme="minorEastAsia"/>
          <w:szCs w:val="21"/>
        </w:rPr>
        <w:t>投资比例的，基金管理人应当在10个交易日内进行调整。</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对于因基金份额拆分、大比例分红等集中持续营销活动引起的基金净资产规模在10个交易日内增加10亿元以上的情形，而导致证券投资比例低于基金合同约定的，基金管理人履行相关程序后可将调整时限从10个交易日延长到3个月。法律法规如有变更，从其变更。</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基金管理人应当自基金合同生效之日起6个月内使基金的投资组合比例符合基金合同</w:t>
      </w:r>
      <w:r w:rsidRPr="00F17515">
        <w:rPr>
          <w:rFonts w:asciiTheme="minorEastAsia" w:eastAsiaTheme="minorEastAsia" w:hAnsiTheme="minorEastAsia"/>
          <w:szCs w:val="21"/>
        </w:rPr>
        <w:lastRenderedPageBreak/>
        <w:t>的有关约定。</w:t>
      </w:r>
      <w:r w:rsidRPr="00F17515">
        <w:rPr>
          <w:rFonts w:asciiTheme="minorEastAsia" w:eastAsiaTheme="minorEastAsia" w:hAnsiTheme="minorEastAsia" w:hint="eastAsia"/>
          <w:szCs w:val="21"/>
        </w:rPr>
        <w:t>除投资资产配置比例外，基金托管人对基金的投资比例的监督与检查自本基金合同生效之日起开始。</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70" w:name="_Toc182018768"/>
      <w:bookmarkStart w:id="171" w:name="_Toc211920160"/>
      <w:bookmarkStart w:id="172" w:name="_Toc211927691"/>
      <w:bookmarkStart w:id="173" w:name="_Toc41556803"/>
      <w:r w:rsidRPr="00F17515">
        <w:rPr>
          <w:rFonts w:asciiTheme="minorEastAsia" w:eastAsiaTheme="minorEastAsia" w:hAnsiTheme="minorEastAsia" w:hint="eastAsia"/>
        </w:rPr>
        <w:t>（九）禁止行为</w:t>
      </w:r>
      <w:bookmarkEnd w:id="170"/>
      <w:bookmarkEnd w:id="171"/>
      <w:bookmarkEnd w:id="172"/>
      <w:bookmarkEnd w:id="173"/>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为维护基金份额持有人的合法权益，</w:t>
      </w:r>
      <w:r w:rsidRPr="00F17515">
        <w:rPr>
          <w:rFonts w:asciiTheme="minorEastAsia" w:eastAsiaTheme="minorEastAsia" w:hAnsiTheme="minorEastAsia"/>
          <w:szCs w:val="21"/>
        </w:rPr>
        <w:t>基金财产不得用于下列投资或者活动</w:t>
      </w:r>
      <w:r w:rsidRPr="00F17515">
        <w:rPr>
          <w:rFonts w:asciiTheme="minorEastAsia" w:eastAsiaTheme="minorEastAsia" w:hAnsiTheme="minorEastAsia" w:hint="eastAsia"/>
          <w:szCs w:val="21"/>
        </w:rPr>
        <w:t>：</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承销证券；</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szCs w:val="21"/>
        </w:rPr>
        <w:t>向他人贷款或者提供担保；</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从事承担无限责任的投资；</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szCs w:val="21"/>
        </w:rPr>
        <w:t>买卖其他基金份额，但是国务院另有规定的除外；</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007228CC" w:rsidRPr="00F17515">
        <w:rPr>
          <w:rFonts w:asciiTheme="minorEastAsia" w:eastAsiaTheme="minorEastAsia" w:hAnsiTheme="minorEastAsia"/>
          <w:szCs w:val="21"/>
        </w:rPr>
        <w:t>向其基金管理人、基金托管人出资或者买卖其基金管理人、基金托管人发行的股票或者债券；</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007228CC" w:rsidRPr="00F17515">
        <w:rPr>
          <w:rFonts w:asciiTheme="minorEastAsia" w:eastAsiaTheme="minorEastAsia" w:hAnsiTheme="minorEastAsia"/>
          <w:szCs w:val="21"/>
        </w:rPr>
        <w:t>买卖与其基金管理人、基金托管人有控股关系的股东或者与其基金管理人、基金托管人有其他重大利害关系的公司发行的证券或者承销期内承销的证券；</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007228CC" w:rsidRPr="00F17515">
        <w:rPr>
          <w:rFonts w:asciiTheme="minorEastAsia" w:eastAsiaTheme="minorEastAsia" w:hAnsiTheme="minorEastAsia" w:hint="eastAsia"/>
          <w:szCs w:val="21"/>
        </w:rPr>
        <w:t>从事内幕交易、操纵证券交易价格及其他不正当的证券交易活动；</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007228CC" w:rsidRPr="00F17515">
        <w:rPr>
          <w:rFonts w:asciiTheme="minorEastAsia" w:eastAsiaTheme="minorEastAsia" w:hAnsiTheme="minorEastAsia" w:hint="eastAsia"/>
          <w:szCs w:val="21"/>
        </w:rPr>
        <w:t>依照法律、行政法规有关规定，由国务院证券监督管理机构规定禁止的其他活动。</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w:t>
      </w:r>
      <w:r w:rsidR="007228CC" w:rsidRPr="00F17515">
        <w:rPr>
          <w:rFonts w:asciiTheme="minorEastAsia" w:eastAsiaTheme="minorEastAsia" w:hAnsiTheme="minorEastAsia" w:hint="eastAsia"/>
          <w:szCs w:val="21"/>
        </w:rPr>
        <w:t>对上述事项，法律法规另有规定时从其规定。</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74" w:name="_Toc182018769"/>
      <w:bookmarkStart w:id="175" w:name="_Toc211920161"/>
      <w:bookmarkStart w:id="176" w:name="_Toc211927692"/>
      <w:bookmarkStart w:id="177" w:name="_Toc41556804"/>
      <w:r w:rsidRPr="00F17515">
        <w:rPr>
          <w:rFonts w:asciiTheme="minorEastAsia" w:eastAsiaTheme="minorEastAsia" w:hAnsiTheme="minorEastAsia" w:hint="eastAsia"/>
        </w:rPr>
        <w:t>（十）基金管理人代表基金行使所投资证券产生权利的处理原则及方法</w:t>
      </w:r>
      <w:bookmarkEnd w:id="174"/>
      <w:bookmarkEnd w:id="175"/>
      <w:bookmarkEnd w:id="176"/>
      <w:bookmarkEnd w:id="177"/>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1</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基金管理人按照国家有关规定代表基金独立行使股东及债权人权利，保护基金投资者的利益；</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2</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不谋求对上市公司的控股，不参与所投资上市公司的经营管理；</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3</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有利于基金资产的安全与增值；</w:t>
      </w:r>
    </w:p>
    <w:p w:rsidR="007228CC" w:rsidRPr="00F17515" w:rsidRDefault="0021144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hint="eastAsia"/>
          <w:szCs w:val="21"/>
        </w:rPr>
        <w:t>不通过关联交易为自身、雇员、授权代理人或任何存在利害关系的第三人牟取任何不当利益。</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78" w:name="_Toc182018770"/>
      <w:bookmarkStart w:id="179" w:name="_Toc211920162"/>
      <w:bookmarkStart w:id="180" w:name="_Toc211927693"/>
      <w:bookmarkStart w:id="181" w:name="_Toc41556805"/>
      <w:r w:rsidRPr="00F17515">
        <w:rPr>
          <w:rFonts w:asciiTheme="minorEastAsia" w:eastAsiaTheme="minorEastAsia" w:hAnsiTheme="minorEastAsia" w:hint="eastAsia"/>
        </w:rPr>
        <w:t>（十一）基金的融资、融券</w:t>
      </w:r>
      <w:bookmarkEnd w:id="178"/>
      <w:bookmarkEnd w:id="179"/>
      <w:bookmarkEnd w:id="180"/>
      <w:bookmarkEnd w:id="181"/>
    </w:p>
    <w:p w:rsidR="007228CC" w:rsidRPr="00F17515" w:rsidRDefault="007228CC"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本基金可以按照国家的有关规定进行融资、融券。</w:t>
      </w:r>
    </w:p>
    <w:p w:rsidR="007228CC" w:rsidRPr="00F17515" w:rsidRDefault="007228CC" w:rsidP="00941EC8">
      <w:pPr>
        <w:pStyle w:val="2"/>
        <w:snapToGrid w:val="0"/>
        <w:spacing w:beforeLines="0" w:afterLines="0" w:line="360" w:lineRule="auto"/>
        <w:ind w:firstLine="562"/>
        <w:rPr>
          <w:rFonts w:asciiTheme="minorEastAsia" w:eastAsiaTheme="minorEastAsia" w:hAnsiTheme="minorEastAsia"/>
        </w:rPr>
      </w:pPr>
      <w:bookmarkStart w:id="182" w:name="_Toc132448649"/>
      <w:bookmarkStart w:id="183" w:name="_Toc182826378"/>
      <w:bookmarkStart w:id="184" w:name="_Toc198959638"/>
      <w:bookmarkStart w:id="185" w:name="_Toc211920163"/>
      <w:bookmarkStart w:id="186" w:name="_Toc211927694"/>
      <w:bookmarkStart w:id="187" w:name="_Toc52310849"/>
      <w:bookmarkStart w:id="188" w:name="_Toc64861724"/>
      <w:bookmarkStart w:id="189" w:name="_Toc41556806"/>
      <w:r w:rsidRPr="00F17515">
        <w:rPr>
          <w:rFonts w:asciiTheme="minorEastAsia" w:eastAsiaTheme="minorEastAsia" w:hAnsiTheme="minorEastAsia" w:hint="eastAsia"/>
        </w:rPr>
        <w:t>（十二）基金投资组合报告（未经审计</w:t>
      </w:r>
      <w:bookmarkEnd w:id="182"/>
      <w:bookmarkEnd w:id="183"/>
      <w:bookmarkEnd w:id="184"/>
      <w:bookmarkEnd w:id="185"/>
      <w:bookmarkEnd w:id="186"/>
      <w:r w:rsidRPr="00F17515">
        <w:rPr>
          <w:rFonts w:asciiTheme="minorEastAsia" w:eastAsiaTheme="minorEastAsia" w:hAnsiTheme="minorEastAsia" w:hint="eastAsia"/>
        </w:rPr>
        <w:t>）</w:t>
      </w:r>
      <w:bookmarkEnd w:id="189"/>
    </w:p>
    <w:p w:rsidR="000D067E" w:rsidRPr="00F17515" w:rsidRDefault="000D067E" w:rsidP="000D067E">
      <w:pPr>
        <w:snapToGrid w:val="0"/>
        <w:spacing w:line="360" w:lineRule="auto"/>
        <w:ind w:firstLine="480"/>
        <w:rPr>
          <w:rFonts w:asciiTheme="minorEastAsia" w:eastAsiaTheme="minorEastAsia" w:hAnsiTheme="minorEastAsia"/>
          <w:szCs w:val="21"/>
        </w:rPr>
      </w:pPr>
      <w:r w:rsidRPr="00F17515">
        <w:rPr>
          <w:rFonts w:asciiTheme="minorEastAsia" w:eastAsiaTheme="minorEastAsia" w:hAnsiTheme="minorEastAsia"/>
        </w:rPr>
        <w:t>本基金管理人的董事会及董事保证本报告所载资料不存在虚假记载、误导性陈述或重大遗漏，并对其内容的真实性、准确性和完整性承担个别及连带责任。</w:t>
      </w:r>
    </w:p>
    <w:p w:rsidR="000D067E" w:rsidRPr="00F17515" w:rsidRDefault="000D067E" w:rsidP="000D067E">
      <w:pPr>
        <w:snapToGrid w:val="0"/>
        <w:spacing w:line="360" w:lineRule="auto"/>
        <w:ind w:firstLine="480"/>
        <w:rPr>
          <w:rFonts w:asciiTheme="minorEastAsia" w:eastAsiaTheme="minorEastAsia" w:hAnsiTheme="minorEastAsia"/>
          <w:szCs w:val="21"/>
        </w:rPr>
      </w:pPr>
      <w:r w:rsidRPr="00F17515">
        <w:rPr>
          <w:rFonts w:asciiTheme="minorEastAsia" w:eastAsiaTheme="minorEastAsia" w:hAnsiTheme="minorEastAsia"/>
        </w:rPr>
        <w:t>本基金的托管人中国建设银行股份有限公司根据本基金合同的规定，复核了本报告的内容，保证复核内容不存在虚假记载、误导性陈述或者重大遗漏。</w:t>
      </w:r>
    </w:p>
    <w:p w:rsidR="000D067E" w:rsidRPr="00F17515" w:rsidRDefault="00451364" w:rsidP="000D067E">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rPr>
        <w:t>本投资组合报告有关数据的期间为2019年10月1日至2019年12月31日</w:t>
      </w:r>
      <w:r w:rsidR="008D2A66" w:rsidRPr="00F17515">
        <w:rPr>
          <w:rFonts w:asciiTheme="minorEastAsia" w:eastAsiaTheme="minorEastAsia" w:hAnsiTheme="minorEastAsia" w:hint="eastAsia"/>
        </w:rPr>
        <w:t>。</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1、报告期末基金资产组合情况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
        <w:gridCol w:w="2856"/>
        <w:gridCol w:w="2677"/>
        <w:gridCol w:w="1439"/>
      </w:tblGrid>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lastRenderedPageBreak/>
              <w:t>序号</w:t>
            </w: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cstheme="minorBidi"/>
              </w:rPr>
            </w:pPr>
            <w:r w:rsidRPr="00F17515">
              <w:rPr>
                <w:rFonts w:asciiTheme="minorEastAsia" w:eastAsiaTheme="minorEastAsia" w:hAnsiTheme="minorEastAsia" w:hint="eastAsia"/>
              </w:rPr>
              <w:t>项目</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金额(元)</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占基金总资产的比例(%)</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1</w:t>
            </w: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权益投资</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1,223,212,566.54</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15.47</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tcPr>
          <w:p w:rsidR="00451364" w:rsidRPr="00F17515" w:rsidRDefault="00451364">
            <w:pPr>
              <w:spacing w:before="29" w:line="300" w:lineRule="auto"/>
              <w:ind w:left="17"/>
              <w:jc w:val="center"/>
              <w:rPr>
                <w:rFonts w:asciiTheme="minorEastAsia" w:eastAsiaTheme="minorEastAsia" w:hAnsiTheme="minorEastAsia"/>
              </w:rPr>
            </w:pP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其中：股票</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1,223,212,566.54</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15.47</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2</w:t>
            </w: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固定收益投资</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6,506,332,071.34</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82.27</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tcPr>
          <w:p w:rsidR="00451364" w:rsidRPr="00F17515" w:rsidRDefault="00451364">
            <w:pPr>
              <w:spacing w:before="29" w:line="300" w:lineRule="auto"/>
              <w:ind w:left="17"/>
              <w:jc w:val="center"/>
              <w:rPr>
                <w:rFonts w:asciiTheme="minorEastAsia" w:eastAsiaTheme="minorEastAsia" w:hAnsiTheme="minorEastAsia"/>
              </w:rPr>
            </w:pP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其中：债券</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6,506,332,071.34</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82.27</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tcPr>
          <w:p w:rsidR="00451364" w:rsidRPr="00F17515" w:rsidRDefault="00451364">
            <w:pPr>
              <w:spacing w:before="29" w:line="300" w:lineRule="auto"/>
              <w:ind w:left="17"/>
              <w:jc w:val="center"/>
              <w:rPr>
                <w:rFonts w:asciiTheme="minorEastAsia" w:eastAsiaTheme="minorEastAsia" w:hAnsiTheme="minorEastAsia"/>
              </w:rPr>
            </w:pP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资产支持证券</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3</w:t>
            </w:r>
          </w:p>
        </w:tc>
        <w:tc>
          <w:tcPr>
            <w:tcW w:w="3360" w:type="dxa"/>
            <w:tcBorders>
              <w:top w:val="single" w:sz="4" w:space="0" w:color="auto"/>
              <w:left w:val="single" w:sz="4" w:space="0" w:color="auto"/>
              <w:bottom w:val="single" w:sz="4" w:space="0" w:color="auto"/>
              <w:right w:val="single" w:sz="4" w:space="0" w:color="auto"/>
            </w:tcBorders>
            <w:hideMark/>
          </w:tcPr>
          <w:p w:rsidR="00451364" w:rsidRPr="00F17515" w:rsidRDefault="00451364">
            <w:pPr>
              <w:spacing w:before="29" w:line="300" w:lineRule="auto"/>
              <w:ind w:leftChars="50" w:left="105"/>
              <w:rPr>
                <w:rFonts w:asciiTheme="minorEastAsia" w:eastAsiaTheme="minorEastAsia" w:hAnsiTheme="minorEastAsia"/>
              </w:rPr>
            </w:pPr>
            <w:r w:rsidRPr="00F17515">
              <w:rPr>
                <w:rFonts w:asciiTheme="minorEastAsia" w:eastAsiaTheme="minorEastAsia" w:hAnsiTheme="minorEastAsia" w:hint="eastAsia"/>
              </w:rPr>
              <w:t>贵金属投资</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4</w:t>
            </w: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金融衍生品投资</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5</w:t>
            </w: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买入返售金融资产</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tcPr>
          <w:p w:rsidR="00451364" w:rsidRPr="00F17515" w:rsidRDefault="00451364">
            <w:pPr>
              <w:spacing w:before="29" w:line="300" w:lineRule="auto"/>
              <w:ind w:left="17"/>
              <w:jc w:val="center"/>
              <w:rPr>
                <w:rFonts w:asciiTheme="minorEastAsia" w:eastAsiaTheme="minorEastAsia" w:hAnsiTheme="minorEastAsia"/>
              </w:rPr>
            </w:pP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其中：买断式回购的买入返售金融资产</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6</w:t>
            </w: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银行存款和结算备付金合计</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17,760,955.47</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0.22</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7</w:t>
            </w: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left"/>
              <w:rPr>
                <w:rFonts w:asciiTheme="minorEastAsia" w:eastAsiaTheme="minorEastAsia" w:hAnsiTheme="minorEastAsia"/>
              </w:rPr>
            </w:pPr>
            <w:r w:rsidRPr="00F17515">
              <w:rPr>
                <w:rFonts w:asciiTheme="minorEastAsia" w:eastAsiaTheme="minorEastAsia" w:hAnsiTheme="minorEastAsia" w:hint="eastAsia"/>
              </w:rPr>
              <w:t>其他资产</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160,822,184.25</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2.03</w:t>
            </w:r>
          </w:p>
        </w:tc>
      </w:tr>
      <w:tr w:rsidR="00F17515" w:rsidRPr="00F17515" w:rsidTr="00451364">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8</w:t>
            </w:r>
          </w:p>
        </w:tc>
        <w:tc>
          <w:tcPr>
            <w:tcW w:w="336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left"/>
              <w:rPr>
                <w:rFonts w:asciiTheme="minorEastAsia" w:eastAsiaTheme="minorEastAsia" w:hAnsiTheme="minorEastAsia"/>
              </w:rPr>
            </w:pPr>
            <w:r w:rsidRPr="00F17515">
              <w:rPr>
                <w:rFonts w:asciiTheme="minorEastAsia" w:eastAsiaTheme="minorEastAsia" w:hAnsiTheme="minorEastAsia" w:hint="eastAsia"/>
              </w:rPr>
              <w:t>合计</w:t>
            </w:r>
          </w:p>
        </w:tc>
        <w:tc>
          <w:tcPr>
            <w:tcW w:w="285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7,908,127,777.60</w:t>
            </w:r>
          </w:p>
        </w:tc>
        <w:tc>
          <w:tcPr>
            <w:tcW w:w="157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100.00</w:t>
            </w:r>
          </w:p>
        </w:tc>
      </w:tr>
    </w:tbl>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2、报告期末按行业分类的股票投资组合</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（1）报告期末按行业分类的境内股票投资组合</w:t>
      </w:r>
    </w:p>
    <w:tbl>
      <w:tblPr>
        <w:tblW w:w="8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9"/>
        <w:gridCol w:w="3631"/>
        <w:gridCol w:w="2383"/>
        <w:gridCol w:w="1187"/>
      </w:tblGrid>
      <w:tr w:rsidR="00F17515" w:rsidRPr="00F17515" w:rsidTr="00451364">
        <w:trPr>
          <w:trHeight w:val="390"/>
        </w:trPr>
        <w:tc>
          <w:tcPr>
            <w:tcW w:w="896" w:type="dxa"/>
            <w:tcBorders>
              <w:top w:val="single" w:sz="4" w:space="0" w:color="000000"/>
              <w:left w:val="single" w:sz="4" w:space="0" w:color="000000"/>
              <w:bottom w:val="single" w:sz="4" w:space="0" w:color="000000"/>
              <w:right w:val="single" w:sz="4" w:space="0" w:color="000000"/>
            </w:tcBorders>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代码</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行业类别</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公允价值（元）</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占基金资产净值比例（％）</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A</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农、林、牧、渔业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B</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采矿业</w:t>
            </w:r>
          </w:p>
        </w:tc>
        <w:tc>
          <w:tcPr>
            <w:tcW w:w="2499" w:type="dxa"/>
            <w:tcBorders>
              <w:top w:val="single" w:sz="4" w:space="0" w:color="000000"/>
              <w:left w:val="single" w:sz="4" w:space="0" w:color="auto"/>
              <w:bottom w:val="single" w:sz="4" w:space="0" w:color="000000"/>
              <w:right w:val="single" w:sz="4" w:space="0" w:color="000000"/>
            </w:tcBorders>
            <w:vAlign w:val="center"/>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172,982,747.07</w:t>
            </w:r>
          </w:p>
          <w:p w:rsidR="00451364" w:rsidRPr="00F17515" w:rsidRDefault="00451364">
            <w:pPr>
              <w:spacing w:line="300" w:lineRule="auto"/>
              <w:jc w:val="right"/>
              <w:rPr>
                <w:rFonts w:asciiTheme="minorEastAsia" w:eastAsiaTheme="minorEastAsia" w:hAnsiTheme="minorEastAsia"/>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2.89</w:t>
            </w:r>
          </w:p>
          <w:p w:rsidR="00451364" w:rsidRPr="00F17515" w:rsidRDefault="00451364">
            <w:pPr>
              <w:spacing w:line="300" w:lineRule="auto"/>
              <w:jc w:val="right"/>
              <w:rPr>
                <w:rFonts w:asciiTheme="minorEastAsia" w:eastAsiaTheme="minorEastAsia" w:hAnsiTheme="minorEastAsia"/>
              </w:rPr>
            </w:pP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C</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制造业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497,761,010.14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8.32</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D</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电力、热力、燃气及水生产和供应业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19,716,200.00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0.33</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E</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建筑业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3,020,000.00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0.05</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F</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批发和零售业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G</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交通运输、仓储和邮政业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184,567,460.18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3.08</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H</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住宿和餐饮业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I</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信息传输、软件和信息技术服务业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J</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金融业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345,165,149.15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5.77</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K</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房地产业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L</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租赁和商务服务业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lastRenderedPageBreak/>
              <w:t>M</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科学研究和技术服务业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N</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水利、环境和公共设施管理业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O</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居民服务、修理和其他服务业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P</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教育</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Q</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卫生和社会工作</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R</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文化、体育和娱乐业</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adjustRightInd w:val="0"/>
              <w:snapToGrid w:val="0"/>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S</w:t>
            </w: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综合</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rPr>
          <w:trHeight w:val="285"/>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51364" w:rsidRPr="00F17515" w:rsidRDefault="00451364">
            <w:pPr>
              <w:adjustRightInd w:val="0"/>
              <w:snapToGrid w:val="0"/>
              <w:spacing w:line="300" w:lineRule="auto"/>
              <w:jc w:val="center"/>
              <w:rPr>
                <w:rFonts w:asciiTheme="minorEastAsia" w:eastAsiaTheme="minorEastAsia" w:hAnsiTheme="minorEastAsia"/>
              </w:rPr>
            </w:pPr>
          </w:p>
        </w:tc>
        <w:tc>
          <w:tcPr>
            <w:tcW w:w="416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51364" w:rsidRPr="00F17515" w:rsidRDefault="00451364">
            <w:pPr>
              <w:adjustRightInd w:val="0"/>
              <w:snapToGrid w:val="0"/>
              <w:spacing w:line="300" w:lineRule="auto"/>
              <w:rPr>
                <w:rFonts w:asciiTheme="minorEastAsia" w:eastAsiaTheme="minorEastAsia" w:hAnsiTheme="minorEastAsia"/>
              </w:rPr>
            </w:pPr>
            <w:r w:rsidRPr="00F17515">
              <w:rPr>
                <w:rFonts w:asciiTheme="minorEastAsia" w:eastAsiaTheme="minorEastAsia" w:hAnsiTheme="minorEastAsia" w:hint="eastAsia"/>
              </w:rPr>
              <w:t>合计</w:t>
            </w:r>
          </w:p>
        </w:tc>
        <w:tc>
          <w:tcPr>
            <w:tcW w:w="2499" w:type="dxa"/>
            <w:tcBorders>
              <w:top w:val="single" w:sz="4" w:space="0" w:color="000000"/>
              <w:left w:val="single" w:sz="4" w:space="0" w:color="auto"/>
              <w:bottom w:val="single" w:sz="4" w:space="0" w:color="000000"/>
              <w:right w:val="single" w:sz="4" w:space="0" w:color="000000"/>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1,223,212,566.54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20.44</w:t>
            </w:r>
          </w:p>
        </w:tc>
      </w:tr>
    </w:tbl>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3、报告期末按公允价值占基金资产净值比例大小排序的前十名股票投资明细</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
        <w:gridCol w:w="1107"/>
        <w:gridCol w:w="1397"/>
        <w:gridCol w:w="1423"/>
        <w:gridCol w:w="2013"/>
        <w:gridCol w:w="1198"/>
      </w:tblGrid>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序号</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cstheme="minorBidi"/>
              </w:rPr>
            </w:pPr>
            <w:r w:rsidRPr="00F17515">
              <w:rPr>
                <w:rFonts w:asciiTheme="minorEastAsia" w:eastAsiaTheme="minorEastAsia" w:hAnsiTheme="minorEastAsia" w:hint="eastAsia"/>
              </w:rPr>
              <w:t>股票代码</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股票名称</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数量(股)</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公允价值(元)</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占基金资产净值比例(％)</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600690</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海尔智家</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10,316,619</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201,174,070.50</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3.36</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601899</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紫金矿业</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37,686,873</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172,982,747.07</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2.89</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3</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000001</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平安银行</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7,448,030</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122,520,093.50</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2.05</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000568</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泸州老窖</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1,237,273</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107,246,823.64</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1.79</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5</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600004</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白云机场</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4,993,955</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87,144,514.75</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1.46</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601318</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中国平安</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950,000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81,187,000.00</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1.36</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7</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002142</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宁波银行</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2,635,560</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74,191,014.00</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1.24</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8</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601336</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新华保险</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1,367,751</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67,224,961.65</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1.12</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9</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600031</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三一重工</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3,653,325</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62,289,191.25</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1.04</w:t>
            </w:r>
          </w:p>
        </w:tc>
      </w:tr>
      <w:tr w:rsidR="00F17515" w:rsidRPr="00F17515" w:rsidTr="00451364">
        <w:tc>
          <w:tcPr>
            <w:tcW w:w="101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10</w:t>
            </w:r>
          </w:p>
        </w:tc>
        <w:tc>
          <w:tcPr>
            <w:tcW w:w="120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601111</w:t>
            </w:r>
          </w:p>
        </w:tc>
        <w:tc>
          <w:tcPr>
            <w:tcW w:w="173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中国国航</w:t>
            </w:r>
          </w:p>
        </w:tc>
        <w:tc>
          <w:tcPr>
            <w:tcW w:w="147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6,418,485</w:t>
            </w:r>
          </w:p>
        </w:tc>
        <w:tc>
          <w:tcPr>
            <w:tcW w:w="212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62,195,119.65</w:t>
            </w:r>
          </w:p>
        </w:tc>
        <w:tc>
          <w:tcPr>
            <w:tcW w:w="139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1.04</w:t>
            </w:r>
          </w:p>
        </w:tc>
      </w:tr>
    </w:tbl>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4、报告期末按债券品种分类的债券投资组合</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951"/>
        <w:gridCol w:w="2731"/>
        <w:gridCol w:w="1542"/>
      </w:tblGrid>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序号</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债券品种</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公允价值(元)</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占基金资产净值比例(％)</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1</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国家债券</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2</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央行票据</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3</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金融债券</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310,941,159.00</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5.20</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tcPr>
          <w:p w:rsidR="00451364" w:rsidRPr="00F17515" w:rsidRDefault="00451364">
            <w:pPr>
              <w:spacing w:before="29" w:line="300" w:lineRule="auto"/>
              <w:ind w:left="17"/>
              <w:jc w:val="center"/>
              <w:rPr>
                <w:rFonts w:asciiTheme="minorEastAsia" w:eastAsiaTheme="minorEastAsia" w:hAnsiTheme="minorEastAsia"/>
              </w:rPr>
            </w:pP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其中：政策性金融债</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302,439,000.00</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5.05</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4</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企业债券</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3,105,158,383.82</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51.89</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5</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企业短期融资券</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6</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中期票据</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2,413,617,000.00</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40.33</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7</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可转债（可交换债）</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676,615,528.52</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11.31</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lastRenderedPageBreak/>
              <w:t>8</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同业存单</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9</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其他</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451364">
        <w:tc>
          <w:tcPr>
            <w:tcW w:w="82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10</w:t>
            </w:r>
          </w:p>
        </w:tc>
        <w:tc>
          <w:tcPr>
            <w:tcW w:w="326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left"/>
              <w:rPr>
                <w:rFonts w:asciiTheme="minorEastAsia" w:eastAsiaTheme="minorEastAsia" w:hAnsiTheme="minorEastAsia"/>
              </w:rPr>
            </w:pPr>
            <w:r w:rsidRPr="00F17515">
              <w:rPr>
                <w:rFonts w:asciiTheme="minorEastAsia" w:eastAsiaTheme="minorEastAsia" w:hAnsiTheme="minorEastAsia" w:hint="eastAsia"/>
              </w:rPr>
              <w:t>合计</w:t>
            </w:r>
          </w:p>
        </w:tc>
        <w:tc>
          <w:tcPr>
            <w:tcW w:w="2842"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6,506,332,071.34</w:t>
            </w:r>
          </w:p>
        </w:tc>
        <w:tc>
          <w:tcPr>
            <w:tcW w:w="163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right"/>
              <w:rPr>
                <w:rFonts w:asciiTheme="minorEastAsia" w:eastAsiaTheme="minorEastAsia" w:hAnsiTheme="minorEastAsia"/>
              </w:rPr>
            </w:pPr>
            <w:r w:rsidRPr="00F17515">
              <w:rPr>
                <w:rFonts w:asciiTheme="minorEastAsia" w:eastAsiaTheme="minorEastAsia" w:hAnsiTheme="minorEastAsia" w:hint="eastAsia"/>
              </w:rPr>
              <w:t>108.72</w:t>
            </w:r>
          </w:p>
        </w:tc>
      </w:tr>
    </w:tbl>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5、报告期末按公允价值占基金资产净值比例大小排序的前五名债券投资明细</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1424"/>
        <w:gridCol w:w="1578"/>
        <w:gridCol w:w="1420"/>
        <w:gridCol w:w="1971"/>
        <w:gridCol w:w="928"/>
      </w:tblGrid>
      <w:tr w:rsidR="00F17515" w:rsidRPr="00F17515" w:rsidTr="00451364">
        <w:tc>
          <w:tcPr>
            <w:tcW w:w="81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kern w:val="0"/>
              </w:rPr>
            </w:pPr>
            <w:r w:rsidRPr="00F17515">
              <w:rPr>
                <w:rFonts w:asciiTheme="minorEastAsia" w:eastAsiaTheme="minorEastAsia" w:hAnsiTheme="minorEastAsia" w:hint="eastAsia"/>
                <w:kern w:val="0"/>
              </w:rPr>
              <w:t>序号</w:t>
            </w:r>
          </w:p>
        </w:tc>
        <w:tc>
          <w:tcPr>
            <w:tcW w:w="156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F17515">
              <w:rPr>
                <w:rFonts w:asciiTheme="minorEastAsia" w:eastAsiaTheme="minorEastAsia" w:hAnsiTheme="minorEastAsia" w:hint="eastAsia"/>
                <w:kern w:val="0"/>
              </w:rPr>
              <w:t>债券代码</w:t>
            </w:r>
          </w:p>
        </w:tc>
        <w:tc>
          <w:tcPr>
            <w:tcW w:w="198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kern w:val="0"/>
              </w:rPr>
            </w:pPr>
            <w:r w:rsidRPr="00F17515">
              <w:rPr>
                <w:rFonts w:asciiTheme="minorEastAsia" w:eastAsiaTheme="minorEastAsia" w:hAnsiTheme="minorEastAsia" w:hint="eastAsia"/>
                <w:kern w:val="0"/>
              </w:rPr>
              <w:t>债券名称</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kern w:val="0"/>
              </w:rPr>
            </w:pPr>
            <w:r w:rsidRPr="00F17515">
              <w:rPr>
                <w:rFonts w:asciiTheme="minorEastAsia" w:eastAsiaTheme="minorEastAsia" w:hAnsiTheme="minorEastAsia" w:hint="eastAsia"/>
                <w:kern w:val="0"/>
              </w:rPr>
              <w:t>数量（张）</w:t>
            </w:r>
          </w:p>
        </w:tc>
        <w:tc>
          <w:tcPr>
            <w:tcW w:w="212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kern w:val="0"/>
              </w:rPr>
            </w:pPr>
            <w:r w:rsidRPr="00F17515">
              <w:rPr>
                <w:rFonts w:asciiTheme="minorEastAsia" w:eastAsiaTheme="minorEastAsia" w:hAnsiTheme="minorEastAsia" w:hint="eastAsia"/>
                <w:kern w:val="0"/>
              </w:rPr>
              <w:t>公允价值(元)</w:t>
            </w:r>
          </w:p>
        </w:tc>
        <w:tc>
          <w:tcPr>
            <w:tcW w:w="9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kern w:val="0"/>
              </w:rPr>
            </w:pPr>
            <w:r w:rsidRPr="00F17515">
              <w:rPr>
                <w:rFonts w:asciiTheme="minorEastAsia" w:eastAsiaTheme="minorEastAsia" w:hAnsiTheme="minorEastAsia" w:hint="eastAsia"/>
                <w:kern w:val="0"/>
              </w:rPr>
              <w:t>占基金资产净值比例（％）</w:t>
            </w:r>
          </w:p>
        </w:tc>
      </w:tr>
      <w:tr w:rsidR="00F17515" w:rsidRPr="00F17515" w:rsidTr="00451364">
        <w:tc>
          <w:tcPr>
            <w:tcW w:w="81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w:t>
            </w:r>
          </w:p>
        </w:tc>
        <w:tc>
          <w:tcPr>
            <w:tcW w:w="156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101900980</w:t>
            </w:r>
          </w:p>
        </w:tc>
        <w:tc>
          <w:tcPr>
            <w:tcW w:w="198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19中煤能源MTN001</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1,700,000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172,091,000.00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2.88</w:t>
            </w:r>
          </w:p>
        </w:tc>
      </w:tr>
      <w:tr w:rsidR="00F17515" w:rsidRPr="00F17515" w:rsidTr="00451364">
        <w:tc>
          <w:tcPr>
            <w:tcW w:w="81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w:t>
            </w:r>
          </w:p>
        </w:tc>
        <w:tc>
          <w:tcPr>
            <w:tcW w:w="156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132018</w:t>
            </w:r>
          </w:p>
        </w:tc>
        <w:tc>
          <w:tcPr>
            <w:tcW w:w="198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G三峡EB1</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1,481,040</w:t>
            </w:r>
          </w:p>
        </w:tc>
        <w:tc>
          <w:tcPr>
            <w:tcW w:w="212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164,795,320.80</w:t>
            </w:r>
          </w:p>
        </w:tc>
        <w:tc>
          <w:tcPr>
            <w:tcW w:w="9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2.75</w:t>
            </w:r>
          </w:p>
        </w:tc>
      </w:tr>
      <w:tr w:rsidR="00F17515" w:rsidRPr="00F17515" w:rsidTr="00451364">
        <w:tc>
          <w:tcPr>
            <w:tcW w:w="81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3</w:t>
            </w:r>
          </w:p>
        </w:tc>
        <w:tc>
          <w:tcPr>
            <w:tcW w:w="156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170310</w:t>
            </w:r>
          </w:p>
        </w:tc>
        <w:tc>
          <w:tcPr>
            <w:tcW w:w="198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17进出10</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1,500,000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151,380,000.00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2.53</w:t>
            </w:r>
          </w:p>
        </w:tc>
      </w:tr>
      <w:tr w:rsidR="00F17515" w:rsidRPr="00F17515" w:rsidTr="00451364">
        <w:tc>
          <w:tcPr>
            <w:tcW w:w="81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4</w:t>
            </w:r>
          </w:p>
        </w:tc>
        <w:tc>
          <w:tcPr>
            <w:tcW w:w="156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155087</w:t>
            </w:r>
          </w:p>
        </w:tc>
        <w:tc>
          <w:tcPr>
            <w:tcW w:w="198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18津投14</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1,200,000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122,652,000.00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2.05</w:t>
            </w:r>
          </w:p>
        </w:tc>
      </w:tr>
      <w:tr w:rsidR="00F17515" w:rsidRPr="00F17515" w:rsidTr="00451364">
        <w:tc>
          <w:tcPr>
            <w:tcW w:w="810"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5</w:t>
            </w:r>
          </w:p>
        </w:tc>
        <w:tc>
          <w:tcPr>
            <w:tcW w:w="156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143734</w:t>
            </w:r>
          </w:p>
        </w:tc>
        <w:tc>
          <w:tcPr>
            <w:tcW w:w="1981"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18金隅02</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1,000,000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104,320,000.00</w:t>
            </w:r>
          </w:p>
        </w:tc>
        <w:tc>
          <w:tcPr>
            <w:tcW w:w="9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1.74</w:t>
            </w:r>
          </w:p>
        </w:tc>
      </w:tr>
    </w:tbl>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6、报告期末按公允价值占基金资产净值比例大小排序的前十名资产支持证券投资明细</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本基金本报告期末未持有资产支持证券。</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7、报告期末按公允价值占基金资产净值比例大小排序的前五名贵金属投资明细</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本基金本报告期末未持有贵金属。</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8、报告期末按公允价值占基金资产净值比例大小排序的前五名权证投资明细</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本基金本报告期末未持有权证。</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9、报告期末本基金投资的股指期货交易情况说明</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本基金本报告期末未投资股指期货。</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10、报告期末本基金投资的国债期货交易情况说明</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本基金本报告期末未投资国债期货。</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11、投资组合报告附注</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1）平安银行（代码：000001）是易方达增强回报债券型证券投资基金的前十大持仓证券。2019年5月10日，中国银行保险监督管理委员会上海监管局针对平安银行股份有限公司信用卡中心上海分中心的如下违法违规行为作出“责令改正，并处罚款40万元”的行政处罚决定：2015年至2017年员工经商办企业的行为屡禁不止、员工行为管理严重违反审慎经营规则。2019年8月12日，中国银行保险监督管理委员会上海监管局针对平安银行股份有限公司资金运营中心2017年末至2018年9月信息科技风险管理严重违反审慎经营规则的违法违规事实，作出“责令改正，并处罚款20万元”的行政处罚决定。</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本基金投资平安银行的投资决策程序符合公司投资制度的规定。</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除平安银行外，本基金投资的前十名证券的发行主体本期没有出现被监管部门立案调</w:t>
      </w:r>
      <w:r w:rsidRPr="00F17515">
        <w:rPr>
          <w:rFonts w:asciiTheme="minorEastAsia" w:eastAsiaTheme="minorEastAsia" w:hAnsiTheme="minorEastAsia" w:hint="eastAsia"/>
        </w:rPr>
        <w:lastRenderedPageBreak/>
        <w:t>查，或在报告编制日前一年内受到公开谴责、处罚的情形。</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（2）本基金投资的前十名股票没有超出基金合同规定的备选股票库。</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4065"/>
        <w:gridCol w:w="2708"/>
      </w:tblGrid>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7"/>
              <w:jc w:val="center"/>
              <w:rPr>
                <w:rFonts w:asciiTheme="minorEastAsia" w:eastAsiaTheme="minorEastAsia" w:hAnsiTheme="minorEastAsia"/>
                <w:kern w:val="0"/>
              </w:rPr>
            </w:pPr>
            <w:r w:rsidRPr="00F17515">
              <w:rPr>
                <w:rFonts w:asciiTheme="minorEastAsia" w:eastAsiaTheme="minorEastAsia" w:hAnsiTheme="minorEastAsia" w:hint="eastAsia"/>
                <w:kern w:val="0"/>
              </w:rPr>
              <w:t>序号</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7"/>
              <w:jc w:val="center"/>
              <w:rPr>
                <w:rFonts w:asciiTheme="minorEastAsia" w:eastAsiaTheme="minorEastAsia" w:hAnsiTheme="minorEastAsia"/>
                <w:kern w:val="0"/>
              </w:rPr>
            </w:pPr>
            <w:r w:rsidRPr="00F17515">
              <w:rPr>
                <w:rFonts w:asciiTheme="minorEastAsia" w:eastAsiaTheme="minorEastAsia" w:hAnsiTheme="minorEastAsia" w:hint="eastAsia"/>
                <w:kern w:val="0"/>
              </w:rPr>
              <w:t>名称</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7"/>
              <w:jc w:val="center"/>
              <w:rPr>
                <w:rFonts w:asciiTheme="minorEastAsia" w:eastAsiaTheme="minorEastAsia" w:hAnsiTheme="minorEastAsia"/>
                <w:kern w:val="0"/>
              </w:rPr>
            </w:pPr>
            <w:r w:rsidRPr="00F17515">
              <w:rPr>
                <w:rFonts w:asciiTheme="minorEastAsia" w:eastAsiaTheme="minorEastAsia" w:hAnsiTheme="minorEastAsia" w:hint="eastAsia"/>
                <w:kern w:val="0"/>
              </w:rPr>
              <w:t>金额(元)</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kern w:val="0"/>
              </w:rPr>
            </w:pPr>
            <w:r w:rsidRPr="00F17515">
              <w:rPr>
                <w:rFonts w:asciiTheme="minorEastAsia" w:eastAsiaTheme="minorEastAsia" w:hAnsiTheme="minorEastAsia" w:hint="eastAsia"/>
              </w:rPr>
              <w:t>1</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kern w:val="0"/>
              </w:rPr>
            </w:pPr>
            <w:r w:rsidRPr="00F17515">
              <w:rPr>
                <w:rFonts w:asciiTheme="minorEastAsia" w:eastAsiaTheme="minorEastAsia" w:hAnsiTheme="minorEastAsia" w:hint="eastAsia"/>
                <w:kern w:val="0"/>
              </w:rPr>
              <w:t>存出保证金</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kern w:val="0"/>
              </w:rPr>
            </w:pPr>
            <w:r w:rsidRPr="00F17515">
              <w:rPr>
                <w:rFonts w:asciiTheme="minorEastAsia" w:eastAsiaTheme="minorEastAsia" w:hAnsiTheme="minorEastAsia" w:hint="eastAsia"/>
                <w:kern w:val="0"/>
              </w:rPr>
              <w:t>111,264.99</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rPr>
            </w:pPr>
            <w:r w:rsidRPr="00F17515">
              <w:rPr>
                <w:rFonts w:asciiTheme="minorEastAsia" w:eastAsiaTheme="minorEastAsia" w:hAnsiTheme="minorEastAsia" w:hint="eastAsia"/>
              </w:rPr>
              <w:t>2</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kern w:val="0"/>
              </w:rPr>
            </w:pPr>
            <w:r w:rsidRPr="00F17515">
              <w:rPr>
                <w:rFonts w:asciiTheme="minorEastAsia" w:eastAsiaTheme="minorEastAsia" w:hAnsiTheme="minorEastAsia" w:hint="eastAsia"/>
                <w:kern w:val="0"/>
              </w:rPr>
              <w:t>应收证券清算款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kern w:val="0"/>
              </w:rPr>
            </w:pPr>
            <w:r w:rsidRPr="00F17515">
              <w:rPr>
                <w:rFonts w:asciiTheme="minorEastAsia" w:eastAsiaTheme="minorEastAsia" w:hAnsiTheme="minorEastAsia" w:hint="eastAsia"/>
                <w:kern w:val="0"/>
              </w:rPr>
              <w:t>12,246,502.26</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rPr>
            </w:pPr>
            <w:r w:rsidRPr="00F17515">
              <w:rPr>
                <w:rFonts w:asciiTheme="minorEastAsia" w:eastAsiaTheme="minorEastAsia" w:hAnsiTheme="minorEastAsia" w:hint="eastAsia"/>
              </w:rPr>
              <w:t>3</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kern w:val="0"/>
              </w:rPr>
            </w:pPr>
            <w:r w:rsidRPr="00F17515">
              <w:rPr>
                <w:rFonts w:asciiTheme="minorEastAsia" w:eastAsiaTheme="minorEastAsia" w:hAnsiTheme="minorEastAsia" w:hint="eastAsia"/>
                <w:kern w:val="0"/>
              </w:rPr>
              <w:t>应收股利</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kern w:val="0"/>
              </w:rPr>
            </w:pPr>
            <w:r w:rsidRPr="00F17515">
              <w:rPr>
                <w:rFonts w:asciiTheme="minorEastAsia" w:eastAsiaTheme="minorEastAsia" w:hAnsiTheme="minorEastAsia" w:hint="eastAsia"/>
                <w:kern w:val="0"/>
              </w:rPr>
              <w:t>-</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rPr>
            </w:pPr>
            <w:r w:rsidRPr="00F17515">
              <w:rPr>
                <w:rFonts w:asciiTheme="minorEastAsia" w:eastAsiaTheme="minorEastAsia" w:hAnsiTheme="minorEastAsia" w:hint="eastAsia"/>
              </w:rPr>
              <w:t>4</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kern w:val="0"/>
              </w:rPr>
            </w:pPr>
            <w:r w:rsidRPr="00F17515">
              <w:rPr>
                <w:rFonts w:asciiTheme="minorEastAsia" w:eastAsiaTheme="minorEastAsia" w:hAnsiTheme="minorEastAsia" w:hint="eastAsia"/>
                <w:kern w:val="0"/>
              </w:rPr>
              <w:t>应收利息</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kern w:val="0"/>
              </w:rPr>
            </w:pPr>
            <w:r w:rsidRPr="00F17515">
              <w:rPr>
                <w:rFonts w:asciiTheme="minorEastAsia" w:eastAsiaTheme="minorEastAsia" w:hAnsiTheme="minorEastAsia" w:hint="eastAsia"/>
                <w:kern w:val="0"/>
              </w:rPr>
              <w:t>110,954,529.27</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rPr>
            </w:pPr>
            <w:r w:rsidRPr="00F17515">
              <w:rPr>
                <w:rFonts w:asciiTheme="minorEastAsia" w:eastAsiaTheme="minorEastAsia" w:hAnsiTheme="minorEastAsia" w:hint="eastAsia"/>
              </w:rPr>
              <w:t>5</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kern w:val="0"/>
              </w:rPr>
            </w:pPr>
            <w:r w:rsidRPr="00F17515">
              <w:rPr>
                <w:rFonts w:asciiTheme="minorEastAsia" w:eastAsiaTheme="minorEastAsia" w:hAnsiTheme="minorEastAsia" w:hint="eastAsia"/>
                <w:kern w:val="0"/>
              </w:rPr>
              <w:t>应收申购款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kern w:val="0"/>
              </w:rPr>
            </w:pPr>
            <w:r w:rsidRPr="00F17515">
              <w:rPr>
                <w:rFonts w:asciiTheme="minorEastAsia" w:eastAsiaTheme="minorEastAsia" w:hAnsiTheme="minorEastAsia" w:hint="eastAsia"/>
                <w:kern w:val="0"/>
              </w:rPr>
              <w:t>37,509,887.73</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rPr>
            </w:pPr>
            <w:r w:rsidRPr="00F17515">
              <w:rPr>
                <w:rFonts w:asciiTheme="minorEastAsia" w:eastAsiaTheme="minorEastAsia" w:hAnsiTheme="minorEastAsia" w:hint="eastAsia"/>
              </w:rPr>
              <w:t>6</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kern w:val="0"/>
              </w:rPr>
            </w:pPr>
            <w:r w:rsidRPr="00F17515">
              <w:rPr>
                <w:rFonts w:asciiTheme="minorEastAsia" w:eastAsiaTheme="minorEastAsia" w:hAnsiTheme="minorEastAsia" w:hint="eastAsia"/>
                <w:kern w:val="0"/>
              </w:rPr>
              <w:t>其他应收款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kern w:val="0"/>
              </w:rPr>
            </w:pPr>
            <w:r w:rsidRPr="00F17515">
              <w:rPr>
                <w:rFonts w:asciiTheme="minorEastAsia" w:eastAsiaTheme="minorEastAsia" w:hAnsiTheme="minorEastAsia" w:hint="eastAsia"/>
                <w:kern w:val="0"/>
              </w:rPr>
              <w:t>-</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rPr>
            </w:pPr>
            <w:r w:rsidRPr="00F17515">
              <w:rPr>
                <w:rFonts w:asciiTheme="minorEastAsia" w:eastAsiaTheme="minorEastAsia" w:hAnsiTheme="minorEastAsia" w:hint="eastAsia"/>
              </w:rPr>
              <w:t>7</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rPr>
            </w:pPr>
            <w:r w:rsidRPr="00F17515">
              <w:rPr>
                <w:rFonts w:asciiTheme="minorEastAsia" w:eastAsiaTheme="minorEastAsia" w:hAnsiTheme="minorEastAsia" w:hint="eastAsia"/>
              </w:rPr>
              <w:t>待摊费用</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rPr>
            </w:pPr>
            <w:r w:rsidRPr="00F17515">
              <w:rPr>
                <w:rFonts w:asciiTheme="minorEastAsia" w:eastAsiaTheme="minorEastAsia" w:hAnsiTheme="minorEastAsia" w:hint="eastAsia"/>
              </w:rPr>
              <w:t>-</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rPr>
            </w:pPr>
            <w:r w:rsidRPr="00F17515">
              <w:rPr>
                <w:rFonts w:asciiTheme="minorEastAsia" w:eastAsiaTheme="minorEastAsia" w:hAnsiTheme="minorEastAsia" w:hint="eastAsia"/>
              </w:rPr>
              <w:t>8</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kern w:val="0"/>
              </w:rPr>
            </w:pPr>
            <w:r w:rsidRPr="00F17515">
              <w:rPr>
                <w:rFonts w:asciiTheme="minorEastAsia" w:eastAsiaTheme="minorEastAsia" w:hAnsiTheme="minorEastAsia" w:hint="eastAsia"/>
                <w:kern w:val="0"/>
              </w:rPr>
              <w:t>其他</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kern w:val="0"/>
              </w:rPr>
            </w:pPr>
            <w:r w:rsidRPr="00F17515">
              <w:rPr>
                <w:rFonts w:asciiTheme="minorEastAsia" w:eastAsiaTheme="minorEastAsia" w:hAnsiTheme="minorEastAsia" w:hint="eastAsia"/>
                <w:kern w:val="0"/>
              </w:rPr>
              <w:t>-</w:t>
            </w:r>
          </w:p>
        </w:tc>
      </w:tr>
      <w:tr w:rsidR="00F17515" w:rsidRPr="00F17515" w:rsidTr="00AE7D92">
        <w:tc>
          <w:tcPr>
            <w:tcW w:w="12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center"/>
              <w:rPr>
                <w:rFonts w:asciiTheme="minorEastAsia" w:eastAsiaTheme="minorEastAsia" w:hAnsiTheme="minorEastAsia"/>
              </w:rPr>
            </w:pPr>
            <w:r w:rsidRPr="00F17515">
              <w:rPr>
                <w:rFonts w:asciiTheme="minorEastAsia" w:eastAsiaTheme="minorEastAsia" w:hAnsiTheme="minorEastAsia" w:hint="eastAsia"/>
              </w:rPr>
              <w:t>9</w:t>
            </w:r>
          </w:p>
        </w:tc>
        <w:tc>
          <w:tcPr>
            <w:tcW w:w="40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left"/>
              <w:rPr>
                <w:rFonts w:asciiTheme="minorEastAsia" w:eastAsiaTheme="minorEastAsia" w:hAnsiTheme="minorEastAsia"/>
                <w:kern w:val="0"/>
              </w:rPr>
            </w:pPr>
            <w:r w:rsidRPr="00F17515">
              <w:rPr>
                <w:rFonts w:asciiTheme="minorEastAsia" w:eastAsiaTheme="minorEastAsia" w:hAnsiTheme="minorEastAsia" w:hint="eastAsia"/>
                <w:kern w:val="0"/>
              </w:rPr>
              <w:t>合计</w:t>
            </w:r>
          </w:p>
        </w:tc>
        <w:tc>
          <w:tcPr>
            <w:tcW w:w="270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autoSpaceDE w:val="0"/>
              <w:autoSpaceDN w:val="0"/>
              <w:adjustRightInd w:val="0"/>
              <w:spacing w:before="29" w:line="300" w:lineRule="auto"/>
              <w:ind w:left="15"/>
              <w:jc w:val="right"/>
              <w:rPr>
                <w:rFonts w:asciiTheme="minorEastAsia" w:eastAsiaTheme="minorEastAsia" w:hAnsiTheme="minorEastAsia"/>
                <w:kern w:val="0"/>
              </w:rPr>
            </w:pPr>
            <w:r w:rsidRPr="00F17515">
              <w:rPr>
                <w:rFonts w:asciiTheme="minorEastAsia" w:eastAsiaTheme="minorEastAsia" w:hAnsiTheme="minorEastAsia" w:hint="eastAsia"/>
                <w:kern w:val="0"/>
              </w:rPr>
              <w:t>160,822,184.25</w:t>
            </w:r>
          </w:p>
        </w:tc>
      </w:tr>
    </w:tbl>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（4）报告期末持有的处于转股期的可转换债券明细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
        <w:gridCol w:w="2374"/>
        <w:gridCol w:w="1528"/>
        <w:gridCol w:w="1711"/>
        <w:gridCol w:w="1500"/>
      </w:tblGrid>
      <w:tr w:rsidR="00F17515" w:rsidRPr="00F17515" w:rsidTr="00451364">
        <w:tc>
          <w:tcPr>
            <w:tcW w:w="944"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序号</w:t>
            </w:r>
          </w:p>
        </w:tc>
        <w:tc>
          <w:tcPr>
            <w:tcW w:w="2568"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cstheme="minorBidi"/>
              </w:rPr>
            </w:pPr>
            <w:r w:rsidRPr="00F17515">
              <w:rPr>
                <w:rFonts w:asciiTheme="minorEastAsia" w:eastAsiaTheme="minorEastAsia" w:hAnsiTheme="minorEastAsia" w:hint="eastAsia"/>
              </w:rPr>
              <w:t>债券代码</w:t>
            </w:r>
          </w:p>
        </w:tc>
        <w:tc>
          <w:tcPr>
            <w:tcW w:w="1665"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债券名称</w:t>
            </w:r>
          </w:p>
        </w:tc>
        <w:tc>
          <w:tcPr>
            <w:tcW w:w="1727"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公允价值(元)</w:t>
            </w:r>
          </w:p>
        </w:tc>
        <w:tc>
          <w:tcPr>
            <w:tcW w:w="1609" w:type="dxa"/>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before="29" w:line="300" w:lineRule="auto"/>
              <w:ind w:left="17"/>
              <w:jc w:val="center"/>
              <w:rPr>
                <w:rFonts w:asciiTheme="minorEastAsia" w:eastAsiaTheme="minorEastAsia" w:hAnsiTheme="minorEastAsia"/>
              </w:rPr>
            </w:pPr>
            <w:r w:rsidRPr="00F17515">
              <w:rPr>
                <w:rFonts w:asciiTheme="minorEastAsia" w:eastAsiaTheme="minorEastAsia" w:hAnsiTheme="minorEastAsia" w:hint="eastAsia"/>
              </w:rPr>
              <w:t>占基金资产净值比例(%)</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132009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17中油EB</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54,338,425.20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0.91</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128019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久立转2</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38,386,379.00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0.64</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132005</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15国资EB</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36,935,500.00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0.62</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132014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18中化EB</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34,331,969.40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0.57</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128016</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雨虹转债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27,318,150.09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0.46</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113020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桐昆转债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26,435,679.00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0.44</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132015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18中油EB</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24,221,813.20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0.40</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128035</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大族转债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22,280,066.40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0.37</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110047</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山鹰转债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22,055,373.90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0.37</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113508</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新凤转债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21,071,162.40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0.35</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110031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航信转债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16,429,319.40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0.27</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128054</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中宠转债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11,768,127.60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0.20</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110048</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福能转债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10,669,120.00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0.18</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127011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中鼎转2</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8,783,769.14</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0.15</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128021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兄弟转债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7,720,720.00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0.13</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128028</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赣锋转债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5,376,150.00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0.09</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128037</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岩土转债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4,982,033.86</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0.08</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lastRenderedPageBreak/>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110046</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圆通转债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4,770,410.00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0.08</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128058</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拓邦转债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4,444,022.02</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0.07</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128022</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众信转债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3,692,141.00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0.06</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123019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中来转债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2,953,449.41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0.05</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113011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光大转债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2,493,200.00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0.04</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113520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百合转债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2,427,037.20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0.04</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113519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长久转债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2,387,854.00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0.04</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110053</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苏银转债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2,353,669.50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0.04</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123020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富祥转债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2,319,954.00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0.04</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110045</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海澜转债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2,030,800.00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0.03</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132013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17宝武EB</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2,024,800.00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0.03</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113515</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高能转债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844,667.80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0.01</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128059</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视源转债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753,731.60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0.01</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110056</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亨通转债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591,550.00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0.01</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127013</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创维转债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153,751.00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0.00</w:t>
            </w:r>
          </w:p>
        </w:tc>
      </w:tr>
      <w:tr w:rsidR="00F17515" w:rsidRPr="00F17515" w:rsidTr="00451364">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113531</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center"/>
              <w:rPr>
                <w:rFonts w:asciiTheme="minorEastAsia" w:eastAsiaTheme="minorEastAsia" w:hAnsiTheme="minorEastAsia"/>
              </w:rPr>
            </w:pPr>
            <w:r w:rsidRPr="00F17515">
              <w:rPr>
                <w:rFonts w:asciiTheme="minorEastAsia" w:eastAsiaTheme="minorEastAsia" w:hAnsiTheme="minorEastAsia" w:hint="eastAsia"/>
              </w:rPr>
              <w:t>百姓转债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33,585.30</w:t>
            </w:r>
          </w:p>
        </w:tc>
        <w:tc>
          <w:tcPr>
            <w:tcW w:w="0" w:type="auto"/>
            <w:tcBorders>
              <w:top w:val="single" w:sz="4" w:space="0" w:color="auto"/>
              <w:left w:val="single" w:sz="4" w:space="0" w:color="auto"/>
              <w:bottom w:val="single" w:sz="4" w:space="0" w:color="auto"/>
              <w:right w:val="single" w:sz="4" w:space="0" w:color="auto"/>
            </w:tcBorders>
            <w:vAlign w:val="center"/>
            <w:hideMark/>
          </w:tcPr>
          <w:p w:rsidR="00451364" w:rsidRPr="00F17515" w:rsidRDefault="00451364">
            <w:pPr>
              <w:spacing w:line="300" w:lineRule="auto"/>
              <w:jc w:val="right"/>
              <w:rPr>
                <w:rFonts w:asciiTheme="minorEastAsia" w:eastAsiaTheme="minorEastAsia" w:hAnsiTheme="minorEastAsia"/>
              </w:rPr>
            </w:pPr>
            <w:r w:rsidRPr="00F17515">
              <w:rPr>
                <w:rFonts w:asciiTheme="minorEastAsia" w:eastAsiaTheme="minorEastAsia" w:hAnsiTheme="minorEastAsia" w:hint="eastAsia"/>
              </w:rPr>
              <w:t>0.00</w:t>
            </w:r>
          </w:p>
        </w:tc>
      </w:tr>
    </w:tbl>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（5）报告期末前十名股票中存在流通受限情况的说明</w:t>
      </w:r>
    </w:p>
    <w:p w:rsidR="00451364" w:rsidRPr="00F17515" w:rsidRDefault="00451364" w:rsidP="00AE7D92">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rPr>
        <w:t>本基金本报告期末前十名股票中不存在流通受限情况。</w:t>
      </w:r>
    </w:p>
    <w:p w:rsidR="00451364" w:rsidRPr="00F17515" w:rsidRDefault="00451364" w:rsidP="00451364">
      <w:pPr>
        <w:spacing w:line="300" w:lineRule="auto"/>
        <w:rPr>
          <w:rFonts w:asciiTheme="minorEastAsia" w:eastAsiaTheme="minorEastAsia" w:hAnsiTheme="minorEastAsia"/>
        </w:rPr>
      </w:pP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szCs w:val="32"/>
        </w:rPr>
      </w:pPr>
      <w:bookmarkStart w:id="190" w:name="_Toc228889107"/>
      <w:bookmarkStart w:id="191" w:name="_Toc229970317"/>
      <w:bookmarkStart w:id="192" w:name="_Toc229970878"/>
      <w:bookmarkStart w:id="193" w:name="_Toc229971437"/>
      <w:bookmarkStart w:id="194" w:name="_Toc228889119"/>
      <w:bookmarkStart w:id="195" w:name="_Toc229970329"/>
      <w:bookmarkStart w:id="196" w:name="_Toc229970890"/>
      <w:bookmarkStart w:id="197" w:name="_Toc229971449"/>
      <w:bookmarkStart w:id="198" w:name="_Toc228889129"/>
      <w:bookmarkStart w:id="199" w:name="_Toc229970339"/>
      <w:bookmarkStart w:id="200" w:name="_Toc229970900"/>
      <w:bookmarkStart w:id="201" w:name="_Toc229971459"/>
      <w:bookmarkStart w:id="202" w:name="_Toc228889134"/>
      <w:bookmarkStart w:id="203" w:name="_Toc229970344"/>
      <w:bookmarkStart w:id="204" w:name="_Toc229970905"/>
      <w:bookmarkStart w:id="205" w:name="_Toc229971464"/>
      <w:bookmarkStart w:id="206" w:name="_Toc228889149"/>
      <w:bookmarkStart w:id="207" w:name="_Toc229970359"/>
      <w:bookmarkStart w:id="208" w:name="_Toc229970920"/>
      <w:bookmarkStart w:id="209" w:name="_Toc229971479"/>
      <w:bookmarkStart w:id="210" w:name="_Toc228889169"/>
      <w:bookmarkStart w:id="211" w:name="_Toc229970379"/>
      <w:bookmarkStart w:id="212" w:name="_Toc229970940"/>
      <w:bookmarkStart w:id="213" w:name="_Toc229971499"/>
      <w:bookmarkStart w:id="214" w:name="_Toc228889290"/>
      <w:bookmarkStart w:id="215" w:name="_Toc229970500"/>
      <w:bookmarkStart w:id="216" w:name="_Toc229971061"/>
      <w:bookmarkStart w:id="217" w:name="_Toc229971620"/>
      <w:bookmarkStart w:id="218" w:name="_Toc228889295"/>
      <w:bookmarkStart w:id="219" w:name="_Toc229970505"/>
      <w:bookmarkStart w:id="220" w:name="_Toc229971066"/>
      <w:bookmarkStart w:id="221" w:name="_Toc229971625"/>
      <w:bookmarkStart w:id="222" w:name="_Toc228889346"/>
      <w:bookmarkStart w:id="223" w:name="_Toc229970556"/>
      <w:bookmarkStart w:id="224" w:name="_Toc229971117"/>
      <w:bookmarkStart w:id="225" w:name="_Toc229971676"/>
      <w:bookmarkStart w:id="226" w:name="_Toc228889347"/>
      <w:bookmarkStart w:id="227" w:name="_Toc229970557"/>
      <w:bookmarkStart w:id="228" w:name="_Toc229971118"/>
      <w:bookmarkStart w:id="229" w:name="_Toc229971677"/>
      <w:bookmarkStart w:id="230" w:name="_Toc228889369"/>
      <w:bookmarkStart w:id="231" w:name="_Toc229970579"/>
      <w:bookmarkStart w:id="232" w:name="_Toc229971140"/>
      <w:bookmarkStart w:id="233" w:name="_Toc229971699"/>
      <w:bookmarkStart w:id="234" w:name="_Toc228889399"/>
      <w:bookmarkStart w:id="235" w:name="_Toc229970609"/>
      <w:bookmarkStart w:id="236" w:name="_Toc229971170"/>
      <w:bookmarkStart w:id="237" w:name="_Toc229971729"/>
      <w:bookmarkStart w:id="238" w:name="_Toc228889442"/>
      <w:bookmarkStart w:id="239" w:name="_Toc229970652"/>
      <w:bookmarkStart w:id="240" w:name="_Toc229971213"/>
      <w:bookmarkStart w:id="241" w:name="_Toc229971772"/>
      <w:bookmarkStart w:id="242" w:name="_Toc228889443"/>
      <w:bookmarkStart w:id="243" w:name="_Toc229970653"/>
      <w:bookmarkStart w:id="244" w:name="_Toc229971214"/>
      <w:bookmarkStart w:id="245" w:name="_Toc229971773"/>
      <w:bookmarkStart w:id="246" w:name="_Toc228889444"/>
      <w:bookmarkStart w:id="247" w:name="_Toc229970654"/>
      <w:bookmarkStart w:id="248" w:name="_Toc229971215"/>
      <w:bookmarkStart w:id="249" w:name="_Toc229971774"/>
      <w:bookmarkStart w:id="250" w:name="_Toc228889459"/>
      <w:bookmarkStart w:id="251" w:name="_Toc229970669"/>
      <w:bookmarkStart w:id="252" w:name="_Toc229971230"/>
      <w:bookmarkStart w:id="253" w:name="_Toc229971789"/>
      <w:bookmarkStart w:id="254" w:name="_Toc228889460"/>
      <w:bookmarkStart w:id="255" w:name="_Toc229970670"/>
      <w:bookmarkStart w:id="256" w:name="_Toc229971231"/>
      <w:bookmarkStart w:id="257" w:name="_Toc229971790"/>
      <w:bookmarkStart w:id="258" w:name="_Toc228889461"/>
      <w:bookmarkStart w:id="259" w:name="_Toc229970671"/>
      <w:bookmarkStart w:id="260" w:name="_Toc229971232"/>
      <w:bookmarkStart w:id="261" w:name="_Toc229971791"/>
      <w:bookmarkStart w:id="262" w:name="_Toc228889462"/>
      <w:bookmarkStart w:id="263" w:name="_Toc229970672"/>
      <w:bookmarkStart w:id="264" w:name="_Toc229971233"/>
      <w:bookmarkStart w:id="265" w:name="_Toc229971792"/>
      <w:bookmarkStart w:id="266" w:name="_Toc228889463"/>
      <w:bookmarkStart w:id="267" w:name="_Toc229970673"/>
      <w:bookmarkStart w:id="268" w:name="_Toc229971234"/>
      <w:bookmarkStart w:id="269" w:name="_Toc229971793"/>
      <w:bookmarkStart w:id="270" w:name="_Toc228889504"/>
      <w:bookmarkStart w:id="271" w:name="_Toc229970714"/>
      <w:bookmarkStart w:id="272" w:name="_Toc229971275"/>
      <w:bookmarkStart w:id="273" w:name="_Toc229971834"/>
      <w:bookmarkStart w:id="274" w:name="_Toc228889505"/>
      <w:bookmarkStart w:id="275" w:name="_Toc229970715"/>
      <w:bookmarkStart w:id="276" w:name="_Toc229971276"/>
      <w:bookmarkStart w:id="277" w:name="_Toc229971835"/>
      <w:bookmarkStart w:id="278" w:name="_Toc228889506"/>
      <w:bookmarkStart w:id="279" w:name="_Toc229970716"/>
      <w:bookmarkStart w:id="280" w:name="_Toc229971277"/>
      <w:bookmarkStart w:id="281" w:name="_Toc229971836"/>
      <w:bookmarkStart w:id="282" w:name="_Toc213730051"/>
      <w:bookmarkStart w:id="283" w:name="_Toc214336215"/>
      <w:bookmarkStart w:id="284" w:name="_Toc214423876"/>
      <w:bookmarkStart w:id="285" w:name="_Toc211920164"/>
      <w:bookmarkStart w:id="286" w:name="_Toc211927695"/>
      <w:bookmarkStart w:id="287" w:name="_Toc41556807"/>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F17515">
        <w:rPr>
          <w:rFonts w:asciiTheme="minorEastAsia" w:eastAsiaTheme="minorEastAsia" w:hAnsiTheme="minorEastAsia" w:hint="eastAsia"/>
          <w:b/>
          <w:szCs w:val="32"/>
        </w:rPr>
        <w:lastRenderedPageBreak/>
        <w:t>基金的业绩</w:t>
      </w:r>
      <w:bookmarkEnd w:id="285"/>
      <w:bookmarkEnd w:id="286"/>
      <w:bookmarkEnd w:id="287"/>
    </w:p>
    <w:p w:rsidR="007228CC" w:rsidRPr="00F17515" w:rsidRDefault="007228CC" w:rsidP="0071223F">
      <w:pPr>
        <w:autoSpaceDE w:val="0"/>
        <w:autoSpaceDN w:val="0"/>
        <w:adjustRightInd w:val="0"/>
        <w:snapToGrid w:val="0"/>
        <w:spacing w:line="360" w:lineRule="auto"/>
        <w:ind w:firstLine="420"/>
        <w:rPr>
          <w:rFonts w:asciiTheme="minorEastAsia" w:eastAsiaTheme="minorEastAsia" w:hAnsiTheme="minorEastAsia"/>
          <w:kern w:val="0"/>
          <w:szCs w:val="21"/>
        </w:rPr>
      </w:pPr>
      <w:r w:rsidRPr="00F17515">
        <w:rPr>
          <w:rFonts w:asciiTheme="minorEastAsia" w:eastAsiaTheme="minorEastAsia" w:hAnsiTheme="minorEastAsia"/>
          <w:kern w:val="0"/>
          <w:szCs w:val="21"/>
        </w:rPr>
        <w:t>基金管理人依照恪尽职守、诚实信用、谨慎勤勉的原则管理和运用基金财产，但不保证基金一定盈利，也不保证最低收益。基金的过往业绩并不代表其未来表现。投资有风险，投资者在</w:t>
      </w:r>
      <w:r w:rsidRPr="00F17515">
        <w:rPr>
          <w:rFonts w:asciiTheme="minorEastAsia" w:eastAsiaTheme="minorEastAsia" w:hAnsiTheme="minorEastAsia" w:hint="eastAsia"/>
          <w:kern w:val="0"/>
          <w:szCs w:val="21"/>
        </w:rPr>
        <w:t>做出</w:t>
      </w:r>
      <w:r w:rsidRPr="00F17515">
        <w:rPr>
          <w:rFonts w:asciiTheme="minorEastAsia" w:eastAsiaTheme="minorEastAsia" w:hAnsiTheme="minorEastAsia"/>
          <w:kern w:val="0"/>
          <w:szCs w:val="21"/>
        </w:rPr>
        <w:t>投资决策前应仔细阅读本基金的招募说明书。</w:t>
      </w:r>
    </w:p>
    <w:p w:rsidR="007228CC" w:rsidRPr="00F17515" w:rsidRDefault="007228CC" w:rsidP="0071223F">
      <w:pPr>
        <w:autoSpaceDE w:val="0"/>
        <w:autoSpaceDN w:val="0"/>
        <w:adjustRightInd w:val="0"/>
        <w:snapToGrid w:val="0"/>
        <w:spacing w:line="360" w:lineRule="auto"/>
        <w:ind w:firstLine="420"/>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本基金合同生效日为2008年3月19日，基金合同生效以来</w:t>
      </w:r>
      <w:r w:rsidR="006523F7" w:rsidRPr="00F17515">
        <w:rPr>
          <w:rFonts w:asciiTheme="minorEastAsia" w:eastAsiaTheme="minorEastAsia" w:hAnsiTheme="minorEastAsia" w:hint="eastAsia"/>
          <w:kern w:val="0"/>
          <w:szCs w:val="21"/>
        </w:rPr>
        <w:t>最近十个完整会计年度（截至</w:t>
      </w:r>
      <w:r w:rsidR="006523F7" w:rsidRPr="00F17515">
        <w:rPr>
          <w:rFonts w:asciiTheme="minorEastAsia" w:eastAsiaTheme="minorEastAsia" w:hAnsiTheme="minorEastAsia" w:cs="宋体" w:hint="eastAsia"/>
          <w:szCs w:val="21"/>
        </w:rPr>
        <w:t>201</w:t>
      </w:r>
      <w:r w:rsidR="000D6C92" w:rsidRPr="00F17515">
        <w:rPr>
          <w:rFonts w:asciiTheme="minorEastAsia" w:eastAsiaTheme="minorEastAsia" w:hAnsiTheme="minorEastAsia" w:cs="宋体"/>
          <w:szCs w:val="21"/>
        </w:rPr>
        <w:t>9</w:t>
      </w:r>
      <w:r w:rsidR="006523F7" w:rsidRPr="00F17515">
        <w:rPr>
          <w:rFonts w:asciiTheme="minorEastAsia" w:eastAsiaTheme="minorEastAsia" w:hAnsiTheme="minorEastAsia" w:cs="宋体" w:hint="eastAsia"/>
          <w:szCs w:val="21"/>
        </w:rPr>
        <w:t>年</w:t>
      </w:r>
      <w:r w:rsidR="006523F7" w:rsidRPr="00F17515">
        <w:rPr>
          <w:rFonts w:asciiTheme="minorEastAsia" w:eastAsiaTheme="minorEastAsia" w:hAnsiTheme="minorEastAsia" w:cs="宋体"/>
          <w:szCs w:val="21"/>
        </w:rPr>
        <w:t>12</w:t>
      </w:r>
      <w:r w:rsidR="006523F7" w:rsidRPr="00F17515">
        <w:rPr>
          <w:rFonts w:asciiTheme="minorEastAsia" w:eastAsiaTheme="minorEastAsia" w:hAnsiTheme="minorEastAsia" w:cs="宋体" w:hint="eastAsia"/>
          <w:szCs w:val="21"/>
        </w:rPr>
        <w:t>月3</w:t>
      </w:r>
      <w:r w:rsidR="006523F7" w:rsidRPr="00F17515">
        <w:rPr>
          <w:rFonts w:asciiTheme="minorEastAsia" w:eastAsiaTheme="minorEastAsia" w:hAnsiTheme="minorEastAsia" w:cs="宋体"/>
          <w:szCs w:val="21"/>
        </w:rPr>
        <w:t>1</w:t>
      </w:r>
      <w:r w:rsidR="006523F7" w:rsidRPr="00F17515">
        <w:rPr>
          <w:rFonts w:asciiTheme="minorEastAsia" w:eastAsiaTheme="minorEastAsia" w:hAnsiTheme="minorEastAsia" w:cs="宋体" w:hint="eastAsia"/>
          <w:szCs w:val="21"/>
        </w:rPr>
        <w:t>日</w:t>
      </w:r>
      <w:r w:rsidR="006523F7" w:rsidRPr="00F17515">
        <w:rPr>
          <w:rFonts w:asciiTheme="minorEastAsia" w:eastAsiaTheme="minorEastAsia" w:hAnsiTheme="minorEastAsia" w:hint="eastAsia"/>
          <w:kern w:val="0"/>
          <w:szCs w:val="21"/>
        </w:rPr>
        <w:t>）</w:t>
      </w:r>
      <w:r w:rsidRPr="00F17515">
        <w:rPr>
          <w:rFonts w:asciiTheme="minorEastAsia" w:eastAsiaTheme="minorEastAsia" w:hAnsiTheme="minorEastAsia" w:hint="eastAsia"/>
          <w:kern w:val="0"/>
          <w:szCs w:val="21"/>
        </w:rPr>
        <w:t>的投资业绩及与同期基准的比较如下表所示：</w:t>
      </w:r>
    </w:p>
    <w:p w:rsidR="00FE5BF8" w:rsidRPr="00F17515" w:rsidRDefault="0021144C" w:rsidP="0021144C">
      <w:pPr>
        <w:autoSpaceDE w:val="0"/>
        <w:autoSpaceDN w:val="0"/>
        <w:adjustRightInd w:val="0"/>
        <w:snapToGrid w:val="0"/>
        <w:spacing w:line="360" w:lineRule="auto"/>
        <w:ind w:firstLine="420"/>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1、</w:t>
      </w:r>
      <w:r w:rsidR="00FE5BF8" w:rsidRPr="00F17515">
        <w:rPr>
          <w:rFonts w:asciiTheme="minorEastAsia" w:eastAsiaTheme="minorEastAsia" w:hAnsiTheme="minorEastAsia" w:hint="eastAsia"/>
          <w:kern w:val="0"/>
          <w:szCs w:val="21"/>
        </w:rPr>
        <w:t>A类基金份额净值增长率与同期业绩比较基准收益率比较</w:t>
      </w:r>
    </w:p>
    <w:tbl>
      <w:tblPr>
        <w:tblW w:w="9190" w:type="dxa"/>
        <w:jc w:val="center"/>
        <w:tblCellMar>
          <w:left w:w="0" w:type="dxa"/>
          <w:right w:w="0" w:type="dxa"/>
        </w:tblCellMar>
        <w:tblLook w:val="04A0" w:firstRow="1" w:lastRow="0" w:firstColumn="1" w:lastColumn="0" w:noHBand="0" w:noVBand="1"/>
      </w:tblPr>
      <w:tblGrid>
        <w:gridCol w:w="1467"/>
        <w:gridCol w:w="1480"/>
        <w:gridCol w:w="1078"/>
        <w:gridCol w:w="1253"/>
        <w:gridCol w:w="1338"/>
        <w:gridCol w:w="1270"/>
        <w:gridCol w:w="1304"/>
      </w:tblGrid>
      <w:tr w:rsidR="00F17515" w:rsidRPr="00F17515" w:rsidTr="00811D3D">
        <w:trPr>
          <w:trHeight w:val="705"/>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阶段</w:t>
            </w:r>
          </w:p>
        </w:tc>
        <w:tc>
          <w:tcPr>
            <w:tcW w:w="1480" w:type="dxa"/>
            <w:tcBorders>
              <w:top w:val="single" w:sz="4" w:space="0" w:color="auto"/>
              <w:left w:val="nil"/>
              <w:bottom w:val="single" w:sz="4" w:space="0" w:color="auto"/>
              <w:right w:val="single" w:sz="4" w:space="0" w:color="auto"/>
            </w:tcBorders>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净值增长率（1）</w:t>
            </w:r>
          </w:p>
        </w:tc>
        <w:tc>
          <w:tcPr>
            <w:tcW w:w="1078" w:type="dxa"/>
            <w:tcBorders>
              <w:top w:val="single" w:sz="4" w:space="0" w:color="auto"/>
              <w:left w:val="nil"/>
              <w:bottom w:val="single" w:sz="4" w:space="0" w:color="auto"/>
              <w:right w:val="single" w:sz="4" w:space="0" w:color="auto"/>
            </w:tcBorders>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净值增长率标准差（2）</w:t>
            </w:r>
          </w:p>
        </w:tc>
        <w:tc>
          <w:tcPr>
            <w:tcW w:w="1253" w:type="dxa"/>
            <w:tcBorders>
              <w:top w:val="single" w:sz="4" w:space="0" w:color="auto"/>
              <w:left w:val="nil"/>
              <w:bottom w:val="single" w:sz="4" w:space="0" w:color="auto"/>
              <w:right w:val="single" w:sz="4" w:space="0" w:color="auto"/>
            </w:tcBorders>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业绩比较基准收益率（3）</w:t>
            </w:r>
          </w:p>
        </w:tc>
        <w:tc>
          <w:tcPr>
            <w:tcW w:w="1338" w:type="dxa"/>
            <w:tcBorders>
              <w:top w:val="single" w:sz="4" w:space="0" w:color="auto"/>
              <w:left w:val="nil"/>
              <w:bottom w:val="single" w:sz="4" w:space="0" w:color="auto"/>
              <w:right w:val="single" w:sz="4" w:space="0" w:color="auto"/>
            </w:tcBorders>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业绩比较基准收益率标准差（4）</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(1)－(3)</w:t>
            </w:r>
          </w:p>
        </w:tc>
        <w:tc>
          <w:tcPr>
            <w:tcW w:w="1304"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(2)－(4)</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ind w:rightChars="10" w:right="21" w:firstLine="17"/>
              <w:rPr>
                <w:rFonts w:asciiTheme="minorEastAsia" w:eastAsiaTheme="minorEastAsia" w:hAnsiTheme="minorEastAsia"/>
                <w:szCs w:val="21"/>
              </w:rPr>
            </w:pPr>
            <w:r w:rsidRPr="00F17515">
              <w:rPr>
                <w:rFonts w:asciiTheme="minorEastAsia" w:eastAsiaTheme="minorEastAsia" w:hAnsiTheme="minorEastAsia" w:hint="eastAsia"/>
                <w:szCs w:val="21"/>
              </w:rPr>
              <w:t>2010年1月1日至2010年12月31日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12.35%</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0.30%</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-0.87%</w:t>
            </w:r>
          </w:p>
        </w:tc>
        <w:tc>
          <w:tcPr>
            <w:tcW w:w="133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0.10%</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13.22%</w:t>
            </w:r>
          </w:p>
        </w:tc>
        <w:tc>
          <w:tcPr>
            <w:tcW w:w="1304"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0.20%</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ind w:rightChars="10" w:right="21" w:firstLine="17"/>
              <w:rPr>
                <w:rFonts w:asciiTheme="minorEastAsia" w:eastAsiaTheme="minorEastAsia" w:hAnsiTheme="minorEastAsia"/>
                <w:szCs w:val="21"/>
              </w:rPr>
            </w:pPr>
            <w:r w:rsidRPr="00F17515">
              <w:rPr>
                <w:rFonts w:asciiTheme="minorEastAsia" w:eastAsiaTheme="minorEastAsia" w:hAnsiTheme="minorEastAsia" w:hint="eastAsia"/>
                <w:szCs w:val="21"/>
              </w:rPr>
              <w:t>2011年1月1日至2011年12月31日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-0.86%</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0.28%</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2.52%</w:t>
            </w:r>
          </w:p>
        </w:tc>
        <w:tc>
          <w:tcPr>
            <w:tcW w:w="133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0.11%</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-3.38%</w:t>
            </w:r>
          </w:p>
        </w:tc>
        <w:tc>
          <w:tcPr>
            <w:tcW w:w="1304"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0.17%</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ind w:rightChars="10" w:right="21" w:firstLine="17"/>
              <w:rPr>
                <w:rFonts w:asciiTheme="minorEastAsia" w:eastAsiaTheme="minorEastAsia" w:hAnsiTheme="minorEastAsia"/>
                <w:szCs w:val="21"/>
              </w:rPr>
            </w:pPr>
            <w:r w:rsidRPr="00F17515">
              <w:rPr>
                <w:rFonts w:asciiTheme="minorEastAsia" w:eastAsiaTheme="minorEastAsia" w:hAnsiTheme="minorEastAsia" w:hint="eastAsia"/>
                <w:szCs w:val="21"/>
              </w:rPr>
              <w:t>2012年1月1日至2012年12月31日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9.75%</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0.25%</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-0.67%</w:t>
            </w:r>
          </w:p>
        </w:tc>
        <w:tc>
          <w:tcPr>
            <w:tcW w:w="133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0.07%</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10.42%</w:t>
            </w:r>
          </w:p>
        </w:tc>
        <w:tc>
          <w:tcPr>
            <w:tcW w:w="1304"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0.18%</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ind w:rightChars="10" w:right="21" w:firstLine="17"/>
              <w:rPr>
                <w:rFonts w:asciiTheme="minorEastAsia" w:eastAsiaTheme="minorEastAsia" w:hAnsiTheme="minorEastAsia"/>
                <w:szCs w:val="21"/>
              </w:rPr>
            </w:pPr>
            <w:r w:rsidRPr="00F17515">
              <w:rPr>
                <w:rFonts w:asciiTheme="minorEastAsia" w:eastAsiaTheme="minorEastAsia" w:hAnsiTheme="minorEastAsia" w:hint="eastAsia"/>
                <w:szCs w:val="21"/>
              </w:rPr>
              <w:t>2013年1月1日至2013年12月31日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1.96%</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0.24%</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-5.28%</w:t>
            </w:r>
          </w:p>
        </w:tc>
        <w:tc>
          <w:tcPr>
            <w:tcW w:w="133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0.11%</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7.24%</w:t>
            </w:r>
          </w:p>
        </w:tc>
        <w:tc>
          <w:tcPr>
            <w:tcW w:w="1304"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0.13%</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2014年1月1日至2014年12月31日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26.39%</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0.33%</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7.48%</w:t>
            </w:r>
          </w:p>
        </w:tc>
        <w:tc>
          <w:tcPr>
            <w:tcW w:w="133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0.15%</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18.91%</w:t>
            </w:r>
          </w:p>
        </w:tc>
        <w:tc>
          <w:tcPr>
            <w:tcW w:w="1304"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0.18%</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E95EE8" w:rsidRPr="00F17515" w:rsidRDefault="0074639E" w:rsidP="003449DE">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2015年1月1日至2015年12</w:t>
            </w:r>
            <w:r w:rsidRPr="00F17515">
              <w:rPr>
                <w:rFonts w:asciiTheme="minorEastAsia" w:eastAsiaTheme="minorEastAsia" w:hAnsiTheme="minorEastAsia" w:hint="eastAsia"/>
                <w:szCs w:val="21"/>
              </w:rPr>
              <w:t>月</w:t>
            </w:r>
            <w:r w:rsidRPr="00F17515">
              <w:rPr>
                <w:rFonts w:asciiTheme="minorEastAsia" w:eastAsiaTheme="minorEastAsia" w:hAnsiTheme="minorEastAsia"/>
                <w:szCs w:val="21"/>
              </w:rPr>
              <w:t>31</w:t>
            </w:r>
            <w:r w:rsidRPr="00F17515">
              <w:rPr>
                <w:rFonts w:asciiTheme="minorEastAsia" w:eastAsiaTheme="minorEastAsia" w:hAnsiTheme="minorEastAsia" w:hint="eastAsia"/>
                <w:szCs w:val="21"/>
              </w:rPr>
              <w:t>日</w:t>
            </w:r>
          </w:p>
        </w:tc>
        <w:tc>
          <w:tcPr>
            <w:tcW w:w="1480"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17.33%</w:t>
            </w:r>
          </w:p>
        </w:tc>
        <w:tc>
          <w:tcPr>
            <w:tcW w:w="1078"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0.50%</w:t>
            </w:r>
          </w:p>
        </w:tc>
        <w:tc>
          <w:tcPr>
            <w:tcW w:w="1253"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4.51%</w:t>
            </w:r>
          </w:p>
        </w:tc>
        <w:tc>
          <w:tcPr>
            <w:tcW w:w="1338"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0.12%</w:t>
            </w:r>
          </w:p>
        </w:tc>
        <w:tc>
          <w:tcPr>
            <w:tcW w:w="1270"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12.82%</w:t>
            </w:r>
          </w:p>
        </w:tc>
        <w:tc>
          <w:tcPr>
            <w:tcW w:w="1304"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0.38%</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E95EE8" w:rsidRPr="00F17515" w:rsidRDefault="00953818" w:rsidP="003449DE">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2016年1月1日至2016年12月31日</w:t>
            </w:r>
          </w:p>
        </w:tc>
        <w:tc>
          <w:tcPr>
            <w:tcW w:w="1480"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1.13%</w:t>
            </w:r>
          </w:p>
        </w:tc>
        <w:tc>
          <w:tcPr>
            <w:tcW w:w="1078"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0.13%</w:t>
            </w:r>
          </w:p>
        </w:tc>
        <w:tc>
          <w:tcPr>
            <w:tcW w:w="1253"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-1.80%</w:t>
            </w:r>
          </w:p>
        </w:tc>
        <w:tc>
          <w:tcPr>
            <w:tcW w:w="1338"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0.13%</w:t>
            </w:r>
          </w:p>
        </w:tc>
        <w:tc>
          <w:tcPr>
            <w:tcW w:w="1270"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2.93%</w:t>
            </w:r>
          </w:p>
        </w:tc>
        <w:tc>
          <w:tcPr>
            <w:tcW w:w="1304"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0.00%</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tcPr>
          <w:p w:rsidR="00811D3D" w:rsidRPr="00F17515" w:rsidRDefault="00811D3D" w:rsidP="00811D3D">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201</w:t>
            </w:r>
            <w:r w:rsidRPr="00F17515">
              <w:rPr>
                <w:rFonts w:asciiTheme="minorEastAsia" w:eastAsiaTheme="minorEastAsia" w:hAnsiTheme="minorEastAsia"/>
                <w:szCs w:val="21"/>
              </w:rPr>
              <w:t>7</w:t>
            </w:r>
            <w:r w:rsidRPr="00F17515">
              <w:rPr>
                <w:rFonts w:asciiTheme="minorEastAsia" w:eastAsiaTheme="minorEastAsia" w:hAnsiTheme="minorEastAsia" w:hint="eastAsia"/>
                <w:szCs w:val="21"/>
              </w:rPr>
              <w:t>年1月1日至201</w:t>
            </w:r>
            <w:r w:rsidRPr="00F17515">
              <w:rPr>
                <w:rFonts w:asciiTheme="minorEastAsia" w:eastAsiaTheme="minorEastAsia" w:hAnsiTheme="minorEastAsia"/>
                <w:szCs w:val="21"/>
              </w:rPr>
              <w:t>7</w:t>
            </w:r>
            <w:r w:rsidRPr="00F17515">
              <w:rPr>
                <w:rFonts w:asciiTheme="minorEastAsia" w:eastAsiaTheme="minorEastAsia" w:hAnsiTheme="minorEastAsia" w:hint="eastAsia"/>
                <w:szCs w:val="21"/>
              </w:rPr>
              <w:t>年</w:t>
            </w:r>
            <w:r w:rsidRPr="00F17515">
              <w:rPr>
                <w:rFonts w:asciiTheme="minorEastAsia" w:eastAsiaTheme="minorEastAsia" w:hAnsiTheme="minorEastAsia"/>
                <w:szCs w:val="21"/>
              </w:rPr>
              <w:t>12</w:t>
            </w:r>
            <w:r w:rsidRPr="00F17515">
              <w:rPr>
                <w:rFonts w:asciiTheme="minorEastAsia" w:eastAsiaTheme="minorEastAsia" w:hAnsiTheme="minorEastAsia" w:hint="eastAsia"/>
                <w:szCs w:val="21"/>
              </w:rPr>
              <w:t>月</w:t>
            </w:r>
            <w:r w:rsidRPr="00F17515">
              <w:rPr>
                <w:rFonts w:asciiTheme="minorEastAsia" w:eastAsiaTheme="minorEastAsia" w:hAnsiTheme="minorEastAsia" w:hint="eastAsia"/>
                <w:szCs w:val="21"/>
              </w:rPr>
              <w:lastRenderedPageBreak/>
              <w:t>3</w:t>
            </w:r>
            <w:r w:rsidRPr="00F17515">
              <w:rPr>
                <w:rFonts w:asciiTheme="minorEastAsia" w:eastAsiaTheme="minorEastAsia" w:hAnsiTheme="minorEastAsia"/>
                <w:szCs w:val="21"/>
              </w:rPr>
              <w:t>1</w:t>
            </w:r>
            <w:r w:rsidRPr="00F17515">
              <w:rPr>
                <w:rFonts w:asciiTheme="minorEastAsia" w:eastAsiaTheme="minorEastAsia" w:hAnsiTheme="minorEastAsia" w:hint="eastAsia"/>
                <w:szCs w:val="21"/>
              </w:rPr>
              <w:t>日</w:t>
            </w:r>
          </w:p>
        </w:tc>
        <w:tc>
          <w:tcPr>
            <w:tcW w:w="1480"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lastRenderedPageBreak/>
              <w:t>6.71%</w:t>
            </w:r>
          </w:p>
        </w:tc>
        <w:tc>
          <w:tcPr>
            <w:tcW w:w="1078"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0.14%</w:t>
            </w:r>
          </w:p>
        </w:tc>
        <w:tc>
          <w:tcPr>
            <w:tcW w:w="1253"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-4.26%</w:t>
            </w:r>
          </w:p>
        </w:tc>
        <w:tc>
          <w:tcPr>
            <w:tcW w:w="1338"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0.09%</w:t>
            </w:r>
          </w:p>
        </w:tc>
        <w:tc>
          <w:tcPr>
            <w:tcW w:w="1270"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10.97%</w:t>
            </w:r>
          </w:p>
        </w:tc>
        <w:tc>
          <w:tcPr>
            <w:tcW w:w="1304"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0.05%</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hideMark/>
          </w:tcPr>
          <w:p w:rsidR="008E7F51" w:rsidRPr="00F17515" w:rsidRDefault="008E7F51" w:rsidP="008E7F51">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2018年1月1日至2018年12月31日</w:t>
            </w:r>
          </w:p>
        </w:tc>
        <w:tc>
          <w:tcPr>
            <w:tcW w:w="1480"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0.33%</w:t>
            </w:r>
          </w:p>
        </w:tc>
        <w:tc>
          <w:tcPr>
            <w:tcW w:w="1078"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0.28%</w:t>
            </w:r>
          </w:p>
        </w:tc>
        <w:tc>
          <w:tcPr>
            <w:tcW w:w="1253"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6.17%</w:t>
            </w:r>
          </w:p>
        </w:tc>
        <w:tc>
          <w:tcPr>
            <w:tcW w:w="1338"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0.11%</w:t>
            </w:r>
          </w:p>
        </w:tc>
        <w:tc>
          <w:tcPr>
            <w:tcW w:w="1270"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-5.84%</w:t>
            </w:r>
          </w:p>
        </w:tc>
        <w:tc>
          <w:tcPr>
            <w:tcW w:w="1304"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0.17%</w:t>
            </w:r>
          </w:p>
        </w:tc>
      </w:tr>
      <w:tr w:rsidR="00F17515" w:rsidRPr="00F17515" w:rsidTr="00811D3D">
        <w:trPr>
          <w:trHeight w:val="300"/>
          <w:jc w:val="center"/>
        </w:trPr>
        <w:tc>
          <w:tcPr>
            <w:tcW w:w="1467" w:type="dxa"/>
            <w:tcBorders>
              <w:top w:val="single" w:sz="4" w:space="0" w:color="auto"/>
              <w:left w:val="single" w:sz="4" w:space="0" w:color="auto"/>
              <w:bottom w:val="single" w:sz="4" w:space="0" w:color="auto"/>
              <w:right w:val="single" w:sz="4" w:space="0" w:color="auto"/>
            </w:tcBorders>
            <w:noWrap/>
            <w:vAlign w:val="center"/>
          </w:tcPr>
          <w:p w:rsidR="00451364" w:rsidRPr="00F17515" w:rsidRDefault="00451364" w:rsidP="008E7F51">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2019年1月1日至2019年12月31日</w:t>
            </w:r>
          </w:p>
        </w:tc>
        <w:tc>
          <w:tcPr>
            <w:tcW w:w="1480" w:type="dxa"/>
            <w:tcBorders>
              <w:top w:val="single" w:sz="4" w:space="0" w:color="auto"/>
              <w:left w:val="nil"/>
              <w:bottom w:val="single" w:sz="4" w:space="0" w:color="auto"/>
              <w:right w:val="single" w:sz="4" w:space="0" w:color="auto"/>
            </w:tcBorders>
            <w:noWrap/>
            <w:vAlign w:val="center"/>
          </w:tcPr>
          <w:p w:rsidR="00451364" w:rsidRPr="00F17515" w:rsidRDefault="00451364" w:rsidP="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15.47%</w:t>
            </w:r>
          </w:p>
        </w:tc>
        <w:tc>
          <w:tcPr>
            <w:tcW w:w="1078"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0.29%</w:t>
            </w:r>
          </w:p>
        </w:tc>
        <w:tc>
          <w:tcPr>
            <w:tcW w:w="1253"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1.10%</w:t>
            </w:r>
          </w:p>
        </w:tc>
        <w:tc>
          <w:tcPr>
            <w:tcW w:w="1338"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0.09%</w:t>
            </w:r>
          </w:p>
        </w:tc>
        <w:tc>
          <w:tcPr>
            <w:tcW w:w="1270"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14.37%</w:t>
            </w:r>
          </w:p>
        </w:tc>
        <w:tc>
          <w:tcPr>
            <w:tcW w:w="1304"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0.20%</w:t>
            </w:r>
          </w:p>
        </w:tc>
      </w:tr>
    </w:tbl>
    <w:p w:rsidR="00FE5BF8" w:rsidRPr="00F17515" w:rsidRDefault="0021144C" w:rsidP="0021144C">
      <w:pPr>
        <w:autoSpaceDE w:val="0"/>
        <w:autoSpaceDN w:val="0"/>
        <w:adjustRightInd w:val="0"/>
        <w:snapToGrid w:val="0"/>
        <w:spacing w:line="360" w:lineRule="auto"/>
        <w:ind w:firstLine="420"/>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2、</w:t>
      </w:r>
      <w:r w:rsidR="00FE5BF8" w:rsidRPr="00F17515">
        <w:rPr>
          <w:rFonts w:asciiTheme="minorEastAsia" w:eastAsiaTheme="minorEastAsia" w:hAnsiTheme="minorEastAsia" w:hint="eastAsia"/>
          <w:kern w:val="0"/>
          <w:szCs w:val="21"/>
        </w:rPr>
        <w:t>B类基金份额净值增长率与同期业绩比较基准收益率比较</w:t>
      </w:r>
    </w:p>
    <w:tbl>
      <w:tblPr>
        <w:tblW w:w="9201" w:type="dxa"/>
        <w:jc w:val="center"/>
        <w:tblCellMar>
          <w:left w:w="0" w:type="dxa"/>
          <w:right w:w="0" w:type="dxa"/>
        </w:tblCellMar>
        <w:tblLook w:val="04A0" w:firstRow="1" w:lastRow="0" w:firstColumn="1" w:lastColumn="0" w:noHBand="0" w:noVBand="1"/>
      </w:tblPr>
      <w:tblGrid>
        <w:gridCol w:w="1547"/>
        <w:gridCol w:w="1480"/>
        <w:gridCol w:w="1078"/>
        <w:gridCol w:w="1253"/>
        <w:gridCol w:w="1250"/>
        <w:gridCol w:w="1270"/>
        <w:gridCol w:w="1323"/>
      </w:tblGrid>
      <w:tr w:rsidR="00F17515" w:rsidRPr="00F17515" w:rsidTr="00811D3D">
        <w:trPr>
          <w:trHeight w:val="705"/>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阶段</w:t>
            </w:r>
          </w:p>
        </w:tc>
        <w:tc>
          <w:tcPr>
            <w:tcW w:w="1480" w:type="dxa"/>
            <w:tcBorders>
              <w:top w:val="single" w:sz="4" w:space="0" w:color="auto"/>
              <w:left w:val="nil"/>
              <w:bottom w:val="single" w:sz="4" w:space="0" w:color="auto"/>
              <w:right w:val="single" w:sz="4" w:space="0" w:color="auto"/>
            </w:tcBorders>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净值增长率（1）</w:t>
            </w:r>
          </w:p>
        </w:tc>
        <w:tc>
          <w:tcPr>
            <w:tcW w:w="1078" w:type="dxa"/>
            <w:tcBorders>
              <w:top w:val="single" w:sz="4" w:space="0" w:color="auto"/>
              <w:left w:val="nil"/>
              <w:bottom w:val="single" w:sz="4" w:space="0" w:color="auto"/>
              <w:right w:val="single" w:sz="4" w:space="0" w:color="auto"/>
            </w:tcBorders>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净值增长率标准差（2）</w:t>
            </w:r>
          </w:p>
        </w:tc>
        <w:tc>
          <w:tcPr>
            <w:tcW w:w="1253" w:type="dxa"/>
            <w:tcBorders>
              <w:top w:val="single" w:sz="4" w:space="0" w:color="auto"/>
              <w:left w:val="nil"/>
              <w:bottom w:val="single" w:sz="4" w:space="0" w:color="auto"/>
              <w:right w:val="single" w:sz="4" w:space="0" w:color="auto"/>
            </w:tcBorders>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业绩比较基准收益率（3）</w:t>
            </w:r>
          </w:p>
        </w:tc>
        <w:tc>
          <w:tcPr>
            <w:tcW w:w="1250" w:type="dxa"/>
            <w:tcBorders>
              <w:top w:val="single" w:sz="4" w:space="0" w:color="auto"/>
              <w:left w:val="nil"/>
              <w:bottom w:val="single" w:sz="4" w:space="0" w:color="auto"/>
              <w:right w:val="single" w:sz="4" w:space="0" w:color="auto"/>
            </w:tcBorders>
            <w:vAlign w:val="center"/>
            <w:hideMark/>
          </w:tcPr>
          <w:p w:rsidR="004F772B" w:rsidRPr="00F17515" w:rsidRDefault="004F772B" w:rsidP="0071223F">
            <w:pPr>
              <w:snapToGrid w:val="0"/>
              <w:spacing w:line="360" w:lineRule="auto"/>
              <w:jc w:val="center"/>
              <w:rPr>
                <w:rFonts w:asciiTheme="minorEastAsia" w:eastAsiaTheme="minorEastAsia" w:hAnsiTheme="minorEastAsia" w:cs="Arial Unicode MS"/>
                <w:szCs w:val="21"/>
              </w:rPr>
            </w:pPr>
            <w:r w:rsidRPr="00F17515">
              <w:rPr>
                <w:rFonts w:asciiTheme="minorEastAsia" w:eastAsiaTheme="minorEastAsia" w:hAnsiTheme="minorEastAsia" w:hint="eastAsia"/>
                <w:szCs w:val="21"/>
              </w:rPr>
              <w:t>业绩比较基准收益率标准差（4）</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(1)－(3)</w:t>
            </w:r>
          </w:p>
        </w:tc>
        <w:tc>
          <w:tcPr>
            <w:tcW w:w="132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center"/>
              <w:rPr>
                <w:rFonts w:asciiTheme="minorEastAsia" w:eastAsiaTheme="minorEastAsia" w:hAnsiTheme="minorEastAsia"/>
                <w:szCs w:val="21"/>
              </w:rPr>
            </w:pPr>
            <w:r w:rsidRPr="00F17515">
              <w:rPr>
                <w:rFonts w:asciiTheme="minorEastAsia" w:eastAsiaTheme="minorEastAsia" w:hAnsiTheme="minorEastAsia" w:hint="eastAsia"/>
                <w:szCs w:val="21"/>
              </w:rPr>
              <w:t>(2)－(4)</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ind w:rightChars="10" w:right="21" w:firstLine="17"/>
              <w:rPr>
                <w:rFonts w:asciiTheme="minorEastAsia" w:eastAsiaTheme="minorEastAsia" w:hAnsiTheme="minorEastAsia"/>
                <w:szCs w:val="21"/>
              </w:rPr>
            </w:pPr>
            <w:r w:rsidRPr="00F17515">
              <w:rPr>
                <w:rFonts w:asciiTheme="minorEastAsia" w:eastAsiaTheme="minorEastAsia" w:hAnsiTheme="minorEastAsia" w:hint="eastAsia"/>
                <w:szCs w:val="21"/>
              </w:rPr>
              <w:t>2010年1月1日至2010年12月31日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11.87%</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0.31%</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-0.87%</w:t>
            </w:r>
          </w:p>
        </w:tc>
        <w:tc>
          <w:tcPr>
            <w:tcW w:w="125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0.10%</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12.74%</w:t>
            </w:r>
          </w:p>
        </w:tc>
        <w:tc>
          <w:tcPr>
            <w:tcW w:w="132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cs="宋体"/>
                <w:kern w:val="0"/>
                <w:szCs w:val="21"/>
              </w:rPr>
            </w:pPr>
            <w:r w:rsidRPr="00F17515">
              <w:rPr>
                <w:rFonts w:asciiTheme="minorEastAsia" w:eastAsiaTheme="minorEastAsia" w:hAnsiTheme="minorEastAsia" w:hint="eastAsia"/>
                <w:szCs w:val="21"/>
              </w:rPr>
              <w:t>0.21%</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ind w:rightChars="10" w:right="21" w:firstLine="17"/>
              <w:rPr>
                <w:rFonts w:asciiTheme="minorEastAsia" w:eastAsiaTheme="minorEastAsia" w:hAnsiTheme="minorEastAsia"/>
                <w:szCs w:val="21"/>
              </w:rPr>
            </w:pPr>
            <w:r w:rsidRPr="00F17515">
              <w:rPr>
                <w:rFonts w:asciiTheme="minorEastAsia" w:eastAsiaTheme="minorEastAsia" w:hAnsiTheme="minorEastAsia" w:hint="eastAsia"/>
                <w:szCs w:val="21"/>
              </w:rPr>
              <w:t>2011年1月1日至2011年12月31日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-1.32%</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0.28%</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2.52%</w:t>
            </w:r>
          </w:p>
        </w:tc>
        <w:tc>
          <w:tcPr>
            <w:tcW w:w="125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0.11%</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-3.84%</w:t>
            </w:r>
          </w:p>
        </w:tc>
        <w:tc>
          <w:tcPr>
            <w:tcW w:w="132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0.17%</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ind w:rightChars="10" w:right="21" w:firstLine="17"/>
              <w:rPr>
                <w:rFonts w:asciiTheme="minorEastAsia" w:eastAsiaTheme="minorEastAsia" w:hAnsiTheme="minorEastAsia"/>
                <w:szCs w:val="21"/>
              </w:rPr>
            </w:pPr>
            <w:r w:rsidRPr="00F17515">
              <w:rPr>
                <w:rFonts w:asciiTheme="minorEastAsia" w:eastAsiaTheme="minorEastAsia" w:hAnsiTheme="minorEastAsia" w:hint="eastAsia"/>
                <w:szCs w:val="21"/>
              </w:rPr>
              <w:t>2012年1月1日至2012年12月31日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9.26%</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0.25%</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-0.67%</w:t>
            </w:r>
          </w:p>
        </w:tc>
        <w:tc>
          <w:tcPr>
            <w:tcW w:w="125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0.07%</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9.93%</w:t>
            </w:r>
          </w:p>
        </w:tc>
        <w:tc>
          <w:tcPr>
            <w:tcW w:w="132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0.18%</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ind w:rightChars="10" w:right="21" w:firstLine="17"/>
              <w:rPr>
                <w:rFonts w:asciiTheme="minorEastAsia" w:eastAsiaTheme="minorEastAsia" w:hAnsiTheme="minorEastAsia"/>
                <w:szCs w:val="21"/>
              </w:rPr>
            </w:pPr>
            <w:r w:rsidRPr="00F17515">
              <w:rPr>
                <w:rFonts w:asciiTheme="minorEastAsia" w:eastAsiaTheme="minorEastAsia" w:hAnsiTheme="minorEastAsia" w:hint="eastAsia"/>
                <w:szCs w:val="21"/>
              </w:rPr>
              <w:t>2013年1月1日至2013年12月31日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1.53%</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0.23%</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-5.28%</w:t>
            </w:r>
          </w:p>
        </w:tc>
        <w:tc>
          <w:tcPr>
            <w:tcW w:w="125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0.11%</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6.81%</w:t>
            </w:r>
          </w:p>
        </w:tc>
        <w:tc>
          <w:tcPr>
            <w:tcW w:w="132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0.12%</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4F772B" w:rsidRPr="00F17515" w:rsidRDefault="004F772B" w:rsidP="0071223F">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2014年1月1日至2014年12月31日</w:t>
            </w:r>
          </w:p>
        </w:tc>
        <w:tc>
          <w:tcPr>
            <w:tcW w:w="148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25.84%</w:t>
            </w:r>
          </w:p>
        </w:tc>
        <w:tc>
          <w:tcPr>
            <w:tcW w:w="1078"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0.33%</w:t>
            </w:r>
          </w:p>
        </w:tc>
        <w:tc>
          <w:tcPr>
            <w:tcW w:w="125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7.48%</w:t>
            </w:r>
          </w:p>
        </w:tc>
        <w:tc>
          <w:tcPr>
            <w:tcW w:w="125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0.15%</w:t>
            </w:r>
          </w:p>
        </w:tc>
        <w:tc>
          <w:tcPr>
            <w:tcW w:w="1270"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18.36%</w:t>
            </w:r>
          </w:p>
        </w:tc>
        <w:tc>
          <w:tcPr>
            <w:tcW w:w="1323" w:type="dxa"/>
            <w:tcBorders>
              <w:top w:val="single" w:sz="4" w:space="0" w:color="auto"/>
              <w:left w:val="nil"/>
              <w:bottom w:val="single" w:sz="4" w:space="0" w:color="auto"/>
              <w:right w:val="single" w:sz="4" w:space="0" w:color="auto"/>
            </w:tcBorders>
            <w:noWrap/>
            <w:vAlign w:val="center"/>
            <w:hideMark/>
          </w:tcPr>
          <w:p w:rsidR="004F772B" w:rsidRPr="00F17515" w:rsidRDefault="004F772B"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hint="eastAsia"/>
                <w:szCs w:val="21"/>
              </w:rPr>
              <w:t>0.18%</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E95EE8" w:rsidRPr="00F17515" w:rsidRDefault="0074639E" w:rsidP="003449DE">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2015年1月1日至2015年12</w:t>
            </w:r>
            <w:r w:rsidRPr="00F17515">
              <w:rPr>
                <w:rFonts w:asciiTheme="minorEastAsia" w:eastAsiaTheme="minorEastAsia" w:hAnsiTheme="minorEastAsia" w:hint="eastAsia"/>
                <w:szCs w:val="21"/>
              </w:rPr>
              <w:t>月</w:t>
            </w:r>
            <w:r w:rsidRPr="00F17515">
              <w:rPr>
                <w:rFonts w:asciiTheme="minorEastAsia" w:eastAsiaTheme="minorEastAsia" w:hAnsiTheme="minorEastAsia"/>
                <w:szCs w:val="21"/>
              </w:rPr>
              <w:t>31</w:t>
            </w:r>
            <w:r w:rsidRPr="00F17515">
              <w:rPr>
                <w:rFonts w:asciiTheme="minorEastAsia" w:eastAsiaTheme="minorEastAsia" w:hAnsiTheme="minorEastAsia" w:hint="eastAsia"/>
                <w:szCs w:val="21"/>
              </w:rPr>
              <w:t>日</w:t>
            </w:r>
          </w:p>
        </w:tc>
        <w:tc>
          <w:tcPr>
            <w:tcW w:w="1480"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16.86%</w:t>
            </w:r>
          </w:p>
        </w:tc>
        <w:tc>
          <w:tcPr>
            <w:tcW w:w="1078"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0.50%</w:t>
            </w:r>
          </w:p>
        </w:tc>
        <w:tc>
          <w:tcPr>
            <w:tcW w:w="1253" w:type="dxa"/>
            <w:tcBorders>
              <w:top w:val="single" w:sz="4" w:space="0" w:color="auto"/>
              <w:left w:val="nil"/>
              <w:bottom w:val="single" w:sz="4" w:space="0" w:color="auto"/>
              <w:right w:val="single" w:sz="4" w:space="0" w:color="auto"/>
            </w:tcBorders>
            <w:noWrap/>
            <w:vAlign w:val="center"/>
            <w:hideMark/>
          </w:tcPr>
          <w:p w:rsidR="00B86DC8"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4.51%</w:t>
            </w:r>
          </w:p>
        </w:tc>
        <w:tc>
          <w:tcPr>
            <w:tcW w:w="1250" w:type="dxa"/>
            <w:tcBorders>
              <w:top w:val="single" w:sz="4" w:space="0" w:color="auto"/>
              <w:left w:val="nil"/>
              <w:bottom w:val="single" w:sz="4" w:space="0" w:color="auto"/>
              <w:right w:val="single" w:sz="4" w:space="0" w:color="auto"/>
            </w:tcBorders>
            <w:noWrap/>
            <w:vAlign w:val="center"/>
            <w:hideMark/>
          </w:tcPr>
          <w:p w:rsidR="00061625"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0.12%</w:t>
            </w:r>
          </w:p>
        </w:tc>
        <w:tc>
          <w:tcPr>
            <w:tcW w:w="1270" w:type="dxa"/>
            <w:tcBorders>
              <w:top w:val="single" w:sz="4" w:space="0" w:color="auto"/>
              <w:left w:val="nil"/>
              <w:bottom w:val="single" w:sz="4" w:space="0" w:color="auto"/>
              <w:right w:val="single" w:sz="4" w:space="0" w:color="auto"/>
            </w:tcBorders>
            <w:noWrap/>
            <w:vAlign w:val="center"/>
            <w:hideMark/>
          </w:tcPr>
          <w:p w:rsidR="00061625"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12.35%</w:t>
            </w:r>
          </w:p>
        </w:tc>
        <w:tc>
          <w:tcPr>
            <w:tcW w:w="1323" w:type="dxa"/>
            <w:tcBorders>
              <w:top w:val="single" w:sz="4" w:space="0" w:color="auto"/>
              <w:left w:val="nil"/>
              <w:bottom w:val="single" w:sz="4" w:space="0" w:color="auto"/>
              <w:right w:val="single" w:sz="4" w:space="0" w:color="auto"/>
            </w:tcBorders>
            <w:noWrap/>
            <w:vAlign w:val="center"/>
            <w:hideMark/>
          </w:tcPr>
          <w:p w:rsidR="00061625" w:rsidRPr="00F17515" w:rsidRDefault="0074639E"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0.38%</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E95EE8" w:rsidRPr="00F17515" w:rsidRDefault="00953818" w:rsidP="003449DE">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201</w:t>
            </w: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年1月1日至201</w:t>
            </w: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年</w:t>
            </w:r>
            <w:r w:rsidRPr="00F17515">
              <w:rPr>
                <w:rFonts w:asciiTheme="minorEastAsia" w:eastAsiaTheme="minorEastAsia" w:hAnsiTheme="minorEastAsia" w:hint="eastAsia"/>
                <w:szCs w:val="21"/>
              </w:rPr>
              <w:t>12月</w:t>
            </w:r>
            <w:r w:rsidRPr="00F17515">
              <w:rPr>
                <w:rFonts w:asciiTheme="minorEastAsia" w:eastAsiaTheme="minorEastAsia" w:hAnsiTheme="minorEastAsia"/>
                <w:szCs w:val="21"/>
              </w:rPr>
              <w:t>3</w:t>
            </w:r>
            <w:r w:rsidRPr="00F17515">
              <w:rPr>
                <w:rFonts w:asciiTheme="minorEastAsia" w:eastAsiaTheme="minorEastAsia" w:hAnsiTheme="minorEastAsia" w:hint="eastAsia"/>
                <w:szCs w:val="21"/>
              </w:rPr>
              <w:t>1日</w:t>
            </w:r>
          </w:p>
        </w:tc>
        <w:tc>
          <w:tcPr>
            <w:tcW w:w="1480"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0.76%</w:t>
            </w:r>
          </w:p>
        </w:tc>
        <w:tc>
          <w:tcPr>
            <w:tcW w:w="1078"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0.13%</w:t>
            </w:r>
          </w:p>
        </w:tc>
        <w:tc>
          <w:tcPr>
            <w:tcW w:w="1253"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-1.80%</w:t>
            </w:r>
          </w:p>
        </w:tc>
        <w:tc>
          <w:tcPr>
            <w:tcW w:w="1250"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0.13%</w:t>
            </w:r>
          </w:p>
        </w:tc>
        <w:tc>
          <w:tcPr>
            <w:tcW w:w="1270"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2.56%</w:t>
            </w:r>
          </w:p>
        </w:tc>
        <w:tc>
          <w:tcPr>
            <w:tcW w:w="1323" w:type="dxa"/>
            <w:tcBorders>
              <w:top w:val="single" w:sz="4" w:space="0" w:color="auto"/>
              <w:left w:val="nil"/>
              <w:bottom w:val="single" w:sz="4" w:space="0" w:color="auto"/>
              <w:right w:val="single" w:sz="4" w:space="0" w:color="auto"/>
            </w:tcBorders>
            <w:noWrap/>
            <w:vAlign w:val="center"/>
            <w:hideMark/>
          </w:tcPr>
          <w:p w:rsidR="00953818" w:rsidRPr="00F17515" w:rsidRDefault="00F15716" w:rsidP="0071223F">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0.00%</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tcPr>
          <w:p w:rsidR="00811D3D" w:rsidRPr="00F17515" w:rsidRDefault="00811D3D" w:rsidP="00811D3D">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hint="eastAsia"/>
                <w:szCs w:val="21"/>
              </w:rPr>
              <w:t>201</w:t>
            </w:r>
            <w:r w:rsidRPr="00F17515">
              <w:rPr>
                <w:rFonts w:asciiTheme="minorEastAsia" w:eastAsiaTheme="minorEastAsia" w:hAnsiTheme="minorEastAsia"/>
                <w:szCs w:val="21"/>
              </w:rPr>
              <w:t>7</w:t>
            </w:r>
            <w:r w:rsidRPr="00F17515">
              <w:rPr>
                <w:rFonts w:asciiTheme="minorEastAsia" w:eastAsiaTheme="minorEastAsia" w:hAnsiTheme="minorEastAsia" w:hint="eastAsia"/>
                <w:szCs w:val="21"/>
              </w:rPr>
              <w:t>年1月1日</w:t>
            </w:r>
            <w:r w:rsidRPr="00F17515">
              <w:rPr>
                <w:rFonts w:asciiTheme="minorEastAsia" w:eastAsiaTheme="minorEastAsia" w:hAnsiTheme="minorEastAsia" w:hint="eastAsia"/>
                <w:szCs w:val="21"/>
              </w:rPr>
              <w:lastRenderedPageBreak/>
              <w:t>至201</w:t>
            </w:r>
            <w:r w:rsidRPr="00F17515">
              <w:rPr>
                <w:rFonts w:asciiTheme="minorEastAsia" w:eastAsiaTheme="minorEastAsia" w:hAnsiTheme="minorEastAsia"/>
                <w:szCs w:val="21"/>
              </w:rPr>
              <w:t>7</w:t>
            </w:r>
            <w:r w:rsidRPr="00F17515">
              <w:rPr>
                <w:rFonts w:asciiTheme="minorEastAsia" w:eastAsiaTheme="minorEastAsia" w:hAnsiTheme="minorEastAsia" w:hint="eastAsia"/>
                <w:szCs w:val="21"/>
              </w:rPr>
              <w:t>年</w:t>
            </w:r>
            <w:r w:rsidRPr="00F17515">
              <w:rPr>
                <w:rFonts w:asciiTheme="minorEastAsia" w:eastAsiaTheme="minorEastAsia" w:hAnsiTheme="minorEastAsia"/>
                <w:szCs w:val="21"/>
              </w:rPr>
              <w:t>12</w:t>
            </w:r>
            <w:r w:rsidRPr="00F17515">
              <w:rPr>
                <w:rFonts w:asciiTheme="minorEastAsia" w:eastAsiaTheme="minorEastAsia" w:hAnsiTheme="minorEastAsia" w:hint="eastAsia"/>
                <w:szCs w:val="21"/>
              </w:rPr>
              <w:t>月3</w:t>
            </w:r>
            <w:r w:rsidRPr="00F17515">
              <w:rPr>
                <w:rFonts w:asciiTheme="minorEastAsia" w:eastAsiaTheme="minorEastAsia" w:hAnsiTheme="minorEastAsia"/>
                <w:szCs w:val="21"/>
              </w:rPr>
              <w:t>1</w:t>
            </w:r>
            <w:r w:rsidRPr="00F17515">
              <w:rPr>
                <w:rFonts w:asciiTheme="minorEastAsia" w:eastAsiaTheme="minorEastAsia" w:hAnsiTheme="minorEastAsia" w:hint="eastAsia"/>
                <w:szCs w:val="21"/>
              </w:rPr>
              <w:t>日</w:t>
            </w:r>
          </w:p>
        </w:tc>
        <w:tc>
          <w:tcPr>
            <w:tcW w:w="1480"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lastRenderedPageBreak/>
              <w:t>6.16%</w:t>
            </w:r>
          </w:p>
        </w:tc>
        <w:tc>
          <w:tcPr>
            <w:tcW w:w="1078"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0.14%</w:t>
            </w:r>
          </w:p>
        </w:tc>
        <w:tc>
          <w:tcPr>
            <w:tcW w:w="1253"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-4.26%</w:t>
            </w:r>
          </w:p>
        </w:tc>
        <w:tc>
          <w:tcPr>
            <w:tcW w:w="1250"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0.09%</w:t>
            </w:r>
          </w:p>
        </w:tc>
        <w:tc>
          <w:tcPr>
            <w:tcW w:w="1270"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10.42%</w:t>
            </w:r>
          </w:p>
        </w:tc>
        <w:tc>
          <w:tcPr>
            <w:tcW w:w="1323" w:type="dxa"/>
            <w:tcBorders>
              <w:top w:val="single" w:sz="4" w:space="0" w:color="auto"/>
              <w:left w:val="nil"/>
              <w:bottom w:val="single" w:sz="4" w:space="0" w:color="auto"/>
              <w:right w:val="single" w:sz="4" w:space="0" w:color="auto"/>
            </w:tcBorders>
            <w:noWrap/>
            <w:vAlign w:val="center"/>
          </w:tcPr>
          <w:p w:rsidR="00811D3D" w:rsidRPr="00F17515" w:rsidRDefault="00811D3D" w:rsidP="00811D3D">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0.05%</w:t>
            </w:r>
          </w:p>
        </w:tc>
      </w:tr>
      <w:tr w:rsidR="00F17515"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hideMark/>
          </w:tcPr>
          <w:p w:rsidR="008E7F51" w:rsidRPr="00F17515" w:rsidRDefault="008E7F51" w:rsidP="008E7F51">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2018年1月1日至2018年</w:t>
            </w: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2月31日</w:t>
            </w:r>
          </w:p>
        </w:tc>
        <w:tc>
          <w:tcPr>
            <w:tcW w:w="1480"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-0.08%</w:t>
            </w:r>
          </w:p>
        </w:tc>
        <w:tc>
          <w:tcPr>
            <w:tcW w:w="1078"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0.28%</w:t>
            </w:r>
          </w:p>
        </w:tc>
        <w:tc>
          <w:tcPr>
            <w:tcW w:w="1253"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6.17%</w:t>
            </w:r>
          </w:p>
        </w:tc>
        <w:tc>
          <w:tcPr>
            <w:tcW w:w="1250"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0.11%</w:t>
            </w:r>
          </w:p>
        </w:tc>
        <w:tc>
          <w:tcPr>
            <w:tcW w:w="1270"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-6.25%</w:t>
            </w:r>
          </w:p>
        </w:tc>
        <w:tc>
          <w:tcPr>
            <w:tcW w:w="1323" w:type="dxa"/>
            <w:tcBorders>
              <w:top w:val="single" w:sz="4" w:space="0" w:color="auto"/>
              <w:left w:val="nil"/>
              <w:bottom w:val="single" w:sz="4" w:space="0" w:color="auto"/>
              <w:right w:val="single" w:sz="4" w:space="0" w:color="auto"/>
            </w:tcBorders>
            <w:noWrap/>
            <w:vAlign w:val="center"/>
          </w:tcPr>
          <w:p w:rsidR="008E7F51" w:rsidRPr="00F17515" w:rsidRDefault="008E7F51" w:rsidP="008E7F51">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0.17%</w:t>
            </w:r>
          </w:p>
        </w:tc>
      </w:tr>
      <w:tr w:rsidR="00451364" w:rsidRPr="00F17515" w:rsidTr="00811D3D">
        <w:trPr>
          <w:trHeight w:val="300"/>
          <w:jc w:val="center"/>
        </w:trPr>
        <w:tc>
          <w:tcPr>
            <w:tcW w:w="1547" w:type="dxa"/>
            <w:tcBorders>
              <w:top w:val="single" w:sz="4" w:space="0" w:color="auto"/>
              <w:left w:val="single" w:sz="4" w:space="0" w:color="auto"/>
              <w:bottom w:val="single" w:sz="4" w:space="0" w:color="auto"/>
              <w:right w:val="single" w:sz="4" w:space="0" w:color="auto"/>
            </w:tcBorders>
            <w:noWrap/>
            <w:vAlign w:val="center"/>
          </w:tcPr>
          <w:p w:rsidR="00451364" w:rsidRPr="00F17515" w:rsidRDefault="00451364" w:rsidP="008E7F51">
            <w:pPr>
              <w:snapToGrid w:val="0"/>
              <w:spacing w:line="360" w:lineRule="auto"/>
              <w:rPr>
                <w:rFonts w:asciiTheme="minorEastAsia" w:eastAsiaTheme="minorEastAsia" w:hAnsiTheme="minorEastAsia"/>
                <w:szCs w:val="21"/>
              </w:rPr>
            </w:pPr>
            <w:r w:rsidRPr="00F17515">
              <w:rPr>
                <w:rFonts w:asciiTheme="minorEastAsia" w:eastAsiaTheme="minorEastAsia" w:hAnsiTheme="minorEastAsia"/>
                <w:szCs w:val="21"/>
              </w:rPr>
              <w:t>2019年1月1日至2019年12月31日</w:t>
            </w:r>
          </w:p>
        </w:tc>
        <w:tc>
          <w:tcPr>
            <w:tcW w:w="1480" w:type="dxa"/>
            <w:tcBorders>
              <w:top w:val="single" w:sz="4" w:space="0" w:color="auto"/>
              <w:left w:val="nil"/>
              <w:bottom w:val="single" w:sz="4" w:space="0" w:color="auto"/>
              <w:right w:val="single" w:sz="4" w:space="0" w:color="auto"/>
            </w:tcBorders>
            <w:noWrap/>
            <w:vAlign w:val="center"/>
          </w:tcPr>
          <w:p w:rsidR="00451364" w:rsidRPr="00F17515" w:rsidRDefault="00451364" w:rsidP="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15.10%</w:t>
            </w:r>
          </w:p>
        </w:tc>
        <w:tc>
          <w:tcPr>
            <w:tcW w:w="1078"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0.29%</w:t>
            </w:r>
          </w:p>
        </w:tc>
        <w:tc>
          <w:tcPr>
            <w:tcW w:w="1253"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1.10%</w:t>
            </w:r>
          </w:p>
        </w:tc>
        <w:tc>
          <w:tcPr>
            <w:tcW w:w="1250"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0.09%</w:t>
            </w:r>
          </w:p>
        </w:tc>
        <w:tc>
          <w:tcPr>
            <w:tcW w:w="1270"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14.00%</w:t>
            </w:r>
          </w:p>
        </w:tc>
        <w:tc>
          <w:tcPr>
            <w:tcW w:w="1323" w:type="dxa"/>
            <w:tcBorders>
              <w:top w:val="single" w:sz="4" w:space="0" w:color="auto"/>
              <w:left w:val="nil"/>
              <w:bottom w:val="single" w:sz="4" w:space="0" w:color="auto"/>
              <w:right w:val="single" w:sz="4" w:space="0" w:color="auto"/>
            </w:tcBorders>
            <w:noWrap/>
            <w:vAlign w:val="center"/>
          </w:tcPr>
          <w:p w:rsidR="00451364" w:rsidRPr="00F17515" w:rsidRDefault="00451364">
            <w:pPr>
              <w:snapToGrid w:val="0"/>
              <w:spacing w:line="360" w:lineRule="auto"/>
              <w:jc w:val="right"/>
              <w:rPr>
                <w:rFonts w:asciiTheme="minorEastAsia" w:eastAsiaTheme="minorEastAsia" w:hAnsiTheme="minorEastAsia"/>
                <w:szCs w:val="21"/>
              </w:rPr>
            </w:pPr>
            <w:r w:rsidRPr="00F17515">
              <w:rPr>
                <w:rFonts w:asciiTheme="minorEastAsia" w:eastAsiaTheme="minorEastAsia" w:hAnsiTheme="minorEastAsia"/>
                <w:szCs w:val="21"/>
              </w:rPr>
              <w:t>0.20%</w:t>
            </w:r>
          </w:p>
        </w:tc>
      </w:tr>
    </w:tbl>
    <w:p w:rsidR="007228CC" w:rsidRPr="00F17515" w:rsidRDefault="007228CC" w:rsidP="0071223F">
      <w:pPr>
        <w:snapToGrid w:val="0"/>
        <w:spacing w:line="360" w:lineRule="auto"/>
        <w:rPr>
          <w:rFonts w:asciiTheme="minorEastAsia" w:eastAsiaTheme="minorEastAsia" w:hAnsiTheme="minorEastAsia"/>
          <w:szCs w:val="21"/>
        </w:rPr>
      </w:pP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288" w:name="_Toc211920165"/>
      <w:bookmarkStart w:id="289" w:name="_Toc211927696"/>
      <w:bookmarkStart w:id="290" w:name="_Toc41556808"/>
      <w:bookmarkEnd w:id="136"/>
      <w:bookmarkEnd w:id="187"/>
      <w:bookmarkEnd w:id="188"/>
      <w:r w:rsidRPr="00F17515">
        <w:rPr>
          <w:rFonts w:asciiTheme="minorEastAsia" w:eastAsiaTheme="minorEastAsia" w:hAnsiTheme="minorEastAsia" w:hint="eastAsia"/>
          <w:b/>
        </w:rPr>
        <w:lastRenderedPageBreak/>
        <w:t>基金的财产</w:t>
      </w:r>
      <w:bookmarkEnd w:id="288"/>
      <w:bookmarkEnd w:id="289"/>
      <w:bookmarkEnd w:id="290"/>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291" w:name="_Toc211920166"/>
      <w:bookmarkStart w:id="292" w:name="_Toc211927697"/>
      <w:bookmarkStart w:id="293" w:name="_Toc41556809"/>
      <w:r w:rsidRPr="00F17515">
        <w:rPr>
          <w:rFonts w:asciiTheme="minorEastAsia" w:eastAsiaTheme="minorEastAsia" w:hAnsiTheme="minorEastAsia" w:hint="eastAsia"/>
        </w:rPr>
        <w:t>（一）基金资产总值</w:t>
      </w:r>
      <w:bookmarkEnd w:id="291"/>
      <w:bookmarkEnd w:id="292"/>
      <w:bookmarkEnd w:id="293"/>
    </w:p>
    <w:p w:rsidR="007228CC" w:rsidRPr="00F17515" w:rsidRDefault="007228CC" w:rsidP="0071223F">
      <w:pPr>
        <w:snapToGrid w:val="0"/>
        <w:spacing w:line="360" w:lineRule="auto"/>
        <w:ind w:firstLineChars="200" w:firstLine="420"/>
        <w:rPr>
          <w:rFonts w:asciiTheme="minorEastAsia" w:eastAsiaTheme="minorEastAsia" w:hAnsiTheme="minorEastAsia"/>
          <w:kern w:val="0"/>
          <w:szCs w:val="21"/>
        </w:rPr>
      </w:pPr>
      <w:bookmarkStart w:id="294" w:name="_Toc79392635"/>
      <w:bookmarkStart w:id="295" w:name="_Toc79556449"/>
      <w:r w:rsidRPr="00F17515">
        <w:rPr>
          <w:rFonts w:asciiTheme="minorEastAsia" w:eastAsiaTheme="minorEastAsia" w:hAnsiTheme="minorEastAsia" w:hint="eastAsia"/>
          <w:kern w:val="0"/>
          <w:szCs w:val="21"/>
        </w:rPr>
        <w:t>基金资产总值是指本基金拥有的各类证券及票据价值、银行存款本息、债券的应计利息、基金应收的申购基金款、缴存的保证金以及其他投资所形成的价值总和。</w:t>
      </w:r>
    </w:p>
    <w:p w:rsidR="007228CC" w:rsidRPr="00F17515" w:rsidRDefault="007228CC" w:rsidP="0071223F">
      <w:pPr>
        <w:snapToGrid w:val="0"/>
        <w:spacing w:line="360" w:lineRule="auto"/>
        <w:ind w:firstLineChars="200" w:firstLine="420"/>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其构成主要有：</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银行存款及其应计利息；</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清算备付金及其应计利息；</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根据有关规定缴存的保证金；</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hint="eastAsia"/>
          <w:szCs w:val="21"/>
        </w:rPr>
        <w:t>应收证券交易清算款；</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007228CC" w:rsidRPr="00F17515">
        <w:rPr>
          <w:rFonts w:asciiTheme="minorEastAsia" w:eastAsiaTheme="minorEastAsia" w:hAnsiTheme="minorEastAsia" w:hint="eastAsia"/>
          <w:szCs w:val="21"/>
        </w:rPr>
        <w:t>应收申购基金款；</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007228CC" w:rsidRPr="00F17515">
        <w:rPr>
          <w:rFonts w:asciiTheme="minorEastAsia" w:eastAsiaTheme="minorEastAsia" w:hAnsiTheme="minorEastAsia" w:hint="eastAsia"/>
          <w:szCs w:val="21"/>
        </w:rPr>
        <w:t>股票投资及其估值调整；</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007228CC" w:rsidRPr="00F17515">
        <w:rPr>
          <w:rFonts w:asciiTheme="minorEastAsia" w:eastAsiaTheme="minorEastAsia" w:hAnsiTheme="minorEastAsia" w:hint="eastAsia"/>
          <w:szCs w:val="21"/>
        </w:rPr>
        <w:t>债券投资及其估值调整和应计利息；</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007228CC" w:rsidRPr="00F17515">
        <w:rPr>
          <w:rFonts w:asciiTheme="minorEastAsia" w:eastAsiaTheme="minorEastAsia" w:hAnsiTheme="minorEastAsia" w:hint="eastAsia"/>
          <w:szCs w:val="21"/>
        </w:rPr>
        <w:t>其他投资及其估值调整；</w:t>
      </w:r>
    </w:p>
    <w:p w:rsidR="007228CC" w:rsidRPr="00F17515" w:rsidRDefault="0021144C" w:rsidP="0021144C">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w:t>
      </w:r>
      <w:r w:rsidR="007228CC" w:rsidRPr="00F17515">
        <w:rPr>
          <w:rFonts w:asciiTheme="minorEastAsia" w:eastAsiaTheme="minorEastAsia" w:hAnsiTheme="minorEastAsia" w:hint="eastAsia"/>
          <w:szCs w:val="21"/>
        </w:rPr>
        <w:t>其他资产等。</w:t>
      </w:r>
      <w:bookmarkEnd w:id="294"/>
      <w:bookmarkEnd w:id="295"/>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296" w:name="_Toc211920167"/>
      <w:bookmarkStart w:id="297" w:name="_Toc211927698"/>
      <w:bookmarkStart w:id="298" w:name="_Toc41556810"/>
      <w:r w:rsidRPr="00F17515">
        <w:rPr>
          <w:rFonts w:asciiTheme="minorEastAsia" w:eastAsiaTheme="minorEastAsia" w:hAnsiTheme="minorEastAsia" w:hint="eastAsia"/>
        </w:rPr>
        <w:t>（二）基金资产净值</w:t>
      </w:r>
      <w:bookmarkEnd w:id="296"/>
      <w:bookmarkEnd w:id="297"/>
      <w:bookmarkEnd w:id="298"/>
    </w:p>
    <w:p w:rsidR="007228CC" w:rsidRPr="00F17515" w:rsidRDefault="007228CC" w:rsidP="0071223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基金资产净值是指基金资产总值减去基金负债后的价值。</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299" w:name="_Toc211920168"/>
      <w:bookmarkStart w:id="300" w:name="_Toc211927699"/>
      <w:bookmarkStart w:id="301" w:name="_Toc41556811"/>
      <w:r w:rsidRPr="00F17515">
        <w:rPr>
          <w:rFonts w:asciiTheme="minorEastAsia" w:eastAsiaTheme="minorEastAsia" w:hAnsiTheme="minorEastAsia" w:hint="eastAsia"/>
        </w:rPr>
        <w:t>（三）基金财产的账户</w:t>
      </w:r>
      <w:bookmarkEnd w:id="299"/>
      <w:bookmarkEnd w:id="300"/>
      <w:bookmarkEnd w:id="301"/>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02" w:name="_Toc211920169"/>
      <w:bookmarkStart w:id="303" w:name="_Toc211927700"/>
      <w:bookmarkStart w:id="304" w:name="_Toc41556812"/>
      <w:r w:rsidRPr="00F17515">
        <w:rPr>
          <w:rFonts w:asciiTheme="minorEastAsia" w:eastAsiaTheme="minorEastAsia" w:hAnsiTheme="minorEastAsia" w:hint="eastAsia"/>
        </w:rPr>
        <w:t>（四）基金财产的处分</w:t>
      </w:r>
      <w:bookmarkEnd w:id="302"/>
      <w:bookmarkEnd w:id="303"/>
      <w:bookmarkEnd w:id="304"/>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基金财产独立于基金管理人、基金托管人和</w:t>
      </w:r>
      <w:r w:rsidR="00236E5B" w:rsidRPr="00F17515">
        <w:rPr>
          <w:rFonts w:asciiTheme="minorEastAsia" w:eastAsiaTheme="minorEastAsia" w:hAnsiTheme="minorEastAsia" w:hint="eastAsia"/>
          <w:szCs w:val="21"/>
        </w:rPr>
        <w:t>销售</w:t>
      </w:r>
      <w:r w:rsidRPr="00F17515">
        <w:rPr>
          <w:rFonts w:asciiTheme="minorEastAsia" w:eastAsiaTheme="minorEastAsia" w:hAnsiTheme="minorEastAsia" w:hint="eastAsia"/>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sidRPr="00F17515">
        <w:rPr>
          <w:rFonts w:asciiTheme="minorEastAsia" w:eastAsiaTheme="minorEastAsia" w:hAnsiTheme="minorEastAsia"/>
          <w:szCs w:val="21"/>
        </w:rPr>
        <w:t>基金管理人、基金托管人以其自有资产承担法律责任，其债权人不得对基金</w:t>
      </w:r>
      <w:r w:rsidRPr="00F17515">
        <w:rPr>
          <w:rFonts w:asciiTheme="minorEastAsia" w:eastAsiaTheme="minorEastAsia" w:hAnsiTheme="minorEastAsia" w:hint="eastAsia"/>
          <w:szCs w:val="21"/>
        </w:rPr>
        <w:t>财产</w:t>
      </w:r>
      <w:r w:rsidRPr="00F17515">
        <w:rPr>
          <w:rFonts w:asciiTheme="minorEastAsia" w:eastAsiaTheme="minorEastAsia" w:hAnsiTheme="minorEastAsia"/>
          <w:szCs w:val="21"/>
        </w:rPr>
        <w:t>行使请求冻结、扣押和其他权利。</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基金管理人、基金托管人因依法解散、被依法撤销或者被依法宣告破产等原因进行清算的，基金财产不属于其清算财产。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除依据《基金法》、基金合同及其他有关规定处分外，基金</w:t>
      </w:r>
      <w:r w:rsidRPr="00F17515">
        <w:rPr>
          <w:rFonts w:asciiTheme="minorEastAsia" w:eastAsiaTheme="minorEastAsia" w:hAnsiTheme="minorEastAsia" w:hint="eastAsia"/>
          <w:szCs w:val="21"/>
        </w:rPr>
        <w:t>财产</w:t>
      </w:r>
      <w:r w:rsidRPr="00F17515">
        <w:rPr>
          <w:rFonts w:asciiTheme="minorEastAsia" w:eastAsiaTheme="minorEastAsia" w:hAnsiTheme="minorEastAsia"/>
          <w:szCs w:val="21"/>
        </w:rPr>
        <w:t>不得被处分。</w:t>
      </w:r>
      <w:r w:rsidRPr="00F17515">
        <w:rPr>
          <w:rFonts w:asciiTheme="minorEastAsia" w:eastAsiaTheme="minorEastAsia" w:hAnsiTheme="minorEastAsia" w:hint="eastAsia"/>
          <w:szCs w:val="21"/>
        </w:rPr>
        <w:t>非因基金财产本身承担的债务，不得对基金财产强制执行。</w:t>
      </w: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305" w:name="_Toc66706733"/>
      <w:bookmarkStart w:id="306" w:name="_Toc86584624"/>
      <w:bookmarkStart w:id="307" w:name="_Toc211920171"/>
      <w:bookmarkStart w:id="308" w:name="_Toc211927702"/>
      <w:bookmarkStart w:id="309" w:name="_Toc84149655"/>
      <w:bookmarkStart w:id="310" w:name="_Toc41556813"/>
      <w:r w:rsidRPr="00F17515">
        <w:rPr>
          <w:rFonts w:asciiTheme="minorEastAsia" w:eastAsiaTheme="minorEastAsia" w:hAnsiTheme="minorEastAsia" w:hint="eastAsia"/>
          <w:b/>
        </w:rPr>
        <w:lastRenderedPageBreak/>
        <w:t>基金资产估值</w:t>
      </w:r>
      <w:bookmarkEnd w:id="310"/>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11" w:name="_Toc41556814"/>
      <w:r w:rsidRPr="00F17515">
        <w:rPr>
          <w:rFonts w:asciiTheme="minorEastAsia" w:eastAsiaTheme="minorEastAsia" w:hAnsiTheme="minorEastAsia" w:hint="eastAsia"/>
        </w:rPr>
        <w:t>（一）估值目的</w:t>
      </w:r>
      <w:bookmarkEnd w:id="305"/>
      <w:bookmarkEnd w:id="306"/>
      <w:bookmarkEnd w:id="307"/>
      <w:bookmarkEnd w:id="308"/>
      <w:bookmarkEnd w:id="311"/>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基金估值的目的是为了准确、真实地反映基金相关金融资产和金融负债的公允价值。开放式基金份额申购、赎回价格应按基金估值后确定的基金份额净值计算。</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12" w:name="_Toc66706734"/>
      <w:bookmarkStart w:id="313" w:name="_Toc86584625"/>
      <w:bookmarkStart w:id="314" w:name="_Toc211920172"/>
      <w:bookmarkStart w:id="315" w:name="_Toc211927703"/>
      <w:bookmarkStart w:id="316" w:name="_Toc41556815"/>
      <w:r w:rsidRPr="00F17515">
        <w:rPr>
          <w:rFonts w:asciiTheme="minorEastAsia" w:eastAsiaTheme="minorEastAsia" w:hAnsiTheme="minorEastAsia" w:hint="eastAsia"/>
        </w:rPr>
        <w:t>（二）估值日</w:t>
      </w:r>
      <w:bookmarkEnd w:id="312"/>
      <w:bookmarkEnd w:id="313"/>
      <w:bookmarkEnd w:id="314"/>
      <w:bookmarkEnd w:id="315"/>
      <w:bookmarkEnd w:id="316"/>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本基金的估值日为本基金相关的证券交易场所的正常营业日以及国家法律法规规定需要对外披露基金净值的非营业日。</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17" w:name="_Toc66706735"/>
      <w:bookmarkStart w:id="318" w:name="_Toc86584626"/>
      <w:bookmarkStart w:id="319" w:name="_Toc211920173"/>
      <w:bookmarkStart w:id="320" w:name="_Toc211927704"/>
      <w:bookmarkStart w:id="321" w:name="_Toc41556816"/>
      <w:r w:rsidRPr="00F17515">
        <w:rPr>
          <w:rFonts w:asciiTheme="minorEastAsia" w:eastAsiaTheme="minorEastAsia" w:hAnsiTheme="minorEastAsia" w:hint="eastAsia"/>
        </w:rPr>
        <w:t>（三）估值对象</w:t>
      </w:r>
      <w:bookmarkEnd w:id="317"/>
      <w:bookmarkEnd w:id="318"/>
      <w:bookmarkEnd w:id="319"/>
      <w:bookmarkEnd w:id="320"/>
      <w:bookmarkEnd w:id="321"/>
    </w:p>
    <w:p w:rsidR="007228CC" w:rsidRPr="00F17515" w:rsidRDefault="007228CC" w:rsidP="0071223F">
      <w:pPr>
        <w:snapToGrid w:val="0"/>
        <w:spacing w:line="360" w:lineRule="auto"/>
        <w:ind w:firstLineChars="250" w:firstLine="525"/>
        <w:rPr>
          <w:rFonts w:asciiTheme="minorEastAsia" w:eastAsiaTheme="minorEastAsia" w:hAnsiTheme="minorEastAsia"/>
          <w:szCs w:val="21"/>
        </w:rPr>
      </w:pPr>
      <w:r w:rsidRPr="00F17515">
        <w:rPr>
          <w:rFonts w:asciiTheme="minorEastAsia" w:eastAsiaTheme="minorEastAsia" w:hAnsiTheme="minorEastAsia"/>
          <w:szCs w:val="21"/>
        </w:rPr>
        <w:t>基金所拥有的股票、</w:t>
      </w:r>
      <w:r w:rsidRPr="00F17515">
        <w:rPr>
          <w:rFonts w:asciiTheme="minorEastAsia" w:eastAsiaTheme="minorEastAsia" w:hAnsiTheme="minorEastAsia" w:hint="eastAsia"/>
          <w:szCs w:val="21"/>
        </w:rPr>
        <w:t>权证、</w:t>
      </w:r>
      <w:r w:rsidRPr="00F17515">
        <w:rPr>
          <w:rFonts w:asciiTheme="minorEastAsia" w:eastAsiaTheme="minorEastAsia" w:hAnsiTheme="minorEastAsia"/>
          <w:szCs w:val="21"/>
        </w:rPr>
        <w:t>债券和银行存款本息、应收款项、其它投资等资产。</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22" w:name="_Toc180325992"/>
      <w:bookmarkStart w:id="323" w:name="_Toc180326116"/>
      <w:bookmarkStart w:id="324" w:name="_Toc180326236"/>
      <w:bookmarkStart w:id="325" w:name="_Toc180326356"/>
      <w:bookmarkStart w:id="326" w:name="_Toc180326476"/>
      <w:bookmarkStart w:id="327" w:name="_Toc180326595"/>
      <w:bookmarkStart w:id="328" w:name="_Toc180485194"/>
      <w:bookmarkStart w:id="329" w:name="_Toc66706736"/>
      <w:bookmarkStart w:id="330" w:name="_Toc86584627"/>
      <w:bookmarkStart w:id="331" w:name="_Toc211920174"/>
      <w:bookmarkStart w:id="332" w:name="_Toc211927705"/>
      <w:bookmarkStart w:id="333" w:name="_Toc41556817"/>
      <w:bookmarkEnd w:id="322"/>
      <w:bookmarkEnd w:id="323"/>
      <w:bookmarkEnd w:id="324"/>
      <w:bookmarkEnd w:id="325"/>
      <w:bookmarkEnd w:id="326"/>
      <w:bookmarkEnd w:id="327"/>
      <w:bookmarkEnd w:id="328"/>
      <w:r w:rsidRPr="00F17515">
        <w:rPr>
          <w:rFonts w:asciiTheme="minorEastAsia" w:eastAsiaTheme="minorEastAsia" w:hAnsiTheme="minorEastAsia" w:hint="eastAsia"/>
        </w:rPr>
        <w:t>（四）估值方法</w:t>
      </w:r>
      <w:bookmarkEnd w:id="329"/>
      <w:bookmarkEnd w:id="330"/>
      <w:bookmarkEnd w:id="331"/>
      <w:bookmarkEnd w:id="332"/>
      <w:bookmarkEnd w:id="333"/>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股票估值方法：</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上市流通股票按估值日其所在证券交易所的收盘价估值；估值日无交易的，以最近交易日的收盘价估值</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未上市股票的估值：</w:t>
      </w:r>
    </w:p>
    <w:p w:rsidR="007228CC" w:rsidRPr="00F17515" w:rsidRDefault="007228CC" w:rsidP="001037EA">
      <w:pPr>
        <w:widowControl/>
        <w:adjustRightInd w:val="0"/>
        <w:snapToGrid w:val="0"/>
        <w:spacing w:line="360" w:lineRule="auto"/>
        <w:ind w:firstLine="420"/>
        <w:jc w:val="left"/>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cs="宋体"/>
          <w:kern w:val="0"/>
          <w:szCs w:val="21"/>
        </w:rPr>
        <w:t>首次发行</w:t>
      </w:r>
      <w:r w:rsidRPr="00F17515">
        <w:rPr>
          <w:rFonts w:asciiTheme="minorEastAsia" w:eastAsiaTheme="minorEastAsia" w:hAnsiTheme="minorEastAsia" w:cs="宋体" w:hint="eastAsia"/>
          <w:kern w:val="0"/>
          <w:szCs w:val="21"/>
        </w:rPr>
        <w:t>未上市</w:t>
      </w:r>
      <w:r w:rsidRPr="00F17515">
        <w:rPr>
          <w:rFonts w:asciiTheme="minorEastAsia" w:eastAsiaTheme="minorEastAsia" w:hAnsiTheme="minorEastAsia" w:cs="宋体"/>
          <w:kern w:val="0"/>
          <w:szCs w:val="21"/>
        </w:rPr>
        <w:t>的股票</w:t>
      </w:r>
      <w:r w:rsidRPr="00F17515">
        <w:rPr>
          <w:rFonts w:asciiTheme="minorEastAsia" w:eastAsiaTheme="minorEastAsia" w:hAnsiTheme="minorEastAsia"/>
          <w:szCs w:val="21"/>
        </w:rPr>
        <w:t>，按成本</w:t>
      </w:r>
      <w:r w:rsidRPr="00F17515">
        <w:rPr>
          <w:rFonts w:asciiTheme="minorEastAsia" w:eastAsiaTheme="minorEastAsia" w:hAnsiTheme="minorEastAsia" w:hint="eastAsia"/>
          <w:szCs w:val="21"/>
        </w:rPr>
        <w:t>计量；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送股、转增股、配股和</w:t>
      </w:r>
      <w:r w:rsidRPr="00F17515">
        <w:rPr>
          <w:rFonts w:asciiTheme="minorEastAsia" w:eastAsiaTheme="minorEastAsia" w:hAnsiTheme="minorEastAsia" w:hint="eastAsia"/>
          <w:szCs w:val="21"/>
        </w:rPr>
        <w:t>公开增发新股等</w:t>
      </w:r>
      <w:r w:rsidRPr="00F17515">
        <w:rPr>
          <w:rFonts w:asciiTheme="minorEastAsia" w:eastAsiaTheme="minorEastAsia" w:hAnsiTheme="minorEastAsia"/>
          <w:szCs w:val="21"/>
        </w:rPr>
        <w:t>发行</w:t>
      </w:r>
      <w:r w:rsidRPr="00F17515">
        <w:rPr>
          <w:rFonts w:asciiTheme="minorEastAsia" w:eastAsiaTheme="minorEastAsia" w:hAnsiTheme="minorEastAsia" w:hint="eastAsia"/>
          <w:szCs w:val="21"/>
        </w:rPr>
        <w:t>未上市</w:t>
      </w:r>
      <w:r w:rsidRPr="00F17515">
        <w:rPr>
          <w:rFonts w:asciiTheme="minorEastAsia" w:eastAsiaTheme="minorEastAsia" w:hAnsiTheme="minorEastAsia"/>
          <w:szCs w:val="21"/>
        </w:rPr>
        <w:t>的股票，按估值日在</w:t>
      </w:r>
      <w:r w:rsidRPr="00F17515">
        <w:rPr>
          <w:rFonts w:asciiTheme="minorEastAsia" w:eastAsiaTheme="minorEastAsia" w:hAnsiTheme="minorEastAsia" w:hint="eastAsia"/>
          <w:szCs w:val="21"/>
        </w:rPr>
        <w:t>证券</w:t>
      </w:r>
      <w:r w:rsidRPr="00F17515">
        <w:rPr>
          <w:rFonts w:asciiTheme="minorEastAsia" w:eastAsiaTheme="minorEastAsia" w:hAnsiTheme="minorEastAsia"/>
          <w:szCs w:val="21"/>
        </w:rPr>
        <w:t>交易所挂牌的同一股票的</w:t>
      </w:r>
      <w:r w:rsidRPr="00F17515">
        <w:rPr>
          <w:rFonts w:asciiTheme="minorEastAsia" w:eastAsiaTheme="minorEastAsia" w:hAnsiTheme="minorEastAsia" w:hint="eastAsia"/>
          <w:szCs w:val="21"/>
        </w:rPr>
        <w:t>市</w:t>
      </w:r>
      <w:r w:rsidRPr="00F17515">
        <w:rPr>
          <w:rFonts w:asciiTheme="minorEastAsia" w:eastAsiaTheme="minorEastAsia" w:hAnsiTheme="minorEastAsia"/>
          <w:szCs w:val="21"/>
        </w:rPr>
        <w:t>价估值</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3）首次公开发行有明确锁定期的股票，同一股票在交易所上市后，按交易所上市的同一股票的市价估值；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4）非公开发行有明确锁定期的流通受限股票，按监管机构或行业协会有关规定确定公允价值；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在任何情况下，基金管理人如采用本项第</w:t>
      </w:r>
      <w:r w:rsidRPr="00F17515">
        <w:rPr>
          <w:rFonts w:asciiTheme="minorEastAsia" w:eastAsiaTheme="minorEastAsia" w:hAnsiTheme="minorEastAsia" w:hint="eastAsia"/>
          <w:szCs w:val="21"/>
        </w:rPr>
        <w:t>(1)－(2)</w:t>
      </w:r>
      <w:r w:rsidRPr="00F17515">
        <w:rPr>
          <w:rFonts w:asciiTheme="minorEastAsia" w:eastAsiaTheme="minorEastAsia" w:hAnsiTheme="minorEastAsia"/>
          <w:szCs w:val="21"/>
        </w:rPr>
        <w:t>小项规定的方法对基金资产进行估值，均应被认为采用了适当的估值方法。但是，如果基金管理人认为按本项第</w:t>
      </w:r>
      <w:r w:rsidRPr="00F17515">
        <w:rPr>
          <w:rFonts w:asciiTheme="minorEastAsia" w:eastAsiaTheme="minorEastAsia" w:hAnsiTheme="minorEastAsia" w:hint="eastAsia"/>
          <w:szCs w:val="21"/>
        </w:rPr>
        <w:t>(1)－(2)</w:t>
      </w:r>
      <w:r w:rsidRPr="00F17515">
        <w:rPr>
          <w:rFonts w:asciiTheme="minorEastAsia" w:eastAsiaTheme="minorEastAsia" w:hAnsiTheme="minorEastAsia"/>
          <w:szCs w:val="21"/>
        </w:rPr>
        <w:t>小项规定的方法对基金资产进行估值不能客观反映其公允价值的，基金管理人可根据具体情况，并与基金托管人商定后，按最能反映公允价值的价格估值；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国家有最新规定的，按其规定进行估值。</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szCs w:val="21"/>
        </w:rPr>
        <w:t>债券估值</w:t>
      </w:r>
      <w:r w:rsidR="007228CC" w:rsidRPr="00F17515">
        <w:rPr>
          <w:rFonts w:asciiTheme="minorEastAsia" w:eastAsiaTheme="minorEastAsia" w:hAnsiTheme="minorEastAsia" w:hint="eastAsia"/>
          <w:szCs w:val="21"/>
        </w:rPr>
        <w:t>方</w:t>
      </w:r>
      <w:r w:rsidR="007228CC" w:rsidRPr="00F17515">
        <w:rPr>
          <w:rFonts w:asciiTheme="minorEastAsia" w:eastAsiaTheme="minorEastAsia" w:hAnsiTheme="minorEastAsia"/>
          <w:szCs w:val="21"/>
        </w:rPr>
        <w:t>法：</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证券交易所市场实行净价交易的债券按估值日收盘价估值，估值日没有交易的，按最近交易日的收盘价估值；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证券交易所市场未实行净价交易的债券按估值日收盘价减去债券收盘价中所含的应收利息(自债券计息起始日或上一起息日至估值当日的利息)得到的净价进行估值，估值日没有交易的，</w:t>
      </w:r>
      <w:r w:rsidRPr="00F17515">
        <w:rPr>
          <w:rFonts w:asciiTheme="minorEastAsia" w:eastAsiaTheme="minorEastAsia" w:hAnsiTheme="minorEastAsia" w:hint="eastAsia"/>
          <w:szCs w:val="21"/>
        </w:rPr>
        <w:t>以</w:t>
      </w:r>
      <w:r w:rsidRPr="00F17515">
        <w:rPr>
          <w:rFonts w:asciiTheme="minorEastAsia" w:eastAsiaTheme="minorEastAsia" w:hAnsiTheme="minorEastAsia"/>
          <w:szCs w:val="21"/>
        </w:rPr>
        <w:t>最近交易日</w:t>
      </w:r>
      <w:r w:rsidRPr="00F17515">
        <w:rPr>
          <w:rFonts w:asciiTheme="minorEastAsia" w:eastAsiaTheme="minorEastAsia" w:hAnsiTheme="minorEastAsia" w:hint="eastAsia"/>
          <w:szCs w:val="21"/>
        </w:rPr>
        <w:t>的</w:t>
      </w:r>
      <w:r w:rsidRPr="00F17515">
        <w:rPr>
          <w:rFonts w:asciiTheme="minorEastAsia" w:eastAsiaTheme="minorEastAsia" w:hAnsiTheme="minorEastAsia"/>
          <w:szCs w:val="21"/>
        </w:rPr>
        <w:t>收盘净价估值；</w:t>
      </w:r>
    </w:p>
    <w:p w:rsidR="007228CC" w:rsidRPr="00F17515" w:rsidRDefault="007228CC" w:rsidP="001037EA">
      <w:pPr>
        <w:widowControl/>
        <w:adjustRightInd w:val="0"/>
        <w:snapToGrid w:val="0"/>
        <w:spacing w:line="360" w:lineRule="auto"/>
        <w:ind w:firstLine="420"/>
        <w:jc w:val="left"/>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(3)</w:t>
      </w:r>
      <w:r w:rsidRPr="00F17515">
        <w:rPr>
          <w:rFonts w:asciiTheme="minorEastAsia" w:eastAsiaTheme="minorEastAsia" w:hAnsiTheme="minorEastAsia" w:cs="宋体" w:hint="eastAsia"/>
          <w:kern w:val="0"/>
          <w:szCs w:val="21"/>
        </w:rPr>
        <w:t>发行未上市债券采用估值技术确定公允价值</w:t>
      </w:r>
      <w:r w:rsidRPr="00F17515">
        <w:rPr>
          <w:rFonts w:asciiTheme="minorEastAsia" w:eastAsiaTheme="minorEastAsia" w:hAnsiTheme="minorEastAsia" w:hint="eastAsia"/>
          <w:szCs w:val="21"/>
        </w:rPr>
        <w:t>，在估值技术难以可靠计量公允价值的情况下，按成本进行后续计量</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(4)在全国银行间债券市场交易的债券、资产支持证券等固定收益品种，采用估值技术确定公允价值；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(5)同一债券同时在两个或两个以上市场交易的，按债券所处的市场分别估值；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在任何情况下，基金管理人如采用本项第</w:t>
      </w:r>
      <w:r w:rsidRPr="00F17515">
        <w:rPr>
          <w:rFonts w:asciiTheme="minorEastAsia" w:eastAsiaTheme="minorEastAsia" w:hAnsiTheme="minorEastAsia" w:hint="eastAsia"/>
          <w:szCs w:val="21"/>
        </w:rPr>
        <w:t>(1)－(5)</w:t>
      </w:r>
      <w:r w:rsidRPr="00F17515">
        <w:rPr>
          <w:rFonts w:asciiTheme="minorEastAsia" w:eastAsiaTheme="minorEastAsia" w:hAnsiTheme="minorEastAsia"/>
          <w:szCs w:val="21"/>
        </w:rPr>
        <w:t>小项规定的方法对基金资产进行估值，均应被认为采用了适当的估值方法。但是，如果基金管理人认为按本项第</w:t>
      </w:r>
      <w:r w:rsidRPr="00F17515">
        <w:rPr>
          <w:rFonts w:asciiTheme="minorEastAsia" w:eastAsiaTheme="minorEastAsia" w:hAnsiTheme="minorEastAsia" w:hint="eastAsia"/>
          <w:szCs w:val="21"/>
        </w:rPr>
        <w:t>(1)－(5)</w:t>
      </w:r>
      <w:r w:rsidRPr="00F17515">
        <w:rPr>
          <w:rFonts w:asciiTheme="minorEastAsia" w:eastAsiaTheme="minorEastAsia" w:hAnsiTheme="minorEastAsia"/>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国家有最新规定的，按其规定进行估值。</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权证估值方法：</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(1)基金持有的权证，从持有确认日起到卖出日或行权日止，上市交易的权证按估值日在证券交易所挂牌的该权证的收盘价估值；估值日没有交易的，按最近交易日的收盘价估值；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未上市交易的权证采用估值技术确定公允价值；在估值技术难以可靠计量公允价值的情况下，按成本计量；因持有股票而享有的配股权，按公允价值进行估值。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在任何情况下，基金管理人如采用本项第</w:t>
      </w: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小项规定的方法对基金资产进行估值，均应被认为采用了适当的估值方法。但是，如果基金管理人认为按本项第</w:t>
      </w: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小项规定的方法对基金资产进行估值不能客观反映其公允价值的，基金管理人可根据具体情况，并与基金托管人商定后，按最能反映公允价值的价格估值；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国家有最新规定的，按其规定进行估值。</w:t>
      </w:r>
    </w:p>
    <w:p w:rsidR="007228CC" w:rsidRPr="00F17515" w:rsidRDefault="007228CC" w:rsidP="0071223F">
      <w:pPr>
        <w:snapToGrid w:val="0"/>
        <w:spacing w:line="360" w:lineRule="auto"/>
        <w:ind w:firstLineChars="200" w:firstLine="420"/>
        <w:rPr>
          <w:rStyle w:val="read"/>
          <w:rFonts w:asciiTheme="minorEastAsia" w:eastAsiaTheme="minorEastAsia" w:hAnsiTheme="minorEastAsia" w:cs="Arial"/>
          <w:szCs w:val="21"/>
        </w:rPr>
      </w:pPr>
      <w:r w:rsidRPr="00F17515">
        <w:rPr>
          <w:rFonts w:asciiTheme="minorEastAsia" w:eastAsiaTheme="minorEastAsia" w:hAnsiTheme="minorEastAsia" w:hint="eastAsia"/>
          <w:szCs w:val="21"/>
        </w:rPr>
        <w:t>4</w:t>
      </w:r>
      <w:r w:rsidR="0021144C" w:rsidRPr="00F17515">
        <w:rPr>
          <w:rFonts w:asciiTheme="minorEastAsia" w:eastAsiaTheme="minorEastAsia" w:hAnsiTheme="minorEastAsia" w:hint="eastAsia"/>
          <w:szCs w:val="21"/>
        </w:rPr>
        <w:t>、</w:t>
      </w:r>
      <w:r w:rsidRPr="00F17515">
        <w:rPr>
          <w:rStyle w:val="read"/>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65E69" w:rsidRPr="00F17515" w:rsidRDefault="007228CC" w:rsidP="0071223F">
      <w:pPr>
        <w:tabs>
          <w:tab w:val="left" w:pos="1080"/>
        </w:tabs>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F17515">
        <w:rPr>
          <w:rStyle w:val="read"/>
          <w:rFonts w:asciiTheme="minorEastAsia" w:eastAsiaTheme="minorEastAsia" w:hAnsiTheme="minorEastAsia" w:cs="Arial" w:hint="eastAsia"/>
          <w:szCs w:val="21"/>
        </w:rPr>
        <w:t>5</w:t>
      </w:r>
      <w:r w:rsidR="0021144C" w:rsidRPr="00F17515">
        <w:rPr>
          <w:rStyle w:val="read"/>
          <w:rFonts w:asciiTheme="minorEastAsia" w:eastAsiaTheme="minorEastAsia" w:hAnsiTheme="minorEastAsia" w:cs="Arial" w:hint="eastAsia"/>
          <w:szCs w:val="21"/>
        </w:rPr>
        <w:t>、</w:t>
      </w:r>
      <w:r w:rsidRPr="00F17515">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34" w:name="_Toc44229106"/>
      <w:bookmarkStart w:id="335" w:name="_Toc44229201"/>
      <w:bookmarkStart w:id="336" w:name="_Toc44229107"/>
      <w:bookmarkStart w:id="337" w:name="_Toc44229202"/>
      <w:bookmarkStart w:id="338" w:name="_Toc44229108"/>
      <w:bookmarkStart w:id="339" w:name="_Toc44229203"/>
      <w:bookmarkStart w:id="340" w:name="_Toc44229109"/>
      <w:bookmarkStart w:id="341" w:name="_Toc44229204"/>
      <w:bookmarkStart w:id="342" w:name="_Toc44229110"/>
      <w:bookmarkStart w:id="343" w:name="_Toc44229205"/>
      <w:bookmarkStart w:id="344" w:name="_Toc44229111"/>
      <w:bookmarkStart w:id="345" w:name="_Toc44229206"/>
      <w:bookmarkStart w:id="346" w:name="_Toc44229112"/>
      <w:bookmarkStart w:id="347" w:name="_Toc44229207"/>
      <w:bookmarkStart w:id="348" w:name="_Toc44229113"/>
      <w:bookmarkStart w:id="349" w:name="_Toc44229208"/>
      <w:bookmarkStart w:id="350" w:name="_Toc66706737"/>
      <w:bookmarkStart w:id="351" w:name="_Toc86584628"/>
      <w:bookmarkStart w:id="352" w:name="_Toc211920175"/>
      <w:bookmarkStart w:id="353" w:name="_Toc211927706"/>
      <w:bookmarkStart w:id="354" w:name="_Toc41556818"/>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F17515">
        <w:rPr>
          <w:rFonts w:asciiTheme="minorEastAsia" w:eastAsiaTheme="minorEastAsia" w:hAnsiTheme="minorEastAsia" w:hint="eastAsia"/>
        </w:rPr>
        <w:t>（五）估值程序</w:t>
      </w:r>
      <w:bookmarkEnd w:id="350"/>
      <w:bookmarkEnd w:id="351"/>
      <w:bookmarkEnd w:id="352"/>
      <w:bookmarkEnd w:id="353"/>
      <w:bookmarkEnd w:id="354"/>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1</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基金份额净值是按照每个</w:t>
      </w:r>
      <w:r w:rsidRPr="00F17515">
        <w:rPr>
          <w:rFonts w:asciiTheme="minorEastAsia" w:eastAsiaTheme="minorEastAsia" w:hAnsiTheme="minorEastAsia" w:hint="eastAsia"/>
          <w:szCs w:val="21"/>
        </w:rPr>
        <w:t>工作</w:t>
      </w:r>
      <w:r w:rsidRPr="00F17515">
        <w:rPr>
          <w:rFonts w:asciiTheme="minorEastAsia" w:eastAsiaTheme="minorEastAsia" w:hAnsiTheme="minorEastAsia"/>
          <w:szCs w:val="21"/>
        </w:rPr>
        <w:t>日闭市后，基金资产净值除以当日基金份额的余额数量计算，精确到0.001元，小数点后第</w:t>
      </w:r>
      <w:r w:rsidRPr="00F17515">
        <w:rPr>
          <w:rFonts w:asciiTheme="minorEastAsia" w:eastAsiaTheme="minorEastAsia" w:hAnsiTheme="minorEastAsia" w:hint="eastAsia"/>
          <w:szCs w:val="21"/>
        </w:rPr>
        <w:t>四</w:t>
      </w:r>
      <w:r w:rsidRPr="00F17515">
        <w:rPr>
          <w:rFonts w:asciiTheme="minorEastAsia" w:eastAsiaTheme="minorEastAsia" w:hAnsiTheme="minorEastAsia"/>
          <w:szCs w:val="21"/>
        </w:rPr>
        <w:t>位四舍五入。国家另有规定的，从其规定。</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szCs w:val="21"/>
        </w:rPr>
        <w:t>每个</w:t>
      </w:r>
      <w:r w:rsidRPr="00F17515">
        <w:rPr>
          <w:rFonts w:asciiTheme="minorEastAsia" w:eastAsiaTheme="minorEastAsia" w:hAnsiTheme="minorEastAsia" w:hint="eastAsia"/>
          <w:szCs w:val="21"/>
        </w:rPr>
        <w:t>工作日</w:t>
      </w:r>
      <w:r w:rsidRPr="00F17515">
        <w:rPr>
          <w:rFonts w:asciiTheme="minorEastAsia" w:eastAsiaTheme="minorEastAsia" w:hAnsiTheme="minorEastAsia"/>
          <w:szCs w:val="21"/>
        </w:rPr>
        <w:t>计算基金资产净值及基金份额净值，并按规定公告。</w:t>
      </w:r>
    </w:p>
    <w:p w:rsidR="00665E69" w:rsidRPr="00F17515" w:rsidRDefault="007228CC" w:rsidP="0071223F">
      <w:pPr>
        <w:tabs>
          <w:tab w:val="left" w:pos="1080"/>
        </w:tabs>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F17515">
        <w:rPr>
          <w:rFonts w:asciiTheme="minorEastAsia" w:eastAsiaTheme="minorEastAsia" w:hAnsiTheme="minorEastAsia"/>
          <w:szCs w:val="21"/>
        </w:rPr>
        <w:t>2</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基金管理人应每个工作</w:t>
      </w:r>
      <w:r w:rsidRPr="00F17515">
        <w:rPr>
          <w:rFonts w:asciiTheme="minorEastAsia" w:eastAsiaTheme="minorEastAsia" w:hAnsiTheme="minorEastAsia"/>
          <w:szCs w:val="21"/>
        </w:rPr>
        <w:t>日</w:t>
      </w:r>
      <w:r w:rsidRPr="00F17515">
        <w:rPr>
          <w:rFonts w:asciiTheme="minorEastAsia" w:eastAsiaTheme="minorEastAsia" w:hAnsiTheme="minorEastAsia" w:hint="eastAsia"/>
          <w:szCs w:val="21"/>
        </w:rPr>
        <w:t>对基金资产估值。</w:t>
      </w:r>
      <w:r w:rsidRPr="00F17515">
        <w:rPr>
          <w:rFonts w:asciiTheme="minorEastAsia" w:eastAsiaTheme="minorEastAsia" w:hAnsiTheme="minorEastAsia"/>
          <w:szCs w:val="21"/>
        </w:rPr>
        <w:t>基金管理人每个</w:t>
      </w:r>
      <w:r w:rsidRPr="00F17515">
        <w:rPr>
          <w:rFonts w:asciiTheme="minorEastAsia" w:eastAsiaTheme="minorEastAsia" w:hAnsiTheme="minorEastAsia" w:hint="eastAsia"/>
          <w:szCs w:val="21"/>
        </w:rPr>
        <w:t>工作</w:t>
      </w:r>
      <w:r w:rsidRPr="00F17515">
        <w:rPr>
          <w:rFonts w:asciiTheme="minorEastAsia" w:eastAsiaTheme="minorEastAsia" w:hAnsiTheme="minorEastAsia"/>
          <w:szCs w:val="21"/>
        </w:rPr>
        <w:t>日对基金资产估值后，将基金份额净值结果发送基金托管人，经基金托管人复核无误后，由基金管理人对外公</w:t>
      </w:r>
      <w:r w:rsidRPr="00F17515">
        <w:rPr>
          <w:rFonts w:asciiTheme="minorEastAsia" w:eastAsiaTheme="minorEastAsia" w:hAnsiTheme="minorEastAsia"/>
          <w:szCs w:val="21"/>
        </w:rPr>
        <w:lastRenderedPageBreak/>
        <w:t>布。</w:t>
      </w:r>
      <w:r w:rsidRPr="00F17515">
        <w:rPr>
          <w:rFonts w:asciiTheme="minorEastAsia" w:eastAsiaTheme="minorEastAsia" w:hAnsiTheme="minorEastAsia" w:hint="eastAsia"/>
          <w:szCs w:val="21"/>
        </w:rPr>
        <w:t>月末、年中和年末估值复核与基金会计账目的核对同时进行。</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55" w:name="_Toc66706738"/>
      <w:bookmarkStart w:id="356" w:name="_Toc86584629"/>
      <w:bookmarkStart w:id="357" w:name="_Toc211920176"/>
      <w:bookmarkStart w:id="358" w:name="_Toc211927707"/>
      <w:bookmarkStart w:id="359" w:name="_Toc41556819"/>
      <w:r w:rsidRPr="00F17515">
        <w:rPr>
          <w:rFonts w:asciiTheme="minorEastAsia" w:eastAsiaTheme="minorEastAsia" w:hAnsiTheme="minorEastAsia" w:hint="eastAsia"/>
        </w:rPr>
        <w:t>（六）暂停公告净值的情形</w:t>
      </w:r>
      <w:bookmarkEnd w:id="355"/>
      <w:bookmarkEnd w:id="356"/>
      <w:bookmarkEnd w:id="357"/>
      <w:bookmarkEnd w:id="358"/>
      <w:bookmarkEnd w:id="359"/>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bookmarkStart w:id="360" w:name="_Toc183353792"/>
      <w:bookmarkStart w:id="361" w:name="_Toc183400150"/>
      <w:bookmarkStart w:id="362" w:name="_Toc531317973"/>
      <w:bookmarkStart w:id="363" w:name="_Toc531323738"/>
      <w:bookmarkStart w:id="364" w:name="_Toc211920177"/>
      <w:r w:rsidRPr="00F17515">
        <w:rPr>
          <w:rFonts w:asciiTheme="minorEastAsia" w:eastAsiaTheme="minorEastAsia" w:hAnsiTheme="minorEastAsia" w:cs="Arial" w:hint="eastAsia"/>
          <w:szCs w:val="21"/>
        </w:rPr>
        <w:t>（1）基金投资所涉及的证券交易所遇法定节假日或因其他原因暂停营业时；</w:t>
      </w:r>
      <w:bookmarkEnd w:id="360"/>
      <w:bookmarkEnd w:id="361"/>
      <w:bookmarkEnd w:id="362"/>
      <w:bookmarkEnd w:id="363"/>
      <w:bookmarkEnd w:id="364"/>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bookmarkStart w:id="365" w:name="_Toc183353793"/>
      <w:bookmarkStart w:id="366" w:name="_Toc183400151"/>
      <w:bookmarkStart w:id="367" w:name="_Toc531317974"/>
      <w:bookmarkStart w:id="368" w:name="_Toc531323739"/>
      <w:bookmarkStart w:id="369" w:name="_Toc211920178"/>
      <w:r w:rsidRPr="00F17515">
        <w:rPr>
          <w:rFonts w:asciiTheme="minorEastAsia" w:eastAsiaTheme="minorEastAsia" w:hAnsiTheme="minorEastAsia" w:cs="Arial" w:hint="eastAsia"/>
          <w:szCs w:val="21"/>
        </w:rPr>
        <w:t>（2）因不可抗力或其他情形致使基金管理人、基金托管人无法准确评估基金资产价值时；</w:t>
      </w:r>
      <w:bookmarkEnd w:id="365"/>
      <w:bookmarkEnd w:id="366"/>
      <w:bookmarkEnd w:id="367"/>
      <w:bookmarkEnd w:id="368"/>
      <w:bookmarkEnd w:id="369"/>
    </w:p>
    <w:p w:rsidR="00C609DD" w:rsidRPr="00F17515" w:rsidRDefault="007228CC" w:rsidP="0071223F">
      <w:pPr>
        <w:tabs>
          <w:tab w:val="left" w:pos="1080"/>
        </w:tabs>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F17515">
        <w:rPr>
          <w:rFonts w:asciiTheme="minorEastAsia" w:eastAsiaTheme="minorEastAsia" w:hAnsiTheme="minorEastAsia" w:cs="Arial" w:hint="eastAsia"/>
          <w:szCs w:val="21"/>
        </w:rPr>
        <w:t>（3）</w:t>
      </w:r>
      <w:r w:rsidR="00C609DD" w:rsidRPr="00F17515">
        <w:rPr>
          <w:rFonts w:asciiTheme="minorEastAsia" w:eastAsiaTheme="minorEastAsia" w:hAnsiTheme="minorEastAsia" w:cs="Arial" w:hint="eastAsia"/>
          <w:szCs w:val="21"/>
        </w:rPr>
        <w:t>当前一估值日基金资产净值50%以上的资产出现无可参考的活跃市场价格且采用估值技术仍导致公允价值存在重大不确定性时，经与基金托管人协商一致的；</w:t>
      </w:r>
    </w:p>
    <w:p w:rsidR="007228CC" w:rsidRPr="00F17515" w:rsidRDefault="00C609DD" w:rsidP="0071223F">
      <w:pPr>
        <w:tabs>
          <w:tab w:val="left" w:pos="1080"/>
        </w:tabs>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F17515">
        <w:rPr>
          <w:rFonts w:asciiTheme="minorEastAsia" w:eastAsiaTheme="minorEastAsia" w:hAnsiTheme="minorEastAsia" w:cs="Arial" w:hint="eastAsia"/>
          <w:szCs w:val="21"/>
        </w:rPr>
        <w:t>（4</w:t>
      </w:r>
      <w:r w:rsidRPr="00F17515">
        <w:rPr>
          <w:rFonts w:asciiTheme="minorEastAsia" w:eastAsiaTheme="minorEastAsia" w:hAnsiTheme="minorEastAsia" w:cs="Arial"/>
          <w:szCs w:val="21"/>
        </w:rPr>
        <w:t>）</w:t>
      </w:r>
      <w:r w:rsidR="007228CC" w:rsidRPr="00F17515">
        <w:rPr>
          <w:rFonts w:asciiTheme="minorEastAsia" w:eastAsiaTheme="minorEastAsia" w:hAnsiTheme="minorEastAsia" w:cs="Arial" w:hint="eastAsia"/>
          <w:szCs w:val="21"/>
        </w:rPr>
        <w:t>中国证监会和基金合同认定的其他情形。</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70" w:name="_Toc66706739"/>
      <w:bookmarkStart w:id="371" w:name="_Toc86584630"/>
      <w:bookmarkStart w:id="372" w:name="_Toc211920179"/>
      <w:bookmarkStart w:id="373" w:name="_Toc211927708"/>
      <w:bookmarkStart w:id="374" w:name="_Toc41556820"/>
      <w:r w:rsidRPr="00F17515">
        <w:rPr>
          <w:rFonts w:asciiTheme="minorEastAsia" w:eastAsiaTheme="minorEastAsia" w:hAnsiTheme="minorEastAsia" w:hint="eastAsia"/>
        </w:rPr>
        <w:t>（七）估值错误处理</w:t>
      </w:r>
      <w:bookmarkEnd w:id="370"/>
      <w:bookmarkEnd w:id="371"/>
      <w:bookmarkEnd w:id="372"/>
      <w:bookmarkEnd w:id="373"/>
      <w:bookmarkEnd w:id="374"/>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bookmarkStart w:id="375" w:name="_Toc97031289"/>
      <w:bookmarkStart w:id="376" w:name="_Toc97107249"/>
      <w:bookmarkEnd w:id="309"/>
      <w:bookmarkEnd w:id="375"/>
      <w:bookmarkEnd w:id="376"/>
      <w:r w:rsidRPr="00F17515">
        <w:rPr>
          <w:rFonts w:asciiTheme="minorEastAsia" w:eastAsiaTheme="minorEastAsia" w:hAnsiTheme="minorEastAsia"/>
          <w:szCs w:val="21"/>
        </w:rPr>
        <w:t>基金管理人和基金托管人将采取必要、适当、合理的措施确保基金资产估值的准确性、及时性。</w:t>
      </w:r>
      <w:r w:rsidRPr="00F17515">
        <w:rPr>
          <w:rFonts w:asciiTheme="minorEastAsia" w:eastAsiaTheme="minorEastAsia" w:hAnsiTheme="minorEastAsia" w:cs="Arial" w:hint="eastAsia"/>
          <w:szCs w:val="21"/>
        </w:rPr>
        <w:t>当基金份额净值小数点后3位以内(含第3位)发生差错时，视为基金份额净值错误。</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本基金合同的当事人应按照以下约定处理：</w:t>
      </w:r>
    </w:p>
    <w:p w:rsidR="007228CC" w:rsidRPr="00F17515" w:rsidRDefault="0021144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w:t>
      </w:r>
      <w:r w:rsidR="007228CC" w:rsidRPr="00F17515">
        <w:rPr>
          <w:rFonts w:asciiTheme="minorEastAsia" w:eastAsiaTheme="minorEastAsia" w:hAnsiTheme="minorEastAsia" w:cs="Arial" w:hint="eastAsia"/>
          <w:szCs w:val="21"/>
        </w:rPr>
        <w:t>差错类型</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本基金运作过程中，如果由于基金管理人或基金托管人、或注册登记机构、或</w:t>
      </w:r>
      <w:r w:rsidR="00236E5B" w:rsidRPr="00F17515">
        <w:rPr>
          <w:rFonts w:asciiTheme="minorEastAsia" w:eastAsiaTheme="minorEastAsia" w:hAnsiTheme="minorEastAsia" w:cs="Arial" w:hint="eastAsia"/>
          <w:szCs w:val="21"/>
        </w:rPr>
        <w:t>销售</w:t>
      </w:r>
      <w:r w:rsidRPr="00F17515">
        <w:rPr>
          <w:rFonts w:asciiTheme="minorEastAsia" w:eastAsiaTheme="minorEastAsia" w:hAnsiTheme="minorEastAsia" w:cs="Arial" w:hint="eastAsia"/>
          <w:szCs w:val="21"/>
        </w:rPr>
        <w:t>机构、或投资人自身的过错造成差错，导致其他当事人遭受损失的，过错的责任人应当对由于该差错遭受损失的当事人(“受损方”)按下述“差错处理原则”给予赔偿，承担赔偿责任。</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228CC" w:rsidRPr="00F17515" w:rsidRDefault="0021144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w:t>
      </w:r>
      <w:r w:rsidR="007228CC" w:rsidRPr="00F17515">
        <w:rPr>
          <w:rFonts w:asciiTheme="minorEastAsia" w:eastAsiaTheme="minorEastAsia" w:hAnsiTheme="minorEastAsia" w:cs="Arial" w:hint="eastAsia"/>
          <w:szCs w:val="21"/>
        </w:rPr>
        <w:t>差错处理原则</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(2)差错的责任方对可能导致有关当事人的直接损失负责，不对间接损失负责，并且仅对差错的有关直接当事人负责，不对第三方负责。</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w:t>
      </w:r>
      <w:r w:rsidRPr="00F17515">
        <w:rPr>
          <w:rFonts w:asciiTheme="minorEastAsia" w:eastAsiaTheme="minorEastAsia" w:hAnsiTheme="minorEastAsia" w:cs="Arial" w:hint="eastAsia"/>
          <w:szCs w:val="21"/>
        </w:rPr>
        <w:lastRenderedPageBreak/>
        <w:t>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(4)差错调整采用尽量恢复至假设未发生差错的正确情形的方式。</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(7)按法律法规规定的其他原则处理差错。</w:t>
      </w:r>
    </w:p>
    <w:p w:rsidR="007228CC" w:rsidRPr="00F17515" w:rsidRDefault="0021144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w:t>
      </w:r>
      <w:r w:rsidR="007228CC" w:rsidRPr="00F17515">
        <w:rPr>
          <w:rFonts w:asciiTheme="minorEastAsia" w:eastAsiaTheme="minorEastAsia" w:hAnsiTheme="minorEastAsia" w:cs="Arial" w:hint="eastAsia"/>
          <w:szCs w:val="21"/>
        </w:rPr>
        <w:t>差错处理程序</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差错被发现后，有关的当事人应当及时进行处理，处理的程序如下：</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(1)查明差错发生的原因，列明所有的当事人，并根据差错发生的原因确定差错的责任方；</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(2)根据差错处理原则或当事人协商的方法对因差错造成的损失进行评估；</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(3)根据差错处理原则或当事人协商的方法由差错的责任方进行更正和赔偿损失；</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(4)根据差错处理的方法，需要修改基金注册登记机构交易数据的，由基金注册登记机构进行更正，并就差错的更正向有关当事人进行确认。</w:t>
      </w:r>
    </w:p>
    <w:p w:rsidR="007228CC" w:rsidRPr="00F17515" w:rsidRDefault="0021144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w:t>
      </w:r>
      <w:r w:rsidR="007228CC" w:rsidRPr="00F17515">
        <w:rPr>
          <w:rFonts w:asciiTheme="minorEastAsia" w:eastAsiaTheme="minorEastAsia" w:hAnsiTheme="minorEastAsia" w:cs="Arial" w:hint="eastAsia"/>
          <w:szCs w:val="21"/>
        </w:rPr>
        <w:t>基金份额净值差错处理的原则和方法如下：</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(1)基金份额净值计算出现错误时，基金管理人应当立即予以纠正，通报基金托管人，并采取合理的措施防止损失进一步扩大。</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(2)错误偏差达到基金份额净值的0.25%时，基金管理人应当通报基金托管人并报中国证监会备案；错误偏差达到基金份额净值的</w:t>
      </w:r>
      <w:r w:rsidRPr="00F17515">
        <w:rPr>
          <w:rFonts w:asciiTheme="minorEastAsia" w:eastAsiaTheme="minorEastAsia" w:hAnsiTheme="minorEastAsia" w:hint="eastAsia"/>
          <w:szCs w:val="21"/>
        </w:rPr>
        <w:t>0.5%时，基金管理人应当公告</w:t>
      </w:r>
      <w:r w:rsidRPr="00F17515">
        <w:rPr>
          <w:rFonts w:asciiTheme="minorEastAsia" w:eastAsiaTheme="minorEastAsia" w:hAnsiTheme="minorEastAsia" w:cs="Arial"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(3)因基金份额净值计算错误，给基金或基金份额持有人造成损失的，应由基金管理人先行赔付，基金管理人按差错情形，有权向其他当事人追偿。</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(4)基金管理人和基金托管人由于各自技术系统设置而产生的净值计算尾差，以基金管理人计算结果为准。</w:t>
      </w:r>
    </w:p>
    <w:p w:rsidR="007228CC" w:rsidRPr="00F17515" w:rsidRDefault="007228CC" w:rsidP="0071223F">
      <w:pPr>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(5)前述内容如法律法规或监管机关另有规定的，从其规定处理。</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77" w:name="_Toc211920180"/>
      <w:bookmarkStart w:id="378" w:name="_Toc211927709"/>
      <w:bookmarkStart w:id="379" w:name="_Toc41556821"/>
      <w:r w:rsidRPr="00F17515">
        <w:rPr>
          <w:rFonts w:asciiTheme="minorEastAsia" w:eastAsiaTheme="minorEastAsia" w:hAnsiTheme="minorEastAsia" w:hint="eastAsia"/>
        </w:rPr>
        <w:t>（八）</w:t>
      </w:r>
      <w:r w:rsidRPr="00F17515">
        <w:rPr>
          <w:rFonts w:asciiTheme="minorEastAsia" w:eastAsiaTheme="minorEastAsia" w:hAnsiTheme="minorEastAsia"/>
        </w:rPr>
        <w:t>基金净值的确认</w:t>
      </w:r>
      <w:bookmarkEnd w:id="377"/>
      <w:bookmarkEnd w:id="378"/>
      <w:bookmarkEnd w:id="379"/>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用于基金信息披露的基金资产净值和基金份额净值由基金管理人负责计算，基金托管人</w:t>
      </w:r>
      <w:r w:rsidRPr="00F17515">
        <w:rPr>
          <w:rFonts w:asciiTheme="minorEastAsia" w:eastAsiaTheme="minorEastAsia" w:hAnsiTheme="minorEastAsia" w:hint="eastAsia"/>
          <w:szCs w:val="21"/>
        </w:rPr>
        <w:lastRenderedPageBreak/>
        <w:t>负责进行复核。基金管理人应于每个开放日交易结束后计算当日的基金资产净值并发送给基金托管人。基金托管人对净值计算结果复核确认后发送给基金管理人，由基金管理人对基金净值予以公布。</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80" w:name="_Toc211920181"/>
      <w:bookmarkStart w:id="381" w:name="_Toc211927710"/>
      <w:bookmarkStart w:id="382" w:name="_Toc41556822"/>
      <w:r w:rsidRPr="00F17515">
        <w:rPr>
          <w:rFonts w:asciiTheme="minorEastAsia" w:eastAsiaTheme="minorEastAsia" w:hAnsiTheme="minorEastAsia" w:hint="eastAsia"/>
        </w:rPr>
        <w:t>（九）特殊情形的处理</w:t>
      </w:r>
      <w:bookmarkEnd w:id="380"/>
      <w:bookmarkEnd w:id="381"/>
      <w:bookmarkEnd w:id="382"/>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基金管理人或基金托管人按股票估值方法的第</w:t>
      </w:r>
      <w:r w:rsidR="007228CC" w:rsidRPr="00F17515">
        <w:rPr>
          <w:rFonts w:asciiTheme="minorEastAsia" w:eastAsiaTheme="minorEastAsia" w:hAnsiTheme="minorEastAsia" w:hint="eastAsia"/>
          <w:szCs w:val="21"/>
        </w:rPr>
        <w:t>(3)</w:t>
      </w:r>
      <w:r w:rsidR="007228CC" w:rsidRPr="00F17515">
        <w:rPr>
          <w:rFonts w:asciiTheme="minorEastAsia" w:eastAsiaTheme="minorEastAsia" w:hAnsiTheme="minorEastAsia"/>
          <w:szCs w:val="21"/>
        </w:rPr>
        <w:t>项</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债券估值方法的第</w:t>
      </w:r>
      <w:r w:rsidR="007228CC" w:rsidRPr="00F17515">
        <w:rPr>
          <w:rFonts w:asciiTheme="minorEastAsia" w:eastAsiaTheme="minorEastAsia" w:hAnsiTheme="minorEastAsia" w:hint="eastAsia"/>
          <w:szCs w:val="21"/>
        </w:rPr>
        <w:t>(6)</w:t>
      </w:r>
      <w:r w:rsidR="007228CC" w:rsidRPr="00F17515">
        <w:rPr>
          <w:rFonts w:asciiTheme="minorEastAsia" w:eastAsiaTheme="minorEastAsia" w:hAnsiTheme="minorEastAsia"/>
          <w:szCs w:val="21"/>
        </w:rPr>
        <w:t>项</w:t>
      </w:r>
      <w:r w:rsidR="007228CC" w:rsidRPr="00F17515">
        <w:rPr>
          <w:rFonts w:asciiTheme="minorEastAsia" w:eastAsiaTheme="minorEastAsia" w:hAnsiTheme="minorEastAsia" w:hint="eastAsia"/>
          <w:szCs w:val="21"/>
        </w:rPr>
        <w:t>或权证估值方法的第(2)项</w:t>
      </w:r>
      <w:r w:rsidR="007228CC" w:rsidRPr="00F17515">
        <w:rPr>
          <w:rFonts w:asciiTheme="minorEastAsia" w:eastAsiaTheme="minorEastAsia" w:hAnsiTheme="minorEastAsia"/>
          <w:szCs w:val="21"/>
        </w:rPr>
        <w:t>进行估值时，所造成的误差不作为</w:t>
      </w:r>
      <w:r w:rsidR="007228CC" w:rsidRPr="00F17515">
        <w:rPr>
          <w:rFonts w:asciiTheme="minorEastAsia" w:eastAsiaTheme="minorEastAsia" w:hAnsiTheme="minorEastAsia" w:hint="eastAsia"/>
          <w:szCs w:val="21"/>
        </w:rPr>
        <w:t>基金资产估值</w:t>
      </w:r>
      <w:r w:rsidR="007228CC" w:rsidRPr="00F17515">
        <w:rPr>
          <w:rFonts w:asciiTheme="minorEastAsia" w:eastAsiaTheme="minorEastAsia" w:hAnsiTheme="minorEastAsia"/>
          <w:szCs w:val="21"/>
        </w:rPr>
        <w:t>错误处理。</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szCs w:val="21"/>
        </w:rPr>
        <w:t>由于不可抗力原因，或由于证券交易所及登记结算公司发送的数据错误，</w:t>
      </w:r>
      <w:r w:rsidR="007228CC" w:rsidRPr="00F17515">
        <w:rPr>
          <w:rFonts w:asciiTheme="minorEastAsia" w:eastAsiaTheme="minorEastAsia" w:hAnsiTheme="minorEastAsia" w:hint="eastAsia"/>
          <w:szCs w:val="21"/>
        </w:rPr>
        <w:t>或国家会计政策变更、市场规则变更等，</w:t>
      </w:r>
      <w:r w:rsidR="007228CC" w:rsidRPr="00F17515">
        <w:rPr>
          <w:rFonts w:asciiTheme="minorEastAsia" w:eastAsiaTheme="minorEastAsia" w:hAnsiTheme="minorEastAsia"/>
          <w:szCs w:val="21"/>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7228CC" w:rsidRPr="00F17515" w:rsidRDefault="007228CC" w:rsidP="0071223F">
      <w:pPr>
        <w:snapToGrid w:val="0"/>
        <w:spacing w:line="360" w:lineRule="auto"/>
        <w:rPr>
          <w:rFonts w:asciiTheme="minorEastAsia" w:eastAsiaTheme="minorEastAsia" w:hAnsiTheme="minorEastAsia"/>
        </w:rPr>
      </w:pPr>
    </w:p>
    <w:p w:rsidR="007228CC" w:rsidRPr="00F17515" w:rsidRDefault="007228CC" w:rsidP="0071223F">
      <w:pPr>
        <w:snapToGrid w:val="0"/>
        <w:spacing w:line="360" w:lineRule="auto"/>
        <w:rPr>
          <w:rFonts w:asciiTheme="minorEastAsia" w:eastAsiaTheme="minorEastAsia" w:hAnsiTheme="minorEastAsia"/>
        </w:rPr>
      </w:pPr>
    </w:p>
    <w:p w:rsidR="007228CC" w:rsidRPr="00F17515" w:rsidRDefault="007228CC" w:rsidP="00941EC8">
      <w:pPr>
        <w:pStyle w:val="1"/>
        <w:numPr>
          <w:ilvl w:val="0"/>
          <w:numId w:val="17"/>
        </w:numPr>
        <w:tabs>
          <w:tab w:val="clear" w:pos="2798"/>
          <w:tab w:val="num" w:pos="0"/>
        </w:tabs>
        <w:snapToGrid w:val="0"/>
        <w:spacing w:beforeLines="0" w:afterLines="0" w:line="360" w:lineRule="auto"/>
        <w:ind w:left="0" w:firstLineChars="0" w:firstLine="640"/>
        <w:rPr>
          <w:rFonts w:asciiTheme="minorEastAsia" w:eastAsiaTheme="minorEastAsia" w:hAnsiTheme="minorEastAsia"/>
          <w:b/>
        </w:rPr>
        <w:sectPr w:rsidR="007228CC" w:rsidRPr="00F17515" w:rsidSect="00DE4B5E">
          <w:pgSz w:w="11906" w:h="16838" w:code="9"/>
          <w:pgMar w:top="1440" w:right="1800" w:bottom="1440" w:left="1800" w:header="851" w:footer="992" w:gutter="0"/>
          <w:cols w:space="425"/>
          <w:docGrid w:type="lines" w:linePitch="312"/>
        </w:sectPr>
      </w:pP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383" w:name="_Toc41556823"/>
      <w:r w:rsidRPr="00F17515">
        <w:rPr>
          <w:rFonts w:asciiTheme="minorEastAsia" w:eastAsiaTheme="minorEastAsia" w:hAnsiTheme="minorEastAsia" w:hint="eastAsia"/>
          <w:b/>
        </w:rPr>
        <w:lastRenderedPageBreak/>
        <w:t>基金的收益与分配</w:t>
      </w:r>
      <w:bookmarkEnd w:id="383"/>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 w:val="0"/>
        </w:rPr>
      </w:pPr>
      <w:bookmarkStart w:id="384" w:name="_Toc84149664"/>
      <w:bookmarkStart w:id="385" w:name="_Toc86584639"/>
      <w:bookmarkStart w:id="386" w:name="_Toc211920183"/>
      <w:bookmarkStart w:id="387" w:name="_Toc211927712"/>
      <w:bookmarkStart w:id="388" w:name="_Toc41556824"/>
      <w:r w:rsidRPr="00F17515">
        <w:rPr>
          <w:rFonts w:asciiTheme="minorEastAsia" w:eastAsiaTheme="minorEastAsia" w:hAnsiTheme="minorEastAsia" w:hint="eastAsia"/>
        </w:rPr>
        <w:t>（一）收益的构成</w:t>
      </w:r>
      <w:bookmarkEnd w:id="384"/>
      <w:bookmarkEnd w:id="385"/>
      <w:bookmarkEnd w:id="386"/>
      <w:bookmarkEnd w:id="387"/>
      <w:bookmarkEnd w:id="388"/>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1</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买卖证券差价；</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2</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基金投资所得红利、股息、债券利息；</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3</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银行存款利息；</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4</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其他收入</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因运用基金财产带来的成本或费用的节约应计入收益。</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szCs w:val="21"/>
        </w:rPr>
        <w:t>基金净收益为基金收益扣除按国家有关规定</w:t>
      </w:r>
      <w:r w:rsidRPr="00F17515">
        <w:rPr>
          <w:rFonts w:asciiTheme="minorEastAsia" w:eastAsiaTheme="minorEastAsia" w:hAnsiTheme="minorEastAsia" w:hint="eastAsia"/>
          <w:szCs w:val="21"/>
        </w:rPr>
        <w:t>应</w:t>
      </w:r>
      <w:r w:rsidRPr="00F17515">
        <w:rPr>
          <w:rFonts w:asciiTheme="minorEastAsia" w:eastAsiaTheme="minorEastAsia" w:hAnsiTheme="minorEastAsia"/>
          <w:szCs w:val="21"/>
        </w:rPr>
        <w:t>在基金收益中扣除的费用后的余额。</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 w:val="0"/>
        </w:rPr>
      </w:pPr>
      <w:bookmarkStart w:id="389" w:name="_Toc84149665"/>
      <w:bookmarkStart w:id="390" w:name="_Toc86584640"/>
      <w:bookmarkStart w:id="391" w:name="_Toc211920184"/>
      <w:bookmarkStart w:id="392" w:name="_Toc211927713"/>
      <w:bookmarkStart w:id="393" w:name="_Toc41556825"/>
      <w:r w:rsidRPr="00F17515">
        <w:rPr>
          <w:rFonts w:asciiTheme="minorEastAsia" w:eastAsiaTheme="minorEastAsia" w:hAnsiTheme="minorEastAsia" w:hint="eastAsia"/>
        </w:rPr>
        <w:t>（二）收益分配原则</w:t>
      </w:r>
      <w:bookmarkEnd w:id="389"/>
      <w:bookmarkEnd w:id="390"/>
      <w:bookmarkEnd w:id="391"/>
      <w:bookmarkEnd w:id="392"/>
      <w:bookmarkEnd w:id="393"/>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bookmarkStart w:id="394" w:name="_Toc84149666"/>
      <w:bookmarkStart w:id="395" w:name="_Toc86584642"/>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本基金的每份基金份额享有同等分配权；</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szCs w:val="21"/>
        </w:rPr>
        <w:t>收益分配时所发生的银行转账或其他手续费用由投资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自行承担。当投资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的现金红利小于一定金额，不足以支付银行转账或其他手续费用时，基金</w:t>
      </w:r>
      <w:r w:rsidR="007228CC" w:rsidRPr="00F17515">
        <w:rPr>
          <w:rFonts w:asciiTheme="minorEastAsia" w:eastAsiaTheme="minorEastAsia" w:hAnsiTheme="minorEastAsia" w:hint="eastAsia"/>
          <w:szCs w:val="21"/>
        </w:rPr>
        <w:t>注册登记机构</w:t>
      </w:r>
      <w:r w:rsidR="007228CC" w:rsidRPr="00F17515">
        <w:rPr>
          <w:rFonts w:asciiTheme="minorEastAsia" w:eastAsiaTheme="minorEastAsia" w:hAnsiTheme="minorEastAsia"/>
          <w:szCs w:val="21"/>
        </w:rPr>
        <w:t>可将投资</w:t>
      </w:r>
      <w:r w:rsidR="007228CC" w:rsidRPr="00F17515">
        <w:rPr>
          <w:rFonts w:asciiTheme="minorEastAsia" w:eastAsiaTheme="minorEastAsia" w:hAnsiTheme="minorEastAsia" w:hint="eastAsia"/>
          <w:szCs w:val="21"/>
        </w:rPr>
        <w:t>人</w:t>
      </w:r>
      <w:r w:rsidR="007228CC" w:rsidRPr="00F17515">
        <w:rPr>
          <w:rFonts w:asciiTheme="minorEastAsia" w:eastAsiaTheme="minorEastAsia" w:hAnsiTheme="minorEastAsia"/>
          <w:szCs w:val="21"/>
        </w:rPr>
        <w:t>的现金红利按红利</w:t>
      </w:r>
      <w:r w:rsidR="007228CC" w:rsidRPr="00F17515">
        <w:rPr>
          <w:rFonts w:asciiTheme="minorEastAsia" w:eastAsiaTheme="minorEastAsia" w:hAnsiTheme="minorEastAsia" w:hint="eastAsia"/>
          <w:szCs w:val="21"/>
        </w:rPr>
        <w:t>发放前一工作</w:t>
      </w:r>
      <w:r w:rsidR="007228CC" w:rsidRPr="00F17515">
        <w:rPr>
          <w:rFonts w:asciiTheme="minorEastAsia" w:eastAsiaTheme="minorEastAsia" w:hAnsiTheme="minorEastAsia"/>
          <w:szCs w:val="21"/>
        </w:rPr>
        <w:t>日的基金份额净值自动转为基金份额。</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szCs w:val="21"/>
        </w:rPr>
        <w:t>本基金收益每年最多分配</w:t>
      </w:r>
      <w:r w:rsidR="007228CC" w:rsidRPr="00F17515">
        <w:rPr>
          <w:rFonts w:asciiTheme="minorEastAsia" w:eastAsiaTheme="minorEastAsia" w:hAnsiTheme="minorEastAsia" w:hint="eastAsia"/>
          <w:szCs w:val="21"/>
        </w:rPr>
        <w:t>12</w:t>
      </w:r>
      <w:r w:rsidR="007228CC" w:rsidRPr="00F17515">
        <w:rPr>
          <w:rFonts w:asciiTheme="minorEastAsia" w:eastAsiaTheme="minorEastAsia" w:hAnsiTheme="minorEastAsia"/>
          <w:szCs w:val="21"/>
        </w:rPr>
        <w:t>次，</w:t>
      </w:r>
      <w:r w:rsidR="007228CC" w:rsidRPr="00F17515">
        <w:rPr>
          <w:rFonts w:asciiTheme="minorEastAsia" w:eastAsiaTheme="minorEastAsia" w:hAnsiTheme="minorEastAsia" w:hint="eastAsia"/>
          <w:szCs w:val="21"/>
        </w:rPr>
        <w:t>全年</w:t>
      </w:r>
      <w:r w:rsidR="007228CC" w:rsidRPr="00F17515">
        <w:rPr>
          <w:rFonts w:asciiTheme="minorEastAsia" w:eastAsiaTheme="minorEastAsia" w:hAnsiTheme="minorEastAsia"/>
          <w:szCs w:val="21"/>
        </w:rPr>
        <w:t>分配比例不</w:t>
      </w:r>
      <w:r w:rsidR="007228CC" w:rsidRPr="00F17515">
        <w:rPr>
          <w:rFonts w:asciiTheme="minorEastAsia" w:eastAsiaTheme="minorEastAsia" w:hAnsiTheme="minorEastAsia" w:hint="eastAsia"/>
          <w:szCs w:val="21"/>
        </w:rPr>
        <w:t>得</w:t>
      </w:r>
      <w:r w:rsidR="007228CC" w:rsidRPr="00F17515">
        <w:rPr>
          <w:rFonts w:asciiTheme="minorEastAsia" w:eastAsiaTheme="minorEastAsia" w:hAnsiTheme="minorEastAsia"/>
          <w:szCs w:val="21"/>
        </w:rPr>
        <w:t>低于</w:t>
      </w:r>
      <w:r w:rsidR="007228CC" w:rsidRPr="00F17515">
        <w:rPr>
          <w:rFonts w:asciiTheme="minorEastAsia" w:eastAsiaTheme="minorEastAsia" w:hAnsiTheme="minorEastAsia" w:hint="eastAsia"/>
          <w:szCs w:val="21"/>
        </w:rPr>
        <w:t>年度</w:t>
      </w:r>
      <w:r w:rsidR="007228CC" w:rsidRPr="00F17515">
        <w:rPr>
          <w:rFonts w:asciiTheme="minorEastAsia" w:eastAsiaTheme="minorEastAsia" w:hAnsiTheme="minorEastAsia"/>
          <w:szCs w:val="21"/>
        </w:rPr>
        <w:t>可</w:t>
      </w:r>
      <w:r w:rsidR="007228CC" w:rsidRPr="00F17515">
        <w:rPr>
          <w:rFonts w:asciiTheme="minorEastAsia" w:eastAsiaTheme="minorEastAsia" w:hAnsiTheme="minorEastAsia" w:hint="eastAsia"/>
          <w:szCs w:val="21"/>
        </w:rPr>
        <w:t>供</w:t>
      </w:r>
      <w:r w:rsidR="007228CC" w:rsidRPr="00F17515">
        <w:rPr>
          <w:rFonts w:asciiTheme="minorEastAsia" w:eastAsiaTheme="minorEastAsia" w:hAnsiTheme="minorEastAsia"/>
          <w:szCs w:val="21"/>
        </w:rPr>
        <w:t>分配收益的</w:t>
      </w:r>
      <w:r w:rsidR="007228CC" w:rsidRPr="00F17515">
        <w:rPr>
          <w:rFonts w:asciiTheme="minorEastAsia" w:eastAsiaTheme="minorEastAsia" w:hAnsiTheme="minorEastAsia" w:hint="eastAsia"/>
          <w:szCs w:val="21"/>
        </w:rPr>
        <w:t>60</w:t>
      </w:r>
      <w:r w:rsidR="007228CC" w:rsidRPr="00F17515">
        <w:rPr>
          <w:rFonts w:asciiTheme="minorEastAsia" w:eastAsiaTheme="minorEastAsia" w:hAnsiTheme="minorEastAsia"/>
          <w:szCs w:val="21"/>
        </w:rPr>
        <w:t>%；</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hint="eastAsia"/>
          <w:szCs w:val="21"/>
        </w:rPr>
        <w:t>若基金合同生效不满3个月则可不进行收益分配；</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007228CC" w:rsidRPr="00F17515">
        <w:rPr>
          <w:rFonts w:asciiTheme="minorEastAsia" w:eastAsiaTheme="minorEastAsia" w:hAnsiTheme="minorEastAsia" w:hint="eastAsia"/>
          <w:szCs w:val="21"/>
        </w:rPr>
        <w:t>本基金收益分配方式分为两种：现金分红与红利再投资，投资人可选择现金红利或将现金红利转为基金份额进行再投资；若投资人不选择，本基金默认的收益分配方式是现金分红；</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007228CC" w:rsidRPr="00F17515">
        <w:rPr>
          <w:rFonts w:asciiTheme="minorEastAsia" w:eastAsiaTheme="minorEastAsia" w:hAnsiTheme="minorEastAsia" w:hint="eastAsia"/>
          <w:szCs w:val="21"/>
        </w:rPr>
        <w:t>基金投资当期出现净亏损，则不进行收益分配；</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007228CC" w:rsidRPr="00F17515">
        <w:rPr>
          <w:rFonts w:asciiTheme="minorEastAsia" w:eastAsiaTheme="minorEastAsia" w:hAnsiTheme="minorEastAsia" w:hint="eastAsia"/>
          <w:szCs w:val="21"/>
        </w:rPr>
        <w:t>基金当期收益应先弥补上期亏损后，方可进行当期收益分配；</w:t>
      </w:r>
    </w:p>
    <w:p w:rsidR="007228CC" w:rsidRPr="00F17515" w:rsidRDefault="0021144C" w:rsidP="0071223F">
      <w:pPr>
        <w:snapToGrid w:val="0"/>
        <w:spacing w:line="360" w:lineRule="auto"/>
        <w:ind w:firstLine="458"/>
        <w:rPr>
          <w:rFonts w:asciiTheme="minorEastAsia" w:eastAsiaTheme="minorEastAsia" w:hAnsiTheme="minorEastAsia"/>
          <w:szCs w:val="21"/>
        </w:rPr>
      </w:pPr>
      <w:r w:rsidRPr="00F17515">
        <w:rPr>
          <w:rFonts w:asciiTheme="minorEastAsia" w:eastAsiaTheme="minorEastAsia" w:hAnsiTheme="minorEastAsia" w:hint="eastAsia"/>
          <w:szCs w:val="21"/>
        </w:rPr>
        <w:t>8、</w:t>
      </w:r>
      <w:r w:rsidR="007228CC" w:rsidRPr="00F17515">
        <w:rPr>
          <w:rFonts w:asciiTheme="minorEastAsia" w:eastAsiaTheme="minorEastAsia" w:hAnsiTheme="minorEastAsia"/>
          <w:szCs w:val="21"/>
        </w:rPr>
        <w:t>法律法规或监管机构另有规定的从其规定。</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96" w:name="_Toc211920185"/>
      <w:bookmarkStart w:id="397" w:name="_Toc211927714"/>
      <w:bookmarkStart w:id="398" w:name="_Toc41556826"/>
      <w:r w:rsidRPr="00F17515">
        <w:rPr>
          <w:rFonts w:asciiTheme="minorEastAsia" w:eastAsiaTheme="minorEastAsia" w:hAnsiTheme="minorEastAsia" w:hint="eastAsia"/>
        </w:rPr>
        <w:t>（三）收益分配方案</w:t>
      </w:r>
      <w:bookmarkEnd w:id="394"/>
      <w:bookmarkEnd w:id="395"/>
      <w:bookmarkEnd w:id="396"/>
      <w:bookmarkEnd w:id="397"/>
      <w:bookmarkEnd w:id="398"/>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szCs w:val="21"/>
        </w:rPr>
        <w:t>基金收益分配方案中应载明基金收益分配对象、分配时间、分配数额、分配方式等内容。</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399" w:name="_Toc211920186"/>
      <w:bookmarkStart w:id="400" w:name="_Toc211927715"/>
      <w:bookmarkStart w:id="401" w:name="_Toc84149667"/>
      <w:bookmarkStart w:id="402" w:name="_Toc86584643"/>
      <w:bookmarkStart w:id="403" w:name="_Toc41556827"/>
      <w:r w:rsidRPr="00F17515">
        <w:rPr>
          <w:rFonts w:asciiTheme="minorEastAsia" w:eastAsiaTheme="minorEastAsia" w:hAnsiTheme="minorEastAsia" w:hint="eastAsia"/>
        </w:rPr>
        <w:t>（四）</w:t>
      </w:r>
      <w:r w:rsidRPr="00F17515">
        <w:rPr>
          <w:rFonts w:asciiTheme="minorEastAsia" w:eastAsiaTheme="minorEastAsia" w:hAnsiTheme="minorEastAsia"/>
        </w:rPr>
        <w:t>收益分配的时间和程序</w:t>
      </w:r>
      <w:bookmarkEnd w:id="399"/>
      <w:bookmarkEnd w:id="400"/>
      <w:bookmarkEnd w:id="403"/>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1</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基金收益分配方案由基金管理人拟订，由基金托管人</w:t>
      </w:r>
      <w:r w:rsidRPr="00F17515">
        <w:rPr>
          <w:rFonts w:asciiTheme="minorEastAsia" w:eastAsiaTheme="minorEastAsia" w:hAnsiTheme="minorEastAsia" w:hint="eastAsia"/>
          <w:szCs w:val="21"/>
        </w:rPr>
        <w:t>复核</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依照《信息披露办法》的有关规定在</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上公告</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2</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在</w:t>
      </w:r>
      <w:r w:rsidRPr="00F17515">
        <w:rPr>
          <w:rFonts w:asciiTheme="minorEastAsia" w:eastAsiaTheme="minorEastAsia" w:hAnsiTheme="minorEastAsia" w:hint="eastAsia"/>
          <w:szCs w:val="21"/>
        </w:rPr>
        <w:t>收益</w:t>
      </w:r>
      <w:r w:rsidRPr="00F17515">
        <w:rPr>
          <w:rFonts w:asciiTheme="minorEastAsia" w:eastAsiaTheme="minorEastAsia" w:hAnsiTheme="minorEastAsia"/>
          <w:szCs w:val="21"/>
        </w:rPr>
        <w:t>分配方案公布后，基金管理人</w:t>
      </w:r>
      <w:r w:rsidRPr="00F17515">
        <w:rPr>
          <w:rFonts w:asciiTheme="minorEastAsia" w:eastAsiaTheme="minorEastAsia" w:hAnsiTheme="minorEastAsia" w:hint="eastAsia"/>
          <w:szCs w:val="21"/>
        </w:rPr>
        <w:t>依据具体方案的规定</w:t>
      </w:r>
      <w:r w:rsidRPr="00F17515">
        <w:rPr>
          <w:rFonts w:asciiTheme="minorEastAsia" w:eastAsiaTheme="minorEastAsia" w:hAnsiTheme="minorEastAsia"/>
          <w:szCs w:val="21"/>
        </w:rPr>
        <w:t>就支付的现金红利向基金托管人发送划款指令，基金托管人按照基金管理人的指令及时进行分红资金的划付。</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04" w:name="_Toc211920187"/>
      <w:bookmarkStart w:id="405" w:name="_Toc211927716"/>
      <w:bookmarkStart w:id="406" w:name="_Toc41556828"/>
      <w:r w:rsidRPr="00F17515">
        <w:rPr>
          <w:rFonts w:asciiTheme="minorEastAsia" w:eastAsiaTheme="minorEastAsia" w:hAnsiTheme="minorEastAsia" w:hint="eastAsia"/>
        </w:rPr>
        <w:t>（五）</w:t>
      </w:r>
      <w:r w:rsidRPr="00F17515">
        <w:rPr>
          <w:rFonts w:asciiTheme="minorEastAsia" w:eastAsiaTheme="minorEastAsia" w:hAnsiTheme="minorEastAsia"/>
        </w:rPr>
        <w:t>收益分配中发生的费用</w:t>
      </w:r>
      <w:bookmarkEnd w:id="401"/>
      <w:bookmarkEnd w:id="402"/>
      <w:bookmarkEnd w:id="404"/>
      <w:bookmarkEnd w:id="405"/>
      <w:bookmarkEnd w:id="406"/>
    </w:p>
    <w:p w:rsidR="007228CC" w:rsidRPr="00F17515" w:rsidRDefault="007228CC" w:rsidP="0071223F">
      <w:pPr>
        <w:widowControl/>
        <w:snapToGrid w:val="0"/>
        <w:spacing w:line="360" w:lineRule="auto"/>
        <w:ind w:firstLine="420"/>
        <w:jc w:val="left"/>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红利分配时所发生的银行转账或其他手续费用由投资者自行承担。当投资者的现金红利小于一定金额，不足于支付银行转账或其他手续费用时，基金注册登记人可将投资者的现金</w:t>
      </w:r>
      <w:r w:rsidRPr="00F17515">
        <w:rPr>
          <w:rFonts w:asciiTheme="minorEastAsia" w:eastAsiaTheme="minorEastAsia" w:hAnsiTheme="minorEastAsia" w:cs="宋体" w:hint="eastAsia"/>
          <w:kern w:val="0"/>
          <w:szCs w:val="21"/>
        </w:rPr>
        <w:lastRenderedPageBreak/>
        <w:t>红利按红利发放日前一工作日的基金份额净值自动转为基金份额。红利再投资的计算方法，依照业务规则执行。</w:t>
      </w:r>
    </w:p>
    <w:p w:rsidR="007228CC" w:rsidRPr="00F17515" w:rsidRDefault="007228CC" w:rsidP="0071223F">
      <w:pPr>
        <w:snapToGrid w:val="0"/>
        <w:spacing w:line="360" w:lineRule="auto"/>
        <w:ind w:firstLine="640"/>
        <w:rPr>
          <w:rFonts w:asciiTheme="minorEastAsia" w:eastAsiaTheme="minorEastAsia" w:hAnsiTheme="minorEastAsia"/>
        </w:rPr>
      </w:pPr>
    </w:p>
    <w:p w:rsidR="007228CC" w:rsidRPr="00F17515" w:rsidRDefault="007228CC" w:rsidP="00941EC8">
      <w:pPr>
        <w:pStyle w:val="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rPr>
        <w:sectPr w:rsidR="007228CC" w:rsidRPr="00F17515" w:rsidSect="00DE4B5E">
          <w:pgSz w:w="11906" w:h="16838" w:code="9"/>
          <w:pgMar w:top="1440" w:right="1800" w:bottom="1440" w:left="1800" w:header="851" w:footer="992" w:gutter="0"/>
          <w:cols w:space="425"/>
          <w:docGrid w:type="lines" w:linePitch="312"/>
        </w:sectPr>
      </w:pPr>
      <w:bookmarkStart w:id="407" w:name="_Toc84149669"/>
      <w:bookmarkStart w:id="408" w:name="_Toc86584633"/>
      <w:bookmarkStart w:id="409" w:name="_Toc211920189"/>
      <w:bookmarkStart w:id="410" w:name="_Toc211927718"/>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11" w:name="_Toc41556829"/>
      <w:r w:rsidRPr="00F17515">
        <w:rPr>
          <w:rFonts w:asciiTheme="minorEastAsia" w:eastAsiaTheme="minorEastAsia" w:hAnsiTheme="minorEastAsia" w:hint="eastAsia"/>
          <w:b/>
        </w:rPr>
        <w:lastRenderedPageBreak/>
        <w:t>基金的费用与税收</w:t>
      </w:r>
      <w:bookmarkEnd w:id="411"/>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12" w:name="_Toc41556830"/>
      <w:r w:rsidRPr="00F17515">
        <w:rPr>
          <w:rFonts w:asciiTheme="minorEastAsia" w:eastAsiaTheme="minorEastAsia" w:hAnsiTheme="minorEastAsia" w:hint="eastAsia"/>
        </w:rPr>
        <w:t>（一）与基金运作相关的费用</w:t>
      </w:r>
      <w:bookmarkEnd w:id="407"/>
      <w:bookmarkEnd w:id="408"/>
      <w:bookmarkEnd w:id="409"/>
      <w:bookmarkEnd w:id="410"/>
      <w:bookmarkEnd w:id="412"/>
    </w:p>
    <w:p w:rsidR="007228CC" w:rsidRPr="00F17515" w:rsidRDefault="0021144C" w:rsidP="0071223F">
      <w:pPr>
        <w:snapToGrid w:val="0"/>
        <w:spacing w:line="360" w:lineRule="auto"/>
        <w:ind w:firstLineChars="200" w:firstLine="422"/>
        <w:rPr>
          <w:rFonts w:asciiTheme="minorEastAsia" w:eastAsiaTheme="minorEastAsia" w:hAnsiTheme="minorEastAsia"/>
          <w:b/>
          <w:bCs/>
          <w:sz w:val="24"/>
        </w:rPr>
      </w:pPr>
      <w:r w:rsidRPr="00F17515">
        <w:rPr>
          <w:rFonts w:asciiTheme="minorEastAsia" w:eastAsiaTheme="minorEastAsia" w:hAnsiTheme="minorEastAsia" w:hint="eastAsia"/>
          <w:b/>
          <w:szCs w:val="21"/>
        </w:rPr>
        <w:t>1、</w:t>
      </w:r>
      <w:r w:rsidR="007228CC" w:rsidRPr="00F17515">
        <w:rPr>
          <w:rFonts w:asciiTheme="minorEastAsia" w:eastAsiaTheme="minorEastAsia" w:hAnsiTheme="minorEastAsia" w:hint="eastAsia"/>
          <w:b/>
          <w:szCs w:val="21"/>
        </w:rPr>
        <w:t>基金费用的种类</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基金管理人的管理费；</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2</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基金托管人的托管费；</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3</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销售服务费</w:t>
      </w:r>
      <w:r w:rsidR="007228CC" w:rsidRPr="00F17515">
        <w:rPr>
          <w:rFonts w:asciiTheme="minorEastAsia" w:eastAsiaTheme="minorEastAsia" w:hAnsiTheme="minorEastAsia"/>
          <w:szCs w:val="21"/>
        </w:rPr>
        <w:t>；</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4</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基金合同生效后的基金信息披露费用；</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5</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基金份额持有人大会费用；</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6</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基金合同生效后与基金有关的会计师费和律师费；</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7</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基金的证券交易费用；</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8</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基金财产拨划支付的银行费用</w:t>
      </w:r>
      <w:r w:rsidR="007228CC" w:rsidRPr="00F17515">
        <w:rPr>
          <w:rFonts w:asciiTheme="minorEastAsia" w:eastAsiaTheme="minorEastAsia" w:hAnsiTheme="minorEastAsia" w:hint="eastAsia"/>
          <w:szCs w:val="21"/>
        </w:rPr>
        <w:t>；</w:t>
      </w:r>
    </w:p>
    <w:p w:rsidR="007228CC" w:rsidRPr="00F17515" w:rsidRDefault="00F103E6"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9</w:t>
      </w:r>
      <w:r w:rsidRPr="00F17515">
        <w:rPr>
          <w:rFonts w:asciiTheme="minorEastAsia" w:eastAsiaTheme="minorEastAsia" w:hAnsiTheme="minorEastAsia" w:hint="eastAsia"/>
          <w:szCs w:val="21"/>
        </w:rPr>
        <w:t>）</w:t>
      </w:r>
      <w:r w:rsidR="007228CC" w:rsidRPr="00F17515">
        <w:rPr>
          <w:rFonts w:asciiTheme="minorEastAsia" w:eastAsiaTheme="minorEastAsia" w:hAnsiTheme="minorEastAsia" w:hint="eastAsia"/>
          <w:szCs w:val="21"/>
        </w:rPr>
        <w:t>依法可以</w:t>
      </w:r>
      <w:r w:rsidR="007228CC" w:rsidRPr="00F17515">
        <w:rPr>
          <w:rFonts w:asciiTheme="minorEastAsia" w:eastAsiaTheme="minorEastAsia" w:hAnsiTheme="minorEastAsia"/>
          <w:szCs w:val="21"/>
        </w:rPr>
        <w:t>在基金财产中列支的</w:t>
      </w:r>
      <w:r w:rsidR="007228CC" w:rsidRPr="00F17515">
        <w:rPr>
          <w:rFonts w:asciiTheme="minorEastAsia" w:eastAsiaTheme="minorEastAsia" w:hAnsiTheme="minorEastAsia" w:hint="eastAsia"/>
          <w:szCs w:val="21"/>
        </w:rPr>
        <w:t>其他费用。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上述费用从基金财产中支付。</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本基金终止清算时所发生费用，按实际支出额从基金财产总值中扣除。</w:t>
      </w:r>
    </w:p>
    <w:p w:rsidR="007228CC" w:rsidRPr="00F17515" w:rsidRDefault="0021144C" w:rsidP="0071223F">
      <w:pPr>
        <w:snapToGrid w:val="0"/>
        <w:spacing w:line="360" w:lineRule="auto"/>
        <w:ind w:firstLineChars="200" w:firstLine="422"/>
        <w:rPr>
          <w:rFonts w:asciiTheme="minorEastAsia" w:eastAsiaTheme="minorEastAsia" w:hAnsiTheme="minorEastAsia"/>
          <w:b/>
          <w:szCs w:val="21"/>
        </w:rPr>
      </w:pPr>
      <w:r w:rsidRPr="00F17515">
        <w:rPr>
          <w:rFonts w:asciiTheme="minorEastAsia" w:eastAsiaTheme="minorEastAsia" w:hAnsiTheme="minorEastAsia" w:hint="eastAsia"/>
          <w:b/>
          <w:szCs w:val="21"/>
        </w:rPr>
        <w:t>2、</w:t>
      </w:r>
      <w:r w:rsidR="007228CC" w:rsidRPr="00F17515">
        <w:rPr>
          <w:rFonts w:asciiTheme="minorEastAsia" w:eastAsiaTheme="minorEastAsia" w:hAnsiTheme="minorEastAsia" w:hint="eastAsia"/>
          <w:b/>
          <w:szCs w:val="21"/>
        </w:rPr>
        <w:t>基金费用计提方法、计提标准和支付方式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（1）基金管理人的管理费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在通常情况下，本基金</w:t>
      </w:r>
      <w:r w:rsidRPr="00F17515">
        <w:rPr>
          <w:rFonts w:asciiTheme="minorEastAsia" w:eastAsiaTheme="minorEastAsia" w:hAnsiTheme="minorEastAsia"/>
          <w:szCs w:val="21"/>
        </w:rPr>
        <w:t>的管理费</w:t>
      </w:r>
      <w:r w:rsidRPr="00F17515">
        <w:rPr>
          <w:rFonts w:asciiTheme="minorEastAsia" w:eastAsiaTheme="minorEastAsia" w:hAnsiTheme="minorEastAsia" w:hint="eastAsia"/>
          <w:szCs w:val="21"/>
        </w:rPr>
        <w:t>按前一日</w:t>
      </w:r>
      <w:r w:rsidRPr="00F17515">
        <w:rPr>
          <w:rFonts w:asciiTheme="minorEastAsia" w:eastAsiaTheme="minorEastAsia" w:hAnsiTheme="minorEastAsia"/>
          <w:szCs w:val="21"/>
        </w:rPr>
        <w:t>基金资产净值的</w:t>
      </w:r>
      <w:r w:rsidRPr="00F17515">
        <w:rPr>
          <w:rFonts w:asciiTheme="minorEastAsia" w:eastAsiaTheme="minorEastAsia" w:hAnsiTheme="minorEastAsia" w:hint="eastAsia"/>
          <w:szCs w:val="21"/>
        </w:rPr>
        <w:t>0.65</w:t>
      </w:r>
      <w:r w:rsidRPr="00F17515">
        <w:rPr>
          <w:rFonts w:asciiTheme="minorEastAsia" w:eastAsiaTheme="minorEastAsia" w:hAnsiTheme="minorEastAsia"/>
          <w:szCs w:val="21"/>
        </w:rPr>
        <w:t>%年费率计提。</w:t>
      </w:r>
      <w:r w:rsidRPr="00F17515">
        <w:rPr>
          <w:rFonts w:asciiTheme="minorEastAsia" w:eastAsiaTheme="minorEastAsia" w:hAnsiTheme="minorEastAsia" w:hint="eastAsia"/>
          <w:szCs w:val="21"/>
        </w:rPr>
        <w:t>管理费的</w:t>
      </w:r>
      <w:r w:rsidRPr="00F17515">
        <w:rPr>
          <w:rFonts w:asciiTheme="minorEastAsia" w:eastAsiaTheme="minorEastAsia" w:hAnsiTheme="minorEastAsia"/>
          <w:szCs w:val="21"/>
        </w:rPr>
        <w:t>计算方法如下：</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H＝E×</w:t>
      </w:r>
      <w:r w:rsidRPr="00F17515">
        <w:rPr>
          <w:rFonts w:asciiTheme="minorEastAsia" w:eastAsiaTheme="minorEastAsia" w:hAnsiTheme="minorEastAsia" w:hint="eastAsia"/>
          <w:szCs w:val="21"/>
        </w:rPr>
        <w:t>0.65</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当年天数</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H为每日应</w:t>
      </w:r>
      <w:r w:rsidRPr="00F17515">
        <w:rPr>
          <w:rFonts w:asciiTheme="minorEastAsia" w:eastAsiaTheme="minorEastAsia" w:hAnsiTheme="minorEastAsia" w:hint="eastAsia"/>
          <w:szCs w:val="21"/>
        </w:rPr>
        <w:t>计提</w:t>
      </w:r>
      <w:r w:rsidRPr="00F17515">
        <w:rPr>
          <w:rFonts w:asciiTheme="minorEastAsia" w:eastAsiaTheme="minorEastAsia" w:hAnsiTheme="minorEastAsia"/>
          <w:szCs w:val="21"/>
        </w:rPr>
        <w:t>的基金管理费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E</w:t>
      </w:r>
      <w:r w:rsidRPr="00F17515">
        <w:rPr>
          <w:rFonts w:asciiTheme="minorEastAsia" w:eastAsiaTheme="minorEastAsia" w:hAnsiTheme="minorEastAsia"/>
          <w:szCs w:val="21"/>
        </w:rPr>
        <w:t>为前一日的基金资产净值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（2）基金托管人的托管费</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在通常情况下，本</w:t>
      </w:r>
      <w:r w:rsidRPr="00F17515">
        <w:rPr>
          <w:rFonts w:asciiTheme="minorEastAsia" w:eastAsiaTheme="minorEastAsia" w:hAnsiTheme="minorEastAsia"/>
          <w:szCs w:val="21"/>
        </w:rPr>
        <w:t>基金的托管费按</w:t>
      </w:r>
      <w:r w:rsidRPr="00F17515">
        <w:rPr>
          <w:rFonts w:asciiTheme="minorEastAsia" w:eastAsiaTheme="minorEastAsia" w:hAnsiTheme="minorEastAsia" w:hint="eastAsia"/>
          <w:szCs w:val="21"/>
        </w:rPr>
        <w:t>前一日</w:t>
      </w:r>
      <w:r w:rsidRPr="00F17515">
        <w:rPr>
          <w:rFonts w:asciiTheme="minorEastAsia" w:eastAsiaTheme="minorEastAsia" w:hAnsiTheme="minorEastAsia"/>
          <w:szCs w:val="21"/>
        </w:rPr>
        <w:t>基金资产净值的</w:t>
      </w:r>
      <w:r w:rsidRPr="00F17515">
        <w:rPr>
          <w:rFonts w:asciiTheme="minorEastAsia" w:eastAsiaTheme="minorEastAsia" w:hAnsiTheme="minorEastAsia" w:hint="eastAsia"/>
          <w:szCs w:val="21"/>
        </w:rPr>
        <w:t>0.2%</w:t>
      </w:r>
      <w:r w:rsidRPr="00F17515">
        <w:rPr>
          <w:rFonts w:asciiTheme="minorEastAsia" w:eastAsiaTheme="minorEastAsia" w:hAnsiTheme="minorEastAsia"/>
          <w:szCs w:val="21"/>
        </w:rPr>
        <w:t>的年费率计提。</w:t>
      </w:r>
      <w:r w:rsidRPr="00F17515">
        <w:rPr>
          <w:rFonts w:asciiTheme="minorEastAsia" w:eastAsiaTheme="minorEastAsia" w:hAnsiTheme="minorEastAsia" w:hint="eastAsia"/>
          <w:szCs w:val="21"/>
        </w:rPr>
        <w:t>托管费的</w:t>
      </w:r>
      <w:r w:rsidRPr="00F17515">
        <w:rPr>
          <w:rFonts w:asciiTheme="minorEastAsia" w:eastAsiaTheme="minorEastAsia" w:hAnsiTheme="minorEastAsia"/>
          <w:szCs w:val="21"/>
        </w:rPr>
        <w:t>计算方法如下：</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szCs w:val="21"/>
        </w:rPr>
        <w:t>H＝E×</w:t>
      </w:r>
      <w:r w:rsidRPr="00F17515">
        <w:rPr>
          <w:rFonts w:asciiTheme="minorEastAsia" w:eastAsiaTheme="minorEastAsia" w:hAnsiTheme="minorEastAsia" w:hint="eastAsia"/>
          <w:szCs w:val="21"/>
        </w:rPr>
        <w:t>0.2%÷</w:t>
      </w:r>
      <w:r w:rsidRPr="00F17515">
        <w:rPr>
          <w:rFonts w:asciiTheme="minorEastAsia" w:eastAsiaTheme="minorEastAsia" w:hAnsiTheme="minorEastAsia"/>
          <w:szCs w:val="21"/>
        </w:rPr>
        <w:t>当年天数</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szCs w:val="21"/>
        </w:rPr>
        <w:t>H为每日应</w:t>
      </w:r>
      <w:r w:rsidRPr="00F17515">
        <w:rPr>
          <w:rFonts w:asciiTheme="minorEastAsia" w:eastAsiaTheme="minorEastAsia" w:hAnsiTheme="minorEastAsia" w:hint="eastAsia"/>
          <w:szCs w:val="21"/>
        </w:rPr>
        <w:t>计提</w:t>
      </w:r>
      <w:r w:rsidRPr="00F17515">
        <w:rPr>
          <w:rFonts w:asciiTheme="minorEastAsia" w:eastAsiaTheme="minorEastAsia" w:hAnsiTheme="minorEastAsia"/>
          <w:szCs w:val="21"/>
        </w:rPr>
        <w:t>的基金托管费</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szCs w:val="21"/>
        </w:rPr>
        <w:t>E为前一日的基金资产净值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7228CC" w:rsidRPr="00F17515" w:rsidRDefault="007228CC" w:rsidP="0071223F">
      <w:pPr>
        <w:pStyle w:val="21"/>
        <w:snapToGrid w:val="0"/>
        <w:spacing w:before="0" w:beforeAutospacing="0" w:after="0" w:afterAutospacing="0"/>
        <w:ind w:firstLineChars="0" w:firstLine="420"/>
        <w:rPr>
          <w:rFonts w:asciiTheme="minorEastAsia" w:eastAsiaTheme="minorEastAsia" w:hAnsiTheme="minorEastAsia"/>
        </w:rPr>
      </w:pPr>
      <w:r w:rsidRPr="00F17515">
        <w:rPr>
          <w:rFonts w:asciiTheme="minorEastAsia" w:eastAsiaTheme="minorEastAsia" w:hAnsiTheme="minorEastAsia" w:hint="eastAsia"/>
        </w:rPr>
        <w:lastRenderedPageBreak/>
        <w:t>（3）基金的销售服务费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本基金A类基金份额不收取销售服务费，B类基金份额的销售服务费年费率为0.4%。本基金销售服务费将专门用于本基金的销售与基金份额持有人服务。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销售服务费按前一日B类基金资产净值的0.4%年费率计提。计算方法如下：</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H＝E×0.4%÷当年天数</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H为B类基金份额每日应计提的销售服务费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E为B类基金份额前一日基金资产净值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销售服务费每日计提，按月支付。由基金管理人向基金托管人发送销售服务费划付指令，基金托管人复核后于次月首日起3个工作日内从基金资产中划出，由注册登记机构代收，注册登记机构收到后按相关合同规定支付给基金销售机构等。</w:t>
      </w:r>
    </w:p>
    <w:p w:rsidR="007228CC" w:rsidRPr="00F17515" w:rsidRDefault="007228CC" w:rsidP="0071223F">
      <w:pPr>
        <w:autoSpaceDE w:val="0"/>
        <w:autoSpaceDN w:val="0"/>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w:t>
      </w:r>
      <w:r w:rsidRPr="00F17515">
        <w:rPr>
          <w:rFonts w:asciiTheme="minorEastAsia" w:eastAsiaTheme="minorEastAsia" w:hAnsiTheme="minorEastAsia" w:hint="eastAsia"/>
          <w:szCs w:val="21"/>
        </w:rPr>
        <w:t>4）除管理费、托管费和销售服务费之外的基金费用，由基金托管人根据其他有关法规及相应协议的规定，按费用支出金额支付，列入或摊入当期基金费用。</w:t>
      </w:r>
    </w:p>
    <w:p w:rsidR="007228CC" w:rsidRPr="00F17515" w:rsidRDefault="0021144C" w:rsidP="0071223F">
      <w:pPr>
        <w:snapToGrid w:val="0"/>
        <w:spacing w:line="360" w:lineRule="auto"/>
        <w:ind w:firstLineChars="200" w:firstLine="422"/>
        <w:rPr>
          <w:rFonts w:asciiTheme="minorEastAsia" w:eastAsiaTheme="minorEastAsia" w:hAnsiTheme="minorEastAsia"/>
          <w:b/>
          <w:szCs w:val="21"/>
        </w:rPr>
      </w:pPr>
      <w:r w:rsidRPr="00F17515">
        <w:rPr>
          <w:rFonts w:asciiTheme="minorEastAsia" w:eastAsiaTheme="minorEastAsia" w:hAnsiTheme="minorEastAsia" w:hint="eastAsia"/>
          <w:b/>
          <w:szCs w:val="21"/>
        </w:rPr>
        <w:t>3、</w:t>
      </w:r>
      <w:r w:rsidR="007228CC" w:rsidRPr="00F17515">
        <w:rPr>
          <w:rFonts w:asciiTheme="minorEastAsia" w:eastAsiaTheme="minorEastAsia" w:hAnsiTheme="minorEastAsia" w:hint="eastAsia"/>
          <w:b/>
          <w:szCs w:val="21"/>
        </w:rPr>
        <w:t>不列入基金费用的项目</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基金管理人和基金托管人因未履行或未完全履行义务导致的费用支出或基金财产的损失，以及处理与基金运作无关的事项发生的费用等不列入基金费用。</w:t>
      </w:r>
      <w:r w:rsidRPr="00F17515">
        <w:rPr>
          <w:rFonts w:asciiTheme="minorEastAsia" w:eastAsiaTheme="minorEastAsia" w:hAnsiTheme="minorEastAsia"/>
          <w:szCs w:val="21"/>
        </w:rPr>
        <w:t>基金</w:t>
      </w:r>
      <w:r w:rsidRPr="00F17515">
        <w:rPr>
          <w:rFonts w:asciiTheme="minorEastAsia" w:eastAsiaTheme="minorEastAsia" w:hAnsiTheme="minorEastAsia" w:hint="eastAsia"/>
          <w:szCs w:val="21"/>
        </w:rPr>
        <w:t>合同生效前</w:t>
      </w:r>
      <w:r w:rsidRPr="00F17515">
        <w:rPr>
          <w:rFonts w:asciiTheme="minorEastAsia" w:eastAsiaTheme="minorEastAsia" w:hAnsiTheme="minorEastAsia"/>
          <w:szCs w:val="21"/>
        </w:rPr>
        <w:t>所发生的信息披露费、律师费和会计师费以及其他费用不从基金财产中支付。</w:t>
      </w:r>
    </w:p>
    <w:p w:rsidR="007228CC" w:rsidRPr="00F17515" w:rsidRDefault="0021144C" w:rsidP="0071223F">
      <w:pPr>
        <w:snapToGrid w:val="0"/>
        <w:spacing w:line="360" w:lineRule="auto"/>
        <w:ind w:firstLineChars="200" w:firstLine="422"/>
        <w:rPr>
          <w:rFonts w:asciiTheme="minorEastAsia" w:eastAsiaTheme="minorEastAsia" w:hAnsiTheme="minorEastAsia"/>
          <w:b/>
          <w:szCs w:val="21"/>
        </w:rPr>
      </w:pPr>
      <w:r w:rsidRPr="00F17515">
        <w:rPr>
          <w:rFonts w:asciiTheme="minorEastAsia" w:eastAsiaTheme="minorEastAsia" w:hAnsiTheme="minorEastAsia" w:hint="eastAsia"/>
          <w:b/>
          <w:szCs w:val="21"/>
        </w:rPr>
        <w:t>4、</w:t>
      </w:r>
      <w:r w:rsidR="007228CC" w:rsidRPr="00F17515">
        <w:rPr>
          <w:rFonts w:asciiTheme="minorEastAsia" w:eastAsiaTheme="minorEastAsia" w:hAnsiTheme="minorEastAsia" w:hint="eastAsia"/>
          <w:b/>
          <w:szCs w:val="21"/>
        </w:rPr>
        <w:t>基金费用的调整</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基金管理人和基金托管人可根据基金发展情况调低基金管理费率和基金托管费率。</w:t>
      </w:r>
      <w:r w:rsidRPr="00F17515">
        <w:rPr>
          <w:rFonts w:asciiTheme="minorEastAsia" w:eastAsiaTheme="minorEastAsia" w:hAnsiTheme="minorEastAsia"/>
          <w:szCs w:val="21"/>
        </w:rPr>
        <w:t>基金管理人必须最迟于新的费率实施日</w:t>
      </w: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日</w:t>
      </w:r>
      <w:r w:rsidRPr="00F17515">
        <w:rPr>
          <w:rFonts w:asciiTheme="minorEastAsia" w:eastAsiaTheme="minorEastAsia" w:hAnsiTheme="minorEastAsia" w:hint="eastAsia"/>
          <w:szCs w:val="21"/>
        </w:rPr>
        <w:t>前</w:t>
      </w:r>
      <w:r w:rsidRPr="00F17515">
        <w:rPr>
          <w:rFonts w:asciiTheme="minorEastAsia" w:eastAsiaTheme="minorEastAsia" w:hAnsiTheme="minorEastAsia"/>
          <w:szCs w:val="21"/>
        </w:rPr>
        <w:t>在</w:t>
      </w:r>
      <w:r w:rsidR="00575E02" w:rsidRPr="00F17515">
        <w:rPr>
          <w:rFonts w:asciiTheme="minorEastAsia" w:eastAsiaTheme="minorEastAsia" w:hAnsiTheme="minorEastAsia"/>
          <w:szCs w:val="21"/>
        </w:rPr>
        <w:t>指定媒介</w:t>
      </w:r>
      <w:r w:rsidRPr="00F17515">
        <w:rPr>
          <w:rFonts w:asciiTheme="minorEastAsia" w:eastAsiaTheme="minorEastAsia" w:hAnsiTheme="minorEastAsia"/>
          <w:szCs w:val="21"/>
        </w:rPr>
        <w:t>上刊登公告。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13" w:name="_Toc211920190"/>
      <w:bookmarkStart w:id="414" w:name="_Toc211927719"/>
      <w:bookmarkStart w:id="415" w:name="_Toc41556831"/>
      <w:r w:rsidRPr="00F17515">
        <w:rPr>
          <w:rFonts w:asciiTheme="minorEastAsia" w:eastAsiaTheme="minorEastAsia" w:hAnsiTheme="minorEastAsia" w:hint="eastAsia"/>
        </w:rPr>
        <w:t>（二）与基金销售有关的费用</w:t>
      </w:r>
      <w:bookmarkEnd w:id="413"/>
      <w:bookmarkEnd w:id="414"/>
      <w:bookmarkEnd w:id="415"/>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bookmarkStart w:id="416" w:name="_Toc84149673"/>
      <w:bookmarkStart w:id="417" w:name="_Toc86584637"/>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本基金的申购费、赎回费的费率水平、计算公式</w:t>
      </w:r>
      <w:r w:rsidR="007228CC" w:rsidRPr="00F17515">
        <w:rPr>
          <w:rFonts w:asciiTheme="minorEastAsia" w:eastAsiaTheme="minorEastAsia" w:hAnsiTheme="minorEastAsia" w:hint="eastAsia"/>
          <w:szCs w:val="21"/>
        </w:rPr>
        <w:t>和</w:t>
      </w:r>
      <w:r w:rsidR="007228CC" w:rsidRPr="00F17515">
        <w:rPr>
          <w:rFonts w:asciiTheme="minorEastAsia" w:eastAsiaTheme="minorEastAsia" w:hAnsiTheme="minorEastAsia"/>
          <w:szCs w:val="21"/>
        </w:rPr>
        <w:t>收取方式详见本招募说明书</w:t>
      </w:r>
      <w:r w:rsidR="008D22FF" w:rsidRPr="00F17515">
        <w:rPr>
          <w:rFonts w:asciiTheme="minorEastAsia" w:eastAsiaTheme="minorEastAsia" w:hAnsiTheme="minorEastAsia" w:hint="eastAsia"/>
          <w:szCs w:val="21"/>
        </w:rPr>
        <w:t>“八、基金份额的申购、赎回”中的</w:t>
      </w:r>
      <w:r w:rsidR="008D22FF" w:rsidRPr="00F17515">
        <w:rPr>
          <w:rFonts w:asciiTheme="minorEastAsia" w:eastAsiaTheme="minorEastAsia" w:hAnsiTheme="minorEastAsia" w:hint="eastAsia"/>
        </w:rPr>
        <w:t>“（七）申购与赎回的费率”和“（八）申购份额与赎回金额的计算方式”的相关规定。</w:t>
      </w:r>
    </w:p>
    <w:p w:rsidR="007228CC" w:rsidRPr="00F17515" w:rsidRDefault="0021144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szCs w:val="21"/>
        </w:rPr>
        <w:t>转换费率</w:t>
      </w:r>
    </w:p>
    <w:p w:rsidR="007228CC" w:rsidRPr="00F17515" w:rsidRDefault="007228C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bCs/>
          <w:szCs w:val="21"/>
        </w:rPr>
        <w:t>目前，基金管理人已开通了本基金与旗下部分开放式基金之间的转换业务，具体实施办法和转换费率详见相关公告。</w:t>
      </w:r>
      <w:r w:rsidRPr="00F17515">
        <w:rPr>
          <w:rFonts w:asciiTheme="minorEastAsia" w:eastAsiaTheme="minorEastAsia" w:hAnsiTheme="minorEastAsia" w:hint="eastAsia"/>
        </w:rPr>
        <w:t>基金转换费由基金份额持有人承担，</w:t>
      </w:r>
      <w:r w:rsidRPr="00F17515">
        <w:rPr>
          <w:rFonts w:asciiTheme="minorEastAsia" w:eastAsiaTheme="minorEastAsia" w:hAnsiTheme="minorEastAsia" w:hint="eastAsia"/>
          <w:szCs w:val="21"/>
        </w:rPr>
        <w:t>由转出基金赎回费用及基金申购补差费用构成，其中赎回费按照</w:t>
      </w:r>
      <w:r w:rsidR="00223301" w:rsidRPr="00F17515">
        <w:rPr>
          <w:rFonts w:asciiTheme="minorEastAsia" w:eastAsiaTheme="minorEastAsia" w:hAnsiTheme="minorEastAsia" w:hint="eastAsia"/>
          <w:szCs w:val="21"/>
        </w:rPr>
        <w:t>各基金</w:t>
      </w:r>
      <w:r w:rsidR="00223301" w:rsidRPr="00F17515">
        <w:rPr>
          <w:rFonts w:asciiTheme="minorEastAsia" w:eastAsiaTheme="minorEastAsia" w:hAnsiTheme="minorEastAsia"/>
          <w:szCs w:val="21"/>
        </w:rPr>
        <w:t>的</w:t>
      </w:r>
      <w:r w:rsidRPr="00F17515">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F17515">
        <w:rPr>
          <w:rFonts w:asciiTheme="minorEastAsia" w:eastAsiaTheme="minorEastAsia" w:hAnsiTheme="minorEastAsia"/>
          <w:szCs w:val="21"/>
        </w:rPr>
        <w:t>转换费用以人民币元为单位，计算结果按照四舍五入方法，保留小数点后两位</w:t>
      </w:r>
      <w:r w:rsidRPr="00F17515">
        <w:rPr>
          <w:rFonts w:asciiTheme="minorEastAsia" w:eastAsiaTheme="minorEastAsia" w:hAnsiTheme="minorEastAsia" w:cs="宋体" w:hint="eastAsia"/>
          <w:kern w:val="0"/>
          <w:szCs w:val="21"/>
        </w:rPr>
        <w:t>。</w:t>
      </w:r>
    </w:p>
    <w:p w:rsidR="007228CC" w:rsidRPr="00F17515" w:rsidRDefault="0021144C"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7228CC" w:rsidRPr="00F17515" w:rsidRDefault="007228CC" w:rsidP="0071223F">
      <w:pPr>
        <w:pStyle w:val="ae"/>
        <w:tabs>
          <w:tab w:val="left" w:pos="735"/>
        </w:tabs>
        <w:snapToGrid w:val="0"/>
        <w:spacing w:line="360" w:lineRule="auto"/>
        <w:ind w:firstLineChars="200"/>
        <w:rPr>
          <w:rFonts w:asciiTheme="minorEastAsia" w:eastAsiaTheme="minorEastAsia" w:hAnsiTheme="minorEastAsia"/>
        </w:rPr>
      </w:pPr>
      <w:r w:rsidRPr="00F17515">
        <w:rPr>
          <w:rFonts w:asciiTheme="minorEastAsia" w:eastAsiaTheme="minorEastAsia" w:hAnsiTheme="minorEastAsia" w:hint="eastAsia"/>
          <w:szCs w:val="21"/>
        </w:rPr>
        <w:t>4</w:t>
      </w:r>
      <w:r w:rsidR="0021144C" w:rsidRPr="00F17515">
        <w:rPr>
          <w:rFonts w:asciiTheme="minorEastAsia" w:eastAsiaTheme="minorEastAsia" w:hAnsiTheme="minorEastAsia" w:hint="eastAsia"/>
        </w:rPr>
        <w:t>、</w:t>
      </w:r>
      <w:r w:rsidRPr="00F17515">
        <w:rPr>
          <w:rFonts w:asciiTheme="minorEastAsia" w:eastAsiaTheme="minorEastAsia" w:hAnsiTheme="minorEastAsia"/>
        </w:rPr>
        <w:t>基金管理人可以在基金合同规定的范围内调整</w:t>
      </w:r>
      <w:r w:rsidRPr="00F17515">
        <w:rPr>
          <w:rFonts w:asciiTheme="minorEastAsia" w:eastAsiaTheme="minorEastAsia" w:hAnsiTheme="minorEastAsia" w:hint="eastAsia"/>
        </w:rPr>
        <w:t>上述</w:t>
      </w:r>
      <w:r w:rsidRPr="00F17515">
        <w:rPr>
          <w:rFonts w:asciiTheme="minorEastAsia" w:eastAsiaTheme="minorEastAsia" w:hAnsiTheme="minorEastAsia"/>
        </w:rPr>
        <w:t>费率</w:t>
      </w:r>
      <w:r w:rsidRPr="00F17515">
        <w:rPr>
          <w:rFonts w:asciiTheme="minorEastAsia" w:eastAsiaTheme="minorEastAsia" w:hAnsiTheme="minorEastAsia" w:hint="eastAsia"/>
        </w:rPr>
        <w:t>。</w:t>
      </w:r>
      <w:r w:rsidRPr="00F17515">
        <w:rPr>
          <w:rFonts w:asciiTheme="minorEastAsia" w:eastAsiaTheme="minorEastAsia" w:hAnsiTheme="minorEastAsia"/>
        </w:rPr>
        <w:t>上述费率如发生变更，基金管理人应最迟于新的费率实施前</w:t>
      </w:r>
      <w:r w:rsidRPr="00F17515">
        <w:rPr>
          <w:rFonts w:asciiTheme="minorEastAsia" w:eastAsiaTheme="minorEastAsia" w:hAnsiTheme="minorEastAsia" w:hint="eastAsia"/>
        </w:rPr>
        <w:t>2</w:t>
      </w:r>
      <w:r w:rsidRPr="00F17515">
        <w:rPr>
          <w:rFonts w:asciiTheme="minorEastAsia" w:eastAsiaTheme="minorEastAsia" w:hAnsiTheme="minorEastAsia"/>
        </w:rPr>
        <w:t>日在至少一种中国证监会指定</w:t>
      </w:r>
      <w:r w:rsidR="00D53B98" w:rsidRPr="00F17515">
        <w:rPr>
          <w:rFonts w:asciiTheme="minorEastAsia" w:eastAsiaTheme="minorEastAsia" w:hAnsiTheme="minorEastAsia" w:hint="eastAsia"/>
        </w:rPr>
        <w:t>媒介</w:t>
      </w:r>
      <w:r w:rsidRPr="00F17515">
        <w:rPr>
          <w:rFonts w:asciiTheme="minorEastAsia" w:eastAsiaTheme="minorEastAsia" w:hAnsiTheme="minorEastAsia"/>
        </w:rPr>
        <w:t>公告。</w:t>
      </w:r>
    </w:p>
    <w:p w:rsidR="007228CC" w:rsidRPr="00F17515" w:rsidRDefault="0021144C" w:rsidP="0071223F">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5、</w:t>
      </w:r>
      <w:r w:rsidR="009861F0" w:rsidRPr="00F17515">
        <w:rPr>
          <w:rFonts w:asciiTheme="minorEastAsia" w:eastAsiaTheme="minorEastAsia" w:hAnsiTheme="minorEastAsia" w:hint="eastAsia"/>
        </w:rPr>
        <w:t>基金管理人可以在不违反法律法规规定及基金合同约定的情况下根据市场情况制定</w:t>
      </w:r>
      <w:r w:rsidR="009861F0" w:rsidRPr="00F17515">
        <w:rPr>
          <w:rFonts w:asciiTheme="minorEastAsia" w:eastAsiaTheme="minorEastAsia" w:hAnsiTheme="minorEastAsia" w:hint="eastAsia"/>
        </w:rPr>
        <w:lastRenderedPageBreak/>
        <w:t>基金促销计划，针对基金投资者定期和不定期地开展基金促销活动。在基金促销活动期间，基金管理人可以适当调低基金销售费率，或针对特定渠道、特定投资群体开展有差别的费率优惠活动。</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18" w:name="_Toc211920191"/>
      <w:bookmarkStart w:id="419" w:name="_Toc211927720"/>
      <w:bookmarkStart w:id="420" w:name="_Toc41556832"/>
      <w:r w:rsidRPr="00F17515">
        <w:rPr>
          <w:rFonts w:asciiTheme="minorEastAsia" w:eastAsiaTheme="minorEastAsia" w:hAnsiTheme="minorEastAsia" w:hint="eastAsia"/>
        </w:rPr>
        <w:t>（三）税收</w:t>
      </w:r>
      <w:bookmarkEnd w:id="418"/>
      <w:bookmarkEnd w:id="419"/>
      <w:bookmarkEnd w:id="420"/>
    </w:p>
    <w:p w:rsidR="007228CC" w:rsidRPr="00F17515" w:rsidRDefault="007228CC" w:rsidP="0071223F">
      <w:pPr>
        <w:snapToGrid w:val="0"/>
        <w:spacing w:line="360" w:lineRule="auto"/>
        <w:ind w:firstLine="420"/>
        <w:rPr>
          <w:rFonts w:asciiTheme="minorEastAsia" w:eastAsiaTheme="minorEastAsia" w:hAnsiTheme="minorEastAsia"/>
          <w:kern w:val="0"/>
          <w:sz w:val="24"/>
        </w:rPr>
      </w:pPr>
      <w:r w:rsidRPr="00F17515">
        <w:rPr>
          <w:rFonts w:asciiTheme="minorEastAsia" w:eastAsiaTheme="minorEastAsia" w:hAnsiTheme="minorEastAsia" w:hint="eastAsia"/>
          <w:szCs w:val="21"/>
        </w:rPr>
        <w:t>本基金运作过程中涉及的各纳税主体，应按国家税收法律、法规履行其纳税义务。</w:t>
      </w:r>
    </w:p>
    <w:bookmarkEnd w:id="416"/>
    <w:bookmarkEnd w:id="417"/>
    <w:p w:rsidR="007228CC" w:rsidRPr="00F17515" w:rsidRDefault="007228CC" w:rsidP="0071223F">
      <w:pPr>
        <w:snapToGrid w:val="0"/>
        <w:spacing w:line="360" w:lineRule="auto"/>
        <w:rPr>
          <w:rFonts w:asciiTheme="minorEastAsia" w:eastAsiaTheme="minorEastAsia" w:hAnsiTheme="minorEastAsia"/>
        </w:rPr>
      </w:pPr>
    </w:p>
    <w:p w:rsidR="007228CC" w:rsidRPr="00F17515" w:rsidRDefault="007228CC" w:rsidP="0071223F">
      <w:pPr>
        <w:snapToGrid w:val="0"/>
        <w:spacing w:line="360" w:lineRule="auto"/>
        <w:ind w:firstLine="640"/>
        <w:rPr>
          <w:rFonts w:asciiTheme="minorEastAsia" w:eastAsiaTheme="minorEastAsia" w:hAnsiTheme="minorEastAsia"/>
        </w:rPr>
      </w:pPr>
    </w:p>
    <w:p w:rsidR="007228CC" w:rsidRPr="00F17515" w:rsidRDefault="007228CC" w:rsidP="0071223F">
      <w:pPr>
        <w:snapToGrid w:val="0"/>
        <w:spacing w:line="360" w:lineRule="auto"/>
        <w:ind w:firstLine="640"/>
        <w:rPr>
          <w:rFonts w:asciiTheme="minorEastAsia" w:eastAsiaTheme="minorEastAsia" w:hAnsiTheme="minorEastAsia"/>
        </w:rPr>
      </w:pPr>
    </w:p>
    <w:p w:rsidR="007228CC" w:rsidRPr="00F17515" w:rsidRDefault="007228CC" w:rsidP="00941EC8">
      <w:pPr>
        <w:pStyle w:val="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rPr>
        <w:sectPr w:rsidR="007228CC" w:rsidRPr="00F17515" w:rsidSect="00DE4B5E">
          <w:pgSz w:w="11906" w:h="16838" w:code="9"/>
          <w:pgMar w:top="1440" w:right="1800" w:bottom="1440" w:left="1800" w:header="851" w:footer="992" w:gutter="0"/>
          <w:cols w:space="425"/>
          <w:docGrid w:type="lines" w:linePitch="312"/>
        </w:sectPr>
      </w:pPr>
      <w:bookmarkStart w:id="421" w:name="_Toc211920192"/>
      <w:bookmarkStart w:id="422" w:name="_Toc211927721"/>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23" w:name="_Toc41556833"/>
      <w:r w:rsidRPr="00F17515">
        <w:rPr>
          <w:rFonts w:asciiTheme="minorEastAsia" w:eastAsiaTheme="minorEastAsia" w:hAnsiTheme="minorEastAsia" w:hint="eastAsia"/>
          <w:b/>
        </w:rPr>
        <w:lastRenderedPageBreak/>
        <w:t>基金的会计与审计</w:t>
      </w:r>
      <w:bookmarkEnd w:id="421"/>
      <w:bookmarkEnd w:id="422"/>
      <w:bookmarkEnd w:id="423"/>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24" w:name="_Toc211920193"/>
      <w:bookmarkStart w:id="425" w:name="_Toc211927722"/>
      <w:bookmarkStart w:id="426" w:name="_Toc41556834"/>
      <w:r w:rsidRPr="00F17515">
        <w:rPr>
          <w:rFonts w:asciiTheme="minorEastAsia" w:eastAsiaTheme="minorEastAsia" w:hAnsiTheme="minorEastAsia" w:hint="eastAsia"/>
        </w:rPr>
        <w:t>（一）基金会计政策</w:t>
      </w:r>
      <w:bookmarkEnd w:id="424"/>
      <w:bookmarkEnd w:id="425"/>
      <w:bookmarkEnd w:id="426"/>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基金管理人为本基金的基金会计责任方；</w:t>
      </w:r>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本基金的会计年度为公历每年的</w:t>
      </w:r>
      <w:r w:rsidR="007228CC" w:rsidRPr="00F17515">
        <w:rPr>
          <w:rFonts w:asciiTheme="minorEastAsia" w:eastAsiaTheme="minorEastAsia" w:hAnsiTheme="minorEastAsia"/>
        </w:rPr>
        <w:t>1</w:t>
      </w:r>
      <w:r w:rsidR="007228CC" w:rsidRPr="00F17515">
        <w:rPr>
          <w:rFonts w:asciiTheme="minorEastAsia" w:eastAsiaTheme="minorEastAsia" w:hAnsiTheme="minorEastAsia" w:hint="eastAsia"/>
        </w:rPr>
        <w:t>月</w:t>
      </w:r>
      <w:r w:rsidR="007228CC" w:rsidRPr="00F17515">
        <w:rPr>
          <w:rFonts w:asciiTheme="minorEastAsia" w:eastAsiaTheme="minorEastAsia" w:hAnsiTheme="minorEastAsia"/>
        </w:rPr>
        <w:t>1</w:t>
      </w:r>
      <w:r w:rsidR="007228CC" w:rsidRPr="00F17515">
        <w:rPr>
          <w:rFonts w:asciiTheme="minorEastAsia" w:eastAsiaTheme="minorEastAsia" w:hAnsiTheme="minorEastAsia" w:hint="eastAsia"/>
        </w:rPr>
        <w:t>日至</w:t>
      </w:r>
      <w:r w:rsidR="007228CC" w:rsidRPr="00F17515">
        <w:rPr>
          <w:rFonts w:asciiTheme="minorEastAsia" w:eastAsiaTheme="minorEastAsia" w:hAnsiTheme="minorEastAsia"/>
        </w:rPr>
        <w:t>12</w:t>
      </w:r>
      <w:r w:rsidR="007228CC" w:rsidRPr="00F17515">
        <w:rPr>
          <w:rFonts w:asciiTheme="minorEastAsia" w:eastAsiaTheme="minorEastAsia" w:hAnsiTheme="minorEastAsia" w:hint="eastAsia"/>
        </w:rPr>
        <w:t>月</w:t>
      </w:r>
      <w:r w:rsidR="007228CC" w:rsidRPr="00F17515">
        <w:rPr>
          <w:rFonts w:asciiTheme="minorEastAsia" w:eastAsiaTheme="minorEastAsia" w:hAnsiTheme="minorEastAsia"/>
        </w:rPr>
        <w:t>31</w:t>
      </w:r>
      <w:r w:rsidR="007228CC" w:rsidRPr="00F17515">
        <w:rPr>
          <w:rFonts w:asciiTheme="minorEastAsia" w:eastAsiaTheme="minorEastAsia" w:hAnsiTheme="minorEastAsia" w:hint="eastAsia"/>
        </w:rPr>
        <w:t>日，</w:t>
      </w:r>
      <w:r w:rsidR="007228CC" w:rsidRPr="00F17515">
        <w:rPr>
          <w:rFonts w:asciiTheme="minorEastAsia" w:eastAsiaTheme="minorEastAsia" w:hAnsiTheme="minorEastAsia"/>
        </w:rPr>
        <w:t>如果基金募集</w:t>
      </w:r>
      <w:r w:rsidR="007228CC" w:rsidRPr="00F17515">
        <w:rPr>
          <w:rFonts w:asciiTheme="minorEastAsia" w:eastAsiaTheme="minorEastAsia" w:hAnsiTheme="minorEastAsia" w:hint="eastAsia"/>
        </w:rPr>
        <w:t>所在</w:t>
      </w:r>
      <w:r w:rsidR="007228CC" w:rsidRPr="00F17515">
        <w:rPr>
          <w:rFonts w:asciiTheme="minorEastAsia" w:eastAsiaTheme="minorEastAsia" w:hAnsiTheme="minorEastAsia"/>
        </w:rPr>
        <w:t>的会计年度，基金合同生效少于</w:t>
      </w:r>
      <w:r w:rsidR="007228CC" w:rsidRPr="00F17515">
        <w:rPr>
          <w:rFonts w:asciiTheme="minorEastAsia" w:eastAsiaTheme="minorEastAsia" w:hAnsiTheme="minorEastAsia" w:hint="eastAsia"/>
        </w:rPr>
        <w:t>2</w:t>
      </w:r>
      <w:r w:rsidR="007228CC" w:rsidRPr="00F17515">
        <w:rPr>
          <w:rFonts w:asciiTheme="minorEastAsia" w:eastAsiaTheme="minorEastAsia" w:hAnsiTheme="minorEastAsia"/>
        </w:rPr>
        <w:t>个月</w:t>
      </w:r>
      <w:r w:rsidR="007228CC" w:rsidRPr="00F17515">
        <w:rPr>
          <w:rFonts w:asciiTheme="minorEastAsia" w:eastAsiaTheme="minorEastAsia" w:hAnsiTheme="minorEastAsia" w:hint="eastAsia"/>
        </w:rPr>
        <w:t>，</w:t>
      </w:r>
      <w:r w:rsidR="007228CC" w:rsidRPr="00F17515">
        <w:rPr>
          <w:rFonts w:asciiTheme="minorEastAsia" w:eastAsiaTheme="minorEastAsia" w:hAnsiTheme="minorEastAsia"/>
        </w:rPr>
        <w:t>可以并入下一个会计年度</w:t>
      </w:r>
      <w:r w:rsidR="007228CC" w:rsidRPr="00F17515">
        <w:rPr>
          <w:rFonts w:asciiTheme="minorEastAsia" w:eastAsiaTheme="minorEastAsia" w:hAnsiTheme="minorEastAsia" w:hint="eastAsia"/>
        </w:rPr>
        <w:t>；</w:t>
      </w:r>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3、</w:t>
      </w:r>
      <w:r w:rsidR="007228CC" w:rsidRPr="00F17515">
        <w:rPr>
          <w:rFonts w:asciiTheme="minorEastAsia" w:eastAsiaTheme="minorEastAsia" w:hAnsiTheme="minorEastAsia" w:hint="eastAsia"/>
        </w:rPr>
        <w:t>基金核算以人民币为记账本位币，以人民币元为记账单位；</w:t>
      </w:r>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4、</w:t>
      </w:r>
      <w:r w:rsidR="007228CC" w:rsidRPr="00F17515">
        <w:rPr>
          <w:rFonts w:asciiTheme="minorEastAsia" w:eastAsiaTheme="minorEastAsia" w:hAnsiTheme="minorEastAsia" w:hint="eastAsia"/>
        </w:rPr>
        <w:t>会计制度执行国家有关会计制度；</w:t>
      </w:r>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5、</w:t>
      </w:r>
      <w:r w:rsidR="007228CC" w:rsidRPr="00F17515">
        <w:rPr>
          <w:rFonts w:asciiTheme="minorEastAsia" w:eastAsiaTheme="minorEastAsia" w:hAnsiTheme="minorEastAsia" w:hint="eastAsia"/>
        </w:rPr>
        <w:t>本基金独立建账、独立核算；</w:t>
      </w:r>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6、</w:t>
      </w:r>
      <w:r w:rsidR="007228CC" w:rsidRPr="00F17515">
        <w:rPr>
          <w:rFonts w:asciiTheme="minorEastAsia" w:eastAsiaTheme="minorEastAsia" w:hAnsiTheme="minorEastAsia" w:hint="eastAsia"/>
        </w:rPr>
        <w:t>基金管理人保留完整的会计账目、凭证并进行日常的会计核算，按照有关规定编制基金会计报表；</w:t>
      </w:r>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7、</w:t>
      </w:r>
      <w:r w:rsidR="007228CC" w:rsidRPr="00F17515">
        <w:rPr>
          <w:rFonts w:asciiTheme="minorEastAsia" w:eastAsiaTheme="minorEastAsia" w:hAnsiTheme="minorEastAsia" w:hint="eastAsia"/>
        </w:rPr>
        <w:t>基金托管人定期与基金管理人就基金的会计核算、报表编制等进行核对并书面确认。</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27" w:name="_Toc211920194"/>
      <w:bookmarkStart w:id="428" w:name="_Toc211927723"/>
      <w:bookmarkStart w:id="429" w:name="_Toc41556835"/>
      <w:r w:rsidRPr="00F17515">
        <w:rPr>
          <w:rFonts w:asciiTheme="minorEastAsia" w:eastAsiaTheme="minorEastAsia" w:hAnsiTheme="minorEastAsia" w:hint="eastAsia"/>
        </w:rPr>
        <w:t>（二）基金年度审计</w:t>
      </w:r>
      <w:bookmarkEnd w:id="427"/>
      <w:bookmarkEnd w:id="428"/>
      <w:bookmarkEnd w:id="429"/>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基金管理人聘请具有</w:t>
      </w:r>
      <w:r w:rsidR="00DA0868" w:rsidRPr="00F17515">
        <w:rPr>
          <w:rFonts w:asciiTheme="minorEastAsia" w:eastAsiaTheme="minorEastAsia" w:hAnsiTheme="minorEastAsia" w:hint="eastAsia"/>
        </w:rPr>
        <w:t>证券、期货相关业务资格</w:t>
      </w:r>
      <w:r w:rsidR="007228CC" w:rsidRPr="00F17515">
        <w:rPr>
          <w:rFonts w:asciiTheme="minorEastAsia" w:eastAsiaTheme="minorEastAsia" w:hAnsiTheme="minorEastAsia" w:hint="eastAsia"/>
        </w:rPr>
        <w:t>的会计师事务所及其注册会计师对本基金年度财务报表</w:t>
      </w:r>
      <w:r w:rsidR="007228CC" w:rsidRPr="00F17515">
        <w:rPr>
          <w:rFonts w:asciiTheme="minorEastAsia" w:eastAsiaTheme="minorEastAsia" w:hAnsiTheme="minorEastAsia"/>
        </w:rPr>
        <w:t>及其他规定事项</w:t>
      </w:r>
      <w:r w:rsidR="007228CC" w:rsidRPr="00F17515">
        <w:rPr>
          <w:rFonts w:asciiTheme="minorEastAsia" w:eastAsiaTheme="minorEastAsia" w:hAnsiTheme="minorEastAsia" w:hint="eastAsia"/>
        </w:rPr>
        <w:t>进行审计。会计师事务所及其注册会计师与基金管理人、基金托管人相互独立。</w:t>
      </w:r>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会计师事务所更换经办注册会计师时，应事先征得基金管理人同意。</w:t>
      </w:r>
    </w:p>
    <w:p w:rsidR="007228CC" w:rsidRPr="00F17515" w:rsidRDefault="0021144C" w:rsidP="0021144C">
      <w:pPr>
        <w:autoSpaceDE w:val="0"/>
        <w:autoSpaceDN w:val="0"/>
        <w:adjustRightInd w:val="0"/>
        <w:snapToGrid w:val="0"/>
        <w:spacing w:line="360" w:lineRule="auto"/>
        <w:ind w:firstLine="420"/>
        <w:jc w:val="left"/>
        <w:rPr>
          <w:rFonts w:asciiTheme="minorEastAsia" w:eastAsiaTheme="minorEastAsia" w:hAnsiTheme="minorEastAsia"/>
        </w:rPr>
      </w:pPr>
      <w:r w:rsidRPr="00F17515">
        <w:rPr>
          <w:rFonts w:asciiTheme="minorEastAsia" w:eastAsiaTheme="minorEastAsia" w:hAnsiTheme="minorEastAsia" w:hint="eastAsia"/>
        </w:rPr>
        <w:t>3、</w:t>
      </w:r>
      <w:r w:rsidR="007228CC" w:rsidRPr="00F17515">
        <w:rPr>
          <w:rFonts w:asciiTheme="minorEastAsia" w:eastAsiaTheme="minorEastAsia" w:hAnsiTheme="minorEastAsia" w:hint="eastAsia"/>
        </w:rPr>
        <w:t>基金管理人(或基金托管人)认为有充足理由更换会计师事务所，经基金托管人(或基金管理人)同意，</w:t>
      </w:r>
      <w:r w:rsidR="007228CC" w:rsidRPr="00F17515">
        <w:rPr>
          <w:rFonts w:asciiTheme="minorEastAsia" w:eastAsiaTheme="minorEastAsia" w:hAnsiTheme="minorEastAsia"/>
        </w:rPr>
        <w:t>并</w:t>
      </w:r>
      <w:r w:rsidR="007228CC" w:rsidRPr="00F17515">
        <w:rPr>
          <w:rFonts w:asciiTheme="minorEastAsia" w:eastAsiaTheme="minorEastAsia" w:hAnsiTheme="minorEastAsia" w:hint="eastAsia"/>
        </w:rPr>
        <w:t>依照《信息披露办法》的有关规定在</w:t>
      </w:r>
      <w:r w:rsidR="00575E02" w:rsidRPr="00F17515">
        <w:rPr>
          <w:rFonts w:asciiTheme="minorEastAsia" w:eastAsiaTheme="minorEastAsia" w:hAnsiTheme="minorEastAsia" w:hint="eastAsia"/>
        </w:rPr>
        <w:t>指定媒介</w:t>
      </w:r>
      <w:r w:rsidR="007228CC" w:rsidRPr="00F17515">
        <w:rPr>
          <w:rFonts w:asciiTheme="minorEastAsia" w:eastAsiaTheme="minorEastAsia" w:hAnsiTheme="minorEastAsia" w:hint="eastAsia"/>
        </w:rPr>
        <w:t>上公告。</w:t>
      </w:r>
    </w:p>
    <w:p w:rsidR="007228CC" w:rsidRPr="00F17515" w:rsidRDefault="007228CC" w:rsidP="0071223F">
      <w:pPr>
        <w:snapToGrid w:val="0"/>
        <w:spacing w:line="360" w:lineRule="auto"/>
        <w:rPr>
          <w:rFonts w:asciiTheme="minorEastAsia" w:eastAsiaTheme="minorEastAsia" w:hAnsiTheme="minorEastAsia"/>
        </w:rPr>
      </w:pPr>
    </w:p>
    <w:p w:rsidR="007228CC" w:rsidRPr="00F17515" w:rsidRDefault="007228CC" w:rsidP="0071223F">
      <w:pPr>
        <w:snapToGrid w:val="0"/>
        <w:spacing w:line="360" w:lineRule="auto"/>
        <w:rPr>
          <w:rFonts w:asciiTheme="minorEastAsia" w:eastAsiaTheme="minorEastAsia" w:hAnsiTheme="minorEastAsia"/>
        </w:rPr>
      </w:pPr>
    </w:p>
    <w:p w:rsidR="007228CC" w:rsidRPr="00F17515" w:rsidRDefault="007228CC" w:rsidP="00941EC8">
      <w:pPr>
        <w:pStyle w:val="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rPr>
        <w:sectPr w:rsidR="007228CC" w:rsidRPr="00F17515" w:rsidSect="00DE4B5E">
          <w:pgSz w:w="11906" w:h="16838" w:code="9"/>
          <w:pgMar w:top="1440" w:right="1800" w:bottom="1440" w:left="1800" w:header="851" w:footer="992" w:gutter="0"/>
          <w:cols w:space="425"/>
          <w:docGrid w:type="lines" w:linePitch="312"/>
        </w:sectPr>
      </w:pP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30" w:name="_Toc41556836"/>
      <w:r w:rsidRPr="00F17515">
        <w:rPr>
          <w:rFonts w:asciiTheme="minorEastAsia" w:eastAsiaTheme="minorEastAsia" w:hAnsiTheme="minorEastAsia" w:hint="eastAsia"/>
          <w:b/>
        </w:rPr>
        <w:lastRenderedPageBreak/>
        <w:t>基金的信息披露</w:t>
      </w:r>
      <w:bookmarkEnd w:id="430"/>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的信息披露应符合《基金法》、《运作办法》、《信息披露办法》、基金合同、及其他有关规定。基金管理人、基金托管人和其他基金信息披露义务人以保护基金份额持有人利益为根本出发点，按照法律法规和中国证监会的规定披露基金信息，并保证所披露信息的真实性、准确性、完整性、及时性、简明性和易得性。</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本基金信息披露义务人应当在中国证监会规定时间内，将应予披露的基金信息通过中国证监会指定媒介披露，并保证基金投资者能够按照《基金合同》约定的时间和方式查阅或者复制公开披露的信息资料。</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本基金信息披露义务人承诺公开披露的基金信息，不得有下列行为：</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1.虚假记载、误导性陈述或者重大遗漏；</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2.对证券投资业绩进行预测；</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3.违规承诺收益或者承担损失；</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4.诋毁其他基金管理人、基金托管人或者基金份额发售机构；</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5.登载任何自然人、法人和非法人组织的祝贺性、恭维性或推荐性的文字；</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6.中国证监会禁止的其他行为。</w:t>
      </w:r>
    </w:p>
    <w:p w:rsidR="007228CC" w:rsidRPr="00F17515" w:rsidRDefault="00DA0868"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本基金公开披露的信息应采用中文文本。如同时采用外文文本的，基金信息披露义务人应保证不同文本的内容一致。不同文本之间发生歧义的，以中文文本为准。</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本基金公开披露的信息采用阿拉伯数字；除特别说明外，货币单位为人民币元。</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公开披露的基金信息包括：</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31" w:name="_Toc211920196"/>
      <w:bookmarkStart w:id="432" w:name="_Toc211927725"/>
      <w:bookmarkStart w:id="433" w:name="_Toc41556837"/>
      <w:r w:rsidRPr="00F17515">
        <w:rPr>
          <w:rFonts w:asciiTheme="minorEastAsia" w:eastAsiaTheme="minorEastAsia" w:hAnsiTheme="minorEastAsia" w:hint="eastAsia"/>
        </w:rPr>
        <w:t>（</w:t>
      </w:r>
      <w:r w:rsidRPr="00F17515">
        <w:rPr>
          <w:rFonts w:asciiTheme="minorEastAsia" w:eastAsiaTheme="minorEastAsia" w:hAnsiTheme="minorEastAsia"/>
        </w:rPr>
        <w:t>一</w:t>
      </w:r>
      <w:r w:rsidRPr="00F17515">
        <w:rPr>
          <w:rFonts w:asciiTheme="minorEastAsia" w:eastAsiaTheme="minorEastAsia" w:hAnsiTheme="minorEastAsia" w:hint="eastAsia"/>
        </w:rPr>
        <w:t>）</w:t>
      </w:r>
      <w:r w:rsidRPr="00F17515">
        <w:rPr>
          <w:rFonts w:asciiTheme="minorEastAsia" w:eastAsiaTheme="minorEastAsia" w:hAnsiTheme="minorEastAsia"/>
        </w:rPr>
        <w:t>招募说明书</w:t>
      </w:r>
      <w:bookmarkEnd w:id="431"/>
      <w:bookmarkEnd w:id="432"/>
      <w:bookmarkEnd w:id="433"/>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招募说明书是基金向社会公开发售时对基金情况进行说明的法律文件。</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7228CC"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基金管理人按照《基金法》、《信息披露办法》、基金合同编制并在基金份额发售的3日前，将基金招募说明书登载在指定报刊和网站上。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34" w:name="_Toc211920197"/>
      <w:bookmarkStart w:id="435" w:name="_Toc211927726"/>
      <w:bookmarkStart w:id="436" w:name="_Toc41556838"/>
      <w:r w:rsidRPr="00F17515">
        <w:rPr>
          <w:rFonts w:asciiTheme="minorEastAsia" w:eastAsiaTheme="minorEastAsia" w:hAnsiTheme="minorEastAsia" w:hint="eastAsia"/>
        </w:rPr>
        <w:t>（</w:t>
      </w:r>
      <w:r w:rsidRPr="00F17515">
        <w:rPr>
          <w:rFonts w:asciiTheme="minorEastAsia" w:eastAsiaTheme="minorEastAsia" w:hAnsiTheme="minorEastAsia"/>
        </w:rPr>
        <w:t>二</w:t>
      </w:r>
      <w:r w:rsidRPr="00F17515">
        <w:rPr>
          <w:rFonts w:asciiTheme="minorEastAsia" w:eastAsiaTheme="minorEastAsia" w:hAnsiTheme="minorEastAsia" w:hint="eastAsia"/>
        </w:rPr>
        <w:t>）</w:t>
      </w:r>
      <w:r w:rsidRPr="00F17515">
        <w:rPr>
          <w:rFonts w:asciiTheme="minorEastAsia" w:eastAsiaTheme="minorEastAsia" w:hAnsiTheme="minorEastAsia"/>
        </w:rPr>
        <w:t>基金合同、托管协议</w:t>
      </w:r>
      <w:bookmarkEnd w:id="434"/>
      <w:bookmarkEnd w:id="435"/>
      <w:bookmarkEnd w:id="436"/>
    </w:p>
    <w:p w:rsidR="00DA0868" w:rsidRPr="00F17515" w:rsidRDefault="00DA0868"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基金管理人应在基金份额发售的3日前，将基金合同摘要登载在指定报刊和网站上；基金管理人、基金托管人应将基金合同、托管协议登载在各自网站上。</w:t>
      </w:r>
    </w:p>
    <w:p w:rsidR="00DA0868" w:rsidRPr="00F17515" w:rsidRDefault="00DA0868" w:rsidP="00941EC8">
      <w:pPr>
        <w:pStyle w:val="2"/>
        <w:snapToGrid w:val="0"/>
        <w:spacing w:beforeLines="0" w:afterLines="0" w:line="360" w:lineRule="auto"/>
        <w:ind w:firstLineChars="0" w:firstLine="0"/>
        <w:rPr>
          <w:rFonts w:asciiTheme="minorEastAsia" w:eastAsiaTheme="minorEastAsia" w:hAnsiTheme="minorEastAsia"/>
        </w:rPr>
      </w:pPr>
      <w:bookmarkStart w:id="437" w:name="_Toc41556839"/>
      <w:r w:rsidRPr="00F17515">
        <w:rPr>
          <w:rFonts w:asciiTheme="minorEastAsia" w:eastAsiaTheme="minorEastAsia" w:hAnsiTheme="minorEastAsia" w:hint="eastAsia"/>
        </w:rPr>
        <w:lastRenderedPageBreak/>
        <w:t>（三）基金产品资料概要</w:t>
      </w:r>
      <w:bookmarkEnd w:id="437"/>
    </w:p>
    <w:p w:rsidR="007228CC"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38" w:name="_Toc211920198"/>
      <w:bookmarkStart w:id="439" w:name="_Toc211927727"/>
      <w:bookmarkStart w:id="440" w:name="_Toc41556840"/>
      <w:r w:rsidRPr="00F17515">
        <w:rPr>
          <w:rFonts w:asciiTheme="minorEastAsia" w:eastAsiaTheme="minorEastAsia" w:hAnsiTheme="minorEastAsia" w:hint="eastAsia"/>
        </w:rPr>
        <w:t>（</w:t>
      </w:r>
      <w:r w:rsidR="00DA0868" w:rsidRPr="00F17515">
        <w:rPr>
          <w:rFonts w:asciiTheme="minorEastAsia" w:eastAsiaTheme="minorEastAsia" w:hAnsiTheme="minorEastAsia"/>
        </w:rPr>
        <w:t>四</w:t>
      </w:r>
      <w:r w:rsidRPr="00F17515">
        <w:rPr>
          <w:rFonts w:asciiTheme="minorEastAsia" w:eastAsiaTheme="minorEastAsia" w:hAnsiTheme="minorEastAsia" w:hint="eastAsia"/>
        </w:rPr>
        <w:t>）</w:t>
      </w:r>
      <w:r w:rsidRPr="00F17515">
        <w:rPr>
          <w:rFonts w:asciiTheme="minorEastAsia" w:eastAsiaTheme="minorEastAsia" w:hAnsiTheme="minorEastAsia"/>
        </w:rPr>
        <w:t>基金份额发售公告</w:t>
      </w:r>
      <w:bookmarkEnd w:id="438"/>
      <w:bookmarkEnd w:id="439"/>
      <w:bookmarkEnd w:id="440"/>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基金管理人将按照《基金法》、《信息披露办法》的有关规定，就基金份额发售的具体事宜编制基金份额发售公告，并在披露招募说明书的当日登载于指定报刊和网站上。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41" w:name="_Toc211920199"/>
      <w:bookmarkStart w:id="442" w:name="_Toc211927728"/>
      <w:bookmarkStart w:id="443" w:name="_Toc41556841"/>
      <w:r w:rsidRPr="00F17515">
        <w:rPr>
          <w:rFonts w:asciiTheme="minorEastAsia" w:eastAsiaTheme="minorEastAsia" w:hAnsiTheme="minorEastAsia" w:hint="eastAsia"/>
        </w:rPr>
        <w:t>（</w:t>
      </w:r>
      <w:r w:rsidR="00DA0868" w:rsidRPr="00F17515">
        <w:rPr>
          <w:rFonts w:asciiTheme="minorEastAsia" w:eastAsiaTheme="minorEastAsia" w:hAnsiTheme="minorEastAsia"/>
        </w:rPr>
        <w:t>五</w:t>
      </w:r>
      <w:r w:rsidRPr="00F17515">
        <w:rPr>
          <w:rFonts w:asciiTheme="minorEastAsia" w:eastAsiaTheme="minorEastAsia" w:hAnsiTheme="minorEastAsia" w:hint="eastAsia"/>
        </w:rPr>
        <w:t>）</w:t>
      </w:r>
      <w:r w:rsidRPr="00F17515">
        <w:rPr>
          <w:rFonts w:asciiTheme="minorEastAsia" w:eastAsiaTheme="minorEastAsia" w:hAnsiTheme="minorEastAsia"/>
        </w:rPr>
        <w:t>基金合同生效公告</w:t>
      </w:r>
      <w:bookmarkEnd w:id="441"/>
      <w:bookmarkEnd w:id="442"/>
      <w:bookmarkEnd w:id="443"/>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基金管理人将在基金合同生效的次日在指定报刊和网站上登载基金合同生效公告。</w:t>
      </w:r>
      <w:r w:rsidRPr="00F17515">
        <w:rPr>
          <w:rFonts w:asciiTheme="minorEastAsia" w:eastAsiaTheme="minorEastAsia" w:hAnsiTheme="minorEastAsia" w:hint="eastAsia"/>
          <w:szCs w:val="21"/>
        </w:rPr>
        <w:t>基金合同生效公告中将说明基金募集情况。</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44" w:name="_Toc211920200"/>
      <w:bookmarkStart w:id="445" w:name="_Toc211927729"/>
      <w:bookmarkStart w:id="446" w:name="_Toc41556842"/>
      <w:r w:rsidRPr="00F17515">
        <w:rPr>
          <w:rFonts w:asciiTheme="minorEastAsia" w:eastAsiaTheme="minorEastAsia" w:hAnsiTheme="minorEastAsia" w:hint="eastAsia"/>
        </w:rPr>
        <w:t>（</w:t>
      </w:r>
      <w:r w:rsidR="00DA0868" w:rsidRPr="00F17515">
        <w:rPr>
          <w:rFonts w:asciiTheme="minorEastAsia" w:eastAsiaTheme="minorEastAsia" w:hAnsiTheme="minorEastAsia" w:hint="eastAsia"/>
        </w:rPr>
        <w:t>六</w:t>
      </w:r>
      <w:r w:rsidRPr="00F17515">
        <w:rPr>
          <w:rFonts w:asciiTheme="minorEastAsia" w:eastAsiaTheme="minorEastAsia" w:hAnsiTheme="minorEastAsia" w:hint="eastAsia"/>
        </w:rPr>
        <w:t>）</w:t>
      </w:r>
      <w:r w:rsidR="00DA0868" w:rsidRPr="00F17515">
        <w:rPr>
          <w:rFonts w:asciiTheme="minorEastAsia" w:eastAsiaTheme="minorEastAsia" w:hAnsiTheme="minorEastAsia" w:hint="eastAsia"/>
        </w:rPr>
        <w:t>基金净值信息</w:t>
      </w:r>
      <w:bookmarkEnd w:id="444"/>
      <w:bookmarkEnd w:id="445"/>
      <w:bookmarkEnd w:id="446"/>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1、基金合同生效后，在开始办理基金份额申购或者赎回前，基金管理人应当至少每周在指定网站披露一次基金份额净值和基金份额累计净值；</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2、在开始办理基金份额申购或者赎回后，基金管理人应当在不晚于每个开放日的次日，通过指定网站、基金销售机构网站或者营业网点，披露开放日的基金份额净值和基金份额累计净值；</w:t>
      </w:r>
    </w:p>
    <w:p w:rsidR="007228CC"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3、基金管理人应当在不晚于半年度和年度最后一日的次日，在指定网站披露半年度和年度最后一日的基金份额净值和基金份额累计净值。</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47" w:name="_Toc211920201"/>
      <w:bookmarkStart w:id="448" w:name="_Toc211927730"/>
      <w:bookmarkStart w:id="449" w:name="_Toc41556843"/>
      <w:r w:rsidRPr="00F17515">
        <w:rPr>
          <w:rFonts w:asciiTheme="minorEastAsia" w:eastAsiaTheme="minorEastAsia" w:hAnsiTheme="minorEastAsia" w:hint="eastAsia"/>
        </w:rPr>
        <w:t>（</w:t>
      </w:r>
      <w:r w:rsidR="00DA0868" w:rsidRPr="00F17515">
        <w:rPr>
          <w:rFonts w:asciiTheme="minorEastAsia" w:eastAsiaTheme="minorEastAsia" w:hAnsiTheme="minorEastAsia" w:hint="eastAsia"/>
        </w:rPr>
        <w:t>七</w:t>
      </w:r>
      <w:r w:rsidRPr="00F17515">
        <w:rPr>
          <w:rFonts w:asciiTheme="minorEastAsia" w:eastAsiaTheme="minorEastAsia" w:hAnsiTheme="minorEastAsia" w:hint="eastAsia"/>
        </w:rPr>
        <w:t>）</w:t>
      </w:r>
      <w:r w:rsidRPr="00F17515">
        <w:rPr>
          <w:rFonts w:asciiTheme="minorEastAsia" w:eastAsiaTheme="minorEastAsia" w:hAnsiTheme="minorEastAsia"/>
        </w:rPr>
        <w:t>基金份额申购、赎回价格公告</w:t>
      </w:r>
      <w:bookmarkEnd w:id="447"/>
      <w:bookmarkEnd w:id="448"/>
      <w:bookmarkEnd w:id="449"/>
    </w:p>
    <w:p w:rsidR="007228CC" w:rsidRPr="00F17515" w:rsidRDefault="00DA0868"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50" w:name="_Toc211920202"/>
      <w:bookmarkStart w:id="451" w:name="_Toc211927731"/>
      <w:bookmarkStart w:id="452" w:name="_Toc41556844"/>
      <w:r w:rsidRPr="00F17515">
        <w:rPr>
          <w:rFonts w:asciiTheme="minorEastAsia" w:eastAsiaTheme="minorEastAsia" w:hAnsiTheme="minorEastAsia" w:hint="eastAsia"/>
        </w:rPr>
        <w:t>（</w:t>
      </w:r>
      <w:r w:rsidR="00DA0868" w:rsidRPr="00F17515">
        <w:rPr>
          <w:rFonts w:asciiTheme="minorEastAsia" w:eastAsiaTheme="minorEastAsia" w:hAnsiTheme="minorEastAsia" w:hint="eastAsia"/>
        </w:rPr>
        <w:t>八</w:t>
      </w:r>
      <w:r w:rsidRPr="00F17515">
        <w:rPr>
          <w:rFonts w:asciiTheme="minorEastAsia" w:eastAsiaTheme="minorEastAsia" w:hAnsiTheme="minorEastAsia" w:hint="eastAsia"/>
        </w:rPr>
        <w:t>）</w:t>
      </w:r>
      <w:r w:rsidRPr="00F17515">
        <w:rPr>
          <w:rFonts w:asciiTheme="minorEastAsia" w:eastAsiaTheme="minorEastAsia" w:hAnsiTheme="minorEastAsia"/>
        </w:rPr>
        <w:t>基金年度报告、基金</w:t>
      </w:r>
      <w:r w:rsidR="00DA0868" w:rsidRPr="00F17515">
        <w:rPr>
          <w:rFonts w:asciiTheme="minorEastAsia" w:eastAsiaTheme="minorEastAsia" w:hAnsiTheme="minorEastAsia"/>
        </w:rPr>
        <w:t>中期</w:t>
      </w:r>
      <w:r w:rsidRPr="00F17515">
        <w:rPr>
          <w:rFonts w:asciiTheme="minorEastAsia" w:eastAsiaTheme="minorEastAsia" w:hAnsiTheme="minorEastAsia"/>
        </w:rPr>
        <w:t>报告、基金季度报告</w:t>
      </w:r>
      <w:bookmarkEnd w:id="450"/>
      <w:bookmarkEnd w:id="451"/>
      <w:bookmarkEnd w:id="452"/>
    </w:p>
    <w:p w:rsidR="00DA0868" w:rsidRPr="00F17515" w:rsidRDefault="007228CC"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1</w:t>
      </w:r>
      <w:r w:rsidR="0021144C" w:rsidRPr="00F17515">
        <w:rPr>
          <w:rFonts w:asciiTheme="minorEastAsia" w:eastAsiaTheme="minorEastAsia" w:hAnsiTheme="minorEastAsia" w:hint="eastAsia"/>
          <w:szCs w:val="21"/>
        </w:rPr>
        <w:t>、</w:t>
      </w:r>
      <w:r w:rsidR="00DA0868" w:rsidRPr="00F17515">
        <w:rPr>
          <w:rFonts w:asciiTheme="minorEastAsia" w:eastAsiaTheme="minorEastAsia" w:hAnsiTheme="minorEastAsia" w:hint="eastAsia"/>
          <w:szCs w:val="21"/>
        </w:rPr>
        <w:t>基金管理人应当在每年结束之日起三个月内，编制完成基金年度报告，并将年度报告登载在指定网站上，并将年度报告提示性公告登载在指定报刊上。基金年度报告中的财务会计报告应当经过具有证券、期货相关业务资格的会计师事务所审计后，方可披露；</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2、基金管理人应当在上半年结束之日起两个月内，编制完成基金中期报告，将中期报告登载在指定网站上，并将中期报告提示性公告登载在指定报刊上；</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3、基金管理人应当在季度结束之日起15个工作日内，编制完成基金季度报告，将季度报告登载在指定网站上，并将季度报告提示性公告登载在指定报刊上；</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4、基金合同生效不足2个月的，基金管理人可以不编制当期季度报告、中期报告或者年度报告。</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C609DD"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基金持续运作过程中，基金管理人应当在基金年度报告和中期报告中披露基金组合资产情况及其流动性风险分析等。</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53" w:name="_Toc211920203"/>
      <w:bookmarkStart w:id="454" w:name="_Toc211927732"/>
      <w:bookmarkStart w:id="455" w:name="_Toc41556845"/>
      <w:r w:rsidRPr="00F17515">
        <w:rPr>
          <w:rFonts w:asciiTheme="minorEastAsia" w:eastAsiaTheme="minorEastAsia" w:hAnsiTheme="minorEastAsia" w:hint="eastAsia"/>
        </w:rPr>
        <w:t>（</w:t>
      </w:r>
      <w:r w:rsidR="00DA0868" w:rsidRPr="00F17515">
        <w:rPr>
          <w:rFonts w:asciiTheme="minorEastAsia" w:eastAsiaTheme="minorEastAsia" w:hAnsiTheme="minorEastAsia" w:hint="eastAsia"/>
        </w:rPr>
        <w:t>九</w:t>
      </w:r>
      <w:r w:rsidRPr="00F17515">
        <w:rPr>
          <w:rFonts w:asciiTheme="minorEastAsia" w:eastAsiaTheme="minorEastAsia" w:hAnsiTheme="minorEastAsia" w:hint="eastAsia"/>
        </w:rPr>
        <w:t>）</w:t>
      </w:r>
      <w:r w:rsidRPr="00F17515">
        <w:rPr>
          <w:rFonts w:asciiTheme="minorEastAsia" w:eastAsiaTheme="minorEastAsia" w:hAnsiTheme="minorEastAsia"/>
        </w:rPr>
        <w:t>临时报告</w:t>
      </w:r>
      <w:bookmarkEnd w:id="453"/>
      <w:bookmarkEnd w:id="454"/>
      <w:bookmarkEnd w:id="455"/>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在基金运作过程中发生如下可能对基金份额持有人权益或者基金份额的价格产生重大影响的事件时，有关信息披露义务人应当在2日内编制临时报告书，并登载在指定报刊和指定网站上：</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1.基金份额持有人大会的召开及决定的事项；</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2.基金合同终止、基金清算；</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3.转换基金运作方式、基金合并；</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4.更换基金管理人、基金托管人、基金份额登记机构，基金改聘会计师事务所；</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5.基金管理人委托基金服务机构代为办理基金的份额登记、核算、估值等事项，基金托管人委托基金服务机构代为办理基金的核算、估值、复核等事项；</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6.基金管理人、基金托管人的法定名称、住所发生变更；</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7.基金管理公司变更持有百分之五以上股权的股东、基金管理人的实际控制人变更；</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8.基金募集期延长或提前结束募集；</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9.基金管理人的高级管理人员、基金经理和基金托管人专门基金托管部门负责人发生变动；</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10.基金管理人的董事在最近12个月内变更超过百分之五十，基金管理人、基金托管人专门基金托管部门的主要业务人员在最近12个月内变动超过百分之三十；</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11.涉及基金财产、基金管理业务、基金托管业务的诉讼或仲裁；</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14.基金收益分配事项；</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15.管理费、托管费、销售服务费、申购费、赎回费等费用计提标准、计提方式和费率发生变更；</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16.基金份额净值计价错误达基金份额净值百分之零点五；</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17.本基金开始办理申购、赎回；</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18.本基金暂停接受申购、赎回申请或重新接受申购、赎回申请；</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19.调整基金份额类别的设置；</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20.基金推出新业务或服务；</w:t>
      </w:r>
    </w:p>
    <w:p w:rsidR="007228CC"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21.基金信息披露义务人认为可能对基金份额持有人权益或者基金份额的价格产生重大影响的其他事项或中国证监会规定的其他事项。</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rPr>
      </w:pPr>
      <w:bookmarkStart w:id="456" w:name="_Toc211920204"/>
      <w:bookmarkStart w:id="457" w:name="_Toc211927733"/>
      <w:bookmarkStart w:id="458" w:name="_Toc41556846"/>
      <w:r w:rsidRPr="00F17515">
        <w:rPr>
          <w:rFonts w:asciiTheme="minorEastAsia" w:eastAsiaTheme="minorEastAsia" w:hAnsiTheme="minorEastAsia" w:hint="eastAsia"/>
        </w:rPr>
        <w:t>（</w:t>
      </w:r>
      <w:r w:rsidR="00DA0868" w:rsidRPr="00F17515">
        <w:rPr>
          <w:rFonts w:asciiTheme="minorEastAsia" w:eastAsiaTheme="minorEastAsia" w:hAnsiTheme="minorEastAsia" w:hint="eastAsia"/>
        </w:rPr>
        <w:t>十</w:t>
      </w:r>
      <w:r w:rsidRPr="00F17515">
        <w:rPr>
          <w:rFonts w:asciiTheme="minorEastAsia" w:eastAsiaTheme="minorEastAsia" w:hAnsiTheme="minorEastAsia" w:hint="eastAsia"/>
        </w:rPr>
        <w:t>）澄清公告</w:t>
      </w:r>
      <w:bookmarkEnd w:id="456"/>
      <w:bookmarkEnd w:id="457"/>
      <w:bookmarkEnd w:id="458"/>
    </w:p>
    <w:p w:rsidR="00DA0868" w:rsidRPr="00F17515" w:rsidRDefault="00DA0868"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A0868" w:rsidRPr="00F17515" w:rsidRDefault="00DA0868" w:rsidP="00DB3139">
      <w:pPr>
        <w:pStyle w:val="2"/>
        <w:snapToGrid w:val="0"/>
        <w:spacing w:beforeLines="0" w:afterLines="0" w:line="360" w:lineRule="auto"/>
        <w:ind w:firstLineChars="0" w:firstLine="0"/>
        <w:rPr>
          <w:rFonts w:asciiTheme="minorEastAsia" w:eastAsiaTheme="minorEastAsia" w:hAnsiTheme="minorEastAsia"/>
        </w:rPr>
      </w:pPr>
      <w:bookmarkStart w:id="459" w:name="_Toc41556847"/>
      <w:r w:rsidRPr="00F17515">
        <w:rPr>
          <w:rFonts w:asciiTheme="minorEastAsia" w:eastAsiaTheme="minorEastAsia" w:hAnsiTheme="minorEastAsia" w:hint="eastAsia"/>
        </w:rPr>
        <w:t>（十一）清算报告</w:t>
      </w:r>
      <w:bookmarkEnd w:id="459"/>
    </w:p>
    <w:p w:rsidR="007228CC"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rPr>
      </w:pPr>
      <w:bookmarkStart w:id="460" w:name="_Toc211920205"/>
      <w:bookmarkStart w:id="461" w:name="_Toc211927734"/>
      <w:bookmarkStart w:id="462" w:name="_Toc41556848"/>
      <w:r w:rsidRPr="00F17515">
        <w:rPr>
          <w:rFonts w:asciiTheme="minorEastAsia" w:eastAsiaTheme="minorEastAsia" w:hAnsiTheme="minorEastAsia" w:hint="eastAsia"/>
        </w:rPr>
        <w:t>（</w:t>
      </w:r>
      <w:r w:rsidRPr="00F17515">
        <w:rPr>
          <w:rFonts w:asciiTheme="minorEastAsia" w:eastAsiaTheme="minorEastAsia" w:hAnsiTheme="minorEastAsia"/>
        </w:rPr>
        <w:t>十</w:t>
      </w:r>
      <w:r w:rsidR="00DA0868" w:rsidRPr="00F17515">
        <w:rPr>
          <w:rFonts w:asciiTheme="minorEastAsia" w:eastAsiaTheme="minorEastAsia" w:hAnsiTheme="minorEastAsia"/>
        </w:rPr>
        <w:t>二</w:t>
      </w:r>
      <w:r w:rsidRPr="00F17515">
        <w:rPr>
          <w:rFonts w:asciiTheme="minorEastAsia" w:eastAsiaTheme="minorEastAsia" w:hAnsiTheme="minorEastAsia" w:hint="eastAsia"/>
        </w:rPr>
        <w:t>）</w:t>
      </w:r>
      <w:r w:rsidRPr="00F17515">
        <w:rPr>
          <w:rFonts w:asciiTheme="minorEastAsia" w:eastAsiaTheme="minorEastAsia" w:hAnsiTheme="minorEastAsia"/>
        </w:rPr>
        <w:t>基金份额持有人大会决议</w:t>
      </w:r>
      <w:bookmarkEnd w:id="460"/>
      <w:bookmarkEnd w:id="461"/>
      <w:bookmarkEnd w:id="462"/>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rPr>
      </w:pPr>
      <w:bookmarkStart w:id="463" w:name="_Toc211920206"/>
      <w:bookmarkStart w:id="464" w:name="_Toc211927735"/>
      <w:bookmarkStart w:id="465" w:name="_Toc41556849"/>
      <w:r w:rsidRPr="00F17515">
        <w:rPr>
          <w:rFonts w:asciiTheme="minorEastAsia" w:eastAsiaTheme="minorEastAsia" w:hAnsiTheme="minorEastAsia" w:hint="eastAsia"/>
        </w:rPr>
        <w:t>（</w:t>
      </w:r>
      <w:r w:rsidRPr="00F17515">
        <w:rPr>
          <w:rFonts w:asciiTheme="minorEastAsia" w:eastAsiaTheme="minorEastAsia" w:hAnsiTheme="minorEastAsia"/>
        </w:rPr>
        <w:t>十</w:t>
      </w:r>
      <w:r w:rsidR="00DA0868" w:rsidRPr="00F17515">
        <w:rPr>
          <w:rFonts w:asciiTheme="minorEastAsia" w:eastAsiaTheme="minorEastAsia" w:hAnsiTheme="minorEastAsia" w:hint="eastAsia"/>
        </w:rPr>
        <w:t>三</w:t>
      </w:r>
      <w:r w:rsidRPr="00F17515">
        <w:rPr>
          <w:rFonts w:asciiTheme="minorEastAsia" w:eastAsiaTheme="minorEastAsia" w:hAnsiTheme="minorEastAsia" w:hint="eastAsia"/>
        </w:rPr>
        <w:t>）</w:t>
      </w:r>
      <w:r w:rsidRPr="00F17515">
        <w:rPr>
          <w:rFonts w:asciiTheme="minorEastAsia" w:eastAsiaTheme="minorEastAsia" w:hAnsiTheme="minorEastAsia"/>
        </w:rPr>
        <w:t>中国证监会规定的其他信息</w:t>
      </w:r>
      <w:bookmarkEnd w:id="463"/>
      <w:bookmarkEnd w:id="464"/>
      <w:bookmarkEnd w:id="465"/>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rPr>
      </w:pPr>
      <w:bookmarkStart w:id="466" w:name="_Toc211920207"/>
      <w:bookmarkStart w:id="467" w:name="_Toc211927736"/>
      <w:bookmarkStart w:id="468" w:name="_Toc41556850"/>
      <w:r w:rsidRPr="00F17515">
        <w:rPr>
          <w:rFonts w:asciiTheme="minorEastAsia" w:eastAsiaTheme="minorEastAsia" w:hAnsiTheme="minorEastAsia" w:hint="eastAsia"/>
        </w:rPr>
        <w:t>（</w:t>
      </w:r>
      <w:r w:rsidRPr="00F17515">
        <w:rPr>
          <w:rFonts w:asciiTheme="minorEastAsia" w:eastAsiaTheme="minorEastAsia" w:hAnsiTheme="minorEastAsia"/>
        </w:rPr>
        <w:t>十</w:t>
      </w:r>
      <w:r w:rsidR="00DA0868" w:rsidRPr="00F17515">
        <w:rPr>
          <w:rFonts w:asciiTheme="minorEastAsia" w:eastAsiaTheme="minorEastAsia" w:hAnsiTheme="minorEastAsia" w:hint="eastAsia"/>
        </w:rPr>
        <w:t>四</w:t>
      </w:r>
      <w:r w:rsidRPr="00F17515">
        <w:rPr>
          <w:rFonts w:asciiTheme="minorEastAsia" w:eastAsiaTheme="minorEastAsia" w:hAnsiTheme="minorEastAsia" w:hint="eastAsia"/>
        </w:rPr>
        <w:t>）</w:t>
      </w:r>
      <w:r w:rsidRPr="00F17515">
        <w:rPr>
          <w:rFonts w:asciiTheme="minorEastAsia" w:eastAsiaTheme="minorEastAsia" w:hAnsiTheme="minorEastAsia"/>
        </w:rPr>
        <w:t>信息披露文件的存放与查阅</w:t>
      </w:r>
      <w:bookmarkEnd w:id="466"/>
      <w:bookmarkEnd w:id="467"/>
      <w:bookmarkEnd w:id="468"/>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依法必须披露的信息发布后，基金管理人、基金托管人应当按照相关法律法规规定将信息置备于公司办公场所，供社会公众查阅、复制。投资人在支付工本费后，可在合理时间内取得上述文件复制件或复印件。</w:t>
      </w:r>
    </w:p>
    <w:p w:rsidR="00DA0868"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投资人也可在基金管理人指定的网站上进行查阅。本基金的信息披露事项将在指定媒介上公告。</w:t>
      </w:r>
    </w:p>
    <w:p w:rsidR="007228CC" w:rsidRPr="00F17515" w:rsidRDefault="00DA0868" w:rsidP="00DA0868">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本基金的信息披露将严格按照法律法规和基金合同的规定进行。</w:t>
      </w:r>
    </w:p>
    <w:p w:rsidR="00DA0868" w:rsidRPr="00F17515" w:rsidRDefault="00DA0868" w:rsidP="00DB3139">
      <w:pPr>
        <w:pStyle w:val="2"/>
        <w:snapToGrid w:val="0"/>
        <w:spacing w:beforeLines="0" w:afterLines="0" w:line="360" w:lineRule="auto"/>
        <w:ind w:firstLineChars="0" w:firstLine="0"/>
        <w:rPr>
          <w:rFonts w:asciiTheme="minorEastAsia" w:eastAsiaTheme="minorEastAsia" w:hAnsiTheme="minorEastAsia"/>
        </w:rPr>
      </w:pPr>
      <w:bookmarkStart w:id="469" w:name="_Toc41556851"/>
      <w:r w:rsidRPr="00F17515">
        <w:rPr>
          <w:rFonts w:asciiTheme="minorEastAsia" w:eastAsiaTheme="minorEastAsia" w:hAnsiTheme="minorEastAsia" w:hint="eastAsia"/>
        </w:rPr>
        <w:t>（</w:t>
      </w:r>
      <w:r w:rsidRPr="00F17515">
        <w:rPr>
          <w:rFonts w:asciiTheme="minorEastAsia" w:eastAsiaTheme="minorEastAsia" w:hAnsiTheme="minorEastAsia"/>
        </w:rPr>
        <w:t>十</w:t>
      </w:r>
      <w:r w:rsidRPr="00F17515">
        <w:rPr>
          <w:rFonts w:asciiTheme="minorEastAsia" w:eastAsiaTheme="minorEastAsia" w:hAnsiTheme="minorEastAsia" w:hint="eastAsia"/>
        </w:rPr>
        <w:t>五）信息披露事务管理</w:t>
      </w:r>
      <w:bookmarkEnd w:id="469"/>
    </w:p>
    <w:p w:rsidR="00DA0868" w:rsidRPr="00F17515" w:rsidRDefault="00DA0868" w:rsidP="00DB3139">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DA0868" w:rsidRPr="00F17515" w:rsidRDefault="00DA0868" w:rsidP="00DB3139">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DA0868" w:rsidRPr="00F17515" w:rsidRDefault="00DA0868" w:rsidP="00DB3139">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w:t>
      </w:r>
      <w:r w:rsidRPr="00F17515">
        <w:rPr>
          <w:rFonts w:asciiTheme="minorEastAsia" w:eastAsiaTheme="minorEastAsia" w:hAnsiTheme="minorEastAsia" w:hint="eastAsia"/>
          <w:szCs w:val="21"/>
        </w:rPr>
        <w:lastRenderedPageBreak/>
        <w:t>查，并向基金管理人进行书面或电子确认。</w:t>
      </w:r>
    </w:p>
    <w:p w:rsidR="00DA0868" w:rsidRPr="00F17515" w:rsidRDefault="00DA0868" w:rsidP="00DB3139">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DA0868" w:rsidRPr="00F17515" w:rsidRDefault="00DA0868" w:rsidP="00DB3139">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7228CC" w:rsidRPr="00F17515" w:rsidRDefault="00DA0868" w:rsidP="00DB3139">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228CC" w:rsidRPr="00F17515" w:rsidRDefault="007228CC" w:rsidP="0071223F">
      <w:pPr>
        <w:snapToGrid w:val="0"/>
        <w:spacing w:line="360" w:lineRule="auto"/>
        <w:rPr>
          <w:rFonts w:asciiTheme="minorEastAsia" w:eastAsiaTheme="minorEastAsia" w:hAnsiTheme="minorEastAsia"/>
        </w:rPr>
      </w:pPr>
    </w:p>
    <w:p w:rsidR="007228CC" w:rsidRPr="00F17515" w:rsidRDefault="007228CC" w:rsidP="00941EC8">
      <w:pPr>
        <w:pStyle w:val="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rPr>
        <w:sectPr w:rsidR="007228CC" w:rsidRPr="00F17515" w:rsidSect="00DE4B5E">
          <w:pgSz w:w="11906" w:h="16838" w:code="9"/>
          <w:pgMar w:top="1440" w:right="1800" w:bottom="1440" w:left="1800" w:header="851" w:footer="992" w:gutter="0"/>
          <w:cols w:space="425"/>
          <w:docGrid w:type="lines" w:linePitch="312"/>
        </w:sectPr>
      </w:pPr>
      <w:bookmarkStart w:id="470" w:name="_Toc182018805"/>
      <w:bookmarkStart w:id="471" w:name="_Toc211920209"/>
      <w:bookmarkStart w:id="472" w:name="_Toc211927738"/>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73" w:name="_Toc41556852"/>
      <w:r w:rsidRPr="00F17515">
        <w:rPr>
          <w:rFonts w:asciiTheme="minorEastAsia" w:eastAsiaTheme="minorEastAsia" w:hAnsiTheme="minorEastAsia" w:hint="eastAsia"/>
          <w:b/>
        </w:rPr>
        <w:lastRenderedPageBreak/>
        <w:t>风险揭示</w:t>
      </w:r>
      <w:bookmarkEnd w:id="473"/>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rPr>
      </w:pPr>
      <w:bookmarkStart w:id="474" w:name="_Toc41556853"/>
      <w:r w:rsidRPr="00F17515">
        <w:rPr>
          <w:rFonts w:asciiTheme="minorEastAsia" w:eastAsiaTheme="minorEastAsia" w:hAnsiTheme="minorEastAsia" w:hint="eastAsia"/>
        </w:rPr>
        <w:t>（一）市场风险</w:t>
      </w:r>
      <w:bookmarkEnd w:id="470"/>
      <w:bookmarkEnd w:id="471"/>
      <w:bookmarkEnd w:id="472"/>
      <w:bookmarkEnd w:id="474"/>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本基金主要投资于证券市场，而证券市场价格因受到经济因素、政治因素、投资者心理和交易制度等各种因素的影响而产生波动，从而导致基金收益水平发生变化，产生风险。主要的风险因素包括：</w:t>
      </w:r>
    </w:p>
    <w:p w:rsidR="007228CC" w:rsidRPr="00F17515" w:rsidRDefault="007228CC" w:rsidP="0071223F">
      <w:pPr>
        <w:autoSpaceDE w:val="0"/>
        <w:autoSpaceDN w:val="0"/>
        <w:adjustRightInd w:val="0"/>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1</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rPr>
        <w:t>政策风险</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因国家宏观政策（如货币政策、财政政策、行业政策、地区发展政策等）发生变化，导致市场价格波动而产生风险。</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2</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rPr>
        <w:t>利率风险</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rPr>
        <w:t>利率风险主要是指因金融市场利率的波动而导致证券市场价格和收益率变动的风险。利率直接影响着债券的价格和收益率，影响着企业的融资成本和利润。</w:t>
      </w:r>
      <w:r w:rsidRPr="00F17515">
        <w:rPr>
          <w:rFonts w:asciiTheme="minorEastAsia" w:eastAsiaTheme="minorEastAsia" w:hAnsiTheme="minorEastAsia" w:hint="eastAsia"/>
        </w:rPr>
        <w:t>本</w:t>
      </w:r>
      <w:r w:rsidRPr="00F17515">
        <w:rPr>
          <w:rFonts w:asciiTheme="minorEastAsia" w:eastAsiaTheme="minorEastAsia" w:hAnsiTheme="minorEastAsia"/>
        </w:rPr>
        <w:t>基金</w:t>
      </w:r>
      <w:r w:rsidRPr="00F17515">
        <w:rPr>
          <w:rFonts w:asciiTheme="minorEastAsia" w:eastAsiaTheme="minorEastAsia" w:hAnsiTheme="minorEastAsia" w:hint="eastAsia"/>
        </w:rPr>
        <w:t>主要</w:t>
      </w:r>
      <w:r w:rsidRPr="00F17515">
        <w:rPr>
          <w:rFonts w:asciiTheme="minorEastAsia" w:eastAsiaTheme="minorEastAsia" w:hAnsiTheme="minorEastAsia"/>
        </w:rPr>
        <w:t>投资</w:t>
      </w:r>
      <w:r w:rsidRPr="00F17515">
        <w:rPr>
          <w:rFonts w:asciiTheme="minorEastAsia" w:eastAsiaTheme="minorEastAsia" w:hAnsiTheme="minorEastAsia" w:hint="eastAsia"/>
        </w:rPr>
        <w:t>方向包括</w:t>
      </w:r>
      <w:r w:rsidRPr="00F17515">
        <w:rPr>
          <w:rFonts w:asciiTheme="minorEastAsia" w:eastAsiaTheme="minorEastAsia" w:hAnsiTheme="minorEastAsia"/>
        </w:rPr>
        <w:t>债券</w:t>
      </w:r>
      <w:r w:rsidRPr="00F17515">
        <w:rPr>
          <w:rFonts w:asciiTheme="minorEastAsia" w:eastAsiaTheme="minorEastAsia" w:hAnsiTheme="minorEastAsia" w:hint="eastAsia"/>
        </w:rPr>
        <w:t>、</w:t>
      </w:r>
      <w:r w:rsidRPr="00F17515">
        <w:rPr>
          <w:rFonts w:asciiTheme="minorEastAsia" w:eastAsiaTheme="minorEastAsia" w:hAnsiTheme="minorEastAsia"/>
        </w:rPr>
        <w:t>票据</w:t>
      </w:r>
      <w:r w:rsidRPr="00F17515">
        <w:rPr>
          <w:rFonts w:asciiTheme="minorEastAsia" w:eastAsiaTheme="minorEastAsia" w:hAnsiTheme="minorEastAsia" w:hint="eastAsia"/>
        </w:rPr>
        <w:t>和银行存款，</w:t>
      </w:r>
      <w:r w:rsidRPr="00F17515">
        <w:rPr>
          <w:rFonts w:asciiTheme="minorEastAsia" w:eastAsiaTheme="minorEastAsia" w:hAnsiTheme="minorEastAsia"/>
        </w:rPr>
        <w:t>其收益水平直接受到利率变化的影响。</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3</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rPr>
        <w:t>再投资风险</w:t>
      </w:r>
    </w:p>
    <w:p w:rsidR="007228CC" w:rsidRPr="00F17515" w:rsidRDefault="007228CC" w:rsidP="0071223F">
      <w:pPr>
        <w:autoSpaceDE w:val="0"/>
        <w:autoSpaceDN w:val="0"/>
        <w:adjustRightInd w:val="0"/>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rPr>
        <w:t>债券</w:t>
      </w:r>
      <w:r w:rsidRPr="00F17515">
        <w:rPr>
          <w:rFonts w:asciiTheme="minorEastAsia" w:eastAsiaTheme="minorEastAsia" w:hAnsiTheme="minorEastAsia" w:hint="eastAsia"/>
        </w:rPr>
        <w:t>、票据</w:t>
      </w:r>
      <w:r w:rsidRPr="00F17515">
        <w:rPr>
          <w:rFonts w:asciiTheme="minorEastAsia" w:eastAsiaTheme="minorEastAsia" w:hAnsiTheme="minorEastAsia"/>
        </w:rPr>
        <w:t>偿付本息后以及回购到期后可能由于市场利率的下降面临资金再投资的收益率低于原来利率，由此本基金面临再投资风险。</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4</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rPr>
        <w:t>信用风险</w:t>
      </w:r>
    </w:p>
    <w:p w:rsidR="007228CC" w:rsidRPr="00F17515" w:rsidRDefault="00752B70"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债券发行人不能按期还本付息或回购交易中交易对手在回购到期履行交割责任时，不能偿还全部或部分证券或价款，都可能使本基金面临信用风险。</w:t>
      </w:r>
    </w:p>
    <w:p w:rsidR="007228CC" w:rsidRPr="00F17515" w:rsidRDefault="0021144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5、</w:t>
      </w:r>
      <w:r w:rsidR="00D15755" w:rsidRPr="00F17515">
        <w:rPr>
          <w:rFonts w:asciiTheme="minorEastAsia" w:eastAsiaTheme="minorEastAsia" w:hAnsiTheme="minorEastAsia" w:hint="eastAsia"/>
        </w:rPr>
        <w:t>经济周期风险</w:t>
      </w:r>
    </w:p>
    <w:p w:rsidR="007228CC" w:rsidRPr="00F17515" w:rsidRDefault="00D15755"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7228CC" w:rsidRPr="00F17515" w:rsidRDefault="0021144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6、</w:t>
      </w:r>
      <w:r w:rsidR="00683564" w:rsidRPr="00F17515">
        <w:rPr>
          <w:rFonts w:asciiTheme="minorEastAsia" w:eastAsiaTheme="minorEastAsia" w:hAnsiTheme="minorEastAsia" w:hint="eastAsia"/>
        </w:rPr>
        <w:t>公司</w:t>
      </w:r>
      <w:r w:rsidR="007228CC" w:rsidRPr="00F17515">
        <w:rPr>
          <w:rFonts w:asciiTheme="minorEastAsia" w:eastAsiaTheme="minorEastAsia" w:hAnsiTheme="minorEastAsia" w:hint="eastAsia"/>
        </w:rPr>
        <w:t>经营风险</w:t>
      </w:r>
    </w:p>
    <w:p w:rsidR="007228CC" w:rsidRPr="00F17515" w:rsidRDefault="00683564" w:rsidP="0071223F">
      <w:pPr>
        <w:snapToGrid w:val="0"/>
        <w:spacing w:line="360" w:lineRule="auto"/>
        <w:ind w:firstLine="420"/>
        <w:rPr>
          <w:rFonts w:asciiTheme="minorEastAsia" w:eastAsiaTheme="minorEastAsia" w:hAnsiTheme="minorEastAsia" w:cs="宋体"/>
          <w:kern w:val="0"/>
          <w:szCs w:val="21"/>
        </w:rPr>
      </w:pPr>
      <w:r w:rsidRPr="00F17515">
        <w:rPr>
          <w:rFonts w:asciiTheme="minorEastAsia" w:eastAsiaTheme="minorEastAsia" w:hAnsiTheme="minorEastAsia" w:cs="宋体" w:hint="eastAsia"/>
          <w:kern w:val="0"/>
          <w:szCs w:val="21"/>
        </w:rPr>
        <w:t>上市</w:t>
      </w:r>
      <w:r w:rsidR="002A11D4" w:rsidRPr="00F17515">
        <w:rPr>
          <w:rFonts w:asciiTheme="minorEastAsia" w:eastAsiaTheme="minorEastAsia" w:hAnsiTheme="minorEastAsia" w:cs="宋体" w:hint="eastAsia"/>
          <w:kern w:val="0"/>
          <w:szCs w:val="21"/>
        </w:rPr>
        <w:t>公司的经营状况受多种因素的影响，如管理能力、行业竞争、市场前景、技术更新、新产品研究开发等都会导致公司盈利发生变化。如果基金所投资的上市公司经营不善，其股票价格或债券价格可能下跌，能够用于分配的利润减少</w:t>
      </w:r>
      <w:r w:rsidR="000C2537" w:rsidRPr="00F17515">
        <w:rPr>
          <w:rFonts w:asciiTheme="minorEastAsia" w:eastAsiaTheme="minorEastAsia" w:hAnsiTheme="minorEastAsia" w:cs="宋体" w:hint="eastAsia"/>
          <w:kern w:val="0"/>
          <w:szCs w:val="21"/>
        </w:rPr>
        <w:t>；</w:t>
      </w:r>
      <w:r w:rsidR="000C2537" w:rsidRPr="00F17515">
        <w:rPr>
          <w:rFonts w:asciiTheme="minorEastAsia" w:eastAsiaTheme="minorEastAsia" w:hAnsiTheme="minorEastAsia" w:hint="eastAsia"/>
          <w:kern w:val="0"/>
          <w:szCs w:val="21"/>
        </w:rPr>
        <w:t>同时，其偿债能力也会受到影响，基金投资收益将受到不良影响</w:t>
      </w:r>
      <w:r w:rsidR="002A11D4" w:rsidRPr="00F17515">
        <w:rPr>
          <w:rFonts w:asciiTheme="minorEastAsia" w:eastAsiaTheme="minorEastAsia" w:hAnsiTheme="minorEastAsia" w:cs="宋体" w:hint="eastAsia"/>
          <w:kern w:val="0"/>
          <w:szCs w:val="21"/>
        </w:rPr>
        <w:t>。虽然基金可以通过投资多样化来分散这种非系统风险，但不能完全避免。</w:t>
      </w:r>
    </w:p>
    <w:p w:rsidR="00683564" w:rsidRPr="00F17515" w:rsidRDefault="00683564" w:rsidP="0071223F">
      <w:pPr>
        <w:snapToGrid w:val="0"/>
        <w:spacing w:line="360" w:lineRule="auto"/>
        <w:ind w:firstLine="420"/>
        <w:rPr>
          <w:rFonts w:asciiTheme="minorEastAsia" w:eastAsiaTheme="minorEastAsia" w:hAnsiTheme="minorEastAsia"/>
          <w:kern w:val="0"/>
          <w:szCs w:val="21"/>
        </w:rPr>
      </w:pPr>
      <w:r w:rsidRPr="00F17515">
        <w:rPr>
          <w:rFonts w:asciiTheme="minorEastAsia" w:eastAsiaTheme="minorEastAsia" w:hAnsiTheme="minorEastAsia" w:cs="宋体"/>
          <w:kern w:val="0"/>
          <w:szCs w:val="21"/>
        </w:rPr>
        <w:t>7</w:t>
      </w:r>
      <w:r w:rsidRPr="00F17515">
        <w:rPr>
          <w:rFonts w:asciiTheme="minorEastAsia" w:eastAsiaTheme="minorEastAsia" w:hAnsiTheme="minorEastAsia" w:cs="宋体" w:hint="eastAsia"/>
          <w:kern w:val="0"/>
          <w:szCs w:val="21"/>
        </w:rPr>
        <w:t>、</w:t>
      </w:r>
      <w:r w:rsidRPr="00F17515">
        <w:rPr>
          <w:rFonts w:asciiTheme="minorEastAsia" w:eastAsiaTheme="minorEastAsia" w:hAnsiTheme="minorEastAsia" w:hint="eastAsia"/>
          <w:kern w:val="0"/>
          <w:szCs w:val="21"/>
        </w:rPr>
        <w:t>购买力风险</w:t>
      </w:r>
    </w:p>
    <w:p w:rsidR="00683564" w:rsidRPr="00F17515" w:rsidRDefault="00683564" w:rsidP="0071223F">
      <w:pPr>
        <w:snapToGrid w:val="0"/>
        <w:spacing w:line="360" w:lineRule="auto"/>
        <w:ind w:firstLine="420"/>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如果发生通货膨胀，基金投资于证券所获得的收益可能会被通货膨胀抵消，从而影响基金资产的实际收益率。</w:t>
      </w:r>
    </w:p>
    <w:p w:rsidR="00683564" w:rsidRPr="00F17515" w:rsidRDefault="00683564" w:rsidP="0071223F">
      <w:pPr>
        <w:snapToGrid w:val="0"/>
        <w:spacing w:line="360" w:lineRule="auto"/>
        <w:ind w:firstLine="420"/>
        <w:rPr>
          <w:rFonts w:asciiTheme="minorEastAsia" w:eastAsiaTheme="minorEastAsia" w:hAnsiTheme="minorEastAsia"/>
          <w:kern w:val="0"/>
          <w:szCs w:val="21"/>
        </w:rPr>
      </w:pPr>
      <w:r w:rsidRPr="00F17515">
        <w:rPr>
          <w:rFonts w:asciiTheme="minorEastAsia" w:eastAsiaTheme="minorEastAsia" w:hAnsiTheme="minorEastAsia" w:hint="eastAsia"/>
          <w:kern w:val="0"/>
          <w:szCs w:val="21"/>
        </w:rPr>
        <w:t>8</w:t>
      </w:r>
      <w:r w:rsidRPr="00F17515">
        <w:rPr>
          <w:rFonts w:asciiTheme="minorEastAsia" w:eastAsiaTheme="minorEastAsia" w:hAnsiTheme="minorEastAsia"/>
          <w:kern w:val="0"/>
          <w:szCs w:val="21"/>
        </w:rPr>
        <w:t>、</w:t>
      </w:r>
      <w:r w:rsidRPr="00F17515">
        <w:rPr>
          <w:rFonts w:asciiTheme="minorEastAsia" w:eastAsiaTheme="minorEastAsia" w:hAnsiTheme="minorEastAsia" w:hint="eastAsia"/>
          <w:kern w:val="0"/>
          <w:szCs w:val="21"/>
        </w:rPr>
        <w:t>股票市场风险</w:t>
      </w:r>
    </w:p>
    <w:p w:rsidR="00683564" w:rsidRPr="00F17515" w:rsidRDefault="00683564"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kern w:val="0"/>
          <w:szCs w:val="21"/>
        </w:rPr>
        <w:t>如果股票市场下跌，本基金持有股票部分将面临下跌风险。</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rPr>
      </w:pPr>
      <w:bookmarkStart w:id="475" w:name="_Toc182018806"/>
      <w:bookmarkStart w:id="476" w:name="_Toc211920210"/>
      <w:bookmarkStart w:id="477" w:name="_Toc211927739"/>
      <w:bookmarkStart w:id="478" w:name="_Toc41556854"/>
      <w:r w:rsidRPr="00F17515">
        <w:rPr>
          <w:rFonts w:asciiTheme="minorEastAsia" w:eastAsiaTheme="minorEastAsia" w:hAnsiTheme="minorEastAsia" w:hint="eastAsia"/>
        </w:rPr>
        <w:lastRenderedPageBreak/>
        <w:t>（二）管理风险</w:t>
      </w:r>
      <w:bookmarkEnd w:id="475"/>
      <w:bookmarkEnd w:id="476"/>
      <w:bookmarkEnd w:id="477"/>
      <w:bookmarkEnd w:id="478"/>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1</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rPr>
        <w:t>在基金管理运作过程中，基金管理人的知识、经验、判断、决策、技能等，会影响其对信息的占有以及对经济形势、证券价格走势的判断，从而影响基金收益水平；</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2</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rPr>
        <w:t>基金管理人</w:t>
      </w:r>
      <w:r w:rsidR="002A11D4" w:rsidRPr="00F17515">
        <w:rPr>
          <w:rFonts w:asciiTheme="minorEastAsia" w:eastAsiaTheme="minorEastAsia" w:hAnsiTheme="minorEastAsia" w:hint="eastAsia"/>
        </w:rPr>
        <w:t>和基金托管人</w:t>
      </w:r>
      <w:r w:rsidRPr="00F17515">
        <w:rPr>
          <w:rFonts w:asciiTheme="minorEastAsia" w:eastAsiaTheme="minorEastAsia" w:hAnsiTheme="minorEastAsia" w:hint="eastAsia"/>
        </w:rPr>
        <w:t>的管理手段和管理技术等因素的变化也会影响基金收益水平。</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rPr>
      </w:pPr>
      <w:bookmarkStart w:id="479" w:name="_Toc182018807"/>
      <w:bookmarkStart w:id="480" w:name="_Toc211920211"/>
      <w:bookmarkStart w:id="481" w:name="_Toc211927740"/>
      <w:bookmarkStart w:id="482" w:name="_Toc41556855"/>
      <w:r w:rsidRPr="00F17515">
        <w:rPr>
          <w:rFonts w:asciiTheme="minorEastAsia" w:eastAsiaTheme="minorEastAsia" w:hAnsiTheme="minorEastAsia" w:hint="eastAsia"/>
        </w:rPr>
        <w:t>（三）流动性风险</w:t>
      </w:r>
      <w:bookmarkEnd w:id="479"/>
      <w:bookmarkEnd w:id="480"/>
      <w:bookmarkEnd w:id="481"/>
      <w:bookmarkEnd w:id="482"/>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1、流动性风险评估</w:t>
      </w:r>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本基金为债券型基金，可投资于</w:t>
      </w:r>
      <w:r w:rsidRPr="00F17515">
        <w:rPr>
          <w:rFonts w:asciiTheme="minorEastAsia" w:eastAsiaTheme="minorEastAsia" w:hAnsiTheme="minorEastAsia" w:hint="eastAsia"/>
          <w:szCs w:val="21"/>
        </w:rPr>
        <w:t>国内依法发行、上市的股票、债券、资产支持证券、货币市场工具等</w:t>
      </w:r>
      <w:r w:rsidRPr="00F17515">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2、巨额赎回情形下的流动性风险管理措施</w:t>
      </w:r>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当本基金出现巨额赎回时，基金管理人可以根据基金当时的资产组合状况决定接受全额赎回或部分延期赎回；此外，如本基金连续2日以上(含本数)发生巨额赎回，基金管理人认为有必要，可暂停接受基金的赎回申请；已经接受的赎回申请可以延缓支付赎回款项，但不得超过20个工作日。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00350BF0" w:rsidRPr="00F17515">
        <w:rPr>
          <w:rFonts w:asciiTheme="minorEastAsia" w:eastAsiaTheme="minorEastAsia" w:hAnsiTheme="minorEastAsia" w:hint="eastAsia"/>
        </w:rPr>
        <w:t>之</w:t>
      </w:r>
      <w:r w:rsidRPr="00F17515">
        <w:rPr>
          <w:rFonts w:asciiTheme="minorEastAsia" w:eastAsiaTheme="minorEastAsia" w:hAnsiTheme="minorEastAsia" w:hint="eastAsia"/>
        </w:rPr>
        <w:t>“（十）巨额赎回的认定及处理方式”</w:t>
      </w:r>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3、除巨额赎回情形外实施备用的流动性风险管理工具的情形、程序及对投资者的潜在影响</w:t>
      </w:r>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暂停接受赎回申请、延缓支付赎回款项等工具的情形、程序见招募说明书“八、基金份额的申购、赎回”之“（十一）拒绝或暂停申购、赎回的情形及处理方式”的相关规定。若本基金暂停赎回申请，投资者在暂停赎回期间将无法赎回其持有的基金份额。若本基金延缓支付赎回款项，赎回款支付时间将后延，可能对投资者的资金安排带来不利影响。</w:t>
      </w:r>
    </w:p>
    <w:p w:rsidR="00F55E0F" w:rsidRPr="00F17515" w:rsidRDefault="00F55E0F" w:rsidP="00F55E0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短期赎回费适用于持续持有期少于7日的投资者，费率为1.5%。短期赎回费由赎回基</w:t>
      </w:r>
      <w:r w:rsidRPr="00F17515">
        <w:rPr>
          <w:rFonts w:asciiTheme="minorEastAsia" w:eastAsiaTheme="minorEastAsia" w:hAnsiTheme="minorEastAsia" w:hint="eastAsia"/>
        </w:rPr>
        <w:lastRenderedPageBreak/>
        <w:t>金份额的基金份额持有人承担，在基金份额持有人赎回基金份额时收取，并全额计入基金财产。短期赎回费的收取将使得投资者在持续持有期限少于7日时会承担较高的赎回费。</w:t>
      </w:r>
    </w:p>
    <w:p w:rsidR="007228CC" w:rsidRPr="00F17515" w:rsidRDefault="00F55E0F" w:rsidP="00F55E0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暂停基金估值的情形、程序见招募说明书“十五、基金资产估值”之“（六）暂停公告净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575E02" w:rsidRPr="00F17515" w:rsidRDefault="00575E02" w:rsidP="00DB3139">
      <w:pPr>
        <w:pStyle w:val="2"/>
        <w:snapToGrid w:val="0"/>
        <w:spacing w:beforeLines="0" w:afterLines="0" w:line="360" w:lineRule="auto"/>
        <w:ind w:firstLineChars="0" w:firstLine="0"/>
        <w:rPr>
          <w:rFonts w:asciiTheme="minorEastAsia" w:eastAsiaTheme="minorEastAsia" w:hAnsiTheme="minorEastAsia"/>
        </w:rPr>
      </w:pPr>
      <w:bookmarkStart w:id="483" w:name="_Toc41556856"/>
      <w:r w:rsidRPr="00F17515">
        <w:rPr>
          <w:rFonts w:asciiTheme="minorEastAsia" w:eastAsiaTheme="minorEastAsia" w:hAnsiTheme="minorEastAsia" w:hint="eastAsia"/>
        </w:rPr>
        <w:t>（四）本基金法律文件中涉及基金风险特征的表述与销售机构对基金的风险评级可能不一致的风险</w:t>
      </w:r>
      <w:bookmarkEnd w:id="483"/>
    </w:p>
    <w:p w:rsidR="00575E02" w:rsidRPr="00F17515" w:rsidRDefault="00575E02" w:rsidP="00575E02">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D15755" w:rsidRPr="00F17515" w:rsidRDefault="007228CC" w:rsidP="009A1EA6">
      <w:pPr>
        <w:pStyle w:val="2"/>
        <w:snapToGrid w:val="0"/>
        <w:spacing w:beforeLines="0" w:afterLines="0" w:line="360" w:lineRule="auto"/>
        <w:ind w:firstLineChars="0" w:firstLine="0"/>
        <w:rPr>
          <w:rFonts w:asciiTheme="minorEastAsia" w:eastAsiaTheme="minorEastAsia" w:hAnsiTheme="minorEastAsia"/>
          <w:kern w:val="0"/>
          <w:szCs w:val="21"/>
        </w:rPr>
      </w:pPr>
      <w:bookmarkStart w:id="484" w:name="_Toc182018808"/>
      <w:bookmarkStart w:id="485" w:name="_Toc211920212"/>
      <w:bookmarkStart w:id="486" w:name="_Toc211927741"/>
      <w:bookmarkStart w:id="487" w:name="_Toc41556857"/>
      <w:r w:rsidRPr="00F17515">
        <w:rPr>
          <w:rFonts w:asciiTheme="minorEastAsia" w:eastAsiaTheme="minorEastAsia" w:hAnsiTheme="minorEastAsia" w:hint="eastAsia"/>
        </w:rPr>
        <w:t>（</w:t>
      </w:r>
      <w:r w:rsidR="00575E02" w:rsidRPr="00F17515">
        <w:rPr>
          <w:rFonts w:asciiTheme="minorEastAsia" w:eastAsiaTheme="minorEastAsia" w:hAnsiTheme="minorEastAsia" w:hint="eastAsia"/>
        </w:rPr>
        <w:t>五</w:t>
      </w:r>
      <w:r w:rsidRPr="00F17515">
        <w:rPr>
          <w:rFonts w:asciiTheme="minorEastAsia" w:eastAsiaTheme="minorEastAsia" w:hAnsiTheme="minorEastAsia" w:hint="eastAsia"/>
        </w:rPr>
        <w:t>）</w:t>
      </w:r>
      <w:r w:rsidR="00D15755" w:rsidRPr="00F17515">
        <w:rPr>
          <w:rFonts w:asciiTheme="minorEastAsia" w:eastAsiaTheme="minorEastAsia" w:hAnsiTheme="minorEastAsia" w:hint="eastAsia"/>
          <w:kern w:val="0"/>
          <w:szCs w:val="21"/>
        </w:rPr>
        <w:t>本基金的特有风险</w:t>
      </w:r>
      <w:bookmarkEnd w:id="487"/>
    </w:p>
    <w:p w:rsidR="00B43765" w:rsidRPr="00F17515" w:rsidRDefault="005A4EA0" w:rsidP="004E41A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rPr>
        <w:t>1</w:t>
      </w:r>
      <w:r w:rsidRPr="00F17515">
        <w:rPr>
          <w:rFonts w:asciiTheme="minorEastAsia" w:eastAsiaTheme="minorEastAsia" w:hAnsiTheme="minorEastAsia" w:hint="eastAsia"/>
        </w:rPr>
        <w:t>、本基金投资于</w:t>
      </w:r>
      <w:r w:rsidR="00D15755" w:rsidRPr="00F17515">
        <w:rPr>
          <w:rFonts w:asciiTheme="minorEastAsia" w:eastAsiaTheme="minorEastAsia" w:hAnsiTheme="minorEastAsia" w:hint="eastAsia"/>
        </w:rPr>
        <w:t>债券等固定收益资产的比例不低于基金资产的80%</w:t>
      </w:r>
      <w:r w:rsidRPr="00F17515">
        <w:rPr>
          <w:rFonts w:asciiTheme="minorEastAsia" w:eastAsiaTheme="minorEastAsia" w:hAnsiTheme="minorEastAsia" w:hint="eastAsia"/>
        </w:rPr>
        <w:t>。因此，本基金需要承担由于市场利率波动造成的利率风险以及如企业债、公司债等信用品种的发债主体信用恶化造成的信用风险；如果债券市场出现整体下跌，将无法完全避免债券市场系统性风险；</w:t>
      </w:r>
    </w:p>
    <w:p w:rsidR="00B43765" w:rsidRPr="00F17515" w:rsidRDefault="005A4EA0" w:rsidP="004E41A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rPr>
        <w:t>2、</w:t>
      </w:r>
      <w:r w:rsidRPr="00F17515">
        <w:rPr>
          <w:rFonts w:asciiTheme="minorEastAsia" w:eastAsiaTheme="minorEastAsia" w:hAnsiTheme="minorEastAsia" w:hint="eastAsia"/>
        </w:rPr>
        <w:t>本基金投资于</w:t>
      </w:r>
      <w:r w:rsidR="00D15755" w:rsidRPr="00F17515">
        <w:rPr>
          <w:rFonts w:asciiTheme="minorEastAsia" w:eastAsiaTheme="minorEastAsia" w:hAnsiTheme="minorEastAsia" w:hint="eastAsia"/>
        </w:rPr>
        <w:t>债券等固定收益资产的比例不低于基金资产的80%</w:t>
      </w:r>
      <w:r w:rsidRPr="00F17515">
        <w:rPr>
          <w:rFonts w:asciiTheme="minorEastAsia" w:eastAsiaTheme="minorEastAsia" w:hAnsiTheme="minorEastAsia" w:hint="eastAsia"/>
        </w:rPr>
        <w:t>；投资于</w:t>
      </w:r>
      <w:r w:rsidR="00D15755" w:rsidRPr="00F17515">
        <w:rPr>
          <w:rFonts w:asciiTheme="minorEastAsia" w:eastAsiaTheme="minorEastAsia" w:hAnsiTheme="minorEastAsia" w:hint="eastAsia"/>
        </w:rPr>
        <w:t>股票等权益类品种不高于基金资产的20%</w:t>
      </w:r>
      <w:r w:rsidRPr="00F17515">
        <w:rPr>
          <w:rFonts w:asciiTheme="minorEastAsia" w:eastAsiaTheme="minorEastAsia" w:hAnsiTheme="minorEastAsia" w:hint="eastAsia"/>
        </w:rPr>
        <w:t>。因此，本基金除承担利率风险、信用风险和债券市场系统性风险外，还将面临股票市场下跌的风险；</w:t>
      </w:r>
    </w:p>
    <w:p w:rsidR="00B43765" w:rsidRPr="00F17515" w:rsidRDefault="005A4EA0" w:rsidP="004E41A1">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rPr>
        <w:t>3</w:t>
      </w:r>
      <w:r w:rsidRPr="00F17515">
        <w:rPr>
          <w:rFonts w:asciiTheme="minorEastAsia" w:eastAsiaTheme="minorEastAsia" w:hAnsiTheme="minorEastAsia" w:hint="eastAsia"/>
        </w:rPr>
        <w:t>、本基金的投资范围包括资产支持证券，资产支持证券可能面临的信用风险、利率风险、流动性风险、提前偿付风险等风险、操作风险和法律风险，由此可能增加本基金净值的波动性。</w:t>
      </w:r>
    </w:p>
    <w:p w:rsidR="007228CC" w:rsidRPr="00F17515" w:rsidRDefault="00D15755" w:rsidP="009A1EA6">
      <w:pPr>
        <w:pStyle w:val="2"/>
        <w:snapToGrid w:val="0"/>
        <w:spacing w:beforeLines="0" w:afterLines="0" w:line="360" w:lineRule="auto"/>
        <w:ind w:firstLineChars="0" w:firstLine="0"/>
        <w:rPr>
          <w:rFonts w:asciiTheme="minorEastAsia" w:eastAsiaTheme="minorEastAsia" w:hAnsiTheme="minorEastAsia"/>
        </w:rPr>
      </w:pPr>
      <w:bookmarkStart w:id="488" w:name="_Toc41556858"/>
      <w:r w:rsidRPr="00F17515">
        <w:rPr>
          <w:rFonts w:asciiTheme="minorEastAsia" w:eastAsiaTheme="minorEastAsia" w:hAnsiTheme="minorEastAsia" w:hint="eastAsia"/>
        </w:rPr>
        <w:t>（</w:t>
      </w:r>
      <w:r w:rsidR="00575E02" w:rsidRPr="00F17515">
        <w:rPr>
          <w:rFonts w:asciiTheme="minorEastAsia" w:eastAsiaTheme="minorEastAsia" w:hAnsiTheme="minorEastAsia" w:hint="eastAsia"/>
        </w:rPr>
        <w:t>六</w:t>
      </w:r>
      <w:r w:rsidRPr="00F17515">
        <w:rPr>
          <w:rFonts w:asciiTheme="minorEastAsia" w:eastAsiaTheme="minorEastAsia" w:hAnsiTheme="minorEastAsia" w:hint="eastAsia"/>
        </w:rPr>
        <w:t>）</w:t>
      </w:r>
      <w:r w:rsidR="007228CC" w:rsidRPr="00F17515">
        <w:rPr>
          <w:rFonts w:asciiTheme="minorEastAsia" w:eastAsiaTheme="minorEastAsia" w:hAnsiTheme="minorEastAsia" w:hint="eastAsia"/>
        </w:rPr>
        <w:t>其他风险</w:t>
      </w:r>
      <w:bookmarkEnd w:id="484"/>
      <w:bookmarkEnd w:id="485"/>
      <w:bookmarkEnd w:id="486"/>
      <w:bookmarkEnd w:id="488"/>
    </w:p>
    <w:p w:rsidR="007228CC" w:rsidRPr="00F17515" w:rsidRDefault="007228CC" w:rsidP="0071223F">
      <w:pPr>
        <w:snapToGrid w:val="0"/>
        <w:spacing w:line="360" w:lineRule="auto"/>
        <w:ind w:firstLine="420"/>
        <w:rPr>
          <w:rFonts w:asciiTheme="minorEastAsia" w:eastAsiaTheme="minorEastAsia" w:hAnsiTheme="minorEastAsia"/>
          <w:kern w:val="0"/>
          <w:szCs w:val="21"/>
        </w:rPr>
      </w:pPr>
      <w:r w:rsidRPr="00F17515">
        <w:rPr>
          <w:rFonts w:asciiTheme="minorEastAsia" w:eastAsiaTheme="minorEastAsia" w:hAnsiTheme="minorEastAsia" w:hint="eastAsia"/>
        </w:rPr>
        <w:t>1</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kern w:val="0"/>
          <w:szCs w:val="21"/>
        </w:rPr>
        <w:t>本基金力争战胜业绩比较基准，但本基金的收益水平有可能不能达到或超过业绩比较基准，基金份额持有人面临无法获得目标收益率甚至本金亏损的风险；</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2</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rPr>
        <w:t>因技术因素而产生的风险，如电脑系统不可靠产生的风险；</w:t>
      </w:r>
    </w:p>
    <w:p w:rsidR="007228CC" w:rsidRPr="00F17515" w:rsidRDefault="007228CC"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3</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rPr>
        <w:t>因战争、自然灾害等不可抗力导致的基金管理人、基金</w:t>
      </w:r>
      <w:r w:rsidR="00236E5B" w:rsidRPr="00F17515">
        <w:rPr>
          <w:rFonts w:asciiTheme="minorEastAsia" w:eastAsiaTheme="minorEastAsia" w:hAnsiTheme="minorEastAsia" w:hint="eastAsia"/>
        </w:rPr>
        <w:t>销售</w:t>
      </w:r>
      <w:r w:rsidRPr="00F17515">
        <w:rPr>
          <w:rFonts w:asciiTheme="minorEastAsia" w:eastAsiaTheme="minorEastAsia" w:hAnsiTheme="minorEastAsia" w:hint="eastAsia"/>
        </w:rPr>
        <w:t>机构等机构无法正常工</w:t>
      </w:r>
      <w:r w:rsidRPr="00F17515">
        <w:rPr>
          <w:rFonts w:asciiTheme="minorEastAsia" w:eastAsiaTheme="minorEastAsia" w:hAnsiTheme="minorEastAsia" w:hint="eastAsia"/>
        </w:rPr>
        <w:lastRenderedPageBreak/>
        <w:t>作，从而影响基金运作的风险；</w:t>
      </w:r>
    </w:p>
    <w:p w:rsidR="00E4614D" w:rsidRPr="00F17515" w:rsidRDefault="007228CC" w:rsidP="0071223F">
      <w:pPr>
        <w:autoSpaceDE w:val="0"/>
        <w:autoSpaceDN w:val="0"/>
        <w:snapToGrid w:val="0"/>
        <w:spacing w:line="360" w:lineRule="auto"/>
        <w:ind w:firstLineChars="218" w:firstLine="458"/>
        <w:rPr>
          <w:rFonts w:asciiTheme="minorEastAsia" w:eastAsiaTheme="minorEastAsia" w:hAnsiTheme="minorEastAsia"/>
        </w:rPr>
      </w:pPr>
      <w:r w:rsidRPr="00F17515">
        <w:rPr>
          <w:rFonts w:asciiTheme="minorEastAsia" w:eastAsiaTheme="minorEastAsia" w:hAnsiTheme="minorEastAsia" w:hint="eastAsia"/>
        </w:rPr>
        <w:t>4</w:t>
      </w:r>
      <w:r w:rsidR="0021144C" w:rsidRPr="00F17515">
        <w:rPr>
          <w:rFonts w:asciiTheme="minorEastAsia" w:eastAsiaTheme="minorEastAsia" w:hAnsiTheme="minorEastAsia" w:hint="eastAsia"/>
        </w:rPr>
        <w:t>、</w:t>
      </w:r>
      <w:r w:rsidRPr="00F17515">
        <w:rPr>
          <w:rFonts w:asciiTheme="minorEastAsia" w:eastAsiaTheme="minorEastAsia" w:hAnsiTheme="minorEastAsia" w:hint="eastAsia"/>
          <w:kern w:val="0"/>
          <w:szCs w:val="21"/>
        </w:rPr>
        <w:t>因金融市场危机、代理商违约、基金托管人违约等超出基金管理人自身控制能力的因素出现，可能导致基金或者基金份额持有人利益受损的风险</w:t>
      </w:r>
      <w:r w:rsidR="00E4614D" w:rsidRPr="00F17515">
        <w:rPr>
          <w:rFonts w:asciiTheme="minorEastAsia" w:eastAsiaTheme="minorEastAsia" w:hAnsiTheme="minorEastAsia" w:hint="eastAsia"/>
        </w:rPr>
        <w:t>；</w:t>
      </w:r>
    </w:p>
    <w:p w:rsidR="007228CC" w:rsidRPr="00F17515" w:rsidRDefault="00E4614D" w:rsidP="0071223F">
      <w:pPr>
        <w:autoSpaceDE w:val="0"/>
        <w:autoSpaceDN w:val="0"/>
        <w:snapToGrid w:val="0"/>
        <w:spacing w:line="360" w:lineRule="auto"/>
        <w:ind w:firstLineChars="218" w:firstLine="458"/>
        <w:rPr>
          <w:rFonts w:asciiTheme="minorEastAsia" w:eastAsiaTheme="minorEastAsia" w:hAnsiTheme="minorEastAsia"/>
        </w:rPr>
      </w:pPr>
      <w:r w:rsidRPr="00F17515">
        <w:rPr>
          <w:rFonts w:asciiTheme="minorEastAsia" w:eastAsiaTheme="minorEastAsia" w:hAnsiTheme="minorEastAsia"/>
        </w:rPr>
        <w:t>5、</w:t>
      </w:r>
      <w:r w:rsidRPr="00F17515">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p>
    <w:p w:rsidR="0021144C" w:rsidRPr="00F17515" w:rsidRDefault="0021144C" w:rsidP="0071223F">
      <w:pPr>
        <w:autoSpaceDE w:val="0"/>
        <w:autoSpaceDN w:val="0"/>
        <w:snapToGrid w:val="0"/>
        <w:spacing w:line="360" w:lineRule="auto"/>
        <w:ind w:firstLineChars="218" w:firstLine="458"/>
        <w:rPr>
          <w:rFonts w:asciiTheme="minorEastAsia" w:eastAsiaTheme="minorEastAsia" w:hAnsiTheme="minorEastAsia"/>
        </w:rPr>
      </w:pPr>
    </w:p>
    <w:p w:rsidR="006472BD" w:rsidRPr="00F17515" w:rsidRDefault="006472BD" w:rsidP="0071223F">
      <w:pPr>
        <w:autoSpaceDE w:val="0"/>
        <w:autoSpaceDN w:val="0"/>
        <w:snapToGrid w:val="0"/>
        <w:spacing w:line="360" w:lineRule="auto"/>
        <w:ind w:firstLineChars="218" w:firstLine="458"/>
        <w:rPr>
          <w:rFonts w:asciiTheme="minorEastAsia" w:eastAsiaTheme="minorEastAsia" w:hAnsiTheme="minorEastAsia"/>
        </w:rPr>
        <w:sectPr w:rsidR="006472BD" w:rsidRPr="00F17515" w:rsidSect="00DE4B5E">
          <w:pgSz w:w="11906" w:h="16838" w:code="9"/>
          <w:pgMar w:top="1440" w:right="1800" w:bottom="1440" w:left="1800" w:header="851" w:footer="992" w:gutter="0"/>
          <w:cols w:space="425"/>
          <w:docGrid w:type="lines" w:linePitch="312"/>
        </w:sectPr>
      </w:pPr>
    </w:p>
    <w:p w:rsidR="007228CC" w:rsidRPr="00F17515" w:rsidRDefault="007228CC" w:rsidP="00941EC8">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89" w:name="_Toc211920213"/>
      <w:bookmarkStart w:id="490" w:name="_Toc211927742"/>
      <w:bookmarkStart w:id="491" w:name="_Toc41556859"/>
      <w:r w:rsidRPr="00F17515">
        <w:rPr>
          <w:rFonts w:asciiTheme="minorEastAsia" w:eastAsiaTheme="minorEastAsia" w:hAnsiTheme="minorEastAsia" w:hint="eastAsia"/>
          <w:b/>
        </w:rPr>
        <w:lastRenderedPageBreak/>
        <w:t>基金合同的变更、终止与基金财产的清算</w:t>
      </w:r>
      <w:bookmarkEnd w:id="489"/>
      <w:bookmarkEnd w:id="490"/>
      <w:bookmarkEnd w:id="491"/>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92" w:name="_Toc211920214"/>
      <w:bookmarkStart w:id="493" w:name="_Toc211927743"/>
      <w:bookmarkStart w:id="494" w:name="_Toc41556860"/>
      <w:r w:rsidRPr="00F17515">
        <w:rPr>
          <w:rFonts w:asciiTheme="minorEastAsia" w:eastAsiaTheme="minorEastAsia" w:hAnsiTheme="minorEastAsia" w:hint="eastAsia"/>
        </w:rPr>
        <w:t>(一)</w:t>
      </w:r>
      <w:r w:rsidRPr="00F17515">
        <w:rPr>
          <w:rFonts w:asciiTheme="minorEastAsia" w:eastAsiaTheme="minorEastAsia" w:hAnsiTheme="minorEastAsia"/>
        </w:rPr>
        <w:t>基金合同的变更</w:t>
      </w:r>
      <w:bookmarkEnd w:id="492"/>
      <w:bookmarkEnd w:id="493"/>
      <w:bookmarkEnd w:id="494"/>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基金合同</w:t>
      </w:r>
      <w:r w:rsidR="007228CC" w:rsidRPr="00F17515">
        <w:rPr>
          <w:rFonts w:asciiTheme="minorEastAsia" w:eastAsiaTheme="minorEastAsia" w:hAnsiTheme="minorEastAsia" w:hint="eastAsia"/>
          <w:szCs w:val="21"/>
        </w:rPr>
        <w:t>变更内容对基金合同当事人权利、义务产生重大影响的，</w:t>
      </w:r>
      <w:r w:rsidR="007228CC" w:rsidRPr="00F17515">
        <w:rPr>
          <w:rFonts w:asciiTheme="minorEastAsia" w:eastAsiaTheme="minorEastAsia" w:hAnsiTheme="minorEastAsia"/>
          <w:szCs w:val="21"/>
        </w:rPr>
        <w:t>应召开基金份额持有人大会，基金合同变更的内容应经基金份额持有人大会决议同意。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转换基金运作方式；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变更基金类别；</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变更基金投资目标、</w:t>
      </w:r>
      <w:r w:rsidRPr="00F17515">
        <w:rPr>
          <w:rFonts w:asciiTheme="minorEastAsia" w:eastAsiaTheme="minorEastAsia" w:hAnsiTheme="minorEastAsia" w:hint="eastAsia"/>
          <w:szCs w:val="21"/>
        </w:rPr>
        <w:t>投资</w:t>
      </w:r>
      <w:r w:rsidRPr="00F17515">
        <w:rPr>
          <w:rFonts w:asciiTheme="minorEastAsia" w:eastAsiaTheme="minorEastAsia" w:hAnsiTheme="minorEastAsia"/>
          <w:szCs w:val="21"/>
        </w:rPr>
        <w:t>范围或</w:t>
      </w:r>
      <w:r w:rsidRPr="00F17515">
        <w:rPr>
          <w:rFonts w:asciiTheme="minorEastAsia" w:eastAsiaTheme="minorEastAsia" w:hAnsiTheme="minorEastAsia" w:hint="eastAsia"/>
          <w:szCs w:val="21"/>
        </w:rPr>
        <w:t>投资</w:t>
      </w:r>
      <w:r w:rsidRPr="00F17515">
        <w:rPr>
          <w:rFonts w:asciiTheme="minorEastAsia" w:eastAsiaTheme="minorEastAsia" w:hAnsiTheme="minorEastAsia"/>
          <w:szCs w:val="21"/>
        </w:rPr>
        <w:t>策略</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变更基金份额持有人大会程序；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更换基金管理人</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基金托管人；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提高基金管理人、基金托管人的报酬标准。但根据</w:t>
      </w:r>
      <w:r w:rsidRPr="00F17515">
        <w:rPr>
          <w:rFonts w:asciiTheme="minorEastAsia" w:eastAsiaTheme="minorEastAsia" w:hAnsiTheme="minorEastAsia" w:hint="eastAsia"/>
          <w:szCs w:val="21"/>
        </w:rPr>
        <w:t>适用</w:t>
      </w:r>
      <w:r w:rsidRPr="00F17515">
        <w:rPr>
          <w:rFonts w:asciiTheme="minorEastAsia" w:eastAsiaTheme="minorEastAsia" w:hAnsiTheme="minorEastAsia"/>
          <w:szCs w:val="21"/>
        </w:rPr>
        <w:t>的</w:t>
      </w:r>
      <w:r w:rsidRPr="00F17515">
        <w:rPr>
          <w:rFonts w:asciiTheme="minorEastAsia" w:eastAsiaTheme="minorEastAsia" w:hAnsiTheme="minorEastAsia" w:hint="eastAsia"/>
          <w:szCs w:val="21"/>
        </w:rPr>
        <w:t>相关规定</w:t>
      </w:r>
      <w:r w:rsidRPr="00F17515">
        <w:rPr>
          <w:rFonts w:asciiTheme="minorEastAsia" w:eastAsiaTheme="minorEastAsia" w:hAnsiTheme="minorEastAsia"/>
          <w:szCs w:val="21"/>
        </w:rPr>
        <w:t>提高该等报酬标准的除外</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本基金与其他基金的合并</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(8)对基金合同当事人权利、义务产生重大影响的其他事项；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w:t>
      </w:r>
      <w:r w:rsidRPr="00F17515">
        <w:rPr>
          <w:rFonts w:asciiTheme="minorEastAsia" w:eastAsiaTheme="minorEastAsia" w:hAnsiTheme="minorEastAsia"/>
          <w:szCs w:val="21"/>
        </w:rPr>
        <w:t>法律法规</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基金合同或中国证监会规定的其他情形。</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但出现下列情况时，可不经基金份额持有人大会决议，由基金管理人和基金托管人同意变更后公布，并报中国证监会备案：</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(1)调低基金管理费、基金托管费和其他应由基金承担的费用；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(2)在</w:t>
      </w:r>
      <w:r w:rsidRPr="00F17515">
        <w:rPr>
          <w:rFonts w:asciiTheme="minorEastAsia" w:eastAsiaTheme="minorEastAsia" w:hAnsiTheme="minorEastAsia"/>
          <w:szCs w:val="21"/>
        </w:rPr>
        <w:t>法律法规和</w:t>
      </w:r>
      <w:r w:rsidRPr="00F17515">
        <w:rPr>
          <w:rFonts w:asciiTheme="minorEastAsia" w:eastAsiaTheme="minorEastAsia" w:hAnsiTheme="minorEastAsia" w:hint="eastAsia"/>
          <w:szCs w:val="21"/>
        </w:rPr>
        <w:t>本基金合同规定的范围内变更基金的申购费率、赎回费率或收费方式；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(3)法律法规要求增加的基金费用的收取；</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)因相应的法律法规发生变动</w:t>
      </w:r>
      <w:r w:rsidRPr="00F17515">
        <w:rPr>
          <w:rFonts w:asciiTheme="minorEastAsia" w:eastAsiaTheme="minorEastAsia" w:hAnsiTheme="minorEastAsia" w:hint="eastAsia"/>
          <w:szCs w:val="21"/>
        </w:rPr>
        <w:t>必须对</w:t>
      </w:r>
      <w:r w:rsidRPr="00F17515">
        <w:rPr>
          <w:rFonts w:asciiTheme="minorEastAsia" w:eastAsiaTheme="minorEastAsia" w:hAnsiTheme="minorEastAsia"/>
          <w:szCs w:val="21"/>
        </w:rPr>
        <w:t>基金合同进行</w:t>
      </w:r>
      <w:r w:rsidRPr="00F17515">
        <w:rPr>
          <w:rFonts w:asciiTheme="minorEastAsia" w:eastAsiaTheme="minorEastAsia" w:hAnsiTheme="minorEastAsia" w:hint="eastAsia"/>
          <w:szCs w:val="21"/>
        </w:rPr>
        <w:t>修改</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对</w:t>
      </w:r>
      <w:r w:rsidRPr="00F17515">
        <w:rPr>
          <w:rFonts w:asciiTheme="minorEastAsia" w:eastAsiaTheme="minorEastAsia" w:hAnsiTheme="minorEastAsia"/>
          <w:szCs w:val="21"/>
        </w:rPr>
        <w:t>基金合同的</w:t>
      </w:r>
      <w:r w:rsidRPr="00F17515">
        <w:rPr>
          <w:rFonts w:asciiTheme="minorEastAsia" w:eastAsiaTheme="minorEastAsia" w:hAnsiTheme="minorEastAsia" w:hint="eastAsia"/>
          <w:szCs w:val="21"/>
        </w:rPr>
        <w:t>修改</w:t>
      </w:r>
      <w:r w:rsidRPr="00F17515">
        <w:rPr>
          <w:rFonts w:asciiTheme="minorEastAsia" w:eastAsiaTheme="minorEastAsia" w:hAnsiTheme="minorEastAsia"/>
          <w:szCs w:val="21"/>
        </w:rPr>
        <w:t>不涉及本基金合同当事人权利义务关系发生变化；</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(6)基金合同的修改对基金份额持有人利益无实质性不利影响；</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(7)按照法律法规或本基金合同规定不需召开基金份额持有人大会的其他情形。</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2</w:t>
      </w:r>
      <w:r w:rsidR="0021144C" w:rsidRPr="00F17515">
        <w:rPr>
          <w:rFonts w:asciiTheme="minorEastAsia" w:eastAsiaTheme="minorEastAsia" w:hAnsiTheme="minorEastAsia" w:hint="eastAsia"/>
          <w:szCs w:val="21"/>
        </w:rPr>
        <w:t>、</w:t>
      </w:r>
      <w:r w:rsidRPr="00F17515">
        <w:rPr>
          <w:rFonts w:asciiTheme="minorEastAsia" w:eastAsiaTheme="minorEastAsia" w:hAnsiTheme="minorEastAsia" w:hint="eastAsia"/>
          <w:szCs w:val="21"/>
        </w:rPr>
        <w:t>关于变更</w:t>
      </w:r>
      <w:r w:rsidRPr="00F17515">
        <w:rPr>
          <w:rFonts w:asciiTheme="minorEastAsia" w:eastAsiaTheme="minorEastAsia" w:hAnsiTheme="minorEastAsia"/>
          <w:szCs w:val="21"/>
        </w:rPr>
        <w:t>基金合同</w:t>
      </w:r>
      <w:r w:rsidRPr="00F17515">
        <w:rPr>
          <w:rFonts w:asciiTheme="minorEastAsia" w:eastAsiaTheme="minorEastAsia" w:hAnsiTheme="minorEastAsia" w:hint="eastAsia"/>
          <w:szCs w:val="21"/>
        </w:rPr>
        <w:t>的基金份额持有人大会决议应报</w:t>
      </w:r>
      <w:r w:rsidRPr="00F17515">
        <w:rPr>
          <w:rFonts w:asciiTheme="minorEastAsia" w:eastAsiaTheme="minorEastAsia" w:hAnsiTheme="minorEastAsia"/>
          <w:szCs w:val="21"/>
        </w:rPr>
        <w:t>中国证监会</w:t>
      </w:r>
      <w:r w:rsidRPr="00F17515">
        <w:rPr>
          <w:rFonts w:asciiTheme="minorEastAsia" w:eastAsiaTheme="minorEastAsia" w:hAnsiTheme="minorEastAsia" w:hint="eastAsia"/>
          <w:szCs w:val="21"/>
        </w:rPr>
        <w:t>核准或备案，并于中国证监会核准或出具无异议意见后生效执行，</w:t>
      </w:r>
      <w:r w:rsidRPr="00F17515">
        <w:rPr>
          <w:rFonts w:asciiTheme="minorEastAsia" w:eastAsiaTheme="minorEastAsia" w:hAnsiTheme="minorEastAsia"/>
          <w:szCs w:val="21"/>
        </w:rPr>
        <w:t>并</w:t>
      </w:r>
      <w:r w:rsidRPr="00F17515">
        <w:rPr>
          <w:rFonts w:asciiTheme="minorEastAsia" w:eastAsiaTheme="minorEastAsia" w:hAnsiTheme="minorEastAsia" w:hint="eastAsia"/>
          <w:szCs w:val="21"/>
        </w:rPr>
        <w:t>自生效之日起2日</w:t>
      </w:r>
      <w:r w:rsidRPr="00F17515">
        <w:rPr>
          <w:rFonts w:asciiTheme="minorEastAsia" w:eastAsiaTheme="minorEastAsia" w:hAnsiTheme="minorEastAsia"/>
          <w:szCs w:val="21"/>
        </w:rPr>
        <w:t>内</w:t>
      </w:r>
      <w:r w:rsidRPr="00F17515">
        <w:rPr>
          <w:rFonts w:asciiTheme="minorEastAsia" w:eastAsiaTheme="minorEastAsia" w:hAnsiTheme="minorEastAsia" w:hint="eastAsia"/>
          <w:szCs w:val="21"/>
        </w:rPr>
        <w:t>在至少一种</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szCs w:val="21"/>
        </w:rPr>
        <w:t>公告。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95" w:name="_Toc211920215"/>
      <w:bookmarkStart w:id="496" w:name="_Toc211927744"/>
      <w:bookmarkStart w:id="497" w:name="_Toc41556861"/>
      <w:r w:rsidRPr="00F17515">
        <w:rPr>
          <w:rFonts w:asciiTheme="minorEastAsia" w:eastAsiaTheme="minorEastAsia" w:hAnsiTheme="minorEastAsia" w:hint="eastAsia"/>
        </w:rPr>
        <w:t>(二)基金合同的终止</w:t>
      </w:r>
      <w:bookmarkEnd w:id="495"/>
      <w:bookmarkEnd w:id="496"/>
      <w:bookmarkEnd w:id="497"/>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有下列情形之一的，本基金合同经中国证监会核准后将终止：</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基金份额持有人大会决定终止的；</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szCs w:val="21"/>
        </w:rPr>
        <w:t>基金管理人因解散、破产、撤销等事由，不能继续担任基金管理人的职务，而</w:t>
      </w:r>
      <w:r w:rsidR="007228CC" w:rsidRPr="00F17515">
        <w:rPr>
          <w:rFonts w:asciiTheme="minorEastAsia" w:eastAsiaTheme="minorEastAsia" w:hAnsiTheme="minorEastAsia" w:hint="eastAsia"/>
          <w:szCs w:val="21"/>
        </w:rPr>
        <w:t>在6个月内</w:t>
      </w:r>
      <w:r w:rsidR="007228CC" w:rsidRPr="00F17515">
        <w:rPr>
          <w:rFonts w:asciiTheme="minorEastAsia" w:eastAsiaTheme="minorEastAsia" w:hAnsiTheme="minorEastAsia"/>
          <w:szCs w:val="21"/>
        </w:rPr>
        <w:t>无其他适当的基金管理公司承</w:t>
      </w:r>
      <w:r w:rsidR="007228CC" w:rsidRPr="00F17515">
        <w:rPr>
          <w:rFonts w:asciiTheme="minorEastAsia" w:eastAsiaTheme="minorEastAsia" w:hAnsiTheme="minorEastAsia" w:hint="eastAsia"/>
          <w:szCs w:val="21"/>
        </w:rPr>
        <w:t>接</w:t>
      </w:r>
      <w:r w:rsidR="007228CC" w:rsidRPr="00F17515">
        <w:rPr>
          <w:rFonts w:asciiTheme="minorEastAsia" w:eastAsiaTheme="minorEastAsia" w:hAnsiTheme="minorEastAsia"/>
          <w:szCs w:val="21"/>
        </w:rPr>
        <w:t>其原有权利义务；</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基金托管人因解散、破产、撤销等事由，不能继续担任基金托管人的职务，而在6个月内无其他适当的托管机构承接其原有权利义务；</w:t>
      </w:r>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4、</w:t>
      </w:r>
      <w:r w:rsidR="007228CC" w:rsidRPr="00F17515">
        <w:rPr>
          <w:rFonts w:asciiTheme="minorEastAsia" w:eastAsiaTheme="minorEastAsia" w:hAnsiTheme="minorEastAsia" w:hint="eastAsia"/>
          <w:szCs w:val="21"/>
        </w:rPr>
        <w:t>中国证监会规定的其他情况。</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rPr>
      </w:pPr>
      <w:bookmarkStart w:id="498" w:name="_Toc211920216"/>
      <w:bookmarkStart w:id="499" w:name="_Toc211927745"/>
      <w:bookmarkStart w:id="500" w:name="_Toc41556862"/>
      <w:r w:rsidRPr="00F17515">
        <w:rPr>
          <w:rFonts w:asciiTheme="minorEastAsia" w:eastAsiaTheme="minorEastAsia" w:hAnsiTheme="minorEastAsia" w:hint="eastAsia"/>
        </w:rPr>
        <w:t>(三)基金财产的清算</w:t>
      </w:r>
      <w:bookmarkEnd w:id="498"/>
      <w:bookmarkEnd w:id="499"/>
      <w:bookmarkEnd w:id="500"/>
    </w:p>
    <w:p w:rsidR="007228CC" w:rsidRPr="00F17515" w:rsidRDefault="0021144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基金财产清算组</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(1)自出现基金合同终止事由之日起30个工作日内成立清算小组，基金管理人组织基金财产清算小组并在中国证监会的监督下进行基金清算。</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(2)基金财产清算组成员由基金管理人、基金托管人、具有从事证券相关业务资格的注册会计师、律师以及中国证监会指定的人员组成。基金财产清算组可以聘用必要的工作人员。</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(3)基金财产清算组负责基金财产的保管、清理、估价、变现和分配。基金财产清算组可以依法进行必要的民事活动。</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基金财产清算程序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基金合同终止，应当按法律法规和本基金合同的有关规定对基金财产进行清算。基金财产清算程序主要包括：</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基金合同终止后，发布基金</w:t>
      </w:r>
      <w:r w:rsidRPr="00F17515">
        <w:rPr>
          <w:rFonts w:asciiTheme="minorEastAsia" w:eastAsiaTheme="minorEastAsia" w:hAnsiTheme="minorEastAsia" w:hint="eastAsia"/>
          <w:szCs w:val="21"/>
        </w:rPr>
        <w:t>财产</w:t>
      </w:r>
      <w:r w:rsidRPr="00F17515">
        <w:rPr>
          <w:rFonts w:asciiTheme="minorEastAsia" w:eastAsiaTheme="minorEastAsia" w:hAnsiTheme="minorEastAsia"/>
          <w:szCs w:val="21"/>
        </w:rPr>
        <w:t>清算公告；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(2)基金合同终止时，由基金财产清算组统一接管基金财产；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(3)对基金财产进行清理和确认；</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(4)对基金财产进行估价和变现；</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聘请会计师事务所对清算报告进行审计；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聘请律师事务所出具法律意见书；</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(7)将基金财产清算结果报告中国证监会；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Pr="00F17515">
        <w:rPr>
          <w:rFonts w:asciiTheme="minorEastAsia" w:eastAsiaTheme="minorEastAsia" w:hAnsiTheme="minorEastAsia"/>
          <w:szCs w:val="21"/>
        </w:rPr>
        <w:t>参加与基金</w:t>
      </w:r>
      <w:r w:rsidRPr="00F17515">
        <w:rPr>
          <w:rFonts w:asciiTheme="minorEastAsia" w:eastAsiaTheme="minorEastAsia" w:hAnsiTheme="minorEastAsia" w:hint="eastAsia"/>
          <w:szCs w:val="21"/>
        </w:rPr>
        <w:t>财产</w:t>
      </w:r>
      <w:r w:rsidRPr="00F17515">
        <w:rPr>
          <w:rFonts w:asciiTheme="minorEastAsia" w:eastAsiaTheme="minorEastAsia" w:hAnsiTheme="minorEastAsia"/>
          <w:szCs w:val="21"/>
        </w:rPr>
        <w:t>有关的民事诉讼</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(9)公布基金财产清算结果；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(10)对基金剩余财产进行分配。</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清算费用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清算费用是指基金财产清算组在进行基金财产清算过程中发生的所有合理费用，清算费用由基金财产清算组优先从基金财产中支付。</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hint="eastAsia"/>
          <w:szCs w:val="21"/>
        </w:rPr>
        <w:t>基金财产按下列顺序清偿：</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(1)支付清算费用；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(2)交纳所欠税款；</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(3)清偿基金债务；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(4)按基金份额持有人持有的基金份额比例进行分配。</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基金财产未按前款(1)－(</w:t>
      </w:r>
      <w:r w:rsidRPr="00F17515">
        <w:rPr>
          <w:rFonts w:asciiTheme="minorEastAsia" w:eastAsiaTheme="minorEastAsia" w:hAnsiTheme="minorEastAsia"/>
          <w:szCs w:val="21"/>
        </w:rPr>
        <w:t>3</w:t>
      </w:r>
      <w:r w:rsidRPr="00F17515">
        <w:rPr>
          <w:rFonts w:asciiTheme="minorEastAsia" w:eastAsiaTheme="minorEastAsia" w:hAnsiTheme="minorEastAsia" w:hint="eastAsia"/>
          <w:szCs w:val="21"/>
        </w:rPr>
        <w:t>)项规定清偿前，不分配给基金份额持有人。</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007228CC" w:rsidRPr="00F17515">
        <w:rPr>
          <w:rFonts w:asciiTheme="minorEastAsia" w:eastAsiaTheme="minorEastAsia" w:hAnsiTheme="minorEastAsia" w:hint="eastAsia"/>
          <w:szCs w:val="21"/>
        </w:rPr>
        <w:t>基金财产清算的公告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基金财产清算公告于</w:t>
      </w:r>
      <w:r w:rsidRPr="00F17515">
        <w:rPr>
          <w:rFonts w:asciiTheme="minorEastAsia" w:eastAsiaTheme="minorEastAsia" w:hAnsiTheme="minorEastAsia" w:hint="eastAsia"/>
          <w:szCs w:val="21"/>
        </w:rPr>
        <w:t>基金合同终止并报中国证监会备案后</w:t>
      </w:r>
      <w:r w:rsidRPr="00F17515">
        <w:rPr>
          <w:rFonts w:asciiTheme="minorEastAsia" w:eastAsiaTheme="minorEastAsia" w:hAnsiTheme="minorEastAsia"/>
          <w:szCs w:val="21"/>
        </w:rPr>
        <w:t>5</w:t>
      </w:r>
      <w:r w:rsidRPr="00F17515">
        <w:rPr>
          <w:rFonts w:asciiTheme="minorEastAsia" w:eastAsiaTheme="minorEastAsia" w:hAnsiTheme="minorEastAsia" w:hint="eastAsia"/>
          <w:szCs w:val="21"/>
        </w:rPr>
        <w:t>个工作日内由基金财产清算组公告；清算过程中的有关重大事项须及时公告；基金财产清算结果经会计师事务所审计，</w:t>
      </w:r>
      <w:r w:rsidRPr="00F17515">
        <w:rPr>
          <w:rFonts w:asciiTheme="minorEastAsia" w:eastAsiaTheme="minorEastAsia" w:hAnsiTheme="minorEastAsia" w:hint="eastAsia"/>
          <w:szCs w:val="21"/>
        </w:rPr>
        <w:lastRenderedPageBreak/>
        <w:t>律师事务所出具法律意见书后，由基金财产清算组报中国证监会备案并公告。</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007228CC" w:rsidRPr="00F17515">
        <w:rPr>
          <w:rFonts w:asciiTheme="minorEastAsia" w:eastAsiaTheme="minorEastAsia" w:hAnsiTheme="minorEastAsia" w:hint="eastAsia"/>
          <w:szCs w:val="21"/>
        </w:rPr>
        <w:t>基金财产清算账册及文件的保存</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基金财产清算账册及有关文件由基金托管人保存</w:t>
      </w:r>
      <w:r w:rsidRPr="00F17515">
        <w:rPr>
          <w:rFonts w:asciiTheme="minorEastAsia" w:eastAsiaTheme="minorEastAsia" w:hAnsiTheme="minorEastAsia"/>
          <w:szCs w:val="21"/>
        </w:rPr>
        <w:t>15</w:t>
      </w:r>
      <w:r w:rsidRPr="00F17515">
        <w:rPr>
          <w:rFonts w:asciiTheme="minorEastAsia" w:eastAsiaTheme="minorEastAsia" w:hAnsiTheme="minorEastAsia" w:hint="eastAsia"/>
          <w:szCs w:val="21"/>
        </w:rPr>
        <w:t>年以上。</w:t>
      </w:r>
    </w:p>
    <w:p w:rsidR="007228CC" w:rsidRPr="00F17515" w:rsidRDefault="007228CC" w:rsidP="0071223F">
      <w:pPr>
        <w:snapToGrid w:val="0"/>
        <w:spacing w:line="360" w:lineRule="auto"/>
        <w:ind w:firstLine="640"/>
        <w:rPr>
          <w:rFonts w:asciiTheme="minorEastAsia" w:eastAsiaTheme="minorEastAsia" w:hAnsiTheme="minorEastAsia"/>
        </w:rPr>
      </w:pPr>
      <w:bookmarkStart w:id="501" w:name="_Toc86584659"/>
    </w:p>
    <w:p w:rsidR="007228CC" w:rsidRPr="00F17515" w:rsidRDefault="007228CC" w:rsidP="00941EC8">
      <w:pPr>
        <w:pStyle w:val="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sectPr w:rsidR="007228CC" w:rsidRPr="00F17515" w:rsidSect="00DE4B5E">
          <w:pgSz w:w="11906" w:h="16838" w:code="9"/>
          <w:pgMar w:top="1440" w:right="1800" w:bottom="1440" w:left="1800" w:header="851" w:footer="992" w:gutter="0"/>
          <w:cols w:space="425"/>
          <w:docGrid w:type="lines" w:linePitch="312"/>
        </w:sectPr>
      </w:pPr>
      <w:bookmarkStart w:id="502" w:name="_Toc211920217"/>
      <w:bookmarkStart w:id="503" w:name="_Toc211927746"/>
      <w:bookmarkEnd w:id="501"/>
    </w:p>
    <w:p w:rsidR="007228CC" w:rsidRPr="00F17515" w:rsidRDefault="007228CC" w:rsidP="00DB15B5">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504" w:name="_Toc41556863"/>
      <w:r w:rsidRPr="00F17515">
        <w:rPr>
          <w:rFonts w:asciiTheme="minorEastAsia" w:eastAsiaTheme="minorEastAsia" w:hAnsiTheme="minorEastAsia" w:hint="eastAsia"/>
          <w:b/>
        </w:rPr>
        <w:lastRenderedPageBreak/>
        <w:t>基金合同内容摘要</w:t>
      </w:r>
      <w:bookmarkEnd w:id="502"/>
      <w:bookmarkEnd w:id="503"/>
      <w:bookmarkEnd w:id="504"/>
    </w:p>
    <w:p w:rsidR="007228CC" w:rsidRPr="00F17515" w:rsidRDefault="007228CC" w:rsidP="00941EC8">
      <w:pPr>
        <w:pStyle w:val="2"/>
        <w:adjustRightInd w:val="0"/>
        <w:snapToGrid w:val="0"/>
        <w:spacing w:beforeLines="0" w:afterLines="0" w:line="360" w:lineRule="auto"/>
        <w:ind w:firstLineChars="0" w:firstLine="0"/>
        <w:rPr>
          <w:rFonts w:asciiTheme="minorEastAsia" w:eastAsiaTheme="minorEastAsia" w:hAnsiTheme="minorEastAsia"/>
          <w:bCs/>
        </w:rPr>
      </w:pPr>
      <w:bookmarkStart w:id="505" w:name="_Toc169345019"/>
      <w:bookmarkStart w:id="506" w:name="_Toc211920219"/>
      <w:bookmarkStart w:id="507" w:name="_Toc211927748"/>
      <w:bookmarkStart w:id="508" w:name="_Toc41556864"/>
      <w:r w:rsidRPr="00F17515">
        <w:rPr>
          <w:rFonts w:asciiTheme="minorEastAsia" w:eastAsiaTheme="minorEastAsia" w:hAnsiTheme="minorEastAsia" w:hint="eastAsia"/>
          <w:bCs/>
        </w:rPr>
        <w:t>（一）基金管理人的权利与义务</w:t>
      </w:r>
      <w:bookmarkEnd w:id="505"/>
      <w:bookmarkEnd w:id="506"/>
      <w:bookmarkEnd w:id="507"/>
      <w:bookmarkEnd w:id="508"/>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bookmarkStart w:id="509" w:name="_Toc169345020"/>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根据《基金法》及其他有关法律法规，基金管理人的权利为：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（1）自本基金合同生效之日起，依照有关法律法规和本基金合同的规定独立运用</w:t>
      </w:r>
      <w:r w:rsidRPr="00F17515">
        <w:rPr>
          <w:rFonts w:asciiTheme="minorEastAsia" w:eastAsiaTheme="minorEastAsia" w:hAnsiTheme="minorEastAsia"/>
          <w:szCs w:val="21"/>
        </w:rPr>
        <w:t>基金</w:t>
      </w:r>
      <w:r w:rsidRPr="00F17515">
        <w:rPr>
          <w:rFonts w:asciiTheme="minorEastAsia" w:eastAsiaTheme="minorEastAsia" w:hAnsiTheme="minorEastAsia" w:hint="eastAsia"/>
          <w:szCs w:val="21"/>
        </w:rPr>
        <w:t>财产</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（2）依照基金合同获得基金管理费以及法律法规规定或监管部门批准的其他收入；</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（3）发售基金份额；</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（4）依照有关规定行使因基金财产投资于证券所产生的权利；</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（6）根据本基金合同及有关规定监督基金托管人</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对于基金托管人违反了本基金合同或有关法律法规规定的行为，对基金财产、其他当事人的利益造成重大损失的情形</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应及时呈报中国证监会</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并采取必要措施保护基金及相关当事人的利益；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（7）在基金合同约定的范围内，拒绝或暂停受理申购和赎回申请；</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（8）在法律法规允许的前提下，为基金的利益依法为基金进行融资、融券；</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（9）自行担任或选择、更换注册登记机构，获取基金份额持有人名册，并对注册登记机构的代理行为进行必要的监督和检查；</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（10）选择、更换代销机构，并依据基金销售服务代理协议和有关法律法规，对其行为进行必要的监督和检查；</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（11）选择、更换律师、审计师、证券经纪商或其他为基金提供服务的外部机构；</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（12）在基金托管人更换时，</w:t>
      </w:r>
      <w:r w:rsidRPr="00F17515">
        <w:rPr>
          <w:rFonts w:asciiTheme="minorEastAsia" w:eastAsiaTheme="minorEastAsia" w:hAnsiTheme="minorEastAsia"/>
          <w:szCs w:val="21"/>
        </w:rPr>
        <w:t>提名新的基金托管人；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（13）依法召集基金份额持有人大会；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（14）</w:t>
      </w:r>
      <w:r w:rsidRPr="00F17515">
        <w:rPr>
          <w:rFonts w:asciiTheme="minorEastAsia" w:eastAsiaTheme="minorEastAsia" w:hAnsiTheme="minorEastAsia"/>
          <w:szCs w:val="21"/>
        </w:rPr>
        <w:t>法律法规</w:t>
      </w:r>
      <w:r w:rsidRPr="00F17515">
        <w:rPr>
          <w:rFonts w:asciiTheme="minorEastAsia" w:eastAsiaTheme="minorEastAsia" w:hAnsiTheme="minorEastAsia" w:hint="eastAsia"/>
          <w:szCs w:val="21"/>
        </w:rPr>
        <w:t>和基金合同</w:t>
      </w:r>
      <w:r w:rsidRPr="00F17515">
        <w:rPr>
          <w:rFonts w:asciiTheme="minorEastAsia" w:eastAsiaTheme="minorEastAsia" w:hAnsiTheme="minorEastAsia"/>
          <w:szCs w:val="21"/>
        </w:rPr>
        <w:t>规定的其他权利</w:t>
      </w:r>
      <w:r w:rsidRPr="00F17515">
        <w:rPr>
          <w:rFonts w:asciiTheme="minorEastAsia" w:eastAsiaTheme="minorEastAsia" w:hAnsiTheme="minorEastAsia" w:hint="eastAsia"/>
          <w:szCs w:val="21"/>
        </w:rPr>
        <w:t>。</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根据《基金法》及其他有关法律法规，基金管理人的义务为：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（1）依法募集基金，办理或者委托经中国证监会认定的其他机构代为办理基金份额的发售、申购、赎回和登记事宜；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（2）办理基金备案手续；</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自基金合同生效之日起，以诚实信用、勤勉尽责的原则管理和运用基金财产；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配备足够的具有专业资格的人员进行基金投资分析、决策，以专业化的经营方式管理和运作基金财产；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建立健全内部风险控制、监察与稽核、财务管理及人事管理等制度，保证所管理的基金财产和管理人的财产相互独立，对所管理的不同基金分别管理，分别记账，进行证券</w:t>
      </w:r>
      <w:r w:rsidRPr="00F17515">
        <w:rPr>
          <w:rFonts w:asciiTheme="minorEastAsia" w:eastAsiaTheme="minorEastAsia" w:hAnsiTheme="minorEastAsia"/>
          <w:szCs w:val="21"/>
        </w:rPr>
        <w:lastRenderedPageBreak/>
        <w:t>投资；</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除依据《基金法》、基金合同及其他有关规定外，不得为自己及任何第三人谋取利益，不得委托第三人运作基金财产；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依法接受基金托管人的监督；</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（8）计算并公告基金净值</w:t>
      </w:r>
      <w:r w:rsidR="001D16B5" w:rsidRPr="00F17515">
        <w:rPr>
          <w:rFonts w:asciiTheme="minorEastAsia" w:eastAsiaTheme="minorEastAsia" w:hAnsiTheme="minorEastAsia" w:hint="eastAsia"/>
          <w:szCs w:val="21"/>
        </w:rPr>
        <w:t>信息</w:t>
      </w:r>
      <w:r w:rsidRPr="00F17515">
        <w:rPr>
          <w:rFonts w:asciiTheme="minorEastAsia" w:eastAsiaTheme="minorEastAsia" w:hAnsiTheme="minorEastAsia" w:hint="eastAsia"/>
          <w:szCs w:val="21"/>
        </w:rPr>
        <w:t>，确定基金份额申购、赎回价格；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w:t>
      </w:r>
      <w:r w:rsidRPr="00F17515">
        <w:rPr>
          <w:rFonts w:asciiTheme="minorEastAsia" w:eastAsiaTheme="minorEastAsia" w:hAnsiTheme="minorEastAsia"/>
          <w:szCs w:val="21"/>
        </w:rPr>
        <w:t>采取适当合理的措施使计算基金份额认购、申购、赎回和注销</w:t>
      </w:r>
      <w:r w:rsidRPr="00F17515">
        <w:rPr>
          <w:rFonts w:asciiTheme="minorEastAsia" w:eastAsiaTheme="minorEastAsia" w:hAnsiTheme="minorEastAsia" w:hint="eastAsia"/>
          <w:szCs w:val="21"/>
        </w:rPr>
        <w:t>价格</w:t>
      </w:r>
      <w:r w:rsidRPr="00F17515">
        <w:rPr>
          <w:rFonts w:asciiTheme="minorEastAsia" w:eastAsiaTheme="minorEastAsia" w:hAnsiTheme="minorEastAsia"/>
          <w:szCs w:val="21"/>
        </w:rPr>
        <w:t>的方法符合基金合同等法律文件的规定；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（10）</w:t>
      </w:r>
      <w:r w:rsidRPr="00F17515">
        <w:rPr>
          <w:rFonts w:asciiTheme="minorEastAsia" w:eastAsiaTheme="minorEastAsia" w:hAnsiTheme="minorEastAsia"/>
          <w:szCs w:val="21"/>
        </w:rPr>
        <w:t>按规定受理申购和赎回申请，及时、足额支付</w:t>
      </w:r>
      <w:r w:rsidRPr="00F17515">
        <w:rPr>
          <w:rFonts w:asciiTheme="minorEastAsia" w:eastAsiaTheme="minorEastAsia" w:hAnsiTheme="minorEastAsia" w:hint="eastAsia"/>
          <w:szCs w:val="21"/>
        </w:rPr>
        <w:t>赎回款项</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（11）进行基金会计核算并编制基金财务会计报告；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（12）编制中期</w:t>
      </w:r>
      <w:r w:rsidR="001D16B5" w:rsidRPr="00F17515">
        <w:rPr>
          <w:rFonts w:asciiTheme="minorEastAsia" w:eastAsiaTheme="minorEastAsia" w:hAnsiTheme="minorEastAsia" w:hint="eastAsia"/>
          <w:szCs w:val="21"/>
        </w:rPr>
        <w:t>报告</w:t>
      </w:r>
      <w:r w:rsidRPr="00F17515">
        <w:rPr>
          <w:rFonts w:asciiTheme="minorEastAsia" w:eastAsiaTheme="minorEastAsia" w:hAnsiTheme="minorEastAsia" w:hint="eastAsia"/>
          <w:szCs w:val="21"/>
        </w:rPr>
        <w:t>和年度报告；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（13）</w:t>
      </w:r>
      <w:r w:rsidRPr="00F17515">
        <w:rPr>
          <w:rFonts w:asciiTheme="minorEastAsia" w:eastAsiaTheme="minorEastAsia" w:hAnsiTheme="minorEastAsia"/>
          <w:szCs w:val="21"/>
        </w:rPr>
        <w:t>严格按照《基金法》、基金合同及其他有关规定，履行信息披露及报告义务；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（14）</w:t>
      </w:r>
      <w:r w:rsidRPr="00F17515">
        <w:rPr>
          <w:rFonts w:asciiTheme="minorEastAsia" w:eastAsiaTheme="minorEastAsia" w:hAnsiTheme="minorEastAsia"/>
          <w:szCs w:val="21"/>
        </w:rPr>
        <w:t>保守基金商业秘密，不得泄露基金投资计划、投资意向等</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除《基金法》、基金合同及其他有关规定另有规定外，在基金信息公开披露前应予保密，不得向他人泄露；</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（15）按照基金合同的约定确定基金收益分配方案，及时向基金份额持有人分配收益；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（16）</w:t>
      </w:r>
      <w:r w:rsidRPr="00F17515">
        <w:rPr>
          <w:rFonts w:asciiTheme="minorEastAsia" w:eastAsiaTheme="minorEastAsia" w:hAnsiTheme="minorEastAsia"/>
          <w:szCs w:val="21"/>
        </w:rPr>
        <w:t>依据《基金法》、基金合同及其他有关规定召集基金份额持有人大会或配合基金托管人、基金份额持有人依法召集基金份额持有人大会；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（17）保存基金财产管理业务活动的记录、账册、报表和其他相关资料；</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（18）以基金管理人名义，代表基金份额持有人利益行使诉讼权利或者实施其他法律行为；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（19）</w:t>
      </w:r>
      <w:r w:rsidRPr="00F17515">
        <w:rPr>
          <w:rFonts w:asciiTheme="minorEastAsia" w:eastAsiaTheme="minorEastAsia" w:hAnsiTheme="minorEastAsia"/>
          <w:szCs w:val="21"/>
        </w:rPr>
        <w:t>组织并参加基金财产清算小组，参与基金财产的保管、清理、估价、变现和分配；</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（20）</w:t>
      </w:r>
      <w:r w:rsidRPr="00F17515">
        <w:rPr>
          <w:rFonts w:asciiTheme="minorEastAsia" w:eastAsiaTheme="minorEastAsia" w:hAnsiTheme="minorEastAsia"/>
          <w:szCs w:val="21"/>
        </w:rPr>
        <w:t>因违反基金合同导致基金财产的损失或损害基金份额持有人合法权益，应当承担赔偿责任，其赔偿责任不因其退任而免除；</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（21）</w:t>
      </w:r>
      <w:r w:rsidRPr="00F17515">
        <w:rPr>
          <w:rFonts w:asciiTheme="minorEastAsia" w:eastAsiaTheme="minorEastAsia" w:hAnsiTheme="minorEastAsia"/>
          <w:szCs w:val="21"/>
        </w:rPr>
        <w:t>基金托管人违反基金合同造成基金财产损失时，应为基金份额持有人利益向基金托管人追偿；</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（22）按规定向基金托管人提供基金份额持有人名册资料；</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（23）面临解散、依法被撤销或者被依法宣告破产时，及时报告中国证监会并通知基金托管人；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（24）执行生效的基金份额持有人大会决议；</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（25）不从事任何有损基金及其他基金当事人利益的活动；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（26）依照法律法规为基金的利益对被投资公司行使股东权利，为基金的利益行使因基金财产投资于证券所产生的权利，不谋求对上市公司的控股和直接管理；</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（27）法律法规、中国证监会和基金合同规定的其他义务。</w:t>
      </w:r>
    </w:p>
    <w:p w:rsidR="007228CC" w:rsidRPr="00F17515" w:rsidRDefault="007228CC" w:rsidP="00941EC8">
      <w:pPr>
        <w:pStyle w:val="2"/>
        <w:adjustRightInd w:val="0"/>
        <w:snapToGrid w:val="0"/>
        <w:spacing w:beforeLines="0" w:afterLines="0" w:line="360" w:lineRule="auto"/>
        <w:ind w:firstLineChars="0" w:firstLine="0"/>
        <w:rPr>
          <w:rFonts w:asciiTheme="minorEastAsia" w:eastAsiaTheme="minorEastAsia" w:hAnsiTheme="minorEastAsia"/>
          <w:bCs/>
          <w:szCs w:val="21"/>
        </w:rPr>
      </w:pPr>
      <w:bookmarkStart w:id="510" w:name="_Toc211920220"/>
      <w:bookmarkStart w:id="511" w:name="_Toc211927749"/>
      <w:bookmarkStart w:id="512" w:name="_Toc41556865"/>
      <w:r w:rsidRPr="00F17515">
        <w:rPr>
          <w:rFonts w:asciiTheme="minorEastAsia" w:eastAsiaTheme="minorEastAsia" w:hAnsiTheme="minorEastAsia" w:hint="eastAsia"/>
          <w:bCs/>
        </w:rPr>
        <w:t>（二）基金托管人的权利与义务</w:t>
      </w:r>
      <w:bookmarkEnd w:id="509"/>
      <w:bookmarkEnd w:id="510"/>
      <w:bookmarkEnd w:id="511"/>
      <w:bookmarkEnd w:id="512"/>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bookmarkStart w:id="513" w:name="_Toc169345021"/>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根据《基金法》及其他有关法律法规，基金托管人的权利为：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（1）依基金合同约定</w:t>
      </w:r>
      <w:r w:rsidRPr="00F17515">
        <w:rPr>
          <w:rFonts w:asciiTheme="minorEastAsia" w:eastAsiaTheme="minorEastAsia" w:hAnsiTheme="minorEastAsia"/>
          <w:szCs w:val="21"/>
        </w:rPr>
        <w:t>获得基金托管费</w:t>
      </w:r>
      <w:r w:rsidRPr="00F17515">
        <w:rPr>
          <w:rFonts w:asciiTheme="minorEastAsia" w:eastAsiaTheme="minorEastAsia" w:hAnsiTheme="minorEastAsia" w:hint="eastAsia"/>
          <w:szCs w:val="21"/>
        </w:rPr>
        <w:t>以及法律法规规定或监管部门批准的其他收入</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监督基金管理人对本基金的投资运作；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（3）自本基金合同生效之日起，</w:t>
      </w:r>
      <w:r w:rsidRPr="00F17515">
        <w:rPr>
          <w:rFonts w:asciiTheme="minorEastAsia" w:eastAsiaTheme="minorEastAsia" w:hAnsiTheme="minorEastAsia"/>
          <w:szCs w:val="21"/>
        </w:rPr>
        <w:t>依法保管基金资产；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在基金管理人更换时，提名</w:t>
      </w:r>
      <w:r w:rsidRPr="00F17515">
        <w:rPr>
          <w:rFonts w:asciiTheme="minorEastAsia" w:eastAsiaTheme="minorEastAsia" w:hAnsiTheme="minorEastAsia" w:hint="eastAsia"/>
          <w:szCs w:val="21"/>
        </w:rPr>
        <w:t>新任</w:t>
      </w:r>
      <w:r w:rsidRPr="00F17515">
        <w:rPr>
          <w:rFonts w:asciiTheme="minorEastAsia" w:eastAsiaTheme="minorEastAsia" w:hAnsiTheme="minorEastAsia"/>
          <w:szCs w:val="21"/>
        </w:rPr>
        <w:t>基金管理人；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（5）根</w:t>
      </w:r>
      <w:r w:rsidRPr="00F17515">
        <w:rPr>
          <w:rFonts w:asciiTheme="minorEastAsia" w:eastAsiaTheme="minorEastAsia" w:hAnsiTheme="minorEastAsia"/>
          <w:szCs w:val="21"/>
        </w:rPr>
        <w:t>据本基金合同及有关规定监督基金</w:t>
      </w:r>
      <w:r w:rsidRPr="00F17515">
        <w:rPr>
          <w:rFonts w:asciiTheme="minorEastAsia" w:eastAsiaTheme="minorEastAsia" w:hAnsiTheme="minorEastAsia" w:hint="eastAsia"/>
          <w:szCs w:val="21"/>
        </w:rPr>
        <w:t>管理人</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对于</w:t>
      </w:r>
      <w:r w:rsidRPr="00F17515">
        <w:rPr>
          <w:rFonts w:asciiTheme="minorEastAsia" w:eastAsiaTheme="minorEastAsia" w:hAnsiTheme="minorEastAsia"/>
          <w:szCs w:val="21"/>
        </w:rPr>
        <w:t>基金</w:t>
      </w:r>
      <w:r w:rsidRPr="00F17515">
        <w:rPr>
          <w:rFonts w:asciiTheme="minorEastAsia" w:eastAsiaTheme="minorEastAsia" w:hAnsiTheme="minorEastAsia" w:hint="eastAsia"/>
          <w:szCs w:val="21"/>
        </w:rPr>
        <w:t>管理</w:t>
      </w:r>
      <w:r w:rsidRPr="00F17515">
        <w:rPr>
          <w:rFonts w:asciiTheme="minorEastAsia" w:eastAsiaTheme="minorEastAsia" w:hAnsiTheme="minorEastAsia"/>
          <w:szCs w:val="21"/>
        </w:rPr>
        <w:t>人违反本基金合同或有关</w:t>
      </w:r>
      <w:r w:rsidRPr="00F17515">
        <w:rPr>
          <w:rFonts w:asciiTheme="minorEastAsia" w:eastAsiaTheme="minorEastAsia" w:hAnsiTheme="minorEastAsia" w:hint="eastAsia"/>
          <w:szCs w:val="21"/>
        </w:rPr>
        <w:t>法律法规</w:t>
      </w:r>
      <w:r w:rsidRPr="00F17515">
        <w:rPr>
          <w:rFonts w:asciiTheme="minorEastAsia" w:eastAsiaTheme="minorEastAsia" w:hAnsiTheme="minorEastAsia"/>
          <w:szCs w:val="21"/>
        </w:rPr>
        <w:t>规定</w:t>
      </w:r>
      <w:r w:rsidRPr="00F17515">
        <w:rPr>
          <w:rFonts w:asciiTheme="minorEastAsia" w:eastAsiaTheme="minorEastAsia" w:hAnsiTheme="minorEastAsia" w:hint="eastAsia"/>
          <w:szCs w:val="21"/>
        </w:rPr>
        <w:t>的行为，</w:t>
      </w:r>
      <w:r w:rsidRPr="00F17515">
        <w:rPr>
          <w:rFonts w:asciiTheme="minorEastAsia" w:eastAsiaTheme="minorEastAsia" w:hAnsiTheme="minorEastAsia"/>
          <w:szCs w:val="21"/>
        </w:rPr>
        <w:t>对基金资产、其他当事人的利益造成重大损失的</w:t>
      </w:r>
      <w:r w:rsidRPr="00F17515">
        <w:rPr>
          <w:rFonts w:asciiTheme="minorEastAsia" w:eastAsiaTheme="minorEastAsia" w:hAnsiTheme="minorEastAsia" w:hint="eastAsia"/>
          <w:szCs w:val="21"/>
        </w:rPr>
        <w:t>情形</w:t>
      </w:r>
      <w:r w:rsidRPr="00F17515">
        <w:rPr>
          <w:rFonts w:asciiTheme="minorEastAsia" w:eastAsiaTheme="minorEastAsia" w:hAnsiTheme="minorEastAsia"/>
          <w:szCs w:val="21"/>
        </w:rPr>
        <w:t>，应及时呈报中国证监会，并采取必要措施保护基金及相关当事人的利益；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（6）依法召集基金份额持有人大会；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（7）按规定取得基金份额持有人名册资料；</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Pr="00F17515">
        <w:rPr>
          <w:rFonts w:asciiTheme="minorEastAsia" w:eastAsiaTheme="minorEastAsia" w:hAnsiTheme="minorEastAsia"/>
          <w:szCs w:val="21"/>
        </w:rPr>
        <w:t>法律法规</w:t>
      </w:r>
      <w:r w:rsidRPr="00F17515">
        <w:rPr>
          <w:rFonts w:asciiTheme="minorEastAsia" w:eastAsiaTheme="minorEastAsia" w:hAnsiTheme="minorEastAsia" w:hint="eastAsia"/>
          <w:szCs w:val="21"/>
        </w:rPr>
        <w:t>和基金合同</w:t>
      </w:r>
      <w:r w:rsidRPr="00F17515">
        <w:rPr>
          <w:rFonts w:asciiTheme="minorEastAsia" w:eastAsiaTheme="minorEastAsia" w:hAnsiTheme="minorEastAsia"/>
          <w:szCs w:val="21"/>
        </w:rPr>
        <w:t>规定的其他权利。</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根据《基金法》及其他有关法律法规，基金托管人的义务为：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（1）安全保管基金财产；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设立专门的基金托管部，具有符合要求的营业场所，配备足够的、合格的熟悉基金托管业务的专职人员，负责基金财产托管事宜；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（3）对所托管的不同基金财产分别设置账户，确保基金财产的完整与独立；</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除依据《基金法》、基金合同及其他有关规定外，不得为自己及任何第三人谋取利益，不得委托第三人托管基金财产；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保管由基金管理人代表基金签订的与基金有关的重大合同及有关凭证；</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按规定开设基金财产的资金账户和证券账户；</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保守基金商业秘密</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除《基金法》、基金合同及其他有关规定另有规定外，在基金信息公开披露前应予保密，不得向他人泄露；</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Pr="00F17515">
        <w:rPr>
          <w:rFonts w:asciiTheme="minorEastAsia" w:eastAsiaTheme="minorEastAsia" w:hAnsiTheme="minorEastAsia"/>
          <w:szCs w:val="21"/>
        </w:rPr>
        <w:t>对基金财务会计报告</w:t>
      </w:r>
      <w:r w:rsidRPr="00F17515">
        <w:rPr>
          <w:rFonts w:asciiTheme="minorEastAsia" w:eastAsiaTheme="minorEastAsia" w:hAnsiTheme="minorEastAsia" w:hint="eastAsia"/>
          <w:szCs w:val="21"/>
        </w:rPr>
        <w:t>、中期</w:t>
      </w:r>
      <w:r w:rsidR="001D16B5" w:rsidRPr="00F17515">
        <w:rPr>
          <w:rFonts w:asciiTheme="minorEastAsia" w:eastAsiaTheme="minorEastAsia" w:hAnsiTheme="minorEastAsia" w:hint="eastAsia"/>
          <w:szCs w:val="21"/>
        </w:rPr>
        <w:t>报告</w:t>
      </w:r>
      <w:r w:rsidRPr="00F17515">
        <w:rPr>
          <w:rFonts w:asciiTheme="minorEastAsia" w:eastAsiaTheme="minorEastAsia" w:hAnsiTheme="minorEastAsia"/>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（9）保存基金托管业务活动的记录、账册、报表和其他相关资料；</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（10）按照基金合同的约定，根据基金管理人的投资指令，及时办理清算、交割事宜；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（11）办理与基金托管业务活动有关的信息披露事项；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（12）复核、审查基金管理人计算的基金资产净值</w:t>
      </w:r>
      <w:r w:rsidR="001D16B5" w:rsidRPr="00F17515">
        <w:rPr>
          <w:rFonts w:asciiTheme="minorEastAsia" w:eastAsiaTheme="minorEastAsia" w:hAnsiTheme="minorEastAsia" w:hint="eastAsia"/>
          <w:szCs w:val="21"/>
        </w:rPr>
        <w:t>、基金份额净值</w:t>
      </w:r>
      <w:r w:rsidRPr="00F17515">
        <w:rPr>
          <w:rFonts w:asciiTheme="minorEastAsia" w:eastAsiaTheme="minorEastAsia" w:hAnsiTheme="minorEastAsia" w:hint="eastAsia"/>
          <w:szCs w:val="21"/>
        </w:rPr>
        <w:t>和基金份额申购、赎回价格；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（13）按照规定监督基金管理人的投资运作；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（14）</w:t>
      </w:r>
      <w:r w:rsidRPr="00F17515">
        <w:rPr>
          <w:rFonts w:asciiTheme="minorEastAsia" w:eastAsiaTheme="minorEastAsia" w:hAnsiTheme="minorEastAsia"/>
          <w:szCs w:val="21"/>
        </w:rPr>
        <w:t>按规定制作相关账册并与基金管理人核对；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（15）</w:t>
      </w:r>
      <w:r w:rsidRPr="00F17515">
        <w:rPr>
          <w:rFonts w:asciiTheme="minorEastAsia" w:eastAsiaTheme="minorEastAsia" w:hAnsiTheme="minorEastAsia"/>
          <w:szCs w:val="21"/>
        </w:rPr>
        <w:t>依据基金管理人的指令或有关规定向基金份额持有人支付基金收益和赎回</w:t>
      </w:r>
      <w:r w:rsidRPr="00F17515">
        <w:rPr>
          <w:rFonts w:asciiTheme="minorEastAsia" w:eastAsiaTheme="minorEastAsia" w:hAnsiTheme="minorEastAsia" w:hint="eastAsia"/>
          <w:szCs w:val="21"/>
        </w:rPr>
        <w:t>款项</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（16）</w:t>
      </w:r>
      <w:r w:rsidRPr="00F17515">
        <w:rPr>
          <w:rFonts w:asciiTheme="minorEastAsia" w:eastAsiaTheme="minorEastAsia" w:hAnsiTheme="minorEastAsia"/>
          <w:szCs w:val="21"/>
        </w:rPr>
        <w:t>按照规定召集基金份额持有人大会或配合基金份额持有人依法自行召集基金份额持有人大会；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（17）</w:t>
      </w:r>
      <w:r w:rsidRPr="00F17515">
        <w:rPr>
          <w:rFonts w:asciiTheme="minorEastAsia" w:eastAsiaTheme="minorEastAsia" w:hAnsiTheme="minorEastAsia"/>
          <w:szCs w:val="21"/>
        </w:rPr>
        <w:t>因违反基金合同导致基金财产损失，应承担赔偿责任，其赔偿责任不因其退任而免除；</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（18）</w:t>
      </w:r>
      <w:r w:rsidRPr="00F17515">
        <w:rPr>
          <w:rFonts w:asciiTheme="minorEastAsia" w:eastAsiaTheme="minorEastAsia" w:hAnsiTheme="minorEastAsia"/>
          <w:szCs w:val="21"/>
        </w:rPr>
        <w:t>基金管理人因违反基金合同造成基金财产损失时，应为基金向基金管理人追偿；</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（19）参加基金财产清算小组，参与基金财产的保管、清理、估价、变现和分配；</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（20）面临解散、依法被撤销或者被依法宣告破产时，及时报告中国证监会和银行业监督管理机构，并通知基金管理人；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（21）执行生效的基金份额持有人大会决议；</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（22）不从事任何有损基金及其他基金当事人利益的活动；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（23）建立并保存基金份额持有人名册；</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（24）法律法规、中国证监会和基金合同规定的</w:t>
      </w:r>
      <w:r w:rsidRPr="00F17515">
        <w:rPr>
          <w:rFonts w:asciiTheme="minorEastAsia" w:eastAsiaTheme="minorEastAsia" w:hAnsiTheme="minorEastAsia"/>
          <w:szCs w:val="21"/>
        </w:rPr>
        <w:t>其他义务。</w:t>
      </w:r>
    </w:p>
    <w:p w:rsidR="007228CC" w:rsidRPr="00F17515" w:rsidRDefault="007228CC" w:rsidP="00941EC8">
      <w:pPr>
        <w:pStyle w:val="2"/>
        <w:adjustRightInd w:val="0"/>
        <w:snapToGrid w:val="0"/>
        <w:spacing w:beforeLines="0" w:afterLines="0" w:line="360" w:lineRule="auto"/>
        <w:ind w:firstLineChars="0" w:firstLine="0"/>
        <w:rPr>
          <w:rFonts w:asciiTheme="minorEastAsia" w:eastAsiaTheme="minorEastAsia" w:hAnsiTheme="minorEastAsia"/>
          <w:szCs w:val="21"/>
        </w:rPr>
      </w:pPr>
      <w:bookmarkStart w:id="514" w:name="_Toc211920221"/>
      <w:bookmarkStart w:id="515" w:name="_Toc211927750"/>
      <w:bookmarkStart w:id="516" w:name="_Toc41556866"/>
      <w:r w:rsidRPr="00F17515">
        <w:rPr>
          <w:rFonts w:asciiTheme="minorEastAsia" w:eastAsiaTheme="minorEastAsia" w:hAnsiTheme="minorEastAsia" w:hint="eastAsia"/>
          <w:bCs/>
        </w:rPr>
        <w:t>（三）基金份额持有人的权利与义务</w:t>
      </w:r>
      <w:bookmarkEnd w:id="513"/>
      <w:bookmarkEnd w:id="514"/>
      <w:bookmarkEnd w:id="515"/>
      <w:bookmarkEnd w:id="516"/>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根据《基金法》及其他有关法律法规，基金份额持有人的权利为：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分享基金财产收益；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参与分配清算后的剩余基金财产；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依法申请赎回其持有的基金份额；</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按照规定要求召开基金份额持有人大会；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出席或者委派代表出席基金份额持有人大会，对基金份额持有人大会审议事项行使表决权；</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查阅或者复制公开披露的基金信息资料；</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监督基金管理人的投资运作；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Pr="00F17515">
        <w:rPr>
          <w:rFonts w:asciiTheme="minorEastAsia" w:eastAsiaTheme="minorEastAsia" w:hAnsiTheme="minorEastAsia"/>
          <w:szCs w:val="21"/>
        </w:rPr>
        <w:t>对基金管理人、基金托管人、基金</w:t>
      </w:r>
      <w:r w:rsidRPr="00F17515">
        <w:rPr>
          <w:rFonts w:asciiTheme="minorEastAsia" w:eastAsiaTheme="minorEastAsia" w:hAnsiTheme="minorEastAsia" w:hint="eastAsia"/>
          <w:szCs w:val="21"/>
        </w:rPr>
        <w:t>销售</w:t>
      </w:r>
      <w:r w:rsidRPr="00F17515">
        <w:rPr>
          <w:rFonts w:asciiTheme="minorEastAsia" w:eastAsiaTheme="minorEastAsia" w:hAnsiTheme="minorEastAsia"/>
          <w:szCs w:val="21"/>
        </w:rPr>
        <w:t>机构损害其合法权益的行为依法提起诉讼；</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（9）法律法规和基金合同规定的</w:t>
      </w:r>
      <w:r w:rsidRPr="00F17515">
        <w:rPr>
          <w:rFonts w:asciiTheme="minorEastAsia" w:eastAsiaTheme="minorEastAsia" w:hAnsiTheme="minorEastAsia"/>
          <w:szCs w:val="21"/>
        </w:rPr>
        <w:t>其他权利。</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每份基金份额具有同等的合法权益。</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根据《基金法》及其他有关法律法规，基金份额持有人的义务为：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遵守</w:t>
      </w:r>
      <w:r w:rsidRPr="00F17515">
        <w:rPr>
          <w:rFonts w:asciiTheme="minorEastAsia" w:eastAsiaTheme="minorEastAsia" w:hAnsiTheme="minorEastAsia" w:hint="eastAsia"/>
          <w:szCs w:val="21"/>
        </w:rPr>
        <w:t>法律法规、</w:t>
      </w:r>
      <w:r w:rsidRPr="00F17515">
        <w:rPr>
          <w:rFonts w:asciiTheme="minorEastAsia" w:eastAsiaTheme="minorEastAsia" w:hAnsiTheme="minorEastAsia"/>
          <w:szCs w:val="21"/>
        </w:rPr>
        <w:t>基金合同</w:t>
      </w:r>
      <w:r w:rsidRPr="00F17515">
        <w:rPr>
          <w:rFonts w:asciiTheme="minorEastAsia" w:eastAsiaTheme="minorEastAsia" w:hAnsiTheme="minorEastAsia" w:hint="eastAsia"/>
          <w:szCs w:val="21"/>
        </w:rPr>
        <w:t>及其他有关规定</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交纳基金认购、申购款项及</w:t>
      </w:r>
      <w:r w:rsidRPr="00F17515">
        <w:rPr>
          <w:rFonts w:asciiTheme="minorEastAsia" w:eastAsiaTheme="minorEastAsia" w:hAnsiTheme="minorEastAsia" w:hint="eastAsia"/>
          <w:szCs w:val="21"/>
        </w:rPr>
        <w:t>法律法规和基金合同所</w:t>
      </w:r>
      <w:r w:rsidRPr="00F17515">
        <w:rPr>
          <w:rFonts w:asciiTheme="minorEastAsia" w:eastAsiaTheme="minorEastAsia" w:hAnsiTheme="minorEastAsia"/>
          <w:szCs w:val="21"/>
        </w:rPr>
        <w:t>规定的费用；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在持有的基金份额范围内，承担基金亏损或者基金合同终止的有限责任；</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不从事任何有损基金及</w:t>
      </w:r>
      <w:r w:rsidRPr="00F17515">
        <w:rPr>
          <w:rFonts w:asciiTheme="minorEastAsia" w:eastAsiaTheme="minorEastAsia" w:hAnsiTheme="minorEastAsia" w:hint="eastAsia"/>
          <w:szCs w:val="21"/>
        </w:rPr>
        <w:t>其他</w:t>
      </w:r>
      <w:r w:rsidRPr="00F17515">
        <w:rPr>
          <w:rFonts w:asciiTheme="minorEastAsia" w:eastAsiaTheme="minorEastAsia" w:hAnsiTheme="minorEastAsia"/>
          <w:szCs w:val="21"/>
        </w:rPr>
        <w:t>基金份额持有人合法权益的活动；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执行生效的基金份额持有人大会</w:t>
      </w:r>
      <w:r w:rsidRPr="00F17515">
        <w:rPr>
          <w:rFonts w:asciiTheme="minorEastAsia" w:eastAsiaTheme="minorEastAsia" w:hAnsiTheme="minorEastAsia" w:hint="eastAsia"/>
          <w:szCs w:val="21"/>
        </w:rPr>
        <w:t>决议</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（6）返还在基金交易过程中因任何原因，自基金管理人及基金管理人的代理人、基金托管人、代销机构、其他基金份额持有人处获得的不当得利；</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法律法规和基金合同规定的其他义务。</w:t>
      </w:r>
    </w:p>
    <w:p w:rsidR="007228CC" w:rsidRPr="00F17515" w:rsidRDefault="007228CC" w:rsidP="00941EC8">
      <w:pPr>
        <w:pStyle w:val="2"/>
        <w:adjustRightInd w:val="0"/>
        <w:snapToGrid w:val="0"/>
        <w:spacing w:beforeLines="0" w:afterLines="0" w:line="360" w:lineRule="auto"/>
        <w:ind w:firstLineChars="0" w:firstLine="0"/>
        <w:rPr>
          <w:rFonts w:asciiTheme="minorEastAsia" w:eastAsiaTheme="minorEastAsia" w:hAnsiTheme="minorEastAsia"/>
        </w:rPr>
      </w:pPr>
      <w:bookmarkStart w:id="517" w:name="_Toc169345022"/>
      <w:bookmarkStart w:id="518" w:name="_Toc211920222"/>
      <w:bookmarkStart w:id="519" w:name="_Toc211927751"/>
      <w:bookmarkStart w:id="520" w:name="_Toc41556867"/>
      <w:r w:rsidRPr="00F17515">
        <w:rPr>
          <w:rFonts w:asciiTheme="minorEastAsia" w:eastAsiaTheme="minorEastAsia" w:hAnsiTheme="minorEastAsia" w:hint="eastAsia"/>
          <w:bCs/>
        </w:rPr>
        <w:lastRenderedPageBreak/>
        <w:t>（四）基金份额持有人大会</w:t>
      </w:r>
      <w:bookmarkEnd w:id="517"/>
      <w:bookmarkEnd w:id="518"/>
      <w:bookmarkEnd w:id="519"/>
      <w:bookmarkEnd w:id="520"/>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基金份额持有人大会由基金份额持有人</w:t>
      </w:r>
      <w:r w:rsidR="007228CC" w:rsidRPr="00F17515">
        <w:rPr>
          <w:rFonts w:asciiTheme="minorEastAsia" w:eastAsiaTheme="minorEastAsia" w:hAnsiTheme="minorEastAsia" w:hint="eastAsia"/>
          <w:szCs w:val="21"/>
        </w:rPr>
        <w:t>或基金</w:t>
      </w:r>
      <w:r w:rsidR="007228CC" w:rsidRPr="00F17515">
        <w:rPr>
          <w:rFonts w:asciiTheme="minorEastAsia" w:eastAsiaTheme="minorEastAsia" w:hAnsiTheme="minorEastAsia"/>
          <w:szCs w:val="21"/>
        </w:rPr>
        <w:t>份额持有人</w:t>
      </w:r>
      <w:r w:rsidR="007228CC" w:rsidRPr="00F17515">
        <w:rPr>
          <w:rFonts w:asciiTheme="minorEastAsia" w:eastAsiaTheme="minorEastAsia" w:hAnsiTheme="minorEastAsia" w:hint="eastAsia"/>
          <w:szCs w:val="21"/>
        </w:rPr>
        <w:t>的合法授权代表</w:t>
      </w:r>
      <w:r w:rsidR="007228CC" w:rsidRPr="00F17515">
        <w:rPr>
          <w:rFonts w:asciiTheme="minorEastAsia" w:eastAsiaTheme="minorEastAsia" w:hAnsiTheme="minorEastAsia"/>
          <w:szCs w:val="21"/>
        </w:rPr>
        <w:t>共同组成。</w:t>
      </w:r>
      <w:r w:rsidR="007228CC" w:rsidRPr="00F17515">
        <w:rPr>
          <w:rFonts w:asciiTheme="minorEastAsia" w:eastAsiaTheme="minorEastAsia" w:hAnsiTheme="minorEastAsia" w:hint="eastAsia"/>
          <w:szCs w:val="21"/>
        </w:rPr>
        <w:t>基金份额持有人持有的每一基金份额具有同等的投票权。</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召开事由</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当出现或需要决定下列事由之一的，经基金管理人</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基金托管人或持有基金份额10%以上</w:t>
      </w:r>
      <w:r w:rsidRPr="00F17515">
        <w:rPr>
          <w:rFonts w:asciiTheme="minorEastAsia" w:eastAsiaTheme="minorEastAsia" w:hAnsiTheme="minorEastAsia" w:hint="eastAsia"/>
          <w:szCs w:val="21"/>
        </w:rPr>
        <w:t>(含10%，下同)</w:t>
      </w:r>
      <w:r w:rsidRPr="00F17515">
        <w:rPr>
          <w:rFonts w:asciiTheme="minorEastAsia" w:eastAsiaTheme="minorEastAsia" w:hAnsiTheme="minorEastAsia"/>
          <w:szCs w:val="21"/>
        </w:rPr>
        <w:t>的基金份额持有人(以基金管理人收到提议当日的基金份额计算，下同)提议时，应当召开基金份额持有人大会：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(1)终止</w:t>
      </w:r>
      <w:r w:rsidRPr="00F17515">
        <w:rPr>
          <w:rFonts w:asciiTheme="minorEastAsia" w:eastAsiaTheme="minorEastAsia" w:hAnsiTheme="minorEastAsia"/>
          <w:szCs w:val="21"/>
        </w:rPr>
        <w:t>基金合同；</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转换基金运作方式；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变更基金类别；</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变更基金投资目标、</w:t>
      </w:r>
      <w:r w:rsidRPr="00F17515">
        <w:rPr>
          <w:rFonts w:asciiTheme="minorEastAsia" w:eastAsiaTheme="minorEastAsia" w:hAnsiTheme="minorEastAsia" w:hint="eastAsia"/>
          <w:szCs w:val="21"/>
        </w:rPr>
        <w:t>投资</w:t>
      </w:r>
      <w:r w:rsidRPr="00F17515">
        <w:rPr>
          <w:rFonts w:asciiTheme="minorEastAsia" w:eastAsiaTheme="minorEastAsia" w:hAnsiTheme="minorEastAsia"/>
          <w:szCs w:val="21"/>
        </w:rPr>
        <w:t>范围或</w:t>
      </w:r>
      <w:r w:rsidRPr="00F17515">
        <w:rPr>
          <w:rFonts w:asciiTheme="minorEastAsia" w:eastAsiaTheme="minorEastAsia" w:hAnsiTheme="minorEastAsia" w:hint="eastAsia"/>
          <w:szCs w:val="21"/>
        </w:rPr>
        <w:t>投资</w:t>
      </w:r>
      <w:r w:rsidRPr="00F17515">
        <w:rPr>
          <w:rFonts w:asciiTheme="minorEastAsia" w:eastAsiaTheme="minorEastAsia" w:hAnsiTheme="minorEastAsia"/>
          <w:szCs w:val="21"/>
        </w:rPr>
        <w:t>策略</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变更基金份额持有人大会程序；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更换基金管理人</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基金托管人；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提高基金管理人、基金托管人的报酬标准</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但法律法规要求提高该等报酬标准的除外</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Pr="00F17515">
        <w:rPr>
          <w:rFonts w:asciiTheme="minorEastAsia" w:eastAsiaTheme="minorEastAsia" w:hAnsiTheme="minorEastAsia"/>
          <w:szCs w:val="21"/>
        </w:rPr>
        <w:t>本基金与其他基金的合并</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(9)对基金合同当事人权利、义务产生重大影响的其他事项；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(10)</w:t>
      </w:r>
      <w:r w:rsidRPr="00F17515">
        <w:rPr>
          <w:rFonts w:asciiTheme="minorEastAsia" w:eastAsiaTheme="minorEastAsia" w:hAnsiTheme="minorEastAsia"/>
          <w:szCs w:val="21"/>
        </w:rPr>
        <w:t>法律法规</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基金合同或中国证监会规定的其他情形。</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szCs w:val="21"/>
        </w:rPr>
        <w:t>出现以下情形之一的，可由基金管理人和基金托管人协商后修改</w:t>
      </w:r>
      <w:r w:rsidR="007228CC" w:rsidRPr="00F17515">
        <w:rPr>
          <w:rFonts w:asciiTheme="minorEastAsia" w:eastAsiaTheme="minorEastAsia" w:hAnsiTheme="minorEastAsia" w:hint="eastAsia"/>
          <w:szCs w:val="21"/>
        </w:rPr>
        <w:t>基金合同</w:t>
      </w:r>
      <w:r w:rsidR="007228CC" w:rsidRPr="00F17515">
        <w:rPr>
          <w:rFonts w:asciiTheme="minorEastAsia" w:eastAsiaTheme="minorEastAsia" w:hAnsiTheme="minorEastAsia"/>
          <w:szCs w:val="21"/>
        </w:rPr>
        <w:t>，不需召开基金份额持有人大会：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(1)调低基金管理费、基金托管费和其他应由基金承担的费用；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(2)在</w:t>
      </w:r>
      <w:r w:rsidRPr="00F17515">
        <w:rPr>
          <w:rFonts w:asciiTheme="minorEastAsia" w:eastAsiaTheme="minorEastAsia" w:hAnsiTheme="minorEastAsia"/>
          <w:szCs w:val="21"/>
        </w:rPr>
        <w:t>法律法规和</w:t>
      </w:r>
      <w:r w:rsidRPr="00F17515">
        <w:rPr>
          <w:rFonts w:asciiTheme="minorEastAsia" w:eastAsiaTheme="minorEastAsia" w:hAnsiTheme="minorEastAsia" w:hint="eastAsia"/>
          <w:szCs w:val="21"/>
        </w:rPr>
        <w:t>本基金合同规定的范围内变更基金的申购费率、赎回费率或收费方式；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(3)法律法规要求增加的基金费用的收取；</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(4)因相应的法律法规发生变动必须对基金合同进行修改；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(5)对基金合同的修改不涉及本基金合同当事人权利义务关系发生变化；</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(6)基金合同的修改对基金份额持有人利益无实质性不利影响；</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(7)按照法律法规或本基金合同规定不需召开基金份额持有人大会的其他情形。</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szCs w:val="21"/>
        </w:rPr>
        <w:t>召集人和召集方式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（1）除法律法规或本基金合同另有约定外，基金份额持有人大会由基金管理人召集。基金管理人未按规定召集或者不能召集时，由基金托管人召集。</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基金托管人认为有必要召开基金份额持有人大会的，应当向基金管理人提出书面提议。基金管理人应当自收到书面提议之日起</w:t>
      </w:r>
      <w:r w:rsidRPr="00F17515">
        <w:rPr>
          <w:rFonts w:asciiTheme="minorEastAsia" w:eastAsiaTheme="minorEastAsia" w:hAnsiTheme="minorEastAsia" w:hint="eastAsia"/>
          <w:szCs w:val="21"/>
        </w:rPr>
        <w:t>10</w:t>
      </w:r>
      <w:r w:rsidRPr="00F17515">
        <w:rPr>
          <w:rFonts w:asciiTheme="minorEastAsia" w:eastAsiaTheme="minorEastAsia" w:hAnsiTheme="minorEastAsia"/>
          <w:szCs w:val="21"/>
        </w:rPr>
        <w:t>日内决定是否召集，并书面告知基金托管人。基金管理人决定召集的，应当自出具书面决定之日起</w:t>
      </w:r>
      <w:r w:rsidRPr="00F17515">
        <w:rPr>
          <w:rFonts w:asciiTheme="minorEastAsia" w:eastAsiaTheme="minorEastAsia" w:hAnsiTheme="minorEastAsia" w:hint="eastAsia"/>
          <w:szCs w:val="21"/>
        </w:rPr>
        <w:t>60</w:t>
      </w:r>
      <w:r w:rsidRPr="00F17515">
        <w:rPr>
          <w:rFonts w:asciiTheme="minorEastAsia" w:eastAsiaTheme="minorEastAsia" w:hAnsiTheme="minorEastAsia"/>
          <w:szCs w:val="21"/>
        </w:rPr>
        <w:t>日内召开；基金管理人决定不召集，基金托管人仍认为有必要召开的，应当自行召集</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（3）</w:t>
      </w:r>
      <w:r w:rsidRPr="00F17515">
        <w:rPr>
          <w:rFonts w:asciiTheme="minorEastAsia" w:eastAsiaTheme="minorEastAsia" w:hAnsiTheme="minorEastAsia"/>
          <w:szCs w:val="21"/>
        </w:rPr>
        <w:t>代表基金份额10%以上的基金份额持有人认为有必要召开基金份额持有人大会的，应当向基金管理人提出书面提议。基金管理人应当自收到书面提议之日起</w:t>
      </w:r>
      <w:r w:rsidRPr="00F17515">
        <w:rPr>
          <w:rFonts w:asciiTheme="minorEastAsia" w:eastAsiaTheme="minorEastAsia" w:hAnsiTheme="minorEastAsia" w:hint="eastAsia"/>
          <w:szCs w:val="21"/>
        </w:rPr>
        <w:t>10</w:t>
      </w:r>
      <w:r w:rsidRPr="00F17515">
        <w:rPr>
          <w:rFonts w:asciiTheme="minorEastAsia" w:eastAsiaTheme="minorEastAsia" w:hAnsiTheme="minorEastAsia"/>
          <w:szCs w:val="21"/>
        </w:rPr>
        <w:t>日内决定是否召集，并书面告知提出提议的基金份额持有人代表和基金托管人。基金管理人决定召集的，应当自出具书面决定之日起</w:t>
      </w:r>
      <w:r w:rsidRPr="00F17515">
        <w:rPr>
          <w:rFonts w:asciiTheme="minorEastAsia" w:eastAsiaTheme="minorEastAsia" w:hAnsiTheme="minorEastAsia" w:hint="eastAsia"/>
          <w:szCs w:val="21"/>
        </w:rPr>
        <w:t>60</w:t>
      </w:r>
      <w:r w:rsidRPr="00F17515">
        <w:rPr>
          <w:rFonts w:asciiTheme="minorEastAsia" w:eastAsiaTheme="minorEastAsia" w:hAnsiTheme="minorEastAsia"/>
          <w:szCs w:val="21"/>
        </w:rPr>
        <w:t>日内召开；基金管理人决定不召集，代表基金份额10%以上的基金份额持有人仍认为有必要召开的，应当向基金托管人提出书面提议。基金托管人应当自收到书面提议之日起</w:t>
      </w:r>
      <w:r w:rsidRPr="00F17515">
        <w:rPr>
          <w:rFonts w:asciiTheme="minorEastAsia" w:eastAsiaTheme="minorEastAsia" w:hAnsiTheme="minorEastAsia" w:hint="eastAsia"/>
          <w:szCs w:val="21"/>
        </w:rPr>
        <w:t>10</w:t>
      </w:r>
      <w:r w:rsidRPr="00F17515">
        <w:rPr>
          <w:rFonts w:asciiTheme="minorEastAsia" w:eastAsiaTheme="minorEastAsia" w:hAnsiTheme="minorEastAsia"/>
          <w:szCs w:val="21"/>
        </w:rPr>
        <w:t>日内决定是否召集，并书面告知提出提议的基金份额持有人代表和基金管理人；基金托管人决定召集的，应当自出具书面决定之日起</w:t>
      </w:r>
      <w:r w:rsidRPr="00F17515">
        <w:rPr>
          <w:rFonts w:asciiTheme="minorEastAsia" w:eastAsiaTheme="minorEastAsia" w:hAnsiTheme="minorEastAsia" w:hint="eastAsia"/>
          <w:szCs w:val="21"/>
        </w:rPr>
        <w:t>60</w:t>
      </w:r>
      <w:r w:rsidRPr="00F17515">
        <w:rPr>
          <w:rFonts w:asciiTheme="minorEastAsia" w:eastAsiaTheme="minorEastAsia" w:hAnsiTheme="minorEastAsia"/>
          <w:szCs w:val="21"/>
        </w:rPr>
        <w:t>日内召开</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F17515">
        <w:rPr>
          <w:rFonts w:asciiTheme="minorEastAsia" w:eastAsiaTheme="minorEastAsia" w:hAnsiTheme="minorEastAsia" w:hint="eastAsia"/>
          <w:szCs w:val="21"/>
        </w:rPr>
        <w:t>30</w:t>
      </w:r>
      <w:r w:rsidRPr="00F17515">
        <w:rPr>
          <w:rFonts w:asciiTheme="minorEastAsia" w:eastAsiaTheme="minorEastAsia" w:hAnsiTheme="minorEastAsia"/>
          <w:szCs w:val="21"/>
        </w:rPr>
        <w:t>日向中国证监会备案。</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基金份额持有人依法自行召集基金份额持有人大会的，基金管理人、基金托管人应当配合，不得阻碍、干扰。</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007228CC" w:rsidRPr="00F17515">
        <w:rPr>
          <w:rFonts w:asciiTheme="minorEastAsia" w:eastAsiaTheme="minorEastAsia" w:hAnsiTheme="minorEastAsia"/>
          <w:szCs w:val="21"/>
        </w:rPr>
        <w:t>召开基金份额持有人大会的通知时间、通知内容、通知方式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（1）基金份额持有人大会的召集人(以下简称“召集人”)负责</w:t>
      </w:r>
      <w:r w:rsidRPr="00F17515">
        <w:rPr>
          <w:rStyle w:val="read"/>
          <w:rFonts w:asciiTheme="minorEastAsia" w:eastAsiaTheme="minorEastAsia" w:hAnsiTheme="minorEastAsia" w:hint="eastAsia"/>
          <w:szCs w:val="21"/>
        </w:rPr>
        <w:t>选择确定开会时间、地点、方式和权益登记日。</w:t>
      </w:r>
      <w:r w:rsidRPr="00F17515">
        <w:rPr>
          <w:rFonts w:asciiTheme="minorEastAsia" w:eastAsiaTheme="minorEastAsia" w:hAnsiTheme="minorEastAsia" w:hint="eastAsia"/>
          <w:szCs w:val="21"/>
        </w:rPr>
        <w:t>召开基金份额持有人大会，召集人必须于会议召开日前30日在</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公告。基金份额持有人大会通知须至少载明以下内容：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1)会议召开的时间、地点和出席方式；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2)会议拟审议的主要事项；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会议形式；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议事程序；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5)有权出席基金份额持有人大会的基金份额持有人权益登记日；</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6)代理投票的授权委托书的内容要求</w:t>
      </w:r>
      <w:r w:rsidRPr="00F17515">
        <w:rPr>
          <w:rFonts w:asciiTheme="minorEastAsia" w:eastAsiaTheme="minorEastAsia" w:hAnsiTheme="minorEastAsia"/>
          <w:szCs w:val="21"/>
        </w:rPr>
        <w:t>(包括但不限于代理人身份、代理权限和代理有效期限等)、</w:t>
      </w:r>
      <w:r w:rsidRPr="00F17515">
        <w:rPr>
          <w:rFonts w:asciiTheme="minorEastAsia" w:eastAsiaTheme="minorEastAsia" w:hAnsiTheme="minorEastAsia" w:hint="eastAsia"/>
          <w:szCs w:val="21"/>
        </w:rPr>
        <w:t>送达时间和地点；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表决方式；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8)会务常设联系人姓名、电话；</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w:t>
      </w:r>
      <w:r w:rsidRPr="00F17515">
        <w:rPr>
          <w:rFonts w:asciiTheme="minorEastAsia" w:eastAsiaTheme="minorEastAsia" w:hAnsiTheme="minorEastAsia"/>
          <w:szCs w:val="21"/>
        </w:rPr>
        <w:t>出席会议者必须准备的文件和必须履行的手续；</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10)</w:t>
      </w:r>
      <w:r w:rsidRPr="00F17515">
        <w:rPr>
          <w:rFonts w:asciiTheme="minorEastAsia" w:eastAsiaTheme="minorEastAsia" w:hAnsiTheme="minorEastAsia"/>
          <w:szCs w:val="21"/>
        </w:rPr>
        <w:t>召集人需要通知的其他事项。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F17515">
        <w:rPr>
          <w:rFonts w:asciiTheme="minorEastAsia" w:eastAsiaTheme="minorEastAsia" w:hAnsiTheme="minorEastAsia" w:hint="eastAsia"/>
          <w:szCs w:val="21"/>
        </w:rPr>
        <w:t>。基金管理人或基金托管人拒不派代</w:t>
      </w:r>
      <w:r w:rsidRPr="00F17515">
        <w:rPr>
          <w:rFonts w:asciiTheme="minorEastAsia" w:eastAsiaTheme="minorEastAsia" w:hAnsiTheme="minorEastAsia" w:hint="eastAsia"/>
          <w:szCs w:val="21"/>
        </w:rPr>
        <w:lastRenderedPageBreak/>
        <w:t>表对书面表决意见的计票进行监督的，不影响计票和表决结果</w:t>
      </w:r>
      <w:r w:rsidRPr="00F17515">
        <w:rPr>
          <w:rFonts w:asciiTheme="minorEastAsia" w:eastAsiaTheme="minorEastAsia" w:hAnsiTheme="minorEastAsia"/>
          <w:szCs w:val="21"/>
        </w:rPr>
        <w:t>。</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007228CC" w:rsidRPr="00F17515">
        <w:rPr>
          <w:rFonts w:asciiTheme="minorEastAsia" w:eastAsiaTheme="minorEastAsia" w:hAnsiTheme="minorEastAsia"/>
          <w:szCs w:val="21"/>
        </w:rPr>
        <w:t>基金份额持有人出席会议的方式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（1）会议方式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基金份额持有人大会的召开方式包括现场开会和通讯方式开会</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现场开会由基金份额持有人本人出席或通过授权委托书委派其代理人出席，现场开会时基金管理人和基金托管人的授权代表应当出席</w:t>
      </w:r>
      <w:r w:rsidRPr="00F17515">
        <w:rPr>
          <w:rFonts w:asciiTheme="minorEastAsia" w:eastAsiaTheme="minorEastAsia" w:hAnsiTheme="minorEastAsia" w:hint="eastAsia"/>
          <w:szCs w:val="21"/>
        </w:rPr>
        <w:t>，如基金</w:t>
      </w:r>
      <w:r w:rsidRPr="00F17515">
        <w:rPr>
          <w:rFonts w:asciiTheme="minorEastAsia" w:eastAsiaTheme="minorEastAsia" w:hAnsiTheme="minorEastAsia"/>
          <w:szCs w:val="21"/>
        </w:rPr>
        <w:t>管理人</w:t>
      </w:r>
      <w:r w:rsidRPr="00F17515">
        <w:rPr>
          <w:rFonts w:asciiTheme="minorEastAsia" w:eastAsiaTheme="minorEastAsia" w:hAnsiTheme="minorEastAsia" w:hint="eastAsia"/>
          <w:szCs w:val="21"/>
        </w:rPr>
        <w:t>或</w:t>
      </w:r>
      <w:r w:rsidRPr="00F17515">
        <w:rPr>
          <w:rFonts w:asciiTheme="minorEastAsia" w:eastAsiaTheme="minorEastAsia" w:hAnsiTheme="minorEastAsia"/>
          <w:szCs w:val="21"/>
        </w:rPr>
        <w:t>基金托管人</w:t>
      </w:r>
      <w:r w:rsidRPr="00F17515">
        <w:rPr>
          <w:rFonts w:asciiTheme="minorEastAsia" w:eastAsiaTheme="minorEastAsia" w:hAnsiTheme="minorEastAsia" w:hint="eastAsia"/>
          <w:szCs w:val="21"/>
        </w:rPr>
        <w:t>拒不派代表</w:t>
      </w:r>
      <w:r w:rsidRPr="00F17515">
        <w:rPr>
          <w:rFonts w:asciiTheme="minorEastAsia" w:eastAsiaTheme="minorEastAsia" w:hAnsiTheme="minorEastAsia"/>
          <w:szCs w:val="21"/>
        </w:rPr>
        <w:t>出席</w:t>
      </w:r>
      <w:r w:rsidRPr="00F17515">
        <w:rPr>
          <w:rFonts w:asciiTheme="minorEastAsia" w:eastAsiaTheme="minorEastAsia" w:hAnsiTheme="minorEastAsia" w:hint="eastAsia"/>
          <w:szCs w:val="21"/>
        </w:rPr>
        <w:t>的，不影响表决效力。</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通讯方式开会指按照本基金合同的</w:t>
      </w:r>
      <w:r w:rsidRPr="00F17515">
        <w:rPr>
          <w:rFonts w:asciiTheme="minorEastAsia" w:eastAsiaTheme="minorEastAsia" w:hAnsiTheme="minorEastAsia" w:hint="eastAsia"/>
          <w:szCs w:val="21"/>
        </w:rPr>
        <w:t>相关规定以通讯的书面方式进行表决。</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会议的召开方式由召集人确定</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但决定转换基金运作方式</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基金管理人更换或基金托管人更换</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终止基金合同的事宜必须以现场开会方式召开基金份额持有人大会。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（2）召开基金份额持有人大会的条件</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1)现场开会方式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在同时符合以下条件时，现场</w:t>
      </w:r>
      <w:r w:rsidRPr="00F17515">
        <w:rPr>
          <w:rFonts w:asciiTheme="minorEastAsia" w:eastAsiaTheme="minorEastAsia" w:hAnsiTheme="minorEastAsia"/>
          <w:szCs w:val="21"/>
        </w:rPr>
        <w:t>会议方可举行</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①</w:t>
      </w:r>
      <w:r w:rsidRPr="00F17515">
        <w:rPr>
          <w:rFonts w:asciiTheme="minorEastAsia" w:eastAsiaTheme="minorEastAsia" w:hAnsiTheme="minorEastAsia"/>
          <w:szCs w:val="21"/>
        </w:rPr>
        <w:t>对到会者在权益登记日持有基金份额的统计显示，</w:t>
      </w:r>
      <w:r w:rsidRPr="00F17515">
        <w:rPr>
          <w:rFonts w:asciiTheme="minorEastAsia" w:eastAsiaTheme="minorEastAsia" w:hAnsiTheme="minorEastAsia" w:hint="eastAsia"/>
          <w:szCs w:val="21"/>
        </w:rPr>
        <w:t>全部</w:t>
      </w:r>
      <w:r w:rsidRPr="00F17515">
        <w:rPr>
          <w:rFonts w:asciiTheme="minorEastAsia" w:eastAsiaTheme="minorEastAsia" w:hAnsiTheme="minorEastAsia"/>
          <w:szCs w:val="21"/>
        </w:rPr>
        <w:t>有效</w:t>
      </w:r>
      <w:r w:rsidRPr="00F17515">
        <w:rPr>
          <w:rFonts w:asciiTheme="minorEastAsia" w:eastAsiaTheme="minorEastAsia" w:hAnsiTheme="minorEastAsia" w:hint="eastAsia"/>
          <w:szCs w:val="21"/>
        </w:rPr>
        <w:t>凭证所对应</w:t>
      </w:r>
      <w:r w:rsidRPr="00F17515">
        <w:rPr>
          <w:rFonts w:asciiTheme="minorEastAsia" w:eastAsiaTheme="minorEastAsia" w:hAnsiTheme="minorEastAsia"/>
          <w:szCs w:val="21"/>
        </w:rPr>
        <w:t>的基金份额应占权益登记日基金总份额的50%以上</w:t>
      </w:r>
      <w:r w:rsidRPr="00F17515">
        <w:rPr>
          <w:rFonts w:asciiTheme="minorEastAsia" w:eastAsiaTheme="minorEastAsia" w:hAnsiTheme="minorEastAsia" w:hint="eastAsia"/>
          <w:szCs w:val="21"/>
        </w:rPr>
        <w:t>(含</w:t>
      </w:r>
      <w:r w:rsidRPr="00F17515">
        <w:rPr>
          <w:rFonts w:asciiTheme="minorEastAsia" w:eastAsiaTheme="minorEastAsia" w:hAnsiTheme="minorEastAsia"/>
          <w:szCs w:val="21"/>
        </w:rPr>
        <w:t>50%</w:t>
      </w:r>
      <w:r w:rsidRPr="00F17515">
        <w:rPr>
          <w:rFonts w:asciiTheme="minorEastAsia" w:eastAsiaTheme="minorEastAsia" w:hAnsiTheme="minorEastAsia" w:hint="eastAsia"/>
          <w:szCs w:val="21"/>
        </w:rPr>
        <w:t>，下同)</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②</w:t>
      </w:r>
      <w:r w:rsidRPr="00F17515">
        <w:rPr>
          <w:rFonts w:asciiTheme="minorEastAsia" w:eastAsiaTheme="minorEastAsia" w:hAnsiTheme="minorEastAsia"/>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F17515">
        <w:rPr>
          <w:rFonts w:asciiTheme="minorEastAsia" w:eastAsiaTheme="minorEastAsia" w:hAnsiTheme="minorEastAsia" w:hint="eastAsia"/>
          <w:szCs w:val="21"/>
        </w:rPr>
        <w:t>注册</w:t>
      </w:r>
      <w:r w:rsidRPr="00F17515">
        <w:rPr>
          <w:rFonts w:asciiTheme="minorEastAsia" w:eastAsiaTheme="minorEastAsia" w:hAnsiTheme="minorEastAsia"/>
          <w:szCs w:val="21"/>
        </w:rPr>
        <w:t>登记资料相符。</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2)通讯开会方式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在同时符合以下条件时，</w:t>
      </w:r>
      <w:r w:rsidRPr="00F17515">
        <w:rPr>
          <w:rFonts w:asciiTheme="minorEastAsia" w:eastAsiaTheme="minorEastAsia" w:hAnsiTheme="minorEastAsia"/>
          <w:szCs w:val="21"/>
        </w:rPr>
        <w:t>通讯会议方可举行</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①召集人按本基金合同规定公布会议通知后，在2个工作日内连续公布相关提示性公告；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②召集人按基金合同规定通知基金托管人或/和基金管理人(分别或共同称为“监督人”)到指定地点对书面表决意见的计票进行监督；</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③召集人在监督人和公证机关的监督下按照会议通知规定的方式收取和统计基金份额持有人的书面表决意见，如基金</w:t>
      </w:r>
      <w:r w:rsidRPr="00F17515">
        <w:rPr>
          <w:rFonts w:asciiTheme="minorEastAsia" w:eastAsiaTheme="minorEastAsia" w:hAnsiTheme="minorEastAsia"/>
          <w:szCs w:val="21"/>
        </w:rPr>
        <w:t>管理人</w:t>
      </w:r>
      <w:r w:rsidRPr="00F17515">
        <w:rPr>
          <w:rFonts w:asciiTheme="minorEastAsia" w:eastAsiaTheme="minorEastAsia" w:hAnsiTheme="minorEastAsia" w:hint="eastAsia"/>
          <w:szCs w:val="21"/>
        </w:rPr>
        <w:t>或</w:t>
      </w:r>
      <w:r w:rsidRPr="00F17515">
        <w:rPr>
          <w:rFonts w:asciiTheme="minorEastAsia" w:eastAsiaTheme="minorEastAsia" w:hAnsiTheme="minorEastAsia"/>
          <w:szCs w:val="21"/>
        </w:rPr>
        <w:t>基金托管人</w:t>
      </w:r>
      <w:r w:rsidRPr="00F17515">
        <w:rPr>
          <w:rFonts w:asciiTheme="minorEastAsia" w:eastAsiaTheme="minorEastAsia" w:hAnsiTheme="minorEastAsia" w:hint="eastAsia"/>
          <w:szCs w:val="21"/>
        </w:rPr>
        <w:t>经通知拒不到场监督的，不影响表决效力；</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④本人直接出具书面意见和授权他人代表出具书面意见的基金份额持有人</w:t>
      </w:r>
      <w:r w:rsidRPr="00F17515">
        <w:rPr>
          <w:rFonts w:asciiTheme="minorEastAsia" w:eastAsiaTheme="minorEastAsia" w:hAnsiTheme="minorEastAsia"/>
          <w:szCs w:val="21"/>
        </w:rPr>
        <w:t>所代表的基金份额占权益登记日基金总份额的50%以上</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⑤直接出具书面意见的基金份额持有人或受托代表他人出具书面意见的代理人提交的持有基金份额的凭证、授权委托书等文件符合法律法规、基金合同和会议通知的规定，并与注册登记机构记录相符。</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007228CC" w:rsidRPr="00F17515">
        <w:rPr>
          <w:rFonts w:asciiTheme="minorEastAsia" w:eastAsiaTheme="minorEastAsia" w:hAnsiTheme="minorEastAsia"/>
          <w:szCs w:val="21"/>
        </w:rPr>
        <w:t>议事内容与程序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（1）议事内容及提案权</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1)议事内容为本基金合同规定的召开基金份额持有人大会事由所涉及的内容。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2)基金管理人、基金托管人、单独或合并持有权益登记日本基金总份额</w:t>
      </w:r>
      <w:r w:rsidRPr="00F17515">
        <w:rPr>
          <w:rFonts w:asciiTheme="minorEastAsia" w:eastAsiaTheme="minorEastAsia" w:hAnsiTheme="minorEastAsia"/>
          <w:szCs w:val="21"/>
        </w:rPr>
        <w:t>10%</w:t>
      </w:r>
      <w:r w:rsidRPr="00F17515">
        <w:rPr>
          <w:rFonts w:asciiTheme="minorEastAsia" w:eastAsiaTheme="minorEastAsia" w:hAnsiTheme="minorEastAsia" w:hint="eastAsia"/>
          <w:szCs w:val="21"/>
        </w:rPr>
        <w:t>以上的基金份额持有人可以在大会召集人发出会议通知前就召开事由向大会召集人提交需由基金份额持有人大会审议表决的提案。</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3)对于基金份额持有人提交的提案，大会召集人应当按照以下原则对提案进行审核：</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基金份额持有人大会的召集人发出召</w:t>
      </w:r>
      <w:r w:rsidRPr="00F17515">
        <w:rPr>
          <w:rFonts w:asciiTheme="minorEastAsia" w:eastAsiaTheme="minorEastAsia" w:hAnsiTheme="minorEastAsia" w:hint="eastAsia"/>
          <w:szCs w:val="21"/>
        </w:rPr>
        <w:t>开</w:t>
      </w:r>
      <w:r w:rsidRPr="00F17515">
        <w:rPr>
          <w:rFonts w:asciiTheme="minorEastAsia" w:eastAsiaTheme="minorEastAsia" w:hAnsiTheme="minorEastAsia"/>
          <w:szCs w:val="21"/>
        </w:rPr>
        <w:t>会议的通知后，如果需要对原有提案进行修改，应当在基金份额持有人大会召开前</w:t>
      </w:r>
      <w:r w:rsidRPr="00F17515">
        <w:rPr>
          <w:rFonts w:asciiTheme="minorEastAsia" w:eastAsiaTheme="minorEastAsia" w:hAnsiTheme="minorEastAsia" w:hint="eastAsia"/>
          <w:szCs w:val="21"/>
        </w:rPr>
        <w:t>30日及时</w:t>
      </w:r>
      <w:r w:rsidRPr="00F17515">
        <w:rPr>
          <w:rFonts w:asciiTheme="minorEastAsia" w:eastAsiaTheme="minorEastAsia" w:hAnsiTheme="minorEastAsia"/>
          <w:szCs w:val="21"/>
        </w:rPr>
        <w:t>公告。否则，会议的召开日期应当顺延并保证至少与公告日期有30日的间隔期。</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（2）议事程序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现场开会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大会由</w:t>
      </w:r>
      <w:r w:rsidRPr="00F17515">
        <w:rPr>
          <w:rFonts w:asciiTheme="minorEastAsia" w:eastAsiaTheme="minorEastAsia" w:hAnsiTheme="minorEastAsia" w:hint="eastAsia"/>
          <w:szCs w:val="21"/>
        </w:rPr>
        <w:t>召集</w:t>
      </w:r>
      <w:r w:rsidRPr="00F17515">
        <w:rPr>
          <w:rFonts w:asciiTheme="minorEastAsia" w:eastAsiaTheme="minorEastAsia" w:hAnsiTheme="minorEastAsia"/>
          <w:szCs w:val="21"/>
        </w:rPr>
        <w:t>人授权代表主持。基金管理人</w:t>
      </w:r>
      <w:r w:rsidRPr="00F17515">
        <w:rPr>
          <w:rFonts w:asciiTheme="minorEastAsia" w:eastAsiaTheme="minorEastAsia" w:hAnsiTheme="minorEastAsia" w:hint="eastAsia"/>
          <w:szCs w:val="21"/>
        </w:rPr>
        <w:t>为召集人的，其</w:t>
      </w:r>
      <w:r w:rsidRPr="00F17515">
        <w:rPr>
          <w:rFonts w:asciiTheme="minorEastAsia" w:eastAsiaTheme="minorEastAsia" w:hAnsiTheme="minorEastAsia"/>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召集人应当制作出席会议人员的签名册。签名册载明参加会议人员姓名(或单位名称)、身份证号码、持有或代表有表决权的基金份额</w:t>
      </w:r>
      <w:r w:rsidRPr="00F17515">
        <w:rPr>
          <w:rFonts w:asciiTheme="minorEastAsia" w:eastAsiaTheme="minorEastAsia" w:hAnsiTheme="minorEastAsia" w:hint="eastAsia"/>
          <w:szCs w:val="21"/>
        </w:rPr>
        <w:t>数量</w:t>
      </w:r>
      <w:r w:rsidRPr="00F17515">
        <w:rPr>
          <w:rFonts w:asciiTheme="minorEastAsia" w:eastAsiaTheme="minorEastAsia" w:hAnsiTheme="minorEastAsia"/>
          <w:szCs w:val="21"/>
        </w:rPr>
        <w:t>、委托人姓名(或单位名称)等事项。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通讯方式开会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在通讯表决开会的方式下，首先由召集人提前3</w:t>
      </w:r>
      <w:r w:rsidRPr="00F17515">
        <w:rPr>
          <w:rFonts w:asciiTheme="minorEastAsia" w:eastAsiaTheme="minorEastAsia" w:hAnsiTheme="minorEastAsia"/>
          <w:szCs w:val="21"/>
        </w:rPr>
        <w:t>0</w:t>
      </w:r>
      <w:r w:rsidRPr="00F17515">
        <w:rPr>
          <w:rFonts w:asciiTheme="minorEastAsia" w:eastAsiaTheme="minorEastAsia" w:hAnsiTheme="minorEastAsia" w:hint="eastAsia"/>
          <w:szCs w:val="21"/>
        </w:rPr>
        <w:t>日公布提案，在所通知的表决截止日期后第2个工作日在公证机关及监督人的监督下由召集人统计全部有效表决并形成决议。如监督人经通知但拒绝到场监督，则在公证机关监督下形成的决议有效。</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（3）基金份额持有人大会不得对未事先公告的议事内容进行表决。</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007228CC" w:rsidRPr="00F17515">
        <w:rPr>
          <w:rFonts w:asciiTheme="minorEastAsia" w:eastAsiaTheme="minorEastAsia" w:hAnsiTheme="minorEastAsia"/>
          <w:szCs w:val="21"/>
        </w:rPr>
        <w:t>决议形成的条件</w:t>
      </w:r>
      <w:r w:rsidR="007228CC" w:rsidRPr="00F17515">
        <w:rPr>
          <w:rFonts w:asciiTheme="minorEastAsia" w:eastAsiaTheme="minorEastAsia" w:hAnsiTheme="minorEastAsia" w:hint="eastAsia"/>
          <w:szCs w:val="21"/>
        </w:rPr>
        <w:t>、</w:t>
      </w:r>
      <w:r w:rsidR="007228CC" w:rsidRPr="00F17515">
        <w:rPr>
          <w:rFonts w:asciiTheme="minorEastAsia" w:eastAsiaTheme="minorEastAsia" w:hAnsiTheme="minorEastAsia"/>
          <w:szCs w:val="21"/>
        </w:rPr>
        <w:t>表决方式、程序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（1）基金份额持有人所持每一基金份额享有平等的表决权。</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（2）基金份额持有人大会决议分为一般决议和特别决议：</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1)一般决议</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一般决议须经出席会议的基金份额持有人(或其代理人)所持表决权的</w:t>
      </w:r>
      <w:r w:rsidRPr="00F17515">
        <w:rPr>
          <w:rFonts w:asciiTheme="minorEastAsia" w:eastAsiaTheme="minorEastAsia" w:hAnsiTheme="minorEastAsia"/>
          <w:szCs w:val="21"/>
        </w:rPr>
        <w:t>50%以上</w:t>
      </w:r>
      <w:r w:rsidRPr="00F17515">
        <w:rPr>
          <w:rFonts w:asciiTheme="minorEastAsia" w:eastAsiaTheme="minorEastAsia" w:hAnsiTheme="minorEastAsia" w:hint="eastAsia"/>
          <w:szCs w:val="21"/>
        </w:rPr>
        <w:t>通过方为有效，除下列2)所规定的须以特别决议通过事项以外的其他事项均以一般决议的方式通过；</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2)特别决议</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特别决议须经出席会议的基金份额持有人</w:t>
      </w:r>
      <w:r w:rsidRPr="00F17515">
        <w:rPr>
          <w:rFonts w:asciiTheme="minorEastAsia" w:eastAsiaTheme="minorEastAsia" w:hAnsiTheme="minorEastAsia" w:hint="eastAsia"/>
          <w:szCs w:val="21"/>
        </w:rPr>
        <w:t>(或其</w:t>
      </w:r>
      <w:r w:rsidRPr="00F17515">
        <w:rPr>
          <w:rFonts w:asciiTheme="minorEastAsia" w:eastAsiaTheme="minorEastAsia" w:hAnsiTheme="minorEastAsia"/>
          <w:szCs w:val="21"/>
        </w:rPr>
        <w:t>代理人</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所持表决权的三分之二以上</w:t>
      </w:r>
      <w:r w:rsidRPr="00F17515">
        <w:rPr>
          <w:rFonts w:asciiTheme="minorEastAsia" w:eastAsiaTheme="minorEastAsia" w:hAnsiTheme="minorEastAsia" w:hint="eastAsia"/>
          <w:szCs w:val="21"/>
        </w:rPr>
        <w:t>(含三分之二)</w:t>
      </w:r>
      <w:r w:rsidRPr="00F17515">
        <w:rPr>
          <w:rFonts w:asciiTheme="minorEastAsia" w:eastAsiaTheme="minorEastAsia" w:hAnsiTheme="minorEastAsia"/>
          <w:szCs w:val="21"/>
        </w:rPr>
        <w:t>通过方</w:t>
      </w:r>
      <w:r w:rsidRPr="00F17515">
        <w:rPr>
          <w:rFonts w:asciiTheme="minorEastAsia" w:eastAsiaTheme="minorEastAsia" w:hAnsiTheme="minorEastAsia" w:hint="eastAsia"/>
          <w:szCs w:val="21"/>
        </w:rPr>
        <w:t>为有效；涉及更换基金管理人、更换基金托管人、</w:t>
      </w:r>
      <w:r w:rsidRPr="00F17515">
        <w:rPr>
          <w:rFonts w:asciiTheme="minorEastAsia" w:eastAsiaTheme="minorEastAsia" w:hAnsiTheme="minorEastAsia"/>
          <w:szCs w:val="21"/>
        </w:rPr>
        <w:t>转换基金运作方式</w:t>
      </w:r>
      <w:r w:rsidRPr="00F17515">
        <w:rPr>
          <w:rFonts w:asciiTheme="minorEastAsia" w:eastAsiaTheme="minorEastAsia" w:hAnsiTheme="minorEastAsia" w:hint="eastAsia"/>
          <w:szCs w:val="21"/>
        </w:rPr>
        <w:t>、终止基金合同必须以特别决议通过方为有效。</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基金份额持有人大会决定的事项，应当依法报中国证监会核准或者备案，并予以公告。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（4）采取通讯方式进行表决时，除非在计票时有充分的相反证据证明，否则表面符合法律法规和会议通知规定的书面表决意见即视为有效的表决，表决意见模糊不清或相互矛盾的视为弃权表决，</w:t>
      </w:r>
      <w:r w:rsidRPr="00F17515">
        <w:rPr>
          <w:rStyle w:val="read"/>
          <w:rFonts w:asciiTheme="minorEastAsia" w:eastAsiaTheme="minorEastAsia" w:hAnsiTheme="minorEastAsia" w:hint="eastAsia"/>
          <w:szCs w:val="21"/>
        </w:rPr>
        <w:t>但应当计入出具书面意见的基金份额持有人所代表的基金份额总数</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（5）基金份额持有人大会采取记名方式进行投票表决。</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（6）基金份额持有人大会的各项提案或同一项提案内并列的各项议题应当分开审议、逐项表决。</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w:t>
      </w:r>
      <w:r w:rsidR="007228CC" w:rsidRPr="00F17515">
        <w:rPr>
          <w:rFonts w:asciiTheme="minorEastAsia" w:eastAsiaTheme="minorEastAsia" w:hAnsiTheme="minorEastAsia" w:hint="eastAsia"/>
          <w:szCs w:val="21"/>
        </w:rPr>
        <w:t>计票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（1）现场开会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2)监票人应当在基金份额持有人表决后立即进行清点，由大会主持人当场公布计票结果。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（2）通讯方式开会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7228CC" w:rsidRPr="00F17515" w:rsidRDefault="00FE66C4" w:rsidP="0071223F">
      <w:pPr>
        <w:pStyle w:val="31"/>
        <w:snapToGrid w:val="0"/>
        <w:spacing w:after="0" w:line="360" w:lineRule="auto"/>
        <w:rPr>
          <w:rFonts w:asciiTheme="minorEastAsia" w:eastAsiaTheme="minorEastAsia" w:hAnsiTheme="minorEastAsia"/>
          <w:sz w:val="21"/>
          <w:szCs w:val="21"/>
        </w:rPr>
      </w:pPr>
      <w:r w:rsidRPr="00F17515">
        <w:rPr>
          <w:rFonts w:asciiTheme="minorEastAsia" w:eastAsiaTheme="minorEastAsia" w:hAnsiTheme="minorEastAsia" w:hint="eastAsia"/>
          <w:sz w:val="21"/>
          <w:szCs w:val="21"/>
        </w:rPr>
        <w:t>10、</w:t>
      </w:r>
      <w:r w:rsidR="007228CC" w:rsidRPr="00F17515">
        <w:rPr>
          <w:rFonts w:asciiTheme="minorEastAsia" w:eastAsiaTheme="minorEastAsia" w:hAnsiTheme="minorEastAsia"/>
          <w:sz w:val="21"/>
          <w:szCs w:val="21"/>
        </w:rPr>
        <w:t>基金份额持有人大会决议报中国证监会核准或备案后的公告时间、方式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基金份额持有人大会通过的一般决议和特别决议，召集人应当自通过之日起</w:t>
      </w: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日内报中国证监会核准或者备案。基金份额持有人大会</w:t>
      </w:r>
      <w:r w:rsidRPr="00F17515">
        <w:rPr>
          <w:rFonts w:asciiTheme="minorEastAsia" w:eastAsiaTheme="minorEastAsia" w:hAnsiTheme="minorEastAsia" w:hint="eastAsia"/>
          <w:szCs w:val="21"/>
        </w:rPr>
        <w:t>决定的事项</w:t>
      </w:r>
      <w:r w:rsidRPr="00F17515">
        <w:rPr>
          <w:rFonts w:asciiTheme="minorEastAsia" w:eastAsiaTheme="minorEastAsia" w:hAnsiTheme="minorEastAsia"/>
          <w:szCs w:val="21"/>
        </w:rPr>
        <w:t>自中国证监会依法核准或者</w:t>
      </w:r>
      <w:r w:rsidRPr="00F17515">
        <w:rPr>
          <w:rFonts w:asciiTheme="minorEastAsia" w:eastAsiaTheme="minorEastAsia" w:hAnsiTheme="minorEastAsia" w:hint="eastAsia"/>
          <w:szCs w:val="21"/>
        </w:rPr>
        <w:t>出具无异议意见</w:t>
      </w:r>
      <w:r w:rsidRPr="00F17515">
        <w:rPr>
          <w:rFonts w:asciiTheme="minorEastAsia" w:eastAsiaTheme="minorEastAsia" w:hAnsiTheme="minorEastAsia"/>
          <w:szCs w:val="21"/>
        </w:rPr>
        <w:t>之日起生效。</w:t>
      </w:r>
      <w:r w:rsidRPr="00F17515">
        <w:rPr>
          <w:rFonts w:asciiTheme="minorEastAsia" w:eastAsiaTheme="minorEastAsia" w:hAnsiTheme="minorEastAsia" w:hint="eastAsia"/>
          <w:szCs w:val="21"/>
        </w:rPr>
        <w:t>关于本章第2条所规定的第(1)-(8)项召开事由的基金份额</w:t>
      </w:r>
      <w:r w:rsidRPr="00F17515">
        <w:rPr>
          <w:rFonts w:asciiTheme="minorEastAsia" w:eastAsiaTheme="minorEastAsia" w:hAnsiTheme="minorEastAsia"/>
          <w:szCs w:val="21"/>
        </w:rPr>
        <w:t>持有人大会决议</w:t>
      </w:r>
      <w:r w:rsidRPr="00F17515">
        <w:rPr>
          <w:rFonts w:asciiTheme="minorEastAsia" w:eastAsiaTheme="minorEastAsia" w:hAnsiTheme="minorEastAsia" w:hint="eastAsia"/>
          <w:szCs w:val="21"/>
        </w:rPr>
        <w:t>经</w:t>
      </w:r>
      <w:r w:rsidRPr="00F17515">
        <w:rPr>
          <w:rFonts w:asciiTheme="minorEastAsia" w:eastAsiaTheme="minorEastAsia" w:hAnsiTheme="minorEastAsia"/>
          <w:szCs w:val="21"/>
        </w:rPr>
        <w:t>中国证监会核准</w:t>
      </w:r>
      <w:r w:rsidRPr="00F17515">
        <w:rPr>
          <w:rFonts w:asciiTheme="minorEastAsia" w:eastAsiaTheme="minorEastAsia" w:hAnsiTheme="minorEastAsia" w:hint="eastAsia"/>
          <w:szCs w:val="21"/>
        </w:rPr>
        <w:t>生效后方可执行，关于本章第2条所规定的第(9)、(10)项召开事由的基金份额</w:t>
      </w:r>
      <w:r w:rsidRPr="00F17515">
        <w:rPr>
          <w:rFonts w:asciiTheme="minorEastAsia" w:eastAsiaTheme="minorEastAsia" w:hAnsiTheme="minorEastAsia"/>
          <w:szCs w:val="21"/>
        </w:rPr>
        <w:t>持有人大会决议</w:t>
      </w:r>
      <w:r w:rsidRPr="00F17515">
        <w:rPr>
          <w:rFonts w:asciiTheme="minorEastAsia" w:eastAsiaTheme="minorEastAsia" w:hAnsiTheme="minorEastAsia" w:hint="eastAsia"/>
          <w:szCs w:val="21"/>
        </w:rPr>
        <w:t>经</w:t>
      </w:r>
      <w:r w:rsidRPr="00F17515">
        <w:rPr>
          <w:rFonts w:asciiTheme="minorEastAsia" w:eastAsiaTheme="minorEastAsia" w:hAnsiTheme="minorEastAsia"/>
          <w:szCs w:val="21"/>
        </w:rPr>
        <w:t>中国证监会核准</w:t>
      </w:r>
      <w:r w:rsidRPr="00F17515">
        <w:rPr>
          <w:rFonts w:asciiTheme="minorEastAsia" w:eastAsiaTheme="minorEastAsia" w:hAnsiTheme="minorEastAsia" w:hint="eastAsia"/>
          <w:szCs w:val="21"/>
        </w:rPr>
        <w:t>或出具无异议意见后方可执行。</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（2）生效的基金份额持有人大会决议对全体基金份额持有人、基金管理人、基金托管人均有约束力。</w:t>
      </w:r>
      <w:r w:rsidRPr="00F17515">
        <w:rPr>
          <w:rFonts w:asciiTheme="minorEastAsia" w:eastAsiaTheme="minorEastAsia" w:hAnsiTheme="minorEastAsia"/>
          <w:szCs w:val="21"/>
        </w:rPr>
        <w:t>基金管理人、基金托管人和基金份额持有人应当执行生效的基金份额持有人大会决</w:t>
      </w:r>
      <w:r w:rsidRPr="00F17515">
        <w:rPr>
          <w:rFonts w:asciiTheme="minorEastAsia" w:eastAsiaTheme="minorEastAsia" w:hAnsiTheme="minorEastAsia" w:hint="eastAsia"/>
          <w:szCs w:val="21"/>
        </w:rPr>
        <w:t>议</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（3）基金份额持有人大会决议应自生效之日起2日内在</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hint="eastAsia"/>
          <w:szCs w:val="21"/>
        </w:rPr>
        <w:t>公告。如果采用通讯方式进行表决，在公告基金份额持有人大会决议时，必须将公证书全文、公证机构、公证员姓名等一同公告。</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11、</w:t>
      </w:r>
      <w:r w:rsidR="007228CC" w:rsidRPr="00F17515">
        <w:rPr>
          <w:rFonts w:asciiTheme="minorEastAsia" w:eastAsiaTheme="minorEastAsia" w:hAnsiTheme="minorEastAsia" w:hint="eastAsia"/>
          <w:szCs w:val="21"/>
        </w:rPr>
        <w:t>法律法规或监管部门对基金份额持有人大会另有规定的，从其规定。</w:t>
      </w:r>
    </w:p>
    <w:p w:rsidR="007228CC" w:rsidRPr="00F17515" w:rsidRDefault="007228CC" w:rsidP="00941EC8">
      <w:pPr>
        <w:pStyle w:val="2"/>
        <w:adjustRightInd w:val="0"/>
        <w:snapToGrid w:val="0"/>
        <w:spacing w:beforeLines="0" w:afterLines="0" w:line="360" w:lineRule="auto"/>
        <w:ind w:firstLineChars="0" w:firstLine="0"/>
        <w:rPr>
          <w:rFonts w:asciiTheme="minorEastAsia" w:eastAsiaTheme="minorEastAsia" w:hAnsiTheme="minorEastAsia"/>
          <w:bCs/>
        </w:rPr>
      </w:pPr>
      <w:bookmarkStart w:id="521" w:name="_Toc169345023"/>
      <w:bookmarkStart w:id="522" w:name="_Toc211920223"/>
      <w:bookmarkStart w:id="523" w:name="_Toc211927752"/>
      <w:bookmarkStart w:id="524" w:name="_Toc41556868"/>
      <w:r w:rsidRPr="00F17515">
        <w:rPr>
          <w:rFonts w:asciiTheme="minorEastAsia" w:eastAsiaTheme="minorEastAsia" w:hAnsiTheme="minorEastAsia" w:hint="eastAsia"/>
          <w:bCs/>
        </w:rPr>
        <w:t>（五）</w:t>
      </w:r>
      <w:bookmarkEnd w:id="521"/>
      <w:bookmarkEnd w:id="522"/>
      <w:bookmarkEnd w:id="523"/>
      <w:r w:rsidRPr="00F17515">
        <w:rPr>
          <w:rFonts w:asciiTheme="minorEastAsia" w:eastAsiaTheme="minorEastAsia" w:hAnsiTheme="minorEastAsia" w:hint="eastAsia"/>
          <w:bCs/>
        </w:rPr>
        <w:t>基金合同解除和终止的事由、程序</w:t>
      </w:r>
      <w:bookmarkEnd w:id="524"/>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bookmarkStart w:id="525" w:name="_Toc79392639"/>
      <w:bookmarkStart w:id="526" w:name="_Toc169345024"/>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szCs w:val="21"/>
        </w:rPr>
        <w:t>基金合同的变更</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基金合同</w:t>
      </w:r>
      <w:r w:rsidRPr="00F17515">
        <w:rPr>
          <w:rFonts w:asciiTheme="minorEastAsia" w:eastAsiaTheme="minorEastAsia" w:hAnsiTheme="minorEastAsia" w:hint="eastAsia"/>
          <w:szCs w:val="21"/>
        </w:rPr>
        <w:t>变更内容对基金合同当事人权利、义务产生重大影响的，</w:t>
      </w:r>
      <w:r w:rsidRPr="00F17515">
        <w:rPr>
          <w:rFonts w:asciiTheme="minorEastAsia" w:eastAsiaTheme="minorEastAsia" w:hAnsiTheme="minorEastAsia"/>
          <w:szCs w:val="21"/>
        </w:rPr>
        <w:t>应召开基金份额持有人大会，基金合同变更的内容应经基金份额持有人大会决议同意。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转换基金运作方式；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变更基金类别；</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Pr="00F17515">
        <w:rPr>
          <w:rFonts w:asciiTheme="minorEastAsia" w:eastAsiaTheme="minorEastAsia" w:hAnsiTheme="minorEastAsia"/>
          <w:szCs w:val="21"/>
        </w:rPr>
        <w:t>变更基金投资目标、</w:t>
      </w:r>
      <w:r w:rsidRPr="00F17515">
        <w:rPr>
          <w:rFonts w:asciiTheme="minorEastAsia" w:eastAsiaTheme="minorEastAsia" w:hAnsiTheme="minorEastAsia" w:hint="eastAsia"/>
          <w:szCs w:val="21"/>
        </w:rPr>
        <w:t>投资</w:t>
      </w:r>
      <w:r w:rsidRPr="00F17515">
        <w:rPr>
          <w:rFonts w:asciiTheme="minorEastAsia" w:eastAsiaTheme="minorEastAsia" w:hAnsiTheme="minorEastAsia"/>
          <w:szCs w:val="21"/>
        </w:rPr>
        <w:t>范围或</w:t>
      </w:r>
      <w:r w:rsidRPr="00F17515">
        <w:rPr>
          <w:rFonts w:asciiTheme="minorEastAsia" w:eastAsiaTheme="minorEastAsia" w:hAnsiTheme="minorEastAsia" w:hint="eastAsia"/>
          <w:szCs w:val="21"/>
        </w:rPr>
        <w:t>投资</w:t>
      </w:r>
      <w:r w:rsidRPr="00F17515">
        <w:rPr>
          <w:rFonts w:asciiTheme="minorEastAsia" w:eastAsiaTheme="minorEastAsia" w:hAnsiTheme="minorEastAsia"/>
          <w:szCs w:val="21"/>
        </w:rPr>
        <w:t>策略</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变更基金份额持有人大会程序；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更换基金管理人</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基金托管人；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Pr="00F17515">
        <w:rPr>
          <w:rFonts w:asciiTheme="minorEastAsia" w:eastAsiaTheme="minorEastAsia" w:hAnsiTheme="minorEastAsia"/>
          <w:szCs w:val="21"/>
        </w:rPr>
        <w:t>提高基金管理人、基金托管人的报酬标准。但根据</w:t>
      </w:r>
      <w:r w:rsidRPr="00F17515">
        <w:rPr>
          <w:rFonts w:asciiTheme="minorEastAsia" w:eastAsiaTheme="minorEastAsia" w:hAnsiTheme="minorEastAsia" w:hint="eastAsia"/>
          <w:szCs w:val="21"/>
        </w:rPr>
        <w:t>适用</w:t>
      </w:r>
      <w:r w:rsidRPr="00F17515">
        <w:rPr>
          <w:rFonts w:asciiTheme="minorEastAsia" w:eastAsiaTheme="minorEastAsia" w:hAnsiTheme="minorEastAsia"/>
          <w:szCs w:val="21"/>
        </w:rPr>
        <w:t>的</w:t>
      </w:r>
      <w:r w:rsidRPr="00F17515">
        <w:rPr>
          <w:rFonts w:asciiTheme="minorEastAsia" w:eastAsiaTheme="minorEastAsia" w:hAnsiTheme="minorEastAsia" w:hint="eastAsia"/>
          <w:szCs w:val="21"/>
        </w:rPr>
        <w:t>相关规定</w:t>
      </w:r>
      <w:r w:rsidRPr="00F17515">
        <w:rPr>
          <w:rFonts w:asciiTheme="minorEastAsia" w:eastAsiaTheme="minorEastAsia" w:hAnsiTheme="minorEastAsia"/>
          <w:szCs w:val="21"/>
        </w:rPr>
        <w:t>提高该等报酬标准的除外</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Pr="00F17515">
        <w:rPr>
          <w:rFonts w:asciiTheme="minorEastAsia" w:eastAsiaTheme="minorEastAsia" w:hAnsiTheme="minorEastAsia"/>
          <w:szCs w:val="21"/>
        </w:rPr>
        <w:t>本基金与其他基金的合并</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8)对基金合同当事人权利、义务产生重大影响的其他事项；</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w:t>
      </w:r>
      <w:r w:rsidRPr="00F17515">
        <w:rPr>
          <w:rFonts w:asciiTheme="minorEastAsia" w:eastAsiaTheme="minorEastAsia" w:hAnsiTheme="minorEastAsia"/>
          <w:szCs w:val="21"/>
        </w:rPr>
        <w:t>法律法规</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基金合同或中国证监会规定的其他情形。</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但出现下列情况时，可不经基金份额持有人大会决议，由基金管理人和基金托管人同意变更后公布，并报中国证监会备案：</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1)调低基金管理费、基金托管费和其他应由基金承担的费用；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2)在</w:t>
      </w:r>
      <w:r w:rsidRPr="00F17515">
        <w:rPr>
          <w:rFonts w:asciiTheme="minorEastAsia" w:eastAsiaTheme="minorEastAsia" w:hAnsiTheme="minorEastAsia"/>
          <w:szCs w:val="21"/>
        </w:rPr>
        <w:t>法律法规和</w:t>
      </w:r>
      <w:r w:rsidRPr="00F17515">
        <w:rPr>
          <w:rFonts w:asciiTheme="minorEastAsia" w:eastAsiaTheme="minorEastAsia" w:hAnsiTheme="minorEastAsia" w:hint="eastAsia"/>
          <w:szCs w:val="21"/>
        </w:rPr>
        <w:t>本基金合同规定的范围内变更基金的申购费率、赎回费率或收费方式；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3)法律法规要求增加的基金费用的收取；</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Pr="00F17515">
        <w:rPr>
          <w:rFonts w:asciiTheme="minorEastAsia" w:eastAsiaTheme="minorEastAsia" w:hAnsiTheme="minorEastAsia"/>
          <w:szCs w:val="21"/>
        </w:rPr>
        <w:t>)因相应的法律法规发生变动</w:t>
      </w:r>
      <w:r w:rsidRPr="00F17515">
        <w:rPr>
          <w:rFonts w:asciiTheme="minorEastAsia" w:eastAsiaTheme="minorEastAsia" w:hAnsiTheme="minorEastAsia" w:hint="eastAsia"/>
          <w:szCs w:val="21"/>
        </w:rPr>
        <w:t>必须对</w:t>
      </w:r>
      <w:r w:rsidRPr="00F17515">
        <w:rPr>
          <w:rFonts w:asciiTheme="minorEastAsia" w:eastAsiaTheme="minorEastAsia" w:hAnsiTheme="minorEastAsia"/>
          <w:szCs w:val="21"/>
        </w:rPr>
        <w:t>基金合同进行</w:t>
      </w:r>
      <w:r w:rsidRPr="00F17515">
        <w:rPr>
          <w:rFonts w:asciiTheme="minorEastAsia" w:eastAsiaTheme="minorEastAsia" w:hAnsiTheme="minorEastAsia" w:hint="eastAsia"/>
          <w:szCs w:val="21"/>
        </w:rPr>
        <w:t>修改</w:t>
      </w:r>
      <w:r w:rsidRPr="00F17515">
        <w:rPr>
          <w:rFonts w:asciiTheme="minorEastAsia" w:eastAsiaTheme="minorEastAsia" w:hAnsiTheme="minor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w:t>
      </w:r>
      <w:r w:rsidRPr="00F17515">
        <w:rPr>
          <w:rFonts w:asciiTheme="minorEastAsia" w:eastAsiaTheme="minorEastAsia" w:hAnsiTheme="minorEastAsia" w:hint="eastAsia"/>
          <w:szCs w:val="21"/>
        </w:rPr>
        <w:t>对</w:t>
      </w:r>
      <w:r w:rsidRPr="00F17515">
        <w:rPr>
          <w:rFonts w:asciiTheme="minorEastAsia" w:eastAsiaTheme="minorEastAsia" w:hAnsiTheme="minorEastAsia"/>
          <w:szCs w:val="21"/>
        </w:rPr>
        <w:t>基金合同的</w:t>
      </w:r>
      <w:r w:rsidRPr="00F17515">
        <w:rPr>
          <w:rFonts w:asciiTheme="minorEastAsia" w:eastAsiaTheme="minorEastAsia" w:hAnsiTheme="minorEastAsia" w:hint="eastAsia"/>
          <w:szCs w:val="21"/>
        </w:rPr>
        <w:t>修改</w:t>
      </w:r>
      <w:r w:rsidRPr="00F17515">
        <w:rPr>
          <w:rFonts w:asciiTheme="minorEastAsia" w:eastAsiaTheme="minorEastAsia" w:hAnsiTheme="minorEastAsia"/>
          <w:szCs w:val="21"/>
        </w:rPr>
        <w:t>不涉及本基金合同当事人权利义务关系发生变化；</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6)基金合同的修改对基金份额持有人利益无实质性不利影响；</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7)按照法律法规或本基金合同规定不需召开基金份额持有人大会的其他情形。</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2</w:t>
      </w:r>
      <w:r w:rsidRPr="00F17515">
        <w:rPr>
          <w:rFonts w:asciiTheme="minorEastAsia" w:eastAsiaTheme="minorEastAsia" w:hAnsiTheme="minorEastAsia" w:hint="eastAsia"/>
          <w:szCs w:val="21"/>
        </w:rPr>
        <w:t>）关于变更</w:t>
      </w:r>
      <w:r w:rsidRPr="00F17515">
        <w:rPr>
          <w:rFonts w:asciiTheme="minorEastAsia" w:eastAsiaTheme="minorEastAsia" w:hAnsiTheme="minorEastAsia"/>
          <w:szCs w:val="21"/>
        </w:rPr>
        <w:t>基金合同</w:t>
      </w:r>
      <w:r w:rsidRPr="00F17515">
        <w:rPr>
          <w:rFonts w:asciiTheme="minorEastAsia" w:eastAsiaTheme="minorEastAsia" w:hAnsiTheme="minorEastAsia" w:hint="eastAsia"/>
          <w:szCs w:val="21"/>
        </w:rPr>
        <w:t>的基金份额持有人大会决议应报</w:t>
      </w:r>
      <w:r w:rsidRPr="00F17515">
        <w:rPr>
          <w:rFonts w:asciiTheme="minorEastAsia" w:eastAsiaTheme="minorEastAsia" w:hAnsiTheme="minorEastAsia"/>
          <w:szCs w:val="21"/>
        </w:rPr>
        <w:t>中国证监会</w:t>
      </w:r>
      <w:r w:rsidRPr="00F17515">
        <w:rPr>
          <w:rFonts w:asciiTheme="minorEastAsia" w:eastAsiaTheme="minorEastAsia" w:hAnsiTheme="minorEastAsia" w:hint="eastAsia"/>
          <w:szCs w:val="21"/>
        </w:rPr>
        <w:t>核准或备案，并于中国证监会核准或出具无异议意见后生效执行，</w:t>
      </w:r>
      <w:r w:rsidRPr="00F17515">
        <w:rPr>
          <w:rFonts w:asciiTheme="minorEastAsia" w:eastAsiaTheme="minorEastAsia" w:hAnsiTheme="minorEastAsia"/>
          <w:szCs w:val="21"/>
        </w:rPr>
        <w:t>并</w:t>
      </w:r>
      <w:r w:rsidRPr="00F17515">
        <w:rPr>
          <w:rFonts w:asciiTheme="minorEastAsia" w:eastAsiaTheme="minorEastAsia" w:hAnsiTheme="minorEastAsia" w:hint="eastAsia"/>
          <w:szCs w:val="21"/>
        </w:rPr>
        <w:t>自生效之日起2日</w:t>
      </w:r>
      <w:r w:rsidRPr="00F17515">
        <w:rPr>
          <w:rFonts w:asciiTheme="minorEastAsia" w:eastAsiaTheme="minorEastAsia" w:hAnsiTheme="minorEastAsia"/>
          <w:szCs w:val="21"/>
        </w:rPr>
        <w:t>内</w:t>
      </w:r>
      <w:r w:rsidRPr="00F17515">
        <w:rPr>
          <w:rFonts w:asciiTheme="minorEastAsia" w:eastAsiaTheme="minorEastAsia" w:hAnsiTheme="minorEastAsia" w:hint="eastAsia"/>
          <w:szCs w:val="21"/>
        </w:rPr>
        <w:t>在至少一种</w:t>
      </w:r>
      <w:r w:rsidR="00575E02" w:rsidRPr="00F17515">
        <w:rPr>
          <w:rFonts w:asciiTheme="minorEastAsia" w:eastAsiaTheme="minorEastAsia" w:hAnsiTheme="minorEastAsia" w:hint="eastAsia"/>
          <w:szCs w:val="21"/>
        </w:rPr>
        <w:t>指定媒介</w:t>
      </w:r>
      <w:r w:rsidRPr="00F17515">
        <w:rPr>
          <w:rFonts w:asciiTheme="minorEastAsia" w:eastAsiaTheme="minorEastAsia" w:hAnsiTheme="minorEastAsia"/>
          <w:szCs w:val="21"/>
        </w:rPr>
        <w:t>公告。</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本基金合同的终止</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有下列情形之一的，本基金合同经中国证监会核准后将终止：</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（1）基金份额持有人大会决定终止的；</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基金管理人因解散、破产、撤销等事由，不能继续担任基金管理人的职务，而</w:t>
      </w:r>
      <w:r w:rsidRPr="00F17515">
        <w:rPr>
          <w:rFonts w:asciiTheme="minorEastAsia" w:eastAsiaTheme="minorEastAsia" w:hAnsiTheme="minorEastAsia" w:hint="eastAsia"/>
          <w:szCs w:val="21"/>
        </w:rPr>
        <w:t>在6个月内</w:t>
      </w:r>
      <w:r w:rsidRPr="00F17515">
        <w:rPr>
          <w:rFonts w:asciiTheme="minorEastAsia" w:eastAsiaTheme="minorEastAsia" w:hAnsiTheme="minorEastAsia"/>
          <w:szCs w:val="21"/>
        </w:rPr>
        <w:t>无其他适当的基金管理公司承</w:t>
      </w:r>
      <w:r w:rsidRPr="00F17515">
        <w:rPr>
          <w:rFonts w:asciiTheme="minorEastAsia" w:eastAsiaTheme="minorEastAsia" w:hAnsiTheme="minorEastAsia" w:hint="eastAsia"/>
          <w:szCs w:val="21"/>
        </w:rPr>
        <w:t>接</w:t>
      </w:r>
      <w:r w:rsidRPr="00F17515">
        <w:rPr>
          <w:rFonts w:asciiTheme="minorEastAsia" w:eastAsiaTheme="minorEastAsia" w:hAnsiTheme="minorEastAsia"/>
          <w:szCs w:val="21"/>
        </w:rPr>
        <w:t>其原有权利义务；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（3）基金托管人因解散、破产、撤销等事由，不能继续担任基金托管人的职务，而在6个月内无其他适当的托管机构承接其原有权利义务；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（4）中国证监会规定的其他情况。</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基金财产的清算</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（1）基金财产清算组</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1)自出现基金合同终止事由之日起30个工作日内成立清算小组，基金管理人组织基金财产清算小组并在中国证监会的监督下进行基金清算。</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2)基金财产清算组成员由基金管理人、基金托管人、具有从事证券相关业务资格的注册会计师、律师以及中国证监会指定的人员组成。基金财产清算组可以聘用必要的工作人员。</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3)基金财产清算组负责基金财产的保管、清理、估价、变现和分配。基金财产清算组可以依法进行必要的民事活动。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（2）基金财产清算程序</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基金合同终止，应当按法律法规和本基金合同的有关规定对基金财产进行清算。基金财产清算程序主要包括：</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基金合同终止后，发布基金</w:t>
      </w:r>
      <w:r w:rsidRPr="00F17515">
        <w:rPr>
          <w:rFonts w:asciiTheme="minorEastAsia" w:eastAsiaTheme="minorEastAsia" w:hAnsiTheme="minorEastAsia" w:hint="eastAsia"/>
          <w:szCs w:val="21"/>
        </w:rPr>
        <w:t>财产</w:t>
      </w:r>
      <w:r w:rsidRPr="00F17515">
        <w:rPr>
          <w:rFonts w:asciiTheme="minorEastAsia" w:eastAsiaTheme="minorEastAsia" w:hAnsiTheme="minorEastAsia"/>
          <w:szCs w:val="21"/>
        </w:rPr>
        <w:t>清算公告；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2)基金合同终止时，由基金财产清算组统一接管基金财产；</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3)对基金财产进行清理和确认；</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4)对基金财产进行估价和变现；</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w:t>
      </w:r>
      <w:r w:rsidRPr="00F17515">
        <w:rPr>
          <w:rFonts w:asciiTheme="minorEastAsia" w:eastAsiaTheme="minorEastAsia" w:hAnsiTheme="minorEastAsia"/>
          <w:szCs w:val="21"/>
        </w:rPr>
        <w:t>聘请会计师事务所对清算报告进行审计；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lastRenderedPageBreak/>
        <w:t>6)</w:t>
      </w:r>
      <w:r w:rsidRPr="00F17515">
        <w:rPr>
          <w:rFonts w:asciiTheme="minorEastAsia" w:eastAsiaTheme="minorEastAsia" w:hAnsiTheme="minorEastAsia"/>
          <w:szCs w:val="21"/>
        </w:rPr>
        <w:t>聘请律师事务所出具法律意见书；</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7)将基金财产清算结果报告中国证监会；</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8)</w:t>
      </w:r>
      <w:r w:rsidRPr="00F17515">
        <w:rPr>
          <w:rFonts w:asciiTheme="minorEastAsia" w:eastAsiaTheme="minorEastAsia" w:hAnsiTheme="minorEastAsia"/>
          <w:szCs w:val="21"/>
        </w:rPr>
        <w:t>参加与基金</w:t>
      </w:r>
      <w:r w:rsidRPr="00F17515">
        <w:rPr>
          <w:rFonts w:asciiTheme="minorEastAsia" w:eastAsiaTheme="minorEastAsia" w:hAnsiTheme="minorEastAsia" w:hint="eastAsia"/>
          <w:szCs w:val="21"/>
        </w:rPr>
        <w:t>财产</w:t>
      </w:r>
      <w:r w:rsidRPr="00F17515">
        <w:rPr>
          <w:rFonts w:asciiTheme="minorEastAsia" w:eastAsiaTheme="minorEastAsia" w:hAnsiTheme="minorEastAsia"/>
          <w:szCs w:val="21"/>
        </w:rPr>
        <w:t>有关的民事诉讼</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9)公布基金财产清算结果；</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10)对基金剩余财产进行分配。</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（3）清算费用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清算费用是指基金财产清算组在进行基金财产清算过程中发生的所有合理费用，清算费用由基金财产清算组优先从基金财产中支付。</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（4）基金财产按下列顺序清偿：</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1)支付清算费用；</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2)交纳所欠税款；</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3)清偿基金债务；</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4)按基金份额持有人持有的基金份额比例进行分配。</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基金财产未按前款1)－</w:t>
      </w:r>
      <w:r w:rsidRPr="00F17515">
        <w:rPr>
          <w:rFonts w:asciiTheme="minorEastAsia" w:eastAsiaTheme="minorEastAsia" w:hAnsiTheme="minorEastAsia"/>
          <w:szCs w:val="21"/>
        </w:rPr>
        <w:t>3</w:t>
      </w:r>
      <w:r w:rsidRPr="00F17515">
        <w:rPr>
          <w:rFonts w:asciiTheme="minorEastAsia" w:eastAsiaTheme="minorEastAsia" w:hAnsiTheme="minorEastAsia" w:hint="eastAsia"/>
          <w:szCs w:val="21"/>
        </w:rPr>
        <w:t>)项规定清偿前，不分配给基金份额持有人。</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（5）基金财产清算的公告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基金财产清算公告于</w:t>
      </w:r>
      <w:r w:rsidRPr="00F17515">
        <w:rPr>
          <w:rFonts w:asciiTheme="minorEastAsia" w:eastAsiaTheme="minorEastAsia" w:hAnsiTheme="minorEastAsia" w:hint="eastAsia"/>
          <w:szCs w:val="21"/>
        </w:rPr>
        <w:t>基金合同终止并报中国证监会备案后</w:t>
      </w:r>
      <w:r w:rsidRPr="00F17515">
        <w:rPr>
          <w:rFonts w:asciiTheme="minorEastAsia" w:eastAsiaTheme="minorEastAsia" w:hAnsiTheme="minorEastAsia"/>
          <w:szCs w:val="21"/>
        </w:rPr>
        <w:t>5</w:t>
      </w:r>
      <w:r w:rsidRPr="00F17515">
        <w:rPr>
          <w:rFonts w:asciiTheme="minorEastAsia" w:eastAsiaTheme="minorEastAsia" w:hAnsiTheme="minorEastAsia" w:hint="eastAsia"/>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（6）基金财产清算账册及文件的保存</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基金财产清算账册及有关文件由基金托管人保存</w:t>
      </w:r>
      <w:r w:rsidRPr="00F17515">
        <w:rPr>
          <w:rFonts w:asciiTheme="minorEastAsia" w:eastAsiaTheme="minorEastAsia" w:hAnsiTheme="minorEastAsia"/>
          <w:szCs w:val="21"/>
        </w:rPr>
        <w:t>15</w:t>
      </w:r>
      <w:r w:rsidRPr="00F17515">
        <w:rPr>
          <w:rFonts w:asciiTheme="minorEastAsia" w:eastAsiaTheme="minorEastAsia" w:hAnsiTheme="minorEastAsia" w:hint="eastAsia"/>
          <w:szCs w:val="21"/>
        </w:rPr>
        <w:t>年以上。</w:t>
      </w:r>
    </w:p>
    <w:p w:rsidR="007228CC" w:rsidRPr="00F17515" w:rsidRDefault="007228CC" w:rsidP="00941EC8">
      <w:pPr>
        <w:pStyle w:val="2"/>
        <w:adjustRightInd w:val="0"/>
        <w:snapToGrid w:val="0"/>
        <w:spacing w:beforeLines="0" w:afterLines="0" w:line="360" w:lineRule="auto"/>
        <w:ind w:firstLineChars="0" w:firstLine="0"/>
        <w:rPr>
          <w:rFonts w:asciiTheme="minorEastAsia" w:eastAsiaTheme="minorEastAsia" w:hAnsiTheme="minorEastAsia"/>
          <w:bCs/>
        </w:rPr>
      </w:pPr>
      <w:bookmarkStart w:id="527" w:name="_Toc211920224"/>
      <w:bookmarkStart w:id="528" w:name="_Toc211927753"/>
      <w:bookmarkStart w:id="529" w:name="_Toc41556869"/>
      <w:bookmarkEnd w:id="525"/>
      <w:r w:rsidRPr="00F17515">
        <w:rPr>
          <w:rFonts w:asciiTheme="minorEastAsia" w:eastAsiaTheme="minorEastAsia" w:hAnsiTheme="minorEastAsia" w:hint="eastAsia"/>
          <w:bCs/>
        </w:rPr>
        <w:t>（六）</w:t>
      </w:r>
      <w:bookmarkEnd w:id="526"/>
      <w:bookmarkEnd w:id="527"/>
      <w:bookmarkEnd w:id="528"/>
      <w:r w:rsidRPr="00F17515">
        <w:rPr>
          <w:rFonts w:asciiTheme="minorEastAsia" w:eastAsiaTheme="minorEastAsia" w:hAnsiTheme="minorEastAsia" w:hint="eastAsia"/>
          <w:bCs/>
        </w:rPr>
        <w:t>争议解决方式</w:t>
      </w:r>
      <w:bookmarkEnd w:id="529"/>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szCs w:val="21"/>
        </w:rPr>
        <w:t>对于因基金合同的订立、内容、履行和解释或与基金合同有关的争议，基金合同当事人应尽量通过协商、调解途径解决。不愿或者不能通过协商、调解解决的</w:t>
      </w:r>
      <w:r w:rsidRPr="00F17515">
        <w:rPr>
          <w:rFonts w:asciiTheme="minorEastAsia" w:eastAsiaTheme="minorEastAsia" w:hAnsiTheme="minorEastAsia" w:hint="eastAsia"/>
          <w:szCs w:val="21"/>
        </w:rPr>
        <w:t>，任何一方均有权将争议提交中国国际经济贸易仲裁委员会，按照中国国际经济贸易仲裁委员会届时有效的仲裁规则进行仲裁。</w:t>
      </w:r>
      <w:r w:rsidRPr="00F17515">
        <w:rPr>
          <w:rFonts w:asciiTheme="minorEastAsia" w:eastAsiaTheme="minorEastAsia" w:hAnsiTheme="minorEastAsia"/>
          <w:szCs w:val="21"/>
        </w:rPr>
        <w:t>仲裁地点为</w:t>
      </w:r>
      <w:r w:rsidRPr="00F17515">
        <w:rPr>
          <w:rFonts w:asciiTheme="minorEastAsia" w:eastAsiaTheme="minorEastAsia" w:hAnsiTheme="minorEastAsia" w:hint="eastAsia"/>
          <w:szCs w:val="21"/>
        </w:rPr>
        <w:t>北京</w:t>
      </w:r>
      <w:r w:rsidRPr="00F17515">
        <w:rPr>
          <w:rFonts w:asciiTheme="minorEastAsia" w:eastAsiaTheme="minorEastAsia" w:hAnsiTheme="minorEastAsia"/>
          <w:szCs w:val="21"/>
        </w:rPr>
        <w:t>市</w:t>
      </w:r>
      <w:r w:rsidRPr="00F17515">
        <w:rPr>
          <w:rFonts w:asciiTheme="minorEastAsia" w:eastAsiaTheme="minorEastAsia" w:hAnsiTheme="minorEastAsia" w:hint="eastAsia"/>
          <w:szCs w:val="21"/>
        </w:rPr>
        <w:t>。仲裁裁决是终局的，对各方当事人均有约束力，仲裁费用由败诉方承担。</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争议处理期间，基金合同当事人应恪守各自的职责，继续忠实、勤勉、尽责地履行基金合同规定的义务，维护基金份额持有人的合法权益。</w:t>
      </w:r>
    </w:p>
    <w:p w:rsidR="007228CC" w:rsidRPr="00F17515" w:rsidRDefault="007228CC" w:rsidP="0071223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本基金合同受中国法律管辖。</w:t>
      </w:r>
    </w:p>
    <w:p w:rsidR="007228CC" w:rsidRPr="00F17515" w:rsidRDefault="007228CC" w:rsidP="00941EC8">
      <w:pPr>
        <w:pStyle w:val="2"/>
        <w:snapToGrid w:val="0"/>
        <w:spacing w:beforeLines="0" w:afterLines="0" w:line="360" w:lineRule="auto"/>
        <w:ind w:firstLineChars="71"/>
        <w:rPr>
          <w:rFonts w:asciiTheme="minorEastAsia" w:eastAsiaTheme="minorEastAsia" w:hAnsiTheme="minorEastAsia"/>
          <w:sz w:val="21"/>
          <w:szCs w:val="21"/>
        </w:rPr>
      </w:pPr>
      <w:bookmarkStart w:id="530" w:name="_Toc211920225"/>
      <w:bookmarkStart w:id="531" w:name="_Toc211927754"/>
      <w:bookmarkStart w:id="532" w:name="_Toc41556870"/>
      <w:r w:rsidRPr="00F17515">
        <w:rPr>
          <w:rFonts w:asciiTheme="minorEastAsia" w:eastAsiaTheme="minorEastAsia" w:hAnsiTheme="minorEastAsia" w:hint="eastAsia"/>
        </w:rPr>
        <w:t>（七）基</w:t>
      </w:r>
      <w:r w:rsidRPr="00F17515">
        <w:rPr>
          <w:rFonts w:asciiTheme="minorEastAsia" w:eastAsiaTheme="minorEastAsia" w:hAnsiTheme="minorEastAsia"/>
        </w:rPr>
        <w:t>金合同</w:t>
      </w:r>
      <w:r w:rsidRPr="00F17515">
        <w:rPr>
          <w:rFonts w:asciiTheme="minorEastAsia" w:eastAsiaTheme="minorEastAsia" w:hAnsiTheme="minorEastAsia" w:hint="eastAsia"/>
        </w:rPr>
        <w:t>存放地和投资者取得基金合同的方式</w:t>
      </w:r>
      <w:bookmarkEnd w:id="530"/>
      <w:bookmarkEnd w:id="531"/>
      <w:bookmarkEnd w:id="532"/>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基金合同是约定基金当事人之间、基金与基金当事人之间权利义务关系的法律文件。</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1、</w:t>
      </w:r>
      <w:r w:rsidR="007228CC" w:rsidRPr="00F17515">
        <w:rPr>
          <w:rFonts w:asciiTheme="minorEastAsia" w:eastAsiaTheme="minorEastAsia" w:hAnsiTheme="minorEastAsia" w:hint="eastAsia"/>
          <w:szCs w:val="21"/>
        </w:rPr>
        <w:t>本基金合同经基金管理人和基金托管人加盖公章以及双方法定代表人或法定代表人授权的代理人签字，</w:t>
      </w:r>
      <w:r w:rsidR="007228CC" w:rsidRPr="00F17515">
        <w:rPr>
          <w:rFonts w:asciiTheme="minorEastAsia" w:eastAsiaTheme="minorEastAsia" w:hAnsiTheme="minorEastAsia"/>
          <w:szCs w:val="21"/>
        </w:rPr>
        <w:t>在基金募集结束，基金备案手续办理完毕，并获中国证监会书面确认后</w:t>
      </w:r>
      <w:r w:rsidR="007228CC" w:rsidRPr="00F17515">
        <w:rPr>
          <w:rFonts w:asciiTheme="minorEastAsia" w:eastAsiaTheme="minorEastAsia" w:hAnsiTheme="minorEastAsia"/>
          <w:szCs w:val="21"/>
        </w:rPr>
        <w:lastRenderedPageBreak/>
        <w:t>生效。基金合同的有效期自其生效之日起至该基金财产清算结果报中国证监会</w:t>
      </w:r>
      <w:r w:rsidR="007228CC" w:rsidRPr="00F17515">
        <w:rPr>
          <w:rFonts w:asciiTheme="minorEastAsia" w:eastAsiaTheme="minorEastAsia" w:hAnsiTheme="minorEastAsia" w:hint="eastAsia"/>
          <w:szCs w:val="21"/>
        </w:rPr>
        <w:t>备案</w:t>
      </w:r>
      <w:r w:rsidR="007228CC" w:rsidRPr="00F17515">
        <w:rPr>
          <w:rFonts w:asciiTheme="minorEastAsia" w:eastAsiaTheme="minorEastAsia" w:hAnsiTheme="minorEastAsia"/>
          <w:szCs w:val="21"/>
        </w:rPr>
        <w:t>并公告之日止。</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本基金合同自生效之日起对包括基金管理人、基金托管人和基金份额持有人在内的基金合同各方当事人具有同等的法律约束力。</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3、</w:t>
      </w:r>
      <w:r w:rsidR="007228CC" w:rsidRPr="00F17515">
        <w:rPr>
          <w:rFonts w:asciiTheme="minorEastAsia" w:eastAsiaTheme="minorEastAsia" w:hAnsiTheme="minorEastAsia" w:hint="eastAsia"/>
          <w:szCs w:val="21"/>
        </w:rPr>
        <w:t>本基金合同正本一式八份，除中国证监会和银行业监督管理机构各持两份外，基金管理人和基金托管人各持有两份。每份均具有同等的法律效力。</w:t>
      </w:r>
    </w:p>
    <w:p w:rsidR="007228CC" w:rsidRPr="00F17515" w:rsidRDefault="00FE66C4"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hint="eastAsia"/>
          <w:szCs w:val="21"/>
        </w:rPr>
        <w:t>本基金合同可印制成册，供投资人在基金管理人、基金托管人、代销机构和登记结算机构办公场所查阅，但其效力应以基金合同正本为准。</w:t>
      </w:r>
    </w:p>
    <w:p w:rsidR="007228CC" w:rsidRPr="00F17515" w:rsidRDefault="007228CC" w:rsidP="0071223F">
      <w:pPr>
        <w:snapToGrid w:val="0"/>
        <w:spacing w:line="360" w:lineRule="auto"/>
        <w:rPr>
          <w:rFonts w:asciiTheme="minorEastAsia" w:eastAsiaTheme="minorEastAsia" w:hAnsiTheme="minorEastAsia"/>
        </w:rPr>
      </w:pPr>
      <w:bookmarkStart w:id="533" w:name="_Toc38437218"/>
      <w:bookmarkStart w:id="534" w:name="_Toc38437354"/>
      <w:bookmarkStart w:id="535" w:name="_Toc38437490"/>
      <w:bookmarkStart w:id="536" w:name="_Toc38437626"/>
      <w:bookmarkStart w:id="537" w:name="_Toc38437772"/>
      <w:bookmarkStart w:id="538" w:name="_Toc38437918"/>
      <w:bookmarkStart w:id="539" w:name="_Toc38438064"/>
      <w:bookmarkStart w:id="540" w:name="_Toc38438210"/>
      <w:bookmarkStart w:id="541" w:name="_Toc38438547"/>
      <w:bookmarkStart w:id="542" w:name="_Toc38438884"/>
      <w:bookmarkStart w:id="543" w:name="_Toc38439221"/>
      <w:bookmarkStart w:id="544" w:name="_Toc38439558"/>
      <w:bookmarkStart w:id="545" w:name="_Toc38439895"/>
      <w:bookmarkStart w:id="546" w:name="_Toc38440232"/>
      <w:bookmarkStart w:id="547" w:name="_Toc38440569"/>
      <w:bookmarkStart w:id="548" w:name="_Toc38440768"/>
      <w:bookmarkStart w:id="549" w:name="_Toc38441101"/>
      <w:bookmarkStart w:id="550" w:name="_Toc38441433"/>
      <w:bookmarkStart w:id="551" w:name="_Toc38441765"/>
      <w:bookmarkStart w:id="552" w:name="_Toc38442093"/>
      <w:bookmarkStart w:id="553" w:name="_Toc38442425"/>
      <w:bookmarkStart w:id="554" w:name="_Toc38442757"/>
      <w:bookmarkStart w:id="555" w:name="_Toc38443088"/>
      <w:bookmarkStart w:id="556" w:name="_Toc38443419"/>
      <w:bookmarkStart w:id="557" w:name="_Toc38443750"/>
      <w:bookmarkStart w:id="558" w:name="_Toc38433500"/>
      <w:bookmarkStart w:id="559" w:name="_Toc38433635"/>
      <w:bookmarkStart w:id="560" w:name="_Toc38433769"/>
      <w:bookmarkStart w:id="561" w:name="_Toc38433919"/>
      <w:bookmarkStart w:id="562" w:name="_Toc38434067"/>
      <w:bookmarkStart w:id="563" w:name="_Toc38434215"/>
      <w:bookmarkStart w:id="564" w:name="_Toc38434361"/>
      <w:bookmarkStart w:id="565" w:name="_Toc38434504"/>
      <w:bookmarkStart w:id="566" w:name="_Toc38434647"/>
      <w:bookmarkStart w:id="567" w:name="_Toc38434790"/>
      <w:bookmarkStart w:id="568" w:name="_Toc38434934"/>
      <w:bookmarkStart w:id="569" w:name="_Toc38437630"/>
      <w:bookmarkStart w:id="570" w:name="_Toc38437776"/>
      <w:bookmarkStart w:id="571" w:name="_Toc38437922"/>
      <w:bookmarkStart w:id="572" w:name="_Toc38438068"/>
      <w:bookmarkStart w:id="573" w:name="_Toc38438214"/>
      <w:bookmarkStart w:id="574" w:name="_Toc38438551"/>
      <w:bookmarkStart w:id="575" w:name="_Toc38438888"/>
      <w:bookmarkStart w:id="576" w:name="_Toc38439225"/>
      <w:bookmarkStart w:id="577" w:name="_Toc38439562"/>
      <w:bookmarkStart w:id="578" w:name="_Toc38439899"/>
      <w:bookmarkStart w:id="579" w:name="_Toc38440236"/>
      <w:bookmarkStart w:id="580" w:name="_Toc38440573"/>
      <w:bookmarkStart w:id="581" w:name="_Toc38440772"/>
      <w:bookmarkStart w:id="582" w:name="_Toc38441105"/>
      <w:bookmarkStart w:id="583" w:name="_Toc38441437"/>
      <w:bookmarkStart w:id="584" w:name="_Toc38441769"/>
      <w:bookmarkStart w:id="585" w:name="_Toc38442097"/>
      <w:bookmarkStart w:id="586" w:name="_Toc38442429"/>
      <w:bookmarkStart w:id="587" w:name="_Toc38442761"/>
      <w:bookmarkStart w:id="588" w:name="_Toc38443092"/>
      <w:bookmarkStart w:id="589" w:name="_Toc38443423"/>
      <w:bookmarkStart w:id="590" w:name="_Toc38443754"/>
      <w:bookmarkStart w:id="591" w:name="_Toc38433501"/>
      <w:bookmarkStart w:id="592" w:name="_Toc38433636"/>
      <w:bookmarkStart w:id="593" w:name="_Toc38433770"/>
      <w:bookmarkStart w:id="594" w:name="_Toc38433920"/>
      <w:bookmarkStart w:id="595" w:name="_Toc38434068"/>
      <w:bookmarkStart w:id="596" w:name="_Toc38434216"/>
      <w:bookmarkStart w:id="597" w:name="_Toc38434362"/>
      <w:bookmarkStart w:id="598" w:name="_Toc38434505"/>
      <w:bookmarkStart w:id="599" w:name="_Toc38434648"/>
      <w:bookmarkStart w:id="600" w:name="_Toc38434791"/>
      <w:bookmarkStart w:id="601" w:name="_Toc38434935"/>
      <w:bookmarkStart w:id="602" w:name="_Toc38437631"/>
      <w:bookmarkStart w:id="603" w:name="_Toc38437777"/>
      <w:bookmarkStart w:id="604" w:name="_Toc38437923"/>
      <w:bookmarkStart w:id="605" w:name="_Toc38438069"/>
      <w:bookmarkStart w:id="606" w:name="_Toc38438215"/>
      <w:bookmarkStart w:id="607" w:name="_Toc38438552"/>
      <w:bookmarkStart w:id="608" w:name="_Toc38438889"/>
      <w:bookmarkStart w:id="609" w:name="_Toc38439226"/>
      <w:bookmarkStart w:id="610" w:name="_Toc38439563"/>
      <w:bookmarkStart w:id="611" w:name="_Toc38439900"/>
      <w:bookmarkStart w:id="612" w:name="_Toc38440237"/>
      <w:bookmarkStart w:id="613" w:name="_Toc38440574"/>
      <w:bookmarkStart w:id="614" w:name="_Toc38440773"/>
      <w:bookmarkStart w:id="615" w:name="_Toc38441106"/>
      <w:bookmarkStart w:id="616" w:name="_Toc38441438"/>
      <w:bookmarkStart w:id="617" w:name="_Toc38441770"/>
      <w:bookmarkStart w:id="618" w:name="_Toc38442098"/>
      <w:bookmarkStart w:id="619" w:name="_Toc38442430"/>
      <w:bookmarkStart w:id="620" w:name="_Toc38442762"/>
      <w:bookmarkStart w:id="621" w:name="_Toc38443093"/>
      <w:bookmarkStart w:id="622" w:name="_Toc38443424"/>
      <w:bookmarkStart w:id="623" w:name="_Toc38443755"/>
      <w:bookmarkStart w:id="624" w:name="_Toc38433502"/>
      <w:bookmarkStart w:id="625" w:name="_Toc38433637"/>
      <w:bookmarkStart w:id="626" w:name="_Toc38433771"/>
      <w:bookmarkStart w:id="627" w:name="_Toc38433921"/>
      <w:bookmarkStart w:id="628" w:name="_Toc38434069"/>
      <w:bookmarkStart w:id="629" w:name="_Toc38434217"/>
      <w:bookmarkStart w:id="630" w:name="_Toc38434363"/>
      <w:bookmarkStart w:id="631" w:name="_Toc38434506"/>
      <w:bookmarkStart w:id="632" w:name="_Toc38434649"/>
      <w:bookmarkStart w:id="633" w:name="_Toc38434792"/>
      <w:bookmarkStart w:id="634" w:name="_Toc38434936"/>
      <w:bookmarkStart w:id="635" w:name="_Toc38437632"/>
      <w:bookmarkStart w:id="636" w:name="_Toc38437778"/>
      <w:bookmarkStart w:id="637" w:name="_Toc38437924"/>
      <w:bookmarkStart w:id="638" w:name="_Toc38438070"/>
      <w:bookmarkStart w:id="639" w:name="_Toc38438216"/>
      <w:bookmarkStart w:id="640" w:name="_Toc38438553"/>
      <w:bookmarkStart w:id="641" w:name="_Toc38438890"/>
      <w:bookmarkStart w:id="642" w:name="_Toc38439227"/>
      <w:bookmarkStart w:id="643" w:name="_Toc38439564"/>
      <w:bookmarkStart w:id="644" w:name="_Toc38439901"/>
      <w:bookmarkStart w:id="645" w:name="_Toc38440238"/>
      <w:bookmarkStart w:id="646" w:name="_Toc38440575"/>
      <w:bookmarkStart w:id="647" w:name="_Toc38440774"/>
      <w:bookmarkStart w:id="648" w:name="_Toc38441107"/>
      <w:bookmarkStart w:id="649" w:name="_Toc38441439"/>
      <w:bookmarkStart w:id="650" w:name="_Toc38441771"/>
      <w:bookmarkStart w:id="651" w:name="_Toc38442099"/>
      <w:bookmarkStart w:id="652" w:name="_Toc38442431"/>
      <w:bookmarkStart w:id="653" w:name="_Toc38442763"/>
      <w:bookmarkStart w:id="654" w:name="_Toc38443094"/>
      <w:bookmarkStart w:id="655" w:name="_Toc38443425"/>
      <w:bookmarkStart w:id="656" w:name="_Toc38443756"/>
      <w:bookmarkStart w:id="657" w:name="_Toc38433503"/>
      <w:bookmarkStart w:id="658" w:name="_Toc38433638"/>
      <w:bookmarkStart w:id="659" w:name="_Toc38433772"/>
      <w:bookmarkStart w:id="660" w:name="_Toc38433922"/>
      <w:bookmarkStart w:id="661" w:name="_Toc38434070"/>
      <w:bookmarkStart w:id="662" w:name="_Toc38434218"/>
      <w:bookmarkStart w:id="663" w:name="_Toc38434364"/>
      <w:bookmarkStart w:id="664" w:name="_Toc38434507"/>
      <w:bookmarkStart w:id="665" w:name="_Toc38434650"/>
      <w:bookmarkStart w:id="666" w:name="_Toc38434793"/>
      <w:bookmarkStart w:id="667" w:name="_Toc38434937"/>
      <w:bookmarkStart w:id="668" w:name="_Toc38437633"/>
      <w:bookmarkStart w:id="669" w:name="_Toc38437779"/>
      <w:bookmarkStart w:id="670" w:name="_Toc38437925"/>
      <w:bookmarkStart w:id="671" w:name="_Toc38438071"/>
      <w:bookmarkStart w:id="672" w:name="_Toc38438217"/>
      <w:bookmarkStart w:id="673" w:name="_Toc38438554"/>
      <w:bookmarkStart w:id="674" w:name="_Toc38438891"/>
      <w:bookmarkStart w:id="675" w:name="_Toc38439228"/>
      <w:bookmarkStart w:id="676" w:name="_Toc38439565"/>
      <w:bookmarkStart w:id="677" w:name="_Toc38439902"/>
      <w:bookmarkStart w:id="678" w:name="_Toc38440239"/>
      <w:bookmarkStart w:id="679" w:name="_Toc38440576"/>
      <w:bookmarkStart w:id="680" w:name="_Toc38440775"/>
      <w:bookmarkStart w:id="681" w:name="_Toc38441108"/>
      <w:bookmarkStart w:id="682" w:name="_Toc38441440"/>
      <w:bookmarkStart w:id="683" w:name="_Toc38441772"/>
      <w:bookmarkStart w:id="684" w:name="_Toc38442100"/>
      <w:bookmarkStart w:id="685" w:name="_Toc38442432"/>
      <w:bookmarkStart w:id="686" w:name="_Toc38442764"/>
      <w:bookmarkStart w:id="687" w:name="_Toc38443095"/>
      <w:bookmarkStart w:id="688" w:name="_Toc38443426"/>
      <w:bookmarkStart w:id="689" w:name="_Toc38443757"/>
      <w:bookmarkStart w:id="690" w:name="_Toc38433504"/>
      <w:bookmarkStart w:id="691" w:name="_Toc38433639"/>
      <w:bookmarkStart w:id="692" w:name="_Toc38433773"/>
      <w:bookmarkStart w:id="693" w:name="_Toc38433923"/>
      <w:bookmarkStart w:id="694" w:name="_Toc38434071"/>
      <w:bookmarkStart w:id="695" w:name="_Toc38434219"/>
      <w:bookmarkStart w:id="696" w:name="_Toc38434365"/>
      <w:bookmarkStart w:id="697" w:name="_Toc38434508"/>
      <w:bookmarkStart w:id="698" w:name="_Toc38434651"/>
      <w:bookmarkStart w:id="699" w:name="_Toc38434794"/>
      <w:bookmarkStart w:id="700" w:name="_Toc38434938"/>
      <w:bookmarkStart w:id="701" w:name="_Toc38437634"/>
      <w:bookmarkStart w:id="702" w:name="_Toc38437780"/>
      <w:bookmarkStart w:id="703" w:name="_Toc38437926"/>
      <w:bookmarkStart w:id="704" w:name="_Toc38438072"/>
      <w:bookmarkStart w:id="705" w:name="_Toc38438218"/>
      <w:bookmarkStart w:id="706" w:name="_Toc38438555"/>
      <w:bookmarkStart w:id="707" w:name="_Toc38438892"/>
      <w:bookmarkStart w:id="708" w:name="_Toc38439229"/>
      <w:bookmarkStart w:id="709" w:name="_Toc38439566"/>
      <w:bookmarkStart w:id="710" w:name="_Toc38439903"/>
      <w:bookmarkStart w:id="711" w:name="_Toc38440240"/>
      <w:bookmarkStart w:id="712" w:name="_Toc38440577"/>
      <w:bookmarkStart w:id="713" w:name="_Toc38440776"/>
      <w:bookmarkStart w:id="714" w:name="_Toc38441109"/>
      <w:bookmarkStart w:id="715" w:name="_Toc38441441"/>
      <w:bookmarkStart w:id="716" w:name="_Toc38441773"/>
      <w:bookmarkStart w:id="717" w:name="_Toc38442101"/>
      <w:bookmarkStart w:id="718" w:name="_Toc38442433"/>
      <w:bookmarkStart w:id="719" w:name="_Toc38442765"/>
      <w:bookmarkStart w:id="720" w:name="_Toc38443096"/>
      <w:bookmarkStart w:id="721" w:name="_Toc38443427"/>
      <w:bookmarkStart w:id="722" w:name="_Toc38443758"/>
      <w:bookmarkStart w:id="723" w:name="_Toc38433505"/>
      <w:bookmarkStart w:id="724" w:name="_Toc38433640"/>
      <w:bookmarkStart w:id="725" w:name="_Toc38433774"/>
      <w:bookmarkStart w:id="726" w:name="_Toc38433924"/>
      <w:bookmarkStart w:id="727" w:name="_Toc38434072"/>
      <w:bookmarkStart w:id="728" w:name="_Toc38434220"/>
      <w:bookmarkStart w:id="729" w:name="_Toc38434366"/>
      <w:bookmarkStart w:id="730" w:name="_Toc38434509"/>
      <w:bookmarkStart w:id="731" w:name="_Toc38434652"/>
      <w:bookmarkStart w:id="732" w:name="_Toc38434795"/>
      <w:bookmarkStart w:id="733" w:name="_Toc38434939"/>
      <w:bookmarkStart w:id="734" w:name="_Toc38437635"/>
      <w:bookmarkStart w:id="735" w:name="_Toc38437781"/>
      <w:bookmarkStart w:id="736" w:name="_Toc38437927"/>
      <w:bookmarkStart w:id="737" w:name="_Toc38438073"/>
      <w:bookmarkStart w:id="738" w:name="_Toc38438219"/>
      <w:bookmarkStart w:id="739" w:name="_Toc38438556"/>
      <w:bookmarkStart w:id="740" w:name="_Toc38438893"/>
      <w:bookmarkStart w:id="741" w:name="_Toc38439230"/>
      <w:bookmarkStart w:id="742" w:name="_Toc38439567"/>
      <w:bookmarkStart w:id="743" w:name="_Toc38439904"/>
      <w:bookmarkStart w:id="744" w:name="_Toc38440241"/>
      <w:bookmarkStart w:id="745" w:name="_Toc38440578"/>
      <w:bookmarkStart w:id="746" w:name="_Toc38440777"/>
      <w:bookmarkStart w:id="747" w:name="_Toc38441110"/>
      <w:bookmarkStart w:id="748" w:name="_Toc38441442"/>
      <w:bookmarkStart w:id="749" w:name="_Toc38441774"/>
      <w:bookmarkStart w:id="750" w:name="_Toc38442102"/>
      <w:bookmarkStart w:id="751" w:name="_Toc38442434"/>
      <w:bookmarkStart w:id="752" w:name="_Toc38442766"/>
      <w:bookmarkStart w:id="753" w:name="_Toc38443097"/>
      <w:bookmarkStart w:id="754" w:name="_Toc38443428"/>
      <w:bookmarkStart w:id="755" w:name="_Toc38443759"/>
      <w:bookmarkStart w:id="756" w:name="_Toc38433506"/>
      <w:bookmarkStart w:id="757" w:name="_Toc38433641"/>
      <w:bookmarkStart w:id="758" w:name="_Toc38433775"/>
      <w:bookmarkStart w:id="759" w:name="_Toc38433925"/>
      <w:bookmarkStart w:id="760" w:name="_Toc38434073"/>
      <w:bookmarkStart w:id="761" w:name="_Toc38434221"/>
      <w:bookmarkStart w:id="762" w:name="_Toc38434367"/>
      <w:bookmarkStart w:id="763" w:name="_Toc38434510"/>
      <w:bookmarkStart w:id="764" w:name="_Toc38434653"/>
      <w:bookmarkStart w:id="765" w:name="_Toc38434796"/>
      <w:bookmarkStart w:id="766" w:name="_Toc38434940"/>
      <w:bookmarkStart w:id="767" w:name="_Toc38437636"/>
      <w:bookmarkStart w:id="768" w:name="_Toc38437782"/>
      <w:bookmarkStart w:id="769" w:name="_Toc38437928"/>
      <w:bookmarkStart w:id="770" w:name="_Toc38438074"/>
      <w:bookmarkStart w:id="771" w:name="_Toc38438220"/>
      <w:bookmarkStart w:id="772" w:name="_Toc38438557"/>
      <w:bookmarkStart w:id="773" w:name="_Toc38438894"/>
      <w:bookmarkStart w:id="774" w:name="_Toc38439231"/>
      <w:bookmarkStart w:id="775" w:name="_Toc38439568"/>
      <w:bookmarkStart w:id="776" w:name="_Toc38439905"/>
      <w:bookmarkStart w:id="777" w:name="_Toc38440242"/>
      <w:bookmarkStart w:id="778" w:name="_Toc38440579"/>
      <w:bookmarkStart w:id="779" w:name="_Toc38440778"/>
      <w:bookmarkStart w:id="780" w:name="_Toc38441111"/>
      <w:bookmarkStart w:id="781" w:name="_Toc38441443"/>
      <w:bookmarkStart w:id="782" w:name="_Toc38441775"/>
      <w:bookmarkStart w:id="783" w:name="_Toc38442103"/>
      <w:bookmarkStart w:id="784" w:name="_Toc38442435"/>
      <w:bookmarkStart w:id="785" w:name="_Toc38442767"/>
      <w:bookmarkStart w:id="786" w:name="_Toc38443098"/>
      <w:bookmarkStart w:id="787" w:name="_Toc38443429"/>
      <w:bookmarkStart w:id="788" w:name="_Toc38443760"/>
      <w:bookmarkStart w:id="789" w:name="_Toc38433507"/>
      <w:bookmarkStart w:id="790" w:name="_Toc38433642"/>
      <w:bookmarkStart w:id="791" w:name="_Toc38433776"/>
      <w:bookmarkStart w:id="792" w:name="_Toc38433926"/>
      <w:bookmarkStart w:id="793" w:name="_Toc38434074"/>
      <w:bookmarkStart w:id="794" w:name="_Toc38434222"/>
      <w:bookmarkStart w:id="795" w:name="_Toc38434368"/>
      <w:bookmarkStart w:id="796" w:name="_Toc38434511"/>
      <w:bookmarkStart w:id="797" w:name="_Toc38434654"/>
      <w:bookmarkStart w:id="798" w:name="_Toc38434797"/>
      <w:bookmarkStart w:id="799" w:name="_Toc38434941"/>
      <w:bookmarkStart w:id="800" w:name="_Toc38437637"/>
      <w:bookmarkStart w:id="801" w:name="_Toc38437783"/>
      <w:bookmarkStart w:id="802" w:name="_Toc38437929"/>
      <w:bookmarkStart w:id="803" w:name="_Toc38438075"/>
      <w:bookmarkStart w:id="804" w:name="_Toc38438221"/>
      <w:bookmarkStart w:id="805" w:name="_Toc38438558"/>
      <w:bookmarkStart w:id="806" w:name="_Toc38438895"/>
      <w:bookmarkStart w:id="807" w:name="_Toc38439232"/>
      <w:bookmarkStart w:id="808" w:name="_Toc38439569"/>
      <w:bookmarkStart w:id="809" w:name="_Toc38439906"/>
      <w:bookmarkStart w:id="810" w:name="_Toc38440243"/>
      <w:bookmarkStart w:id="811" w:name="_Toc38440580"/>
      <w:bookmarkStart w:id="812" w:name="_Toc38440779"/>
      <w:bookmarkStart w:id="813" w:name="_Toc38441112"/>
      <w:bookmarkStart w:id="814" w:name="_Toc38441444"/>
      <w:bookmarkStart w:id="815" w:name="_Toc38441776"/>
      <w:bookmarkStart w:id="816" w:name="_Toc38442104"/>
      <w:bookmarkStart w:id="817" w:name="_Toc38442436"/>
      <w:bookmarkStart w:id="818" w:name="_Toc38442768"/>
      <w:bookmarkStart w:id="819" w:name="_Toc38443099"/>
      <w:bookmarkStart w:id="820" w:name="_Toc38443430"/>
      <w:bookmarkStart w:id="821" w:name="_Toc38443761"/>
      <w:bookmarkStart w:id="822" w:name="_Toc38433508"/>
      <w:bookmarkStart w:id="823" w:name="_Toc38433643"/>
      <w:bookmarkStart w:id="824" w:name="_Toc38433777"/>
      <w:bookmarkStart w:id="825" w:name="_Toc38433927"/>
      <w:bookmarkStart w:id="826" w:name="_Toc38434075"/>
      <w:bookmarkStart w:id="827" w:name="_Toc38434223"/>
      <w:bookmarkStart w:id="828" w:name="_Toc38434369"/>
      <w:bookmarkStart w:id="829" w:name="_Toc38434512"/>
      <w:bookmarkStart w:id="830" w:name="_Toc38434655"/>
      <w:bookmarkStart w:id="831" w:name="_Toc38434798"/>
      <w:bookmarkStart w:id="832" w:name="_Toc38434942"/>
      <w:bookmarkStart w:id="833" w:name="_Toc38437638"/>
      <w:bookmarkStart w:id="834" w:name="_Toc38437784"/>
      <w:bookmarkStart w:id="835" w:name="_Toc38437930"/>
      <w:bookmarkStart w:id="836" w:name="_Toc38438076"/>
      <w:bookmarkStart w:id="837" w:name="_Toc38438222"/>
      <w:bookmarkStart w:id="838" w:name="_Toc38438559"/>
      <w:bookmarkStart w:id="839" w:name="_Toc38438896"/>
      <w:bookmarkStart w:id="840" w:name="_Toc38439233"/>
      <w:bookmarkStart w:id="841" w:name="_Toc38439570"/>
      <w:bookmarkStart w:id="842" w:name="_Toc38439907"/>
      <w:bookmarkStart w:id="843" w:name="_Toc38440244"/>
      <w:bookmarkStart w:id="844" w:name="_Toc38440581"/>
      <w:bookmarkStart w:id="845" w:name="_Toc38440780"/>
      <w:bookmarkStart w:id="846" w:name="_Toc38441113"/>
      <w:bookmarkStart w:id="847" w:name="_Toc38441445"/>
      <w:bookmarkStart w:id="848" w:name="_Toc38441777"/>
      <w:bookmarkStart w:id="849" w:name="_Toc38442105"/>
      <w:bookmarkStart w:id="850" w:name="_Toc38442437"/>
      <w:bookmarkStart w:id="851" w:name="_Toc38442769"/>
      <w:bookmarkStart w:id="852" w:name="_Toc38443100"/>
      <w:bookmarkStart w:id="853" w:name="_Toc38443431"/>
      <w:bookmarkStart w:id="854" w:name="_Toc38443762"/>
      <w:bookmarkStart w:id="855" w:name="_Toc38433510"/>
      <w:bookmarkStart w:id="856" w:name="_Toc38433645"/>
      <w:bookmarkStart w:id="857" w:name="_Toc38433779"/>
      <w:bookmarkStart w:id="858" w:name="_Toc38433929"/>
      <w:bookmarkStart w:id="859" w:name="_Toc38434077"/>
      <w:bookmarkStart w:id="860" w:name="_Toc38434225"/>
      <w:bookmarkStart w:id="861" w:name="_Toc38434371"/>
      <w:bookmarkStart w:id="862" w:name="_Toc38434514"/>
      <w:bookmarkStart w:id="863" w:name="_Toc38434657"/>
      <w:bookmarkStart w:id="864" w:name="_Toc38434800"/>
      <w:bookmarkStart w:id="865" w:name="_Toc38434944"/>
      <w:bookmarkStart w:id="866" w:name="_Toc38437640"/>
      <w:bookmarkStart w:id="867" w:name="_Toc38437786"/>
      <w:bookmarkStart w:id="868" w:name="_Toc38437932"/>
      <w:bookmarkStart w:id="869" w:name="_Toc38438078"/>
      <w:bookmarkStart w:id="870" w:name="_Toc38438224"/>
      <w:bookmarkStart w:id="871" w:name="_Toc38438561"/>
      <w:bookmarkStart w:id="872" w:name="_Toc38438898"/>
      <w:bookmarkStart w:id="873" w:name="_Toc38439235"/>
      <w:bookmarkStart w:id="874" w:name="_Toc38439572"/>
      <w:bookmarkStart w:id="875" w:name="_Toc38439909"/>
      <w:bookmarkStart w:id="876" w:name="_Toc38440246"/>
      <w:bookmarkStart w:id="877" w:name="_Toc38440583"/>
      <w:bookmarkStart w:id="878" w:name="_Toc38440782"/>
      <w:bookmarkStart w:id="879" w:name="_Toc38441115"/>
      <w:bookmarkStart w:id="880" w:name="_Toc38441447"/>
      <w:bookmarkStart w:id="881" w:name="_Toc38441779"/>
      <w:bookmarkStart w:id="882" w:name="_Toc38442107"/>
      <w:bookmarkStart w:id="883" w:name="_Toc38442439"/>
      <w:bookmarkStart w:id="884" w:name="_Toc38442771"/>
      <w:bookmarkStart w:id="885" w:name="_Toc38443102"/>
      <w:bookmarkStart w:id="886" w:name="_Toc38443433"/>
      <w:bookmarkStart w:id="887" w:name="_Toc38443764"/>
      <w:bookmarkStart w:id="888" w:name="_Toc13148353"/>
      <w:bookmarkStart w:id="889" w:name="_Toc13150581"/>
      <w:bookmarkStart w:id="890" w:name="_Toc13291966"/>
      <w:bookmarkStart w:id="891" w:name="_Toc13504692"/>
      <w:bookmarkStart w:id="892" w:name="_Toc13504808"/>
      <w:bookmarkStart w:id="893" w:name="_Toc13556301"/>
      <w:bookmarkStart w:id="894" w:name="_Toc14337423"/>
      <w:bookmarkStart w:id="895" w:name="_Toc13148354"/>
      <w:bookmarkStart w:id="896" w:name="_Toc13150582"/>
      <w:bookmarkStart w:id="897" w:name="_Toc13291967"/>
      <w:bookmarkStart w:id="898" w:name="_Toc13504693"/>
      <w:bookmarkStart w:id="899" w:name="_Toc13504809"/>
      <w:bookmarkStart w:id="900" w:name="_Toc13556302"/>
      <w:bookmarkStart w:id="901" w:name="_Toc14337424"/>
      <w:bookmarkStart w:id="902" w:name="_Toc13148355"/>
      <w:bookmarkStart w:id="903" w:name="_Toc13150583"/>
      <w:bookmarkStart w:id="904" w:name="_Toc13291968"/>
      <w:bookmarkStart w:id="905" w:name="_Toc13504694"/>
      <w:bookmarkStart w:id="906" w:name="_Toc13504810"/>
      <w:bookmarkStart w:id="907" w:name="_Toc13556303"/>
      <w:bookmarkStart w:id="908" w:name="_Toc14337425"/>
      <w:bookmarkStart w:id="909" w:name="_Toc13148356"/>
      <w:bookmarkStart w:id="910" w:name="_Toc13150584"/>
      <w:bookmarkStart w:id="911" w:name="_Toc13291969"/>
      <w:bookmarkStart w:id="912" w:name="_Toc13504695"/>
      <w:bookmarkStart w:id="913" w:name="_Toc13504811"/>
      <w:bookmarkStart w:id="914" w:name="_Toc13556304"/>
      <w:bookmarkStart w:id="915" w:name="_Toc14337426"/>
      <w:bookmarkStart w:id="916" w:name="_Toc13148357"/>
      <w:bookmarkStart w:id="917" w:name="_Toc13150585"/>
      <w:bookmarkStart w:id="918" w:name="_Toc13291970"/>
      <w:bookmarkStart w:id="919" w:name="_Toc13504696"/>
      <w:bookmarkStart w:id="920" w:name="_Toc13504812"/>
      <w:bookmarkStart w:id="921" w:name="_Toc13556305"/>
      <w:bookmarkStart w:id="922" w:name="_Toc14337427"/>
      <w:bookmarkStart w:id="923" w:name="_Toc13148358"/>
      <w:bookmarkStart w:id="924" w:name="_Toc13150586"/>
      <w:bookmarkStart w:id="925" w:name="_Toc13291971"/>
      <w:bookmarkStart w:id="926" w:name="_Toc13504697"/>
      <w:bookmarkStart w:id="927" w:name="_Toc13504813"/>
      <w:bookmarkStart w:id="928" w:name="_Toc13556306"/>
      <w:bookmarkStart w:id="929" w:name="_Toc14337428"/>
      <w:bookmarkStart w:id="930" w:name="_Toc13148359"/>
      <w:bookmarkStart w:id="931" w:name="_Toc13150587"/>
      <w:bookmarkStart w:id="932" w:name="_Toc13291972"/>
      <w:bookmarkStart w:id="933" w:name="_Toc13504698"/>
      <w:bookmarkStart w:id="934" w:name="_Toc13504814"/>
      <w:bookmarkStart w:id="935" w:name="_Toc13556307"/>
      <w:bookmarkStart w:id="936" w:name="_Toc14337429"/>
      <w:bookmarkStart w:id="937" w:name="_Toc13148360"/>
      <w:bookmarkStart w:id="938" w:name="_Toc13150588"/>
      <w:bookmarkStart w:id="939" w:name="_Toc13291973"/>
      <w:bookmarkStart w:id="940" w:name="_Toc13504699"/>
      <w:bookmarkStart w:id="941" w:name="_Toc13504815"/>
      <w:bookmarkStart w:id="942" w:name="_Toc13556308"/>
      <w:bookmarkStart w:id="943" w:name="_Toc14337430"/>
      <w:bookmarkStart w:id="944" w:name="_Toc13148361"/>
      <w:bookmarkStart w:id="945" w:name="_Toc13150589"/>
      <w:bookmarkStart w:id="946" w:name="_Toc13291974"/>
      <w:bookmarkStart w:id="947" w:name="_Toc13504700"/>
      <w:bookmarkStart w:id="948" w:name="_Toc13504816"/>
      <w:bookmarkStart w:id="949" w:name="_Toc13556309"/>
      <w:bookmarkStart w:id="950" w:name="_Toc14337431"/>
      <w:bookmarkStart w:id="951" w:name="_Toc13148362"/>
      <w:bookmarkStart w:id="952" w:name="_Toc13150590"/>
      <w:bookmarkStart w:id="953" w:name="_Toc13291975"/>
      <w:bookmarkStart w:id="954" w:name="_Toc13504701"/>
      <w:bookmarkStart w:id="955" w:name="_Toc13504817"/>
      <w:bookmarkStart w:id="956" w:name="_Toc13556310"/>
      <w:bookmarkStart w:id="957" w:name="_Toc14337432"/>
      <w:bookmarkStart w:id="958" w:name="_Toc13148369"/>
      <w:bookmarkStart w:id="959" w:name="_Toc13150597"/>
      <w:bookmarkStart w:id="960" w:name="_Toc13291982"/>
      <w:bookmarkStart w:id="961" w:name="_Toc13504708"/>
      <w:bookmarkStart w:id="962" w:name="_Toc13504824"/>
      <w:bookmarkStart w:id="963" w:name="_Toc13556317"/>
      <w:bookmarkStart w:id="964" w:name="_Toc14337439"/>
      <w:bookmarkStart w:id="965" w:name="_Toc13148370"/>
      <w:bookmarkStart w:id="966" w:name="_Toc13150598"/>
      <w:bookmarkStart w:id="967" w:name="_Toc13291983"/>
      <w:bookmarkStart w:id="968" w:name="_Toc13504709"/>
      <w:bookmarkStart w:id="969" w:name="_Toc13504825"/>
      <w:bookmarkStart w:id="970" w:name="_Toc13556318"/>
      <w:bookmarkStart w:id="971" w:name="_Toc14337440"/>
      <w:bookmarkStart w:id="972" w:name="_Toc13148371"/>
      <w:bookmarkStart w:id="973" w:name="_Toc13150599"/>
      <w:bookmarkStart w:id="974" w:name="_Toc13291984"/>
      <w:bookmarkStart w:id="975" w:name="_Toc13504710"/>
      <w:bookmarkStart w:id="976" w:name="_Toc13504826"/>
      <w:bookmarkStart w:id="977" w:name="_Toc13556319"/>
      <w:bookmarkStart w:id="978" w:name="_Toc14337441"/>
      <w:bookmarkStart w:id="979" w:name="_Toc13148372"/>
      <w:bookmarkStart w:id="980" w:name="_Toc13150600"/>
      <w:bookmarkStart w:id="981" w:name="_Toc13291985"/>
      <w:bookmarkStart w:id="982" w:name="_Toc13504711"/>
      <w:bookmarkStart w:id="983" w:name="_Toc13504827"/>
      <w:bookmarkStart w:id="984" w:name="_Toc13556320"/>
      <w:bookmarkStart w:id="985" w:name="_Toc14337442"/>
      <w:bookmarkStart w:id="986" w:name="_Toc13148373"/>
      <w:bookmarkStart w:id="987" w:name="_Toc13150601"/>
      <w:bookmarkStart w:id="988" w:name="_Toc13291986"/>
      <w:bookmarkStart w:id="989" w:name="_Toc13504712"/>
      <w:bookmarkStart w:id="990" w:name="_Toc13504828"/>
      <w:bookmarkStart w:id="991" w:name="_Toc13556321"/>
      <w:bookmarkStart w:id="992" w:name="_Toc14337443"/>
      <w:bookmarkStart w:id="993" w:name="_Toc13148374"/>
      <w:bookmarkStart w:id="994" w:name="_Toc13150602"/>
      <w:bookmarkStart w:id="995" w:name="_Toc13291987"/>
      <w:bookmarkStart w:id="996" w:name="_Toc13504713"/>
      <w:bookmarkStart w:id="997" w:name="_Toc13504829"/>
      <w:bookmarkStart w:id="998" w:name="_Toc13556322"/>
      <w:bookmarkStart w:id="999" w:name="_Toc14337444"/>
      <w:bookmarkStart w:id="1000" w:name="_Toc13148376"/>
      <w:bookmarkStart w:id="1001" w:name="_Toc13150604"/>
      <w:bookmarkStart w:id="1002" w:name="_Toc13291989"/>
      <w:bookmarkStart w:id="1003" w:name="_Toc13504715"/>
      <w:bookmarkStart w:id="1004" w:name="_Toc13504831"/>
      <w:bookmarkStart w:id="1005" w:name="_Toc13556324"/>
      <w:bookmarkStart w:id="1006" w:name="_Toc14337446"/>
      <w:bookmarkStart w:id="1007" w:name="_Toc13148377"/>
      <w:bookmarkStart w:id="1008" w:name="_Toc13150605"/>
      <w:bookmarkStart w:id="1009" w:name="_Toc13291990"/>
      <w:bookmarkStart w:id="1010" w:name="_Toc13504716"/>
      <w:bookmarkStart w:id="1011" w:name="_Toc13504832"/>
      <w:bookmarkStart w:id="1012" w:name="_Toc13556325"/>
      <w:bookmarkStart w:id="1013" w:name="_Toc14337447"/>
      <w:bookmarkStart w:id="1014" w:name="_Toc13148379"/>
      <w:bookmarkStart w:id="1015" w:name="_Toc13150607"/>
      <w:bookmarkStart w:id="1016" w:name="_Toc13291992"/>
      <w:bookmarkStart w:id="1017" w:name="_Toc13504718"/>
      <w:bookmarkStart w:id="1018" w:name="_Toc13504834"/>
      <w:bookmarkStart w:id="1019" w:name="_Toc13556327"/>
      <w:bookmarkStart w:id="1020" w:name="_Toc14337449"/>
      <w:bookmarkStart w:id="1021" w:name="_Toc13148381"/>
      <w:bookmarkStart w:id="1022" w:name="_Toc13150609"/>
      <w:bookmarkStart w:id="1023" w:name="_Toc13291994"/>
      <w:bookmarkStart w:id="1024" w:name="_Toc13504720"/>
      <w:bookmarkStart w:id="1025" w:name="_Toc13504836"/>
      <w:bookmarkStart w:id="1026" w:name="_Toc13556329"/>
      <w:bookmarkStart w:id="1027" w:name="_Toc14337451"/>
      <w:bookmarkStart w:id="1028" w:name="_Toc13148384"/>
      <w:bookmarkStart w:id="1029" w:name="_Toc13150612"/>
      <w:bookmarkStart w:id="1030" w:name="_Toc13291997"/>
      <w:bookmarkStart w:id="1031" w:name="_Toc13504723"/>
      <w:bookmarkStart w:id="1032" w:name="_Toc13504839"/>
      <w:bookmarkStart w:id="1033" w:name="_Toc13556332"/>
      <w:bookmarkStart w:id="1034" w:name="_Toc14337454"/>
      <w:bookmarkStart w:id="1035" w:name="_Toc13148385"/>
      <w:bookmarkStart w:id="1036" w:name="_Toc13150613"/>
      <w:bookmarkStart w:id="1037" w:name="_Toc13291998"/>
      <w:bookmarkStart w:id="1038" w:name="_Toc13504724"/>
      <w:bookmarkStart w:id="1039" w:name="_Toc13504840"/>
      <w:bookmarkStart w:id="1040" w:name="_Toc13556333"/>
      <w:bookmarkStart w:id="1041" w:name="_Toc14337455"/>
      <w:bookmarkStart w:id="1042" w:name="_Toc13148390"/>
      <w:bookmarkStart w:id="1043" w:name="_Toc13150618"/>
      <w:bookmarkStart w:id="1044" w:name="_Toc13292003"/>
      <w:bookmarkStart w:id="1045" w:name="_Toc13504729"/>
      <w:bookmarkStart w:id="1046" w:name="_Toc13504845"/>
      <w:bookmarkStart w:id="1047" w:name="_Toc13556338"/>
      <w:bookmarkStart w:id="1048" w:name="_Toc14337460"/>
      <w:bookmarkStart w:id="1049" w:name="_Toc13148391"/>
      <w:bookmarkStart w:id="1050" w:name="_Toc13150619"/>
      <w:bookmarkStart w:id="1051" w:name="_Toc13292004"/>
      <w:bookmarkStart w:id="1052" w:name="_Toc13504730"/>
      <w:bookmarkStart w:id="1053" w:name="_Toc13504846"/>
      <w:bookmarkStart w:id="1054" w:name="_Toc13556339"/>
      <w:bookmarkStart w:id="1055" w:name="_Toc14337461"/>
      <w:bookmarkStart w:id="1056" w:name="_Toc13148392"/>
      <w:bookmarkStart w:id="1057" w:name="_Toc13150620"/>
      <w:bookmarkStart w:id="1058" w:name="_Toc13292005"/>
      <w:bookmarkStart w:id="1059" w:name="_Toc13504731"/>
      <w:bookmarkStart w:id="1060" w:name="_Toc13504847"/>
      <w:bookmarkStart w:id="1061" w:name="_Toc13556340"/>
      <w:bookmarkStart w:id="1062" w:name="_Toc14337462"/>
      <w:bookmarkStart w:id="1063" w:name="_Toc13148393"/>
      <w:bookmarkStart w:id="1064" w:name="_Toc13150621"/>
      <w:bookmarkStart w:id="1065" w:name="_Toc13292006"/>
      <w:bookmarkStart w:id="1066" w:name="_Toc13504732"/>
      <w:bookmarkStart w:id="1067" w:name="_Toc13504848"/>
      <w:bookmarkStart w:id="1068" w:name="_Toc13556341"/>
      <w:bookmarkStart w:id="1069" w:name="_Toc14337463"/>
      <w:bookmarkStart w:id="1070" w:name="_Toc13148394"/>
      <w:bookmarkStart w:id="1071" w:name="_Toc13150622"/>
      <w:bookmarkStart w:id="1072" w:name="_Toc13292007"/>
      <w:bookmarkStart w:id="1073" w:name="_Toc13504733"/>
      <w:bookmarkStart w:id="1074" w:name="_Toc13504849"/>
      <w:bookmarkStart w:id="1075" w:name="_Toc13556342"/>
      <w:bookmarkStart w:id="1076" w:name="_Toc14337464"/>
      <w:bookmarkStart w:id="1077" w:name="_Toc13148395"/>
      <w:bookmarkStart w:id="1078" w:name="_Toc13150623"/>
      <w:bookmarkStart w:id="1079" w:name="_Toc13292008"/>
      <w:bookmarkStart w:id="1080" w:name="_Toc13504734"/>
      <w:bookmarkStart w:id="1081" w:name="_Toc13504850"/>
      <w:bookmarkStart w:id="1082" w:name="_Toc13556343"/>
      <w:bookmarkStart w:id="1083" w:name="_Toc14337465"/>
      <w:bookmarkStart w:id="1084" w:name="_Toc13148396"/>
      <w:bookmarkStart w:id="1085" w:name="_Toc13150624"/>
      <w:bookmarkStart w:id="1086" w:name="_Toc13292009"/>
      <w:bookmarkStart w:id="1087" w:name="_Toc13504735"/>
      <w:bookmarkStart w:id="1088" w:name="_Toc13504851"/>
      <w:bookmarkStart w:id="1089" w:name="_Toc13556344"/>
      <w:bookmarkStart w:id="1090" w:name="_Toc14337466"/>
      <w:bookmarkStart w:id="1091" w:name="_Toc13148397"/>
      <w:bookmarkStart w:id="1092" w:name="_Toc13150625"/>
      <w:bookmarkStart w:id="1093" w:name="_Toc13292010"/>
      <w:bookmarkStart w:id="1094" w:name="_Toc13504736"/>
      <w:bookmarkStart w:id="1095" w:name="_Toc13504852"/>
      <w:bookmarkStart w:id="1096" w:name="_Toc13556345"/>
      <w:bookmarkStart w:id="1097" w:name="_Toc14337467"/>
      <w:bookmarkStart w:id="1098" w:name="_Toc13148398"/>
      <w:bookmarkStart w:id="1099" w:name="_Toc13150626"/>
      <w:bookmarkStart w:id="1100" w:name="_Toc13292011"/>
      <w:bookmarkStart w:id="1101" w:name="_Toc13504737"/>
      <w:bookmarkStart w:id="1102" w:name="_Toc13504853"/>
      <w:bookmarkStart w:id="1103" w:name="_Toc13556346"/>
      <w:bookmarkStart w:id="1104" w:name="_Toc14337468"/>
      <w:bookmarkStart w:id="1105" w:name="_Toc13148399"/>
      <w:bookmarkStart w:id="1106" w:name="_Toc13150627"/>
      <w:bookmarkStart w:id="1107" w:name="_Toc13292012"/>
      <w:bookmarkStart w:id="1108" w:name="_Toc13504738"/>
      <w:bookmarkStart w:id="1109" w:name="_Toc13504854"/>
      <w:bookmarkStart w:id="1110" w:name="_Toc13556347"/>
      <w:bookmarkStart w:id="1111" w:name="_Toc14337469"/>
      <w:bookmarkStart w:id="1112" w:name="_Toc13148400"/>
      <w:bookmarkStart w:id="1113" w:name="_Toc13150628"/>
      <w:bookmarkStart w:id="1114" w:name="_Toc13292013"/>
      <w:bookmarkStart w:id="1115" w:name="_Toc13504739"/>
      <w:bookmarkStart w:id="1116" w:name="_Toc13504855"/>
      <w:bookmarkStart w:id="1117" w:name="_Toc13556348"/>
      <w:bookmarkStart w:id="1118" w:name="_Toc14337470"/>
      <w:bookmarkStart w:id="1119" w:name="_Toc13148401"/>
      <w:bookmarkStart w:id="1120" w:name="_Toc13150629"/>
      <w:bookmarkStart w:id="1121" w:name="_Toc13292014"/>
      <w:bookmarkStart w:id="1122" w:name="_Toc13504740"/>
      <w:bookmarkStart w:id="1123" w:name="_Toc13504856"/>
      <w:bookmarkStart w:id="1124" w:name="_Toc13556349"/>
      <w:bookmarkStart w:id="1125" w:name="_Toc14337471"/>
      <w:bookmarkStart w:id="1126" w:name="_Toc13148402"/>
      <w:bookmarkStart w:id="1127" w:name="_Toc13150630"/>
      <w:bookmarkStart w:id="1128" w:name="_Toc13292015"/>
      <w:bookmarkStart w:id="1129" w:name="_Toc13504741"/>
      <w:bookmarkStart w:id="1130" w:name="_Toc13504857"/>
      <w:bookmarkStart w:id="1131" w:name="_Toc13556350"/>
      <w:bookmarkStart w:id="1132" w:name="_Toc14337472"/>
      <w:bookmarkStart w:id="1133" w:name="_Toc13148408"/>
      <w:bookmarkStart w:id="1134" w:name="_Toc13150636"/>
      <w:bookmarkStart w:id="1135" w:name="_Toc13292021"/>
      <w:bookmarkStart w:id="1136" w:name="_Toc13504747"/>
      <w:bookmarkStart w:id="1137" w:name="_Toc13504863"/>
      <w:bookmarkStart w:id="1138" w:name="_Toc13556356"/>
      <w:bookmarkStart w:id="1139" w:name="_Toc14337478"/>
      <w:bookmarkStart w:id="1140" w:name="_Toc13148409"/>
      <w:bookmarkStart w:id="1141" w:name="_Toc13150637"/>
      <w:bookmarkStart w:id="1142" w:name="_Toc13292022"/>
      <w:bookmarkStart w:id="1143" w:name="_Toc13504748"/>
      <w:bookmarkStart w:id="1144" w:name="_Toc13504864"/>
      <w:bookmarkStart w:id="1145" w:name="_Toc13556357"/>
      <w:bookmarkStart w:id="1146" w:name="_Toc14337479"/>
      <w:bookmarkStart w:id="1147" w:name="_Toc13148411"/>
      <w:bookmarkStart w:id="1148" w:name="_Toc13150639"/>
      <w:bookmarkStart w:id="1149" w:name="_Toc13292024"/>
      <w:bookmarkStart w:id="1150" w:name="_Toc13504750"/>
      <w:bookmarkStart w:id="1151" w:name="_Toc13504866"/>
      <w:bookmarkStart w:id="1152" w:name="_Toc13556359"/>
      <w:bookmarkStart w:id="1153" w:name="_Toc14337481"/>
      <w:bookmarkStart w:id="1154" w:name="_Toc13148412"/>
      <w:bookmarkStart w:id="1155" w:name="_Toc13150640"/>
      <w:bookmarkStart w:id="1156" w:name="_Toc13292025"/>
      <w:bookmarkStart w:id="1157" w:name="_Toc13504751"/>
      <w:bookmarkStart w:id="1158" w:name="_Toc13504867"/>
      <w:bookmarkStart w:id="1159" w:name="_Toc13556360"/>
      <w:bookmarkStart w:id="1160" w:name="_Toc14337482"/>
      <w:bookmarkStart w:id="1161" w:name="_Toc13148413"/>
      <w:bookmarkStart w:id="1162" w:name="_Toc13150641"/>
      <w:bookmarkStart w:id="1163" w:name="_Toc13292026"/>
      <w:bookmarkStart w:id="1164" w:name="_Toc13504752"/>
      <w:bookmarkStart w:id="1165" w:name="_Toc13504868"/>
      <w:bookmarkStart w:id="1166" w:name="_Toc13556361"/>
      <w:bookmarkStart w:id="1167" w:name="_Toc14337483"/>
      <w:bookmarkStart w:id="1168" w:name="_Toc38438236"/>
      <w:bookmarkStart w:id="1169" w:name="_Toc38438573"/>
      <w:bookmarkStart w:id="1170" w:name="_Toc38438910"/>
      <w:bookmarkStart w:id="1171" w:name="_Toc38439247"/>
      <w:bookmarkStart w:id="1172" w:name="_Toc38439584"/>
      <w:bookmarkStart w:id="1173" w:name="_Toc38439921"/>
      <w:bookmarkStart w:id="1174" w:name="_Toc38440258"/>
      <w:bookmarkStart w:id="1175" w:name="_Toc38440595"/>
      <w:bookmarkStart w:id="1176" w:name="_Toc38440794"/>
      <w:bookmarkStart w:id="1177" w:name="_Toc38441127"/>
      <w:bookmarkStart w:id="1178" w:name="_Toc38441459"/>
      <w:bookmarkStart w:id="1179" w:name="_Toc38441791"/>
      <w:bookmarkStart w:id="1180" w:name="_Toc38442119"/>
      <w:bookmarkStart w:id="1181" w:name="_Toc38442451"/>
      <w:bookmarkStart w:id="1182" w:name="_Toc38442783"/>
      <w:bookmarkStart w:id="1183" w:name="_Toc38443114"/>
      <w:bookmarkStart w:id="1184" w:name="_Toc38443445"/>
      <w:bookmarkStart w:id="1185" w:name="_Toc38443776"/>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7228CC" w:rsidRPr="00F17515" w:rsidRDefault="007228CC" w:rsidP="0071223F">
      <w:pPr>
        <w:snapToGrid w:val="0"/>
        <w:spacing w:line="360" w:lineRule="auto"/>
        <w:ind w:firstLine="640"/>
        <w:rPr>
          <w:rFonts w:asciiTheme="minorEastAsia" w:eastAsiaTheme="minorEastAsia" w:hAnsiTheme="minorEastAsia"/>
        </w:rPr>
      </w:pPr>
    </w:p>
    <w:p w:rsidR="007228CC" w:rsidRPr="00F17515" w:rsidRDefault="007228CC" w:rsidP="00941EC8">
      <w:pPr>
        <w:pStyle w:val="1"/>
        <w:numPr>
          <w:ilvl w:val="0"/>
          <w:numId w:val="17"/>
        </w:numPr>
        <w:snapToGrid w:val="0"/>
        <w:spacing w:beforeLines="0" w:afterLines="0" w:line="360" w:lineRule="auto"/>
        <w:ind w:firstLineChars="0"/>
        <w:rPr>
          <w:rFonts w:asciiTheme="minorEastAsia" w:eastAsiaTheme="minorEastAsia" w:hAnsiTheme="minorEastAsia"/>
        </w:rPr>
        <w:sectPr w:rsidR="007228CC" w:rsidRPr="00F17515" w:rsidSect="00DE4B5E">
          <w:pgSz w:w="11906" w:h="16838" w:code="9"/>
          <w:pgMar w:top="1440" w:right="1800" w:bottom="1440" w:left="1800" w:header="851" w:footer="992" w:gutter="0"/>
          <w:cols w:space="425"/>
          <w:docGrid w:type="lines" w:linePitch="312"/>
        </w:sectPr>
      </w:pPr>
      <w:bookmarkStart w:id="1186" w:name="_Toc169345027"/>
      <w:bookmarkStart w:id="1187" w:name="_Toc211920228"/>
      <w:bookmarkStart w:id="1188" w:name="_Toc211927757"/>
      <w:bookmarkStart w:id="1189" w:name="_Toc40511576"/>
    </w:p>
    <w:p w:rsidR="007228CC" w:rsidRPr="00F17515" w:rsidRDefault="007228CC" w:rsidP="00DB15B5">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1190" w:name="_Toc41556871"/>
      <w:r w:rsidRPr="00F17515">
        <w:rPr>
          <w:rFonts w:asciiTheme="minorEastAsia" w:eastAsiaTheme="minorEastAsia" w:hAnsiTheme="minorEastAsia" w:hint="eastAsia"/>
          <w:b/>
        </w:rPr>
        <w:lastRenderedPageBreak/>
        <w:t>基金托管协议的内容摘要</w:t>
      </w:r>
      <w:bookmarkEnd w:id="1190"/>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sz w:val="24"/>
        </w:rPr>
      </w:pPr>
      <w:bookmarkStart w:id="1191" w:name="_Toc41556872"/>
      <w:r w:rsidRPr="00F17515">
        <w:rPr>
          <w:rFonts w:asciiTheme="minorEastAsia" w:eastAsiaTheme="minorEastAsia" w:hAnsiTheme="minorEastAsia" w:hint="eastAsia"/>
          <w:bCs/>
        </w:rPr>
        <w:t>（一）托管协议当事人</w:t>
      </w:r>
      <w:bookmarkEnd w:id="1186"/>
      <w:bookmarkEnd w:id="1187"/>
      <w:bookmarkEnd w:id="1188"/>
      <w:bookmarkEnd w:id="1191"/>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bookmarkStart w:id="1192" w:name="_Toc211920229"/>
      <w:r w:rsidRPr="00F17515">
        <w:rPr>
          <w:rFonts w:asciiTheme="minorEastAsia" w:eastAsiaTheme="minorEastAsia" w:hAnsiTheme="minorEastAsia" w:cs="Arial" w:hint="eastAsia"/>
          <w:szCs w:val="21"/>
        </w:rPr>
        <w:t>1、</w:t>
      </w:r>
      <w:r w:rsidR="007228CC" w:rsidRPr="00F17515">
        <w:rPr>
          <w:rFonts w:asciiTheme="minorEastAsia" w:eastAsiaTheme="minorEastAsia" w:hAnsiTheme="minorEastAsia" w:cs="Arial" w:hint="eastAsia"/>
          <w:szCs w:val="21"/>
        </w:rPr>
        <w:t>基金管理人</w:t>
      </w:r>
      <w:bookmarkEnd w:id="1192"/>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名称：易方达基金管理有限公司</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注册地址：</w:t>
      </w:r>
      <w:r w:rsidR="00F600E2" w:rsidRPr="00F17515">
        <w:rPr>
          <w:rFonts w:asciiTheme="minorEastAsia" w:eastAsiaTheme="minorEastAsia" w:hAnsiTheme="minorEastAsia" w:hint="eastAsia"/>
          <w:szCs w:val="21"/>
        </w:rPr>
        <w:t>广东省珠海市横琴新区宝华路6号105室-42891（集中办公区）</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办公地址：</w:t>
      </w:r>
      <w:r w:rsidRPr="00F17515">
        <w:rPr>
          <w:rFonts w:asciiTheme="minorEastAsia" w:eastAsiaTheme="minorEastAsia" w:hAnsiTheme="minorEastAsia" w:hint="eastAsia"/>
          <w:kern w:val="0"/>
          <w:szCs w:val="21"/>
        </w:rPr>
        <w:t>广州市</w:t>
      </w:r>
      <w:r w:rsidR="001E4DE9" w:rsidRPr="00F17515">
        <w:rPr>
          <w:rFonts w:asciiTheme="minorEastAsia" w:eastAsiaTheme="minorEastAsia" w:hAnsiTheme="minorEastAsia" w:hint="eastAsia"/>
          <w:kern w:val="0"/>
          <w:szCs w:val="21"/>
        </w:rPr>
        <w:t>天河区珠江新城珠江东路30号广州银行大厦40-43楼</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法定代表人：</w:t>
      </w:r>
      <w:r w:rsidR="00C45C67" w:rsidRPr="00F17515">
        <w:rPr>
          <w:rFonts w:asciiTheme="minorEastAsia" w:eastAsiaTheme="minorEastAsia" w:hAnsiTheme="minorEastAsia" w:hint="eastAsia"/>
          <w:kern w:val="0"/>
          <w:szCs w:val="21"/>
        </w:rPr>
        <w:t>刘晓艳</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成立日期：</w:t>
      </w:r>
      <w:r w:rsidRPr="00F17515">
        <w:rPr>
          <w:rStyle w:val="read"/>
          <w:rFonts w:asciiTheme="minorEastAsia" w:eastAsiaTheme="minorEastAsia" w:hAnsiTheme="minorEastAsia" w:cs="Arial" w:hint="eastAsia"/>
          <w:szCs w:val="21"/>
        </w:rPr>
        <w:t>2001年4月17日</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批准设立机关及批准设立文号：</w:t>
      </w:r>
      <w:r w:rsidR="00276BDF" w:rsidRPr="00F17515">
        <w:rPr>
          <w:rFonts w:asciiTheme="minorEastAsia" w:eastAsiaTheme="minorEastAsia" w:hAnsiTheme="minorEastAsia" w:cs="Arial" w:hint="eastAsia"/>
          <w:szCs w:val="21"/>
        </w:rPr>
        <w:t>中国证券监督管理委员会</w:t>
      </w:r>
      <w:r w:rsidRPr="00F17515">
        <w:rPr>
          <w:rFonts w:asciiTheme="minorEastAsia" w:eastAsiaTheme="minorEastAsia" w:hAnsiTheme="minorEastAsia" w:cs="Arial" w:hint="eastAsia"/>
          <w:szCs w:val="21"/>
        </w:rPr>
        <w:t>，证监基金字</w:t>
      </w:r>
      <w:r w:rsidRPr="00F17515">
        <w:rPr>
          <w:rStyle w:val="read"/>
          <w:rFonts w:asciiTheme="minorEastAsia" w:eastAsiaTheme="minorEastAsia" w:hAnsiTheme="minorEastAsia" w:cs="Arial" w:hint="eastAsia"/>
          <w:szCs w:val="21"/>
        </w:rPr>
        <w:t>[2001]4</w:t>
      </w:r>
      <w:r w:rsidRPr="00F17515">
        <w:rPr>
          <w:rFonts w:asciiTheme="minorEastAsia" w:eastAsiaTheme="minorEastAsia" w:hAnsiTheme="minorEastAsia" w:cs="Arial" w:hint="eastAsia"/>
          <w:szCs w:val="21"/>
        </w:rPr>
        <w:t>号</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组织形式：</w:t>
      </w:r>
      <w:r w:rsidRPr="00F17515">
        <w:rPr>
          <w:rFonts w:asciiTheme="minorEastAsia" w:eastAsiaTheme="minorEastAsia" w:hAnsiTheme="minorEastAsia" w:hint="eastAsia"/>
          <w:kern w:val="0"/>
          <w:szCs w:val="21"/>
        </w:rPr>
        <w:t>有限责任公司</w:t>
      </w:r>
    </w:p>
    <w:p w:rsidR="007228CC" w:rsidRPr="00F17515" w:rsidRDefault="000D0F2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注册资本：13,244.2万元人民币</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存续期间：</w:t>
      </w:r>
      <w:r w:rsidRPr="00F17515">
        <w:rPr>
          <w:rFonts w:asciiTheme="minorEastAsia" w:eastAsiaTheme="minorEastAsia" w:hAnsiTheme="minorEastAsia" w:hint="eastAsia"/>
          <w:kern w:val="0"/>
          <w:szCs w:val="21"/>
        </w:rPr>
        <w:t>持续经营</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经营范围：</w:t>
      </w:r>
      <w:r w:rsidR="00F600E2" w:rsidRPr="00F17515">
        <w:rPr>
          <w:rFonts w:asciiTheme="minorEastAsia" w:eastAsiaTheme="minorEastAsia" w:hAnsiTheme="minorEastAsia" w:hint="eastAsia"/>
          <w:kern w:val="0"/>
          <w:szCs w:val="21"/>
        </w:rPr>
        <w:t>公开募集证券投资基金管理、基金销售、特定客户资产管理</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bookmarkStart w:id="1193" w:name="_Toc211920230"/>
      <w:r w:rsidRPr="00F17515">
        <w:rPr>
          <w:rFonts w:asciiTheme="minorEastAsia" w:eastAsiaTheme="minorEastAsia" w:hAnsiTheme="minorEastAsia" w:cs="Arial" w:hint="eastAsia"/>
          <w:szCs w:val="21"/>
        </w:rPr>
        <w:t>2、</w:t>
      </w:r>
      <w:r w:rsidR="007228CC" w:rsidRPr="00F17515">
        <w:rPr>
          <w:rFonts w:asciiTheme="minorEastAsia" w:eastAsiaTheme="minorEastAsia" w:hAnsiTheme="minorEastAsia" w:cs="Arial" w:hint="eastAsia"/>
          <w:szCs w:val="21"/>
        </w:rPr>
        <w:t>基金托管人</w:t>
      </w:r>
      <w:bookmarkEnd w:id="1193"/>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名称：中国建设银行股份有限公司(简称：中国建设银行)</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住所：北京市西城区金融大街25号</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办公地址：北京市西城区闹市口大街1号院1号楼</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邮政编码：100033</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法定代表人：</w:t>
      </w:r>
      <w:r w:rsidR="002A71F6" w:rsidRPr="00F17515">
        <w:rPr>
          <w:rFonts w:asciiTheme="minorEastAsia" w:eastAsiaTheme="minorEastAsia" w:hAnsiTheme="minorEastAsia" w:hint="eastAsia"/>
          <w:szCs w:val="21"/>
        </w:rPr>
        <w:t>田国立</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成立日期：2004年09月17日</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基金托管业务批准文号：中国证监会证监基字[1998</w:t>
      </w:r>
      <w:bookmarkStart w:id="1194" w:name="OLE_LINK3"/>
      <w:r w:rsidRPr="00F17515">
        <w:rPr>
          <w:rFonts w:asciiTheme="minorEastAsia" w:eastAsiaTheme="minorEastAsia" w:hAnsiTheme="minorEastAsia" w:cs="Arial" w:hint="eastAsia"/>
          <w:szCs w:val="21"/>
        </w:rPr>
        <w:t>]</w:t>
      </w:r>
      <w:bookmarkEnd w:id="1194"/>
      <w:r w:rsidRPr="00F17515">
        <w:rPr>
          <w:rFonts w:asciiTheme="minorEastAsia" w:eastAsiaTheme="minorEastAsia" w:hAnsiTheme="minorEastAsia" w:cs="Arial" w:hint="eastAsia"/>
          <w:szCs w:val="21"/>
        </w:rPr>
        <w:t>12号</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组织形式：股份有限公司</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注册资本：</w:t>
      </w:r>
      <w:r w:rsidR="00842B92" w:rsidRPr="00F17515">
        <w:rPr>
          <w:rFonts w:asciiTheme="minorEastAsia" w:eastAsiaTheme="minorEastAsia" w:hAnsiTheme="minorEastAsia" w:hint="eastAsia"/>
          <w:szCs w:val="21"/>
        </w:rPr>
        <w:t>贰仟伍佰亿壹仟零玖拾柒万柒仟肆佰捌拾陆元整</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存续期间：持续经营</w:t>
      </w:r>
    </w:p>
    <w:p w:rsidR="007228CC" w:rsidRPr="00F17515" w:rsidRDefault="007228CC" w:rsidP="0071223F">
      <w:pPr>
        <w:tabs>
          <w:tab w:val="left" w:pos="540"/>
        </w:tabs>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bCs/>
        </w:rPr>
      </w:pPr>
      <w:bookmarkStart w:id="1195" w:name="_Toc169345028"/>
      <w:bookmarkStart w:id="1196" w:name="_Toc211920231"/>
      <w:bookmarkStart w:id="1197" w:name="_Toc211927758"/>
      <w:bookmarkStart w:id="1198" w:name="_Toc41556873"/>
      <w:r w:rsidRPr="00F17515">
        <w:rPr>
          <w:rFonts w:asciiTheme="minorEastAsia" w:eastAsiaTheme="minorEastAsia" w:hAnsiTheme="minorEastAsia" w:hint="eastAsia"/>
          <w:bCs/>
        </w:rPr>
        <w:t>（二）基金托管人对基金管理人的业务监督和核查</w:t>
      </w:r>
      <w:bookmarkEnd w:id="1195"/>
      <w:bookmarkEnd w:id="1196"/>
      <w:bookmarkEnd w:id="1197"/>
      <w:bookmarkEnd w:id="1198"/>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w:t>
      </w:r>
      <w:r w:rsidR="007228CC" w:rsidRPr="00F17515">
        <w:rPr>
          <w:rFonts w:asciiTheme="minorEastAsia" w:eastAsiaTheme="minorEastAsia" w:hAnsiTheme="minorEastAsia" w:cs="Arial" w:hint="eastAsia"/>
          <w:szCs w:val="21"/>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w:t>
      </w:r>
      <w:r w:rsidR="007228CC" w:rsidRPr="00F17515">
        <w:rPr>
          <w:rFonts w:asciiTheme="minorEastAsia" w:eastAsiaTheme="minorEastAsia" w:hAnsiTheme="minorEastAsia" w:cs="Arial" w:hint="eastAsia"/>
          <w:szCs w:val="21"/>
        </w:rPr>
        <w:lastRenderedPageBreak/>
        <w:t>实际投资是否符合基金合同关于证券选择标准的约定进行监督，对存在疑义的事项进行核查。</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本基金的投资范围如下：</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szCs w:val="21"/>
        </w:rPr>
        <w:t>本基金</w:t>
      </w:r>
      <w:r w:rsidRPr="00F17515">
        <w:rPr>
          <w:rFonts w:asciiTheme="minorEastAsia" w:eastAsiaTheme="minorEastAsia" w:hAnsiTheme="minorEastAsia" w:hint="eastAsia"/>
          <w:szCs w:val="21"/>
        </w:rPr>
        <w:t>的投资范围为</w:t>
      </w:r>
      <w:r w:rsidRPr="00F17515">
        <w:rPr>
          <w:rFonts w:asciiTheme="minorEastAsia" w:eastAsiaTheme="minorEastAsia" w:hAnsiTheme="minorEastAsia"/>
          <w:szCs w:val="21"/>
        </w:rPr>
        <w:t>具有良好流动性的</w:t>
      </w:r>
      <w:r w:rsidRPr="00F17515">
        <w:rPr>
          <w:rFonts w:asciiTheme="minorEastAsia" w:eastAsiaTheme="minorEastAsia" w:hAnsiTheme="minorEastAsia" w:hint="eastAsia"/>
          <w:szCs w:val="21"/>
        </w:rPr>
        <w:t>金融工具</w:t>
      </w:r>
      <w:r w:rsidRPr="00F17515">
        <w:rPr>
          <w:rFonts w:asciiTheme="minorEastAsia" w:eastAsiaTheme="minorEastAsia" w:hAnsiTheme="minorEastAsia"/>
          <w:szCs w:val="21"/>
        </w:rPr>
        <w:t>，包括</w:t>
      </w:r>
      <w:r w:rsidRPr="00F17515">
        <w:rPr>
          <w:rFonts w:asciiTheme="minorEastAsia" w:eastAsiaTheme="minorEastAsia" w:hAnsiTheme="minorEastAsia" w:hint="eastAsia"/>
          <w:szCs w:val="21"/>
        </w:rPr>
        <w:t>债券</w:t>
      </w:r>
      <w:r w:rsidRPr="00F17515">
        <w:rPr>
          <w:rFonts w:asciiTheme="minorEastAsia" w:eastAsiaTheme="minorEastAsia" w:hAnsiTheme="minorEastAsia"/>
          <w:szCs w:val="21"/>
        </w:rPr>
        <w:t>回购、央行票据</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国债</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金融债、企业债、</w:t>
      </w:r>
      <w:r w:rsidRPr="00F17515">
        <w:rPr>
          <w:rFonts w:asciiTheme="minorEastAsia" w:eastAsiaTheme="minorEastAsia" w:hAnsiTheme="minorEastAsia" w:hint="eastAsia"/>
          <w:szCs w:val="21"/>
        </w:rPr>
        <w:t>公司债、</w:t>
      </w:r>
      <w:r w:rsidRPr="00F17515">
        <w:rPr>
          <w:rFonts w:asciiTheme="minorEastAsia" w:eastAsiaTheme="minorEastAsia" w:hAnsiTheme="minorEastAsia"/>
          <w:szCs w:val="21"/>
        </w:rPr>
        <w:t>可转换债券</w:t>
      </w:r>
      <w:r w:rsidRPr="00F17515">
        <w:rPr>
          <w:rFonts w:asciiTheme="minorEastAsia" w:eastAsiaTheme="minorEastAsia" w:hAnsiTheme="minorEastAsia" w:hint="eastAsia"/>
          <w:szCs w:val="21"/>
        </w:rPr>
        <w:t>（含分离型可转换债券）</w:t>
      </w:r>
      <w:r w:rsidRPr="00F17515">
        <w:rPr>
          <w:rFonts w:asciiTheme="minorEastAsia" w:eastAsiaTheme="minorEastAsia" w:hAnsiTheme="minorEastAsia"/>
          <w:szCs w:val="21"/>
        </w:rPr>
        <w:t>、资产支持证券</w:t>
      </w:r>
      <w:r w:rsidRPr="00F17515">
        <w:rPr>
          <w:rFonts w:asciiTheme="minorEastAsia" w:eastAsiaTheme="minorEastAsia" w:hAnsiTheme="minorEastAsia" w:hint="eastAsia"/>
          <w:szCs w:val="21"/>
        </w:rPr>
        <w:t>、股票以及法律法规或中国证监会允许基金投资的其他金融工具。</w:t>
      </w:r>
      <w:r w:rsidRPr="00F17515">
        <w:rPr>
          <w:rFonts w:asciiTheme="minorEastAsia" w:eastAsiaTheme="minorEastAsia" w:hAnsiTheme="minorEastAsia"/>
          <w:szCs w:val="21"/>
        </w:rPr>
        <w:t>如法律法规或监管机构以后允许基金投资其他品种，基金管理人在履行适当程序后，可以将其纳入投资范围。</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本基金各类资产的投资比例范围为：债券等固定收益类资产的比例不低于基金资产的80%，其中，公司债、企业债、短期融资券、金融债等信用类固定收益品种不低于固定收益资产总值的50%，可转换债券不高于基金资产净值的30%，本基金持有的全部资产支持证券，其市值不得超过基金资产净值的</w:t>
      </w:r>
      <w:r w:rsidRPr="00F17515">
        <w:rPr>
          <w:rFonts w:asciiTheme="minorEastAsia" w:eastAsiaTheme="minorEastAsia" w:hAnsiTheme="minorEastAsia"/>
          <w:szCs w:val="21"/>
        </w:rPr>
        <w:t>20%</w:t>
      </w:r>
      <w:r w:rsidRPr="00F17515">
        <w:rPr>
          <w:rFonts w:asciiTheme="minorEastAsia" w:eastAsiaTheme="minorEastAsia" w:hAnsiTheme="minorEastAsia" w:hint="eastAsia"/>
          <w:szCs w:val="21"/>
        </w:rPr>
        <w:t>；股票等权益类品种不高于基金资产的20%；基金保留的现金以及到期日在一年以内的政府债券的比例合计不低于基金资产净值的5%</w:t>
      </w:r>
      <w:r w:rsidR="00F55E0F" w:rsidRPr="00F17515">
        <w:rPr>
          <w:rFonts w:asciiTheme="minorEastAsia" w:eastAsiaTheme="minorEastAsia" w:hAnsiTheme="minorEastAsia" w:hint="eastAsia"/>
          <w:szCs w:val="21"/>
        </w:rPr>
        <w:t>，现金不包括结算备付金、存出保证金、应收申购款等</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firstLineChars="225" w:firstLine="473"/>
        <w:rPr>
          <w:rFonts w:asciiTheme="minorEastAsia" w:eastAsiaTheme="minorEastAsia" w:hAnsiTheme="minorEastAsia"/>
          <w:szCs w:val="21"/>
        </w:rPr>
      </w:pPr>
      <w:r w:rsidRPr="00F17515">
        <w:rPr>
          <w:rFonts w:asciiTheme="minorEastAsia" w:eastAsiaTheme="minorEastAsia" w:hAnsiTheme="minorEastAsia" w:hint="eastAsia"/>
          <w:szCs w:val="21"/>
        </w:rPr>
        <w:t>此处信用类固定收益品种是指除了国债和央行票据等并非由国家信用担保的固定收益证券品种。</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2、</w:t>
      </w:r>
      <w:r w:rsidR="007228CC" w:rsidRPr="00F17515">
        <w:rPr>
          <w:rFonts w:asciiTheme="minorEastAsia" w:eastAsiaTheme="minorEastAsia" w:hAnsiTheme="minorEastAsia" w:hint="eastAsia"/>
          <w:szCs w:val="21"/>
        </w:rPr>
        <w:t>基金托管人根据有关法律法规的规定及基金合同的约定，对基金投资、融资比例进行监督。基金托管人按下述比例和调整期限进行监督：</w:t>
      </w:r>
    </w:p>
    <w:p w:rsidR="00F55E0F" w:rsidRPr="00F17515" w:rsidRDefault="007228CC"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1）债券等固定收益资产的比例不低于基金资产的80%，其中，公司债、企业债、短期融资券、金融债等信用品种不低于固定收益类投资总额的50%，且可转换债券不高于基金资产净值的30%；股票等权益类品种不高于基金资产的20%；</w:t>
      </w:r>
    </w:p>
    <w:p w:rsidR="007228CC" w:rsidRPr="00F17515" w:rsidRDefault="00F55E0F"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（2</w:t>
      </w:r>
      <w:r w:rsidRPr="00F17515">
        <w:rPr>
          <w:rFonts w:asciiTheme="minorEastAsia" w:eastAsiaTheme="minorEastAsia" w:hAnsiTheme="minorEastAsia"/>
          <w:szCs w:val="21"/>
        </w:rPr>
        <w:t>）</w:t>
      </w:r>
      <w:r w:rsidR="007228CC" w:rsidRPr="00F17515">
        <w:rPr>
          <w:rFonts w:asciiTheme="minorEastAsia" w:eastAsiaTheme="minorEastAsia" w:hAnsiTheme="minorEastAsia" w:hint="eastAsia"/>
          <w:szCs w:val="21"/>
        </w:rPr>
        <w:t>基金保留的现金以及到期日在一年以内的政府债券的比例合计不低于基金资产净值的</w:t>
      </w:r>
      <w:r w:rsidR="007228CC" w:rsidRPr="00F17515">
        <w:rPr>
          <w:rFonts w:asciiTheme="minorEastAsia" w:eastAsiaTheme="minorEastAsia" w:hAnsiTheme="minorEastAsia"/>
          <w:szCs w:val="21"/>
        </w:rPr>
        <w:t>5%</w:t>
      </w:r>
      <w:r w:rsidRPr="00F17515">
        <w:rPr>
          <w:rFonts w:asciiTheme="minorEastAsia" w:eastAsiaTheme="minorEastAsia" w:hAnsiTheme="minorEastAsia" w:hint="eastAsia"/>
          <w:szCs w:val="21"/>
        </w:rPr>
        <w:t>，现金不包括结算备付金、存出保证金、应收申购款等</w:t>
      </w:r>
      <w:r w:rsidR="007228CC" w:rsidRPr="00F17515">
        <w:rPr>
          <w:rFonts w:asciiTheme="minorEastAsia" w:eastAsiaTheme="minorEastAsia" w:hAnsiTheme="minorEastAsia"/>
          <w:szCs w:val="21"/>
        </w:rPr>
        <w:t>；</w:t>
      </w:r>
    </w:p>
    <w:p w:rsidR="007228CC" w:rsidRPr="00F17515" w:rsidRDefault="007228CC"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w:t>
      </w:r>
      <w:r w:rsidR="00F55E0F" w:rsidRPr="00F17515">
        <w:rPr>
          <w:rFonts w:asciiTheme="minorEastAsia" w:eastAsiaTheme="minorEastAsia" w:hAnsiTheme="minorEastAsia"/>
          <w:szCs w:val="21"/>
        </w:rPr>
        <w:t>3</w:t>
      </w:r>
      <w:r w:rsidRPr="00F17515">
        <w:rPr>
          <w:rFonts w:asciiTheme="minorEastAsia" w:eastAsiaTheme="minorEastAsia" w:hAnsiTheme="minorEastAsia" w:hint="eastAsia"/>
          <w:szCs w:val="21"/>
        </w:rPr>
        <w:t>）本基金投资于同一公司发行的股票不得超过基金资产净值的10%；</w:t>
      </w:r>
    </w:p>
    <w:p w:rsidR="007228CC" w:rsidRPr="00F17515" w:rsidRDefault="007228CC"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w:t>
      </w:r>
      <w:r w:rsidR="00F55E0F" w:rsidRPr="00F17515">
        <w:rPr>
          <w:rFonts w:asciiTheme="minorEastAsia" w:eastAsiaTheme="minorEastAsia" w:hAnsiTheme="minorEastAsia"/>
          <w:szCs w:val="21"/>
        </w:rPr>
        <w:t>4</w:t>
      </w:r>
      <w:r w:rsidRPr="00F17515">
        <w:rPr>
          <w:rFonts w:asciiTheme="minorEastAsia" w:eastAsiaTheme="minorEastAsia" w:hAnsiTheme="minorEastAsia" w:hint="eastAsia"/>
          <w:szCs w:val="21"/>
        </w:rPr>
        <w:t>）本基金投资于同一公司发行的债券不得超过基金资产净值的10%；</w:t>
      </w:r>
    </w:p>
    <w:p w:rsidR="007228CC" w:rsidRPr="00F17515" w:rsidRDefault="007228CC"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w:t>
      </w:r>
      <w:r w:rsidR="00F55E0F" w:rsidRPr="00F17515">
        <w:rPr>
          <w:rFonts w:asciiTheme="minorEastAsia" w:eastAsiaTheme="minorEastAsia" w:hAnsiTheme="minorEastAsia"/>
          <w:szCs w:val="21"/>
        </w:rPr>
        <w:t>5</w:t>
      </w:r>
      <w:r w:rsidRPr="00F17515">
        <w:rPr>
          <w:rFonts w:asciiTheme="minorEastAsia" w:eastAsiaTheme="minorEastAsia" w:hAnsiTheme="minorEastAsia" w:hint="eastAsia"/>
          <w:szCs w:val="21"/>
        </w:rPr>
        <w:t>）本基金持有的全部权证，其市值不得超过基金资产净值的3％；</w:t>
      </w:r>
    </w:p>
    <w:p w:rsidR="007228CC" w:rsidRPr="00F17515" w:rsidRDefault="007228CC"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w:t>
      </w:r>
      <w:r w:rsidR="00F55E0F" w:rsidRPr="00F17515">
        <w:rPr>
          <w:rFonts w:asciiTheme="minorEastAsia" w:eastAsiaTheme="minorEastAsia" w:hAnsiTheme="minorEastAsia"/>
          <w:szCs w:val="21"/>
        </w:rPr>
        <w:t>6</w:t>
      </w:r>
      <w:r w:rsidRPr="00F17515">
        <w:rPr>
          <w:rFonts w:asciiTheme="minorEastAsia" w:eastAsiaTheme="minorEastAsia" w:hAnsiTheme="minorEastAsia" w:hint="eastAsia"/>
          <w:szCs w:val="21"/>
        </w:rPr>
        <w:t>）本基金持有的同一（指同一信用级别）资产支持证券的比例，不得超过该资产支持证券规模的</w:t>
      </w:r>
      <w:r w:rsidRPr="00F17515">
        <w:rPr>
          <w:rFonts w:asciiTheme="minorEastAsia" w:eastAsiaTheme="minorEastAsia" w:hAnsiTheme="minorEastAsia"/>
          <w:szCs w:val="21"/>
        </w:rPr>
        <w:t>10%</w:t>
      </w:r>
      <w:r w:rsidRPr="00F17515">
        <w:rPr>
          <w:rFonts w:asciiTheme="minorEastAsia" w:eastAsiaTheme="minorEastAsia" w:hAnsiTheme="minorEastAsia" w:hint="eastAsia"/>
          <w:szCs w:val="21"/>
        </w:rPr>
        <w:t>；本基金投资于同一原始权益人的各类资产支持证券的比例，不得超过基金资产净值的</w:t>
      </w:r>
      <w:r w:rsidRPr="00F17515">
        <w:rPr>
          <w:rFonts w:asciiTheme="minorEastAsia" w:eastAsiaTheme="minorEastAsia" w:hAnsiTheme="minorEastAsia"/>
          <w:szCs w:val="21"/>
        </w:rPr>
        <w:t>10%</w:t>
      </w:r>
      <w:r w:rsidRPr="00F17515">
        <w:rPr>
          <w:rFonts w:asciiTheme="minorEastAsia" w:eastAsiaTheme="minorEastAsia" w:hAnsiTheme="minorEastAsia" w:hint="eastAsia"/>
          <w:szCs w:val="21"/>
        </w:rPr>
        <w:t>。；本基金持有的全部资产支持证券，其市值不得超过基金资产净值的</w:t>
      </w:r>
      <w:r w:rsidRPr="00F17515">
        <w:rPr>
          <w:rFonts w:asciiTheme="minorEastAsia" w:eastAsiaTheme="minorEastAsia" w:hAnsiTheme="minorEastAsia"/>
          <w:szCs w:val="21"/>
        </w:rPr>
        <w:t>20%</w:t>
      </w:r>
      <w:r w:rsidRPr="00F17515">
        <w:rPr>
          <w:rFonts w:asciiTheme="minorEastAsia" w:eastAsiaTheme="minorEastAsia" w:hAnsiTheme="minorEastAsia" w:hint="eastAsia"/>
          <w:szCs w:val="21"/>
        </w:rPr>
        <w:t>；</w:t>
      </w:r>
    </w:p>
    <w:p w:rsidR="007228CC" w:rsidRPr="00F17515" w:rsidRDefault="007228CC"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w:t>
      </w:r>
      <w:r w:rsidR="00F55E0F" w:rsidRPr="00F17515">
        <w:rPr>
          <w:rFonts w:asciiTheme="minorEastAsia" w:eastAsiaTheme="minorEastAsia" w:hAnsiTheme="minorEastAsia"/>
          <w:szCs w:val="21"/>
        </w:rPr>
        <w:t>7</w:t>
      </w:r>
      <w:r w:rsidRPr="00F17515">
        <w:rPr>
          <w:rFonts w:asciiTheme="minorEastAsia" w:eastAsiaTheme="minorEastAsia" w:hAnsiTheme="minorEastAsia" w:hint="eastAsia"/>
          <w:szCs w:val="21"/>
        </w:rPr>
        <w:t>）本基金在全国银行间债券市场债券正回购的资金余额不得超过基金资产净值的40%；</w:t>
      </w:r>
    </w:p>
    <w:p w:rsidR="007228CC" w:rsidRPr="00F17515" w:rsidRDefault="007228CC"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w:t>
      </w:r>
      <w:r w:rsidR="00F55E0F" w:rsidRPr="00F17515">
        <w:rPr>
          <w:rFonts w:asciiTheme="minorEastAsia" w:eastAsiaTheme="minorEastAsia" w:hAnsiTheme="minorEastAsia"/>
          <w:szCs w:val="21"/>
        </w:rPr>
        <w:t>8</w:t>
      </w:r>
      <w:r w:rsidRPr="00F17515">
        <w:rPr>
          <w:rFonts w:asciiTheme="minorEastAsia" w:eastAsiaTheme="minorEastAsia" w:hAnsiTheme="minorEastAsia" w:hint="eastAsia"/>
          <w:szCs w:val="21"/>
        </w:rPr>
        <w:t>）</w:t>
      </w:r>
      <w:r w:rsidRPr="00F17515">
        <w:rPr>
          <w:rFonts w:asciiTheme="minorEastAsia" w:eastAsiaTheme="minorEastAsia" w:hAnsiTheme="minorEastAsia"/>
          <w:szCs w:val="21"/>
        </w:rPr>
        <w:t>本基金参与股票发行申购，所申报的金额不超过本基金的总资产，所申报的股票数量不超过拟发行股票公司本次发行股票的总量；</w:t>
      </w:r>
    </w:p>
    <w:p w:rsidR="00F55E0F" w:rsidRPr="00F17515" w:rsidRDefault="007228CC"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w:t>
      </w:r>
      <w:r w:rsidR="00F55E0F" w:rsidRPr="00F17515">
        <w:rPr>
          <w:rFonts w:asciiTheme="minorEastAsia" w:eastAsiaTheme="minorEastAsia" w:hAnsiTheme="minorEastAsia"/>
          <w:szCs w:val="21"/>
        </w:rPr>
        <w:t>9</w:t>
      </w:r>
      <w:r w:rsidRPr="00F17515">
        <w:rPr>
          <w:rFonts w:asciiTheme="minorEastAsia" w:eastAsiaTheme="minorEastAsia" w:hAnsiTheme="minorEastAsia" w:hint="eastAsia"/>
          <w:szCs w:val="21"/>
        </w:rPr>
        <w:t>）</w:t>
      </w:r>
      <w:r w:rsidR="00F55E0F" w:rsidRPr="00F17515">
        <w:rPr>
          <w:rFonts w:asciiTheme="minorEastAsia" w:eastAsiaTheme="minorEastAsia" w:hAnsiTheme="minorEastAsia" w:hint="eastAsia"/>
          <w:szCs w:val="21"/>
        </w:rPr>
        <w:t>本基金管理人管理的全部开放式基金持有一家上市公司发行的可流通股票，不得超过该上市公司可流通股票的15%；本基金管理人管理的全部投资组合持有一家上</w:t>
      </w:r>
      <w:r w:rsidR="00F55E0F" w:rsidRPr="00F17515">
        <w:rPr>
          <w:rFonts w:asciiTheme="minorEastAsia" w:eastAsiaTheme="minorEastAsia" w:hAnsiTheme="minorEastAsia" w:hint="eastAsia"/>
          <w:szCs w:val="21"/>
        </w:rPr>
        <w:lastRenderedPageBreak/>
        <w:t>市公司发行的可流通股票，不得超过该上市公司可流通股票的30%；</w:t>
      </w:r>
    </w:p>
    <w:p w:rsidR="00F55E0F" w:rsidRPr="00F17515" w:rsidRDefault="00F55E0F" w:rsidP="00F55E0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0）</w:t>
      </w:r>
      <w:r w:rsidRPr="00F17515">
        <w:rPr>
          <w:rFonts w:asciiTheme="minorEastAsia" w:eastAsiaTheme="minorEastAsia" w:hAnsiTheme="minorEastAsia" w:hint="eastAsia"/>
          <w:szCs w:val="21"/>
        </w:rPr>
        <w:t>本基金主动投资于流动性受限资产的市值合计不得超过该基金资产净值的15%。</w:t>
      </w:r>
    </w:p>
    <w:p w:rsidR="00F55E0F" w:rsidRPr="00F17515" w:rsidRDefault="00F55E0F" w:rsidP="00F55E0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F55E0F" w:rsidRPr="00F17515" w:rsidRDefault="00F55E0F" w:rsidP="00F55E0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1）</w:t>
      </w:r>
      <w:r w:rsidRPr="00F17515">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7228CC" w:rsidRPr="00F17515" w:rsidRDefault="00F55E0F" w:rsidP="0071223F">
      <w:pPr>
        <w:snapToGrid w:val="0"/>
        <w:spacing w:line="360" w:lineRule="auto"/>
        <w:ind w:left="540"/>
        <w:rPr>
          <w:rFonts w:asciiTheme="minorEastAsia" w:eastAsiaTheme="minorEastAsia" w:hAnsiTheme="minorEastAsia"/>
          <w:szCs w:val="21"/>
        </w:rPr>
      </w:pPr>
      <w:r w:rsidRPr="00F17515">
        <w:rPr>
          <w:rFonts w:asciiTheme="minorEastAsia" w:eastAsiaTheme="minorEastAsia" w:hAnsiTheme="minorEastAsia" w:hint="eastAsia"/>
          <w:szCs w:val="21"/>
        </w:rPr>
        <w:t>（1</w:t>
      </w:r>
      <w:r w:rsidRPr="00F17515">
        <w:rPr>
          <w:rFonts w:asciiTheme="minorEastAsia" w:eastAsiaTheme="minorEastAsia" w:hAnsiTheme="minorEastAsia"/>
          <w:szCs w:val="21"/>
        </w:rPr>
        <w:t>2）</w:t>
      </w:r>
      <w:r w:rsidR="007228CC" w:rsidRPr="00F17515">
        <w:rPr>
          <w:rFonts w:asciiTheme="minorEastAsia" w:eastAsiaTheme="minorEastAsia" w:hAnsiTheme="minorEastAsia" w:hint="eastAsia"/>
          <w:szCs w:val="21"/>
        </w:rPr>
        <w:t>中国证监会、中国人民银行规定的其他比例限制。</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如果法律法规对本基金合同约定投资组合比例限制进行变更的，以变更后的规定为准。</w:t>
      </w:r>
      <w:r w:rsidRPr="00F17515">
        <w:rPr>
          <w:rFonts w:asciiTheme="minorEastAsia" w:eastAsiaTheme="minorEastAsia" w:hAnsiTheme="minorEastAsia"/>
          <w:szCs w:val="21"/>
        </w:rPr>
        <w:t>法律法规或</w:t>
      </w:r>
      <w:r w:rsidRPr="00F17515">
        <w:rPr>
          <w:rFonts w:asciiTheme="minorEastAsia" w:eastAsiaTheme="minorEastAsia" w:hAnsiTheme="minorEastAsia" w:hint="eastAsia"/>
          <w:szCs w:val="21"/>
        </w:rPr>
        <w:t>监管部门取消</w:t>
      </w:r>
      <w:r w:rsidRPr="00F17515">
        <w:rPr>
          <w:rFonts w:asciiTheme="minorEastAsia" w:eastAsiaTheme="minorEastAsia" w:hAnsiTheme="minorEastAsia"/>
          <w:szCs w:val="21"/>
        </w:rPr>
        <w:t>上述限制，</w:t>
      </w:r>
      <w:r w:rsidRPr="00F17515">
        <w:rPr>
          <w:rFonts w:asciiTheme="minorEastAsia" w:eastAsiaTheme="minorEastAsia" w:hAnsiTheme="minorEastAsia" w:hint="eastAsia"/>
          <w:szCs w:val="21"/>
        </w:rPr>
        <w:t>如适用于本基金，则本基金投资不再受相关限制</w:t>
      </w:r>
      <w:r w:rsidRPr="00F17515">
        <w:rPr>
          <w:rFonts w:asciiTheme="minorEastAsia" w:eastAsiaTheme="minorEastAsia" w:hAnsiTheme="minorEastAsia"/>
          <w:szCs w:val="21"/>
        </w:rPr>
        <w:t>。</w:t>
      </w:r>
    </w:p>
    <w:p w:rsidR="007228CC" w:rsidRPr="00F17515" w:rsidRDefault="00F55E0F"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除上述（2）、（8）、（10）、（11）以外，</w:t>
      </w:r>
      <w:r w:rsidR="007228CC" w:rsidRPr="00F17515">
        <w:rPr>
          <w:rFonts w:asciiTheme="minorEastAsia" w:eastAsiaTheme="minorEastAsia" w:hAnsiTheme="minorEastAsia"/>
          <w:szCs w:val="21"/>
        </w:rPr>
        <w:t>因证券市场波动、上市公司合并、基金规模变动</w:t>
      </w:r>
      <w:r w:rsidR="007228CC" w:rsidRPr="00F17515">
        <w:rPr>
          <w:rFonts w:asciiTheme="minorEastAsia" w:eastAsiaTheme="minorEastAsia" w:hAnsiTheme="minorEastAsia" w:hint="eastAsia"/>
          <w:szCs w:val="21"/>
        </w:rPr>
        <w:t>、股权分置改革中支付对价</w:t>
      </w:r>
      <w:r w:rsidR="007228CC" w:rsidRPr="00F17515">
        <w:rPr>
          <w:rFonts w:asciiTheme="minorEastAsia" w:eastAsiaTheme="minorEastAsia" w:hAnsiTheme="minorEastAsia"/>
          <w:szCs w:val="21"/>
        </w:rPr>
        <w:t>等基金管理人之外的因素致使基金投资比例不符合上述</w:t>
      </w:r>
      <w:r w:rsidR="007228CC" w:rsidRPr="00F17515">
        <w:rPr>
          <w:rFonts w:asciiTheme="minorEastAsia" w:eastAsiaTheme="minorEastAsia" w:hAnsiTheme="minorEastAsia" w:hint="eastAsia"/>
          <w:szCs w:val="21"/>
        </w:rPr>
        <w:t>规定</w:t>
      </w:r>
      <w:r w:rsidR="007228CC" w:rsidRPr="00F17515">
        <w:rPr>
          <w:rFonts w:asciiTheme="minorEastAsia" w:eastAsiaTheme="minorEastAsia" w:hAnsiTheme="minorEastAsia"/>
          <w:szCs w:val="21"/>
        </w:rPr>
        <w:t>投资比例的，基金管理人应当在10个交易日内进行调整。</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对于因基金份额拆分、大比例分红等集中持续营销活动引起的基金净资产规模在10个交易日内增加10亿元以上的情形，而导致证券投资比例低于基金合同约定的，基金管理人履行相关程序后可将调整时限从10个交易日延长到3个月。法律法规如有变更，从其变更。</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szCs w:val="21"/>
        </w:rPr>
        <w:t>基金管理人应当自基金合同生效之日起6个月内使基金的投资组合比例符合基金合同的有关约定。</w:t>
      </w:r>
      <w:r w:rsidRPr="00F17515">
        <w:rPr>
          <w:rFonts w:asciiTheme="minorEastAsia" w:eastAsiaTheme="minorEastAsia" w:hAnsiTheme="minorEastAsia" w:hint="eastAsia"/>
          <w:szCs w:val="21"/>
        </w:rPr>
        <w:t>除投资资产配置比例外，基金托管人对基金的投资比例的监督与检查自本基金合同生效之日起开始。</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w:t>
      </w:r>
      <w:r w:rsidR="007228CC" w:rsidRPr="00F17515">
        <w:rPr>
          <w:rFonts w:asciiTheme="minorEastAsia" w:eastAsiaTheme="minorEastAsia" w:hAnsiTheme="minorEastAsia" w:cs="Arial" w:hint="eastAsia"/>
          <w:szCs w:val="21"/>
        </w:rPr>
        <w:t>基金托管人根据有关法律法规的规定及基金合同的约定，对本托管协议第十五条第九款基金投资禁止行为进行监督。基金托管人对基金从事的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w:t>
      </w:r>
      <w:r w:rsidR="007228CC" w:rsidRPr="00F17515">
        <w:rPr>
          <w:rFonts w:asciiTheme="minorEastAsia" w:eastAsiaTheme="minorEastAsia" w:hAnsiTheme="minorEastAsia" w:cs="Arial" w:hint="eastAsia"/>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负责监督基金管理人是否按事前提供的银行间债券市场交易对手名单进行交易。基金管理人可以每半年对银行间</w:t>
      </w:r>
      <w:r w:rsidR="007228CC" w:rsidRPr="00F17515">
        <w:rPr>
          <w:rFonts w:asciiTheme="minorEastAsia" w:eastAsiaTheme="minorEastAsia" w:hAnsiTheme="minorEastAsia" w:cs="Arial" w:hint="eastAsia"/>
          <w:szCs w:val="21"/>
        </w:rPr>
        <w:lastRenderedPageBreak/>
        <w:t>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基金管理人负责对交易对手的资信控制，按银</w:t>
      </w:r>
      <w:r w:rsidRPr="00F17515">
        <w:rPr>
          <w:rFonts w:asciiTheme="minorEastAsia" w:eastAsiaTheme="minorEastAsia" w:hAnsiTheme="minorEastAsia" w:hint="eastAsia"/>
          <w:szCs w:val="21"/>
        </w:rPr>
        <w:t>行间债券市场的交易规则进行交易，并负责解决因交易对手不履行合同而造成的纠纷及损失，如果基金托管人在运作中严格遵循了上述流程履行了监督职责，则对于由于交易对手资信风险引起的损失，不承担赔偿责任</w:t>
      </w:r>
      <w:r w:rsidRPr="00F17515">
        <w:rPr>
          <w:rFonts w:asciiTheme="minorEastAsia" w:eastAsiaTheme="minorEastAsia" w:hAnsiTheme="minorEastAsia" w:cs="Arial" w:hint="eastAsia"/>
          <w:szCs w:val="21"/>
        </w:rPr>
        <w:t>。如基金托管人发现基金管理人没有按照事先约定的交易对手进行交易时，基金托管人应及时提醒基金管理人撤销交易，基金管理人应出具书面说明明确撤销交易，如经提醒后基金管理人仍执行交易并造成基金资产损失的基金托管人不承担责任。</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正常情况下，基金管理人应在银行间债券市场交易成交后及时将银行间债券市场成交单和指令发至基金托管人并确认，特殊情况下，双方协商处理。</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5、</w:t>
      </w:r>
      <w:r w:rsidR="007228CC" w:rsidRPr="00F17515">
        <w:rPr>
          <w:rFonts w:asciiTheme="minorEastAsia" w:eastAsiaTheme="minorEastAsia" w:hAnsiTheme="minorEastAsia" w:hint="eastAsia"/>
          <w:szCs w:val="21"/>
        </w:rPr>
        <w:t>本基金投资流通受限证券，基金管理人应事先根据中国证监会相关规定，与基金托管人就相关事项签订补充协议，明确基金投资流通受限证券的比例。</w:t>
      </w:r>
      <w:r w:rsidR="007228CC" w:rsidRPr="00F17515">
        <w:rPr>
          <w:rFonts w:asciiTheme="minorEastAsia" w:eastAsiaTheme="minorEastAsia" w:hAnsiTheme="minorEastAsia" w:cs="Arial" w:hint="eastAsia"/>
          <w:szCs w:val="21"/>
        </w:rPr>
        <w:t>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6、</w:t>
      </w:r>
      <w:r w:rsidR="007228CC" w:rsidRPr="00F17515">
        <w:rPr>
          <w:rFonts w:asciiTheme="minorEastAsia" w:eastAsiaTheme="minorEastAsia" w:hAnsiTheme="minorEastAsia" w:cs="Arial"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7、</w:t>
      </w:r>
      <w:r w:rsidR="007228CC" w:rsidRPr="00F17515">
        <w:rPr>
          <w:rFonts w:asciiTheme="minorEastAsia" w:eastAsiaTheme="minorEastAsia" w:hAnsiTheme="minorEastAsia" w:cs="Arial" w:hint="eastAsia"/>
          <w:szCs w:val="21"/>
        </w:rPr>
        <w:t>基金托管人发现基金管理人的上述事项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8、</w:t>
      </w:r>
      <w:r w:rsidR="007228CC" w:rsidRPr="00F17515">
        <w:rPr>
          <w:rFonts w:asciiTheme="minorEastAsia" w:eastAsia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9、</w:t>
      </w:r>
      <w:r w:rsidR="007228CC" w:rsidRPr="00F17515">
        <w:rPr>
          <w:rFonts w:asciiTheme="minorEastAsia" w:eastAsiaTheme="minorEastAsia" w:hAnsiTheme="minorEastAsia" w:cs="Arial" w:hint="eastAsia"/>
          <w:szCs w:val="21"/>
        </w:rPr>
        <w:t>基金托管人发现基金管理人的投资指令违反有关法律法规规定或者违反《基金合同》约定的，应当拒绝执行，并应立即通知基金管理人；若基金托管人发现基金管理人依据交易</w:t>
      </w:r>
      <w:r w:rsidR="007228CC" w:rsidRPr="00F17515">
        <w:rPr>
          <w:rFonts w:asciiTheme="minorEastAsia" w:eastAsiaTheme="minorEastAsia" w:hAnsiTheme="minorEastAsia" w:cs="Arial" w:hint="eastAsia"/>
          <w:szCs w:val="21"/>
        </w:rPr>
        <w:lastRenderedPageBreak/>
        <w:t>程序已经生效的指令违反法律、行政法规和其他有关规定，或者违反基金合同约定的，应当立即通知基金管理人,由此造成的损失由基金管理人承担。</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10、</w:t>
      </w:r>
      <w:r w:rsidR="007228CC" w:rsidRPr="00F17515">
        <w:rPr>
          <w:rFonts w:asciiTheme="minorEastAsia" w:eastAsiaTheme="minorEastAsia" w:hAnsiTheme="minorEastAsia" w:cs="Arial" w:hint="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bCs/>
        </w:rPr>
      </w:pPr>
      <w:bookmarkStart w:id="1199" w:name="_Toc169345029"/>
      <w:bookmarkStart w:id="1200" w:name="_Toc211920232"/>
      <w:bookmarkStart w:id="1201" w:name="_Toc211927759"/>
      <w:bookmarkStart w:id="1202" w:name="_Toc41556874"/>
      <w:r w:rsidRPr="00F17515">
        <w:rPr>
          <w:rFonts w:asciiTheme="minorEastAsia" w:eastAsiaTheme="minorEastAsia" w:hAnsiTheme="minorEastAsia" w:hint="eastAsia"/>
          <w:bCs/>
        </w:rPr>
        <w:t>（三）基金管理人对基金托管人的业务核查</w:t>
      </w:r>
      <w:bookmarkEnd w:id="1199"/>
      <w:bookmarkEnd w:id="1200"/>
      <w:bookmarkEnd w:id="1201"/>
      <w:bookmarkEnd w:id="1202"/>
    </w:p>
    <w:p w:rsidR="007228CC" w:rsidRPr="00F17515" w:rsidRDefault="00FE66C4"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w:t>
      </w:r>
      <w:r w:rsidR="007228CC" w:rsidRPr="00F17515">
        <w:rPr>
          <w:rFonts w:asciiTheme="minorEastAsia" w:eastAsiaTheme="minorEastAsia" w:hAnsiTheme="minorEastAsia" w:cs="Arial" w:hint="eastAsia"/>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228CC" w:rsidRPr="00F17515" w:rsidRDefault="00FE66C4"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w:t>
      </w:r>
      <w:r w:rsidR="007228CC" w:rsidRPr="00F17515">
        <w:rPr>
          <w:rFonts w:asciiTheme="minorEastAsia" w:eastAsiaTheme="minorEastAsia" w:hAnsiTheme="minorEastAsia" w:cs="Arial" w:hint="eastAsia"/>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228CC" w:rsidRPr="00F17515" w:rsidRDefault="00FE66C4"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w:t>
      </w:r>
      <w:r w:rsidR="007228CC" w:rsidRPr="00F17515">
        <w:rPr>
          <w:rFonts w:asciiTheme="minorEastAsia" w:eastAsiaTheme="minorEastAsia" w:hAnsiTheme="minorEastAsia" w:cs="Arial" w:hint="eastAsia"/>
          <w:szCs w:val="21"/>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bCs/>
        </w:rPr>
      </w:pPr>
      <w:bookmarkStart w:id="1203" w:name="_Toc169345030"/>
      <w:bookmarkStart w:id="1204" w:name="_Toc211920233"/>
      <w:bookmarkStart w:id="1205" w:name="_Toc211927760"/>
      <w:bookmarkStart w:id="1206" w:name="_Toc41556875"/>
      <w:r w:rsidRPr="00F17515">
        <w:rPr>
          <w:rFonts w:asciiTheme="minorEastAsia" w:eastAsiaTheme="minorEastAsia" w:hAnsiTheme="minorEastAsia" w:hint="eastAsia"/>
          <w:bCs/>
        </w:rPr>
        <w:t>（四）基金财产的保管</w:t>
      </w:r>
      <w:bookmarkEnd w:id="1203"/>
      <w:bookmarkEnd w:id="1204"/>
      <w:bookmarkEnd w:id="1205"/>
      <w:bookmarkEnd w:id="1206"/>
    </w:p>
    <w:p w:rsidR="007228CC" w:rsidRPr="00F17515" w:rsidRDefault="00FE66C4" w:rsidP="0071223F">
      <w:pPr>
        <w:adjustRightInd w:val="0"/>
        <w:snapToGrid w:val="0"/>
        <w:spacing w:line="360" w:lineRule="auto"/>
        <w:ind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w:t>
      </w:r>
      <w:r w:rsidR="007228CC" w:rsidRPr="00F17515">
        <w:rPr>
          <w:rFonts w:asciiTheme="minorEastAsia" w:eastAsiaTheme="minorEastAsia" w:hAnsiTheme="minorEastAsia" w:cs="Arial" w:hint="eastAsia"/>
          <w:szCs w:val="21"/>
        </w:rPr>
        <w:t>基金财产保管的原则</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（1）基金财产应独立于基金管理人、基金托管人的固有财产。</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（2）基金托管人应安全保管基金财产。</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（3）基金托管人按照规定开设基金财产的资金账户和证券账户。</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（4）基金托管人对所托管的不同基金财产分别设置账户，确保基金财产的完整与独立。</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（5）基金托管人根据基金管理人的指令，按照基金合同和本协议的约定保管基金财产，如有特殊情况双方可另行协商解决。</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w:t>
      </w:r>
      <w:r w:rsidRPr="00F17515">
        <w:rPr>
          <w:rFonts w:asciiTheme="minorEastAsia" w:eastAsiaTheme="minorEastAsia" w:hAnsiTheme="minorEastAsia" w:cs="Arial" w:hint="eastAsia"/>
          <w:szCs w:val="21"/>
        </w:rPr>
        <w:lastRenderedPageBreak/>
        <w:t>管理人采取措施进行催收。由此给基金财产造成损失的，基金管理人应负责向有关当事人追偿基金财产的损失，基金托管人对此不承担任何责任。</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（7）除依据法律法规和基金合同的规定外，基金托管人不得委托第三人托管基金财产。</w:t>
      </w:r>
    </w:p>
    <w:p w:rsidR="007228CC" w:rsidRPr="00F17515" w:rsidRDefault="00FE66C4" w:rsidP="0071223F">
      <w:pPr>
        <w:adjustRightInd w:val="0"/>
        <w:snapToGrid w:val="0"/>
        <w:spacing w:line="360" w:lineRule="auto"/>
        <w:ind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w:t>
      </w:r>
      <w:r w:rsidR="007228CC" w:rsidRPr="00F17515">
        <w:rPr>
          <w:rFonts w:asciiTheme="minorEastAsia" w:eastAsiaTheme="minorEastAsia" w:hAnsiTheme="minorEastAsia" w:cs="Arial" w:hint="eastAsia"/>
          <w:szCs w:val="21"/>
        </w:rPr>
        <w:t>基金募集期间及募集资金的验资</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（1）基金募集期间募集的资金应存于基金管理人开立的“基金募集专户”。该账户由基金管理人开立并管理。</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（3）若基金募集期限届满，未能达到基金合同生效的条件，由基金管理人按规定办理退款等事宜。</w:t>
      </w:r>
    </w:p>
    <w:p w:rsidR="007228CC" w:rsidRPr="00F17515" w:rsidRDefault="00FE66C4" w:rsidP="0071223F">
      <w:pPr>
        <w:adjustRightInd w:val="0"/>
        <w:snapToGrid w:val="0"/>
        <w:spacing w:line="360" w:lineRule="auto"/>
        <w:ind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w:t>
      </w:r>
      <w:r w:rsidR="007228CC" w:rsidRPr="00F17515">
        <w:rPr>
          <w:rFonts w:asciiTheme="minorEastAsia" w:eastAsiaTheme="minorEastAsia" w:hAnsiTheme="minorEastAsia" w:cs="Arial" w:hint="eastAsia"/>
          <w:szCs w:val="21"/>
        </w:rPr>
        <w:t>基金银行账户的开立和管理</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（1）基金托管人可以基金的名义在其营业机构开立基金的银行账户，并根据基金管理人合法合规的指令办理资金收付。本基金的银行预留印鉴由基金托管人保管和使用。</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（3）基金银行账户的开立和管理应符合银行业监督管理机构的有关规定。</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（4）在符合法律法规规定的条件下，基金托管人可以通过基金托管人专用账户办理基金资产的支付。</w:t>
      </w:r>
    </w:p>
    <w:p w:rsidR="007228CC" w:rsidRPr="00F17515" w:rsidRDefault="00FE66C4" w:rsidP="0071223F">
      <w:pPr>
        <w:adjustRightInd w:val="0"/>
        <w:snapToGrid w:val="0"/>
        <w:spacing w:line="360" w:lineRule="auto"/>
        <w:ind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w:t>
      </w:r>
      <w:r w:rsidR="007228CC" w:rsidRPr="00F17515">
        <w:rPr>
          <w:rFonts w:asciiTheme="minorEastAsia" w:eastAsiaTheme="minorEastAsia" w:hAnsiTheme="minorEastAsia" w:cs="Arial" w:hint="eastAsia"/>
          <w:szCs w:val="21"/>
        </w:rPr>
        <w:t>基金证券账户的开立和管理</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（1）基金托管人在中国证券登记结算有限责任公司上海分公司、深圳分公司为基金开立基金托管人与基金联名的证券账户。</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lastRenderedPageBreak/>
        <w:t>（5）若中国证监会或其他监管机构在本托管协议订立日之后允许基金从事其他投资品种的投资业务，涉及相关账户的开立、使用的，若无相关规定，则基金托管人比照上述关于账户开立、使用的规定执行。</w:t>
      </w:r>
    </w:p>
    <w:p w:rsidR="007228CC" w:rsidRPr="00F17515" w:rsidRDefault="00FE66C4" w:rsidP="0071223F">
      <w:pPr>
        <w:adjustRightInd w:val="0"/>
        <w:snapToGrid w:val="0"/>
        <w:spacing w:line="360" w:lineRule="auto"/>
        <w:ind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5、</w:t>
      </w:r>
      <w:r w:rsidR="007228CC" w:rsidRPr="00F17515">
        <w:rPr>
          <w:rFonts w:asciiTheme="minorEastAsia" w:eastAsiaTheme="minorEastAsia" w:hAnsiTheme="minorEastAsia" w:cs="Arial" w:hint="eastAsia"/>
          <w:szCs w:val="21"/>
        </w:rPr>
        <w:t>债券托管专户的开设和管理</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7228CC" w:rsidRPr="00F17515" w:rsidRDefault="00FE66C4" w:rsidP="0071223F">
      <w:pPr>
        <w:adjustRightInd w:val="0"/>
        <w:snapToGrid w:val="0"/>
        <w:spacing w:line="360" w:lineRule="auto"/>
        <w:ind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6、</w:t>
      </w:r>
      <w:r w:rsidR="007228CC" w:rsidRPr="00F17515">
        <w:rPr>
          <w:rFonts w:asciiTheme="minorEastAsia" w:eastAsiaTheme="minorEastAsia" w:hAnsiTheme="minorEastAsia" w:cs="Arial" w:hint="eastAsia"/>
          <w:szCs w:val="21"/>
        </w:rPr>
        <w:t>其他账户的开立和管理</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（1）因业务发展需要而开立的其他账户，可以根据法律法规和基金合同的规定，由基金托管人负责开立。新账户按有关规定使用并管理。</w:t>
      </w:r>
    </w:p>
    <w:p w:rsidR="007228CC" w:rsidRPr="00F17515" w:rsidRDefault="007228CC" w:rsidP="0071223F">
      <w:pPr>
        <w:adjustRightInd w:val="0"/>
        <w:snapToGrid w:val="0"/>
        <w:spacing w:line="360" w:lineRule="auto"/>
        <w:ind w:firstLine="48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（2）法律法规等有关规定对相关账户的开立和管理另有规定的，从其规定办理。</w:t>
      </w:r>
    </w:p>
    <w:p w:rsidR="007228CC" w:rsidRPr="00F17515" w:rsidRDefault="00FE66C4" w:rsidP="0071223F">
      <w:pPr>
        <w:adjustRightInd w:val="0"/>
        <w:snapToGrid w:val="0"/>
        <w:spacing w:line="360" w:lineRule="auto"/>
        <w:ind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7、</w:t>
      </w:r>
      <w:r w:rsidR="007228CC" w:rsidRPr="00F17515">
        <w:rPr>
          <w:rFonts w:asciiTheme="minorEastAsia" w:eastAsiaTheme="minorEastAsia" w:hAnsiTheme="minorEastAsia" w:cs="Arial" w:hint="eastAsia"/>
          <w:szCs w:val="21"/>
        </w:rPr>
        <w:t>基金财产投资的有关有价凭证等的保管</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7228CC" w:rsidRPr="00F17515" w:rsidRDefault="00FE66C4" w:rsidP="0071223F">
      <w:pPr>
        <w:adjustRightInd w:val="0"/>
        <w:snapToGrid w:val="0"/>
        <w:spacing w:line="360" w:lineRule="auto"/>
        <w:ind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8、</w:t>
      </w:r>
      <w:r w:rsidR="007228CC" w:rsidRPr="00F17515">
        <w:rPr>
          <w:rFonts w:asciiTheme="minorEastAsia" w:eastAsiaTheme="minorEastAsia" w:hAnsiTheme="minorEastAsia" w:cs="Arial" w:hint="eastAsia"/>
          <w:szCs w:val="21"/>
        </w:rPr>
        <w:t>与基金财产有关的重大合同的保管</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五个工作日内将正本通过专人送达、特快专递或挂号邮寄等方式送达基金托管人处。重大合同的保管期限为基金合同终止后15年。</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bCs/>
        </w:rPr>
      </w:pPr>
      <w:bookmarkStart w:id="1207" w:name="_Toc169345031"/>
      <w:bookmarkStart w:id="1208" w:name="_Toc211920234"/>
      <w:bookmarkStart w:id="1209" w:name="_Toc211927761"/>
      <w:bookmarkStart w:id="1210" w:name="_Toc41556876"/>
      <w:r w:rsidRPr="00F17515">
        <w:rPr>
          <w:rFonts w:asciiTheme="minorEastAsia" w:eastAsiaTheme="minorEastAsia" w:hAnsiTheme="minorEastAsia" w:hint="eastAsia"/>
          <w:bCs/>
        </w:rPr>
        <w:t>（五）基金资产净值计算与复核</w:t>
      </w:r>
      <w:bookmarkEnd w:id="1207"/>
      <w:bookmarkEnd w:id="1208"/>
      <w:bookmarkEnd w:id="1209"/>
      <w:bookmarkEnd w:id="1210"/>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bookmarkStart w:id="1211" w:name="_Toc211920235"/>
      <w:r w:rsidRPr="00F17515">
        <w:rPr>
          <w:rFonts w:asciiTheme="minorEastAsia" w:eastAsiaTheme="minorEastAsia" w:hAnsiTheme="minorEastAsia" w:cs="Arial" w:hint="eastAsia"/>
          <w:szCs w:val="21"/>
        </w:rPr>
        <w:t>1、</w:t>
      </w:r>
      <w:r w:rsidR="007228CC" w:rsidRPr="00F17515">
        <w:rPr>
          <w:rFonts w:asciiTheme="minorEastAsia" w:eastAsiaTheme="minorEastAsia" w:hAnsiTheme="minorEastAsia" w:cs="Arial" w:hint="eastAsia"/>
          <w:szCs w:val="21"/>
        </w:rPr>
        <w:t>基金资产净值的计算、复核与完成的时间及程序</w:t>
      </w:r>
      <w:bookmarkEnd w:id="1211"/>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（1）基金资产净值</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基金资产净值是指基金资产总值减去负债后的金额。</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基金份额净值是指基金资产净值除以基金份额总数，基金份额净值的计算，精确到0.001元，小数点后第四位四舍五入，国家另有规定的，从其规定。</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基金管理人每个工作日计算基金资产净值及基金份额净值，经基金托管人复核，按规定公告。</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lastRenderedPageBreak/>
        <w:t>（2）复核程序</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基金管理人每开放日对基金资产进行估值后，将基金份额净值结果发送基金托管人，经基金托管人复核无误后，由基金管理人对外公布。</w:t>
      </w:r>
    </w:p>
    <w:p w:rsidR="007228CC" w:rsidRPr="00F17515" w:rsidRDefault="007228CC" w:rsidP="00DB3139">
      <w:pPr>
        <w:snapToGrid w:val="0"/>
        <w:spacing w:line="360" w:lineRule="auto"/>
        <w:ind w:firstLineChars="200" w:firstLine="420"/>
        <w:rPr>
          <w:rStyle w:val="read"/>
          <w:rFonts w:asciiTheme="minorEastAsia" w:eastAsiaTheme="minorEastAsia" w:hAnsiTheme="minorEastAsia"/>
          <w:szCs w:val="21"/>
        </w:rPr>
      </w:pPr>
      <w:r w:rsidRPr="00F17515">
        <w:rPr>
          <w:rFonts w:asciiTheme="minorEastAsia" w:eastAsiaTheme="minorEastAsia" w:hAnsiTheme="minorEastAsia" w:cs="Arial" w:hint="eastAsia"/>
          <w:szCs w:val="21"/>
        </w:rPr>
        <w:t>（3）</w:t>
      </w:r>
      <w:r w:rsidRPr="00F17515">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bCs/>
          <w:sz w:val="21"/>
        </w:rPr>
      </w:pPr>
      <w:bookmarkStart w:id="1212" w:name="_Toc169345032"/>
      <w:bookmarkStart w:id="1213" w:name="_Toc211920236"/>
      <w:bookmarkStart w:id="1214" w:name="_Toc211927762"/>
      <w:bookmarkStart w:id="1215" w:name="_Toc41556877"/>
      <w:r w:rsidRPr="00F17515">
        <w:rPr>
          <w:rFonts w:asciiTheme="minorEastAsia" w:eastAsiaTheme="minorEastAsia" w:hAnsiTheme="minorEastAsia" w:hint="eastAsia"/>
          <w:bCs/>
        </w:rPr>
        <w:t>（六）基金份额持有人名册的登记与保管</w:t>
      </w:r>
      <w:bookmarkEnd w:id="1212"/>
      <w:bookmarkEnd w:id="1213"/>
      <w:bookmarkEnd w:id="1214"/>
      <w:bookmarkEnd w:id="1215"/>
    </w:p>
    <w:p w:rsidR="001D16B5" w:rsidRPr="00F17515" w:rsidRDefault="001D16B5" w:rsidP="001D16B5">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rsidR="007228CC" w:rsidRPr="00F17515" w:rsidRDefault="001D16B5" w:rsidP="001D16B5">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bCs/>
          <w:sz w:val="21"/>
        </w:rPr>
      </w:pPr>
      <w:bookmarkStart w:id="1216" w:name="_Toc169345033"/>
      <w:bookmarkStart w:id="1217" w:name="_Toc211920237"/>
      <w:bookmarkStart w:id="1218" w:name="_Toc211927763"/>
      <w:bookmarkStart w:id="1219" w:name="_Toc41556878"/>
      <w:r w:rsidRPr="00F17515">
        <w:rPr>
          <w:rFonts w:asciiTheme="minorEastAsia" w:eastAsiaTheme="minorEastAsia" w:hAnsiTheme="minorEastAsia" w:hint="eastAsia"/>
          <w:bCs/>
        </w:rPr>
        <w:t>（七）争议解决方式</w:t>
      </w:r>
      <w:bookmarkEnd w:id="1216"/>
      <w:bookmarkEnd w:id="1217"/>
      <w:bookmarkEnd w:id="1218"/>
      <w:bookmarkEnd w:id="1219"/>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bookmarkStart w:id="1220" w:name="_Toc169345034"/>
      <w:r w:rsidRPr="00F17515">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本协议受中国法律管辖。</w:t>
      </w:r>
    </w:p>
    <w:p w:rsidR="007228CC" w:rsidRPr="00F17515" w:rsidRDefault="007228CC" w:rsidP="009A1EA6">
      <w:pPr>
        <w:pStyle w:val="2"/>
        <w:snapToGrid w:val="0"/>
        <w:spacing w:beforeLines="0" w:afterLines="0" w:line="360" w:lineRule="auto"/>
        <w:ind w:firstLineChars="0" w:firstLine="0"/>
        <w:rPr>
          <w:rFonts w:asciiTheme="minorEastAsia" w:eastAsiaTheme="minorEastAsia" w:hAnsiTheme="minorEastAsia"/>
          <w:bCs/>
          <w:sz w:val="21"/>
        </w:rPr>
      </w:pPr>
      <w:bookmarkStart w:id="1221" w:name="_Toc211920238"/>
      <w:bookmarkStart w:id="1222" w:name="_Toc211927764"/>
      <w:bookmarkStart w:id="1223" w:name="_Toc41556879"/>
      <w:r w:rsidRPr="00F17515">
        <w:rPr>
          <w:rFonts w:asciiTheme="minorEastAsia" w:eastAsiaTheme="minorEastAsia" w:hAnsiTheme="minorEastAsia" w:hint="eastAsia"/>
          <w:bCs/>
        </w:rPr>
        <w:t>（八）托管协议的修改与终止</w:t>
      </w:r>
      <w:bookmarkEnd w:id="1220"/>
      <w:bookmarkEnd w:id="1221"/>
      <w:bookmarkEnd w:id="1222"/>
      <w:bookmarkEnd w:id="1223"/>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w:t>
      </w:r>
      <w:r w:rsidR="007228CC" w:rsidRPr="00F17515">
        <w:rPr>
          <w:rFonts w:asciiTheme="minorEastAsia" w:eastAsiaTheme="minorEastAsia" w:hAnsiTheme="minorEastAsia" w:cs="Arial" w:hint="eastAsia"/>
          <w:szCs w:val="21"/>
        </w:rPr>
        <w:t>托管协议的变更程序</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本协议双方当事人经协商一致，可以对协议进行修改。修改后的新协议，其内容不得与基金合同的规定有任何冲突。基金托管协议的变更报中国证监会核准或备案后生效。</w:t>
      </w:r>
    </w:p>
    <w:p w:rsidR="007228CC" w:rsidRPr="00F17515" w:rsidRDefault="00FE66C4"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w:t>
      </w:r>
      <w:r w:rsidR="007228CC" w:rsidRPr="00F17515">
        <w:rPr>
          <w:rFonts w:asciiTheme="minorEastAsia" w:eastAsiaTheme="minorEastAsia" w:hAnsiTheme="minorEastAsia" w:cs="Arial" w:hint="eastAsia"/>
          <w:szCs w:val="21"/>
        </w:rPr>
        <w:t>基金托管协议终止出现的情形</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（1）基金合同终止；</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（2）基金托管人解散、依法被撤销、破产或由其他基金托管人接管基金资产；</w:t>
      </w:r>
    </w:p>
    <w:p w:rsidR="007228CC" w:rsidRPr="00F17515" w:rsidRDefault="007228CC" w:rsidP="0071223F">
      <w:pPr>
        <w:adjustRightInd w:val="0"/>
        <w:snapToGrid w:val="0"/>
        <w:spacing w:line="360" w:lineRule="auto"/>
        <w:ind w:firstLineChars="200" w:firstLine="420"/>
        <w:rPr>
          <w:rFonts w:asciiTheme="minorEastAsia" w:eastAsiaTheme="minorEastAsia" w:hAnsiTheme="minorEastAsia" w:cs="Arial"/>
          <w:szCs w:val="21"/>
        </w:rPr>
      </w:pPr>
      <w:r w:rsidRPr="00F17515">
        <w:rPr>
          <w:rFonts w:asciiTheme="minorEastAsia" w:eastAsiaTheme="minorEastAsia" w:hAnsiTheme="minorEastAsia" w:cs="Arial" w:hint="eastAsia"/>
          <w:szCs w:val="21"/>
        </w:rPr>
        <w:t>（3）基金管理人解散、依法被撤销、破产或由其他基金管理人接管基金管理权；</w:t>
      </w:r>
    </w:p>
    <w:p w:rsidR="00FE66C4" w:rsidRPr="00F17515" w:rsidRDefault="007228CC" w:rsidP="00FC0557">
      <w:pPr>
        <w:adjustRightInd w:val="0"/>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cs="Arial" w:hint="eastAsia"/>
          <w:szCs w:val="21"/>
        </w:rPr>
        <w:t>（4）发生法律法规或基金合同规定的终止事项。</w:t>
      </w:r>
      <w:bookmarkStart w:id="1224" w:name="_Toc38186634"/>
      <w:bookmarkEnd w:id="1189"/>
    </w:p>
    <w:p w:rsidR="007228CC" w:rsidRPr="00F17515" w:rsidRDefault="007228CC" w:rsidP="00DB15B5">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1225" w:name="_Toc41556880"/>
      <w:r w:rsidRPr="00F17515">
        <w:rPr>
          <w:rFonts w:asciiTheme="minorEastAsia" w:eastAsiaTheme="minorEastAsia" w:hAnsiTheme="minorEastAsia" w:hint="eastAsia"/>
          <w:b/>
        </w:rPr>
        <w:lastRenderedPageBreak/>
        <w:t>对基金份额持有人的服务</w:t>
      </w:r>
      <w:bookmarkEnd w:id="1225"/>
    </w:p>
    <w:p w:rsidR="007228CC" w:rsidRPr="00F17515" w:rsidRDefault="007228CC" w:rsidP="0071223F">
      <w:pPr>
        <w:pStyle w:val="aa"/>
        <w:autoSpaceDE w:val="0"/>
        <w:autoSpaceDN w:val="0"/>
        <w:adjustRightInd w:val="0"/>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Cs/>
        </w:rPr>
      </w:pPr>
      <w:bookmarkStart w:id="1226" w:name="_Toc181718381"/>
      <w:bookmarkStart w:id="1227" w:name="_Toc183353851"/>
      <w:bookmarkStart w:id="1228" w:name="_Toc183400210"/>
      <w:bookmarkStart w:id="1229" w:name="_Toc531318033"/>
      <w:bookmarkStart w:id="1230" w:name="_Toc531323798"/>
      <w:bookmarkStart w:id="1231" w:name="_Toc211920240"/>
      <w:bookmarkStart w:id="1232" w:name="_Toc41556881"/>
      <w:r w:rsidRPr="00F17515">
        <w:rPr>
          <w:rFonts w:asciiTheme="minorEastAsia" w:eastAsiaTheme="minorEastAsia" w:hAnsiTheme="minorEastAsia" w:hint="eastAsia"/>
          <w:bCs/>
        </w:rPr>
        <w:t>（一）基金份额持有人投资交易确认服务</w:t>
      </w:r>
      <w:bookmarkEnd w:id="1226"/>
      <w:bookmarkEnd w:id="1227"/>
      <w:bookmarkEnd w:id="1228"/>
      <w:bookmarkEnd w:id="1229"/>
      <w:bookmarkEnd w:id="1230"/>
      <w:bookmarkEnd w:id="1231"/>
      <w:bookmarkEnd w:id="1232"/>
    </w:p>
    <w:p w:rsidR="007228CC" w:rsidRPr="00F17515" w:rsidRDefault="007228CC" w:rsidP="0071223F">
      <w:pPr>
        <w:pStyle w:val="aa"/>
        <w:autoSpaceDE w:val="0"/>
        <w:autoSpaceDN w:val="0"/>
        <w:adjustRightInd w:val="0"/>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注册登记机构保留基金份额持有人名册上列明的所有基金份额持有人的基金交易记录。</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rPr>
        <w:t>基金管理人直销</w:t>
      </w:r>
      <w:r w:rsidR="00AA175D" w:rsidRPr="00F17515">
        <w:rPr>
          <w:rFonts w:asciiTheme="minorEastAsia" w:eastAsiaTheme="minorEastAsia" w:hAnsiTheme="minorEastAsia" w:hint="eastAsia"/>
        </w:rPr>
        <w:t>网点</w:t>
      </w:r>
      <w:r w:rsidRPr="00F17515">
        <w:rPr>
          <w:rFonts w:asciiTheme="minorEastAsia" w:eastAsiaTheme="minorEastAsia" w:hAnsiTheme="minorEastAsia" w:hint="eastAsia"/>
        </w:rPr>
        <w:t>应根据在基金管理人直销</w:t>
      </w:r>
      <w:r w:rsidR="00AA175D" w:rsidRPr="00F17515">
        <w:rPr>
          <w:rFonts w:asciiTheme="minorEastAsia" w:eastAsiaTheme="minorEastAsia" w:hAnsiTheme="minorEastAsia" w:hint="eastAsia"/>
        </w:rPr>
        <w:t>网点</w:t>
      </w:r>
      <w:r w:rsidRPr="00F17515">
        <w:rPr>
          <w:rFonts w:asciiTheme="minorEastAsia" w:eastAsiaTheme="minorEastAsia" w:hAnsiTheme="minorEastAsia" w:hint="eastAsia"/>
        </w:rPr>
        <w:t>进行交易的投资者的要求提</w:t>
      </w:r>
      <w:r w:rsidR="00AA175D" w:rsidRPr="00F17515">
        <w:rPr>
          <w:rFonts w:asciiTheme="minorEastAsia" w:eastAsiaTheme="minorEastAsia" w:hAnsiTheme="minorEastAsia" w:hint="eastAsia"/>
        </w:rPr>
        <w:t>供</w:t>
      </w:r>
      <w:r w:rsidRPr="00F17515">
        <w:rPr>
          <w:rFonts w:asciiTheme="minorEastAsia" w:eastAsiaTheme="minorEastAsia" w:hAnsiTheme="minorEastAsia" w:hint="eastAsia"/>
        </w:rPr>
        <w:t>成交确认单。</w:t>
      </w:r>
      <w:r w:rsidR="005E04E3" w:rsidRPr="00F17515">
        <w:rPr>
          <w:rFonts w:asciiTheme="minorEastAsia" w:eastAsiaTheme="minorEastAsia" w:hAnsiTheme="minorEastAsia" w:hint="eastAsia"/>
          <w:kern w:val="0"/>
          <w:szCs w:val="21"/>
        </w:rPr>
        <w:t>基金非直销销售机构应根据在销售网点进行交易的投资者的要求提供成交确认单。</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Cs/>
        </w:rPr>
      </w:pPr>
      <w:bookmarkStart w:id="1233" w:name="_Toc181718382"/>
      <w:bookmarkStart w:id="1234" w:name="_Toc183353852"/>
      <w:bookmarkStart w:id="1235" w:name="_Toc183400211"/>
      <w:bookmarkStart w:id="1236" w:name="_Toc531318034"/>
      <w:bookmarkStart w:id="1237" w:name="_Toc531323799"/>
      <w:bookmarkStart w:id="1238" w:name="_Toc211920241"/>
      <w:bookmarkStart w:id="1239" w:name="_Toc41556882"/>
      <w:r w:rsidRPr="00F17515">
        <w:rPr>
          <w:rFonts w:asciiTheme="minorEastAsia" w:eastAsiaTheme="minorEastAsia" w:hAnsiTheme="minorEastAsia" w:hint="eastAsia"/>
          <w:bCs/>
        </w:rPr>
        <w:t>（二）基金份额持有人交易记录查询服务</w:t>
      </w:r>
      <w:bookmarkEnd w:id="1233"/>
      <w:bookmarkEnd w:id="1234"/>
      <w:bookmarkEnd w:id="1235"/>
      <w:bookmarkEnd w:id="1236"/>
      <w:bookmarkEnd w:id="1237"/>
      <w:bookmarkEnd w:id="1238"/>
      <w:bookmarkEnd w:id="1239"/>
    </w:p>
    <w:p w:rsidR="007228CC" w:rsidRPr="00F17515" w:rsidRDefault="007228CC" w:rsidP="0071223F">
      <w:pPr>
        <w:pStyle w:val="aa"/>
        <w:autoSpaceDE w:val="0"/>
        <w:autoSpaceDN w:val="0"/>
        <w:adjustRightInd w:val="0"/>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本基金份额持有人可通过基金管理人的客户服务中心查询历史交易记录。</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Cs/>
        </w:rPr>
      </w:pPr>
      <w:bookmarkStart w:id="1240" w:name="_Toc181718383"/>
      <w:bookmarkStart w:id="1241" w:name="_Toc183353853"/>
      <w:bookmarkStart w:id="1242" w:name="_Toc183400212"/>
      <w:bookmarkStart w:id="1243" w:name="_Toc531318035"/>
      <w:bookmarkStart w:id="1244" w:name="_Toc531323800"/>
      <w:bookmarkStart w:id="1245" w:name="_Toc211920242"/>
      <w:bookmarkStart w:id="1246" w:name="_Toc41556883"/>
      <w:r w:rsidRPr="00F17515">
        <w:rPr>
          <w:rFonts w:asciiTheme="minorEastAsia" w:eastAsiaTheme="minorEastAsia" w:hAnsiTheme="minorEastAsia" w:hint="eastAsia"/>
          <w:bCs/>
        </w:rPr>
        <w:t>（三）基金份额持有人的对账单服务</w:t>
      </w:r>
      <w:bookmarkEnd w:id="1246"/>
    </w:p>
    <w:p w:rsidR="007228CC" w:rsidRPr="00F17515" w:rsidRDefault="007228CC" w:rsidP="0071223F">
      <w:pPr>
        <w:pStyle w:val="a8"/>
        <w:snapToGrid w:val="0"/>
        <w:spacing w:line="360" w:lineRule="auto"/>
        <w:rPr>
          <w:rFonts w:asciiTheme="minorEastAsia" w:eastAsiaTheme="minorEastAsia" w:hAnsiTheme="minorEastAsia"/>
        </w:rPr>
      </w:pPr>
      <w:r w:rsidRPr="00F17515">
        <w:rPr>
          <w:rFonts w:asciiTheme="minorEastAsia" w:eastAsiaTheme="minorEastAsia" w:hAnsiTheme="minorEastAsia" w:hint="eastAsia"/>
        </w:rPr>
        <w:t>1</w:t>
      </w:r>
      <w:r w:rsidR="00FE66C4" w:rsidRPr="00F17515">
        <w:rPr>
          <w:rFonts w:asciiTheme="minorEastAsia" w:eastAsiaTheme="minorEastAsia" w:hAnsiTheme="minorEastAsia" w:hint="eastAsia"/>
        </w:rPr>
        <w:t>、</w:t>
      </w:r>
      <w:r w:rsidRPr="00F17515">
        <w:rPr>
          <w:rFonts w:asciiTheme="minorEastAsia" w:eastAsiaTheme="minorEastAsia" w:hAnsiTheme="minorEastAsia" w:hint="eastAsia"/>
        </w:rPr>
        <w:t>基金份额持有人可登录本公司网站（</w:t>
      </w:r>
      <w:hyperlink r:id="rId18" w:history="1">
        <w:r w:rsidRPr="00F17515">
          <w:rPr>
            <w:rFonts w:asciiTheme="minorEastAsia" w:eastAsiaTheme="minorEastAsia" w:hAnsiTheme="minorEastAsia" w:hint="eastAsia"/>
          </w:rPr>
          <w:t>http://www.efunds.com.cn</w:t>
        </w:r>
      </w:hyperlink>
      <w:r w:rsidRPr="00F17515">
        <w:rPr>
          <w:rFonts w:asciiTheme="minorEastAsia" w:eastAsiaTheme="minorEastAsia" w:hAnsiTheme="minorEastAsia" w:hint="eastAsia"/>
        </w:rPr>
        <w:t>）查阅对账单。</w:t>
      </w:r>
    </w:p>
    <w:p w:rsidR="007228CC" w:rsidRPr="00F17515" w:rsidRDefault="007228CC" w:rsidP="0071223F">
      <w:pPr>
        <w:pStyle w:val="af1"/>
        <w:autoSpaceDE w:val="0"/>
        <w:autoSpaceDN w:val="0"/>
        <w:adjustRightInd w:val="0"/>
        <w:snapToGrid w:val="0"/>
        <w:spacing w:line="360" w:lineRule="auto"/>
        <w:ind w:firstLineChars="200" w:firstLine="420"/>
        <w:rPr>
          <w:rFonts w:asciiTheme="minorEastAsia" w:eastAsiaTheme="minorEastAsia" w:hAnsiTheme="minorEastAsia"/>
          <w:sz w:val="21"/>
        </w:rPr>
      </w:pPr>
      <w:r w:rsidRPr="00F17515">
        <w:rPr>
          <w:rFonts w:asciiTheme="minorEastAsia" w:eastAsiaTheme="minorEastAsia" w:hAnsiTheme="minorEastAsia" w:hint="eastAsia"/>
          <w:sz w:val="21"/>
        </w:rPr>
        <w:t>2</w:t>
      </w:r>
      <w:r w:rsidR="00FE66C4" w:rsidRPr="00F17515">
        <w:rPr>
          <w:rFonts w:asciiTheme="minorEastAsia" w:eastAsiaTheme="minorEastAsia" w:hAnsiTheme="minorEastAsia" w:hint="eastAsia"/>
          <w:sz w:val="21"/>
        </w:rPr>
        <w:t>、</w:t>
      </w:r>
      <w:r w:rsidRPr="00F17515">
        <w:rPr>
          <w:rFonts w:asciiTheme="minorEastAsia" w:eastAsiaTheme="minorEastAsia" w:hAnsiTheme="minorEastAsia" w:hint="eastAsia"/>
          <w:sz w:val="21"/>
        </w:rPr>
        <w:t>基金份额持有人也可向本公司定制纸质、电子或短信形式的定期或不定期对账单。</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szCs w:val="21"/>
        </w:rPr>
        <w:t>具体查阅和定制账单的方法可参见本公司网站或拨打客服热线咨询。</w:t>
      </w:r>
      <w:bookmarkStart w:id="1247" w:name="_Toc181718384"/>
      <w:bookmarkStart w:id="1248" w:name="_Toc183353854"/>
      <w:bookmarkStart w:id="1249" w:name="_Toc183400213"/>
      <w:bookmarkStart w:id="1250" w:name="_Toc531318036"/>
      <w:bookmarkStart w:id="1251" w:name="_Toc531323801"/>
      <w:bookmarkEnd w:id="1240"/>
      <w:bookmarkEnd w:id="1241"/>
      <w:bookmarkEnd w:id="1242"/>
      <w:bookmarkEnd w:id="1243"/>
      <w:bookmarkEnd w:id="1244"/>
      <w:bookmarkEnd w:id="1245"/>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Cs/>
        </w:rPr>
      </w:pPr>
      <w:bookmarkStart w:id="1252" w:name="_Toc181718385"/>
      <w:bookmarkStart w:id="1253" w:name="_Toc183353855"/>
      <w:bookmarkStart w:id="1254" w:name="_Toc183400214"/>
      <w:bookmarkStart w:id="1255" w:name="_Toc531318037"/>
      <w:bookmarkStart w:id="1256" w:name="_Toc531323802"/>
      <w:bookmarkStart w:id="1257" w:name="_Toc211920245"/>
      <w:bookmarkStart w:id="1258" w:name="_Toc41556884"/>
      <w:bookmarkEnd w:id="1247"/>
      <w:bookmarkEnd w:id="1248"/>
      <w:bookmarkEnd w:id="1249"/>
      <w:bookmarkEnd w:id="1250"/>
      <w:bookmarkEnd w:id="1251"/>
      <w:r w:rsidRPr="00F17515">
        <w:rPr>
          <w:rFonts w:asciiTheme="minorEastAsia" w:eastAsiaTheme="minorEastAsia" w:hAnsiTheme="minorEastAsia" w:hint="eastAsia"/>
          <w:bCs/>
        </w:rPr>
        <w:t>（</w:t>
      </w:r>
      <w:r w:rsidR="005D6939" w:rsidRPr="00F17515">
        <w:rPr>
          <w:rFonts w:asciiTheme="minorEastAsia" w:eastAsiaTheme="minorEastAsia" w:hAnsiTheme="minorEastAsia" w:hint="eastAsia"/>
          <w:bCs/>
        </w:rPr>
        <w:t>四</w:t>
      </w:r>
      <w:r w:rsidRPr="00F17515">
        <w:rPr>
          <w:rFonts w:asciiTheme="minorEastAsia" w:eastAsiaTheme="minorEastAsia" w:hAnsiTheme="minorEastAsia" w:hint="eastAsia"/>
          <w:bCs/>
        </w:rPr>
        <w:t>）定期定额投资计划</w:t>
      </w:r>
      <w:bookmarkEnd w:id="1252"/>
      <w:bookmarkEnd w:id="1253"/>
      <w:bookmarkEnd w:id="1254"/>
      <w:bookmarkEnd w:id="1255"/>
      <w:bookmarkEnd w:id="1256"/>
      <w:bookmarkEnd w:id="1257"/>
      <w:bookmarkEnd w:id="1258"/>
    </w:p>
    <w:p w:rsidR="007228CC" w:rsidRPr="00F17515" w:rsidRDefault="00702AAD" w:rsidP="0071223F">
      <w:pPr>
        <w:pStyle w:val="ad"/>
        <w:snapToGrid w:val="0"/>
        <w:spacing w:line="360" w:lineRule="auto"/>
        <w:ind w:firstLineChars="200"/>
        <w:rPr>
          <w:rFonts w:asciiTheme="minorEastAsia" w:eastAsiaTheme="minorEastAsia" w:hAnsiTheme="minorEastAsia"/>
        </w:rPr>
      </w:pPr>
      <w:r w:rsidRPr="00F17515">
        <w:rPr>
          <w:rFonts w:asciiTheme="minorEastAsia" w:eastAsiaTheme="minorEastAsia" w:hAnsiTheme="minorEastAsia" w:hint="eastAsia"/>
          <w:kern w:val="0"/>
        </w:rPr>
        <w:t>基金管理人可利用</w:t>
      </w:r>
      <w:r w:rsidR="005E04E3" w:rsidRPr="00F17515">
        <w:rPr>
          <w:rFonts w:asciiTheme="minorEastAsia" w:eastAsiaTheme="minorEastAsia" w:hAnsiTheme="minorEastAsia" w:hint="eastAsia"/>
          <w:kern w:val="0"/>
        </w:rPr>
        <w:t>非直销销售</w:t>
      </w:r>
      <w:r w:rsidRPr="00F17515">
        <w:rPr>
          <w:rFonts w:asciiTheme="minorEastAsia" w:eastAsiaTheme="minorEastAsia" w:hAnsiTheme="minorEastAsia" w:hint="eastAsia"/>
          <w:kern w:val="0"/>
        </w:rPr>
        <w:t>机构网点和本公司网上交易系统为投资者提供定期定额投资的</w:t>
      </w:r>
      <w:r w:rsidRPr="00F17515">
        <w:rPr>
          <w:rFonts w:asciiTheme="minorEastAsia" w:eastAsiaTheme="minorEastAsia" w:hAnsiTheme="minorEastAsia" w:hint="eastAsia"/>
          <w:kern w:val="0"/>
          <w:szCs w:val="21"/>
        </w:rPr>
        <w:t>服务（本公司网上交易系统的定期定额投资服务目前仅对个人投资者开通）</w:t>
      </w:r>
      <w:r w:rsidR="007228CC" w:rsidRPr="00F17515">
        <w:rPr>
          <w:rFonts w:asciiTheme="minorEastAsia" w:eastAsiaTheme="minorEastAsia" w:hAnsiTheme="minorEastAsia" w:hint="eastAsia"/>
        </w:rPr>
        <w:t>。通过定期定额投资计划，投资者可以通过固定的渠道，定期定额申购基金份额，具体实施方法见相关公告。</w:t>
      </w:r>
    </w:p>
    <w:p w:rsidR="007228CC" w:rsidRPr="00F17515" w:rsidRDefault="007228CC" w:rsidP="00941EC8">
      <w:pPr>
        <w:pStyle w:val="2"/>
        <w:snapToGrid w:val="0"/>
        <w:spacing w:beforeLines="0" w:afterLines="0" w:line="360" w:lineRule="auto"/>
        <w:ind w:firstLineChars="0" w:firstLine="0"/>
        <w:rPr>
          <w:rFonts w:asciiTheme="minorEastAsia" w:eastAsiaTheme="minorEastAsia" w:hAnsiTheme="minorEastAsia"/>
          <w:bCs/>
        </w:rPr>
      </w:pPr>
      <w:bookmarkStart w:id="1259" w:name="_Toc181718386"/>
      <w:bookmarkStart w:id="1260" w:name="_Toc183353856"/>
      <w:bookmarkStart w:id="1261" w:name="_Toc183400215"/>
      <w:bookmarkStart w:id="1262" w:name="_Toc531318038"/>
      <w:bookmarkStart w:id="1263" w:name="_Toc531323803"/>
      <w:bookmarkStart w:id="1264" w:name="_Toc211920246"/>
      <w:bookmarkStart w:id="1265" w:name="_Toc41556885"/>
      <w:r w:rsidRPr="00F17515">
        <w:rPr>
          <w:rFonts w:asciiTheme="minorEastAsia" w:eastAsiaTheme="minorEastAsia" w:hAnsiTheme="minorEastAsia" w:hint="eastAsia"/>
          <w:bCs/>
        </w:rPr>
        <w:t>（</w:t>
      </w:r>
      <w:r w:rsidR="005D6939" w:rsidRPr="00F17515">
        <w:rPr>
          <w:rFonts w:asciiTheme="minorEastAsia" w:eastAsiaTheme="minorEastAsia" w:hAnsiTheme="minorEastAsia" w:hint="eastAsia"/>
          <w:bCs/>
        </w:rPr>
        <w:t>五</w:t>
      </w:r>
      <w:r w:rsidRPr="00F17515">
        <w:rPr>
          <w:rFonts w:asciiTheme="minorEastAsia" w:eastAsiaTheme="minorEastAsia" w:hAnsiTheme="minorEastAsia" w:hint="eastAsia"/>
          <w:bCs/>
        </w:rPr>
        <w:t>）资讯服务</w:t>
      </w:r>
      <w:bookmarkEnd w:id="1259"/>
      <w:bookmarkEnd w:id="1260"/>
      <w:bookmarkEnd w:id="1261"/>
      <w:bookmarkEnd w:id="1262"/>
      <w:bookmarkEnd w:id="1263"/>
      <w:bookmarkEnd w:id="1264"/>
      <w:bookmarkEnd w:id="1265"/>
    </w:p>
    <w:p w:rsidR="007228CC" w:rsidRPr="00F17515" w:rsidRDefault="00FE66C4" w:rsidP="0071223F">
      <w:pPr>
        <w:pStyle w:val="aa"/>
        <w:autoSpaceDE w:val="0"/>
        <w:autoSpaceDN w:val="0"/>
        <w:adjustRightInd w:val="0"/>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客户服务电话</w:t>
      </w:r>
    </w:p>
    <w:p w:rsidR="007228CC" w:rsidRPr="00F17515" w:rsidRDefault="007228CC" w:rsidP="0071223F">
      <w:pPr>
        <w:pStyle w:val="aa"/>
        <w:autoSpaceDE w:val="0"/>
        <w:autoSpaceDN w:val="0"/>
        <w:adjustRightInd w:val="0"/>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投资者如果想了解申购与赎回的交易情况、基金账户余额、基金产品与服务等信息，</w:t>
      </w:r>
      <w:r w:rsidR="007800D1" w:rsidRPr="00F17515">
        <w:rPr>
          <w:rFonts w:asciiTheme="minorEastAsia" w:eastAsiaTheme="minorEastAsia" w:hAnsiTheme="minorEastAsia" w:hint="eastAsia"/>
          <w:kern w:val="0"/>
        </w:rPr>
        <w:t>或反馈投资过程中需要投诉与建议的情况，</w:t>
      </w:r>
      <w:r w:rsidRPr="00F17515">
        <w:rPr>
          <w:rFonts w:asciiTheme="minorEastAsia" w:eastAsiaTheme="minorEastAsia" w:hAnsiTheme="minorEastAsia" w:hint="eastAsia"/>
        </w:rPr>
        <w:t>可拨打如下电话：4008818088</w:t>
      </w:r>
      <w:r w:rsidRPr="00F17515">
        <w:rPr>
          <w:rFonts w:asciiTheme="minorEastAsia" w:eastAsiaTheme="minorEastAsia" w:hAnsiTheme="minorEastAsia"/>
        </w:rPr>
        <w:t>（免长途话费）</w:t>
      </w:r>
      <w:r w:rsidRPr="00F17515">
        <w:rPr>
          <w:rFonts w:asciiTheme="minorEastAsia" w:eastAsiaTheme="minorEastAsia" w:hAnsiTheme="minorEastAsia" w:hint="eastAsia"/>
        </w:rPr>
        <w:t>。</w:t>
      </w:r>
      <w:r w:rsidR="007800D1" w:rsidRPr="00F17515">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7228CC" w:rsidRPr="00F17515" w:rsidRDefault="00FE66C4" w:rsidP="0071223F">
      <w:pPr>
        <w:pStyle w:val="aa"/>
        <w:autoSpaceDE w:val="0"/>
        <w:autoSpaceDN w:val="0"/>
        <w:adjustRightInd w:val="0"/>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互联网站及电子信箱</w:t>
      </w:r>
    </w:p>
    <w:p w:rsidR="007228CC" w:rsidRPr="00F17515" w:rsidRDefault="007228CC" w:rsidP="0071223F">
      <w:pPr>
        <w:pStyle w:val="aa"/>
        <w:autoSpaceDE w:val="0"/>
        <w:autoSpaceDN w:val="0"/>
        <w:adjustRightInd w:val="0"/>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网址：http://www.efunds.com.cn</w:t>
      </w:r>
    </w:p>
    <w:p w:rsidR="007228CC" w:rsidRPr="00F17515" w:rsidRDefault="007228CC" w:rsidP="0071223F">
      <w:pPr>
        <w:pStyle w:val="aa"/>
        <w:autoSpaceDE w:val="0"/>
        <w:autoSpaceDN w:val="0"/>
        <w:adjustRightInd w:val="0"/>
        <w:snapToGrid w:val="0"/>
        <w:spacing w:after="0" w:line="360" w:lineRule="auto"/>
        <w:ind w:firstLineChars="200"/>
        <w:rPr>
          <w:rFonts w:asciiTheme="minorEastAsia" w:eastAsiaTheme="minorEastAsia" w:hAnsiTheme="minorEastAsia"/>
        </w:rPr>
      </w:pPr>
      <w:r w:rsidRPr="00F17515">
        <w:rPr>
          <w:rFonts w:asciiTheme="minorEastAsia" w:eastAsiaTheme="minorEastAsia" w:hAnsiTheme="minorEastAsia" w:hint="eastAsia"/>
        </w:rPr>
        <w:t>电子信箱：service@efunds.com.cn</w:t>
      </w:r>
    </w:p>
    <w:p w:rsidR="007228CC" w:rsidRPr="00F17515" w:rsidRDefault="007228CC" w:rsidP="0071223F">
      <w:pPr>
        <w:snapToGrid w:val="0"/>
        <w:spacing w:line="360" w:lineRule="auto"/>
        <w:rPr>
          <w:rFonts w:asciiTheme="minorEastAsia" w:eastAsiaTheme="minorEastAsia" w:hAnsiTheme="minorEastAsia"/>
        </w:rPr>
      </w:pPr>
    </w:p>
    <w:p w:rsidR="007228CC" w:rsidRPr="00F17515" w:rsidRDefault="007228CC" w:rsidP="0071223F">
      <w:pPr>
        <w:snapToGrid w:val="0"/>
        <w:spacing w:line="360" w:lineRule="auto"/>
        <w:ind w:firstLine="640"/>
        <w:rPr>
          <w:rFonts w:asciiTheme="minorEastAsia" w:eastAsiaTheme="minorEastAsia" w:hAnsiTheme="minorEastAsia"/>
        </w:rPr>
      </w:pPr>
      <w:bookmarkStart w:id="1266" w:name="_Toc38438275"/>
      <w:bookmarkStart w:id="1267" w:name="_Toc38438612"/>
      <w:bookmarkStart w:id="1268" w:name="_Toc38438949"/>
      <w:bookmarkStart w:id="1269" w:name="_Toc38439286"/>
      <w:bookmarkStart w:id="1270" w:name="_Toc38439623"/>
      <w:bookmarkStart w:id="1271" w:name="_Toc38439960"/>
      <w:bookmarkStart w:id="1272" w:name="_Toc38440297"/>
      <w:bookmarkStart w:id="1273" w:name="_Toc38440630"/>
      <w:bookmarkStart w:id="1274" w:name="_Toc38440829"/>
      <w:bookmarkStart w:id="1275" w:name="_Toc38441161"/>
      <w:bookmarkStart w:id="1276" w:name="_Toc38441493"/>
      <w:bookmarkStart w:id="1277" w:name="_Toc38441821"/>
      <w:bookmarkStart w:id="1278" w:name="_Toc38442153"/>
      <w:bookmarkStart w:id="1279" w:name="_Toc38442485"/>
      <w:bookmarkStart w:id="1280" w:name="_Toc38442816"/>
      <w:bookmarkStart w:id="1281" w:name="_Toc38443147"/>
      <w:bookmarkStart w:id="1282" w:name="_Toc38443478"/>
      <w:bookmarkStart w:id="1283" w:name="_Toc38443809"/>
      <w:bookmarkStart w:id="1284" w:name="_Toc38438277"/>
      <w:bookmarkStart w:id="1285" w:name="_Toc38438614"/>
      <w:bookmarkStart w:id="1286" w:name="_Toc38438951"/>
      <w:bookmarkStart w:id="1287" w:name="_Toc38439288"/>
      <w:bookmarkStart w:id="1288" w:name="_Toc38439625"/>
      <w:bookmarkStart w:id="1289" w:name="_Toc38439962"/>
      <w:bookmarkStart w:id="1290" w:name="_Toc38440299"/>
      <w:bookmarkStart w:id="1291" w:name="_Toc38440632"/>
      <w:bookmarkStart w:id="1292" w:name="_Toc38440831"/>
      <w:bookmarkStart w:id="1293" w:name="_Toc38441163"/>
      <w:bookmarkStart w:id="1294" w:name="_Toc38441495"/>
      <w:bookmarkStart w:id="1295" w:name="_Toc38441823"/>
      <w:bookmarkStart w:id="1296" w:name="_Toc38442155"/>
      <w:bookmarkStart w:id="1297" w:name="_Toc38442487"/>
      <w:bookmarkStart w:id="1298" w:name="_Toc38442818"/>
      <w:bookmarkStart w:id="1299" w:name="_Toc38443149"/>
      <w:bookmarkStart w:id="1300" w:name="_Toc38443480"/>
      <w:bookmarkStart w:id="1301" w:name="_Toc38443811"/>
      <w:bookmarkStart w:id="1302" w:name="_Toc38438278"/>
      <w:bookmarkStart w:id="1303" w:name="_Toc38438615"/>
      <w:bookmarkStart w:id="1304" w:name="_Toc38438952"/>
      <w:bookmarkStart w:id="1305" w:name="_Toc38439289"/>
      <w:bookmarkStart w:id="1306" w:name="_Toc38439626"/>
      <w:bookmarkStart w:id="1307" w:name="_Toc38439963"/>
      <w:bookmarkStart w:id="1308" w:name="_Toc38440300"/>
      <w:bookmarkStart w:id="1309" w:name="_Toc38440633"/>
      <w:bookmarkStart w:id="1310" w:name="_Toc38440832"/>
      <w:bookmarkStart w:id="1311" w:name="_Toc38441164"/>
      <w:bookmarkStart w:id="1312" w:name="_Toc38441496"/>
      <w:bookmarkStart w:id="1313" w:name="_Toc38441824"/>
      <w:bookmarkStart w:id="1314" w:name="_Toc38442156"/>
      <w:bookmarkStart w:id="1315" w:name="_Toc38442488"/>
      <w:bookmarkStart w:id="1316" w:name="_Toc38442819"/>
      <w:bookmarkStart w:id="1317" w:name="_Toc38443150"/>
      <w:bookmarkStart w:id="1318" w:name="_Toc38443481"/>
      <w:bookmarkStart w:id="1319" w:name="_Toc38443812"/>
      <w:bookmarkStart w:id="1320" w:name="_Toc38438279"/>
      <w:bookmarkStart w:id="1321" w:name="_Toc38438616"/>
      <w:bookmarkStart w:id="1322" w:name="_Toc38438953"/>
      <w:bookmarkStart w:id="1323" w:name="_Toc38439290"/>
      <w:bookmarkStart w:id="1324" w:name="_Toc38439627"/>
      <w:bookmarkStart w:id="1325" w:name="_Toc38439964"/>
      <w:bookmarkStart w:id="1326" w:name="_Toc38440301"/>
      <w:bookmarkStart w:id="1327" w:name="_Toc38440634"/>
      <w:bookmarkStart w:id="1328" w:name="_Toc38440833"/>
      <w:bookmarkStart w:id="1329" w:name="_Toc38441165"/>
      <w:bookmarkStart w:id="1330" w:name="_Toc38441497"/>
      <w:bookmarkStart w:id="1331" w:name="_Toc38441825"/>
      <w:bookmarkStart w:id="1332" w:name="_Toc38442157"/>
      <w:bookmarkStart w:id="1333" w:name="_Toc38442489"/>
      <w:bookmarkStart w:id="1334" w:name="_Toc38442820"/>
      <w:bookmarkStart w:id="1335" w:name="_Toc38443151"/>
      <w:bookmarkStart w:id="1336" w:name="_Toc38443482"/>
      <w:bookmarkStart w:id="1337" w:name="_Toc38443813"/>
      <w:bookmarkStart w:id="1338" w:name="_Toc38438280"/>
      <w:bookmarkStart w:id="1339" w:name="_Toc38438617"/>
      <w:bookmarkStart w:id="1340" w:name="_Toc38438954"/>
      <w:bookmarkStart w:id="1341" w:name="_Toc38439291"/>
      <w:bookmarkStart w:id="1342" w:name="_Toc38439628"/>
      <w:bookmarkStart w:id="1343" w:name="_Toc38439965"/>
      <w:bookmarkStart w:id="1344" w:name="_Toc38440302"/>
      <w:bookmarkStart w:id="1345" w:name="_Toc38440635"/>
      <w:bookmarkStart w:id="1346" w:name="_Toc38440834"/>
      <w:bookmarkStart w:id="1347" w:name="_Toc38441166"/>
      <w:bookmarkStart w:id="1348" w:name="_Toc38441498"/>
      <w:bookmarkStart w:id="1349" w:name="_Toc38441826"/>
      <w:bookmarkStart w:id="1350" w:name="_Toc38442158"/>
      <w:bookmarkStart w:id="1351" w:name="_Toc38442490"/>
      <w:bookmarkStart w:id="1352" w:name="_Toc38442821"/>
      <w:bookmarkStart w:id="1353" w:name="_Toc38443152"/>
      <w:bookmarkStart w:id="1354" w:name="_Toc38443483"/>
      <w:bookmarkStart w:id="1355" w:name="_Toc38443814"/>
      <w:bookmarkStart w:id="1356" w:name="_Toc38438281"/>
      <w:bookmarkStart w:id="1357" w:name="_Toc38438618"/>
      <w:bookmarkStart w:id="1358" w:name="_Toc38438955"/>
      <w:bookmarkStart w:id="1359" w:name="_Toc38439292"/>
      <w:bookmarkStart w:id="1360" w:name="_Toc38439629"/>
      <w:bookmarkStart w:id="1361" w:name="_Toc38439966"/>
      <w:bookmarkStart w:id="1362" w:name="_Toc38440303"/>
      <w:bookmarkStart w:id="1363" w:name="_Toc38440636"/>
      <w:bookmarkStart w:id="1364" w:name="_Toc38440835"/>
      <w:bookmarkStart w:id="1365" w:name="_Toc38441167"/>
      <w:bookmarkStart w:id="1366" w:name="_Toc38441499"/>
      <w:bookmarkStart w:id="1367" w:name="_Toc38441827"/>
      <w:bookmarkStart w:id="1368" w:name="_Toc38442159"/>
      <w:bookmarkStart w:id="1369" w:name="_Toc38442491"/>
      <w:bookmarkStart w:id="1370" w:name="_Toc38442822"/>
      <w:bookmarkStart w:id="1371" w:name="_Toc38443153"/>
      <w:bookmarkStart w:id="1372" w:name="_Toc38443484"/>
      <w:bookmarkStart w:id="1373" w:name="_Toc38443815"/>
      <w:bookmarkStart w:id="1374" w:name="_Toc38438282"/>
      <w:bookmarkStart w:id="1375" w:name="_Toc38438619"/>
      <w:bookmarkStart w:id="1376" w:name="_Toc38438956"/>
      <w:bookmarkStart w:id="1377" w:name="_Toc38439293"/>
      <w:bookmarkStart w:id="1378" w:name="_Toc38439630"/>
      <w:bookmarkStart w:id="1379" w:name="_Toc38439967"/>
      <w:bookmarkStart w:id="1380" w:name="_Toc38440304"/>
      <w:bookmarkStart w:id="1381" w:name="_Toc38440637"/>
      <w:bookmarkStart w:id="1382" w:name="_Toc38440836"/>
      <w:bookmarkStart w:id="1383" w:name="_Toc38441168"/>
      <w:bookmarkStart w:id="1384" w:name="_Toc38441500"/>
      <w:bookmarkStart w:id="1385" w:name="_Toc38441828"/>
      <w:bookmarkStart w:id="1386" w:name="_Toc38442160"/>
      <w:bookmarkStart w:id="1387" w:name="_Toc38442492"/>
      <w:bookmarkStart w:id="1388" w:name="_Toc38442823"/>
      <w:bookmarkStart w:id="1389" w:name="_Toc38443154"/>
      <w:bookmarkStart w:id="1390" w:name="_Toc38443485"/>
      <w:bookmarkStart w:id="1391" w:name="_Toc38443816"/>
      <w:bookmarkStart w:id="1392" w:name="_Toc38438283"/>
      <w:bookmarkStart w:id="1393" w:name="_Toc38438620"/>
      <w:bookmarkStart w:id="1394" w:name="_Toc38438957"/>
      <w:bookmarkStart w:id="1395" w:name="_Toc38439294"/>
      <w:bookmarkStart w:id="1396" w:name="_Toc38439631"/>
      <w:bookmarkStart w:id="1397" w:name="_Toc38439968"/>
      <w:bookmarkStart w:id="1398" w:name="_Toc38440305"/>
      <w:bookmarkStart w:id="1399" w:name="_Toc38440638"/>
      <w:bookmarkStart w:id="1400" w:name="_Toc38440837"/>
      <w:bookmarkStart w:id="1401" w:name="_Toc38441169"/>
      <w:bookmarkStart w:id="1402" w:name="_Toc38441501"/>
      <w:bookmarkStart w:id="1403" w:name="_Toc38441829"/>
      <w:bookmarkStart w:id="1404" w:name="_Toc38442161"/>
      <w:bookmarkStart w:id="1405" w:name="_Toc38442493"/>
      <w:bookmarkStart w:id="1406" w:name="_Toc38442824"/>
      <w:bookmarkStart w:id="1407" w:name="_Toc38443155"/>
      <w:bookmarkStart w:id="1408" w:name="_Toc38443486"/>
      <w:bookmarkStart w:id="1409" w:name="_Toc38443817"/>
      <w:bookmarkStart w:id="1410" w:name="_Toc38438284"/>
      <w:bookmarkStart w:id="1411" w:name="_Toc38438621"/>
      <w:bookmarkStart w:id="1412" w:name="_Toc38438958"/>
      <w:bookmarkStart w:id="1413" w:name="_Toc38439295"/>
      <w:bookmarkStart w:id="1414" w:name="_Toc38439632"/>
      <w:bookmarkStart w:id="1415" w:name="_Toc38439969"/>
      <w:bookmarkStart w:id="1416" w:name="_Toc38440306"/>
      <w:bookmarkStart w:id="1417" w:name="_Toc38440639"/>
      <w:bookmarkStart w:id="1418" w:name="_Toc38440838"/>
      <w:bookmarkStart w:id="1419" w:name="_Toc38441170"/>
      <w:bookmarkStart w:id="1420" w:name="_Toc38441502"/>
      <w:bookmarkStart w:id="1421" w:name="_Toc38441830"/>
      <w:bookmarkStart w:id="1422" w:name="_Toc38442162"/>
      <w:bookmarkStart w:id="1423" w:name="_Toc38442494"/>
      <w:bookmarkStart w:id="1424" w:name="_Toc38442825"/>
      <w:bookmarkStart w:id="1425" w:name="_Toc38443156"/>
      <w:bookmarkStart w:id="1426" w:name="_Toc38443487"/>
      <w:bookmarkStart w:id="1427" w:name="_Toc38443818"/>
      <w:bookmarkStart w:id="1428" w:name="_Toc38438285"/>
      <w:bookmarkStart w:id="1429" w:name="_Toc38438622"/>
      <w:bookmarkStart w:id="1430" w:name="_Toc38438959"/>
      <w:bookmarkStart w:id="1431" w:name="_Toc38439296"/>
      <w:bookmarkStart w:id="1432" w:name="_Toc38439633"/>
      <w:bookmarkStart w:id="1433" w:name="_Toc38439970"/>
      <w:bookmarkStart w:id="1434" w:name="_Toc38440307"/>
      <w:bookmarkStart w:id="1435" w:name="_Toc38440640"/>
      <w:bookmarkStart w:id="1436" w:name="_Toc38440839"/>
      <w:bookmarkStart w:id="1437" w:name="_Toc38441171"/>
      <w:bookmarkStart w:id="1438" w:name="_Toc38441503"/>
      <w:bookmarkStart w:id="1439" w:name="_Toc38441831"/>
      <w:bookmarkStart w:id="1440" w:name="_Toc38442163"/>
      <w:bookmarkStart w:id="1441" w:name="_Toc38442495"/>
      <w:bookmarkStart w:id="1442" w:name="_Toc38442826"/>
      <w:bookmarkStart w:id="1443" w:name="_Toc38443157"/>
      <w:bookmarkStart w:id="1444" w:name="_Toc38443488"/>
      <w:bookmarkStart w:id="1445" w:name="_Toc38443819"/>
      <w:bookmarkStart w:id="1446" w:name="_Toc38438286"/>
      <w:bookmarkStart w:id="1447" w:name="_Toc38438623"/>
      <w:bookmarkStart w:id="1448" w:name="_Toc38438960"/>
      <w:bookmarkStart w:id="1449" w:name="_Toc38439297"/>
      <w:bookmarkStart w:id="1450" w:name="_Toc38439634"/>
      <w:bookmarkStart w:id="1451" w:name="_Toc38439971"/>
      <w:bookmarkStart w:id="1452" w:name="_Toc38440308"/>
      <w:bookmarkStart w:id="1453" w:name="_Toc38440641"/>
      <w:bookmarkStart w:id="1454" w:name="_Toc38440840"/>
      <w:bookmarkStart w:id="1455" w:name="_Toc38441172"/>
      <w:bookmarkStart w:id="1456" w:name="_Toc38441504"/>
      <w:bookmarkStart w:id="1457" w:name="_Toc38441832"/>
      <w:bookmarkStart w:id="1458" w:name="_Toc38442164"/>
      <w:bookmarkStart w:id="1459" w:name="_Toc38442496"/>
      <w:bookmarkStart w:id="1460" w:name="_Toc38442827"/>
      <w:bookmarkStart w:id="1461" w:name="_Toc38443158"/>
      <w:bookmarkStart w:id="1462" w:name="_Toc38443489"/>
      <w:bookmarkStart w:id="1463" w:name="_Toc38443820"/>
      <w:bookmarkStart w:id="1464" w:name="_Toc38438287"/>
      <w:bookmarkStart w:id="1465" w:name="_Toc38438624"/>
      <w:bookmarkStart w:id="1466" w:name="_Toc38438961"/>
      <w:bookmarkStart w:id="1467" w:name="_Toc38439298"/>
      <w:bookmarkStart w:id="1468" w:name="_Toc38439635"/>
      <w:bookmarkStart w:id="1469" w:name="_Toc38439972"/>
      <w:bookmarkStart w:id="1470" w:name="_Toc38440309"/>
      <w:bookmarkStart w:id="1471" w:name="_Toc38440642"/>
      <w:bookmarkStart w:id="1472" w:name="_Toc38440841"/>
      <w:bookmarkStart w:id="1473" w:name="_Toc38441173"/>
      <w:bookmarkStart w:id="1474" w:name="_Toc38441505"/>
      <w:bookmarkStart w:id="1475" w:name="_Toc38441833"/>
      <w:bookmarkStart w:id="1476" w:name="_Toc38442165"/>
      <w:bookmarkStart w:id="1477" w:name="_Toc38442497"/>
      <w:bookmarkStart w:id="1478" w:name="_Toc38442828"/>
      <w:bookmarkStart w:id="1479" w:name="_Toc38443159"/>
      <w:bookmarkStart w:id="1480" w:name="_Toc38443490"/>
      <w:bookmarkStart w:id="1481" w:name="_Toc38443821"/>
      <w:bookmarkStart w:id="1482" w:name="_Toc38438288"/>
      <w:bookmarkStart w:id="1483" w:name="_Toc38438625"/>
      <w:bookmarkStart w:id="1484" w:name="_Toc38438962"/>
      <w:bookmarkStart w:id="1485" w:name="_Toc38439299"/>
      <w:bookmarkStart w:id="1486" w:name="_Toc38439636"/>
      <w:bookmarkStart w:id="1487" w:name="_Toc38439973"/>
      <w:bookmarkStart w:id="1488" w:name="_Toc38440310"/>
      <w:bookmarkStart w:id="1489" w:name="_Toc38440643"/>
      <w:bookmarkStart w:id="1490" w:name="_Toc38440842"/>
      <w:bookmarkStart w:id="1491" w:name="_Toc38441174"/>
      <w:bookmarkStart w:id="1492" w:name="_Toc38441506"/>
      <w:bookmarkStart w:id="1493" w:name="_Toc38441834"/>
      <w:bookmarkStart w:id="1494" w:name="_Toc38442166"/>
      <w:bookmarkStart w:id="1495" w:name="_Toc38442498"/>
      <w:bookmarkStart w:id="1496" w:name="_Toc38442829"/>
      <w:bookmarkStart w:id="1497" w:name="_Toc38443160"/>
      <w:bookmarkStart w:id="1498" w:name="_Toc38443491"/>
      <w:bookmarkStart w:id="1499" w:name="_Toc38443822"/>
      <w:bookmarkStart w:id="1500" w:name="_Toc38438289"/>
      <w:bookmarkStart w:id="1501" w:name="_Toc38438626"/>
      <w:bookmarkStart w:id="1502" w:name="_Toc38438963"/>
      <w:bookmarkStart w:id="1503" w:name="_Toc38439300"/>
      <w:bookmarkStart w:id="1504" w:name="_Toc38439637"/>
      <w:bookmarkStart w:id="1505" w:name="_Toc38439974"/>
      <w:bookmarkStart w:id="1506" w:name="_Toc38440311"/>
      <w:bookmarkStart w:id="1507" w:name="_Toc38440644"/>
      <w:bookmarkStart w:id="1508" w:name="_Toc38440843"/>
      <w:bookmarkStart w:id="1509" w:name="_Toc38441175"/>
      <w:bookmarkStart w:id="1510" w:name="_Toc38441507"/>
      <w:bookmarkStart w:id="1511" w:name="_Toc38441835"/>
      <w:bookmarkStart w:id="1512" w:name="_Toc38442167"/>
      <w:bookmarkStart w:id="1513" w:name="_Toc38442499"/>
      <w:bookmarkStart w:id="1514" w:name="_Toc38442830"/>
      <w:bookmarkStart w:id="1515" w:name="_Toc38443161"/>
      <w:bookmarkStart w:id="1516" w:name="_Toc38443492"/>
      <w:bookmarkStart w:id="1517" w:name="_Toc38443823"/>
      <w:bookmarkStart w:id="1518" w:name="_Toc38438290"/>
      <w:bookmarkStart w:id="1519" w:name="_Toc38438627"/>
      <w:bookmarkStart w:id="1520" w:name="_Toc38438964"/>
      <w:bookmarkStart w:id="1521" w:name="_Toc38439301"/>
      <w:bookmarkStart w:id="1522" w:name="_Toc38439638"/>
      <w:bookmarkStart w:id="1523" w:name="_Toc38439975"/>
      <w:bookmarkStart w:id="1524" w:name="_Toc38440312"/>
      <w:bookmarkStart w:id="1525" w:name="_Toc38440645"/>
      <w:bookmarkStart w:id="1526" w:name="_Toc38440844"/>
      <w:bookmarkStart w:id="1527" w:name="_Toc38441176"/>
      <w:bookmarkStart w:id="1528" w:name="_Toc38441508"/>
      <w:bookmarkStart w:id="1529" w:name="_Toc38441836"/>
      <w:bookmarkStart w:id="1530" w:name="_Toc38442168"/>
      <w:bookmarkStart w:id="1531" w:name="_Toc38442500"/>
      <w:bookmarkStart w:id="1532" w:name="_Toc38442831"/>
      <w:bookmarkStart w:id="1533" w:name="_Toc38443162"/>
      <w:bookmarkStart w:id="1534" w:name="_Toc38443493"/>
      <w:bookmarkStart w:id="1535" w:name="_Toc38443824"/>
      <w:bookmarkStart w:id="1536" w:name="_Toc38438291"/>
      <w:bookmarkStart w:id="1537" w:name="_Toc38438628"/>
      <w:bookmarkStart w:id="1538" w:name="_Toc38438965"/>
      <w:bookmarkStart w:id="1539" w:name="_Toc38439302"/>
      <w:bookmarkStart w:id="1540" w:name="_Toc38439639"/>
      <w:bookmarkStart w:id="1541" w:name="_Toc38439976"/>
      <w:bookmarkStart w:id="1542" w:name="_Toc38440313"/>
      <w:bookmarkStart w:id="1543" w:name="_Toc38440646"/>
      <w:bookmarkStart w:id="1544" w:name="_Toc38440845"/>
      <w:bookmarkStart w:id="1545" w:name="_Toc38441177"/>
      <w:bookmarkStart w:id="1546" w:name="_Toc38441509"/>
      <w:bookmarkStart w:id="1547" w:name="_Toc38441837"/>
      <w:bookmarkStart w:id="1548" w:name="_Toc38442169"/>
      <w:bookmarkStart w:id="1549" w:name="_Toc38442501"/>
      <w:bookmarkStart w:id="1550" w:name="_Toc38442832"/>
      <w:bookmarkStart w:id="1551" w:name="_Toc38443163"/>
      <w:bookmarkStart w:id="1552" w:name="_Toc38443494"/>
      <w:bookmarkStart w:id="1553" w:name="_Toc38443825"/>
      <w:bookmarkStart w:id="1554" w:name="_Toc38438292"/>
      <w:bookmarkStart w:id="1555" w:name="_Toc38438629"/>
      <w:bookmarkStart w:id="1556" w:name="_Toc38438966"/>
      <w:bookmarkStart w:id="1557" w:name="_Toc38439303"/>
      <w:bookmarkStart w:id="1558" w:name="_Toc38439640"/>
      <w:bookmarkStart w:id="1559" w:name="_Toc38439977"/>
      <w:bookmarkStart w:id="1560" w:name="_Toc38440314"/>
      <w:bookmarkStart w:id="1561" w:name="_Toc38440647"/>
      <w:bookmarkStart w:id="1562" w:name="_Toc38440846"/>
      <w:bookmarkStart w:id="1563" w:name="_Toc38441178"/>
      <w:bookmarkStart w:id="1564" w:name="_Toc38441510"/>
      <w:bookmarkStart w:id="1565" w:name="_Toc38441838"/>
      <w:bookmarkStart w:id="1566" w:name="_Toc38442170"/>
      <w:bookmarkStart w:id="1567" w:name="_Toc38442502"/>
      <w:bookmarkStart w:id="1568" w:name="_Toc38442833"/>
      <w:bookmarkStart w:id="1569" w:name="_Toc38443164"/>
      <w:bookmarkStart w:id="1570" w:name="_Toc38443495"/>
      <w:bookmarkStart w:id="1571" w:name="_Toc38443826"/>
      <w:bookmarkStart w:id="1572" w:name="_Toc38438293"/>
      <w:bookmarkStart w:id="1573" w:name="_Toc38438630"/>
      <w:bookmarkStart w:id="1574" w:name="_Toc38438967"/>
      <w:bookmarkStart w:id="1575" w:name="_Toc38439304"/>
      <w:bookmarkStart w:id="1576" w:name="_Toc38439641"/>
      <w:bookmarkStart w:id="1577" w:name="_Toc38439978"/>
      <w:bookmarkStart w:id="1578" w:name="_Toc38440315"/>
      <w:bookmarkStart w:id="1579" w:name="_Toc38440648"/>
      <w:bookmarkStart w:id="1580" w:name="_Toc38440847"/>
      <w:bookmarkStart w:id="1581" w:name="_Toc38441179"/>
      <w:bookmarkStart w:id="1582" w:name="_Toc38441511"/>
      <w:bookmarkStart w:id="1583" w:name="_Toc38441839"/>
      <w:bookmarkStart w:id="1584" w:name="_Toc38442171"/>
      <w:bookmarkStart w:id="1585" w:name="_Toc38442503"/>
      <w:bookmarkStart w:id="1586" w:name="_Toc38442834"/>
      <w:bookmarkStart w:id="1587" w:name="_Toc38443165"/>
      <w:bookmarkStart w:id="1588" w:name="_Toc38443496"/>
      <w:bookmarkStart w:id="1589" w:name="_Toc38443827"/>
      <w:bookmarkStart w:id="1590" w:name="_Toc38438296"/>
      <w:bookmarkStart w:id="1591" w:name="_Toc38438633"/>
      <w:bookmarkStart w:id="1592" w:name="_Toc38438970"/>
      <w:bookmarkStart w:id="1593" w:name="_Toc38439307"/>
      <w:bookmarkStart w:id="1594" w:name="_Toc38439644"/>
      <w:bookmarkStart w:id="1595" w:name="_Toc38439981"/>
      <w:bookmarkStart w:id="1596" w:name="_Toc38440318"/>
      <w:bookmarkStart w:id="1597" w:name="_Toc38440651"/>
      <w:bookmarkStart w:id="1598" w:name="_Toc38440850"/>
      <w:bookmarkStart w:id="1599" w:name="_Toc38441182"/>
      <w:bookmarkStart w:id="1600" w:name="_Toc38441514"/>
      <w:bookmarkStart w:id="1601" w:name="_Toc38441842"/>
      <w:bookmarkStart w:id="1602" w:name="_Toc38442174"/>
      <w:bookmarkStart w:id="1603" w:name="_Toc38442506"/>
      <w:bookmarkStart w:id="1604" w:name="_Toc38442837"/>
      <w:bookmarkStart w:id="1605" w:name="_Toc38443168"/>
      <w:bookmarkStart w:id="1606" w:name="_Toc38443499"/>
      <w:bookmarkStart w:id="1607" w:name="_Toc38443830"/>
      <w:bookmarkStart w:id="1608" w:name="_Toc38438297"/>
      <w:bookmarkStart w:id="1609" w:name="_Toc38438634"/>
      <w:bookmarkStart w:id="1610" w:name="_Toc38438971"/>
      <w:bookmarkStart w:id="1611" w:name="_Toc38439308"/>
      <w:bookmarkStart w:id="1612" w:name="_Toc38439645"/>
      <w:bookmarkStart w:id="1613" w:name="_Toc38439982"/>
      <w:bookmarkStart w:id="1614" w:name="_Toc38440319"/>
      <w:bookmarkStart w:id="1615" w:name="_Toc38440652"/>
      <w:bookmarkStart w:id="1616" w:name="_Toc38440851"/>
      <w:bookmarkStart w:id="1617" w:name="_Toc38441183"/>
      <w:bookmarkStart w:id="1618" w:name="_Toc38441515"/>
      <w:bookmarkStart w:id="1619" w:name="_Toc38441843"/>
      <w:bookmarkStart w:id="1620" w:name="_Toc38442175"/>
      <w:bookmarkStart w:id="1621" w:name="_Toc38442507"/>
      <w:bookmarkStart w:id="1622" w:name="_Toc38442838"/>
      <w:bookmarkStart w:id="1623" w:name="_Toc38443169"/>
      <w:bookmarkStart w:id="1624" w:name="_Toc38443500"/>
      <w:bookmarkStart w:id="1625" w:name="_Toc38443831"/>
      <w:bookmarkStart w:id="1626" w:name="_Toc38438298"/>
      <w:bookmarkStart w:id="1627" w:name="_Toc38438635"/>
      <w:bookmarkStart w:id="1628" w:name="_Toc38438972"/>
      <w:bookmarkStart w:id="1629" w:name="_Toc38439309"/>
      <w:bookmarkStart w:id="1630" w:name="_Toc38439646"/>
      <w:bookmarkStart w:id="1631" w:name="_Toc38439983"/>
      <w:bookmarkStart w:id="1632" w:name="_Toc38440320"/>
      <w:bookmarkStart w:id="1633" w:name="_Toc38440653"/>
      <w:bookmarkStart w:id="1634" w:name="_Toc38440852"/>
      <w:bookmarkStart w:id="1635" w:name="_Toc38441184"/>
      <w:bookmarkStart w:id="1636" w:name="_Toc38441516"/>
      <w:bookmarkStart w:id="1637" w:name="_Toc38441844"/>
      <w:bookmarkStart w:id="1638" w:name="_Toc38442176"/>
      <w:bookmarkStart w:id="1639" w:name="_Toc38442508"/>
      <w:bookmarkStart w:id="1640" w:name="_Toc38442839"/>
      <w:bookmarkStart w:id="1641" w:name="_Toc38443170"/>
      <w:bookmarkStart w:id="1642" w:name="_Toc38443501"/>
      <w:bookmarkStart w:id="1643" w:name="_Toc38443832"/>
      <w:bookmarkStart w:id="1644" w:name="_Toc38438299"/>
      <w:bookmarkStart w:id="1645" w:name="_Toc38438636"/>
      <w:bookmarkStart w:id="1646" w:name="_Toc38438973"/>
      <w:bookmarkStart w:id="1647" w:name="_Toc38439310"/>
      <w:bookmarkStart w:id="1648" w:name="_Toc38439647"/>
      <w:bookmarkStart w:id="1649" w:name="_Toc38439984"/>
      <w:bookmarkStart w:id="1650" w:name="_Toc38440321"/>
      <w:bookmarkStart w:id="1651" w:name="_Toc38440654"/>
      <w:bookmarkStart w:id="1652" w:name="_Toc38440853"/>
      <w:bookmarkStart w:id="1653" w:name="_Toc38441185"/>
      <w:bookmarkStart w:id="1654" w:name="_Toc38441517"/>
      <w:bookmarkStart w:id="1655" w:name="_Toc38441845"/>
      <w:bookmarkStart w:id="1656" w:name="_Toc38442177"/>
      <w:bookmarkStart w:id="1657" w:name="_Toc38442509"/>
      <w:bookmarkStart w:id="1658" w:name="_Toc38442840"/>
      <w:bookmarkStart w:id="1659" w:name="_Toc38443171"/>
      <w:bookmarkStart w:id="1660" w:name="_Toc38443502"/>
      <w:bookmarkStart w:id="1661" w:name="_Toc38443833"/>
      <w:bookmarkStart w:id="1662" w:name="_Toc38438301"/>
      <w:bookmarkStart w:id="1663" w:name="_Toc38438638"/>
      <w:bookmarkStart w:id="1664" w:name="_Toc38438975"/>
      <w:bookmarkStart w:id="1665" w:name="_Toc38439312"/>
      <w:bookmarkStart w:id="1666" w:name="_Toc38439649"/>
      <w:bookmarkStart w:id="1667" w:name="_Toc38439986"/>
      <w:bookmarkStart w:id="1668" w:name="_Toc38440323"/>
      <w:bookmarkStart w:id="1669" w:name="_Toc38440656"/>
      <w:bookmarkStart w:id="1670" w:name="_Toc38440855"/>
      <w:bookmarkStart w:id="1671" w:name="_Toc38441187"/>
      <w:bookmarkStart w:id="1672" w:name="_Toc38441519"/>
      <w:bookmarkStart w:id="1673" w:name="_Toc38441847"/>
      <w:bookmarkStart w:id="1674" w:name="_Toc38442179"/>
      <w:bookmarkStart w:id="1675" w:name="_Toc38442511"/>
      <w:bookmarkStart w:id="1676" w:name="_Toc38442842"/>
      <w:bookmarkStart w:id="1677" w:name="_Toc38443173"/>
      <w:bookmarkStart w:id="1678" w:name="_Toc38443504"/>
      <w:bookmarkStart w:id="1679" w:name="_Toc38443835"/>
      <w:bookmarkStart w:id="1680" w:name="_Toc38438302"/>
      <w:bookmarkStart w:id="1681" w:name="_Toc38438639"/>
      <w:bookmarkStart w:id="1682" w:name="_Toc38438976"/>
      <w:bookmarkStart w:id="1683" w:name="_Toc38439313"/>
      <w:bookmarkStart w:id="1684" w:name="_Toc38439650"/>
      <w:bookmarkStart w:id="1685" w:name="_Toc38439987"/>
      <w:bookmarkStart w:id="1686" w:name="_Toc38440324"/>
      <w:bookmarkStart w:id="1687" w:name="_Toc38440657"/>
      <w:bookmarkStart w:id="1688" w:name="_Toc38440856"/>
      <w:bookmarkStart w:id="1689" w:name="_Toc38441188"/>
      <w:bookmarkStart w:id="1690" w:name="_Toc38441520"/>
      <w:bookmarkStart w:id="1691" w:name="_Toc38441848"/>
      <w:bookmarkStart w:id="1692" w:name="_Toc38442180"/>
      <w:bookmarkStart w:id="1693" w:name="_Toc38442512"/>
      <w:bookmarkStart w:id="1694" w:name="_Toc38442843"/>
      <w:bookmarkStart w:id="1695" w:name="_Toc38443174"/>
      <w:bookmarkStart w:id="1696" w:name="_Toc38443505"/>
      <w:bookmarkStart w:id="1697" w:name="_Toc38443836"/>
      <w:bookmarkStart w:id="1698" w:name="_Toc38438303"/>
      <w:bookmarkStart w:id="1699" w:name="_Toc38438640"/>
      <w:bookmarkStart w:id="1700" w:name="_Toc38438977"/>
      <w:bookmarkStart w:id="1701" w:name="_Toc38439314"/>
      <w:bookmarkStart w:id="1702" w:name="_Toc38439651"/>
      <w:bookmarkStart w:id="1703" w:name="_Toc38439988"/>
      <w:bookmarkStart w:id="1704" w:name="_Toc38440325"/>
      <w:bookmarkStart w:id="1705" w:name="_Toc38440658"/>
      <w:bookmarkStart w:id="1706" w:name="_Toc38440857"/>
      <w:bookmarkStart w:id="1707" w:name="_Toc38441189"/>
      <w:bookmarkStart w:id="1708" w:name="_Toc38441521"/>
      <w:bookmarkStart w:id="1709" w:name="_Toc38441849"/>
      <w:bookmarkStart w:id="1710" w:name="_Toc38442181"/>
      <w:bookmarkStart w:id="1711" w:name="_Toc38442513"/>
      <w:bookmarkStart w:id="1712" w:name="_Toc38442844"/>
      <w:bookmarkStart w:id="1713" w:name="_Toc38443175"/>
      <w:bookmarkStart w:id="1714" w:name="_Toc38443506"/>
      <w:bookmarkStart w:id="1715" w:name="_Toc38443837"/>
      <w:bookmarkStart w:id="1716" w:name="_Toc38438304"/>
      <w:bookmarkStart w:id="1717" w:name="_Toc38438641"/>
      <w:bookmarkStart w:id="1718" w:name="_Toc38438978"/>
      <w:bookmarkStart w:id="1719" w:name="_Toc38439315"/>
      <w:bookmarkStart w:id="1720" w:name="_Toc38439652"/>
      <w:bookmarkStart w:id="1721" w:name="_Toc38439989"/>
      <w:bookmarkStart w:id="1722" w:name="_Toc38440326"/>
      <w:bookmarkStart w:id="1723" w:name="_Toc38440659"/>
      <w:bookmarkStart w:id="1724" w:name="_Toc38440858"/>
      <w:bookmarkStart w:id="1725" w:name="_Toc38441190"/>
      <w:bookmarkStart w:id="1726" w:name="_Toc38441522"/>
      <w:bookmarkStart w:id="1727" w:name="_Toc38441850"/>
      <w:bookmarkStart w:id="1728" w:name="_Toc38442182"/>
      <w:bookmarkStart w:id="1729" w:name="_Toc38442514"/>
      <w:bookmarkStart w:id="1730" w:name="_Toc38442845"/>
      <w:bookmarkStart w:id="1731" w:name="_Toc38443176"/>
      <w:bookmarkStart w:id="1732" w:name="_Toc38443507"/>
      <w:bookmarkStart w:id="1733" w:name="_Toc38443838"/>
      <w:bookmarkStart w:id="1734" w:name="_Toc38438305"/>
      <w:bookmarkStart w:id="1735" w:name="_Toc38438642"/>
      <w:bookmarkStart w:id="1736" w:name="_Toc38438979"/>
      <w:bookmarkStart w:id="1737" w:name="_Toc38439316"/>
      <w:bookmarkStart w:id="1738" w:name="_Toc38439653"/>
      <w:bookmarkStart w:id="1739" w:name="_Toc38439990"/>
      <w:bookmarkStart w:id="1740" w:name="_Toc38440327"/>
      <w:bookmarkStart w:id="1741" w:name="_Toc38440660"/>
      <w:bookmarkStart w:id="1742" w:name="_Toc38440859"/>
      <w:bookmarkStart w:id="1743" w:name="_Toc38441191"/>
      <w:bookmarkStart w:id="1744" w:name="_Toc38441523"/>
      <w:bookmarkStart w:id="1745" w:name="_Toc38441851"/>
      <w:bookmarkStart w:id="1746" w:name="_Toc38442183"/>
      <w:bookmarkStart w:id="1747" w:name="_Toc38442515"/>
      <w:bookmarkStart w:id="1748" w:name="_Toc38442846"/>
      <w:bookmarkStart w:id="1749" w:name="_Toc38443177"/>
      <w:bookmarkStart w:id="1750" w:name="_Toc38443508"/>
      <w:bookmarkStart w:id="1751" w:name="_Toc38443839"/>
      <w:bookmarkStart w:id="1752" w:name="_Toc38438306"/>
      <w:bookmarkStart w:id="1753" w:name="_Toc38438643"/>
      <w:bookmarkStart w:id="1754" w:name="_Toc38438980"/>
      <w:bookmarkStart w:id="1755" w:name="_Toc38439317"/>
      <w:bookmarkStart w:id="1756" w:name="_Toc38439654"/>
      <w:bookmarkStart w:id="1757" w:name="_Toc38439991"/>
      <w:bookmarkStart w:id="1758" w:name="_Toc38440328"/>
      <w:bookmarkStart w:id="1759" w:name="_Toc38440661"/>
      <w:bookmarkStart w:id="1760" w:name="_Toc38440860"/>
      <w:bookmarkStart w:id="1761" w:name="_Toc38441192"/>
      <w:bookmarkStart w:id="1762" w:name="_Toc38441524"/>
      <w:bookmarkStart w:id="1763" w:name="_Toc38441852"/>
      <w:bookmarkStart w:id="1764" w:name="_Toc38442184"/>
      <w:bookmarkStart w:id="1765" w:name="_Toc38442516"/>
      <w:bookmarkStart w:id="1766" w:name="_Toc38442847"/>
      <w:bookmarkStart w:id="1767" w:name="_Toc38443178"/>
      <w:bookmarkStart w:id="1768" w:name="_Toc38443509"/>
      <w:bookmarkStart w:id="1769" w:name="_Toc38443840"/>
      <w:bookmarkStart w:id="1770" w:name="_Toc38438310"/>
      <w:bookmarkStart w:id="1771" w:name="_Toc38438647"/>
      <w:bookmarkStart w:id="1772" w:name="_Toc38438984"/>
      <w:bookmarkStart w:id="1773" w:name="_Toc38439321"/>
      <w:bookmarkStart w:id="1774" w:name="_Toc38439658"/>
      <w:bookmarkStart w:id="1775" w:name="_Toc38439995"/>
      <w:bookmarkStart w:id="1776" w:name="_Toc38440332"/>
      <w:bookmarkStart w:id="1777" w:name="_Toc38440665"/>
      <w:bookmarkStart w:id="1778" w:name="_Toc38440864"/>
      <w:bookmarkStart w:id="1779" w:name="_Toc38441196"/>
      <w:bookmarkStart w:id="1780" w:name="_Toc38441528"/>
      <w:bookmarkStart w:id="1781" w:name="_Toc38441856"/>
      <w:bookmarkStart w:id="1782" w:name="_Toc38442188"/>
      <w:bookmarkStart w:id="1783" w:name="_Toc38442520"/>
      <w:bookmarkStart w:id="1784" w:name="_Toc38442851"/>
      <w:bookmarkStart w:id="1785" w:name="_Toc38443182"/>
      <w:bookmarkStart w:id="1786" w:name="_Toc38443513"/>
      <w:bookmarkStart w:id="1787" w:name="_Toc38443844"/>
      <w:bookmarkStart w:id="1788" w:name="_Toc38438311"/>
      <w:bookmarkStart w:id="1789" w:name="_Toc38438648"/>
      <w:bookmarkStart w:id="1790" w:name="_Toc38438985"/>
      <w:bookmarkStart w:id="1791" w:name="_Toc38439322"/>
      <w:bookmarkStart w:id="1792" w:name="_Toc38439659"/>
      <w:bookmarkStart w:id="1793" w:name="_Toc38439996"/>
      <w:bookmarkStart w:id="1794" w:name="_Toc38440333"/>
      <w:bookmarkStart w:id="1795" w:name="_Toc38440666"/>
      <w:bookmarkStart w:id="1796" w:name="_Toc38440865"/>
      <w:bookmarkStart w:id="1797" w:name="_Toc38441197"/>
      <w:bookmarkStart w:id="1798" w:name="_Toc38441529"/>
      <w:bookmarkStart w:id="1799" w:name="_Toc38441857"/>
      <w:bookmarkStart w:id="1800" w:name="_Toc38442189"/>
      <w:bookmarkStart w:id="1801" w:name="_Toc38442521"/>
      <w:bookmarkStart w:id="1802" w:name="_Toc38442852"/>
      <w:bookmarkStart w:id="1803" w:name="_Toc38443183"/>
      <w:bookmarkStart w:id="1804" w:name="_Toc38443514"/>
      <w:bookmarkStart w:id="1805" w:name="_Toc38443845"/>
      <w:bookmarkStart w:id="1806" w:name="_Toc38438312"/>
      <w:bookmarkStart w:id="1807" w:name="_Toc38438649"/>
      <w:bookmarkStart w:id="1808" w:name="_Toc38438986"/>
      <w:bookmarkStart w:id="1809" w:name="_Toc38439323"/>
      <w:bookmarkStart w:id="1810" w:name="_Toc38439660"/>
      <w:bookmarkStart w:id="1811" w:name="_Toc38439997"/>
      <w:bookmarkStart w:id="1812" w:name="_Toc38440334"/>
      <w:bookmarkStart w:id="1813" w:name="_Toc38440667"/>
      <w:bookmarkStart w:id="1814" w:name="_Toc38440866"/>
      <w:bookmarkStart w:id="1815" w:name="_Toc38441198"/>
      <w:bookmarkStart w:id="1816" w:name="_Toc38441530"/>
      <w:bookmarkStart w:id="1817" w:name="_Toc38441858"/>
      <w:bookmarkStart w:id="1818" w:name="_Toc38442190"/>
      <w:bookmarkStart w:id="1819" w:name="_Toc38442522"/>
      <w:bookmarkStart w:id="1820" w:name="_Toc38442853"/>
      <w:bookmarkStart w:id="1821" w:name="_Toc38443184"/>
      <w:bookmarkStart w:id="1822" w:name="_Toc38443515"/>
      <w:bookmarkStart w:id="1823" w:name="_Toc38443846"/>
      <w:bookmarkStart w:id="1824" w:name="_Toc38438313"/>
      <w:bookmarkStart w:id="1825" w:name="_Toc38438650"/>
      <w:bookmarkStart w:id="1826" w:name="_Toc38438987"/>
      <w:bookmarkStart w:id="1827" w:name="_Toc38439324"/>
      <w:bookmarkStart w:id="1828" w:name="_Toc38439661"/>
      <w:bookmarkStart w:id="1829" w:name="_Toc38439998"/>
      <w:bookmarkStart w:id="1830" w:name="_Toc38440335"/>
      <w:bookmarkStart w:id="1831" w:name="_Toc38440668"/>
      <w:bookmarkStart w:id="1832" w:name="_Toc38440867"/>
      <w:bookmarkStart w:id="1833" w:name="_Toc38441199"/>
      <w:bookmarkStart w:id="1834" w:name="_Toc38441531"/>
      <w:bookmarkStart w:id="1835" w:name="_Toc38441859"/>
      <w:bookmarkStart w:id="1836" w:name="_Toc38442191"/>
      <w:bookmarkStart w:id="1837" w:name="_Toc38442523"/>
      <w:bookmarkStart w:id="1838" w:name="_Toc38442854"/>
      <w:bookmarkStart w:id="1839" w:name="_Toc38443185"/>
      <w:bookmarkStart w:id="1840" w:name="_Toc38443516"/>
      <w:bookmarkStart w:id="1841" w:name="_Toc38443847"/>
      <w:bookmarkStart w:id="1842" w:name="_Toc38438314"/>
      <w:bookmarkStart w:id="1843" w:name="_Toc38438651"/>
      <w:bookmarkStart w:id="1844" w:name="_Toc38438988"/>
      <w:bookmarkStart w:id="1845" w:name="_Toc38439325"/>
      <w:bookmarkStart w:id="1846" w:name="_Toc38439662"/>
      <w:bookmarkStart w:id="1847" w:name="_Toc38439999"/>
      <w:bookmarkStart w:id="1848" w:name="_Toc38440336"/>
      <w:bookmarkStart w:id="1849" w:name="_Toc38440669"/>
      <w:bookmarkStart w:id="1850" w:name="_Toc38440868"/>
      <w:bookmarkStart w:id="1851" w:name="_Toc38441200"/>
      <w:bookmarkStart w:id="1852" w:name="_Toc38441532"/>
      <w:bookmarkStart w:id="1853" w:name="_Toc38441860"/>
      <w:bookmarkStart w:id="1854" w:name="_Toc38442192"/>
      <w:bookmarkStart w:id="1855" w:name="_Toc38442524"/>
      <w:bookmarkStart w:id="1856" w:name="_Toc38442855"/>
      <w:bookmarkStart w:id="1857" w:name="_Toc38443186"/>
      <w:bookmarkStart w:id="1858" w:name="_Toc38443517"/>
      <w:bookmarkStart w:id="1859" w:name="_Toc38443848"/>
      <w:bookmarkStart w:id="1860" w:name="_Toc38438315"/>
      <w:bookmarkStart w:id="1861" w:name="_Toc38438652"/>
      <w:bookmarkStart w:id="1862" w:name="_Toc38438989"/>
      <w:bookmarkStart w:id="1863" w:name="_Toc38439326"/>
      <w:bookmarkStart w:id="1864" w:name="_Toc38439663"/>
      <w:bookmarkStart w:id="1865" w:name="_Toc38440000"/>
      <w:bookmarkStart w:id="1866" w:name="_Toc38440337"/>
      <w:bookmarkStart w:id="1867" w:name="_Toc38440670"/>
      <w:bookmarkStart w:id="1868" w:name="_Toc38440869"/>
      <w:bookmarkStart w:id="1869" w:name="_Toc38441201"/>
      <w:bookmarkStart w:id="1870" w:name="_Toc38441533"/>
      <w:bookmarkStart w:id="1871" w:name="_Toc38441861"/>
      <w:bookmarkStart w:id="1872" w:name="_Toc38442193"/>
      <w:bookmarkStart w:id="1873" w:name="_Toc38442525"/>
      <w:bookmarkStart w:id="1874" w:name="_Toc38442856"/>
      <w:bookmarkStart w:id="1875" w:name="_Toc38443187"/>
      <w:bookmarkStart w:id="1876" w:name="_Toc38443518"/>
      <w:bookmarkStart w:id="1877" w:name="_Toc38443849"/>
      <w:bookmarkStart w:id="1878" w:name="_Toc38438316"/>
      <w:bookmarkStart w:id="1879" w:name="_Toc38438653"/>
      <w:bookmarkStart w:id="1880" w:name="_Toc38438990"/>
      <w:bookmarkStart w:id="1881" w:name="_Toc38439327"/>
      <w:bookmarkStart w:id="1882" w:name="_Toc38439664"/>
      <w:bookmarkStart w:id="1883" w:name="_Toc38440001"/>
      <w:bookmarkStart w:id="1884" w:name="_Toc38440338"/>
      <w:bookmarkStart w:id="1885" w:name="_Toc38440671"/>
      <w:bookmarkStart w:id="1886" w:name="_Toc38440870"/>
      <w:bookmarkStart w:id="1887" w:name="_Toc38441202"/>
      <w:bookmarkStart w:id="1888" w:name="_Toc38441534"/>
      <w:bookmarkStart w:id="1889" w:name="_Toc38441862"/>
      <w:bookmarkStart w:id="1890" w:name="_Toc38442194"/>
      <w:bookmarkStart w:id="1891" w:name="_Toc38442526"/>
      <w:bookmarkStart w:id="1892" w:name="_Toc38442857"/>
      <w:bookmarkStart w:id="1893" w:name="_Toc38443188"/>
      <w:bookmarkStart w:id="1894" w:name="_Toc38443519"/>
      <w:bookmarkStart w:id="1895" w:name="_Toc38443850"/>
      <w:bookmarkStart w:id="1896" w:name="_Toc38438317"/>
      <w:bookmarkStart w:id="1897" w:name="_Toc38438654"/>
      <w:bookmarkStart w:id="1898" w:name="_Toc38438991"/>
      <w:bookmarkStart w:id="1899" w:name="_Toc38439328"/>
      <w:bookmarkStart w:id="1900" w:name="_Toc38439665"/>
      <w:bookmarkStart w:id="1901" w:name="_Toc38440002"/>
      <w:bookmarkStart w:id="1902" w:name="_Toc38440339"/>
      <w:bookmarkStart w:id="1903" w:name="_Toc38440672"/>
      <w:bookmarkStart w:id="1904" w:name="_Toc38440871"/>
      <w:bookmarkStart w:id="1905" w:name="_Toc38441203"/>
      <w:bookmarkStart w:id="1906" w:name="_Toc38441535"/>
      <w:bookmarkStart w:id="1907" w:name="_Toc38441863"/>
      <w:bookmarkStart w:id="1908" w:name="_Toc38442195"/>
      <w:bookmarkStart w:id="1909" w:name="_Toc38442527"/>
      <w:bookmarkStart w:id="1910" w:name="_Toc38442858"/>
      <w:bookmarkStart w:id="1911" w:name="_Toc38443189"/>
      <w:bookmarkStart w:id="1912" w:name="_Toc38443520"/>
      <w:bookmarkStart w:id="1913" w:name="_Toc38443851"/>
      <w:bookmarkStart w:id="1914" w:name="_Toc38438318"/>
      <w:bookmarkStart w:id="1915" w:name="_Toc38438655"/>
      <w:bookmarkStart w:id="1916" w:name="_Toc38438992"/>
      <w:bookmarkStart w:id="1917" w:name="_Toc38439329"/>
      <w:bookmarkStart w:id="1918" w:name="_Toc38439666"/>
      <w:bookmarkStart w:id="1919" w:name="_Toc38440003"/>
      <w:bookmarkStart w:id="1920" w:name="_Toc38440340"/>
      <w:bookmarkStart w:id="1921" w:name="_Toc38440673"/>
      <w:bookmarkStart w:id="1922" w:name="_Toc38440872"/>
      <w:bookmarkStart w:id="1923" w:name="_Toc38441204"/>
      <w:bookmarkStart w:id="1924" w:name="_Toc38441536"/>
      <w:bookmarkStart w:id="1925" w:name="_Toc38441864"/>
      <w:bookmarkStart w:id="1926" w:name="_Toc38442196"/>
      <w:bookmarkStart w:id="1927" w:name="_Toc38442528"/>
      <w:bookmarkStart w:id="1928" w:name="_Toc38442859"/>
      <w:bookmarkStart w:id="1929" w:name="_Toc38443190"/>
      <w:bookmarkStart w:id="1930" w:name="_Toc38443521"/>
      <w:bookmarkStart w:id="1931" w:name="_Toc38443852"/>
      <w:bookmarkStart w:id="1932" w:name="_Toc38438319"/>
      <w:bookmarkStart w:id="1933" w:name="_Toc38438656"/>
      <w:bookmarkStart w:id="1934" w:name="_Toc38438993"/>
      <w:bookmarkStart w:id="1935" w:name="_Toc38439330"/>
      <w:bookmarkStart w:id="1936" w:name="_Toc38439667"/>
      <w:bookmarkStart w:id="1937" w:name="_Toc38440004"/>
      <w:bookmarkStart w:id="1938" w:name="_Toc38440341"/>
      <w:bookmarkStart w:id="1939" w:name="_Toc38440674"/>
      <w:bookmarkStart w:id="1940" w:name="_Toc38440873"/>
      <w:bookmarkStart w:id="1941" w:name="_Toc38441205"/>
      <w:bookmarkStart w:id="1942" w:name="_Toc38441537"/>
      <w:bookmarkStart w:id="1943" w:name="_Toc38441865"/>
      <w:bookmarkStart w:id="1944" w:name="_Toc38442197"/>
      <w:bookmarkStart w:id="1945" w:name="_Toc38442529"/>
      <w:bookmarkStart w:id="1946" w:name="_Toc38442860"/>
      <w:bookmarkStart w:id="1947" w:name="_Toc38443191"/>
      <w:bookmarkStart w:id="1948" w:name="_Toc38443522"/>
      <w:bookmarkStart w:id="1949" w:name="_Toc38443853"/>
      <w:bookmarkStart w:id="1950" w:name="_Toc38438320"/>
      <w:bookmarkStart w:id="1951" w:name="_Toc38438657"/>
      <w:bookmarkStart w:id="1952" w:name="_Toc38438994"/>
      <w:bookmarkStart w:id="1953" w:name="_Toc38439331"/>
      <w:bookmarkStart w:id="1954" w:name="_Toc38439668"/>
      <w:bookmarkStart w:id="1955" w:name="_Toc38440005"/>
      <w:bookmarkStart w:id="1956" w:name="_Toc38440342"/>
      <w:bookmarkStart w:id="1957" w:name="_Toc38440675"/>
      <w:bookmarkStart w:id="1958" w:name="_Toc38440874"/>
      <w:bookmarkStart w:id="1959" w:name="_Toc38441206"/>
      <w:bookmarkStart w:id="1960" w:name="_Toc38441538"/>
      <w:bookmarkStart w:id="1961" w:name="_Toc38441866"/>
      <w:bookmarkStart w:id="1962" w:name="_Toc38442198"/>
      <w:bookmarkStart w:id="1963" w:name="_Toc38442530"/>
      <w:bookmarkStart w:id="1964" w:name="_Toc38442861"/>
      <w:bookmarkStart w:id="1965" w:name="_Toc38443192"/>
      <w:bookmarkStart w:id="1966" w:name="_Toc38443523"/>
      <w:bookmarkStart w:id="1967" w:name="_Toc38443854"/>
      <w:bookmarkStart w:id="1968" w:name="_Toc38438321"/>
      <w:bookmarkStart w:id="1969" w:name="_Toc38438658"/>
      <w:bookmarkStart w:id="1970" w:name="_Toc38438995"/>
      <w:bookmarkStart w:id="1971" w:name="_Toc38439332"/>
      <w:bookmarkStart w:id="1972" w:name="_Toc38439669"/>
      <w:bookmarkStart w:id="1973" w:name="_Toc38440006"/>
      <w:bookmarkStart w:id="1974" w:name="_Toc38440343"/>
      <w:bookmarkStart w:id="1975" w:name="_Toc38440676"/>
      <w:bookmarkStart w:id="1976" w:name="_Toc38440875"/>
      <w:bookmarkStart w:id="1977" w:name="_Toc38441207"/>
      <w:bookmarkStart w:id="1978" w:name="_Toc38441539"/>
      <w:bookmarkStart w:id="1979" w:name="_Toc38441867"/>
      <w:bookmarkStart w:id="1980" w:name="_Toc38442199"/>
      <w:bookmarkStart w:id="1981" w:name="_Toc38442531"/>
      <w:bookmarkStart w:id="1982" w:name="_Toc38442862"/>
      <w:bookmarkStart w:id="1983" w:name="_Toc38443193"/>
      <w:bookmarkStart w:id="1984" w:name="_Toc38443524"/>
      <w:bookmarkStart w:id="1985" w:name="_Toc38443855"/>
      <w:bookmarkStart w:id="1986" w:name="_Toc38438322"/>
      <w:bookmarkStart w:id="1987" w:name="_Toc38438659"/>
      <w:bookmarkStart w:id="1988" w:name="_Toc38438996"/>
      <w:bookmarkStart w:id="1989" w:name="_Toc38439333"/>
      <w:bookmarkStart w:id="1990" w:name="_Toc38439670"/>
      <w:bookmarkStart w:id="1991" w:name="_Toc38440007"/>
      <w:bookmarkStart w:id="1992" w:name="_Toc38440344"/>
      <w:bookmarkStart w:id="1993" w:name="_Toc38440677"/>
      <w:bookmarkStart w:id="1994" w:name="_Toc38440876"/>
      <w:bookmarkStart w:id="1995" w:name="_Toc38441208"/>
      <w:bookmarkStart w:id="1996" w:name="_Toc38441540"/>
      <w:bookmarkStart w:id="1997" w:name="_Toc38441868"/>
      <w:bookmarkStart w:id="1998" w:name="_Toc38442200"/>
      <w:bookmarkStart w:id="1999" w:name="_Toc38442532"/>
      <w:bookmarkStart w:id="2000" w:name="_Toc38442863"/>
      <w:bookmarkStart w:id="2001" w:name="_Toc38443194"/>
      <w:bookmarkStart w:id="2002" w:name="_Toc38443525"/>
      <w:bookmarkStart w:id="2003" w:name="_Toc38443856"/>
      <w:bookmarkStart w:id="2004" w:name="_Toc38438323"/>
      <w:bookmarkStart w:id="2005" w:name="_Toc38438660"/>
      <w:bookmarkStart w:id="2006" w:name="_Toc38438997"/>
      <w:bookmarkStart w:id="2007" w:name="_Toc38439334"/>
      <w:bookmarkStart w:id="2008" w:name="_Toc38439671"/>
      <w:bookmarkStart w:id="2009" w:name="_Toc38440008"/>
      <w:bookmarkStart w:id="2010" w:name="_Toc38440345"/>
      <w:bookmarkStart w:id="2011" w:name="_Toc38440678"/>
      <w:bookmarkStart w:id="2012" w:name="_Toc38440877"/>
      <w:bookmarkStart w:id="2013" w:name="_Toc38441209"/>
      <w:bookmarkStart w:id="2014" w:name="_Toc38441541"/>
      <w:bookmarkStart w:id="2015" w:name="_Toc38441869"/>
      <w:bookmarkStart w:id="2016" w:name="_Toc38442201"/>
      <w:bookmarkStart w:id="2017" w:name="_Toc38442533"/>
      <w:bookmarkStart w:id="2018" w:name="_Toc38442864"/>
      <w:bookmarkStart w:id="2019" w:name="_Toc38443195"/>
      <w:bookmarkStart w:id="2020" w:name="_Toc38443526"/>
      <w:bookmarkStart w:id="2021" w:name="_Toc38443857"/>
      <w:bookmarkStart w:id="2022" w:name="_Toc38438324"/>
      <w:bookmarkStart w:id="2023" w:name="_Toc38438661"/>
      <w:bookmarkStart w:id="2024" w:name="_Toc38438998"/>
      <w:bookmarkStart w:id="2025" w:name="_Toc38439335"/>
      <w:bookmarkStart w:id="2026" w:name="_Toc38439672"/>
      <w:bookmarkStart w:id="2027" w:name="_Toc38440009"/>
      <w:bookmarkStart w:id="2028" w:name="_Toc38440346"/>
      <w:bookmarkStart w:id="2029" w:name="_Toc38440679"/>
      <w:bookmarkStart w:id="2030" w:name="_Toc38440878"/>
      <w:bookmarkStart w:id="2031" w:name="_Toc38441210"/>
      <w:bookmarkStart w:id="2032" w:name="_Toc38441542"/>
      <w:bookmarkStart w:id="2033" w:name="_Toc38441870"/>
      <w:bookmarkStart w:id="2034" w:name="_Toc38442202"/>
      <w:bookmarkStart w:id="2035" w:name="_Toc38442534"/>
      <w:bookmarkStart w:id="2036" w:name="_Toc38442865"/>
      <w:bookmarkStart w:id="2037" w:name="_Toc38443196"/>
      <w:bookmarkStart w:id="2038" w:name="_Toc38443527"/>
      <w:bookmarkStart w:id="2039" w:name="_Toc38443858"/>
      <w:bookmarkStart w:id="2040" w:name="_Toc38438325"/>
      <w:bookmarkStart w:id="2041" w:name="_Toc38438662"/>
      <w:bookmarkStart w:id="2042" w:name="_Toc38438999"/>
      <w:bookmarkStart w:id="2043" w:name="_Toc38439336"/>
      <w:bookmarkStart w:id="2044" w:name="_Toc38439673"/>
      <w:bookmarkStart w:id="2045" w:name="_Toc38440010"/>
      <w:bookmarkStart w:id="2046" w:name="_Toc38440347"/>
      <w:bookmarkStart w:id="2047" w:name="_Toc38440879"/>
      <w:bookmarkStart w:id="2048" w:name="_Toc38441211"/>
      <w:bookmarkStart w:id="2049" w:name="_Toc38441543"/>
      <w:bookmarkStart w:id="2050" w:name="_Toc38441871"/>
      <w:bookmarkStart w:id="2051" w:name="_Toc38442203"/>
      <w:bookmarkStart w:id="2052" w:name="_Toc38442535"/>
      <w:bookmarkStart w:id="2053" w:name="_Toc38442866"/>
      <w:bookmarkStart w:id="2054" w:name="_Toc38443197"/>
      <w:bookmarkStart w:id="2055" w:name="_Toc38443528"/>
      <w:bookmarkStart w:id="2056" w:name="_Toc38443859"/>
      <w:bookmarkStart w:id="2057" w:name="_Toc38438326"/>
      <w:bookmarkStart w:id="2058" w:name="_Toc38438663"/>
      <w:bookmarkStart w:id="2059" w:name="_Toc38439000"/>
      <w:bookmarkStart w:id="2060" w:name="_Toc38439337"/>
      <w:bookmarkStart w:id="2061" w:name="_Toc38439674"/>
      <w:bookmarkStart w:id="2062" w:name="_Toc38440011"/>
      <w:bookmarkStart w:id="2063" w:name="_Toc38440348"/>
      <w:bookmarkStart w:id="2064" w:name="_Toc38440880"/>
      <w:bookmarkStart w:id="2065" w:name="_Toc38441212"/>
      <w:bookmarkStart w:id="2066" w:name="_Toc38441544"/>
      <w:bookmarkStart w:id="2067" w:name="_Toc38441872"/>
      <w:bookmarkStart w:id="2068" w:name="_Toc38442204"/>
      <w:bookmarkStart w:id="2069" w:name="_Toc38442536"/>
      <w:bookmarkStart w:id="2070" w:name="_Toc38442867"/>
      <w:bookmarkStart w:id="2071" w:name="_Toc38443198"/>
      <w:bookmarkStart w:id="2072" w:name="_Toc38443529"/>
      <w:bookmarkStart w:id="2073" w:name="_Toc38443860"/>
      <w:bookmarkStart w:id="2074" w:name="_Toc38438327"/>
      <w:bookmarkStart w:id="2075" w:name="_Toc38438664"/>
      <w:bookmarkStart w:id="2076" w:name="_Toc38439001"/>
      <w:bookmarkStart w:id="2077" w:name="_Toc38439338"/>
      <w:bookmarkStart w:id="2078" w:name="_Toc38439675"/>
      <w:bookmarkStart w:id="2079" w:name="_Toc38440012"/>
      <w:bookmarkStart w:id="2080" w:name="_Toc38440349"/>
      <w:bookmarkStart w:id="2081" w:name="_Toc38440881"/>
      <w:bookmarkStart w:id="2082" w:name="_Toc38441213"/>
      <w:bookmarkStart w:id="2083" w:name="_Toc38441545"/>
      <w:bookmarkStart w:id="2084" w:name="_Toc38441873"/>
      <w:bookmarkStart w:id="2085" w:name="_Toc38442205"/>
      <w:bookmarkStart w:id="2086" w:name="_Toc38442537"/>
      <w:bookmarkStart w:id="2087" w:name="_Toc38442868"/>
      <w:bookmarkStart w:id="2088" w:name="_Toc38443199"/>
      <w:bookmarkStart w:id="2089" w:name="_Toc38443530"/>
      <w:bookmarkStart w:id="2090" w:name="_Toc38443861"/>
      <w:bookmarkStart w:id="2091" w:name="_Toc38438328"/>
      <w:bookmarkStart w:id="2092" w:name="_Toc38438665"/>
      <w:bookmarkStart w:id="2093" w:name="_Toc38439002"/>
      <w:bookmarkStart w:id="2094" w:name="_Toc38439339"/>
      <w:bookmarkStart w:id="2095" w:name="_Toc38439676"/>
      <w:bookmarkStart w:id="2096" w:name="_Toc38440013"/>
      <w:bookmarkStart w:id="2097" w:name="_Toc38440350"/>
      <w:bookmarkStart w:id="2098" w:name="_Toc38440882"/>
      <w:bookmarkStart w:id="2099" w:name="_Toc38441214"/>
      <w:bookmarkStart w:id="2100" w:name="_Toc38441546"/>
      <w:bookmarkStart w:id="2101" w:name="_Toc38441874"/>
      <w:bookmarkStart w:id="2102" w:name="_Toc38442206"/>
      <w:bookmarkStart w:id="2103" w:name="_Toc38442538"/>
      <w:bookmarkStart w:id="2104" w:name="_Toc38442869"/>
      <w:bookmarkStart w:id="2105" w:name="_Toc38443200"/>
      <w:bookmarkStart w:id="2106" w:name="_Toc38443531"/>
      <w:bookmarkStart w:id="2107" w:name="_Toc38443862"/>
      <w:bookmarkStart w:id="2108" w:name="_Toc38438329"/>
      <w:bookmarkStart w:id="2109" w:name="_Toc38438666"/>
      <w:bookmarkStart w:id="2110" w:name="_Toc38439003"/>
      <w:bookmarkStart w:id="2111" w:name="_Toc38439340"/>
      <w:bookmarkStart w:id="2112" w:name="_Toc38439677"/>
      <w:bookmarkStart w:id="2113" w:name="_Toc38440014"/>
      <w:bookmarkStart w:id="2114" w:name="_Toc38440351"/>
      <w:bookmarkStart w:id="2115" w:name="_Toc38440883"/>
      <w:bookmarkStart w:id="2116" w:name="_Toc38441215"/>
      <w:bookmarkStart w:id="2117" w:name="_Toc38441547"/>
      <w:bookmarkStart w:id="2118" w:name="_Toc38441875"/>
      <w:bookmarkStart w:id="2119" w:name="_Toc38442207"/>
      <w:bookmarkStart w:id="2120" w:name="_Toc38442539"/>
      <w:bookmarkStart w:id="2121" w:name="_Toc38442870"/>
      <w:bookmarkStart w:id="2122" w:name="_Toc38443201"/>
      <w:bookmarkStart w:id="2123" w:name="_Toc38443532"/>
      <w:bookmarkStart w:id="2124" w:name="_Toc38443863"/>
      <w:bookmarkStart w:id="2125" w:name="_Toc38438330"/>
      <w:bookmarkStart w:id="2126" w:name="_Toc38438667"/>
      <w:bookmarkStart w:id="2127" w:name="_Toc38439004"/>
      <w:bookmarkStart w:id="2128" w:name="_Toc38439341"/>
      <w:bookmarkStart w:id="2129" w:name="_Toc38439678"/>
      <w:bookmarkStart w:id="2130" w:name="_Toc38440015"/>
      <w:bookmarkStart w:id="2131" w:name="_Toc38440352"/>
      <w:bookmarkStart w:id="2132" w:name="_Toc38440884"/>
      <w:bookmarkStart w:id="2133" w:name="_Toc38441216"/>
      <w:bookmarkStart w:id="2134" w:name="_Toc38441548"/>
      <w:bookmarkStart w:id="2135" w:name="_Toc38441876"/>
      <w:bookmarkStart w:id="2136" w:name="_Toc38442208"/>
      <w:bookmarkStart w:id="2137" w:name="_Toc38442540"/>
      <w:bookmarkStart w:id="2138" w:name="_Toc38442871"/>
      <w:bookmarkStart w:id="2139" w:name="_Toc38443202"/>
      <w:bookmarkStart w:id="2140" w:name="_Toc38443533"/>
      <w:bookmarkStart w:id="2141" w:name="_Toc38443864"/>
      <w:bookmarkStart w:id="2142" w:name="_Toc38438331"/>
      <w:bookmarkStart w:id="2143" w:name="_Toc38438668"/>
      <w:bookmarkStart w:id="2144" w:name="_Toc38439005"/>
      <w:bookmarkStart w:id="2145" w:name="_Toc38439342"/>
      <w:bookmarkStart w:id="2146" w:name="_Toc38439679"/>
      <w:bookmarkStart w:id="2147" w:name="_Toc38440016"/>
      <w:bookmarkStart w:id="2148" w:name="_Toc38440353"/>
      <w:bookmarkStart w:id="2149" w:name="_Toc38440885"/>
      <w:bookmarkStart w:id="2150" w:name="_Toc38441217"/>
      <w:bookmarkStart w:id="2151" w:name="_Toc38441549"/>
      <w:bookmarkStart w:id="2152" w:name="_Toc38441877"/>
      <w:bookmarkStart w:id="2153" w:name="_Toc38442209"/>
      <w:bookmarkStart w:id="2154" w:name="_Toc38442541"/>
      <w:bookmarkStart w:id="2155" w:name="_Toc38442872"/>
      <w:bookmarkStart w:id="2156" w:name="_Toc38443203"/>
      <w:bookmarkStart w:id="2157" w:name="_Toc38443534"/>
      <w:bookmarkStart w:id="2158" w:name="_Toc38443865"/>
      <w:bookmarkStart w:id="2159" w:name="_Toc38438332"/>
      <w:bookmarkStart w:id="2160" w:name="_Toc38438669"/>
      <w:bookmarkStart w:id="2161" w:name="_Toc38439006"/>
      <w:bookmarkStart w:id="2162" w:name="_Toc38439343"/>
      <w:bookmarkStart w:id="2163" w:name="_Toc38439680"/>
      <w:bookmarkStart w:id="2164" w:name="_Toc38440017"/>
      <w:bookmarkStart w:id="2165" w:name="_Toc38440354"/>
      <w:bookmarkStart w:id="2166" w:name="_Toc38440886"/>
      <w:bookmarkStart w:id="2167" w:name="_Toc38441218"/>
      <w:bookmarkStart w:id="2168" w:name="_Toc38441550"/>
      <w:bookmarkStart w:id="2169" w:name="_Toc38441878"/>
      <w:bookmarkStart w:id="2170" w:name="_Toc38442210"/>
      <w:bookmarkStart w:id="2171" w:name="_Toc38442542"/>
      <w:bookmarkStart w:id="2172" w:name="_Toc38442873"/>
      <w:bookmarkStart w:id="2173" w:name="_Toc38443204"/>
      <w:bookmarkStart w:id="2174" w:name="_Toc38443535"/>
      <w:bookmarkStart w:id="2175" w:name="_Toc38443866"/>
      <w:bookmarkStart w:id="2176" w:name="_Toc38438333"/>
      <w:bookmarkStart w:id="2177" w:name="_Toc38438670"/>
      <w:bookmarkStart w:id="2178" w:name="_Toc38439007"/>
      <w:bookmarkStart w:id="2179" w:name="_Toc38439344"/>
      <w:bookmarkStart w:id="2180" w:name="_Toc38439681"/>
      <w:bookmarkStart w:id="2181" w:name="_Toc38440018"/>
      <w:bookmarkStart w:id="2182" w:name="_Toc38440355"/>
      <w:bookmarkStart w:id="2183" w:name="_Toc38440887"/>
      <w:bookmarkStart w:id="2184" w:name="_Toc38441219"/>
      <w:bookmarkStart w:id="2185" w:name="_Toc38441551"/>
      <w:bookmarkStart w:id="2186" w:name="_Toc38441879"/>
      <w:bookmarkStart w:id="2187" w:name="_Toc38442211"/>
      <w:bookmarkStart w:id="2188" w:name="_Toc38442543"/>
      <w:bookmarkStart w:id="2189" w:name="_Toc38442874"/>
      <w:bookmarkStart w:id="2190" w:name="_Toc38443205"/>
      <w:bookmarkStart w:id="2191" w:name="_Toc38443536"/>
      <w:bookmarkStart w:id="2192" w:name="_Toc38443867"/>
      <w:bookmarkStart w:id="2193" w:name="_Toc38438334"/>
      <w:bookmarkStart w:id="2194" w:name="_Toc38438671"/>
      <w:bookmarkStart w:id="2195" w:name="_Toc38439008"/>
      <w:bookmarkStart w:id="2196" w:name="_Toc38439345"/>
      <w:bookmarkStart w:id="2197" w:name="_Toc38439682"/>
      <w:bookmarkStart w:id="2198" w:name="_Toc38440019"/>
      <w:bookmarkStart w:id="2199" w:name="_Toc38440356"/>
      <w:bookmarkStart w:id="2200" w:name="_Toc38440888"/>
      <w:bookmarkStart w:id="2201" w:name="_Toc38441220"/>
      <w:bookmarkStart w:id="2202" w:name="_Toc38441552"/>
      <w:bookmarkStart w:id="2203" w:name="_Toc38441880"/>
      <w:bookmarkStart w:id="2204" w:name="_Toc38442212"/>
      <w:bookmarkStart w:id="2205" w:name="_Toc38442544"/>
      <w:bookmarkStart w:id="2206" w:name="_Toc38442875"/>
      <w:bookmarkStart w:id="2207" w:name="_Toc38443206"/>
      <w:bookmarkStart w:id="2208" w:name="_Toc38443537"/>
      <w:bookmarkStart w:id="2209" w:name="_Toc38443868"/>
      <w:bookmarkStart w:id="2210" w:name="_Toc38438335"/>
      <w:bookmarkStart w:id="2211" w:name="_Toc38438672"/>
      <w:bookmarkStart w:id="2212" w:name="_Toc38439009"/>
      <w:bookmarkStart w:id="2213" w:name="_Toc38439346"/>
      <w:bookmarkStart w:id="2214" w:name="_Toc38439683"/>
      <w:bookmarkStart w:id="2215" w:name="_Toc38440020"/>
      <w:bookmarkStart w:id="2216" w:name="_Toc38440357"/>
      <w:bookmarkStart w:id="2217" w:name="_Toc38440889"/>
      <w:bookmarkStart w:id="2218" w:name="_Toc38441221"/>
      <w:bookmarkStart w:id="2219" w:name="_Toc38441553"/>
      <w:bookmarkStart w:id="2220" w:name="_Toc38441881"/>
      <w:bookmarkStart w:id="2221" w:name="_Toc38442213"/>
      <w:bookmarkStart w:id="2222" w:name="_Toc38442545"/>
      <w:bookmarkStart w:id="2223" w:name="_Toc38442876"/>
      <w:bookmarkStart w:id="2224" w:name="_Toc38443207"/>
      <w:bookmarkStart w:id="2225" w:name="_Toc38443538"/>
      <w:bookmarkStart w:id="2226" w:name="_Toc38443869"/>
      <w:bookmarkStart w:id="2227" w:name="_Toc38438336"/>
      <w:bookmarkStart w:id="2228" w:name="_Toc38438673"/>
      <w:bookmarkStart w:id="2229" w:name="_Toc38439010"/>
      <w:bookmarkStart w:id="2230" w:name="_Toc38439347"/>
      <w:bookmarkStart w:id="2231" w:name="_Toc38439684"/>
      <w:bookmarkStart w:id="2232" w:name="_Toc38440021"/>
      <w:bookmarkStart w:id="2233" w:name="_Toc38440358"/>
      <w:bookmarkStart w:id="2234" w:name="_Toc38440890"/>
      <w:bookmarkStart w:id="2235" w:name="_Toc38441222"/>
      <w:bookmarkStart w:id="2236" w:name="_Toc38441554"/>
      <w:bookmarkStart w:id="2237" w:name="_Toc38441882"/>
      <w:bookmarkStart w:id="2238" w:name="_Toc38442214"/>
      <w:bookmarkStart w:id="2239" w:name="_Toc38442546"/>
      <w:bookmarkStart w:id="2240" w:name="_Toc38442877"/>
      <w:bookmarkStart w:id="2241" w:name="_Toc38443208"/>
      <w:bookmarkStart w:id="2242" w:name="_Toc38443539"/>
      <w:bookmarkStart w:id="2243" w:name="_Toc38443870"/>
      <w:bookmarkStart w:id="2244" w:name="_Toc38438337"/>
      <w:bookmarkStart w:id="2245" w:name="_Toc38438674"/>
      <w:bookmarkStart w:id="2246" w:name="_Toc38439011"/>
      <w:bookmarkStart w:id="2247" w:name="_Toc38439348"/>
      <w:bookmarkStart w:id="2248" w:name="_Toc38439685"/>
      <w:bookmarkStart w:id="2249" w:name="_Toc38440022"/>
      <w:bookmarkStart w:id="2250" w:name="_Toc38440359"/>
      <w:bookmarkStart w:id="2251" w:name="_Toc38440891"/>
      <w:bookmarkStart w:id="2252" w:name="_Toc38441223"/>
      <w:bookmarkStart w:id="2253" w:name="_Toc38441555"/>
      <w:bookmarkStart w:id="2254" w:name="_Toc38441883"/>
      <w:bookmarkStart w:id="2255" w:name="_Toc38442215"/>
      <w:bookmarkStart w:id="2256" w:name="_Toc38442547"/>
      <w:bookmarkStart w:id="2257" w:name="_Toc38442878"/>
      <w:bookmarkStart w:id="2258" w:name="_Toc38443209"/>
      <w:bookmarkStart w:id="2259" w:name="_Toc38443540"/>
      <w:bookmarkStart w:id="2260" w:name="_Toc38443871"/>
      <w:bookmarkStart w:id="2261" w:name="_Toc38438338"/>
      <w:bookmarkStart w:id="2262" w:name="_Toc38438675"/>
      <w:bookmarkStart w:id="2263" w:name="_Toc38439012"/>
      <w:bookmarkStart w:id="2264" w:name="_Toc38439349"/>
      <w:bookmarkStart w:id="2265" w:name="_Toc38439686"/>
      <w:bookmarkStart w:id="2266" w:name="_Toc38440023"/>
      <w:bookmarkStart w:id="2267" w:name="_Toc38440360"/>
      <w:bookmarkStart w:id="2268" w:name="_Toc38440892"/>
      <w:bookmarkStart w:id="2269" w:name="_Toc38441224"/>
      <w:bookmarkStart w:id="2270" w:name="_Toc38441556"/>
      <w:bookmarkStart w:id="2271" w:name="_Toc38441884"/>
      <w:bookmarkStart w:id="2272" w:name="_Toc38442216"/>
      <w:bookmarkStart w:id="2273" w:name="_Toc38442548"/>
      <w:bookmarkStart w:id="2274" w:name="_Toc38442879"/>
      <w:bookmarkStart w:id="2275" w:name="_Toc38443210"/>
      <w:bookmarkStart w:id="2276" w:name="_Toc38443541"/>
      <w:bookmarkStart w:id="2277" w:name="_Toc38443872"/>
      <w:bookmarkStart w:id="2278" w:name="_Toc38438339"/>
      <w:bookmarkStart w:id="2279" w:name="_Toc38438676"/>
      <w:bookmarkStart w:id="2280" w:name="_Toc38439013"/>
      <w:bookmarkStart w:id="2281" w:name="_Toc38439350"/>
      <w:bookmarkStart w:id="2282" w:name="_Toc38439687"/>
      <w:bookmarkStart w:id="2283" w:name="_Toc38440024"/>
      <w:bookmarkStart w:id="2284" w:name="_Toc38440361"/>
      <w:bookmarkStart w:id="2285" w:name="_Toc38440893"/>
      <w:bookmarkStart w:id="2286" w:name="_Toc38441225"/>
      <w:bookmarkStart w:id="2287" w:name="_Toc38441557"/>
      <w:bookmarkStart w:id="2288" w:name="_Toc38441885"/>
      <w:bookmarkStart w:id="2289" w:name="_Toc38442217"/>
      <w:bookmarkStart w:id="2290" w:name="_Toc38442549"/>
      <w:bookmarkStart w:id="2291" w:name="_Toc38442880"/>
      <w:bookmarkStart w:id="2292" w:name="_Toc38443211"/>
      <w:bookmarkStart w:id="2293" w:name="_Toc38443542"/>
      <w:bookmarkStart w:id="2294" w:name="_Toc38443873"/>
      <w:bookmarkStart w:id="2295" w:name="_Toc38438340"/>
      <w:bookmarkStart w:id="2296" w:name="_Toc38438677"/>
      <w:bookmarkStart w:id="2297" w:name="_Toc38439014"/>
      <w:bookmarkStart w:id="2298" w:name="_Toc38439351"/>
      <w:bookmarkStart w:id="2299" w:name="_Toc38439688"/>
      <w:bookmarkStart w:id="2300" w:name="_Toc38440025"/>
      <w:bookmarkStart w:id="2301" w:name="_Toc38440362"/>
      <w:bookmarkStart w:id="2302" w:name="_Toc38440894"/>
      <w:bookmarkStart w:id="2303" w:name="_Toc38441226"/>
      <w:bookmarkStart w:id="2304" w:name="_Toc38441558"/>
      <w:bookmarkStart w:id="2305" w:name="_Toc38441886"/>
      <w:bookmarkStart w:id="2306" w:name="_Toc38442218"/>
      <w:bookmarkStart w:id="2307" w:name="_Toc38442550"/>
      <w:bookmarkStart w:id="2308" w:name="_Toc38442881"/>
      <w:bookmarkStart w:id="2309" w:name="_Toc38443212"/>
      <w:bookmarkStart w:id="2310" w:name="_Toc38443543"/>
      <w:bookmarkStart w:id="2311" w:name="_Toc38443874"/>
      <w:bookmarkStart w:id="2312" w:name="_Toc38438341"/>
      <w:bookmarkStart w:id="2313" w:name="_Toc38438678"/>
      <w:bookmarkStart w:id="2314" w:name="_Toc38439015"/>
      <w:bookmarkStart w:id="2315" w:name="_Toc38439352"/>
      <w:bookmarkStart w:id="2316" w:name="_Toc38439689"/>
      <w:bookmarkStart w:id="2317" w:name="_Toc38440026"/>
      <w:bookmarkStart w:id="2318" w:name="_Toc38440363"/>
      <w:bookmarkStart w:id="2319" w:name="_Toc38440895"/>
      <w:bookmarkStart w:id="2320" w:name="_Toc38441227"/>
      <w:bookmarkStart w:id="2321" w:name="_Toc38441559"/>
      <w:bookmarkStart w:id="2322" w:name="_Toc38441887"/>
      <w:bookmarkStart w:id="2323" w:name="_Toc38442219"/>
      <w:bookmarkStart w:id="2324" w:name="_Toc38442551"/>
      <w:bookmarkStart w:id="2325" w:name="_Toc38442882"/>
      <w:bookmarkStart w:id="2326" w:name="_Toc38443213"/>
      <w:bookmarkStart w:id="2327" w:name="_Toc38443544"/>
      <w:bookmarkStart w:id="2328" w:name="_Toc38443875"/>
      <w:bookmarkStart w:id="2329" w:name="_Toc38438342"/>
      <w:bookmarkStart w:id="2330" w:name="_Toc38438679"/>
      <w:bookmarkStart w:id="2331" w:name="_Toc38439016"/>
      <w:bookmarkStart w:id="2332" w:name="_Toc38439353"/>
      <w:bookmarkStart w:id="2333" w:name="_Toc38439690"/>
      <w:bookmarkStart w:id="2334" w:name="_Toc38440027"/>
      <w:bookmarkStart w:id="2335" w:name="_Toc38440364"/>
      <w:bookmarkStart w:id="2336" w:name="_Toc38440896"/>
      <w:bookmarkStart w:id="2337" w:name="_Toc38441228"/>
      <w:bookmarkStart w:id="2338" w:name="_Toc38441560"/>
      <w:bookmarkStart w:id="2339" w:name="_Toc38441888"/>
      <w:bookmarkStart w:id="2340" w:name="_Toc38442220"/>
      <w:bookmarkStart w:id="2341" w:name="_Toc38442552"/>
      <w:bookmarkStart w:id="2342" w:name="_Toc38442883"/>
      <w:bookmarkStart w:id="2343" w:name="_Toc38443214"/>
      <w:bookmarkStart w:id="2344" w:name="_Toc38443545"/>
      <w:bookmarkStart w:id="2345" w:name="_Toc38443876"/>
      <w:bookmarkStart w:id="2346" w:name="_Toc38438343"/>
      <w:bookmarkStart w:id="2347" w:name="_Toc38438680"/>
      <w:bookmarkStart w:id="2348" w:name="_Toc38439017"/>
      <w:bookmarkStart w:id="2349" w:name="_Toc38439354"/>
      <w:bookmarkStart w:id="2350" w:name="_Toc38439691"/>
      <w:bookmarkStart w:id="2351" w:name="_Toc38440028"/>
      <w:bookmarkStart w:id="2352" w:name="_Toc38440365"/>
      <w:bookmarkStart w:id="2353" w:name="_Toc38440897"/>
      <w:bookmarkStart w:id="2354" w:name="_Toc38441229"/>
      <w:bookmarkStart w:id="2355" w:name="_Toc38441561"/>
      <w:bookmarkStart w:id="2356" w:name="_Toc38441889"/>
      <w:bookmarkStart w:id="2357" w:name="_Toc38442221"/>
      <w:bookmarkStart w:id="2358" w:name="_Toc38442553"/>
      <w:bookmarkStart w:id="2359" w:name="_Toc38442884"/>
      <w:bookmarkStart w:id="2360" w:name="_Toc38443215"/>
      <w:bookmarkStart w:id="2361" w:name="_Toc38443546"/>
      <w:bookmarkStart w:id="2362" w:name="_Toc38443877"/>
      <w:bookmarkEnd w:id="1224"/>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rsidR="007228CC" w:rsidRPr="00F17515" w:rsidRDefault="007228CC" w:rsidP="00941EC8">
      <w:pPr>
        <w:pStyle w:val="1"/>
        <w:numPr>
          <w:ilvl w:val="0"/>
          <w:numId w:val="17"/>
        </w:numPr>
        <w:tabs>
          <w:tab w:val="clear" w:pos="2798"/>
          <w:tab w:val="num" w:pos="0"/>
        </w:tabs>
        <w:snapToGrid w:val="0"/>
        <w:spacing w:beforeLines="0" w:afterLines="0" w:line="360" w:lineRule="auto"/>
        <w:ind w:left="0" w:firstLineChars="0" w:firstLine="640"/>
        <w:rPr>
          <w:rFonts w:asciiTheme="minorEastAsia" w:eastAsiaTheme="minorEastAsia" w:hAnsiTheme="minorEastAsia"/>
        </w:rPr>
        <w:sectPr w:rsidR="007228CC" w:rsidRPr="00F17515" w:rsidSect="00DE4B5E">
          <w:pgSz w:w="11906" w:h="16838" w:code="9"/>
          <w:pgMar w:top="1440" w:right="1800" w:bottom="1440" w:left="1800" w:header="851" w:footer="992" w:gutter="0"/>
          <w:cols w:space="425"/>
          <w:docGrid w:type="lines" w:linePitch="312"/>
        </w:sectPr>
      </w:pPr>
    </w:p>
    <w:p w:rsidR="006634BB" w:rsidRPr="00F17515" w:rsidRDefault="007228CC" w:rsidP="00DB15B5">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2363" w:name="_Toc41556886"/>
      <w:r w:rsidRPr="00F17515">
        <w:rPr>
          <w:rFonts w:asciiTheme="minorEastAsia" w:eastAsiaTheme="minorEastAsia" w:hAnsiTheme="minorEastAsia" w:hint="eastAsia"/>
          <w:b/>
        </w:rPr>
        <w:lastRenderedPageBreak/>
        <w:t>其他应披露事项</w:t>
      </w:r>
      <w:bookmarkStart w:id="2364" w:name="_Toc38438350"/>
      <w:bookmarkStart w:id="2365" w:name="_Toc38438687"/>
      <w:bookmarkStart w:id="2366" w:name="_Toc38439024"/>
      <w:bookmarkStart w:id="2367" w:name="_Toc38439361"/>
      <w:bookmarkStart w:id="2368" w:name="_Toc38439698"/>
      <w:bookmarkStart w:id="2369" w:name="_Toc38440035"/>
      <w:bookmarkStart w:id="2370" w:name="_Toc38440372"/>
      <w:bookmarkStart w:id="2371" w:name="_Toc38440904"/>
      <w:bookmarkStart w:id="2372" w:name="_Toc38441236"/>
      <w:bookmarkStart w:id="2373" w:name="_Toc38441568"/>
      <w:bookmarkStart w:id="2374" w:name="_Toc38441896"/>
      <w:bookmarkStart w:id="2375" w:name="_Toc38442228"/>
      <w:bookmarkStart w:id="2376" w:name="_Toc38442560"/>
      <w:bookmarkStart w:id="2377" w:name="_Toc38442891"/>
      <w:bookmarkStart w:id="2378" w:name="_Toc38443222"/>
      <w:bookmarkStart w:id="2379" w:name="_Toc38443553"/>
      <w:bookmarkStart w:id="2380" w:name="_Toc38443883"/>
      <w:bookmarkStart w:id="2381" w:name="_Toc38438351"/>
      <w:bookmarkStart w:id="2382" w:name="_Toc38438688"/>
      <w:bookmarkStart w:id="2383" w:name="_Toc38439025"/>
      <w:bookmarkStart w:id="2384" w:name="_Toc38439362"/>
      <w:bookmarkStart w:id="2385" w:name="_Toc38439699"/>
      <w:bookmarkStart w:id="2386" w:name="_Toc38440036"/>
      <w:bookmarkStart w:id="2387" w:name="_Toc38440373"/>
      <w:bookmarkStart w:id="2388" w:name="_Toc38440905"/>
      <w:bookmarkStart w:id="2389" w:name="_Toc38441237"/>
      <w:bookmarkStart w:id="2390" w:name="_Toc38441569"/>
      <w:bookmarkStart w:id="2391" w:name="_Toc38441897"/>
      <w:bookmarkStart w:id="2392" w:name="_Toc38442229"/>
      <w:bookmarkStart w:id="2393" w:name="_Toc38442561"/>
      <w:bookmarkStart w:id="2394" w:name="_Toc38442892"/>
      <w:bookmarkStart w:id="2395" w:name="_Toc38443223"/>
      <w:bookmarkStart w:id="2396" w:name="_Toc38443554"/>
      <w:bookmarkStart w:id="2397" w:name="_Toc38443884"/>
      <w:bookmarkStart w:id="2398" w:name="_Toc38438352"/>
      <w:bookmarkStart w:id="2399" w:name="_Toc38438689"/>
      <w:bookmarkStart w:id="2400" w:name="_Toc38439026"/>
      <w:bookmarkStart w:id="2401" w:name="_Toc38439363"/>
      <w:bookmarkStart w:id="2402" w:name="_Toc38439700"/>
      <w:bookmarkStart w:id="2403" w:name="_Toc38440037"/>
      <w:bookmarkStart w:id="2404" w:name="_Toc38440374"/>
      <w:bookmarkStart w:id="2405" w:name="_Toc38440906"/>
      <w:bookmarkStart w:id="2406" w:name="_Toc38441238"/>
      <w:bookmarkStart w:id="2407" w:name="_Toc38441570"/>
      <w:bookmarkStart w:id="2408" w:name="_Toc38441898"/>
      <w:bookmarkStart w:id="2409" w:name="_Toc38442230"/>
      <w:bookmarkStart w:id="2410" w:name="_Toc38442562"/>
      <w:bookmarkStart w:id="2411" w:name="_Toc38442893"/>
      <w:bookmarkStart w:id="2412" w:name="_Toc38443224"/>
      <w:bookmarkStart w:id="2413" w:name="_Toc38443555"/>
      <w:bookmarkStart w:id="2414" w:name="_Toc38443885"/>
      <w:bookmarkStart w:id="2415" w:name="_Toc38438353"/>
      <w:bookmarkStart w:id="2416" w:name="_Toc38438690"/>
      <w:bookmarkStart w:id="2417" w:name="_Toc38439027"/>
      <w:bookmarkStart w:id="2418" w:name="_Toc38439364"/>
      <w:bookmarkStart w:id="2419" w:name="_Toc38439701"/>
      <w:bookmarkStart w:id="2420" w:name="_Toc38440038"/>
      <w:bookmarkStart w:id="2421" w:name="_Toc38440375"/>
      <w:bookmarkStart w:id="2422" w:name="_Toc38440907"/>
      <w:bookmarkStart w:id="2423" w:name="_Toc38441239"/>
      <w:bookmarkStart w:id="2424" w:name="_Toc38441571"/>
      <w:bookmarkStart w:id="2425" w:name="_Toc38441899"/>
      <w:bookmarkStart w:id="2426" w:name="_Toc38442231"/>
      <w:bookmarkStart w:id="2427" w:name="_Toc38442563"/>
      <w:bookmarkStart w:id="2428" w:name="_Toc38442894"/>
      <w:bookmarkStart w:id="2429" w:name="_Toc38443225"/>
      <w:bookmarkStart w:id="2430" w:name="_Toc38443556"/>
      <w:bookmarkStart w:id="2431" w:name="_Toc38443886"/>
      <w:bookmarkStart w:id="2432" w:name="_Toc38438354"/>
      <w:bookmarkStart w:id="2433" w:name="_Toc38438691"/>
      <w:bookmarkStart w:id="2434" w:name="_Toc38439028"/>
      <w:bookmarkStart w:id="2435" w:name="_Toc38439365"/>
      <w:bookmarkStart w:id="2436" w:name="_Toc38439702"/>
      <w:bookmarkStart w:id="2437" w:name="_Toc38440039"/>
      <w:bookmarkStart w:id="2438" w:name="_Toc38440376"/>
      <w:bookmarkStart w:id="2439" w:name="_Toc38440908"/>
      <w:bookmarkStart w:id="2440" w:name="_Toc38441240"/>
      <w:bookmarkStart w:id="2441" w:name="_Toc38441572"/>
      <w:bookmarkStart w:id="2442" w:name="_Toc38441900"/>
      <w:bookmarkStart w:id="2443" w:name="_Toc38442232"/>
      <w:bookmarkStart w:id="2444" w:name="_Toc38442564"/>
      <w:bookmarkStart w:id="2445" w:name="_Toc38442895"/>
      <w:bookmarkStart w:id="2446" w:name="_Toc38443226"/>
      <w:bookmarkStart w:id="2447" w:name="_Toc38443557"/>
      <w:bookmarkStart w:id="2448" w:name="_Toc38443887"/>
      <w:bookmarkStart w:id="2449" w:name="_Toc38438355"/>
      <w:bookmarkStart w:id="2450" w:name="_Toc38438692"/>
      <w:bookmarkStart w:id="2451" w:name="_Toc38439029"/>
      <w:bookmarkStart w:id="2452" w:name="_Toc38439366"/>
      <w:bookmarkStart w:id="2453" w:name="_Toc38439703"/>
      <w:bookmarkStart w:id="2454" w:name="_Toc38440040"/>
      <w:bookmarkStart w:id="2455" w:name="_Toc38440377"/>
      <w:bookmarkStart w:id="2456" w:name="_Toc38440909"/>
      <w:bookmarkStart w:id="2457" w:name="_Toc38441241"/>
      <w:bookmarkStart w:id="2458" w:name="_Toc38441573"/>
      <w:bookmarkStart w:id="2459" w:name="_Toc38441901"/>
      <w:bookmarkStart w:id="2460" w:name="_Toc38442233"/>
      <w:bookmarkStart w:id="2461" w:name="_Toc38442565"/>
      <w:bookmarkStart w:id="2462" w:name="_Toc38442896"/>
      <w:bookmarkStart w:id="2463" w:name="_Toc38443227"/>
      <w:bookmarkStart w:id="2464" w:name="_Toc38443558"/>
      <w:bookmarkStart w:id="2465" w:name="_Toc38443888"/>
      <w:bookmarkStart w:id="2466" w:name="_Toc38438356"/>
      <w:bookmarkStart w:id="2467" w:name="_Toc38438693"/>
      <w:bookmarkStart w:id="2468" w:name="_Toc38439030"/>
      <w:bookmarkStart w:id="2469" w:name="_Toc38439367"/>
      <w:bookmarkStart w:id="2470" w:name="_Toc38439704"/>
      <w:bookmarkStart w:id="2471" w:name="_Toc38440041"/>
      <w:bookmarkStart w:id="2472" w:name="_Toc38440378"/>
      <w:bookmarkStart w:id="2473" w:name="_Toc38440910"/>
      <w:bookmarkStart w:id="2474" w:name="_Toc38441242"/>
      <w:bookmarkStart w:id="2475" w:name="_Toc38441574"/>
      <w:bookmarkStart w:id="2476" w:name="_Toc38441902"/>
      <w:bookmarkStart w:id="2477" w:name="_Toc38442234"/>
      <w:bookmarkStart w:id="2478" w:name="_Toc38442566"/>
      <w:bookmarkStart w:id="2479" w:name="_Toc38442897"/>
      <w:bookmarkStart w:id="2480" w:name="_Toc38443228"/>
      <w:bookmarkStart w:id="2481" w:name="_Toc38443559"/>
      <w:bookmarkStart w:id="2482" w:name="_Toc38443889"/>
      <w:bookmarkStart w:id="2483" w:name="_Toc38438357"/>
      <w:bookmarkStart w:id="2484" w:name="_Toc38438694"/>
      <w:bookmarkStart w:id="2485" w:name="_Toc38439031"/>
      <w:bookmarkStart w:id="2486" w:name="_Toc38439368"/>
      <w:bookmarkStart w:id="2487" w:name="_Toc38439705"/>
      <w:bookmarkStart w:id="2488" w:name="_Toc38440042"/>
      <w:bookmarkStart w:id="2489" w:name="_Toc38440379"/>
      <w:bookmarkStart w:id="2490" w:name="_Toc38440911"/>
      <w:bookmarkStart w:id="2491" w:name="_Toc38441243"/>
      <w:bookmarkStart w:id="2492" w:name="_Toc38441575"/>
      <w:bookmarkStart w:id="2493" w:name="_Toc38441903"/>
      <w:bookmarkStart w:id="2494" w:name="_Toc38442235"/>
      <w:bookmarkStart w:id="2495" w:name="_Toc38442567"/>
      <w:bookmarkStart w:id="2496" w:name="_Toc38442898"/>
      <w:bookmarkStart w:id="2497" w:name="_Toc38443229"/>
      <w:bookmarkStart w:id="2498" w:name="_Toc38443560"/>
      <w:bookmarkStart w:id="2499" w:name="_Toc38443890"/>
      <w:bookmarkStart w:id="2500" w:name="_Toc38438358"/>
      <w:bookmarkStart w:id="2501" w:name="_Toc38438695"/>
      <w:bookmarkStart w:id="2502" w:name="_Toc38439032"/>
      <w:bookmarkStart w:id="2503" w:name="_Toc38439369"/>
      <w:bookmarkStart w:id="2504" w:name="_Toc38439706"/>
      <w:bookmarkStart w:id="2505" w:name="_Toc38440043"/>
      <w:bookmarkStart w:id="2506" w:name="_Toc38440380"/>
      <w:bookmarkStart w:id="2507" w:name="_Toc38440912"/>
      <w:bookmarkStart w:id="2508" w:name="_Toc38441244"/>
      <w:bookmarkStart w:id="2509" w:name="_Toc38441576"/>
      <w:bookmarkStart w:id="2510" w:name="_Toc38441904"/>
      <w:bookmarkStart w:id="2511" w:name="_Toc38442236"/>
      <w:bookmarkStart w:id="2512" w:name="_Toc38442568"/>
      <w:bookmarkStart w:id="2513" w:name="_Toc38442899"/>
      <w:bookmarkStart w:id="2514" w:name="_Toc38443230"/>
      <w:bookmarkStart w:id="2515" w:name="_Toc38443561"/>
      <w:bookmarkStart w:id="2516" w:name="_Toc38443891"/>
      <w:bookmarkStart w:id="2517" w:name="_Toc38438359"/>
      <w:bookmarkStart w:id="2518" w:name="_Toc38438696"/>
      <w:bookmarkStart w:id="2519" w:name="_Toc38439033"/>
      <w:bookmarkStart w:id="2520" w:name="_Toc38439370"/>
      <w:bookmarkStart w:id="2521" w:name="_Toc38439707"/>
      <w:bookmarkStart w:id="2522" w:name="_Toc38440044"/>
      <w:bookmarkStart w:id="2523" w:name="_Toc38440381"/>
      <w:bookmarkStart w:id="2524" w:name="_Toc38440913"/>
      <w:bookmarkStart w:id="2525" w:name="_Toc38441245"/>
      <w:bookmarkStart w:id="2526" w:name="_Toc38441577"/>
      <w:bookmarkStart w:id="2527" w:name="_Toc38441905"/>
      <w:bookmarkStart w:id="2528" w:name="_Toc38442237"/>
      <w:bookmarkStart w:id="2529" w:name="_Toc38442569"/>
      <w:bookmarkStart w:id="2530" w:name="_Toc38442900"/>
      <w:bookmarkStart w:id="2531" w:name="_Toc38443231"/>
      <w:bookmarkStart w:id="2532" w:name="_Toc38443562"/>
      <w:bookmarkStart w:id="2533" w:name="_Toc38443892"/>
      <w:bookmarkStart w:id="2534" w:name="_Toc38438360"/>
      <w:bookmarkStart w:id="2535" w:name="_Toc38438697"/>
      <w:bookmarkStart w:id="2536" w:name="_Toc38439034"/>
      <w:bookmarkStart w:id="2537" w:name="_Toc38439371"/>
      <w:bookmarkStart w:id="2538" w:name="_Toc38439708"/>
      <w:bookmarkStart w:id="2539" w:name="_Toc38440045"/>
      <w:bookmarkStart w:id="2540" w:name="_Toc38440382"/>
      <w:bookmarkStart w:id="2541" w:name="_Toc38440914"/>
      <w:bookmarkStart w:id="2542" w:name="_Toc38441246"/>
      <w:bookmarkStart w:id="2543" w:name="_Toc38441578"/>
      <w:bookmarkStart w:id="2544" w:name="_Toc38441906"/>
      <w:bookmarkStart w:id="2545" w:name="_Toc38442238"/>
      <w:bookmarkStart w:id="2546" w:name="_Toc38442570"/>
      <w:bookmarkStart w:id="2547" w:name="_Toc38442901"/>
      <w:bookmarkStart w:id="2548" w:name="_Toc38443232"/>
      <w:bookmarkStart w:id="2549" w:name="_Toc38443563"/>
      <w:bookmarkStart w:id="2550" w:name="_Toc38443893"/>
      <w:bookmarkStart w:id="2551" w:name="_Toc38438361"/>
      <w:bookmarkStart w:id="2552" w:name="_Toc38438698"/>
      <w:bookmarkStart w:id="2553" w:name="_Toc38439035"/>
      <w:bookmarkStart w:id="2554" w:name="_Toc38439372"/>
      <w:bookmarkStart w:id="2555" w:name="_Toc38439709"/>
      <w:bookmarkStart w:id="2556" w:name="_Toc38440046"/>
      <w:bookmarkStart w:id="2557" w:name="_Toc38440383"/>
      <w:bookmarkStart w:id="2558" w:name="_Toc38440915"/>
      <w:bookmarkStart w:id="2559" w:name="_Toc38441247"/>
      <w:bookmarkStart w:id="2560" w:name="_Toc38441579"/>
      <w:bookmarkStart w:id="2561" w:name="_Toc38441907"/>
      <w:bookmarkStart w:id="2562" w:name="_Toc38442239"/>
      <w:bookmarkStart w:id="2563" w:name="_Toc38442571"/>
      <w:bookmarkStart w:id="2564" w:name="_Toc38442902"/>
      <w:bookmarkStart w:id="2565" w:name="_Toc38443233"/>
      <w:bookmarkStart w:id="2566" w:name="_Toc38443564"/>
      <w:bookmarkStart w:id="2567" w:name="_Toc38443894"/>
      <w:bookmarkStart w:id="2568" w:name="_Toc38438362"/>
      <w:bookmarkStart w:id="2569" w:name="_Toc38438699"/>
      <w:bookmarkStart w:id="2570" w:name="_Toc38439036"/>
      <w:bookmarkStart w:id="2571" w:name="_Toc38439373"/>
      <w:bookmarkStart w:id="2572" w:name="_Toc38439710"/>
      <w:bookmarkStart w:id="2573" w:name="_Toc38440047"/>
      <w:bookmarkStart w:id="2574" w:name="_Toc38440384"/>
      <w:bookmarkStart w:id="2575" w:name="_Toc38440916"/>
      <w:bookmarkStart w:id="2576" w:name="_Toc38441248"/>
      <w:bookmarkStart w:id="2577" w:name="_Toc38441580"/>
      <w:bookmarkStart w:id="2578" w:name="_Toc38441908"/>
      <w:bookmarkStart w:id="2579" w:name="_Toc38442240"/>
      <w:bookmarkStart w:id="2580" w:name="_Toc38442572"/>
      <w:bookmarkStart w:id="2581" w:name="_Toc38442903"/>
      <w:bookmarkStart w:id="2582" w:name="_Toc38443234"/>
      <w:bookmarkStart w:id="2583" w:name="_Toc38443565"/>
      <w:bookmarkStart w:id="2584" w:name="_Toc38443895"/>
      <w:bookmarkStart w:id="2585" w:name="_Toc38438363"/>
      <w:bookmarkStart w:id="2586" w:name="_Toc38438700"/>
      <w:bookmarkStart w:id="2587" w:name="_Toc38439037"/>
      <w:bookmarkStart w:id="2588" w:name="_Toc38439374"/>
      <w:bookmarkStart w:id="2589" w:name="_Toc38439711"/>
      <w:bookmarkStart w:id="2590" w:name="_Toc38440048"/>
      <w:bookmarkStart w:id="2591" w:name="_Toc38440385"/>
      <w:bookmarkStart w:id="2592" w:name="_Toc38440917"/>
      <w:bookmarkStart w:id="2593" w:name="_Toc38441249"/>
      <w:bookmarkStart w:id="2594" w:name="_Toc38441581"/>
      <w:bookmarkStart w:id="2595" w:name="_Toc38441909"/>
      <w:bookmarkStart w:id="2596" w:name="_Toc38442241"/>
      <w:bookmarkStart w:id="2597" w:name="_Toc38442573"/>
      <w:bookmarkStart w:id="2598" w:name="_Toc38442904"/>
      <w:bookmarkStart w:id="2599" w:name="_Toc38443235"/>
      <w:bookmarkStart w:id="2600" w:name="_Toc38443566"/>
      <w:bookmarkStart w:id="2601" w:name="_Toc38443896"/>
      <w:bookmarkStart w:id="2602" w:name="_Toc38438364"/>
      <w:bookmarkStart w:id="2603" w:name="_Toc38438701"/>
      <w:bookmarkStart w:id="2604" w:name="_Toc38439038"/>
      <w:bookmarkStart w:id="2605" w:name="_Toc38439375"/>
      <w:bookmarkStart w:id="2606" w:name="_Toc38439712"/>
      <w:bookmarkStart w:id="2607" w:name="_Toc38440049"/>
      <w:bookmarkStart w:id="2608" w:name="_Toc38440386"/>
      <w:bookmarkStart w:id="2609" w:name="_Toc38440918"/>
      <w:bookmarkStart w:id="2610" w:name="_Toc38441250"/>
      <w:bookmarkStart w:id="2611" w:name="_Toc38441582"/>
      <w:bookmarkStart w:id="2612" w:name="_Toc38441910"/>
      <w:bookmarkStart w:id="2613" w:name="_Toc38442242"/>
      <w:bookmarkStart w:id="2614" w:name="_Toc38442574"/>
      <w:bookmarkStart w:id="2615" w:name="_Toc38442905"/>
      <w:bookmarkStart w:id="2616" w:name="_Toc38443236"/>
      <w:bookmarkStart w:id="2617" w:name="_Toc38443567"/>
      <w:bookmarkStart w:id="2618" w:name="_Toc38443897"/>
      <w:bookmarkStart w:id="2619" w:name="_Toc38438365"/>
      <w:bookmarkStart w:id="2620" w:name="_Toc38438702"/>
      <w:bookmarkStart w:id="2621" w:name="_Toc38439039"/>
      <w:bookmarkStart w:id="2622" w:name="_Toc38439376"/>
      <w:bookmarkStart w:id="2623" w:name="_Toc38439713"/>
      <w:bookmarkStart w:id="2624" w:name="_Toc38440050"/>
      <w:bookmarkStart w:id="2625" w:name="_Toc38440387"/>
      <w:bookmarkStart w:id="2626" w:name="_Toc38440919"/>
      <w:bookmarkStart w:id="2627" w:name="_Toc38441251"/>
      <w:bookmarkStart w:id="2628" w:name="_Toc38441583"/>
      <w:bookmarkStart w:id="2629" w:name="_Toc38441911"/>
      <w:bookmarkStart w:id="2630" w:name="_Toc38442243"/>
      <w:bookmarkStart w:id="2631" w:name="_Toc38442575"/>
      <w:bookmarkStart w:id="2632" w:name="_Toc38442906"/>
      <w:bookmarkStart w:id="2633" w:name="_Toc38443237"/>
      <w:bookmarkStart w:id="2634" w:name="_Toc38443568"/>
      <w:bookmarkStart w:id="2635" w:name="_Toc38443898"/>
      <w:bookmarkStart w:id="2636" w:name="_Toc38438366"/>
      <w:bookmarkStart w:id="2637" w:name="_Toc38438703"/>
      <w:bookmarkStart w:id="2638" w:name="_Toc38439040"/>
      <w:bookmarkStart w:id="2639" w:name="_Toc38439377"/>
      <w:bookmarkStart w:id="2640" w:name="_Toc38439714"/>
      <w:bookmarkStart w:id="2641" w:name="_Toc38440051"/>
      <w:bookmarkStart w:id="2642" w:name="_Toc38440388"/>
      <w:bookmarkStart w:id="2643" w:name="_Toc38440920"/>
      <w:bookmarkStart w:id="2644" w:name="_Toc38441252"/>
      <w:bookmarkStart w:id="2645" w:name="_Toc38441584"/>
      <w:bookmarkStart w:id="2646" w:name="_Toc38441912"/>
      <w:bookmarkStart w:id="2647" w:name="_Toc38442244"/>
      <w:bookmarkStart w:id="2648" w:name="_Toc38442576"/>
      <w:bookmarkStart w:id="2649" w:name="_Toc38442907"/>
      <w:bookmarkStart w:id="2650" w:name="_Toc38443238"/>
      <w:bookmarkStart w:id="2651" w:name="_Toc38443569"/>
      <w:bookmarkStart w:id="2652" w:name="_Toc38443899"/>
      <w:bookmarkStart w:id="2653" w:name="_Toc38438367"/>
      <w:bookmarkStart w:id="2654" w:name="_Toc38438704"/>
      <w:bookmarkStart w:id="2655" w:name="_Toc38439041"/>
      <w:bookmarkStart w:id="2656" w:name="_Toc38439378"/>
      <w:bookmarkStart w:id="2657" w:name="_Toc38439715"/>
      <w:bookmarkStart w:id="2658" w:name="_Toc38440052"/>
      <w:bookmarkStart w:id="2659" w:name="_Toc38440389"/>
      <w:bookmarkStart w:id="2660" w:name="_Toc38440921"/>
      <w:bookmarkStart w:id="2661" w:name="_Toc38441253"/>
      <w:bookmarkStart w:id="2662" w:name="_Toc38441585"/>
      <w:bookmarkStart w:id="2663" w:name="_Toc38441913"/>
      <w:bookmarkStart w:id="2664" w:name="_Toc38442245"/>
      <w:bookmarkStart w:id="2665" w:name="_Toc38442577"/>
      <w:bookmarkStart w:id="2666" w:name="_Toc38442908"/>
      <w:bookmarkStart w:id="2667" w:name="_Toc38443239"/>
      <w:bookmarkStart w:id="2668" w:name="_Toc38443570"/>
      <w:bookmarkStart w:id="2669" w:name="_Toc38443900"/>
      <w:bookmarkStart w:id="2670" w:name="_Toc38438368"/>
      <w:bookmarkStart w:id="2671" w:name="_Toc38438705"/>
      <w:bookmarkStart w:id="2672" w:name="_Toc38439042"/>
      <w:bookmarkStart w:id="2673" w:name="_Toc38439379"/>
      <w:bookmarkStart w:id="2674" w:name="_Toc38439716"/>
      <w:bookmarkStart w:id="2675" w:name="_Toc38440053"/>
      <w:bookmarkStart w:id="2676" w:name="_Toc38440390"/>
      <w:bookmarkStart w:id="2677" w:name="_Toc38440922"/>
      <w:bookmarkStart w:id="2678" w:name="_Toc38441254"/>
      <w:bookmarkStart w:id="2679" w:name="_Toc38441586"/>
      <w:bookmarkStart w:id="2680" w:name="_Toc38441914"/>
      <w:bookmarkStart w:id="2681" w:name="_Toc38442246"/>
      <w:bookmarkStart w:id="2682" w:name="_Toc38442578"/>
      <w:bookmarkStart w:id="2683" w:name="_Toc38442909"/>
      <w:bookmarkStart w:id="2684" w:name="_Toc38443240"/>
      <w:bookmarkStart w:id="2685" w:name="_Toc38443571"/>
      <w:bookmarkStart w:id="2686" w:name="_Toc38443901"/>
      <w:bookmarkStart w:id="2687" w:name="_Toc38438369"/>
      <w:bookmarkStart w:id="2688" w:name="_Toc38438706"/>
      <w:bookmarkStart w:id="2689" w:name="_Toc38439043"/>
      <w:bookmarkStart w:id="2690" w:name="_Toc38439380"/>
      <w:bookmarkStart w:id="2691" w:name="_Toc38439717"/>
      <w:bookmarkStart w:id="2692" w:name="_Toc38440054"/>
      <w:bookmarkStart w:id="2693" w:name="_Toc38440391"/>
      <w:bookmarkStart w:id="2694" w:name="_Toc38440923"/>
      <w:bookmarkStart w:id="2695" w:name="_Toc38441255"/>
      <w:bookmarkStart w:id="2696" w:name="_Toc38441587"/>
      <w:bookmarkStart w:id="2697" w:name="_Toc38441915"/>
      <w:bookmarkStart w:id="2698" w:name="_Toc38442247"/>
      <w:bookmarkStart w:id="2699" w:name="_Toc38442579"/>
      <w:bookmarkStart w:id="2700" w:name="_Toc38442910"/>
      <w:bookmarkStart w:id="2701" w:name="_Toc38443241"/>
      <w:bookmarkStart w:id="2702" w:name="_Toc38443572"/>
      <w:bookmarkStart w:id="2703" w:name="_Toc38443902"/>
      <w:bookmarkStart w:id="2704" w:name="_Toc38438371"/>
      <w:bookmarkStart w:id="2705" w:name="_Toc38438708"/>
      <w:bookmarkStart w:id="2706" w:name="_Toc38439045"/>
      <w:bookmarkStart w:id="2707" w:name="_Toc38439382"/>
      <w:bookmarkStart w:id="2708" w:name="_Toc38439719"/>
      <w:bookmarkStart w:id="2709" w:name="_Toc38440056"/>
      <w:bookmarkStart w:id="2710" w:name="_Toc38440393"/>
      <w:bookmarkStart w:id="2711" w:name="_Toc38440925"/>
      <w:bookmarkStart w:id="2712" w:name="_Toc38441257"/>
      <w:bookmarkStart w:id="2713" w:name="_Toc38441589"/>
      <w:bookmarkStart w:id="2714" w:name="_Toc38441917"/>
      <w:bookmarkStart w:id="2715" w:name="_Toc38442249"/>
      <w:bookmarkStart w:id="2716" w:name="_Toc38442581"/>
      <w:bookmarkStart w:id="2717" w:name="_Toc38442912"/>
      <w:bookmarkStart w:id="2718" w:name="_Toc38443243"/>
      <w:bookmarkStart w:id="2719" w:name="_Toc38443574"/>
      <w:bookmarkStart w:id="2720" w:name="_Toc38443904"/>
      <w:bookmarkStart w:id="2721" w:name="_Toc38438372"/>
      <w:bookmarkStart w:id="2722" w:name="_Toc38438709"/>
      <w:bookmarkStart w:id="2723" w:name="_Toc38439046"/>
      <w:bookmarkStart w:id="2724" w:name="_Toc38439383"/>
      <w:bookmarkStart w:id="2725" w:name="_Toc38439720"/>
      <w:bookmarkStart w:id="2726" w:name="_Toc38440057"/>
      <w:bookmarkStart w:id="2727" w:name="_Toc38440394"/>
      <w:bookmarkStart w:id="2728" w:name="_Toc38440926"/>
      <w:bookmarkStart w:id="2729" w:name="_Toc38441258"/>
      <w:bookmarkStart w:id="2730" w:name="_Toc38441590"/>
      <w:bookmarkStart w:id="2731" w:name="_Toc38441918"/>
      <w:bookmarkStart w:id="2732" w:name="_Toc38442250"/>
      <w:bookmarkStart w:id="2733" w:name="_Toc38442582"/>
      <w:bookmarkStart w:id="2734" w:name="_Toc38442913"/>
      <w:bookmarkStart w:id="2735" w:name="_Toc38443244"/>
      <w:bookmarkStart w:id="2736" w:name="_Toc38443575"/>
      <w:bookmarkStart w:id="2737" w:name="_Toc38443905"/>
      <w:bookmarkStart w:id="2738" w:name="_Toc38438373"/>
      <w:bookmarkStart w:id="2739" w:name="_Toc38438710"/>
      <w:bookmarkStart w:id="2740" w:name="_Toc38439047"/>
      <w:bookmarkStart w:id="2741" w:name="_Toc38439384"/>
      <w:bookmarkStart w:id="2742" w:name="_Toc38439721"/>
      <w:bookmarkStart w:id="2743" w:name="_Toc38440058"/>
      <w:bookmarkStart w:id="2744" w:name="_Toc38440395"/>
      <w:bookmarkStart w:id="2745" w:name="_Toc38440927"/>
      <w:bookmarkStart w:id="2746" w:name="_Toc38441259"/>
      <w:bookmarkStart w:id="2747" w:name="_Toc38441591"/>
      <w:bookmarkStart w:id="2748" w:name="_Toc38441919"/>
      <w:bookmarkStart w:id="2749" w:name="_Toc38442251"/>
      <w:bookmarkStart w:id="2750" w:name="_Toc38442583"/>
      <w:bookmarkStart w:id="2751" w:name="_Toc38442914"/>
      <w:bookmarkStart w:id="2752" w:name="_Toc38443245"/>
      <w:bookmarkStart w:id="2753" w:name="_Toc38443576"/>
      <w:bookmarkStart w:id="2754" w:name="_Toc38443906"/>
      <w:bookmarkStart w:id="2755" w:name="_Toc38438374"/>
      <w:bookmarkStart w:id="2756" w:name="_Toc38438711"/>
      <w:bookmarkStart w:id="2757" w:name="_Toc38439048"/>
      <w:bookmarkStart w:id="2758" w:name="_Toc38439385"/>
      <w:bookmarkStart w:id="2759" w:name="_Toc38439722"/>
      <w:bookmarkStart w:id="2760" w:name="_Toc38440059"/>
      <w:bookmarkStart w:id="2761" w:name="_Toc38440396"/>
      <w:bookmarkStart w:id="2762" w:name="_Toc38440928"/>
      <w:bookmarkStart w:id="2763" w:name="_Toc38441260"/>
      <w:bookmarkStart w:id="2764" w:name="_Toc38441592"/>
      <w:bookmarkStart w:id="2765" w:name="_Toc38441920"/>
      <w:bookmarkStart w:id="2766" w:name="_Toc38442252"/>
      <w:bookmarkStart w:id="2767" w:name="_Toc38442584"/>
      <w:bookmarkStart w:id="2768" w:name="_Toc38442915"/>
      <w:bookmarkStart w:id="2769" w:name="_Toc38443246"/>
      <w:bookmarkStart w:id="2770" w:name="_Toc38443577"/>
      <w:bookmarkStart w:id="2771" w:name="_Toc38443907"/>
      <w:bookmarkStart w:id="2772" w:name="_Toc38438375"/>
      <w:bookmarkStart w:id="2773" w:name="_Toc38438712"/>
      <w:bookmarkStart w:id="2774" w:name="_Toc38439049"/>
      <w:bookmarkStart w:id="2775" w:name="_Toc38439386"/>
      <w:bookmarkStart w:id="2776" w:name="_Toc38439723"/>
      <w:bookmarkStart w:id="2777" w:name="_Toc38440060"/>
      <w:bookmarkStart w:id="2778" w:name="_Toc38440397"/>
      <w:bookmarkStart w:id="2779" w:name="_Toc38440929"/>
      <w:bookmarkStart w:id="2780" w:name="_Toc38441261"/>
      <w:bookmarkStart w:id="2781" w:name="_Toc38441593"/>
      <w:bookmarkStart w:id="2782" w:name="_Toc38441921"/>
      <w:bookmarkStart w:id="2783" w:name="_Toc38442253"/>
      <w:bookmarkStart w:id="2784" w:name="_Toc38442585"/>
      <w:bookmarkStart w:id="2785" w:name="_Toc38442916"/>
      <w:bookmarkStart w:id="2786" w:name="_Toc38443247"/>
      <w:bookmarkStart w:id="2787" w:name="_Toc38443578"/>
      <w:bookmarkStart w:id="2788" w:name="_Toc38443908"/>
      <w:bookmarkStart w:id="2789" w:name="_Toc38438376"/>
      <w:bookmarkStart w:id="2790" w:name="_Toc38438713"/>
      <w:bookmarkStart w:id="2791" w:name="_Toc38439050"/>
      <w:bookmarkStart w:id="2792" w:name="_Toc38439387"/>
      <w:bookmarkStart w:id="2793" w:name="_Toc38439724"/>
      <w:bookmarkStart w:id="2794" w:name="_Toc38440061"/>
      <w:bookmarkStart w:id="2795" w:name="_Toc38440398"/>
      <w:bookmarkStart w:id="2796" w:name="_Toc38440930"/>
      <w:bookmarkStart w:id="2797" w:name="_Toc38441262"/>
      <w:bookmarkStart w:id="2798" w:name="_Toc38441594"/>
      <w:bookmarkStart w:id="2799" w:name="_Toc38441922"/>
      <w:bookmarkStart w:id="2800" w:name="_Toc38442254"/>
      <w:bookmarkStart w:id="2801" w:name="_Toc38442586"/>
      <w:bookmarkStart w:id="2802" w:name="_Toc38442917"/>
      <w:bookmarkStart w:id="2803" w:name="_Toc38443248"/>
      <w:bookmarkStart w:id="2804" w:name="_Toc38443579"/>
      <w:bookmarkStart w:id="2805" w:name="_Toc38443909"/>
      <w:bookmarkStart w:id="2806" w:name="_Toc38438377"/>
      <w:bookmarkStart w:id="2807" w:name="_Toc38438714"/>
      <w:bookmarkStart w:id="2808" w:name="_Toc38439051"/>
      <w:bookmarkStart w:id="2809" w:name="_Toc38439388"/>
      <w:bookmarkStart w:id="2810" w:name="_Toc38439725"/>
      <w:bookmarkStart w:id="2811" w:name="_Toc38440062"/>
      <w:bookmarkStart w:id="2812" w:name="_Toc38440399"/>
      <w:bookmarkStart w:id="2813" w:name="_Toc38440931"/>
      <w:bookmarkStart w:id="2814" w:name="_Toc38441263"/>
      <w:bookmarkStart w:id="2815" w:name="_Toc38441595"/>
      <w:bookmarkStart w:id="2816" w:name="_Toc38441923"/>
      <w:bookmarkStart w:id="2817" w:name="_Toc38442255"/>
      <w:bookmarkStart w:id="2818" w:name="_Toc38442587"/>
      <w:bookmarkStart w:id="2819" w:name="_Toc38442918"/>
      <w:bookmarkStart w:id="2820" w:name="_Toc38443249"/>
      <w:bookmarkStart w:id="2821" w:name="_Toc38443580"/>
      <w:bookmarkStart w:id="2822" w:name="_Toc38443910"/>
      <w:bookmarkStart w:id="2823" w:name="_Toc38438378"/>
      <w:bookmarkStart w:id="2824" w:name="_Toc38438715"/>
      <w:bookmarkStart w:id="2825" w:name="_Toc38439052"/>
      <w:bookmarkStart w:id="2826" w:name="_Toc38439389"/>
      <w:bookmarkStart w:id="2827" w:name="_Toc38439726"/>
      <w:bookmarkStart w:id="2828" w:name="_Toc38440063"/>
      <w:bookmarkStart w:id="2829" w:name="_Toc38440400"/>
      <w:bookmarkStart w:id="2830" w:name="_Toc38440932"/>
      <w:bookmarkStart w:id="2831" w:name="_Toc38441264"/>
      <w:bookmarkStart w:id="2832" w:name="_Toc38441596"/>
      <w:bookmarkStart w:id="2833" w:name="_Toc38441924"/>
      <w:bookmarkStart w:id="2834" w:name="_Toc38442256"/>
      <w:bookmarkStart w:id="2835" w:name="_Toc38442588"/>
      <w:bookmarkStart w:id="2836" w:name="_Toc38442919"/>
      <w:bookmarkStart w:id="2837" w:name="_Toc38443250"/>
      <w:bookmarkStart w:id="2838" w:name="_Toc38443581"/>
      <w:bookmarkStart w:id="2839" w:name="_Toc38443911"/>
      <w:bookmarkStart w:id="2840" w:name="_Toc38438379"/>
      <w:bookmarkStart w:id="2841" w:name="_Toc38438716"/>
      <w:bookmarkStart w:id="2842" w:name="_Toc38439053"/>
      <w:bookmarkStart w:id="2843" w:name="_Toc38439390"/>
      <w:bookmarkStart w:id="2844" w:name="_Toc38439727"/>
      <w:bookmarkStart w:id="2845" w:name="_Toc38440064"/>
      <w:bookmarkStart w:id="2846" w:name="_Toc38440401"/>
      <w:bookmarkStart w:id="2847" w:name="_Toc38440933"/>
      <w:bookmarkStart w:id="2848" w:name="_Toc38441265"/>
      <w:bookmarkStart w:id="2849" w:name="_Toc38441597"/>
      <w:bookmarkStart w:id="2850" w:name="_Toc38441925"/>
      <w:bookmarkStart w:id="2851" w:name="_Toc38442257"/>
      <w:bookmarkStart w:id="2852" w:name="_Toc38442589"/>
      <w:bookmarkStart w:id="2853" w:name="_Toc38442920"/>
      <w:bookmarkStart w:id="2854" w:name="_Toc38443251"/>
      <w:bookmarkStart w:id="2855" w:name="_Toc38443582"/>
      <w:bookmarkStart w:id="2856" w:name="_Toc38443912"/>
      <w:bookmarkStart w:id="2857" w:name="_Toc38438380"/>
      <w:bookmarkStart w:id="2858" w:name="_Toc38438717"/>
      <w:bookmarkStart w:id="2859" w:name="_Toc38439054"/>
      <w:bookmarkStart w:id="2860" w:name="_Toc38439391"/>
      <w:bookmarkStart w:id="2861" w:name="_Toc38439728"/>
      <w:bookmarkStart w:id="2862" w:name="_Toc38440065"/>
      <w:bookmarkStart w:id="2863" w:name="_Toc38440402"/>
      <w:bookmarkStart w:id="2864" w:name="_Toc38440934"/>
      <w:bookmarkStart w:id="2865" w:name="_Toc38441266"/>
      <w:bookmarkStart w:id="2866" w:name="_Toc38441598"/>
      <w:bookmarkStart w:id="2867" w:name="_Toc38441926"/>
      <w:bookmarkStart w:id="2868" w:name="_Toc38442258"/>
      <w:bookmarkStart w:id="2869" w:name="_Toc38442590"/>
      <w:bookmarkStart w:id="2870" w:name="_Toc38442921"/>
      <w:bookmarkStart w:id="2871" w:name="_Toc38443252"/>
      <w:bookmarkStart w:id="2872" w:name="_Toc38443583"/>
      <w:bookmarkStart w:id="2873" w:name="_Toc38443913"/>
      <w:bookmarkStart w:id="2874" w:name="_Toc38438381"/>
      <w:bookmarkStart w:id="2875" w:name="_Toc38438718"/>
      <w:bookmarkStart w:id="2876" w:name="_Toc38439055"/>
      <w:bookmarkStart w:id="2877" w:name="_Toc38439392"/>
      <w:bookmarkStart w:id="2878" w:name="_Toc38439729"/>
      <w:bookmarkStart w:id="2879" w:name="_Toc38440066"/>
      <w:bookmarkStart w:id="2880" w:name="_Toc38440403"/>
      <w:bookmarkStart w:id="2881" w:name="_Toc38440935"/>
      <w:bookmarkStart w:id="2882" w:name="_Toc38441267"/>
      <w:bookmarkStart w:id="2883" w:name="_Toc38441599"/>
      <w:bookmarkStart w:id="2884" w:name="_Toc38441927"/>
      <w:bookmarkStart w:id="2885" w:name="_Toc38442259"/>
      <w:bookmarkStart w:id="2886" w:name="_Toc38442591"/>
      <w:bookmarkStart w:id="2887" w:name="_Toc38442922"/>
      <w:bookmarkStart w:id="2888" w:name="_Toc38443253"/>
      <w:bookmarkStart w:id="2889" w:name="_Toc38443584"/>
      <w:bookmarkStart w:id="2890" w:name="_Toc38443914"/>
      <w:bookmarkStart w:id="2891" w:name="_Toc38438382"/>
      <w:bookmarkStart w:id="2892" w:name="_Toc38438719"/>
      <w:bookmarkStart w:id="2893" w:name="_Toc38439056"/>
      <w:bookmarkStart w:id="2894" w:name="_Toc38439393"/>
      <w:bookmarkStart w:id="2895" w:name="_Toc38439730"/>
      <w:bookmarkStart w:id="2896" w:name="_Toc38440067"/>
      <w:bookmarkStart w:id="2897" w:name="_Toc38440404"/>
      <w:bookmarkStart w:id="2898" w:name="_Toc38440936"/>
      <w:bookmarkStart w:id="2899" w:name="_Toc38441268"/>
      <w:bookmarkStart w:id="2900" w:name="_Toc38441600"/>
      <w:bookmarkStart w:id="2901" w:name="_Toc38441928"/>
      <w:bookmarkStart w:id="2902" w:name="_Toc38442260"/>
      <w:bookmarkStart w:id="2903" w:name="_Toc38442592"/>
      <w:bookmarkStart w:id="2904" w:name="_Toc38442923"/>
      <w:bookmarkStart w:id="2905" w:name="_Toc38443254"/>
      <w:bookmarkStart w:id="2906" w:name="_Toc38443585"/>
      <w:bookmarkStart w:id="2907" w:name="_Toc38443915"/>
      <w:bookmarkStart w:id="2908" w:name="_Toc38438383"/>
      <w:bookmarkStart w:id="2909" w:name="_Toc38438720"/>
      <w:bookmarkStart w:id="2910" w:name="_Toc38439057"/>
      <w:bookmarkStart w:id="2911" w:name="_Toc38439394"/>
      <w:bookmarkStart w:id="2912" w:name="_Toc38439731"/>
      <w:bookmarkStart w:id="2913" w:name="_Toc38440068"/>
      <w:bookmarkStart w:id="2914" w:name="_Toc38440405"/>
      <w:bookmarkStart w:id="2915" w:name="_Toc38440937"/>
      <w:bookmarkStart w:id="2916" w:name="_Toc38441269"/>
      <w:bookmarkStart w:id="2917" w:name="_Toc38441601"/>
      <w:bookmarkStart w:id="2918" w:name="_Toc38441929"/>
      <w:bookmarkStart w:id="2919" w:name="_Toc38442261"/>
      <w:bookmarkStart w:id="2920" w:name="_Toc38442593"/>
      <w:bookmarkStart w:id="2921" w:name="_Toc38442924"/>
      <w:bookmarkStart w:id="2922" w:name="_Toc38443255"/>
      <w:bookmarkStart w:id="2923" w:name="_Toc38443586"/>
      <w:bookmarkStart w:id="2924" w:name="_Toc38443916"/>
      <w:bookmarkStart w:id="2925" w:name="_Toc38438384"/>
      <w:bookmarkStart w:id="2926" w:name="_Toc38438721"/>
      <w:bookmarkStart w:id="2927" w:name="_Toc38439058"/>
      <w:bookmarkStart w:id="2928" w:name="_Toc38439395"/>
      <w:bookmarkStart w:id="2929" w:name="_Toc38439732"/>
      <w:bookmarkStart w:id="2930" w:name="_Toc38440069"/>
      <w:bookmarkStart w:id="2931" w:name="_Toc38440406"/>
      <w:bookmarkStart w:id="2932" w:name="_Toc38440938"/>
      <w:bookmarkStart w:id="2933" w:name="_Toc38441270"/>
      <w:bookmarkStart w:id="2934" w:name="_Toc38441602"/>
      <w:bookmarkStart w:id="2935" w:name="_Toc38441930"/>
      <w:bookmarkStart w:id="2936" w:name="_Toc38442262"/>
      <w:bookmarkStart w:id="2937" w:name="_Toc38442594"/>
      <w:bookmarkStart w:id="2938" w:name="_Toc38442925"/>
      <w:bookmarkStart w:id="2939" w:name="_Toc38443256"/>
      <w:bookmarkStart w:id="2940" w:name="_Toc38443587"/>
      <w:bookmarkStart w:id="2941" w:name="_Toc38443917"/>
      <w:bookmarkStart w:id="2942" w:name="_Toc38438385"/>
      <w:bookmarkStart w:id="2943" w:name="_Toc38438722"/>
      <w:bookmarkStart w:id="2944" w:name="_Toc38439059"/>
      <w:bookmarkStart w:id="2945" w:name="_Toc38439396"/>
      <w:bookmarkStart w:id="2946" w:name="_Toc38439733"/>
      <w:bookmarkStart w:id="2947" w:name="_Toc38440070"/>
      <w:bookmarkStart w:id="2948" w:name="_Toc38440407"/>
      <w:bookmarkStart w:id="2949" w:name="_Toc38440939"/>
      <w:bookmarkStart w:id="2950" w:name="_Toc38441271"/>
      <w:bookmarkStart w:id="2951" w:name="_Toc38441603"/>
      <w:bookmarkStart w:id="2952" w:name="_Toc38441931"/>
      <w:bookmarkStart w:id="2953" w:name="_Toc38442263"/>
      <w:bookmarkStart w:id="2954" w:name="_Toc38442595"/>
      <w:bookmarkStart w:id="2955" w:name="_Toc38442926"/>
      <w:bookmarkStart w:id="2956" w:name="_Toc38443257"/>
      <w:bookmarkStart w:id="2957" w:name="_Toc38443588"/>
      <w:bookmarkStart w:id="2958" w:name="_Toc38443918"/>
      <w:bookmarkStart w:id="2959" w:name="_Toc38438386"/>
      <w:bookmarkStart w:id="2960" w:name="_Toc38438723"/>
      <w:bookmarkStart w:id="2961" w:name="_Toc38439060"/>
      <w:bookmarkStart w:id="2962" w:name="_Toc38439397"/>
      <w:bookmarkStart w:id="2963" w:name="_Toc38439734"/>
      <w:bookmarkStart w:id="2964" w:name="_Toc38440071"/>
      <w:bookmarkStart w:id="2965" w:name="_Toc38440408"/>
      <w:bookmarkStart w:id="2966" w:name="_Toc38440940"/>
      <w:bookmarkStart w:id="2967" w:name="_Toc38441272"/>
      <w:bookmarkStart w:id="2968" w:name="_Toc38441604"/>
      <w:bookmarkStart w:id="2969" w:name="_Toc38441932"/>
      <w:bookmarkStart w:id="2970" w:name="_Toc38442264"/>
      <w:bookmarkStart w:id="2971" w:name="_Toc38442596"/>
      <w:bookmarkStart w:id="2972" w:name="_Toc38442927"/>
      <w:bookmarkStart w:id="2973" w:name="_Toc38443258"/>
      <w:bookmarkStart w:id="2974" w:name="_Toc38443589"/>
      <w:bookmarkStart w:id="2975" w:name="_Toc38443919"/>
      <w:bookmarkStart w:id="2976" w:name="_Toc38438387"/>
      <w:bookmarkStart w:id="2977" w:name="_Toc38438724"/>
      <w:bookmarkStart w:id="2978" w:name="_Toc38439061"/>
      <w:bookmarkStart w:id="2979" w:name="_Toc38439398"/>
      <w:bookmarkStart w:id="2980" w:name="_Toc38439735"/>
      <w:bookmarkStart w:id="2981" w:name="_Toc38440072"/>
      <w:bookmarkStart w:id="2982" w:name="_Toc38440409"/>
      <w:bookmarkStart w:id="2983" w:name="_Toc38440941"/>
      <w:bookmarkStart w:id="2984" w:name="_Toc38441273"/>
      <w:bookmarkStart w:id="2985" w:name="_Toc38441605"/>
      <w:bookmarkStart w:id="2986" w:name="_Toc38441933"/>
      <w:bookmarkStart w:id="2987" w:name="_Toc38442265"/>
      <w:bookmarkStart w:id="2988" w:name="_Toc38442597"/>
      <w:bookmarkStart w:id="2989" w:name="_Toc38442928"/>
      <w:bookmarkStart w:id="2990" w:name="_Toc38443259"/>
      <w:bookmarkStart w:id="2991" w:name="_Toc38443590"/>
      <w:bookmarkStart w:id="2992" w:name="_Toc38443920"/>
      <w:bookmarkStart w:id="2993" w:name="_Toc38438388"/>
      <w:bookmarkStart w:id="2994" w:name="_Toc38438725"/>
      <w:bookmarkStart w:id="2995" w:name="_Toc38439062"/>
      <w:bookmarkStart w:id="2996" w:name="_Toc38439399"/>
      <w:bookmarkStart w:id="2997" w:name="_Toc38439736"/>
      <w:bookmarkStart w:id="2998" w:name="_Toc38440073"/>
      <w:bookmarkStart w:id="2999" w:name="_Toc38440410"/>
      <w:bookmarkStart w:id="3000" w:name="_Toc38440942"/>
      <w:bookmarkStart w:id="3001" w:name="_Toc38441274"/>
      <w:bookmarkStart w:id="3002" w:name="_Toc38441606"/>
      <w:bookmarkStart w:id="3003" w:name="_Toc38441934"/>
      <w:bookmarkStart w:id="3004" w:name="_Toc38442266"/>
      <w:bookmarkStart w:id="3005" w:name="_Toc38442598"/>
      <w:bookmarkStart w:id="3006" w:name="_Toc38442929"/>
      <w:bookmarkStart w:id="3007" w:name="_Toc38443260"/>
      <w:bookmarkStart w:id="3008" w:name="_Toc38443591"/>
      <w:bookmarkStart w:id="3009" w:name="_Toc38443921"/>
      <w:bookmarkStart w:id="3010" w:name="_Toc38438389"/>
      <w:bookmarkStart w:id="3011" w:name="_Toc38438726"/>
      <w:bookmarkStart w:id="3012" w:name="_Toc38439063"/>
      <w:bookmarkStart w:id="3013" w:name="_Toc38439400"/>
      <w:bookmarkStart w:id="3014" w:name="_Toc38439737"/>
      <w:bookmarkStart w:id="3015" w:name="_Toc38440074"/>
      <w:bookmarkStart w:id="3016" w:name="_Toc38440411"/>
      <w:bookmarkStart w:id="3017" w:name="_Toc38440943"/>
      <w:bookmarkStart w:id="3018" w:name="_Toc38441275"/>
      <w:bookmarkStart w:id="3019" w:name="_Toc38441607"/>
      <w:bookmarkStart w:id="3020" w:name="_Toc38441935"/>
      <w:bookmarkStart w:id="3021" w:name="_Toc38442267"/>
      <w:bookmarkStart w:id="3022" w:name="_Toc38442599"/>
      <w:bookmarkStart w:id="3023" w:name="_Toc38442930"/>
      <w:bookmarkStart w:id="3024" w:name="_Toc38443261"/>
      <w:bookmarkStart w:id="3025" w:name="_Toc38443592"/>
      <w:bookmarkStart w:id="3026" w:name="_Toc38443922"/>
      <w:bookmarkStart w:id="3027" w:name="_Toc38438390"/>
      <w:bookmarkStart w:id="3028" w:name="_Toc38438727"/>
      <w:bookmarkStart w:id="3029" w:name="_Toc38439064"/>
      <w:bookmarkStart w:id="3030" w:name="_Toc38439401"/>
      <w:bookmarkStart w:id="3031" w:name="_Toc38439738"/>
      <w:bookmarkStart w:id="3032" w:name="_Toc38440075"/>
      <w:bookmarkStart w:id="3033" w:name="_Toc38440412"/>
      <w:bookmarkStart w:id="3034" w:name="_Toc38440944"/>
      <w:bookmarkStart w:id="3035" w:name="_Toc38441276"/>
      <w:bookmarkStart w:id="3036" w:name="_Toc38441608"/>
      <w:bookmarkStart w:id="3037" w:name="_Toc38441936"/>
      <w:bookmarkStart w:id="3038" w:name="_Toc38442268"/>
      <w:bookmarkStart w:id="3039" w:name="_Toc38442600"/>
      <w:bookmarkStart w:id="3040" w:name="_Toc38442931"/>
      <w:bookmarkStart w:id="3041" w:name="_Toc38443262"/>
      <w:bookmarkStart w:id="3042" w:name="_Toc38443593"/>
      <w:bookmarkStart w:id="3043" w:name="_Toc38443923"/>
      <w:bookmarkStart w:id="3044" w:name="_Toc38438391"/>
      <w:bookmarkStart w:id="3045" w:name="_Toc38438728"/>
      <w:bookmarkStart w:id="3046" w:name="_Toc38439065"/>
      <w:bookmarkStart w:id="3047" w:name="_Toc38439402"/>
      <w:bookmarkStart w:id="3048" w:name="_Toc38439739"/>
      <w:bookmarkStart w:id="3049" w:name="_Toc38440076"/>
      <w:bookmarkStart w:id="3050" w:name="_Toc38440413"/>
      <w:bookmarkStart w:id="3051" w:name="_Toc38440945"/>
      <w:bookmarkStart w:id="3052" w:name="_Toc38441277"/>
      <w:bookmarkStart w:id="3053" w:name="_Toc38441609"/>
      <w:bookmarkStart w:id="3054" w:name="_Toc38441937"/>
      <w:bookmarkStart w:id="3055" w:name="_Toc38442269"/>
      <w:bookmarkStart w:id="3056" w:name="_Toc38442601"/>
      <w:bookmarkStart w:id="3057" w:name="_Toc38442932"/>
      <w:bookmarkStart w:id="3058" w:name="_Toc38443263"/>
      <w:bookmarkStart w:id="3059" w:name="_Toc38443594"/>
      <w:bookmarkStart w:id="3060" w:name="_Toc38443924"/>
      <w:bookmarkStart w:id="3061" w:name="_Toc38438392"/>
      <w:bookmarkStart w:id="3062" w:name="_Toc38438729"/>
      <w:bookmarkStart w:id="3063" w:name="_Toc38439066"/>
      <w:bookmarkStart w:id="3064" w:name="_Toc38439403"/>
      <w:bookmarkStart w:id="3065" w:name="_Toc38439740"/>
      <w:bookmarkStart w:id="3066" w:name="_Toc38440077"/>
      <w:bookmarkStart w:id="3067" w:name="_Toc38440414"/>
      <w:bookmarkStart w:id="3068" w:name="_Toc38440946"/>
      <w:bookmarkStart w:id="3069" w:name="_Toc38441278"/>
      <w:bookmarkStart w:id="3070" w:name="_Toc38441610"/>
      <w:bookmarkStart w:id="3071" w:name="_Toc38441938"/>
      <w:bookmarkStart w:id="3072" w:name="_Toc38442270"/>
      <w:bookmarkStart w:id="3073" w:name="_Toc38442602"/>
      <w:bookmarkStart w:id="3074" w:name="_Toc38442933"/>
      <w:bookmarkStart w:id="3075" w:name="_Toc38443264"/>
      <w:bookmarkStart w:id="3076" w:name="_Toc38443595"/>
      <w:bookmarkStart w:id="3077" w:name="_Toc38443925"/>
      <w:bookmarkStart w:id="3078" w:name="_Toc38438393"/>
      <w:bookmarkStart w:id="3079" w:name="_Toc38438730"/>
      <w:bookmarkStart w:id="3080" w:name="_Toc38439067"/>
      <w:bookmarkStart w:id="3081" w:name="_Toc38439404"/>
      <w:bookmarkStart w:id="3082" w:name="_Toc38439741"/>
      <w:bookmarkStart w:id="3083" w:name="_Toc38440078"/>
      <w:bookmarkStart w:id="3084" w:name="_Toc38440415"/>
      <w:bookmarkStart w:id="3085" w:name="_Toc38440947"/>
      <w:bookmarkStart w:id="3086" w:name="_Toc38441279"/>
      <w:bookmarkStart w:id="3087" w:name="_Toc38441611"/>
      <w:bookmarkStart w:id="3088" w:name="_Toc38441939"/>
      <w:bookmarkStart w:id="3089" w:name="_Toc38442271"/>
      <w:bookmarkStart w:id="3090" w:name="_Toc38442603"/>
      <w:bookmarkStart w:id="3091" w:name="_Toc38442934"/>
      <w:bookmarkStart w:id="3092" w:name="_Toc38443265"/>
      <w:bookmarkStart w:id="3093" w:name="_Toc38443596"/>
      <w:bookmarkStart w:id="3094" w:name="_Toc38443926"/>
      <w:bookmarkStart w:id="3095" w:name="_Toc38438394"/>
      <w:bookmarkStart w:id="3096" w:name="_Toc38438731"/>
      <w:bookmarkStart w:id="3097" w:name="_Toc38439068"/>
      <w:bookmarkStart w:id="3098" w:name="_Toc38439405"/>
      <w:bookmarkStart w:id="3099" w:name="_Toc38439742"/>
      <w:bookmarkStart w:id="3100" w:name="_Toc38440079"/>
      <w:bookmarkStart w:id="3101" w:name="_Toc38440416"/>
      <w:bookmarkStart w:id="3102" w:name="_Toc38440948"/>
      <w:bookmarkStart w:id="3103" w:name="_Toc38441280"/>
      <w:bookmarkStart w:id="3104" w:name="_Toc38441612"/>
      <w:bookmarkStart w:id="3105" w:name="_Toc38441940"/>
      <w:bookmarkStart w:id="3106" w:name="_Toc38442272"/>
      <w:bookmarkStart w:id="3107" w:name="_Toc38442604"/>
      <w:bookmarkStart w:id="3108" w:name="_Toc38442935"/>
      <w:bookmarkStart w:id="3109" w:name="_Toc38443266"/>
      <w:bookmarkStart w:id="3110" w:name="_Toc38443597"/>
      <w:bookmarkStart w:id="3111" w:name="_Toc38443927"/>
      <w:bookmarkStart w:id="3112" w:name="_Toc38438395"/>
      <w:bookmarkStart w:id="3113" w:name="_Toc38438732"/>
      <w:bookmarkStart w:id="3114" w:name="_Toc38439069"/>
      <w:bookmarkStart w:id="3115" w:name="_Toc38439406"/>
      <w:bookmarkStart w:id="3116" w:name="_Toc38439743"/>
      <w:bookmarkStart w:id="3117" w:name="_Toc38440080"/>
      <w:bookmarkStart w:id="3118" w:name="_Toc38440417"/>
      <w:bookmarkStart w:id="3119" w:name="_Toc38440949"/>
      <w:bookmarkStart w:id="3120" w:name="_Toc38441281"/>
      <w:bookmarkStart w:id="3121" w:name="_Toc38441613"/>
      <w:bookmarkStart w:id="3122" w:name="_Toc38441941"/>
      <w:bookmarkStart w:id="3123" w:name="_Toc38442273"/>
      <w:bookmarkStart w:id="3124" w:name="_Toc38442605"/>
      <w:bookmarkStart w:id="3125" w:name="_Toc38442936"/>
      <w:bookmarkStart w:id="3126" w:name="_Toc38443267"/>
      <w:bookmarkStart w:id="3127" w:name="_Toc38443598"/>
      <w:bookmarkStart w:id="3128" w:name="_Toc38443928"/>
      <w:bookmarkStart w:id="3129" w:name="_Toc38438396"/>
      <w:bookmarkStart w:id="3130" w:name="_Toc38438733"/>
      <w:bookmarkStart w:id="3131" w:name="_Toc38439070"/>
      <w:bookmarkStart w:id="3132" w:name="_Toc38439407"/>
      <w:bookmarkStart w:id="3133" w:name="_Toc38439744"/>
      <w:bookmarkStart w:id="3134" w:name="_Toc38440081"/>
      <w:bookmarkStart w:id="3135" w:name="_Toc38440418"/>
      <w:bookmarkStart w:id="3136" w:name="_Toc38440950"/>
      <w:bookmarkStart w:id="3137" w:name="_Toc38441282"/>
      <w:bookmarkStart w:id="3138" w:name="_Toc38441614"/>
      <w:bookmarkStart w:id="3139" w:name="_Toc38441942"/>
      <w:bookmarkStart w:id="3140" w:name="_Toc38442274"/>
      <w:bookmarkStart w:id="3141" w:name="_Toc38442606"/>
      <w:bookmarkStart w:id="3142" w:name="_Toc38442937"/>
      <w:bookmarkStart w:id="3143" w:name="_Toc38443268"/>
      <w:bookmarkStart w:id="3144" w:name="_Toc38443599"/>
      <w:bookmarkStart w:id="3145" w:name="_Toc38443929"/>
      <w:bookmarkStart w:id="3146" w:name="_Toc38438397"/>
      <w:bookmarkStart w:id="3147" w:name="_Toc38438734"/>
      <w:bookmarkStart w:id="3148" w:name="_Toc38439071"/>
      <w:bookmarkStart w:id="3149" w:name="_Toc38439408"/>
      <w:bookmarkStart w:id="3150" w:name="_Toc38439745"/>
      <w:bookmarkStart w:id="3151" w:name="_Toc38440082"/>
      <w:bookmarkStart w:id="3152" w:name="_Toc38440419"/>
      <w:bookmarkStart w:id="3153" w:name="_Toc38440951"/>
      <w:bookmarkStart w:id="3154" w:name="_Toc38441283"/>
      <w:bookmarkStart w:id="3155" w:name="_Toc38441615"/>
      <w:bookmarkStart w:id="3156" w:name="_Toc38441943"/>
      <w:bookmarkStart w:id="3157" w:name="_Toc38442275"/>
      <w:bookmarkStart w:id="3158" w:name="_Toc38442607"/>
      <w:bookmarkStart w:id="3159" w:name="_Toc38442938"/>
      <w:bookmarkStart w:id="3160" w:name="_Toc38443269"/>
      <w:bookmarkStart w:id="3161" w:name="_Toc38443600"/>
      <w:bookmarkStart w:id="3162" w:name="_Toc38443930"/>
      <w:bookmarkStart w:id="3163" w:name="_Toc38438398"/>
      <w:bookmarkStart w:id="3164" w:name="_Toc38438735"/>
      <w:bookmarkStart w:id="3165" w:name="_Toc38439072"/>
      <w:bookmarkStart w:id="3166" w:name="_Toc38439409"/>
      <w:bookmarkStart w:id="3167" w:name="_Toc38439746"/>
      <w:bookmarkStart w:id="3168" w:name="_Toc38440083"/>
      <w:bookmarkStart w:id="3169" w:name="_Toc38440420"/>
      <w:bookmarkStart w:id="3170" w:name="_Toc38440952"/>
      <w:bookmarkStart w:id="3171" w:name="_Toc38441284"/>
      <w:bookmarkStart w:id="3172" w:name="_Toc38441616"/>
      <w:bookmarkStart w:id="3173" w:name="_Toc38441944"/>
      <w:bookmarkStart w:id="3174" w:name="_Toc38442276"/>
      <w:bookmarkStart w:id="3175" w:name="_Toc38442608"/>
      <w:bookmarkStart w:id="3176" w:name="_Toc38442939"/>
      <w:bookmarkStart w:id="3177" w:name="_Toc38443270"/>
      <w:bookmarkStart w:id="3178" w:name="_Toc38443601"/>
      <w:bookmarkStart w:id="3179" w:name="_Toc38443931"/>
      <w:bookmarkStart w:id="3180" w:name="_Toc38438400"/>
      <w:bookmarkStart w:id="3181" w:name="_Toc38438737"/>
      <w:bookmarkStart w:id="3182" w:name="_Toc38439074"/>
      <w:bookmarkStart w:id="3183" w:name="_Toc38439411"/>
      <w:bookmarkStart w:id="3184" w:name="_Toc38439748"/>
      <w:bookmarkStart w:id="3185" w:name="_Toc38440085"/>
      <w:bookmarkStart w:id="3186" w:name="_Toc38440422"/>
      <w:bookmarkStart w:id="3187" w:name="_Toc38440954"/>
      <w:bookmarkStart w:id="3188" w:name="_Toc38441286"/>
      <w:bookmarkStart w:id="3189" w:name="_Toc38441618"/>
      <w:bookmarkStart w:id="3190" w:name="_Toc38441946"/>
      <w:bookmarkStart w:id="3191" w:name="_Toc38442278"/>
      <w:bookmarkStart w:id="3192" w:name="_Toc38442610"/>
      <w:bookmarkStart w:id="3193" w:name="_Toc38442941"/>
      <w:bookmarkStart w:id="3194" w:name="_Toc38443272"/>
      <w:bookmarkStart w:id="3195" w:name="_Toc38443603"/>
      <w:bookmarkStart w:id="3196" w:name="_Toc38443933"/>
      <w:bookmarkStart w:id="3197" w:name="_Toc38438401"/>
      <w:bookmarkStart w:id="3198" w:name="_Toc38438738"/>
      <w:bookmarkStart w:id="3199" w:name="_Toc38439075"/>
      <w:bookmarkStart w:id="3200" w:name="_Toc38439412"/>
      <w:bookmarkStart w:id="3201" w:name="_Toc38439749"/>
      <w:bookmarkStart w:id="3202" w:name="_Toc38440086"/>
      <w:bookmarkStart w:id="3203" w:name="_Toc38440423"/>
      <w:bookmarkStart w:id="3204" w:name="_Toc38440955"/>
      <w:bookmarkStart w:id="3205" w:name="_Toc38441287"/>
      <w:bookmarkStart w:id="3206" w:name="_Toc38441619"/>
      <w:bookmarkStart w:id="3207" w:name="_Toc38441947"/>
      <w:bookmarkStart w:id="3208" w:name="_Toc38442279"/>
      <w:bookmarkStart w:id="3209" w:name="_Toc38442611"/>
      <w:bookmarkStart w:id="3210" w:name="_Toc38442942"/>
      <w:bookmarkStart w:id="3211" w:name="_Toc38443273"/>
      <w:bookmarkStart w:id="3212" w:name="_Toc38443604"/>
      <w:bookmarkStart w:id="3213" w:name="_Toc38443934"/>
      <w:bookmarkStart w:id="3214" w:name="_Toc38438402"/>
      <w:bookmarkStart w:id="3215" w:name="_Toc38438739"/>
      <w:bookmarkStart w:id="3216" w:name="_Toc38439076"/>
      <w:bookmarkStart w:id="3217" w:name="_Toc38439413"/>
      <w:bookmarkStart w:id="3218" w:name="_Toc38439750"/>
      <w:bookmarkStart w:id="3219" w:name="_Toc38440087"/>
      <w:bookmarkStart w:id="3220" w:name="_Toc38440424"/>
      <w:bookmarkStart w:id="3221" w:name="_Toc38440956"/>
      <w:bookmarkStart w:id="3222" w:name="_Toc38441288"/>
      <w:bookmarkStart w:id="3223" w:name="_Toc38441620"/>
      <w:bookmarkStart w:id="3224" w:name="_Toc38441948"/>
      <w:bookmarkStart w:id="3225" w:name="_Toc38442280"/>
      <w:bookmarkStart w:id="3226" w:name="_Toc38442612"/>
      <w:bookmarkStart w:id="3227" w:name="_Toc38442943"/>
      <w:bookmarkStart w:id="3228" w:name="_Toc38443274"/>
      <w:bookmarkStart w:id="3229" w:name="_Toc38443605"/>
      <w:bookmarkStart w:id="3230" w:name="_Toc38443935"/>
      <w:bookmarkStart w:id="3231" w:name="_Toc38438404"/>
      <w:bookmarkStart w:id="3232" w:name="_Toc38438741"/>
      <w:bookmarkStart w:id="3233" w:name="_Toc38439078"/>
      <w:bookmarkStart w:id="3234" w:name="_Toc38439415"/>
      <w:bookmarkStart w:id="3235" w:name="_Toc38439752"/>
      <w:bookmarkStart w:id="3236" w:name="_Toc38440089"/>
      <w:bookmarkStart w:id="3237" w:name="_Toc38440426"/>
      <w:bookmarkStart w:id="3238" w:name="_Toc38440958"/>
      <w:bookmarkStart w:id="3239" w:name="_Toc38441290"/>
      <w:bookmarkStart w:id="3240" w:name="_Toc38441622"/>
      <w:bookmarkStart w:id="3241" w:name="_Toc38441950"/>
      <w:bookmarkStart w:id="3242" w:name="_Toc38442282"/>
      <w:bookmarkStart w:id="3243" w:name="_Toc38442614"/>
      <w:bookmarkStart w:id="3244" w:name="_Toc38442945"/>
      <w:bookmarkStart w:id="3245" w:name="_Toc38443276"/>
      <w:bookmarkStart w:id="3246" w:name="_Toc38443607"/>
      <w:bookmarkStart w:id="3247" w:name="_Toc38443937"/>
      <w:bookmarkStart w:id="3248" w:name="_Toc38438405"/>
      <w:bookmarkStart w:id="3249" w:name="_Toc38438742"/>
      <w:bookmarkStart w:id="3250" w:name="_Toc38439079"/>
      <w:bookmarkStart w:id="3251" w:name="_Toc38439416"/>
      <w:bookmarkStart w:id="3252" w:name="_Toc38439753"/>
      <w:bookmarkStart w:id="3253" w:name="_Toc38440090"/>
      <w:bookmarkStart w:id="3254" w:name="_Toc38440427"/>
      <w:bookmarkStart w:id="3255" w:name="_Toc38440959"/>
      <w:bookmarkStart w:id="3256" w:name="_Toc38441291"/>
      <w:bookmarkStart w:id="3257" w:name="_Toc38441623"/>
      <w:bookmarkStart w:id="3258" w:name="_Toc38441951"/>
      <w:bookmarkStart w:id="3259" w:name="_Toc38442283"/>
      <w:bookmarkStart w:id="3260" w:name="_Toc38442615"/>
      <w:bookmarkStart w:id="3261" w:name="_Toc38442946"/>
      <w:bookmarkStart w:id="3262" w:name="_Toc38443277"/>
      <w:bookmarkStart w:id="3263" w:name="_Toc38443608"/>
      <w:bookmarkStart w:id="3264" w:name="_Toc38443938"/>
      <w:bookmarkStart w:id="3265" w:name="_Toc38438406"/>
      <w:bookmarkStart w:id="3266" w:name="_Toc38438743"/>
      <w:bookmarkStart w:id="3267" w:name="_Toc38439080"/>
      <w:bookmarkStart w:id="3268" w:name="_Toc38439417"/>
      <w:bookmarkStart w:id="3269" w:name="_Toc38439754"/>
      <w:bookmarkStart w:id="3270" w:name="_Toc38440091"/>
      <w:bookmarkStart w:id="3271" w:name="_Toc38440428"/>
      <w:bookmarkStart w:id="3272" w:name="_Toc38440960"/>
      <w:bookmarkStart w:id="3273" w:name="_Toc38441292"/>
      <w:bookmarkStart w:id="3274" w:name="_Toc38441624"/>
      <w:bookmarkStart w:id="3275" w:name="_Toc38441952"/>
      <w:bookmarkStart w:id="3276" w:name="_Toc38442284"/>
      <w:bookmarkStart w:id="3277" w:name="_Toc38442616"/>
      <w:bookmarkStart w:id="3278" w:name="_Toc38442947"/>
      <w:bookmarkStart w:id="3279" w:name="_Toc38443278"/>
      <w:bookmarkStart w:id="3280" w:name="_Toc38443609"/>
      <w:bookmarkStart w:id="3281" w:name="_Toc38443939"/>
      <w:bookmarkStart w:id="3282" w:name="_Toc38438407"/>
      <w:bookmarkStart w:id="3283" w:name="_Toc38438744"/>
      <w:bookmarkStart w:id="3284" w:name="_Toc38439081"/>
      <w:bookmarkStart w:id="3285" w:name="_Toc38439418"/>
      <w:bookmarkStart w:id="3286" w:name="_Toc38439755"/>
      <w:bookmarkStart w:id="3287" w:name="_Toc38440092"/>
      <w:bookmarkStart w:id="3288" w:name="_Toc38440429"/>
      <w:bookmarkStart w:id="3289" w:name="_Toc38440961"/>
      <w:bookmarkStart w:id="3290" w:name="_Toc38441293"/>
      <w:bookmarkStart w:id="3291" w:name="_Toc38441625"/>
      <w:bookmarkStart w:id="3292" w:name="_Toc38441953"/>
      <w:bookmarkStart w:id="3293" w:name="_Toc38442285"/>
      <w:bookmarkStart w:id="3294" w:name="_Toc38442617"/>
      <w:bookmarkStart w:id="3295" w:name="_Toc38442948"/>
      <w:bookmarkStart w:id="3296" w:name="_Toc38443279"/>
      <w:bookmarkStart w:id="3297" w:name="_Toc38443610"/>
      <w:bookmarkStart w:id="3298" w:name="_Toc38443940"/>
      <w:bookmarkStart w:id="3299" w:name="_Toc38438408"/>
      <w:bookmarkStart w:id="3300" w:name="_Toc38438745"/>
      <w:bookmarkStart w:id="3301" w:name="_Toc38439082"/>
      <w:bookmarkStart w:id="3302" w:name="_Toc38439419"/>
      <w:bookmarkStart w:id="3303" w:name="_Toc38439756"/>
      <w:bookmarkStart w:id="3304" w:name="_Toc38440093"/>
      <w:bookmarkStart w:id="3305" w:name="_Toc38440430"/>
      <w:bookmarkStart w:id="3306" w:name="_Toc38440962"/>
      <w:bookmarkStart w:id="3307" w:name="_Toc38441294"/>
      <w:bookmarkStart w:id="3308" w:name="_Toc38441626"/>
      <w:bookmarkStart w:id="3309" w:name="_Toc38441954"/>
      <w:bookmarkStart w:id="3310" w:name="_Toc38442286"/>
      <w:bookmarkStart w:id="3311" w:name="_Toc38442618"/>
      <w:bookmarkStart w:id="3312" w:name="_Toc38442949"/>
      <w:bookmarkStart w:id="3313" w:name="_Toc38443280"/>
      <w:bookmarkStart w:id="3314" w:name="_Toc38443611"/>
      <w:bookmarkStart w:id="3315" w:name="_Toc38443941"/>
      <w:bookmarkStart w:id="3316" w:name="_Toc38438409"/>
      <w:bookmarkStart w:id="3317" w:name="_Toc38438746"/>
      <w:bookmarkStart w:id="3318" w:name="_Toc38439083"/>
      <w:bookmarkStart w:id="3319" w:name="_Toc38439420"/>
      <w:bookmarkStart w:id="3320" w:name="_Toc38439757"/>
      <w:bookmarkStart w:id="3321" w:name="_Toc38440094"/>
      <w:bookmarkStart w:id="3322" w:name="_Toc38440431"/>
      <w:bookmarkStart w:id="3323" w:name="_Toc38440963"/>
      <w:bookmarkStart w:id="3324" w:name="_Toc38441295"/>
      <w:bookmarkStart w:id="3325" w:name="_Toc38441627"/>
      <w:bookmarkStart w:id="3326" w:name="_Toc38441955"/>
      <w:bookmarkStart w:id="3327" w:name="_Toc38442287"/>
      <w:bookmarkStart w:id="3328" w:name="_Toc38442619"/>
      <w:bookmarkStart w:id="3329" w:name="_Toc38442950"/>
      <w:bookmarkStart w:id="3330" w:name="_Toc38443281"/>
      <w:bookmarkStart w:id="3331" w:name="_Toc38443612"/>
      <w:bookmarkStart w:id="3332" w:name="_Toc38443942"/>
      <w:bookmarkStart w:id="3333" w:name="_Toc38438410"/>
      <w:bookmarkStart w:id="3334" w:name="_Toc38438747"/>
      <w:bookmarkStart w:id="3335" w:name="_Toc38439084"/>
      <w:bookmarkStart w:id="3336" w:name="_Toc38439421"/>
      <w:bookmarkStart w:id="3337" w:name="_Toc38439758"/>
      <w:bookmarkStart w:id="3338" w:name="_Toc38440095"/>
      <w:bookmarkStart w:id="3339" w:name="_Toc38440432"/>
      <w:bookmarkStart w:id="3340" w:name="_Toc38440964"/>
      <w:bookmarkStart w:id="3341" w:name="_Toc38441296"/>
      <w:bookmarkStart w:id="3342" w:name="_Toc38441628"/>
      <w:bookmarkStart w:id="3343" w:name="_Toc38441956"/>
      <w:bookmarkStart w:id="3344" w:name="_Toc38442288"/>
      <w:bookmarkStart w:id="3345" w:name="_Toc38442620"/>
      <w:bookmarkStart w:id="3346" w:name="_Toc38442951"/>
      <w:bookmarkStart w:id="3347" w:name="_Toc38443282"/>
      <w:bookmarkStart w:id="3348" w:name="_Toc38443613"/>
      <w:bookmarkStart w:id="3349" w:name="_Toc38443943"/>
      <w:bookmarkStart w:id="3350" w:name="_Toc38438411"/>
      <w:bookmarkStart w:id="3351" w:name="_Toc38438748"/>
      <w:bookmarkStart w:id="3352" w:name="_Toc38439085"/>
      <w:bookmarkStart w:id="3353" w:name="_Toc38439422"/>
      <w:bookmarkStart w:id="3354" w:name="_Toc38439759"/>
      <w:bookmarkStart w:id="3355" w:name="_Toc38440096"/>
      <w:bookmarkStart w:id="3356" w:name="_Toc38440433"/>
      <w:bookmarkStart w:id="3357" w:name="_Toc38440965"/>
      <w:bookmarkStart w:id="3358" w:name="_Toc38441297"/>
      <w:bookmarkStart w:id="3359" w:name="_Toc38441629"/>
      <w:bookmarkStart w:id="3360" w:name="_Toc38441957"/>
      <w:bookmarkStart w:id="3361" w:name="_Toc38442289"/>
      <w:bookmarkStart w:id="3362" w:name="_Toc38442621"/>
      <w:bookmarkStart w:id="3363" w:name="_Toc38442952"/>
      <w:bookmarkStart w:id="3364" w:name="_Toc38443283"/>
      <w:bookmarkStart w:id="3365" w:name="_Toc38443614"/>
      <w:bookmarkStart w:id="3366" w:name="_Toc38443944"/>
      <w:bookmarkStart w:id="3367" w:name="_Toc38438412"/>
      <w:bookmarkStart w:id="3368" w:name="_Toc38438749"/>
      <w:bookmarkStart w:id="3369" w:name="_Toc38439086"/>
      <w:bookmarkStart w:id="3370" w:name="_Toc38439423"/>
      <w:bookmarkStart w:id="3371" w:name="_Toc38439760"/>
      <w:bookmarkStart w:id="3372" w:name="_Toc38440097"/>
      <w:bookmarkStart w:id="3373" w:name="_Toc38440434"/>
      <w:bookmarkStart w:id="3374" w:name="_Toc38440966"/>
      <w:bookmarkStart w:id="3375" w:name="_Toc38441298"/>
      <w:bookmarkStart w:id="3376" w:name="_Toc38441630"/>
      <w:bookmarkStart w:id="3377" w:name="_Toc38441958"/>
      <w:bookmarkStart w:id="3378" w:name="_Toc38442290"/>
      <w:bookmarkStart w:id="3379" w:name="_Toc38442622"/>
      <w:bookmarkStart w:id="3380" w:name="_Toc38442953"/>
      <w:bookmarkStart w:id="3381" w:name="_Toc38443284"/>
      <w:bookmarkStart w:id="3382" w:name="_Toc38443615"/>
      <w:bookmarkStart w:id="3383" w:name="_Toc38443945"/>
      <w:bookmarkStart w:id="3384" w:name="_Toc38438413"/>
      <w:bookmarkStart w:id="3385" w:name="_Toc38438750"/>
      <w:bookmarkStart w:id="3386" w:name="_Toc38439087"/>
      <w:bookmarkStart w:id="3387" w:name="_Toc38439424"/>
      <w:bookmarkStart w:id="3388" w:name="_Toc38439761"/>
      <w:bookmarkStart w:id="3389" w:name="_Toc38440098"/>
      <w:bookmarkStart w:id="3390" w:name="_Toc38440435"/>
      <w:bookmarkStart w:id="3391" w:name="_Toc38440967"/>
      <w:bookmarkStart w:id="3392" w:name="_Toc38441299"/>
      <w:bookmarkStart w:id="3393" w:name="_Toc38441631"/>
      <w:bookmarkStart w:id="3394" w:name="_Toc38441959"/>
      <w:bookmarkStart w:id="3395" w:name="_Toc38442291"/>
      <w:bookmarkStart w:id="3396" w:name="_Toc38442623"/>
      <w:bookmarkStart w:id="3397" w:name="_Toc38442954"/>
      <w:bookmarkStart w:id="3398" w:name="_Toc38443285"/>
      <w:bookmarkStart w:id="3399" w:name="_Toc38443616"/>
      <w:bookmarkStart w:id="3400" w:name="_Toc38443946"/>
      <w:bookmarkStart w:id="3401" w:name="_Toc38438414"/>
      <w:bookmarkStart w:id="3402" w:name="_Toc38438751"/>
      <w:bookmarkStart w:id="3403" w:name="_Toc38439088"/>
      <w:bookmarkStart w:id="3404" w:name="_Toc38439425"/>
      <w:bookmarkStart w:id="3405" w:name="_Toc38439762"/>
      <w:bookmarkStart w:id="3406" w:name="_Toc38440099"/>
      <w:bookmarkStart w:id="3407" w:name="_Toc38440436"/>
      <w:bookmarkStart w:id="3408" w:name="_Toc38440968"/>
      <w:bookmarkStart w:id="3409" w:name="_Toc38441300"/>
      <w:bookmarkStart w:id="3410" w:name="_Toc38441632"/>
      <w:bookmarkStart w:id="3411" w:name="_Toc38441960"/>
      <w:bookmarkStart w:id="3412" w:name="_Toc38442292"/>
      <w:bookmarkStart w:id="3413" w:name="_Toc38442624"/>
      <w:bookmarkStart w:id="3414" w:name="_Toc38442955"/>
      <w:bookmarkStart w:id="3415" w:name="_Toc38443286"/>
      <w:bookmarkStart w:id="3416" w:name="_Toc38443617"/>
      <w:bookmarkStart w:id="3417" w:name="_Toc38443947"/>
      <w:bookmarkStart w:id="3418" w:name="_Toc38438415"/>
      <w:bookmarkStart w:id="3419" w:name="_Toc38438752"/>
      <w:bookmarkStart w:id="3420" w:name="_Toc38439089"/>
      <w:bookmarkStart w:id="3421" w:name="_Toc38439426"/>
      <w:bookmarkStart w:id="3422" w:name="_Toc38439763"/>
      <w:bookmarkStart w:id="3423" w:name="_Toc38440100"/>
      <w:bookmarkStart w:id="3424" w:name="_Toc38440437"/>
      <w:bookmarkStart w:id="3425" w:name="_Toc38440969"/>
      <w:bookmarkStart w:id="3426" w:name="_Toc38441301"/>
      <w:bookmarkStart w:id="3427" w:name="_Toc38441633"/>
      <w:bookmarkStart w:id="3428" w:name="_Toc38441961"/>
      <w:bookmarkStart w:id="3429" w:name="_Toc38442293"/>
      <w:bookmarkStart w:id="3430" w:name="_Toc38442625"/>
      <w:bookmarkStart w:id="3431" w:name="_Toc38442956"/>
      <w:bookmarkStart w:id="3432" w:name="_Toc38443287"/>
      <w:bookmarkStart w:id="3433" w:name="_Toc38443618"/>
      <w:bookmarkStart w:id="3434" w:name="_Toc38443948"/>
      <w:bookmarkStart w:id="3435" w:name="_Toc38438416"/>
      <w:bookmarkStart w:id="3436" w:name="_Toc38438753"/>
      <w:bookmarkStart w:id="3437" w:name="_Toc38439090"/>
      <w:bookmarkStart w:id="3438" w:name="_Toc38439427"/>
      <w:bookmarkStart w:id="3439" w:name="_Toc38439764"/>
      <w:bookmarkStart w:id="3440" w:name="_Toc38440101"/>
      <w:bookmarkStart w:id="3441" w:name="_Toc38440438"/>
      <w:bookmarkStart w:id="3442" w:name="_Toc38440970"/>
      <w:bookmarkStart w:id="3443" w:name="_Toc38441302"/>
      <w:bookmarkStart w:id="3444" w:name="_Toc38441634"/>
      <w:bookmarkStart w:id="3445" w:name="_Toc38441962"/>
      <w:bookmarkStart w:id="3446" w:name="_Toc38442294"/>
      <w:bookmarkStart w:id="3447" w:name="_Toc38442626"/>
      <w:bookmarkStart w:id="3448" w:name="_Toc38442957"/>
      <w:bookmarkStart w:id="3449" w:name="_Toc38443288"/>
      <w:bookmarkStart w:id="3450" w:name="_Toc38443619"/>
      <w:bookmarkStart w:id="3451" w:name="_Toc38443949"/>
      <w:bookmarkStart w:id="3452" w:name="_Toc38438417"/>
      <w:bookmarkStart w:id="3453" w:name="_Toc38438754"/>
      <w:bookmarkStart w:id="3454" w:name="_Toc38439091"/>
      <w:bookmarkStart w:id="3455" w:name="_Toc38439428"/>
      <w:bookmarkStart w:id="3456" w:name="_Toc38439765"/>
      <w:bookmarkStart w:id="3457" w:name="_Toc38440102"/>
      <w:bookmarkStart w:id="3458" w:name="_Toc38440439"/>
      <w:bookmarkStart w:id="3459" w:name="_Toc38440971"/>
      <w:bookmarkStart w:id="3460" w:name="_Toc38441303"/>
      <w:bookmarkStart w:id="3461" w:name="_Toc38441635"/>
      <w:bookmarkStart w:id="3462" w:name="_Toc38441963"/>
      <w:bookmarkStart w:id="3463" w:name="_Toc38442295"/>
      <w:bookmarkStart w:id="3464" w:name="_Toc38442627"/>
      <w:bookmarkStart w:id="3465" w:name="_Toc38442958"/>
      <w:bookmarkStart w:id="3466" w:name="_Toc38443289"/>
      <w:bookmarkStart w:id="3467" w:name="_Toc38443620"/>
      <w:bookmarkStart w:id="3468" w:name="_Toc38443950"/>
      <w:bookmarkStart w:id="3469" w:name="_Toc38438418"/>
      <w:bookmarkStart w:id="3470" w:name="_Toc38438755"/>
      <w:bookmarkStart w:id="3471" w:name="_Toc38439092"/>
      <w:bookmarkStart w:id="3472" w:name="_Toc38439429"/>
      <w:bookmarkStart w:id="3473" w:name="_Toc38439766"/>
      <w:bookmarkStart w:id="3474" w:name="_Toc38440103"/>
      <w:bookmarkStart w:id="3475" w:name="_Toc38440440"/>
      <w:bookmarkStart w:id="3476" w:name="_Toc38440972"/>
      <w:bookmarkStart w:id="3477" w:name="_Toc38441304"/>
      <w:bookmarkStart w:id="3478" w:name="_Toc38441636"/>
      <w:bookmarkStart w:id="3479" w:name="_Toc38441964"/>
      <w:bookmarkStart w:id="3480" w:name="_Toc38442296"/>
      <w:bookmarkStart w:id="3481" w:name="_Toc38442628"/>
      <w:bookmarkStart w:id="3482" w:name="_Toc38442959"/>
      <w:bookmarkStart w:id="3483" w:name="_Toc38443290"/>
      <w:bookmarkStart w:id="3484" w:name="_Toc38443621"/>
      <w:bookmarkStart w:id="3485" w:name="_Toc38443951"/>
      <w:bookmarkStart w:id="3486" w:name="_Toc38438419"/>
      <w:bookmarkStart w:id="3487" w:name="_Toc38438756"/>
      <w:bookmarkStart w:id="3488" w:name="_Toc38439093"/>
      <w:bookmarkStart w:id="3489" w:name="_Toc38439430"/>
      <w:bookmarkStart w:id="3490" w:name="_Toc38439767"/>
      <w:bookmarkStart w:id="3491" w:name="_Toc38440104"/>
      <w:bookmarkStart w:id="3492" w:name="_Toc38440441"/>
      <w:bookmarkStart w:id="3493" w:name="_Toc38440973"/>
      <w:bookmarkStart w:id="3494" w:name="_Toc38441305"/>
      <w:bookmarkStart w:id="3495" w:name="_Toc38441637"/>
      <w:bookmarkStart w:id="3496" w:name="_Toc38441965"/>
      <w:bookmarkStart w:id="3497" w:name="_Toc38442297"/>
      <w:bookmarkStart w:id="3498" w:name="_Toc38442629"/>
      <w:bookmarkStart w:id="3499" w:name="_Toc38442960"/>
      <w:bookmarkStart w:id="3500" w:name="_Toc38443291"/>
      <w:bookmarkStart w:id="3501" w:name="_Toc38443622"/>
      <w:bookmarkStart w:id="3502" w:name="_Toc38443952"/>
      <w:bookmarkStart w:id="3503" w:name="_Toc38438420"/>
      <w:bookmarkStart w:id="3504" w:name="_Toc38438757"/>
      <w:bookmarkStart w:id="3505" w:name="_Toc38439094"/>
      <w:bookmarkStart w:id="3506" w:name="_Toc38439431"/>
      <w:bookmarkStart w:id="3507" w:name="_Toc38439768"/>
      <w:bookmarkStart w:id="3508" w:name="_Toc38440105"/>
      <w:bookmarkStart w:id="3509" w:name="_Toc38440442"/>
      <w:bookmarkStart w:id="3510" w:name="_Toc38440974"/>
      <w:bookmarkStart w:id="3511" w:name="_Toc38441306"/>
      <w:bookmarkStart w:id="3512" w:name="_Toc38441638"/>
      <w:bookmarkStart w:id="3513" w:name="_Toc38441966"/>
      <w:bookmarkStart w:id="3514" w:name="_Toc38442298"/>
      <w:bookmarkStart w:id="3515" w:name="_Toc38442630"/>
      <w:bookmarkStart w:id="3516" w:name="_Toc38442961"/>
      <w:bookmarkStart w:id="3517" w:name="_Toc38443292"/>
      <w:bookmarkStart w:id="3518" w:name="_Toc38443623"/>
      <w:bookmarkStart w:id="3519" w:name="_Toc38443953"/>
      <w:bookmarkStart w:id="3520" w:name="_Toc38438421"/>
      <w:bookmarkStart w:id="3521" w:name="_Toc38438758"/>
      <w:bookmarkStart w:id="3522" w:name="_Toc38439095"/>
      <w:bookmarkStart w:id="3523" w:name="_Toc38439432"/>
      <w:bookmarkStart w:id="3524" w:name="_Toc38439769"/>
      <w:bookmarkStart w:id="3525" w:name="_Toc38440106"/>
      <w:bookmarkStart w:id="3526" w:name="_Toc38440443"/>
      <w:bookmarkStart w:id="3527" w:name="_Toc38440975"/>
      <w:bookmarkStart w:id="3528" w:name="_Toc38441307"/>
      <w:bookmarkStart w:id="3529" w:name="_Toc38441639"/>
      <w:bookmarkStart w:id="3530" w:name="_Toc38441967"/>
      <w:bookmarkStart w:id="3531" w:name="_Toc38442299"/>
      <w:bookmarkStart w:id="3532" w:name="_Toc38442631"/>
      <w:bookmarkStart w:id="3533" w:name="_Toc38442962"/>
      <w:bookmarkStart w:id="3534" w:name="_Toc38443293"/>
      <w:bookmarkStart w:id="3535" w:name="_Toc38443624"/>
      <w:bookmarkStart w:id="3536" w:name="_Toc38443954"/>
      <w:bookmarkStart w:id="3537" w:name="_Toc38438422"/>
      <w:bookmarkStart w:id="3538" w:name="_Toc38438759"/>
      <w:bookmarkStart w:id="3539" w:name="_Toc38439096"/>
      <w:bookmarkStart w:id="3540" w:name="_Toc38439433"/>
      <w:bookmarkStart w:id="3541" w:name="_Toc38439770"/>
      <w:bookmarkStart w:id="3542" w:name="_Toc38440107"/>
      <w:bookmarkStart w:id="3543" w:name="_Toc38440444"/>
      <w:bookmarkStart w:id="3544" w:name="_Toc38440976"/>
      <w:bookmarkStart w:id="3545" w:name="_Toc38441308"/>
      <w:bookmarkStart w:id="3546" w:name="_Toc38441640"/>
      <w:bookmarkStart w:id="3547" w:name="_Toc38441968"/>
      <w:bookmarkStart w:id="3548" w:name="_Toc38442300"/>
      <w:bookmarkStart w:id="3549" w:name="_Toc38442632"/>
      <w:bookmarkStart w:id="3550" w:name="_Toc38442963"/>
      <w:bookmarkStart w:id="3551" w:name="_Toc38443294"/>
      <w:bookmarkStart w:id="3552" w:name="_Toc38443625"/>
      <w:bookmarkStart w:id="3553" w:name="_Toc38443955"/>
      <w:bookmarkStart w:id="3554" w:name="_Toc38438423"/>
      <w:bookmarkStart w:id="3555" w:name="_Toc38438760"/>
      <w:bookmarkStart w:id="3556" w:name="_Toc38439097"/>
      <w:bookmarkStart w:id="3557" w:name="_Toc38439434"/>
      <w:bookmarkStart w:id="3558" w:name="_Toc38439771"/>
      <w:bookmarkStart w:id="3559" w:name="_Toc38440108"/>
      <w:bookmarkStart w:id="3560" w:name="_Toc38440445"/>
      <w:bookmarkStart w:id="3561" w:name="_Toc38440977"/>
      <w:bookmarkStart w:id="3562" w:name="_Toc38441309"/>
      <w:bookmarkStart w:id="3563" w:name="_Toc38441641"/>
      <w:bookmarkStart w:id="3564" w:name="_Toc38441969"/>
      <w:bookmarkStart w:id="3565" w:name="_Toc38442301"/>
      <w:bookmarkStart w:id="3566" w:name="_Toc38442633"/>
      <w:bookmarkStart w:id="3567" w:name="_Toc38442964"/>
      <w:bookmarkStart w:id="3568" w:name="_Toc38443295"/>
      <w:bookmarkStart w:id="3569" w:name="_Toc38443626"/>
      <w:bookmarkStart w:id="3570" w:name="_Toc38443956"/>
      <w:bookmarkStart w:id="3571" w:name="_Toc38438424"/>
      <w:bookmarkStart w:id="3572" w:name="_Toc38438761"/>
      <w:bookmarkStart w:id="3573" w:name="_Toc38439098"/>
      <w:bookmarkStart w:id="3574" w:name="_Toc38439435"/>
      <w:bookmarkStart w:id="3575" w:name="_Toc38439772"/>
      <w:bookmarkStart w:id="3576" w:name="_Toc38440109"/>
      <w:bookmarkStart w:id="3577" w:name="_Toc38440446"/>
      <w:bookmarkStart w:id="3578" w:name="_Toc38440978"/>
      <w:bookmarkStart w:id="3579" w:name="_Toc38441310"/>
      <w:bookmarkStart w:id="3580" w:name="_Toc38441642"/>
      <w:bookmarkStart w:id="3581" w:name="_Toc38441970"/>
      <w:bookmarkStart w:id="3582" w:name="_Toc38442302"/>
      <w:bookmarkStart w:id="3583" w:name="_Toc38442634"/>
      <w:bookmarkStart w:id="3584" w:name="_Toc38442965"/>
      <w:bookmarkStart w:id="3585" w:name="_Toc38443296"/>
      <w:bookmarkStart w:id="3586" w:name="_Toc38443627"/>
      <w:bookmarkStart w:id="3587" w:name="_Toc38443957"/>
      <w:bookmarkStart w:id="3588" w:name="_Toc38438425"/>
      <w:bookmarkStart w:id="3589" w:name="_Toc38438762"/>
      <w:bookmarkStart w:id="3590" w:name="_Toc38439099"/>
      <w:bookmarkStart w:id="3591" w:name="_Toc38439436"/>
      <w:bookmarkStart w:id="3592" w:name="_Toc38439773"/>
      <w:bookmarkStart w:id="3593" w:name="_Toc38440110"/>
      <w:bookmarkStart w:id="3594" w:name="_Toc38440447"/>
      <w:bookmarkStart w:id="3595" w:name="_Toc38440979"/>
      <w:bookmarkStart w:id="3596" w:name="_Toc38441311"/>
      <w:bookmarkStart w:id="3597" w:name="_Toc38441643"/>
      <w:bookmarkStart w:id="3598" w:name="_Toc38441971"/>
      <w:bookmarkStart w:id="3599" w:name="_Toc38442303"/>
      <w:bookmarkStart w:id="3600" w:name="_Toc38442635"/>
      <w:bookmarkStart w:id="3601" w:name="_Toc38442966"/>
      <w:bookmarkStart w:id="3602" w:name="_Toc38443297"/>
      <w:bookmarkStart w:id="3603" w:name="_Toc38443628"/>
      <w:bookmarkStart w:id="3604" w:name="_Toc38443958"/>
      <w:bookmarkStart w:id="3605" w:name="_Toc38438426"/>
      <w:bookmarkStart w:id="3606" w:name="_Toc38438763"/>
      <w:bookmarkStart w:id="3607" w:name="_Toc38439100"/>
      <w:bookmarkStart w:id="3608" w:name="_Toc38439437"/>
      <w:bookmarkStart w:id="3609" w:name="_Toc38439774"/>
      <w:bookmarkStart w:id="3610" w:name="_Toc38440111"/>
      <w:bookmarkStart w:id="3611" w:name="_Toc38440448"/>
      <w:bookmarkStart w:id="3612" w:name="_Toc38440980"/>
      <w:bookmarkStart w:id="3613" w:name="_Toc38441312"/>
      <w:bookmarkStart w:id="3614" w:name="_Toc38441644"/>
      <w:bookmarkStart w:id="3615" w:name="_Toc38441972"/>
      <w:bookmarkStart w:id="3616" w:name="_Toc38442304"/>
      <w:bookmarkStart w:id="3617" w:name="_Toc38442636"/>
      <w:bookmarkStart w:id="3618" w:name="_Toc38442967"/>
      <w:bookmarkStart w:id="3619" w:name="_Toc38443298"/>
      <w:bookmarkStart w:id="3620" w:name="_Toc38443629"/>
      <w:bookmarkStart w:id="3621" w:name="_Toc38443959"/>
      <w:bookmarkStart w:id="3622" w:name="_Toc38438427"/>
      <w:bookmarkStart w:id="3623" w:name="_Toc38438764"/>
      <w:bookmarkStart w:id="3624" w:name="_Toc38439101"/>
      <w:bookmarkStart w:id="3625" w:name="_Toc38439438"/>
      <w:bookmarkStart w:id="3626" w:name="_Toc38439775"/>
      <w:bookmarkStart w:id="3627" w:name="_Toc38440112"/>
      <w:bookmarkStart w:id="3628" w:name="_Toc38440449"/>
      <w:bookmarkStart w:id="3629" w:name="_Toc38440981"/>
      <w:bookmarkStart w:id="3630" w:name="_Toc38441313"/>
      <w:bookmarkStart w:id="3631" w:name="_Toc38441645"/>
      <w:bookmarkStart w:id="3632" w:name="_Toc38441973"/>
      <w:bookmarkStart w:id="3633" w:name="_Toc38442305"/>
      <w:bookmarkStart w:id="3634" w:name="_Toc38442637"/>
      <w:bookmarkStart w:id="3635" w:name="_Toc38442968"/>
      <w:bookmarkStart w:id="3636" w:name="_Toc38443299"/>
      <w:bookmarkStart w:id="3637" w:name="_Toc38443630"/>
      <w:bookmarkStart w:id="3638" w:name="_Toc38443960"/>
      <w:bookmarkStart w:id="3639" w:name="_Toc38438428"/>
      <w:bookmarkStart w:id="3640" w:name="_Toc38438765"/>
      <w:bookmarkStart w:id="3641" w:name="_Toc38439102"/>
      <w:bookmarkStart w:id="3642" w:name="_Toc38439439"/>
      <w:bookmarkStart w:id="3643" w:name="_Toc38439776"/>
      <w:bookmarkStart w:id="3644" w:name="_Toc38440113"/>
      <w:bookmarkStart w:id="3645" w:name="_Toc38440450"/>
      <w:bookmarkStart w:id="3646" w:name="_Toc38440982"/>
      <w:bookmarkStart w:id="3647" w:name="_Toc38441314"/>
      <w:bookmarkStart w:id="3648" w:name="_Toc38441646"/>
      <w:bookmarkStart w:id="3649" w:name="_Toc38441974"/>
      <w:bookmarkStart w:id="3650" w:name="_Toc38442306"/>
      <w:bookmarkStart w:id="3651" w:name="_Toc38442638"/>
      <w:bookmarkStart w:id="3652" w:name="_Toc38442969"/>
      <w:bookmarkStart w:id="3653" w:name="_Toc38443300"/>
      <w:bookmarkStart w:id="3654" w:name="_Toc38443631"/>
      <w:bookmarkStart w:id="3655" w:name="_Toc38443961"/>
      <w:bookmarkStart w:id="3656" w:name="_Toc38438429"/>
      <w:bookmarkStart w:id="3657" w:name="_Toc38438766"/>
      <w:bookmarkStart w:id="3658" w:name="_Toc38439103"/>
      <w:bookmarkStart w:id="3659" w:name="_Toc38439440"/>
      <w:bookmarkStart w:id="3660" w:name="_Toc38439777"/>
      <w:bookmarkStart w:id="3661" w:name="_Toc38440114"/>
      <w:bookmarkStart w:id="3662" w:name="_Toc38440451"/>
      <w:bookmarkStart w:id="3663" w:name="_Toc38440983"/>
      <w:bookmarkStart w:id="3664" w:name="_Toc38441315"/>
      <w:bookmarkStart w:id="3665" w:name="_Toc38441647"/>
      <w:bookmarkStart w:id="3666" w:name="_Toc38441975"/>
      <w:bookmarkStart w:id="3667" w:name="_Toc38442307"/>
      <w:bookmarkStart w:id="3668" w:name="_Toc38442639"/>
      <w:bookmarkStart w:id="3669" w:name="_Toc38442970"/>
      <w:bookmarkStart w:id="3670" w:name="_Toc38443301"/>
      <w:bookmarkStart w:id="3671" w:name="_Toc38443632"/>
      <w:bookmarkStart w:id="3672" w:name="_Toc38443962"/>
      <w:bookmarkStart w:id="3673" w:name="_Toc38438430"/>
      <w:bookmarkStart w:id="3674" w:name="_Toc38438767"/>
      <w:bookmarkStart w:id="3675" w:name="_Toc38439104"/>
      <w:bookmarkStart w:id="3676" w:name="_Toc38439441"/>
      <w:bookmarkStart w:id="3677" w:name="_Toc38439778"/>
      <w:bookmarkStart w:id="3678" w:name="_Toc38440115"/>
      <w:bookmarkStart w:id="3679" w:name="_Toc38440452"/>
      <w:bookmarkStart w:id="3680" w:name="_Toc38440984"/>
      <w:bookmarkStart w:id="3681" w:name="_Toc38441316"/>
      <w:bookmarkStart w:id="3682" w:name="_Toc38441648"/>
      <w:bookmarkStart w:id="3683" w:name="_Toc38441976"/>
      <w:bookmarkStart w:id="3684" w:name="_Toc38442308"/>
      <w:bookmarkStart w:id="3685" w:name="_Toc38442640"/>
      <w:bookmarkStart w:id="3686" w:name="_Toc38442971"/>
      <w:bookmarkStart w:id="3687" w:name="_Toc38443302"/>
      <w:bookmarkStart w:id="3688" w:name="_Toc38443633"/>
      <w:bookmarkStart w:id="3689" w:name="_Toc38443963"/>
      <w:bookmarkStart w:id="3690" w:name="_Toc38438431"/>
      <w:bookmarkStart w:id="3691" w:name="_Toc38438768"/>
      <w:bookmarkStart w:id="3692" w:name="_Toc38439105"/>
      <w:bookmarkStart w:id="3693" w:name="_Toc38439442"/>
      <w:bookmarkStart w:id="3694" w:name="_Toc38439779"/>
      <w:bookmarkStart w:id="3695" w:name="_Toc38440116"/>
      <w:bookmarkStart w:id="3696" w:name="_Toc38440453"/>
      <w:bookmarkStart w:id="3697" w:name="_Toc38440985"/>
      <w:bookmarkStart w:id="3698" w:name="_Toc38441317"/>
      <w:bookmarkStart w:id="3699" w:name="_Toc38441649"/>
      <w:bookmarkStart w:id="3700" w:name="_Toc38441977"/>
      <w:bookmarkStart w:id="3701" w:name="_Toc38442309"/>
      <w:bookmarkStart w:id="3702" w:name="_Toc38442641"/>
      <w:bookmarkStart w:id="3703" w:name="_Toc38442972"/>
      <w:bookmarkStart w:id="3704" w:name="_Toc38443303"/>
      <w:bookmarkStart w:id="3705" w:name="_Toc38443634"/>
      <w:bookmarkStart w:id="3706" w:name="_Toc38443964"/>
      <w:bookmarkStart w:id="3707" w:name="_Toc38438432"/>
      <w:bookmarkStart w:id="3708" w:name="_Toc38438769"/>
      <w:bookmarkStart w:id="3709" w:name="_Toc38439106"/>
      <w:bookmarkStart w:id="3710" w:name="_Toc38439443"/>
      <w:bookmarkStart w:id="3711" w:name="_Toc38439780"/>
      <w:bookmarkStart w:id="3712" w:name="_Toc38440117"/>
      <w:bookmarkStart w:id="3713" w:name="_Toc38440454"/>
      <w:bookmarkStart w:id="3714" w:name="_Toc38440986"/>
      <w:bookmarkStart w:id="3715" w:name="_Toc38441318"/>
      <w:bookmarkStart w:id="3716" w:name="_Toc38441650"/>
      <w:bookmarkStart w:id="3717" w:name="_Toc38441978"/>
      <w:bookmarkStart w:id="3718" w:name="_Toc38442310"/>
      <w:bookmarkStart w:id="3719" w:name="_Toc38442642"/>
      <w:bookmarkStart w:id="3720" w:name="_Toc38442973"/>
      <w:bookmarkStart w:id="3721" w:name="_Toc38443304"/>
      <w:bookmarkStart w:id="3722" w:name="_Toc38443635"/>
      <w:bookmarkStart w:id="3723" w:name="_Toc38443965"/>
      <w:bookmarkStart w:id="3724" w:name="_Toc38438433"/>
      <w:bookmarkStart w:id="3725" w:name="_Toc38438770"/>
      <w:bookmarkStart w:id="3726" w:name="_Toc38439107"/>
      <w:bookmarkStart w:id="3727" w:name="_Toc38439444"/>
      <w:bookmarkStart w:id="3728" w:name="_Toc38439781"/>
      <w:bookmarkStart w:id="3729" w:name="_Toc38440118"/>
      <w:bookmarkStart w:id="3730" w:name="_Toc38440455"/>
      <w:bookmarkStart w:id="3731" w:name="_Toc38440987"/>
      <w:bookmarkStart w:id="3732" w:name="_Toc38441319"/>
      <w:bookmarkStart w:id="3733" w:name="_Toc38441651"/>
      <w:bookmarkStart w:id="3734" w:name="_Toc38441979"/>
      <w:bookmarkStart w:id="3735" w:name="_Toc38442311"/>
      <w:bookmarkStart w:id="3736" w:name="_Toc38442643"/>
      <w:bookmarkStart w:id="3737" w:name="_Toc38442974"/>
      <w:bookmarkStart w:id="3738" w:name="_Toc38443305"/>
      <w:bookmarkStart w:id="3739" w:name="_Toc38443636"/>
      <w:bookmarkStart w:id="3740" w:name="_Toc38443966"/>
      <w:bookmarkStart w:id="3741" w:name="_Toc38438434"/>
      <w:bookmarkStart w:id="3742" w:name="_Toc38438771"/>
      <w:bookmarkStart w:id="3743" w:name="_Toc38439108"/>
      <w:bookmarkStart w:id="3744" w:name="_Toc38439445"/>
      <w:bookmarkStart w:id="3745" w:name="_Toc38439782"/>
      <w:bookmarkStart w:id="3746" w:name="_Toc38440119"/>
      <w:bookmarkStart w:id="3747" w:name="_Toc38440456"/>
      <w:bookmarkStart w:id="3748" w:name="_Toc38440988"/>
      <w:bookmarkStart w:id="3749" w:name="_Toc38441320"/>
      <w:bookmarkStart w:id="3750" w:name="_Toc38441652"/>
      <w:bookmarkStart w:id="3751" w:name="_Toc38441980"/>
      <w:bookmarkStart w:id="3752" w:name="_Toc38442312"/>
      <w:bookmarkStart w:id="3753" w:name="_Toc38442644"/>
      <w:bookmarkStart w:id="3754" w:name="_Toc38442975"/>
      <w:bookmarkStart w:id="3755" w:name="_Toc38443306"/>
      <w:bookmarkStart w:id="3756" w:name="_Toc38443637"/>
      <w:bookmarkStart w:id="3757" w:name="_Toc38443967"/>
      <w:bookmarkStart w:id="3758" w:name="_Toc38438435"/>
      <w:bookmarkStart w:id="3759" w:name="_Toc38438772"/>
      <w:bookmarkStart w:id="3760" w:name="_Toc38439109"/>
      <w:bookmarkStart w:id="3761" w:name="_Toc38439446"/>
      <w:bookmarkStart w:id="3762" w:name="_Toc38439783"/>
      <w:bookmarkStart w:id="3763" w:name="_Toc38440120"/>
      <w:bookmarkStart w:id="3764" w:name="_Toc38440457"/>
      <w:bookmarkStart w:id="3765" w:name="_Toc38440989"/>
      <w:bookmarkStart w:id="3766" w:name="_Toc38441321"/>
      <w:bookmarkStart w:id="3767" w:name="_Toc38441653"/>
      <w:bookmarkStart w:id="3768" w:name="_Toc38441981"/>
      <w:bookmarkStart w:id="3769" w:name="_Toc38442313"/>
      <w:bookmarkStart w:id="3770" w:name="_Toc38442645"/>
      <w:bookmarkStart w:id="3771" w:name="_Toc38442976"/>
      <w:bookmarkStart w:id="3772" w:name="_Toc38443307"/>
      <w:bookmarkStart w:id="3773" w:name="_Toc38443638"/>
      <w:bookmarkStart w:id="3774" w:name="_Toc38443968"/>
      <w:bookmarkStart w:id="3775" w:name="_Toc38438436"/>
      <w:bookmarkStart w:id="3776" w:name="_Toc38438773"/>
      <w:bookmarkStart w:id="3777" w:name="_Toc38439110"/>
      <w:bookmarkStart w:id="3778" w:name="_Toc38439447"/>
      <w:bookmarkStart w:id="3779" w:name="_Toc38439784"/>
      <w:bookmarkStart w:id="3780" w:name="_Toc38440121"/>
      <w:bookmarkStart w:id="3781" w:name="_Toc38440458"/>
      <w:bookmarkStart w:id="3782" w:name="_Toc38440990"/>
      <w:bookmarkStart w:id="3783" w:name="_Toc38441322"/>
      <w:bookmarkStart w:id="3784" w:name="_Toc38441654"/>
      <w:bookmarkStart w:id="3785" w:name="_Toc38441982"/>
      <w:bookmarkStart w:id="3786" w:name="_Toc38442314"/>
      <w:bookmarkStart w:id="3787" w:name="_Toc38442646"/>
      <w:bookmarkStart w:id="3788" w:name="_Toc38442977"/>
      <w:bookmarkStart w:id="3789" w:name="_Toc38443308"/>
      <w:bookmarkStart w:id="3790" w:name="_Toc38443639"/>
      <w:bookmarkStart w:id="3791" w:name="_Toc38443969"/>
      <w:bookmarkStart w:id="3792" w:name="_Toc38438437"/>
      <w:bookmarkStart w:id="3793" w:name="_Toc38438774"/>
      <w:bookmarkStart w:id="3794" w:name="_Toc38439111"/>
      <w:bookmarkStart w:id="3795" w:name="_Toc38439448"/>
      <w:bookmarkStart w:id="3796" w:name="_Toc38439785"/>
      <w:bookmarkStart w:id="3797" w:name="_Toc38440122"/>
      <w:bookmarkStart w:id="3798" w:name="_Toc38440459"/>
      <w:bookmarkStart w:id="3799" w:name="_Toc38440991"/>
      <w:bookmarkStart w:id="3800" w:name="_Toc38441323"/>
      <w:bookmarkStart w:id="3801" w:name="_Toc38441655"/>
      <w:bookmarkStart w:id="3802" w:name="_Toc38441983"/>
      <w:bookmarkStart w:id="3803" w:name="_Toc38442315"/>
      <w:bookmarkStart w:id="3804" w:name="_Toc38442647"/>
      <w:bookmarkStart w:id="3805" w:name="_Toc38442978"/>
      <w:bookmarkStart w:id="3806" w:name="_Toc38443309"/>
      <w:bookmarkStart w:id="3807" w:name="_Toc38443640"/>
      <w:bookmarkStart w:id="3808" w:name="_Toc38443970"/>
      <w:bookmarkStart w:id="3809" w:name="_Toc38438438"/>
      <w:bookmarkStart w:id="3810" w:name="_Toc38438775"/>
      <w:bookmarkStart w:id="3811" w:name="_Toc38439112"/>
      <w:bookmarkStart w:id="3812" w:name="_Toc38439449"/>
      <w:bookmarkStart w:id="3813" w:name="_Toc38439786"/>
      <w:bookmarkStart w:id="3814" w:name="_Toc38440123"/>
      <w:bookmarkStart w:id="3815" w:name="_Toc38440460"/>
      <w:bookmarkStart w:id="3816" w:name="_Toc38440992"/>
      <w:bookmarkStart w:id="3817" w:name="_Toc38441324"/>
      <w:bookmarkStart w:id="3818" w:name="_Toc38441656"/>
      <w:bookmarkStart w:id="3819" w:name="_Toc38441984"/>
      <w:bookmarkStart w:id="3820" w:name="_Toc38442316"/>
      <w:bookmarkStart w:id="3821" w:name="_Toc38442648"/>
      <w:bookmarkStart w:id="3822" w:name="_Toc38442979"/>
      <w:bookmarkStart w:id="3823" w:name="_Toc38443310"/>
      <w:bookmarkStart w:id="3824" w:name="_Toc38443641"/>
      <w:bookmarkStart w:id="3825" w:name="_Toc38443971"/>
      <w:bookmarkStart w:id="3826" w:name="_Toc38438439"/>
      <w:bookmarkStart w:id="3827" w:name="_Toc38438776"/>
      <w:bookmarkStart w:id="3828" w:name="_Toc38439113"/>
      <w:bookmarkStart w:id="3829" w:name="_Toc38439450"/>
      <w:bookmarkStart w:id="3830" w:name="_Toc38439787"/>
      <w:bookmarkStart w:id="3831" w:name="_Toc38440124"/>
      <w:bookmarkStart w:id="3832" w:name="_Toc38440461"/>
      <w:bookmarkStart w:id="3833" w:name="_Toc38440993"/>
      <w:bookmarkStart w:id="3834" w:name="_Toc38441325"/>
      <w:bookmarkStart w:id="3835" w:name="_Toc38441657"/>
      <w:bookmarkStart w:id="3836" w:name="_Toc38441985"/>
      <w:bookmarkStart w:id="3837" w:name="_Toc38442317"/>
      <w:bookmarkStart w:id="3838" w:name="_Toc38442649"/>
      <w:bookmarkStart w:id="3839" w:name="_Toc38442980"/>
      <w:bookmarkStart w:id="3840" w:name="_Toc38443311"/>
      <w:bookmarkStart w:id="3841" w:name="_Toc38443642"/>
      <w:bookmarkStart w:id="3842" w:name="_Toc38443972"/>
      <w:bookmarkStart w:id="3843" w:name="_Toc38438440"/>
      <w:bookmarkStart w:id="3844" w:name="_Toc38438777"/>
      <w:bookmarkStart w:id="3845" w:name="_Toc38439114"/>
      <w:bookmarkStart w:id="3846" w:name="_Toc38439451"/>
      <w:bookmarkStart w:id="3847" w:name="_Toc38439788"/>
      <w:bookmarkStart w:id="3848" w:name="_Toc38440125"/>
      <w:bookmarkStart w:id="3849" w:name="_Toc38440462"/>
      <w:bookmarkStart w:id="3850" w:name="_Toc38440994"/>
      <w:bookmarkStart w:id="3851" w:name="_Toc38441326"/>
      <w:bookmarkStart w:id="3852" w:name="_Toc38441658"/>
      <w:bookmarkStart w:id="3853" w:name="_Toc38441986"/>
      <w:bookmarkStart w:id="3854" w:name="_Toc38442318"/>
      <w:bookmarkStart w:id="3855" w:name="_Toc38442650"/>
      <w:bookmarkStart w:id="3856" w:name="_Toc38442981"/>
      <w:bookmarkStart w:id="3857" w:name="_Toc38443312"/>
      <w:bookmarkStart w:id="3858" w:name="_Toc38443643"/>
      <w:bookmarkStart w:id="3859" w:name="_Toc38443973"/>
      <w:bookmarkStart w:id="3860" w:name="_Toc38438441"/>
      <w:bookmarkStart w:id="3861" w:name="_Toc38438778"/>
      <w:bookmarkStart w:id="3862" w:name="_Toc38439115"/>
      <w:bookmarkStart w:id="3863" w:name="_Toc38439452"/>
      <w:bookmarkStart w:id="3864" w:name="_Toc38439789"/>
      <w:bookmarkStart w:id="3865" w:name="_Toc38440126"/>
      <w:bookmarkStart w:id="3866" w:name="_Toc38440463"/>
      <w:bookmarkStart w:id="3867" w:name="_Toc38440995"/>
      <w:bookmarkStart w:id="3868" w:name="_Toc38441327"/>
      <w:bookmarkStart w:id="3869" w:name="_Toc38441659"/>
      <w:bookmarkStart w:id="3870" w:name="_Toc38441987"/>
      <w:bookmarkStart w:id="3871" w:name="_Toc38442319"/>
      <w:bookmarkStart w:id="3872" w:name="_Toc38442651"/>
      <w:bookmarkStart w:id="3873" w:name="_Toc38442982"/>
      <w:bookmarkStart w:id="3874" w:name="_Toc38443313"/>
      <w:bookmarkStart w:id="3875" w:name="_Toc38443644"/>
      <w:bookmarkStart w:id="3876" w:name="_Toc38443974"/>
      <w:bookmarkStart w:id="3877" w:name="_Toc38438442"/>
      <w:bookmarkStart w:id="3878" w:name="_Toc38438779"/>
      <w:bookmarkStart w:id="3879" w:name="_Toc38439116"/>
      <w:bookmarkStart w:id="3880" w:name="_Toc38439453"/>
      <w:bookmarkStart w:id="3881" w:name="_Toc38439790"/>
      <w:bookmarkStart w:id="3882" w:name="_Toc38440127"/>
      <w:bookmarkStart w:id="3883" w:name="_Toc38440464"/>
      <w:bookmarkStart w:id="3884" w:name="_Toc38440996"/>
      <w:bookmarkStart w:id="3885" w:name="_Toc38441328"/>
      <w:bookmarkStart w:id="3886" w:name="_Toc38441660"/>
      <w:bookmarkStart w:id="3887" w:name="_Toc38441988"/>
      <w:bookmarkStart w:id="3888" w:name="_Toc38442320"/>
      <w:bookmarkStart w:id="3889" w:name="_Toc38442652"/>
      <w:bookmarkStart w:id="3890" w:name="_Toc38442983"/>
      <w:bookmarkStart w:id="3891" w:name="_Toc38443314"/>
      <w:bookmarkStart w:id="3892" w:name="_Toc38443645"/>
      <w:bookmarkStart w:id="3893" w:name="_Toc38443975"/>
      <w:bookmarkStart w:id="3894" w:name="_Toc38438443"/>
      <w:bookmarkStart w:id="3895" w:name="_Toc38438780"/>
      <w:bookmarkStart w:id="3896" w:name="_Toc38439117"/>
      <w:bookmarkStart w:id="3897" w:name="_Toc38439454"/>
      <w:bookmarkStart w:id="3898" w:name="_Toc38439791"/>
      <w:bookmarkStart w:id="3899" w:name="_Toc38440128"/>
      <w:bookmarkStart w:id="3900" w:name="_Toc38440465"/>
      <w:bookmarkStart w:id="3901" w:name="_Toc38440997"/>
      <w:bookmarkStart w:id="3902" w:name="_Toc38441329"/>
      <w:bookmarkStart w:id="3903" w:name="_Toc38441661"/>
      <w:bookmarkStart w:id="3904" w:name="_Toc38441989"/>
      <w:bookmarkStart w:id="3905" w:name="_Toc38442321"/>
      <w:bookmarkStart w:id="3906" w:name="_Toc38442653"/>
      <w:bookmarkStart w:id="3907" w:name="_Toc38442984"/>
      <w:bookmarkStart w:id="3908" w:name="_Toc38443315"/>
      <w:bookmarkStart w:id="3909" w:name="_Toc38443646"/>
      <w:bookmarkStart w:id="3910" w:name="_Toc38443976"/>
      <w:bookmarkStart w:id="3911" w:name="_Toc38438444"/>
      <w:bookmarkStart w:id="3912" w:name="_Toc38438781"/>
      <w:bookmarkStart w:id="3913" w:name="_Toc38439118"/>
      <w:bookmarkStart w:id="3914" w:name="_Toc38439455"/>
      <w:bookmarkStart w:id="3915" w:name="_Toc38439792"/>
      <w:bookmarkStart w:id="3916" w:name="_Toc38440129"/>
      <w:bookmarkStart w:id="3917" w:name="_Toc38440466"/>
      <w:bookmarkStart w:id="3918" w:name="_Toc38440998"/>
      <w:bookmarkStart w:id="3919" w:name="_Toc38441330"/>
      <w:bookmarkStart w:id="3920" w:name="_Toc38441662"/>
      <w:bookmarkStart w:id="3921" w:name="_Toc38441990"/>
      <w:bookmarkStart w:id="3922" w:name="_Toc38442322"/>
      <w:bookmarkStart w:id="3923" w:name="_Toc38442654"/>
      <w:bookmarkStart w:id="3924" w:name="_Toc38442985"/>
      <w:bookmarkStart w:id="3925" w:name="_Toc38443316"/>
      <w:bookmarkStart w:id="3926" w:name="_Toc38443647"/>
      <w:bookmarkStart w:id="3927" w:name="_Toc38443977"/>
      <w:bookmarkStart w:id="3928" w:name="_Toc38438445"/>
      <w:bookmarkStart w:id="3929" w:name="_Toc38438782"/>
      <w:bookmarkStart w:id="3930" w:name="_Toc38439119"/>
      <w:bookmarkStart w:id="3931" w:name="_Toc38439456"/>
      <w:bookmarkStart w:id="3932" w:name="_Toc38439793"/>
      <w:bookmarkStart w:id="3933" w:name="_Toc38440130"/>
      <w:bookmarkStart w:id="3934" w:name="_Toc38440467"/>
      <w:bookmarkStart w:id="3935" w:name="_Toc38440999"/>
      <w:bookmarkStart w:id="3936" w:name="_Toc38441331"/>
      <w:bookmarkStart w:id="3937" w:name="_Toc38441663"/>
      <w:bookmarkStart w:id="3938" w:name="_Toc38441991"/>
      <w:bookmarkStart w:id="3939" w:name="_Toc38442323"/>
      <w:bookmarkStart w:id="3940" w:name="_Toc38442655"/>
      <w:bookmarkStart w:id="3941" w:name="_Toc38442986"/>
      <w:bookmarkStart w:id="3942" w:name="_Toc38443317"/>
      <w:bookmarkStart w:id="3943" w:name="_Toc38443648"/>
      <w:bookmarkStart w:id="3944" w:name="_Toc38443978"/>
      <w:bookmarkStart w:id="3945" w:name="_Toc38438446"/>
      <w:bookmarkStart w:id="3946" w:name="_Toc38438783"/>
      <w:bookmarkStart w:id="3947" w:name="_Toc38439120"/>
      <w:bookmarkStart w:id="3948" w:name="_Toc38439457"/>
      <w:bookmarkStart w:id="3949" w:name="_Toc38439794"/>
      <w:bookmarkStart w:id="3950" w:name="_Toc38440131"/>
      <w:bookmarkStart w:id="3951" w:name="_Toc38440468"/>
      <w:bookmarkStart w:id="3952" w:name="_Toc38441000"/>
      <w:bookmarkStart w:id="3953" w:name="_Toc38441332"/>
      <w:bookmarkStart w:id="3954" w:name="_Toc38441664"/>
      <w:bookmarkStart w:id="3955" w:name="_Toc38441992"/>
      <w:bookmarkStart w:id="3956" w:name="_Toc38442324"/>
      <w:bookmarkStart w:id="3957" w:name="_Toc38442656"/>
      <w:bookmarkStart w:id="3958" w:name="_Toc38442987"/>
      <w:bookmarkStart w:id="3959" w:name="_Toc38443318"/>
      <w:bookmarkStart w:id="3960" w:name="_Toc38443649"/>
      <w:bookmarkStart w:id="3961" w:name="_Toc38443979"/>
      <w:bookmarkStart w:id="3962" w:name="_Toc38438447"/>
      <w:bookmarkStart w:id="3963" w:name="_Toc38438784"/>
      <w:bookmarkStart w:id="3964" w:name="_Toc38439121"/>
      <w:bookmarkStart w:id="3965" w:name="_Toc38439458"/>
      <w:bookmarkStart w:id="3966" w:name="_Toc38439795"/>
      <w:bookmarkStart w:id="3967" w:name="_Toc38440132"/>
      <w:bookmarkStart w:id="3968" w:name="_Toc38440469"/>
      <w:bookmarkStart w:id="3969" w:name="_Toc38441001"/>
      <w:bookmarkStart w:id="3970" w:name="_Toc38441333"/>
      <w:bookmarkStart w:id="3971" w:name="_Toc38441665"/>
      <w:bookmarkStart w:id="3972" w:name="_Toc38441993"/>
      <w:bookmarkStart w:id="3973" w:name="_Toc38442325"/>
      <w:bookmarkStart w:id="3974" w:name="_Toc38442657"/>
      <w:bookmarkStart w:id="3975" w:name="_Toc38442988"/>
      <w:bookmarkStart w:id="3976" w:name="_Toc38443319"/>
      <w:bookmarkStart w:id="3977" w:name="_Toc38443650"/>
      <w:bookmarkStart w:id="3978" w:name="_Toc38443980"/>
      <w:bookmarkStart w:id="3979" w:name="_Toc38438448"/>
      <w:bookmarkStart w:id="3980" w:name="_Toc38438785"/>
      <w:bookmarkStart w:id="3981" w:name="_Toc38439122"/>
      <w:bookmarkStart w:id="3982" w:name="_Toc38439459"/>
      <w:bookmarkStart w:id="3983" w:name="_Toc38439796"/>
      <w:bookmarkStart w:id="3984" w:name="_Toc38440133"/>
      <w:bookmarkStart w:id="3985" w:name="_Toc38440470"/>
      <w:bookmarkStart w:id="3986" w:name="_Toc38441002"/>
      <w:bookmarkStart w:id="3987" w:name="_Toc38441334"/>
      <w:bookmarkStart w:id="3988" w:name="_Toc38441666"/>
      <w:bookmarkStart w:id="3989" w:name="_Toc38441994"/>
      <w:bookmarkStart w:id="3990" w:name="_Toc38442326"/>
      <w:bookmarkStart w:id="3991" w:name="_Toc38442658"/>
      <w:bookmarkStart w:id="3992" w:name="_Toc38442989"/>
      <w:bookmarkStart w:id="3993" w:name="_Toc38443320"/>
      <w:bookmarkStart w:id="3994" w:name="_Toc38443651"/>
      <w:bookmarkStart w:id="3995" w:name="_Toc38443981"/>
      <w:bookmarkStart w:id="3996" w:name="_Toc38438449"/>
      <w:bookmarkStart w:id="3997" w:name="_Toc38438786"/>
      <w:bookmarkStart w:id="3998" w:name="_Toc38439123"/>
      <w:bookmarkStart w:id="3999" w:name="_Toc38439460"/>
      <w:bookmarkStart w:id="4000" w:name="_Toc38439797"/>
      <w:bookmarkStart w:id="4001" w:name="_Toc38440134"/>
      <w:bookmarkStart w:id="4002" w:name="_Toc38440471"/>
      <w:bookmarkStart w:id="4003" w:name="_Toc38441003"/>
      <w:bookmarkStart w:id="4004" w:name="_Toc38441335"/>
      <w:bookmarkStart w:id="4005" w:name="_Toc38441667"/>
      <w:bookmarkStart w:id="4006" w:name="_Toc38441995"/>
      <w:bookmarkStart w:id="4007" w:name="_Toc38442327"/>
      <w:bookmarkStart w:id="4008" w:name="_Toc38442659"/>
      <w:bookmarkStart w:id="4009" w:name="_Toc38442990"/>
      <w:bookmarkStart w:id="4010" w:name="_Toc38443321"/>
      <w:bookmarkStart w:id="4011" w:name="_Toc38443652"/>
      <w:bookmarkStart w:id="4012" w:name="_Toc38443982"/>
      <w:bookmarkStart w:id="4013" w:name="_Toc38438450"/>
      <w:bookmarkStart w:id="4014" w:name="_Toc38438787"/>
      <w:bookmarkStart w:id="4015" w:name="_Toc38439124"/>
      <w:bookmarkStart w:id="4016" w:name="_Toc38439461"/>
      <w:bookmarkStart w:id="4017" w:name="_Toc38439798"/>
      <w:bookmarkStart w:id="4018" w:name="_Toc38440135"/>
      <w:bookmarkStart w:id="4019" w:name="_Toc38440472"/>
      <w:bookmarkStart w:id="4020" w:name="_Toc38441004"/>
      <w:bookmarkStart w:id="4021" w:name="_Toc38441336"/>
      <w:bookmarkStart w:id="4022" w:name="_Toc38441668"/>
      <w:bookmarkStart w:id="4023" w:name="_Toc38441996"/>
      <w:bookmarkStart w:id="4024" w:name="_Toc38442328"/>
      <w:bookmarkStart w:id="4025" w:name="_Toc38442660"/>
      <w:bookmarkStart w:id="4026" w:name="_Toc38442991"/>
      <w:bookmarkStart w:id="4027" w:name="_Toc38443322"/>
      <w:bookmarkStart w:id="4028" w:name="_Toc38443653"/>
      <w:bookmarkStart w:id="4029" w:name="_Toc38443983"/>
      <w:bookmarkStart w:id="4030" w:name="_Toc38438451"/>
      <w:bookmarkStart w:id="4031" w:name="_Toc38438788"/>
      <w:bookmarkStart w:id="4032" w:name="_Toc38439125"/>
      <w:bookmarkStart w:id="4033" w:name="_Toc38439462"/>
      <w:bookmarkStart w:id="4034" w:name="_Toc38439799"/>
      <w:bookmarkStart w:id="4035" w:name="_Toc38440136"/>
      <w:bookmarkStart w:id="4036" w:name="_Toc38440473"/>
      <w:bookmarkStart w:id="4037" w:name="_Toc38441005"/>
      <w:bookmarkStart w:id="4038" w:name="_Toc38441337"/>
      <w:bookmarkStart w:id="4039" w:name="_Toc38441669"/>
      <w:bookmarkStart w:id="4040" w:name="_Toc38441997"/>
      <w:bookmarkStart w:id="4041" w:name="_Toc38442329"/>
      <w:bookmarkStart w:id="4042" w:name="_Toc38442661"/>
      <w:bookmarkStart w:id="4043" w:name="_Toc38442992"/>
      <w:bookmarkStart w:id="4044" w:name="_Toc38443323"/>
      <w:bookmarkStart w:id="4045" w:name="_Toc38443654"/>
      <w:bookmarkStart w:id="4046" w:name="_Toc38443984"/>
      <w:bookmarkStart w:id="4047" w:name="_Toc38438452"/>
      <w:bookmarkStart w:id="4048" w:name="_Toc38438789"/>
      <w:bookmarkStart w:id="4049" w:name="_Toc38439126"/>
      <w:bookmarkStart w:id="4050" w:name="_Toc38439463"/>
      <w:bookmarkStart w:id="4051" w:name="_Toc38439800"/>
      <w:bookmarkStart w:id="4052" w:name="_Toc38440137"/>
      <w:bookmarkStart w:id="4053" w:name="_Toc38440474"/>
      <w:bookmarkStart w:id="4054" w:name="_Toc38441006"/>
      <w:bookmarkStart w:id="4055" w:name="_Toc38441338"/>
      <w:bookmarkStart w:id="4056" w:name="_Toc38441670"/>
      <w:bookmarkStart w:id="4057" w:name="_Toc38441998"/>
      <w:bookmarkStart w:id="4058" w:name="_Toc38442330"/>
      <w:bookmarkStart w:id="4059" w:name="_Toc38442662"/>
      <w:bookmarkStart w:id="4060" w:name="_Toc38442993"/>
      <w:bookmarkStart w:id="4061" w:name="_Toc38443324"/>
      <w:bookmarkStart w:id="4062" w:name="_Toc38443655"/>
      <w:bookmarkStart w:id="4063" w:name="_Toc38443985"/>
      <w:bookmarkStart w:id="4064" w:name="_Toc38438453"/>
      <w:bookmarkStart w:id="4065" w:name="_Toc38438790"/>
      <w:bookmarkStart w:id="4066" w:name="_Toc38439127"/>
      <w:bookmarkStart w:id="4067" w:name="_Toc38439464"/>
      <w:bookmarkStart w:id="4068" w:name="_Toc38439801"/>
      <w:bookmarkStart w:id="4069" w:name="_Toc38440138"/>
      <w:bookmarkStart w:id="4070" w:name="_Toc38440475"/>
      <w:bookmarkStart w:id="4071" w:name="_Toc38441007"/>
      <w:bookmarkStart w:id="4072" w:name="_Toc38441339"/>
      <w:bookmarkStart w:id="4073" w:name="_Toc38441671"/>
      <w:bookmarkStart w:id="4074" w:name="_Toc38441999"/>
      <w:bookmarkStart w:id="4075" w:name="_Toc38442331"/>
      <w:bookmarkStart w:id="4076" w:name="_Toc38442663"/>
      <w:bookmarkStart w:id="4077" w:name="_Toc38442994"/>
      <w:bookmarkStart w:id="4078" w:name="_Toc38443325"/>
      <w:bookmarkStart w:id="4079" w:name="_Toc38443656"/>
      <w:bookmarkStart w:id="4080" w:name="_Toc38443986"/>
      <w:bookmarkStart w:id="4081" w:name="_Toc38438454"/>
      <w:bookmarkStart w:id="4082" w:name="_Toc38438791"/>
      <w:bookmarkStart w:id="4083" w:name="_Toc38439128"/>
      <w:bookmarkStart w:id="4084" w:name="_Toc38439465"/>
      <w:bookmarkStart w:id="4085" w:name="_Toc38439802"/>
      <w:bookmarkStart w:id="4086" w:name="_Toc38440139"/>
      <w:bookmarkStart w:id="4087" w:name="_Toc38440476"/>
      <w:bookmarkStart w:id="4088" w:name="_Toc38441008"/>
      <w:bookmarkStart w:id="4089" w:name="_Toc38441340"/>
      <w:bookmarkStart w:id="4090" w:name="_Toc38441672"/>
      <w:bookmarkStart w:id="4091" w:name="_Toc38442000"/>
      <w:bookmarkStart w:id="4092" w:name="_Toc38442332"/>
      <w:bookmarkStart w:id="4093" w:name="_Toc38442664"/>
      <w:bookmarkStart w:id="4094" w:name="_Toc38442995"/>
      <w:bookmarkStart w:id="4095" w:name="_Toc38443326"/>
      <w:bookmarkStart w:id="4096" w:name="_Toc38443657"/>
      <w:bookmarkStart w:id="4097" w:name="_Toc38443987"/>
      <w:bookmarkStart w:id="4098" w:name="_Toc38438455"/>
      <w:bookmarkStart w:id="4099" w:name="_Toc38438792"/>
      <w:bookmarkStart w:id="4100" w:name="_Toc38439129"/>
      <w:bookmarkStart w:id="4101" w:name="_Toc38439466"/>
      <w:bookmarkStart w:id="4102" w:name="_Toc38439803"/>
      <w:bookmarkStart w:id="4103" w:name="_Toc38440140"/>
      <w:bookmarkStart w:id="4104" w:name="_Toc38440477"/>
      <w:bookmarkStart w:id="4105" w:name="_Toc38441009"/>
      <w:bookmarkStart w:id="4106" w:name="_Toc38441341"/>
      <w:bookmarkStart w:id="4107" w:name="_Toc38441673"/>
      <w:bookmarkStart w:id="4108" w:name="_Toc38442001"/>
      <w:bookmarkStart w:id="4109" w:name="_Toc38442333"/>
      <w:bookmarkStart w:id="4110" w:name="_Toc38442665"/>
      <w:bookmarkStart w:id="4111" w:name="_Toc38442996"/>
      <w:bookmarkStart w:id="4112" w:name="_Toc38443327"/>
      <w:bookmarkStart w:id="4113" w:name="_Toc38443658"/>
      <w:bookmarkStart w:id="4114" w:name="_Toc38443988"/>
      <w:bookmarkStart w:id="4115" w:name="_Toc38438456"/>
      <w:bookmarkStart w:id="4116" w:name="_Toc38438793"/>
      <w:bookmarkStart w:id="4117" w:name="_Toc38439130"/>
      <w:bookmarkStart w:id="4118" w:name="_Toc38439467"/>
      <w:bookmarkStart w:id="4119" w:name="_Toc38439804"/>
      <w:bookmarkStart w:id="4120" w:name="_Toc38440141"/>
      <w:bookmarkStart w:id="4121" w:name="_Toc38440478"/>
      <w:bookmarkStart w:id="4122" w:name="_Toc38441010"/>
      <w:bookmarkStart w:id="4123" w:name="_Toc38441342"/>
      <w:bookmarkStart w:id="4124" w:name="_Toc38441674"/>
      <w:bookmarkStart w:id="4125" w:name="_Toc38442002"/>
      <w:bookmarkStart w:id="4126" w:name="_Toc38442334"/>
      <w:bookmarkStart w:id="4127" w:name="_Toc38442666"/>
      <w:bookmarkStart w:id="4128" w:name="_Toc38442997"/>
      <w:bookmarkStart w:id="4129" w:name="_Toc38443328"/>
      <w:bookmarkStart w:id="4130" w:name="_Toc38443659"/>
      <w:bookmarkStart w:id="4131" w:name="_Toc38443989"/>
      <w:bookmarkStart w:id="4132" w:name="_Toc38438457"/>
      <w:bookmarkStart w:id="4133" w:name="_Toc38438794"/>
      <w:bookmarkStart w:id="4134" w:name="_Toc38439131"/>
      <w:bookmarkStart w:id="4135" w:name="_Toc38439468"/>
      <w:bookmarkStart w:id="4136" w:name="_Toc38439805"/>
      <w:bookmarkStart w:id="4137" w:name="_Toc38440142"/>
      <w:bookmarkStart w:id="4138" w:name="_Toc38440479"/>
      <w:bookmarkStart w:id="4139" w:name="_Toc38441011"/>
      <w:bookmarkStart w:id="4140" w:name="_Toc38441343"/>
      <w:bookmarkStart w:id="4141" w:name="_Toc38441675"/>
      <w:bookmarkStart w:id="4142" w:name="_Toc38442003"/>
      <w:bookmarkStart w:id="4143" w:name="_Toc38442335"/>
      <w:bookmarkStart w:id="4144" w:name="_Toc38442667"/>
      <w:bookmarkStart w:id="4145" w:name="_Toc38442998"/>
      <w:bookmarkStart w:id="4146" w:name="_Toc38443329"/>
      <w:bookmarkStart w:id="4147" w:name="_Toc38443660"/>
      <w:bookmarkStart w:id="4148" w:name="_Toc38443990"/>
      <w:bookmarkStart w:id="4149" w:name="_Toc38438458"/>
      <w:bookmarkStart w:id="4150" w:name="_Toc38438795"/>
      <w:bookmarkStart w:id="4151" w:name="_Toc38439132"/>
      <w:bookmarkStart w:id="4152" w:name="_Toc38439469"/>
      <w:bookmarkStart w:id="4153" w:name="_Toc38439806"/>
      <w:bookmarkStart w:id="4154" w:name="_Toc38440143"/>
      <w:bookmarkStart w:id="4155" w:name="_Toc38440480"/>
      <w:bookmarkStart w:id="4156" w:name="_Toc38441012"/>
      <w:bookmarkStart w:id="4157" w:name="_Toc38441344"/>
      <w:bookmarkStart w:id="4158" w:name="_Toc38441676"/>
      <w:bookmarkStart w:id="4159" w:name="_Toc38442004"/>
      <w:bookmarkStart w:id="4160" w:name="_Toc38442336"/>
      <w:bookmarkStart w:id="4161" w:name="_Toc38442668"/>
      <w:bookmarkStart w:id="4162" w:name="_Toc38442999"/>
      <w:bookmarkStart w:id="4163" w:name="_Toc38443330"/>
      <w:bookmarkStart w:id="4164" w:name="_Toc38443661"/>
      <w:bookmarkStart w:id="4165" w:name="_Toc38443991"/>
      <w:bookmarkStart w:id="4166" w:name="_Toc211920248"/>
      <w:bookmarkStart w:id="4167" w:name="_Toc211927767"/>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2"/>
        <w:gridCol w:w="1437"/>
      </w:tblGrid>
      <w:tr w:rsidR="00F17515" w:rsidRPr="00F17515" w:rsidTr="006A240D">
        <w:trPr>
          <w:trHeight w:val="765"/>
        </w:trPr>
        <w:tc>
          <w:tcPr>
            <w:tcW w:w="6761" w:type="dxa"/>
            <w:tcBorders>
              <w:top w:val="single" w:sz="4" w:space="0" w:color="auto"/>
              <w:left w:val="single" w:sz="4" w:space="0" w:color="auto"/>
              <w:bottom w:val="single" w:sz="4" w:space="0" w:color="auto"/>
              <w:right w:val="single" w:sz="4" w:space="0" w:color="auto"/>
            </w:tcBorders>
            <w:vAlign w:val="center"/>
            <w:hideMark/>
          </w:tcPr>
          <w:p w:rsidR="002A71F6" w:rsidRPr="00F17515" w:rsidRDefault="00451364" w:rsidP="002A71F6">
            <w:pPr>
              <w:spacing w:line="360" w:lineRule="auto"/>
              <w:jc w:val="center"/>
              <w:rPr>
                <w:rFonts w:asciiTheme="minorEastAsia" w:eastAsiaTheme="minorEastAsia" w:hAnsiTheme="minorEastAsia"/>
              </w:rPr>
            </w:pPr>
            <w:r w:rsidRPr="00F17515">
              <w:rPr>
                <w:rFonts w:asciiTheme="minorEastAsia" w:eastAsiaTheme="minorEastAsia" w:hAnsiTheme="minorEastAsia" w:hint="eastAsia"/>
              </w:rPr>
              <w:t>公告事项</w:t>
            </w:r>
          </w:p>
        </w:tc>
        <w:tc>
          <w:tcPr>
            <w:tcW w:w="1668" w:type="dxa"/>
            <w:tcBorders>
              <w:top w:val="single" w:sz="4" w:space="0" w:color="auto"/>
              <w:left w:val="single" w:sz="4" w:space="0" w:color="auto"/>
              <w:bottom w:val="single" w:sz="4" w:space="0" w:color="auto"/>
              <w:right w:val="single" w:sz="4" w:space="0" w:color="auto"/>
            </w:tcBorders>
            <w:vAlign w:val="center"/>
            <w:hideMark/>
          </w:tcPr>
          <w:p w:rsidR="002A71F6" w:rsidRPr="00F17515" w:rsidRDefault="00451364" w:rsidP="002A71F6">
            <w:pPr>
              <w:spacing w:line="360" w:lineRule="auto"/>
              <w:jc w:val="center"/>
              <w:rPr>
                <w:rFonts w:asciiTheme="minorEastAsia" w:eastAsiaTheme="minorEastAsia" w:hAnsiTheme="minorEastAsia"/>
              </w:rPr>
            </w:pPr>
            <w:r w:rsidRPr="00F17515">
              <w:rPr>
                <w:rFonts w:asciiTheme="minorEastAsia" w:eastAsiaTheme="minorEastAsia" w:hAnsiTheme="minorEastAsia" w:hint="eastAsia"/>
              </w:rPr>
              <w:t>披露日期</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tabs>
                <w:tab w:val="left" w:pos="1257"/>
              </w:tabs>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易方达基金管理有限公司关于旗下部分开放式基金参加昆仑银行费率优惠活动的公告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2019-03-29</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易方达基金管理有限公司关于旗下部分开放式基金参加交通银行手机银行申购及定期定额投资费率优惠活动的公告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2019-03-30</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易方达基金管理有限公司关于旗下部分开放式基金参加泉州银行费率优惠活动的公告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2019-04-01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易方达基金管理有限公司关于旗下部分开放式基金参加中国工商银行申购费率优惠活动的公告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2019-04-01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易方达基金管理有限公司关于调整易方达增强回报债券型证券投资基金赎回费率的公告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2019-04-10</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易方达基金管理有限公司关于公司旗下部分基金估值调整情况的公告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2019-04-12</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易方达基金管理有限公司关于旗下部分开放式基金参加国盛证券费率优惠活动的公告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2019-04-12</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易方达基金管理有限公司关于旗下部分开放式基金参加四川天府银行手机银行费率优惠活动的公告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2019-04-30</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易方达基金管理有限公司关于旗下部分开放式基金参加齐商银行费率优惠活动的公告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2019-05-07</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易方达基金管理有限公司关于旗下部分开放式基金参加中国民生银行费率优惠活动的公告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2019-05-16</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易方达基金管理有限公司关于民族证券并入方正证券期间基金业务安排的提示性公告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2019-05-22</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易方达基金管理有限公司关于旗下部分开放式基金增加重庆银行为销售机构的公告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2019-05-24</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易方达基金管理有限公司关于提醒网上直销个人投资者及时上传身份证件照片并完善、更新身份信息以免影响日常交易的公告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2019-05-28</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易方达基金管理有限公司关于调整转换业务货币市场基金未付收益支付规则的公告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2019-06-20</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易方达基金管理有限公司关于旗下部分开放式基金参加佛山农商银行费率优惠活动的公告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2019-06-21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易方达基金管理有限公司关于旗下部分公开募集证券投资基金可投资于科创板股票的公告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2019-06-22</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易方达基金管理有限公司关于旗下部分开放式基金参加德邦证券费率优惠活动的公告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2019-06-24</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易方达基金管理有限公司关于旗下部分开放式基金参加长城国瑞证券费率优惠活动的公告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2019-06-28</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易方达基金管理有限公司关于旗下部分开放式基金参加云南红塔银行费率优惠活动的公告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2019-07-05</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2019-07-15</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lastRenderedPageBreak/>
              <w:t>易方达基金管理有限公司关于旗下部分开放式基金参加红塔证券费率优惠活动的公告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2019-07-15</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易方达基金管理有限公司关于旗下部分开放式基金参加天津农商银行费率优惠活动的公告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2019-07-16</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易方达基金管理有限公司关于旗下部分开放式基金参加海通证券费率优惠活动的公告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2019-08-12</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易方达基金管理有限公司关于旗下部分开放式基金参加销售机构申购费率优惠活动的公告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2019-08-13</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2019-08-13</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2019-08-14</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易方达基金管理有限公司关于暂停和谐保险销售有限公司办理旗下基金相关销售业务的公告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2019-08-14</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2019-08-14</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2019-08-14</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2019-08-14</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易方达基金管理有限公司关于旗下部分开放式基金参加潍坊银行费率优惠活动的公告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2019-08-26</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易方达基金管理有限公司旗下部分开放式基金参加东莞农村商业银行费率优惠活动的公告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2019-09-17</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易方达基金管理有限公司旗下部分开放式基金增加中邮证券为销售机构的公告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2019-10-17</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易方达基金管理有限公司旗下基金季度报告提示性公告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2019-10-24</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易方达基金管理有限公司旗下部分开放式基金参加方正证券费率优惠活动的公告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2019-11-08</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易方达基金管理有限公司关于代为履行基金经理职责的公告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2019-11-22</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易方达增强回报债券型证券投资基金暂停机构客户申购、转换转入及定期定额投资业务的公告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2019-12-06</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易方达基金管理有限公司旗下部分开放式基金参加中信银行费率优惠活动的公告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2019-12-16</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关于易方达增强回报债券型证券投资基金暂停机构客户申购、转换转入及定期定额投资业务的提示性公告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2019-12-20</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易方达增强回报债券型证券投资基金分红公告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2019-12-27</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易方达增强回报债券型证券投资基金恢复机构客户申购、转换转入及定期定额投资业务的公告</w:t>
            </w:r>
          </w:p>
        </w:tc>
        <w:tc>
          <w:tcPr>
            <w:tcW w:w="0" w:type="auto"/>
            <w:tcBorders>
              <w:top w:val="single" w:sz="4" w:space="0" w:color="auto"/>
              <w:left w:val="single" w:sz="4" w:space="0" w:color="auto"/>
              <w:bottom w:val="single" w:sz="4" w:space="0" w:color="auto"/>
              <w:right w:val="single" w:sz="4" w:space="0" w:color="auto"/>
            </w:tcBorders>
            <w:vAlign w:val="center"/>
          </w:tcPr>
          <w:p w:rsidR="00F45307" w:rsidRPr="00F17515" w:rsidRDefault="00F33FDA" w:rsidP="00AE7D92">
            <w:pPr>
              <w:jc w:val="center"/>
              <w:rPr>
                <w:rFonts w:asciiTheme="minorEastAsia" w:eastAsiaTheme="minorEastAsia" w:hAnsiTheme="minorEastAsia"/>
                <w:szCs w:val="21"/>
              </w:rPr>
            </w:pPr>
            <w:r w:rsidRPr="00F17515">
              <w:rPr>
                <w:rFonts w:asciiTheme="minorEastAsia" w:eastAsiaTheme="minorEastAsia" w:hAnsiTheme="minorEastAsia"/>
                <w:szCs w:val="21"/>
              </w:rPr>
              <w:t>2019-12-27</w:t>
            </w:r>
          </w:p>
          <w:p w:rsidR="00451364" w:rsidRPr="00F17515" w:rsidRDefault="00451364" w:rsidP="00AE7D92">
            <w:pPr>
              <w:jc w:val="center"/>
              <w:rPr>
                <w:rFonts w:asciiTheme="minorEastAsia" w:eastAsiaTheme="minorEastAsia" w:hAnsiTheme="minorEastAsia"/>
                <w:szCs w:val="21"/>
              </w:rPr>
            </w:pP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关于易方达增强回报债券型证券投资基金恢复机构客户申购、转换转入及定期定额投资业务的提示性公告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2019-12-28</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F45307" w:rsidRPr="00F17515" w:rsidRDefault="00F33FDA" w:rsidP="00AE7D92">
            <w:pPr>
              <w:jc w:val="center"/>
              <w:rPr>
                <w:rFonts w:asciiTheme="minorEastAsia" w:eastAsiaTheme="minorEastAsia" w:hAnsiTheme="minorEastAsia"/>
                <w:szCs w:val="21"/>
              </w:rPr>
            </w:pPr>
            <w:r w:rsidRPr="00F17515">
              <w:rPr>
                <w:rFonts w:asciiTheme="minorEastAsia" w:eastAsiaTheme="minorEastAsia" w:hAnsiTheme="minorEastAsia"/>
                <w:szCs w:val="21"/>
              </w:rPr>
              <w:t>2019-12-30</w:t>
            </w:r>
          </w:p>
          <w:p w:rsidR="00451364" w:rsidRPr="00F17515" w:rsidRDefault="00451364" w:rsidP="00AE7D92">
            <w:pPr>
              <w:jc w:val="center"/>
              <w:rPr>
                <w:rFonts w:asciiTheme="minorEastAsia" w:eastAsiaTheme="minorEastAsia" w:hAnsiTheme="minorEastAsia"/>
                <w:szCs w:val="21"/>
              </w:rPr>
            </w:pP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lastRenderedPageBreak/>
              <w:t>易方达基金管理有限公司关于公司股权变更的公告</w:t>
            </w:r>
          </w:p>
        </w:tc>
        <w:tc>
          <w:tcPr>
            <w:tcW w:w="0" w:type="auto"/>
            <w:tcBorders>
              <w:top w:val="single" w:sz="4" w:space="0" w:color="auto"/>
              <w:left w:val="single" w:sz="4" w:space="0" w:color="auto"/>
              <w:bottom w:val="single" w:sz="4" w:space="0" w:color="auto"/>
              <w:right w:val="single" w:sz="4" w:space="0" w:color="auto"/>
            </w:tcBorders>
            <w:vAlign w:val="center"/>
          </w:tcPr>
          <w:p w:rsidR="00F45307" w:rsidRPr="00F17515" w:rsidRDefault="00F33FDA" w:rsidP="00AE7D92">
            <w:pPr>
              <w:jc w:val="center"/>
              <w:rPr>
                <w:rFonts w:asciiTheme="minorEastAsia" w:eastAsiaTheme="minorEastAsia" w:hAnsiTheme="minorEastAsia"/>
                <w:szCs w:val="21"/>
              </w:rPr>
            </w:pPr>
            <w:r w:rsidRPr="00F17515">
              <w:rPr>
                <w:rFonts w:asciiTheme="minorEastAsia" w:eastAsiaTheme="minorEastAsia" w:hAnsiTheme="minorEastAsia"/>
                <w:szCs w:val="21"/>
              </w:rPr>
              <w:t>2019-12-31</w:t>
            </w:r>
          </w:p>
          <w:p w:rsidR="00451364" w:rsidRPr="00F17515" w:rsidRDefault="00451364" w:rsidP="00AE7D92">
            <w:pPr>
              <w:jc w:val="center"/>
              <w:rPr>
                <w:rFonts w:asciiTheme="minorEastAsia" w:eastAsiaTheme="minorEastAsia" w:hAnsiTheme="minorEastAsia"/>
                <w:szCs w:val="21"/>
              </w:rPr>
            </w:pP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易方达基金管理有限公司关于易方达增强回报债券型证券投资基金根据《公开募集证券投资基金信息披露管理办法》修订基金合同、托管协议部分条款的公告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2019-12-31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易方达基金管理有限公司旗下部分开放式基金参加交通银行手机银行费率优惠活动的公告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2019-12-31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易方达基金管理有限公司旗下部分开放式基金参加昆仑银行费率优惠活动的公告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2019-12-31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易方达基金管理有限公司旗下部分开放式基金参加苏州银行费率优惠活动的公告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2019-12-31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易方达基金管理有限公司旗下部分开放式基金参加烟台银行定期定额投资费率优惠活动的公告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2019-12-31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2019-12-31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2019-12-31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易方达基金管理有限公司旗下部分开放式基金参加中国农业银行费率优惠活动的公告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2020-01-06</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易方达基金管理有限公司关于旗下部分基金获配招商轮船（601872）非公开发行A股的公告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2020-01-11</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易方达基金管理有限公司旗下基金2019年第4季度报告提示性公告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2020-01-18</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易方达基金管理有限公司旗下部分开放式基金参加泉州银行费率优惠活动的公告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2020-01-23</w:t>
            </w:r>
          </w:p>
        </w:tc>
      </w:tr>
      <w:tr w:rsidR="00F17515" w:rsidRPr="00F17515" w:rsidTr="00AE7D92">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rPr>
                <w:rFonts w:asciiTheme="minorEastAsia" w:eastAsiaTheme="minorEastAsia" w:hAnsiTheme="minorEastAsia"/>
              </w:rPr>
            </w:pPr>
            <w:r w:rsidRPr="00F17515">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0" w:type="auto"/>
            <w:tcBorders>
              <w:top w:val="single" w:sz="4" w:space="0" w:color="auto"/>
              <w:left w:val="single" w:sz="4" w:space="0" w:color="auto"/>
              <w:bottom w:val="single" w:sz="4" w:space="0" w:color="auto"/>
              <w:right w:val="single" w:sz="4" w:space="0" w:color="auto"/>
            </w:tcBorders>
            <w:vAlign w:val="center"/>
          </w:tcPr>
          <w:p w:rsidR="00451364" w:rsidRPr="00F17515" w:rsidRDefault="00451364" w:rsidP="00AE7D92">
            <w:pPr>
              <w:jc w:val="center"/>
              <w:rPr>
                <w:rFonts w:asciiTheme="minorEastAsia" w:eastAsiaTheme="minorEastAsia" w:hAnsiTheme="minorEastAsia"/>
                <w:szCs w:val="21"/>
              </w:rPr>
            </w:pPr>
            <w:r w:rsidRPr="00F17515">
              <w:rPr>
                <w:rFonts w:asciiTheme="minorEastAsia" w:eastAsiaTheme="minorEastAsia" w:hAnsiTheme="minorEastAsia" w:hint="eastAsia"/>
                <w:szCs w:val="21"/>
              </w:rPr>
              <w:t>2020-01-30</w:t>
            </w:r>
          </w:p>
        </w:tc>
      </w:tr>
    </w:tbl>
    <w:p w:rsidR="004F772B" w:rsidRPr="00F17515" w:rsidRDefault="005025A4" w:rsidP="0071223F">
      <w:pPr>
        <w:pStyle w:val="ae"/>
        <w:snapToGrid w:val="0"/>
        <w:spacing w:line="360" w:lineRule="auto"/>
        <w:rPr>
          <w:rFonts w:asciiTheme="minorEastAsia" w:eastAsiaTheme="minorEastAsia" w:hAnsiTheme="minorEastAsia"/>
        </w:rPr>
      </w:pPr>
      <w:r w:rsidRPr="00F17515">
        <w:rPr>
          <w:rFonts w:asciiTheme="minorEastAsia" w:eastAsiaTheme="minorEastAsia" w:hAnsiTheme="minorEastAsia" w:hint="eastAsia"/>
          <w:szCs w:val="21"/>
        </w:rPr>
        <w:t>注：以上公告事项披露在指定媒介及基金管理人网站上。</w:t>
      </w:r>
    </w:p>
    <w:p w:rsidR="000113D5" w:rsidRPr="00F17515" w:rsidRDefault="000113D5" w:rsidP="0071223F">
      <w:pPr>
        <w:snapToGrid w:val="0"/>
        <w:spacing w:line="360" w:lineRule="auto"/>
        <w:rPr>
          <w:rFonts w:asciiTheme="minorEastAsia" w:eastAsiaTheme="minorEastAsia" w:hAnsiTheme="minorEastAsia"/>
        </w:rPr>
        <w:sectPr w:rsidR="000113D5" w:rsidRPr="00F17515" w:rsidSect="00DE4B5E">
          <w:pgSz w:w="11906" w:h="16838" w:code="9"/>
          <w:pgMar w:top="1440" w:right="1800" w:bottom="1440" w:left="1800" w:header="851" w:footer="992" w:gutter="0"/>
          <w:cols w:space="425"/>
          <w:docGrid w:type="lines" w:linePitch="312"/>
        </w:sectPr>
      </w:pPr>
    </w:p>
    <w:p w:rsidR="007228CC" w:rsidRPr="00F17515" w:rsidRDefault="007228CC" w:rsidP="002A71F6">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168" w:name="_Toc41556887"/>
      <w:r w:rsidRPr="00F17515">
        <w:rPr>
          <w:rFonts w:asciiTheme="minorEastAsia" w:eastAsiaTheme="minorEastAsia" w:hAnsiTheme="minorEastAsia" w:hint="eastAsia"/>
          <w:b/>
        </w:rPr>
        <w:lastRenderedPageBreak/>
        <w:t>招募说明书存放及查阅方式</w:t>
      </w:r>
      <w:bookmarkEnd w:id="4166"/>
      <w:bookmarkEnd w:id="4167"/>
      <w:bookmarkEnd w:id="4168"/>
    </w:p>
    <w:p w:rsidR="007228CC" w:rsidRPr="00F17515" w:rsidRDefault="007228CC" w:rsidP="0071223F">
      <w:pPr>
        <w:snapToGrid w:val="0"/>
        <w:spacing w:line="360" w:lineRule="auto"/>
        <w:ind w:firstLine="480"/>
        <w:rPr>
          <w:rFonts w:asciiTheme="minorEastAsia" w:eastAsiaTheme="minorEastAsia" w:hAnsiTheme="minorEastAsia"/>
        </w:rPr>
      </w:pPr>
      <w:r w:rsidRPr="00F17515">
        <w:rPr>
          <w:rFonts w:asciiTheme="minorEastAsia" w:eastAsiaTheme="minorEastAsia" w:hAnsiTheme="minorEastAsia" w:hint="eastAsia"/>
          <w:szCs w:val="21"/>
        </w:rPr>
        <w:t>本招募说明书存放在基金管理人及基金</w:t>
      </w:r>
      <w:r w:rsidR="00236E5B" w:rsidRPr="00F17515">
        <w:rPr>
          <w:rFonts w:asciiTheme="minorEastAsia" w:eastAsiaTheme="minorEastAsia" w:hAnsiTheme="minorEastAsia" w:hint="eastAsia"/>
          <w:szCs w:val="21"/>
        </w:rPr>
        <w:t>销售</w:t>
      </w:r>
      <w:r w:rsidRPr="00F17515">
        <w:rPr>
          <w:rFonts w:asciiTheme="minorEastAsia" w:eastAsiaTheme="minorEastAsia" w:hAnsiTheme="minorEastAsia" w:hint="eastAsia"/>
          <w:szCs w:val="21"/>
        </w:rPr>
        <w:t>机构住所，投资者可在营业时间免费查阅，也可按工本费购买复印件。</w:t>
      </w:r>
      <w:r w:rsidRPr="00F17515">
        <w:rPr>
          <w:rFonts w:asciiTheme="minorEastAsia" w:eastAsiaTheme="minorEastAsia" w:hAnsiTheme="minorEastAsia"/>
        </w:rPr>
        <w:t>基金管理人和基金托管人保证</w:t>
      </w:r>
      <w:r w:rsidRPr="00F17515">
        <w:rPr>
          <w:rFonts w:asciiTheme="minorEastAsia" w:eastAsiaTheme="minorEastAsia" w:hAnsiTheme="minorEastAsia" w:hint="eastAsia"/>
        </w:rPr>
        <w:t>其所提供的</w:t>
      </w:r>
      <w:r w:rsidRPr="00F17515">
        <w:rPr>
          <w:rFonts w:asciiTheme="minorEastAsia" w:eastAsiaTheme="minorEastAsia" w:hAnsiTheme="minorEastAsia"/>
        </w:rPr>
        <w:t>文本的内容与所公告的内容完全一致。</w:t>
      </w:r>
    </w:p>
    <w:p w:rsidR="007228CC" w:rsidRPr="00F17515" w:rsidRDefault="007228CC" w:rsidP="0071223F">
      <w:pPr>
        <w:snapToGrid w:val="0"/>
        <w:spacing w:line="360" w:lineRule="auto"/>
        <w:ind w:firstLine="480"/>
        <w:rPr>
          <w:rFonts w:asciiTheme="minorEastAsia" w:eastAsiaTheme="minorEastAsia" w:hAnsiTheme="minorEastAsia"/>
        </w:rPr>
      </w:pPr>
    </w:p>
    <w:p w:rsidR="007228CC" w:rsidRPr="00F17515" w:rsidRDefault="007228CC" w:rsidP="00941EC8">
      <w:pPr>
        <w:pStyle w:val="1"/>
        <w:numPr>
          <w:ilvl w:val="0"/>
          <w:numId w:val="43"/>
        </w:numPr>
        <w:snapToGrid w:val="0"/>
        <w:spacing w:beforeLines="0" w:afterLines="0" w:line="360" w:lineRule="auto"/>
        <w:ind w:left="0" w:firstLineChars="0" w:firstLine="0"/>
        <w:rPr>
          <w:rFonts w:asciiTheme="minorEastAsia" w:eastAsiaTheme="minorEastAsia" w:hAnsiTheme="minorEastAsia"/>
        </w:rPr>
        <w:sectPr w:rsidR="007228CC" w:rsidRPr="00F17515" w:rsidSect="00DE4B5E">
          <w:pgSz w:w="11906" w:h="16838" w:code="9"/>
          <w:pgMar w:top="1440" w:right="1800" w:bottom="1440" w:left="1800" w:header="851" w:footer="992" w:gutter="0"/>
          <w:cols w:space="425"/>
          <w:docGrid w:type="lines" w:linePitch="312"/>
        </w:sectPr>
      </w:pPr>
    </w:p>
    <w:p w:rsidR="007228CC" w:rsidRPr="00F17515" w:rsidRDefault="007228CC" w:rsidP="002A71F6">
      <w:pPr>
        <w:pStyle w:val="111"/>
        <w:numPr>
          <w:ilvl w:val="0"/>
          <w:numId w:val="17"/>
        </w:numPr>
        <w:tabs>
          <w:tab w:val="clear" w:pos="2798"/>
          <w:tab w:val="num" w:pos="0"/>
        </w:tabs>
        <w:snapToGrid w:val="0"/>
        <w:spacing w:beforeLines="0" w:afterLines="0" w:line="360" w:lineRule="auto"/>
        <w:ind w:left="0" w:firstLineChars="0" w:firstLine="0"/>
        <w:rPr>
          <w:rFonts w:asciiTheme="minorEastAsia" w:eastAsiaTheme="minorEastAsia" w:hAnsiTheme="minorEastAsia"/>
          <w:b/>
        </w:rPr>
      </w:pPr>
      <w:bookmarkStart w:id="4169" w:name="_Toc41556888"/>
      <w:r w:rsidRPr="00F17515">
        <w:rPr>
          <w:rFonts w:asciiTheme="minorEastAsia" w:eastAsiaTheme="minorEastAsia" w:hAnsiTheme="minorEastAsia" w:hint="eastAsia"/>
          <w:b/>
        </w:rPr>
        <w:lastRenderedPageBreak/>
        <w:t>备查文件</w:t>
      </w:r>
      <w:bookmarkEnd w:id="4169"/>
    </w:p>
    <w:p w:rsidR="007228CC" w:rsidRPr="00F17515" w:rsidRDefault="00FE66C4" w:rsidP="0071223F">
      <w:pPr>
        <w:snapToGrid w:val="0"/>
        <w:spacing w:line="360" w:lineRule="auto"/>
        <w:ind w:firstLine="420"/>
        <w:rPr>
          <w:rFonts w:asciiTheme="minorEastAsia" w:eastAsiaTheme="minorEastAsia" w:hAnsiTheme="minorEastAsia"/>
        </w:rPr>
      </w:pPr>
      <w:r w:rsidRPr="00F17515">
        <w:rPr>
          <w:rFonts w:asciiTheme="minorEastAsia" w:eastAsiaTheme="minorEastAsia" w:hAnsiTheme="minorEastAsia" w:hint="eastAsia"/>
        </w:rPr>
        <w:t>1、</w:t>
      </w:r>
      <w:r w:rsidR="007228CC" w:rsidRPr="00F17515">
        <w:rPr>
          <w:rFonts w:asciiTheme="minorEastAsia" w:eastAsiaTheme="minorEastAsia" w:hAnsiTheme="minorEastAsia" w:hint="eastAsia"/>
        </w:rPr>
        <w:t>中国证监会核准易方达增强回报债券型证券投资基金募集的文件；</w:t>
      </w:r>
    </w:p>
    <w:p w:rsidR="007228CC" w:rsidRPr="00F17515" w:rsidRDefault="00FE66C4" w:rsidP="0071223F">
      <w:pPr>
        <w:pStyle w:val="aa"/>
        <w:autoSpaceDE w:val="0"/>
        <w:autoSpaceDN w:val="0"/>
        <w:adjustRightInd w:val="0"/>
        <w:snapToGrid w:val="0"/>
        <w:spacing w:after="0" w:line="360" w:lineRule="auto"/>
        <w:ind w:firstLineChars="0"/>
        <w:rPr>
          <w:rFonts w:asciiTheme="minorEastAsia" w:eastAsiaTheme="minorEastAsia" w:hAnsiTheme="minorEastAsia"/>
        </w:rPr>
      </w:pPr>
      <w:r w:rsidRPr="00F17515">
        <w:rPr>
          <w:rFonts w:asciiTheme="minorEastAsia" w:eastAsiaTheme="minorEastAsia" w:hAnsiTheme="minorEastAsia" w:hint="eastAsia"/>
        </w:rPr>
        <w:t>2、</w:t>
      </w:r>
      <w:r w:rsidR="007228CC" w:rsidRPr="00F17515">
        <w:rPr>
          <w:rFonts w:asciiTheme="minorEastAsia" w:eastAsiaTheme="minorEastAsia" w:hAnsiTheme="minorEastAsia" w:hint="eastAsia"/>
        </w:rPr>
        <w:t>《易方达增强回报债券型证券投资基金基金合同》；</w:t>
      </w:r>
    </w:p>
    <w:p w:rsidR="007228CC" w:rsidRPr="00F17515" w:rsidRDefault="00FE66C4" w:rsidP="0071223F">
      <w:pPr>
        <w:pStyle w:val="aa"/>
        <w:autoSpaceDE w:val="0"/>
        <w:autoSpaceDN w:val="0"/>
        <w:adjustRightInd w:val="0"/>
        <w:snapToGrid w:val="0"/>
        <w:spacing w:after="0" w:line="360" w:lineRule="auto"/>
        <w:ind w:firstLineChars="0"/>
        <w:rPr>
          <w:rFonts w:asciiTheme="minorEastAsia" w:eastAsiaTheme="minorEastAsia" w:hAnsiTheme="minorEastAsia"/>
        </w:rPr>
      </w:pPr>
      <w:r w:rsidRPr="00F17515">
        <w:rPr>
          <w:rFonts w:asciiTheme="minorEastAsia" w:eastAsiaTheme="minorEastAsia" w:hAnsiTheme="minorEastAsia" w:hint="eastAsia"/>
        </w:rPr>
        <w:t>3、</w:t>
      </w:r>
      <w:r w:rsidR="007228CC" w:rsidRPr="00F17515">
        <w:rPr>
          <w:rFonts w:asciiTheme="minorEastAsia" w:eastAsiaTheme="minorEastAsia" w:hAnsiTheme="minorEastAsia" w:hint="eastAsia"/>
        </w:rPr>
        <w:t>《易方达基金管理有限公司开放式基金业务规则》；</w:t>
      </w:r>
    </w:p>
    <w:p w:rsidR="007228CC" w:rsidRPr="00F17515" w:rsidRDefault="00FE66C4"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4、</w:t>
      </w:r>
      <w:r w:rsidR="007228CC" w:rsidRPr="00F17515">
        <w:rPr>
          <w:rFonts w:asciiTheme="minorEastAsia" w:eastAsiaTheme="minorEastAsia" w:hAnsiTheme="minorEastAsia" w:hint="eastAsia"/>
          <w:szCs w:val="21"/>
        </w:rPr>
        <w:t>《易方达增强回报债券型证券投资基金托管协议》；</w:t>
      </w:r>
    </w:p>
    <w:p w:rsidR="007228CC" w:rsidRPr="00F17515" w:rsidRDefault="00FE66C4"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rPr>
        <w:t>5、</w:t>
      </w:r>
      <w:r w:rsidR="007228CC" w:rsidRPr="00F17515">
        <w:rPr>
          <w:rFonts w:asciiTheme="minorEastAsia" w:eastAsiaTheme="minorEastAsia" w:hAnsiTheme="minorEastAsia" w:hint="eastAsia"/>
        </w:rPr>
        <w:t>法律意见书；</w:t>
      </w:r>
    </w:p>
    <w:p w:rsidR="007228CC" w:rsidRPr="00F17515" w:rsidRDefault="00FE66C4"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6、</w:t>
      </w:r>
      <w:r w:rsidR="007228CC" w:rsidRPr="00F17515">
        <w:rPr>
          <w:rFonts w:asciiTheme="minorEastAsia" w:eastAsiaTheme="minorEastAsia" w:hAnsiTheme="minorEastAsia" w:hint="eastAsia"/>
          <w:szCs w:val="21"/>
        </w:rPr>
        <w:t>基金管理人业务资格批件和营业执照；</w:t>
      </w:r>
    </w:p>
    <w:p w:rsidR="007228CC" w:rsidRPr="00F17515" w:rsidRDefault="00FE66C4" w:rsidP="0071223F">
      <w:pPr>
        <w:snapToGrid w:val="0"/>
        <w:spacing w:line="360" w:lineRule="auto"/>
        <w:ind w:firstLine="420"/>
        <w:rPr>
          <w:rFonts w:asciiTheme="minorEastAsia" w:eastAsiaTheme="minorEastAsia" w:hAnsiTheme="minorEastAsia"/>
          <w:szCs w:val="21"/>
        </w:rPr>
      </w:pPr>
      <w:r w:rsidRPr="00F17515">
        <w:rPr>
          <w:rFonts w:asciiTheme="minorEastAsia" w:eastAsiaTheme="minorEastAsia" w:hAnsiTheme="minorEastAsia" w:hint="eastAsia"/>
          <w:szCs w:val="21"/>
        </w:rPr>
        <w:t>7、</w:t>
      </w:r>
      <w:r w:rsidR="007228CC" w:rsidRPr="00F17515">
        <w:rPr>
          <w:rFonts w:asciiTheme="minorEastAsia" w:eastAsiaTheme="minorEastAsia" w:hAnsiTheme="minorEastAsia" w:hint="eastAsia"/>
          <w:szCs w:val="21"/>
        </w:rPr>
        <w:t>基金托管人业务资格批件和营业执照。</w:t>
      </w:r>
    </w:p>
    <w:p w:rsidR="007228CC" w:rsidRPr="00F17515" w:rsidRDefault="007228CC" w:rsidP="0071223F">
      <w:pPr>
        <w:snapToGrid w:val="0"/>
        <w:spacing w:line="360" w:lineRule="auto"/>
        <w:ind w:firstLineChars="200" w:firstLine="420"/>
        <w:rPr>
          <w:rFonts w:asciiTheme="minorEastAsia" w:eastAsiaTheme="minorEastAsia" w:hAnsiTheme="minorEastAsia"/>
        </w:rPr>
      </w:pPr>
      <w:r w:rsidRPr="00F17515">
        <w:rPr>
          <w:rFonts w:asciiTheme="minorEastAsia" w:eastAsiaTheme="minorEastAsia" w:hAnsiTheme="minorEastAsia" w:hint="eastAsia"/>
        </w:rPr>
        <w:t>存放地点：基金管理人处</w:t>
      </w:r>
    </w:p>
    <w:p w:rsidR="007228CC" w:rsidRPr="00F17515" w:rsidRDefault="007228CC" w:rsidP="0071223F">
      <w:pPr>
        <w:snapToGrid w:val="0"/>
        <w:spacing w:line="360" w:lineRule="auto"/>
        <w:ind w:firstLineChars="200" w:firstLine="420"/>
        <w:rPr>
          <w:rFonts w:asciiTheme="minorEastAsia" w:eastAsiaTheme="minorEastAsia" w:hAnsiTheme="minorEastAsia"/>
          <w:szCs w:val="21"/>
        </w:rPr>
      </w:pPr>
      <w:r w:rsidRPr="00F17515">
        <w:rPr>
          <w:rFonts w:asciiTheme="minorEastAsia" w:eastAsiaTheme="minorEastAsia" w:hAnsiTheme="minorEastAsia" w:hint="eastAsia"/>
        </w:rPr>
        <w:t>查阅方式：投资者可在营业时间免费查阅，也可按工本费购买复印件。</w:t>
      </w:r>
    </w:p>
    <w:p w:rsidR="007228CC" w:rsidRPr="00F17515" w:rsidRDefault="007228CC" w:rsidP="0071223F">
      <w:pPr>
        <w:snapToGrid w:val="0"/>
        <w:spacing w:line="360" w:lineRule="auto"/>
        <w:ind w:left="480"/>
        <w:rPr>
          <w:rFonts w:asciiTheme="minorEastAsia" w:eastAsiaTheme="minorEastAsia" w:hAnsiTheme="minorEastAsia"/>
          <w:szCs w:val="21"/>
        </w:rPr>
      </w:pPr>
    </w:p>
    <w:p w:rsidR="00F04093" w:rsidRPr="00F17515" w:rsidRDefault="00F04093" w:rsidP="0071223F">
      <w:pPr>
        <w:snapToGrid w:val="0"/>
        <w:spacing w:line="360" w:lineRule="auto"/>
        <w:ind w:left="480"/>
        <w:rPr>
          <w:rFonts w:asciiTheme="minorEastAsia" w:eastAsiaTheme="minorEastAsia" w:hAnsiTheme="minorEastAsia"/>
          <w:szCs w:val="21"/>
        </w:rPr>
      </w:pPr>
    </w:p>
    <w:p w:rsidR="00F04093" w:rsidRPr="00F17515" w:rsidRDefault="00F04093" w:rsidP="0071223F">
      <w:pPr>
        <w:snapToGrid w:val="0"/>
        <w:spacing w:line="360" w:lineRule="auto"/>
        <w:ind w:left="480"/>
        <w:jc w:val="right"/>
        <w:rPr>
          <w:rFonts w:asciiTheme="minorEastAsia" w:eastAsiaTheme="minorEastAsia" w:hAnsiTheme="minorEastAsia"/>
          <w:szCs w:val="21"/>
        </w:rPr>
      </w:pPr>
      <w:r w:rsidRPr="00F17515">
        <w:rPr>
          <w:rFonts w:asciiTheme="minorEastAsia" w:eastAsiaTheme="minorEastAsia" w:hAnsiTheme="minorEastAsia" w:hint="eastAsia"/>
          <w:szCs w:val="21"/>
        </w:rPr>
        <w:t>易方达基金管理有限公司</w:t>
      </w:r>
    </w:p>
    <w:p w:rsidR="00DE4B5E" w:rsidRPr="00F17515" w:rsidRDefault="00451364" w:rsidP="002A71F6">
      <w:pPr>
        <w:snapToGrid w:val="0"/>
        <w:spacing w:line="360" w:lineRule="auto"/>
        <w:ind w:right="420"/>
        <w:jc w:val="right"/>
        <w:rPr>
          <w:rFonts w:asciiTheme="minorEastAsia" w:eastAsiaTheme="minorEastAsia" w:hAnsiTheme="minorEastAsia"/>
        </w:rPr>
      </w:pPr>
      <w:r w:rsidRPr="00F17515">
        <w:rPr>
          <w:rFonts w:asciiTheme="minorEastAsia" w:eastAsiaTheme="minorEastAsia" w:hAnsiTheme="minorEastAsia"/>
        </w:rPr>
        <w:t>2020年</w:t>
      </w:r>
      <w:r w:rsidR="00F162DE" w:rsidRPr="00F17515">
        <w:rPr>
          <w:rFonts w:asciiTheme="minorEastAsia" w:eastAsiaTheme="minorEastAsia" w:hAnsiTheme="minorEastAsia"/>
        </w:rPr>
        <w:t>5</w:t>
      </w:r>
      <w:r w:rsidRPr="00F17515">
        <w:rPr>
          <w:rFonts w:asciiTheme="minorEastAsia" w:eastAsiaTheme="minorEastAsia" w:hAnsiTheme="minorEastAsia"/>
        </w:rPr>
        <w:t>月</w:t>
      </w:r>
      <w:r w:rsidR="00AE7D92" w:rsidRPr="00F17515">
        <w:rPr>
          <w:rFonts w:asciiTheme="minorEastAsia" w:eastAsiaTheme="minorEastAsia" w:hAnsiTheme="minorEastAsia"/>
        </w:rPr>
        <w:t>2</w:t>
      </w:r>
      <w:r w:rsidR="00F162DE" w:rsidRPr="00F17515">
        <w:rPr>
          <w:rFonts w:asciiTheme="minorEastAsia" w:eastAsiaTheme="minorEastAsia" w:hAnsiTheme="minorEastAsia"/>
        </w:rPr>
        <w:t>9</w:t>
      </w:r>
      <w:r w:rsidRPr="00F17515">
        <w:rPr>
          <w:rFonts w:asciiTheme="minorEastAsia" w:eastAsiaTheme="minorEastAsia" w:hAnsiTheme="minorEastAsia"/>
        </w:rPr>
        <w:t>日</w:t>
      </w:r>
      <w:bookmarkStart w:id="4170" w:name="_GoBack"/>
      <w:bookmarkEnd w:id="4170"/>
    </w:p>
    <w:sectPr w:rsidR="00DE4B5E" w:rsidRPr="00F17515" w:rsidSect="00DE4B5E">
      <w:pgSz w:w="11906" w:h="16838" w:code="9"/>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C12" w:rsidRDefault="006E6C12">
      <w:r>
        <w:separator/>
      </w:r>
    </w:p>
  </w:endnote>
  <w:endnote w:type="continuationSeparator" w:id="0">
    <w:p w:rsidR="006E6C12" w:rsidRDefault="006E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CC" w:rsidRDefault="00730CCC" w:rsidP="00DE4B5E">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end"/>
    </w:r>
  </w:p>
  <w:p w:rsidR="00730CCC" w:rsidRDefault="00730CCC" w:rsidP="00DE4B5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CC" w:rsidRDefault="00730CCC" w:rsidP="00DE4B5E">
    <w:pPr>
      <w:pStyle w:val="a5"/>
      <w:tabs>
        <w:tab w:val="clear" w:pos="8306"/>
        <w:tab w:val="left" w:pos="4440"/>
      </w:tabs>
      <w:ind w:firstLineChars="2211" w:firstLine="398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CC" w:rsidRDefault="00730CCC" w:rsidP="00DE4B5E">
    <w:pPr>
      <w:pStyle w:val="a5"/>
      <w:ind w:firstLineChars="2300" w:firstLine="41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CC" w:rsidRDefault="00730CCC" w:rsidP="006523F7">
    <w:pPr>
      <w:pStyle w:val="a5"/>
      <w:framePr w:h="256" w:hRule="exact" w:wrap="around" w:vAnchor="text" w:hAnchor="page" w:x="5611" w:y="-34"/>
      <w:ind w:firstLine="360"/>
      <w:rPr>
        <w:rStyle w:val="a4"/>
      </w:rPr>
    </w:pPr>
    <w:r>
      <w:rPr>
        <w:rStyle w:val="a4"/>
      </w:rPr>
      <w:fldChar w:fldCharType="begin"/>
    </w:r>
    <w:r>
      <w:rPr>
        <w:rStyle w:val="a4"/>
      </w:rPr>
      <w:instrText xml:space="preserve">PAGE  </w:instrText>
    </w:r>
    <w:r>
      <w:rPr>
        <w:rStyle w:val="a4"/>
      </w:rPr>
      <w:fldChar w:fldCharType="separate"/>
    </w:r>
    <w:r w:rsidR="00F17515">
      <w:rPr>
        <w:rStyle w:val="a4"/>
        <w:noProof/>
      </w:rPr>
      <w:t>168</w:t>
    </w:r>
    <w:r>
      <w:rPr>
        <w:rStyle w:val="a4"/>
      </w:rPr>
      <w:fldChar w:fldCharType="end"/>
    </w:r>
  </w:p>
  <w:p w:rsidR="00730CCC" w:rsidRPr="006523F7" w:rsidRDefault="00730CCC" w:rsidP="006523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CC" w:rsidRDefault="00730CCC" w:rsidP="00DE4B5E">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Pr>
        <w:rStyle w:val="a4"/>
        <w:noProof/>
      </w:rPr>
      <w:t>I</w:t>
    </w:r>
    <w:r>
      <w:rPr>
        <w:rStyle w:val="a4"/>
      </w:rPr>
      <w:fldChar w:fldCharType="end"/>
    </w:r>
  </w:p>
  <w:p w:rsidR="00730CCC" w:rsidRDefault="00730CCC" w:rsidP="00DE4B5E">
    <w:pPr>
      <w:pStyle w:val="a5"/>
      <w:ind w:firstLineChars="2300" w:firstLine="41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C12" w:rsidRDefault="006E6C12">
      <w:r>
        <w:separator/>
      </w:r>
    </w:p>
  </w:footnote>
  <w:footnote w:type="continuationSeparator" w:id="0">
    <w:p w:rsidR="006E6C12" w:rsidRDefault="006E6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CC" w:rsidRDefault="00730CCC" w:rsidP="00DE4B5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CC" w:rsidRPr="00244240" w:rsidRDefault="00730CCC" w:rsidP="0024424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CC" w:rsidRPr="002A7F91" w:rsidRDefault="00730CCC" w:rsidP="002A7F91">
    <w:pPr>
      <w:pStyle w:val="a3"/>
      <w:pBdr>
        <w:bottom w:val="none" w:sz="0" w:space="0" w:color="auto"/>
      </w:pBdr>
      <w:ind w:firstLine="360"/>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15:restartNumberingAfterBreak="0">
    <w:nsid w:val="084E3B6F"/>
    <w:multiLevelType w:val="hybridMultilevel"/>
    <w:tmpl w:val="C8388032"/>
    <w:lvl w:ilvl="0" w:tplc="E1D4088A">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07B66C2"/>
    <w:multiLevelType w:val="hybridMultilevel"/>
    <w:tmpl w:val="ADEAA032"/>
    <w:lvl w:ilvl="0" w:tplc="BC6290D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56E5A38"/>
    <w:multiLevelType w:val="hybridMultilevel"/>
    <w:tmpl w:val="4D2640D6"/>
    <w:lvl w:ilvl="0" w:tplc="E1D4088A">
      <w:start w:val="1"/>
      <w:numFmt w:val="decimal"/>
      <w:lvlText w:val="%1."/>
      <w:lvlJc w:val="left"/>
      <w:pPr>
        <w:tabs>
          <w:tab w:val="num" w:pos="120"/>
        </w:tabs>
        <w:ind w:left="540" w:firstLine="0"/>
      </w:pPr>
      <w:rPr>
        <w:rFonts w:ascii="宋体" w:eastAsia="宋体" w:hAnsi="宋体"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15:restartNumberingAfterBreak="0">
    <w:nsid w:val="1A4038FD"/>
    <w:multiLevelType w:val="hybridMultilevel"/>
    <w:tmpl w:val="127218AA"/>
    <w:lvl w:ilvl="0" w:tplc="FFFFFFFF">
      <w:start w:val="1"/>
      <w:numFmt w:val="japaneseCounting"/>
      <w:pStyle w:val="CharCharCharChar"/>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BF11592"/>
    <w:multiLevelType w:val="hybridMultilevel"/>
    <w:tmpl w:val="62361BBC"/>
    <w:lvl w:ilvl="0" w:tplc="CB2E463A">
      <w:start w:val="1"/>
      <w:numFmt w:val="chineseCountingThousand"/>
      <w:lvlText w:val="(%1)"/>
      <w:lvlJc w:val="left"/>
      <w:pPr>
        <w:tabs>
          <w:tab w:val="num" w:pos="780"/>
        </w:tabs>
        <w:ind w:left="136" w:firstLine="284"/>
      </w:pPr>
      <w:rPr>
        <w:b/>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693406"/>
    <w:multiLevelType w:val="hybridMultilevel"/>
    <w:tmpl w:val="7470810C"/>
    <w:lvl w:ilvl="0" w:tplc="5CEADD54">
      <w:start w:val="1"/>
      <w:numFmt w:val="japaneseCounting"/>
      <w:lvlText w:val="%1、"/>
      <w:lvlJc w:val="left"/>
      <w:pPr>
        <w:tabs>
          <w:tab w:val="num" w:pos="720"/>
        </w:tabs>
        <w:ind w:left="720" w:hanging="720"/>
      </w:pPr>
      <w:rPr>
        <w:rFonts w:hint="default"/>
      </w:rPr>
    </w:lvl>
    <w:lvl w:ilvl="1" w:tplc="8FCC12C6">
      <w:start w:val="1"/>
      <w:numFmt w:val="japaneseCounting"/>
      <w:lvlText w:val="（%2）"/>
      <w:lvlJc w:val="left"/>
      <w:pPr>
        <w:tabs>
          <w:tab w:val="num" w:pos="1275"/>
        </w:tabs>
        <w:ind w:left="1275" w:hanging="855"/>
      </w:pPr>
      <w:rPr>
        <w:rFonts w:hint="default"/>
      </w:rPr>
    </w:lvl>
    <w:lvl w:ilvl="2" w:tplc="0409001B">
      <w:start w:val="1"/>
      <w:numFmt w:val="lowerRoman"/>
      <w:lvlText w:val="%3."/>
      <w:lvlJc w:val="right"/>
      <w:pPr>
        <w:tabs>
          <w:tab w:val="num" w:pos="1260"/>
        </w:tabs>
        <w:ind w:left="1260" w:hanging="420"/>
      </w:pPr>
    </w:lvl>
    <w:lvl w:ilvl="3" w:tplc="09A0A5DE">
      <w:start w:val="1"/>
      <w:numFmt w:val="decimalEnclosedCircle"/>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9" w15:restartNumberingAfterBreak="0">
    <w:nsid w:val="25A73E2C"/>
    <w:multiLevelType w:val="multilevel"/>
    <w:tmpl w:val="B434A08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E052772"/>
    <w:multiLevelType w:val="hybridMultilevel"/>
    <w:tmpl w:val="FA7C03F6"/>
    <w:lvl w:ilvl="0" w:tplc="E1D4088A">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F353D7D"/>
    <w:multiLevelType w:val="hybridMultilevel"/>
    <w:tmpl w:val="5B2AC37C"/>
    <w:lvl w:ilvl="0" w:tplc="2D42890E">
      <w:start w:val="1"/>
      <w:numFmt w:val="decimal"/>
      <w:lvlText w:val="%1."/>
      <w:lvlJc w:val="left"/>
      <w:pPr>
        <w:tabs>
          <w:tab w:val="num" w:pos="600"/>
        </w:tabs>
        <w:ind w:left="600" w:hanging="420"/>
      </w:pPr>
      <w:rPr>
        <w:color w:val="FF0000"/>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2" w15:restartNumberingAfterBreak="0">
    <w:nsid w:val="37E46BB2"/>
    <w:multiLevelType w:val="hybridMultilevel"/>
    <w:tmpl w:val="35AA3990"/>
    <w:lvl w:ilvl="0" w:tplc="E1D4088A">
      <w:start w:val="1"/>
      <w:numFmt w:val="decimal"/>
      <w:lvlText w:val="%1."/>
      <w:lvlJc w:val="left"/>
      <w:pPr>
        <w:tabs>
          <w:tab w:val="num" w:pos="0"/>
        </w:tabs>
        <w:ind w:left="420" w:firstLine="0"/>
      </w:pPr>
      <w:rPr>
        <w:rFonts w:ascii="宋体" w:eastAsia="宋体" w:hAnsi="宋体"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D715848"/>
    <w:multiLevelType w:val="hybridMultilevel"/>
    <w:tmpl w:val="12DCD2DA"/>
    <w:lvl w:ilvl="0" w:tplc="E1D4088A">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F4E5421"/>
    <w:multiLevelType w:val="hybridMultilevel"/>
    <w:tmpl w:val="94E0C238"/>
    <w:lvl w:ilvl="0" w:tplc="E1D4088A">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56C7310"/>
    <w:multiLevelType w:val="hybridMultilevel"/>
    <w:tmpl w:val="2EC46E02"/>
    <w:lvl w:ilvl="0" w:tplc="FFFFFFFF">
      <w:start w:val="1"/>
      <w:numFmt w:val="japaneseCounting"/>
      <w:pStyle w:val="60"/>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15:restartNumberingAfterBreak="0">
    <w:nsid w:val="45D40BEF"/>
    <w:multiLevelType w:val="hybridMultilevel"/>
    <w:tmpl w:val="65DC225C"/>
    <w:lvl w:ilvl="0" w:tplc="16204744">
      <w:start w:val="1"/>
      <w:numFmt w:val="decimal"/>
      <w:lvlText w:val="%1."/>
      <w:lvlJc w:val="left"/>
      <w:pPr>
        <w:ind w:left="977" w:hanging="360"/>
      </w:pPr>
      <w:rPr>
        <w:rFonts w:hint="default"/>
      </w:rPr>
    </w:lvl>
    <w:lvl w:ilvl="1" w:tplc="04090019" w:tentative="1">
      <w:start w:val="1"/>
      <w:numFmt w:val="lowerLetter"/>
      <w:lvlText w:val="%2)"/>
      <w:lvlJc w:val="left"/>
      <w:pPr>
        <w:ind w:left="1457" w:hanging="420"/>
      </w:pPr>
    </w:lvl>
    <w:lvl w:ilvl="2" w:tplc="0409001B" w:tentative="1">
      <w:start w:val="1"/>
      <w:numFmt w:val="lowerRoman"/>
      <w:lvlText w:val="%3."/>
      <w:lvlJc w:val="right"/>
      <w:pPr>
        <w:ind w:left="1877" w:hanging="420"/>
      </w:pPr>
    </w:lvl>
    <w:lvl w:ilvl="3" w:tplc="0409000F" w:tentative="1">
      <w:start w:val="1"/>
      <w:numFmt w:val="decimal"/>
      <w:lvlText w:val="%4."/>
      <w:lvlJc w:val="left"/>
      <w:pPr>
        <w:ind w:left="2297" w:hanging="420"/>
      </w:pPr>
    </w:lvl>
    <w:lvl w:ilvl="4" w:tplc="04090019" w:tentative="1">
      <w:start w:val="1"/>
      <w:numFmt w:val="lowerLetter"/>
      <w:lvlText w:val="%5)"/>
      <w:lvlJc w:val="left"/>
      <w:pPr>
        <w:ind w:left="2717" w:hanging="420"/>
      </w:pPr>
    </w:lvl>
    <w:lvl w:ilvl="5" w:tplc="0409001B" w:tentative="1">
      <w:start w:val="1"/>
      <w:numFmt w:val="lowerRoman"/>
      <w:lvlText w:val="%6."/>
      <w:lvlJc w:val="right"/>
      <w:pPr>
        <w:ind w:left="3137" w:hanging="420"/>
      </w:pPr>
    </w:lvl>
    <w:lvl w:ilvl="6" w:tplc="0409000F" w:tentative="1">
      <w:start w:val="1"/>
      <w:numFmt w:val="decimal"/>
      <w:lvlText w:val="%7."/>
      <w:lvlJc w:val="left"/>
      <w:pPr>
        <w:ind w:left="3557" w:hanging="420"/>
      </w:pPr>
    </w:lvl>
    <w:lvl w:ilvl="7" w:tplc="04090019" w:tentative="1">
      <w:start w:val="1"/>
      <w:numFmt w:val="lowerLetter"/>
      <w:lvlText w:val="%8)"/>
      <w:lvlJc w:val="left"/>
      <w:pPr>
        <w:ind w:left="3977" w:hanging="420"/>
      </w:pPr>
    </w:lvl>
    <w:lvl w:ilvl="8" w:tplc="0409001B" w:tentative="1">
      <w:start w:val="1"/>
      <w:numFmt w:val="lowerRoman"/>
      <w:lvlText w:val="%9."/>
      <w:lvlJc w:val="right"/>
      <w:pPr>
        <w:ind w:left="4397" w:hanging="420"/>
      </w:pPr>
    </w:lvl>
  </w:abstractNum>
  <w:abstractNum w:abstractNumId="17" w15:restartNumberingAfterBreak="0">
    <w:nsid w:val="46631172"/>
    <w:multiLevelType w:val="hybridMultilevel"/>
    <w:tmpl w:val="0B48223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B6D5126"/>
    <w:multiLevelType w:val="multilevel"/>
    <w:tmpl w:val="EE2824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52A53B64"/>
    <w:multiLevelType w:val="hybridMultilevel"/>
    <w:tmpl w:val="4684BF6C"/>
    <w:lvl w:ilvl="0" w:tplc="06126396">
      <w:start w:val="1"/>
      <w:numFmt w:val="decimal"/>
      <w:lvlText w:val="（%1）"/>
      <w:lvlJc w:val="left"/>
      <w:pPr>
        <w:tabs>
          <w:tab w:val="num" w:pos="2306"/>
        </w:tabs>
        <w:ind w:left="2306" w:hanging="567"/>
      </w:pPr>
      <w:rPr>
        <w:rFonts w:ascii="宋体" w:eastAsia="宋体" w:hAnsi="宋体" w:hint="default"/>
        <w:b w:val="0"/>
        <w:i w:val="0"/>
        <w:sz w:val="21"/>
        <w:szCs w:val="21"/>
      </w:rPr>
    </w:lvl>
    <w:lvl w:ilvl="1" w:tplc="04090019" w:tentative="1">
      <w:start w:val="1"/>
      <w:numFmt w:val="lowerLetter"/>
      <w:lvlText w:val="%2)"/>
      <w:lvlJc w:val="left"/>
      <w:pPr>
        <w:tabs>
          <w:tab w:val="num" w:pos="2159"/>
        </w:tabs>
        <w:ind w:left="2159" w:hanging="420"/>
      </w:pPr>
    </w:lvl>
    <w:lvl w:ilvl="2" w:tplc="0409001B" w:tentative="1">
      <w:start w:val="1"/>
      <w:numFmt w:val="lowerRoman"/>
      <w:lvlText w:val="%3."/>
      <w:lvlJc w:val="right"/>
      <w:pPr>
        <w:tabs>
          <w:tab w:val="num" w:pos="2579"/>
        </w:tabs>
        <w:ind w:left="2579" w:hanging="420"/>
      </w:pPr>
    </w:lvl>
    <w:lvl w:ilvl="3" w:tplc="0409000F" w:tentative="1">
      <w:start w:val="1"/>
      <w:numFmt w:val="decimal"/>
      <w:lvlText w:val="%4."/>
      <w:lvlJc w:val="left"/>
      <w:pPr>
        <w:tabs>
          <w:tab w:val="num" w:pos="2999"/>
        </w:tabs>
        <w:ind w:left="2999" w:hanging="420"/>
      </w:pPr>
    </w:lvl>
    <w:lvl w:ilvl="4" w:tplc="04090019" w:tentative="1">
      <w:start w:val="1"/>
      <w:numFmt w:val="lowerLetter"/>
      <w:lvlText w:val="%5)"/>
      <w:lvlJc w:val="left"/>
      <w:pPr>
        <w:tabs>
          <w:tab w:val="num" w:pos="3419"/>
        </w:tabs>
        <w:ind w:left="3419" w:hanging="420"/>
      </w:pPr>
    </w:lvl>
    <w:lvl w:ilvl="5" w:tplc="0409001B" w:tentative="1">
      <w:start w:val="1"/>
      <w:numFmt w:val="lowerRoman"/>
      <w:lvlText w:val="%6."/>
      <w:lvlJc w:val="right"/>
      <w:pPr>
        <w:tabs>
          <w:tab w:val="num" w:pos="3839"/>
        </w:tabs>
        <w:ind w:left="3839" w:hanging="420"/>
      </w:pPr>
    </w:lvl>
    <w:lvl w:ilvl="6" w:tplc="0409000F" w:tentative="1">
      <w:start w:val="1"/>
      <w:numFmt w:val="decimal"/>
      <w:lvlText w:val="%7."/>
      <w:lvlJc w:val="left"/>
      <w:pPr>
        <w:tabs>
          <w:tab w:val="num" w:pos="4259"/>
        </w:tabs>
        <w:ind w:left="4259" w:hanging="420"/>
      </w:pPr>
    </w:lvl>
    <w:lvl w:ilvl="7" w:tplc="04090019" w:tentative="1">
      <w:start w:val="1"/>
      <w:numFmt w:val="lowerLetter"/>
      <w:lvlText w:val="%8)"/>
      <w:lvlJc w:val="left"/>
      <w:pPr>
        <w:tabs>
          <w:tab w:val="num" w:pos="4679"/>
        </w:tabs>
        <w:ind w:left="4679" w:hanging="420"/>
      </w:pPr>
    </w:lvl>
    <w:lvl w:ilvl="8" w:tplc="0409001B" w:tentative="1">
      <w:start w:val="1"/>
      <w:numFmt w:val="lowerRoman"/>
      <w:lvlText w:val="%9."/>
      <w:lvlJc w:val="right"/>
      <w:pPr>
        <w:tabs>
          <w:tab w:val="num" w:pos="5099"/>
        </w:tabs>
        <w:ind w:left="5099" w:hanging="420"/>
      </w:pPr>
    </w:lvl>
  </w:abstractNum>
  <w:abstractNum w:abstractNumId="21"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6926DE0"/>
    <w:multiLevelType w:val="hybridMultilevel"/>
    <w:tmpl w:val="A7586C8A"/>
    <w:lvl w:ilvl="0" w:tplc="9C0014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D2C2F22"/>
    <w:multiLevelType w:val="hybridMultilevel"/>
    <w:tmpl w:val="8AE85736"/>
    <w:lvl w:ilvl="0" w:tplc="4720F2A6">
      <w:start w:val="1"/>
      <w:numFmt w:val="chineseCountingThousand"/>
      <w:lvlText w:val="%1、"/>
      <w:lvlJc w:val="left"/>
      <w:pPr>
        <w:tabs>
          <w:tab w:val="num" w:pos="2798"/>
        </w:tabs>
        <w:ind w:left="2798" w:hanging="896"/>
      </w:pPr>
      <w:rPr>
        <w:rFonts w:asciiTheme="minorEastAsia" w:eastAsiaTheme="minorEastAsia" w:hAnsiTheme="minorEastAsia" w:hint="eastAsia"/>
        <w:b/>
        <w:i w:val="0"/>
        <w:sz w:val="32"/>
        <w:szCs w:val="32"/>
      </w:rPr>
    </w:lvl>
    <w:lvl w:ilvl="1" w:tplc="F2927438">
      <w:start w:val="1"/>
      <w:numFmt w:val="decimal"/>
      <w:lvlText w:val="%2."/>
      <w:lvlJc w:val="left"/>
      <w:pPr>
        <w:tabs>
          <w:tab w:val="num" w:pos="643"/>
        </w:tabs>
        <w:ind w:left="1063" w:firstLine="0"/>
      </w:pPr>
      <w:rPr>
        <w:rFonts w:ascii="宋体" w:eastAsia="宋体" w:hAnsi="宋体" w:hint="eastAsia"/>
        <w:b w:val="0"/>
        <w:i w:val="0"/>
        <w:sz w:val="21"/>
        <w:szCs w:val="21"/>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4" w15:restartNumberingAfterBreak="0">
    <w:nsid w:val="5D3E6F72"/>
    <w:multiLevelType w:val="multilevel"/>
    <w:tmpl w:val="B434A08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15E22BF"/>
    <w:multiLevelType w:val="hybridMultilevel"/>
    <w:tmpl w:val="8AE85736"/>
    <w:lvl w:ilvl="0" w:tplc="4720F2A6">
      <w:start w:val="1"/>
      <w:numFmt w:val="chineseCountingThousand"/>
      <w:lvlText w:val="%1、"/>
      <w:lvlJc w:val="left"/>
      <w:pPr>
        <w:tabs>
          <w:tab w:val="num" w:pos="2798"/>
        </w:tabs>
        <w:ind w:left="2798" w:hanging="896"/>
      </w:pPr>
      <w:rPr>
        <w:rFonts w:asciiTheme="minorEastAsia" w:eastAsiaTheme="minorEastAsia" w:hAnsiTheme="minorEastAsia" w:hint="eastAsia"/>
        <w:b/>
        <w:i w:val="0"/>
        <w:sz w:val="32"/>
        <w:szCs w:val="32"/>
      </w:rPr>
    </w:lvl>
    <w:lvl w:ilvl="1" w:tplc="F2927438">
      <w:start w:val="1"/>
      <w:numFmt w:val="decimal"/>
      <w:lvlText w:val="%2."/>
      <w:lvlJc w:val="left"/>
      <w:pPr>
        <w:tabs>
          <w:tab w:val="num" w:pos="643"/>
        </w:tabs>
        <w:ind w:left="1063" w:firstLine="0"/>
      </w:pPr>
      <w:rPr>
        <w:rFonts w:ascii="宋体" w:eastAsia="宋体" w:hAnsi="宋体" w:hint="eastAsia"/>
        <w:b w:val="0"/>
        <w:i w:val="0"/>
        <w:sz w:val="21"/>
        <w:szCs w:val="21"/>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6" w15:restartNumberingAfterBreak="0">
    <w:nsid w:val="640E28B6"/>
    <w:multiLevelType w:val="hybridMultilevel"/>
    <w:tmpl w:val="886C2A96"/>
    <w:lvl w:ilvl="0" w:tplc="995276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50B2610"/>
    <w:multiLevelType w:val="multilevel"/>
    <w:tmpl w:val="B434A088"/>
    <w:lvl w:ilvl="0">
      <w:start w:val="1"/>
      <w:numFmt w:val="decimal"/>
      <w:lvlText w:val="(%1)"/>
      <w:lvlJc w:val="left"/>
      <w:pPr>
        <w:tabs>
          <w:tab w:val="num" w:pos="780"/>
        </w:tabs>
        <w:ind w:left="7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56529BD"/>
    <w:multiLevelType w:val="hybridMultilevel"/>
    <w:tmpl w:val="FD58BC98"/>
    <w:lvl w:ilvl="0" w:tplc="E1D4088A">
      <w:start w:val="1"/>
      <w:numFmt w:val="decimal"/>
      <w:lvlText w:val="%1."/>
      <w:lvlJc w:val="left"/>
      <w:pPr>
        <w:tabs>
          <w:tab w:val="num" w:pos="120"/>
        </w:tabs>
        <w:ind w:left="540" w:firstLine="0"/>
      </w:pPr>
      <w:rPr>
        <w:rFonts w:ascii="宋体" w:eastAsia="宋体" w:hAnsi="宋体" w:hint="eastAsia"/>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9" w15:restartNumberingAfterBreak="0">
    <w:nsid w:val="66616D88"/>
    <w:multiLevelType w:val="multilevel"/>
    <w:tmpl w:val="B434A08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1" w15:restartNumberingAfterBreak="0">
    <w:nsid w:val="6B2C5760"/>
    <w:multiLevelType w:val="hybridMultilevel"/>
    <w:tmpl w:val="C1F8E55E"/>
    <w:lvl w:ilvl="0" w:tplc="841C8DC8">
      <w:start w:val="1"/>
      <w:numFmt w:val="decimal"/>
      <w:lvlText w:val="（%1）"/>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33" w15:restartNumberingAfterBreak="0">
    <w:nsid w:val="70454BBD"/>
    <w:multiLevelType w:val="hybridMultilevel"/>
    <w:tmpl w:val="B534FC4C"/>
    <w:lvl w:ilvl="0" w:tplc="1EB2E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7C540E"/>
    <w:multiLevelType w:val="multilevel"/>
    <w:tmpl w:val="B434A088"/>
    <w:lvl w:ilvl="0">
      <w:start w:val="1"/>
      <w:numFmt w:val="decimal"/>
      <w:lvlText w:val="(%1)"/>
      <w:lvlJc w:val="left"/>
      <w:pPr>
        <w:tabs>
          <w:tab w:val="num" w:pos="780"/>
        </w:tabs>
        <w:ind w:left="7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75CA1EF1"/>
    <w:multiLevelType w:val="hybridMultilevel"/>
    <w:tmpl w:val="5F5831CE"/>
    <w:lvl w:ilvl="0" w:tplc="8FCC12C6">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6" w15:restartNumberingAfterBreak="0">
    <w:nsid w:val="77B4748A"/>
    <w:multiLevelType w:val="hybridMultilevel"/>
    <w:tmpl w:val="F8465510"/>
    <w:lvl w:ilvl="0" w:tplc="99AA8908">
      <w:start w:val="1"/>
      <w:numFmt w:val="decimal"/>
      <w:lvlText w:val="%1."/>
      <w:lvlJc w:val="left"/>
      <w:pPr>
        <w:tabs>
          <w:tab w:val="num" w:pos="780"/>
        </w:tabs>
        <w:ind w:left="420" w:firstLine="0"/>
      </w:pPr>
      <w:rPr>
        <w:rFonts w:hint="eastAsia"/>
      </w:rPr>
    </w:lvl>
    <w:lvl w:ilvl="1" w:tplc="B81E02B0">
      <w:start w:val="1"/>
      <w:numFmt w:val="decimal"/>
      <w:lvlText w:val="（%2）"/>
      <w:lvlJc w:val="left"/>
      <w:pPr>
        <w:tabs>
          <w:tab w:val="num" w:pos="851"/>
        </w:tabs>
        <w:ind w:left="851" w:hanging="567"/>
      </w:pPr>
      <w:rPr>
        <w:rFonts w:hint="eastAsia"/>
        <w:lang w:val="en-US"/>
      </w:rPr>
    </w:lvl>
    <w:lvl w:ilvl="2" w:tplc="23888C08">
      <w:start w:val="1"/>
      <w:numFmt w:val="decimal"/>
      <w:lvlText w:val="%3、"/>
      <w:lvlJc w:val="left"/>
      <w:pPr>
        <w:tabs>
          <w:tab w:val="num" w:pos="1200"/>
        </w:tabs>
        <w:ind w:left="1200" w:hanging="360"/>
      </w:pPr>
      <w:rPr>
        <w:rFonts w:hint="default"/>
      </w:rPr>
    </w:lvl>
    <w:lvl w:ilvl="3" w:tplc="C88058A4">
      <w:start w:val="1"/>
      <w:numFmt w:val="decimal"/>
      <w:lvlText w:val="(%4)"/>
      <w:lvlJc w:val="left"/>
      <w:pPr>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83C7759"/>
    <w:multiLevelType w:val="hybridMultilevel"/>
    <w:tmpl w:val="B3B83D90"/>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8855797"/>
    <w:multiLevelType w:val="hybridMultilevel"/>
    <w:tmpl w:val="4CC21C96"/>
    <w:lvl w:ilvl="0" w:tplc="841C8DC8">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BF35F61"/>
    <w:multiLevelType w:val="hybridMultilevel"/>
    <w:tmpl w:val="A42E0E2C"/>
    <w:lvl w:ilvl="0" w:tplc="E1D4088A">
      <w:start w:val="1"/>
      <w:numFmt w:val="decimal"/>
      <w:lvlText w:val="%1."/>
      <w:lvlJc w:val="left"/>
      <w:pPr>
        <w:tabs>
          <w:tab w:val="num" w:pos="120"/>
        </w:tabs>
        <w:ind w:left="540" w:firstLine="0"/>
      </w:pPr>
      <w:rPr>
        <w:rFonts w:ascii="宋体" w:eastAsia="宋体" w:hAnsi="宋体" w:hint="eastAsia"/>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0" w15:restartNumberingAfterBreak="0">
    <w:nsid w:val="7D1F6586"/>
    <w:multiLevelType w:val="hybridMultilevel"/>
    <w:tmpl w:val="28D6DEC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8"/>
  </w:num>
  <w:num w:numId="3">
    <w:abstractNumId w:val="30"/>
  </w:num>
  <w:num w:numId="4">
    <w:abstractNumId w:val="18"/>
  </w:num>
  <w:num w:numId="5">
    <w:abstractNumId w:val="12"/>
  </w:num>
  <w:num w:numId="6">
    <w:abstractNumId w:val="21"/>
  </w:num>
  <w:num w:numId="7">
    <w:abstractNumId w:val="36"/>
  </w:num>
  <w:num w:numId="8">
    <w:abstractNumId w:val="7"/>
  </w:num>
  <w:num w:numId="9">
    <w:abstractNumId w:val="32"/>
  </w:num>
  <w:num w:numId="10">
    <w:abstractNumId w:val="35"/>
  </w:num>
  <w:num w:numId="11">
    <w:abstractNumId w:val="37"/>
  </w:num>
  <w:num w:numId="12">
    <w:abstractNumId w:val="17"/>
  </w:num>
  <w:num w:numId="13">
    <w:abstractNumId w:val="5"/>
  </w:num>
  <w:num w:numId="14">
    <w:abstractNumId w:val="0"/>
  </w:num>
  <w:num w:numId="15">
    <w:abstractNumId w:val="31"/>
  </w:num>
  <w:num w:numId="16">
    <w:abstractNumId w:val="3"/>
  </w:num>
  <w:num w:numId="17">
    <w:abstractNumId w:val="25"/>
  </w:num>
  <w:num w:numId="18">
    <w:abstractNumId w:val="15"/>
  </w:num>
  <w:num w:numId="19">
    <w:abstractNumId w:val="38"/>
  </w:num>
  <w:num w:numId="20">
    <w:abstractNumId w:val="10"/>
  </w:num>
  <w:num w:numId="21">
    <w:abstractNumId w:val="1"/>
  </w:num>
  <w:num w:numId="22">
    <w:abstractNumId w:val="13"/>
  </w:num>
  <w:num w:numId="23">
    <w:abstractNumId w:val="14"/>
  </w:num>
  <w:num w:numId="24">
    <w:abstractNumId w:val="28"/>
  </w:num>
  <w:num w:numId="25">
    <w:abstractNumId w:val="39"/>
  </w:num>
  <w:num w:numId="26">
    <w:abstractNumId w:val="2"/>
  </w:num>
  <w:num w:numId="27">
    <w:abstractNumId w:val="11"/>
  </w:num>
  <w:num w:numId="28">
    <w:abstractNumId w:val="19"/>
  </w:num>
  <w:num w:numId="29">
    <w:abstractNumId w:val="24"/>
  </w:num>
  <w:num w:numId="30">
    <w:abstractNumId w:val="40"/>
  </w:num>
  <w:num w:numId="31">
    <w:abstractNumId w:val="29"/>
  </w:num>
  <w:num w:numId="32">
    <w:abstractNumId w:val="9"/>
  </w:num>
  <w:num w:numId="33">
    <w:abstractNumId w:val="20"/>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6"/>
  </w:num>
  <w:num w:numId="41">
    <w:abstractNumId w:val="26"/>
  </w:num>
  <w:num w:numId="42">
    <w:abstractNumId w:val="2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28CC"/>
    <w:rsid w:val="00004831"/>
    <w:rsid w:val="0000708C"/>
    <w:rsid w:val="000113D5"/>
    <w:rsid w:val="00017511"/>
    <w:rsid w:val="000213BA"/>
    <w:rsid w:val="0002206F"/>
    <w:rsid w:val="000228A1"/>
    <w:rsid w:val="00022A05"/>
    <w:rsid w:val="00022BC6"/>
    <w:rsid w:val="00023C43"/>
    <w:rsid w:val="000269CC"/>
    <w:rsid w:val="00026B6C"/>
    <w:rsid w:val="00030C70"/>
    <w:rsid w:val="000329F7"/>
    <w:rsid w:val="0003509A"/>
    <w:rsid w:val="00035F7F"/>
    <w:rsid w:val="0004031C"/>
    <w:rsid w:val="000412A6"/>
    <w:rsid w:val="000430CB"/>
    <w:rsid w:val="0004571D"/>
    <w:rsid w:val="00053FBA"/>
    <w:rsid w:val="00060058"/>
    <w:rsid w:val="00061625"/>
    <w:rsid w:val="00065CF9"/>
    <w:rsid w:val="000701FA"/>
    <w:rsid w:val="000723B2"/>
    <w:rsid w:val="000726FD"/>
    <w:rsid w:val="00073547"/>
    <w:rsid w:val="00075369"/>
    <w:rsid w:val="0007593B"/>
    <w:rsid w:val="0007669D"/>
    <w:rsid w:val="000849E7"/>
    <w:rsid w:val="00092927"/>
    <w:rsid w:val="00094712"/>
    <w:rsid w:val="0009692F"/>
    <w:rsid w:val="000969D4"/>
    <w:rsid w:val="000A7749"/>
    <w:rsid w:val="000C2537"/>
    <w:rsid w:val="000D067E"/>
    <w:rsid w:val="000D0F2C"/>
    <w:rsid w:val="000D37F8"/>
    <w:rsid w:val="000D3D73"/>
    <w:rsid w:val="000D6C92"/>
    <w:rsid w:val="000D7AD3"/>
    <w:rsid w:val="000E7832"/>
    <w:rsid w:val="000F326B"/>
    <w:rsid w:val="001015EA"/>
    <w:rsid w:val="001037EA"/>
    <w:rsid w:val="001040F3"/>
    <w:rsid w:val="00107B19"/>
    <w:rsid w:val="00110E5A"/>
    <w:rsid w:val="00112DD1"/>
    <w:rsid w:val="00114C69"/>
    <w:rsid w:val="00117524"/>
    <w:rsid w:val="0012005A"/>
    <w:rsid w:val="001215C3"/>
    <w:rsid w:val="00132215"/>
    <w:rsid w:val="001363DB"/>
    <w:rsid w:val="001366A8"/>
    <w:rsid w:val="00137845"/>
    <w:rsid w:val="001534AF"/>
    <w:rsid w:val="00154B54"/>
    <w:rsid w:val="0015674A"/>
    <w:rsid w:val="00162B98"/>
    <w:rsid w:val="00175DC9"/>
    <w:rsid w:val="00183EB1"/>
    <w:rsid w:val="00190AB7"/>
    <w:rsid w:val="00192419"/>
    <w:rsid w:val="001949B1"/>
    <w:rsid w:val="001A3F39"/>
    <w:rsid w:val="001A6D0C"/>
    <w:rsid w:val="001A7501"/>
    <w:rsid w:val="001C4F83"/>
    <w:rsid w:val="001C58C6"/>
    <w:rsid w:val="001D16B5"/>
    <w:rsid w:val="001D550B"/>
    <w:rsid w:val="001E4DE9"/>
    <w:rsid w:val="001E7E66"/>
    <w:rsid w:val="001F6233"/>
    <w:rsid w:val="0020042F"/>
    <w:rsid w:val="0020077B"/>
    <w:rsid w:val="00202A44"/>
    <w:rsid w:val="00203888"/>
    <w:rsid w:val="00207CC3"/>
    <w:rsid w:val="002100B3"/>
    <w:rsid w:val="0021144C"/>
    <w:rsid w:val="0022028B"/>
    <w:rsid w:val="00220D38"/>
    <w:rsid w:val="00223301"/>
    <w:rsid w:val="00227B04"/>
    <w:rsid w:val="00235681"/>
    <w:rsid w:val="00236E5B"/>
    <w:rsid w:val="00237826"/>
    <w:rsid w:val="002413DA"/>
    <w:rsid w:val="00242404"/>
    <w:rsid w:val="00244240"/>
    <w:rsid w:val="00245CB9"/>
    <w:rsid w:val="00254691"/>
    <w:rsid w:val="00254895"/>
    <w:rsid w:val="00257667"/>
    <w:rsid w:val="00260647"/>
    <w:rsid w:val="002615D1"/>
    <w:rsid w:val="00265058"/>
    <w:rsid w:val="00271F5B"/>
    <w:rsid w:val="00273EFD"/>
    <w:rsid w:val="00276BDF"/>
    <w:rsid w:val="00283308"/>
    <w:rsid w:val="00285CF9"/>
    <w:rsid w:val="002921FD"/>
    <w:rsid w:val="00296976"/>
    <w:rsid w:val="00296E47"/>
    <w:rsid w:val="002A0418"/>
    <w:rsid w:val="002A11D4"/>
    <w:rsid w:val="002A1D61"/>
    <w:rsid w:val="002A64EB"/>
    <w:rsid w:val="002A71F6"/>
    <w:rsid w:val="002A7F91"/>
    <w:rsid w:val="002B1010"/>
    <w:rsid w:val="002B1D70"/>
    <w:rsid w:val="002B3053"/>
    <w:rsid w:val="002B3771"/>
    <w:rsid w:val="002C242F"/>
    <w:rsid w:val="002C3325"/>
    <w:rsid w:val="002D3A57"/>
    <w:rsid w:val="002D62DB"/>
    <w:rsid w:val="002E7772"/>
    <w:rsid w:val="002F2F3F"/>
    <w:rsid w:val="002F5612"/>
    <w:rsid w:val="002F59EC"/>
    <w:rsid w:val="002F737C"/>
    <w:rsid w:val="002F762F"/>
    <w:rsid w:val="00300BCF"/>
    <w:rsid w:val="00301E1C"/>
    <w:rsid w:val="003042C2"/>
    <w:rsid w:val="003043E4"/>
    <w:rsid w:val="003056CC"/>
    <w:rsid w:val="003138BA"/>
    <w:rsid w:val="003138C5"/>
    <w:rsid w:val="00326CFD"/>
    <w:rsid w:val="00330A19"/>
    <w:rsid w:val="003365A3"/>
    <w:rsid w:val="00340DA6"/>
    <w:rsid w:val="003449DE"/>
    <w:rsid w:val="00350BF0"/>
    <w:rsid w:val="00361CC0"/>
    <w:rsid w:val="00367CD8"/>
    <w:rsid w:val="003837A5"/>
    <w:rsid w:val="00384A77"/>
    <w:rsid w:val="003931F2"/>
    <w:rsid w:val="0039748F"/>
    <w:rsid w:val="00397746"/>
    <w:rsid w:val="003A24BE"/>
    <w:rsid w:val="003A5838"/>
    <w:rsid w:val="003A6DCF"/>
    <w:rsid w:val="003A727F"/>
    <w:rsid w:val="003B404D"/>
    <w:rsid w:val="003B5FC1"/>
    <w:rsid w:val="003B6F04"/>
    <w:rsid w:val="003C24CF"/>
    <w:rsid w:val="003D0305"/>
    <w:rsid w:val="003D38EB"/>
    <w:rsid w:val="003E4FC4"/>
    <w:rsid w:val="003F253C"/>
    <w:rsid w:val="003F3D6A"/>
    <w:rsid w:val="003F46FF"/>
    <w:rsid w:val="0040503A"/>
    <w:rsid w:val="00407B9C"/>
    <w:rsid w:val="00425732"/>
    <w:rsid w:val="00426437"/>
    <w:rsid w:val="00427542"/>
    <w:rsid w:val="004277C6"/>
    <w:rsid w:val="004304DE"/>
    <w:rsid w:val="00437DEA"/>
    <w:rsid w:val="00442398"/>
    <w:rsid w:val="00443025"/>
    <w:rsid w:val="00446E46"/>
    <w:rsid w:val="00451364"/>
    <w:rsid w:val="00455CF6"/>
    <w:rsid w:val="0045722A"/>
    <w:rsid w:val="0046010A"/>
    <w:rsid w:val="0046200D"/>
    <w:rsid w:val="00462FB9"/>
    <w:rsid w:val="004654CB"/>
    <w:rsid w:val="00466837"/>
    <w:rsid w:val="00480880"/>
    <w:rsid w:val="00483119"/>
    <w:rsid w:val="004853A1"/>
    <w:rsid w:val="004903CE"/>
    <w:rsid w:val="00491B41"/>
    <w:rsid w:val="00491CC0"/>
    <w:rsid w:val="0049423F"/>
    <w:rsid w:val="004B45EA"/>
    <w:rsid w:val="004C4A9B"/>
    <w:rsid w:val="004C6E82"/>
    <w:rsid w:val="004E0CDB"/>
    <w:rsid w:val="004E26E8"/>
    <w:rsid w:val="004E41A1"/>
    <w:rsid w:val="004F0411"/>
    <w:rsid w:val="004F66AC"/>
    <w:rsid w:val="004F772B"/>
    <w:rsid w:val="005025A4"/>
    <w:rsid w:val="005148EC"/>
    <w:rsid w:val="005217D7"/>
    <w:rsid w:val="005259D6"/>
    <w:rsid w:val="0053208A"/>
    <w:rsid w:val="005368FC"/>
    <w:rsid w:val="00547F70"/>
    <w:rsid w:val="005517FF"/>
    <w:rsid w:val="00553C9C"/>
    <w:rsid w:val="005550B3"/>
    <w:rsid w:val="00555F7B"/>
    <w:rsid w:val="005570E1"/>
    <w:rsid w:val="0056245E"/>
    <w:rsid w:val="005671B4"/>
    <w:rsid w:val="00575E02"/>
    <w:rsid w:val="0058036C"/>
    <w:rsid w:val="005812EC"/>
    <w:rsid w:val="0059528E"/>
    <w:rsid w:val="005A4EA0"/>
    <w:rsid w:val="005B2687"/>
    <w:rsid w:val="005B42E8"/>
    <w:rsid w:val="005B6370"/>
    <w:rsid w:val="005C0C73"/>
    <w:rsid w:val="005C2266"/>
    <w:rsid w:val="005C227D"/>
    <w:rsid w:val="005C228C"/>
    <w:rsid w:val="005C25A2"/>
    <w:rsid w:val="005C25B4"/>
    <w:rsid w:val="005C5AF9"/>
    <w:rsid w:val="005D023C"/>
    <w:rsid w:val="005D6939"/>
    <w:rsid w:val="005E04E3"/>
    <w:rsid w:val="005E0AC1"/>
    <w:rsid w:val="005E3CF4"/>
    <w:rsid w:val="005F2C3B"/>
    <w:rsid w:val="006001E9"/>
    <w:rsid w:val="00604D2D"/>
    <w:rsid w:val="0060613C"/>
    <w:rsid w:val="0061227C"/>
    <w:rsid w:val="00616ECD"/>
    <w:rsid w:val="00632835"/>
    <w:rsid w:val="006343E1"/>
    <w:rsid w:val="006378D3"/>
    <w:rsid w:val="006408BE"/>
    <w:rsid w:val="00647085"/>
    <w:rsid w:val="006472BD"/>
    <w:rsid w:val="006523F7"/>
    <w:rsid w:val="00653C43"/>
    <w:rsid w:val="00655FC9"/>
    <w:rsid w:val="00662322"/>
    <w:rsid w:val="00662889"/>
    <w:rsid w:val="006634BB"/>
    <w:rsid w:val="00665E69"/>
    <w:rsid w:val="00672C27"/>
    <w:rsid w:val="00673839"/>
    <w:rsid w:val="00675299"/>
    <w:rsid w:val="006826CB"/>
    <w:rsid w:val="00683564"/>
    <w:rsid w:val="00683AB5"/>
    <w:rsid w:val="00684B43"/>
    <w:rsid w:val="00685A2C"/>
    <w:rsid w:val="00696051"/>
    <w:rsid w:val="006A0258"/>
    <w:rsid w:val="006A10DF"/>
    <w:rsid w:val="006A240D"/>
    <w:rsid w:val="006A281C"/>
    <w:rsid w:val="006A33FC"/>
    <w:rsid w:val="006C065F"/>
    <w:rsid w:val="006C5C1A"/>
    <w:rsid w:val="006C69CC"/>
    <w:rsid w:val="006C742B"/>
    <w:rsid w:val="006D11BB"/>
    <w:rsid w:val="006E6978"/>
    <w:rsid w:val="006E6C12"/>
    <w:rsid w:val="006F062D"/>
    <w:rsid w:val="006F4F59"/>
    <w:rsid w:val="006F5A55"/>
    <w:rsid w:val="00702AAD"/>
    <w:rsid w:val="0071223F"/>
    <w:rsid w:val="007147E6"/>
    <w:rsid w:val="007157AE"/>
    <w:rsid w:val="007228CC"/>
    <w:rsid w:val="007240D0"/>
    <w:rsid w:val="00726D8A"/>
    <w:rsid w:val="00726F51"/>
    <w:rsid w:val="0073006E"/>
    <w:rsid w:val="00730CCC"/>
    <w:rsid w:val="00731CC3"/>
    <w:rsid w:val="00737A69"/>
    <w:rsid w:val="00741868"/>
    <w:rsid w:val="0074639E"/>
    <w:rsid w:val="00750098"/>
    <w:rsid w:val="00750E71"/>
    <w:rsid w:val="00752B70"/>
    <w:rsid w:val="007561A0"/>
    <w:rsid w:val="0076315C"/>
    <w:rsid w:val="00763A38"/>
    <w:rsid w:val="00767D56"/>
    <w:rsid w:val="0077387C"/>
    <w:rsid w:val="0077407F"/>
    <w:rsid w:val="007800D1"/>
    <w:rsid w:val="00782687"/>
    <w:rsid w:val="00790D1B"/>
    <w:rsid w:val="00790ED9"/>
    <w:rsid w:val="00795B37"/>
    <w:rsid w:val="007A1498"/>
    <w:rsid w:val="007A2B86"/>
    <w:rsid w:val="007B3E8F"/>
    <w:rsid w:val="007B540A"/>
    <w:rsid w:val="007B6DFE"/>
    <w:rsid w:val="007C3B09"/>
    <w:rsid w:val="007D1E51"/>
    <w:rsid w:val="007D2567"/>
    <w:rsid w:val="007D7FFD"/>
    <w:rsid w:val="007E44DC"/>
    <w:rsid w:val="007F2D1F"/>
    <w:rsid w:val="007F41F4"/>
    <w:rsid w:val="007F55A0"/>
    <w:rsid w:val="007F62FA"/>
    <w:rsid w:val="007F6B48"/>
    <w:rsid w:val="007F6FE2"/>
    <w:rsid w:val="00804C21"/>
    <w:rsid w:val="00805C7B"/>
    <w:rsid w:val="00806EAC"/>
    <w:rsid w:val="0080763C"/>
    <w:rsid w:val="00811D3D"/>
    <w:rsid w:val="00812E48"/>
    <w:rsid w:val="0081438E"/>
    <w:rsid w:val="008154CB"/>
    <w:rsid w:val="0081558F"/>
    <w:rsid w:val="00820337"/>
    <w:rsid w:val="00822BE3"/>
    <w:rsid w:val="00832907"/>
    <w:rsid w:val="00833169"/>
    <w:rsid w:val="0084126D"/>
    <w:rsid w:val="00841FFC"/>
    <w:rsid w:val="00842B92"/>
    <w:rsid w:val="00843442"/>
    <w:rsid w:val="00851736"/>
    <w:rsid w:val="008525FE"/>
    <w:rsid w:val="00853A38"/>
    <w:rsid w:val="008551DE"/>
    <w:rsid w:val="0085556F"/>
    <w:rsid w:val="00866D94"/>
    <w:rsid w:val="00866DDA"/>
    <w:rsid w:val="00870FCD"/>
    <w:rsid w:val="00872AB7"/>
    <w:rsid w:val="00881171"/>
    <w:rsid w:val="00894609"/>
    <w:rsid w:val="008A2CDD"/>
    <w:rsid w:val="008A3118"/>
    <w:rsid w:val="008A3783"/>
    <w:rsid w:val="008A44A5"/>
    <w:rsid w:val="008A7802"/>
    <w:rsid w:val="008A7EF1"/>
    <w:rsid w:val="008C20E1"/>
    <w:rsid w:val="008D22FF"/>
    <w:rsid w:val="008D2A66"/>
    <w:rsid w:val="008D424F"/>
    <w:rsid w:val="008E2A21"/>
    <w:rsid w:val="008E7F51"/>
    <w:rsid w:val="008F7273"/>
    <w:rsid w:val="00903C06"/>
    <w:rsid w:val="00903C5A"/>
    <w:rsid w:val="0090547C"/>
    <w:rsid w:val="00911E3E"/>
    <w:rsid w:val="00912B69"/>
    <w:rsid w:val="0091443B"/>
    <w:rsid w:val="009160E1"/>
    <w:rsid w:val="00916141"/>
    <w:rsid w:val="00920C8B"/>
    <w:rsid w:val="0092630D"/>
    <w:rsid w:val="00927A0B"/>
    <w:rsid w:val="00935629"/>
    <w:rsid w:val="00941EC8"/>
    <w:rsid w:val="0094246A"/>
    <w:rsid w:val="00942D08"/>
    <w:rsid w:val="009475A1"/>
    <w:rsid w:val="0094778B"/>
    <w:rsid w:val="009520C0"/>
    <w:rsid w:val="00952A59"/>
    <w:rsid w:val="00953818"/>
    <w:rsid w:val="00953CDF"/>
    <w:rsid w:val="009576CA"/>
    <w:rsid w:val="00963ADD"/>
    <w:rsid w:val="00970934"/>
    <w:rsid w:val="00973C2B"/>
    <w:rsid w:val="00974217"/>
    <w:rsid w:val="00980ADE"/>
    <w:rsid w:val="00980BCB"/>
    <w:rsid w:val="0098422A"/>
    <w:rsid w:val="009861F0"/>
    <w:rsid w:val="00986F16"/>
    <w:rsid w:val="00991279"/>
    <w:rsid w:val="00991849"/>
    <w:rsid w:val="00991AEB"/>
    <w:rsid w:val="009964A8"/>
    <w:rsid w:val="009A140C"/>
    <w:rsid w:val="009A1EA6"/>
    <w:rsid w:val="009A707A"/>
    <w:rsid w:val="009B0370"/>
    <w:rsid w:val="009B0C75"/>
    <w:rsid w:val="009B5D1A"/>
    <w:rsid w:val="009D0C00"/>
    <w:rsid w:val="009D2370"/>
    <w:rsid w:val="009D304B"/>
    <w:rsid w:val="009E05B7"/>
    <w:rsid w:val="009E191B"/>
    <w:rsid w:val="009E1B1E"/>
    <w:rsid w:val="009E2F7B"/>
    <w:rsid w:val="009E3591"/>
    <w:rsid w:val="009E4515"/>
    <w:rsid w:val="009E5C13"/>
    <w:rsid w:val="00A00E79"/>
    <w:rsid w:val="00A021CD"/>
    <w:rsid w:val="00A0556B"/>
    <w:rsid w:val="00A138B5"/>
    <w:rsid w:val="00A2641D"/>
    <w:rsid w:val="00A30AFF"/>
    <w:rsid w:val="00A30DE2"/>
    <w:rsid w:val="00A31886"/>
    <w:rsid w:val="00A34BD1"/>
    <w:rsid w:val="00A41241"/>
    <w:rsid w:val="00A43511"/>
    <w:rsid w:val="00A45ACB"/>
    <w:rsid w:val="00A501CF"/>
    <w:rsid w:val="00A514D6"/>
    <w:rsid w:val="00A52DEC"/>
    <w:rsid w:val="00A617DA"/>
    <w:rsid w:val="00A61D6E"/>
    <w:rsid w:val="00A621E9"/>
    <w:rsid w:val="00A70A32"/>
    <w:rsid w:val="00A74CD8"/>
    <w:rsid w:val="00A808B9"/>
    <w:rsid w:val="00A913DD"/>
    <w:rsid w:val="00A93D2B"/>
    <w:rsid w:val="00A947CD"/>
    <w:rsid w:val="00A9489D"/>
    <w:rsid w:val="00A970EC"/>
    <w:rsid w:val="00AA0B1C"/>
    <w:rsid w:val="00AA0EC8"/>
    <w:rsid w:val="00AA1083"/>
    <w:rsid w:val="00AA175D"/>
    <w:rsid w:val="00AA4EBE"/>
    <w:rsid w:val="00AA4F26"/>
    <w:rsid w:val="00AB43F9"/>
    <w:rsid w:val="00AD5B8A"/>
    <w:rsid w:val="00AE4321"/>
    <w:rsid w:val="00AE5095"/>
    <w:rsid w:val="00AE7D92"/>
    <w:rsid w:val="00AF0F43"/>
    <w:rsid w:val="00B02418"/>
    <w:rsid w:val="00B02B2E"/>
    <w:rsid w:val="00B05B0D"/>
    <w:rsid w:val="00B07F5C"/>
    <w:rsid w:val="00B11E6E"/>
    <w:rsid w:val="00B23424"/>
    <w:rsid w:val="00B253AC"/>
    <w:rsid w:val="00B30EC7"/>
    <w:rsid w:val="00B43765"/>
    <w:rsid w:val="00B47054"/>
    <w:rsid w:val="00B507A6"/>
    <w:rsid w:val="00B510C7"/>
    <w:rsid w:val="00B55E85"/>
    <w:rsid w:val="00B67530"/>
    <w:rsid w:val="00B72058"/>
    <w:rsid w:val="00B722D3"/>
    <w:rsid w:val="00B76E36"/>
    <w:rsid w:val="00B850EA"/>
    <w:rsid w:val="00B86DC8"/>
    <w:rsid w:val="00B87A23"/>
    <w:rsid w:val="00B943AA"/>
    <w:rsid w:val="00B961D4"/>
    <w:rsid w:val="00BA0ADC"/>
    <w:rsid w:val="00BA1324"/>
    <w:rsid w:val="00BA29E1"/>
    <w:rsid w:val="00BB2142"/>
    <w:rsid w:val="00BB4FEC"/>
    <w:rsid w:val="00BB5F9C"/>
    <w:rsid w:val="00BC1804"/>
    <w:rsid w:val="00BC3915"/>
    <w:rsid w:val="00BC62AC"/>
    <w:rsid w:val="00BD56E1"/>
    <w:rsid w:val="00BE1C62"/>
    <w:rsid w:val="00BE2566"/>
    <w:rsid w:val="00BE4486"/>
    <w:rsid w:val="00BE74C5"/>
    <w:rsid w:val="00BE79A3"/>
    <w:rsid w:val="00BF09FB"/>
    <w:rsid w:val="00BF3F91"/>
    <w:rsid w:val="00BF7421"/>
    <w:rsid w:val="00BF76AC"/>
    <w:rsid w:val="00C002A8"/>
    <w:rsid w:val="00C042E8"/>
    <w:rsid w:val="00C15BDA"/>
    <w:rsid w:val="00C24FDC"/>
    <w:rsid w:val="00C25C73"/>
    <w:rsid w:val="00C319D1"/>
    <w:rsid w:val="00C45C67"/>
    <w:rsid w:val="00C46BEC"/>
    <w:rsid w:val="00C54469"/>
    <w:rsid w:val="00C57E5E"/>
    <w:rsid w:val="00C609DD"/>
    <w:rsid w:val="00C6218B"/>
    <w:rsid w:val="00C62ED4"/>
    <w:rsid w:val="00C648E8"/>
    <w:rsid w:val="00C7304A"/>
    <w:rsid w:val="00C75764"/>
    <w:rsid w:val="00C763AB"/>
    <w:rsid w:val="00C8068D"/>
    <w:rsid w:val="00CA2E4F"/>
    <w:rsid w:val="00CA3AE0"/>
    <w:rsid w:val="00CA46AA"/>
    <w:rsid w:val="00CA6FB1"/>
    <w:rsid w:val="00CB17E5"/>
    <w:rsid w:val="00CB2E1A"/>
    <w:rsid w:val="00CB6853"/>
    <w:rsid w:val="00CB7E60"/>
    <w:rsid w:val="00CD4A96"/>
    <w:rsid w:val="00CD576C"/>
    <w:rsid w:val="00CE0B17"/>
    <w:rsid w:val="00CE5BAD"/>
    <w:rsid w:val="00CE7329"/>
    <w:rsid w:val="00CE7E09"/>
    <w:rsid w:val="00CF3CD0"/>
    <w:rsid w:val="00CF3D25"/>
    <w:rsid w:val="00CF731C"/>
    <w:rsid w:val="00D001D4"/>
    <w:rsid w:val="00D01DA5"/>
    <w:rsid w:val="00D04A37"/>
    <w:rsid w:val="00D1156D"/>
    <w:rsid w:val="00D15755"/>
    <w:rsid w:val="00D15B0F"/>
    <w:rsid w:val="00D25409"/>
    <w:rsid w:val="00D272BE"/>
    <w:rsid w:val="00D3404C"/>
    <w:rsid w:val="00D34209"/>
    <w:rsid w:val="00D3485C"/>
    <w:rsid w:val="00D42E92"/>
    <w:rsid w:val="00D44D81"/>
    <w:rsid w:val="00D45660"/>
    <w:rsid w:val="00D53B98"/>
    <w:rsid w:val="00D71A75"/>
    <w:rsid w:val="00D75768"/>
    <w:rsid w:val="00D75BAA"/>
    <w:rsid w:val="00D76B1E"/>
    <w:rsid w:val="00D77393"/>
    <w:rsid w:val="00D90332"/>
    <w:rsid w:val="00DA0868"/>
    <w:rsid w:val="00DA0F23"/>
    <w:rsid w:val="00DA3B14"/>
    <w:rsid w:val="00DA3D20"/>
    <w:rsid w:val="00DA786D"/>
    <w:rsid w:val="00DB0950"/>
    <w:rsid w:val="00DB15B5"/>
    <w:rsid w:val="00DB3139"/>
    <w:rsid w:val="00DB443A"/>
    <w:rsid w:val="00DC0464"/>
    <w:rsid w:val="00DC179E"/>
    <w:rsid w:val="00DC1C25"/>
    <w:rsid w:val="00DC25FF"/>
    <w:rsid w:val="00DC2A8C"/>
    <w:rsid w:val="00DC46BC"/>
    <w:rsid w:val="00DD133B"/>
    <w:rsid w:val="00DD6F8F"/>
    <w:rsid w:val="00DE0C6F"/>
    <w:rsid w:val="00DE2D6D"/>
    <w:rsid w:val="00DE442D"/>
    <w:rsid w:val="00DE49C9"/>
    <w:rsid w:val="00DE4B5E"/>
    <w:rsid w:val="00DF28F5"/>
    <w:rsid w:val="00DF328C"/>
    <w:rsid w:val="00DF460B"/>
    <w:rsid w:val="00DF7A90"/>
    <w:rsid w:val="00E00BA5"/>
    <w:rsid w:val="00E0280B"/>
    <w:rsid w:val="00E028D5"/>
    <w:rsid w:val="00E035E7"/>
    <w:rsid w:val="00E06BF0"/>
    <w:rsid w:val="00E14652"/>
    <w:rsid w:val="00E149F2"/>
    <w:rsid w:val="00E14C4C"/>
    <w:rsid w:val="00E152A0"/>
    <w:rsid w:val="00E162D9"/>
    <w:rsid w:val="00E17C31"/>
    <w:rsid w:val="00E21266"/>
    <w:rsid w:val="00E25443"/>
    <w:rsid w:val="00E25E09"/>
    <w:rsid w:val="00E26089"/>
    <w:rsid w:val="00E30201"/>
    <w:rsid w:val="00E329FF"/>
    <w:rsid w:val="00E32B5C"/>
    <w:rsid w:val="00E36230"/>
    <w:rsid w:val="00E37816"/>
    <w:rsid w:val="00E42875"/>
    <w:rsid w:val="00E44589"/>
    <w:rsid w:val="00E44867"/>
    <w:rsid w:val="00E4614D"/>
    <w:rsid w:val="00E5342E"/>
    <w:rsid w:val="00E62713"/>
    <w:rsid w:val="00E62B39"/>
    <w:rsid w:val="00E65789"/>
    <w:rsid w:val="00E6592F"/>
    <w:rsid w:val="00E700E5"/>
    <w:rsid w:val="00E73891"/>
    <w:rsid w:val="00E76D4F"/>
    <w:rsid w:val="00E76F7B"/>
    <w:rsid w:val="00E94B73"/>
    <w:rsid w:val="00E95EE8"/>
    <w:rsid w:val="00EA0085"/>
    <w:rsid w:val="00EA263C"/>
    <w:rsid w:val="00EA3310"/>
    <w:rsid w:val="00EB4052"/>
    <w:rsid w:val="00EB624E"/>
    <w:rsid w:val="00EC6882"/>
    <w:rsid w:val="00EE2DB9"/>
    <w:rsid w:val="00EE4189"/>
    <w:rsid w:val="00EE5917"/>
    <w:rsid w:val="00EE6509"/>
    <w:rsid w:val="00EF073F"/>
    <w:rsid w:val="00EF2C77"/>
    <w:rsid w:val="00EF5019"/>
    <w:rsid w:val="00EF6859"/>
    <w:rsid w:val="00F04093"/>
    <w:rsid w:val="00F103E6"/>
    <w:rsid w:val="00F154F6"/>
    <w:rsid w:val="00F15716"/>
    <w:rsid w:val="00F162DE"/>
    <w:rsid w:val="00F17515"/>
    <w:rsid w:val="00F20C4D"/>
    <w:rsid w:val="00F23D45"/>
    <w:rsid w:val="00F27A20"/>
    <w:rsid w:val="00F33DB0"/>
    <w:rsid w:val="00F33FDA"/>
    <w:rsid w:val="00F41966"/>
    <w:rsid w:val="00F45307"/>
    <w:rsid w:val="00F50EAE"/>
    <w:rsid w:val="00F55E0F"/>
    <w:rsid w:val="00F600E2"/>
    <w:rsid w:val="00F61968"/>
    <w:rsid w:val="00F624D3"/>
    <w:rsid w:val="00F625C0"/>
    <w:rsid w:val="00F6490A"/>
    <w:rsid w:val="00F70377"/>
    <w:rsid w:val="00F72752"/>
    <w:rsid w:val="00F83FD0"/>
    <w:rsid w:val="00F8790F"/>
    <w:rsid w:val="00F909C7"/>
    <w:rsid w:val="00F93C69"/>
    <w:rsid w:val="00F946AA"/>
    <w:rsid w:val="00F94E4C"/>
    <w:rsid w:val="00FA0749"/>
    <w:rsid w:val="00FA0E99"/>
    <w:rsid w:val="00FA6189"/>
    <w:rsid w:val="00FB2D91"/>
    <w:rsid w:val="00FB4317"/>
    <w:rsid w:val="00FB52C8"/>
    <w:rsid w:val="00FB6F84"/>
    <w:rsid w:val="00FC0557"/>
    <w:rsid w:val="00FC271A"/>
    <w:rsid w:val="00FC358F"/>
    <w:rsid w:val="00FC4FF8"/>
    <w:rsid w:val="00FC6878"/>
    <w:rsid w:val="00FD1441"/>
    <w:rsid w:val="00FE2347"/>
    <w:rsid w:val="00FE5BF8"/>
    <w:rsid w:val="00FE66C4"/>
    <w:rsid w:val="00FF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5BA0A6B-5FD8-48FE-9A3F-7BA194D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498"/>
    <w:pPr>
      <w:widowControl w:val="0"/>
      <w:jc w:val="both"/>
    </w:pPr>
    <w:rPr>
      <w:rFonts w:ascii="Times New Roman" w:hAnsi="Times New Roman"/>
      <w:kern w:val="2"/>
      <w:sz w:val="21"/>
      <w:szCs w:val="24"/>
    </w:rPr>
  </w:style>
  <w:style w:type="paragraph" w:styleId="1">
    <w:name w:val="heading 1"/>
    <w:aliases w:val="Heading 0,H1,PIM 1,Heading 11,level 1,Level 1 Head,h1,123321,Level 1 Topic Heading"/>
    <w:basedOn w:val="a"/>
    <w:next w:val="a"/>
    <w:link w:val="1Char"/>
    <w:qFormat/>
    <w:rsid w:val="007228CC"/>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7228CC"/>
    <w:pPr>
      <w:keepNext/>
      <w:keepLines/>
      <w:spacing w:beforeLines="100" w:afterLines="100"/>
      <w:ind w:firstLineChars="200" w:firstLine="200"/>
      <w:outlineLvl w:val="1"/>
    </w:pPr>
    <w:rPr>
      <w:rFonts w:ascii="Arial" w:hAnsi="Arial"/>
      <w:b/>
      <w:sz w:val="28"/>
      <w:szCs w:val="28"/>
    </w:rPr>
  </w:style>
  <w:style w:type="paragraph" w:styleId="3">
    <w:name w:val="heading 3"/>
    <w:aliases w:val="Heading 3 - old,H3,l3,CT,h3,3rd level,Level 3 Head,level_3,PIM 3,sect1.2.3,Bold Head,bh,3,heading 3,标题 4.1.1,Fab-3,sect1.2.31,sect1.2.32,sect1.2.311,sect1.2.33,sect1.2.312"/>
    <w:basedOn w:val="a"/>
    <w:next w:val="a"/>
    <w:link w:val="3Char"/>
    <w:qFormat/>
    <w:rsid w:val="007228CC"/>
    <w:pPr>
      <w:numPr>
        <w:ilvl w:val="2"/>
        <w:numId w:val="3"/>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7228CC"/>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228CC"/>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7228CC"/>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7228CC"/>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
    <w:next w:val="a"/>
    <w:link w:val="8Char"/>
    <w:qFormat/>
    <w:rsid w:val="007228CC"/>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7228CC"/>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eading 0 Char,H1 Char,PIM 1 Char,Heading 11 Char,level 1 Char,Level 1 Head Char,h1 Char,123321 Char,Level 1 Topic Heading Char"/>
    <w:basedOn w:val="a0"/>
    <w:link w:val="1"/>
    <w:rsid w:val="007228CC"/>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0"/>
    <w:link w:val="2"/>
    <w:rsid w:val="007228CC"/>
    <w:rPr>
      <w:rFonts w:ascii="Arial" w:eastAsia="宋体" w:hAnsi="Arial" w:cs="Times New Roman"/>
      <w:b/>
      <w:sz w:val="28"/>
      <w:szCs w:val="28"/>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basedOn w:val="a0"/>
    <w:link w:val="3"/>
    <w:rsid w:val="007228CC"/>
    <w:rPr>
      <w:rFonts w:ascii="仿宋_GB2312" w:eastAsia="仿宋_GB2312" w:hAnsi="Times New Roman" w:cs="Times New Roman"/>
      <w:sz w:val="24"/>
      <w:szCs w:val="20"/>
    </w:rPr>
  </w:style>
  <w:style w:type="character" w:customStyle="1" w:styleId="4Char">
    <w:name w:val="标题 4 Char"/>
    <w:basedOn w:val="a0"/>
    <w:link w:val="4"/>
    <w:rsid w:val="007228CC"/>
    <w:rPr>
      <w:rFonts w:ascii="Arial" w:eastAsia="黑体" w:hAnsi="Arial" w:cs="Times New Roman"/>
      <w:b/>
      <w:bCs/>
      <w:sz w:val="28"/>
      <w:szCs w:val="28"/>
    </w:rPr>
  </w:style>
  <w:style w:type="character" w:customStyle="1" w:styleId="5Char">
    <w:name w:val="标题 5 Char"/>
    <w:basedOn w:val="a0"/>
    <w:link w:val="5"/>
    <w:rsid w:val="007228CC"/>
    <w:rPr>
      <w:rFonts w:ascii="Times New Roman" w:eastAsia="宋体" w:hAnsi="Times New Roman" w:cs="Times New Roman"/>
      <w:b/>
      <w:bCs/>
      <w:sz w:val="28"/>
      <w:szCs w:val="28"/>
    </w:rPr>
  </w:style>
  <w:style w:type="character" w:customStyle="1" w:styleId="6Char">
    <w:name w:val="标题 6 Char"/>
    <w:basedOn w:val="a0"/>
    <w:link w:val="6"/>
    <w:rsid w:val="007228CC"/>
    <w:rPr>
      <w:rFonts w:ascii="Arial" w:eastAsia="黑体" w:hAnsi="Arial" w:cs="Times New Roman"/>
      <w:b/>
      <w:bCs/>
      <w:sz w:val="24"/>
      <w:szCs w:val="24"/>
    </w:rPr>
  </w:style>
  <w:style w:type="character" w:customStyle="1" w:styleId="7Char">
    <w:name w:val="标题 7 Char"/>
    <w:basedOn w:val="a0"/>
    <w:link w:val="7"/>
    <w:rsid w:val="007228CC"/>
    <w:rPr>
      <w:rFonts w:ascii="Times New Roman" w:eastAsia="宋体" w:hAnsi="Times New Roman" w:cs="Times New Roman"/>
      <w:b/>
      <w:bCs/>
      <w:sz w:val="24"/>
      <w:szCs w:val="24"/>
    </w:rPr>
  </w:style>
  <w:style w:type="character" w:customStyle="1" w:styleId="8Char">
    <w:name w:val="标题 8 Char"/>
    <w:basedOn w:val="a0"/>
    <w:link w:val="8"/>
    <w:rsid w:val="007228CC"/>
    <w:rPr>
      <w:rFonts w:ascii="Arial" w:eastAsia="黑体" w:hAnsi="Arial" w:cs="Times New Roman"/>
      <w:sz w:val="24"/>
      <w:szCs w:val="24"/>
    </w:rPr>
  </w:style>
  <w:style w:type="character" w:customStyle="1" w:styleId="9Char">
    <w:name w:val="标题 9 Char"/>
    <w:basedOn w:val="a0"/>
    <w:link w:val="9"/>
    <w:rsid w:val="007228CC"/>
    <w:rPr>
      <w:rFonts w:ascii="Arial" w:eastAsia="黑体" w:hAnsi="Arial" w:cs="Times New Roman"/>
      <w:sz w:val="24"/>
      <w:szCs w:val="21"/>
    </w:rPr>
  </w:style>
  <w:style w:type="paragraph" w:customStyle="1" w:styleId="CharCharCharChar">
    <w:name w:val="Char Char Char Char"/>
    <w:basedOn w:val="a"/>
    <w:autoRedefine/>
    <w:rsid w:val="007228CC"/>
    <w:pPr>
      <w:numPr>
        <w:numId w:val="1"/>
      </w:numPr>
      <w:tabs>
        <w:tab w:val="clear" w:pos="3243"/>
        <w:tab w:val="num" w:pos="360"/>
      </w:tabs>
      <w:ind w:left="0" w:firstLine="0"/>
    </w:pPr>
    <w:rPr>
      <w:sz w:val="24"/>
    </w:rPr>
  </w:style>
  <w:style w:type="paragraph" w:customStyle="1" w:styleId="CharCharCharCharCharCharChar">
    <w:name w:val="正文文字 Char Char Char Char Char Char Char"/>
    <w:basedOn w:val="a"/>
    <w:next w:val="30"/>
    <w:rsid w:val="007228CC"/>
    <w:pPr>
      <w:numPr>
        <w:ilvl w:val="1"/>
        <w:numId w:val="4"/>
      </w:numPr>
      <w:spacing w:after="120"/>
    </w:pPr>
    <w:rPr>
      <w:sz w:val="16"/>
      <w:szCs w:val="16"/>
    </w:rPr>
  </w:style>
  <w:style w:type="paragraph" w:styleId="30">
    <w:name w:val="Body Text 3"/>
    <w:basedOn w:val="a"/>
    <w:link w:val="3Char0"/>
    <w:rsid w:val="007228CC"/>
    <w:pPr>
      <w:spacing w:after="120"/>
    </w:pPr>
    <w:rPr>
      <w:sz w:val="16"/>
      <w:szCs w:val="16"/>
    </w:rPr>
  </w:style>
  <w:style w:type="character" w:customStyle="1" w:styleId="3Char0">
    <w:name w:val="正文文本 3 Char"/>
    <w:basedOn w:val="a0"/>
    <w:link w:val="30"/>
    <w:rsid w:val="007228CC"/>
    <w:rPr>
      <w:rFonts w:ascii="Times New Roman" w:eastAsia="宋体" w:hAnsi="Times New Roman" w:cs="Times New Roman"/>
      <w:sz w:val="16"/>
      <w:szCs w:val="16"/>
    </w:rPr>
  </w:style>
  <w:style w:type="paragraph" w:styleId="10">
    <w:name w:val="toc 1"/>
    <w:basedOn w:val="a"/>
    <w:next w:val="a"/>
    <w:autoRedefine/>
    <w:uiPriority w:val="39"/>
    <w:rsid w:val="007228CC"/>
    <w:pPr>
      <w:tabs>
        <w:tab w:val="left" w:pos="840"/>
        <w:tab w:val="right" w:leader="dot" w:pos="8296"/>
      </w:tabs>
      <w:jc w:val="left"/>
    </w:pPr>
    <w:rPr>
      <w:rFonts w:ascii="宋体" w:hAnsi="宋体"/>
      <w:caps/>
      <w:noProof/>
      <w:sz w:val="24"/>
      <w:szCs w:val="28"/>
    </w:rPr>
  </w:style>
  <w:style w:type="paragraph" w:styleId="20">
    <w:name w:val="toc 2"/>
    <w:basedOn w:val="a"/>
    <w:next w:val="a"/>
    <w:autoRedefine/>
    <w:uiPriority w:val="39"/>
    <w:rsid w:val="007228CC"/>
    <w:pPr>
      <w:tabs>
        <w:tab w:val="left" w:pos="2100"/>
        <w:tab w:val="right" w:leader="dot" w:pos="8268"/>
      </w:tabs>
      <w:ind w:leftChars="152" w:left="319" w:firstLineChars="348" w:firstLine="734"/>
      <w:jc w:val="left"/>
    </w:pPr>
    <w:rPr>
      <w:rFonts w:ascii="宋体" w:hAnsi="宋体"/>
      <w:smallCaps/>
      <w:noProof/>
      <w:szCs w:val="20"/>
    </w:rPr>
  </w:style>
  <w:style w:type="paragraph" w:customStyle="1" w:styleId="111">
    <w:name w:val="样式 标题 1 + 段前: 1 行 段后: 1 行"/>
    <w:basedOn w:val="1"/>
    <w:rsid w:val="007228CC"/>
    <w:pPr>
      <w:pageBreakBefore/>
    </w:pPr>
    <w:rPr>
      <w:szCs w:val="20"/>
    </w:rPr>
  </w:style>
  <w:style w:type="paragraph" w:customStyle="1" w:styleId="21">
    <w:name w:val="样式 首行缩进:  2 字符"/>
    <w:basedOn w:val="a"/>
    <w:rsid w:val="007228CC"/>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7228CC"/>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0"/>
    <w:link w:val="a3"/>
    <w:uiPriority w:val="99"/>
    <w:rsid w:val="007228CC"/>
    <w:rPr>
      <w:rFonts w:ascii="Times New Roman" w:eastAsia="仿宋_GB2312" w:hAnsi="Times New Roman" w:cs="Times New Roman"/>
      <w:sz w:val="18"/>
      <w:szCs w:val="20"/>
    </w:rPr>
  </w:style>
  <w:style w:type="character" w:styleId="a4">
    <w:name w:val="page number"/>
    <w:basedOn w:val="a0"/>
    <w:rsid w:val="007228CC"/>
  </w:style>
  <w:style w:type="paragraph" w:styleId="a5">
    <w:name w:val="footer"/>
    <w:basedOn w:val="a"/>
    <w:link w:val="Char0"/>
    <w:uiPriority w:val="99"/>
    <w:rsid w:val="007228CC"/>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0"/>
    <w:link w:val="a5"/>
    <w:uiPriority w:val="99"/>
    <w:rsid w:val="007228CC"/>
    <w:rPr>
      <w:rFonts w:ascii="Times New Roman" w:eastAsia="仿宋_GB2312" w:hAnsi="Times New Roman" w:cs="Times New Roman"/>
      <w:sz w:val="18"/>
      <w:szCs w:val="20"/>
    </w:rPr>
  </w:style>
  <w:style w:type="paragraph" w:styleId="a6">
    <w:name w:val="Title"/>
    <w:basedOn w:val="a"/>
    <w:link w:val="Char1"/>
    <w:qFormat/>
    <w:rsid w:val="007228CC"/>
    <w:pPr>
      <w:spacing w:before="240" w:after="60"/>
      <w:jc w:val="center"/>
      <w:outlineLvl w:val="0"/>
    </w:pPr>
    <w:rPr>
      <w:rFonts w:ascii="Arial" w:hAnsi="Arial" w:cs="Arial"/>
      <w:b/>
      <w:bCs/>
      <w:sz w:val="32"/>
      <w:szCs w:val="32"/>
    </w:rPr>
  </w:style>
  <w:style w:type="character" w:customStyle="1" w:styleId="Char1">
    <w:name w:val="标题 Char"/>
    <w:basedOn w:val="a0"/>
    <w:link w:val="a6"/>
    <w:rsid w:val="007228CC"/>
    <w:rPr>
      <w:rFonts w:ascii="Arial" w:eastAsia="宋体" w:hAnsi="Arial" w:cs="Arial"/>
      <w:b/>
      <w:bCs/>
      <w:sz w:val="32"/>
      <w:szCs w:val="32"/>
    </w:rPr>
  </w:style>
  <w:style w:type="character" w:customStyle="1" w:styleId="Char2">
    <w:name w:val="结束语 Char"/>
    <w:basedOn w:val="a0"/>
    <w:link w:val="a7"/>
    <w:rsid w:val="007228CC"/>
    <w:rPr>
      <w:rFonts w:ascii="Times New Roman" w:eastAsia="宋体" w:hAnsi="Times New Roman" w:cs="Times New Roman"/>
      <w:szCs w:val="24"/>
    </w:rPr>
  </w:style>
  <w:style w:type="paragraph" w:styleId="a7">
    <w:name w:val="Closing"/>
    <w:basedOn w:val="a"/>
    <w:link w:val="Char2"/>
    <w:rsid w:val="007228CC"/>
    <w:pPr>
      <w:ind w:leftChars="2100" w:left="100"/>
    </w:pPr>
  </w:style>
  <w:style w:type="paragraph" w:styleId="a8">
    <w:name w:val="table of figures"/>
    <w:basedOn w:val="a"/>
    <w:next w:val="a"/>
    <w:semiHidden/>
    <w:rsid w:val="007228CC"/>
    <w:pPr>
      <w:ind w:leftChars="200" w:left="840" w:hangingChars="200" w:hanging="420"/>
    </w:pPr>
  </w:style>
  <w:style w:type="paragraph" w:styleId="a9">
    <w:name w:val="Body Text"/>
    <w:basedOn w:val="a"/>
    <w:link w:val="Char3"/>
    <w:rsid w:val="007228CC"/>
    <w:pPr>
      <w:spacing w:after="120"/>
    </w:pPr>
  </w:style>
  <w:style w:type="character" w:customStyle="1" w:styleId="Char3">
    <w:name w:val="正文文本 Char"/>
    <w:basedOn w:val="a0"/>
    <w:link w:val="a9"/>
    <w:rsid w:val="007228CC"/>
    <w:rPr>
      <w:rFonts w:ascii="Times New Roman" w:eastAsia="宋体" w:hAnsi="Times New Roman" w:cs="Times New Roman"/>
      <w:szCs w:val="24"/>
    </w:rPr>
  </w:style>
  <w:style w:type="paragraph" w:styleId="aa">
    <w:name w:val="Body Text First Indent"/>
    <w:basedOn w:val="a9"/>
    <w:link w:val="Char4"/>
    <w:rsid w:val="007228CC"/>
    <w:pPr>
      <w:ind w:firstLineChars="100" w:firstLine="420"/>
    </w:pPr>
  </w:style>
  <w:style w:type="character" w:customStyle="1" w:styleId="Char4">
    <w:name w:val="正文首行缩进 Char"/>
    <w:basedOn w:val="Char3"/>
    <w:link w:val="aa"/>
    <w:rsid w:val="007228CC"/>
    <w:rPr>
      <w:rFonts w:ascii="Times New Roman" w:eastAsia="宋体" w:hAnsi="Times New Roman" w:cs="Times New Roman"/>
      <w:szCs w:val="24"/>
    </w:rPr>
  </w:style>
  <w:style w:type="character" w:customStyle="1" w:styleId="Char5">
    <w:name w:val="正文文本缩进 Char"/>
    <w:basedOn w:val="a0"/>
    <w:link w:val="ab"/>
    <w:rsid w:val="007228CC"/>
    <w:rPr>
      <w:rFonts w:ascii="Times New Roman" w:eastAsia="宋体" w:hAnsi="Times New Roman" w:cs="Times New Roman"/>
      <w:szCs w:val="24"/>
    </w:rPr>
  </w:style>
  <w:style w:type="paragraph" w:styleId="ab">
    <w:name w:val="Body Text Indent"/>
    <w:basedOn w:val="a"/>
    <w:link w:val="Char5"/>
    <w:rsid w:val="007228CC"/>
    <w:pPr>
      <w:spacing w:after="120"/>
      <w:ind w:left="420"/>
    </w:pPr>
  </w:style>
  <w:style w:type="character" w:customStyle="1" w:styleId="Char10">
    <w:name w:val="正文文本缩进 Char1"/>
    <w:basedOn w:val="a0"/>
    <w:uiPriority w:val="99"/>
    <w:semiHidden/>
    <w:rsid w:val="007228CC"/>
    <w:rPr>
      <w:rFonts w:ascii="Times New Roman" w:eastAsia="宋体" w:hAnsi="Times New Roman" w:cs="Times New Roman"/>
      <w:szCs w:val="24"/>
    </w:rPr>
  </w:style>
  <w:style w:type="character" w:customStyle="1" w:styleId="Char6">
    <w:name w:val="注释标题 Char"/>
    <w:basedOn w:val="a0"/>
    <w:link w:val="ac"/>
    <w:rsid w:val="007228CC"/>
    <w:rPr>
      <w:rFonts w:ascii="Times New Roman" w:eastAsia="宋体" w:hAnsi="Times New Roman" w:cs="Times New Roman"/>
      <w:szCs w:val="24"/>
    </w:rPr>
  </w:style>
  <w:style w:type="paragraph" w:styleId="ac">
    <w:name w:val="Note Heading"/>
    <w:basedOn w:val="a"/>
    <w:next w:val="a"/>
    <w:link w:val="Char6"/>
    <w:rsid w:val="007228CC"/>
    <w:pPr>
      <w:jc w:val="center"/>
    </w:pPr>
  </w:style>
  <w:style w:type="character" w:customStyle="1" w:styleId="Char11">
    <w:name w:val="注释标题 Char1"/>
    <w:basedOn w:val="a0"/>
    <w:uiPriority w:val="99"/>
    <w:semiHidden/>
    <w:rsid w:val="007228CC"/>
    <w:rPr>
      <w:rFonts w:ascii="Times New Roman" w:eastAsia="宋体" w:hAnsi="Times New Roman" w:cs="Times New Roman"/>
      <w:szCs w:val="24"/>
    </w:rPr>
  </w:style>
  <w:style w:type="character" w:customStyle="1" w:styleId="da">
    <w:name w:val="da"/>
    <w:basedOn w:val="a0"/>
    <w:rsid w:val="007228CC"/>
  </w:style>
  <w:style w:type="paragraph" w:customStyle="1" w:styleId="ad">
    <w:name w:val="特点"/>
    <w:aliases w:val="表正文,正文非缩进,段1"/>
    <w:basedOn w:val="a"/>
    <w:next w:val="ae"/>
    <w:rsid w:val="007228CC"/>
    <w:pPr>
      <w:ind w:firstLine="420"/>
    </w:pPr>
    <w:rPr>
      <w:szCs w:val="20"/>
    </w:rPr>
  </w:style>
  <w:style w:type="paragraph" w:styleId="ae">
    <w:name w:val="Normal Indent"/>
    <w:basedOn w:val="a"/>
    <w:rsid w:val="007228CC"/>
    <w:pPr>
      <w:ind w:firstLine="420"/>
    </w:pPr>
  </w:style>
  <w:style w:type="paragraph" w:styleId="31">
    <w:name w:val="Body Text Indent 3"/>
    <w:basedOn w:val="a"/>
    <w:link w:val="3Char1"/>
    <w:rsid w:val="007228CC"/>
    <w:pPr>
      <w:spacing w:after="120"/>
      <w:ind w:left="420"/>
    </w:pPr>
    <w:rPr>
      <w:sz w:val="16"/>
      <w:szCs w:val="16"/>
    </w:rPr>
  </w:style>
  <w:style w:type="character" w:customStyle="1" w:styleId="3Char1">
    <w:name w:val="正文文本缩进 3 Char"/>
    <w:basedOn w:val="a0"/>
    <w:link w:val="31"/>
    <w:rsid w:val="007228CC"/>
    <w:rPr>
      <w:rFonts w:ascii="Times New Roman" w:eastAsia="宋体" w:hAnsi="Times New Roman" w:cs="Times New Roman"/>
      <w:sz w:val="16"/>
      <w:szCs w:val="16"/>
    </w:rPr>
  </w:style>
  <w:style w:type="paragraph" w:styleId="af">
    <w:name w:val="Plain Text"/>
    <w:basedOn w:val="a"/>
    <w:link w:val="Char7"/>
    <w:rsid w:val="007228CC"/>
    <w:rPr>
      <w:rFonts w:ascii="宋体" w:hAnsi="Courier New" w:cs="Courier New"/>
      <w:szCs w:val="21"/>
    </w:rPr>
  </w:style>
  <w:style w:type="character" w:customStyle="1" w:styleId="Char7">
    <w:name w:val="纯文本 Char"/>
    <w:basedOn w:val="a0"/>
    <w:link w:val="af"/>
    <w:rsid w:val="007228CC"/>
    <w:rPr>
      <w:rFonts w:ascii="宋体" w:eastAsia="宋体" w:hAnsi="Courier New" w:cs="Courier New"/>
      <w:szCs w:val="21"/>
    </w:rPr>
  </w:style>
  <w:style w:type="character" w:styleId="af0">
    <w:name w:val="Hyperlink"/>
    <w:basedOn w:val="a0"/>
    <w:uiPriority w:val="99"/>
    <w:rsid w:val="007228CC"/>
    <w:rPr>
      <w:color w:val="0000FF"/>
      <w:u w:val="single"/>
    </w:rPr>
  </w:style>
  <w:style w:type="paragraph" w:styleId="22">
    <w:name w:val="Body Text Indent 2"/>
    <w:basedOn w:val="a"/>
    <w:link w:val="2Char0"/>
    <w:rsid w:val="007228CC"/>
    <w:pPr>
      <w:spacing w:after="120" w:line="480" w:lineRule="auto"/>
      <w:ind w:left="420"/>
    </w:pPr>
  </w:style>
  <w:style w:type="character" w:customStyle="1" w:styleId="2Char0">
    <w:name w:val="正文文本缩进 2 Char"/>
    <w:basedOn w:val="a0"/>
    <w:link w:val="22"/>
    <w:rsid w:val="007228CC"/>
    <w:rPr>
      <w:rFonts w:ascii="Times New Roman" w:eastAsia="宋体" w:hAnsi="Times New Roman" w:cs="Times New Roman"/>
      <w:szCs w:val="24"/>
    </w:rPr>
  </w:style>
  <w:style w:type="character" w:customStyle="1" w:styleId="2Char1">
    <w:name w:val="正文文本 2 Char"/>
    <w:basedOn w:val="a0"/>
    <w:link w:val="23"/>
    <w:rsid w:val="007228CC"/>
    <w:rPr>
      <w:rFonts w:ascii="Times New Roman" w:eastAsia="宋体" w:hAnsi="Times New Roman" w:cs="Times New Roman"/>
      <w:szCs w:val="24"/>
    </w:rPr>
  </w:style>
  <w:style w:type="paragraph" w:styleId="23">
    <w:name w:val="Body Text 2"/>
    <w:basedOn w:val="a"/>
    <w:link w:val="2Char1"/>
    <w:rsid w:val="007228CC"/>
    <w:pPr>
      <w:spacing w:after="120" w:line="480" w:lineRule="auto"/>
    </w:pPr>
  </w:style>
  <w:style w:type="character" w:customStyle="1" w:styleId="2Char10">
    <w:name w:val="正文文本 2 Char1"/>
    <w:basedOn w:val="a0"/>
    <w:uiPriority w:val="99"/>
    <w:semiHidden/>
    <w:rsid w:val="007228CC"/>
    <w:rPr>
      <w:rFonts w:ascii="Times New Roman" w:eastAsia="宋体" w:hAnsi="Times New Roman" w:cs="Times New Roman"/>
      <w:szCs w:val="24"/>
    </w:rPr>
  </w:style>
  <w:style w:type="character" w:customStyle="1" w:styleId="HTMLChar">
    <w:name w:val="HTML 预设格式 Char"/>
    <w:basedOn w:val="a0"/>
    <w:link w:val="HTML"/>
    <w:rsid w:val="007228CC"/>
    <w:rPr>
      <w:rFonts w:ascii="Courier New" w:eastAsia="宋体" w:hAnsi="Courier New" w:cs="Courier New"/>
      <w:sz w:val="20"/>
      <w:szCs w:val="20"/>
    </w:rPr>
  </w:style>
  <w:style w:type="paragraph" w:styleId="HTML">
    <w:name w:val="HTML Preformatted"/>
    <w:basedOn w:val="a"/>
    <w:link w:val="HTMLChar"/>
    <w:rsid w:val="007228CC"/>
    <w:rPr>
      <w:rFonts w:ascii="Courier New" w:hAnsi="Courier New" w:cs="Courier New"/>
      <w:sz w:val="20"/>
      <w:szCs w:val="20"/>
    </w:rPr>
  </w:style>
  <w:style w:type="paragraph" w:styleId="af1">
    <w:name w:val="Normal (Web)"/>
    <w:basedOn w:val="a"/>
    <w:rsid w:val="007228CC"/>
    <w:rPr>
      <w:sz w:val="24"/>
    </w:rPr>
  </w:style>
  <w:style w:type="paragraph" w:styleId="af2">
    <w:name w:val="Subtitle"/>
    <w:basedOn w:val="a"/>
    <w:link w:val="Char8"/>
    <w:qFormat/>
    <w:rsid w:val="007228CC"/>
    <w:pPr>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a0"/>
    <w:link w:val="af2"/>
    <w:rsid w:val="007228CC"/>
    <w:rPr>
      <w:rFonts w:ascii="Arial" w:eastAsia="宋体" w:hAnsi="Arial" w:cs="Arial"/>
      <w:b/>
      <w:bCs/>
      <w:kern w:val="28"/>
      <w:sz w:val="32"/>
      <w:szCs w:val="32"/>
    </w:rPr>
  </w:style>
  <w:style w:type="character" w:styleId="af3">
    <w:name w:val="Strong"/>
    <w:basedOn w:val="a0"/>
    <w:qFormat/>
    <w:rsid w:val="007228CC"/>
    <w:rPr>
      <w:b/>
      <w:bCs/>
    </w:rPr>
  </w:style>
  <w:style w:type="character" w:customStyle="1" w:styleId="Char9">
    <w:name w:val="文档结构图 Char"/>
    <w:basedOn w:val="a0"/>
    <w:link w:val="af4"/>
    <w:semiHidden/>
    <w:rsid w:val="007228CC"/>
    <w:rPr>
      <w:rFonts w:ascii="Times New Roman" w:eastAsia="宋体" w:hAnsi="Times New Roman" w:cs="Times New Roman"/>
      <w:szCs w:val="24"/>
      <w:shd w:val="clear" w:color="auto" w:fill="000080"/>
    </w:rPr>
  </w:style>
  <w:style w:type="paragraph" w:styleId="af4">
    <w:name w:val="Document Map"/>
    <w:basedOn w:val="a"/>
    <w:link w:val="Char9"/>
    <w:semiHidden/>
    <w:rsid w:val="007228CC"/>
    <w:pPr>
      <w:shd w:val="clear" w:color="auto" w:fill="000080"/>
    </w:pPr>
  </w:style>
  <w:style w:type="character" w:customStyle="1" w:styleId="Char12">
    <w:name w:val="文档结构图 Char1"/>
    <w:basedOn w:val="a0"/>
    <w:uiPriority w:val="99"/>
    <w:semiHidden/>
    <w:rsid w:val="007228CC"/>
    <w:rPr>
      <w:rFonts w:ascii="宋体" w:eastAsia="宋体" w:hAnsi="Times New Roman" w:cs="Times New Roman"/>
      <w:sz w:val="18"/>
      <w:szCs w:val="18"/>
    </w:rPr>
  </w:style>
  <w:style w:type="character" w:customStyle="1" w:styleId="Chara">
    <w:name w:val="批注框文本 Char"/>
    <w:basedOn w:val="a0"/>
    <w:link w:val="af5"/>
    <w:semiHidden/>
    <w:rsid w:val="007228CC"/>
    <w:rPr>
      <w:rFonts w:ascii="Times New Roman" w:eastAsia="宋体" w:hAnsi="Times New Roman" w:cs="Times New Roman"/>
      <w:sz w:val="18"/>
      <w:szCs w:val="18"/>
    </w:rPr>
  </w:style>
  <w:style w:type="paragraph" w:styleId="af5">
    <w:name w:val="Balloon Text"/>
    <w:basedOn w:val="a"/>
    <w:link w:val="Chara"/>
    <w:semiHidden/>
    <w:rsid w:val="007228CC"/>
    <w:rPr>
      <w:sz w:val="18"/>
      <w:szCs w:val="18"/>
    </w:rPr>
  </w:style>
  <w:style w:type="character" w:customStyle="1" w:styleId="Char13">
    <w:name w:val="批注框文本 Char1"/>
    <w:basedOn w:val="a0"/>
    <w:uiPriority w:val="99"/>
    <w:semiHidden/>
    <w:rsid w:val="007228CC"/>
    <w:rPr>
      <w:rFonts w:ascii="Times New Roman" w:eastAsia="宋体" w:hAnsi="Times New Roman" w:cs="Times New Roman"/>
      <w:sz w:val="18"/>
      <w:szCs w:val="18"/>
    </w:rPr>
  </w:style>
  <w:style w:type="character" w:customStyle="1" w:styleId="read">
    <w:name w:val="read"/>
    <w:basedOn w:val="a0"/>
    <w:rsid w:val="007228CC"/>
  </w:style>
  <w:style w:type="character" w:customStyle="1" w:styleId="Charb">
    <w:name w:val="批注文字 Char"/>
    <w:basedOn w:val="a0"/>
    <w:link w:val="af6"/>
    <w:semiHidden/>
    <w:rsid w:val="007228CC"/>
    <w:rPr>
      <w:rFonts w:ascii="Times New Roman" w:eastAsia="宋体" w:hAnsi="Times New Roman" w:cs="Times New Roman"/>
      <w:szCs w:val="24"/>
    </w:rPr>
  </w:style>
  <w:style w:type="paragraph" w:styleId="af6">
    <w:name w:val="annotation text"/>
    <w:basedOn w:val="a"/>
    <w:link w:val="Charb"/>
    <w:semiHidden/>
    <w:unhideWhenUsed/>
    <w:rsid w:val="007228CC"/>
    <w:pPr>
      <w:jc w:val="left"/>
    </w:pPr>
  </w:style>
  <w:style w:type="character" w:customStyle="1" w:styleId="Charc">
    <w:name w:val="批注主题 Char"/>
    <w:basedOn w:val="Charb"/>
    <w:link w:val="af7"/>
    <w:semiHidden/>
    <w:rsid w:val="007228CC"/>
    <w:rPr>
      <w:rFonts w:ascii="Times New Roman" w:eastAsia="宋体" w:hAnsi="Times New Roman" w:cs="Times New Roman"/>
      <w:b/>
      <w:bCs/>
      <w:szCs w:val="24"/>
    </w:rPr>
  </w:style>
  <w:style w:type="paragraph" w:styleId="af7">
    <w:name w:val="annotation subject"/>
    <w:basedOn w:val="af6"/>
    <w:next w:val="af6"/>
    <w:link w:val="Charc"/>
    <w:semiHidden/>
    <w:rsid w:val="007228CC"/>
    <w:rPr>
      <w:b/>
      <w:bCs/>
    </w:rPr>
  </w:style>
  <w:style w:type="character" w:customStyle="1" w:styleId="Char14">
    <w:name w:val="批注主题 Char1"/>
    <w:basedOn w:val="Charb"/>
    <w:uiPriority w:val="99"/>
    <w:semiHidden/>
    <w:rsid w:val="007228CC"/>
    <w:rPr>
      <w:rFonts w:ascii="Times New Roman" w:eastAsia="宋体" w:hAnsi="Times New Roman" w:cs="Times New Roman"/>
      <w:b/>
      <w:bCs/>
      <w:szCs w:val="24"/>
    </w:rPr>
  </w:style>
  <w:style w:type="paragraph" w:customStyle="1" w:styleId="Default">
    <w:name w:val="Default"/>
    <w:rsid w:val="007228CC"/>
    <w:pPr>
      <w:widowControl w:val="0"/>
      <w:autoSpaceDE w:val="0"/>
      <w:autoSpaceDN w:val="0"/>
      <w:adjustRightInd w:val="0"/>
    </w:pPr>
    <w:rPr>
      <w:rFonts w:ascii="宋体" w:hAnsi="Times New Roman" w:cs="宋体"/>
      <w:color w:val="000000"/>
      <w:sz w:val="24"/>
      <w:szCs w:val="24"/>
    </w:rPr>
  </w:style>
  <w:style w:type="character" w:customStyle="1" w:styleId="Chard">
    <w:name w:val="称呼 Char"/>
    <w:basedOn w:val="a0"/>
    <w:link w:val="af8"/>
    <w:rsid w:val="007228CC"/>
    <w:rPr>
      <w:rFonts w:ascii="Times New Roman" w:eastAsia="宋体" w:hAnsi="Times New Roman" w:cs="Times New Roman"/>
      <w:szCs w:val="24"/>
    </w:rPr>
  </w:style>
  <w:style w:type="paragraph" w:styleId="af8">
    <w:name w:val="Salutation"/>
    <w:basedOn w:val="a"/>
    <w:next w:val="a"/>
    <w:link w:val="Chard"/>
    <w:rsid w:val="007228CC"/>
  </w:style>
  <w:style w:type="character" w:customStyle="1" w:styleId="Char15">
    <w:name w:val="称呼 Char1"/>
    <w:basedOn w:val="a0"/>
    <w:uiPriority w:val="99"/>
    <w:semiHidden/>
    <w:rsid w:val="007228CC"/>
    <w:rPr>
      <w:rFonts w:ascii="Times New Roman" w:eastAsia="宋体" w:hAnsi="Times New Roman" w:cs="Times New Roman"/>
      <w:szCs w:val="24"/>
    </w:rPr>
  </w:style>
  <w:style w:type="paragraph" w:styleId="60">
    <w:name w:val="toc 6"/>
    <w:basedOn w:val="a"/>
    <w:next w:val="a"/>
    <w:autoRedefine/>
    <w:uiPriority w:val="39"/>
    <w:rsid w:val="007228CC"/>
    <w:pPr>
      <w:numPr>
        <w:numId w:val="18"/>
      </w:numPr>
      <w:tabs>
        <w:tab w:val="clear" w:pos="720"/>
      </w:tabs>
      <w:ind w:leftChars="1000" w:left="2100" w:firstLine="0"/>
    </w:pPr>
  </w:style>
  <w:style w:type="character" w:customStyle="1" w:styleId="unnamed11">
    <w:name w:val="unnamed11"/>
    <w:basedOn w:val="a0"/>
    <w:rsid w:val="007228CC"/>
    <w:rPr>
      <w:rFonts w:ascii="宋体" w:eastAsia="宋体" w:hAnsi="宋体" w:hint="eastAsia"/>
      <w:sz w:val="18"/>
      <w:szCs w:val="18"/>
    </w:rPr>
  </w:style>
  <w:style w:type="character" w:customStyle="1" w:styleId="Chare">
    <w:name w:val="日期 Char"/>
    <w:basedOn w:val="a0"/>
    <w:link w:val="af9"/>
    <w:rsid w:val="007228CC"/>
    <w:rPr>
      <w:rFonts w:ascii="Times New Roman" w:eastAsia="宋体" w:hAnsi="Times New Roman" w:cs="Times New Roman"/>
      <w:szCs w:val="24"/>
    </w:rPr>
  </w:style>
  <w:style w:type="paragraph" w:styleId="af9">
    <w:name w:val="Date"/>
    <w:basedOn w:val="a"/>
    <w:next w:val="a"/>
    <w:link w:val="Chare"/>
    <w:rsid w:val="007228CC"/>
    <w:pPr>
      <w:ind w:leftChars="2500" w:left="100"/>
    </w:pPr>
  </w:style>
  <w:style w:type="character" w:customStyle="1" w:styleId="Char16">
    <w:name w:val="日期 Char1"/>
    <w:basedOn w:val="a0"/>
    <w:uiPriority w:val="99"/>
    <w:semiHidden/>
    <w:rsid w:val="007228CC"/>
    <w:rPr>
      <w:rFonts w:ascii="Times New Roman" w:eastAsia="宋体" w:hAnsi="Times New Roman" w:cs="Times New Roman"/>
      <w:szCs w:val="24"/>
    </w:rPr>
  </w:style>
  <w:style w:type="character" w:customStyle="1" w:styleId="2Char2">
    <w:name w:val="正文首行缩进 2 Char"/>
    <w:basedOn w:val="Char5"/>
    <w:link w:val="24"/>
    <w:rsid w:val="007228CC"/>
    <w:rPr>
      <w:rFonts w:ascii="Times New Roman" w:eastAsia="宋体" w:hAnsi="Times New Roman" w:cs="Times New Roman"/>
      <w:sz w:val="24"/>
      <w:szCs w:val="24"/>
    </w:rPr>
  </w:style>
  <w:style w:type="paragraph" w:styleId="24">
    <w:name w:val="Body Text First Indent 2"/>
    <w:basedOn w:val="a"/>
    <w:link w:val="2Char2"/>
    <w:rsid w:val="007228CC"/>
    <w:pPr>
      <w:ind w:firstLineChars="200" w:firstLine="200"/>
    </w:pPr>
    <w:rPr>
      <w:sz w:val="24"/>
    </w:rPr>
  </w:style>
  <w:style w:type="character" w:customStyle="1" w:styleId="2Char11">
    <w:name w:val="正文首行缩进 2 Char1"/>
    <w:basedOn w:val="Char10"/>
    <w:uiPriority w:val="99"/>
    <w:semiHidden/>
    <w:rsid w:val="007228CC"/>
    <w:rPr>
      <w:rFonts w:ascii="Times New Roman" w:eastAsia="宋体" w:hAnsi="Times New Roman" w:cs="Times New Roman"/>
      <w:szCs w:val="24"/>
    </w:rPr>
  </w:style>
  <w:style w:type="character" w:customStyle="1" w:styleId="afont1">
    <w:name w:val="afont1"/>
    <w:basedOn w:val="a0"/>
    <w:rsid w:val="007228CC"/>
    <w:rPr>
      <w:rFonts w:ascii="Arial Narrow" w:hAnsi="Arial Narrow" w:hint="default"/>
      <w:sz w:val="21"/>
      <w:szCs w:val="21"/>
    </w:rPr>
  </w:style>
  <w:style w:type="paragraph" w:customStyle="1" w:styleId="11">
    <w:name w:val="1"/>
    <w:basedOn w:val="a"/>
    <w:rsid w:val="007228CC"/>
    <w:pPr>
      <w:spacing w:before="100" w:beforeAutospacing="1" w:after="100" w:afterAutospacing="1" w:line="360" w:lineRule="auto"/>
      <w:ind w:leftChars="200" w:left="420"/>
    </w:pPr>
  </w:style>
  <w:style w:type="paragraph" w:customStyle="1" w:styleId="msonormalcxspmiddle">
    <w:name w:val="msonormalcxspmiddle"/>
    <w:basedOn w:val="a"/>
    <w:rsid w:val="00F93C69"/>
    <w:pPr>
      <w:widowControl/>
      <w:spacing w:before="100" w:beforeAutospacing="1" w:after="100" w:afterAutospacing="1"/>
      <w:jc w:val="left"/>
    </w:pPr>
    <w:rPr>
      <w:rFonts w:ascii="宋体" w:hAnsi="宋体" w:cs="宋体"/>
      <w:kern w:val="0"/>
      <w:sz w:val="24"/>
    </w:rPr>
  </w:style>
  <w:style w:type="character" w:customStyle="1" w:styleId="CharChar11">
    <w:name w:val="Char Char11"/>
    <w:basedOn w:val="a0"/>
    <w:locked/>
    <w:rsid w:val="0058036C"/>
    <w:rPr>
      <w:rFonts w:ascii="宋体" w:eastAsia="宋体" w:hAnsi="Courier New" w:cs="Courier New"/>
      <w:kern w:val="2"/>
      <w:sz w:val="21"/>
      <w:szCs w:val="21"/>
      <w:lang w:val="en-US" w:eastAsia="zh-CN" w:bidi="ar-SA"/>
    </w:rPr>
  </w:style>
  <w:style w:type="table" w:styleId="afa">
    <w:name w:val="Table Grid"/>
    <w:basedOn w:val="a1"/>
    <w:uiPriority w:val="59"/>
    <w:rsid w:val="008A7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7">
    <w:name w:val="纯文本 Char1"/>
    <w:basedOn w:val="a0"/>
    <w:semiHidden/>
    <w:locked/>
    <w:rsid w:val="0000708C"/>
    <w:rPr>
      <w:rFonts w:ascii="宋体" w:hAnsi="Courier New" w:cs="Courier New"/>
      <w:kern w:val="2"/>
      <w:sz w:val="21"/>
      <w:szCs w:val="21"/>
    </w:rPr>
  </w:style>
  <w:style w:type="paragraph" w:styleId="afb">
    <w:name w:val="List Paragraph"/>
    <w:basedOn w:val="a"/>
    <w:uiPriority w:val="34"/>
    <w:qFormat/>
    <w:rsid w:val="004F772B"/>
    <w:pPr>
      <w:ind w:firstLineChars="200" w:firstLine="420"/>
    </w:pPr>
  </w:style>
  <w:style w:type="paragraph" w:styleId="32">
    <w:name w:val="toc 3"/>
    <w:basedOn w:val="a"/>
    <w:next w:val="a"/>
    <w:autoRedefine/>
    <w:uiPriority w:val="39"/>
    <w:unhideWhenUsed/>
    <w:rsid w:val="00BB4FEC"/>
    <w:pPr>
      <w:ind w:leftChars="400" w:left="840"/>
    </w:pPr>
    <w:rPr>
      <w:rFonts w:asciiTheme="minorHAnsi" w:eastAsiaTheme="minorEastAsia" w:hAnsiTheme="minorHAnsi" w:cstheme="minorBidi"/>
      <w:szCs w:val="22"/>
    </w:rPr>
  </w:style>
  <w:style w:type="paragraph" w:styleId="40">
    <w:name w:val="toc 4"/>
    <w:basedOn w:val="a"/>
    <w:next w:val="a"/>
    <w:autoRedefine/>
    <w:uiPriority w:val="39"/>
    <w:unhideWhenUsed/>
    <w:rsid w:val="00BB4FE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B4FEC"/>
    <w:pPr>
      <w:ind w:leftChars="800" w:left="1680"/>
    </w:pPr>
    <w:rPr>
      <w:rFonts w:asciiTheme="minorHAnsi" w:eastAsiaTheme="minorEastAsia" w:hAnsiTheme="minorHAnsi" w:cstheme="minorBidi"/>
      <w:szCs w:val="22"/>
    </w:rPr>
  </w:style>
  <w:style w:type="paragraph" w:styleId="70">
    <w:name w:val="toc 7"/>
    <w:basedOn w:val="a"/>
    <w:next w:val="a"/>
    <w:autoRedefine/>
    <w:uiPriority w:val="39"/>
    <w:unhideWhenUsed/>
    <w:rsid w:val="00BB4FEC"/>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BB4FEC"/>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BB4FEC"/>
    <w:pPr>
      <w:ind w:leftChars="1600" w:left="3360"/>
    </w:pPr>
    <w:rPr>
      <w:rFonts w:asciiTheme="minorHAnsi" w:eastAsiaTheme="minorEastAsia" w:hAnsiTheme="minorHAnsi" w:cstheme="minorBidi"/>
      <w:szCs w:val="22"/>
    </w:rPr>
  </w:style>
  <w:style w:type="character" w:styleId="afc">
    <w:name w:val="FollowedHyperlink"/>
    <w:basedOn w:val="a0"/>
    <w:uiPriority w:val="99"/>
    <w:unhideWhenUsed/>
    <w:rsid w:val="00F72752"/>
    <w:rPr>
      <w:color w:val="800080" w:themeColor="followedHyperlink"/>
      <w:u w:val="single"/>
    </w:rPr>
  </w:style>
  <w:style w:type="paragraph" w:styleId="afd">
    <w:name w:val="Revision"/>
    <w:hidden/>
    <w:uiPriority w:val="99"/>
    <w:semiHidden/>
    <w:rsid w:val="00685A2C"/>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4487">
      <w:bodyDiv w:val="1"/>
      <w:marLeft w:val="0"/>
      <w:marRight w:val="0"/>
      <w:marTop w:val="0"/>
      <w:marBottom w:val="0"/>
      <w:divBdr>
        <w:top w:val="none" w:sz="0" w:space="0" w:color="auto"/>
        <w:left w:val="none" w:sz="0" w:space="0" w:color="auto"/>
        <w:bottom w:val="none" w:sz="0" w:space="0" w:color="auto"/>
        <w:right w:val="none" w:sz="0" w:space="0" w:color="auto"/>
      </w:divBdr>
    </w:div>
    <w:div w:id="28457526">
      <w:bodyDiv w:val="1"/>
      <w:marLeft w:val="0"/>
      <w:marRight w:val="0"/>
      <w:marTop w:val="0"/>
      <w:marBottom w:val="0"/>
      <w:divBdr>
        <w:top w:val="none" w:sz="0" w:space="0" w:color="auto"/>
        <w:left w:val="none" w:sz="0" w:space="0" w:color="auto"/>
        <w:bottom w:val="none" w:sz="0" w:space="0" w:color="auto"/>
        <w:right w:val="none" w:sz="0" w:space="0" w:color="auto"/>
      </w:divBdr>
    </w:div>
    <w:div w:id="43994739">
      <w:bodyDiv w:val="1"/>
      <w:marLeft w:val="0"/>
      <w:marRight w:val="0"/>
      <w:marTop w:val="0"/>
      <w:marBottom w:val="0"/>
      <w:divBdr>
        <w:top w:val="none" w:sz="0" w:space="0" w:color="auto"/>
        <w:left w:val="none" w:sz="0" w:space="0" w:color="auto"/>
        <w:bottom w:val="none" w:sz="0" w:space="0" w:color="auto"/>
        <w:right w:val="none" w:sz="0" w:space="0" w:color="auto"/>
      </w:divBdr>
    </w:div>
    <w:div w:id="47654522">
      <w:bodyDiv w:val="1"/>
      <w:marLeft w:val="0"/>
      <w:marRight w:val="0"/>
      <w:marTop w:val="0"/>
      <w:marBottom w:val="0"/>
      <w:divBdr>
        <w:top w:val="none" w:sz="0" w:space="0" w:color="auto"/>
        <w:left w:val="none" w:sz="0" w:space="0" w:color="auto"/>
        <w:bottom w:val="none" w:sz="0" w:space="0" w:color="auto"/>
        <w:right w:val="none" w:sz="0" w:space="0" w:color="auto"/>
      </w:divBdr>
    </w:div>
    <w:div w:id="71704940">
      <w:bodyDiv w:val="1"/>
      <w:marLeft w:val="0"/>
      <w:marRight w:val="0"/>
      <w:marTop w:val="0"/>
      <w:marBottom w:val="0"/>
      <w:divBdr>
        <w:top w:val="none" w:sz="0" w:space="0" w:color="auto"/>
        <w:left w:val="none" w:sz="0" w:space="0" w:color="auto"/>
        <w:bottom w:val="none" w:sz="0" w:space="0" w:color="auto"/>
        <w:right w:val="none" w:sz="0" w:space="0" w:color="auto"/>
      </w:divBdr>
    </w:div>
    <w:div w:id="73859540">
      <w:bodyDiv w:val="1"/>
      <w:marLeft w:val="0"/>
      <w:marRight w:val="0"/>
      <w:marTop w:val="0"/>
      <w:marBottom w:val="0"/>
      <w:divBdr>
        <w:top w:val="none" w:sz="0" w:space="0" w:color="auto"/>
        <w:left w:val="none" w:sz="0" w:space="0" w:color="auto"/>
        <w:bottom w:val="none" w:sz="0" w:space="0" w:color="auto"/>
        <w:right w:val="none" w:sz="0" w:space="0" w:color="auto"/>
      </w:divBdr>
    </w:div>
    <w:div w:id="114913229">
      <w:bodyDiv w:val="1"/>
      <w:marLeft w:val="0"/>
      <w:marRight w:val="0"/>
      <w:marTop w:val="0"/>
      <w:marBottom w:val="0"/>
      <w:divBdr>
        <w:top w:val="none" w:sz="0" w:space="0" w:color="auto"/>
        <w:left w:val="none" w:sz="0" w:space="0" w:color="auto"/>
        <w:bottom w:val="none" w:sz="0" w:space="0" w:color="auto"/>
        <w:right w:val="none" w:sz="0" w:space="0" w:color="auto"/>
      </w:divBdr>
    </w:div>
    <w:div w:id="127012609">
      <w:bodyDiv w:val="1"/>
      <w:marLeft w:val="0"/>
      <w:marRight w:val="0"/>
      <w:marTop w:val="0"/>
      <w:marBottom w:val="0"/>
      <w:divBdr>
        <w:top w:val="none" w:sz="0" w:space="0" w:color="auto"/>
        <w:left w:val="none" w:sz="0" w:space="0" w:color="auto"/>
        <w:bottom w:val="none" w:sz="0" w:space="0" w:color="auto"/>
        <w:right w:val="none" w:sz="0" w:space="0" w:color="auto"/>
      </w:divBdr>
    </w:div>
    <w:div w:id="128982862">
      <w:bodyDiv w:val="1"/>
      <w:marLeft w:val="0"/>
      <w:marRight w:val="0"/>
      <w:marTop w:val="0"/>
      <w:marBottom w:val="0"/>
      <w:divBdr>
        <w:top w:val="none" w:sz="0" w:space="0" w:color="auto"/>
        <w:left w:val="none" w:sz="0" w:space="0" w:color="auto"/>
        <w:bottom w:val="none" w:sz="0" w:space="0" w:color="auto"/>
        <w:right w:val="none" w:sz="0" w:space="0" w:color="auto"/>
      </w:divBdr>
    </w:div>
    <w:div w:id="132793132">
      <w:bodyDiv w:val="1"/>
      <w:marLeft w:val="0"/>
      <w:marRight w:val="0"/>
      <w:marTop w:val="0"/>
      <w:marBottom w:val="0"/>
      <w:divBdr>
        <w:top w:val="none" w:sz="0" w:space="0" w:color="auto"/>
        <w:left w:val="none" w:sz="0" w:space="0" w:color="auto"/>
        <w:bottom w:val="none" w:sz="0" w:space="0" w:color="auto"/>
        <w:right w:val="none" w:sz="0" w:space="0" w:color="auto"/>
      </w:divBdr>
    </w:div>
    <w:div w:id="137041387">
      <w:bodyDiv w:val="1"/>
      <w:marLeft w:val="0"/>
      <w:marRight w:val="0"/>
      <w:marTop w:val="0"/>
      <w:marBottom w:val="0"/>
      <w:divBdr>
        <w:top w:val="none" w:sz="0" w:space="0" w:color="auto"/>
        <w:left w:val="none" w:sz="0" w:space="0" w:color="auto"/>
        <w:bottom w:val="none" w:sz="0" w:space="0" w:color="auto"/>
        <w:right w:val="none" w:sz="0" w:space="0" w:color="auto"/>
      </w:divBdr>
    </w:div>
    <w:div w:id="145515036">
      <w:bodyDiv w:val="1"/>
      <w:marLeft w:val="0"/>
      <w:marRight w:val="0"/>
      <w:marTop w:val="0"/>
      <w:marBottom w:val="0"/>
      <w:divBdr>
        <w:top w:val="none" w:sz="0" w:space="0" w:color="auto"/>
        <w:left w:val="none" w:sz="0" w:space="0" w:color="auto"/>
        <w:bottom w:val="none" w:sz="0" w:space="0" w:color="auto"/>
        <w:right w:val="none" w:sz="0" w:space="0" w:color="auto"/>
      </w:divBdr>
    </w:div>
    <w:div w:id="154886115">
      <w:bodyDiv w:val="1"/>
      <w:marLeft w:val="0"/>
      <w:marRight w:val="0"/>
      <w:marTop w:val="0"/>
      <w:marBottom w:val="0"/>
      <w:divBdr>
        <w:top w:val="none" w:sz="0" w:space="0" w:color="auto"/>
        <w:left w:val="none" w:sz="0" w:space="0" w:color="auto"/>
        <w:bottom w:val="none" w:sz="0" w:space="0" w:color="auto"/>
        <w:right w:val="none" w:sz="0" w:space="0" w:color="auto"/>
      </w:divBdr>
    </w:div>
    <w:div w:id="155263476">
      <w:bodyDiv w:val="1"/>
      <w:marLeft w:val="0"/>
      <w:marRight w:val="0"/>
      <w:marTop w:val="0"/>
      <w:marBottom w:val="0"/>
      <w:divBdr>
        <w:top w:val="none" w:sz="0" w:space="0" w:color="auto"/>
        <w:left w:val="none" w:sz="0" w:space="0" w:color="auto"/>
        <w:bottom w:val="none" w:sz="0" w:space="0" w:color="auto"/>
        <w:right w:val="none" w:sz="0" w:space="0" w:color="auto"/>
      </w:divBdr>
    </w:div>
    <w:div w:id="164757718">
      <w:bodyDiv w:val="1"/>
      <w:marLeft w:val="0"/>
      <w:marRight w:val="0"/>
      <w:marTop w:val="0"/>
      <w:marBottom w:val="0"/>
      <w:divBdr>
        <w:top w:val="none" w:sz="0" w:space="0" w:color="auto"/>
        <w:left w:val="none" w:sz="0" w:space="0" w:color="auto"/>
        <w:bottom w:val="none" w:sz="0" w:space="0" w:color="auto"/>
        <w:right w:val="none" w:sz="0" w:space="0" w:color="auto"/>
      </w:divBdr>
    </w:div>
    <w:div w:id="177042600">
      <w:bodyDiv w:val="1"/>
      <w:marLeft w:val="0"/>
      <w:marRight w:val="0"/>
      <w:marTop w:val="0"/>
      <w:marBottom w:val="0"/>
      <w:divBdr>
        <w:top w:val="none" w:sz="0" w:space="0" w:color="auto"/>
        <w:left w:val="none" w:sz="0" w:space="0" w:color="auto"/>
        <w:bottom w:val="none" w:sz="0" w:space="0" w:color="auto"/>
        <w:right w:val="none" w:sz="0" w:space="0" w:color="auto"/>
      </w:divBdr>
    </w:div>
    <w:div w:id="232549045">
      <w:bodyDiv w:val="1"/>
      <w:marLeft w:val="0"/>
      <w:marRight w:val="0"/>
      <w:marTop w:val="0"/>
      <w:marBottom w:val="0"/>
      <w:divBdr>
        <w:top w:val="none" w:sz="0" w:space="0" w:color="auto"/>
        <w:left w:val="none" w:sz="0" w:space="0" w:color="auto"/>
        <w:bottom w:val="none" w:sz="0" w:space="0" w:color="auto"/>
        <w:right w:val="none" w:sz="0" w:space="0" w:color="auto"/>
      </w:divBdr>
    </w:div>
    <w:div w:id="233593823">
      <w:bodyDiv w:val="1"/>
      <w:marLeft w:val="0"/>
      <w:marRight w:val="0"/>
      <w:marTop w:val="0"/>
      <w:marBottom w:val="0"/>
      <w:divBdr>
        <w:top w:val="none" w:sz="0" w:space="0" w:color="auto"/>
        <w:left w:val="none" w:sz="0" w:space="0" w:color="auto"/>
        <w:bottom w:val="none" w:sz="0" w:space="0" w:color="auto"/>
        <w:right w:val="none" w:sz="0" w:space="0" w:color="auto"/>
      </w:divBdr>
    </w:div>
    <w:div w:id="257955312">
      <w:bodyDiv w:val="1"/>
      <w:marLeft w:val="0"/>
      <w:marRight w:val="0"/>
      <w:marTop w:val="0"/>
      <w:marBottom w:val="0"/>
      <w:divBdr>
        <w:top w:val="none" w:sz="0" w:space="0" w:color="auto"/>
        <w:left w:val="none" w:sz="0" w:space="0" w:color="auto"/>
        <w:bottom w:val="none" w:sz="0" w:space="0" w:color="auto"/>
        <w:right w:val="none" w:sz="0" w:space="0" w:color="auto"/>
      </w:divBdr>
    </w:div>
    <w:div w:id="264578001">
      <w:bodyDiv w:val="1"/>
      <w:marLeft w:val="0"/>
      <w:marRight w:val="0"/>
      <w:marTop w:val="0"/>
      <w:marBottom w:val="0"/>
      <w:divBdr>
        <w:top w:val="none" w:sz="0" w:space="0" w:color="auto"/>
        <w:left w:val="none" w:sz="0" w:space="0" w:color="auto"/>
        <w:bottom w:val="none" w:sz="0" w:space="0" w:color="auto"/>
        <w:right w:val="none" w:sz="0" w:space="0" w:color="auto"/>
      </w:divBdr>
    </w:div>
    <w:div w:id="281963910">
      <w:bodyDiv w:val="1"/>
      <w:marLeft w:val="0"/>
      <w:marRight w:val="0"/>
      <w:marTop w:val="0"/>
      <w:marBottom w:val="0"/>
      <w:divBdr>
        <w:top w:val="none" w:sz="0" w:space="0" w:color="auto"/>
        <w:left w:val="none" w:sz="0" w:space="0" w:color="auto"/>
        <w:bottom w:val="none" w:sz="0" w:space="0" w:color="auto"/>
        <w:right w:val="none" w:sz="0" w:space="0" w:color="auto"/>
      </w:divBdr>
    </w:div>
    <w:div w:id="310062790">
      <w:bodyDiv w:val="1"/>
      <w:marLeft w:val="0"/>
      <w:marRight w:val="0"/>
      <w:marTop w:val="0"/>
      <w:marBottom w:val="0"/>
      <w:divBdr>
        <w:top w:val="none" w:sz="0" w:space="0" w:color="auto"/>
        <w:left w:val="none" w:sz="0" w:space="0" w:color="auto"/>
        <w:bottom w:val="none" w:sz="0" w:space="0" w:color="auto"/>
        <w:right w:val="none" w:sz="0" w:space="0" w:color="auto"/>
      </w:divBdr>
    </w:div>
    <w:div w:id="311721418">
      <w:bodyDiv w:val="1"/>
      <w:marLeft w:val="0"/>
      <w:marRight w:val="0"/>
      <w:marTop w:val="0"/>
      <w:marBottom w:val="0"/>
      <w:divBdr>
        <w:top w:val="none" w:sz="0" w:space="0" w:color="auto"/>
        <w:left w:val="none" w:sz="0" w:space="0" w:color="auto"/>
        <w:bottom w:val="none" w:sz="0" w:space="0" w:color="auto"/>
        <w:right w:val="none" w:sz="0" w:space="0" w:color="auto"/>
      </w:divBdr>
    </w:div>
    <w:div w:id="319625149">
      <w:bodyDiv w:val="1"/>
      <w:marLeft w:val="0"/>
      <w:marRight w:val="0"/>
      <w:marTop w:val="0"/>
      <w:marBottom w:val="0"/>
      <w:divBdr>
        <w:top w:val="none" w:sz="0" w:space="0" w:color="auto"/>
        <w:left w:val="none" w:sz="0" w:space="0" w:color="auto"/>
        <w:bottom w:val="none" w:sz="0" w:space="0" w:color="auto"/>
        <w:right w:val="none" w:sz="0" w:space="0" w:color="auto"/>
      </w:divBdr>
    </w:div>
    <w:div w:id="327711511">
      <w:bodyDiv w:val="1"/>
      <w:marLeft w:val="0"/>
      <w:marRight w:val="0"/>
      <w:marTop w:val="0"/>
      <w:marBottom w:val="0"/>
      <w:divBdr>
        <w:top w:val="none" w:sz="0" w:space="0" w:color="auto"/>
        <w:left w:val="none" w:sz="0" w:space="0" w:color="auto"/>
        <w:bottom w:val="none" w:sz="0" w:space="0" w:color="auto"/>
        <w:right w:val="none" w:sz="0" w:space="0" w:color="auto"/>
      </w:divBdr>
    </w:div>
    <w:div w:id="331294759">
      <w:bodyDiv w:val="1"/>
      <w:marLeft w:val="0"/>
      <w:marRight w:val="0"/>
      <w:marTop w:val="0"/>
      <w:marBottom w:val="0"/>
      <w:divBdr>
        <w:top w:val="none" w:sz="0" w:space="0" w:color="auto"/>
        <w:left w:val="none" w:sz="0" w:space="0" w:color="auto"/>
        <w:bottom w:val="none" w:sz="0" w:space="0" w:color="auto"/>
        <w:right w:val="none" w:sz="0" w:space="0" w:color="auto"/>
      </w:divBdr>
    </w:div>
    <w:div w:id="354963844">
      <w:bodyDiv w:val="1"/>
      <w:marLeft w:val="0"/>
      <w:marRight w:val="0"/>
      <w:marTop w:val="0"/>
      <w:marBottom w:val="0"/>
      <w:divBdr>
        <w:top w:val="none" w:sz="0" w:space="0" w:color="auto"/>
        <w:left w:val="none" w:sz="0" w:space="0" w:color="auto"/>
        <w:bottom w:val="none" w:sz="0" w:space="0" w:color="auto"/>
        <w:right w:val="none" w:sz="0" w:space="0" w:color="auto"/>
      </w:divBdr>
    </w:div>
    <w:div w:id="365444412">
      <w:bodyDiv w:val="1"/>
      <w:marLeft w:val="0"/>
      <w:marRight w:val="0"/>
      <w:marTop w:val="0"/>
      <w:marBottom w:val="0"/>
      <w:divBdr>
        <w:top w:val="none" w:sz="0" w:space="0" w:color="auto"/>
        <w:left w:val="none" w:sz="0" w:space="0" w:color="auto"/>
        <w:bottom w:val="none" w:sz="0" w:space="0" w:color="auto"/>
        <w:right w:val="none" w:sz="0" w:space="0" w:color="auto"/>
      </w:divBdr>
    </w:div>
    <w:div w:id="375198106">
      <w:bodyDiv w:val="1"/>
      <w:marLeft w:val="0"/>
      <w:marRight w:val="0"/>
      <w:marTop w:val="0"/>
      <w:marBottom w:val="0"/>
      <w:divBdr>
        <w:top w:val="none" w:sz="0" w:space="0" w:color="auto"/>
        <w:left w:val="none" w:sz="0" w:space="0" w:color="auto"/>
        <w:bottom w:val="none" w:sz="0" w:space="0" w:color="auto"/>
        <w:right w:val="none" w:sz="0" w:space="0" w:color="auto"/>
      </w:divBdr>
    </w:div>
    <w:div w:id="387415367">
      <w:bodyDiv w:val="1"/>
      <w:marLeft w:val="0"/>
      <w:marRight w:val="0"/>
      <w:marTop w:val="0"/>
      <w:marBottom w:val="0"/>
      <w:divBdr>
        <w:top w:val="none" w:sz="0" w:space="0" w:color="auto"/>
        <w:left w:val="none" w:sz="0" w:space="0" w:color="auto"/>
        <w:bottom w:val="none" w:sz="0" w:space="0" w:color="auto"/>
        <w:right w:val="none" w:sz="0" w:space="0" w:color="auto"/>
      </w:divBdr>
    </w:div>
    <w:div w:id="392314339">
      <w:bodyDiv w:val="1"/>
      <w:marLeft w:val="0"/>
      <w:marRight w:val="0"/>
      <w:marTop w:val="0"/>
      <w:marBottom w:val="0"/>
      <w:divBdr>
        <w:top w:val="none" w:sz="0" w:space="0" w:color="auto"/>
        <w:left w:val="none" w:sz="0" w:space="0" w:color="auto"/>
        <w:bottom w:val="none" w:sz="0" w:space="0" w:color="auto"/>
        <w:right w:val="none" w:sz="0" w:space="0" w:color="auto"/>
      </w:divBdr>
    </w:div>
    <w:div w:id="402679047">
      <w:bodyDiv w:val="1"/>
      <w:marLeft w:val="0"/>
      <w:marRight w:val="0"/>
      <w:marTop w:val="0"/>
      <w:marBottom w:val="0"/>
      <w:divBdr>
        <w:top w:val="none" w:sz="0" w:space="0" w:color="auto"/>
        <w:left w:val="none" w:sz="0" w:space="0" w:color="auto"/>
        <w:bottom w:val="none" w:sz="0" w:space="0" w:color="auto"/>
        <w:right w:val="none" w:sz="0" w:space="0" w:color="auto"/>
      </w:divBdr>
    </w:div>
    <w:div w:id="414908621">
      <w:bodyDiv w:val="1"/>
      <w:marLeft w:val="0"/>
      <w:marRight w:val="0"/>
      <w:marTop w:val="0"/>
      <w:marBottom w:val="0"/>
      <w:divBdr>
        <w:top w:val="none" w:sz="0" w:space="0" w:color="auto"/>
        <w:left w:val="none" w:sz="0" w:space="0" w:color="auto"/>
        <w:bottom w:val="none" w:sz="0" w:space="0" w:color="auto"/>
        <w:right w:val="none" w:sz="0" w:space="0" w:color="auto"/>
      </w:divBdr>
    </w:div>
    <w:div w:id="438182445">
      <w:bodyDiv w:val="1"/>
      <w:marLeft w:val="0"/>
      <w:marRight w:val="0"/>
      <w:marTop w:val="0"/>
      <w:marBottom w:val="0"/>
      <w:divBdr>
        <w:top w:val="none" w:sz="0" w:space="0" w:color="auto"/>
        <w:left w:val="none" w:sz="0" w:space="0" w:color="auto"/>
        <w:bottom w:val="none" w:sz="0" w:space="0" w:color="auto"/>
        <w:right w:val="none" w:sz="0" w:space="0" w:color="auto"/>
      </w:divBdr>
    </w:div>
    <w:div w:id="463039788">
      <w:bodyDiv w:val="1"/>
      <w:marLeft w:val="0"/>
      <w:marRight w:val="0"/>
      <w:marTop w:val="0"/>
      <w:marBottom w:val="0"/>
      <w:divBdr>
        <w:top w:val="none" w:sz="0" w:space="0" w:color="auto"/>
        <w:left w:val="none" w:sz="0" w:space="0" w:color="auto"/>
        <w:bottom w:val="none" w:sz="0" w:space="0" w:color="auto"/>
        <w:right w:val="none" w:sz="0" w:space="0" w:color="auto"/>
      </w:divBdr>
    </w:div>
    <w:div w:id="489563935">
      <w:bodyDiv w:val="1"/>
      <w:marLeft w:val="0"/>
      <w:marRight w:val="0"/>
      <w:marTop w:val="0"/>
      <w:marBottom w:val="0"/>
      <w:divBdr>
        <w:top w:val="none" w:sz="0" w:space="0" w:color="auto"/>
        <w:left w:val="none" w:sz="0" w:space="0" w:color="auto"/>
        <w:bottom w:val="none" w:sz="0" w:space="0" w:color="auto"/>
        <w:right w:val="none" w:sz="0" w:space="0" w:color="auto"/>
      </w:divBdr>
    </w:div>
    <w:div w:id="491990013">
      <w:bodyDiv w:val="1"/>
      <w:marLeft w:val="0"/>
      <w:marRight w:val="0"/>
      <w:marTop w:val="0"/>
      <w:marBottom w:val="0"/>
      <w:divBdr>
        <w:top w:val="none" w:sz="0" w:space="0" w:color="auto"/>
        <w:left w:val="none" w:sz="0" w:space="0" w:color="auto"/>
        <w:bottom w:val="none" w:sz="0" w:space="0" w:color="auto"/>
        <w:right w:val="none" w:sz="0" w:space="0" w:color="auto"/>
      </w:divBdr>
    </w:div>
    <w:div w:id="509369018">
      <w:bodyDiv w:val="1"/>
      <w:marLeft w:val="0"/>
      <w:marRight w:val="0"/>
      <w:marTop w:val="0"/>
      <w:marBottom w:val="0"/>
      <w:divBdr>
        <w:top w:val="none" w:sz="0" w:space="0" w:color="auto"/>
        <w:left w:val="none" w:sz="0" w:space="0" w:color="auto"/>
        <w:bottom w:val="none" w:sz="0" w:space="0" w:color="auto"/>
        <w:right w:val="none" w:sz="0" w:space="0" w:color="auto"/>
      </w:divBdr>
    </w:div>
    <w:div w:id="519470185">
      <w:bodyDiv w:val="1"/>
      <w:marLeft w:val="0"/>
      <w:marRight w:val="0"/>
      <w:marTop w:val="0"/>
      <w:marBottom w:val="0"/>
      <w:divBdr>
        <w:top w:val="none" w:sz="0" w:space="0" w:color="auto"/>
        <w:left w:val="none" w:sz="0" w:space="0" w:color="auto"/>
        <w:bottom w:val="none" w:sz="0" w:space="0" w:color="auto"/>
        <w:right w:val="none" w:sz="0" w:space="0" w:color="auto"/>
      </w:divBdr>
    </w:div>
    <w:div w:id="531186898">
      <w:bodyDiv w:val="1"/>
      <w:marLeft w:val="0"/>
      <w:marRight w:val="0"/>
      <w:marTop w:val="0"/>
      <w:marBottom w:val="0"/>
      <w:divBdr>
        <w:top w:val="none" w:sz="0" w:space="0" w:color="auto"/>
        <w:left w:val="none" w:sz="0" w:space="0" w:color="auto"/>
        <w:bottom w:val="none" w:sz="0" w:space="0" w:color="auto"/>
        <w:right w:val="none" w:sz="0" w:space="0" w:color="auto"/>
      </w:divBdr>
    </w:div>
    <w:div w:id="540170761">
      <w:bodyDiv w:val="1"/>
      <w:marLeft w:val="0"/>
      <w:marRight w:val="0"/>
      <w:marTop w:val="0"/>
      <w:marBottom w:val="0"/>
      <w:divBdr>
        <w:top w:val="none" w:sz="0" w:space="0" w:color="auto"/>
        <w:left w:val="none" w:sz="0" w:space="0" w:color="auto"/>
        <w:bottom w:val="none" w:sz="0" w:space="0" w:color="auto"/>
        <w:right w:val="none" w:sz="0" w:space="0" w:color="auto"/>
      </w:divBdr>
    </w:div>
    <w:div w:id="552808303">
      <w:bodyDiv w:val="1"/>
      <w:marLeft w:val="0"/>
      <w:marRight w:val="0"/>
      <w:marTop w:val="0"/>
      <w:marBottom w:val="0"/>
      <w:divBdr>
        <w:top w:val="none" w:sz="0" w:space="0" w:color="auto"/>
        <w:left w:val="none" w:sz="0" w:space="0" w:color="auto"/>
        <w:bottom w:val="none" w:sz="0" w:space="0" w:color="auto"/>
        <w:right w:val="none" w:sz="0" w:space="0" w:color="auto"/>
      </w:divBdr>
    </w:div>
    <w:div w:id="559245946">
      <w:bodyDiv w:val="1"/>
      <w:marLeft w:val="0"/>
      <w:marRight w:val="0"/>
      <w:marTop w:val="0"/>
      <w:marBottom w:val="0"/>
      <w:divBdr>
        <w:top w:val="none" w:sz="0" w:space="0" w:color="auto"/>
        <w:left w:val="none" w:sz="0" w:space="0" w:color="auto"/>
        <w:bottom w:val="none" w:sz="0" w:space="0" w:color="auto"/>
        <w:right w:val="none" w:sz="0" w:space="0" w:color="auto"/>
      </w:divBdr>
    </w:div>
    <w:div w:id="638455546">
      <w:bodyDiv w:val="1"/>
      <w:marLeft w:val="0"/>
      <w:marRight w:val="0"/>
      <w:marTop w:val="0"/>
      <w:marBottom w:val="0"/>
      <w:divBdr>
        <w:top w:val="none" w:sz="0" w:space="0" w:color="auto"/>
        <w:left w:val="none" w:sz="0" w:space="0" w:color="auto"/>
        <w:bottom w:val="none" w:sz="0" w:space="0" w:color="auto"/>
        <w:right w:val="none" w:sz="0" w:space="0" w:color="auto"/>
      </w:divBdr>
    </w:div>
    <w:div w:id="641809229">
      <w:bodyDiv w:val="1"/>
      <w:marLeft w:val="0"/>
      <w:marRight w:val="0"/>
      <w:marTop w:val="0"/>
      <w:marBottom w:val="0"/>
      <w:divBdr>
        <w:top w:val="none" w:sz="0" w:space="0" w:color="auto"/>
        <w:left w:val="none" w:sz="0" w:space="0" w:color="auto"/>
        <w:bottom w:val="none" w:sz="0" w:space="0" w:color="auto"/>
        <w:right w:val="none" w:sz="0" w:space="0" w:color="auto"/>
      </w:divBdr>
    </w:div>
    <w:div w:id="650445894">
      <w:bodyDiv w:val="1"/>
      <w:marLeft w:val="0"/>
      <w:marRight w:val="0"/>
      <w:marTop w:val="0"/>
      <w:marBottom w:val="0"/>
      <w:divBdr>
        <w:top w:val="none" w:sz="0" w:space="0" w:color="auto"/>
        <w:left w:val="none" w:sz="0" w:space="0" w:color="auto"/>
        <w:bottom w:val="none" w:sz="0" w:space="0" w:color="auto"/>
        <w:right w:val="none" w:sz="0" w:space="0" w:color="auto"/>
      </w:divBdr>
    </w:div>
    <w:div w:id="662317371">
      <w:bodyDiv w:val="1"/>
      <w:marLeft w:val="0"/>
      <w:marRight w:val="0"/>
      <w:marTop w:val="0"/>
      <w:marBottom w:val="0"/>
      <w:divBdr>
        <w:top w:val="none" w:sz="0" w:space="0" w:color="auto"/>
        <w:left w:val="none" w:sz="0" w:space="0" w:color="auto"/>
        <w:bottom w:val="none" w:sz="0" w:space="0" w:color="auto"/>
        <w:right w:val="none" w:sz="0" w:space="0" w:color="auto"/>
      </w:divBdr>
    </w:div>
    <w:div w:id="668559246">
      <w:bodyDiv w:val="1"/>
      <w:marLeft w:val="0"/>
      <w:marRight w:val="0"/>
      <w:marTop w:val="0"/>
      <w:marBottom w:val="0"/>
      <w:divBdr>
        <w:top w:val="none" w:sz="0" w:space="0" w:color="auto"/>
        <w:left w:val="none" w:sz="0" w:space="0" w:color="auto"/>
        <w:bottom w:val="none" w:sz="0" w:space="0" w:color="auto"/>
        <w:right w:val="none" w:sz="0" w:space="0" w:color="auto"/>
      </w:divBdr>
    </w:div>
    <w:div w:id="673259952">
      <w:bodyDiv w:val="1"/>
      <w:marLeft w:val="0"/>
      <w:marRight w:val="0"/>
      <w:marTop w:val="0"/>
      <w:marBottom w:val="0"/>
      <w:divBdr>
        <w:top w:val="none" w:sz="0" w:space="0" w:color="auto"/>
        <w:left w:val="none" w:sz="0" w:space="0" w:color="auto"/>
        <w:bottom w:val="none" w:sz="0" w:space="0" w:color="auto"/>
        <w:right w:val="none" w:sz="0" w:space="0" w:color="auto"/>
      </w:divBdr>
    </w:div>
    <w:div w:id="700210238">
      <w:bodyDiv w:val="1"/>
      <w:marLeft w:val="0"/>
      <w:marRight w:val="0"/>
      <w:marTop w:val="0"/>
      <w:marBottom w:val="0"/>
      <w:divBdr>
        <w:top w:val="none" w:sz="0" w:space="0" w:color="auto"/>
        <w:left w:val="none" w:sz="0" w:space="0" w:color="auto"/>
        <w:bottom w:val="none" w:sz="0" w:space="0" w:color="auto"/>
        <w:right w:val="none" w:sz="0" w:space="0" w:color="auto"/>
      </w:divBdr>
    </w:div>
    <w:div w:id="741176544">
      <w:bodyDiv w:val="1"/>
      <w:marLeft w:val="0"/>
      <w:marRight w:val="0"/>
      <w:marTop w:val="0"/>
      <w:marBottom w:val="0"/>
      <w:divBdr>
        <w:top w:val="none" w:sz="0" w:space="0" w:color="auto"/>
        <w:left w:val="none" w:sz="0" w:space="0" w:color="auto"/>
        <w:bottom w:val="none" w:sz="0" w:space="0" w:color="auto"/>
        <w:right w:val="none" w:sz="0" w:space="0" w:color="auto"/>
      </w:divBdr>
    </w:div>
    <w:div w:id="772866570">
      <w:bodyDiv w:val="1"/>
      <w:marLeft w:val="0"/>
      <w:marRight w:val="0"/>
      <w:marTop w:val="0"/>
      <w:marBottom w:val="0"/>
      <w:divBdr>
        <w:top w:val="none" w:sz="0" w:space="0" w:color="auto"/>
        <w:left w:val="none" w:sz="0" w:space="0" w:color="auto"/>
        <w:bottom w:val="none" w:sz="0" w:space="0" w:color="auto"/>
        <w:right w:val="none" w:sz="0" w:space="0" w:color="auto"/>
      </w:divBdr>
    </w:div>
    <w:div w:id="790322021">
      <w:bodyDiv w:val="1"/>
      <w:marLeft w:val="0"/>
      <w:marRight w:val="0"/>
      <w:marTop w:val="0"/>
      <w:marBottom w:val="0"/>
      <w:divBdr>
        <w:top w:val="none" w:sz="0" w:space="0" w:color="auto"/>
        <w:left w:val="none" w:sz="0" w:space="0" w:color="auto"/>
        <w:bottom w:val="none" w:sz="0" w:space="0" w:color="auto"/>
        <w:right w:val="none" w:sz="0" w:space="0" w:color="auto"/>
      </w:divBdr>
    </w:div>
    <w:div w:id="812524558">
      <w:bodyDiv w:val="1"/>
      <w:marLeft w:val="0"/>
      <w:marRight w:val="0"/>
      <w:marTop w:val="0"/>
      <w:marBottom w:val="0"/>
      <w:divBdr>
        <w:top w:val="none" w:sz="0" w:space="0" w:color="auto"/>
        <w:left w:val="none" w:sz="0" w:space="0" w:color="auto"/>
        <w:bottom w:val="none" w:sz="0" w:space="0" w:color="auto"/>
        <w:right w:val="none" w:sz="0" w:space="0" w:color="auto"/>
      </w:divBdr>
    </w:div>
    <w:div w:id="838153692">
      <w:bodyDiv w:val="1"/>
      <w:marLeft w:val="0"/>
      <w:marRight w:val="0"/>
      <w:marTop w:val="0"/>
      <w:marBottom w:val="0"/>
      <w:divBdr>
        <w:top w:val="none" w:sz="0" w:space="0" w:color="auto"/>
        <w:left w:val="none" w:sz="0" w:space="0" w:color="auto"/>
        <w:bottom w:val="none" w:sz="0" w:space="0" w:color="auto"/>
        <w:right w:val="none" w:sz="0" w:space="0" w:color="auto"/>
      </w:divBdr>
    </w:div>
    <w:div w:id="843326146">
      <w:bodyDiv w:val="1"/>
      <w:marLeft w:val="0"/>
      <w:marRight w:val="0"/>
      <w:marTop w:val="0"/>
      <w:marBottom w:val="0"/>
      <w:divBdr>
        <w:top w:val="none" w:sz="0" w:space="0" w:color="auto"/>
        <w:left w:val="none" w:sz="0" w:space="0" w:color="auto"/>
        <w:bottom w:val="none" w:sz="0" w:space="0" w:color="auto"/>
        <w:right w:val="none" w:sz="0" w:space="0" w:color="auto"/>
      </w:divBdr>
    </w:div>
    <w:div w:id="857041191">
      <w:bodyDiv w:val="1"/>
      <w:marLeft w:val="0"/>
      <w:marRight w:val="0"/>
      <w:marTop w:val="0"/>
      <w:marBottom w:val="0"/>
      <w:divBdr>
        <w:top w:val="none" w:sz="0" w:space="0" w:color="auto"/>
        <w:left w:val="none" w:sz="0" w:space="0" w:color="auto"/>
        <w:bottom w:val="none" w:sz="0" w:space="0" w:color="auto"/>
        <w:right w:val="none" w:sz="0" w:space="0" w:color="auto"/>
      </w:divBdr>
    </w:div>
    <w:div w:id="860707765">
      <w:bodyDiv w:val="1"/>
      <w:marLeft w:val="0"/>
      <w:marRight w:val="0"/>
      <w:marTop w:val="0"/>
      <w:marBottom w:val="0"/>
      <w:divBdr>
        <w:top w:val="none" w:sz="0" w:space="0" w:color="auto"/>
        <w:left w:val="none" w:sz="0" w:space="0" w:color="auto"/>
        <w:bottom w:val="none" w:sz="0" w:space="0" w:color="auto"/>
        <w:right w:val="none" w:sz="0" w:space="0" w:color="auto"/>
      </w:divBdr>
    </w:div>
    <w:div w:id="863592413">
      <w:bodyDiv w:val="1"/>
      <w:marLeft w:val="0"/>
      <w:marRight w:val="0"/>
      <w:marTop w:val="0"/>
      <w:marBottom w:val="0"/>
      <w:divBdr>
        <w:top w:val="none" w:sz="0" w:space="0" w:color="auto"/>
        <w:left w:val="none" w:sz="0" w:space="0" w:color="auto"/>
        <w:bottom w:val="none" w:sz="0" w:space="0" w:color="auto"/>
        <w:right w:val="none" w:sz="0" w:space="0" w:color="auto"/>
      </w:divBdr>
    </w:div>
    <w:div w:id="871725995">
      <w:bodyDiv w:val="1"/>
      <w:marLeft w:val="0"/>
      <w:marRight w:val="0"/>
      <w:marTop w:val="0"/>
      <w:marBottom w:val="0"/>
      <w:divBdr>
        <w:top w:val="none" w:sz="0" w:space="0" w:color="auto"/>
        <w:left w:val="none" w:sz="0" w:space="0" w:color="auto"/>
        <w:bottom w:val="none" w:sz="0" w:space="0" w:color="auto"/>
        <w:right w:val="none" w:sz="0" w:space="0" w:color="auto"/>
      </w:divBdr>
    </w:div>
    <w:div w:id="886337412">
      <w:bodyDiv w:val="1"/>
      <w:marLeft w:val="0"/>
      <w:marRight w:val="0"/>
      <w:marTop w:val="0"/>
      <w:marBottom w:val="0"/>
      <w:divBdr>
        <w:top w:val="none" w:sz="0" w:space="0" w:color="auto"/>
        <w:left w:val="none" w:sz="0" w:space="0" w:color="auto"/>
        <w:bottom w:val="none" w:sz="0" w:space="0" w:color="auto"/>
        <w:right w:val="none" w:sz="0" w:space="0" w:color="auto"/>
      </w:divBdr>
    </w:div>
    <w:div w:id="903179032">
      <w:bodyDiv w:val="1"/>
      <w:marLeft w:val="0"/>
      <w:marRight w:val="0"/>
      <w:marTop w:val="0"/>
      <w:marBottom w:val="0"/>
      <w:divBdr>
        <w:top w:val="none" w:sz="0" w:space="0" w:color="auto"/>
        <w:left w:val="none" w:sz="0" w:space="0" w:color="auto"/>
        <w:bottom w:val="none" w:sz="0" w:space="0" w:color="auto"/>
        <w:right w:val="none" w:sz="0" w:space="0" w:color="auto"/>
      </w:divBdr>
    </w:div>
    <w:div w:id="912735486">
      <w:bodyDiv w:val="1"/>
      <w:marLeft w:val="0"/>
      <w:marRight w:val="0"/>
      <w:marTop w:val="0"/>
      <w:marBottom w:val="0"/>
      <w:divBdr>
        <w:top w:val="none" w:sz="0" w:space="0" w:color="auto"/>
        <w:left w:val="none" w:sz="0" w:space="0" w:color="auto"/>
        <w:bottom w:val="none" w:sz="0" w:space="0" w:color="auto"/>
        <w:right w:val="none" w:sz="0" w:space="0" w:color="auto"/>
      </w:divBdr>
    </w:div>
    <w:div w:id="928733747">
      <w:bodyDiv w:val="1"/>
      <w:marLeft w:val="0"/>
      <w:marRight w:val="0"/>
      <w:marTop w:val="0"/>
      <w:marBottom w:val="0"/>
      <w:divBdr>
        <w:top w:val="none" w:sz="0" w:space="0" w:color="auto"/>
        <w:left w:val="none" w:sz="0" w:space="0" w:color="auto"/>
        <w:bottom w:val="none" w:sz="0" w:space="0" w:color="auto"/>
        <w:right w:val="none" w:sz="0" w:space="0" w:color="auto"/>
      </w:divBdr>
    </w:div>
    <w:div w:id="930504241">
      <w:bodyDiv w:val="1"/>
      <w:marLeft w:val="0"/>
      <w:marRight w:val="0"/>
      <w:marTop w:val="0"/>
      <w:marBottom w:val="0"/>
      <w:divBdr>
        <w:top w:val="none" w:sz="0" w:space="0" w:color="auto"/>
        <w:left w:val="none" w:sz="0" w:space="0" w:color="auto"/>
        <w:bottom w:val="none" w:sz="0" w:space="0" w:color="auto"/>
        <w:right w:val="none" w:sz="0" w:space="0" w:color="auto"/>
      </w:divBdr>
    </w:div>
    <w:div w:id="939221649">
      <w:bodyDiv w:val="1"/>
      <w:marLeft w:val="0"/>
      <w:marRight w:val="0"/>
      <w:marTop w:val="0"/>
      <w:marBottom w:val="0"/>
      <w:divBdr>
        <w:top w:val="none" w:sz="0" w:space="0" w:color="auto"/>
        <w:left w:val="none" w:sz="0" w:space="0" w:color="auto"/>
        <w:bottom w:val="none" w:sz="0" w:space="0" w:color="auto"/>
        <w:right w:val="none" w:sz="0" w:space="0" w:color="auto"/>
      </w:divBdr>
    </w:div>
    <w:div w:id="942803943">
      <w:bodyDiv w:val="1"/>
      <w:marLeft w:val="0"/>
      <w:marRight w:val="0"/>
      <w:marTop w:val="0"/>
      <w:marBottom w:val="0"/>
      <w:divBdr>
        <w:top w:val="none" w:sz="0" w:space="0" w:color="auto"/>
        <w:left w:val="none" w:sz="0" w:space="0" w:color="auto"/>
        <w:bottom w:val="none" w:sz="0" w:space="0" w:color="auto"/>
        <w:right w:val="none" w:sz="0" w:space="0" w:color="auto"/>
      </w:divBdr>
    </w:div>
    <w:div w:id="970092767">
      <w:bodyDiv w:val="1"/>
      <w:marLeft w:val="0"/>
      <w:marRight w:val="0"/>
      <w:marTop w:val="0"/>
      <w:marBottom w:val="0"/>
      <w:divBdr>
        <w:top w:val="none" w:sz="0" w:space="0" w:color="auto"/>
        <w:left w:val="none" w:sz="0" w:space="0" w:color="auto"/>
        <w:bottom w:val="none" w:sz="0" w:space="0" w:color="auto"/>
        <w:right w:val="none" w:sz="0" w:space="0" w:color="auto"/>
      </w:divBdr>
    </w:div>
    <w:div w:id="975836171">
      <w:bodyDiv w:val="1"/>
      <w:marLeft w:val="0"/>
      <w:marRight w:val="0"/>
      <w:marTop w:val="0"/>
      <w:marBottom w:val="0"/>
      <w:divBdr>
        <w:top w:val="none" w:sz="0" w:space="0" w:color="auto"/>
        <w:left w:val="none" w:sz="0" w:space="0" w:color="auto"/>
        <w:bottom w:val="none" w:sz="0" w:space="0" w:color="auto"/>
        <w:right w:val="none" w:sz="0" w:space="0" w:color="auto"/>
      </w:divBdr>
    </w:div>
    <w:div w:id="976952685">
      <w:bodyDiv w:val="1"/>
      <w:marLeft w:val="0"/>
      <w:marRight w:val="0"/>
      <w:marTop w:val="0"/>
      <w:marBottom w:val="0"/>
      <w:divBdr>
        <w:top w:val="none" w:sz="0" w:space="0" w:color="auto"/>
        <w:left w:val="none" w:sz="0" w:space="0" w:color="auto"/>
        <w:bottom w:val="none" w:sz="0" w:space="0" w:color="auto"/>
        <w:right w:val="none" w:sz="0" w:space="0" w:color="auto"/>
      </w:divBdr>
    </w:div>
    <w:div w:id="986595530">
      <w:bodyDiv w:val="1"/>
      <w:marLeft w:val="0"/>
      <w:marRight w:val="0"/>
      <w:marTop w:val="0"/>
      <w:marBottom w:val="0"/>
      <w:divBdr>
        <w:top w:val="none" w:sz="0" w:space="0" w:color="auto"/>
        <w:left w:val="none" w:sz="0" w:space="0" w:color="auto"/>
        <w:bottom w:val="none" w:sz="0" w:space="0" w:color="auto"/>
        <w:right w:val="none" w:sz="0" w:space="0" w:color="auto"/>
      </w:divBdr>
    </w:div>
    <w:div w:id="1012335340">
      <w:bodyDiv w:val="1"/>
      <w:marLeft w:val="0"/>
      <w:marRight w:val="0"/>
      <w:marTop w:val="0"/>
      <w:marBottom w:val="0"/>
      <w:divBdr>
        <w:top w:val="none" w:sz="0" w:space="0" w:color="auto"/>
        <w:left w:val="none" w:sz="0" w:space="0" w:color="auto"/>
        <w:bottom w:val="none" w:sz="0" w:space="0" w:color="auto"/>
        <w:right w:val="none" w:sz="0" w:space="0" w:color="auto"/>
      </w:divBdr>
    </w:div>
    <w:div w:id="1018969863">
      <w:bodyDiv w:val="1"/>
      <w:marLeft w:val="0"/>
      <w:marRight w:val="0"/>
      <w:marTop w:val="0"/>
      <w:marBottom w:val="0"/>
      <w:divBdr>
        <w:top w:val="none" w:sz="0" w:space="0" w:color="auto"/>
        <w:left w:val="none" w:sz="0" w:space="0" w:color="auto"/>
        <w:bottom w:val="none" w:sz="0" w:space="0" w:color="auto"/>
        <w:right w:val="none" w:sz="0" w:space="0" w:color="auto"/>
      </w:divBdr>
    </w:div>
    <w:div w:id="1023869112">
      <w:bodyDiv w:val="1"/>
      <w:marLeft w:val="0"/>
      <w:marRight w:val="0"/>
      <w:marTop w:val="0"/>
      <w:marBottom w:val="0"/>
      <w:divBdr>
        <w:top w:val="none" w:sz="0" w:space="0" w:color="auto"/>
        <w:left w:val="none" w:sz="0" w:space="0" w:color="auto"/>
        <w:bottom w:val="none" w:sz="0" w:space="0" w:color="auto"/>
        <w:right w:val="none" w:sz="0" w:space="0" w:color="auto"/>
      </w:divBdr>
    </w:div>
    <w:div w:id="1024867970">
      <w:bodyDiv w:val="1"/>
      <w:marLeft w:val="0"/>
      <w:marRight w:val="0"/>
      <w:marTop w:val="0"/>
      <w:marBottom w:val="0"/>
      <w:divBdr>
        <w:top w:val="none" w:sz="0" w:space="0" w:color="auto"/>
        <w:left w:val="none" w:sz="0" w:space="0" w:color="auto"/>
        <w:bottom w:val="none" w:sz="0" w:space="0" w:color="auto"/>
        <w:right w:val="none" w:sz="0" w:space="0" w:color="auto"/>
      </w:divBdr>
    </w:div>
    <w:div w:id="1039207377">
      <w:bodyDiv w:val="1"/>
      <w:marLeft w:val="0"/>
      <w:marRight w:val="0"/>
      <w:marTop w:val="0"/>
      <w:marBottom w:val="0"/>
      <w:divBdr>
        <w:top w:val="none" w:sz="0" w:space="0" w:color="auto"/>
        <w:left w:val="none" w:sz="0" w:space="0" w:color="auto"/>
        <w:bottom w:val="none" w:sz="0" w:space="0" w:color="auto"/>
        <w:right w:val="none" w:sz="0" w:space="0" w:color="auto"/>
      </w:divBdr>
    </w:div>
    <w:div w:id="1041248649">
      <w:bodyDiv w:val="1"/>
      <w:marLeft w:val="0"/>
      <w:marRight w:val="0"/>
      <w:marTop w:val="0"/>
      <w:marBottom w:val="0"/>
      <w:divBdr>
        <w:top w:val="none" w:sz="0" w:space="0" w:color="auto"/>
        <w:left w:val="none" w:sz="0" w:space="0" w:color="auto"/>
        <w:bottom w:val="none" w:sz="0" w:space="0" w:color="auto"/>
        <w:right w:val="none" w:sz="0" w:space="0" w:color="auto"/>
      </w:divBdr>
    </w:div>
    <w:div w:id="1053231719">
      <w:bodyDiv w:val="1"/>
      <w:marLeft w:val="0"/>
      <w:marRight w:val="0"/>
      <w:marTop w:val="0"/>
      <w:marBottom w:val="0"/>
      <w:divBdr>
        <w:top w:val="none" w:sz="0" w:space="0" w:color="auto"/>
        <w:left w:val="none" w:sz="0" w:space="0" w:color="auto"/>
        <w:bottom w:val="none" w:sz="0" w:space="0" w:color="auto"/>
        <w:right w:val="none" w:sz="0" w:space="0" w:color="auto"/>
      </w:divBdr>
    </w:div>
    <w:div w:id="1072389381">
      <w:bodyDiv w:val="1"/>
      <w:marLeft w:val="0"/>
      <w:marRight w:val="0"/>
      <w:marTop w:val="0"/>
      <w:marBottom w:val="0"/>
      <w:divBdr>
        <w:top w:val="none" w:sz="0" w:space="0" w:color="auto"/>
        <w:left w:val="none" w:sz="0" w:space="0" w:color="auto"/>
        <w:bottom w:val="none" w:sz="0" w:space="0" w:color="auto"/>
        <w:right w:val="none" w:sz="0" w:space="0" w:color="auto"/>
      </w:divBdr>
    </w:div>
    <w:div w:id="1110781034">
      <w:bodyDiv w:val="1"/>
      <w:marLeft w:val="0"/>
      <w:marRight w:val="0"/>
      <w:marTop w:val="0"/>
      <w:marBottom w:val="0"/>
      <w:divBdr>
        <w:top w:val="none" w:sz="0" w:space="0" w:color="auto"/>
        <w:left w:val="none" w:sz="0" w:space="0" w:color="auto"/>
        <w:bottom w:val="none" w:sz="0" w:space="0" w:color="auto"/>
        <w:right w:val="none" w:sz="0" w:space="0" w:color="auto"/>
      </w:divBdr>
    </w:div>
    <w:div w:id="1112631095">
      <w:bodyDiv w:val="1"/>
      <w:marLeft w:val="0"/>
      <w:marRight w:val="0"/>
      <w:marTop w:val="0"/>
      <w:marBottom w:val="0"/>
      <w:divBdr>
        <w:top w:val="none" w:sz="0" w:space="0" w:color="auto"/>
        <w:left w:val="none" w:sz="0" w:space="0" w:color="auto"/>
        <w:bottom w:val="none" w:sz="0" w:space="0" w:color="auto"/>
        <w:right w:val="none" w:sz="0" w:space="0" w:color="auto"/>
      </w:divBdr>
    </w:div>
    <w:div w:id="1132089706">
      <w:bodyDiv w:val="1"/>
      <w:marLeft w:val="0"/>
      <w:marRight w:val="0"/>
      <w:marTop w:val="0"/>
      <w:marBottom w:val="0"/>
      <w:divBdr>
        <w:top w:val="none" w:sz="0" w:space="0" w:color="auto"/>
        <w:left w:val="none" w:sz="0" w:space="0" w:color="auto"/>
        <w:bottom w:val="none" w:sz="0" w:space="0" w:color="auto"/>
        <w:right w:val="none" w:sz="0" w:space="0" w:color="auto"/>
      </w:divBdr>
    </w:div>
    <w:div w:id="1138960602">
      <w:bodyDiv w:val="1"/>
      <w:marLeft w:val="0"/>
      <w:marRight w:val="0"/>
      <w:marTop w:val="0"/>
      <w:marBottom w:val="0"/>
      <w:divBdr>
        <w:top w:val="none" w:sz="0" w:space="0" w:color="auto"/>
        <w:left w:val="none" w:sz="0" w:space="0" w:color="auto"/>
        <w:bottom w:val="none" w:sz="0" w:space="0" w:color="auto"/>
        <w:right w:val="none" w:sz="0" w:space="0" w:color="auto"/>
      </w:divBdr>
    </w:div>
    <w:div w:id="1144396357">
      <w:bodyDiv w:val="1"/>
      <w:marLeft w:val="0"/>
      <w:marRight w:val="0"/>
      <w:marTop w:val="0"/>
      <w:marBottom w:val="0"/>
      <w:divBdr>
        <w:top w:val="none" w:sz="0" w:space="0" w:color="auto"/>
        <w:left w:val="none" w:sz="0" w:space="0" w:color="auto"/>
        <w:bottom w:val="none" w:sz="0" w:space="0" w:color="auto"/>
        <w:right w:val="none" w:sz="0" w:space="0" w:color="auto"/>
      </w:divBdr>
    </w:div>
    <w:div w:id="1159157590">
      <w:bodyDiv w:val="1"/>
      <w:marLeft w:val="0"/>
      <w:marRight w:val="0"/>
      <w:marTop w:val="0"/>
      <w:marBottom w:val="0"/>
      <w:divBdr>
        <w:top w:val="none" w:sz="0" w:space="0" w:color="auto"/>
        <w:left w:val="none" w:sz="0" w:space="0" w:color="auto"/>
        <w:bottom w:val="none" w:sz="0" w:space="0" w:color="auto"/>
        <w:right w:val="none" w:sz="0" w:space="0" w:color="auto"/>
      </w:divBdr>
    </w:div>
    <w:div w:id="1159926747">
      <w:bodyDiv w:val="1"/>
      <w:marLeft w:val="0"/>
      <w:marRight w:val="0"/>
      <w:marTop w:val="0"/>
      <w:marBottom w:val="0"/>
      <w:divBdr>
        <w:top w:val="none" w:sz="0" w:space="0" w:color="auto"/>
        <w:left w:val="none" w:sz="0" w:space="0" w:color="auto"/>
        <w:bottom w:val="none" w:sz="0" w:space="0" w:color="auto"/>
        <w:right w:val="none" w:sz="0" w:space="0" w:color="auto"/>
      </w:divBdr>
    </w:div>
    <w:div w:id="1162886759">
      <w:bodyDiv w:val="1"/>
      <w:marLeft w:val="0"/>
      <w:marRight w:val="0"/>
      <w:marTop w:val="0"/>
      <w:marBottom w:val="0"/>
      <w:divBdr>
        <w:top w:val="none" w:sz="0" w:space="0" w:color="auto"/>
        <w:left w:val="none" w:sz="0" w:space="0" w:color="auto"/>
        <w:bottom w:val="none" w:sz="0" w:space="0" w:color="auto"/>
        <w:right w:val="none" w:sz="0" w:space="0" w:color="auto"/>
      </w:divBdr>
    </w:div>
    <w:div w:id="1180579808">
      <w:bodyDiv w:val="1"/>
      <w:marLeft w:val="0"/>
      <w:marRight w:val="0"/>
      <w:marTop w:val="0"/>
      <w:marBottom w:val="0"/>
      <w:divBdr>
        <w:top w:val="none" w:sz="0" w:space="0" w:color="auto"/>
        <w:left w:val="none" w:sz="0" w:space="0" w:color="auto"/>
        <w:bottom w:val="none" w:sz="0" w:space="0" w:color="auto"/>
        <w:right w:val="none" w:sz="0" w:space="0" w:color="auto"/>
      </w:divBdr>
    </w:div>
    <w:div w:id="1199051075">
      <w:bodyDiv w:val="1"/>
      <w:marLeft w:val="0"/>
      <w:marRight w:val="0"/>
      <w:marTop w:val="0"/>
      <w:marBottom w:val="0"/>
      <w:divBdr>
        <w:top w:val="none" w:sz="0" w:space="0" w:color="auto"/>
        <w:left w:val="none" w:sz="0" w:space="0" w:color="auto"/>
        <w:bottom w:val="none" w:sz="0" w:space="0" w:color="auto"/>
        <w:right w:val="none" w:sz="0" w:space="0" w:color="auto"/>
      </w:divBdr>
    </w:div>
    <w:div w:id="1224833353">
      <w:bodyDiv w:val="1"/>
      <w:marLeft w:val="0"/>
      <w:marRight w:val="0"/>
      <w:marTop w:val="0"/>
      <w:marBottom w:val="0"/>
      <w:divBdr>
        <w:top w:val="none" w:sz="0" w:space="0" w:color="auto"/>
        <w:left w:val="none" w:sz="0" w:space="0" w:color="auto"/>
        <w:bottom w:val="none" w:sz="0" w:space="0" w:color="auto"/>
        <w:right w:val="none" w:sz="0" w:space="0" w:color="auto"/>
      </w:divBdr>
    </w:div>
    <w:div w:id="1237587940">
      <w:bodyDiv w:val="1"/>
      <w:marLeft w:val="0"/>
      <w:marRight w:val="0"/>
      <w:marTop w:val="0"/>
      <w:marBottom w:val="0"/>
      <w:divBdr>
        <w:top w:val="none" w:sz="0" w:space="0" w:color="auto"/>
        <w:left w:val="none" w:sz="0" w:space="0" w:color="auto"/>
        <w:bottom w:val="none" w:sz="0" w:space="0" w:color="auto"/>
        <w:right w:val="none" w:sz="0" w:space="0" w:color="auto"/>
      </w:divBdr>
    </w:div>
    <w:div w:id="1238242858">
      <w:bodyDiv w:val="1"/>
      <w:marLeft w:val="0"/>
      <w:marRight w:val="0"/>
      <w:marTop w:val="0"/>
      <w:marBottom w:val="0"/>
      <w:divBdr>
        <w:top w:val="none" w:sz="0" w:space="0" w:color="auto"/>
        <w:left w:val="none" w:sz="0" w:space="0" w:color="auto"/>
        <w:bottom w:val="none" w:sz="0" w:space="0" w:color="auto"/>
        <w:right w:val="none" w:sz="0" w:space="0" w:color="auto"/>
      </w:divBdr>
    </w:div>
    <w:div w:id="1238632807">
      <w:bodyDiv w:val="1"/>
      <w:marLeft w:val="0"/>
      <w:marRight w:val="0"/>
      <w:marTop w:val="0"/>
      <w:marBottom w:val="0"/>
      <w:divBdr>
        <w:top w:val="none" w:sz="0" w:space="0" w:color="auto"/>
        <w:left w:val="none" w:sz="0" w:space="0" w:color="auto"/>
        <w:bottom w:val="none" w:sz="0" w:space="0" w:color="auto"/>
        <w:right w:val="none" w:sz="0" w:space="0" w:color="auto"/>
      </w:divBdr>
    </w:div>
    <w:div w:id="1242329762">
      <w:bodyDiv w:val="1"/>
      <w:marLeft w:val="0"/>
      <w:marRight w:val="0"/>
      <w:marTop w:val="0"/>
      <w:marBottom w:val="0"/>
      <w:divBdr>
        <w:top w:val="none" w:sz="0" w:space="0" w:color="auto"/>
        <w:left w:val="none" w:sz="0" w:space="0" w:color="auto"/>
        <w:bottom w:val="none" w:sz="0" w:space="0" w:color="auto"/>
        <w:right w:val="none" w:sz="0" w:space="0" w:color="auto"/>
      </w:divBdr>
    </w:div>
    <w:div w:id="1243682360">
      <w:bodyDiv w:val="1"/>
      <w:marLeft w:val="0"/>
      <w:marRight w:val="0"/>
      <w:marTop w:val="0"/>
      <w:marBottom w:val="0"/>
      <w:divBdr>
        <w:top w:val="none" w:sz="0" w:space="0" w:color="auto"/>
        <w:left w:val="none" w:sz="0" w:space="0" w:color="auto"/>
        <w:bottom w:val="none" w:sz="0" w:space="0" w:color="auto"/>
        <w:right w:val="none" w:sz="0" w:space="0" w:color="auto"/>
      </w:divBdr>
    </w:div>
    <w:div w:id="1280994985">
      <w:bodyDiv w:val="1"/>
      <w:marLeft w:val="0"/>
      <w:marRight w:val="0"/>
      <w:marTop w:val="0"/>
      <w:marBottom w:val="0"/>
      <w:divBdr>
        <w:top w:val="none" w:sz="0" w:space="0" w:color="auto"/>
        <w:left w:val="none" w:sz="0" w:space="0" w:color="auto"/>
        <w:bottom w:val="none" w:sz="0" w:space="0" w:color="auto"/>
        <w:right w:val="none" w:sz="0" w:space="0" w:color="auto"/>
      </w:divBdr>
    </w:div>
    <w:div w:id="1289891155">
      <w:bodyDiv w:val="1"/>
      <w:marLeft w:val="0"/>
      <w:marRight w:val="0"/>
      <w:marTop w:val="0"/>
      <w:marBottom w:val="0"/>
      <w:divBdr>
        <w:top w:val="none" w:sz="0" w:space="0" w:color="auto"/>
        <w:left w:val="none" w:sz="0" w:space="0" w:color="auto"/>
        <w:bottom w:val="none" w:sz="0" w:space="0" w:color="auto"/>
        <w:right w:val="none" w:sz="0" w:space="0" w:color="auto"/>
      </w:divBdr>
    </w:div>
    <w:div w:id="1307396325">
      <w:bodyDiv w:val="1"/>
      <w:marLeft w:val="0"/>
      <w:marRight w:val="0"/>
      <w:marTop w:val="0"/>
      <w:marBottom w:val="0"/>
      <w:divBdr>
        <w:top w:val="none" w:sz="0" w:space="0" w:color="auto"/>
        <w:left w:val="none" w:sz="0" w:space="0" w:color="auto"/>
        <w:bottom w:val="none" w:sz="0" w:space="0" w:color="auto"/>
        <w:right w:val="none" w:sz="0" w:space="0" w:color="auto"/>
      </w:divBdr>
    </w:div>
    <w:div w:id="1309945186">
      <w:bodyDiv w:val="1"/>
      <w:marLeft w:val="0"/>
      <w:marRight w:val="0"/>
      <w:marTop w:val="0"/>
      <w:marBottom w:val="0"/>
      <w:divBdr>
        <w:top w:val="none" w:sz="0" w:space="0" w:color="auto"/>
        <w:left w:val="none" w:sz="0" w:space="0" w:color="auto"/>
        <w:bottom w:val="none" w:sz="0" w:space="0" w:color="auto"/>
        <w:right w:val="none" w:sz="0" w:space="0" w:color="auto"/>
      </w:divBdr>
    </w:div>
    <w:div w:id="1317805488">
      <w:bodyDiv w:val="1"/>
      <w:marLeft w:val="0"/>
      <w:marRight w:val="0"/>
      <w:marTop w:val="0"/>
      <w:marBottom w:val="0"/>
      <w:divBdr>
        <w:top w:val="none" w:sz="0" w:space="0" w:color="auto"/>
        <w:left w:val="none" w:sz="0" w:space="0" w:color="auto"/>
        <w:bottom w:val="none" w:sz="0" w:space="0" w:color="auto"/>
        <w:right w:val="none" w:sz="0" w:space="0" w:color="auto"/>
      </w:divBdr>
    </w:div>
    <w:div w:id="1321078511">
      <w:bodyDiv w:val="1"/>
      <w:marLeft w:val="0"/>
      <w:marRight w:val="0"/>
      <w:marTop w:val="0"/>
      <w:marBottom w:val="0"/>
      <w:divBdr>
        <w:top w:val="none" w:sz="0" w:space="0" w:color="auto"/>
        <w:left w:val="none" w:sz="0" w:space="0" w:color="auto"/>
        <w:bottom w:val="none" w:sz="0" w:space="0" w:color="auto"/>
        <w:right w:val="none" w:sz="0" w:space="0" w:color="auto"/>
      </w:divBdr>
    </w:div>
    <w:div w:id="1324240216">
      <w:bodyDiv w:val="1"/>
      <w:marLeft w:val="0"/>
      <w:marRight w:val="0"/>
      <w:marTop w:val="0"/>
      <w:marBottom w:val="0"/>
      <w:divBdr>
        <w:top w:val="none" w:sz="0" w:space="0" w:color="auto"/>
        <w:left w:val="none" w:sz="0" w:space="0" w:color="auto"/>
        <w:bottom w:val="none" w:sz="0" w:space="0" w:color="auto"/>
        <w:right w:val="none" w:sz="0" w:space="0" w:color="auto"/>
      </w:divBdr>
    </w:div>
    <w:div w:id="1327199557">
      <w:bodyDiv w:val="1"/>
      <w:marLeft w:val="0"/>
      <w:marRight w:val="0"/>
      <w:marTop w:val="0"/>
      <w:marBottom w:val="0"/>
      <w:divBdr>
        <w:top w:val="none" w:sz="0" w:space="0" w:color="auto"/>
        <w:left w:val="none" w:sz="0" w:space="0" w:color="auto"/>
        <w:bottom w:val="none" w:sz="0" w:space="0" w:color="auto"/>
        <w:right w:val="none" w:sz="0" w:space="0" w:color="auto"/>
      </w:divBdr>
    </w:div>
    <w:div w:id="1330910984">
      <w:bodyDiv w:val="1"/>
      <w:marLeft w:val="0"/>
      <w:marRight w:val="0"/>
      <w:marTop w:val="0"/>
      <w:marBottom w:val="0"/>
      <w:divBdr>
        <w:top w:val="none" w:sz="0" w:space="0" w:color="auto"/>
        <w:left w:val="none" w:sz="0" w:space="0" w:color="auto"/>
        <w:bottom w:val="none" w:sz="0" w:space="0" w:color="auto"/>
        <w:right w:val="none" w:sz="0" w:space="0" w:color="auto"/>
      </w:divBdr>
    </w:div>
    <w:div w:id="1348288843">
      <w:bodyDiv w:val="1"/>
      <w:marLeft w:val="0"/>
      <w:marRight w:val="0"/>
      <w:marTop w:val="0"/>
      <w:marBottom w:val="0"/>
      <w:divBdr>
        <w:top w:val="none" w:sz="0" w:space="0" w:color="auto"/>
        <w:left w:val="none" w:sz="0" w:space="0" w:color="auto"/>
        <w:bottom w:val="none" w:sz="0" w:space="0" w:color="auto"/>
        <w:right w:val="none" w:sz="0" w:space="0" w:color="auto"/>
      </w:divBdr>
    </w:div>
    <w:div w:id="1370572539">
      <w:bodyDiv w:val="1"/>
      <w:marLeft w:val="0"/>
      <w:marRight w:val="0"/>
      <w:marTop w:val="0"/>
      <w:marBottom w:val="0"/>
      <w:divBdr>
        <w:top w:val="none" w:sz="0" w:space="0" w:color="auto"/>
        <w:left w:val="none" w:sz="0" w:space="0" w:color="auto"/>
        <w:bottom w:val="none" w:sz="0" w:space="0" w:color="auto"/>
        <w:right w:val="none" w:sz="0" w:space="0" w:color="auto"/>
      </w:divBdr>
    </w:div>
    <w:div w:id="1378091057">
      <w:bodyDiv w:val="1"/>
      <w:marLeft w:val="0"/>
      <w:marRight w:val="0"/>
      <w:marTop w:val="0"/>
      <w:marBottom w:val="0"/>
      <w:divBdr>
        <w:top w:val="none" w:sz="0" w:space="0" w:color="auto"/>
        <w:left w:val="none" w:sz="0" w:space="0" w:color="auto"/>
        <w:bottom w:val="none" w:sz="0" w:space="0" w:color="auto"/>
        <w:right w:val="none" w:sz="0" w:space="0" w:color="auto"/>
      </w:divBdr>
    </w:div>
    <w:div w:id="1428892832">
      <w:bodyDiv w:val="1"/>
      <w:marLeft w:val="0"/>
      <w:marRight w:val="0"/>
      <w:marTop w:val="0"/>
      <w:marBottom w:val="0"/>
      <w:divBdr>
        <w:top w:val="none" w:sz="0" w:space="0" w:color="auto"/>
        <w:left w:val="none" w:sz="0" w:space="0" w:color="auto"/>
        <w:bottom w:val="none" w:sz="0" w:space="0" w:color="auto"/>
        <w:right w:val="none" w:sz="0" w:space="0" w:color="auto"/>
      </w:divBdr>
    </w:div>
    <w:div w:id="1469011464">
      <w:bodyDiv w:val="1"/>
      <w:marLeft w:val="0"/>
      <w:marRight w:val="0"/>
      <w:marTop w:val="0"/>
      <w:marBottom w:val="0"/>
      <w:divBdr>
        <w:top w:val="none" w:sz="0" w:space="0" w:color="auto"/>
        <w:left w:val="none" w:sz="0" w:space="0" w:color="auto"/>
        <w:bottom w:val="none" w:sz="0" w:space="0" w:color="auto"/>
        <w:right w:val="none" w:sz="0" w:space="0" w:color="auto"/>
      </w:divBdr>
    </w:div>
    <w:div w:id="1477448629">
      <w:bodyDiv w:val="1"/>
      <w:marLeft w:val="0"/>
      <w:marRight w:val="0"/>
      <w:marTop w:val="0"/>
      <w:marBottom w:val="0"/>
      <w:divBdr>
        <w:top w:val="none" w:sz="0" w:space="0" w:color="auto"/>
        <w:left w:val="none" w:sz="0" w:space="0" w:color="auto"/>
        <w:bottom w:val="none" w:sz="0" w:space="0" w:color="auto"/>
        <w:right w:val="none" w:sz="0" w:space="0" w:color="auto"/>
      </w:divBdr>
    </w:div>
    <w:div w:id="1490250632">
      <w:bodyDiv w:val="1"/>
      <w:marLeft w:val="0"/>
      <w:marRight w:val="0"/>
      <w:marTop w:val="0"/>
      <w:marBottom w:val="0"/>
      <w:divBdr>
        <w:top w:val="none" w:sz="0" w:space="0" w:color="auto"/>
        <w:left w:val="none" w:sz="0" w:space="0" w:color="auto"/>
        <w:bottom w:val="none" w:sz="0" w:space="0" w:color="auto"/>
        <w:right w:val="none" w:sz="0" w:space="0" w:color="auto"/>
      </w:divBdr>
    </w:div>
    <w:div w:id="1506551620">
      <w:bodyDiv w:val="1"/>
      <w:marLeft w:val="0"/>
      <w:marRight w:val="0"/>
      <w:marTop w:val="0"/>
      <w:marBottom w:val="0"/>
      <w:divBdr>
        <w:top w:val="none" w:sz="0" w:space="0" w:color="auto"/>
        <w:left w:val="none" w:sz="0" w:space="0" w:color="auto"/>
        <w:bottom w:val="none" w:sz="0" w:space="0" w:color="auto"/>
        <w:right w:val="none" w:sz="0" w:space="0" w:color="auto"/>
      </w:divBdr>
    </w:div>
    <w:div w:id="1515731657">
      <w:bodyDiv w:val="1"/>
      <w:marLeft w:val="0"/>
      <w:marRight w:val="0"/>
      <w:marTop w:val="0"/>
      <w:marBottom w:val="0"/>
      <w:divBdr>
        <w:top w:val="none" w:sz="0" w:space="0" w:color="auto"/>
        <w:left w:val="none" w:sz="0" w:space="0" w:color="auto"/>
        <w:bottom w:val="none" w:sz="0" w:space="0" w:color="auto"/>
        <w:right w:val="none" w:sz="0" w:space="0" w:color="auto"/>
      </w:divBdr>
    </w:div>
    <w:div w:id="1544905872">
      <w:bodyDiv w:val="1"/>
      <w:marLeft w:val="0"/>
      <w:marRight w:val="0"/>
      <w:marTop w:val="0"/>
      <w:marBottom w:val="0"/>
      <w:divBdr>
        <w:top w:val="none" w:sz="0" w:space="0" w:color="auto"/>
        <w:left w:val="none" w:sz="0" w:space="0" w:color="auto"/>
        <w:bottom w:val="none" w:sz="0" w:space="0" w:color="auto"/>
        <w:right w:val="none" w:sz="0" w:space="0" w:color="auto"/>
      </w:divBdr>
    </w:div>
    <w:div w:id="1547911446">
      <w:bodyDiv w:val="1"/>
      <w:marLeft w:val="0"/>
      <w:marRight w:val="0"/>
      <w:marTop w:val="0"/>
      <w:marBottom w:val="0"/>
      <w:divBdr>
        <w:top w:val="none" w:sz="0" w:space="0" w:color="auto"/>
        <w:left w:val="none" w:sz="0" w:space="0" w:color="auto"/>
        <w:bottom w:val="none" w:sz="0" w:space="0" w:color="auto"/>
        <w:right w:val="none" w:sz="0" w:space="0" w:color="auto"/>
      </w:divBdr>
    </w:div>
    <w:div w:id="1549340968">
      <w:bodyDiv w:val="1"/>
      <w:marLeft w:val="0"/>
      <w:marRight w:val="0"/>
      <w:marTop w:val="0"/>
      <w:marBottom w:val="0"/>
      <w:divBdr>
        <w:top w:val="none" w:sz="0" w:space="0" w:color="auto"/>
        <w:left w:val="none" w:sz="0" w:space="0" w:color="auto"/>
        <w:bottom w:val="none" w:sz="0" w:space="0" w:color="auto"/>
        <w:right w:val="none" w:sz="0" w:space="0" w:color="auto"/>
      </w:divBdr>
    </w:div>
    <w:div w:id="1550417912">
      <w:bodyDiv w:val="1"/>
      <w:marLeft w:val="0"/>
      <w:marRight w:val="0"/>
      <w:marTop w:val="0"/>
      <w:marBottom w:val="0"/>
      <w:divBdr>
        <w:top w:val="none" w:sz="0" w:space="0" w:color="auto"/>
        <w:left w:val="none" w:sz="0" w:space="0" w:color="auto"/>
        <w:bottom w:val="none" w:sz="0" w:space="0" w:color="auto"/>
        <w:right w:val="none" w:sz="0" w:space="0" w:color="auto"/>
      </w:divBdr>
    </w:div>
    <w:div w:id="1555577168">
      <w:bodyDiv w:val="1"/>
      <w:marLeft w:val="0"/>
      <w:marRight w:val="0"/>
      <w:marTop w:val="0"/>
      <w:marBottom w:val="0"/>
      <w:divBdr>
        <w:top w:val="none" w:sz="0" w:space="0" w:color="auto"/>
        <w:left w:val="none" w:sz="0" w:space="0" w:color="auto"/>
        <w:bottom w:val="none" w:sz="0" w:space="0" w:color="auto"/>
        <w:right w:val="none" w:sz="0" w:space="0" w:color="auto"/>
      </w:divBdr>
    </w:div>
    <w:div w:id="1574051367">
      <w:bodyDiv w:val="1"/>
      <w:marLeft w:val="0"/>
      <w:marRight w:val="0"/>
      <w:marTop w:val="0"/>
      <w:marBottom w:val="0"/>
      <w:divBdr>
        <w:top w:val="none" w:sz="0" w:space="0" w:color="auto"/>
        <w:left w:val="none" w:sz="0" w:space="0" w:color="auto"/>
        <w:bottom w:val="none" w:sz="0" w:space="0" w:color="auto"/>
        <w:right w:val="none" w:sz="0" w:space="0" w:color="auto"/>
      </w:divBdr>
    </w:div>
    <w:div w:id="1590500831">
      <w:bodyDiv w:val="1"/>
      <w:marLeft w:val="0"/>
      <w:marRight w:val="0"/>
      <w:marTop w:val="0"/>
      <w:marBottom w:val="0"/>
      <w:divBdr>
        <w:top w:val="none" w:sz="0" w:space="0" w:color="auto"/>
        <w:left w:val="none" w:sz="0" w:space="0" w:color="auto"/>
        <w:bottom w:val="none" w:sz="0" w:space="0" w:color="auto"/>
        <w:right w:val="none" w:sz="0" w:space="0" w:color="auto"/>
      </w:divBdr>
    </w:div>
    <w:div w:id="1604410347">
      <w:bodyDiv w:val="1"/>
      <w:marLeft w:val="0"/>
      <w:marRight w:val="0"/>
      <w:marTop w:val="0"/>
      <w:marBottom w:val="0"/>
      <w:divBdr>
        <w:top w:val="none" w:sz="0" w:space="0" w:color="auto"/>
        <w:left w:val="none" w:sz="0" w:space="0" w:color="auto"/>
        <w:bottom w:val="none" w:sz="0" w:space="0" w:color="auto"/>
        <w:right w:val="none" w:sz="0" w:space="0" w:color="auto"/>
      </w:divBdr>
    </w:div>
    <w:div w:id="1619680033">
      <w:bodyDiv w:val="1"/>
      <w:marLeft w:val="0"/>
      <w:marRight w:val="0"/>
      <w:marTop w:val="0"/>
      <w:marBottom w:val="0"/>
      <w:divBdr>
        <w:top w:val="none" w:sz="0" w:space="0" w:color="auto"/>
        <w:left w:val="none" w:sz="0" w:space="0" w:color="auto"/>
        <w:bottom w:val="none" w:sz="0" w:space="0" w:color="auto"/>
        <w:right w:val="none" w:sz="0" w:space="0" w:color="auto"/>
      </w:divBdr>
    </w:div>
    <w:div w:id="1620333145">
      <w:bodyDiv w:val="1"/>
      <w:marLeft w:val="0"/>
      <w:marRight w:val="0"/>
      <w:marTop w:val="0"/>
      <w:marBottom w:val="0"/>
      <w:divBdr>
        <w:top w:val="none" w:sz="0" w:space="0" w:color="auto"/>
        <w:left w:val="none" w:sz="0" w:space="0" w:color="auto"/>
        <w:bottom w:val="none" w:sz="0" w:space="0" w:color="auto"/>
        <w:right w:val="none" w:sz="0" w:space="0" w:color="auto"/>
      </w:divBdr>
    </w:div>
    <w:div w:id="1630430167">
      <w:bodyDiv w:val="1"/>
      <w:marLeft w:val="0"/>
      <w:marRight w:val="0"/>
      <w:marTop w:val="0"/>
      <w:marBottom w:val="0"/>
      <w:divBdr>
        <w:top w:val="none" w:sz="0" w:space="0" w:color="auto"/>
        <w:left w:val="none" w:sz="0" w:space="0" w:color="auto"/>
        <w:bottom w:val="none" w:sz="0" w:space="0" w:color="auto"/>
        <w:right w:val="none" w:sz="0" w:space="0" w:color="auto"/>
      </w:divBdr>
    </w:div>
    <w:div w:id="1654487999">
      <w:bodyDiv w:val="1"/>
      <w:marLeft w:val="0"/>
      <w:marRight w:val="0"/>
      <w:marTop w:val="0"/>
      <w:marBottom w:val="0"/>
      <w:divBdr>
        <w:top w:val="none" w:sz="0" w:space="0" w:color="auto"/>
        <w:left w:val="none" w:sz="0" w:space="0" w:color="auto"/>
        <w:bottom w:val="none" w:sz="0" w:space="0" w:color="auto"/>
        <w:right w:val="none" w:sz="0" w:space="0" w:color="auto"/>
      </w:divBdr>
    </w:div>
    <w:div w:id="1656109816">
      <w:bodyDiv w:val="1"/>
      <w:marLeft w:val="0"/>
      <w:marRight w:val="0"/>
      <w:marTop w:val="0"/>
      <w:marBottom w:val="0"/>
      <w:divBdr>
        <w:top w:val="none" w:sz="0" w:space="0" w:color="auto"/>
        <w:left w:val="none" w:sz="0" w:space="0" w:color="auto"/>
        <w:bottom w:val="none" w:sz="0" w:space="0" w:color="auto"/>
        <w:right w:val="none" w:sz="0" w:space="0" w:color="auto"/>
      </w:divBdr>
    </w:div>
    <w:div w:id="1658681907">
      <w:bodyDiv w:val="1"/>
      <w:marLeft w:val="0"/>
      <w:marRight w:val="0"/>
      <w:marTop w:val="0"/>
      <w:marBottom w:val="0"/>
      <w:divBdr>
        <w:top w:val="none" w:sz="0" w:space="0" w:color="auto"/>
        <w:left w:val="none" w:sz="0" w:space="0" w:color="auto"/>
        <w:bottom w:val="none" w:sz="0" w:space="0" w:color="auto"/>
        <w:right w:val="none" w:sz="0" w:space="0" w:color="auto"/>
      </w:divBdr>
    </w:div>
    <w:div w:id="1659115006">
      <w:bodyDiv w:val="1"/>
      <w:marLeft w:val="0"/>
      <w:marRight w:val="0"/>
      <w:marTop w:val="0"/>
      <w:marBottom w:val="0"/>
      <w:divBdr>
        <w:top w:val="none" w:sz="0" w:space="0" w:color="auto"/>
        <w:left w:val="none" w:sz="0" w:space="0" w:color="auto"/>
        <w:bottom w:val="none" w:sz="0" w:space="0" w:color="auto"/>
        <w:right w:val="none" w:sz="0" w:space="0" w:color="auto"/>
      </w:divBdr>
    </w:div>
    <w:div w:id="1659575815">
      <w:bodyDiv w:val="1"/>
      <w:marLeft w:val="0"/>
      <w:marRight w:val="0"/>
      <w:marTop w:val="0"/>
      <w:marBottom w:val="0"/>
      <w:divBdr>
        <w:top w:val="none" w:sz="0" w:space="0" w:color="auto"/>
        <w:left w:val="none" w:sz="0" w:space="0" w:color="auto"/>
        <w:bottom w:val="none" w:sz="0" w:space="0" w:color="auto"/>
        <w:right w:val="none" w:sz="0" w:space="0" w:color="auto"/>
      </w:divBdr>
    </w:div>
    <w:div w:id="1676490431">
      <w:bodyDiv w:val="1"/>
      <w:marLeft w:val="0"/>
      <w:marRight w:val="0"/>
      <w:marTop w:val="0"/>
      <w:marBottom w:val="0"/>
      <w:divBdr>
        <w:top w:val="none" w:sz="0" w:space="0" w:color="auto"/>
        <w:left w:val="none" w:sz="0" w:space="0" w:color="auto"/>
        <w:bottom w:val="none" w:sz="0" w:space="0" w:color="auto"/>
        <w:right w:val="none" w:sz="0" w:space="0" w:color="auto"/>
      </w:divBdr>
    </w:div>
    <w:div w:id="1676761132">
      <w:bodyDiv w:val="1"/>
      <w:marLeft w:val="0"/>
      <w:marRight w:val="0"/>
      <w:marTop w:val="0"/>
      <w:marBottom w:val="0"/>
      <w:divBdr>
        <w:top w:val="none" w:sz="0" w:space="0" w:color="auto"/>
        <w:left w:val="none" w:sz="0" w:space="0" w:color="auto"/>
        <w:bottom w:val="none" w:sz="0" w:space="0" w:color="auto"/>
        <w:right w:val="none" w:sz="0" w:space="0" w:color="auto"/>
      </w:divBdr>
    </w:div>
    <w:div w:id="1690831809">
      <w:bodyDiv w:val="1"/>
      <w:marLeft w:val="0"/>
      <w:marRight w:val="0"/>
      <w:marTop w:val="0"/>
      <w:marBottom w:val="0"/>
      <w:divBdr>
        <w:top w:val="none" w:sz="0" w:space="0" w:color="auto"/>
        <w:left w:val="none" w:sz="0" w:space="0" w:color="auto"/>
        <w:bottom w:val="none" w:sz="0" w:space="0" w:color="auto"/>
        <w:right w:val="none" w:sz="0" w:space="0" w:color="auto"/>
      </w:divBdr>
    </w:div>
    <w:div w:id="1703823092">
      <w:bodyDiv w:val="1"/>
      <w:marLeft w:val="0"/>
      <w:marRight w:val="0"/>
      <w:marTop w:val="0"/>
      <w:marBottom w:val="0"/>
      <w:divBdr>
        <w:top w:val="none" w:sz="0" w:space="0" w:color="auto"/>
        <w:left w:val="none" w:sz="0" w:space="0" w:color="auto"/>
        <w:bottom w:val="none" w:sz="0" w:space="0" w:color="auto"/>
        <w:right w:val="none" w:sz="0" w:space="0" w:color="auto"/>
      </w:divBdr>
    </w:div>
    <w:div w:id="1711683445">
      <w:bodyDiv w:val="1"/>
      <w:marLeft w:val="0"/>
      <w:marRight w:val="0"/>
      <w:marTop w:val="0"/>
      <w:marBottom w:val="0"/>
      <w:divBdr>
        <w:top w:val="none" w:sz="0" w:space="0" w:color="auto"/>
        <w:left w:val="none" w:sz="0" w:space="0" w:color="auto"/>
        <w:bottom w:val="none" w:sz="0" w:space="0" w:color="auto"/>
        <w:right w:val="none" w:sz="0" w:space="0" w:color="auto"/>
      </w:divBdr>
    </w:div>
    <w:div w:id="1723629498">
      <w:bodyDiv w:val="1"/>
      <w:marLeft w:val="0"/>
      <w:marRight w:val="0"/>
      <w:marTop w:val="0"/>
      <w:marBottom w:val="0"/>
      <w:divBdr>
        <w:top w:val="none" w:sz="0" w:space="0" w:color="auto"/>
        <w:left w:val="none" w:sz="0" w:space="0" w:color="auto"/>
        <w:bottom w:val="none" w:sz="0" w:space="0" w:color="auto"/>
        <w:right w:val="none" w:sz="0" w:space="0" w:color="auto"/>
      </w:divBdr>
    </w:div>
    <w:div w:id="1724478838">
      <w:bodyDiv w:val="1"/>
      <w:marLeft w:val="0"/>
      <w:marRight w:val="0"/>
      <w:marTop w:val="0"/>
      <w:marBottom w:val="0"/>
      <w:divBdr>
        <w:top w:val="none" w:sz="0" w:space="0" w:color="auto"/>
        <w:left w:val="none" w:sz="0" w:space="0" w:color="auto"/>
        <w:bottom w:val="none" w:sz="0" w:space="0" w:color="auto"/>
        <w:right w:val="none" w:sz="0" w:space="0" w:color="auto"/>
      </w:divBdr>
    </w:div>
    <w:div w:id="1742945769">
      <w:bodyDiv w:val="1"/>
      <w:marLeft w:val="0"/>
      <w:marRight w:val="0"/>
      <w:marTop w:val="0"/>
      <w:marBottom w:val="0"/>
      <w:divBdr>
        <w:top w:val="none" w:sz="0" w:space="0" w:color="auto"/>
        <w:left w:val="none" w:sz="0" w:space="0" w:color="auto"/>
        <w:bottom w:val="none" w:sz="0" w:space="0" w:color="auto"/>
        <w:right w:val="none" w:sz="0" w:space="0" w:color="auto"/>
      </w:divBdr>
    </w:div>
    <w:div w:id="1747532008">
      <w:bodyDiv w:val="1"/>
      <w:marLeft w:val="0"/>
      <w:marRight w:val="0"/>
      <w:marTop w:val="0"/>
      <w:marBottom w:val="0"/>
      <w:divBdr>
        <w:top w:val="none" w:sz="0" w:space="0" w:color="auto"/>
        <w:left w:val="none" w:sz="0" w:space="0" w:color="auto"/>
        <w:bottom w:val="none" w:sz="0" w:space="0" w:color="auto"/>
        <w:right w:val="none" w:sz="0" w:space="0" w:color="auto"/>
      </w:divBdr>
    </w:div>
    <w:div w:id="1749423741">
      <w:bodyDiv w:val="1"/>
      <w:marLeft w:val="0"/>
      <w:marRight w:val="0"/>
      <w:marTop w:val="0"/>
      <w:marBottom w:val="0"/>
      <w:divBdr>
        <w:top w:val="none" w:sz="0" w:space="0" w:color="auto"/>
        <w:left w:val="none" w:sz="0" w:space="0" w:color="auto"/>
        <w:bottom w:val="none" w:sz="0" w:space="0" w:color="auto"/>
        <w:right w:val="none" w:sz="0" w:space="0" w:color="auto"/>
      </w:divBdr>
    </w:div>
    <w:div w:id="1759980489">
      <w:bodyDiv w:val="1"/>
      <w:marLeft w:val="0"/>
      <w:marRight w:val="0"/>
      <w:marTop w:val="0"/>
      <w:marBottom w:val="0"/>
      <w:divBdr>
        <w:top w:val="none" w:sz="0" w:space="0" w:color="auto"/>
        <w:left w:val="none" w:sz="0" w:space="0" w:color="auto"/>
        <w:bottom w:val="none" w:sz="0" w:space="0" w:color="auto"/>
        <w:right w:val="none" w:sz="0" w:space="0" w:color="auto"/>
      </w:divBdr>
    </w:div>
    <w:div w:id="1778477408">
      <w:bodyDiv w:val="1"/>
      <w:marLeft w:val="0"/>
      <w:marRight w:val="0"/>
      <w:marTop w:val="0"/>
      <w:marBottom w:val="0"/>
      <w:divBdr>
        <w:top w:val="none" w:sz="0" w:space="0" w:color="auto"/>
        <w:left w:val="none" w:sz="0" w:space="0" w:color="auto"/>
        <w:bottom w:val="none" w:sz="0" w:space="0" w:color="auto"/>
        <w:right w:val="none" w:sz="0" w:space="0" w:color="auto"/>
      </w:divBdr>
    </w:div>
    <w:div w:id="1812290613">
      <w:bodyDiv w:val="1"/>
      <w:marLeft w:val="0"/>
      <w:marRight w:val="0"/>
      <w:marTop w:val="0"/>
      <w:marBottom w:val="0"/>
      <w:divBdr>
        <w:top w:val="none" w:sz="0" w:space="0" w:color="auto"/>
        <w:left w:val="none" w:sz="0" w:space="0" w:color="auto"/>
        <w:bottom w:val="none" w:sz="0" w:space="0" w:color="auto"/>
        <w:right w:val="none" w:sz="0" w:space="0" w:color="auto"/>
      </w:divBdr>
    </w:div>
    <w:div w:id="1853179687">
      <w:bodyDiv w:val="1"/>
      <w:marLeft w:val="0"/>
      <w:marRight w:val="0"/>
      <w:marTop w:val="0"/>
      <w:marBottom w:val="0"/>
      <w:divBdr>
        <w:top w:val="none" w:sz="0" w:space="0" w:color="auto"/>
        <w:left w:val="none" w:sz="0" w:space="0" w:color="auto"/>
        <w:bottom w:val="none" w:sz="0" w:space="0" w:color="auto"/>
        <w:right w:val="none" w:sz="0" w:space="0" w:color="auto"/>
      </w:divBdr>
    </w:div>
    <w:div w:id="1854298066">
      <w:bodyDiv w:val="1"/>
      <w:marLeft w:val="0"/>
      <w:marRight w:val="0"/>
      <w:marTop w:val="0"/>
      <w:marBottom w:val="0"/>
      <w:divBdr>
        <w:top w:val="none" w:sz="0" w:space="0" w:color="auto"/>
        <w:left w:val="none" w:sz="0" w:space="0" w:color="auto"/>
        <w:bottom w:val="none" w:sz="0" w:space="0" w:color="auto"/>
        <w:right w:val="none" w:sz="0" w:space="0" w:color="auto"/>
      </w:divBdr>
    </w:div>
    <w:div w:id="1867912115">
      <w:bodyDiv w:val="1"/>
      <w:marLeft w:val="0"/>
      <w:marRight w:val="0"/>
      <w:marTop w:val="0"/>
      <w:marBottom w:val="0"/>
      <w:divBdr>
        <w:top w:val="none" w:sz="0" w:space="0" w:color="auto"/>
        <w:left w:val="none" w:sz="0" w:space="0" w:color="auto"/>
        <w:bottom w:val="none" w:sz="0" w:space="0" w:color="auto"/>
        <w:right w:val="none" w:sz="0" w:space="0" w:color="auto"/>
      </w:divBdr>
    </w:div>
    <w:div w:id="1883322336">
      <w:bodyDiv w:val="1"/>
      <w:marLeft w:val="0"/>
      <w:marRight w:val="0"/>
      <w:marTop w:val="0"/>
      <w:marBottom w:val="0"/>
      <w:divBdr>
        <w:top w:val="none" w:sz="0" w:space="0" w:color="auto"/>
        <w:left w:val="none" w:sz="0" w:space="0" w:color="auto"/>
        <w:bottom w:val="none" w:sz="0" w:space="0" w:color="auto"/>
        <w:right w:val="none" w:sz="0" w:space="0" w:color="auto"/>
      </w:divBdr>
    </w:div>
    <w:div w:id="1911844931">
      <w:bodyDiv w:val="1"/>
      <w:marLeft w:val="0"/>
      <w:marRight w:val="0"/>
      <w:marTop w:val="0"/>
      <w:marBottom w:val="0"/>
      <w:divBdr>
        <w:top w:val="none" w:sz="0" w:space="0" w:color="auto"/>
        <w:left w:val="none" w:sz="0" w:space="0" w:color="auto"/>
        <w:bottom w:val="none" w:sz="0" w:space="0" w:color="auto"/>
        <w:right w:val="none" w:sz="0" w:space="0" w:color="auto"/>
      </w:divBdr>
    </w:div>
    <w:div w:id="1925187124">
      <w:bodyDiv w:val="1"/>
      <w:marLeft w:val="0"/>
      <w:marRight w:val="0"/>
      <w:marTop w:val="0"/>
      <w:marBottom w:val="0"/>
      <w:divBdr>
        <w:top w:val="none" w:sz="0" w:space="0" w:color="auto"/>
        <w:left w:val="none" w:sz="0" w:space="0" w:color="auto"/>
        <w:bottom w:val="none" w:sz="0" w:space="0" w:color="auto"/>
        <w:right w:val="none" w:sz="0" w:space="0" w:color="auto"/>
      </w:divBdr>
    </w:div>
    <w:div w:id="1926839585">
      <w:bodyDiv w:val="1"/>
      <w:marLeft w:val="0"/>
      <w:marRight w:val="0"/>
      <w:marTop w:val="0"/>
      <w:marBottom w:val="0"/>
      <w:divBdr>
        <w:top w:val="none" w:sz="0" w:space="0" w:color="auto"/>
        <w:left w:val="none" w:sz="0" w:space="0" w:color="auto"/>
        <w:bottom w:val="none" w:sz="0" w:space="0" w:color="auto"/>
        <w:right w:val="none" w:sz="0" w:space="0" w:color="auto"/>
      </w:divBdr>
    </w:div>
    <w:div w:id="1927305216">
      <w:bodyDiv w:val="1"/>
      <w:marLeft w:val="0"/>
      <w:marRight w:val="0"/>
      <w:marTop w:val="0"/>
      <w:marBottom w:val="0"/>
      <w:divBdr>
        <w:top w:val="none" w:sz="0" w:space="0" w:color="auto"/>
        <w:left w:val="none" w:sz="0" w:space="0" w:color="auto"/>
        <w:bottom w:val="none" w:sz="0" w:space="0" w:color="auto"/>
        <w:right w:val="none" w:sz="0" w:space="0" w:color="auto"/>
      </w:divBdr>
    </w:div>
    <w:div w:id="1934392800">
      <w:bodyDiv w:val="1"/>
      <w:marLeft w:val="0"/>
      <w:marRight w:val="0"/>
      <w:marTop w:val="0"/>
      <w:marBottom w:val="0"/>
      <w:divBdr>
        <w:top w:val="none" w:sz="0" w:space="0" w:color="auto"/>
        <w:left w:val="none" w:sz="0" w:space="0" w:color="auto"/>
        <w:bottom w:val="none" w:sz="0" w:space="0" w:color="auto"/>
        <w:right w:val="none" w:sz="0" w:space="0" w:color="auto"/>
      </w:divBdr>
    </w:div>
    <w:div w:id="1938172442">
      <w:bodyDiv w:val="1"/>
      <w:marLeft w:val="0"/>
      <w:marRight w:val="0"/>
      <w:marTop w:val="0"/>
      <w:marBottom w:val="0"/>
      <w:divBdr>
        <w:top w:val="none" w:sz="0" w:space="0" w:color="auto"/>
        <w:left w:val="none" w:sz="0" w:space="0" w:color="auto"/>
        <w:bottom w:val="none" w:sz="0" w:space="0" w:color="auto"/>
        <w:right w:val="none" w:sz="0" w:space="0" w:color="auto"/>
      </w:divBdr>
    </w:div>
    <w:div w:id="1938443913">
      <w:bodyDiv w:val="1"/>
      <w:marLeft w:val="0"/>
      <w:marRight w:val="0"/>
      <w:marTop w:val="0"/>
      <w:marBottom w:val="0"/>
      <w:divBdr>
        <w:top w:val="none" w:sz="0" w:space="0" w:color="auto"/>
        <w:left w:val="none" w:sz="0" w:space="0" w:color="auto"/>
        <w:bottom w:val="none" w:sz="0" w:space="0" w:color="auto"/>
        <w:right w:val="none" w:sz="0" w:space="0" w:color="auto"/>
      </w:divBdr>
    </w:div>
    <w:div w:id="1952469569">
      <w:bodyDiv w:val="1"/>
      <w:marLeft w:val="0"/>
      <w:marRight w:val="0"/>
      <w:marTop w:val="0"/>
      <w:marBottom w:val="0"/>
      <w:divBdr>
        <w:top w:val="none" w:sz="0" w:space="0" w:color="auto"/>
        <w:left w:val="none" w:sz="0" w:space="0" w:color="auto"/>
        <w:bottom w:val="none" w:sz="0" w:space="0" w:color="auto"/>
        <w:right w:val="none" w:sz="0" w:space="0" w:color="auto"/>
      </w:divBdr>
    </w:div>
    <w:div w:id="1988851434">
      <w:bodyDiv w:val="1"/>
      <w:marLeft w:val="0"/>
      <w:marRight w:val="0"/>
      <w:marTop w:val="0"/>
      <w:marBottom w:val="0"/>
      <w:divBdr>
        <w:top w:val="none" w:sz="0" w:space="0" w:color="auto"/>
        <w:left w:val="none" w:sz="0" w:space="0" w:color="auto"/>
        <w:bottom w:val="none" w:sz="0" w:space="0" w:color="auto"/>
        <w:right w:val="none" w:sz="0" w:space="0" w:color="auto"/>
      </w:divBdr>
    </w:div>
    <w:div w:id="1995403705">
      <w:bodyDiv w:val="1"/>
      <w:marLeft w:val="0"/>
      <w:marRight w:val="0"/>
      <w:marTop w:val="0"/>
      <w:marBottom w:val="0"/>
      <w:divBdr>
        <w:top w:val="none" w:sz="0" w:space="0" w:color="auto"/>
        <w:left w:val="none" w:sz="0" w:space="0" w:color="auto"/>
        <w:bottom w:val="none" w:sz="0" w:space="0" w:color="auto"/>
        <w:right w:val="none" w:sz="0" w:space="0" w:color="auto"/>
      </w:divBdr>
    </w:div>
    <w:div w:id="1997150925">
      <w:bodyDiv w:val="1"/>
      <w:marLeft w:val="0"/>
      <w:marRight w:val="0"/>
      <w:marTop w:val="0"/>
      <w:marBottom w:val="0"/>
      <w:divBdr>
        <w:top w:val="none" w:sz="0" w:space="0" w:color="auto"/>
        <w:left w:val="none" w:sz="0" w:space="0" w:color="auto"/>
        <w:bottom w:val="none" w:sz="0" w:space="0" w:color="auto"/>
        <w:right w:val="none" w:sz="0" w:space="0" w:color="auto"/>
      </w:divBdr>
    </w:div>
    <w:div w:id="2002194459">
      <w:bodyDiv w:val="1"/>
      <w:marLeft w:val="0"/>
      <w:marRight w:val="0"/>
      <w:marTop w:val="0"/>
      <w:marBottom w:val="0"/>
      <w:divBdr>
        <w:top w:val="none" w:sz="0" w:space="0" w:color="auto"/>
        <w:left w:val="none" w:sz="0" w:space="0" w:color="auto"/>
        <w:bottom w:val="none" w:sz="0" w:space="0" w:color="auto"/>
        <w:right w:val="none" w:sz="0" w:space="0" w:color="auto"/>
      </w:divBdr>
    </w:div>
    <w:div w:id="2005208134">
      <w:bodyDiv w:val="1"/>
      <w:marLeft w:val="0"/>
      <w:marRight w:val="0"/>
      <w:marTop w:val="0"/>
      <w:marBottom w:val="0"/>
      <w:divBdr>
        <w:top w:val="none" w:sz="0" w:space="0" w:color="auto"/>
        <w:left w:val="none" w:sz="0" w:space="0" w:color="auto"/>
        <w:bottom w:val="none" w:sz="0" w:space="0" w:color="auto"/>
        <w:right w:val="none" w:sz="0" w:space="0" w:color="auto"/>
      </w:divBdr>
    </w:div>
    <w:div w:id="2033727772">
      <w:bodyDiv w:val="1"/>
      <w:marLeft w:val="0"/>
      <w:marRight w:val="0"/>
      <w:marTop w:val="0"/>
      <w:marBottom w:val="0"/>
      <w:divBdr>
        <w:top w:val="none" w:sz="0" w:space="0" w:color="auto"/>
        <w:left w:val="none" w:sz="0" w:space="0" w:color="auto"/>
        <w:bottom w:val="none" w:sz="0" w:space="0" w:color="auto"/>
        <w:right w:val="none" w:sz="0" w:space="0" w:color="auto"/>
      </w:divBdr>
    </w:div>
    <w:div w:id="2038307946">
      <w:bodyDiv w:val="1"/>
      <w:marLeft w:val="0"/>
      <w:marRight w:val="0"/>
      <w:marTop w:val="0"/>
      <w:marBottom w:val="0"/>
      <w:divBdr>
        <w:top w:val="none" w:sz="0" w:space="0" w:color="auto"/>
        <w:left w:val="none" w:sz="0" w:space="0" w:color="auto"/>
        <w:bottom w:val="none" w:sz="0" w:space="0" w:color="auto"/>
        <w:right w:val="none" w:sz="0" w:space="0" w:color="auto"/>
      </w:divBdr>
    </w:div>
    <w:div w:id="2053843409">
      <w:bodyDiv w:val="1"/>
      <w:marLeft w:val="0"/>
      <w:marRight w:val="0"/>
      <w:marTop w:val="0"/>
      <w:marBottom w:val="0"/>
      <w:divBdr>
        <w:top w:val="none" w:sz="0" w:space="0" w:color="auto"/>
        <w:left w:val="none" w:sz="0" w:space="0" w:color="auto"/>
        <w:bottom w:val="none" w:sz="0" w:space="0" w:color="auto"/>
        <w:right w:val="none" w:sz="0" w:space="0" w:color="auto"/>
      </w:divBdr>
    </w:div>
    <w:div w:id="2077898448">
      <w:bodyDiv w:val="1"/>
      <w:marLeft w:val="0"/>
      <w:marRight w:val="0"/>
      <w:marTop w:val="0"/>
      <w:marBottom w:val="0"/>
      <w:divBdr>
        <w:top w:val="none" w:sz="0" w:space="0" w:color="auto"/>
        <w:left w:val="none" w:sz="0" w:space="0" w:color="auto"/>
        <w:bottom w:val="none" w:sz="0" w:space="0" w:color="auto"/>
        <w:right w:val="none" w:sz="0" w:space="0" w:color="auto"/>
      </w:divBdr>
    </w:div>
    <w:div w:id="2084450168">
      <w:bodyDiv w:val="1"/>
      <w:marLeft w:val="0"/>
      <w:marRight w:val="0"/>
      <w:marTop w:val="0"/>
      <w:marBottom w:val="0"/>
      <w:divBdr>
        <w:top w:val="none" w:sz="0" w:space="0" w:color="auto"/>
        <w:left w:val="none" w:sz="0" w:space="0" w:color="auto"/>
        <w:bottom w:val="none" w:sz="0" w:space="0" w:color="auto"/>
        <w:right w:val="none" w:sz="0" w:space="0" w:color="auto"/>
      </w:divBdr>
    </w:div>
    <w:div w:id="2111855974">
      <w:bodyDiv w:val="1"/>
      <w:marLeft w:val="0"/>
      <w:marRight w:val="0"/>
      <w:marTop w:val="0"/>
      <w:marBottom w:val="0"/>
      <w:divBdr>
        <w:top w:val="none" w:sz="0" w:space="0" w:color="auto"/>
        <w:left w:val="none" w:sz="0" w:space="0" w:color="auto"/>
        <w:bottom w:val="none" w:sz="0" w:space="0" w:color="auto"/>
        <w:right w:val="none" w:sz="0" w:space="0" w:color="auto"/>
      </w:divBdr>
    </w:div>
    <w:div w:id="2138182244">
      <w:bodyDiv w:val="1"/>
      <w:marLeft w:val="0"/>
      <w:marRight w:val="0"/>
      <w:marTop w:val="0"/>
      <w:marBottom w:val="0"/>
      <w:divBdr>
        <w:top w:val="none" w:sz="0" w:space="0" w:color="auto"/>
        <w:left w:val="none" w:sz="0" w:space="0" w:color="auto"/>
        <w:bottom w:val="none" w:sz="0" w:space="0" w:color="auto"/>
        <w:right w:val="none" w:sz="0" w:space="0" w:color="auto"/>
      </w:divBdr>
    </w:div>
    <w:div w:id="2146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C91708-B9DB-439B-B7A5-D0A1B7D6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175</Pages>
  <Words>20095</Words>
  <Characters>114548</Characters>
  <Application>Microsoft Office Word</Application>
  <DocSecurity>0</DocSecurity>
  <Lines>954</Lines>
  <Paragraphs>268</Paragraphs>
  <ScaleCrop>false</ScaleCrop>
  <Company>易方达基金管理有限公司</Company>
  <LinksUpToDate>false</LinksUpToDate>
  <CharactersWithSpaces>134375</CharactersWithSpaces>
  <SharedDoc>false</SharedDoc>
  <HLinks>
    <vt:vector size="822" baseType="variant">
      <vt:variant>
        <vt:i4>6160454</vt:i4>
      </vt:variant>
      <vt:variant>
        <vt:i4>834</vt:i4>
      </vt:variant>
      <vt:variant>
        <vt:i4>0</vt:i4>
      </vt:variant>
      <vt:variant>
        <vt:i4>5</vt:i4>
      </vt:variant>
      <vt:variant>
        <vt:lpwstr>http://www.efunds.com.cn/</vt:lpwstr>
      </vt:variant>
      <vt:variant>
        <vt:lpwstr/>
      </vt:variant>
      <vt:variant>
        <vt:i4>6160454</vt:i4>
      </vt:variant>
      <vt:variant>
        <vt:i4>813</vt:i4>
      </vt:variant>
      <vt:variant>
        <vt:i4>0</vt:i4>
      </vt:variant>
      <vt:variant>
        <vt:i4>5</vt:i4>
      </vt:variant>
      <vt:variant>
        <vt:lpwstr>http://www.efunds.com.cn/</vt:lpwstr>
      </vt:variant>
      <vt:variant>
        <vt:lpwstr/>
      </vt:variant>
      <vt:variant>
        <vt:i4>2031664</vt:i4>
      </vt:variant>
      <vt:variant>
        <vt:i4>806</vt:i4>
      </vt:variant>
      <vt:variant>
        <vt:i4>0</vt:i4>
      </vt:variant>
      <vt:variant>
        <vt:i4>5</vt:i4>
      </vt:variant>
      <vt:variant>
        <vt:lpwstr/>
      </vt:variant>
      <vt:variant>
        <vt:lpwstr>_Toc402449255</vt:lpwstr>
      </vt:variant>
      <vt:variant>
        <vt:i4>2031664</vt:i4>
      </vt:variant>
      <vt:variant>
        <vt:i4>800</vt:i4>
      </vt:variant>
      <vt:variant>
        <vt:i4>0</vt:i4>
      </vt:variant>
      <vt:variant>
        <vt:i4>5</vt:i4>
      </vt:variant>
      <vt:variant>
        <vt:lpwstr/>
      </vt:variant>
      <vt:variant>
        <vt:lpwstr>_Toc402449254</vt:lpwstr>
      </vt:variant>
      <vt:variant>
        <vt:i4>2031664</vt:i4>
      </vt:variant>
      <vt:variant>
        <vt:i4>794</vt:i4>
      </vt:variant>
      <vt:variant>
        <vt:i4>0</vt:i4>
      </vt:variant>
      <vt:variant>
        <vt:i4>5</vt:i4>
      </vt:variant>
      <vt:variant>
        <vt:lpwstr/>
      </vt:variant>
      <vt:variant>
        <vt:lpwstr>_Toc402449253</vt:lpwstr>
      </vt:variant>
      <vt:variant>
        <vt:i4>2031664</vt:i4>
      </vt:variant>
      <vt:variant>
        <vt:i4>788</vt:i4>
      </vt:variant>
      <vt:variant>
        <vt:i4>0</vt:i4>
      </vt:variant>
      <vt:variant>
        <vt:i4>5</vt:i4>
      </vt:variant>
      <vt:variant>
        <vt:lpwstr/>
      </vt:variant>
      <vt:variant>
        <vt:lpwstr>_Toc402449252</vt:lpwstr>
      </vt:variant>
      <vt:variant>
        <vt:i4>2031664</vt:i4>
      </vt:variant>
      <vt:variant>
        <vt:i4>782</vt:i4>
      </vt:variant>
      <vt:variant>
        <vt:i4>0</vt:i4>
      </vt:variant>
      <vt:variant>
        <vt:i4>5</vt:i4>
      </vt:variant>
      <vt:variant>
        <vt:lpwstr/>
      </vt:variant>
      <vt:variant>
        <vt:lpwstr>_Toc402449251</vt:lpwstr>
      </vt:variant>
      <vt:variant>
        <vt:i4>2031664</vt:i4>
      </vt:variant>
      <vt:variant>
        <vt:i4>776</vt:i4>
      </vt:variant>
      <vt:variant>
        <vt:i4>0</vt:i4>
      </vt:variant>
      <vt:variant>
        <vt:i4>5</vt:i4>
      </vt:variant>
      <vt:variant>
        <vt:lpwstr/>
      </vt:variant>
      <vt:variant>
        <vt:lpwstr>_Toc402449250</vt:lpwstr>
      </vt:variant>
      <vt:variant>
        <vt:i4>1966128</vt:i4>
      </vt:variant>
      <vt:variant>
        <vt:i4>770</vt:i4>
      </vt:variant>
      <vt:variant>
        <vt:i4>0</vt:i4>
      </vt:variant>
      <vt:variant>
        <vt:i4>5</vt:i4>
      </vt:variant>
      <vt:variant>
        <vt:lpwstr/>
      </vt:variant>
      <vt:variant>
        <vt:lpwstr>_Toc402449249</vt:lpwstr>
      </vt:variant>
      <vt:variant>
        <vt:i4>1966128</vt:i4>
      </vt:variant>
      <vt:variant>
        <vt:i4>764</vt:i4>
      </vt:variant>
      <vt:variant>
        <vt:i4>0</vt:i4>
      </vt:variant>
      <vt:variant>
        <vt:i4>5</vt:i4>
      </vt:variant>
      <vt:variant>
        <vt:lpwstr/>
      </vt:variant>
      <vt:variant>
        <vt:lpwstr>_Toc402449248</vt:lpwstr>
      </vt:variant>
      <vt:variant>
        <vt:i4>1966128</vt:i4>
      </vt:variant>
      <vt:variant>
        <vt:i4>758</vt:i4>
      </vt:variant>
      <vt:variant>
        <vt:i4>0</vt:i4>
      </vt:variant>
      <vt:variant>
        <vt:i4>5</vt:i4>
      </vt:variant>
      <vt:variant>
        <vt:lpwstr/>
      </vt:variant>
      <vt:variant>
        <vt:lpwstr>_Toc402449247</vt:lpwstr>
      </vt:variant>
      <vt:variant>
        <vt:i4>1966128</vt:i4>
      </vt:variant>
      <vt:variant>
        <vt:i4>752</vt:i4>
      </vt:variant>
      <vt:variant>
        <vt:i4>0</vt:i4>
      </vt:variant>
      <vt:variant>
        <vt:i4>5</vt:i4>
      </vt:variant>
      <vt:variant>
        <vt:lpwstr/>
      </vt:variant>
      <vt:variant>
        <vt:lpwstr>_Toc402449246</vt:lpwstr>
      </vt:variant>
      <vt:variant>
        <vt:i4>1966128</vt:i4>
      </vt:variant>
      <vt:variant>
        <vt:i4>746</vt:i4>
      </vt:variant>
      <vt:variant>
        <vt:i4>0</vt:i4>
      </vt:variant>
      <vt:variant>
        <vt:i4>5</vt:i4>
      </vt:variant>
      <vt:variant>
        <vt:lpwstr/>
      </vt:variant>
      <vt:variant>
        <vt:lpwstr>_Toc402449245</vt:lpwstr>
      </vt:variant>
      <vt:variant>
        <vt:i4>1966128</vt:i4>
      </vt:variant>
      <vt:variant>
        <vt:i4>740</vt:i4>
      </vt:variant>
      <vt:variant>
        <vt:i4>0</vt:i4>
      </vt:variant>
      <vt:variant>
        <vt:i4>5</vt:i4>
      </vt:variant>
      <vt:variant>
        <vt:lpwstr/>
      </vt:variant>
      <vt:variant>
        <vt:lpwstr>_Toc402449244</vt:lpwstr>
      </vt:variant>
      <vt:variant>
        <vt:i4>1966128</vt:i4>
      </vt:variant>
      <vt:variant>
        <vt:i4>734</vt:i4>
      </vt:variant>
      <vt:variant>
        <vt:i4>0</vt:i4>
      </vt:variant>
      <vt:variant>
        <vt:i4>5</vt:i4>
      </vt:variant>
      <vt:variant>
        <vt:lpwstr/>
      </vt:variant>
      <vt:variant>
        <vt:lpwstr>_Toc402449243</vt:lpwstr>
      </vt:variant>
      <vt:variant>
        <vt:i4>1966128</vt:i4>
      </vt:variant>
      <vt:variant>
        <vt:i4>728</vt:i4>
      </vt:variant>
      <vt:variant>
        <vt:i4>0</vt:i4>
      </vt:variant>
      <vt:variant>
        <vt:i4>5</vt:i4>
      </vt:variant>
      <vt:variant>
        <vt:lpwstr/>
      </vt:variant>
      <vt:variant>
        <vt:lpwstr>_Toc402449242</vt:lpwstr>
      </vt:variant>
      <vt:variant>
        <vt:i4>1966128</vt:i4>
      </vt:variant>
      <vt:variant>
        <vt:i4>722</vt:i4>
      </vt:variant>
      <vt:variant>
        <vt:i4>0</vt:i4>
      </vt:variant>
      <vt:variant>
        <vt:i4>5</vt:i4>
      </vt:variant>
      <vt:variant>
        <vt:lpwstr/>
      </vt:variant>
      <vt:variant>
        <vt:lpwstr>_Toc402449241</vt:lpwstr>
      </vt:variant>
      <vt:variant>
        <vt:i4>1966128</vt:i4>
      </vt:variant>
      <vt:variant>
        <vt:i4>716</vt:i4>
      </vt:variant>
      <vt:variant>
        <vt:i4>0</vt:i4>
      </vt:variant>
      <vt:variant>
        <vt:i4>5</vt:i4>
      </vt:variant>
      <vt:variant>
        <vt:lpwstr/>
      </vt:variant>
      <vt:variant>
        <vt:lpwstr>_Toc402449240</vt:lpwstr>
      </vt:variant>
      <vt:variant>
        <vt:i4>1638448</vt:i4>
      </vt:variant>
      <vt:variant>
        <vt:i4>710</vt:i4>
      </vt:variant>
      <vt:variant>
        <vt:i4>0</vt:i4>
      </vt:variant>
      <vt:variant>
        <vt:i4>5</vt:i4>
      </vt:variant>
      <vt:variant>
        <vt:lpwstr/>
      </vt:variant>
      <vt:variant>
        <vt:lpwstr>_Toc402449239</vt:lpwstr>
      </vt:variant>
      <vt:variant>
        <vt:i4>1638448</vt:i4>
      </vt:variant>
      <vt:variant>
        <vt:i4>704</vt:i4>
      </vt:variant>
      <vt:variant>
        <vt:i4>0</vt:i4>
      </vt:variant>
      <vt:variant>
        <vt:i4>5</vt:i4>
      </vt:variant>
      <vt:variant>
        <vt:lpwstr/>
      </vt:variant>
      <vt:variant>
        <vt:lpwstr>_Toc402449238</vt:lpwstr>
      </vt:variant>
      <vt:variant>
        <vt:i4>1638448</vt:i4>
      </vt:variant>
      <vt:variant>
        <vt:i4>698</vt:i4>
      </vt:variant>
      <vt:variant>
        <vt:i4>0</vt:i4>
      </vt:variant>
      <vt:variant>
        <vt:i4>5</vt:i4>
      </vt:variant>
      <vt:variant>
        <vt:lpwstr/>
      </vt:variant>
      <vt:variant>
        <vt:lpwstr>_Toc402449237</vt:lpwstr>
      </vt:variant>
      <vt:variant>
        <vt:i4>1638448</vt:i4>
      </vt:variant>
      <vt:variant>
        <vt:i4>692</vt:i4>
      </vt:variant>
      <vt:variant>
        <vt:i4>0</vt:i4>
      </vt:variant>
      <vt:variant>
        <vt:i4>5</vt:i4>
      </vt:variant>
      <vt:variant>
        <vt:lpwstr/>
      </vt:variant>
      <vt:variant>
        <vt:lpwstr>_Toc402449236</vt:lpwstr>
      </vt:variant>
      <vt:variant>
        <vt:i4>1638448</vt:i4>
      </vt:variant>
      <vt:variant>
        <vt:i4>686</vt:i4>
      </vt:variant>
      <vt:variant>
        <vt:i4>0</vt:i4>
      </vt:variant>
      <vt:variant>
        <vt:i4>5</vt:i4>
      </vt:variant>
      <vt:variant>
        <vt:lpwstr/>
      </vt:variant>
      <vt:variant>
        <vt:lpwstr>_Toc402449235</vt:lpwstr>
      </vt:variant>
      <vt:variant>
        <vt:i4>1638448</vt:i4>
      </vt:variant>
      <vt:variant>
        <vt:i4>680</vt:i4>
      </vt:variant>
      <vt:variant>
        <vt:i4>0</vt:i4>
      </vt:variant>
      <vt:variant>
        <vt:i4>5</vt:i4>
      </vt:variant>
      <vt:variant>
        <vt:lpwstr/>
      </vt:variant>
      <vt:variant>
        <vt:lpwstr>_Toc402449234</vt:lpwstr>
      </vt:variant>
      <vt:variant>
        <vt:i4>1638448</vt:i4>
      </vt:variant>
      <vt:variant>
        <vt:i4>674</vt:i4>
      </vt:variant>
      <vt:variant>
        <vt:i4>0</vt:i4>
      </vt:variant>
      <vt:variant>
        <vt:i4>5</vt:i4>
      </vt:variant>
      <vt:variant>
        <vt:lpwstr/>
      </vt:variant>
      <vt:variant>
        <vt:lpwstr>_Toc402449233</vt:lpwstr>
      </vt:variant>
      <vt:variant>
        <vt:i4>1638448</vt:i4>
      </vt:variant>
      <vt:variant>
        <vt:i4>668</vt:i4>
      </vt:variant>
      <vt:variant>
        <vt:i4>0</vt:i4>
      </vt:variant>
      <vt:variant>
        <vt:i4>5</vt:i4>
      </vt:variant>
      <vt:variant>
        <vt:lpwstr/>
      </vt:variant>
      <vt:variant>
        <vt:lpwstr>_Toc402449232</vt:lpwstr>
      </vt:variant>
      <vt:variant>
        <vt:i4>1638448</vt:i4>
      </vt:variant>
      <vt:variant>
        <vt:i4>662</vt:i4>
      </vt:variant>
      <vt:variant>
        <vt:i4>0</vt:i4>
      </vt:variant>
      <vt:variant>
        <vt:i4>5</vt:i4>
      </vt:variant>
      <vt:variant>
        <vt:lpwstr/>
      </vt:variant>
      <vt:variant>
        <vt:lpwstr>_Toc402449231</vt:lpwstr>
      </vt:variant>
      <vt:variant>
        <vt:i4>1638448</vt:i4>
      </vt:variant>
      <vt:variant>
        <vt:i4>656</vt:i4>
      </vt:variant>
      <vt:variant>
        <vt:i4>0</vt:i4>
      </vt:variant>
      <vt:variant>
        <vt:i4>5</vt:i4>
      </vt:variant>
      <vt:variant>
        <vt:lpwstr/>
      </vt:variant>
      <vt:variant>
        <vt:lpwstr>_Toc402449230</vt:lpwstr>
      </vt:variant>
      <vt:variant>
        <vt:i4>1572912</vt:i4>
      </vt:variant>
      <vt:variant>
        <vt:i4>650</vt:i4>
      </vt:variant>
      <vt:variant>
        <vt:i4>0</vt:i4>
      </vt:variant>
      <vt:variant>
        <vt:i4>5</vt:i4>
      </vt:variant>
      <vt:variant>
        <vt:lpwstr/>
      </vt:variant>
      <vt:variant>
        <vt:lpwstr>_Toc402449229</vt:lpwstr>
      </vt:variant>
      <vt:variant>
        <vt:i4>1572912</vt:i4>
      </vt:variant>
      <vt:variant>
        <vt:i4>644</vt:i4>
      </vt:variant>
      <vt:variant>
        <vt:i4>0</vt:i4>
      </vt:variant>
      <vt:variant>
        <vt:i4>5</vt:i4>
      </vt:variant>
      <vt:variant>
        <vt:lpwstr/>
      </vt:variant>
      <vt:variant>
        <vt:lpwstr>_Toc402449228</vt:lpwstr>
      </vt:variant>
      <vt:variant>
        <vt:i4>1572912</vt:i4>
      </vt:variant>
      <vt:variant>
        <vt:i4>638</vt:i4>
      </vt:variant>
      <vt:variant>
        <vt:i4>0</vt:i4>
      </vt:variant>
      <vt:variant>
        <vt:i4>5</vt:i4>
      </vt:variant>
      <vt:variant>
        <vt:lpwstr/>
      </vt:variant>
      <vt:variant>
        <vt:lpwstr>_Toc402449227</vt:lpwstr>
      </vt:variant>
      <vt:variant>
        <vt:i4>1572912</vt:i4>
      </vt:variant>
      <vt:variant>
        <vt:i4>632</vt:i4>
      </vt:variant>
      <vt:variant>
        <vt:i4>0</vt:i4>
      </vt:variant>
      <vt:variant>
        <vt:i4>5</vt:i4>
      </vt:variant>
      <vt:variant>
        <vt:lpwstr/>
      </vt:variant>
      <vt:variant>
        <vt:lpwstr>_Toc402449226</vt:lpwstr>
      </vt:variant>
      <vt:variant>
        <vt:i4>1572912</vt:i4>
      </vt:variant>
      <vt:variant>
        <vt:i4>626</vt:i4>
      </vt:variant>
      <vt:variant>
        <vt:i4>0</vt:i4>
      </vt:variant>
      <vt:variant>
        <vt:i4>5</vt:i4>
      </vt:variant>
      <vt:variant>
        <vt:lpwstr/>
      </vt:variant>
      <vt:variant>
        <vt:lpwstr>_Toc402449225</vt:lpwstr>
      </vt:variant>
      <vt:variant>
        <vt:i4>1572912</vt:i4>
      </vt:variant>
      <vt:variant>
        <vt:i4>620</vt:i4>
      </vt:variant>
      <vt:variant>
        <vt:i4>0</vt:i4>
      </vt:variant>
      <vt:variant>
        <vt:i4>5</vt:i4>
      </vt:variant>
      <vt:variant>
        <vt:lpwstr/>
      </vt:variant>
      <vt:variant>
        <vt:lpwstr>_Toc402449224</vt:lpwstr>
      </vt:variant>
      <vt:variant>
        <vt:i4>1572912</vt:i4>
      </vt:variant>
      <vt:variant>
        <vt:i4>614</vt:i4>
      </vt:variant>
      <vt:variant>
        <vt:i4>0</vt:i4>
      </vt:variant>
      <vt:variant>
        <vt:i4>5</vt:i4>
      </vt:variant>
      <vt:variant>
        <vt:lpwstr/>
      </vt:variant>
      <vt:variant>
        <vt:lpwstr>_Toc402449223</vt:lpwstr>
      </vt:variant>
      <vt:variant>
        <vt:i4>1572912</vt:i4>
      </vt:variant>
      <vt:variant>
        <vt:i4>608</vt:i4>
      </vt:variant>
      <vt:variant>
        <vt:i4>0</vt:i4>
      </vt:variant>
      <vt:variant>
        <vt:i4>5</vt:i4>
      </vt:variant>
      <vt:variant>
        <vt:lpwstr/>
      </vt:variant>
      <vt:variant>
        <vt:lpwstr>_Toc402449222</vt:lpwstr>
      </vt:variant>
      <vt:variant>
        <vt:i4>1572912</vt:i4>
      </vt:variant>
      <vt:variant>
        <vt:i4>602</vt:i4>
      </vt:variant>
      <vt:variant>
        <vt:i4>0</vt:i4>
      </vt:variant>
      <vt:variant>
        <vt:i4>5</vt:i4>
      </vt:variant>
      <vt:variant>
        <vt:lpwstr/>
      </vt:variant>
      <vt:variant>
        <vt:lpwstr>_Toc402449221</vt:lpwstr>
      </vt:variant>
      <vt:variant>
        <vt:i4>1572912</vt:i4>
      </vt:variant>
      <vt:variant>
        <vt:i4>596</vt:i4>
      </vt:variant>
      <vt:variant>
        <vt:i4>0</vt:i4>
      </vt:variant>
      <vt:variant>
        <vt:i4>5</vt:i4>
      </vt:variant>
      <vt:variant>
        <vt:lpwstr/>
      </vt:variant>
      <vt:variant>
        <vt:lpwstr>_Toc402449220</vt:lpwstr>
      </vt:variant>
      <vt:variant>
        <vt:i4>1769520</vt:i4>
      </vt:variant>
      <vt:variant>
        <vt:i4>590</vt:i4>
      </vt:variant>
      <vt:variant>
        <vt:i4>0</vt:i4>
      </vt:variant>
      <vt:variant>
        <vt:i4>5</vt:i4>
      </vt:variant>
      <vt:variant>
        <vt:lpwstr/>
      </vt:variant>
      <vt:variant>
        <vt:lpwstr>_Toc402449219</vt:lpwstr>
      </vt:variant>
      <vt:variant>
        <vt:i4>1769520</vt:i4>
      </vt:variant>
      <vt:variant>
        <vt:i4>584</vt:i4>
      </vt:variant>
      <vt:variant>
        <vt:i4>0</vt:i4>
      </vt:variant>
      <vt:variant>
        <vt:i4>5</vt:i4>
      </vt:variant>
      <vt:variant>
        <vt:lpwstr/>
      </vt:variant>
      <vt:variant>
        <vt:lpwstr>_Toc402449218</vt:lpwstr>
      </vt:variant>
      <vt:variant>
        <vt:i4>1769520</vt:i4>
      </vt:variant>
      <vt:variant>
        <vt:i4>578</vt:i4>
      </vt:variant>
      <vt:variant>
        <vt:i4>0</vt:i4>
      </vt:variant>
      <vt:variant>
        <vt:i4>5</vt:i4>
      </vt:variant>
      <vt:variant>
        <vt:lpwstr/>
      </vt:variant>
      <vt:variant>
        <vt:lpwstr>_Toc402449217</vt:lpwstr>
      </vt:variant>
      <vt:variant>
        <vt:i4>1769520</vt:i4>
      </vt:variant>
      <vt:variant>
        <vt:i4>572</vt:i4>
      </vt:variant>
      <vt:variant>
        <vt:i4>0</vt:i4>
      </vt:variant>
      <vt:variant>
        <vt:i4>5</vt:i4>
      </vt:variant>
      <vt:variant>
        <vt:lpwstr/>
      </vt:variant>
      <vt:variant>
        <vt:lpwstr>_Toc402449216</vt:lpwstr>
      </vt:variant>
      <vt:variant>
        <vt:i4>1769520</vt:i4>
      </vt:variant>
      <vt:variant>
        <vt:i4>566</vt:i4>
      </vt:variant>
      <vt:variant>
        <vt:i4>0</vt:i4>
      </vt:variant>
      <vt:variant>
        <vt:i4>5</vt:i4>
      </vt:variant>
      <vt:variant>
        <vt:lpwstr/>
      </vt:variant>
      <vt:variant>
        <vt:lpwstr>_Toc402449215</vt:lpwstr>
      </vt:variant>
      <vt:variant>
        <vt:i4>1769520</vt:i4>
      </vt:variant>
      <vt:variant>
        <vt:i4>560</vt:i4>
      </vt:variant>
      <vt:variant>
        <vt:i4>0</vt:i4>
      </vt:variant>
      <vt:variant>
        <vt:i4>5</vt:i4>
      </vt:variant>
      <vt:variant>
        <vt:lpwstr/>
      </vt:variant>
      <vt:variant>
        <vt:lpwstr>_Toc402449214</vt:lpwstr>
      </vt:variant>
      <vt:variant>
        <vt:i4>1769520</vt:i4>
      </vt:variant>
      <vt:variant>
        <vt:i4>554</vt:i4>
      </vt:variant>
      <vt:variant>
        <vt:i4>0</vt:i4>
      </vt:variant>
      <vt:variant>
        <vt:i4>5</vt:i4>
      </vt:variant>
      <vt:variant>
        <vt:lpwstr/>
      </vt:variant>
      <vt:variant>
        <vt:lpwstr>_Toc402449213</vt:lpwstr>
      </vt:variant>
      <vt:variant>
        <vt:i4>1769520</vt:i4>
      </vt:variant>
      <vt:variant>
        <vt:i4>548</vt:i4>
      </vt:variant>
      <vt:variant>
        <vt:i4>0</vt:i4>
      </vt:variant>
      <vt:variant>
        <vt:i4>5</vt:i4>
      </vt:variant>
      <vt:variant>
        <vt:lpwstr/>
      </vt:variant>
      <vt:variant>
        <vt:lpwstr>_Toc402449212</vt:lpwstr>
      </vt:variant>
      <vt:variant>
        <vt:i4>1769520</vt:i4>
      </vt:variant>
      <vt:variant>
        <vt:i4>542</vt:i4>
      </vt:variant>
      <vt:variant>
        <vt:i4>0</vt:i4>
      </vt:variant>
      <vt:variant>
        <vt:i4>5</vt:i4>
      </vt:variant>
      <vt:variant>
        <vt:lpwstr/>
      </vt:variant>
      <vt:variant>
        <vt:lpwstr>_Toc402449211</vt:lpwstr>
      </vt:variant>
      <vt:variant>
        <vt:i4>1769520</vt:i4>
      </vt:variant>
      <vt:variant>
        <vt:i4>536</vt:i4>
      </vt:variant>
      <vt:variant>
        <vt:i4>0</vt:i4>
      </vt:variant>
      <vt:variant>
        <vt:i4>5</vt:i4>
      </vt:variant>
      <vt:variant>
        <vt:lpwstr/>
      </vt:variant>
      <vt:variant>
        <vt:lpwstr>_Toc402449210</vt:lpwstr>
      </vt:variant>
      <vt:variant>
        <vt:i4>1703984</vt:i4>
      </vt:variant>
      <vt:variant>
        <vt:i4>530</vt:i4>
      </vt:variant>
      <vt:variant>
        <vt:i4>0</vt:i4>
      </vt:variant>
      <vt:variant>
        <vt:i4>5</vt:i4>
      </vt:variant>
      <vt:variant>
        <vt:lpwstr/>
      </vt:variant>
      <vt:variant>
        <vt:lpwstr>_Toc402449209</vt:lpwstr>
      </vt:variant>
      <vt:variant>
        <vt:i4>1703984</vt:i4>
      </vt:variant>
      <vt:variant>
        <vt:i4>524</vt:i4>
      </vt:variant>
      <vt:variant>
        <vt:i4>0</vt:i4>
      </vt:variant>
      <vt:variant>
        <vt:i4>5</vt:i4>
      </vt:variant>
      <vt:variant>
        <vt:lpwstr/>
      </vt:variant>
      <vt:variant>
        <vt:lpwstr>_Toc402449208</vt:lpwstr>
      </vt:variant>
      <vt:variant>
        <vt:i4>1703984</vt:i4>
      </vt:variant>
      <vt:variant>
        <vt:i4>518</vt:i4>
      </vt:variant>
      <vt:variant>
        <vt:i4>0</vt:i4>
      </vt:variant>
      <vt:variant>
        <vt:i4>5</vt:i4>
      </vt:variant>
      <vt:variant>
        <vt:lpwstr/>
      </vt:variant>
      <vt:variant>
        <vt:lpwstr>_Toc402449207</vt:lpwstr>
      </vt:variant>
      <vt:variant>
        <vt:i4>1703984</vt:i4>
      </vt:variant>
      <vt:variant>
        <vt:i4>512</vt:i4>
      </vt:variant>
      <vt:variant>
        <vt:i4>0</vt:i4>
      </vt:variant>
      <vt:variant>
        <vt:i4>5</vt:i4>
      </vt:variant>
      <vt:variant>
        <vt:lpwstr/>
      </vt:variant>
      <vt:variant>
        <vt:lpwstr>_Toc402449206</vt:lpwstr>
      </vt:variant>
      <vt:variant>
        <vt:i4>1703984</vt:i4>
      </vt:variant>
      <vt:variant>
        <vt:i4>506</vt:i4>
      </vt:variant>
      <vt:variant>
        <vt:i4>0</vt:i4>
      </vt:variant>
      <vt:variant>
        <vt:i4>5</vt:i4>
      </vt:variant>
      <vt:variant>
        <vt:lpwstr/>
      </vt:variant>
      <vt:variant>
        <vt:lpwstr>_Toc402449205</vt:lpwstr>
      </vt:variant>
      <vt:variant>
        <vt:i4>1703984</vt:i4>
      </vt:variant>
      <vt:variant>
        <vt:i4>500</vt:i4>
      </vt:variant>
      <vt:variant>
        <vt:i4>0</vt:i4>
      </vt:variant>
      <vt:variant>
        <vt:i4>5</vt:i4>
      </vt:variant>
      <vt:variant>
        <vt:lpwstr/>
      </vt:variant>
      <vt:variant>
        <vt:lpwstr>_Toc402449204</vt:lpwstr>
      </vt:variant>
      <vt:variant>
        <vt:i4>1703984</vt:i4>
      </vt:variant>
      <vt:variant>
        <vt:i4>494</vt:i4>
      </vt:variant>
      <vt:variant>
        <vt:i4>0</vt:i4>
      </vt:variant>
      <vt:variant>
        <vt:i4>5</vt:i4>
      </vt:variant>
      <vt:variant>
        <vt:lpwstr/>
      </vt:variant>
      <vt:variant>
        <vt:lpwstr>_Toc402449203</vt:lpwstr>
      </vt:variant>
      <vt:variant>
        <vt:i4>1703984</vt:i4>
      </vt:variant>
      <vt:variant>
        <vt:i4>488</vt:i4>
      </vt:variant>
      <vt:variant>
        <vt:i4>0</vt:i4>
      </vt:variant>
      <vt:variant>
        <vt:i4>5</vt:i4>
      </vt:variant>
      <vt:variant>
        <vt:lpwstr/>
      </vt:variant>
      <vt:variant>
        <vt:lpwstr>_Toc402449202</vt:lpwstr>
      </vt:variant>
      <vt:variant>
        <vt:i4>1703984</vt:i4>
      </vt:variant>
      <vt:variant>
        <vt:i4>482</vt:i4>
      </vt:variant>
      <vt:variant>
        <vt:i4>0</vt:i4>
      </vt:variant>
      <vt:variant>
        <vt:i4>5</vt:i4>
      </vt:variant>
      <vt:variant>
        <vt:lpwstr/>
      </vt:variant>
      <vt:variant>
        <vt:lpwstr>_Toc402449201</vt:lpwstr>
      </vt:variant>
      <vt:variant>
        <vt:i4>1703984</vt:i4>
      </vt:variant>
      <vt:variant>
        <vt:i4>476</vt:i4>
      </vt:variant>
      <vt:variant>
        <vt:i4>0</vt:i4>
      </vt:variant>
      <vt:variant>
        <vt:i4>5</vt:i4>
      </vt:variant>
      <vt:variant>
        <vt:lpwstr/>
      </vt:variant>
      <vt:variant>
        <vt:lpwstr>_Toc402449200</vt:lpwstr>
      </vt:variant>
      <vt:variant>
        <vt:i4>1245235</vt:i4>
      </vt:variant>
      <vt:variant>
        <vt:i4>470</vt:i4>
      </vt:variant>
      <vt:variant>
        <vt:i4>0</vt:i4>
      </vt:variant>
      <vt:variant>
        <vt:i4>5</vt:i4>
      </vt:variant>
      <vt:variant>
        <vt:lpwstr/>
      </vt:variant>
      <vt:variant>
        <vt:lpwstr>_Toc402449199</vt:lpwstr>
      </vt:variant>
      <vt:variant>
        <vt:i4>1245235</vt:i4>
      </vt:variant>
      <vt:variant>
        <vt:i4>464</vt:i4>
      </vt:variant>
      <vt:variant>
        <vt:i4>0</vt:i4>
      </vt:variant>
      <vt:variant>
        <vt:i4>5</vt:i4>
      </vt:variant>
      <vt:variant>
        <vt:lpwstr/>
      </vt:variant>
      <vt:variant>
        <vt:lpwstr>_Toc402449198</vt:lpwstr>
      </vt:variant>
      <vt:variant>
        <vt:i4>1245235</vt:i4>
      </vt:variant>
      <vt:variant>
        <vt:i4>458</vt:i4>
      </vt:variant>
      <vt:variant>
        <vt:i4>0</vt:i4>
      </vt:variant>
      <vt:variant>
        <vt:i4>5</vt:i4>
      </vt:variant>
      <vt:variant>
        <vt:lpwstr/>
      </vt:variant>
      <vt:variant>
        <vt:lpwstr>_Toc402449197</vt:lpwstr>
      </vt:variant>
      <vt:variant>
        <vt:i4>1245235</vt:i4>
      </vt:variant>
      <vt:variant>
        <vt:i4>452</vt:i4>
      </vt:variant>
      <vt:variant>
        <vt:i4>0</vt:i4>
      </vt:variant>
      <vt:variant>
        <vt:i4>5</vt:i4>
      </vt:variant>
      <vt:variant>
        <vt:lpwstr/>
      </vt:variant>
      <vt:variant>
        <vt:lpwstr>_Toc402449196</vt:lpwstr>
      </vt:variant>
      <vt:variant>
        <vt:i4>1245235</vt:i4>
      </vt:variant>
      <vt:variant>
        <vt:i4>446</vt:i4>
      </vt:variant>
      <vt:variant>
        <vt:i4>0</vt:i4>
      </vt:variant>
      <vt:variant>
        <vt:i4>5</vt:i4>
      </vt:variant>
      <vt:variant>
        <vt:lpwstr/>
      </vt:variant>
      <vt:variant>
        <vt:lpwstr>_Toc402449195</vt:lpwstr>
      </vt:variant>
      <vt:variant>
        <vt:i4>1245235</vt:i4>
      </vt:variant>
      <vt:variant>
        <vt:i4>440</vt:i4>
      </vt:variant>
      <vt:variant>
        <vt:i4>0</vt:i4>
      </vt:variant>
      <vt:variant>
        <vt:i4>5</vt:i4>
      </vt:variant>
      <vt:variant>
        <vt:lpwstr/>
      </vt:variant>
      <vt:variant>
        <vt:lpwstr>_Toc402449194</vt:lpwstr>
      </vt:variant>
      <vt:variant>
        <vt:i4>1245235</vt:i4>
      </vt:variant>
      <vt:variant>
        <vt:i4>434</vt:i4>
      </vt:variant>
      <vt:variant>
        <vt:i4>0</vt:i4>
      </vt:variant>
      <vt:variant>
        <vt:i4>5</vt:i4>
      </vt:variant>
      <vt:variant>
        <vt:lpwstr/>
      </vt:variant>
      <vt:variant>
        <vt:lpwstr>_Toc402449193</vt:lpwstr>
      </vt:variant>
      <vt:variant>
        <vt:i4>1245235</vt:i4>
      </vt:variant>
      <vt:variant>
        <vt:i4>428</vt:i4>
      </vt:variant>
      <vt:variant>
        <vt:i4>0</vt:i4>
      </vt:variant>
      <vt:variant>
        <vt:i4>5</vt:i4>
      </vt:variant>
      <vt:variant>
        <vt:lpwstr/>
      </vt:variant>
      <vt:variant>
        <vt:lpwstr>_Toc402449192</vt:lpwstr>
      </vt:variant>
      <vt:variant>
        <vt:i4>1245235</vt:i4>
      </vt:variant>
      <vt:variant>
        <vt:i4>422</vt:i4>
      </vt:variant>
      <vt:variant>
        <vt:i4>0</vt:i4>
      </vt:variant>
      <vt:variant>
        <vt:i4>5</vt:i4>
      </vt:variant>
      <vt:variant>
        <vt:lpwstr/>
      </vt:variant>
      <vt:variant>
        <vt:lpwstr>_Toc402449191</vt:lpwstr>
      </vt:variant>
      <vt:variant>
        <vt:i4>1245235</vt:i4>
      </vt:variant>
      <vt:variant>
        <vt:i4>416</vt:i4>
      </vt:variant>
      <vt:variant>
        <vt:i4>0</vt:i4>
      </vt:variant>
      <vt:variant>
        <vt:i4>5</vt:i4>
      </vt:variant>
      <vt:variant>
        <vt:lpwstr/>
      </vt:variant>
      <vt:variant>
        <vt:lpwstr>_Toc402449190</vt:lpwstr>
      </vt:variant>
      <vt:variant>
        <vt:i4>1179699</vt:i4>
      </vt:variant>
      <vt:variant>
        <vt:i4>410</vt:i4>
      </vt:variant>
      <vt:variant>
        <vt:i4>0</vt:i4>
      </vt:variant>
      <vt:variant>
        <vt:i4>5</vt:i4>
      </vt:variant>
      <vt:variant>
        <vt:lpwstr/>
      </vt:variant>
      <vt:variant>
        <vt:lpwstr>_Toc402449189</vt:lpwstr>
      </vt:variant>
      <vt:variant>
        <vt:i4>1179699</vt:i4>
      </vt:variant>
      <vt:variant>
        <vt:i4>404</vt:i4>
      </vt:variant>
      <vt:variant>
        <vt:i4>0</vt:i4>
      </vt:variant>
      <vt:variant>
        <vt:i4>5</vt:i4>
      </vt:variant>
      <vt:variant>
        <vt:lpwstr/>
      </vt:variant>
      <vt:variant>
        <vt:lpwstr>_Toc402449188</vt:lpwstr>
      </vt:variant>
      <vt:variant>
        <vt:i4>1179699</vt:i4>
      </vt:variant>
      <vt:variant>
        <vt:i4>398</vt:i4>
      </vt:variant>
      <vt:variant>
        <vt:i4>0</vt:i4>
      </vt:variant>
      <vt:variant>
        <vt:i4>5</vt:i4>
      </vt:variant>
      <vt:variant>
        <vt:lpwstr/>
      </vt:variant>
      <vt:variant>
        <vt:lpwstr>_Toc402449187</vt:lpwstr>
      </vt:variant>
      <vt:variant>
        <vt:i4>1179699</vt:i4>
      </vt:variant>
      <vt:variant>
        <vt:i4>392</vt:i4>
      </vt:variant>
      <vt:variant>
        <vt:i4>0</vt:i4>
      </vt:variant>
      <vt:variant>
        <vt:i4>5</vt:i4>
      </vt:variant>
      <vt:variant>
        <vt:lpwstr/>
      </vt:variant>
      <vt:variant>
        <vt:lpwstr>_Toc402449186</vt:lpwstr>
      </vt:variant>
      <vt:variant>
        <vt:i4>1179699</vt:i4>
      </vt:variant>
      <vt:variant>
        <vt:i4>386</vt:i4>
      </vt:variant>
      <vt:variant>
        <vt:i4>0</vt:i4>
      </vt:variant>
      <vt:variant>
        <vt:i4>5</vt:i4>
      </vt:variant>
      <vt:variant>
        <vt:lpwstr/>
      </vt:variant>
      <vt:variant>
        <vt:lpwstr>_Toc402449185</vt:lpwstr>
      </vt:variant>
      <vt:variant>
        <vt:i4>1179699</vt:i4>
      </vt:variant>
      <vt:variant>
        <vt:i4>380</vt:i4>
      </vt:variant>
      <vt:variant>
        <vt:i4>0</vt:i4>
      </vt:variant>
      <vt:variant>
        <vt:i4>5</vt:i4>
      </vt:variant>
      <vt:variant>
        <vt:lpwstr/>
      </vt:variant>
      <vt:variant>
        <vt:lpwstr>_Toc402449184</vt:lpwstr>
      </vt:variant>
      <vt:variant>
        <vt:i4>1179699</vt:i4>
      </vt:variant>
      <vt:variant>
        <vt:i4>374</vt:i4>
      </vt:variant>
      <vt:variant>
        <vt:i4>0</vt:i4>
      </vt:variant>
      <vt:variant>
        <vt:i4>5</vt:i4>
      </vt:variant>
      <vt:variant>
        <vt:lpwstr/>
      </vt:variant>
      <vt:variant>
        <vt:lpwstr>_Toc402449183</vt:lpwstr>
      </vt:variant>
      <vt:variant>
        <vt:i4>1179699</vt:i4>
      </vt:variant>
      <vt:variant>
        <vt:i4>368</vt:i4>
      </vt:variant>
      <vt:variant>
        <vt:i4>0</vt:i4>
      </vt:variant>
      <vt:variant>
        <vt:i4>5</vt:i4>
      </vt:variant>
      <vt:variant>
        <vt:lpwstr/>
      </vt:variant>
      <vt:variant>
        <vt:lpwstr>_Toc402449182</vt:lpwstr>
      </vt:variant>
      <vt:variant>
        <vt:i4>1179699</vt:i4>
      </vt:variant>
      <vt:variant>
        <vt:i4>362</vt:i4>
      </vt:variant>
      <vt:variant>
        <vt:i4>0</vt:i4>
      </vt:variant>
      <vt:variant>
        <vt:i4>5</vt:i4>
      </vt:variant>
      <vt:variant>
        <vt:lpwstr/>
      </vt:variant>
      <vt:variant>
        <vt:lpwstr>_Toc402449181</vt:lpwstr>
      </vt:variant>
      <vt:variant>
        <vt:i4>1179699</vt:i4>
      </vt:variant>
      <vt:variant>
        <vt:i4>356</vt:i4>
      </vt:variant>
      <vt:variant>
        <vt:i4>0</vt:i4>
      </vt:variant>
      <vt:variant>
        <vt:i4>5</vt:i4>
      </vt:variant>
      <vt:variant>
        <vt:lpwstr/>
      </vt:variant>
      <vt:variant>
        <vt:lpwstr>_Toc402449180</vt:lpwstr>
      </vt:variant>
      <vt:variant>
        <vt:i4>1900595</vt:i4>
      </vt:variant>
      <vt:variant>
        <vt:i4>350</vt:i4>
      </vt:variant>
      <vt:variant>
        <vt:i4>0</vt:i4>
      </vt:variant>
      <vt:variant>
        <vt:i4>5</vt:i4>
      </vt:variant>
      <vt:variant>
        <vt:lpwstr/>
      </vt:variant>
      <vt:variant>
        <vt:lpwstr>_Toc402449179</vt:lpwstr>
      </vt:variant>
      <vt:variant>
        <vt:i4>1900595</vt:i4>
      </vt:variant>
      <vt:variant>
        <vt:i4>344</vt:i4>
      </vt:variant>
      <vt:variant>
        <vt:i4>0</vt:i4>
      </vt:variant>
      <vt:variant>
        <vt:i4>5</vt:i4>
      </vt:variant>
      <vt:variant>
        <vt:lpwstr/>
      </vt:variant>
      <vt:variant>
        <vt:lpwstr>_Toc402449178</vt:lpwstr>
      </vt:variant>
      <vt:variant>
        <vt:i4>1900595</vt:i4>
      </vt:variant>
      <vt:variant>
        <vt:i4>338</vt:i4>
      </vt:variant>
      <vt:variant>
        <vt:i4>0</vt:i4>
      </vt:variant>
      <vt:variant>
        <vt:i4>5</vt:i4>
      </vt:variant>
      <vt:variant>
        <vt:lpwstr/>
      </vt:variant>
      <vt:variant>
        <vt:lpwstr>_Toc402449177</vt:lpwstr>
      </vt:variant>
      <vt:variant>
        <vt:i4>1900595</vt:i4>
      </vt:variant>
      <vt:variant>
        <vt:i4>332</vt:i4>
      </vt:variant>
      <vt:variant>
        <vt:i4>0</vt:i4>
      </vt:variant>
      <vt:variant>
        <vt:i4>5</vt:i4>
      </vt:variant>
      <vt:variant>
        <vt:lpwstr/>
      </vt:variant>
      <vt:variant>
        <vt:lpwstr>_Toc402449176</vt:lpwstr>
      </vt:variant>
      <vt:variant>
        <vt:i4>1900595</vt:i4>
      </vt:variant>
      <vt:variant>
        <vt:i4>326</vt:i4>
      </vt:variant>
      <vt:variant>
        <vt:i4>0</vt:i4>
      </vt:variant>
      <vt:variant>
        <vt:i4>5</vt:i4>
      </vt:variant>
      <vt:variant>
        <vt:lpwstr/>
      </vt:variant>
      <vt:variant>
        <vt:lpwstr>_Toc402449175</vt:lpwstr>
      </vt:variant>
      <vt:variant>
        <vt:i4>1900595</vt:i4>
      </vt:variant>
      <vt:variant>
        <vt:i4>320</vt:i4>
      </vt:variant>
      <vt:variant>
        <vt:i4>0</vt:i4>
      </vt:variant>
      <vt:variant>
        <vt:i4>5</vt:i4>
      </vt:variant>
      <vt:variant>
        <vt:lpwstr/>
      </vt:variant>
      <vt:variant>
        <vt:lpwstr>_Toc402449174</vt:lpwstr>
      </vt:variant>
      <vt:variant>
        <vt:i4>1900595</vt:i4>
      </vt:variant>
      <vt:variant>
        <vt:i4>314</vt:i4>
      </vt:variant>
      <vt:variant>
        <vt:i4>0</vt:i4>
      </vt:variant>
      <vt:variant>
        <vt:i4>5</vt:i4>
      </vt:variant>
      <vt:variant>
        <vt:lpwstr/>
      </vt:variant>
      <vt:variant>
        <vt:lpwstr>_Toc402449173</vt:lpwstr>
      </vt:variant>
      <vt:variant>
        <vt:i4>1900595</vt:i4>
      </vt:variant>
      <vt:variant>
        <vt:i4>308</vt:i4>
      </vt:variant>
      <vt:variant>
        <vt:i4>0</vt:i4>
      </vt:variant>
      <vt:variant>
        <vt:i4>5</vt:i4>
      </vt:variant>
      <vt:variant>
        <vt:lpwstr/>
      </vt:variant>
      <vt:variant>
        <vt:lpwstr>_Toc402449172</vt:lpwstr>
      </vt:variant>
      <vt:variant>
        <vt:i4>1900595</vt:i4>
      </vt:variant>
      <vt:variant>
        <vt:i4>302</vt:i4>
      </vt:variant>
      <vt:variant>
        <vt:i4>0</vt:i4>
      </vt:variant>
      <vt:variant>
        <vt:i4>5</vt:i4>
      </vt:variant>
      <vt:variant>
        <vt:lpwstr/>
      </vt:variant>
      <vt:variant>
        <vt:lpwstr>_Toc402449171</vt:lpwstr>
      </vt:variant>
      <vt:variant>
        <vt:i4>1900595</vt:i4>
      </vt:variant>
      <vt:variant>
        <vt:i4>296</vt:i4>
      </vt:variant>
      <vt:variant>
        <vt:i4>0</vt:i4>
      </vt:variant>
      <vt:variant>
        <vt:i4>5</vt:i4>
      </vt:variant>
      <vt:variant>
        <vt:lpwstr/>
      </vt:variant>
      <vt:variant>
        <vt:lpwstr>_Toc402449170</vt:lpwstr>
      </vt:variant>
      <vt:variant>
        <vt:i4>1835059</vt:i4>
      </vt:variant>
      <vt:variant>
        <vt:i4>290</vt:i4>
      </vt:variant>
      <vt:variant>
        <vt:i4>0</vt:i4>
      </vt:variant>
      <vt:variant>
        <vt:i4>5</vt:i4>
      </vt:variant>
      <vt:variant>
        <vt:lpwstr/>
      </vt:variant>
      <vt:variant>
        <vt:lpwstr>_Toc402449169</vt:lpwstr>
      </vt:variant>
      <vt:variant>
        <vt:i4>1835059</vt:i4>
      </vt:variant>
      <vt:variant>
        <vt:i4>284</vt:i4>
      </vt:variant>
      <vt:variant>
        <vt:i4>0</vt:i4>
      </vt:variant>
      <vt:variant>
        <vt:i4>5</vt:i4>
      </vt:variant>
      <vt:variant>
        <vt:lpwstr/>
      </vt:variant>
      <vt:variant>
        <vt:lpwstr>_Toc402449168</vt:lpwstr>
      </vt:variant>
      <vt:variant>
        <vt:i4>1835059</vt:i4>
      </vt:variant>
      <vt:variant>
        <vt:i4>278</vt:i4>
      </vt:variant>
      <vt:variant>
        <vt:i4>0</vt:i4>
      </vt:variant>
      <vt:variant>
        <vt:i4>5</vt:i4>
      </vt:variant>
      <vt:variant>
        <vt:lpwstr/>
      </vt:variant>
      <vt:variant>
        <vt:lpwstr>_Toc402449167</vt:lpwstr>
      </vt:variant>
      <vt:variant>
        <vt:i4>1835059</vt:i4>
      </vt:variant>
      <vt:variant>
        <vt:i4>272</vt:i4>
      </vt:variant>
      <vt:variant>
        <vt:i4>0</vt:i4>
      </vt:variant>
      <vt:variant>
        <vt:i4>5</vt:i4>
      </vt:variant>
      <vt:variant>
        <vt:lpwstr/>
      </vt:variant>
      <vt:variant>
        <vt:lpwstr>_Toc402449166</vt:lpwstr>
      </vt:variant>
      <vt:variant>
        <vt:i4>1835059</vt:i4>
      </vt:variant>
      <vt:variant>
        <vt:i4>266</vt:i4>
      </vt:variant>
      <vt:variant>
        <vt:i4>0</vt:i4>
      </vt:variant>
      <vt:variant>
        <vt:i4>5</vt:i4>
      </vt:variant>
      <vt:variant>
        <vt:lpwstr/>
      </vt:variant>
      <vt:variant>
        <vt:lpwstr>_Toc402449165</vt:lpwstr>
      </vt:variant>
      <vt:variant>
        <vt:i4>1835059</vt:i4>
      </vt:variant>
      <vt:variant>
        <vt:i4>260</vt:i4>
      </vt:variant>
      <vt:variant>
        <vt:i4>0</vt:i4>
      </vt:variant>
      <vt:variant>
        <vt:i4>5</vt:i4>
      </vt:variant>
      <vt:variant>
        <vt:lpwstr/>
      </vt:variant>
      <vt:variant>
        <vt:lpwstr>_Toc402449164</vt:lpwstr>
      </vt:variant>
      <vt:variant>
        <vt:i4>1835059</vt:i4>
      </vt:variant>
      <vt:variant>
        <vt:i4>254</vt:i4>
      </vt:variant>
      <vt:variant>
        <vt:i4>0</vt:i4>
      </vt:variant>
      <vt:variant>
        <vt:i4>5</vt:i4>
      </vt:variant>
      <vt:variant>
        <vt:lpwstr/>
      </vt:variant>
      <vt:variant>
        <vt:lpwstr>_Toc402449163</vt:lpwstr>
      </vt:variant>
      <vt:variant>
        <vt:i4>1835059</vt:i4>
      </vt:variant>
      <vt:variant>
        <vt:i4>248</vt:i4>
      </vt:variant>
      <vt:variant>
        <vt:i4>0</vt:i4>
      </vt:variant>
      <vt:variant>
        <vt:i4>5</vt:i4>
      </vt:variant>
      <vt:variant>
        <vt:lpwstr/>
      </vt:variant>
      <vt:variant>
        <vt:lpwstr>_Toc402449162</vt:lpwstr>
      </vt:variant>
      <vt:variant>
        <vt:i4>1835059</vt:i4>
      </vt:variant>
      <vt:variant>
        <vt:i4>242</vt:i4>
      </vt:variant>
      <vt:variant>
        <vt:i4>0</vt:i4>
      </vt:variant>
      <vt:variant>
        <vt:i4>5</vt:i4>
      </vt:variant>
      <vt:variant>
        <vt:lpwstr/>
      </vt:variant>
      <vt:variant>
        <vt:lpwstr>_Toc402449161</vt:lpwstr>
      </vt:variant>
      <vt:variant>
        <vt:i4>1835059</vt:i4>
      </vt:variant>
      <vt:variant>
        <vt:i4>236</vt:i4>
      </vt:variant>
      <vt:variant>
        <vt:i4>0</vt:i4>
      </vt:variant>
      <vt:variant>
        <vt:i4>5</vt:i4>
      </vt:variant>
      <vt:variant>
        <vt:lpwstr/>
      </vt:variant>
      <vt:variant>
        <vt:lpwstr>_Toc402449160</vt:lpwstr>
      </vt:variant>
      <vt:variant>
        <vt:i4>2031667</vt:i4>
      </vt:variant>
      <vt:variant>
        <vt:i4>230</vt:i4>
      </vt:variant>
      <vt:variant>
        <vt:i4>0</vt:i4>
      </vt:variant>
      <vt:variant>
        <vt:i4>5</vt:i4>
      </vt:variant>
      <vt:variant>
        <vt:lpwstr/>
      </vt:variant>
      <vt:variant>
        <vt:lpwstr>_Toc402449159</vt:lpwstr>
      </vt:variant>
      <vt:variant>
        <vt:i4>2031667</vt:i4>
      </vt:variant>
      <vt:variant>
        <vt:i4>224</vt:i4>
      </vt:variant>
      <vt:variant>
        <vt:i4>0</vt:i4>
      </vt:variant>
      <vt:variant>
        <vt:i4>5</vt:i4>
      </vt:variant>
      <vt:variant>
        <vt:lpwstr/>
      </vt:variant>
      <vt:variant>
        <vt:lpwstr>_Toc402449158</vt:lpwstr>
      </vt:variant>
      <vt:variant>
        <vt:i4>2031667</vt:i4>
      </vt:variant>
      <vt:variant>
        <vt:i4>218</vt:i4>
      </vt:variant>
      <vt:variant>
        <vt:i4>0</vt:i4>
      </vt:variant>
      <vt:variant>
        <vt:i4>5</vt:i4>
      </vt:variant>
      <vt:variant>
        <vt:lpwstr/>
      </vt:variant>
      <vt:variant>
        <vt:lpwstr>_Toc402449157</vt:lpwstr>
      </vt:variant>
      <vt:variant>
        <vt:i4>2031667</vt:i4>
      </vt:variant>
      <vt:variant>
        <vt:i4>212</vt:i4>
      </vt:variant>
      <vt:variant>
        <vt:i4>0</vt:i4>
      </vt:variant>
      <vt:variant>
        <vt:i4>5</vt:i4>
      </vt:variant>
      <vt:variant>
        <vt:lpwstr/>
      </vt:variant>
      <vt:variant>
        <vt:lpwstr>_Toc402449156</vt:lpwstr>
      </vt:variant>
      <vt:variant>
        <vt:i4>2031667</vt:i4>
      </vt:variant>
      <vt:variant>
        <vt:i4>206</vt:i4>
      </vt:variant>
      <vt:variant>
        <vt:i4>0</vt:i4>
      </vt:variant>
      <vt:variant>
        <vt:i4>5</vt:i4>
      </vt:variant>
      <vt:variant>
        <vt:lpwstr/>
      </vt:variant>
      <vt:variant>
        <vt:lpwstr>_Toc402449155</vt:lpwstr>
      </vt:variant>
      <vt:variant>
        <vt:i4>2031667</vt:i4>
      </vt:variant>
      <vt:variant>
        <vt:i4>200</vt:i4>
      </vt:variant>
      <vt:variant>
        <vt:i4>0</vt:i4>
      </vt:variant>
      <vt:variant>
        <vt:i4>5</vt:i4>
      </vt:variant>
      <vt:variant>
        <vt:lpwstr/>
      </vt:variant>
      <vt:variant>
        <vt:lpwstr>_Toc402449154</vt:lpwstr>
      </vt:variant>
      <vt:variant>
        <vt:i4>2031667</vt:i4>
      </vt:variant>
      <vt:variant>
        <vt:i4>194</vt:i4>
      </vt:variant>
      <vt:variant>
        <vt:i4>0</vt:i4>
      </vt:variant>
      <vt:variant>
        <vt:i4>5</vt:i4>
      </vt:variant>
      <vt:variant>
        <vt:lpwstr/>
      </vt:variant>
      <vt:variant>
        <vt:lpwstr>_Toc402449153</vt:lpwstr>
      </vt:variant>
      <vt:variant>
        <vt:i4>2031667</vt:i4>
      </vt:variant>
      <vt:variant>
        <vt:i4>188</vt:i4>
      </vt:variant>
      <vt:variant>
        <vt:i4>0</vt:i4>
      </vt:variant>
      <vt:variant>
        <vt:i4>5</vt:i4>
      </vt:variant>
      <vt:variant>
        <vt:lpwstr/>
      </vt:variant>
      <vt:variant>
        <vt:lpwstr>_Toc402449152</vt:lpwstr>
      </vt:variant>
      <vt:variant>
        <vt:i4>2031667</vt:i4>
      </vt:variant>
      <vt:variant>
        <vt:i4>182</vt:i4>
      </vt:variant>
      <vt:variant>
        <vt:i4>0</vt:i4>
      </vt:variant>
      <vt:variant>
        <vt:i4>5</vt:i4>
      </vt:variant>
      <vt:variant>
        <vt:lpwstr/>
      </vt:variant>
      <vt:variant>
        <vt:lpwstr>_Toc402449151</vt:lpwstr>
      </vt:variant>
      <vt:variant>
        <vt:i4>2031667</vt:i4>
      </vt:variant>
      <vt:variant>
        <vt:i4>176</vt:i4>
      </vt:variant>
      <vt:variant>
        <vt:i4>0</vt:i4>
      </vt:variant>
      <vt:variant>
        <vt:i4>5</vt:i4>
      </vt:variant>
      <vt:variant>
        <vt:lpwstr/>
      </vt:variant>
      <vt:variant>
        <vt:lpwstr>_Toc402449150</vt:lpwstr>
      </vt:variant>
      <vt:variant>
        <vt:i4>1966131</vt:i4>
      </vt:variant>
      <vt:variant>
        <vt:i4>170</vt:i4>
      </vt:variant>
      <vt:variant>
        <vt:i4>0</vt:i4>
      </vt:variant>
      <vt:variant>
        <vt:i4>5</vt:i4>
      </vt:variant>
      <vt:variant>
        <vt:lpwstr/>
      </vt:variant>
      <vt:variant>
        <vt:lpwstr>_Toc402449149</vt:lpwstr>
      </vt:variant>
      <vt:variant>
        <vt:i4>1966131</vt:i4>
      </vt:variant>
      <vt:variant>
        <vt:i4>164</vt:i4>
      </vt:variant>
      <vt:variant>
        <vt:i4>0</vt:i4>
      </vt:variant>
      <vt:variant>
        <vt:i4>5</vt:i4>
      </vt:variant>
      <vt:variant>
        <vt:lpwstr/>
      </vt:variant>
      <vt:variant>
        <vt:lpwstr>_Toc402449148</vt:lpwstr>
      </vt:variant>
      <vt:variant>
        <vt:i4>1966131</vt:i4>
      </vt:variant>
      <vt:variant>
        <vt:i4>158</vt:i4>
      </vt:variant>
      <vt:variant>
        <vt:i4>0</vt:i4>
      </vt:variant>
      <vt:variant>
        <vt:i4>5</vt:i4>
      </vt:variant>
      <vt:variant>
        <vt:lpwstr/>
      </vt:variant>
      <vt:variant>
        <vt:lpwstr>_Toc402449147</vt:lpwstr>
      </vt:variant>
      <vt:variant>
        <vt:i4>1966131</vt:i4>
      </vt:variant>
      <vt:variant>
        <vt:i4>152</vt:i4>
      </vt:variant>
      <vt:variant>
        <vt:i4>0</vt:i4>
      </vt:variant>
      <vt:variant>
        <vt:i4>5</vt:i4>
      </vt:variant>
      <vt:variant>
        <vt:lpwstr/>
      </vt:variant>
      <vt:variant>
        <vt:lpwstr>_Toc402449146</vt:lpwstr>
      </vt:variant>
      <vt:variant>
        <vt:i4>1966131</vt:i4>
      </vt:variant>
      <vt:variant>
        <vt:i4>146</vt:i4>
      </vt:variant>
      <vt:variant>
        <vt:i4>0</vt:i4>
      </vt:variant>
      <vt:variant>
        <vt:i4>5</vt:i4>
      </vt:variant>
      <vt:variant>
        <vt:lpwstr/>
      </vt:variant>
      <vt:variant>
        <vt:lpwstr>_Toc402449145</vt:lpwstr>
      </vt:variant>
      <vt:variant>
        <vt:i4>1966131</vt:i4>
      </vt:variant>
      <vt:variant>
        <vt:i4>140</vt:i4>
      </vt:variant>
      <vt:variant>
        <vt:i4>0</vt:i4>
      </vt:variant>
      <vt:variant>
        <vt:i4>5</vt:i4>
      </vt:variant>
      <vt:variant>
        <vt:lpwstr/>
      </vt:variant>
      <vt:variant>
        <vt:lpwstr>_Toc402449144</vt:lpwstr>
      </vt:variant>
      <vt:variant>
        <vt:i4>1966131</vt:i4>
      </vt:variant>
      <vt:variant>
        <vt:i4>134</vt:i4>
      </vt:variant>
      <vt:variant>
        <vt:i4>0</vt:i4>
      </vt:variant>
      <vt:variant>
        <vt:i4>5</vt:i4>
      </vt:variant>
      <vt:variant>
        <vt:lpwstr/>
      </vt:variant>
      <vt:variant>
        <vt:lpwstr>_Toc402449143</vt:lpwstr>
      </vt:variant>
      <vt:variant>
        <vt:i4>1966131</vt:i4>
      </vt:variant>
      <vt:variant>
        <vt:i4>128</vt:i4>
      </vt:variant>
      <vt:variant>
        <vt:i4>0</vt:i4>
      </vt:variant>
      <vt:variant>
        <vt:i4>5</vt:i4>
      </vt:variant>
      <vt:variant>
        <vt:lpwstr/>
      </vt:variant>
      <vt:variant>
        <vt:lpwstr>_Toc402449142</vt:lpwstr>
      </vt:variant>
      <vt:variant>
        <vt:i4>1966131</vt:i4>
      </vt:variant>
      <vt:variant>
        <vt:i4>122</vt:i4>
      </vt:variant>
      <vt:variant>
        <vt:i4>0</vt:i4>
      </vt:variant>
      <vt:variant>
        <vt:i4>5</vt:i4>
      </vt:variant>
      <vt:variant>
        <vt:lpwstr/>
      </vt:variant>
      <vt:variant>
        <vt:lpwstr>_Toc402449141</vt:lpwstr>
      </vt:variant>
      <vt:variant>
        <vt:i4>1966131</vt:i4>
      </vt:variant>
      <vt:variant>
        <vt:i4>116</vt:i4>
      </vt:variant>
      <vt:variant>
        <vt:i4>0</vt:i4>
      </vt:variant>
      <vt:variant>
        <vt:i4>5</vt:i4>
      </vt:variant>
      <vt:variant>
        <vt:lpwstr/>
      </vt:variant>
      <vt:variant>
        <vt:lpwstr>_Toc402449140</vt:lpwstr>
      </vt:variant>
      <vt:variant>
        <vt:i4>1638451</vt:i4>
      </vt:variant>
      <vt:variant>
        <vt:i4>110</vt:i4>
      </vt:variant>
      <vt:variant>
        <vt:i4>0</vt:i4>
      </vt:variant>
      <vt:variant>
        <vt:i4>5</vt:i4>
      </vt:variant>
      <vt:variant>
        <vt:lpwstr/>
      </vt:variant>
      <vt:variant>
        <vt:lpwstr>_Toc402449139</vt:lpwstr>
      </vt:variant>
      <vt:variant>
        <vt:i4>1638451</vt:i4>
      </vt:variant>
      <vt:variant>
        <vt:i4>104</vt:i4>
      </vt:variant>
      <vt:variant>
        <vt:i4>0</vt:i4>
      </vt:variant>
      <vt:variant>
        <vt:i4>5</vt:i4>
      </vt:variant>
      <vt:variant>
        <vt:lpwstr/>
      </vt:variant>
      <vt:variant>
        <vt:lpwstr>_Toc402449138</vt:lpwstr>
      </vt:variant>
      <vt:variant>
        <vt:i4>1638451</vt:i4>
      </vt:variant>
      <vt:variant>
        <vt:i4>98</vt:i4>
      </vt:variant>
      <vt:variant>
        <vt:i4>0</vt:i4>
      </vt:variant>
      <vt:variant>
        <vt:i4>5</vt:i4>
      </vt:variant>
      <vt:variant>
        <vt:lpwstr/>
      </vt:variant>
      <vt:variant>
        <vt:lpwstr>_Toc402449137</vt:lpwstr>
      </vt:variant>
      <vt:variant>
        <vt:i4>1638451</vt:i4>
      </vt:variant>
      <vt:variant>
        <vt:i4>92</vt:i4>
      </vt:variant>
      <vt:variant>
        <vt:i4>0</vt:i4>
      </vt:variant>
      <vt:variant>
        <vt:i4>5</vt:i4>
      </vt:variant>
      <vt:variant>
        <vt:lpwstr/>
      </vt:variant>
      <vt:variant>
        <vt:lpwstr>_Toc402449136</vt:lpwstr>
      </vt:variant>
      <vt:variant>
        <vt:i4>1638451</vt:i4>
      </vt:variant>
      <vt:variant>
        <vt:i4>86</vt:i4>
      </vt:variant>
      <vt:variant>
        <vt:i4>0</vt:i4>
      </vt:variant>
      <vt:variant>
        <vt:i4>5</vt:i4>
      </vt:variant>
      <vt:variant>
        <vt:lpwstr/>
      </vt:variant>
      <vt:variant>
        <vt:lpwstr>_Toc402449135</vt:lpwstr>
      </vt:variant>
      <vt:variant>
        <vt:i4>1638451</vt:i4>
      </vt:variant>
      <vt:variant>
        <vt:i4>80</vt:i4>
      </vt:variant>
      <vt:variant>
        <vt:i4>0</vt:i4>
      </vt:variant>
      <vt:variant>
        <vt:i4>5</vt:i4>
      </vt:variant>
      <vt:variant>
        <vt:lpwstr/>
      </vt:variant>
      <vt:variant>
        <vt:lpwstr>_Toc402449134</vt:lpwstr>
      </vt:variant>
      <vt:variant>
        <vt:i4>1638451</vt:i4>
      </vt:variant>
      <vt:variant>
        <vt:i4>74</vt:i4>
      </vt:variant>
      <vt:variant>
        <vt:i4>0</vt:i4>
      </vt:variant>
      <vt:variant>
        <vt:i4>5</vt:i4>
      </vt:variant>
      <vt:variant>
        <vt:lpwstr/>
      </vt:variant>
      <vt:variant>
        <vt:lpwstr>_Toc402449133</vt:lpwstr>
      </vt:variant>
      <vt:variant>
        <vt:i4>1638451</vt:i4>
      </vt:variant>
      <vt:variant>
        <vt:i4>68</vt:i4>
      </vt:variant>
      <vt:variant>
        <vt:i4>0</vt:i4>
      </vt:variant>
      <vt:variant>
        <vt:i4>5</vt:i4>
      </vt:variant>
      <vt:variant>
        <vt:lpwstr/>
      </vt:variant>
      <vt:variant>
        <vt:lpwstr>_Toc402449132</vt:lpwstr>
      </vt:variant>
      <vt:variant>
        <vt:i4>1638451</vt:i4>
      </vt:variant>
      <vt:variant>
        <vt:i4>62</vt:i4>
      </vt:variant>
      <vt:variant>
        <vt:i4>0</vt:i4>
      </vt:variant>
      <vt:variant>
        <vt:i4>5</vt:i4>
      </vt:variant>
      <vt:variant>
        <vt:lpwstr/>
      </vt:variant>
      <vt:variant>
        <vt:lpwstr>_Toc402449131</vt:lpwstr>
      </vt:variant>
      <vt:variant>
        <vt:i4>1638451</vt:i4>
      </vt:variant>
      <vt:variant>
        <vt:i4>56</vt:i4>
      </vt:variant>
      <vt:variant>
        <vt:i4>0</vt:i4>
      </vt:variant>
      <vt:variant>
        <vt:i4>5</vt:i4>
      </vt:variant>
      <vt:variant>
        <vt:lpwstr/>
      </vt:variant>
      <vt:variant>
        <vt:lpwstr>_Toc402449130</vt:lpwstr>
      </vt:variant>
      <vt:variant>
        <vt:i4>1572915</vt:i4>
      </vt:variant>
      <vt:variant>
        <vt:i4>50</vt:i4>
      </vt:variant>
      <vt:variant>
        <vt:i4>0</vt:i4>
      </vt:variant>
      <vt:variant>
        <vt:i4>5</vt:i4>
      </vt:variant>
      <vt:variant>
        <vt:lpwstr/>
      </vt:variant>
      <vt:variant>
        <vt:lpwstr>_Toc402449129</vt:lpwstr>
      </vt:variant>
      <vt:variant>
        <vt:i4>1572915</vt:i4>
      </vt:variant>
      <vt:variant>
        <vt:i4>44</vt:i4>
      </vt:variant>
      <vt:variant>
        <vt:i4>0</vt:i4>
      </vt:variant>
      <vt:variant>
        <vt:i4>5</vt:i4>
      </vt:variant>
      <vt:variant>
        <vt:lpwstr/>
      </vt:variant>
      <vt:variant>
        <vt:lpwstr>_Toc402449128</vt:lpwstr>
      </vt:variant>
      <vt:variant>
        <vt:i4>1572915</vt:i4>
      </vt:variant>
      <vt:variant>
        <vt:i4>38</vt:i4>
      </vt:variant>
      <vt:variant>
        <vt:i4>0</vt:i4>
      </vt:variant>
      <vt:variant>
        <vt:i4>5</vt:i4>
      </vt:variant>
      <vt:variant>
        <vt:lpwstr/>
      </vt:variant>
      <vt:variant>
        <vt:lpwstr>_Toc402449127</vt:lpwstr>
      </vt:variant>
      <vt:variant>
        <vt:i4>1572915</vt:i4>
      </vt:variant>
      <vt:variant>
        <vt:i4>32</vt:i4>
      </vt:variant>
      <vt:variant>
        <vt:i4>0</vt:i4>
      </vt:variant>
      <vt:variant>
        <vt:i4>5</vt:i4>
      </vt:variant>
      <vt:variant>
        <vt:lpwstr/>
      </vt:variant>
      <vt:variant>
        <vt:lpwstr>_Toc402449126</vt:lpwstr>
      </vt:variant>
      <vt:variant>
        <vt:i4>1572915</vt:i4>
      </vt:variant>
      <vt:variant>
        <vt:i4>26</vt:i4>
      </vt:variant>
      <vt:variant>
        <vt:i4>0</vt:i4>
      </vt:variant>
      <vt:variant>
        <vt:i4>5</vt:i4>
      </vt:variant>
      <vt:variant>
        <vt:lpwstr/>
      </vt:variant>
      <vt:variant>
        <vt:lpwstr>_Toc402449125</vt:lpwstr>
      </vt:variant>
      <vt:variant>
        <vt:i4>1572915</vt:i4>
      </vt:variant>
      <vt:variant>
        <vt:i4>20</vt:i4>
      </vt:variant>
      <vt:variant>
        <vt:i4>0</vt:i4>
      </vt:variant>
      <vt:variant>
        <vt:i4>5</vt:i4>
      </vt:variant>
      <vt:variant>
        <vt:lpwstr/>
      </vt:variant>
      <vt:variant>
        <vt:lpwstr>_Toc402449124</vt:lpwstr>
      </vt:variant>
      <vt:variant>
        <vt:i4>1572915</vt:i4>
      </vt:variant>
      <vt:variant>
        <vt:i4>14</vt:i4>
      </vt:variant>
      <vt:variant>
        <vt:i4>0</vt:i4>
      </vt:variant>
      <vt:variant>
        <vt:i4>5</vt:i4>
      </vt:variant>
      <vt:variant>
        <vt:lpwstr/>
      </vt:variant>
      <vt:variant>
        <vt:lpwstr>_Toc402449123</vt:lpwstr>
      </vt:variant>
      <vt:variant>
        <vt:i4>1572915</vt:i4>
      </vt:variant>
      <vt:variant>
        <vt:i4>8</vt:i4>
      </vt:variant>
      <vt:variant>
        <vt:i4>0</vt:i4>
      </vt:variant>
      <vt:variant>
        <vt:i4>5</vt:i4>
      </vt:variant>
      <vt:variant>
        <vt:lpwstr/>
      </vt:variant>
      <vt:variant>
        <vt:lpwstr>_Toc402449122</vt:lpwstr>
      </vt:variant>
      <vt:variant>
        <vt:i4>1572915</vt:i4>
      </vt:variant>
      <vt:variant>
        <vt:i4>2</vt:i4>
      </vt:variant>
      <vt:variant>
        <vt:i4>0</vt:i4>
      </vt:variant>
      <vt:variant>
        <vt:i4>5</vt:i4>
      </vt:variant>
      <vt:variant>
        <vt:lpwstr/>
      </vt:variant>
      <vt:variant>
        <vt:lpwstr>_Toc402449121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陈红</dc:creator>
  <cp:lastModifiedBy>陈红</cp:lastModifiedBy>
  <cp:revision>3</cp:revision>
  <cp:lastPrinted>2012-04-13T07:47:00Z</cp:lastPrinted>
  <dcterms:created xsi:type="dcterms:W3CDTF">2020-05-27T15:09:00Z</dcterms:created>
  <dcterms:modified xsi:type="dcterms:W3CDTF">2020-05-28T03:12:00Z</dcterms:modified>
</cp:coreProperties>
</file>