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FA" w:rsidRPr="00E60957" w:rsidRDefault="007B62FA" w:rsidP="00417F87">
      <w:pPr>
        <w:autoSpaceDE w:val="0"/>
        <w:autoSpaceDN w:val="0"/>
        <w:adjustRightInd w:val="0"/>
        <w:spacing w:line="360" w:lineRule="auto"/>
        <w:jc w:val="left"/>
        <w:rPr>
          <w:rFonts w:eastAsiaTheme="minorEastAsia"/>
          <w:color w:val="000000" w:themeColor="text1"/>
          <w:kern w:val="0"/>
          <w:szCs w:val="21"/>
        </w:rPr>
      </w:pPr>
    </w:p>
    <w:p w:rsidR="007B62FA" w:rsidRPr="00E60957" w:rsidRDefault="007B62FA" w:rsidP="00417F87">
      <w:pPr>
        <w:autoSpaceDE w:val="0"/>
        <w:autoSpaceDN w:val="0"/>
        <w:adjustRightInd w:val="0"/>
        <w:spacing w:line="360" w:lineRule="auto"/>
        <w:jc w:val="left"/>
        <w:rPr>
          <w:rFonts w:eastAsiaTheme="minorEastAsia"/>
          <w:color w:val="000000" w:themeColor="text1"/>
          <w:kern w:val="0"/>
          <w:szCs w:val="21"/>
        </w:rPr>
      </w:pPr>
    </w:p>
    <w:p w:rsidR="007B62FA" w:rsidRPr="00E60957" w:rsidRDefault="007B62FA" w:rsidP="00417F87">
      <w:pPr>
        <w:autoSpaceDE w:val="0"/>
        <w:autoSpaceDN w:val="0"/>
        <w:adjustRightInd w:val="0"/>
        <w:spacing w:line="360" w:lineRule="auto"/>
        <w:jc w:val="left"/>
        <w:rPr>
          <w:rFonts w:eastAsiaTheme="minorEastAsia"/>
          <w:color w:val="000000" w:themeColor="text1"/>
          <w:kern w:val="0"/>
          <w:szCs w:val="21"/>
        </w:rPr>
      </w:pPr>
    </w:p>
    <w:p w:rsidR="007B62FA" w:rsidRPr="00E60957" w:rsidRDefault="007B62FA" w:rsidP="00417F87">
      <w:pPr>
        <w:autoSpaceDE w:val="0"/>
        <w:autoSpaceDN w:val="0"/>
        <w:adjustRightInd w:val="0"/>
        <w:spacing w:line="360" w:lineRule="auto"/>
        <w:jc w:val="left"/>
        <w:rPr>
          <w:rFonts w:eastAsiaTheme="minorEastAsia"/>
          <w:color w:val="000000" w:themeColor="text1"/>
          <w:kern w:val="0"/>
          <w:szCs w:val="21"/>
        </w:rPr>
      </w:pPr>
    </w:p>
    <w:p w:rsidR="007B62FA" w:rsidRPr="00E60957" w:rsidRDefault="007B62FA" w:rsidP="00D0372D">
      <w:pPr>
        <w:spacing w:line="360" w:lineRule="auto"/>
        <w:jc w:val="center"/>
        <w:rPr>
          <w:rFonts w:eastAsiaTheme="minorEastAsia"/>
          <w:b/>
          <w:color w:val="000000" w:themeColor="text1"/>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E60957">
        <w:rPr>
          <w:rFonts w:eastAsiaTheme="minorEastAsia"/>
          <w:b/>
          <w:color w:val="000000" w:themeColor="text1"/>
          <w:sz w:val="36"/>
          <w:szCs w:val="36"/>
        </w:rPr>
        <w:t>易方达黄金主题证券投资基金（</w:t>
      </w:r>
      <w:r w:rsidRPr="00E60957">
        <w:rPr>
          <w:rFonts w:eastAsiaTheme="minorEastAsia"/>
          <w:b/>
          <w:color w:val="000000" w:themeColor="text1"/>
          <w:sz w:val="36"/>
          <w:szCs w:val="36"/>
        </w:rPr>
        <w:t>LOF</w:t>
      </w:r>
      <w:r w:rsidRPr="00E60957">
        <w:rPr>
          <w:rFonts w:eastAsiaTheme="minorEastAsia"/>
          <w:b/>
          <w:color w:val="000000" w:themeColor="text1"/>
          <w:sz w:val="36"/>
          <w:szCs w:val="36"/>
        </w:rPr>
        <w:t>）</w:t>
      </w:r>
      <w:bookmarkEnd w:id="0"/>
      <w:bookmarkEnd w:id="1"/>
      <w:bookmarkEnd w:id="2"/>
      <w:bookmarkEnd w:id="3"/>
      <w:bookmarkEnd w:id="4"/>
      <w:bookmarkEnd w:id="5"/>
    </w:p>
    <w:p w:rsidR="007B62FA" w:rsidRPr="00E60957" w:rsidRDefault="007B62FA" w:rsidP="00D0372D">
      <w:pPr>
        <w:spacing w:line="360" w:lineRule="auto"/>
        <w:jc w:val="center"/>
        <w:rPr>
          <w:rFonts w:eastAsiaTheme="minorEastAsia"/>
          <w:b/>
          <w:color w:val="000000" w:themeColor="text1"/>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E60957">
        <w:rPr>
          <w:rFonts w:eastAsiaTheme="minorEastAsia"/>
          <w:b/>
          <w:color w:val="000000" w:themeColor="text1"/>
          <w:sz w:val="36"/>
          <w:szCs w:val="36"/>
        </w:rPr>
        <w:t>2019</w:t>
      </w:r>
      <w:r w:rsidRPr="00E60957">
        <w:rPr>
          <w:rFonts w:eastAsiaTheme="minorEastAsia"/>
          <w:b/>
          <w:color w:val="000000" w:themeColor="text1"/>
          <w:sz w:val="36"/>
          <w:szCs w:val="36"/>
        </w:rPr>
        <w:t>年年度报告</w:t>
      </w:r>
      <w:bookmarkEnd w:id="6"/>
      <w:bookmarkEnd w:id="7"/>
      <w:bookmarkEnd w:id="8"/>
      <w:bookmarkEnd w:id="9"/>
      <w:bookmarkEnd w:id="10"/>
      <w:bookmarkEnd w:id="11"/>
    </w:p>
    <w:p w:rsidR="007B62FA" w:rsidRPr="00E60957" w:rsidRDefault="00ED2997" w:rsidP="00D0372D">
      <w:pPr>
        <w:spacing w:line="360" w:lineRule="auto"/>
        <w:jc w:val="center"/>
        <w:rPr>
          <w:rFonts w:eastAsiaTheme="minorEastAsia"/>
          <w:b/>
          <w:color w:val="000000" w:themeColor="text1"/>
          <w:sz w:val="36"/>
          <w:szCs w:val="36"/>
        </w:rPr>
      </w:pPr>
      <w:r w:rsidRPr="00E60957">
        <w:rPr>
          <w:rFonts w:eastAsiaTheme="minorEastAsia"/>
          <w:b/>
          <w:color w:val="000000" w:themeColor="text1"/>
          <w:sz w:val="36"/>
          <w:szCs w:val="36"/>
        </w:rPr>
        <w:t>2019</w:t>
      </w:r>
      <w:r w:rsidRPr="00E60957">
        <w:rPr>
          <w:rFonts w:eastAsiaTheme="minorEastAsia"/>
          <w:b/>
          <w:color w:val="000000" w:themeColor="text1"/>
          <w:sz w:val="36"/>
          <w:szCs w:val="36"/>
        </w:rPr>
        <w:t>年</w:t>
      </w:r>
      <w:r w:rsidRPr="00E60957">
        <w:rPr>
          <w:rFonts w:eastAsiaTheme="minorEastAsia"/>
          <w:b/>
          <w:color w:val="000000" w:themeColor="text1"/>
          <w:sz w:val="36"/>
          <w:szCs w:val="36"/>
        </w:rPr>
        <w:t>12</w:t>
      </w:r>
      <w:r w:rsidRPr="00E60957">
        <w:rPr>
          <w:rFonts w:eastAsiaTheme="minorEastAsia"/>
          <w:b/>
          <w:color w:val="000000" w:themeColor="text1"/>
          <w:sz w:val="36"/>
          <w:szCs w:val="36"/>
        </w:rPr>
        <w:t>月</w:t>
      </w:r>
      <w:r w:rsidRPr="00E60957">
        <w:rPr>
          <w:rFonts w:eastAsiaTheme="minorEastAsia"/>
          <w:b/>
          <w:color w:val="000000" w:themeColor="text1"/>
          <w:sz w:val="36"/>
          <w:szCs w:val="36"/>
        </w:rPr>
        <w:t>31</w:t>
      </w:r>
      <w:r w:rsidRPr="00E60957">
        <w:rPr>
          <w:rFonts w:eastAsiaTheme="minorEastAsia"/>
          <w:b/>
          <w:color w:val="000000" w:themeColor="text1"/>
          <w:sz w:val="36"/>
          <w:szCs w:val="36"/>
        </w:rPr>
        <w:t>日</w:t>
      </w: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rPr>
          <w:rFonts w:eastAsiaTheme="minorEastAsia"/>
          <w:b/>
          <w:color w:val="000000" w:themeColor="text1"/>
          <w:szCs w:val="21"/>
        </w:rPr>
      </w:pPr>
    </w:p>
    <w:p w:rsidR="007B62FA" w:rsidRPr="00E60957" w:rsidRDefault="007B62FA" w:rsidP="00417F87">
      <w:pPr>
        <w:spacing w:line="360" w:lineRule="auto"/>
        <w:rPr>
          <w:rFonts w:eastAsiaTheme="minorEastAsia"/>
          <w:b/>
          <w:color w:val="000000" w:themeColor="text1"/>
          <w:szCs w:val="21"/>
        </w:rPr>
      </w:pPr>
    </w:p>
    <w:p w:rsidR="007B62FA" w:rsidRPr="00E60957" w:rsidRDefault="007B62FA" w:rsidP="00B70132">
      <w:pPr>
        <w:spacing w:line="360" w:lineRule="auto"/>
        <w:ind w:firstLineChars="900" w:firstLine="2168"/>
        <w:rPr>
          <w:rFonts w:eastAsiaTheme="minorEastAsia"/>
          <w:b/>
          <w:color w:val="000000" w:themeColor="text1"/>
          <w:sz w:val="24"/>
        </w:rPr>
      </w:pPr>
      <w:r w:rsidRPr="00E60957">
        <w:rPr>
          <w:rFonts w:eastAsiaTheme="minorEastAsia"/>
          <w:b/>
          <w:color w:val="000000" w:themeColor="text1"/>
          <w:sz w:val="24"/>
        </w:rPr>
        <w:t>基金管理人：易方达基金管理有限公司</w:t>
      </w:r>
    </w:p>
    <w:p w:rsidR="007B62FA" w:rsidRPr="00E60957" w:rsidRDefault="007B62FA" w:rsidP="00B70132">
      <w:pPr>
        <w:spacing w:line="360" w:lineRule="auto"/>
        <w:ind w:firstLineChars="900" w:firstLine="2168"/>
        <w:rPr>
          <w:rFonts w:eastAsiaTheme="minorEastAsia"/>
          <w:b/>
          <w:color w:val="000000" w:themeColor="text1"/>
          <w:sz w:val="24"/>
        </w:rPr>
      </w:pPr>
      <w:r w:rsidRPr="00E60957">
        <w:rPr>
          <w:rFonts w:eastAsiaTheme="minorEastAsia"/>
          <w:b/>
          <w:color w:val="000000" w:themeColor="text1"/>
          <w:sz w:val="24"/>
        </w:rPr>
        <w:t>基金托管人：中国农业银行股份有限公司</w:t>
      </w:r>
    </w:p>
    <w:p w:rsidR="007B62FA" w:rsidRPr="00E60957" w:rsidRDefault="007B62FA" w:rsidP="00B70132">
      <w:pPr>
        <w:spacing w:line="360" w:lineRule="auto"/>
        <w:ind w:firstLineChars="900" w:firstLine="2168"/>
        <w:rPr>
          <w:rFonts w:eastAsiaTheme="minorEastAsia"/>
          <w:b/>
          <w:color w:val="000000" w:themeColor="text1"/>
          <w:sz w:val="24"/>
        </w:rPr>
      </w:pPr>
      <w:r w:rsidRPr="00E60957">
        <w:rPr>
          <w:rFonts w:eastAsiaTheme="minorEastAsia"/>
          <w:b/>
          <w:color w:val="000000" w:themeColor="text1"/>
          <w:sz w:val="24"/>
        </w:rPr>
        <w:t>送出日期：二〇二〇年三月三十一日</w:t>
      </w:r>
    </w:p>
    <w:p w:rsidR="00843355" w:rsidRPr="00E60957" w:rsidRDefault="00843355" w:rsidP="00417F87">
      <w:pPr>
        <w:spacing w:line="360" w:lineRule="auto"/>
        <w:ind w:left="1680" w:firstLine="420"/>
        <w:jc w:val="left"/>
        <w:rPr>
          <w:rFonts w:eastAsiaTheme="minorEastAsia"/>
          <w:b/>
          <w:color w:val="000000" w:themeColor="text1"/>
          <w:szCs w:val="21"/>
        </w:rPr>
      </w:pPr>
    </w:p>
    <w:p w:rsidR="00843355" w:rsidRPr="00E60957" w:rsidRDefault="00843355" w:rsidP="00417F87">
      <w:pPr>
        <w:spacing w:line="360" w:lineRule="auto"/>
        <w:ind w:left="1680" w:firstLine="420"/>
        <w:jc w:val="left"/>
        <w:rPr>
          <w:rFonts w:eastAsiaTheme="minorEastAsia"/>
          <w:color w:val="000000" w:themeColor="text1"/>
          <w:szCs w:val="21"/>
        </w:rPr>
        <w:sectPr w:rsidR="00843355" w:rsidRPr="00E60957">
          <w:headerReference w:type="default" r:id="rId8"/>
          <w:pgSz w:w="11926" w:h="15840"/>
          <w:pgMar w:top="1418" w:right="1418" w:bottom="851" w:left="1418" w:header="851" w:footer="992" w:gutter="0"/>
          <w:cols w:space="720"/>
        </w:sectPr>
      </w:pPr>
    </w:p>
    <w:p w:rsidR="007B62FA" w:rsidRPr="00642B8E" w:rsidRDefault="007B62FA" w:rsidP="007E24F2">
      <w:pPr>
        <w:pStyle w:val="20"/>
        <w:tabs>
          <w:tab w:val="num" w:pos="425"/>
        </w:tabs>
        <w:spacing w:beforeLines="100" w:before="312" w:afterLines="100" w:after="312"/>
        <w:ind w:left="425" w:hanging="425"/>
        <w:jc w:val="center"/>
        <w:rPr>
          <w:rFonts w:ascii="宋体" w:hAnsi="宋体" w:cs="Arial"/>
          <w:color w:val="000000"/>
          <w:sz w:val="21"/>
          <w:szCs w:val="21"/>
        </w:rPr>
      </w:pPr>
      <w:bookmarkStart w:id="12" w:name="_Toc225498243"/>
      <w:bookmarkStart w:id="13" w:name="_Toc352255958"/>
      <w:bookmarkStart w:id="14" w:name="_Toc352256026"/>
      <w:bookmarkStart w:id="15" w:name="_Toc352331204"/>
      <w:bookmarkStart w:id="16" w:name="_Toc362423982"/>
      <w:bookmarkStart w:id="17" w:name="_Toc35533791"/>
      <w:r w:rsidRPr="00642B8E">
        <w:rPr>
          <w:rFonts w:ascii="宋体" w:hAnsi="宋体" w:cs="Arial"/>
          <w:color w:val="000000"/>
          <w:sz w:val="21"/>
          <w:szCs w:val="21"/>
        </w:rPr>
        <w:lastRenderedPageBreak/>
        <w:t>§1</w:t>
      </w:r>
      <w:r w:rsidR="00A6121D" w:rsidRPr="00A6121D">
        <w:rPr>
          <w:rFonts w:ascii="宋体" w:hAnsi="宋体" w:cs="Arial" w:hint="eastAsia"/>
          <w:color w:val="000000"/>
          <w:sz w:val="21"/>
          <w:szCs w:val="21"/>
        </w:rPr>
        <w:t xml:space="preserve">    </w:t>
      </w:r>
      <w:r w:rsidRPr="00642B8E">
        <w:rPr>
          <w:rFonts w:ascii="宋体" w:hAnsi="宋体" w:cs="Arial"/>
          <w:color w:val="000000"/>
          <w:sz w:val="21"/>
          <w:szCs w:val="21"/>
        </w:rPr>
        <w:t>重要提示及目录</w:t>
      </w:r>
      <w:bookmarkEnd w:id="12"/>
      <w:bookmarkEnd w:id="13"/>
      <w:bookmarkEnd w:id="14"/>
      <w:bookmarkEnd w:id="15"/>
      <w:bookmarkEnd w:id="16"/>
      <w:bookmarkEnd w:id="17"/>
    </w:p>
    <w:p w:rsidR="007B62FA" w:rsidRPr="00940842" w:rsidRDefault="007B62FA" w:rsidP="00B70132">
      <w:pPr>
        <w:pStyle w:val="20"/>
        <w:spacing w:before="0" w:after="0"/>
        <w:rPr>
          <w:rFonts w:asciiTheme="majorEastAsia" w:eastAsiaTheme="majorEastAsia" w:hAnsiTheme="majorEastAsia"/>
          <w:color w:val="000000" w:themeColor="text1"/>
          <w:kern w:val="0"/>
          <w:sz w:val="21"/>
          <w:szCs w:val="21"/>
        </w:rPr>
      </w:pPr>
      <w:bookmarkStart w:id="18" w:name="_Toc352255959"/>
      <w:bookmarkStart w:id="19" w:name="_Toc352256027"/>
      <w:bookmarkStart w:id="20" w:name="_Toc352331205"/>
      <w:bookmarkStart w:id="21" w:name="_Toc362423983"/>
      <w:bookmarkStart w:id="22" w:name="_Toc35533792"/>
      <w:r w:rsidRPr="00940842">
        <w:rPr>
          <w:rFonts w:asciiTheme="majorEastAsia" w:eastAsiaTheme="majorEastAsia" w:hAnsiTheme="majorEastAsia"/>
          <w:color w:val="000000" w:themeColor="text1"/>
          <w:kern w:val="0"/>
          <w:sz w:val="21"/>
          <w:szCs w:val="21"/>
        </w:rPr>
        <w:t>1.1</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重要提示</w:t>
      </w:r>
      <w:bookmarkEnd w:id="18"/>
      <w:bookmarkEnd w:id="19"/>
      <w:bookmarkEnd w:id="20"/>
      <w:bookmarkEnd w:id="21"/>
      <w:bookmarkEnd w:id="22"/>
    </w:p>
    <w:p w:rsidR="00F14AEA" w:rsidRDefault="00EC6028">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F14AEA" w:rsidRDefault="00EC6028">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F14AEA" w:rsidRDefault="00EC6028">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14AEA" w:rsidRDefault="00EC6028">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F14AEA" w:rsidRDefault="00EC6028">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 xml:space="preserve">) </w:t>
      </w:r>
      <w:r>
        <w:rPr>
          <w:rFonts w:eastAsiaTheme="minorEastAsia"/>
          <w:color w:val="000000" w:themeColor="text1"/>
          <w:szCs w:val="21"/>
        </w:rPr>
        <w:t>为本基金出具了标准无保留意见的审计报告，请投资者注意阅读。</w:t>
      </w:r>
    </w:p>
    <w:p w:rsidR="007B62FA" w:rsidRPr="00E60957" w:rsidRDefault="007B62FA" w:rsidP="00B70132">
      <w:pPr>
        <w:snapToGrid w:val="0"/>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本报告期自</w:t>
      </w:r>
      <w:r w:rsidRPr="00E60957">
        <w:rPr>
          <w:rFonts w:eastAsiaTheme="minorEastAsia"/>
          <w:color w:val="000000" w:themeColor="text1"/>
          <w:szCs w:val="21"/>
        </w:rPr>
        <w:t>2019</w:t>
      </w:r>
      <w:r w:rsidRPr="00E60957">
        <w:rPr>
          <w:rFonts w:eastAsiaTheme="minorEastAsia"/>
          <w:color w:val="000000" w:themeColor="text1"/>
          <w:szCs w:val="21"/>
        </w:rPr>
        <w:t>年</w:t>
      </w:r>
      <w:r w:rsidRPr="00E60957">
        <w:rPr>
          <w:rFonts w:eastAsiaTheme="minorEastAsia"/>
          <w:color w:val="000000" w:themeColor="text1"/>
          <w:szCs w:val="21"/>
        </w:rPr>
        <w:t>1</w:t>
      </w:r>
      <w:r w:rsidRPr="00E60957">
        <w:rPr>
          <w:rFonts w:eastAsiaTheme="minorEastAsia"/>
          <w:color w:val="000000" w:themeColor="text1"/>
          <w:szCs w:val="21"/>
        </w:rPr>
        <w:t>月</w:t>
      </w:r>
      <w:r w:rsidRPr="00E60957">
        <w:rPr>
          <w:rFonts w:eastAsiaTheme="minorEastAsia"/>
          <w:color w:val="000000" w:themeColor="text1"/>
          <w:szCs w:val="21"/>
        </w:rPr>
        <w:t>1</w:t>
      </w:r>
      <w:r w:rsidRPr="00E60957">
        <w:rPr>
          <w:rFonts w:eastAsiaTheme="minorEastAsia"/>
          <w:color w:val="000000" w:themeColor="text1"/>
          <w:szCs w:val="21"/>
        </w:rPr>
        <w:t>日起至</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日止。</w:t>
      </w:r>
    </w:p>
    <w:p w:rsidR="0036560F" w:rsidRPr="00E60957" w:rsidRDefault="007B62FA" w:rsidP="00C23B4F">
      <w:pPr>
        <w:pStyle w:val="20"/>
        <w:spacing w:before="0" w:after="0"/>
        <w:rPr>
          <w:rFonts w:eastAsiaTheme="minorEastAsia"/>
          <w:b w:val="0"/>
          <w:color w:val="000000" w:themeColor="text1"/>
          <w:szCs w:val="21"/>
        </w:rPr>
      </w:pPr>
      <w:r w:rsidRPr="00E60957">
        <w:rPr>
          <w:rFonts w:eastAsiaTheme="minorEastAsia"/>
          <w:color w:val="000000" w:themeColor="text1"/>
          <w:szCs w:val="21"/>
        </w:rPr>
        <w:br w:type="page"/>
      </w:r>
      <w:bookmarkStart w:id="23" w:name="_Toc35533793"/>
      <w:r w:rsidR="00C23B4F" w:rsidRPr="00C23B4F">
        <w:rPr>
          <w:rFonts w:asciiTheme="majorEastAsia" w:eastAsiaTheme="majorEastAsia" w:hAnsiTheme="majorEastAsia" w:hint="eastAsia"/>
          <w:color w:val="000000" w:themeColor="text1"/>
          <w:kern w:val="0"/>
          <w:sz w:val="21"/>
          <w:szCs w:val="21"/>
        </w:rPr>
        <w:lastRenderedPageBreak/>
        <w:t>1.2    目录</w:t>
      </w:r>
      <w:bookmarkEnd w:id="23"/>
    </w:p>
    <w:p w:rsidR="003E5F1F" w:rsidRPr="00E60957" w:rsidRDefault="003E5F1F" w:rsidP="00D0372D">
      <w:pPr>
        <w:spacing w:line="360" w:lineRule="auto"/>
        <w:ind w:firstLineChars="50" w:firstLine="105"/>
        <w:rPr>
          <w:rFonts w:eastAsiaTheme="minorEastAsia"/>
          <w:b/>
          <w:color w:val="000000" w:themeColor="text1"/>
          <w:szCs w:val="21"/>
        </w:rPr>
      </w:pPr>
    </w:p>
    <w:p w:rsidR="00EC6028" w:rsidRDefault="00953237">
      <w:pPr>
        <w:pStyle w:val="22"/>
        <w:rPr>
          <w:rFonts w:asciiTheme="minorHAnsi" w:eastAsiaTheme="minorEastAsia" w:hAnsiTheme="minorHAnsi" w:cstheme="minorBidi"/>
          <w:noProof/>
          <w:kern w:val="2"/>
          <w:szCs w:val="22"/>
        </w:rPr>
      </w:pPr>
      <w:r w:rsidRPr="00B14D91">
        <w:rPr>
          <w:rFonts w:eastAsiaTheme="minorEastAsia"/>
          <w:color w:val="000000" w:themeColor="text1"/>
        </w:rPr>
        <w:fldChar w:fldCharType="begin"/>
      </w:r>
      <w:r w:rsidR="00B70132" w:rsidRPr="00B14D91">
        <w:rPr>
          <w:rFonts w:eastAsiaTheme="minorEastAsia"/>
          <w:color w:val="000000" w:themeColor="text1"/>
        </w:rPr>
        <w:instrText xml:space="preserve"> TOC \o "1-3" \h \z \u </w:instrText>
      </w:r>
      <w:r w:rsidRPr="00B14D91">
        <w:rPr>
          <w:rFonts w:eastAsiaTheme="minorEastAsia"/>
          <w:color w:val="000000" w:themeColor="text1"/>
        </w:rPr>
        <w:fldChar w:fldCharType="separate"/>
      </w:r>
      <w:hyperlink w:anchor="_Toc35533791" w:history="1">
        <w:r w:rsidR="00EC6028" w:rsidRPr="00140CCA">
          <w:rPr>
            <w:rStyle w:val="a9"/>
            <w:rFonts w:ascii="宋体" w:hAnsi="宋体" w:cs="Arial"/>
            <w:noProof/>
          </w:rPr>
          <w:t xml:space="preserve">§1    </w:t>
        </w:r>
        <w:r w:rsidR="00EC6028" w:rsidRPr="00140CCA">
          <w:rPr>
            <w:rStyle w:val="a9"/>
            <w:rFonts w:ascii="宋体" w:hAnsi="宋体" w:cs="Arial" w:hint="eastAsia"/>
            <w:noProof/>
          </w:rPr>
          <w:t>重要提示及目录</w:t>
        </w:r>
        <w:r w:rsidR="00EC6028">
          <w:rPr>
            <w:noProof/>
            <w:webHidden/>
          </w:rPr>
          <w:tab/>
        </w:r>
        <w:r w:rsidR="00EC6028">
          <w:rPr>
            <w:noProof/>
            <w:webHidden/>
          </w:rPr>
          <w:fldChar w:fldCharType="begin"/>
        </w:r>
        <w:r w:rsidR="00EC6028">
          <w:rPr>
            <w:noProof/>
            <w:webHidden/>
          </w:rPr>
          <w:instrText xml:space="preserve"> PAGEREF _Toc35533791 \h </w:instrText>
        </w:r>
        <w:r w:rsidR="00EC6028">
          <w:rPr>
            <w:noProof/>
            <w:webHidden/>
          </w:rPr>
        </w:r>
        <w:r w:rsidR="00EC6028">
          <w:rPr>
            <w:noProof/>
            <w:webHidden/>
          </w:rPr>
          <w:fldChar w:fldCharType="separate"/>
        </w:r>
        <w:r w:rsidR="00EC6028">
          <w:rPr>
            <w:noProof/>
            <w:webHidden/>
          </w:rPr>
          <w:t>2</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792" w:history="1">
        <w:r w:rsidR="00EC6028" w:rsidRPr="00140CCA">
          <w:rPr>
            <w:rStyle w:val="a9"/>
            <w:rFonts w:asciiTheme="majorEastAsia" w:eastAsiaTheme="majorEastAsia" w:hAnsiTheme="majorEastAsia"/>
            <w:noProof/>
          </w:rPr>
          <w:t xml:space="preserve">1.1    </w:t>
        </w:r>
        <w:r w:rsidR="00EC6028" w:rsidRPr="00140CCA">
          <w:rPr>
            <w:rStyle w:val="a9"/>
            <w:rFonts w:asciiTheme="majorEastAsia" w:eastAsiaTheme="majorEastAsia" w:hAnsiTheme="majorEastAsia" w:hint="eastAsia"/>
            <w:noProof/>
          </w:rPr>
          <w:t>重要提示</w:t>
        </w:r>
        <w:r w:rsidR="00EC6028">
          <w:rPr>
            <w:noProof/>
            <w:webHidden/>
          </w:rPr>
          <w:tab/>
        </w:r>
        <w:r w:rsidR="00EC6028">
          <w:rPr>
            <w:noProof/>
            <w:webHidden/>
          </w:rPr>
          <w:fldChar w:fldCharType="begin"/>
        </w:r>
        <w:r w:rsidR="00EC6028">
          <w:rPr>
            <w:noProof/>
            <w:webHidden/>
          </w:rPr>
          <w:instrText xml:space="preserve"> PAGEREF _Toc35533792 \h </w:instrText>
        </w:r>
        <w:r w:rsidR="00EC6028">
          <w:rPr>
            <w:noProof/>
            <w:webHidden/>
          </w:rPr>
        </w:r>
        <w:r w:rsidR="00EC6028">
          <w:rPr>
            <w:noProof/>
            <w:webHidden/>
          </w:rPr>
          <w:fldChar w:fldCharType="separate"/>
        </w:r>
        <w:r w:rsidR="00EC6028">
          <w:rPr>
            <w:noProof/>
            <w:webHidden/>
          </w:rPr>
          <w:t>2</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793" w:history="1">
        <w:r w:rsidR="00EC6028" w:rsidRPr="00140CCA">
          <w:rPr>
            <w:rStyle w:val="a9"/>
            <w:rFonts w:asciiTheme="majorEastAsia" w:eastAsiaTheme="majorEastAsia" w:hAnsiTheme="majorEastAsia"/>
            <w:noProof/>
          </w:rPr>
          <w:t xml:space="preserve">1.2    </w:t>
        </w:r>
        <w:r w:rsidR="00EC6028" w:rsidRPr="00140CCA">
          <w:rPr>
            <w:rStyle w:val="a9"/>
            <w:rFonts w:asciiTheme="majorEastAsia" w:eastAsiaTheme="majorEastAsia" w:hAnsiTheme="majorEastAsia" w:hint="eastAsia"/>
            <w:noProof/>
          </w:rPr>
          <w:t>目录</w:t>
        </w:r>
        <w:r w:rsidR="00EC6028">
          <w:rPr>
            <w:noProof/>
            <w:webHidden/>
          </w:rPr>
          <w:tab/>
        </w:r>
        <w:r w:rsidR="00EC6028">
          <w:rPr>
            <w:noProof/>
            <w:webHidden/>
          </w:rPr>
          <w:fldChar w:fldCharType="begin"/>
        </w:r>
        <w:r w:rsidR="00EC6028">
          <w:rPr>
            <w:noProof/>
            <w:webHidden/>
          </w:rPr>
          <w:instrText xml:space="preserve"> PAGEREF _Toc35533793 \h </w:instrText>
        </w:r>
        <w:r w:rsidR="00EC6028">
          <w:rPr>
            <w:noProof/>
            <w:webHidden/>
          </w:rPr>
        </w:r>
        <w:r w:rsidR="00EC6028">
          <w:rPr>
            <w:noProof/>
            <w:webHidden/>
          </w:rPr>
          <w:fldChar w:fldCharType="separate"/>
        </w:r>
        <w:r w:rsidR="00EC6028">
          <w:rPr>
            <w:noProof/>
            <w:webHidden/>
          </w:rPr>
          <w:t>3</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794" w:history="1">
        <w:r w:rsidR="00EC6028" w:rsidRPr="00140CCA">
          <w:rPr>
            <w:rStyle w:val="a9"/>
            <w:rFonts w:ascii="宋体" w:hAnsi="宋体" w:cs="Arial"/>
            <w:noProof/>
          </w:rPr>
          <w:t xml:space="preserve">§2    </w:t>
        </w:r>
        <w:r w:rsidR="00EC6028" w:rsidRPr="00140CCA">
          <w:rPr>
            <w:rStyle w:val="a9"/>
            <w:rFonts w:ascii="宋体" w:hAnsi="宋体" w:cs="Arial" w:hint="eastAsia"/>
            <w:noProof/>
          </w:rPr>
          <w:t>基金简介</w:t>
        </w:r>
        <w:r w:rsidR="00EC6028">
          <w:rPr>
            <w:noProof/>
            <w:webHidden/>
          </w:rPr>
          <w:tab/>
        </w:r>
        <w:r w:rsidR="00EC6028">
          <w:rPr>
            <w:noProof/>
            <w:webHidden/>
          </w:rPr>
          <w:fldChar w:fldCharType="begin"/>
        </w:r>
        <w:r w:rsidR="00EC6028">
          <w:rPr>
            <w:noProof/>
            <w:webHidden/>
          </w:rPr>
          <w:instrText xml:space="preserve"> PAGEREF _Toc35533794 \h </w:instrText>
        </w:r>
        <w:r w:rsidR="00EC6028">
          <w:rPr>
            <w:noProof/>
            <w:webHidden/>
          </w:rPr>
        </w:r>
        <w:r w:rsidR="00EC6028">
          <w:rPr>
            <w:noProof/>
            <w:webHidden/>
          </w:rPr>
          <w:fldChar w:fldCharType="separate"/>
        </w:r>
        <w:r w:rsidR="00EC6028">
          <w:rPr>
            <w:noProof/>
            <w:webHidden/>
          </w:rPr>
          <w:t>5</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795" w:history="1">
        <w:r w:rsidR="00EC6028" w:rsidRPr="00140CCA">
          <w:rPr>
            <w:rStyle w:val="a9"/>
            <w:rFonts w:asciiTheme="majorEastAsia" w:eastAsiaTheme="majorEastAsia" w:hAnsiTheme="majorEastAsia"/>
            <w:noProof/>
          </w:rPr>
          <w:t xml:space="preserve">2.1    </w:t>
        </w:r>
        <w:r w:rsidR="00EC6028" w:rsidRPr="00140CCA">
          <w:rPr>
            <w:rStyle w:val="a9"/>
            <w:rFonts w:asciiTheme="majorEastAsia" w:eastAsiaTheme="majorEastAsia" w:hAnsiTheme="majorEastAsia" w:hint="eastAsia"/>
            <w:noProof/>
          </w:rPr>
          <w:t>基金基本情况</w:t>
        </w:r>
        <w:r w:rsidR="00EC6028">
          <w:rPr>
            <w:noProof/>
            <w:webHidden/>
          </w:rPr>
          <w:tab/>
        </w:r>
        <w:r w:rsidR="00EC6028">
          <w:rPr>
            <w:noProof/>
            <w:webHidden/>
          </w:rPr>
          <w:fldChar w:fldCharType="begin"/>
        </w:r>
        <w:r w:rsidR="00EC6028">
          <w:rPr>
            <w:noProof/>
            <w:webHidden/>
          </w:rPr>
          <w:instrText xml:space="preserve"> PAGEREF _Toc35533795 \h </w:instrText>
        </w:r>
        <w:r w:rsidR="00EC6028">
          <w:rPr>
            <w:noProof/>
            <w:webHidden/>
          </w:rPr>
        </w:r>
        <w:r w:rsidR="00EC6028">
          <w:rPr>
            <w:noProof/>
            <w:webHidden/>
          </w:rPr>
          <w:fldChar w:fldCharType="separate"/>
        </w:r>
        <w:r w:rsidR="00EC6028">
          <w:rPr>
            <w:noProof/>
            <w:webHidden/>
          </w:rPr>
          <w:t>5</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796" w:history="1">
        <w:r w:rsidR="00EC6028" w:rsidRPr="00140CCA">
          <w:rPr>
            <w:rStyle w:val="a9"/>
            <w:rFonts w:asciiTheme="majorEastAsia" w:eastAsiaTheme="majorEastAsia" w:hAnsiTheme="majorEastAsia"/>
            <w:noProof/>
          </w:rPr>
          <w:t xml:space="preserve">2.2    </w:t>
        </w:r>
        <w:r w:rsidR="00EC6028" w:rsidRPr="00140CCA">
          <w:rPr>
            <w:rStyle w:val="a9"/>
            <w:rFonts w:asciiTheme="majorEastAsia" w:eastAsiaTheme="majorEastAsia" w:hAnsiTheme="majorEastAsia" w:hint="eastAsia"/>
            <w:noProof/>
          </w:rPr>
          <w:t>基金产品说明</w:t>
        </w:r>
        <w:r w:rsidR="00EC6028">
          <w:rPr>
            <w:noProof/>
            <w:webHidden/>
          </w:rPr>
          <w:tab/>
        </w:r>
        <w:r w:rsidR="00EC6028">
          <w:rPr>
            <w:noProof/>
            <w:webHidden/>
          </w:rPr>
          <w:fldChar w:fldCharType="begin"/>
        </w:r>
        <w:r w:rsidR="00EC6028">
          <w:rPr>
            <w:noProof/>
            <w:webHidden/>
          </w:rPr>
          <w:instrText xml:space="preserve"> PAGEREF _Toc35533796 \h </w:instrText>
        </w:r>
        <w:r w:rsidR="00EC6028">
          <w:rPr>
            <w:noProof/>
            <w:webHidden/>
          </w:rPr>
        </w:r>
        <w:r w:rsidR="00EC6028">
          <w:rPr>
            <w:noProof/>
            <w:webHidden/>
          </w:rPr>
          <w:fldChar w:fldCharType="separate"/>
        </w:r>
        <w:r w:rsidR="00EC6028">
          <w:rPr>
            <w:noProof/>
            <w:webHidden/>
          </w:rPr>
          <w:t>6</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797" w:history="1">
        <w:r w:rsidR="00EC6028" w:rsidRPr="00140CCA">
          <w:rPr>
            <w:rStyle w:val="a9"/>
            <w:rFonts w:asciiTheme="majorEastAsia" w:eastAsiaTheme="majorEastAsia" w:hAnsiTheme="majorEastAsia"/>
            <w:noProof/>
          </w:rPr>
          <w:t xml:space="preserve">2.3    </w:t>
        </w:r>
        <w:r w:rsidR="00EC6028" w:rsidRPr="00140CCA">
          <w:rPr>
            <w:rStyle w:val="a9"/>
            <w:rFonts w:asciiTheme="majorEastAsia" w:eastAsiaTheme="majorEastAsia" w:hAnsiTheme="majorEastAsia" w:hint="eastAsia"/>
            <w:noProof/>
          </w:rPr>
          <w:t>基金管理人和基金托管人</w:t>
        </w:r>
        <w:r w:rsidR="00EC6028">
          <w:rPr>
            <w:noProof/>
            <w:webHidden/>
          </w:rPr>
          <w:tab/>
        </w:r>
        <w:r w:rsidR="00EC6028">
          <w:rPr>
            <w:noProof/>
            <w:webHidden/>
          </w:rPr>
          <w:fldChar w:fldCharType="begin"/>
        </w:r>
        <w:r w:rsidR="00EC6028">
          <w:rPr>
            <w:noProof/>
            <w:webHidden/>
          </w:rPr>
          <w:instrText xml:space="preserve"> PAGEREF _Toc35533797 \h </w:instrText>
        </w:r>
        <w:r w:rsidR="00EC6028">
          <w:rPr>
            <w:noProof/>
            <w:webHidden/>
          </w:rPr>
        </w:r>
        <w:r w:rsidR="00EC6028">
          <w:rPr>
            <w:noProof/>
            <w:webHidden/>
          </w:rPr>
          <w:fldChar w:fldCharType="separate"/>
        </w:r>
        <w:r w:rsidR="00EC6028">
          <w:rPr>
            <w:noProof/>
            <w:webHidden/>
          </w:rPr>
          <w:t>6</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798" w:history="1">
        <w:r w:rsidR="00EC6028" w:rsidRPr="00140CCA">
          <w:rPr>
            <w:rStyle w:val="a9"/>
            <w:rFonts w:asciiTheme="majorEastAsia" w:eastAsiaTheme="majorEastAsia" w:hAnsiTheme="majorEastAsia"/>
            <w:noProof/>
          </w:rPr>
          <w:t xml:space="preserve">2.4    </w:t>
        </w:r>
        <w:r w:rsidR="00EC6028" w:rsidRPr="00140CCA">
          <w:rPr>
            <w:rStyle w:val="a9"/>
            <w:rFonts w:asciiTheme="majorEastAsia" w:eastAsiaTheme="majorEastAsia" w:hAnsiTheme="majorEastAsia" w:hint="eastAsia"/>
            <w:noProof/>
          </w:rPr>
          <w:t>境外投资顾问和境外资产托管人</w:t>
        </w:r>
        <w:r w:rsidR="00EC6028">
          <w:rPr>
            <w:noProof/>
            <w:webHidden/>
          </w:rPr>
          <w:tab/>
        </w:r>
        <w:r w:rsidR="00EC6028">
          <w:rPr>
            <w:noProof/>
            <w:webHidden/>
          </w:rPr>
          <w:fldChar w:fldCharType="begin"/>
        </w:r>
        <w:r w:rsidR="00EC6028">
          <w:rPr>
            <w:noProof/>
            <w:webHidden/>
          </w:rPr>
          <w:instrText xml:space="preserve"> PAGEREF _Toc35533798 \h </w:instrText>
        </w:r>
        <w:r w:rsidR="00EC6028">
          <w:rPr>
            <w:noProof/>
            <w:webHidden/>
          </w:rPr>
        </w:r>
        <w:r w:rsidR="00EC6028">
          <w:rPr>
            <w:noProof/>
            <w:webHidden/>
          </w:rPr>
          <w:fldChar w:fldCharType="separate"/>
        </w:r>
        <w:r w:rsidR="00EC6028">
          <w:rPr>
            <w:noProof/>
            <w:webHidden/>
          </w:rPr>
          <w:t>7</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799" w:history="1">
        <w:r w:rsidR="00EC6028" w:rsidRPr="00140CCA">
          <w:rPr>
            <w:rStyle w:val="a9"/>
            <w:rFonts w:asciiTheme="majorEastAsia" w:eastAsiaTheme="majorEastAsia" w:hAnsiTheme="majorEastAsia"/>
            <w:noProof/>
          </w:rPr>
          <w:t xml:space="preserve">2.5    </w:t>
        </w:r>
        <w:r w:rsidR="00EC6028" w:rsidRPr="00140CCA">
          <w:rPr>
            <w:rStyle w:val="a9"/>
            <w:rFonts w:asciiTheme="majorEastAsia" w:eastAsiaTheme="majorEastAsia" w:hAnsiTheme="majorEastAsia" w:hint="eastAsia"/>
            <w:noProof/>
          </w:rPr>
          <w:t>信息披露方式</w:t>
        </w:r>
        <w:r w:rsidR="00EC6028">
          <w:rPr>
            <w:noProof/>
            <w:webHidden/>
          </w:rPr>
          <w:tab/>
        </w:r>
        <w:r w:rsidR="00EC6028">
          <w:rPr>
            <w:noProof/>
            <w:webHidden/>
          </w:rPr>
          <w:fldChar w:fldCharType="begin"/>
        </w:r>
        <w:r w:rsidR="00EC6028">
          <w:rPr>
            <w:noProof/>
            <w:webHidden/>
          </w:rPr>
          <w:instrText xml:space="preserve"> PAGEREF _Toc35533799 \h </w:instrText>
        </w:r>
        <w:r w:rsidR="00EC6028">
          <w:rPr>
            <w:noProof/>
            <w:webHidden/>
          </w:rPr>
        </w:r>
        <w:r w:rsidR="00EC6028">
          <w:rPr>
            <w:noProof/>
            <w:webHidden/>
          </w:rPr>
          <w:fldChar w:fldCharType="separate"/>
        </w:r>
        <w:r w:rsidR="00EC6028">
          <w:rPr>
            <w:noProof/>
            <w:webHidden/>
          </w:rPr>
          <w:t>7</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00" w:history="1">
        <w:r w:rsidR="00EC6028" w:rsidRPr="00140CCA">
          <w:rPr>
            <w:rStyle w:val="a9"/>
            <w:rFonts w:asciiTheme="majorEastAsia" w:eastAsiaTheme="majorEastAsia" w:hAnsiTheme="majorEastAsia"/>
            <w:noProof/>
          </w:rPr>
          <w:t xml:space="preserve">2.6    </w:t>
        </w:r>
        <w:r w:rsidR="00EC6028" w:rsidRPr="00140CCA">
          <w:rPr>
            <w:rStyle w:val="a9"/>
            <w:rFonts w:asciiTheme="majorEastAsia" w:eastAsiaTheme="majorEastAsia" w:hAnsiTheme="majorEastAsia" w:hint="eastAsia"/>
            <w:noProof/>
          </w:rPr>
          <w:t>其他相关资料</w:t>
        </w:r>
        <w:r w:rsidR="00EC6028">
          <w:rPr>
            <w:noProof/>
            <w:webHidden/>
          </w:rPr>
          <w:tab/>
        </w:r>
        <w:r w:rsidR="00EC6028">
          <w:rPr>
            <w:noProof/>
            <w:webHidden/>
          </w:rPr>
          <w:fldChar w:fldCharType="begin"/>
        </w:r>
        <w:r w:rsidR="00EC6028">
          <w:rPr>
            <w:noProof/>
            <w:webHidden/>
          </w:rPr>
          <w:instrText xml:space="preserve"> PAGEREF _Toc35533800 \h </w:instrText>
        </w:r>
        <w:r w:rsidR="00EC6028">
          <w:rPr>
            <w:noProof/>
            <w:webHidden/>
          </w:rPr>
        </w:r>
        <w:r w:rsidR="00EC6028">
          <w:rPr>
            <w:noProof/>
            <w:webHidden/>
          </w:rPr>
          <w:fldChar w:fldCharType="separate"/>
        </w:r>
        <w:r w:rsidR="00EC6028">
          <w:rPr>
            <w:noProof/>
            <w:webHidden/>
          </w:rPr>
          <w:t>8</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01" w:history="1">
        <w:r w:rsidR="00EC6028" w:rsidRPr="00140CCA">
          <w:rPr>
            <w:rStyle w:val="a9"/>
            <w:rFonts w:ascii="宋体" w:hAnsi="宋体" w:cs="Arial"/>
            <w:noProof/>
          </w:rPr>
          <w:t xml:space="preserve">§3    </w:t>
        </w:r>
        <w:r w:rsidR="00EC6028" w:rsidRPr="00140CCA">
          <w:rPr>
            <w:rStyle w:val="a9"/>
            <w:rFonts w:ascii="宋体" w:hAnsi="宋体" w:cs="Arial" w:hint="eastAsia"/>
            <w:noProof/>
          </w:rPr>
          <w:t>主要财务指标、基金净值表现及利润分配情况</w:t>
        </w:r>
        <w:r w:rsidR="00EC6028">
          <w:rPr>
            <w:noProof/>
            <w:webHidden/>
          </w:rPr>
          <w:tab/>
        </w:r>
        <w:r w:rsidR="00EC6028">
          <w:rPr>
            <w:noProof/>
            <w:webHidden/>
          </w:rPr>
          <w:fldChar w:fldCharType="begin"/>
        </w:r>
        <w:r w:rsidR="00EC6028">
          <w:rPr>
            <w:noProof/>
            <w:webHidden/>
          </w:rPr>
          <w:instrText xml:space="preserve"> PAGEREF _Toc35533801 \h </w:instrText>
        </w:r>
        <w:r w:rsidR="00EC6028">
          <w:rPr>
            <w:noProof/>
            <w:webHidden/>
          </w:rPr>
        </w:r>
        <w:r w:rsidR="00EC6028">
          <w:rPr>
            <w:noProof/>
            <w:webHidden/>
          </w:rPr>
          <w:fldChar w:fldCharType="separate"/>
        </w:r>
        <w:r w:rsidR="00EC6028">
          <w:rPr>
            <w:noProof/>
            <w:webHidden/>
          </w:rPr>
          <w:t>8</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02" w:history="1">
        <w:r w:rsidR="00EC6028" w:rsidRPr="00140CCA">
          <w:rPr>
            <w:rStyle w:val="a9"/>
            <w:rFonts w:asciiTheme="majorEastAsia" w:eastAsiaTheme="majorEastAsia" w:hAnsiTheme="majorEastAsia"/>
            <w:noProof/>
          </w:rPr>
          <w:t xml:space="preserve">3.1    </w:t>
        </w:r>
        <w:r w:rsidR="00EC6028" w:rsidRPr="00140CCA">
          <w:rPr>
            <w:rStyle w:val="a9"/>
            <w:rFonts w:asciiTheme="majorEastAsia" w:eastAsiaTheme="majorEastAsia" w:hAnsiTheme="majorEastAsia" w:hint="eastAsia"/>
            <w:noProof/>
          </w:rPr>
          <w:t>主要会计数据和财务指标</w:t>
        </w:r>
        <w:r w:rsidR="00EC6028">
          <w:rPr>
            <w:noProof/>
            <w:webHidden/>
          </w:rPr>
          <w:tab/>
        </w:r>
        <w:r w:rsidR="00EC6028">
          <w:rPr>
            <w:noProof/>
            <w:webHidden/>
          </w:rPr>
          <w:fldChar w:fldCharType="begin"/>
        </w:r>
        <w:r w:rsidR="00EC6028">
          <w:rPr>
            <w:noProof/>
            <w:webHidden/>
          </w:rPr>
          <w:instrText xml:space="preserve"> PAGEREF _Toc35533802 \h </w:instrText>
        </w:r>
        <w:r w:rsidR="00EC6028">
          <w:rPr>
            <w:noProof/>
            <w:webHidden/>
          </w:rPr>
        </w:r>
        <w:r w:rsidR="00EC6028">
          <w:rPr>
            <w:noProof/>
            <w:webHidden/>
          </w:rPr>
          <w:fldChar w:fldCharType="separate"/>
        </w:r>
        <w:r w:rsidR="00EC6028">
          <w:rPr>
            <w:noProof/>
            <w:webHidden/>
          </w:rPr>
          <w:t>8</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03" w:history="1">
        <w:r w:rsidR="00EC6028" w:rsidRPr="00140CCA">
          <w:rPr>
            <w:rStyle w:val="a9"/>
            <w:rFonts w:asciiTheme="majorEastAsia" w:eastAsiaTheme="majorEastAsia" w:hAnsiTheme="majorEastAsia"/>
            <w:noProof/>
          </w:rPr>
          <w:t xml:space="preserve">3.2    </w:t>
        </w:r>
        <w:r w:rsidR="00EC6028" w:rsidRPr="00140CCA">
          <w:rPr>
            <w:rStyle w:val="a9"/>
            <w:rFonts w:asciiTheme="majorEastAsia" w:eastAsiaTheme="majorEastAsia" w:hAnsiTheme="majorEastAsia" w:hint="eastAsia"/>
            <w:noProof/>
          </w:rPr>
          <w:t>基金净值表现</w:t>
        </w:r>
        <w:r w:rsidR="00EC6028">
          <w:rPr>
            <w:noProof/>
            <w:webHidden/>
          </w:rPr>
          <w:tab/>
        </w:r>
        <w:r w:rsidR="00EC6028">
          <w:rPr>
            <w:noProof/>
            <w:webHidden/>
          </w:rPr>
          <w:fldChar w:fldCharType="begin"/>
        </w:r>
        <w:r w:rsidR="00EC6028">
          <w:rPr>
            <w:noProof/>
            <w:webHidden/>
          </w:rPr>
          <w:instrText xml:space="preserve"> PAGEREF _Toc35533803 \h </w:instrText>
        </w:r>
        <w:r w:rsidR="00EC6028">
          <w:rPr>
            <w:noProof/>
            <w:webHidden/>
          </w:rPr>
        </w:r>
        <w:r w:rsidR="00EC6028">
          <w:rPr>
            <w:noProof/>
            <w:webHidden/>
          </w:rPr>
          <w:fldChar w:fldCharType="separate"/>
        </w:r>
        <w:r w:rsidR="00EC6028">
          <w:rPr>
            <w:noProof/>
            <w:webHidden/>
          </w:rPr>
          <w:t>9</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04" w:history="1">
        <w:r w:rsidR="00EC6028" w:rsidRPr="00140CCA">
          <w:rPr>
            <w:rStyle w:val="a9"/>
            <w:rFonts w:asciiTheme="majorEastAsia" w:eastAsiaTheme="majorEastAsia" w:hAnsiTheme="majorEastAsia"/>
            <w:noProof/>
          </w:rPr>
          <w:t xml:space="preserve">3.3    </w:t>
        </w:r>
        <w:r w:rsidR="00EC6028" w:rsidRPr="00140CCA">
          <w:rPr>
            <w:rStyle w:val="a9"/>
            <w:rFonts w:asciiTheme="majorEastAsia" w:eastAsiaTheme="majorEastAsia" w:hAnsiTheme="majorEastAsia" w:hint="eastAsia"/>
            <w:noProof/>
          </w:rPr>
          <w:t>过去三年基金的利润分配情况</w:t>
        </w:r>
        <w:r w:rsidR="00EC6028">
          <w:rPr>
            <w:noProof/>
            <w:webHidden/>
          </w:rPr>
          <w:tab/>
        </w:r>
        <w:r w:rsidR="00EC6028">
          <w:rPr>
            <w:noProof/>
            <w:webHidden/>
          </w:rPr>
          <w:fldChar w:fldCharType="begin"/>
        </w:r>
        <w:r w:rsidR="00EC6028">
          <w:rPr>
            <w:noProof/>
            <w:webHidden/>
          </w:rPr>
          <w:instrText xml:space="preserve"> PAGEREF _Toc35533804 \h </w:instrText>
        </w:r>
        <w:r w:rsidR="00EC6028">
          <w:rPr>
            <w:noProof/>
            <w:webHidden/>
          </w:rPr>
        </w:r>
        <w:r w:rsidR="00EC6028">
          <w:rPr>
            <w:noProof/>
            <w:webHidden/>
          </w:rPr>
          <w:fldChar w:fldCharType="separate"/>
        </w:r>
        <w:r w:rsidR="00EC6028">
          <w:rPr>
            <w:noProof/>
            <w:webHidden/>
          </w:rPr>
          <w:t>14</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05" w:history="1">
        <w:r w:rsidR="00EC6028" w:rsidRPr="00140CCA">
          <w:rPr>
            <w:rStyle w:val="a9"/>
            <w:rFonts w:ascii="宋体" w:hAnsi="宋体" w:cs="Arial"/>
            <w:noProof/>
          </w:rPr>
          <w:t xml:space="preserve">§4    </w:t>
        </w:r>
        <w:r w:rsidR="00EC6028" w:rsidRPr="00140CCA">
          <w:rPr>
            <w:rStyle w:val="a9"/>
            <w:rFonts w:ascii="宋体" w:hAnsi="宋体" w:cs="Arial" w:hint="eastAsia"/>
            <w:noProof/>
          </w:rPr>
          <w:t>管理人报告</w:t>
        </w:r>
        <w:r w:rsidR="00EC6028">
          <w:rPr>
            <w:noProof/>
            <w:webHidden/>
          </w:rPr>
          <w:tab/>
        </w:r>
        <w:r w:rsidR="00EC6028">
          <w:rPr>
            <w:noProof/>
            <w:webHidden/>
          </w:rPr>
          <w:fldChar w:fldCharType="begin"/>
        </w:r>
        <w:r w:rsidR="00EC6028">
          <w:rPr>
            <w:noProof/>
            <w:webHidden/>
          </w:rPr>
          <w:instrText xml:space="preserve"> PAGEREF _Toc35533805 \h </w:instrText>
        </w:r>
        <w:r w:rsidR="00EC6028">
          <w:rPr>
            <w:noProof/>
            <w:webHidden/>
          </w:rPr>
        </w:r>
        <w:r w:rsidR="00EC6028">
          <w:rPr>
            <w:noProof/>
            <w:webHidden/>
          </w:rPr>
          <w:fldChar w:fldCharType="separate"/>
        </w:r>
        <w:r w:rsidR="00EC6028">
          <w:rPr>
            <w:noProof/>
            <w:webHidden/>
          </w:rPr>
          <w:t>14</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06" w:history="1">
        <w:r w:rsidR="00EC6028" w:rsidRPr="00140CCA">
          <w:rPr>
            <w:rStyle w:val="a9"/>
            <w:rFonts w:asciiTheme="majorEastAsia" w:eastAsiaTheme="majorEastAsia" w:hAnsiTheme="majorEastAsia"/>
            <w:noProof/>
          </w:rPr>
          <w:t xml:space="preserve">4.1    </w:t>
        </w:r>
        <w:r w:rsidR="00EC6028" w:rsidRPr="00140CCA">
          <w:rPr>
            <w:rStyle w:val="a9"/>
            <w:rFonts w:asciiTheme="majorEastAsia" w:eastAsiaTheme="majorEastAsia" w:hAnsiTheme="majorEastAsia" w:hint="eastAsia"/>
            <w:noProof/>
          </w:rPr>
          <w:t>基金管理人及基金经理情况</w:t>
        </w:r>
        <w:r w:rsidR="00EC6028">
          <w:rPr>
            <w:noProof/>
            <w:webHidden/>
          </w:rPr>
          <w:tab/>
        </w:r>
        <w:r w:rsidR="00EC6028">
          <w:rPr>
            <w:noProof/>
            <w:webHidden/>
          </w:rPr>
          <w:fldChar w:fldCharType="begin"/>
        </w:r>
        <w:r w:rsidR="00EC6028">
          <w:rPr>
            <w:noProof/>
            <w:webHidden/>
          </w:rPr>
          <w:instrText xml:space="preserve"> PAGEREF _Toc35533806 \h </w:instrText>
        </w:r>
        <w:r w:rsidR="00EC6028">
          <w:rPr>
            <w:noProof/>
            <w:webHidden/>
          </w:rPr>
        </w:r>
        <w:r w:rsidR="00EC6028">
          <w:rPr>
            <w:noProof/>
            <w:webHidden/>
          </w:rPr>
          <w:fldChar w:fldCharType="separate"/>
        </w:r>
        <w:r w:rsidR="00EC6028">
          <w:rPr>
            <w:noProof/>
            <w:webHidden/>
          </w:rPr>
          <w:t>14</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07" w:history="1">
        <w:r w:rsidR="00EC6028" w:rsidRPr="00140CCA">
          <w:rPr>
            <w:rStyle w:val="a9"/>
            <w:rFonts w:asciiTheme="majorEastAsia" w:eastAsiaTheme="majorEastAsia" w:hAnsiTheme="majorEastAsia"/>
            <w:noProof/>
          </w:rPr>
          <w:t xml:space="preserve">4.2    </w:t>
        </w:r>
        <w:r w:rsidR="00EC6028" w:rsidRPr="00140CCA">
          <w:rPr>
            <w:rStyle w:val="a9"/>
            <w:rFonts w:asciiTheme="majorEastAsia" w:eastAsiaTheme="majorEastAsia" w:hAnsiTheme="majorEastAsia" w:hint="eastAsia"/>
            <w:noProof/>
          </w:rPr>
          <w:t>境外投资顾问为本基金提供投资建议的主要成员简介</w:t>
        </w:r>
        <w:r w:rsidR="00EC6028">
          <w:rPr>
            <w:noProof/>
            <w:webHidden/>
          </w:rPr>
          <w:tab/>
        </w:r>
        <w:r w:rsidR="00EC6028">
          <w:rPr>
            <w:noProof/>
            <w:webHidden/>
          </w:rPr>
          <w:fldChar w:fldCharType="begin"/>
        </w:r>
        <w:r w:rsidR="00EC6028">
          <w:rPr>
            <w:noProof/>
            <w:webHidden/>
          </w:rPr>
          <w:instrText xml:space="preserve"> PAGEREF _Toc35533807 \h </w:instrText>
        </w:r>
        <w:r w:rsidR="00EC6028">
          <w:rPr>
            <w:noProof/>
            <w:webHidden/>
          </w:rPr>
        </w:r>
        <w:r w:rsidR="00EC6028">
          <w:rPr>
            <w:noProof/>
            <w:webHidden/>
          </w:rPr>
          <w:fldChar w:fldCharType="separate"/>
        </w:r>
        <w:r w:rsidR="00EC6028">
          <w:rPr>
            <w:noProof/>
            <w:webHidden/>
          </w:rPr>
          <w:t>15</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08" w:history="1">
        <w:r w:rsidR="00EC6028" w:rsidRPr="00140CCA">
          <w:rPr>
            <w:rStyle w:val="a9"/>
            <w:rFonts w:asciiTheme="majorEastAsia" w:eastAsiaTheme="majorEastAsia" w:hAnsiTheme="majorEastAsia"/>
            <w:noProof/>
          </w:rPr>
          <w:t xml:space="preserve">4.3    </w:t>
        </w:r>
        <w:r w:rsidR="00EC6028" w:rsidRPr="00140CCA">
          <w:rPr>
            <w:rStyle w:val="a9"/>
            <w:rFonts w:asciiTheme="majorEastAsia" w:eastAsiaTheme="majorEastAsia" w:hAnsiTheme="majorEastAsia" w:hint="eastAsia"/>
            <w:noProof/>
          </w:rPr>
          <w:t>管理人对报告期内本基金运作遵规守信情况的说明</w:t>
        </w:r>
        <w:r w:rsidR="00EC6028">
          <w:rPr>
            <w:noProof/>
            <w:webHidden/>
          </w:rPr>
          <w:tab/>
        </w:r>
        <w:r w:rsidR="00EC6028">
          <w:rPr>
            <w:noProof/>
            <w:webHidden/>
          </w:rPr>
          <w:fldChar w:fldCharType="begin"/>
        </w:r>
        <w:r w:rsidR="00EC6028">
          <w:rPr>
            <w:noProof/>
            <w:webHidden/>
          </w:rPr>
          <w:instrText xml:space="preserve"> PAGEREF _Toc35533808 \h </w:instrText>
        </w:r>
        <w:r w:rsidR="00EC6028">
          <w:rPr>
            <w:noProof/>
            <w:webHidden/>
          </w:rPr>
        </w:r>
        <w:r w:rsidR="00EC6028">
          <w:rPr>
            <w:noProof/>
            <w:webHidden/>
          </w:rPr>
          <w:fldChar w:fldCharType="separate"/>
        </w:r>
        <w:r w:rsidR="00EC6028">
          <w:rPr>
            <w:noProof/>
            <w:webHidden/>
          </w:rPr>
          <w:t>15</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09" w:history="1">
        <w:r w:rsidR="00EC6028" w:rsidRPr="00140CCA">
          <w:rPr>
            <w:rStyle w:val="a9"/>
            <w:rFonts w:asciiTheme="majorEastAsia" w:eastAsiaTheme="majorEastAsia" w:hAnsiTheme="majorEastAsia"/>
            <w:noProof/>
          </w:rPr>
          <w:t xml:space="preserve">4.4    </w:t>
        </w:r>
        <w:r w:rsidR="00EC6028" w:rsidRPr="00140CCA">
          <w:rPr>
            <w:rStyle w:val="a9"/>
            <w:rFonts w:asciiTheme="majorEastAsia" w:eastAsiaTheme="majorEastAsia" w:hAnsiTheme="majorEastAsia" w:hint="eastAsia"/>
            <w:noProof/>
          </w:rPr>
          <w:t>管理人对报告期内公平交易情况的专项说明</w:t>
        </w:r>
        <w:r w:rsidR="00EC6028">
          <w:rPr>
            <w:noProof/>
            <w:webHidden/>
          </w:rPr>
          <w:tab/>
        </w:r>
        <w:r w:rsidR="00EC6028">
          <w:rPr>
            <w:noProof/>
            <w:webHidden/>
          </w:rPr>
          <w:fldChar w:fldCharType="begin"/>
        </w:r>
        <w:r w:rsidR="00EC6028">
          <w:rPr>
            <w:noProof/>
            <w:webHidden/>
          </w:rPr>
          <w:instrText xml:space="preserve"> PAGEREF _Toc35533809 \h </w:instrText>
        </w:r>
        <w:r w:rsidR="00EC6028">
          <w:rPr>
            <w:noProof/>
            <w:webHidden/>
          </w:rPr>
        </w:r>
        <w:r w:rsidR="00EC6028">
          <w:rPr>
            <w:noProof/>
            <w:webHidden/>
          </w:rPr>
          <w:fldChar w:fldCharType="separate"/>
        </w:r>
        <w:r w:rsidR="00EC6028">
          <w:rPr>
            <w:noProof/>
            <w:webHidden/>
          </w:rPr>
          <w:t>15</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10" w:history="1">
        <w:r w:rsidR="00EC6028" w:rsidRPr="00140CCA">
          <w:rPr>
            <w:rStyle w:val="a9"/>
            <w:rFonts w:asciiTheme="majorEastAsia" w:eastAsiaTheme="majorEastAsia" w:hAnsiTheme="majorEastAsia"/>
            <w:noProof/>
          </w:rPr>
          <w:t xml:space="preserve">4.5    </w:t>
        </w:r>
        <w:r w:rsidR="00EC6028" w:rsidRPr="00140CCA">
          <w:rPr>
            <w:rStyle w:val="a9"/>
            <w:rFonts w:asciiTheme="majorEastAsia" w:eastAsiaTheme="majorEastAsia" w:hAnsiTheme="majorEastAsia" w:hint="eastAsia"/>
            <w:noProof/>
          </w:rPr>
          <w:t>管理人对报告期内基金的投资策略和业绩表现的说明</w:t>
        </w:r>
        <w:r w:rsidR="00EC6028">
          <w:rPr>
            <w:noProof/>
            <w:webHidden/>
          </w:rPr>
          <w:tab/>
        </w:r>
        <w:r w:rsidR="00EC6028">
          <w:rPr>
            <w:noProof/>
            <w:webHidden/>
          </w:rPr>
          <w:fldChar w:fldCharType="begin"/>
        </w:r>
        <w:r w:rsidR="00EC6028">
          <w:rPr>
            <w:noProof/>
            <w:webHidden/>
          </w:rPr>
          <w:instrText xml:space="preserve"> PAGEREF _Toc35533810 \h </w:instrText>
        </w:r>
        <w:r w:rsidR="00EC6028">
          <w:rPr>
            <w:noProof/>
            <w:webHidden/>
          </w:rPr>
        </w:r>
        <w:r w:rsidR="00EC6028">
          <w:rPr>
            <w:noProof/>
            <w:webHidden/>
          </w:rPr>
          <w:fldChar w:fldCharType="separate"/>
        </w:r>
        <w:r w:rsidR="00EC6028">
          <w:rPr>
            <w:noProof/>
            <w:webHidden/>
          </w:rPr>
          <w:t>16</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11" w:history="1">
        <w:r w:rsidR="00EC6028" w:rsidRPr="00140CCA">
          <w:rPr>
            <w:rStyle w:val="a9"/>
            <w:rFonts w:asciiTheme="majorEastAsia" w:eastAsiaTheme="majorEastAsia" w:hAnsiTheme="majorEastAsia"/>
            <w:noProof/>
          </w:rPr>
          <w:t xml:space="preserve">4.6    </w:t>
        </w:r>
        <w:r w:rsidR="00EC6028" w:rsidRPr="00140CCA">
          <w:rPr>
            <w:rStyle w:val="a9"/>
            <w:rFonts w:asciiTheme="majorEastAsia" w:eastAsiaTheme="majorEastAsia" w:hAnsiTheme="majorEastAsia" w:hint="eastAsia"/>
            <w:noProof/>
          </w:rPr>
          <w:t>管理人对宏观经济、证券市场及行业走势的简要展望</w:t>
        </w:r>
        <w:r w:rsidR="00EC6028">
          <w:rPr>
            <w:noProof/>
            <w:webHidden/>
          </w:rPr>
          <w:tab/>
        </w:r>
        <w:r w:rsidR="00EC6028">
          <w:rPr>
            <w:noProof/>
            <w:webHidden/>
          </w:rPr>
          <w:fldChar w:fldCharType="begin"/>
        </w:r>
        <w:r w:rsidR="00EC6028">
          <w:rPr>
            <w:noProof/>
            <w:webHidden/>
          </w:rPr>
          <w:instrText xml:space="preserve"> PAGEREF _Toc35533811 \h </w:instrText>
        </w:r>
        <w:r w:rsidR="00EC6028">
          <w:rPr>
            <w:noProof/>
            <w:webHidden/>
          </w:rPr>
        </w:r>
        <w:r w:rsidR="00EC6028">
          <w:rPr>
            <w:noProof/>
            <w:webHidden/>
          </w:rPr>
          <w:fldChar w:fldCharType="separate"/>
        </w:r>
        <w:r w:rsidR="00EC6028">
          <w:rPr>
            <w:noProof/>
            <w:webHidden/>
          </w:rPr>
          <w:t>17</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12" w:history="1">
        <w:r w:rsidR="00EC6028" w:rsidRPr="00140CCA">
          <w:rPr>
            <w:rStyle w:val="a9"/>
            <w:rFonts w:asciiTheme="majorEastAsia" w:eastAsiaTheme="majorEastAsia" w:hAnsiTheme="majorEastAsia"/>
            <w:noProof/>
          </w:rPr>
          <w:t xml:space="preserve">4.7    </w:t>
        </w:r>
        <w:r w:rsidR="00EC6028" w:rsidRPr="00140CCA">
          <w:rPr>
            <w:rStyle w:val="a9"/>
            <w:rFonts w:asciiTheme="majorEastAsia" w:eastAsiaTheme="majorEastAsia" w:hAnsiTheme="majorEastAsia" w:hint="eastAsia"/>
            <w:noProof/>
          </w:rPr>
          <w:t>管理人内部有关本基金的监察稽核工作情况</w:t>
        </w:r>
        <w:r w:rsidR="00EC6028">
          <w:rPr>
            <w:noProof/>
            <w:webHidden/>
          </w:rPr>
          <w:tab/>
        </w:r>
        <w:r w:rsidR="00EC6028">
          <w:rPr>
            <w:noProof/>
            <w:webHidden/>
          </w:rPr>
          <w:fldChar w:fldCharType="begin"/>
        </w:r>
        <w:r w:rsidR="00EC6028">
          <w:rPr>
            <w:noProof/>
            <w:webHidden/>
          </w:rPr>
          <w:instrText xml:space="preserve"> PAGEREF _Toc35533812 \h </w:instrText>
        </w:r>
        <w:r w:rsidR="00EC6028">
          <w:rPr>
            <w:noProof/>
            <w:webHidden/>
          </w:rPr>
        </w:r>
        <w:r w:rsidR="00EC6028">
          <w:rPr>
            <w:noProof/>
            <w:webHidden/>
          </w:rPr>
          <w:fldChar w:fldCharType="separate"/>
        </w:r>
        <w:r w:rsidR="00EC6028">
          <w:rPr>
            <w:noProof/>
            <w:webHidden/>
          </w:rPr>
          <w:t>17</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13" w:history="1">
        <w:r w:rsidR="00EC6028" w:rsidRPr="00140CCA">
          <w:rPr>
            <w:rStyle w:val="a9"/>
            <w:rFonts w:asciiTheme="majorEastAsia" w:eastAsiaTheme="majorEastAsia" w:hAnsiTheme="majorEastAsia"/>
            <w:noProof/>
          </w:rPr>
          <w:t xml:space="preserve">4.8    </w:t>
        </w:r>
        <w:r w:rsidR="00EC6028" w:rsidRPr="00140CCA">
          <w:rPr>
            <w:rStyle w:val="a9"/>
            <w:rFonts w:asciiTheme="majorEastAsia" w:eastAsiaTheme="majorEastAsia" w:hAnsiTheme="majorEastAsia" w:hint="eastAsia"/>
            <w:noProof/>
          </w:rPr>
          <w:t>管理人对报告期内基金估值程序等事项的说明</w:t>
        </w:r>
        <w:r w:rsidR="00EC6028">
          <w:rPr>
            <w:noProof/>
            <w:webHidden/>
          </w:rPr>
          <w:tab/>
        </w:r>
        <w:r w:rsidR="00EC6028">
          <w:rPr>
            <w:noProof/>
            <w:webHidden/>
          </w:rPr>
          <w:fldChar w:fldCharType="begin"/>
        </w:r>
        <w:r w:rsidR="00EC6028">
          <w:rPr>
            <w:noProof/>
            <w:webHidden/>
          </w:rPr>
          <w:instrText xml:space="preserve"> PAGEREF _Toc35533813 \h </w:instrText>
        </w:r>
        <w:r w:rsidR="00EC6028">
          <w:rPr>
            <w:noProof/>
            <w:webHidden/>
          </w:rPr>
        </w:r>
        <w:r w:rsidR="00EC6028">
          <w:rPr>
            <w:noProof/>
            <w:webHidden/>
          </w:rPr>
          <w:fldChar w:fldCharType="separate"/>
        </w:r>
        <w:r w:rsidR="00EC6028">
          <w:rPr>
            <w:noProof/>
            <w:webHidden/>
          </w:rPr>
          <w:t>19</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14" w:history="1">
        <w:r w:rsidR="00EC6028" w:rsidRPr="00140CCA">
          <w:rPr>
            <w:rStyle w:val="a9"/>
            <w:rFonts w:asciiTheme="majorEastAsia" w:eastAsiaTheme="majorEastAsia" w:hAnsiTheme="majorEastAsia"/>
            <w:noProof/>
          </w:rPr>
          <w:t xml:space="preserve">4.9    </w:t>
        </w:r>
        <w:r w:rsidR="00EC6028" w:rsidRPr="00140CCA">
          <w:rPr>
            <w:rStyle w:val="a9"/>
            <w:rFonts w:asciiTheme="majorEastAsia" w:eastAsiaTheme="majorEastAsia" w:hAnsiTheme="majorEastAsia" w:hint="eastAsia"/>
            <w:noProof/>
          </w:rPr>
          <w:t>管理人对报告期内基金利润分配情况的说明</w:t>
        </w:r>
        <w:r w:rsidR="00EC6028">
          <w:rPr>
            <w:noProof/>
            <w:webHidden/>
          </w:rPr>
          <w:tab/>
        </w:r>
        <w:r w:rsidR="00EC6028">
          <w:rPr>
            <w:noProof/>
            <w:webHidden/>
          </w:rPr>
          <w:fldChar w:fldCharType="begin"/>
        </w:r>
        <w:r w:rsidR="00EC6028">
          <w:rPr>
            <w:noProof/>
            <w:webHidden/>
          </w:rPr>
          <w:instrText xml:space="preserve"> PAGEREF _Toc35533814 \h </w:instrText>
        </w:r>
        <w:r w:rsidR="00EC6028">
          <w:rPr>
            <w:noProof/>
            <w:webHidden/>
          </w:rPr>
        </w:r>
        <w:r w:rsidR="00EC6028">
          <w:rPr>
            <w:noProof/>
            <w:webHidden/>
          </w:rPr>
          <w:fldChar w:fldCharType="separate"/>
        </w:r>
        <w:r w:rsidR="00EC6028">
          <w:rPr>
            <w:noProof/>
            <w:webHidden/>
          </w:rPr>
          <w:t>19</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15" w:history="1">
        <w:r w:rsidR="00EC6028" w:rsidRPr="00140CCA">
          <w:rPr>
            <w:rStyle w:val="a9"/>
            <w:rFonts w:ascii="宋体" w:hAnsi="宋体" w:cs="Arial"/>
            <w:noProof/>
          </w:rPr>
          <w:t xml:space="preserve">§5    </w:t>
        </w:r>
        <w:r w:rsidR="00EC6028" w:rsidRPr="00140CCA">
          <w:rPr>
            <w:rStyle w:val="a9"/>
            <w:rFonts w:ascii="宋体" w:hAnsi="宋体" w:cs="Arial" w:hint="eastAsia"/>
            <w:noProof/>
          </w:rPr>
          <w:t>托管人报告</w:t>
        </w:r>
        <w:r w:rsidR="00EC6028">
          <w:rPr>
            <w:noProof/>
            <w:webHidden/>
          </w:rPr>
          <w:tab/>
        </w:r>
        <w:r w:rsidR="00EC6028">
          <w:rPr>
            <w:noProof/>
            <w:webHidden/>
          </w:rPr>
          <w:fldChar w:fldCharType="begin"/>
        </w:r>
        <w:r w:rsidR="00EC6028">
          <w:rPr>
            <w:noProof/>
            <w:webHidden/>
          </w:rPr>
          <w:instrText xml:space="preserve"> PAGEREF _Toc35533815 \h </w:instrText>
        </w:r>
        <w:r w:rsidR="00EC6028">
          <w:rPr>
            <w:noProof/>
            <w:webHidden/>
          </w:rPr>
        </w:r>
        <w:r w:rsidR="00EC6028">
          <w:rPr>
            <w:noProof/>
            <w:webHidden/>
          </w:rPr>
          <w:fldChar w:fldCharType="separate"/>
        </w:r>
        <w:r w:rsidR="00EC6028">
          <w:rPr>
            <w:noProof/>
            <w:webHidden/>
          </w:rPr>
          <w:t>19</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16" w:history="1">
        <w:r w:rsidR="00EC6028" w:rsidRPr="00140CCA">
          <w:rPr>
            <w:rStyle w:val="a9"/>
            <w:rFonts w:asciiTheme="majorEastAsia" w:eastAsiaTheme="majorEastAsia" w:hAnsiTheme="majorEastAsia"/>
            <w:noProof/>
          </w:rPr>
          <w:t xml:space="preserve">5.1    </w:t>
        </w:r>
        <w:r w:rsidR="00EC6028" w:rsidRPr="00140CCA">
          <w:rPr>
            <w:rStyle w:val="a9"/>
            <w:rFonts w:asciiTheme="majorEastAsia" w:eastAsiaTheme="majorEastAsia" w:hAnsiTheme="majorEastAsia" w:hint="eastAsia"/>
            <w:noProof/>
          </w:rPr>
          <w:t>报告期内本基金托管人遵规守信情况声明</w:t>
        </w:r>
        <w:r w:rsidR="00EC6028">
          <w:rPr>
            <w:noProof/>
            <w:webHidden/>
          </w:rPr>
          <w:tab/>
        </w:r>
        <w:r w:rsidR="00EC6028">
          <w:rPr>
            <w:noProof/>
            <w:webHidden/>
          </w:rPr>
          <w:fldChar w:fldCharType="begin"/>
        </w:r>
        <w:r w:rsidR="00EC6028">
          <w:rPr>
            <w:noProof/>
            <w:webHidden/>
          </w:rPr>
          <w:instrText xml:space="preserve"> PAGEREF _Toc35533816 \h </w:instrText>
        </w:r>
        <w:r w:rsidR="00EC6028">
          <w:rPr>
            <w:noProof/>
            <w:webHidden/>
          </w:rPr>
        </w:r>
        <w:r w:rsidR="00EC6028">
          <w:rPr>
            <w:noProof/>
            <w:webHidden/>
          </w:rPr>
          <w:fldChar w:fldCharType="separate"/>
        </w:r>
        <w:r w:rsidR="00EC6028">
          <w:rPr>
            <w:noProof/>
            <w:webHidden/>
          </w:rPr>
          <w:t>19</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17" w:history="1">
        <w:r w:rsidR="00EC6028" w:rsidRPr="00140CCA">
          <w:rPr>
            <w:rStyle w:val="a9"/>
            <w:rFonts w:asciiTheme="majorEastAsia" w:eastAsiaTheme="majorEastAsia" w:hAnsiTheme="majorEastAsia"/>
            <w:noProof/>
          </w:rPr>
          <w:t xml:space="preserve">5.2    </w:t>
        </w:r>
        <w:r w:rsidR="00EC6028" w:rsidRPr="00140CCA">
          <w:rPr>
            <w:rStyle w:val="a9"/>
            <w:rFonts w:asciiTheme="majorEastAsia" w:eastAsiaTheme="majorEastAsia" w:hAnsiTheme="majorEastAsia" w:hint="eastAsia"/>
            <w:noProof/>
          </w:rPr>
          <w:t>托管人对报告期内本基金投资运作遵规守信、净值计算、利润分配等情况的说明</w:t>
        </w:r>
        <w:r w:rsidR="00EC6028">
          <w:rPr>
            <w:noProof/>
            <w:webHidden/>
          </w:rPr>
          <w:tab/>
        </w:r>
        <w:r w:rsidR="00EC6028">
          <w:rPr>
            <w:noProof/>
            <w:webHidden/>
          </w:rPr>
          <w:fldChar w:fldCharType="begin"/>
        </w:r>
        <w:r w:rsidR="00EC6028">
          <w:rPr>
            <w:noProof/>
            <w:webHidden/>
          </w:rPr>
          <w:instrText xml:space="preserve"> PAGEREF _Toc35533817 \h </w:instrText>
        </w:r>
        <w:r w:rsidR="00EC6028">
          <w:rPr>
            <w:noProof/>
            <w:webHidden/>
          </w:rPr>
        </w:r>
        <w:r w:rsidR="00EC6028">
          <w:rPr>
            <w:noProof/>
            <w:webHidden/>
          </w:rPr>
          <w:fldChar w:fldCharType="separate"/>
        </w:r>
        <w:r w:rsidR="00EC6028">
          <w:rPr>
            <w:noProof/>
            <w:webHidden/>
          </w:rPr>
          <w:t>19</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18" w:history="1">
        <w:r w:rsidR="00EC6028" w:rsidRPr="00140CCA">
          <w:rPr>
            <w:rStyle w:val="a9"/>
            <w:rFonts w:asciiTheme="majorEastAsia" w:eastAsiaTheme="majorEastAsia" w:hAnsiTheme="majorEastAsia"/>
            <w:noProof/>
          </w:rPr>
          <w:t xml:space="preserve">5.3    </w:t>
        </w:r>
        <w:r w:rsidR="00EC6028" w:rsidRPr="00140CCA">
          <w:rPr>
            <w:rStyle w:val="a9"/>
            <w:rFonts w:asciiTheme="majorEastAsia" w:eastAsiaTheme="majorEastAsia" w:hAnsiTheme="majorEastAsia" w:hint="eastAsia"/>
            <w:noProof/>
          </w:rPr>
          <w:t>托管人对本年度报告中财务信息等内容的真实、准确和完整发表意见</w:t>
        </w:r>
        <w:r w:rsidR="00EC6028">
          <w:rPr>
            <w:noProof/>
            <w:webHidden/>
          </w:rPr>
          <w:tab/>
        </w:r>
        <w:r w:rsidR="00EC6028">
          <w:rPr>
            <w:noProof/>
            <w:webHidden/>
          </w:rPr>
          <w:fldChar w:fldCharType="begin"/>
        </w:r>
        <w:r w:rsidR="00EC6028">
          <w:rPr>
            <w:noProof/>
            <w:webHidden/>
          </w:rPr>
          <w:instrText xml:space="preserve"> PAGEREF _Toc35533818 \h </w:instrText>
        </w:r>
        <w:r w:rsidR="00EC6028">
          <w:rPr>
            <w:noProof/>
            <w:webHidden/>
          </w:rPr>
        </w:r>
        <w:r w:rsidR="00EC6028">
          <w:rPr>
            <w:noProof/>
            <w:webHidden/>
          </w:rPr>
          <w:fldChar w:fldCharType="separate"/>
        </w:r>
        <w:r w:rsidR="00EC6028">
          <w:rPr>
            <w:noProof/>
            <w:webHidden/>
          </w:rPr>
          <w:t>19</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19" w:history="1">
        <w:r w:rsidR="00EC6028" w:rsidRPr="00140CCA">
          <w:rPr>
            <w:rStyle w:val="a9"/>
            <w:rFonts w:ascii="宋体" w:hAnsi="宋体" w:cs="Arial"/>
            <w:noProof/>
          </w:rPr>
          <w:t xml:space="preserve">§6    </w:t>
        </w:r>
        <w:r w:rsidR="00EC6028" w:rsidRPr="00140CCA">
          <w:rPr>
            <w:rStyle w:val="a9"/>
            <w:rFonts w:ascii="宋体" w:hAnsi="宋体" w:cs="Arial" w:hint="eastAsia"/>
            <w:noProof/>
          </w:rPr>
          <w:t>审计报告</w:t>
        </w:r>
        <w:r w:rsidR="00EC6028">
          <w:rPr>
            <w:noProof/>
            <w:webHidden/>
          </w:rPr>
          <w:tab/>
        </w:r>
        <w:r w:rsidR="00EC6028">
          <w:rPr>
            <w:noProof/>
            <w:webHidden/>
          </w:rPr>
          <w:fldChar w:fldCharType="begin"/>
        </w:r>
        <w:r w:rsidR="00EC6028">
          <w:rPr>
            <w:noProof/>
            <w:webHidden/>
          </w:rPr>
          <w:instrText xml:space="preserve"> PAGEREF _Toc35533819 \h </w:instrText>
        </w:r>
        <w:r w:rsidR="00EC6028">
          <w:rPr>
            <w:noProof/>
            <w:webHidden/>
          </w:rPr>
        </w:r>
        <w:r w:rsidR="00EC6028">
          <w:rPr>
            <w:noProof/>
            <w:webHidden/>
          </w:rPr>
          <w:fldChar w:fldCharType="separate"/>
        </w:r>
        <w:r w:rsidR="00EC6028">
          <w:rPr>
            <w:noProof/>
            <w:webHidden/>
          </w:rPr>
          <w:t>20</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20" w:history="1">
        <w:r w:rsidR="00EC6028" w:rsidRPr="00140CCA">
          <w:rPr>
            <w:rStyle w:val="a9"/>
            <w:rFonts w:ascii="宋体" w:hAnsi="宋体"/>
            <w:noProof/>
          </w:rPr>
          <w:t>6.1</w:t>
        </w:r>
        <w:r w:rsidR="00EC6028" w:rsidRPr="00140CCA">
          <w:rPr>
            <w:rStyle w:val="a9"/>
            <w:rFonts w:asciiTheme="majorEastAsia" w:eastAsiaTheme="majorEastAsia" w:hAnsiTheme="majorEastAsia"/>
            <w:noProof/>
          </w:rPr>
          <w:t xml:space="preserve">    </w:t>
        </w:r>
        <w:r w:rsidR="00EC6028" w:rsidRPr="00140CCA">
          <w:rPr>
            <w:rStyle w:val="a9"/>
            <w:rFonts w:ascii="宋体" w:hAnsi="宋体" w:hint="eastAsia"/>
            <w:noProof/>
          </w:rPr>
          <w:t>审计意见</w:t>
        </w:r>
        <w:r w:rsidR="00EC6028">
          <w:rPr>
            <w:noProof/>
            <w:webHidden/>
          </w:rPr>
          <w:tab/>
        </w:r>
        <w:r w:rsidR="00EC6028">
          <w:rPr>
            <w:noProof/>
            <w:webHidden/>
          </w:rPr>
          <w:fldChar w:fldCharType="begin"/>
        </w:r>
        <w:r w:rsidR="00EC6028">
          <w:rPr>
            <w:noProof/>
            <w:webHidden/>
          </w:rPr>
          <w:instrText xml:space="preserve"> PAGEREF _Toc35533820 \h </w:instrText>
        </w:r>
        <w:r w:rsidR="00EC6028">
          <w:rPr>
            <w:noProof/>
            <w:webHidden/>
          </w:rPr>
        </w:r>
        <w:r w:rsidR="00EC6028">
          <w:rPr>
            <w:noProof/>
            <w:webHidden/>
          </w:rPr>
          <w:fldChar w:fldCharType="separate"/>
        </w:r>
        <w:r w:rsidR="00EC6028">
          <w:rPr>
            <w:noProof/>
            <w:webHidden/>
          </w:rPr>
          <w:t>20</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21" w:history="1">
        <w:r w:rsidR="00EC6028" w:rsidRPr="00140CCA">
          <w:rPr>
            <w:rStyle w:val="a9"/>
            <w:rFonts w:ascii="宋体" w:hAnsi="宋体"/>
            <w:noProof/>
          </w:rPr>
          <w:t>6.2</w:t>
        </w:r>
        <w:r w:rsidR="00EC6028" w:rsidRPr="00140CCA">
          <w:rPr>
            <w:rStyle w:val="a9"/>
            <w:rFonts w:asciiTheme="majorEastAsia" w:eastAsiaTheme="majorEastAsia" w:hAnsiTheme="majorEastAsia"/>
            <w:noProof/>
          </w:rPr>
          <w:t xml:space="preserve">    </w:t>
        </w:r>
        <w:r w:rsidR="00EC6028" w:rsidRPr="00140CCA">
          <w:rPr>
            <w:rStyle w:val="a9"/>
            <w:rFonts w:ascii="宋体" w:hAnsi="宋体" w:hint="eastAsia"/>
            <w:noProof/>
          </w:rPr>
          <w:t>形成审计意见的基础</w:t>
        </w:r>
        <w:r w:rsidR="00EC6028">
          <w:rPr>
            <w:noProof/>
            <w:webHidden/>
          </w:rPr>
          <w:tab/>
        </w:r>
        <w:r w:rsidR="00EC6028">
          <w:rPr>
            <w:noProof/>
            <w:webHidden/>
          </w:rPr>
          <w:fldChar w:fldCharType="begin"/>
        </w:r>
        <w:r w:rsidR="00EC6028">
          <w:rPr>
            <w:noProof/>
            <w:webHidden/>
          </w:rPr>
          <w:instrText xml:space="preserve"> PAGEREF _Toc35533821 \h </w:instrText>
        </w:r>
        <w:r w:rsidR="00EC6028">
          <w:rPr>
            <w:noProof/>
            <w:webHidden/>
          </w:rPr>
        </w:r>
        <w:r w:rsidR="00EC6028">
          <w:rPr>
            <w:noProof/>
            <w:webHidden/>
          </w:rPr>
          <w:fldChar w:fldCharType="separate"/>
        </w:r>
        <w:r w:rsidR="00EC6028">
          <w:rPr>
            <w:noProof/>
            <w:webHidden/>
          </w:rPr>
          <w:t>20</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22" w:history="1">
        <w:r w:rsidR="00EC6028" w:rsidRPr="00140CCA">
          <w:rPr>
            <w:rStyle w:val="a9"/>
            <w:rFonts w:ascii="宋体" w:hAnsi="宋体"/>
            <w:noProof/>
          </w:rPr>
          <w:t>6.3</w:t>
        </w:r>
        <w:r w:rsidR="00EC6028" w:rsidRPr="00140CCA">
          <w:rPr>
            <w:rStyle w:val="a9"/>
            <w:rFonts w:asciiTheme="majorEastAsia" w:eastAsiaTheme="majorEastAsia" w:hAnsiTheme="majorEastAsia"/>
            <w:noProof/>
          </w:rPr>
          <w:t xml:space="preserve">    </w:t>
        </w:r>
        <w:r w:rsidR="00EC6028" w:rsidRPr="00140CCA">
          <w:rPr>
            <w:rStyle w:val="a9"/>
            <w:rFonts w:ascii="宋体" w:hAnsi="宋体" w:hint="eastAsia"/>
            <w:noProof/>
          </w:rPr>
          <w:t>管理层和治理层对财务报表的责任</w:t>
        </w:r>
        <w:r w:rsidR="00EC6028">
          <w:rPr>
            <w:noProof/>
            <w:webHidden/>
          </w:rPr>
          <w:tab/>
        </w:r>
        <w:r w:rsidR="00EC6028">
          <w:rPr>
            <w:noProof/>
            <w:webHidden/>
          </w:rPr>
          <w:fldChar w:fldCharType="begin"/>
        </w:r>
        <w:r w:rsidR="00EC6028">
          <w:rPr>
            <w:noProof/>
            <w:webHidden/>
          </w:rPr>
          <w:instrText xml:space="preserve"> PAGEREF _Toc35533822 \h </w:instrText>
        </w:r>
        <w:r w:rsidR="00EC6028">
          <w:rPr>
            <w:noProof/>
            <w:webHidden/>
          </w:rPr>
        </w:r>
        <w:r w:rsidR="00EC6028">
          <w:rPr>
            <w:noProof/>
            <w:webHidden/>
          </w:rPr>
          <w:fldChar w:fldCharType="separate"/>
        </w:r>
        <w:r w:rsidR="00EC6028">
          <w:rPr>
            <w:noProof/>
            <w:webHidden/>
          </w:rPr>
          <w:t>20</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23" w:history="1">
        <w:r w:rsidR="00EC6028" w:rsidRPr="00140CCA">
          <w:rPr>
            <w:rStyle w:val="a9"/>
            <w:rFonts w:ascii="宋体" w:hAnsi="宋体"/>
            <w:noProof/>
          </w:rPr>
          <w:t>6.4</w:t>
        </w:r>
        <w:r w:rsidR="00EC6028" w:rsidRPr="00140CCA">
          <w:rPr>
            <w:rStyle w:val="a9"/>
            <w:rFonts w:asciiTheme="majorEastAsia" w:eastAsiaTheme="majorEastAsia" w:hAnsiTheme="majorEastAsia"/>
            <w:noProof/>
          </w:rPr>
          <w:t xml:space="preserve">    </w:t>
        </w:r>
        <w:r w:rsidR="00EC6028" w:rsidRPr="00140CCA">
          <w:rPr>
            <w:rStyle w:val="a9"/>
            <w:rFonts w:ascii="宋体" w:hAnsi="宋体" w:hint="eastAsia"/>
            <w:noProof/>
          </w:rPr>
          <w:t>注册会计师对财务报表审计的责任</w:t>
        </w:r>
        <w:r w:rsidR="00EC6028">
          <w:rPr>
            <w:noProof/>
            <w:webHidden/>
          </w:rPr>
          <w:tab/>
        </w:r>
        <w:r w:rsidR="00EC6028">
          <w:rPr>
            <w:noProof/>
            <w:webHidden/>
          </w:rPr>
          <w:fldChar w:fldCharType="begin"/>
        </w:r>
        <w:r w:rsidR="00EC6028">
          <w:rPr>
            <w:noProof/>
            <w:webHidden/>
          </w:rPr>
          <w:instrText xml:space="preserve"> PAGEREF _Toc35533823 \h </w:instrText>
        </w:r>
        <w:r w:rsidR="00EC6028">
          <w:rPr>
            <w:noProof/>
            <w:webHidden/>
          </w:rPr>
        </w:r>
        <w:r w:rsidR="00EC6028">
          <w:rPr>
            <w:noProof/>
            <w:webHidden/>
          </w:rPr>
          <w:fldChar w:fldCharType="separate"/>
        </w:r>
        <w:r w:rsidR="00EC6028">
          <w:rPr>
            <w:noProof/>
            <w:webHidden/>
          </w:rPr>
          <w:t>21</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24" w:history="1">
        <w:r w:rsidR="00EC6028" w:rsidRPr="00140CCA">
          <w:rPr>
            <w:rStyle w:val="a9"/>
            <w:rFonts w:ascii="宋体" w:hAnsi="宋体" w:cs="Arial"/>
            <w:noProof/>
          </w:rPr>
          <w:t xml:space="preserve">§7    </w:t>
        </w:r>
        <w:r w:rsidR="00EC6028" w:rsidRPr="00140CCA">
          <w:rPr>
            <w:rStyle w:val="a9"/>
            <w:rFonts w:ascii="宋体" w:hAnsi="宋体" w:cs="Arial" w:hint="eastAsia"/>
            <w:noProof/>
          </w:rPr>
          <w:t>年度财务报表</w:t>
        </w:r>
        <w:r w:rsidR="00EC6028">
          <w:rPr>
            <w:noProof/>
            <w:webHidden/>
          </w:rPr>
          <w:tab/>
        </w:r>
        <w:r w:rsidR="00EC6028">
          <w:rPr>
            <w:noProof/>
            <w:webHidden/>
          </w:rPr>
          <w:fldChar w:fldCharType="begin"/>
        </w:r>
        <w:r w:rsidR="00EC6028">
          <w:rPr>
            <w:noProof/>
            <w:webHidden/>
          </w:rPr>
          <w:instrText xml:space="preserve"> PAGEREF _Toc35533824 \h </w:instrText>
        </w:r>
        <w:r w:rsidR="00EC6028">
          <w:rPr>
            <w:noProof/>
            <w:webHidden/>
          </w:rPr>
        </w:r>
        <w:r w:rsidR="00EC6028">
          <w:rPr>
            <w:noProof/>
            <w:webHidden/>
          </w:rPr>
          <w:fldChar w:fldCharType="separate"/>
        </w:r>
        <w:r w:rsidR="00EC6028">
          <w:rPr>
            <w:noProof/>
            <w:webHidden/>
          </w:rPr>
          <w:t>22</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25" w:history="1">
        <w:r w:rsidR="00EC6028" w:rsidRPr="00140CCA">
          <w:rPr>
            <w:rStyle w:val="a9"/>
            <w:rFonts w:asciiTheme="majorEastAsia" w:eastAsiaTheme="majorEastAsia" w:hAnsiTheme="majorEastAsia"/>
            <w:noProof/>
          </w:rPr>
          <w:t xml:space="preserve">7.1    </w:t>
        </w:r>
        <w:r w:rsidR="00EC6028" w:rsidRPr="00140CCA">
          <w:rPr>
            <w:rStyle w:val="a9"/>
            <w:rFonts w:asciiTheme="majorEastAsia" w:eastAsiaTheme="majorEastAsia" w:hAnsiTheme="majorEastAsia" w:hint="eastAsia"/>
            <w:noProof/>
          </w:rPr>
          <w:t>资产负债表</w:t>
        </w:r>
        <w:r w:rsidR="00EC6028">
          <w:rPr>
            <w:noProof/>
            <w:webHidden/>
          </w:rPr>
          <w:tab/>
        </w:r>
        <w:r w:rsidR="00EC6028">
          <w:rPr>
            <w:noProof/>
            <w:webHidden/>
          </w:rPr>
          <w:fldChar w:fldCharType="begin"/>
        </w:r>
        <w:r w:rsidR="00EC6028">
          <w:rPr>
            <w:noProof/>
            <w:webHidden/>
          </w:rPr>
          <w:instrText xml:space="preserve"> PAGEREF _Toc35533825 \h </w:instrText>
        </w:r>
        <w:r w:rsidR="00EC6028">
          <w:rPr>
            <w:noProof/>
            <w:webHidden/>
          </w:rPr>
        </w:r>
        <w:r w:rsidR="00EC6028">
          <w:rPr>
            <w:noProof/>
            <w:webHidden/>
          </w:rPr>
          <w:fldChar w:fldCharType="separate"/>
        </w:r>
        <w:r w:rsidR="00EC6028">
          <w:rPr>
            <w:noProof/>
            <w:webHidden/>
          </w:rPr>
          <w:t>22</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26" w:history="1">
        <w:r w:rsidR="00EC6028" w:rsidRPr="00140CCA">
          <w:rPr>
            <w:rStyle w:val="a9"/>
            <w:rFonts w:asciiTheme="majorEastAsia" w:eastAsiaTheme="majorEastAsia" w:hAnsiTheme="majorEastAsia"/>
            <w:noProof/>
          </w:rPr>
          <w:t xml:space="preserve">7.2    </w:t>
        </w:r>
        <w:r w:rsidR="00EC6028" w:rsidRPr="00140CCA">
          <w:rPr>
            <w:rStyle w:val="a9"/>
            <w:rFonts w:asciiTheme="majorEastAsia" w:eastAsiaTheme="majorEastAsia" w:hAnsiTheme="majorEastAsia" w:hint="eastAsia"/>
            <w:noProof/>
          </w:rPr>
          <w:t>利润表</w:t>
        </w:r>
        <w:r w:rsidR="00EC6028">
          <w:rPr>
            <w:noProof/>
            <w:webHidden/>
          </w:rPr>
          <w:tab/>
        </w:r>
        <w:r w:rsidR="00EC6028">
          <w:rPr>
            <w:noProof/>
            <w:webHidden/>
          </w:rPr>
          <w:fldChar w:fldCharType="begin"/>
        </w:r>
        <w:r w:rsidR="00EC6028">
          <w:rPr>
            <w:noProof/>
            <w:webHidden/>
          </w:rPr>
          <w:instrText xml:space="preserve"> PAGEREF _Toc35533826 \h </w:instrText>
        </w:r>
        <w:r w:rsidR="00EC6028">
          <w:rPr>
            <w:noProof/>
            <w:webHidden/>
          </w:rPr>
        </w:r>
        <w:r w:rsidR="00EC6028">
          <w:rPr>
            <w:noProof/>
            <w:webHidden/>
          </w:rPr>
          <w:fldChar w:fldCharType="separate"/>
        </w:r>
        <w:r w:rsidR="00EC6028">
          <w:rPr>
            <w:noProof/>
            <w:webHidden/>
          </w:rPr>
          <w:t>23</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27" w:history="1">
        <w:r w:rsidR="00EC6028" w:rsidRPr="00140CCA">
          <w:rPr>
            <w:rStyle w:val="a9"/>
            <w:rFonts w:asciiTheme="majorEastAsia" w:eastAsiaTheme="majorEastAsia" w:hAnsiTheme="majorEastAsia"/>
            <w:noProof/>
          </w:rPr>
          <w:t xml:space="preserve">7.3    </w:t>
        </w:r>
        <w:r w:rsidR="00EC6028" w:rsidRPr="00140CCA">
          <w:rPr>
            <w:rStyle w:val="a9"/>
            <w:rFonts w:asciiTheme="majorEastAsia" w:eastAsiaTheme="majorEastAsia" w:hAnsiTheme="majorEastAsia" w:hint="eastAsia"/>
            <w:noProof/>
          </w:rPr>
          <w:t>所有者权益（基金净值）变动表</w:t>
        </w:r>
        <w:r w:rsidR="00EC6028">
          <w:rPr>
            <w:noProof/>
            <w:webHidden/>
          </w:rPr>
          <w:tab/>
        </w:r>
        <w:r w:rsidR="00EC6028">
          <w:rPr>
            <w:noProof/>
            <w:webHidden/>
          </w:rPr>
          <w:fldChar w:fldCharType="begin"/>
        </w:r>
        <w:r w:rsidR="00EC6028">
          <w:rPr>
            <w:noProof/>
            <w:webHidden/>
          </w:rPr>
          <w:instrText xml:space="preserve"> PAGEREF _Toc35533827 \h </w:instrText>
        </w:r>
        <w:r w:rsidR="00EC6028">
          <w:rPr>
            <w:noProof/>
            <w:webHidden/>
          </w:rPr>
        </w:r>
        <w:r w:rsidR="00EC6028">
          <w:rPr>
            <w:noProof/>
            <w:webHidden/>
          </w:rPr>
          <w:fldChar w:fldCharType="separate"/>
        </w:r>
        <w:r w:rsidR="00EC6028">
          <w:rPr>
            <w:noProof/>
            <w:webHidden/>
          </w:rPr>
          <w:t>25</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28" w:history="1">
        <w:r w:rsidR="00EC6028" w:rsidRPr="00140CCA">
          <w:rPr>
            <w:rStyle w:val="a9"/>
            <w:rFonts w:asciiTheme="majorEastAsia" w:eastAsiaTheme="majorEastAsia" w:hAnsiTheme="majorEastAsia"/>
            <w:noProof/>
          </w:rPr>
          <w:t xml:space="preserve">7.4    </w:t>
        </w:r>
        <w:r w:rsidR="00EC6028" w:rsidRPr="00140CCA">
          <w:rPr>
            <w:rStyle w:val="a9"/>
            <w:rFonts w:asciiTheme="majorEastAsia" w:eastAsiaTheme="majorEastAsia" w:hAnsiTheme="majorEastAsia" w:hint="eastAsia"/>
            <w:noProof/>
          </w:rPr>
          <w:t>报表附注</w:t>
        </w:r>
        <w:r w:rsidR="00EC6028">
          <w:rPr>
            <w:noProof/>
            <w:webHidden/>
          </w:rPr>
          <w:tab/>
        </w:r>
        <w:r w:rsidR="00EC6028">
          <w:rPr>
            <w:noProof/>
            <w:webHidden/>
          </w:rPr>
          <w:fldChar w:fldCharType="begin"/>
        </w:r>
        <w:r w:rsidR="00EC6028">
          <w:rPr>
            <w:noProof/>
            <w:webHidden/>
          </w:rPr>
          <w:instrText xml:space="preserve"> PAGEREF _Toc35533828 \h </w:instrText>
        </w:r>
        <w:r w:rsidR="00EC6028">
          <w:rPr>
            <w:noProof/>
            <w:webHidden/>
          </w:rPr>
        </w:r>
        <w:r w:rsidR="00EC6028">
          <w:rPr>
            <w:noProof/>
            <w:webHidden/>
          </w:rPr>
          <w:fldChar w:fldCharType="separate"/>
        </w:r>
        <w:r w:rsidR="00EC6028">
          <w:rPr>
            <w:noProof/>
            <w:webHidden/>
          </w:rPr>
          <w:t>26</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29" w:history="1">
        <w:r w:rsidR="00EC6028" w:rsidRPr="00140CCA">
          <w:rPr>
            <w:rStyle w:val="a9"/>
            <w:rFonts w:ascii="宋体" w:hAnsi="宋体" w:cs="Arial"/>
            <w:noProof/>
          </w:rPr>
          <w:t xml:space="preserve">§8    </w:t>
        </w:r>
        <w:r w:rsidR="00EC6028" w:rsidRPr="00140CCA">
          <w:rPr>
            <w:rStyle w:val="a9"/>
            <w:rFonts w:ascii="宋体" w:hAnsi="宋体" w:cs="Arial" w:hint="eastAsia"/>
            <w:noProof/>
          </w:rPr>
          <w:t>投资组合报告</w:t>
        </w:r>
        <w:r w:rsidR="00EC6028">
          <w:rPr>
            <w:noProof/>
            <w:webHidden/>
          </w:rPr>
          <w:tab/>
        </w:r>
        <w:r w:rsidR="00EC6028">
          <w:rPr>
            <w:noProof/>
            <w:webHidden/>
          </w:rPr>
          <w:fldChar w:fldCharType="begin"/>
        </w:r>
        <w:r w:rsidR="00EC6028">
          <w:rPr>
            <w:noProof/>
            <w:webHidden/>
          </w:rPr>
          <w:instrText xml:space="preserve"> PAGEREF _Toc35533829 \h </w:instrText>
        </w:r>
        <w:r w:rsidR="00EC6028">
          <w:rPr>
            <w:noProof/>
            <w:webHidden/>
          </w:rPr>
        </w:r>
        <w:r w:rsidR="00EC6028">
          <w:rPr>
            <w:noProof/>
            <w:webHidden/>
          </w:rPr>
          <w:fldChar w:fldCharType="separate"/>
        </w:r>
        <w:r w:rsidR="00EC6028">
          <w:rPr>
            <w:noProof/>
            <w:webHidden/>
          </w:rPr>
          <w:t>52</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30" w:history="1">
        <w:r w:rsidR="00EC6028" w:rsidRPr="00140CCA">
          <w:rPr>
            <w:rStyle w:val="a9"/>
            <w:rFonts w:asciiTheme="majorEastAsia" w:eastAsiaTheme="majorEastAsia" w:hAnsiTheme="majorEastAsia"/>
            <w:noProof/>
          </w:rPr>
          <w:t xml:space="preserve">8.1    </w:t>
        </w:r>
        <w:r w:rsidR="00EC6028" w:rsidRPr="00140CCA">
          <w:rPr>
            <w:rStyle w:val="a9"/>
            <w:rFonts w:asciiTheme="majorEastAsia" w:eastAsiaTheme="majorEastAsia" w:hAnsiTheme="majorEastAsia" w:hint="eastAsia"/>
            <w:noProof/>
          </w:rPr>
          <w:t>期末基金资产组合情况</w:t>
        </w:r>
        <w:r w:rsidR="00EC6028">
          <w:rPr>
            <w:noProof/>
            <w:webHidden/>
          </w:rPr>
          <w:tab/>
        </w:r>
        <w:r w:rsidR="00EC6028">
          <w:rPr>
            <w:noProof/>
            <w:webHidden/>
          </w:rPr>
          <w:fldChar w:fldCharType="begin"/>
        </w:r>
        <w:r w:rsidR="00EC6028">
          <w:rPr>
            <w:noProof/>
            <w:webHidden/>
          </w:rPr>
          <w:instrText xml:space="preserve"> PAGEREF _Toc35533830 \h </w:instrText>
        </w:r>
        <w:r w:rsidR="00EC6028">
          <w:rPr>
            <w:noProof/>
            <w:webHidden/>
          </w:rPr>
        </w:r>
        <w:r w:rsidR="00EC6028">
          <w:rPr>
            <w:noProof/>
            <w:webHidden/>
          </w:rPr>
          <w:fldChar w:fldCharType="separate"/>
        </w:r>
        <w:r w:rsidR="00EC6028">
          <w:rPr>
            <w:noProof/>
            <w:webHidden/>
          </w:rPr>
          <w:t>52</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31" w:history="1">
        <w:r w:rsidR="00EC6028" w:rsidRPr="00140CCA">
          <w:rPr>
            <w:rStyle w:val="a9"/>
            <w:rFonts w:asciiTheme="majorEastAsia" w:eastAsiaTheme="majorEastAsia" w:hAnsiTheme="majorEastAsia"/>
            <w:noProof/>
          </w:rPr>
          <w:t xml:space="preserve">8.2    </w:t>
        </w:r>
        <w:r w:rsidR="00EC6028" w:rsidRPr="00140CCA">
          <w:rPr>
            <w:rStyle w:val="a9"/>
            <w:rFonts w:asciiTheme="majorEastAsia" w:eastAsiaTheme="majorEastAsia" w:hAnsiTheme="majorEastAsia" w:hint="eastAsia"/>
            <w:noProof/>
          </w:rPr>
          <w:t>期末在各个国家（地区）证券市场的权益投资分布</w:t>
        </w:r>
        <w:r w:rsidR="00EC6028">
          <w:rPr>
            <w:noProof/>
            <w:webHidden/>
          </w:rPr>
          <w:tab/>
        </w:r>
        <w:r w:rsidR="00EC6028">
          <w:rPr>
            <w:noProof/>
            <w:webHidden/>
          </w:rPr>
          <w:fldChar w:fldCharType="begin"/>
        </w:r>
        <w:r w:rsidR="00EC6028">
          <w:rPr>
            <w:noProof/>
            <w:webHidden/>
          </w:rPr>
          <w:instrText xml:space="preserve"> PAGEREF _Toc35533831 \h </w:instrText>
        </w:r>
        <w:r w:rsidR="00EC6028">
          <w:rPr>
            <w:noProof/>
            <w:webHidden/>
          </w:rPr>
        </w:r>
        <w:r w:rsidR="00EC6028">
          <w:rPr>
            <w:noProof/>
            <w:webHidden/>
          </w:rPr>
          <w:fldChar w:fldCharType="separate"/>
        </w:r>
        <w:r w:rsidR="00EC6028">
          <w:rPr>
            <w:noProof/>
            <w:webHidden/>
          </w:rPr>
          <w:t>53</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32" w:history="1">
        <w:r w:rsidR="00EC6028" w:rsidRPr="00140CCA">
          <w:rPr>
            <w:rStyle w:val="a9"/>
            <w:rFonts w:ascii="宋体" w:hAnsi="宋体"/>
            <w:noProof/>
          </w:rPr>
          <w:t>8.3</w:t>
        </w:r>
        <w:r w:rsidR="00EC6028" w:rsidRPr="00140CCA">
          <w:rPr>
            <w:rStyle w:val="a9"/>
            <w:rFonts w:asciiTheme="majorEastAsia" w:eastAsiaTheme="majorEastAsia" w:hAnsiTheme="majorEastAsia"/>
            <w:noProof/>
          </w:rPr>
          <w:t xml:space="preserve">    </w:t>
        </w:r>
        <w:r w:rsidR="00EC6028" w:rsidRPr="00140CCA">
          <w:rPr>
            <w:rStyle w:val="a9"/>
            <w:rFonts w:ascii="宋体" w:hAnsi="宋体" w:hint="eastAsia"/>
            <w:noProof/>
          </w:rPr>
          <w:t>期末按行业分类的权益投资组合</w:t>
        </w:r>
        <w:r w:rsidR="00EC6028">
          <w:rPr>
            <w:noProof/>
            <w:webHidden/>
          </w:rPr>
          <w:tab/>
        </w:r>
        <w:r w:rsidR="00EC6028">
          <w:rPr>
            <w:noProof/>
            <w:webHidden/>
          </w:rPr>
          <w:fldChar w:fldCharType="begin"/>
        </w:r>
        <w:r w:rsidR="00EC6028">
          <w:rPr>
            <w:noProof/>
            <w:webHidden/>
          </w:rPr>
          <w:instrText xml:space="preserve"> PAGEREF _Toc35533832 \h </w:instrText>
        </w:r>
        <w:r w:rsidR="00EC6028">
          <w:rPr>
            <w:noProof/>
            <w:webHidden/>
          </w:rPr>
        </w:r>
        <w:r w:rsidR="00EC6028">
          <w:rPr>
            <w:noProof/>
            <w:webHidden/>
          </w:rPr>
          <w:fldChar w:fldCharType="separate"/>
        </w:r>
        <w:r w:rsidR="00EC6028">
          <w:rPr>
            <w:noProof/>
            <w:webHidden/>
          </w:rPr>
          <w:t>53</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33" w:history="1">
        <w:r w:rsidR="00EC6028" w:rsidRPr="00140CCA">
          <w:rPr>
            <w:rStyle w:val="a9"/>
            <w:rFonts w:ascii="宋体" w:hAnsi="宋体"/>
            <w:noProof/>
          </w:rPr>
          <w:t>8.4</w:t>
        </w:r>
        <w:r w:rsidR="00EC6028" w:rsidRPr="00140CCA">
          <w:rPr>
            <w:rStyle w:val="a9"/>
            <w:rFonts w:asciiTheme="majorEastAsia" w:eastAsiaTheme="majorEastAsia" w:hAnsiTheme="majorEastAsia"/>
            <w:noProof/>
          </w:rPr>
          <w:t xml:space="preserve">    </w:t>
        </w:r>
        <w:r w:rsidR="00EC6028" w:rsidRPr="00140CCA">
          <w:rPr>
            <w:rStyle w:val="a9"/>
            <w:rFonts w:ascii="宋体" w:hAnsi="宋体" w:hint="eastAsia"/>
            <w:noProof/>
          </w:rPr>
          <w:t>期末按公允价值占基金资产净值比例大小排序的所有权益投资明细</w:t>
        </w:r>
        <w:r w:rsidR="00EC6028">
          <w:rPr>
            <w:noProof/>
            <w:webHidden/>
          </w:rPr>
          <w:tab/>
        </w:r>
        <w:r w:rsidR="00EC6028">
          <w:rPr>
            <w:noProof/>
            <w:webHidden/>
          </w:rPr>
          <w:fldChar w:fldCharType="begin"/>
        </w:r>
        <w:r w:rsidR="00EC6028">
          <w:rPr>
            <w:noProof/>
            <w:webHidden/>
          </w:rPr>
          <w:instrText xml:space="preserve"> PAGEREF _Toc35533833 \h </w:instrText>
        </w:r>
        <w:r w:rsidR="00EC6028">
          <w:rPr>
            <w:noProof/>
            <w:webHidden/>
          </w:rPr>
        </w:r>
        <w:r w:rsidR="00EC6028">
          <w:rPr>
            <w:noProof/>
            <w:webHidden/>
          </w:rPr>
          <w:fldChar w:fldCharType="separate"/>
        </w:r>
        <w:r w:rsidR="00EC6028">
          <w:rPr>
            <w:noProof/>
            <w:webHidden/>
          </w:rPr>
          <w:t>53</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34" w:history="1">
        <w:r w:rsidR="00EC6028" w:rsidRPr="00140CCA">
          <w:rPr>
            <w:rStyle w:val="a9"/>
            <w:rFonts w:ascii="宋体" w:hAnsi="宋体"/>
            <w:noProof/>
          </w:rPr>
          <w:t>8.5</w:t>
        </w:r>
        <w:r w:rsidR="00EC6028" w:rsidRPr="00140CCA">
          <w:rPr>
            <w:rStyle w:val="a9"/>
            <w:rFonts w:asciiTheme="majorEastAsia" w:eastAsiaTheme="majorEastAsia" w:hAnsiTheme="majorEastAsia"/>
            <w:noProof/>
          </w:rPr>
          <w:t xml:space="preserve">    </w:t>
        </w:r>
        <w:r w:rsidR="00EC6028" w:rsidRPr="00140CCA">
          <w:rPr>
            <w:rStyle w:val="a9"/>
            <w:rFonts w:ascii="宋体" w:hAnsi="宋体" w:hint="eastAsia"/>
            <w:noProof/>
          </w:rPr>
          <w:t>报告期内权益投资组合的重大变动</w:t>
        </w:r>
        <w:r w:rsidR="00EC6028">
          <w:rPr>
            <w:noProof/>
            <w:webHidden/>
          </w:rPr>
          <w:tab/>
        </w:r>
        <w:r w:rsidR="00EC6028">
          <w:rPr>
            <w:noProof/>
            <w:webHidden/>
          </w:rPr>
          <w:fldChar w:fldCharType="begin"/>
        </w:r>
        <w:r w:rsidR="00EC6028">
          <w:rPr>
            <w:noProof/>
            <w:webHidden/>
          </w:rPr>
          <w:instrText xml:space="preserve"> PAGEREF _Toc35533834 \h </w:instrText>
        </w:r>
        <w:r w:rsidR="00EC6028">
          <w:rPr>
            <w:noProof/>
            <w:webHidden/>
          </w:rPr>
        </w:r>
        <w:r w:rsidR="00EC6028">
          <w:rPr>
            <w:noProof/>
            <w:webHidden/>
          </w:rPr>
          <w:fldChar w:fldCharType="separate"/>
        </w:r>
        <w:r w:rsidR="00EC6028">
          <w:rPr>
            <w:noProof/>
            <w:webHidden/>
          </w:rPr>
          <w:t>53</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35" w:history="1">
        <w:r w:rsidR="00EC6028" w:rsidRPr="00140CCA">
          <w:rPr>
            <w:rStyle w:val="a9"/>
            <w:rFonts w:ascii="宋体" w:hAnsi="宋体"/>
            <w:noProof/>
          </w:rPr>
          <w:t>8.6</w:t>
        </w:r>
        <w:r w:rsidR="00EC6028" w:rsidRPr="00140CCA">
          <w:rPr>
            <w:rStyle w:val="a9"/>
            <w:rFonts w:asciiTheme="majorEastAsia" w:eastAsiaTheme="majorEastAsia" w:hAnsiTheme="majorEastAsia"/>
            <w:noProof/>
          </w:rPr>
          <w:t xml:space="preserve">    </w:t>
        </w:r>
        <w:r w:rsidR="00EC6028" w:rsidRPr="00140CCA">
          <w:rPr>
            <w:rStyle w:val="a9"/>
            <w:rFonts w:ascii="宋体" w:hAnsi="宋体" w:hint="eastAsia"/>
            <w:noProof/>
          </w:rPr>
          <w:t>期末按债券信用等级分类的债券投资组合</w:t>
        </w:r>
        <w:r w:rsidR="00EC6028">
          <w:rPr>
            <w:noProof/>
            <w:webHidden/>
          </w:rPr>
          <w:tab/>
        </w:r>
        <w:r w:rsidR="00EC6028">
          <w:rPr>
            <w:noProof/>
            <w:webHidden/>
          </w:rPr>
          <w:fldChar w:fldCharType="begin"/>
        </w:r>
        <w:r w:rsidR="00EC6028">
          <w:rPr>
            <w:noProof/>
            <w:webHidden/>
          </w:rPr>
          <w:instrText xml:space="preserve"> PAGEREF _Toc35533835 \h </w:instrText>
        </w:r>
        <w:r w:rsidR="00EC6028">
          <w:rPr>
            <w:noProof/>
            <w:webHidden/>
          </w:rPr>
        </w:r>
        <w:r w:rsidR="00EC6028">
          <w:rPr>
            <w:noProof/>
            <w:webHidden/>
          </w:rPr>
          <w:fldChar w:fldCharType="separate"/>
        </w:r>
        <w:r w:rsidR="00EC6028">
          <w:rPr>
            <w:noProof/>
            <w:webHidden/>
          </w:rPr>
          <w:t>55</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36" w:history="1">
        <w:r w:rsidR="00EC6028" w:rsidRPr="00140CCA">
          <w:rPr>
            <w:rStyle w:val="a9"/>
            <w:rFonts w:ascii="宋体" w:hAnsi="宋体"/>
            <w:noProof/>
          </w:rPr>
          <w:t>8.7</w:t>
        </w:r>
        <w:r w:rsidR="00EC6028" w:rsidRPr="00140CCA">
          <w:rPr>
            <w:rStyle w:val="a9"/>
            <w:rFonts w:asciiTheme="majorEastAsia" w:eastAsiaTheme="majorEastAsia" w:hAnsiTheme="majorEastAsia"/>
            <w:noProof/>
          </w:rPr>
          <w:t xml:space="preserve">    </w:t>
        </w:r>
        <w:r w:rsidR="00EC6028" w:rsidRPr="00140CCA">
          <w:rPr>
            <w:rStyle w:val="a9"/>
            <w:rFonts w:ascii="宋体" w:hAnsi="宋体" w:hint="eastAsia"/>
            <w:noProof/>
          </w:rPr>
          <w:t>期末按公允价值占基金资产净值比例大小排名的前五名债券投资明细</w:t>
        </w:r>
        <w:r w:rsidR="00EC6028">
          <w:rPr>
            <w:noProof/>
            <w:webHidden/>
          </w:rPr>
          <w:tab/>
        </w:r>
        <w:r w:rsidR="00EC6028">
          <w:rPr>
            <w:noProof/>
            <w:webHidden/>
          </w:rPr>
          <w:fldChar w:fldCharType="begin"/>
        </w:r>
        <w:r w:rsidR="00EC6028">
          <w:rPr>
            <w:noProof/>
            <w:webHidden/>
          </w:rPr>
          <w:instrText xml:space="preserve"> PAGEREF _Toc35533836 \h </w:instrText>
        </w:r>
        <w:r w:rsidR="00EC6028">
          <w:rPr>
            <w:noProof/>
            <w:webHidden/>
          </w:rPr>
        </w:r>
        <w:r w:rsidR="00EC6028">
          <w:rPr>
            <w:noProof/>
            <w:webHidden/>
          </w:rPr>
          <w:fldChar w:fldCharType="separate"/>
        </w:r>
        <w:r w:rsidR="00EC6028">
          <w:rPr>
            <w:noProof/>
            <w:webHidden/>
          </w:rPr>
          <w:t>55</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37" w:history="1">
        <w:r w:rsidR="00EC6028" w:rsidRPr="00140CCA">
          <w:rPr>
            <w:rStyle w:val="a9"/>
            <w:rFonts w:ascii="宋体" w:hAnsi="宋体"/>
            <w:noProof/>
          </w:rPr>
          <w:t>8.8</w:t>
        </w:r>
        <w:r w:rsidR="00EC6028" w:rsidRPr="00140CCA">
          <w:rPr>
            <w:rStyle w:val="a9"/>
            <w:rFonts w:asciiTheme="majorEastAsia" w:eastAsiaTheme="majorEastAsia" w:hAnsiTheme="majorEastAsia"/>
            <w:noProof/>
          </w:rPr>
          <w:t xml:space="preserve">    </w:t>
        </w:r>
        <w:r w:rsidR="00EC6028" w:rsidRPr="00140CCA">
          <w:rPr>
            <w:rStyle w:val="a9"/>
            <w:rFonts w:ascii="宋体" w:hAnsi="宋体" w:hint="eastAsia"/>
            <w:noProof/>
          </w:rPr>
          <w:t>期末按公允价值占基金资产净值比例大小排名的所有资产支持证券投资明细</w:t>
        </w:r>
        <w:r w:rsidR="00EC6028">
          <w:rPr>
            <w:noProof/>
            <w:webHidden/>
          </w:rPr>
          <w:tab/>
        </w:r>
        <w:r w:rsidR="00EC6028">
          <w:rPr>
            <w:noProof/>
            <w:webHidden/>
          </w:rPr>
          <w:fldChar w:fldCharType="begin"/>
        </w:r>
        <w:r w:rsidR="00EC6028">
          <w:rPr>
            <w:noProof/>
            <w:webHidden/>
          </w:rPr>
          <w:instrText xml:space="preserve"> PAGEREF _Toc35533837 \h </w:instrText>
        </w:r>
        <w:r w:rsidR="00EC6028">
          <w:rPr>
            <w:noProof/>
            <w:webHidden/>
          </w:rPr>
        </w:r>
        <w:r w:rsidR="00EC6028">
          <w:rPr>
            <w:noProof/>
            <w:webHidden/>
          </w:rPr>
          <w:fldChar w:fldCharType="separate"/>
        </w:r>
        <w:r w:rsidR="00EC6028">
          <w:rPr>
            <w:noProof/>
            <w:webHidden/>
          </w:rPr>
          <w:t>55</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38" w:history="1">
        <w:r w:rsidR="00EC6028" w:rsidRPr="00140CCA">
          <w:rPr>
            <w:rStyle w:val="a9"/>
            <w:rFonts w:ascii="宋体" w:hAnsi="宋体"/>
            <w:noProof/>
          </w:rPr>
          <w:t>8.9</w:t>
        </w:r>
        <w:r w:rsidR="00EC6028" w:rsidRPr="00140CCA">
          <w:rPr>
            <w:rStyle w:val="a9"/>
            <w:rFonts w:asciiTheme="majorEastAsia" w:eastAsiaTheme="majorEastAsia" w:hAnsiTheme="majorEastAsia"/>
            <w:noProof/>
          </w:rPr>
          <w:t xml:space="preserve">    </w:t>
        </w:r>
        <w:r w:rsidR="00EC6028" w:rsidRPr="00140CCA">
          <w:rPr>
            <w:rStyle w:val="a9"/>
            <w:rFonts w:ascii="宋体" w:hAnsi="宋体" w:hint="eastAsia"/>
            <w:noProof/>
          </w:rPr>
          <w:t>期末按公允价值占基金资产净值比例大小排名的前五名金融衍生品投资明细</w:t>
        </w:r>
        <w:r w:rsidR="00EC6028">
          <w:rPr>
            <w:noProof/>
            <w:webHidden/>
          </w:rPr>
          <w:tab/>
        </w:r>
        <w:r w:rsidR="00EC6028">
          <w:rPr>
            <w:noProof/>
            <w:webHidden/>
          </w:rPr>
          <w:fldChar w:fldCharType="begin"/>
        </w:r>
        <w:r w:rsidR="00EC6028">
          <w:rPr>
            <w:noProof/>
            <w:webHidden/>
          </w:rPr>
          <w:instrText xml:space="preserve"> PAGEREF _Toc35533838 \h </w:instrText>
        </w:r>
        <w:r w:rsidR="00EC6028">
          <w:rPr>
            <w:noProof/>
            <w:webHidden/>
          </w:rPr>
        </w:r>
        <w:r w:rsidR="00EC6028">
          <w:rPr>
            <w:noProof/>
            <w:webHidden/>
          </w:rPr>
          <w:fldChar w:fldCharType="separate"/>
        </w:r>
        <w:r w:rsidR="00EC6028">
          <w:rPr>
            <w:noProof/>
            <w:webHidden/>
          </w:rPr>
          <w:t>55</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39" w:history="1">
        <w:r w:rsidR="00EC6028" w:rsidRPr="00140CCA">
          <w:rPr>
            <w:rStyle w:val="a9"/>
            <w:rFonts w:ascii="宋体" w:hAnsi="宋体"/>
            <w:noProof/>
          </w:rPr>
          <w:t>8.10</w:t>
        </w:r>
        <w:r w:rsidR="00EC6028" w:rsidRPr="00140CCA">
          <w:rPr>
            <w:rStyle w:val="a9"/>
            <w:rFonts w:asciiTheme="majorEastAsia" w:eastAsiaTheme="majorEastAsia" w:hAnsiTheme="majorEastAsia"/>
            <w:noProof/>
          </w:rPr>
          <w:t xml:space="preserve">    </w:t>
        </w:r>
        <w:r w:rsidR="00EC6028" w:rsidRPr="00140CCA">
          <w:rPr>
            <w:rStyle w:val="a9"/>
            <w:rFonts w:ascii="宋体" w:hAnsi="宋体" w:hint="eastAsia"/>
            <w:noProof/>
          </w:rPr>
          <w:t>期末按公允价值占基金资产净值比例大小排序的前十名基金投资明细</w:t>
        </w:r>
        <w:r w:rsidR="00EC6028">
          <w:rPr>
            <w:noProof/>
            <w:webHidden/>
          </w:rPr>
          <w:tab/>
        </w:r>
        <w:r w:rsidR="00EC6028">
          <w:rPr>
            <w:noProof/>
            <w:webHidden/>
          </w:rPr>
          <w:fldChar w:fldCharType="begin"/>
        </w:r>
        <w:r w:rsidR="00EC6028">
          <w:rPr>
            <w:noProof/>
            <w:webHidden/>
          </w:rPr>
          <w:instrText xml:space="preserve"> PAGEREF _Toc35533839 \h </w:instrText>
        </w:r>
        <w:r w:rsidR="00EC6028">
          <w:rPr>
            <w:noProof/>
            <w:webHidden/>
          </w:rPr>
        </w:r>
        <w:r w:rsidR="00EC6028">
          <w:rPr>
            <w:noProof/>
            <w:webHidden/>
          </w:rPr>
          <w:fldChar w:fldCharType="separate"/>
        </w:r>
        <w:r w:rsidR="00EC6028">
          <w:rPr>
            <w:noProof/>
            <w:webHidden/>
          </w:rPr>
          <w:t>55</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40" w:history="1">
        <w:r w:rsidR="00EC6028" w:rsidRPr="00140CCA">
          <w:rPr>
            <w:rStyle w:val="a9"/>
            <w:rFonts w:ascii="宋体" w:hAnsi="宋体"/>
            <w:noProof/>
          </w:rPr>
          <w:t>8.11</w:t>
        </w:r>
        <w:r w:rsidR="00EC6028" w:rsidRPr="00140CCA">
          <w:rPr>
            <w:rStyle w:val="a9"/>
            <w:rFonts w:asciiTheme="majorEastAsia" w:eastAsiaTheme="majorEastAsia" w:hAnsiTheme="majorEastAsia"/>
            <w:noProof/>
          </w:rPr>
          <w:t xml:space="preserve">    </w:t>
        </w:r>
        <w:r w:rsidR="00EC6028" w:rsidRPr="00140CCA">
          <w:rPr>
            <w:rStyle w:val="a9"/>
            <w:rFonts w:ascii="宋体" w:hAnsi="宋体" w:hint="eastAsia"/>
            <w:noProof/>
          </w:rPr>
          <w:t>投资组合报告附注</w:t>
        </w:r>
        <w:r w:rsidR="00EC6028">
          <w:rPr>
            <w:noProof/>
            <w:webHidden/>
          </w:rPr>
          <w:tab/>
        </w:r>
        <w:r w:rsidR="00EC6028">
          <w:rPr>
            <w:noProof/>
            <w:webHidden/>
          </w:rPr>
          <w:fldChar w:fldCharType="begin"/>
        </w:r>
        <w:r w:rsidR="00EC6028">
          <w:rPr>
            <w:noProof/>
            <w:webHidden/>
          </w:rPr>
          <w:instrText xml:space="preserve"> PAGEREF _Toc35533840 \h </w:instrText>
        </w:r>
        <w:r w:rsidR="00EC6028">
          <w:rPr>
            <w:noProof/>
            <w:webHidden/>
          </w:rPr>
        </w:r>
        <w:r w:rsidR="00EC6028">
          <w:rPr>
            <w:noProof/>
            <w:webHidden/>
          </w:rPr>
          <w:fldChar w:fldCharType="separate"/>
        </w:r>
        <w:r w:rsidR="00EC6028">
          <w:rPr>
            <w:noProof/>
            <w:webHidden/>
          </w:rPr>
          <w:t>56</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41" w:history="1">
        <w:r w:rsidR="00EC6028" w:rsidRPr="00140CCA">
          <w:rPr>
            <w:rStyle w:val="a9"/>
            <w:rFonts w:ascii="宋体" w:hAnsi="宋体" w:cs="Arial"/>
            <w:noProof/>
          </w:rPr>
          <w:t xml:space="preserve">§9    </w:t>
        </w:r>
        <w:r w:rsidR="00EC6028" w:rsidRPr="00140CCA">
          <w:rPr>
            <w:rStyle w:val="a9"/>
            <w:rFonts w:ascii="宋体" w:hAnsi="宋体" w:cs="Arial" w:hint="eastAsia"/>
            <w:noProof/>
          </w:rPr>
          <w:t>基金份额持有人信息</w:t>
        </w:r>
        <w:r w:rsidR="00EC6028">
          <w:rPr>
            <w:noProof/>
            <w:webHidden/>
          </w:rPr>
          <w:tab/>
        </w:r>
        <w:r w:rsidR="00EC6028">
          <w:rPr>
            <w:noProof/>
            <w:webHidden/>
          </w:rPr>
          <w:fldChar w:fldCharType="begin"/>
        </w:r>
        <w:r w:rsidR="00EC6028">
          <w:rPr>
            <w:noProof/>
            <w:webHidden/>
          </w:rPr>
          <w:instrText xml:space="preserve"> PAGEREF _Toc35533841 \h </w:instrText>
        </w:r>
        <w:r w:rsidR="00EC6028">
          <w:rPr>
            <w:noProof/>
            <w:webHidden/>
          </w:rPr>
        </w:r>
        <w:r w:rsidR="00EC6028">
          <w:rPr>
            <w:noProof/>
            <w:webHidden/>
          </w:rPr>
          <w:fldChar w:fldCharType="separate"/>
        </w:r>
        <w:r w:rsidR="00EC6028">
          <w:rPr>
            <w:noProof/>
            <w:webHidden/>
          </w:rPr>
          <w:t>57</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42" w:history="1">
        <w:r w:rsidR="00EC6028" w:rsidRPr="00140CCA">
          <w:rPr>
            <w:rStyle w:val="a9"/>
            <w:rFonts w:asciiTheme="majorEastAsia" w:eastAsiaTheme="majorEastAsia" w:hAnsiTheme="majorEastAsia"/>
            <w:noProof/>
          </w:rPr>
          <w:t xml:space="preserve">9.1    </w:t>
        </w:r>
        <w:r w:rsidR="00EC6028" w:rsidRPr="00140CCA">
          <w:rPr>
            <w:rStyle w:val="a9"/>
            <w:rFonts w:asciiTheme="majorEastAsia" w:eastAsiaTheme="majorEastAsia" w:hAnsiTheme="majorEastAsia" w:hint="eastAsia"/>
            <w:noProof/>
          </w:rPr>
          <w:t>期末基金份额持有人户数及持有人结构</w:t>
        </w:r>
        <w:r w:rsidR="00EC6028">
          <w:rPr>
            <w:noProof/>
            <w:webHidden/>
          </w:rPr>
          <w:tab/>
        </w:r>
        <w:r w:rsidR="00EC6028">
          <w:rPr>
            <w:noProof/>
            <w:webHidden/>
          </w:rPr>
          <w:fldChar w:fldCharType="begin"/>
        </w:r>
        <w:r w:rsidR="00EC6028">
          <w:rPr>
            <w:noProof/>
            <w:webHidden/>
          </w:rPr>
          <w:instrText xml:space="preserve"> PAGEREF _Toc35533842 \h </w:instrText>
        </w:r>
        <w:r w:rsidR="00EC6028">
          <w:rPr>
            <w:noProof/>
            <w:webHidden/>
          </w:rPr>
        </w:r>
        <w:r w:rsidR="00EC6028">
          <w:rPr>
            <w:noProof/>
            <w:webHidden/>
          </w:rPr>
          <w:fldChar w:fldCharType="separate"/>
        </w:r>
        <w:r w:rsidR="00EC6028">
          <w:rPr>
            <w:noProof/>
            <w:webHidden/>
          </w:rPr>
          <w:t>57</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43" w:history="1">
        <w:r w:rsidR="00EC6028" w:rsidRPr="00140CCA">
          <w:rPr>
            <w:rStyle w:val="a9"/>
            <w:rFonts w:asciiTheme="majorEastAsia" w:eastAsiaTheme="majorEastAsia" w:hAnsiTheme="majorEastAsia"/>
            <w:noProof/>
          </w:rPr>
          <w:t xml:space="preserve">9.2    </w:t>
        </w:r>
        <w:r w:rsidR="00EC6028" w:rsidRPr="00140CCA">
          <w:rPr>
            <w:rStyle w:val="a9"/>
            <w:rFonts w:asciiTheme="majorEastAsia" w:eastAsiaTheme="majorEastAsia" w:hAnsiTheme="majorEastAsia" w:hint="eastAsia"/>
            <w:noProof/>
          </w:rPr>
          <w:t>期末上市基金前十名持有人</w:t>
        </w:r>
        <w:r w:rsidR="00EC6028">
          <w:rPr>
            <w:noProof/>
            <w:webHidden/>
          </w:rPr>
          <w:tab/>
        </w:r>
        <w:r w:rsidR="00EC6028">
          <w:rPr>
            <w:noProof/>
            <w:webHidden/>
          </w:rPr>
          <w:fldChar w:fldCharType="begin"/>
        </w:r>
        <w:r w:rsidR="00EC6028">
          <w:rPr>
            <w:noProof/>
            <w:webHidden/>
          </w:rPr>
          <w:instrText xml:space="preserve"> PAGEREF _Toc35533843 \h </w:instrText>
        </w:r>
        <w:r w:rsidR="00EC6028">
          <w:rPr>
            <w:noProof/>
            <w:webHidden/>
          </w:rPr>
        </w:r>
        <w:r w:rsidR="00EC6028">
          <w:rPr>
            <w:noProof/>
            <w:webHidden/>
          </w:rPr>
          <w:fldChar w:fldCharType="separate"/>
        </w:r>
        <w:r w:rsidR="00EC6028">
          <w:rPr>
            <w:noProof/>
            <w:webHidden/>
          </w:rPr>
          <w:t>58</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44" w:history="1">
        <w:r w:rsidR="00EC6028" w:rsidRPr="00140CCA">
          <w:rPr>
            <w:rStyle w:val="a9"/>
            <w:rFonts w:asciiTheme="majorEastAsia" w:eastAsiaTheme="majorEastAsia" w:hAnsiTheme="majorEastAsia"/>
            <w:noProof/>
          </w:rPr>
          <w:t xml:space="preserve">9.3    </w:t>
        </w:r>
        <w:r w:rsidR="00EC6028" w:rsidRPr="00140CCA">
          <w:rPr>
            <w:rStyle w:val="a9"/>
            <w:rFonts w:asciiTheme="majorEastAsia" w:eastAsiaTheme="majorEastAsia" w:hAnsiTheme="majorEastAsia" w:hint="eastAsia"/>
            <w:noProof/>
          </w:rPr>
          <w:t>期末基金管理人的从业人员持有本基金的情况</w:t>
        </w:r>
        <w:r w:rsidR="00EC6028">
          <w:rPr>
            <w:noProof/>
            <w:webHidden/>
          </w:rPr>
          <w:tab/>
        </w:r>
        <w:r w:rsidR="00EC6028">
          <w:rPr>
            <w:noProof/>
            <w:webHidden/>
          </w:rPr>
          <w:fldChar w:fldCharType="begin"/>
        </w:r>
        <w:r w:rsidR="00EC6028">
          <w:rPr>
            <w:noProof/>
            <w:webHidden/>
          </w:rPr>
          <w:instrText xml:space="preserve"> PAGEREF _Toc35533844 \h </w:instrText>
        </w:r>
        <w:r w:rsidR="00EC6028">
          <w:rPr>
            <w:noProof/>
            <w:webHidden/>
          </w:rPr>
        </w:r>
        <w:r w:rsidR="00EC6028">
          <w:rPr>
            <w:noProof/>
            <w:webHidden/>
          </w:rPr>
          <w:fldChar w:fldCharType="separate"/>
        </w:r>
        <w:r w:rsidR="00EC6028">
          <w:rPr>
            <w:noProof/>
            <w:webHidden/>
          </w:rPr>
          <w:t>58</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45" w:history="1">
        <w:r w:rsidR="00EC6028" w:rsidRPr="00140CCA">
          <w:rPr>
            <w:rStyle w:val="a9"/>
            <w:rFonts w:asciiTheme="majorEastAsia" w:eastAsiaTheme="majorEastAsia" w:hAnsiTheme="majorEastAsia"/>
            <w:noProof/>
          </w:rPr>
          <w:t xml:space="preserve">9.4    </w:t>
        </w:r>
        <w:r w:rsidR="00EC6028" w:rsidRPr="00140CCA">
          <w:rPr>
            <w:rStyle w:val="a9"/>
            <w:rFonts w:asciiTheme="majorEastAsia" w:eastAsiaTheme="majorEastAsia" w:hAnsiTheme="majorEastAsia" w:hint="eastAsia"/>
            <w:noProof/>
          </w:rPr>
          <w:t>期末基金管理人的从业人员持有本开放式基金份额总量区间的情况</w:t>
        </w:r>
        <w:r w:rsidR="00EC6028">
          <w:rPr>
            <w:noProof/>
            <w:webHidden/>
          </w:rPr>
          <w:tab/>
        </w:r>
        <w:r w:rsidR="00EC6028">
          <w:rPr>
            <w:noProof/>
            <w:webHidden/>
          </w:rPr>
          <w:fldChar w:fldCharType="begin"/>
        </w:r>
        <w:r w:rsidR="00EC6028">
          <w:rPr>
            <w:noProof/>
            <w:webHidden/>
          </w:rPr>
          <w:instrText xml:space="preserve"> PAGEREF _Toc35533845 \h </w:instrText>
        </w:r>
        <w:r w:rsidR="00EC6028">
          <w:rPr>
            <w:noProof/>
            <w:webHidden/>
          </w:rPr>
        </w:r>
        <w:r w:rsidR="00EC6028">
          <w:rPr>
            <w:noProof/>
            <w:webHidden/>
          </w:rPr>
          <w:fldChar w:fldCharType="separate"/>
        </w:r>
        <w:r w:rsidR="00EC6028">
          <w:rPr>
            <w:noProof/>
            <w:webHidden/>
          </w:rPr>
          <w:t>58</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46" w:history="1">
        <w:r w:rsidR="00EC6028" w:rsidRPr="00140CCA">
          <w:rPr>
            <w:rStyle w:val="a9"/>
            <w:rFonts w:ascii="宋体" w:hAnsi="宋体" w:cs="Arial"/>
            <w:noProof/>
          </w:rPr>
          <w:t xml:space="preserve">§10   </w:t>
        </w:r>
        <w:r w:rsidR="00EC6028" w:rsidRPr="00140CCA">
          <w:rPr>
            <w:rStyle w:val="a9"/>
            <w:rFonts w:ascii="宋体" w:hAnsi="宋体" w:cs="Arial" w:hint="eastAsia"/>
            <w:noProof/>
          </w:rPr>
          <w:t>开放式基金份额变动</w:t>
        </w:r>
        <w:r w:rsidR="00EC6028">
          <w:rPr>
            <w:noProof/>
            <w:webHidden/>
          </w:rPr>
          <w:tab/>
        </w:r>
        <w:r w:rsidR="00EC6028">
          <w:rPr>
            <w:noProof/>
            <w:webHidden/>
          </w:rPr>
          <w:fldChar w:fldCharType="begin"/>
        </w:r>
        <w:r w:rsidR="00EC6028">
          <w:rPr>
            <w:noProof/>
            <w:webHidden/>
          </w:rPr>
          <w:instrText xml:space="preserve"> PAGEREF _Toc35533846 \h </w:instrText>
        </w:r>
        <w:r w:rsidR="00EC6028">
          <w:rPr>
            <w:noProof/>
            <w:webHidden/>
          </w:rPr>
        </w:r>
        <w:r w:rsidR="00EC6028">
          <w:rPr>
            <w:noProof/>
            <w:webHidden/>
          </w:rPr>
          <w:fldChar w:fldCharType="separate"/>
        </w:r>
        <w:r w:rsidR="00EC6028">
          <w:rPr>
            <w:noProof/>
            <w:webHidden/>
          </w:rPr>
          <w:t>59</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47" w:history="1">
        <w:r w:rsidR="00EC6028" w:rsidRPr="00140CCA">
          <w:rPr>
            <w:rStyle w:val="a9"/>
            <w:rFonts w:ascii="宋体" w:hAnsi="宋体" w:cs="Arial"/>
            <w:noProof/>
          </w:rPr>
          <w:t xml:space="preserve">§11   </w:t>
        </w:r>
        <w:r w:rsidR="00EC6028" w:rsidRPr="00140CCA">
          <w:rPr>
            <w:rStyle w:val="a9"/>
            <w:rFonts w:ascii="宋体" w:hAnsi="宋体" w:cs="Arial" w:hint="eastAsia"/>
            <w:noProof/>
          </w:rPr>
          <w:t>重大事件揭示</w:t>
        </w:r>
        <w:r w:rsidR="00EC6028">
          <w:rPr>
            <w:noProof/>
            <w:webHidden/>
          </w:rPr>
          <w:tab/>
        </w:r>
        <w:r w:rsidR="00EC6028">
          <w:rPr>
            <w:noProof/>
            <w:webHidden/>
          </w:rPr>
          <w:fldChar w:fldCharType="begin"/>
        </w:r>
        <w:r w:rsidR="00EC6028">
          <w:rPr>
            <w:noProof/>
            <w:webHidden/>
          </w:rPr>
          <w:instrText xml:space="preserve"> PAGEREF _Toc35533847 \h </w:instrText>
        </w:r>
        <w:r w:rsidR="00EC6028">
          <w:rPr>
            <w:noProof/>
            <w:webHidden/>
          </w:rPr>
        </w:r>
        <w:r w:rsidR="00EC6028">
          <w:rPr>
            <w:noProof/>
            <w:webHidden/>
          </w:rPr>
          <w:fldChar w:fldCharType="separate"/>
        </w:r>
        <w:r w:rsidR="00EC6028">
          <w:rPr>
            <w:noProof/>
            <w:webHidden/>
          </w:rPr>
          <w:t>59</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48" w:history="1">
        <w:r w:rsidR="00EC6028" w:rsidRPr="00140CCA">
          <w:rPr>
            <w:rStyle w:val="a9"/>
            <w:rFonts w:asciiTheme="majorEastAsia" w:eastAsiaTheme="majorEastAsia" w:hAnsiTheme="majorEastAsia"/>
            <w:noProof/>
          </w:rPr>
          <w:t xml:space="preserve">11.1    </w:t>
        </w:r>
        <w:r w:rsidR="00EC6028" w:rsidRPr="00140CCA">
          <w:rPr>
            <w:rStyle w:val="a9"/>
            <w:rFonts w:asciiTheme="majorEastAsia" w:eastAsiaTheme="majorEastAsia" w:hAnsiTheme="majorEastAsia" w:hint="eastAsia"/>
            <w:noProof/>
          </w:rPr>
          <w:t>基金份额持有人大会决议</w:t>
        </w:r>
        <w:r w:rsidR="00EC6028">
          <w:rPr>
            <w:noProof/>
            <w:webHidden/>
          </w:rPr>
          <w:tab/>
        </w:r>
        <w:r w:rsidR="00EC6028">
          <w:rPr>
            <w:noProof/>
            <w:webHidden/>
          </w:rPr>
          <w:fldChar w:fldCharType="begin"/>
        </w:r>
        <w:r w:rsidR="00EC6028">
          <w:rPr>
            <w:noProof/>
            <w:webHidden/>
          </w:rPr>
          <w:instrText xml:space="preserve"> PAGEREF _Toc35533848 \h </w:instrText>
        </w:r>
        <w:r w:rsidR="00EC6028">
          <w:rPr>
            <w:noProof/>
            <w:webHidden/>
          </w:rPr>
        </w:r>
        <w:r w:rsidR="00EC6028">
          <w:rPr>
            <w:noProof/>
            <w:webHidden/>
          </w:rPr>
          <w:fldChar w:fldCharType="separate"/>
        </w:r>
        <w:r w:rsidR="00EC6028">
          <w:rPr>
            <w:noProof/>
            <w:webHidden/>
          </w:rPr>
          <w:t>59</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49" w:history="1">
        <w:r w:rsidR="00EC6028" w:rsidRPr="00140CCA">
          <w:rPr>
            <w:rStyle w:val="a9"/>
            <w:rFonts w:asciiTheme="majorEastAsia" w:eastAsiaTheme="majorEastAsia" w:hAnsiTheme="majorEastAsia"/>
            <w:noProof/>
          </w:rPr>
          <w:t xml:space="preserve">11.2    </w:t>
        </w:r>
        <w:r w:rsidR="00EC6028" w:rsidRPr="00140CCA">
          <w:rPr>
            <w:rStyle w:val="a9"/>
            <w:rFonts w:asciiTheme="majorEastAsia" w:eastAsiaTheme="majorEastAsia" w:hAnsiTheme="majorEastAsia" w:hint="eastAsia"/>
            <w:noProof/>
          </w:rPr>
          <w:t>基金管理人、基金托管人的专门基金托管部门的重大人事变动</w:t>
        </w:r>
        <w:r w:rsidR="00EC6028">
          <w:rPr>
            <w:noProof/>
            <w:webHidden/>
          </w:rPr>
          <w:tab/>
        </w:r>
        <w:r w:rsidR="00EC6028">
          <w:rPr>
            <w:noProof/>
            <w:webHidden/>
          </w:rPr>
          <w:fldChar w:fldCharType="begin"/>
        </w:r>
        <w:r w:rsidR="00EC6028">
          <w:rPr>
            <w:noProof/>
            <w:webHidden/>
          </w:rPr>
          <w:instrText xml:space="preserve"> PAGEREF _Toc35533849 \h </w:instrText>
        </w:r>
        <w:r w:rsidR="00EC6028">
          <w:rPr>
            <w:noProof/>
            <w:webHidden/>
          </w:rPr>
        </w:r>
        <w:r w:rsidR="00EC6028">
          <w:rPr>
            <w:noProof/>
            <w:webHidden/>
          </w:rPr>
          <w:fldChar w:fldCharType="separate"/>
        </w:r>
        <w:r w:rsidR="00EC6028">
          <w:rPr>
            <w:noProof/>
            <w:webHidden/>
          </w:rPr>
          <w:t>59</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50" w:history="1">
        <w:r w:rsidR="00EC6028" w:rsidRPr="00140CCA">
          <w:rPr>
            <w:rStyle w:val="a9"/>
            <w:rFonts w:asciiTheme="majorEastAsia" w:eastAsiaTheme="majorEastAsia" w:hAnsiTheme="majorEastAsia"/>
            <w:noProof/>
          </w:rPr>
          <w:t xml:space="preserve">11.3    </w:t>
        </w:r>
        <w:r w:rsidR="00EC6028" w:rsidRPr="00140CCA">
          <w:rPr>
            <w:rStyle w:val="a9"/>
            <w:rFonts w:asciiTheme="majorEastAsia" w:eastAsiaTheme="majorEastAsia" w:hAnsiTheme="majorEastAsia" w:hint="eastAsia"/>
            <w:noProof/>
          </w:rPr>
          <w:t>涉及基金管理人、基金财产、基金托管业务的诉讼</w:t>
        </w:r>
        <w:r w:rsidR="00EC6028">
          <w:rPr>
            <w:noProof/>
            <w:webHidden/>
          </w:rPr>
          <w:tab/>
        </w:r>
        <w:r w:rsidR="00EC6028">
          <w:rPr>
            <w:noProof/>
            <w:webHidden/>
          </w:rPr>
          <w:fldChar w:fldCharType="begin"/>
        </w:r>
        <w:r w:rsidR="00EC6028">
          <w:rPr>
            <w:noProof/>
            <w:webHidden/>
          </w:rPr>
          <w:instrText xml:space="preserve"> PAGEREF _Toc35533850 \h </w:instrText>
        </w:r>
        <w:r w:rsidR="00EC6028">
          <w:rPr>
            <w:noProof/>
            <w:webHidden/>
          </w:rPr>
        </w:r>
        <w:r w:rsidR="00EC6028">
          <w:rPr>
            <w:noProof/>
            <w:webHidden/>
          </w:rPr>
          <w:fldChar w:fldCharType="separate"/>
        </w:r>
        <w:r w:rsidR="00EC6028">
          <w:rPr>
            <w:noProof/>
            <w:webHidden/>
          </w:rPr>
          <w:t>59</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51" w:history="1">
        <w:r w:rsidR="00EC6028" w:rsidRPr="00140CCA">
          <w:rPr>
            <w:rStyle w:val="a9"/>
            <w:rFonts w:asciiTheme="majorEastAsia" w:eastAsiaTheme="majorEastAsia" w:hAnsiTheme="majorEastAsia"/>
            <w:noProof/>
          </w:rPr>
          <w:t xml:space="preserve">11.4    </w:t>
        </w:r>
        <w:r w:rsidR="00EC6028" w:rsidRPr="00140CCA">
          <w:rPr>
            <w:rStyle w:val="a9"/>
            <w:rFonts w:asciiTheme="majorEastAsia" w:eastAsiaTheme="majorEastAsia" w:hAnsiTheme="majorEastAsia" w:hint="eastAsia"/>
            <w:noProof/>
          </w:rPr>
          <w:t>基金投资策略的改变</w:t>
        </w:r>
        <w:r w:rsidR="00EC6028">
          <w:rPr>
            <w:noProof/>
            <w:webHidden/>
          </w:rPr>
          <w:tab/>
        </w:r>
        <w:r w:rsidR="00EC6028">
          <w:rPr>
            <w:noProof/>
            <w:webHidden/>
          </w:rPr>
          <w:fldChar w:fldCharType="begin"/>
        </w:r>
        <w:r w:rsidR="00EC6028">
          <w:rPr>
            <w:noProof/>
            <w:webHidden/>
          </w:rPr>
          <w:instrText xml:space="preserve"> PAGEREF _Toc35533851 \h </w:instrText>
        </w:r>
        <w:r w:rsidR="00EC6028">
          <w:rPr>
            <w:noProof/>
            <w:webHidden/>
          </w:rPr>
        </w:r>
        <w:r w:rsidR="00EC6028">
          <w:rPr>
            <w:noProof/>
            <w:webHidden/>
          </w:rPr>
          <w:fldChar w:fldCharType="separate"/>
        </w:r>
        <w:r w:rsidR="00EC6028">
          <w:rPr>
            <w:noProof/>
            <w:webHidden/>
          </w:rPr>
          <w:t>60</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52" w:history="1">
        <w:r w:rsidR="00EC6028" w:rsidRPr="00140CCA">
          <w:rPr>
            <w:rStyle w:val="a9"/>
            <w:rFonts w:asciiTheme="majorEastAsia" w:eastAsiaTheme="majorEastAsia" w:hAnsiTheme="majorEastAsia"/>
            <w:noProof/>
          </w:rPr>
          <w:t xml:space="preserve">11.5    </w:t>
        </w:r>
        <w:r w:rsidR="00EC6028" w:rsidRPr="00140CCA">
          <w:rPr>
            <w:rStyle w:val="a9"/>
            <w:rFonts w:asciiTheme="majorEastAsia" w:eastAsiaTheme="majorEastAsia" w:hAnsiTheme="majorEastAsia" w:hint="eastAsia"/>
            <w:noProof/>
          </w:rPr>
          <w:t>为基金进行审计的会计师事务所情况</w:t>
        </w:r>
        <w:r w:rsidR="00EC6028">
          <w:rPr>
            <w:noProof/>
            <w:webHidden/>
          </w:rPr>
          <w:tab/>
        </w:r>
        <w:r w:rsidR="00EC6028">
          <w:rPr>
            <w:noProof/>
            <w:webHidden/>
          </w:rPr>
          <w:fldChar w:fldCharType="begin"/>
        </w:r>
        <w:r w:rsidR="00EC6028">
          <w:rPr>
            <w:noProof/>
            <w:webHidden/>
          </w:rPr>
          <w:instrText xml:space="preserve"> PAGEREF _Toc35533852 \h </w:instrText>
        </w:r>
        <w:r w:rsidR="00EC6028">
          <w:rPr>
            <w:noProof/>
            <w:webHidden/>
          </w:rPr>
        </w:r>
        <w:r w:rsidR="00EC6028">
          <w:rPr>
            <w:noProof/>
            <w:webHidden/>
          </w:rPr>
          <w:fldChar w:fldCharType="separate"/>
        </w:r>
        <w:r w:rsidR="00EC6028">
          <w:rPr>
            <w:noProof/>
            <w:webHidden/>
          </w:rPr>
          <w:t>60</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53" w:history="1">
        <w:r w:rsidR="00EC6028" w:rsidRPr="00140CCA">
          <w:rPr>
            <w:rStyle w:val="a9"/>
            <w:rFonts w:asciiTheme="majorEastAsia" w:eastAsiaTheme="majorEastAsia" w:hAnsiTheme="majorEastAsia"/>
            <w:noProof/>
          </w:rPr>
          <w:t xml:space="preserve">11.6    </w:t>
        </w:r>
        <w:r w:rsidR="00EC6028" w:rsidRPr="00140CCA">
          <w:rPr>
            <w:rStyle w:val="a9"/>
            <w:rFonts w:asciiTheme="majorEastAsia" w:eastAsiaTheme="majorEastAsia" w:hAnsiTheme="majorEastAsia" w:hint="eastAsia"/>
            <w:noProof/>
          </w:rPr>
          <w:t>管理人、托管人及其高级管理人员受稽查或处罚等情况</w:t>
        </w:r>
        <w:r w:rsidR="00EC6028">
          <w:rPr>
            <w:noProof/>
            <w:webHidden/>
          </w:rPr>
          <w:tab/>
        </w:r>
        <w:r w:rsidR="00EC6028">
          <w:rPr>
            <w:noProof/>
            <w:webHidden/>
          </w:rPr>
          <w:fldChar w:fldCharType="begin"/>
        </w:r>
        <w:r w:rsidR="00EC6028">
          <w:rPr>
            <w:noProof/>
            <w:webHidden/>
          </w:rPr>
          <w:instrText xml:space="preserve"> PAGEREF _Toc35533853 \h </w:instrText>
        </w:r>
        <w:r w:rsidR="00EC6028">
          <w:rPr>
            <w:noProof/>
            <w:webHidden/>
          </w:rPr>
        </w:r>
        <w:r w:rsidR="00EC6028">
          <w:rPr>
            <w:noProof/>
            <w:webHidden/>
          </w:rPr>
          <w:fldChar w:fldCharType="separate"/>
        </w:r>
        <w:r w:rsidR="00EC6028">
          <w:rPr>
            <w:noProof/>
            <w:webHidden/>
          </w:rPr>
          <w:t>60</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54" w:history="1">
        <w:r w:rsidR="00EC6028" w:rsidRPr="00140CCA">
          <w:rPr>
            <w:rStyle w:val="a9"/>
            <w:rFonts w:asciiTheme="majorEastAsia" w:eastAsiaTheme="majorEastAsia" w:hAnsiTheme="majorEastAsia"/>
            <w:noProof/>
          </w:rPr>
          <w:t xml:space="preserve">11.7    </w:t>
        </w:r>
        <w:r w:rsidR="00EC6028" w:rsidRPr="00140CCA">
          <w:rPr>
            <w:rStyle w:val="a9"/>
            <w:rFonts w:asciiTheme="majorEastAsia" w:eastAsiaTheme="majorEastAsia" w:hAnsiTheme="majorEastAsia" w:hint="eastAsia"/>
            <w:noProof/>
          </w:rPr>
          <w:t>基金租用证券公司交易单元的有关情况</w:t>
        </w:r>
        <w:r w:rsidR="00EC6028">
          <w:rPr>
            <w:noProof/>
            <w:webHidden/>
          </w:rPr>
          <w:tab/>
        </w:r>
        <w:r w:rsidR="00EC6028">
          <w:rPr>
            <w:noProof/>
            <w:webHidden/>
          </w:rPr>
          <w:fldChar w:fldCharType="begin"/>
        </w:r>
        <w:r w:rsidR="00EC6028">
          <w:rPr>
            <w:noProof/>
            <w:webHidden/>
          </w:rPr>
          <w:instrText xml:space="preserve"> PAGEREF _Toc35533854 \h </w:instrText>
        </w:r>
        <w:r w:rsidR="00EC6028">
          <w:rPr>
            <w:noProof/>
            <w:webHidden/>
          </w:rPr>
        </w:r>
        <w:r w:rsidR="00EC6028">
          <w:rPr>
            <w:noProof/>
            <w:webHidden/>
          </w:rPr>
          <w:fldChar w:fldCharType="separate"/>
        </w:r>
        <w:r w:rsidR="00EC6028">
          <w:rPr>
            <w:noProof/>
            <w:webHidden/>
          </w:rPr>
          <w:t>60</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55" w:history="1">
        <w:r w:rsidR="00EC6028" w:rsidRPr="00140CCA">
          <w:rPr>
            <w:rStyle w:val="a9"/>
            <w:rFonts w:asciiTheme="majorEastAsia" w:eastAsiaTheme="majorEastAsia" w:hAnsiTheme="majorEastAsia"/>
            <w:noProof/>
          </w:rPr>
          <w:t xml:space="preserve">11.8    </w:t>
        </w:r>
        <w:r w:rsidR="00EC6028" w:rsidRPr="00140CCA">
          <w:rPr>
            <w:rStyle w:val="a9"/>
            <w:rFonts w:asciiTheme="majorEastAsia" w:eastAsiaTheme="majorEastAsia" w:hAnsiTheme="majorEastAsia" w:hint="eastAsia"/>
            <w:noProof/>
          </w:rPr>
          <w:t>其他重大事件</w:t>
        </w:r>
        <w:r w:rsidR="00EC6028">
          <w:rPr>
            <w:noProof/>
            <w:webHidden/>
          </w:rPr>
          <w:tab/>
        </w:r>
        <w:r w:rsidR="00EC6028">
          <w:rPr>
            <w:noProof/>
            <w:webHidden/>
          </w:rPr>
          <w:fldChar w:fldCharType="begin"/>
        </w:r>
        <w:r w:rsidR="00EC6028">
          <w:rPr>
            <w:noProof/>
            <w:webHidden/>
          </w:rPr>
          <w:instrText xml:space="preserve"> PAGEREF _Toc35533855 \h </w:instrText>
        </w:r>
        <w:r w:rsidR="00EC6028">
          <w:rPr>
            <w:noProof/>
            <w:webHidden/>
          </w:rPr>
        </w:r>
        <w:r w:rsidR="00EC6028">
          <w:rPr>
            <w:noProof/>
            <w:webHidden/>
          </w:rPr>
          <w:fldChar w:fldCharType="separate"/>
        </w:r>
        <w:r w:rsidR="00EC6028">
          <w:rPr>
            <w:noProof/>
            <w:webHidden/>
          </w:rPr>
          <w:t>62</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56" w:history="1">
        <w:r w:rsidR="00EC6028" w:rsidRPr="00140CCA">
          <w:rPr>
            <w:rStyle w:val="a9"/>
            <w:rFonts w:ascii="宋体" w:hAnsi="宋体" w:cs="Arial"/>
            <w:noProof/>
          </w:rPr>
          <w:t xml:space="preserve">§12   </w:t>
        </w:r>
        <w:r w:rsidR="00EC6028" w:rsidRPr="00140CCA">
          <w:rPr>
            <w:rStyle w:val="a9"/>
            <w:rFonts w:ascii="宋体" w:hAnsi="宋体" w:cs="Arial" w:hint="eastAsia"/>
            <w:noProof/>
          </w:rPr>
          <w:t>备查文件目录</w:t>
        </w:r>
        <w:r w:rsidR="00EC6028">
          <w:rPr>
            <w:noProof/>
            <w:webHidden/>
          </w:rPr>
          <w:tab/>
        </w:r>
        <w:r w:rsidR="00EC6028">
          <w:rPr>
            <w:noProof/>
            <w:webHidden/>
          </w:rPr>
          <w:fldChar w:fldCharType="begin"/>
        </w:r>
        <w:r w:rsidR="00EC6028">
          <w:rPr>
            <w:noProof/>
            <w:webHidden/>
          </w:rPr>
          <w:instrText xml:space="preserve"> PAGEREF _Toc35533856 \h </w:instrText>
        </w:r>
        <w:r w:rsidR="00EC6028">
          <w:rPr>
            <w:noProof/>
            <w:webHidden/>
          </w:rPr>
        </w:r>
        <w:r w:rsidR="00EC6028">
          <w:rPr>
            <w:noProof/>
            <w:webHidden/>
          </w:rPr>
          <w:fldChar w:fldCharType="separate"/>
        </w:r>
        <w:r w:rsidR="00EC6028">
          <w:rPr>
            <w:noProof/>
            <w:webHidden/>
          </w:rPr>
          <w:t>66</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57" w:history="1">
        <w:r w:rsidR="00EC6028" w:rsidRPr="00140CCA">
          <w:rPr>
            <w:rStyle w:val="a9"/>
            <w:rFonts w:asciiTheme="majorEastAsia" w:eastAsiaTheme="majorEastAsia" w:hAnsiTheme="majorEastAsia"/>
            <w:noProof/>
          </w:rPr>
          <w:t xml:space="preserve">12.1    </w:t>
        </w:r>
        <w:r w:rsidR="00EC6028" w:rsidRPr="00140CCA">
          <w:rPr>
            <w:rStyle w:val="a9"/>
            <w:rFonts w:asciiTheme="majorEastAsia" w:eastAsiaTheme="majorEastAsia" w:hAnsiTheme="majorEastAsia" w:hint="eastAsia"/>
            <w:noProof/>
          </w:rPr>
          <w:t>备查文件目录</w:t>
        </w:r>
        <w:r w:rsidR="00EC6028">
          <w:rPr>
            <w:noProof/>
            <w:webHidden/>
          </w:rPr>
          <w:tab/>
        </w:r>
        <w:r w:rsidR="00EC6028">
          <w:rPr>
            <w:noProof/>
            <w:webHidden/>
          </w:rPr>
          <w:fldChar w:fldCharType="begin"/>
        </w:r>
        <w:r w:rsidR="00EC6028">
          <w:rPr>
            <w:noProof/>
            <w:webHidden/>
          </w:rPr>
          <w:instrText xml:space="preserve"> PAGEREF _Toc35533857 \h </w:instrText>
        </w:r>
        <w:r w:rsidR="00EC6028">
          <w:rPr>
            <w:noProof/>
            <w:webHidden/>
          </w:rPr>
        </w:r>
        <w:r w:rsidR="00EC6028">
          <w:rPr>
            <w:noProof/>
            <w:webHidden/>
          </w:rPr>
          <w:fldChar w:fldCharType="separate"/>
        </w:r>
        <w:r w:rsidR="00EC6028">
          <w:rPr>
            <w:noProof/>
            <w:webHidden/>
          </w:rPr>
          <w:t>66</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58" w:history="1">
        <w:r w:rsidR="00EC6028" w:rsidRPr="00140CCA">
          <w:rPr>
            <w:rStyle w:val="a9"/>
            <w:rFonts w:asciiTheme="majorEastAsia" w:eastAsiaTheme="majorEastAsia" w:hAnsiTheme="majorEastAsia"/>
            <w:noProof/>
          </w:rPr>
          <w:t xml:space="preserve">12.2    </w:t>
        </w:r>
        <w:r w:rsidR="00EC6028" w:rsidRPr="00140CCA">
          <w:rPr>
            <w:rStyle w:val="a9"/>
            <w:rFonts w:asciiTheme="majorEastAsia" w:eastAsiaTheme="majorEastAsia" w:hAnsiTheme="majorEastAsia" w:hint="eastAsia"/>
            <w:noProof/>
          </w:rPr>
          <w:t>存放地点</w:t>
        </w:r>
        <w:r w:rsidR="00EC6028">
          <w:rPr>
            <w:noProof/>
            <w:webHidden/>
          </w:rPr>
          <w:tab/>
        </w:r>
        <w:r w:rsidR="00EC6028">
          <w:rPr>
            <w:noProof/>
            <w:webHidden/>
          </w:rPr>
          <w:fldChar w:fldCharType="begin"/>
        </w:r>
        <w:r w:rsidR="00EC6028">
          <w:rPr>
            <w:noProof/>
            <w:webHidden/>
          </w:rPr>
          <w:instrText xml:space="preserve"> PAGEREF _Toc35533858 \h </w:instrText>
        </w:r>
        <w:r w:rsidR="00EC6028">
          <w:rPr>
            <w:noProof/>
            <w:webHidden/>
          </w:rPr>
        </w:r>
        <w:r w:rsidR="00EC6028">
          <w:rPr>
            <w:noProof/>
            <w:webHidden/>
          </w:rPr>
          <w:fldChar w:fldCharType="separate"/>
        </w:r>
        <w:r w:rsidR="00EC6028">
          <w:rPr>
            <w:noProof/>
            <w:webHidden/>
          </w:rPr>
          <w:t>66</w:t>
        </w:r>
        <w:r w:rsidR="00EC6028">
          <w:rPr>
            <w:noProof/>
            <w:webHidden/>
          </w:rPr>
          <w:fldChar w:fldCharType="end"/>
        </w:r>
      </w:hyperlink>
    </w:p>
    <w:p w:rsidR="00EC6028" w:rsidRDefault="00322EDF">
      <w:pPr>
        <w:pStyle w:val="22"/>
        <w:rPr>
          <w:rFonts w:asciiTheme="minorHAnsi" w:eastAsiaTheme="minorEastAsia" w:hAnsiTheme="minorHAnsi" w:cstheme="minorBidi"/>
          <w:noProof/>
          <w:kern w:val="2"/>
          <w:szCs w:val="22"/>
        </w:rPr>
      </w:pPr>
      <w:hyperlink w:anchor="_Toc35533859" w:history="1">
        <w:r w:rsidR="00EC6028" w:rsidRPr="00140CCA">
          <w:rPr>
            <w:rStyle w:val="a9"/>
            <w:rFonts w:asciiTheme="majorEastAsia" w:eastAsiaTheme="majorEastAsia" w:hAnsiTheme="majorEastAsia"/>
            <w:noProof/>
          </w:rPr>
          <w:t xml:space="preserve">12.3    </w:t>
        </w:r>
        <w:r w:rsidR="00EC6028" w:rsidRPr="00140CCA">
          <w:rPr>
            <w:rStyle w:val="a9"/>
            <w:rFonts w:asciiTheme="majorEastAsia" w:eastAsiaTheme="majorEastAsia" w:hAnsiTheme="majorEastAsia" w:hint="eastAsia"/>
            <w:noProof/>
          </w:rPr>
          <w:t>查阅方式</w:t>
        </w:r>
        <w:r w:rsidR="00EC6028">
          <w:rPr>
            <w:noProof/>
            <w:webHidden/>
          </w:rPr>
          <w:tab/>
        </w:r>
        <w:r w:rsidR="00EC6028">
          <w:rPr>
            <w:noProof/>
            <w:webHidden/>
          </w:rPr>
          <w:fldChar w:fldCharType="begin"/>
        </w:r>
        <w:r w:rsidR="00EC6028">
          <w:rPr>
            <w:noProof/>
            <w:webHidden/>
          </w:rPr>
          <w:instrText xml:space="preserve"> PAGEREF _Toc35533859 \h </w:instrText>
        </w:r>
        <w:r w:rsidR="00EC6028">
          <w:rPr>
            <w:noProof/>
            <w:webHidden/>
          </w:rPr>
        </w:r>
        <w:r w:rsidR="00EC6028">
          <w:rPr>
            <w:noProof/>
            <w:webHidden/>
          </w:rPr>
          <w:fldChar w:fldCharType="separate"/>
        </w:r>
        <w:r w:rsidR="00EC6028">
          <w:rPr>
            <w:noProof/>
            <w:webHidden/>
          </w:rPr>
          <w:t>66</w:t>
        </w:r>
        <w:r w:rsidR="00EC6028">
          <w:rPr>
            <w:noProof/>
            <w:webHidden/>
          </w:rPr>
          <w:fldChar w:fldCharType="end"/>
        </w:r>
      </w:hyperlink>
    </w:p>
    <w:p w:rsidR="007B62FA" w:rsidRPr="006C30B7" w:rsidRDefault="00953237" w:rsidP="00FC7610">
      <w:pPr>
        <w:pStyle w:val="22"/>
        <w:ind w:leftChars="0" w:left="0" w:firstLineChars="200" w:firstLine="420"/>
        <w:jc w:val="left"/>
        <w:rPr>
          <w:rFonts w:eastAsiaTheme="minorEastAsia"/>
          <w:color w:val="000000" w:themeColor="text1"/>
        </w:rPr>
      </w:pPr>
      <w:r w:rsidRPr="00B14D91">
        <w:rPr>
          <w:rFonts w:eastAsiaTheme="minorEastAsia"/>
          <w:color w:val="000000" w:themeColor="text1"/>
        </w:rPr>
        <w:fldChar w:fldCharType="end"/>
      </w:r>
      <w:r w:rsidR="006C30B7" w:rsidRPr="00E60957">
        <w:rPr>
          <w:rFonts w:eastAsiaTheme="minorEastAsia"/>
          <w:color w:val="000000" w:themeColor="text1"/>
        </w:rPr>
        <w:br w:type="page"/>
      </w:r>
    </w:p>
    <w:p w:rsidR="007B62FA" w:rsidRPr="00AB6698" w:rsidRDefault="007B62FA" w:rsidP="007E24F2">
      <w:pPr>
        <w:pStyle w:val="20"/>
        <w:tabs>
          <w:tab w:val="num" w:pos="425"/>
        </w:tabs>
        <w:spacing w:beforeLines="100" w:before="312" w:afterLines="100" w:after="312"/>
        <w:ind w:left="425" w:hanging="425"/>
        <w:jc w:val="center"/>
        <w:rPr>
          <w:rFonts w:ascii="宋体" w:hAnsi="宋体" w:cs="Arial"/>
          <w:color w:val="000000"/>
          <w:sz w:val="21"/>
          <w:szCs w:val="21"/>
        </w:rPr>
      </w:pPr>
      <w:bookmarkStart w:id="24" w:name="_Toc225498244"/>
      <w:bookmarkStart w:id="25" w:name="_Toc352255960"/>
      <w:bookmarkStart w:id="26" w:name="_Toc352256028"/>
      <w:bookmarkStart w:id="27" w:name="_Toc352331206"/>
      <w:bookmarkStart w:id="28" w:name="_Toc362423984"/>
      <w:bookmarkStart w:id="29" w:name="_Toc35533794"/>
      <w:r w:rsidRPr="00AB6698">
        <w:rPr>
          <w:rFonts w:ascii="宋体" w:hAnsi="宋体" w:cs="Arial"/>
          <w:color w:val="000000"/>
          <w:sz w:val="21"/>
          <w:szCs w:val="21"/>
        </w:rPr>
        <w:t>§2</w:t>
      </w:r>
      <w:r w:rsidR="00A6121D" w:rsidRPr="00AB6698">
        <w:rPr>
          <w:rFonts w:ascii="宋体" w:hAnsi="宋体" w:cs="Arial"/>
          <w:color w:val="000000"/>
          <w:sz w:val="21"/>
          <w:szCs w:val="21"/>
        </w:rPr>
        <w:t xml:space="preserve">    </w:t>
      </w:r>
      <w:r w:rsidRPr="00AB6698">
        <w:rPr>
          <w:rFonts w:ascii="宋体" w:hAnsi="宋体" w:cs="Arial"/>
          <w:color w:val="000000"/>
          <w:sz w:val="21"/>
          <w:szCs w:val="21"/>
        </w:rPr>
        <w:t>基金简介</w:t>
      </w:r>
      <w:bookmarkEnd w:id="24"/>
      <w:bookmarkEnd w:id="25"/>
      <w:bookmarkEnd w:id="26"/>
      <w:bookmarkEnd w:id="27"/>
      <w:bookmarkEnd w:id="28"/>
      <w:bookmarkEnd w:id="29"/>
    </w:p>
    <w:p w:rsidR="007B62FA" w:rsidRPr="00940842" w:rsidRDefault="007B62FA" w:rsidP="00D21507">
      <w:pPr>
        <w:pStyle w:val="20"/>
        <w:spacing w:before="0" w:after="0"/>
        <w:rPr>
          <w:rFonts w:asciiTheme="majorEastAsia" w:eastAsiaTheme="majorEastAsia" w:hAnsiTheme="majorEastAsia"/>
          <w:color w:val="000000" w:themeColor="text1"/>
          <w:sz w:val="21"/>
          <w:szCs w:val="21"/>
        </w:rPr>
      </w:pPr>
      <w:bookmarkStart w:id="30" w:name="_Toc352255961"/>
      <w:bookmarkStart w:id="31" w:name="_Toc352256029"/>
      <w:bookmarkStart w:id="32" w:name="_Toc352331207"/>
      <w:bookmarkStart w:id="33" w:name="_Toc362423985"/>
      <w:bookmarkStart w:id="34" w:name="_Toc35533795"/>
      <w:r w:rsidRPr="00940842">
        <w:rPr>
          <w:rFonts w:asciiTheme="majorEastAsia" w:eastAsiaTheme="majorEastAsia" w:hAnsiTheme="majorEastAsia"/>
          <w:color w:val="000000" w:themeColor="text1"/>
          <w:kern w:val="0"/>
          <w:sz w:val="21"/>
          <w:szCs w:val="21"/>
        </w:rPr>
        <w:t>2.1</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sz w:val="21"/>
          <w:szCs w:val="21"/>
        </w:rPr>
        <w:t>基金基本情况</w:t>
      </w:r>
      <w:bookmarkEnd w:id="30"/>
      <w:bookmarkEnd w:id="31"/>
      <w:bookmarkEnd w:id="32"/>
      <w:bookmarkEnd w:id="33"/>
      <w:bookmarkEnd w:id="34"/>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85"/>
        <w:gridCol w:w="2532"/>
      </w:tblGrid>
      <w:tr w:rsidR="00E60957" w:rsidRPr="00896265" w:rsidTr="00E70468">
        <w:tc>
          <w:tcPr>
            <w:tcW w:w="3258" w:type="dxa"/>
          </w:tcPr>
          <w:p w:rsidR="007B62FA" w:rsidRPr="00896265" w:rsidRDefault="007B62FA" w:rsidP="00417F87">
            <w:pPr>
              <w:spacing w:line="360" w:lineRule="auto"/>
              <w:rPr>
                <w:rFonts w:eastAsiaTheme="minorEastAsia"/>
                <w:color w:val="000000" w:themeColor="text1"/>
                <w:kern w:val="0"/>
                <w:szCs w:val="21"/>
              </w:rPr>
            </w:pPr>
            <w:r w:rsidRPr="00896265">
              <w:rPr>
                <w:rFonts w:eastAsiaTheme="minorEastAsia"/>
                <w:color w:val="000000" w:themeColor="text1"/>
                <w:szCs w:val="21"/>
              </w:rPr>
              <w:t>基金名称</w:t>
            </w:r>
          </w:p>
        </w:tc>
        <w:tc>
          <w:tcPr>
            <w:tcW w:w="5217" w:type="dxa"/>
            <w:gridSpan w:val="2"/>
            <w:vAlign w:val="bottom"/>
          </w:tcPr>
          <w:p w:rsidR="007B62FA" w:rsidRPr="00896265" w:rsidRDefault="007B62FA"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易方达黄金主题证券投资基金（</w:t>
            </w:r>
            <w:r w:rsidRPr="00896265">
              <w:rPr>
                <w:rFonts w:eastAsiaTheme="minorEastAsia"/>
                <w:color w:val="000000" w:themeColor="text1"/>
                <w:szCs w:val="21"/>
              </w:rPr>
              <w:t>LOF</w:t>
            </w:r>
            <w:r w:rsidRPr="00896265">
              <w:rPr>
                <w:rFonts w:eastAsiaTheme="minorEastAsia"/>
                <w:color w:val="000000" w:themeColor="text1"/>
                <w:szCs w:val="21"/>
              </w:rPr>
              <w:t>）</w:t>
            </w:r>
          </w:p>
        </w:tc>
      </w:tr>
      <w:tr w:rsidR="00E60957" w:rsidRPr="00896265" w:rsidTr="00E70468">
        <w:tc>
          <w:tcPr>
            <w:tcW w:w="3258" w:type="dxa"/>
          </w:tcPr>
          <w:p w:rsidR="007B62FA" w:rsidRPr="00896265" w:rsidRDefault="007B62FA" w:rsidP="00417F87">
            <w:pPr>
              <w:spacing w:line="360" w:lineRule="auto"/>
              <w:rPr>
                <w:rFonts w:eastAsiaTheme="minorEastAsia"/>
                <w:color w:val="000000" w:themeColor="text1"/>
                <w:kern w:val="0"/>
                <w:szCs w:val="21"/>
              </w:rPr>
            </w:pPr>
            <w:r w:rsidRPr="00896265">
              <w:rPr>
                <w:rFonts w:eastAsiaTheme="minorEastAsia"/>
                <w:color w:val="000000" w:themeColor="text1"/>
                <w:szCs w:val="21"/>
              </w:rPr>
              <w:t>基金简称</w:t>
            </w:r>
          </w:p>
        </w:tc>
        <w:tc>
          <w:tcPr>
            <w:tcW w:w="5217" w:type="dxa"/>
            <w:gridSpan w:val="2"/>
            <w:vAlign w:val="bottom"/>
          </w:tcPr>
          <w:p w:rsidR="007B62FA" w:rsidRPr="00896265" w:rsidRDefault="007B62FA"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易方达黄金主题（</w:t>
            </w:r>
            <w:r w:rsidRPr="00896265">
              <w:rPr>
                <w:rFonts w:eastAsiaTheme="minorEastAsia"/>
                <w:color w:val="000000" w:themeColor="text1"/>
                <w:szCs w:val="21"/>
              </w:rPr>
              <w:t>QDII-LOF-FOF</w:t>
            </w:r>
            <w:r w:rsidRPr="00896265">
              <w:rPr>
                <w:rFonts w:eastAsiaTheme="minorEastAsia"/>
                <w:color w:val="000000" w:themeColor="text1"/>
                <w:szCs w:val="21"/>
              </w:rPr>
              <w:t>）</w:t>
            </w:r>
          </w:p>
        </w:tc>
      </w:tr>
      <w:tr w:rsidR="00E60957" w:rsidRPr="00896265" w:rsidTr="00E70468">
        <w:tc>
          <w:tcPr>
            <w:tcW w:w="3258" w:type="dxa"/>
          </w:tcPr>
          <w:p w:rsidR="000C462E" w:rsidRPr="00896265" w:rsidRDefault="000C462E" w:rsidP="001A74A1">
            <w:pPr>
              <w:rPr>
                <w:rFonts w:eastAsiaTheme="minorEastAsia"/>
                <w:color w:val="000000" w:themeColor="text1"/>
                <w:szCs w:val="21"/>
              </w:rPr>
            </w:pPr>
            <w:r w:rsidRPr="00896265">
              <w:rPr>
                <w:rFonts w:eastAsiaTheme="minorEastAsia"/>
                <w:color w:val="000000" w:themeColor="text1"/>
                <w:szCs w:val="21"/>
              </w:rPr>
              <w:t>场内简称</w:t>
            </w:r>
          </w:p>
        </w:tc>
        <w:tc>
          <w:tcPr>
            <w:tcW w:w="5217" w:type="dxa"/>
            <w:gridSpan w:val="2"/>
            <w:vAlign w:val="center"/>
          </w:tcPr>
          <w:p w:rsidR="000C462E" w:rsidRPr="00896265" w:rsidRDefault="000C462E" w:rsidP="00C53751">
            <w:pPr>
              <w:jc w:val="right"/>
              <w:rPr>
                <w:rFonts w:eastAsiaTheme="minorEastAsia"/>
                <w:color w:val="000000" w:themeColor="text1"/>
                <w:szCs w:val="21"/>
              </w:rPr>
            </w:pPr>
            <w:r w:rsidRPr="00896265">
              <w:rPr>
                <w:rFonts w:eastAsiaTheme="minorEastAsia"/>
                <w:color w:val="000000" w:themeColor="text1"/>
                <w:szCs w:val="21"/>
              </w:rPr>
              <w:t>易基黄金</w:t>
            </w:r>
          </w:p>
        </w:tc>
      </w:tr>
      <w:tr w:rsidR="00E60957" w:rsidRPr="00896265" w:rsidTr="00E70468">
        <w:tc>
          <w:tcPr>
            <w:tcW w:w="3258" w:type="dxa"/>
            <w:vAlign w:val="center"/>
          </w:tcPr>
          <w:p w:rsidR="007B62FA" w:rsidRPr="00896265" w:rsidRDefault="007B62FA" w:rsidP="00417F87">
            <w:pPr>
              <w:spacing w:line="360" w:lineRule="auto"/>
              <w:rPr>
                <w:rFonts w:eastAsiaTheme="minorEastAsia"/>
                <w:color w:val="000000" w:themeColor="text1"/>
                <w:kern w:val="0"/>
                <w:szCs w:val="21"/>
              </w:rPr>
            </w:pPr>
            <w:r w:rsidRPr="00896265">
              <w:rPr>
                <w:rFonts w:eastAsiaTheme="minorEastAsia"/>
                <w:color w:val="000000" w:themeColor="text1"/>
                <w:szCs w:val="21"/>
              </w:rPr>
              <w:t>基金主代码</w:t>
            </w:r>
          </w:p>
        </w:tc>
        <w:tc>
          <w:tcPr>
            <w:tcW w:w="5217" w:type="dxa"/>
            <w:gridSpan w:val="2"/>
            <w:vAlign w:val="bottom"/>
          </w:tcPr>
          <w:p w:rsidR="007B62FA" w:rsidRPr="00896265" w:rsidRDefault="007B62FA"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161116</w:t>
            </w:r>
          </w:p>
        </w:tc>
      </w:tr>
      <w:tr w:rsidR="00E60957" w:rsidRPr="00896265" w:rsidTr="00E70468">
        <w:tc>
          <w:tcPr>
            <w:tcW w:w="3258" w:type="dxa"/>
          </w:tcPr>
          <w:p w:rsidR="0073375D" w:rsidRPr="00896265" w:rsidRDefault="0073375D" w:rsidP="00417F87">
            <w:pPr>
              <w:spacing w:line="360" w:lineRule="auto"/>
              <w:rPr>
                <w:rFonts w:eastAsiaTheme="minorEastAsia"/>
                <w:color w:val="000000" w:themeColor="text1"/>
                <w:kern w:val="0"/>
                <w:szCs w:val="21"/>
              </w:rPr>
            </w:pPr>
            <w:r w:rsidRPr="00896265">
              <w:rPr>
                <w:rFonts w:eastAsiaTheme="minorEastAsia"/>
                <w:color w:val="000000" w:themeColor="text1"/>
                <w:szCs w:val="21"/>
              </w:rPr>
              <w:t>基金运作方式</w:t>
            </w:r>
          </w:p>
        </w:tc>
        <w:tc>
          <w:tcPr>
            <w:tcW w:w="5217" w:type="dxa"/>
            <w:gridSpan w:val="2"/>
            <w:vAlign w:val="bottom"/>
          </w:tcPr>
          <w:p w:rsidR="0073375D" w:rsidRPr="00896265" w:rsidRDefault="0073375D"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契约型、上市开放式（</w:t>
            </w:r>
            <w:r w:rsidRPr="00896265">
              <w:rPr>
                <w:rFonts w:eastAsiaTheme="minorEastAsia"/>
                <w:color w:val="000000" w:themeColor="text1"/>
                <w:szCs w:val="21"/>
              </w:rPr>
              <w:t>LOF</w:t>
            </w:r>
            <w:r w:rsidRPr="00896265">
              <w:rPr>
                <w:rFonts w:eastAsiaTheme="minorEastAsia"/>
                <w:color w:val="000000" w:themeColor="text1"/>
                <w:szCs w:val="21"/>
              </w:rPr>
              <w:t>）</w:t>
            </w:r>
          </w:p>
        </w:tc>
      </w:tr>
      <w:tr w:rsidR="00E60957" w:rsidRPr="00896265" w:rsidTr="00E70468">
        <w:tc>
          <w:tcPr>
            <w:tcW w:w="3258" w:type="dxa"/>
          </w:tcPr>
          <w:p w:rsidR="0073375D" w:rsidRPr="00896265" w:rsidRDefault="0073375D" w:rsidP="00417F87">
            <w:pPr>
              <w:spacing w:line="360" w:lineRule="auto"/>
              <w:rPr>
                <w:rFonts w:eastAsiaTheme="minorEastAsia"/>
                <w:color w:val="000000" w:themeColor="text1"/>
                <w:kern w:val="0"/>
                <w:szCs w:val="21"/>
              </w:rPr>
            </w:pPr>
            <w:r w:rsidRPr="00896265">
              <w:rPr>
                <w:rFonts w:eastAsiaTheme="minorEastAsia"/>
                <w:color w:val="000000" w:themeColor="text1"/>
                <w:szCs w:val="21"/>
              </w:rPr>
              <w:t>基金合同生效日</w:t>
            </w:r>
          </w:p>
        </w:tc>
        <w:tc>
          <w:tcPr>
            <w:tcW w:w="5217" w:type="dxa"/>
            <w:gridSpan w:val="2"/>
            <w:vAlign w:val="bottom"/>
          </w:tcPr>
          <w:p w:rsidR="0073375D" w:rsidRPr="00896265" w:rsidRDefault="0073375D"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2011</w:t>
            </w:r>
            <w:r w:rsidRPr="00896265">
              <w:rPr>
                <w:rFonts w:eastAsiaTheme="minorEastAsia"/>
                <w:color w:val="000000" w:themeColor="text1"/>
                <w:szCs w:val="21"/>
              </w:rPr>
              <w:t>年</w:t>
            </w:r>
            <w:r w:rsidRPr="00896265">
              <w:rPr>
                <w:rFonts w:eastAsiaTheme="minorEastAsia"/>
                <w:color w:val="000000" w:themeColor="text1"/>
                <w:szCs w:val="21"/>
              </w:rPr>
              <w:t>5</w:t>
            </w:r>
            <w:r w:rsidRPr="00896265">
              <w:rPr>
                <w:rFonts w:eastAsiaTheme="minorEastAsia"/>
                <w:color w:val="000000" w:themeColor="text1"/>
                <w:szCs w:val="21"/>
              </w:rPr>
              <w:t>月</w:t>
            </w:r>
            <w:r w:rsidRPr="00896265">
              <w:rPr>
                <w:rFonts w:eastAsiaTheme="minorEastAsia"/>
                <w:color w:val="000000" w:themeColor="text1"/>
                <w:szCs w:val="21"/>
              </w:rPr>
              <w:t>6</w:t>
            </w:r>
            <w:r w:rsidRPr="00896265">
              <w:rPr>
                <w:rFonts w:eastAsiaTheme="minorEastAsia"/>
                <w:color w:val="000000" w:themeColor="text1"/>
                <w:szCs w:val="21"/>
              </w:rPr>
              <w:t>日</w:t>
            </w:r>
          </w:p>
        </w:tc>
      </w:tr>
      <w:tr w:rsidR="00E60957" w:rsidRPr="00896265" w:rsidTr="00E70468">
        <w:tc>
          <w:tcPr>
            <w:tcW w:w="3258" w:type="dxa"/>
          </w:tcPr>
          <w:p w:rsidR="0073375D" w:rsidRPr="00896265" w:rsidRDefault="0073375D" w:rsidP="00417F87">
            <w:pPr>
              <w:spacing w:line="360" w:lineRule="auto"/>
              <w:rPr>
                <w:rFonts w:eastAsiaTheme="minorEastAsia"/>
                <w:color w:val="000000" w:themeColor="text1"/>
                <w:kern w:val="0"/>
                <w:szCs w:val="21"/>
              </w:rPr>
            </w:pPr>
            <w:r w:rsidRPr="00896265">
              <w:rPr>
                <w:rFonts w:eastAsiaTheme="minorEastAsia"/>
                <w:color w:val="000000" w:themeColor="text1"/>
                <w:szCs w:val="21"/>
              </w:rPr>
              <w:t>基金管理人</w:t>
            </w:r>
          </w:p>
        </w:tc>
        <w:tc>
          <w:tcPr>
            <w:tcW w:w="5217" w:type="dxa"/>
            <w:gridSpan w:val="2"/>
            <w:vAlign w:val="bottom"/>
          </w:tcPr>
          <w:p w:rsidR="0073375D" w:rsidRPr="00896265" w:rsidRDefault="0073375D"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易方达基金管理有限公司</w:t>
            </w:r>
          </w:p>
        </w:tc>
      </w:tr>
      <w:tr w:rsidR="00E60957" w:rsidRPr="00896265" w:rsidTr="00E70468">
        <w:tc>
          <w:tcPr>
            <w:tcW w:w="3258" w:type="dxa"/>
          </w:tcPr>
          <w:p w:rsidR="0073375D" w:rsidRPr="00896265" w:rsidRDefault="0073375D" w:rsidP="00417F87">
            <w:pPr>
              <w:spacing w:line="360" w:lineRule="auto"/>
              <w:rPr>
                <w:rFonts w:eastAsiaTheme="minorEastAsia"/>
                <w:color w:val="000000" w:themeColor="text1"/>
                <w:kern w:val="0"/>
                <w:szCs w:val="21"/>
              </w:rPr>
            </w:pPr>
            <w:r w:rsidRPr="00896265">
              <w:rPr>
                <w:rFonts w:eastAsiaTheme="minorEastAsia"/>
                <w:color w:val="000000" w:themeColor="text1"/>
                <w:szCs w:val="21"/>
              </w:rPr>
              <w:t>基金托管人</w:t>
            </w:r>
          </w:p>
        </w:tc>
        <w:tc>
          <w:tcPr>
            <w:tcW w:w="5217" w:type="dxa"/>
            <w:gridSpan w:val="2"/>
            <w:vAlign w:val="bottom"/>
          </w:tcPr>
          <w:p w:rsidR="0073375D" w:rsidRPr="00896265" w:rsidRDefault="0073375D"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中国农业银行股份有限公司</w:t>
            </w:r>
          </w:p>
        </w:tc>
      </w:tr>
      <w:tr w:rsidR="00E60957" w:rsidRPr="00896265" w:rsidTr="00E70468">
        <w:tc>
          <w:tcPr>
            <w:tcW w:w="3258" w:type="dxa"/>
          </w:tcPr>
          <w:p w:rsidR="0073375D" w:rsidRPr="00896265" w:rsidRDefault="0073375D" w:rsidP="00417F87">
            <w:pPr>
              <w:spacing w:line="360" w:lineRule="auto"/>
              <w:rPr>
                <w:rFonts w:eastAsiaTheme="minorEastAsia"/>
                <w:color w:val="000000" w:themeColor="text1"/>
                <w:kern w:val="0"/>
                <w:szCs w:val="21"/>
              </w:rPr>
            </w:pPr>
            <w:r w:rsidRPr="00896265">
              <w:rPr>
                <w:rFonts w:eastAsiaTheme="minorEastAsia"/>
                <w:color w:val="000000" w:themeColor="text1"/>
                <w:szCs w:val="21"/>
              </w:rPr>
              <w:t>报告期末基金份额总额</w:t>
            </w:r>
          </w:p>
        </w:tc>
        <w:tc>
          <w:tcPr>
            <w:tcW w:w="5217" w:type="dxa"/>
            <w:gridSpan w:val="2"/>
            <w:vAlign w:val="bottom"/>
          </w:tcPr>
          <w:p w:rsidR="0073375D" w:rsidRPr="00896265" w:rsidRDefault="0073375D"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429,157,206.13</w:t>
            </w:r>
            <w:r w:rsidRPr="00896265">
              <w:rPr>
                <w:rFonts w:eastAsiaTheme="minorEastAsia"/>
                <w:color w:val="000000" w:themeColor="text1"/>
                <w:szCs w:val="21"/>
              </w:rPr>
              <w:t>份</w:t>
            </w:r>
          </w:p>
        </w:tc>
      </w:tr>
      <w:tr w:rsidR="00E60957" w:rsidRPr="00896265" w:rsidTr="00E70468">
        <w:tc>
          <w:tcPr>
            <w:tcW w:w="3258" w:type="dxa"/>
          </w:tcPr>
          <w:p w:rsidR="0073375D" w:rsidRPr="00896265" w:rsidRDefault="0073375D" w:rsidP="00417F87">
            <w:pPr>
              <w:spacing w:line="360" w:lineRule="auto"/>
              <w:rPr>
                <w:rFonts w:eastAsiaTheme="minorEastAsia"/>
                <w:color w:val="000000" w:themeColor="text1"/>
                <w:kern w:val="0"/>
                <w:szCs w:val="21"/>
              </w:rPr>
            </w:pPr>
            <w:r w:rsidRPr="00896265">
              <w:rPr>
                <w:rFonts w:eastAsiaTheme="minorEastAsia"/>
                <w:color w:val="000000" w:themeColor="text1"/>
                <w:szCs w:val="21"/>
              </w:rPr>
              <w:t>基金合同存续期</w:t>
            </w:r>
          </w:p>
        </w:tc>
        <w:tc>
          <w:tcPr>
            <w:tcW w:w="5217" w:type="dxa"/>
            <w:gridSpan w:val="2"/>
            <w:vAlign w:val="bottom"/>
          </w:tcPr>
          <w:p w:rsidR="0073375D" w:rsidRPr="00896265" w:rsidRDefault="0073375D"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不定期</w:t>
            </w:r>
          </w:p>
        </w:tc>
      </w:tr>
      <w:tr w:rsidR="00E60957" w:rsidRPr="00896265" w:rsidTr="00E70468">
        <w:tc>
          <w:tcPr>
            <w:tcW w:w="3258" w:type="dxa"/>
          </w:tcPr>
          <w:p w:rsidR="0073375D" w:rsidRPr="00896265" w:rsidRDefault="0073375D" w:rsidP="00417F87">
            <w:pPr>
              <w:spacing w:line="360" w:lineRule="auto"/>
              <w:rPr>
                <w:rFonts w:eastAsiaTheme="minorEastAsia"/>
                <w:color w:val="000000" w:themeColor="text1"/>
                <w:kern w:val="0"/>
                <w:szCs w:val="21"/>
              </w:rPr>
            </w:pPr>
            <w:r w:rsidRPr="00896265">
              <w:rPr>
                <w:rFonts w:eastAsiaTheme="minorEastAsia"/>
                <w:color w:val="000000" w:themeColor="text1"/>
                <w:szCs w:val="21"/>
              </w:rPr>
              <w:t>基金份额上市的证券交易所</w:t>
            </w:r>
          </w:p>
        </w:tc>
        <w:tc>
          <w:tcPr>
            <w:tcW w:w="5217" w:type="dxa"/>
            <w:gridSpan w:val="2"/>
            <w:vAlign w:val="bottom"/>
          </w:tcPr>
          <w:p w:rsidR="0073375D" w:rsidRPr="00896265" w:rsidRDefault="0073375D"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深圳证券交易所</w:t>
            </w:r>
          </w:p>
        </w:tc>
      </w:tr>
      <w:tr w:rsidR="00E60957" w:rsidRPr="00896265" w:rsidTr="00E70468">
        <w:tc>
          <w:tcPr>
            <w:tcW w:w="3258" w:type="dxa"/>
          </w:tcPr>
          <w:p w:rsidR="0073375D" w:rsidRPr="00896265" w:rsidRDefault="0073375D" w:rsidP="00417F87">
            <w:pPr>
              <w:spacing w:line="360" w:lineRule="auto"/>
              <w:rPr>
                <w:rFonts w:eastAsiaTheme="minorEastAsia"/>
                <w:color w:val="000000" w:themeColor="text1"/>
                <w:kern w:val="0"/>
                <w:szCs w:val="21"/>
              </w:rPr>
            </w:pPr>
            <w:r w:rsidRPr="00896265">
              <w:rPr>
                <w:rFonts w:eastAsiaTheme="minorEastAsia"/>
                <w:color w:val="000000" w:themeColor="text1"/>
                <w:szCs w:val="21"/>
              </w:rPr>
              <w:t>上市日期</w:t>
            </w:r>
          </w:p>
        </w:tc>
        <w:tc>
          <w:tcPr>
            <w:tcW w:w="5217" w:type="dxa"/>
            <w:gridSpan w:val="2"/>
            <w:vAlign w:val="bottom"/>
          </w:tcPr>
          <w:p w:rsidR="0073375D" w:rsidRPr="00896265" w:rsidRDefault="0073375D"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2011</w:t>
            </w:r>
            <w:r w:rsidRPr="00896265">
              <w:rPr>
                <w:rFonts w:eastAsiaTheme="minorEastAsia"/>
                <w:color w:val="000000" w:themeColor="text1"/>
                <w:szCs w:val="21"/>
              </w:rPr>
              <w:t>年</w:t>
            </w:r>
            <w:r w:rsidRPr="00896265">
              <w:rPr>
                <w:rFonts w:eastAsiaTheme="minorEastAsia"/>
                <w:color w:val="000000" w:themeColor="text1"/>
                <w:szCs w:val="21"/>
              </w:rPr>
              <w:t>11</w:t>
            </w:r>
            <w:r w:rsidRPr="00896265">
              <w:rPr>
                <w:rFonts w:eastAsiaTheme="minorEastAsia"/>
                <w:color w:val="000000" w:themeColor="text1"/>
                <w:szCs w:val="21"/>
              </w:rPr>
              <w:t>月</w:t>
            </w:r>
            <w:r w:rsidRPr="00896265">
              <w:rPr>
                <w:rFonts w:eastAsiaTheme="minorEastAsia"/>
                <w:color w:val="000000" w:themeColor="text1"/>
                <w:szCs w:val="21"/>
              </w:rPr>
              <w:t>8</w:t>
            </w:r>
            <w:r w:rsidRPr="00896265">
              <w:rPr>
                <w:rFonts w:eastAsiaTheme="minorEastAsia"/>
                <w:color w:val="000000" w:themeColor="text1"/>
                <w:szCs w:val="21"/>
              </w:rPr>
              <w:t>日</w:t>
            </w:r>
          </w:p>
        </w:tc>
      </w:tr>
      <w:tr w:rsidR="00031492" w:rsidRPr="00896265" w:rsidTr="00031492">
        <w:tc>
          <w:tcPr>
            <w:tcW w:w="3258" w:type="dxa"/>
            <w:vAlign w:val="center"/>
          </w:tcPr>
          <w:p w:rsidR="00031492" w:rsidRPr="00896265" w:rsidRDefault="00031492" w:rsidP="00031492">
            <w:pPr>
              <w:spacing w:line="360" w:lineRule="auto"/>
              <w:rPr>
                <w:rFonts w:eastAsiaTheme="minorEastAsia"/>
                <w:color w:val="000000" w:themeColor="text1"/>
                <w:szCs w:val="21"/>
              </w:rPr>
            </w:pPr>
            <w:r w:rsidRPr="00896265">
              <w:rPr>
                <w:rFonts w:eastAsiaTheme="minorEastAsia"/>
                <w:color w:val="000000" w:themeColor="text1"/>
                <w:szCs w:val="21"/>
              </w:rPr>
              <w:t>下属分级基金的基金简称</w:t>
            </w:r>
          </w:p>
        </w:tc>
        <w:tc>
          <w:tcPr>
            <w:tcW w:w="2685" w:type="dxa"/>
            <w:tcBorders>
              <w:right w:val="single" w:sz="4" w:space="0" w:color="auto"/>
            </w:tcBorders>
            <w:vAlign w:val="center"/>
          </w:tcPr>
          <w:p w:rsidR="00031492" w:rsidRPr="00896265" w:rsidRDefault="00031492"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易方达黄金主题（</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A</w:t>
            </w:r>
          </w:p>
        </w:tc>
        <w:tc>
          <w:tcPr>
            <w:tcW w:w="2532" w:type="dxa"/>
            <w:tcBorders>
              <w:left w:val="single" w:sz="4" w:space="0" w:color="auto"/>
            </w:tcBorders>
            <w:vAlign w:val="center"/>
          </w:tcPr>
          <w:p w:rsidR="00031492" w:rsidRPr="00896265" w:rsidRDefault="00031492"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易方达黄金主题（</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C</w:t>
            </w:r>
          </w:p>
        </w:tc>
      </w:tr>
      <w:tr w:rsidR="00031492" w:rsidRPr="00896265" w:rsidTr="00031492">
        <w:tc>
          <w:tcPr>
            <w:tcW w:w="3258" w:type="dxa"/>
            <w:vAlign w:val="center"/>
          </w:tcPr>
          <w:p w:rsidR="00031492" w:rsidRPr="00896265" w:rsidRDefault="00031492" w:rsidP="00031492">
            <w:pPr>
              <w:spacing w:line="360" w:lineRule="auto"/>
              <w:rPr>
                <w:rFonts w:eastAsiaTheme="minorEastAsia"/>
                <w:color w:val="000000" w:themeColor="text1"/>
                <w:szCs w:val="21"/>
              </w:rPr>
            </w:pPr>
            <w:r w:rsidRPr="00896265">
              <w:rPr>
                <w:rFonts w:eastAsiaTheme="minorEastAsia"/>
                <w:color w:val="000000" w:themeColor="text1"/>
                <w:szCs w:val="21"/>
              </w:rPr>
              <w:t>下属分级基金的交易代码</w:t>
            </w:r>
          </w:p>
        </w:tc>
        <w:tc>
          <w:tcPr>
            <w:tcW w:w="2685" w:type="dxa"/>
            <w:tcBorders>
              <w:right w:val="single" w:sz="4" w:space="0" w:color="auto"/>
            </w:tcBorders>
            <w:vAlign w:val="center"/>
          </w:tcPr>
          <w:p w:rsidR="00031492" w:rsidRPr="00896265" w:rsidRDefault="00031492"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161116</w:t>
            </w:r>
          </w:p>
        </w:tc>
        <w:tc>
          <w:tcPr>
            <w:tcW w:w="2532" w:type="dxa"/>
            <w:tcBorders>
              <w:left w:val="single" w:sz="4" w:space="0" w:color="auto"/>
            </w:tcBorders>
            <w:vAlign w:val="center"/>
          </w:tcPr>
          <w:p w:rsidR="00031492" w:rsidRPr="00896265" w:rsidRDefault="00031492"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007976</w:t>
            </w:r>
          </w:p>
        </w:tc>
      </w:tr>
      <w:tr w:rsidR="00031492" w:rsidRPr="00896265" w:rsidTr="00031492">
        <w:tc>
          <w:tcPr>
            <w:tcW w:w="3258" w:type="dxa"/>
            <w:vAlign w:val="center"/>
          </w:tcPr>
          <w:p w:rsidR="00031492" w:rsidRPr="00896265" w:rsidRDefault="00031492" w:rsidP="00031492">
            <w:pPr>
              <w:spacing w:line="360" w:lineRule="auto"/>
              <w:rPr>
                <w:rFonts w:eastAsiaTheme="minorEastAsia"/>
                <w:color w:val="000000" w:themeColor="text1"/>
                <w:szCs w:val="21"/>
              </w:rPr>
            </w:pPr>
            <w:r w:rsidRPr="00896265">
              <w:rPr>
                <w:rFonts w:eastAsiaTheme="minorEastAsia"/>
                <w:color w:val="000000" w:themeColor="text1"/>
                <w:szCs w:val="21"/>
              </w:rPr>
              <w:t>报告期末下属分级基金的份额总额</w:t>
            </w:r>
          </w:p>
        </w:tc>
        <w:tc>
          <w:tcPr>
            <w:tcW w:w="2685" w:type="dxa"/>
            <w:tcBorders>
              <w:right w:val="single" w:sz="4" w:space="0" w:color="auto"/>
            </w:tcBorders>
            <w:vAlign w:val="center"/>
          </w:tcPr>
          <w:p w:rsidR="00031492" w:rsidRPr="00896265" w:rsidRDefault="00031492"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428,703,387.26</w:t>
            </w:r>
            <w:r w:rsidRPr="00896265">
              <w:rPr>
                <w:rFonts w:eastAsiaTheme="minorEastAsia"/>
                <w:color w:val="000000" w:themeColor="text1"/>
                <w:szCs w:val="21"/>
              </w:rPr>
              <w:t>份</w:t>
            </w:r>
          </w:p>
        </w:tc>
        <w:tc>
          <w:tcPr>
            <w:tcW w:w="2532" w:type="dxa"/>
            <w:tcBorders>
              <w:left w:val="single" w:sz="4" w:space="0" w:color="auto"/>
            </w:tcBorders>
            <w:vAlign w:val="center"/>
          </w:tcPr>
          <w:p w:rsidR="00031492" w:rsidRPr="00896265" w:rsidRDefault="00031492" w:rsidP="00C53751">
            <w:pPr>
              <w:spacing w:line="360" w:lineRule="auto"/>
              <w:jc w:val="right"/>
              <w:rPr>
                <w:rFonts w:eastAsiaTheme="minorEastAsia"/>
                <w:color w:val="000000" w:themeColor="text1"/>
                <w:szCs w:val="21"/>
              </w:rPr>
            </w:pPr>
            <w:r w:rsidRPr="00896265">
              <w:rPr>
                <w:rFonts w:eastAsiaTheme="minorEastAsia"/>
                <w:color w:val="000000" w:themeColor="text1"/>
                <w:szCs w:val="21"/>
              </w:rPr>
              <w:t>453,818.87</w:t>
            </w:r>
            <w:r w:rsidRPr="00896265">
              <w:rPr>
                <w:rFonts w:eastAsiaTheme="minorEastAsia"/>
                <w:color w:val="000000" w:themeColor="text1"/>
                <w:szCs w:val="21"/>
              </w:rPr>
              <w:t>份</w:t>
            </w:r>
          </w:p>
        </w:tc>
      </w:tr>
    </w:tbl>
    <w:p w:rsidR="00F14AEA" w:rsidRDefault="00EC6028">
      <w:pPr>
        <w:tabs>
          <w:tab w:val="left" w:pos="426"/>
        </w:tabs>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日发布的《易方达基金管理有限公司关于易方达黄金主题证券投资基金（</w:t>
      </w:r>
      <w:r>
        <w:rPr>
          <w:rFonts w:eastAsiaTheme="minorEastAsia"/>
          <w:color w:val="000000" w:themeColor="text1"/>
          <w:kern w:val="0"/>
          <w:szCs w:val="21"/>
        </w:rPr>
        <w:t>LOF</w:t>
      </w:r>
      <w:r>
        <w:rPr>
          <w:rFonts w:eastAsiaTheme="minorEastAsia"/>
          <w:color w:val="000000" w:themeColor="text1"/>
          <w:kern w:val="0"/>
          <w:szCs w:val="21"/>
        </w:rPr>
        <w:t>）增设基金份额、修改业绩比较基准并修订基金合同、托管协议部分条款的公告》，经与基金托管人协商一致并报中国证监会备案，易方达基金管理有限公司对易方达黄金主题证券投资基金（</w:t>
      </w:r>
      <w:r>
        <w:rPr>
          <w:rFonts w:eastAsiaTheme="minorEastAsia"/>
          <w:color w:val="000000" w:themeColor="text1"/>
          <w:kern w:val="0"/>
          <w:szCs w:val="21"/>
        </w:rPr>
        <w:t>LOF</w:t>
      </w:r>
      <w:r>
        <w:rPr>
          <w:rFonts w:eastAsiaTheme="minorEastAsia"/>
          <w:color w:val="000000" w:themeColor="text1"/>
          <w:kern w:val="0"/>
          <w:szCs w:val="21"/>
        </w:rPr>
        <w:t>）增设了基金份额，并对基金业绩比较基准进行了修改。易方达黄金主题证券投资基金（</w:t>
      </w:r>
      <w:r>
        <w:rPr>
          <w:rFonts w:eastAsiaTheme="minorEastAsia"/>
          <w:color w:val="000000" w:themeColor="text1"/>
          <w:kern w:val="0"/>
          <w:szCs w:val="21"/>
        </w:rPr>
        <w:t>LOF</w:t>
      </w:r>
      <w:r>
        <w:rPr>
          <w:rFonts w:eastAsiaTheme="minorEastAsia"/>
          <w:color w:val="000000" w:themeColor="text1"/>
          <w:kern w:val="0"/>
          <w:szCs w:val="21"/>
        </w:rPr>
        <w:t>）增设基金份额，并对基金业绩比较基准进行修改事宜，以及基金合同、托管协议的修订自</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日起生效，具体详见公告。</w:t>
      </w:r>
    </w:p>
    <w:p w:rsidR="00F14AEA" w:rsidRDefault="00EC6028">
      <w:pPr>
        <w:tabs>
          <w:tab w:val="left" w:pos="426"/>
        </w:tabs>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 xml:space="preserve">2. </w:t>
      </w:r>
      <w:r>
        <w:rPr>
          <w:rFonts w:eastAsiaTheme="minorEastAsia"/>
          <w:color w:val="000000" w:themeColor="text1"/>
          <w:kern w:val="0"/>
          <w:szCs w:val="21"/>
        </w:rPr>
        <w:t>本基金</w:t>
      </w:r>
      <w:r>
        <w:rPr>
          <w:rFonts w:eastAsiaTheme="minorEastAsia"/>
          <w:color w:val="000000" w:themeColor="text1"/>
          <w:kern w:val="0"/>
          <w:szCs w:val="21"/>
        </w:rPr>
        <w:t>A</w:t>
      </w:r>
      <w:r>
        <w:rPr>
          <w:rFonts w:eastAsiaTheme="minorEastAsia"/>
          <w:color w:val="000000" w:themeColor="text1"/>
          <w:kern w:val="0"/>
          <w:szCs w:val="21"/>
        </w:rPr>
        <w:t>类人民币份额由原易方达黄金主题（</w:t>
      </w:r>
      <w:r>
        <w:rPr>
          <w:rFonts w:eastAsiaTheme="minorEastAsia"/>
          <w:color w:val="000000" w:themeColor="text1"/>
          <w:kern w:val="0"/>
          <w:szCs w:val="21"/>
        </w:rPr>
        <w:t>QDII-LOF-FOF</w:t>
      </w:r>
      <w:r>
        <w:rPr>
          <w:rFonts w:eastAsiaTheme="minorEastAsia"/>
          <w:color w:val="000000" w:themeColor="text1"/>
          <w:kern w:val="0"/>
          <w:szCs w:val="21"/>
        </w:rPr>
        <w:t>）基金份额变更而来，并于</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日起增设</w:t>
      </w:r>
      <w:r>
        <w:rPr>
          <w:rFonts w:eastAsiaTheme="minorEastAsia"/>
          <w:color w:val="000000" w:themeColor="text1"/>
          <w:kern w:val="0"/>
          <w:szCs w:val="21"/>
        </w:rPr>
        <w:t>A</w:t>
      </w:r>
      <w:r>
        <w:rPr>
          <w:rFonts w:eastAsiaTheme="minorEastAsia"/>
          <w:color w:val="000000" w:themeColor="text1"/>
          <w:kern w:val="0"/>
          <w:szCs w:val="21"/>
        </w:rPr>
        <w:t>类美元份额、</w:t>
      </w:r>
      <w:r>
        <w:rPr>
          <w:rFonts w:eastAsiaTheme="minorEastAsia"/>
          <w:color w:val="000000" w:themeColor="text1"/>
          <w:kern w:val="0"/>
          <w:szCs w:val="21"/>
        </w:rPr>
        <w:t>C</w:t>
      </w:r>
      <w:r>
        <w:rPr>
          <w:rFonts w:eastAsiaTheme="minorEastAsia"/>
          <w:color w:val="000000" w:themeColor="text1"/>
          <w:kern w:val="0"/>
          <w:szCs w:val="21"/>
        </w:rPr>
        <w:t>类人民币份额及</w:t>
      </w:r>
      <w:r>
        <w:rPr>
          <w:rFonts w:eastAsiaTheme="minorEastAsia"/>
          <w:color w:val="000000" w:themeColor="text1"/>
          <w:kern w:val="0"/>
          <w:szCs w:val="21"/>
        </w:rPr>
        <w:t>C</w:t>
      </w:r>
      <w:r>
        <w:rPr>
          <w:rFonts w:eastAsiaTheme="minorEastAsia"/>
          <w:color w:val="000000" w:themeColor="text1"/>
          <w:kern w:val="0"/>
          <w:szCs w:val="21"/>
        </w:rPr>
        <w:t>类美元份额，份额首次确认日为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w:t>
      </w:r>
    </w:p>
    <w:p w:rsidR="007B62FA" w:rsidRPr="00896265" w:rsidRDefault="007B62FA" w:rsidP="00E70468">
      <w:pPr>
        <w:tabs>
          <w:tab w:val="left" w:pos="426"/>
        </w:tabs>
        <w:spacing w:line="360" w:lineRule="auto"/>
        <w:ind w:firstLineChars="200" w:firstLine="420"/>
        <w:jc w:val="left"/>
        <w:rPr>
          <w:rFonts w:eastAsiaTheme="minorEastAsia"/>
          <w:color w:val="000000" w:themeColor="text1"/>
          <w:szCs w:val="21"/>
        </w:rPr>
      </w:pPr>
      <w:r w:rsidRPr="00896265">
        <w:rPr>
          <w:rFonts w:eastAsiaTheme="minorEastAsia"/>
          <w:color w:val="000000" w:themeColor="text1"/>
          <w:kern w:val="0"/>
          <w:szCs w:val="21"/>
        </w:rPr>
        <w:t>3.</w:t>
      </w:r>
      <w:r w:rsidRPr="00896265">
        <w:rPr>
          <w:rFonts w:eastAsiaTheme="minorEastAsia"/>
          <w:color w:val="000000" w:themeColor="text1"/>
          <w:kern w:val="0"/>
          <w:szCs w:val="21"/>
        </w:rPr>
        <w:t>易方达黄金主题（</w:t>
      </w:r>
      <w:r w:rsidRPr="00896265">
        <w:rPr>
          <w:rFonts w:eastAsiaTheme="minorEastAsia"/>
          <w:color w:val="000000" w:themeColor="text1"/>
          <w:kern w:val="0"/>
          <w:szCs w:val="21"/>
        </w:rPr>
        <w:t>QDII-LOF-FOF</w:t>
      </w:r>
      <w:r w:rsidRPr="00896265">
        <w:rPr>
          <w:rFonts w:eastAsiaTheme="minorEastAsia"/>
          <w:color w:val="000000" w:themeColor="text1"/>
          <w:kern w:val="0"/>
          <w:szCs w:val="21"/>
        </w:rPr>
        <w:t>）</w:t>
      </w:r>
      <w:r w:rsidRPr="00896265">
        <w:rPr>
          <w:rFonts w:eastAsiaTheme="minorEastAsia"/>
          <w:color w:val="000000" w:themeColor="text1"/>
          <w:kern w:val="0"/>
          <w:szCs w:val="21"/>
        </w:rPr>
        <w:t>A</w:t>
      </w:r>
      <w:r w:rsidRPr="00896265">
        <w:rPr>
          <w:rFonts w:eastAsiaTheme="minorEastAsia"/>
          <w:color w:val="000000" w:themeColor="text1"/>
          <w:kern w:val="0"/>
          <w:szCs w:val="21"/>
        </w:rPr>
        <w:t>含</w:t>
      </w:r>
      <w:r w:rsidRPr="00896265">
        <w:rPr>
          <w:rFonts w:eastAsiaTheme="minorEastAsia"/>
          <w:color w:val="000000" w:themeColor="text1"/>
          <w:kern w:val="0"/>
          <w:szCs w:val="21"/>
        </w:rPr>
        <w:t>A</w:t>
      </w:r>
      <w:r w:rsidRPr="00896265">
        <w:rPr>
          <w:rFonts w:eastAsiaTheme="minorEastAsia"/>
          <w:color w:val="000000" w:themeColor="text1"/>
          <w:kern w:val="0"/>
          <w:szCs w:val="21"/>
        </w:rPr>
        <w:t>类人民币份额（份额代码：</w:t>
      </w:r>
      <w:r w:rsidRPr="00896265">
        <w:rPr>
          <w:rFonts w:eastAsiaTheme="minorEastAsia"/>
          <w:color w:val="000000" w:themeColor="text1"/>
          <w:kern w:val="0"/>
          <w:szCs w:val="21"/>
        </w:rPr>
        <w:t>161116</w:t>
      </w:r>
      <w:r w:rsidRPr="00896265">
        <w:rPr>
          <w:rFonts w:eastAsiaTheme="minorEastAsia"/>
          <w:color w:val="000000" w:themeColor="text1"/>
          <w:kern w:val="0"/>
          <w:szCs w:val="21"/>
        </w:rPr>
        <w:t>）及</w:t>
      </w:r>
      <w:r w:rsidRPr="00896265">
        <w:rPr>
          <w:rFonts w:eastAsiaTheme="minorEastAsia"/>
          <w:color w:val="000000" w:themeColor="text1"/>
          <w:kern w:val="0"/>
          <w:szCs w:val="21"/>
        </w:rPr>
        <w:t>A</w:t>
      </w:r>
      <w:r w:rsidRPr="00896265">
        <w:rPr>
          <w:rFonts w:eastAsiaTheme="minorEastAsia"/>
          <w:color w:val="000000" w:themeColor="text1"/>
          <w:kern w:val="0"/>
          <w:szCs w:val="21"/>
        </w:rPr>
        <w:t>类美元现汇份额（份额代码：</w:t>
      </w:r>
      <w:r w:rsidRPr="00896265">
        <w:rPr>
          <w:rFonts w:eastAsiaTheme="minorEastAsia"/>
          <w:color w:val="000000" w:themeColor="text1"/>
          <w:kern w:val="0"/>
          <w:szCs w:val="21"/>
        </w:rPr>
        <w:t>007977</w:t>
      </w:r>
      <w:r w:rsidRPr="00896265">
        <w:rPr>
          <w:rFonts w:eastAsiaTheme="minorEastAsia"/>
          <w:color w:val="000000" w:themeColor="text1"/>
          <w:kern w:val="0"/>
          <w:szCs w:val="21"/>
        </w:rPr>
        <w:t>），交易代码仅列示</w:t>
      </w:r>
      <w:r w:rsidRPr="00896265">
        <w:rPr>
          <w:rFonts w:eastAsiaTheme="minorEastAsia"/>
          <w:color w:val="000000" w:themeColor="text1"/>
          <w:kern w:val="0"/>
          <w:szCs w:val="21"/>
        </w:rPr>
        <w:t>A</w:t>
      </w:r>
      <w:r w:rsidRPr="00896265">
        <w:rPr>
          <w:rFonts w:eastAsiaTheme="minorEastAsia"/>
          <w:color w:val="000000" w:themeColor="text1"/>
          <w:kern w:val="0"/>
          <w:szCs w:val="21"/>
        </w:rPr>
        <w:t>类人民币份额代码；易方达黄金主题（</w:t>
      </w:r>
      <w:r w:rsidRPr="00896265">
        <w:rPr>
          <w:rFonts w:eastAsiaTheme="minorEastAsia"/>
          <w:color w:val="000000" w:themeColor="text1"/>
          <w:kern w:val="0"/>
          <w:szCs w:val="21"/>
        </w:rPr>
        <w:t>QDII-LOF-FOF</w:t>
      </w:r>
      <w:r w:rsidRPr="00896265">
        <w:rPr>
          <w:rFonts w:eastAsiaTheme="minorEastAsia"/>
          <w:color w:val="000000" w:themeColor="text1"/>
          <w:kern w:val="0"/>
          <w:szCs w:val="21"/>
        </w:rPr>
        <w:t>）</w:t>
      </w:r>
      <w:r w:rsidRPr="00896265">
        <w:rPr>
          <w:rFonts w:eastAsiaTheme="minorEastAsia"/>
          <w:color w:val="000000" w:themeColor="text1"/>
          <w:kern w:val="0"/>
          <w:szCs w:val="21"/>
        </w:rPr>
        <w:t>C</w:t>
      </w:r>
      <w:r w:rsidRPr="00896265">
        <w:rPr>
          <w:rFonts w:eastAsiaTheme="minorEastAsia"/>
          <w:color w:val="000000" w:themeColor="text1"/>
          <w:kern w:val="0"/>
          <w:szCs w:val="21"/>
        </w:rPr>
        <w:t>含</w:t>
      </w:r>
      <w:r w:rsidRPr="00896265">
        <w:rPr>
          <w:rFonts w:eastAsiaTheme="minorEastAsia"/>
          <w:color w:val="000000" w:themeColor="text1"/>
          <w:kern w:val="0"/>
          <w:szCs w:val="21"/>
        </w:rPr>
        <w:t>C</w:t>
      </w:r>
      <w:r w:rsidRPr="00896265">
        <w:rPr>
          <w:rFonts w:eastAsiaTheme="minorEastAsia"/>
          <w:color w:val="000000" w:themeColor="text1"/>
          <w:kern w:val="0"/>
          <w:szCs w:val="21"/>
        </w:rPr>
        <w:t>类人民币份额（份额代码：</w:t>
      </w:r>
      <w:r w:rsidRPr="00896265">
        <w:rPr>
          <w:rFonts w:eastAsiaTheme="minorEastAsia"/>
          <w:color w:val="000000" w:themeColor="text1"/>
          <w:kern w:val="0"/>
          <w:szCs w:val="21"/>
        </w:rPr>
        <w:t>007976</w:t>
      </w:r>
      <w:r w:rsidRPr="00896265">
        <w:rPr>
          <w:rFonts w:eastAsiaTheme="minorEastAsia"/>
          <w:color w:val="000000" w:themeColor="text1"/>
          <w:kern w:val="0"/>
          <w:szCs w:val="21"/>
        </w:rPr>
        <w:t>）及</w:t>
      </w:r>
      <w:r w:rsidRPr="00896265">
        <w:rPr>
          <w:rFonts w:eastAsiaTheme="minorEastAsia"/>
          <w:color w:val="000000" w:themeColor="text1"/>
          <w:kern w:val="0"/>
          <w:szCs w:val="21"/>
        </w:rPr>
        <w:t>C</w:t>
      </w:r>
      <w:r w:rsidRPr="00896265">
        <w:rPr>
          <w:rFonts w:eastAsiaTheme="minorEastAsia"/>
          <w:color w:val="000000" w:themeColor="text1"/>
          <w:kern w:val="0"/>
          <w:szCs w:val="21"/>
        </w:rPr>
        <w:t>类美元现汇份额（份额代码：</w:t>
      </w:r>
      <w:r w:rsidRPr="00896265">
        <w:rPr>
          <w:rFonts w:eastAsiaTheme="minorEastAsia"/>
          <w:color w:val="000000" w:themeColor="text1"/>
          <w:kern w:val="0"/>
          <w:szCs w:val="21"/>
        </w:rPr>
        <w:t>007978</w:t>
      </w:r>
      <w:r w:rsidRPr="00896265">
        <w:rPr>
          <w:rFonts w:eastAsiaTheme="minorEastAsia"/>
          <w:color w:val="000000" w:themeColor="text1"/>
          <w:kern w:val="0"/>
          <w:szCs w:val="21"/>
        </w:rPr>
        <w:t>），交易代码仅列示</w:t>
      </w:r>
      <w:r w:rsidRPr="00896265">
        <w:rPr>
          <w:rFonts w:eastAsiaTheme="minorEastAsia"/>
          <w:color w:val="000000" w:themeColor="text1"/>
          <w:kern w:val="0"/>
          <w:szCs w:val="21"/>
        </w:rPr>
        <w:t>C</w:t>
      </w:r>
      <w:r w:rsidRPr="00896265">
        <w:rPr>
          <w:rFonts w:eastAsiaTheme="minorEastAsia"/>
          <w:color w:val="000000" w:themeColor="text1"/>
          <w:kern w:val="0"/>
          <w:szCs w:val="21"/>
        </w:rPr>
        <w:t>类人民币份额代码。</w:t>
      </w:r>
    </w:p>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35" w:name="_Toc352255962"/>
      <w:bookmarkStart w:id="36" w:name="_Toc352256030"/>
      <w:bookmarkStart w:id="37" w:name="_Toc352331208"/>
      <w:bookmarkStart w:id="38" w:name="_Toc362423986"/>
      <w:bookmarkStart w:id="39" w:name="_Toc35533796"/>
      <w:r w:rsidRPr="00940842">
        <w:rPr>
          <w:rFonts w:asciiTheme="majorEastAsia" w:eastAsiaTheme="majorEastAsia" w:hAnsiTheme="majorEastAsia"/>
          <w:color w:val="000000" w:themeColor="text1"/>
          <w:kern w:val="0"/>
          <w:sz w:val="21"/>
          <w:szCs w:val="21"/>
        </w:rPr>
        <w:t>2.2</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基金产品说明</w:t>
      </w:r>
      <w:bookmarkEnd w:id="35"/>
      <w:bookmarkEnd w:id="36"/>
      <w:bookmarkEnd w:id="37"/>
      <w:bookmarkEnd w:id="38"/>
      <w:bookmarkEnd w:id="3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E60957" w:rsidRPr="00896265" w:rsidTr="006D141C">
        <w:tc>
          <w:tcPr>
            <w:tcW w:w="2127"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投资目标</w:t>
            </w:r>
          </w:p>
        </w:tc>
        <w:tc>
          <w:tcPr>
            <w:tcW w:w="6873" w:type="dxa"/>
            <w:vAlign w:val="bottom"/>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本基金追求基金资产的长期稳定增值。</w:t>
            </w:r>
          </w:p>
        </w:tc>
      </w:tr>
      <w:tr w:rsidR="00E60957" w:rsidRPr="00896265" w:rsidTr="006D141C">
        <w:tc>
          <w:tcPr>
            <w:tcW w:w="2127"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投资策略</w:t>
            </w:r>
          </w:p>
        </w:tc>
        <w:tc>
          <w:tcPr>
            <w:tcW w:w="6873" w:type="dxa"/>
            <w:vAlign w:val="bottom"/>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本基金主要通过对国际黄金价格中长期趋势的判断，深入研究黄金价格趋势、黄金采掘企业盈利和估值水平变化，以及考察其他品种的风险收益特征的基础上，进行黄金</w:t>
            </w:r>
            <w:r w:rsidRPr="00896265">
              <w:rPr>
                <w:rFonts w:eastAsiaTheme="minorEastAsia"/>
                <w:color w:val="000000" w:themeColor="text1"/>
                <w:szCs w:val="21"/>
              </w:rPr>
              <w:t>ETF</w:t>
            </w:r>
            <w:r w:rsidRPr="00896265">
              <w:rPr>
                <w:rFonts w:eastAsiaTheme="minorEastAsia"/>
                <w:color w:val="000000" w:themeColor="text1"/>
                <w:szCs w:val="21"/>
              </w:rPr>
              <w:t>、黄金股票类资产以及其他资产的比例配置。</w:t>
            </w:r>
          </w:p>
        </w:tc>
      </w:tr>
      <w:tr w:rsidR="00E60957" w:rsidRPr="00896265" w:rsidTr="006D141C">
        <w:tc>
          <w:tcPr>
            <w:tcW w:w="2127"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业绩比较基准</w:t>
            </w:r>
          </w:p>
        </w:tc>
        <w:tc>
          <w:tcPr>
            <w:tcW w:w="6873" w:type="dxa"/>
            <w:vAlign w:val="bottom"/>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以伦敦黄金市场下午定盘价计价的国际现货黄金（经汇率折算）</w:t>
            </w:r>
            <w:r w:rsidRPr="00896265">
              <w:rPr>
                <w:rFonts w:eastAsiaTheme="minorEastAsia"/>
                <w:color w:val="000000" w:themeColor="text1"/>
                <w:szCs w:val="21"/>
              </w:rPr>
              <w:t>×50%+MSCI</w:t>
            </w:r>
            <w:r w:rsidRPr="00896265">
              <w:rPr>
                <w:rFonts w:eastAsiaTheme="minorEastAsia"/>
                <w:color w:val="000000" w:themeColor="text1"/>
                <w:szCs w:val="21"/>
              </w:rPr>
              <w:t>全球金矿股指数（</w:t>
            </w:r>
            <w:r w:rsidRPr="00896265">
              <w:rPr>
                <w:rFonts w:eastAsiaTheme="minorEastAsia"/>
                <w:color w:val="000000" w:themeColor="text1"/>
                <w:szCs w:val="21"/>
              </w:rPr>
              <w:t>MSCI ACWI SELECT GOLD MINERS IMI INDEX</w:t>
            </w:r>
            <w:r w:rsidRPr="00896265">
              <w:rPr>
                <w:rFonts w:eastAsiaTheme="minorEastAsia"/>
                <w:color w:val="000000" w:themeColor="text1"/>
                <w:szCs w:val="21"/>
              </w:rPr>
              <w:t>）</w:t>
            </w:r>
            <w:r w:rsidRPr="00896265">
              <w:rPr>
                <w:rFonts w:eastAsiaTheme="minorEastAsia"/>
                <w:color w:val="000000" w:themeColor="text1"/>
                <w:szCs w:val="21"/>
              </w:rPr>
              <w:t>×50%</w:t>
            </w:r>
          </w:p>
        </w:tc>
      </w:tr>
      <w:tr w:rsidR="00E60957" w:rsidRPr="00896265" w:rsidTr="006D141C">
        <w:tc>
          <w:tcPr>
            <w:tcW w:w="2127"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风险收益特征</w:t>
            </w:r>
          </w:p>
        </w:tc>
        <w:tc>
          <w:tcPr>
            <w:tcW w:w="6873" w:type="dxa"/>
            <w:vAlign w:val="bottom"/>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 xml:space="preserve"> </w:t>
            </w:r>
            <w:r w:rsidRPr="00896265">
              <w:rPr>
                <w:rFonts w:eastAsiaTheme="minorEastAsia"/>
                <w:color w:val="000000" w:themeColor="text1"/>
                <w:szCs w:val="21"/>
              </w:rPr>
              <w:t>基金管理人根据对黄金价格走势的判断，在黄金基金、黄金采掘公司股票及其他资产之间进行主动配置。本基金的表现与黄金价格相关性较高，本基金是预期收益与预期风险较高的基金品种。此外，本基金主要投资海外市场，存在汇率风险。</w:t>
            </w:r>
          </w:p>
        </w:tc>
      </w:tr>
    </w:tbl>
    <w:p w:rsidR="007B62FA" w:rsidRPr="00896265"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注：自</w:t>
      </w:r>
      <w:r w:rsidRPr="00896265">
        <w:rPr>
          <w:rFonts w:eastAsiaTheme="minorEastAsia"/>
          <w:color w:val="000000" w:themeColor="text1"/>
          <w:kern w:val="0"/>
          <w:szCs w:val="21"/>
        </w:rPr>
        <w:t>2019</w:t>
      </w:r>
      <w:r w:rsidRPr="00896265">
        <w:rPr>
          <w:rFonts w:eastAsiaTheme="minorEastAsia"/>
          <w:color w:val="000000" w:themeColor="text1"/>
          <w:kern w:val="0"/>
          <w:szCs w:val="21"/>
        </w:rPr>
        <w:t>年</w:t>
      </w:r>
      <w:r w:rsidRPr="00896265">
        <w:rPr>
          <w:rFonts w:eastAsiaTheme="minorEastAsia"/>
          <w:color w:val="000000" w:themeColor="text1"/>
          <w:kern w:val="0"/>
          <w:szCs w:val="21"/>
        </w:rPr>
        <w:t>10</w:t>
      </w:r>
      <w:r w:rsidRPr="00896265">
        <w:rPr>
          <w:rFonts w:eastAsiaTheme="minorEastAsia"/>
          <w:color w:val="000000" w:themeColor="text1"/>
          <w:kern w:val="0"/>
          <w:szCs w:val="21"/>
        </w:rPr>
        <w:t>月</w:t>
      </w:r>
      <w:r w:rsidRPr="00896265">
        <w:rPr>
          <w:rFonts w:eastAsiaTheme="minorEastAsia"/>
          <w:color w:val="000000" w:themeColor="text1"/>
          <w:kern w:val="0"/>
          <w:szCs w:val="21"/>
        </w:rPr>
        <w:t>11</w:t>
      </w:r>
      <w:r w:rsidRPr="00896265">
        <w:rPr>
          <w:rFonts w:eastAsiaTheme="minorEastAsia"/>
          <w:color w:val="000000" w:themeColor="text1"/>
          <w:kern w:val="0"/>
          <w:szCs w:val="21"/>
        </w:rPr>
        <w:t>日起，本基金业绩比较基准由</w:t>
      </w:r>
      <w:r w:rsidRPr="00896265">
        <w:rPr>
          <w:rFonts w:eastAsiaTheme="minorEastAsia"/>
          <w:color w:val="000000" w:themeColor="text1"/>
          <w:kern w:val="0"/>
          <w:szCs w:val="21"/>
        </w:rPr>
        <w:t>“</w:t>
      </w:r>
      <w:r w:rsidRPr="00896265">
        <w:rPr>
          <w:rFonts w:eastAsiaTheme="minorEastAsia"/>
          <w:color w:val="000000" w:themeColor="text1"/>
          <w:kern w:val="0"/>
          <w:szCs w:val="21"/>
        </w:rPr>
        <w:t>以伦敦黄金市场下午定盘价计价的国际现货黄金（经汇率折算）</w:t>
      </w:r>
      <w:r w:rsidRPr="00896265">
        <w:rPr>
          <w:rFonts w:eastAsiaTheme="minorEastAsia"/>
          <w:color w:val="000000" w:themeColor="text1"/>
          <w:kern w:val="0"/>
          <w:szCs w:val="21"/>
        </w:rPr>
        <w:t>”</w:t>
      </w:r>
      <w:r w:rsidRPr="00896265">
        <w:rPr>
          <w:rFonts w:eastAsiaTheme="minorEastAsia"/>
          <w:color w:val="000000" w:themeColor="text1"/>
          <w:kern w:val="0"/>
          <w:szCs w:val="21"/>
        </w:rPr>
        <w:t>调整为</w:t>
      </w:r>
      <w:r w:rsidRPr="00896265">
        <w:rPr>
          <w:rFonts w:eastAsiaTheme="minorEastAsia"/>
          <w:color w:val="000000" w:themeColor="text1"/>
          <w:kern w:val="0"/>
          <w:szCs w:val="21"/>
        </w:rPr>
        <w:t>“</w:t>
      </w:r>
      <w:r w:rsidRPr="00896265">
        <w:rPr>
          <w:rFonts w:eastAsiaTheme="minorEastAsia"/>
          <w:color w:val="000000" w:themeColor="text1"/>
          <w:kern w:val="0"/>
          <w:szCs w:val="21"/>
        </w:rPr>
        <w:t>以伦敦黄金市场下午定盘价计价的国际现货黄金（经汇率折算）</w:t>
      </w:r>
      <w:r w:rsidRPr="00896265">
        <w:rPr>
          <w:rFonts w:eastAsiaTheme="minorEastAsia"/>
          <w:color w:val="000000" w:themeColor="text1"/>
          <w:kern w:val="0"/>
          <w:szCs w:val="21"/>
        </w:rPr>
        <w:t>×50%+MSCI</w:t>
      </w:r>
      <w:r w:rsidRPr="00896265">
        <w:rPr>
          <w:rFonts w:eastAsiaTheme="minorEastAsia"/>
          <w:color w:val="000000" w:themeColor="text1"/>
          <w:kern w:val="0"/>
          <w:szCs w:val="21"/>
        </w:rPr>
        <w:t>全球金矿股指数（</w:t>
      </w:r>
      <w:r w:rsidRPr="00896265">
        <w:rPr>
          <w:rFonts w:eastAsiaTheme="minorEastAsia"/>
          <w:color w:val="000000" w:themeColor="text1"/>
          <w:kern w:val="0"/>
          <w:szCs w:val="21"/>
        </w:rPr>
        <w:t>MSCI ACWI SELECT GOLD MINERS IMI INDEX</w:t>
      </w:r>
      <w:r w:rsidRPr="00896265">
        <w:rPr>
          <w:rFonts w:eastAsiaTheme="minorEastAsia"/>
          <w:color w:val="000000" w:themeColor="text1"/>
          <w:kern w:val="0"/>
          <w:szCs w:val="21"/>
        </w:rPr>
        <w:t>）</w:t>
      </w:r>
      <w:r w:rsidRPr="00896265">
        <w:rPr>
          <w:rFonts w:eastAsiaTheme="minorEastAsia"/>
          <w:color w:val="000000" w:themeColor="text1"/>
          <w:kern w:val="0"/>
          <w:szCs w:val="21"/>
        </w:rPr>
        <w:t>×50%”</w:t>
      </w:r>
      <w:r w:rsidRPr="00896265">
        <w:rPr>
          <w:rFonts w:eastAsiaTheme="minorEastAsia"/>
          <w:color w:val="000000" w:themeColor="text1"/>
          <w:kern w:val="0"/>
          <w:szCs w:val="21"/>
        </w:rPr>
        <w:t>。</w:t>
      </w:r>
      <w:r w:rsidRPr="00896265">
        <w:rPr>
          <w:rFonts w:eastAsiaTheme="minorEastAsia"/>
          <w:color w:val="000000" w:themeColor="text1"/>
          <w:kern w:val="0"/>
          <w:szCs w:val="21"/>
        </w:rPr>
        <w:t>MSCI</w:t>
      </w:r>
      <w:r w:rsidRPr="00896265">
        <w:rPr>
          <w:rFonts w:eastAsiaTheme="minorEastAsia"/>
          <w:color w:val="000000" w:themeColor="text1"/>
          <w:kern w:val="0"/>
          <w:szCs w:val="21"/>
        </w:rPr>
        <w:t>全球金矿股指数（</w:t>
      </w:r>
      <w:r w:rsidRPr="00896265">
        <w:rPr>
          <w:rFonts w:eastAsiaTheme="minorEastAsia"/>
          <w:color w:val="000000" w:themeColor="text1"/>
          <w:kern w:val="0"/>
          <w:szCs w:val="21"/>
        </w:rPr>
        <w:t>MSCI ACWI SELECT GOLD MINERS IMI INDEX</w:t>
      </w:r>
      <w:r w:rsidRPr="00896265">
        <w:rPr>
          <w:rFonts w:eastAsiaTheme="minorEastAsia"/>
          <w:color w:val="000000" w:themeColor="text1"/>
          <w:kern w:val="0"/>
          <w:szCs w:val="21"/>
        </w:rPr>
        <w:t>）由</w:t>
      </w:r>
      <w:r w:rsidRPr="00896265">
        <w:rPr>
          <w:rFonts w:eastAsiaTheme="minorEastAsia"/>
          <w:color w:val="000000" w:themeColor="text1"/>
          <w:kern w:val="0"/>
          <w:szCs w:val="21"/>
        </w:rPr>
        <w:t>MSCI</w:t>
      </w:r>
      <w:r w:rsidRPr="00896265">
        <w:rPr>
          <w:rFonts w:eastAsiaTheme="minorEastAsia"/>
          <w:color w:val="000000" w:themeColor="text1"/>
          <w:kern w:val="0"/>
          <w:szCs w:val="21"/>
        </w:rPr>
        <w:t>编制，由全球主要黄金采掘企业股票组成。而本基金为黄金主题基金，投资于基金的资产合计不低于本基金基金资产净值的</w:t>
      </w:r>
      <w:r w:rsidRPr="00896265">
        <w:rPr>
          <w:rFonts w:eastAsiaTheme="minorEastAsia"/>
          <w:color w:val="000000" w:themeColor="text1"/>
          <w:kern w:val="0"/>
          <w:szCs w:val="21"/>
        </w:rPr>
        <w:t>60%</w:t>
      </w:r>
      <w:r w:rsidRPr="00896265">
        <w:rPr>
          <w:rFonts w:eastAsiaTheme="minorEastAsia"/>
          <w:color w:val="000000" w:themeColor="text1"/>
          <w:kern w:val="0"/>
          <w:szCs w:val="21"/>
        </w:rPr>
        <w:t>，投资于基金的资产中不低于</w:t>
      </w:r>
      <w:r w:rsidRPr="00896265">
        <w:rPr>
          <w:rFonts w:eastAsiaTheme="minorEastAsia"/>
          <w:color w:val="000000" w:themeColor="text1"/>
          <w:kern w:val="0"/>
          <w:szCs w:val="21"/>
        </w:rPr>
        <w:t>80%</w:t>
      </w:r>
      <w:r w:rsidRPr="00896265">
        <w:rPr>
          <w:rFonts w:eastAsiaTheme="minorEastAsia"/>
          <w:color w:val="000000" w:themeColor="text1"/>
          <w:kern w:val="0"/>
          <w:szCs w:val="21"/>
        </w:rPr>
        <w:t>投资于黄金基金，黄金基金指黄金</w:t>
      </w:r>
      <w:r w:rsidRPr="00896265">
        <w:rPr>
          <w:rFonts w:eastAsiaTheme="minorEastAsia"/>
          <w:color w:val="000000" w:themeColor="text1"/>
          <w:kern w:val="0"/>
          <w:szCs w:val="21"/>
        </w:rPr>
        <w:t>ETF</w:t>
      </w:r>
      <w:r w:rsidRPr="00896265">
        <w:rPr>
          <w:rFonts w:eastAsiaTheme="minorEastAsia"/>
          <w:color w:val="000000" w:themeColor="text1"/>
          <w:kern w:val="0"/>
          <w:szCs w:val="21"/>
        </w:rPr>
        <w:t>（即跟踪黄金价格或黄金价格指数的</w:t>
      </w:r>
      <w:r w:rsidRPr="00896265">
        <w:rPr>
          <w:rFonts w:eastAsiaTheme="minorEastAsia"/>
          <w:color w:val="000000" w:themeColor="text1"/>
          <w:kern w:val="0"/>
          <w:szCs w:val="21"/>
        </w:rPr>
        <w:t>ETF</w:t>
      </w:r>
      <w:r w:rsidRPr="00896265">
        <w:rPr>
          <w:rFonts w:eastAsiaTheme="minorEastAsia"/>
          <w:color w:val="000000" w:themeColor="text1"/>
          <w:kern w:val="0"/>
          <w:szCs w:val="21"/>
        </w:rPr>
        <w:t>）及黄金股票基金（包括跟踪黄金股票指数的指数基金和</w:t>
      </w:r>
      <w:r w:rsidRPr="00896265">
        <w:rPr>
          <w:rFonts w:eastAsiaTheme="minorEastAsia"/>
          <w:color w:val="000000" w:themeColor="text1"/>
          <w:kern w:val="0"/>
          <w:szCs w:val="21"/>
        </w:rPr>
        <w:t>ETF</w:t>
      </w:r>
      <w:r w:rsidRPr="00896265">
        <w:rPr>
          <w:rFonts w:eastAsiaTheme="minorEastAsia"/>
          <w:color w:val="000000" w:themeColor="text1"/>
          <w:kern w:val="0"/>
          <w:szCs w:val="21"/>
        </w:rPr>
        <w:t>，以及</w:t>
      </w:r>
      <w:r w:rsidRPr="00896265">
        <w:rPr>
          <w:rFonts w:eastAsiaTheme="minorEastAsia"/>
          <w:color w:val="000000" w:themeColor="text1"/>
          <w:kern w:val="0"/>
          <w:szCs w:val="21"/>
        </w:rPr>
        <w:t>80%</w:t>
      </w:r>
      <w:r w:rsidRPr="00896265">
        <w:rPr>
          <w:rFonts w:eastAsiaTheme="minorEastAsia"/>
          <w:color w:val="000000" w:themeColor="text1"/>
          <w:kern w:val="0"/>
          <w:szCs w:val="21"/>
        </w:rPr>
        <w:t>以上基金资产投资于黄金采掘公司股票的主动基金）。基金管理人在对黄金基金、黄金采掘公司股票以及与其他资产进行主动配置的过程中，黄金价格和黄金采掘公司股票价格是影响投资判断的关键因素。采用</w:t>
      </w:r>
      <w:r w:rsidRPr="00896265">
        <w:rPr>
          <w:rFonts w:eastAsiaTheme="minorEastAsia"/>
          <w:color w:val="000000" w:themeColor="text1"/>
          <w:kern w:val="0"/>
          <w:szCs w:val="21"/>
        </w:rPr>
        <w:t>“</w:t>
      </w:r>
      <w:r w:rsidRPr="00896265">
        <w:rPr>
          <w:rFonts w:eastAsiaTheme="minorEastAsia"/>
          <w:color w:val="000000" w:themeColor="text1"/>
          <w:kern w:val="0"/>
          <w:szCs w:val="21"/>
        </w:rPr>
        <w:t>以伦敦黄金市场下午定盘价计价的国际现货黄金（经汇率折算）</w:t>
      </w:r>
      <w:r w:rsidRPr="00896265">
        <w:rPr>
          <w:rFonts w:eastAsiaTheme="minorEastAsia"/>
          <w:color w:val="000000" w:themeColor="text1"/>
          <w:kern w:val="0"/>
          <w:szCs w:val="21"/>
        </w:rPr>
        <w:t>×50%+MSCI</w:t>
      </w:r>
      <w:r w:rsidRPr="00896265">
        <w:rPr>
          <w:rFonts w:eastAsiaTheme="minorEastAsia"/>
          <w:color w:val="000000" w:themeColor="text1"/>
          <w:kern w:val="0"/>
          <w:szCs w:val="21"/>
        </w:rPr>
        <w:t>全球金矿股指数（</w:t>
      </w:r>
      <w:r w:rsidRPr="00896265">
        <w:rPr>
          <w:rFonts w:eastAsiaTheme="minorEastAsia"/>
          <w:color w:val="000000" w:themeColor="text1"/>
          <w:kern w:val="0"/>
          <w:szCs w:val="21"/>
        </w:rPr>
        <w:t>MSCI ACWI SELECT GOLD MINERS IMI INDEX</w:t>
      </w:r>
      <w:r w:rsidRPr="00896265">
        <w:rPr>
          <w:rFonts w:eastAsiaTheme="minorEastAsia"/>
          <w:color w:val="000000" w:themeColor="text1"/>
          <w:kern w:val="0"/>
          <w:szCs w:val="21"/>
        </w:rPr>
        <w:t>）</w:t>
      </w:r>
      <w:r w:rsidRPr="00896265">
        <w:rPr>
          <w:rFonts w:eastAsiaTheme="minorEastAsia"/>
          <w:color w:val="000000" w:themeColor="text1"/>
          <w:kern w:val="0"/>
          <w:szCs w:val="21"/>
        </w:rPr>
        <w:t>×50%”</w:t>
      </w:r>
      <w:r w:rsidRPr="00896265">
        <w:rPr>
          <w:rFonts w:eastAsiaTheme="minorEastAsia"/>
          <w:color w:val="000000" w:themeColor="text1"/>
          <w:kern w:val="0"/>
          <w:szCs w:val="21"/>
        </w:rPr>
        <w:t>作为业绩比较基准，能够相对比较真实、客观地反映本基金的风险收益特征。基金业绩比较基准收益率在变更前后期间分别根据相应的指标计算。</w:t>
      </w:r>
    </w:p>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40" w:name="_Toc225498247"/>
      <w:bookmarkStart w:id="41" w:name="_Toc352255963"/>
      <w:bookmarkStart w:id="42" w:name="_Toc352256031"/>
      <w:bookmarkStart w:id="43" w:name="_Toc352331209"/>
      <w:bookmarkStart w:id="44" w:name="_Toc362423987"/>
      <w:bookmarkStart w:id="45" w:name="_Toc35533797"/>
      <w:r w:rsidRPr="00940842">
        <w:rPr>
          <w:rFonts w:asciiTheme="majorEastAsia" w:eastAsiaTheme="majorEastAsia" w:hAnsiTheme="majorEastAsia"/>
          <w:color w:val="000000" w:themeColor="text1"/>
          <w:kern w:val="0"/>
          <w:sz w:val="21"/>
          <w:szCs w:val="21"/>
        </w:rPr>
        <w:t>2.3</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基金管理人和基金托管人</w:t>
      </w:r>
      <w:bookmarkEnd w:id="40"/>
      <w:bookmarkEnd w:id="41"/>
      <w:bookmarkEnd w:id="42"/>
      <w:bookmarkEnd w:id="43"/>
      <w:bookmarkEnd w:id="44"/>
      <w:bookmarkEnd w:id="4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60957" w:rsidRPr="00896265" w:rsidTr="006D141C">
        <w:tc>
          <w:tcPr>
            <w:tcW w:w="2631" w:type="dxa"/>
            <w:gridSpan w:val="2"/>
            <w:vAlign w:val="center"/>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项目</w:t>
            </w:r>
          </w:p>
        </w:tc>
        <w:tc>
          <w:tcPr>
            <w:tcW w:w="306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基金管理人</w:t>
            </w:r>
          </w:p>
        </w:tc>
        <w:tc>
          <w:tcPr>
            <w:tcW w:w="306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基金托管人</w:t>
            </w:r>
          </w:p>
        </w:tc>
      </w:tr>
      <w:tr w:rsidR="00E60957" w:rsidRPr="00896265" w:rsidTr="006D141C">
        <w:tc>
          <w:tcPr>
            <w:tcW w:w="2631" w:type="dxa"/>
            <w:gridSpan w:val="2"/>
            <w:vAlign w:val="center"/>
          </w:tcPr>
          <w:p w:rsidR="007B62FA" w:rsidRPr="00896265"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896265">
              <w:rPr>
                <w:rFonts w:eastAsiaTheme="minorEastAsia"/>
                <w:color w:val="000000" w:themeColor="text1"/>
                <w:kern w:val="0"/>
                <w:szCs w:val="21"/>
              </w:rPr>
              <w:t>名称</w:t>
            </w:r>
          </w:p>
        </w:tc>
        <w:tc>
          <w:tcPr>
            <w:tcW w:w="3060" w:type="dxa"/>
            <w:vAlign w:val="center"/>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易方达基金管理有限公司</w:t>
            </w:r>
          </w:p>
        </w:tc>
        <w:tc>
          <w:tcPr>
            <w:tcW w:w="3060" w:type="dxa"/>
            <w:vAlign w:val="center"/>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中国农业银行股份有限公司</w:t>
            </w:r>
          </w:p>
        </w:tc>
      </w:tr>
      <w:tr w:rsidR="00E60957" w:rsidRPr="00896265" w:rsidTr="006D141C">
        <w:tc>
          <w:tcPr>
            <w:tcW w:w="1260" w:type="dxa"/>
            <w:vMerge w:val="restart"/>
            <w:vAlign w:val="center"/>
          </w:tcPr>
          <w:p w:rsidR="007B62FA" w:rsidRPr="00896265"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896265">
              <w:rPr>
                <w:rFonts w:eastAsiaTheme="minorEastAsia"/>
                <w:color w:val="000000" w:themeColor="text1"/>
                <w:szCs w:val="21"/>
              </w:rPr>
              <w:t>信息披露负责人</w:t>
            </w:r>
          </w:p>
        </w:tc>
        <w:tc>
          <w:tcPr>
            <w:tcW w:w="1371"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姓名</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张南</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贺倩</w:t>
            </w:r>
          </w:p>
        </w:tc>
      </w:tr>
      <w:tr w:rsidR="00E60957" w:rsidRPr="00896265" w:rsidTr="006D141C">
        <w:tc>
          <w:tcPr>
            <w:tcW w:w="2631" w:type="dxa"/>
            <w:vMerge/>
            <w:vAlign w:val="center"/>
          </w:tcPr>
          <w:p w:rsidR="007B62FA" w:rsidRPr="00896265"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szCs w:val="21"/>
              </w:rPr>
              <w:t>联系电话</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020-85102688</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010-66060069</w:t>
            </w:r>
          </w:p>
        </w:tc>
      </w:tr>
      <w:tr w:rsidR="00E60957" w:rsidRPr="00896265" w:rsidTr="006D141C">
        <w:tc>
          <w:tcPr>
            <w:tcW w:w="2631" w:type="dxa"/>
            <w:vMerge/>
            <w:vAlign w:val="center"/>
          </w:tcPr>
          <w:p w:rsidR="007B62FA" w:rsidRPr="00896265"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szCs w:val="21"/>
              </w:rPr>
              <w:t>电子邮箱</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service@efunds.com.cn</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tgxxpl@abchina.com</w:t>
            </w:r>
          </w:p>
        </w:tc>
      </w:tr>
      <w:tr w:rsidR="00E60957" w:rsidRPr="00896265" w:rsidTr="006D141C">
        <w:tc>
          <w:tcPr>
            <w:tcW w:w="2631" w:type="dxa"/>
            <w:gridSpan w:val="2"/>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客户服务电话</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400 881 8088</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95599</w:t>
            </w:r>
          </w:p>
        </w:tc>
      </w:tr>
      <w:tr w:rsidR="00E60957" w:rsidRPr="00896265" w:rsidTr="006D141C">
        <w:tc>
          <w:tcPr>
            <w:tcW w:w="2631" w:type="dxa"/>
            <w:gridSpan w:val="2"/>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传真</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020-85104666</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010-68121816</w:t>
            </w:r>
          </w:p>
        </w:tc>
      </w:tr>
      <w:tr w:rsidR="00E60957" w:rsidRPr="00896265" w:rsidTr="006D141C">
        <w:tc>
          <w:tcPr>
            <w:tcW w:w="2631" w:type="dxa"/>
            <w:gridSpan w:val="2"/>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注册地址</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广东省珠海市横琴新区宝华路</w:t>
            </w:r>
            <w:r w:rsidRPr="00896265">
              <w:rPr>
                <w:rFonts w:eastAsiaTheme="minorEastAsia"/>
                <w:color w:val="000000" w:themeColor="text1"/>
                <w:kern w:val="0"/>
                <w:szCs w:val="21"/>
              </w:rPr>
              <w:t>6</w:t>
            </w:r>
            <w:r w:rsidRPr="00896265">
              <w:rPr>
                <w:rFonts w:eastAsiaTheme="minorEastAsia"/>
                <w:color w:val="000000" w:themeColor="text1"/>
                <w:kern w:val="0"/>
                <w:szCs w:val="21"/>
              </w:rPr>
              <w:t>号</w:t>
            </w:r>
            <w:r w:rsidRPr="00896265">
              <w:rPr>
                <w:rFonts w:eastAsiaTheme="minorEastAsia"/>
                <w:color w:val="000000" w:themeColor="text1"/>
                <w:kern w:val="0"/>
                <w:szCs w:val="21"/>
              </w:rPr>
              <w:t>105</w:t>
            </w:r>
            <w:r w:rsidRPr="00896265">
              <w:rPr>
                <w:rFonts w:eastAsiaTheme="minorEastAsia"/>
                <w:color w:val="000000" w:themeColor="text1"/>
                <w:kern w:val="0"/>
                <w:szCs w:val="21"/>
              </w:rPr>
              <w:t>室－</w:t>
            </w:r>
            <w:r w:rsidRPr="00896265">
              <w:rPr>
                <w:rFonts w:eastAsiaTheme="minorEastAsia"/>
                <w:color w:val="000000" w:themeColor="text1"/>
                <w:kern w:val="0"/>
                <w:szCs w:val="21"/>
              </w:rPr>
              <w:t>42891</w:t>
            </w:r>
            <w:r w:rsidRPr="00896265">
              <w:rPr>
                <w:rFonts w:eastAsiaTheme="minorEastAsia"/>
                <w:color w:val="000000" w:themeColor="text1"/>
                <w:kern w:val="0"/>
                <w:szCs w:val="21"/>
              </w:rPr>
              <w:t>（集中办公区）</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北京市东城区建国门内大街</w:t>
            </w:r>
            <w:r w:rsidRPr="00896265">
              <w:rPr>
                <w:rFonts w:eastAsiaTheme="minorEastAsia"/>
                <w:color w:val="000000" w:themeColor="text1"/>
                <w:kern w:val="0"/>
                <w:szCs w:val="21"/>
              </w:rPr>
              <w:t>69</w:t>
            </w:r>
            <w:r w:rsidRPr="00896265">
              <w:rPr>
                <w:rFonts w:eastAsiaTheme="minorEastAsia"/>
                <w:color w:val="000000" w:themeColor="text1"/>
                <w:kern w:val="0"/>
                <w:szCs w:val="21"/>
              </w:rPr>
              <w:t>号</w:t>
            </w:r>
          </w:p>
        </w:tc>
      </w:tr>
      <w:tr w:rsidR="00E60957" w:rsidRPr="00896265" w:rsidTr="006D141C">
        <w:tc>
          <w:tcPr>
            <w:tcW w:w="2631" w:type="dxa"/>
            <w:gridSpan w:val="2"/>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办公地址</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广州市天河区珠江新城珠江东路</w:t>
            </w:r>
            <w:r w:rsidRPr="00896265">
              <w:rPr>
                <w:rFonts w:eastAsiaTheme="minorEastAsia"/>
                <w:color w:val="000000" w:themeColor="text1"/>
                <w:kern w:val="0"/>
                <w:szCs w:val="21"/>
              </w:rPr>
              <w:t>30</w:t>
            </w:r>
            <w:r w:rsidRPr="00896265">
              <w:rPr>
                <w:rFonts w:eastAsiaTheme="minorEastAsia"/>
                <w:color w:val="000000" w:themeColor="text1"/>
                <w:kern w:val="0"/>
                <w:szCs w:val="21"/>
              </w:rPr>
              <w:t>号广州银行大厦</w:t>
            </w:r>
            <w:r w:rsidRPr="00896265">
              <w:rPr>
                <w:rFonts w:eastAsiaTheme="minorEastAsia"/>
                <w:color w:val="000000" w:themeColor="text1"/>
                <w:kern w:val="0"/>
                <w:szCs w:val="21"/>
              </w:rPr>
              <w:t>40-43</w:t>
            </w:r>
            <w:r w:rsidRPr="00896265">
              <w:rPr>
                <w:rFonts w:eastAsiaTheme="minorEastAsia"/>
                <w:color w:val="000000" w:themeColor="text1"/>
                <w:kern w:val="0"/>
                <w:szCs w:val="21"/>
              </w:rPr>
              <w:t>楼</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北京市西城区复兴门内大街</w:t>
            </w:r>
            <w:r w:rsidRPr="00896265">
              <w:rPr>
                <w:rFonts w:eastAsiaTheme="minorEastAsia"/>
                <w:color w:val="000000" w:themeColor="text1"/>
                <w:kern w:val="0"/>
                <w:szCs w:val="21"/>
              </w:rPr>
              <w:t>28</w:t>
            </w:r>
            <w:r w:rsidRPr="00896265">
              <w:rPr>
                <w:rFonts w:eastAsiaTheme="minorEastAsia"/>
                <w:color w:val="000000" w:themeColor="text1"/>
                <w:kern w:val="0"/>
                <w:szCs w:val="21"/>
              </w:rPr>
              <w:t>号凯晨世贸中心东座</w:t>
            </w:r>
            <w:r w:rsidRPr="00896265">
              <w:rPr>
                <w:rFonts w:eastAsiaTheme="minorEastAsia"/>
                <w:color w:val="000000" w:themeColor="text1"/>
                <w:kern w:val="0"/>
                <w:szCs w:val="21"/>
              </w:rPr>
              <w:t>F9</w:t>
            </w:r>
          </w:p>
        </w:tc>
      </w:tr>
      <w:tr w:rsidR="00E60957" w:rsidRPr="00896265" w:rsidTr="006D141C">
        <w:tc>
          <w:tcPr>
            <w:tcW w:w="2631" w:type="dxa"/>
            <w:gridSpan w:val="2"/>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邮政编码</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510620</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100031</w:t>
            </w:r>
          </w:p>
        </w:tc>
      </w:tr>
      <w:tr w:rsidR="00E60957" w:rsidRPr="00896265" w:rsidTr="006D141C">
        <w:tc>
          <w:tcPr>
            <w:tcW w:w="2631" w:type="dxa"/>
            <w:gridSpan w:val="2"/>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法定代表人</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刘晓艳</w:t>
            </w:r>
          </w:p>
        </w:tc>
        <w:tc>
          <w:tcPr>
            <w:tcW w:w="3060" w:type="dxa"/>
            <w:vAlign w:val="bottom"/>
          </w:tcPr>
          <w:p w:rsidR="007B62FA" w:rsidRPr="00896265"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896265">
              <w:rPr>
                <w:rFonts w:eastAsiaTheme="minorEastAsia"/>
                <w:color w:val="000000" w:themeColor="text1"/>
                <w:kern w:val="0"/>
                <w:szCs w:val="21"/>
              </w:rPr>
              <w:t>周慕冰</w:t>
            </w:r>
          </w:p>
        </w:tc>
      </w:tr>
    </w:tbl>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46" w:name="_Toc224618346"/>
      <w:bookmarkStart w:id="47" w:name="_Toc235605676"/>
      <w:bookmarkStart w:id="48" w:name="_Toc286929724"/>
      <w:bookmarkStart w:id="49" w:name="_Toc352255964"/>
      <w:bookmarkStart w:id="50" w:name="_Toc352256032"/>
      <w:bookmarkStart w:id="51" w:name="_Toc352331210"/>
      <w:bookmarkStart w:id="52" w:name="_Toc362423988"/>
      <w:bookmarkStart w:id="53" w:name="_Toc35533798"/>
      <w:r w:rsidRPr="00940842">
        <w:rPr>
          <w:rFonts w:asciiTheme="majorEastAsia" w:eastAsiaTheme="majorEastAsia" w:hAnsiTheme="majorEastAsia"/>
          <w:color w:val="000000" w:themeColor="text1"/>
          <w:kern w:val="0"/>
          <w:sz w:val="21"/>
          <w:szCs w:val="21"/>
        </w:rPr>
        <w:t>2.4</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境外投资顾问和境外资产托管人</w:t>
      </w:r>
      <w:bookmarkEnd w:id="46"/>
      <w:bookmarkEnd w:id="47"/>
      <w:bookmarkEnd w:id="48"/>
      <w:bookmarkEnd w:id="49"/>
      <w:bookmarkEnd w:id="50"/>
      <w:bookmarkEnd w:id="51"/>
      <w:bookmarkEnd w:id="52"/>
      <w:bookmarkEnd w:id="5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E60957" w:rsidRPr="00896265" w:rsidTr="004B68EC">
        <w:tc>
          <w:tcPr>
            <w:tcW w:w="1800" w:type="dxa"/>
            <w:gridSpan w:val="2"/>
            <w:vAlign w:val="center"/>
          </w:tcPr>
          <w:p w:rsidR="007B62FA" w:rsidRPr="00896265" w:rsidRDefault="007B62FA" w:rsidP="00713FB1">
            <w:pPr>
              <w:spacing w:line="360" w:lineRule="auto"/>
              <w:jc w:val="center"/>
              <w:rPr>
                <w:rFonts w:eastAsiaTheme="minorEastAsia"/>
                <w:color w:val="000000" w:themeColor="text1"/>
                <w:szCs w:val="21"/>
              </w:rPr>
            </w:pPr>
            <w:r w:rsidRPr="00896265">
              <w:rPr>
                <w:rFonts w:eastAsiaTheme="minorEastAsia"/>
                <w:color w:val="000000" w:themeColor="text1"/>
                <w:szCs w:val="21"/>
              </w:rPr>
              <w:t>项目</w:t>
            </w:r>
          </w:p>
        </w:tc>
        <w:tc>
          <w:tcPr>
            <w:tcW w:w="3600" w:type="dxa"/>
            <w:vAlign w:val="center"/>
          </w:tcPr>
          <w:p w:rsidR="007B62FA" w:rsidRPr="00896265" w:rsidRDefault="007B62FA" w:rsidP="009419AE">
            <w:pPr>
              <w:spacing w:line="360" w:lineRule="auto"/>
              <w:jc w:val="center"/>
              <w:rPr>
                <w:rFonts w:eastAsiaTheme="minorEastAsia"/>
                <w:color w:val="000000" w:themeColor="text1"/>
                <w:szCs w:val="21"/>
              </w:rPr>
            </w:pPr>
            <w:r w:rsidRPr="00896265">
              <w:rPr>
                <w:rFonts w:eastAsiaTheme="minorEastAsia"/>
                <w:color w:val="000000" w:themeColor="text1"/>
                <w:kern w:val="0"/>
                <w:szCs w:val="21"/>
              </w:rPr>
              <w:t>境外投资顾问</w:t>
            </w:r>
          </w:p>
        </w:tc>
        <w:tc>
          <w:tcPr>
            <w:tcW w:w="3600" w:type="dxa"/>
            <w:vAlign w:val="center"/>
          </w:tcPr>
          <w:p w:rsidR="007B62FA" w:rsidRPr="00896265" w:rsidRDefault="007B62FA" w:rsidP="00FD137B">
            <w:pPr>
              <w:spacing w:line="360" w:lineRule="auto"/>
              <w:jc w:val="center"/>
              <w:rPr>
                <w:rFonts w:eastAsiaTheme="minorEastAsia"/>
                <w:color w:val="000000" w:themeColor="text1"/>
                <w:szCs w:val="21"/>
              </w:rPr>
            </w:pPr>
            <w:r w:rsidRPr="00896265">
              <w:rPr>
                <w:rFonts w:eastAsiaTheme="minorEastAsia"/>
                <w:color w:val="000000" w:themeColor="text1"/>
                <w:kern w:val="0"/>
                <w:szCs w:val="21"/>
              </w:rPr>
              <w:t>境外资产托管人</w:t>
            </w:r>
          </w:p>
        </w:tc>
      </w:tr>
      <w:tr w:rsidR="00E60957" w:rsidRPr="00896265" w:rsidTr="00473704">
        <w:trPr>
          <w:trHeight w:val="370"/>
        </w:trPr>
        <w:tc>
          <w:tcPr>
            <w:tcW w:w="900" w:type="dxa"/>
            <w:vMerge w:val="restart"/>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名称</w:t>
            </w:r>
          </w:p>
        </w:tc>
        <w:tc>
          <w:tcPr>
            <w:tcW w:w="90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英文</w:t>
            </w:r>
          </w:p>
        </w:tc>
        <w:tc>
          <w:tcPr>
            <w:tcW w:w="3600" w:type="dxa"/>
            <w:vAlign w:val="center"/>
          </w:tcPr>
          <w:p w:rsidR="007B62FA" w:rsidRPr="00896265" w:rsidRDefault="009419AE" w:rsidP="009419AE">
            <w:pPr>
              <w:spacing w:line="360" w:lineRule="auto"/>
              <w:rPr>
                <w:rFonts w:eastAsiaTheme="minorEastAsia"/>
                <w:color w:val="000000" w:themeColor="text1"/>
                <w:szCs w:val="21"/>
              </w:rPr>
            </w:pPr>
            <w:r w:rsidRPr="00896265">
              <w:rPr>
                <w:rFonts w:eastAsiaTheme="minorEastAsia"/>
                <w:color w:val="000000" w:themeColor="text1"/>
                <w:szCs w:val="21"/>
              </w:rPr>
              <w:t>无</w:t>
            </w:r>
          </w:p>
        </w:tc>
        <w:tc>
          <w:tcPr>
            <w:tcW w:w="3600" w:type="dxa"/>
            <w:vAlign w:val="center"/>
          </w:tcPr>
          <w:p w:rsidR="007B62FA" w:rsidRPr="00896265" w:rsidRDefault="007B62FA" w:rsidP="00FD137B">
            <w:pPr>
              <w:spacing w:line="360" w:lineRule="auto"/>
              <w:rPr>
                <w:rFonts w:eastAsiaTheme="minorEastAsia"/>
                <w:color w:val="000000" w:themeColor="text1"/>
                <w:szCs w:val="21"/>
              </w:rPr>
            </w:pPr>
            <w:r w:rsidRPr="00896265">
              <w:rPr>
                <w:rFonts w:eastAsiaTheme="minorEastAsia"/>
                <w:color w:val="000000" w:themeColor="text1"/>
                <w:szCs w:val="21"/>
              </w:rPr>
              <w:t>The Hongkong and Shanghai Banking Corporation Limited</w:t>
            </w:r>
          </w:p>
        </w:tc>
      </w:tr>
      <w:tr w:rsidR="00E60957" w:rsidRPr="00896265" w:rsidTr="00473704">
        <w:trPr>
          <w:trHeight w:val="335"/>
        </w:trPr>
        <w:tc>
          <w:tcPr>
            <w:tcW w:w="900" w:type="dxa"/>
            <w:vMerge/>
            <w:vAlign w:val="center"/>
          </w:tcPr>
          <w:p w:rsidR="007B62FA" w:rsidRPr="00896265" w:rsidRDefault="007B62FA" w:rsidP="00417F87">
            <w:pPr>
              <w:spacing w:line="360" w:lineRule="auto"/>
              <w:jc w:val="center"/>
              <w:rPr>
                <w:rFonts w:eastAsiaTheme="minorEastAsia"/>
                <w:color w:val="000000" w:themeColor="text1"/>
                <w:szCs w:val="21"/>
              </w:rPr>
            </w:pPr>
          </w:p>
        </w:tc>
        <w:tc>
          <w:tcPr>
            <w:tcW w:w="90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中文</w:t>
            </w:r>
          </w:p>
        </w:tc>
        <w:tc>
          <w:tcPr>
            <w:tcW w:w="3600" w:type="dxa"/>
            <w:vAlign w:val="center"/>
          </w:tcPr>
          <w:p w:rsidR="007B62FA" w:rsidRPr="00896265" w:rsidRDefault="009419AE" w:rsidP="009419AE">
            <w:pPr>
              <w:spacing w:line="360" w:lineRule="auto"/>
              <w:rPr>
                <w:rFonts w:eastAsiaTheme="minorEastAsia"/>
                <w:color w:val="000000" w:themeColor="text1"/>
                <w:szCs w:val="21"/>
              </w:rPr>
            </w:pPr>
            <w:r w:rsidRPr="00896265">
              <w:rPr>
                <w:rFonts w:eastAsiaTheme="minorEastAsia"/>
                <w:color w:val="000000" w:themeColor="text1"/>
                <w:szCs w:val="21"/>
              </w:rPr>
              <w:t>无</w:t>
            </w:r>
          </w:p>
        </w:tc>
        <w:tc>
          <w:tcPr>
            <w:tcW w:w="3600" w:type="dxa"/>
            <w:vAlign w:val="center"/>
          </w:tcPr>
          <w:p w:rsidR="007B62FA" w:rsidRPr="00896265" w:rsidRDefault="007B62FA" w:rsidP="00FD137B">
            <w:pPr>
              <w:spacing w:line="360" w:lineRule="auto"/>
              <w:rPr>
                <w:rFonts w:eastAsiaTheme="minorEastAsia"/>
                <w:color w:val="000000" w:themeColor="text1"/>
                <w:szCs w:val="21"/>
              </w:rPr>
            </w:pPr>
            <w:r w:rsidRPr="00896265">
              <w:rPr>
                <w:rFonts w:eastAsiaTheme="minorEastAsia"/>
                <w:color w:val="000000" w:themeColor="text1"/>
                <w:szCs w:val="21"/>
              </w:rPr>
              <w:t>香港上海汇丰银行有限公司</w:t>
            </w:r>
          </w:p>
        </w:tc>
      </w:tr>
      <w:tr w:rsidR="00E60957" w:rsidRPr="00896265" w:rsidTr="00473704">
        <w:tc>
          <w:tcPr>
            <w:tcW w:w="1800" w:type="dxa"/>
            <w:gridSpan w:val="2"/>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注册地址</w:t>
            </w:r>
          </w:p>
        </w:tc>
        <w:tc>
          <w:tcPr>
            <w:tcW w:w="3600" w:type="dxa"/>
            <w:vAlign w:val="center"/>
          </w:tcPr>
          <w:p w:rsidR="007B62FA" w:rsidRPr="00896265" w:rsidRDefault="009419AE" w:rsidP="009419AE">
            <w:pPr>
              <w:spacing w:line="360" w:lineRule="auto"/>
              <w:rPr>
                <w:rFonts w:eastAsiaTheme="minorEastAsia"/>
                <w:color w:val="000000" w:themeColor="text1"/>
                <w:szCs w:val="21"/>
              </w:rPr>
            </w:pPr>
            <w:r w:rsidRPr="00896265">
              <w:rPr>
                <w:rFonts w:eastAsiaTheme="minorEastAsia"/>
                <w:color w:val="000000" w:themeColor="text1"/>
                <w:szCs w:val="21"/>
              </w:rPr>
              <w:t>无</w:t>
            </w:r>
          </w:p>
        </w:tc>
        <w:tc>
          <w:tcPr>
            <w:tcW w:w="3600" w:type="dxa"/>
            <w:vAlign w:val="center"/>
          </w:tcPr>
          <w:p w:rsidR="007B62FA" w:rsidRPr="00896265" w:rsidRDefault="007B62FA" w:rsidP="00FD137B">
            <w:pPr>
              <w:spacing w:line="360" w:lineRule="auto"/>
              <w:rPr>
                <w:rFonts w:eastAsiaTheme="minorEastAsia"/>
                <w:color w:val="000000" w:themeColor="text1"/>
                <w:szCs w:val="21"/>
              </w:rPr>
            </w:pPr>
            <w:r w:rsidRPr="00896265">
              <w:rPr>
                <w:rFonts w:eastAsiaTheme="minorEastAsia"/>
                <w:color w:val="000000" w:themeColor="text1"/>
                <w:szCs w:val="21"/>
              </w:rPr>
              <w:t>香港皇后大道中一号</w:t>
            </w:r>
          </w:p>
        </w:tc>
      </w:tr>
      <w:tr w:rsidR="00E60957" w:rsidRPr="00896265" w:rsidTr="00473704">
        <w:tc>
          <w:tcPr>
            <w:tcW w:w="1800" w:type="dxa"/>
            <w:gridSpan w:val="2"/>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办公地址</w:t>
            </w:r>
          </w:p>
        </w:tc>
        <w:tc>
          <w:tcPr>
            <w:tcW w:w="3600" w:type="dxa"/>
            <w:vAlign w:val="center"/>
          </w:tcPr>
          <w:p w:rsidR="007B62FA" w:rsidRPr="00896265" w:rsidRDefault="009419AE" w:rsidP="009419AE">
            <w:pPr>
              <w:spacing w:line="360" w:lineRule="auto"/>
              <w:rPr>
                <w:rFonts w:eastAsiaTheme="minorEastAsia"/>
                <w:color w:val="000000" w:themeColor="text1"/>
                <w:szCs w:val="21"/>
              </w:rPr>
            </w:pPr>
            <w:r w:rsidRPr="00896265">
              <w:rPr>
                <w:rFonts w:eastAsiaTheme="minorEastAsia"/>
                <w:color w:val="000000" w:themeColor="text1"/>
                <w:szCs w:val="21"/>
              </w:rPr>
              <w:t>无</w:t>
            </w:r>
          </w:p>
        </w:tc>
        <w:tc>
          <w:tcPr>
            <w:tcW w:w="3600" w:type="dxa"/>
            <w:vAlign w:val="center"/>
          </w:tcPr>
          <w:p w:rsidR="007B62FA" w:rsidRPr="00896265" w:rsidRDefault="007B62FA" w:rsidP="00FD137B">
            <w:pPr>
              <w:spacing w:line="360" w:lineRule="auto"/>
              <w:rPr>
                <w:rFonts w:eastAsiaTheme="minorEastAsia"/>
                <w:color w:val="000000" w:themeColor="text1"/>
                <w:szCs w:val="21"/>
              </w:rPr>
            </w:pPr>
            <w:r w:rsidRPr="00896265">
              <w:rPr>
                <w:rFonts w:eastAsiaTheme="minorEastAsia"/>
                <w:color w:val="000000" w:themeColor="text1"/>
                <w:szCs w:val="21"/>
              </w:rPr>
              <w:t>香港九龙深旺道</w:t>
            </w:r>
            <w:r w:rsidRPr="00896265">
              <w:rPr>
                <w:rFonts w:eastAsiaTheme="minorEastAsia"/>
                <w:color w:val="000000" w:themeColor="text1"/>
                <w:szCs w:val="21"/>
              </w:rPr>
              <w:t>1</w:t>
            </w:r>
            <w:r w:rsidRPr="00896265">
              <w:rPr>
                <w:rFonts w:eastAsiaTheme="minorEastAsia"/>
                <w:color w:val="000000" w:themeColor="text1"/>
                <w:szCs w:val="21"/>
              </w:rPr>
              <w:t>号汇丰中心</w:t>
            </w:r>
            <w:r w:rsidRPr="00896265">
              <w:rPr>
                <w:rFonts w:eastAsiaTheme="minorEastAsia"/>
                <w:color w:val="000000" w:themeColor="text1"/>
                <w:szCs w:val="21"/>
              </w:rPr>
              <w:t>1</w:t>
            </w:r>
            <w:r w:rsidRPr="00896265">
              <w:rPr>
                <w:rFonts w:eastAsiaTheme="minorEastAsia"/>
                <w:color w:val="000000" w:themeColor="text1"/>
                <w:szCs w:val="21"/>
              </w:rPr>
              <w:t>座</w:t>
            </w:r>
            <w:r w:rsidRPr="00896265">
              <w:rPr>
                <w:rFonts w:eastAsiaTheme="minorEastAsia"/>
                <w:color w:val="000000" w:themeColor="text1"/>
                <w:szCs w:val="21"/>
              </w:rPr>
              <w:t>6</w:t>
            </w:r>
            <w:r w:rsidRPr="00896265">
              <w:rPr>
                <w:rFonts w:eastAsiaTheme="minorEastAsia"/>
                <w:color w:val="000000" w:themeColor="text1"/>
                <w:szCs w:val="21"/>
              </w:rPr>
              <w:t>楼</w:t>
            </w:r>
          </w:p>
        </w:tc>
      </w:tr>
      <w:tr w:rsidR="00E60957" w:rsidRPr="00896265" w:rsidTr="00473704">
        <w:tc>
          <w:tcPr>
            <w:tcW w:w="1800" w:type="dxa"/>
            <w:gridSpan w:val="2"/>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邮政编码</w:t>
            </w:r>
          </w:p>
        </w:tc>
        <w:tc>
          <w:tcPr>
            <w:tcW w:w="3600" w:type="dxa"/>
            <w:vAlign w:val="center"/>
          </w:tcPr>
          <w:p w:rsidR="007B62FA" w:rsidRPr="00896265" w:rsidRDefault="009419AE" w:rsidP="009419AE">
            <w:pPr>
              <w:spacing w:line="360" w:lineRule="auto"/>
              <w:rPr>
                <w:rFonts w:eastAsiaTheme="minorEastAsia"/>
                <w:color w:val="000000" w:themeColor="text1"/>
                <w:szCs w:val="21"/>
              </w:rPr>
            </w:pPr>
            <w:r w:rsidRPr="00896265">
              <w:rPr>
                <w:rFonts w:eastAsiaTheme="minorEastAsia"/>
                <w:color w:val="000000" w:themeColor="text1"/>
                <w:szCs w:val="21"/>
              </w:rPr>
              <w:t>无</w:t>
            </w:r>
          </w:p>
        </w:tc>
        <w:tc>
          <w:tcPr>
            <w:tcW w:w="3600" w:type="dxa"/>
            <w:vAlign w:val="center"/>
          </w:tcPr>
          <w:p w:rsidR="007B62FA" w:rsidRPr="00896265" w:rsidRDefault="007B62FA" w:rsidP="00FD137B">
            <w:pPr>
              <w:spacing w:line="360" w:lineRule="auto"/>
              <w:rPr>
                <w:rFonts w:eastAsiaTheme="minorEastAsia"/>
                <w:color w:val="000000" w:themeColor="text1"/>
                <w:szCs w:val="21"/>
              </w:rPr>
            </w:pPr>
            <w:r w:rsidRPr="00896265">
              <w:rPr>
                <w:rFonts w:eastAsiaTheme="minorEastAsia"/>
                <w:color w:val="000000" w:themeColor="text1"/>
                <w:szCs w:val="21"/>
              </w:rPr>
              <w:t>无</w:t>
            </w:r>
          </w:p>
        </w:tc>
      </w:tr>
    </w:tbl>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54" w:name="_Toc225498248"/>
      <w:bookmarkStart w:id="55" w:name="_Toc352255965"/>
      <w:bookmarkStart w:id="56" w:name="_Toc352256033"/>
      <w:bookmarkStart w:id="57" w:name="_Toc352331211"/>
      <w:bookmarkStart w:id="58" w:name="_Toc362423989"/>
      <w:bookmarkStart w:id="59" w:name="_Toc35533799"/>
      <w:r w:rsidRPr="00940842">
        <w:rPr>
          <w:rFonts w:asciiTheme="majorEastAsia" w:eastAsiaTheme="majorEastAsia" w:hAnsiTheme="majorEastAsia"/>
          <w:color w:val="000000" w:themeColor="text1"/>
          <w:kern w:val="0"/>
          <w:sz w:val="21"/>
          <w:szCs w:val="21"/>
        </w:rPr>
        <w:t>2.5</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信息披露方式</w:t>
      </w:r>
      <w:bookmarkEnd w:id="54"/>
      <w:bookmarkEnd w:id="55"/>
      <w:bookmarkEnd w:id="56"/>
      <w:bookmarkEnd w:id="57"/>
      <w:bookmarkEnd w:id="58"/>
      <w:bookmarkEnd w:id="5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60957" w:rsidRPr="00896265" w:rsidTr="009604A0">
        <w:tc>
          <w:tcPr>
            <w:tcW w:w="3686" w:type="dxa"/>
          </w:tcPr>
          <w:p w:rsidR="007B62FA" w:rsidRPr="00896265" w:rsidRDefault="007B62FA" w:rsidP="00417F87">
            <w:pPr>
              <w:tabs>
                <w:tab w:val="left" w:pos="1740"/>
              </w:tabs>
              <w:spacing w:line="360" w:lineRule="auto"/>
              <w:rPr>
                <w:rFonts w:eastAsiaTheme="minorEastAsia"/>
                <w:color w:val="000000" w:themeColor="text1"/>
                <w:szCs w:val="21"/>
              </w:rPr>
            </w:pPr>
            <w:r w:rsidRPr="00896265">
              <w:rPr>
                <w:rFonts w:eastAsiaTheme="minorEastAsia"/>
                <w:color w:val="000000" w:themeColor="text1"/>
                <w:szCs w:val="21"/>
              </w:rPr>
              <w:t>本基金选定的信息披露报纸名称</w:t>
            </w:r>
          </w:p>
        </w:tc>
        <w:tc>
          <w:tcPr>
            <w:tcW w:w="5314" w:type="dxa"/>
            <w:vAlign w:val="center"/>
          </w:tcPr>
          <w:p w:rsidR="007B62FA" w:rsidRPr="00896265" w:rsidRDefault="007B62FA" w:rsidP="00417F87">
            <w:pPr>
              <w:tabs>
                <w:tab w:val="left" w:pos="1740"/>
              </w:tabs>
              <w:spacing w:line="360" w:lineRule="auto"/>
              <w:rPr>
                <w:rFonts w:eastAsiaTheme="minorEastAsia"/>
                <w:color w:val="000000" w:themeColor="text1"/>
                <w:szCs w:val="21"/>
              </w:rPr>
            </w:pPr>
            <w:r w:rsidRPr="00896265">
              <w:rPr>
                <w:rFonts w:eastAsiaTheme="minorEastAsia"/>
                <w:color w:val="000000" w:themeColor="text1"/>
                <w:szCs w:val="21"/>
              </w:rPr>
              <w:t>证券时报</w:t>
            </w:r>
          </w:p>
        </w:tc>
      </w:tr>
      <w:tr w:rsidR="00E60957" w:rsidRPr="00896265" w:rsidTr="009604A0">
        <w:tc>
          <w:tcPr>
            <w:tcW w:w="3686" w:type="dxa"/>
          </w:tcPr>
          <w:p w:rsidR="007B62FA" w:rsidRPr="00896265" w:rsidRDefault="007B62FA" w:rsidP="00417F87">
            <w:pPr>
              <w:tabs>
                <w:tab w:val="left" w:pos="1740"/>
              </w:tabs>
              <w:spacing w:line="360" w:lineRule="auto"/>
              <w:rPr>
                <w:rFonts w:eastAsiaTheme="minorEastAsia"/>
                <w:color w:val="000000" w:themeColor="text1"/>
                <w:szCs w:val="21"/>
              </w:rPr>
            </w:pPr>
            <w:r w:rsidRPr="00896265">
              <w:rPr>
                <w:rFonts w:eastAsiaTheme="minorEastAsia"/>
                <w:color w:val="000000" w:themeColor="text1"/>
                <w:szCs w:val="21"/>
              </w:rPr>
              <w:t>登载基金年度报告正文的管理人互联网网址</w:t>
            </w:r>
          </w:p>
        </w:tc>
        <w:tc>
          <w:tcPr>
            <w:tcW w:w="5314" w:type="dxa"/>
            <w:vAlign w:val="center"/>
          </w:tcPr>
          <w:p w:rsidR="007B62FA" w:rsidRPr="00896265" w:rsidRDefault="007B62FA" w:rsidP="00417F87">
            <w:pPr>
              <w:tabs>
                <w:tab w:val="left" w:pos="1740"/>
              </w:tabs>
              <w:spacing w:line="360" w:lineRule="auto"/>
              <w:rPr>
                <w:rFonts w:eastAsiaTheme="minorEastAsia"/>
                <w:color w:val="000000" w:themeColor="text1"/>
                <w:szCs w:val="21"/>
              </w:rPr>
            </w:pPr>
            <w:r w:rsidRPr="00896265">
              <w:rPr>
                <w:rFonts w:eastAsiaTheme="minorEastAsia"/>
                <w:color w:val="000000" w:themeColor="text1"/>
                <w:szCs w:val="21"/>
              </w:rPr>
              <w:t>http://www.efunds.com.cn</w:t>
            </w:r>
          </w:p>
        </w:tc>
      </w:tr>
      <w:tr w:rsidR="00E60957" w:rsidRPr="00896265" w:rsidTr="009604A0">
        <w:tc>
          <w:tcPr>
            <w:tcW w:w="3686" w:type="dxa"/>
          </w:tcPr>
          <w:p w:rsidR="007B62FA" w:rsidRPr="00896265" w:rsidRDefault="007B62FA" w:rsidP="00417F87">
            <w:pPr>
              <w:tabs>
                <w:tab w:val="left" w:pos="1740"/>
              </w:tabs>
              <w:spacing w:line="360" w:lineRule="auto"/>
              <w:rPr>
                <w:rFonts w:eastAsiaTheme="minorEastAsia"/>
                <w:color w:val="000000" w:themeColor="text1"/>
                <w:szCs w:val="21"/>
              </w:rPr>
            </w:pPr>
            <w:r w:rsidRPr="00896265">
              <w:rPr>
                <w:rFonts w:eastAsiaTheme="minorEastAsia"/>
                <w:color w:val="000000" w:themeColor="text1"/>
                <w:szCs w:val="21"/>
              </w:rPr>
              <w:t>基金年度报告备置地点</w:t>
            </w:r>
          </w:p>
        </w:tc>
        <w:tc>
          <w:tcPr>
            <w:tcW w:w="5314" w:type="dxa"/>
            <w:vAlign w:val="center"/>
          </w:tcPr>
          <w:p w:rsidR="007B62FA" w:rsidRPr="00896265" w:rsidRDefault="007B62FA" w:rsidP="00417F87">
            <w:pPr>
              <w:tabs>
                <w:tab w:val="left" w:pos="1740"/>
              </w:tabs>
              <w:spacing w:line="360" w:lineRule="auto"/>
              <w:rPr>
                <w:rFonts w:eastAsiaTheme="minorEastAsia"/>
                <w:color w:val="000000" w:themeColor="text1"/>
                <w:szCs w:val="21"/>
              </w:rPr>
            </w:pPr>
            <w:r w:rsidRPr="00896265">
              <w:rPr>
                <w:rFonts w:eastAsiaTheme="minorEastAsia"/>
                <w:color w:val="000000" w:themeColor="text1"/>
                <w:szCs w:val="21"/>
              </w:rPr>
              <w:t>广州市天河区珠江新城珠江东路</w:t>
            </w:r>
            <w:r w:rsidRPr="00896265">
              <w:rPr>
                <w:rFonts w:eastAsiaTheme="minorEastAsia"/>
                <w:color w:val="000000" w:themeColor="text1"/>
                <w:szCs w:val="21"/>
              </w:rPr>
              <w:t>30</w:t>
            </w:r>
            <w:r w:rsidRPr="00896265">
              <w:rPr>
                <w:rFonts w:eastAsiaTheme="minorEastAsia"/>
                <w:color w:val="000000" w:themeColor="text1"/>
                <w:szCs w:val="21"/>
              </w:rPr>
              <w:t>号广州银行大厦</w:t>
            </w:r>
            <w:r w:rsidRPr="00896265">
              <w:rPr>
                <w:rFonts w:eastAsiaTheme="minorEastAsia"/>
                <w:color w:val="000000" w:themeColor="text1"/>
                <w:szCs w:val="21"/>
              </w:rPr>
              <w:t>43</w:t>
            </w:r>
            <w:r w:rsidRPr="00896265">
              <w:rPr>
                <w:rFonts w:eastAsiaTheme="minorEastAsia"/>
                <w:color w:val="000000" w:themeColor="text1"/>
                <w:szCs w:val="21"/>
              </w:rPr>
              <w:t>楼</w:t>
            </w:r>
          </w:p>
        </w:tc>
      </w:tr>
    </w:tbl>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60" w:name="_Toc225498249"/>
      <w:bookmarkStart w:id="61" w:name="_Toc352255966"/>
      <w:bookmarkStart w:id="62" w:name="_Toc352256034"/>
      <w:bookmarkStart w:id="63" w:name="_Toc352331212"/>
      <w:bookmarkStart w:id="64" w:name="_Toc362423990"/>
      <w:bookmarkStart w:id="65" w:name="_Toc35533800"/>
      <w:r w:rsidRPr="00940842">
        <w:rPr>
          <w:rFonts w:asciiTheme="majorEastAsia" w:eastAsiaTheme="majorEastAsia" w:hAnsiTheme="majorEastAsia"/>
          <w:color w:val="000000" w:themeColor="text1"/>
          <w:kern w:val="0"/>
          <w:sz w:val="21"/>
          <w:szCs w:val="21"/>
        </w:rPr>
        <w:t>2.6</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其他相关资料</w:t>
      </w:r>
      <w:bookmarkEnd w:id="60"/>
      <w:bookmarkEnd w:id="61"/>
      <w:bookmarkEnd w:id="62"/>
      <w:bookmarkEnd w:id="63"/>
      <w:bookmarkEnd w:id="64"/>
      <w:bookmarkEnd w:id="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60957" w:rsidRPr="00896265" w:rsidTr="00E70468">
        <w:tc>
          <w:tcPr>
            <w:tcW w:w="1951" w:type="dxa"/>
          </w:tcPr>
          <w:p w:rsidR="007B62FA" w:rsidRPr="00896265" w:rsidRDefault="007B62FA" w:rsidP="00417F87">
            <w:pPr>
              <w:tabs>
                <w:tab w:val="left" w:pos="1740"/>
              </w:tabs>
              <w:spacing w:line="360" w:lineRule="auto"/>
              <w:jc w:val="center"/>
              <w:rPr>
                <w:rFonts w:eastAsiaTheme="minorEastAsia"/>
                <w:color w:val="000000" w:themeColor="text1"/>
                <w:szCs w:val="21"/>
              </w:rPr>
            </w:pPr>
            <w:r w:rsidRPr="00896265">
              <w:rPr>
                <w:rFonts w:eastAsiaTheme="minorEastAsia"/>
                <w:color w:val="000000" w:themeColor="text1"/>
                <w:szCs w:val="21"/>
              </w:rPr>
              <w:t>项目</w:t>
            </w:r>
          </w:p>
        </w:tc>
        <w:tc>
          <w:tcPr>
            <w:tcW w:w="3260" w:type="dxa"/>
          </w:tcPr>
          <w:p w:rsidR="007B62FA" w:rsidRPr="00896265" w:rsidRDefault="007B62FA" w:rsidP="00417F87">
            <w:pPr>
              <w:tabs>
                <w:tab w:val="left" w:pos="1740"/>
              </w:tabs>
              <w:spacing w:line="360" w:lineRule="auto"/>
              <w:jc w:val="center"/>
              <w:rPr>
                <w:rFonts w:eastAsiaTheme="minorEastAsia"/>
                <w:color w:val="000000" w:themeColor="text1"/>
                <w:szCs w:val="21"/>
              </w:rPr>
            </w:pPr>
            <w:r w:rsidRPr="00896265">
              <w:rPr>
                <w:rFonts w:eastAsiaTheme="minorEastAsia"/>
                <w:color w:val="000000" w:themeColor="text1"/>
                <w:szCs w:val="21"/>
              </w:rPr>
              <w:t>名称</w:t>
            </w:r>
          </w:p>
        </w:tc>
        <w:tc>
          <w:tcPr>
            <w:tcW w:w="4075" w:type="dxa"/>
          </w:tcPr>
          <w:p w:rsidR="007B62FA" w:rsidRPr="00896265" w:rsidRDefault="007B62FA" w:rsidP="00417F87">
            <w:pPr>
              <w:tabs>
                <w:tab w:val="left" w:pos="1740"/>
              </w:tabs>
              <w:spacing w:line="360" w:lineRule="auto"/>
              <w:jc w:val="center"/>
              <w:rPr>
                <w:rFonts w:eastAsiaTheme="minorEastAsia"/>
                <w:color w:val="000000" w:themeColor="text1"/>
                <w:szCs w:val="21"/>
              </w:rPr>
            </w:pPr>
            <w:r w:rsidRPr="00896265">
              <w:rPr>
                <w:rFonts w:eastAsiaTheme="minorEastAsia"/>
                <w:color w:val="000000" w:themeColor="text1"/>
                <w:szCs w:val="21"/>
              </w:rPr>
              <w:t>办公地址</w:t>
            </w:r>
          </w:p>
        </w:tc>
      </w:tr>
      <w:tr w:rsidR="00E60957" w:rsidRPr="00896265" w:rsidTr="00E70468">
        <w:tc>
          <w:tcPr>
            <w:tcW w:w="1951" w:type="dxa"/>
            <w:vAlign w:val="center"/>
          </w:tcPr>
          <w:p w:rsidR="007B62FA" w:rsidRPr="00896265" w:rsidRDefault="007B62FA" w:rsidP="00417F87">
            <w:pPr>
              <w:tabs>
                <w:tab w:val="left" w:pos="1740"/>
              </w:tabs>
              <w:spacing w:line="360" w:lineRule="auto"/>
              <w:rPr>
                <w:rFonts w:eastAsiaTheme="minorEastAsia"/>
                <w:color w:val="000000" w:themeColor="text1"/>
                <w:szCs w:val="21"/>
              </w:rPr>
            </w:pPr>
            <w:r w:rsidRPr="00896265">
              <w:rPr>
                <w:rFonts w:eastAsiaTheme="minorEastAsia"/>
                <w:color w:val="000000" w:themeColor="text1"/>
                <w:szCs w:val="21"/>
              </w:rPr>
              <w:t>会计师事务所</w:t>
            </w:r>
          </w:p>
        </w:tc>
        <w:tc>
          <w:tcPr>
            <w:tcW w:w="3260" w:type="dxa"/>
            <w:vAlign w:val="center"/>
          </w:tcPr>
          <w:p w:rsidR="007B62FA" w:rsidRPr="00896265" w:rsidRDefault="007B62FA" w:rsidP="00417F87">
            <w:pPr>
              <w:tabs>
                <w:tab w:val="left" w:pos="1740"/>
              </w:tabs>
              <w:spacing w:line="360" w:lineRule="auto"/>
              <w:rPr>
                <w:rFonts w:eastAsiaTheme="minorEastAsia"/>
                <w:color w:val="000000" w:themeColor="text1"/>
                <w:szCs w:val="21"/>
              </w:rPr>
            </w:pPr>
            <w:r w:rsidRPr="00896265">
              <w:rPr>
                <w:rFonts w:eastAsiaTheme="minorEastAsia"/>
                <w:color w:val="000000" w:themeColor="text1"/>
                <w:szCs w:val="21"/>
              </w:rPr>
              <w:t>普华永道中天会计师事务所</w:t>
            </w:r>
            <w:r w:rsidRPr="00896265">
              <w:rPr>
                <w:rFonts w:eastAsiaTheme="minorEastAsia"/>
                <w:color w:val="000000" w:themeColor="text1"/>
                <w:szCs w:val="21"/>
              </w:rPr>
              <w:t>(</w:t>
            </w:r>
            <w:r w:rsidRPr="00896265">
              <w:rPr>
                <w:rFonts w:eastAsiaTheme="minorEastAsia"/>
                <w:color w:val="000000" w:themeColor="text1"/>
                <w:szCs w:val="21"/>
              </w:rPr>
              <w:t>特殊普通合伙</w:t>
            </w:r>
            <w:r w:rsidRPr="00896265">
              <w:rPr>
                <w:rFonts w:eastAsiaTheme="minorEastAsia"/>
                <w:color w:val="000000" w:themeColor="text1"/>
                <w:szCs w:val="21"/>
              </w:rPr>
              <w:t xml:space="preserve">) </w:t>
            </w:r>
          </w:p>
        </w:tc>
        <w:tc>
          <w:tcPr>
            <w:tcW w:w="4075" w:type="dxa"/>
            <w:vAlign w:val="center"/>
          </w:tcPr>
          <w:p w:rsidR="007B62FA" w:rsidRPr="00896265" w:rsidRDefault="007B62FA" w:rsidP="00417F87">
            <w:pPr>
              <w:tabs>
                <w:tab w:val="left" w:pos="1740"/>
              </w:tabs>
              <w:spacing w:line="360" w:lineRule="auto"/>
              <w:rPr>
                <w:rFonts w:eastAsiaTheme="minorEastAsia"/>
                <w:color w:val="000000" w:themeColor="text1"/>
                <w:szCs w:val="21"/>
              </w:rPr>
            </w:pPr>
            <w:r w:rsidRPr="00896265">
              <w:rPr>
                <w:rFonts w:eastAsiaTheme="minorEastAsia"/>
                <w:color w:val="000000" w:themeColor="text1"/>
                <w:szCs w:val="21"/>
              </w:rPr>
              <w:t>上海市湖滨路</w:t>
            </w:r>
            <w:r w:rsidRPr="00896265">
              <w:rPr>
                <w:rFonts w:eastAsiaTheme="minorEastAsia"/>
                <w:color w:val="000000" w:themeColor="text1"/>
                <w:szCs w:val="21"/>
              </w:rPr>
              <w:t>202</w:t>
            </w:r>
            <w:r w:rsidRPr="00896265">
              <w:rPr>
                <w:rFonts w:eastAsiaTheme="minorEastAsia"/>
                <w:color w:val="000000" w:themeColor="text1"/>
                <w:szCs w:val="21"/>
              </w:rPr>
              <w:t>号普华永道中心</w:t>
            </w:r>
            <w:r w:rsidRPr="00896265">
              <w:rPr>
                <w:rFonts w:eastAsiaTheme="minorEastAsia"/>
                <w:color w:val="000000" w:themeColor="text1"/>
                <w:szCs w:val="21"/>
              </w:rPr>
              <w:t>11</w:t>
            </w:r>
            <w:r w:rsidRPr="00896265">
              <w:rPr>
                <w:rFonts w:eastAsiaTheme="minorEastAsia"/>
                <w:color w:val="000000" w:themeColor="text1"/>
                <w:szCs w:val="21"/>
              </w:rPr>
              <w:t>楼</w:t>
            </w:r>
          </w:p>
        </w:tc>
      </w:tr>
      <w:tr w:rsidR="00E60957" w:rsidRPr="00896265" w:rsidTr="00E70468">
        <w:tc>
          <w:tcPr>
            <w:tcW w:w="1951" w:type="dxa"/>
            <w:vAlign w:val="center"/>
          </w:tcPr>
          <w:p w:rsidR="007B62FA" w:rsidRPr="00896265" w:rsidRDefault="007B62FA" w:rsidP="00417F87">
            <w:pPr>
              <w:tabs>
                <w:tab w:val="left" w:pos="1740"/>
              </w:tabs>
              <w:spacing w:line="360" w:lineRule="auto"/>
              <w:rPr>
                <w:rFonts w:eastAsiaTheme="minorEastAsia"/>
                <w:color w:val="000000" w:themeColor="text1"/>
                <w:szCs w:val="21"/>
              </w:rPr>
            </w:pPr>
            <w:r w:rsidRPr="00896265">
              <w:rPr>
                <w:rFonts w:eastAsiaTheme="minorEastAsia"/>
                <w:color w:val="000000" w:themeColor="text1"/>
                <w:szCs w:val="21"/>
              </w:rPr>
              <w:t>注册登记机构</w:t>
            </w:r>
          </w:p>
        </w:tc>
        <w:tc>
          <w:tcPr>
            <w:tcW w:w="3260" w:type="dxa"/>
            <w:vAlign w:val="center"/>
          </w:tcPr>
          <w:p w:rsidR="007B62FA" w:rsidRPr="00896265" w:rsidRDefault="007B62FA" w:rsidP="00417F87">
            <w:pPr>
              <w:tabs>
                <w:tab w:val="left" w:pos="1740"/>
              </w:tabs>
              <w:spacing w:line="360" w:lineRule="auto"/>
              <w:rPr>
                <w:rFonts w:eastAsiaTheme="minorEastAsia"/>
                <w:color w:val="000000" w:themeColor="text1"/>
                <w:szCs w:val="21"/>
              </w:rPr>
            </w:pPr>
            <w:r w:rsidRPr="00896265">
              <w:rPr>
                <w:rFonts w:eastAsiaTheme="minorEastAsia"/>
                <w:color w:val="000000" w:themeColor="text1"/>
                <w:szCs w:val="21"/>
              </w:rPr>
              <w:t>中国证券登记结算有限责任公司</w:t>
            </w:r>
          </w:p>
        </w:tc>
        <w:tc>
          <w:tcPr>
            <w:tcW w:w="4075" w:type="dxa"/>
            <w:vAlign w:val="center"/>
          </w:tcPr>
          <w:p w:rsidR="007B62FA" w:rsidRPr="00896265" w:rsidRDefault="007B62FA" w:rsidP="00417F87">
            <w:pPr>
              <w:tabs>
                <w:tab w:val="left" w:pos="1740"/>
              </w:tabs>
              <w:spacing w:line="360" w:lineRule="auto"/>
              <w:rPr>
                <w:rFonts w:eastAsiaTheme="minorEastAsia"/>
                <w:color w:val="000000" w:themeColor="text1"/>
                <w:szCs w:val="21"/>
              </w:rPr>
            </w:pPr>
            <w:r w:rsidRPr="00896265">
              <w:rPr>
                <w:rFonts w:eastAsiaTheme="minorEastAsia"/>
                <w:color w:val="000000" w:themeColor="text1"/>
                <w:szCs w:val="21"/>
              </w:rPr>
              <w:t>北京市西城区太平桥大街</w:t>
            </w:r>
            <w:r w:rsidRPr="00896265">
              <w:rPr>
                <w:rFonts w:eastAsiaTheme="minorEastAsia"/>
                <w:color w:val="000000" w:themeColor="text1"/>
                <w:szCs w:val="21"/>
              </w:rPr>
              <w:t>17</w:t>
            </w:r>
            <w:r w:rsidRPr="00896265">
              <w:rPr>
                <w:rFonts w:eastAsiaTheme="minorEastAsia"/>
                <w:color w:val="000000" w:themeColor="text1"/>
                <w:szCs w:val="21"/>
              </w:rPr>
              <w:t>号</w:t>
            </w:r>
          </w:p>
        </w:tc>
      </w:tr>
      <w:tr w:rsidR="00F14AEA">
        <w:tc>
          <w:tcPr>
            <w:tcW w:w="1951" w:type="dxa"/>
            <w:vAlign w:val="center"/>
          </w:tcPr>
          <w:p w:rsidR="00F14AEA" w:rsidRDefault="00EC6028">
            <w:pPr>
              <w:jc w:val="left"/>
            </w:pPr>
            <w:r>
              <w:rPr>
                <w:rFonts w:eastAsiaTheme="minorEastAsia"/>
                <w:color w:val="000000" w:themeColor="text1"/>
                <w:szCs w:val="21"/>
              </w:rPr>
              <w:t>注册登记机构</w:t>
            </w:r>
          </w:p>
        </w:tc>
        <w:tc>
          <w:tcPr>
            <w:tcW w:w="3260" w:type="dxa"/>
            <w:vAlign w:val="center"/>
          </w:tcPr>
          <w:p w:rsidR="00F14AEA" w:rsidRDefault="00EC6028">
            <w:pPr>
              <w:jc w:val="left"/>
            </w:pPr>
            <w:r>
              <w:rPr>
                <w:rFonts w:eastAsiaTheme="minorEastAsia"/>
                <w:color w:val="000000" w:themeColor="text1"/>
                <w:szCs w:val="21"/>
              </w:rPr>
              <w:t>易方达基金管理有限公司</w:t>
            </w:r>
          </w:p>
        </w:tc>
        <w:tc>
          <w:tcPr>
            <w:tcW w:w="4075" w:type="dxa"/>
            <w:vAlign w:val="center"/>
          </w:tcPr>
          <w:p w:rsidR="00F14AEA" w:rsidRDefault="00EC6028">
            <w:pPr>
              <w:jc w:val="left"/>
            </w:pPr>
            <w:r>
              <w:rPr>
                <w:rFonts w:eastAsiaTheme="minorEastAsia"/>
                <w:color w:val="000000" w:themeColor="text1"/>
                <w:szCs w:val="21"/>
              </w:rPr>
              <w:t>广州市天河区珠江新城珠江东路</w:t>
            </w:r>
            <w:r>
              <w:rPr>
                <w:rFonts w:eastAsiaTheme="minorEastAsia"/>
                <w:color w:val="000000" w:themeColor="text1"/>
                <w:szCs w:val="21"/>
              </w:rPr>
              <w:t>30</w:t>
            </w:r>
            <w:r>
              <w:rPr>
                <w:rFonts w:eastAsiaTheme="minorEastAsia"/>
                <w:color w:val="000000" w:themeColor="text1"/>
                <w:szCs w:val="21"/>
              </w:rPr>
              <w:t>号广州银行大厦</w:t>
            </w:r>
            <w:r>
              <w:rPr>
                <w:rFonts w:eastAsiaTheme="minorEastAsia"/>
                <w:color w:val="000000" w:themeColor="text1"/>
                <w:szCs w:val="21"/>
              </w:rPr>
              <w:t>40-43</w:t>
            </w:r>
            <w:r>
              <w:rPr>
                <w:rFonts w:eastAsiaTheme="minorEastAsia"/>
                <w:color w:val="000000" w:themeColor="text1"/>
                <w:szCs w:val="21"/>
              </w:rPr>
              <w:t>楼</w:t>
            </w:r>
          </w:p>
        </w:tc>
      </w:tr>
    </w:tbl>
    <w:p w:rsidR="007B62FA" w:rsidRPr="00896265"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注：本基金场内注册登记机构为中国证券登记结算有限责任公司，场外注册登记机构为易方达基金管理有限公司。</w:t>
      </w:r>
    </w:p>
    <w:p w:rsidR="007B62FA" w:rsidRPr="00AB6698" w:rsidRDefault="007B62FA" w:rsidP="007E24F2">
      <w:pPr>
        <w:pStyle w:val="20"/>
        <w:tabs>
          <w:tab w:val="num" w:pos="425"/>
        </w:tabs>
        <w:spacing w:beforeLines="100" w:before="312" w:afterLines="100" w:after="312"/>
        <w:ind w:left="425" w:hanging="425"/>
        <w:jc w:val="center"/>
        <w:rPr>
          <w:rFonts w:ascii="宋体" w:hAnsi="宋体" w:cs="Arial"/>
          <w:color w:val="000000"/>
          <w:sz w:val="21"/>
          <w:szCs w:val="21"/>
        </w:rPr>
      </w:pPr>
      <w:bookmarkStart w:id="66" w:name="_Toc352255967"/>
      <w:bookmarkStart w:id="67" w:name="_Toc352256035"/>
      <w:bookmarkStart w:id="68" w:name="_Toc352331213"/>
      <w:bookmarkStart w:id="69" w:name="_Toc362423991"/>
      <w:bookmarkStart w:id="70" w:name="_Toc35533801"/>
      <w:r w:rsidRPr="00AB6698">
        <w:rPr>
          <w:rFonts w:ascii="宋体" w:hAnsi="宋体" w:cs="Arial"/>
          <w:color w:val="000000"/>
          <w:sz w:val="21"/>
          <w:szCs w:val="21"/>
        </w:rPr>
        <w:t>§</w:t>
      </w:r>
      <w:r w:rsidR="003E5E48" w:rsidRPr="00AB6698">
        <w:rPr>
          <w:rFonts w:ascii="宋体" w:hAnsi="宋体" w:cs="Arial"/>
          <w:color w:val="000000"/>
          <w:sz w:val="21"/>
          <w:szCs w:val="21"/>
        </w:rPr>
        <w:t>3</w:t>
      </w:r>
      <w:r w:rsidR="00A6121D" w:rsidRPr="00AB6698">
        <w:rPr>
          <w:rFonts w:ascii="宋体" w:hAnsi="宋体" w:cs="Arial"/>
          <w:color w:val="000000"/>
          <w:sz w:val="21"/>
          <w:szCs w:val="21"/>
        </w:rPr>
        <w:t xml:space="preserve">    </w:t>
      </w:r>
      <w:r w:rsidRPr="00AB6698">
        <w:rPr>
          <w:rFonts w:ascii="宋体" w:hAnsi="宋体" w:cs="Arial"/>
          <w:color w:val="000000"/>
          <w:sz w:val="21"/>
          <w:szCs w:val="21"/>
        </w:rPr>
        <w:t>主要财务指标、基金净值表现及利润分配情况</w:t>
      </w:r>
      <w:bookmarkEnd w:id="66"/>
      <w:bookmarkEnd w:id="67"/>
      <w:bookmarkEnd w:id="68"/>
      <w:bookmarkEnd w:id="69"/>
      <w:bookmarkEnd w:id="70"/>
    </w:p>
    <w:p w:rsidR="007B62FA" w:rsidRPr="00940842" w:rsidRDefault="007B62FA" w:rsidP="00D21507">
      <w:pPr>
        <w:pStyle w:val="20"/>
        <w:spacing w:before="0" w:after="0"/>
        <w:rPr>
          <w:rFonts w:asciiTheme="majorEastAsia" w:eastAsiaTheme="majorEastAsia" w:hAnsiTheme="majorEastAsia"/>
          <w:color w:val="000000" w:themeColor="text1"/>
          <w:kern w:val="0"/>
          <w:sz w:val="21"/>
          <w:szCs w:val="21"/>
        </w:rPr>
      </w:pPr>
      <w:bookmarkStart w:id="71" w:name="_Toc286996129"/>
      <w:bookmarkStart w:id="72" w:name="_Toc352255968"/>
      <w:bookmarkStart w:id="73" w:name="_Toc352256036"/>
      <w:bookmarkStart w:id="74" w:name="_Toc352331214"/>
      <w:bookmarkStart w:id="75" w:name="_Toc362423992"/>
      <w:bookmarkStart w:id="76" w:name="_Toc35533802"/>
      <w:r w:rsidRPr="00940842">
        <w:rPr>
          <w:rFonts w:asciiTheme="majorEastAsia" w:eastAsiaTheme="majorEastAsia" w:hAnsiTheme="majorEastAsia"/>
          <w:color w:val="000000" w:themeColor="text1"/>
          <w:kern w:val="0"/>
          <w:sz w:val="21"/>
          <w:szCs w:val="21"/>
        </w:rPr>
        <w:t>3.1</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主要会计数据和财务指标</w:t>
      </w:r>
      <w:bookmarkEnd w:id="71"/>
      <w:bookmarkEnd w:id="72"/>
      <w:bookmarkEnd w:id="73"/>
      <w:bookmarkEnd w:id="74"/>
      <w:bookmarkEnd w:id="75"/>
      <w:bookmarkEnd w:id="76"/>
    </w:p>
    <w:p w:rsidR="00452A2E" w:rsidRPr="00896265" w:rsidRDefault="00452A2E" w:rsidP="00452A2E">
      <w:pPr>
        <w:autoSpaceDE w:val="0"/>
        <w:autoSpaceDN w:val="0"/>
        <w:adjustRightInd w:val="0"/>
        <w:spacing w:before="29" w:line="360" w:lineRule="auto"/>
        <w:ind w:left="17"/>
        <w:jc w:val="right"/>
        <w:rPr>
          <w:rFonts w:eastAsiaTheme="minorEastAsia"/>
          <w:szCs w:val="21"/>
        </w:rPr>
      </w:pPr>
      <w:r w:rsidRPr="00896265">
        <w:rPr>
          <w:rFonts w:eastAsiaTheme="minorEastAsia"/>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452A2E" w:rsidRPr="00896265" w:rsidTr="008A3814">
        <w:trPr>
          <w:trHeight w:val="487"/>
        </w:trPr>
        <w:tc>
          <w:tcPr>
            <w:tcW w:w="516" w:type="pct"/>
            <w:vMerge w:val="restart"/>
            <w:vAlign w:val="center"/>
          </w:tcPr>
          <w:p w:rsidR="00452A2E" w:rsidRPr="00896265" w:rsidRDefault="00452A2E" w:rsidP="008A3814">
            <w:pPr>
              <w:ind w:leftChars="-51" w:left="-107" w:rightChars="-51" w:right="-107"/>
              <w:jc w:val="center"/>
              <w:rPr>
                <w:rFonts w:eastAsiaTheme="minorEastAsia"/>
                <w:b/>
                <w:color w:val="000000"/>
                <w:szCs w:val="21"/>
              </w:rPr>
            </w:pPr>
            <w:r w:rsidRPr="00896265">
              <w:rPr>
                <w:rFonts w:eastAsiaTheme="minorEastAsia"/>
                <w:b/>
                <w:color w:val="000000"/>
                <w:szCs w:val="21"/>
              </w:rPr>
              <w:t>3.1.1</w:t>
            </w:r>
            <w:r w:rsidRPr="00896265">
              <w:rPr>
                <w:rFonts w:eastAsiaTheme="minorEastAsia"/>
                <w:b/>
                <w:color w:val="000000"/>
                <w:szCs w:val="21"/>
              </w:rPr>
              <w:t>期间数据和指标</w:t>
            </w:r>
          </w:p>
        </w:tc>
        <w:tc>
          <w:tcPr>
            <w:tcW w:w="1374" w:type="pct"/>
            <w:gridSpan w:val="2"/>
            <w:vAlign w:val="center"/>
          </w:tcPr>
          <w:p w:rsidR="00452A2E" w:rsidRPr="00896265" w:rsidRDefault="00452A2E" w:rsidP="008A3814">
            <w:pPr>
              <w:jc w:val="center"/>
              <w:rPr>
                <w:rFonts w:eastAsiaTheme="minorEastAsia"/>
                <w:b/>
                <w:szCs w:val="21"/>
              </w:rPr>
            </w:pPr>
            <w:r w:rsidRPr="00896265">
              <w:rPr>
                <w:rFonts w:eastAsiaTheme="minorEastAsia"/>
                <w:b/>
                <w:szCs w:val="21"/>
              </w:rPr>
              <w:t>2019</w:t>
            </w:r>
            <w:r w:rsidRPr="00896265">
              <w:rPr>
                <w:rFonts w:eastAsiaTheme="minorEastAsia"/>
                <w:b/>
                <w:szCs w:val="21"/>
              </w:rPr>
              <w:t>年</w:t>
            </w:r>
          </w:p>
        </w:tc>
        <w:tc>
          <w:tcPr>
            <w:tcW w:w="1526" w:type="pct"/>
            <w:gridSpan w:val="3"/>
            <w:vAlign w:val="center"/>
          </w:tcPr>
          <w:p w:rsidR="00452A2E" w:rsidRPr="00896265" w:rsidRDefault="00452A2E" w:rsidP="008A3814">
            <w:pPr>
              <w:jc w:val="center"/>
              <w:rPr>
                <w:rFonts w:eastAsiaTheme="minorEastAsia"/>
                <w:b/>
                <w:szCs w:val="21"/>
              </w:rPr>
            </w:pPr>
            <w:r w:rsidRPr="00896265">
              <w:rPr>
                <w:rFonts w:eastAsiaTheme="minorEastAsia"/>
                <w:b/>
                <w:szCs w:val="21"/>
              </w:rPr>
              <w:t>2018</w:t>
            </w:r>
            <w:r w:rsidRPr="00896265">
              <w:rPr>
                <w:rFonts w:eastAsiaTheme="minorEastAsia"/>
                <w:b/>
                <w:szCs w:val="21"/>
              </w:rPr>
              <w:t>年</w:t>
            </w:r>
          </w:p>
        </w:tc>
        <w:tc>
          <w:tcPr>
            <w:tcW w:w="1584" w:type="pct"/>
            <w:gridSpan w:val="2"/>
            <w:vAlign w:val="center"/>
          </w:tcPr>
          <w:p w:rsidR="00452A2E" w:rsidRPr="00896265" w:rsidRDefault="00452A2E" w:rsidP="008A3814">
            <w:pPr>
              <w:jc w:val="center"/>
              <w:rPr>
                <w:rFonts w:eastAsiaTheme="minorEastAsia"/>
                <w:b/>
                <w:szCs w:val="21"/>
              </w:rPr>
            </w:pPr>
            <w:r w:rsidRPr="00896265">
              <w:rPr>
                <w:rFonts w:eastAsiaTheme="minorEastAsia"/>
                <w:b/>
                <w:szCs w:val="21"/>
              </w:rPr>
              <w:t>2017</w:t>
            </w:r>
            <w:r w:rsidRPr="00896265">
              <w:rPr>
                <w:rFonts w:eastAsiaTheme="minorEastAsia"/>
                <w:b/>
                <w:szCs w:val="21"/>
              </w:rPr>
              <w:t>年</w:t>
            </w:r>
          </w:p>
        </w:tc>
      </w:tr>
      <w:tr w:rsidR="00452A2E" w:rsidRPr="00896265" w:rsidTr="008A3814">
        <w:trPr>
          <w:trHeight w:val="487"/>
        </w:trPr>
        <w:tc>
          <w:tcPr>
            <w:tcW w:w="516" w:type="pct"/>
            <w:vMerge/>
            <w:vAlign w:val="center"/>
          </w:tcPr>
          <w:p w:rsidR="00452A2E" w:rsidRPr="00896265" w:rsidRDefault="00452A2E" w:rsidP="008A3814">
            <w:pPr>
              <w:widowControl/>
              <w:jc w:val="left"/>
              <w:rPr>
                <w:rFonts w:eastAsiaTheme="minorEastAsia"/>
                <w:b/>
                <w:color w:val="000000"/>
                <w:szCs w:val="21"/>
              </w:rPr>
            </w:pPr>
          </w:p>
        </w:tc>
        <w:tc>
          <w:tcPr>
            <w:tcW w:w="687" w:type="pct"/>
            <w:vAlign w:val="center"/>
          </w:tcPr>
          <w:p w:rsidR="00452A2E" w:rsidRPr="00896265" w:rsidRDefault="00452A2E" w:rsidP="008A3814">
            <w:pPr>
              <w:jc w:val="center"/>
              <w:rPr>
                <w:rFonts w:eastAsiaTheme="minorEastAsia"/>
                <w:szCs w:val="21"/>
              </w:rPr>
            </w:pPr>
            <w:r w:rsidRPr="00896265">
              <w:rPr>
                <w:rFonts w:eastAsiaTheme="minorEastAsia"/>
                <w:szCs w:val="21"/>
              </w:rPr>
              <w:t>易方达黄金主题（</w:t>
            </w:r>
            <w:r w:rsidRPr="00896265">
              <w:rPr>
                <w:rFonts w:eastAsiaTheme="minorEastAsia"/>
                <w:szCs w:val="21"/>
              </w:rPr>
              <w:t>QDII-LOF-FOF</w:t>
            </w:r>
            <w:r w:rsidRPr="00896265">
              <w:rPr>
                <w:rFonts w:eastAsiaTheme="minorEastAsia"/>
                <w:szCs w:val="21"/>
              </w:rPr>
              <w:t>）</w:t>
            </w:r>
            <w:r w:rsidRPr="00896265">
              <w:rPr>
                <w:rFonts w:eastAsiaTheme="minorEastAsia"/>
                <w:szCs w:val="21"/>
              </w:rPr>
              <w:t>A</w:t>
            </w:r>
          </w:p>
        </w:tc>
        <w:tc>
          <w:tcPr>
            <w:tcW w:w="687" w:type="pct"/>
            <w:vAlign w:val="center"/>
          </w:tcPr>
          <w:p w:rsidR="00452A2E" w:rsidRPr="00896265" w:rsidRDefault="00452A2E" w:rsidP="008A3814">
            <w:pPr>
              <w:jc w:val="center"/>
              <w:rPr>
                <w:rFonts w:eastAsiaTheme="minorEastAsia"/>
                <w:szCs w:val="21"/>
              </w:rPr>
            </w:pPr>
            <w:r w:rsidRPr="00896265">
              <w:rPr>
                <w:rFonts w:eastAsiaTheme="minorEastAsia"/>
                <w:szCs w:val="21"/>
              </w:rPr>
              <w:t>易方达黄金主题（</w:t>
            </w:r>
            <w:r w:rsidRPr="00896265">
              <w:rPr>
                <w:rFonts w:eastAsiaTheme="minorEastAsia"/>
                <w:szCs w:val="21"/>
              </w:rPr>
              <w:t>QDII-LOF-FOF</w:t>
            </w:r>
            <w:r w:rsidRPr="00896265">
              <w:rPr>
                <w:rFonts w:eastAsiaTheme="minorEastAsia"/>
                <w:szCs w:val="21"/>
              </w:rPr>
              <w:t>）</w:t>
            </w:r>
            <w:r w:rsidRPr="00896265">
              <w:rPr>
                <w:rFonts w:eastAsiaTheme="minorEastAsia"/>
                <w:szCs w:val="21"/>
              </w:rPr>
              <w:t>C</w:t>
            </w:r>
          </w:p>
        </w:tc>
        <w:tc>
          <w:tcPr>
            <w:tcW w:w="763" w:type="pct"/>
            <w:gridSpan w:val="2"/>
            <w:vAlign w:val="center"/>
          </w:tcPr>
          <w:p w:rsidR="00452A2E" w:rsidRPr="00896265" w:rsidRDefault="00452A2E" w:rsidP="008A3814">
            <w:pPr>
              <w:jc w:val="center"/>
              <w:rPr>
                <w:rFonts w:eastAsiaTheme="minorEastAsia"/>
                <w:szCs w:val="21"/>
              </w:rPr>
            </w:pPr>
            <w:r w:rsidRPr="00896265">
              <w:rPr>
                <w:rFonts w:eastAsiaTheme="minorEastAsia"/>
                <w:szCs w:val="21"/>
              </w:rPr>
              <w:t>易方达黄金主题（</w:t>
            </w:r>
            <w:r w:rsidRPr="00896265">
              <w:rPr>
                <w:rFonts w:eastAsiaTheme="minorEastAsia"/>
                <w:szCs w:val="21"/>
              </w:rPr>
              <w:t>QDII-LOF-FOF</w:t>
            </w:r>
            <w:r w:rsidRPr="00896265">
              <w:rPr>
                <w:rFonts w:eastAsiaTheme="minorEastAsia"/>
                <w:szCs w:val="21"/>
              </w:rPr>
              <w:t>）</w:t>
            </w:r>
            <w:r w:rsidRPr="00896265">
              <w:rPr>
                <w:rFonts w:eastAsiaTheme="minorEastAsia"/>
                <w:szCs w:val="21"/>
              </w:rPr>
              <w:t>A</w:t>
            </w:r>
          </w:p>
        </w:tc>
        <w:tc>
          <w:tcPr>
            <w:tcW w:w="763" w:type="pct"/>
            <w:vAlign w:val="center"/>
          </w:tcPr>
          <w:p w:rsidR="00452A2E" w:rsidRPr="00896265" w:rsidRDefault="00452A2E" w:rsidP="008A3814">
            <w:pPr>
              <w:jc w:val="center"/>
              <w:rPr>
                <w:rFonts w:eastAsiaTheme="minorEastAsia"/>
                <w:b/>
                <w:szCs w:val="21"/>
              </w:rPr>
            </w:pPr>
            <w:r w:rsidRPr="00896265">
              <w:rPr>
                <w:rFonts w:eastAsiaTheme="minorEastAsia"/>
                <w:szCs w:val="21"/>
              </w:rPr>
              <w:t>易方达黄金主题（</w:t>
            </w:r>
            <w:r w:rsidRPr="00896265">
              <w:rPr>
                <w:rFonts w:eastAsiaTheme="minorEastAsia"/>
                <w:szCs w:val="21"/>
              </w:rPr>
              <w:t>QDII-LOF-FOF</w:t>
            </w:r>
            <w:r w:rsidRPr="00896265">
              <w:rPr>
                <w:rFonts w:eastAsiaTheme="minorEastAsia"/>
                <w:szCs w:val="21"/>
              </w:rPr>
              <w:t>）</w:t>
            </w:r>
            <w:r w:rsidRPr="00896265">
              <w:rPr>
                <w:rFonts w:eastAsiaTheme="minorEastAsia"/>
                <w:szCs w:val="21"/>
              </w:rPr>
              <w:t>C</w:t>
            </w:r>
          </w:p>
        </w:tc>
        <w:tc>
          <w:tcPr>
            <w:tcW w:w="764" w:type="pct"/>
            <w:vAlign w:val="center"/>
          </w:tcPr>
          <w:p w:rsidR="00452A2E" w:rsidRPr="00896265" w:rsidRDefault="00452A2E" w:rsidP="008A3814">
            <w:pPr>
              <w:jc w:val="center"/>
              <w:rPr>
                <w:rFonts w:eastAsiaTheme="minorEastAsia"/>
                <w:szCs w:val="21"/>
              </w:rPr>
            </w:pPr>
            <w:r w:rsidRPr="00896265">
              <w:rPr>
                <w:rFonts w:eastAsiaTheme="minorEastAsia"/>
                <w:szCs w:val="21"/>
              </w:rPr>
              <w:t>易方达黄金主题（</w:t>
            </w:r>
            <w:r w:rsidRPr="00896265">
              <w:rPr>
                <w:rFonts w:eastAsiaTheme="minorEastAsia"/>
                <w:szCs w:val="21"/>
              </w:rPr>
              <w:t>QDII-LOF-FOF</w:t>
            </w:r>
            <w:r w:rsidRPr="00896265">
              <w:rPr>
                <w:rFonts w:eastAsiaTheme="minorEastAsia"/>
                <w:szCs w:val="21"/>
              </w:rPr>
              <w:t>）</w:t>
            </w:r>
            <w:r w:rsidRPr="00896265">
              <w:rPr>
                <w:rFonts w:eastAsiaTheme="minorEastAsia"/>
                <w:szCs w:val="21"/>
              </w:rPr>
              <w:t>A</w:t>
            </w:r>
          </w:p>
        </w:tc>
        <w:tc>
          <w:tcPr>
            <w:tcW w:w="820" w:type="pct"/>
            <w:vAlign w:val="center"/>
          </w:tcPr>
          <w:p w:rsidR="00452A2E" w:rsidRPr="00896265" w:rsidRDefault="00452A2E" w:rsidP="008A3814">
            <w:pPr>
              <w:jc w:val="center"/>
              <w:rPr>
                <w:rFonts w:eastAsiaTheme="minorEastAsia"/>
                <w:szCs w:val="21"/>
              </w:rPr>
            </w:pPr>
            <w:r w:rsidRPr="00896265">
              <w:rPr>
                <w:rFonts w:eastAsiaTheme="minorEastAsia"/>
                <w:szCs w:val="21"/>
              </w:rPr>
              <w:t>易方达黄金主题（</w:t>
            </w:r>
            <w:r w:rsidRPr="00896265">
              <w:rPr>
                <w:rFonts w:eastAsiaTheme="minorEastAsia"/>
                <w:szCs w:val="21"/>
              </w:rPr>
              <w:t>QDII-LOF-FOF</w:t>
            </w:r>
            <w:r w:rsidRPr="00896265">
              <w:rPr>
                <w:rFonts w:eastAsiaTheme="minorEastAsia"/>
                <w:szCs w:val="21"/>
              </w:rPr>
              <w:t>）</w:t>
            </w:r>
            <w:r w:rsidRPr="00896265">
              <w:rPr>
                <w:rFonts w:eastAsiaTheme="minorEastAsia"/>
                <w:szCs w:val="21"/>
              </w:rPr>
              <w:t>C</w:t>
            </w:r>
          </w:p>
        </w:tc>
      </w:tr>
      <w:tr w:rsidR="00452A2E" w:rsidRPr="00896265" w:rsidTr="008A3814">
        <w:tc>
          <w:tcPr>
            <w:tcW w:w="516" w:type="pct"/>
            <w:vAlign w:val="center"/>
          </w:tcPr>
          <w:p w:rsidR="00452A2E" w:rsidRPr="00896265" w:rsidRDefault="00452A2E" w:rsidP="008A3814">
            <w:pPr>
              <w:rPr>
                <w:rFonts w:eastAsiaTheme="minorEastAsia"/>
                <w:szCs w:val="21"/>
              </w:rPr>
            </w:pPr>
            <w:r w:rsidRPr="00896265">
              <w:rPr>
                <w:rFonts w:eastAsiaTheme="minorEastAsia"/>
                <w:szCs w:val="21"/>
              </w:rPr>
              <w:t>本期已实现收益</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21,587,574.35</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7,519.44</w:t>
            </w:r>
          </w:p>
        </w:tc>
        <w:tc>
          <w:tcPr>
            <w:tcW w:w="763" w:type="pct"/>
            <w:gridSpan w:val="2"/>
            <w:vAlign w:val="center"/>
          </w:tcPr>
          <w:p w:rsidR="00452A2E" w:rsidRPr="00896265" w:rsidRDefault="00452A2E" w:rsidP="008A3814">
            <w:pPr>
              <w:jc w:val="right"/>
              <w:rPr>
                <w:rFonts w:eastAsiaTheme="minorEastAsia"/>
                <w:szCs w:val="21"/>
              </w:rPr>
            </w:pPr>
            <w:r w:rsidRPr="00896265">
              <w:rPr>
                <w:rFonts w:eastAsiaTheme="minorEastAsia"/>
                <w:szCs w:val="21"/>
              </w:rPr>
              <w:t>-9,562,127.28</w:t>
            </w:r>
          </w:p>
        </w:tc>
        <w:tc>
          <w:tcPr>
            <w:tcW w:w="763" w:type="pct"/>
            <w:vAlign w:val="center"/>
          </w:tcPr>
          <w:p w:rsidR="00452A2E" w:rsidRPr="00896265" w:rsidRDefault="00452A2E" w:rsidP="008A3814">
            <w:pPr>
              <w:jc w:val="right"/>
              <w:rPr>
                <w:rFonts w:eastAsiaTheme="minorEastAsia"/>
                <w:szCs w:val="21"/>
              </w:rPr>
            </w:pPr>
            <w:r w:rsidRPr="00896265">
              <w:rPr>
                <w:rFonts w:eastAsiaTheme="minorEastAsia"/>
                <w:szCs w:val="21"/>
              </w:rPr>
              <w:t>-</w:t>
            </w:r>
          </w:p>
        </w:tc>
        <w:tc>
          <w:tcPr>
            <w:tcW w:w="764" w:type="pct"/>
            <w:vAlign w:val="center"/>
          </w:tcPr>
          <w:p w:rsidR="00452A2E" w:rsidRPr="00896265" w:rsidRDefault="00452A2E" w:rsidP="008A3814">
            <w:pPr>
              <w:jc w:val="right"/>
              <w:rPr>
                <w:rFonts w:eastAsiaTheme="minorEastAsia"/>
                <w:szCs w:val="21"/>
              </w:rPr>
            </w:pPr>
            <w:r w:rsidRPr="00896265">
              <w:rPr>
                <w:rFonts w:eastAsiaTheme="minorEastAsia"/>
                <w:szCs w:val="21"/>
              </w:rPr>
              <w:t>15,239,670.07</w:t>
            </w:r>
          </w:p>
        </w:tc>
        <w:tc>
          <w:tcPr>
            <w:tcW w:w="820" w:type="pct"/>
            <w:vAlign w:val="center"/>
          </w:tcPr>
          <w:p w:rsidR="00452A2E" w:rsidRPr="00896265" w:rsidRDefault="00452A2E" w:rsidP="008A3814">
            <w:pPr>
              <w:jc w:val="right"/>
              <w:rPr>
                <w:rFonts w:eastAsiaTheme="minorEastAsia"/>
                <w:szCs w:val="21"/>
              </w:rPr>
            </w:pPr>
            <w:r w:rsidRPr="00896265">
              <w:rPr>
                <w:rFonts w:eastAsiaTheme="minorEastAsia"/>
                <w:szCs w:val="21"/>
              </w:rPr>
              <w:t>-</w:t>
            </w:r>
          </w:p>
        </w:tc>
      </w:tr>
      <w:tr w:rsidR="00452A2E" w:rsidRPr="00896265" w:rsidTr="008A3814">
        <w:trPr>
          <w:trHeight w:val="754"/>
        </w:trPr>
        <w:tc>
          <w:tcPr>
            <w:tcW w:w="516" w:type="pct"/>
            <w:vAlign w:val="center"/>
          </w:tcPr>
          <w:p w:rsidR="00452A2E" w:rsidRPr="00896265" w:rsidRDefault="00452A2E" w:rsidP="008A3814">
            <w:pPr>
              <w:rPr>
                <w:rFonts w:eastAsiaTheme="minorEastAsia"/>
                <w:szCs w:val="21"/>
              </w:rPr>
            </w:pPr>
            <w:r w:rsidRPr="00896265">
              <w:rPr>
                <w:rFonts w:eastAsiaTheme="minorEastAsia"/>
                <w:szCs w:val="21"/>
              </w:rPr>
              <w:t>本期利润</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58,389,514.51</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27,451.75</w:t>
            </w:r>
          </w:p>
        </w:tc>
        <w:tc>
          <w:tcPr>
            <w:tcW w:w="763" w:type="pct"/>
            <w:gridSpan w:val="2"/>
            <w:vAlign w:val="center"/>
          </w:tcPr>
          <w:p w:rsidR="00452A2E" w:rsidRPr="00896265" w:rsidRDefault="00452A2E" w:rsidP="008A3814">
            <w:pPr>
              <w:jc w:val="right"/>
              <w:rPr>
                <w:rFonts w:eastAsiaTheme="minorEastAsia"/>
                <w:szCs w:val="21"/>
              </w:rPr>
            </w:pPr>
            <w:r w:rsidRPr="00896265">
              <w:rPr>
                <w:rFonts w:eastAsiaTheme="minorEastAsia"/>
                <w:szCs w:val="21"/>
              </w:rPr>
              <w:t>-1,894,801.55</w:t>
            </w:r>
          </w:p>
        </w:tc>
        <w:tc>
          <w:tcPr>
            <w:tcW w:w="763" w:type="pct"/>
            <w:vAlign w:val="center"/>
          </w:tcPr>
          <w:p w:rsidR="00452A2E" w:rsidRPr="00896265" w:rsidRDefault="00452A2E" w:rsidP="008A3814">
            <w:pPr>
              <w:jc w:val="right"/>
              <w:rPr>
                <w:rFonts w:eastAsiaTheme="minorEastAsia"/>
                <w:szCs w:val="21"/>
              </w:rPr>
            </w:pPr>
            <w:r w:rsidRPr="00896265">
              <w:rPr>
                <w:rFonts w:eastAsiaTheme="minorEastAsia"/>
                <w:szCs w:val="21"/>
              </w:rPr>
              <w:t>-</w:t>
            </w:r>
          </w:p>
        </w:tc>
        <w:tc>
          <w:tcPr>
            <w:tcW w:w="764" w:type="pct"/>
            <w:vAlign w:val="center"/>
          </w:tcPr>
          <w:p w:rsidR="00452A2E" w:rsidRPr="00896265" w:rsidRDefault="00452A2E" w:rsidP="008A3814">
            <w:pPr>
              <w:jc w:val="right"/>
              <w:rPr>
                <w:rFonts w:eastAsiaTheme="minorEastAsia"/>
                <w:szCs w:val="21"/>
              </w:rPr>
            </w:pPr>
            <w:r w:rsidRPr="00896265">
              <w:rPr>
                <w:rFonts w:eastAsiaTheme="minorEastAsia"/>
                <w:szCs w:val="21"/>
              </w:rPr>
              <w:t>14,337,834.98</w:t>
            </w:r>
          </w:p>
        </w:tc>
        <w:tc>
          <w:tcPr>
            <w:tcW w:w="820" w:type="pct"/>
            <w:vAlign w:val="center"/>
          </w:tcPr>
          <w:p w:rsidR="00452A2E" w:rsidRPr="00896265" w:rsidRDefault="00452A2E" w:rsidP="008A3814">
            <w:pPr>
              <w:jc w:val="right"/>
              <w:rPr>
                <w:rFonts w:eastAsiaTheme="minorEastAsia"/>
                <w:szCs w:val="21"/>
              </w:rPr>
            </w:pPr>
            <w:r w:rsidRPr="00896265">
              <w:rPr>
                <w:rFonts w:eastAsiaTheme="minorEastAsia"/>
                <w:szCs w:val="21"/>
              </w:rPr>
              <w:t>-</w:t>
            </w:r>
          </w:p>
        </w:tc>
      </w:tr>
      <w:tr w:rsidR="00452A2E" w:rsidRPr="00896265" w:rsidTr="008A3814">
        <w:tc>
          <w:tcPr>
            <w:tcW w:w="516" w:type="pct"/>
            <w:vAlign w:val="center"/>
          </w:tcPr>
          <w:p w:rsidR="00452A2E" w:rsidRPr="00896265" w:rsidRDefault="00452A2E" w:rsidP="008A3814">
            <w:pPr>
              <w:rPr>
                <w:rFonts w:eastAsiaTheme="minorEastAsia"/>
                <w:szCs w:val="21"/>
              </w:rPr>
            </w:pPr>
            <w:r w:rsidRPr="00896265">
              <w:rPr>
                <w:rFonts w:eastAsiaTheme="minorEastAsia"/>
                <w:szCs w:val="21"/>
              </w:rPr>
              <w:t>加权平均基金份额本期利润</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0.1379</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0.0899</w:t>
            </w:r>
          </w:p>
        </w:tc>
        <w:tc>
          <w:tcPr>
            <w:tcW w:w="763" w:type="pct"/>
            <w:gridSpan w:val="2"/>
            <w:vAlign w:val="center"/>
          </w:tcPr>
          <w:p w:rsidR="00452A2E" w:rsidRPr="00896265" w:rsidRDefault="00452A2E" w:rsidP="008A3814">
            <w:pPr>
              <w:jc w:val="right"/>
              <w:rPr>
                <w:rFonts w:eastAsiaTheme="minorEastAsia"/>
                <w:szCs w:val="21"/>
              </w:rPr>
            </w:pPr>
            <w:r w:rsidRPr="00896265">
              <w:rPr>
                <w:rFonts w:eastAsiaTheme="minorEastAsia"/>
                <w:szCs w:val="21"/>
              </w:rPr>
              <w:t>-0.0048</w:t>
            </w:r>
          </w:p>
        </w:tc>
        <w:tc>
          <w:tcPr>
            <w:tcW w:w="763" w:type="pct"/>
            <w:vAlign w:val="center"/>
          </w:tcPr>
          <w:p w:rsidR="00452A2E" w:rsidRPr="00896265" w:rsidRDefault="00452A2E" w:rsidP="008A3814">
            <w:pPr>
              <w:jc w:val="right"/>
              <w:rPr>
                <w:rFonts w:eastAsiaTheme="minorEastAsia"/>
                <w:szCs w:val="21"/>
              </w:rPr>
            </w:pPr>
            <w:r w:rsidRPr="00896265">
              <w:rPr>
                <w:rFonts w:eastAsiaTheme="minorEastAsia"/>
                <w:szCs w:val="21"/>
              </w:rPr>
              <w:t>-</w:t>
            </w:r>
          </w:p>
        </w:tc>
        <w:tc>
          <w:tcPr>
            <w:tcW w:w="764" w:type="pct"/>
            <w:vAlign w:val="center"/>
          </w:tcPr>
          <w:p w:rsidR="00452A2E" w:rsidRPr="00896265" w:rsidRDefault="00452A2E" w:rsidP="008A3814">
            <w:pPr>
              <w:jc w:val="right"/>
              <w:rPr>
                <w:rFonts w:eastAsiaTheme="minorEastAsia"/>
                <w:szCs w:val="21"/>
              </w:rPr>
            </w:pPr>
            <w:r w:rsidRPr="00896265">
              <w:rPr>
                <w:rFonts w:eastAsiaTheme="minorEastAsia"/>
                <w:szCs w:val="21"/>
              </w:rPr>
              <w:t>0.0287</w:t>
            </w:r>
          </w:p>
        </w:tc>
        <w:tc>
          <w:tcPr>
            <w:tcW w:w="820" w:type="pct"/>
            <w:vAlign w:val="center"/>
          </w:tcPr>
          <w:p w:rsidR="00452A2E" w:rsidRPr="00896265" w:rsidRDefault="00452A2E" w:rsidP="008A3814">
            <w:pPr>
              <w:jc w:val="right"/>
              <w:rPr>
                <w:rFonts w:eastAsiaTheme="minorEastAsia"/>
                <w:szCs w:val="21"/>
              </w:rPr>
            </w:pPr>
            <w:r w:rsidRPr="00896265">
              <w:rPr>
                <w:rFonts w:eastAsiaTheme="minorEastAsia"/>
                <w:szCs w:val="21"/>
              </w:rPr>
              <w:t>-</w:t>
            </w:r>
          </w:p>
        </w:tc>
      </w:tr>
      <w:tr w:rsidR="00452A2E" w:rsidRPr="00896265" w:rsidTr="008A3814">
        <w:tc>
          <w:tcPr>
            <w:tcW w:w="516" w:type="pct"/>
            <w:vAlign w:val="center"/>
          </w:tcPr>
          <w:p w:rsidR="00452A2E" w:rsidRPr="00896265" w:rsidRDefault="00452A2E" w:rsidP="008A3814">
            <w:pPr>
              <w:rPr>
                <w:rFonts w:eastAsiaTheme="minorEastAsia"/>
                <w:szCs w:val="21"/>
              </w:rPr>
            </w:pPr>
            <w:r w:rsidRPr="00896265">
              <w:rPr>
                <w:rFonts w:eastAsiaTheme="minorEastAsia"/>
                <w:szCs w:val="21"/>
              </w:rPr>
              <w:t>本期加权平均净值利润率</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18.05%</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11.21%</w:t>
            </w:r>
          </w:p>
        </w:tc>
        <w:tc>
          <w:tcPr>
            <w:tcW w:w="763" w:type="pct"/>
            <w:gridSpan w:val="2"/>
            <w:vAlign w:val="center"/>
          </w:tcPr>
          <w:p w:rsidR="00452A2E" w:rsidRPr="00896265" w:rsidRDefault="00452A2E" w:rsidP="008A3814">
            <w:pPr>
              <w:jc w:val="right"/>
              <w:rPr>
                <w:rFonts w:eastAsiaTheme="minorEastAsia"/>
                <w:szCs w:val="21"/>
              </w:rPr>
            </w:pPr>
            <w:r w:rsidRPr="00896265">
              <w:rPr>
                <w:rFonts w:eastAsiaTheme="minorEastAsia"/>
                <w:szCs w:val="21"/>
              </w:rPr>
              <w:t>-0.69%</w:t>
            </w:r>
          </w:p>
        </w:tc>
        <w:tc>
          <w:tcPr>
            <w:tcW w:w="763" w:type="pct"/>
            <w:vAlign w:val="center"/>
          </w:tcPr>
          <w:p w:rsidR="00452A2E" w:rsidRPr="00896265" w:rsidRDefault="00452A2E" w:rsidP="008A3814">
            <w:pPr>
              <w:jc w:val="right"/>
              <w:rPr>
                <w:rFonts w:eastAsiaTheme="minorEastAsia"/>
                <w:szCs w:val="21"/>
              </w:rPr>
            </w:pPr>
            <w:r w:rsidRPr="00896265">
              <w:rPr>
                <w:rFonts w:eastAsiaTheme="minorEastAsia"/>
                <w:szCs w:val="21"/>
              </w:rPr>
              <w:t>-</w:t>
            </w:r>
          </w:p>
        </w:tc>
        <w:tc>
          <w:tcPr>
            <w:tcW w:w="764" w:type="pct"/>
            <w:vAlign w:val="center"/>
          </w:tcPr>
          <w:p w:rsidR="00452A2E" w:rsidRPr="00896265" w:rsidRDefault="00452A2E" w:rsidP="008A3814">
            <w:pPr>
              <w:jc w:val="right"/>
              <w:rPr>
                <w:rFonts w:eastAsiaTheme="minorEastAsia"/>
                <w:szCs w:val="21"/>
              </w:rPr>
            </w:pPr>
            <w:r w:rsidRPr="00896265">
              <w:rPr>
                <w:rFonts w:eastAsiaTheme="minorEastAsia"/>
                <w:szCs w:val="21"/>
              </w:rPr>
              <w:t>3.95%</w:t>
            </w:r>
          </w:p>
        </w:tc>
        <w:tc>
          <w:tcPr>
            <w:tcW w:w="820" w:type="pct"/>
            <w:vAlign w:val="center"/>
          </w:tcPr>
          <w:p w:rsidR="00452A2E" w:rsidRPr="00896265" w:rsidRDefault="00452A2E" w:rsidP="008A3814">
            <w:pPr>
              <w:jc w:val="right"/>
              <w:rPr>
                <w:rFonts w:eastAsiaTheme="minorEastAsia"/>
                <w:szCs w:val="21"/>
              </w:rPr>
            </w:pPr>
            <w:r w:rsidRPr="00896265">
              <w:rPr>
                <w:rFonts w:eastAsiaTheme="minorEastAsia"/>
                <w:szCs w:val="21"/>
              </w:rPr>
              <w:t>-</w:t>
            </w:r>
          </w:p>
        </w:tc>
      </w:tr>
      <w:tr w:rsidR="00452A2E" w:rsidRPr="00896265" w:rsidTr="008A3814">
        <w:tc>
          <w:tcPr>
            <w:tcW w:w="516" w:type="pct"/>
            <w:vAlign w:val="center"/>
          </w:tcPr>
          <w:p w:rsidR="00452A2E" w:rsidRPr="00896265" w:rsidRDefault="00452A2E" w:rsidP="008A3814">
            <w:pPr>
              <w:rPr>
                <w:rFonts w:eastAsiaTheme="minorEastAsia"/>
                <w:szCs w:val="21"/>
              </w:rPr>
            </w:pPr>
            <w:r w:rsidRPr="00896265">
              <w:rPr>
                <w:rFonts w:eastAsiaTheme="minorEastAsia"/>
                <w:szCs w:val="21"/>
              </w:rPr>
              <w:t>本期基金份额净值增长率</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20.08%</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6.21%</w:t>
            </w:r>
          </w:p>
        </w:tc>
        <w:tc>
          <w:tcPr>
            <w:tcW w:w="763" w:type="pct"/>
            <w:gridSpan w:val="2"/>
            <w:vAlign w:val="center"/>
          </w:tcPr>
          <w:p w:rsidR="00452A2E" w:rsidRPr="00896265" w:rsidRDefault="00452A2E" w:rsidP="008A3814">
            <w:pPr>
              <w:jc w:val="right"/>
              <w:rPr>
                <w:rFonts w:eastAsiaTheme="minorEastAsia"/>
                <w:szCs w:val="21"/>
              </w:rPr>
            </w:pPr>
            <w:r w:rsidRPr="00896265">
              <w:rPr>
                <w:rFonts w:eastAsiaTheme="minorEastAsia"/>
                <w:szCs w:val="21"/>
              </w:rPr>
              <w:t>-0.42%</w:t>
            </w:r>
          </w:p>
        </w:tc>
        <w:tc>
          <w:tcPr>
            <w:tcW w:w="763" w:type="pct"/>
            <w:vAlign w:val="center"/>
          </w:tcPr>
          <w:p w:rsidR="00452A2E" w:rsidRPr="00896265" w:rsidRDefault="00452A2E" w:rsidP="008A3814">
            <w:pPr>
              <w:jc w:val="right"/>
              <w:rPr>
                <w:rFonts w:eastAsiaTheme="minorEastAsia"/>
                <w:szCs w:val="21"/>
              </w:rPr>
            </w:pPr>
            <w:r w:rsidRPr="00896265">
              <w:rPr>
                <w:rFonts w:eastAsiaTheme="minorEastAsia"/>
                <w:szCs w:val="21"/>
              </w:rPr>
              <w:t>-</w:t>
            </w:r>
          </w:p>
        </w:tc>
        <w:tc>
          <w:tcPr>
            <w:tcW w:w="764" w:type="pct"/>
            <w:vAlign w:val="center"/>
          </w:tcPr>
          <w:p w:rsidR="00452A2E" w:rsidRPr="00896265" w:rsidRDefault="00452A2E" w:rsidP="008A3814">
            <w:pPr>
              <w:jc w:val="right"/>
              <w:rPr>
                <w:rFonts w:eastAsiaTheme="minorEastAsia"/>
                <w:szCs w:val="21"/>
              </w:rPr>
            </w:pPr>
            <w:r w:rsidRPr="00896265">
              <w:rPr>
                <w:rFonts w:eastAsiaTheme="minorEastAsia"/>
                <w:szCs w:val="21"/>
              </w:rPr>
              <w:t>2.44%</w:t>
            </w:r>
          </w:p>
        </w:tc>
        <w:tc>
          <w:tcPr>
            <w:tcW w:w="820" w:type="pct"/>
            <w:vAlign w:val="center"/>
          </w:tcPr>
          <w:p w:rsidR="00452A2E" w:rsidRPr="00896265" w:rsidRDefault="00452A2E" w:rsidP="008A3814">
            <w:pPr>
              <w:jc w:val="right"/>
              <w:rPr>
                <w:rFonts w:eastAsiaTheme="minorEastAsia"/>
                <w:szCs w:val="21"/>
              </w:rPr>
            </w:pPr>
            <w:r w:rsidRPr="00896265">
              <w:rPr>
                <w:rFonts w:eastAsiaTheme="minorEastAsia"/>
                <w:szCs w:val="21"/>
              </w:rPr>
              <w:t>-</w:t>
            </w:r>
          </w:p>
        </w:tc>
      </w:tr>
      <w:tr w:rsidR="00452A2E" w:rsidRPr="00896265" w:rsidTr="008A3814">
        <w:tc>
          <w:tcPr>
            <w:tcW w:w="515" w:type="pct"/>
            <w:vMerge w:val="restart"/>
            <w:vAlign w:val="center"/>
          </w:tcPr>
          <w:p w:rsidR="00452A2E" w:rsidRPr="00896265" w:rsidRDefault="00452A2E" w:rsidP="008A3814">
            <w:pPr>
              <w:ind w:leftChars="-51" w:left="-107" w:rightChars="-51" w:right="-107"/>
              <w:rPr>
                <w:rFonts w:eastAsiaTheme="minorEastAsia"/>
                <w:b/>
                <w:color w:val="000000"/>
                <w:szCs w:val="21"/>
              </w:rPr>
            </w:pPr>
            <w:r w:rsidRPr="00896265">
              <w:rPr>
                <w:rFonts w:eastAsiaTheme="minorEastAsia"/>
                <w:b/>
                <w:color w:val="000000"/>
                <w:szCs w:val="21"/>
              </w:rPr>
              <w:t>3.1.2</w:t>
            </w:r>
            <w:r w:rsidRPr="00896265">
              <w:rPr>
                <w:rFonts w:eastAsiaTheme="minorEastAsia"/>
                <w:b/>
                <w:color w:val="000000"/>
                <w:szCs w:val="21"/>
              </w:rPr>
              <w:t>期末数据和指标</w:t>
            </w:r>
          </w:p>
        </w:tc>
        <w:tc>
          <w:tcPr>
            <w:tcW w:w="1376" w:type="pct"/>
            <w:gridSpan w:val="2"/>
            <w:vAlign w:val="center"/>
          </w:tcPr>
          <w:p w:rsidR="00452A2E" w:rsidRPr="00896265" w:rsidRDefault="00452A2E" w:rsidP="008A3814">
            <w:pPr>
              <w:jc w:val="center"/>
              <w:rPr>
                <w:rFonts w:eastAsiaTheme="minorEastAsia"/>
                <w:b/>
                <w:szCs w:val="21"/>
              </w:rPr>
            </w:pPr>
            <w:r w:rsidRPr="00896265">
              <w:rPr>
                <w:rFonts w:eastAsiaTheme="minorEastAsia"/>
                <w:b/>
                <w:szCs w:val="21"/>
              </w:rPr>
              <w:t>2019</w:t>
            </w:r>
            <w:r w:rsidRPr="00896265">
              <w:rPr>
                <w:rFonts w:eastAsiaTheme="minorEastAsia"/>
                <w:b/>
                <w:szCs w:val="21"/>
              </w:rPr>
              <w:t>年末</w:t>
            </w:r>
          </w:p>
        </w:tc>
        <w:tc>
          <w:tcPr>
            <w:tcW w:w="1525" w:type="pct"/>
            <w:gridSpan w:val="3"/>
            <w:vAlign w:val="center"/>
          </w:tcPr>
          <w:p w:rsidR="00452A2E" w:rsidRPr="00896265" w:rsidRDefault="00452A2E" w:rsidP="008A3814">
            <w:pPr>
              <w:jc w:val="center"/>
              <w:rPr>
                <w:rFonts w:eastAsiaTheme="minorEastAsia"/>
                <w:b/>
                <w:szCs w:val="21"/>
              </w:rPr>
            </w:pPr>
            <w:r w:rsidRPr="00896265">
              <w:rPr>
                <w:rFonts w:eastAsiaTheme="minorEastAsia"/>
                <w:b/>
                <w:szCs w:val="21"/>
              </w:rPr>
              <w:t>2018</w:t>
            </w:r>
            <w:r w:rsidRPr="00896265">
              <w:rPr>
                <w:rFonts w:eastAsiaTheme="minorEastAsia"/>
                <w:b/>
                <w:szCs w:val="21"/>
              </w:rPr>
              <w:t>年末</w:t>
            </w:r>
          </w:p>
        </w:tc>
        <w:tc>
          <w:tcPr>
            <w:tcW w:w="1584" w:type="pct"/>
            <w:gridSpan w:val="2"/>
            <w:vAlign w:val="center"/>
          </w:tcPr>
          <w:p w:rsidR="00452A2E" w:rsidRPr="00896265" w:rsidRDefault="00452A2E" w:rsidP="008A3814">
            <w:pPr>
              <w:jc w:val="center"/>
              <w:rPr>
                <w:rFonts w:eastAsiaTheme="minorEastAsia"/>
                <w:b/>
                <w:szCs w:val="21"/>
              </w:rPr>
            </w:pPr>
            <w:r w:rsidRPr="00896265">
              <w:rPr>
                <w:rFonts w:eastAsiaTheme="minorEastAsia"/>
                <w:b/>
                <w:szCs w:val="21"/>
              </w:rPr>
              <w:t>2017</w:t>
            </w:r>
            <w:r w:rsidRPr="00896265">
              <w:rPr>
                <w:rFonts w:eastAsiaTheme="minorEastAsia"/>
                <w:b/>
                <w:szCs w:val="21"/>
              </w:rPr>
              <w:t>年末</w:t>
            </w:r>
          </w:p>
        </w:tc>
      </w:tr>
      <w:tr w:rsidR="00452A2E" w:rsidRPr="00896265" w:rsidTr="008A3814">
        <w:trPr>
          <w:trHeight w:val="373"/>
        </w:trPr>
        <w:tc>
          <w:tcPr>
            <w:tcW w:w="515" w:type="pct"/>
            <w:vMerge/>
            <w:vAlign w:val="center"/>
          </w:tcPr>
          <w:p w:rsidR="00452A2E" w:rsidRPr="00896265" w:rsidRDefault="00452A2E" w:rsidP="008A3814">
            <w:pPr>
              <w:widowControl/>
              <w:jc w:val="left"/>
              <w:rPr>
                <w:rFonts w:eastAsiaTheme="minorEastAsia"/>
                <w:b/>
                <w:color w:val="000000"/>
                <w:szCs w:val="21"/>
              </w:rPr>
            </w:pPr>
          </w:p>
        </w:tc>
        <w:tc>
          <w:tcPr>
            <w:tcW w:w="689" w:type="pct"/>
            <w:vAlign w:val="center"/>
          </w:tcPr>
          <w:p w:rsidR="00452A2E" w:rsidRPr="00896265" w:rsidRDefault="00452A2E" w:rsidP="008A3814">
            <w:pPr>
              <w:ind w:leftChars="-51" w:left="-107" w:rightChars="-51" w:right="-107"/>
              <w:jc w:val="center"/>
              <w:rPr>
                <w:rFonts w:eastAsiaTheme="minorEastAsia"/>
                <w:color w:val="000000"/>
                <w:szCs w:val="21"/>
              </w:rPr>
            </w:pPr>
            <w:r w:rsidRPr="00896265">
              <w:rPr>
                <w:rFonts w:eastAsiaTheme="minorEastAsia"/>
                <w:color w:val="000000"/>
                <w:szCs w:val="21"/>
              </w:rPr>
              <w:t>易方达黄金主题（</w:t>
            </w:r>
            <w:r w:rsidRPr="00896265">
              <w:rPr>
                <w:rFonts w:eastAsiaTheme="minorEastAsia"/>
                <w:color w:val="000000"/>
                <w:szCs w:val="21"/>
              </w:rPr>
              <w:t>QDII-LOF-FOF</w:t>
            </w:r>
            <w:r w:rsidRPr="00896265">
              <w:rPr>
                <w:rFonts w:eastAsiaTheme="minorEastAsia"/>
                <w:color w:val="000000"/>
                <w:szCs w:val="21"/>
              </w:rPr>
              <w:t>）</w:t>
            </w:r>
            <w:r w:rsidRPr="00896265">
              <w:rPr>
                <w:rFonts w:eastAsiaTheme="minorEastAsia"/>
                <w:color w:val="000000"/>
                <w:szCs w:val="21"/>
              </w:rPr>
              <w:t>A</w:t>
            </w:r>
          </w:p>
        </w:tc>
        <w:tc>
          <w:tcPr>
            <w:tcW w:w="687" w:type="pct"/>
            <w:vAlign w:val="center"/>
          </w:tcPr>
          <w:p w:rsidR="00452A2E" w:rsidRPr="00896265" w:rsidRDefault="00452A2E" w:rsidP="008A3814">
            <w:pPr>
              <w:ind w:leftChars="-51" w:left="-107" w:rightChars="-51" w:right="-107"/>
              <w:jc w:val="center"/>
              <w:rPr>
                <w:rFonts w:eastAsiaTheme="minorEastAsia"/>
                <w:color w:val="000000"/>
                <w:szCs w:val="21"/>
              </w:rPr>
            </w:pPr>
            <w:r w:rsidRPr="00896265">
              <w:rPr>
                <w:rFonts w:eastAsiaTheme="minorEastAsia"/>
                <w:color w:val="000000"/>
                <w:szCs w:val="21"/>
              </w:rPr>
              <w:t>易方达黄金主题（</w:t>
            </w:r>
            <w:r w:rsidRPr="00896265">
              <w:rPr>
                <w:rFonts w:eastAsiaTheme="minorEastAsia"/>
                <w:color w:val="000000"/>
                <w:szCs w:val="21"/>
              </w:rPr>
              <w:t>QDII-LOF-FOF</w:t>
            </w:r>
            <w:r w:rsidRPr="00896265">
              <w:rPr>
                <w:rFonts w:eastAsiaTheme="minorEastAsia"/>
                <w:color w:val="000000"/>
                <w:szCs w:val="21"/>
              </w:rPr>
              <w:t>）</w:t>
            </w:r>
            <w:r w:rsidRPr="00896265">
              <w:rPr>
                <w:rFonts w:eastAsiaTheme="minorEastAsia"/>
                <w:color w:val="000000"/>
                <w:szCs w:val="21"/>
              </w:rPr>
              <w:t>C</w:t>
            </w:r>
          </w:p>
        </w:tc>
        <w:tc>
          <w:tcPr>
            <w:tcW w:w="762" w:type="pct"/>
            <w:gridSpan w:val="2"/>
            <w:vAlign w:val="center"/>
          </w:tcPr>
          <w:p w:rsidR="00452A2E" w:rsidRPr="00896265" w:rsidRDefault="00452A2E" w:rsidP="008A3814">
            <w:pPr>
              <w:ind w:leftChars="-51" w:left="-107" w:rightChars="-51" w:right="-107"/>
              <w:jc w:val="center"/>
              <w:rPr>
                <w:rFonts w:eastAsiaTheme="minorEastAsia"/>
                <w:color w:val="000000"/>
                <w:szCs w:val="21"/>
              </w:rPr>
            </w:pPr>
            <w:r w:rsidRPr="00896265">
              <w:rPr>
                <w:rFonts w:eastAsiaTheme="minorEastAsia"/>
                <w:color w:val="000000"/>
                <w:szCs w:val="21"/>
              </w:rPr>
              <w:t>易方达黄金主题（</w:t>
            </w:r>
            <w:r w:rsidRPr="00896265">
              <w:rPr>
                <w:rFonts w:eastAsiaTheme="minorEastAsia"/>
                <w:color w:val="000000"/>
                <w:szCs w:val="21"/>
              </w:rPr>
              <w:t>QDII-LOF-FOF</w:t>
            </w:r>
            <w:r w:rsidRPr="00896265">
              <w:rPr>
                <w:rFonts w:eastAsiaTheme="minorEastAsia"/>
                <w:color w:val="000000"/>
                <w:szCs w:val="21"/>
              </w:rPr>
              <w:t>）</w:t>
            </w:r>
            <w:r w:rsidRPr="00896265">
              <w:rPr>
                <w:rFonts w:eastAsiaTheme="minorEastAsia"/>
                <w:color w:val="000000"/>
                <w:szCs w:val="21"/>
              </w:rPr>
              <w:t>A</w:t>
            </w:r>
          </w:p>
        </w:tc>
        <w:tc>
          <w:tcPr>
            <w:tcW w:w="762" w:type="pct"/>
            <w:vAlign w:val="center"/>
          </w:tcPr>
          <w:p w:rsidR="00452A2E" w:rsidRPr="00896265" w:rsidRDefault="00452A2E" w:rsidP="008A3814">
            <w:pPr>
              <w:ind w:leftChars="-51" w:left="-107" w:rightChars="-51" w:right="-107"/>
              <w:jc w:val="center"/>
              <w:rPr>
                <w:rFonts w:eastAsiaTheme="minorEastAsia"/>
                <w:color w:val="000000"/>
                <w:szCs w:val="21"/>
              </w:rPr>
            </w:pPr>
            <w:r w:rsidRPr="00896265">
              <w:rPr>
                <w:rFonts w:eastAsiaTheme="minorEastAsia"/>
                <w:color w:val="000000"/>
                <w:szCs w:val="21"/>
              </w:rPr>
              <w:t>易方达黄金主题（</w:t>
            </w:r>
            <w:r w:rsidRPr="00896265">
              <w:rPr>
                <w:rFonts w:eastAsiaTheme="minorEastAsia"/>
                <w:color w:val="000000"/>
                <w:szCs w:val="21"/>
              </w:rPr>
              <w:t>QDII-LOF-FOF</w:t>
            </w:r>
            <w:r w:rsidRPr="00896265">
              <w:rPr>
                <w:rFonts w:eastAsiaTheme="minorEastAsia"/>
                <w:color w:val="000000"/>
                <w:szCs w:val="21"/>
              </w:rPr>
              <w:t>）</w:t>
            </w:r>
            <w:r w:rsidRPr="00896265">
              <w:rPr>
                <w:rFonts w:eastAsiaTheme="minorEastAsia"/>
                <w:color w:val="000000"/>
                <w:szCs w:val="21"/>
              </w:rPr>
              <w:t>C</w:t>
            </w:r>
          </w:p>
        </w:tc>
        <w:tc>
          <w:tcPr>
            <w:tcW w:w="764" w:type="pct"/>
            <w:vAlign w:val="center"/>
          </w:tcPr>
          <w:p w:rsidR="00452A2E" w:rsidRPr="00896265" w:rsidRDefault="00452A2E" w:rsidP="008A3814">
            <w:pPr>
              <w:ind w:leftChars="-51" w:left="-107" w:rightChars="-51" w:right="-107"/>
              <w:jc w:val="center"/>
              <w:rPr>
                <w:rFonts w:eastAsiaTheme="minorEastAsia"/>
                <w:color w:val="000000"/>
                <w:szCs w:val="21"/>
              </w:rPr>
            </w:pPr>
            <w:r w:rsidRPr="00896265">
              <w:rPr>
                <w:rFonts w:eastAsiaTheme="minorEastAsia"/>
                <w:color w:val="000000"/>
                <w:szCs w:val="21"/>
              </w:rPr>
              <w:t>易方达黄金主题（</w:t>
            </w:r>
            <w:r w:rsidRPr="00896265">
              <w:rPr>
                <w:rFonts w:eastAsiaTheme="minorEastAsia"/>
                <w:color w:val="000000"/>
                <w:szCs w:val="21"/>
              </w:rPr>
              <w:t>QDII-LOF-FOF</w:t>
            </w:r>
            <w:r w:rsidRPr="00896265">
              <w:rPr>
                <w:rFonts w:eastAsiaTheme="minorEastAsia"/>
                <w:color w:val="000000"/>
                <w:szCs w:val="21"/>
              </w:rPr>
              <w:t>）</w:t>
            </w:r>
            <w:r w:rsidRPr="00896265">
              <w:rPr>
                <w:rFonts w:eastAsiaTheme="minorEastAsia"/>
                <w:color w:val="000000"/>
                <w:szCs w:val="21"/>
              </w:rPr>
              <w:t>A</w:t>
            </w:r>
          </w:p>
        </w:tc>
        <w:tc>
          <w:tcPr>
            <w:tcW w:w="820" w:type="pct"/>
            <w:vAlign w:val="center"/>
          </w:tcPr>
          <w:p w:rsidR="00452A2E" w:rsidRPr="00896265" w:rsidRDefault="00452A2E" w:rsidP="008A3814">
            <w:pPr>
              <w:ind w:leftChars="-51" w:left="-107" w:rightChars="-51" w:right="-107"/>
              <w:jc w:val="center"/>
              <w:rPr>
                <w:rFonts w:eastAsiaTheme="minorEastAsia"/>
                <w:color w:val="000000"/>
                <w:szCs w:val="21"/>
              </w:rPr>
            </w:pPr>
            <w:r w:rsidRPr="00896265">
              <w:rPr>
                <w:rFonts w:eastAsiaTheme="minorEastAsia"/>
                <w:color w:val="000000"/>
                <w:szCs w:val="21"/>
              </w:rPr>
              <w:t>易方达黄金主题（</w:t>
            </w:r>
            <w:r w:rsidRPr="00896265">
              <w:rPr>
                <w:rFonts w:eastAsiaTheme="minorEastAsia"/>
                <w:color w:val="000000"/>
                <w:szCs w:val="21"/>
              </w:rPr>
              <w:t>QDII-LOF-FOF</w:t>
            </w:r>
            <w:r w:rsidRPr="00896265">
              <w:rPr>
                <w:rFonts w:eastAsiaTheme="minorEastAsia"/>
                <w:color w:val="000000"/>
                <w:szCs w:val="21"/>
              </w:rPr>
              <w:t>）</w:t>
            </w:r>
            <w:r w:rsidRPr="00896265">
              <w:rPr>
                <w:rFonts w:eastAsiaTheme="minorEastAsia"/>
                <w:color w:val="000000"/>
                <w:szCs w:val="21"/>
              </w:rPr>
              <w:t>C</w:t>
            </w:r>
          </w:p>
        </w:tc>
      </w:tr>
      <w:tr w:rsidR="00452A2E" w:rsidRPr="00896265" w:rsidTr="008A3814">
        <w:tc>
          <w:tcPr>
            <w:tcW w:w="515" w:type="pct"/>
            <w:vAlign w:val="center"/>
          </w:tcPr>
          <w:p w:rsidR="00452A2E" w:rsidRPr="00896265" w:rsidRDefault="00452A2E" w:rsidP="008A3814">
            <w:pPr>
              <w:rPr>
                <w:rFonts w:eastAsiaTheme="minorEastAsia"/>
                <w:szCs w:val="21"/>
              </w:rPr>
            </w:pPr>
            <w:r w:rsidRPr="00896265">
              <w:rPr>
                <w:rFonts w:eastAsiaTheme="minorEastAsia"/>
                <w:szCs w:val="21"/>
              </w:rPr>
              <w:t>期末可供分配利润</w:t>
            </w:r>
          </w:p>
        </w:tc>
        <w:tc>
          <w:tcPr>
            <w:tcW w:w="689" w:type="pct"/>
            <w:vAlign w:val="center"/>
          </w:tcPr>
          <w:p w:rsidR="00452A2E" w:rsidRPr="00896265" w:rsidRDefault="00452A2E" w:rsidP="008A3814">
            <w:pPr>
              <w:jc w:val="right"/>
              <w:rPr>
                <w:rFonts w:eastAsiaTheme="minorEastAsia"/>
                <w:szCs w:val="21"/>
              </w:rPr>
            </w:pPr>
            <w:r w:rsidRPr="00896265">
              <w:rPr>
                <w:rFonts w:eastAsiaTheme="minorEastAsia"/>
                <w:szCs w:val="21"/>
              </w:rPr>
              <w:t>-102,532,181.63</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-80,774.58</w:t>
            </w:r>
          </w:p>
        </w:tc>
        <w:tc>
          <w:tcPr>
            <w:tcW w:w="762" w:type="pct"/>
            <w:gridSpan w:val="2"/>
            <w:vAlign w:val="center"/>
          </w:tcPr>
          <w:p w:rsidR="00452A2E" w:rsidRPr="00896265" w:rsidRDefault="00452A2E" w:rsidP="008A3814">
            <w:pPr>
              <w:jc w:val="right"/>
              <w:rPr>
                <w:rFonts w:eastAsiaTheme="minorEastAsia"/>
                <w:szCs w:val="21"/>
              </w:rPr>
            </w:pPr>
            <w:r w:rsidRPr="00896265">
              <w:rPr>
                <w:rFonts w:eastAsiaTheme="minorEastAsia"/>
                <w:szCs w:val="21"/>
              </w:rPr>
              <w:t>-108,330,932.98</w:t>
            </w:r>
          </w:p>
        </w:tc>
        <w:tc>
          <w:tcPr>
            <w:tcW w:w="762" w:type="pct"/>
            <w:vAlign w:val="center"/>
          </w:tcPr>
          <w:p w:rsidR="00452A2E" w:rsidRPr="00896265" w:rsidRDefault="00452A2E" w:rsidP="008A3814">
            <w:pPr>
              <w:jc w:val="right"/>
              <w:rPr>
                <w:rFonts w:eastAsiaTheme="minorEastAsia"/>
                <w:szCs w:val="21"/>
              </w:rPr>
            </w:pPr>
            <w:r w:rsidRPr="00896265">
              <w:rPr>
                <w:rFonts w:eastAsiaTheme="minorEastAsia"/>
                <w:szCs w:val="21"/>
              </w:rPr>
              <w:t>-</w:t>
            </w:r>
          </w:p>
        </w:tc>
        <w:tc>
          <w:tcPr>
            <w:tcW w:w="764" w:type="pct"/>
            <w:vAlign w:val="center"/>
          </w:tcPr>
          <w:p w:rsidR="00452A2E" w:rsidRPr="00896265" w:rsidRDefault="00452A2E" w:rsidP="008A3814">
            <w:pPr>
              <w:jc w:val="right"/>
              <w:rPr>
                <w:rFonts w:eastAsiaTheme="minorEastAsia"/>
                <w:szCs w:val="21"/>
              </w:rPr>
            </w:pPr>
            <w:r w:rsidRPr="00896265">
              <w:rPr>
                <w:rFonts w:eastAsiaTheme="minorEastAsia"/>
                <w:szCs w:val="21"/>
              </w:rPr>
              <w:t>-122,520,057.34</w:t>
            </w:r>
          </w:p>
        </w:tc>
        <w:tc>
          <w:tcPr>
            <w:tcW w:w="820" w:type="pct"/>
            <w:vAlign w:val="center"/>
          </w:tcPr>
          <w:p w:rsidR="00452A2E" w:rsidRPr="00896265" w:rsidRDefault="00452A2E" w:rsidP="008A3814">
            <w:pPr>
              <w:jc w:val="right"/>
              <w:rPr>
                <w:rFonts w:eastAsiaTheme="minorEastAsia"/>
                <w:szCs w:val="21"/>
              </w:rPr>
            </w:pPr>
            <w:r w:rsidRPr="00896265">
              <w:rPr>
                <w:rFonts w:eastAsiaTheme="minorEastAsia"/>
                <w:szCs w:val="21"/>
              </w:rPr>
              <w:t>-</w:t>
            </w:r>
          </w:p>
        </w:tc>
      </w:tr>
      <w:tr w:rsidR="00452A2E" w:rsidRPr="00896265" w:rsidTr="008A3814">
        <w:tc>
          <w:tcPr>
            <w:tcW w:w="515" w:type="pct"/>
            <w:vAlign w:val="center"/>
          </w:tcPr>
          <w:p w:rsidR="00452A2E" w:rsidRPr="00896265" w:rsidRDefault="00452A2E" w:rsidP="008A3814">
            <w:pPr>
              <w:rPr>
                <w:rFonts w:eastAsiaTheme="minorEastAsia"/>
                <w:szCs w:val="21"/>
              </w:rPr>
            </w:pPr>
            <w:r w:rsidRPr="00896265">
              <w:rPr>
                <w:rFonts w:eastAsiaTheme="minorEastAsia"/>
                <w:szCs w:val="21"/>
              </w:rPr>
              <w:t>期末可供分配基金份额利润</w:t>
            </w:r>
          </w:p>
        </w:tc>
        <w:tc>
          <w:tcPr>
            <w:tcW w:w="689" w:type="pct"/>
            <w:vAlign w:val="center"/>
          </w:tcPr>
          <w:p w:rsidR="00452A2E" w:rsidRPr="00896265" w:rsidRDefault="00452A2E" w:rsidP="008A3814">
            <w:pPr>
              <w:jc w:val="right"/>
              <w:rPr>
                <w:rFonts w:eastAsiaTheme="minorEastAsia"/>
                <w:szCs w:val="21"/>
              </w:rPr>
            </w:pPr>
            <w:r w:rsidRPr="00896265">
              <w:rPr>
                <w:rFonts w:eastAsiaTheme="minorEastAsia"/>
                <w:szCs w:val="21"/>
              </w:rPr>
              <w:t>-0.2392</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-0.1780</w:t>
            </w:r>
          </w:p>
        </w:tc>
        <w:tc>
          <w:tcPr>
            <w:tcW w:w="762" w:type="pct"/>
            <w:gridSpan w:val="2"/>
            <w:vAlign w:val="center"/>
          </w:tcPr>
          <w:p w:rsidR="00452A2E" w:rsidRPr="00896265" w:rsidRDefault="00452A2E" w:rsidP="008A3814">
            <w:pPr>
              <w:jc w:val="right"/>
              <w:rPr>
                <w:rFonts w:eastAsiaTheme="minorEastAsia"/>
                <w:szCs w:val="21"/>
              </w:rPr>
            </w:pPr>
            <w:r w:rsidRPr="00896265">
              <w:rPr>
                <w:rFonts w:eastAsiaTheme="minorEastAsia"/>
                <w:szCs w:val="21"/>
              </w:rPr>
              <w:t>-0.2885</w:t>
            </w:r>
          </w:p>
        </w:tc>
        <w:tc>
          <w:tcPr>
            <w:tcW w:w="762" w:type="pct"/>
            <w:vAlign w:val="center"/>
          </w:tcPr>
          <w:p w:rsidR="00452A2E" w:rsidRPr="00896265" w:rsidRDefault="00452A2E" w:rsidP="008A3814">
            <w:pPr>
              <w:jc w:val="right"/>
              <w:rPr>
                <w:rFonts w:eastAsiaTheme="minorEastAsia"/>
                <w:szCs w:val="21"/>
              </w:rPr>
            </w:pPr>
            <w:r w:rsidRPr="00896265">
              <w:rPr>
                <w:rFonts w:eastAsiaTheme="minorEastAsia"/>
                <w:szCs w:val="21"/>
              </w:rPr>
              <w:t>-</w:t>
            </w:r>
          </w:p>
        </w:tc>
        <w:tc>
          <w:tcPr>
            <w:tcW w:w="764" w:type="pct"/>
            <w:vAlign w:val="center"/>
          </w:tcPr>
          <w:p w:rsidR="00452A2E" w:rsidRPr="00896265" w:rsidRDefault="00452A2E" w:rsidP="008A3814">
            <w:pPr>
              <w:jc w:val="right"/>
              <w:rPr>
                <w:rFonts w:eastAsiaTheme="minorEastAsia"/>
                <w:szCs w:val="21"/>
              </w:rPr>
            </w:pPr>
            <w:r w:rsidRPr="00896265">
              <w:rPr>
                <w:rFonts w:eastAsiaTheme="minorEastAsia"/>
                <w:szCs w:val="21"/>
              </w:rPr>
              <w:t>-0.2849</w:t>
            </w:r>
          </w:p>
        </w:tc>
        <w:tc>
          <w:tcPr>
            <w:tcW w:w="820" w:type="pct"/>
            <w:vAlign w:val="center"/>
          </w:tcPr>
          <w:p w:rsidR="00452A2E" w:rsidRPr="00896265" w:rsidRDefault="00452A2E" w:rsidP="008A3814">
            <w:pPr>
              <w:jc w:val="right"/>
              <w:rPr>
                <w:rFonts w:eastAsiaTheme="minorEastAsia"/>
                <w:szCs w:val="21"/>
              </w:rPr>
            </w:pPr>
            <w:r w:rsidRPr="00896265">
              <w:rPr>
                <w:rFonts w:eastAsiaTheme="minorEastAsia"/>
                <w:szCs w:val="21"/>
              </w:rPr>
              <w:t>-</w:t>
            </w:r>
          </w:p>
        </w:tc>
      </w:tr>
      <w:tr w:rsidR="00452A2E" w:rsidRPr="00896265" w:rsidTr="008A3814">
        <w:tc>
          <w:tcPr>
            <w:tcW w:w="515" w:type="pct"/>
            <w:vAlign w:val="center"/>
          </w:tcPr>
          <w:p w:rsidR="00452A2E" w:rsidRPr="00896265" w:rsidRDefault="00452A2E" w:rsidP="008A3814">
            <w:pPr>
              <w:rPr>
                <w:rFonts w:eastAsiaTheme="minorEastAsia"/>
                <w:szCs w:val="21"/>
              </w:rPr>
            </w:pPr>
            <w:r w:rsidRPr="00896265">
              <w:rPr>
                <w:rFonts w:eastAsiaTheme="minorEastAsia"/>
                <w:szCs w:val="21"/>
              </w:rPr>
              <w:t>期末基金资产净值</w:t>
            </w:r>
          </w:p>
        </w:tc>
        <w:tc>
          <w:tcPr>
            <w:tcW w:w="689" w:type="pct"/>
            <w:vAlign w:val="center"/>
          </w:tcPr>
          <w:p w:rsidR="00452A2E" w:rsidRPr="00896265" w:rsidRDefault="00452A2E" w:rsidP="008A3814">
            <w:pPr>
              <w:jc w:val="right"/>
              <w:rPr>
                <w:rFonts w:eastAsiaTheme="minorEastAsia"/>
                <w:szCs w:val="21"/>
              </w:rPr>
            </w:pPr>
            <w:r w:rsidRPr="00896265">
              <w:rPr>
                <w:rFonts w:eastAsiaTheme="minorEastAsia"/>
                <w:szCs w:val="21"/>
              </w:rPr>
              <w:t>366,451,209.79</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388,204.44</w:t>
            </w:r>
          </w:p>
        </w:tc>
        <w:tc>
          <w:tcPr>
            <w:tcW w:w="762" w:type="pct"/>
            <w:gridSpan w:val="2"/>
            <w:vAlign w:val="center"/>
          </w:tcPr>
          <w:p w:rsidR="00452A2E" w:rsidRPr="00896265" w:rsidRDefault="00452A2E" w:rsidP="008A3814">
            <w:pPr>
              <w:jc w:val="right"/>
              <w:rPr>
                <w:rFonts w:eastAsiaTheme="minorEastAsia"/>
                <w:szCs w:val="21"/>
              </w:rPr>
            </w:pPr>
            <w:r w:rsidRPr="00896265">
              <w:rPr>
                <w:rFonts w:eastAsiaTheme="minorEastAsia"/>
                <w:szCs w:val="21"/>
              </w:rPr>
              <w:t>267,207,781.55</w:t>
            </w:r>
          </w:p>
        </w:tc>
        <w:tc>
          <w:tcPr>
            <w:tcW w:w="762" w:type="pct"/>
            <w:vAlign w:val="center"/>
          </w:tcPr>
          <w:p w:rsidR="00452A2E" w:rsidRPr="00896265" w:rsidRDefault="00452A2E" w:rsidP="008A3814">
            <w:pPr>
              <w:jc w:val="right"/>
              <w:rPr>
                <w:rFonts w:eastAsiaTheme="minorEastAsia"/>
                <w:szCs w:val="21"/>
              </w:rPr>
            </w:pPr>
            <w:r w:rsidRPr="00896265">
              <w:rPr>
                <w:rFonts w:eastAsiaTheme="minorEastAsia"/>
                <w:szCs w:val="21"/>
              </w:rPr>
              <w:t>-</w:t>
            </w:r>
          </w:p>
        </w:tc>
        <w:tc>
          <w:tcPr>
            <w:tcW w:w="764" w:type="pct"/>
            <w:vAlign w:val="center"/>
          </w:tcPr>
          <w:p w:rsidR="00452A2E" w:rsidRPr="00896265" w:rsidRDefault="00452A2E" w:rsidP="008A3814">
            <w:pPr>
              <w:jc w:val="right"/>
              <w:rPr>
                <w:rFonts w:eastAsiaTheme="minorEastAsia"/>
                <w:szCs w:val="21"/>
              </w:rPr>
            </w:pPr>
            <w:r w:rsidRPr="00896265">
              <w:rPr>
                <w:rFonts w:eastAsiaTheme="minorEastAsia"/>
                <w:szCs w:val="21"/>
              </w:rPr>
              <w:t>307,544,030.66</w:t>
            </w:r>
          </w:p>
        </w:tc>
        <w:tc>
          <w:tcPr>
            <w:tcW w:w="820" w:type="pct"/>
            <w:vAlign w:val="center"/>
          </w:tcPr>
          <w:p w:rsidR="00452A2E" w:rsidRPr="00896265" w:rsidRDefault="00452A2E" w:rsidP="008A3814">
            <w:pPr>
              <w:jc w:val="right"/>
              <w:rPr>
                <w:rFonts w:eastAsiaTheme="minorEastAsia"/>
                <w:szCs w:val="21"/>
              </w:rPr>
            </w:pPr>
            <w:r w:rsidRPr="00896265">
              <w:rPr>
                <w:rFonts w:eastAsiaTheme="minorEastAsia"/>
                <w:szCs w:val="21"/>
              </w:rPr>
              <w:t>-</w:t>
            </w:r>
          </w:p>
        </w:tc>
      </w:tr>
      <w:tr w:rsidR="00452A2E" w:rsidRPr="00896265" w:rsidTr="008A3814">
        <w:tc>
          <w:tcPr>
            <w:tcW w:w="515" w:type="pct"/>
            <w:vAlign w:val="center"/>
          </w:tcPr>
          <w:p w:rsidR="00452A2E" w:rsidRPr="00896265" w:rsidRDefault="00452A2E" w:rsidP="008A3814">
            <w:pPr>
              <w:rPr>
                <w:rFonts w:eastAsiaTheme="minorEastAsia"/>
                <w:szCs w:val="21"/>
              </w:rPr>
            </w:pPr>
            <w:r w:rsidRPr="00896265">
              <w:rPr>
                <w:rFonts w:eastAsiaTheme="minorEastAsia"/>
                <w:szCs w:val="21"/>
              </w:rPr>
              <w:t>期末基金份额净值</w:t>
            </w:r>
          </w:p>
        </w:tc>
        <w:tc>
          <w:tcPr>
            <w:tcW w:w="689" w:type="pct"/>
            <w:vAlign w:val="center"/>
          </w:tcPr>
          <w:p w:rsidR="00452A2E" w:rsidRPr="00896265" w:rsidRDefault="00452A2E" w:rsidP="008A3814">
            <w:pPr>
              <w:jc w:val="right"/>
              <w:rPr>
                <w:rFonts w:eastAsiaTheme="minorEastAsia"/>
                <w:szCs w:val="21"/>
              </w:rPr>
            </w:pPr>
            <w:r w:rsidRPr="00896265">
              <w:rPr>
                <w:rFonts w:eastAsiaTheme="minorEastAsia"/>
                <w:szCs w:val="21"/>
              </w:rPr>
              <w:t>0.855</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0.855</w:t>
            </w:r>
          </w:p>
        </w:tc>
        <w:tc>
          <w:tcPr>
            <w:tcW w:w="762" w:type="pct"/>
            <w:gridSpan w:val="2"/>
            <w:vAlign w:val="center"/>
          </w:tcPr>
          <w:p w:rsidR="00452A2E" w:rsidRPr="00896265" w:rsidRDefault="00452A2E" w:rsidP="008A3814">
            <w:pPr>
              <w:jc w:val="right"/>
              <w:rPr>
                <w:rFonts w:eastAsiaTheme="minorEastAsia"/>
                <w:szCs w:val="21"/>
              </w:rPr>
            </w:pPr>
            <w:r w:rsidRPr="00896265">
              <w:rPr>
                <w:rFonts w:eastAsiaTheme="minorEastAsia"/>
                <w:szCs w:val="21"/>
              </w:rPr>
              <w:t>0.712</w:t>
            </w:r>
          </w:p>
        </w:tc>
        <w:tc>
          <w:tcPr>
            <w:tcW w:w="762" w:type="pct"/>
            <w:vAlign w:val="center"/>
          </w:tcPr>
          <w:p w:rsidR="00452A2E" w:rsidRPr="00896265" w:rsidRDefault="00452A2E" w:rsidP="008A3814">
            <w:pPr>
              <w:jc w:val="right"/>
              <w:rPr>
                <w:rFonts w:eastAsiaTheme="minorEastAsia"/>
                <w:szCs w:val="21"/>
              </w:rPr>
            </w:pPr>
            <w:r w:rsidRPr="00896265">
              <w:rPr>
                <w:rFonts w:eastAsiaTheme="minorEastAsia"/>
                <w:szCs w:val="21"/>
              </w:rPr>
              <w:t>-</w:t>
            </w:r>
          </w:p>
        </w:tc>
        <w:tc>
          <w:tcPr>
            <w:tcW w:w="764" w:type="pct"/>
            <w:vAlign w:val="center"/>
          </w:tcPr>
          <w:p w:rsidR="00452A2E" w:rsidRPr="00896265" w:rsidRDefault="00452A2E" w:rsidP="008A3814">
            <w:pPr>
              <w:jc w:val="right"/>
              <w:rPr>
                <w:rFonts w:eastAsiaTheme="minorEastAsia"/>
                <w:szCs w:val="21"/>
              </w:rPr>
            </w:pPr>
            <w:r w:rsidRPr="00896265">
              <w:rPr>
                <w:rFonts w:eastAsiaTheme="minorEastAsia"/>
                <w:szCs w:val="21"/>
              </w:rPr>
              <w:t>0.715</w:t>
            </w:r>
          </w:p>
        </w:tc>
        <w:tc>
          <w:tcPr>
            <w:tcW w:w="820" w:type="pct"/>
            <w:vAlign w:val="center"/>
          </w:tcPr>
          <w:p w:rsidR="00452A2E" w:rsidRPr="00896265" w:rsidRDefault="00452A2E" w:rsidP="008A3814">
            <w:pPr>
              <w:jc w:val="right"/>
              <w:rPr>
                <w:rFonts w:eastAsiaTheme="minorEastAsia"/>
                <w:szCs w:val="21"/>
              </w:rPr>
            </w:pPr>
            <w:r w:rsidRPr="00896265">
              <w:rPr>
                <w:rFonts w:eastAsiaTheme="minorEastAsia"/>
                <w:szCs w:val="21"/>
              </w:rPr>
              <w:t>-</w:t>
            </w:r>
          </w:p>
        </w:tc>
      </w:tr>
      <w:tr w:rsidR="00452A2E" w:rsidRPr="00896265" w:rsidTr="008A3814">
        <w:tc>
          <w:tcPr>
            <w:tcW w:w="516" w:type="pct"/>
            <w:vMerge w:val="restart"/>
            <w:vAlign w:val="center"/>
          </w:tcPr>
          <w:p w:rsidR="00452A2E" w:rsidRPr="00896265" w:rsidRDefault="00452A2E" w:rsidP="008A3814">
            <w:pPr>
              <w:ind w:leftChars="-51" w:left="-107" w:rightChars="-51" w:right="-107"/>
              <w:rPr>
                <w:rFonts w:eastAsiaTheme="minorEastAsia"/>
                <w:b/>
                <w:color w:val="000000"/>
                <w:szCs w:val="21"/>
              </w:rPr>
            </w:pPr>
            <w:r w:rsidRPr="00896265">
              <w:rPr>
                <w:rFonts w:eastAsiaTheme="minorEastAsia"/>
                <w:b/>
                <w:color w:val="000000"/>
                <w:szCs w:val="21"/>
              </w:rPr>
              <w:t>3.1.3</w:t>
            </w:r>
            <w:r w:rsidRPr="00896265">
              <w:rPr>
                <w:rFonts w:eastAsiaTheme="minorEastAsia"/>
                <w:b/>
                <w:color w:val="000000"/>
                <w:szCs w:val="21"/>
              </w:rPr>
              <w:t>累计期末指标</w:t>
            </w:r>
          </w:p>
        </w:tc>
        <w:tc>
          <w:tcPr>
            <w:tcW w:w="1374" w:type="pct"/>
            <w:gridSpan w:val="2"/>
            <w:vAlign w:val="center"/>
          </w:tcPr>
          <w:p w:rsidR="00452A2E" w:rsidRPr="00896265" w:rsidRDefault="00452A2E" w:rsidP="008A3814">
            <w:pPr>
              <w:jc w:val="center"/>
              <w:rPr>
                <w:rFonts w:eastAsiaTheme="minorEastAsia"/>
                <w:b/>
                <w:szCs w:val="21"/>
              </w:rPr>
            </w:pPr>
            <w:r w:rsidRPr="00896265">
              <w:rPr>
                <w:rFonts w:eastAsiaTheme="minorEastAsia"/>
                <w:b/>
                <w:szCs w:val="21"/>
              </w:rPr>
              <w:t>2019</w:t>
            </w:r>
            <w:r w:rsidRPr="00896265">
              <w:rPr>
                <w:rFonts w:eastAsiaTheme="minorEastAsia"/>
                <w:b/>
                <w:szCs w:val="21"/>
              </w:rPr>
              <w:t>年末</w:t>
            </w:r>
          </w:p>
        </w:tc>
        <w:tc>
          <w:tcPr>
            <w:tcW w:w="1526" w:type="pct"/>
            <w:gridSpan w:val="3"/>
            <w:vAlign w:val="center"/>
          </w:tcPr>
          <w:p w:rsidR="00452A2E" w:rsidRPr="00896265" w:rsidRDefault="00452A2E" w:rsidP="008A3814">
            <w:pPr>
              <w:jc w:val="center"/>
              <w:rPr>
                <w:rFonts w:eastAsiaTheme="minorEastAsia"/>
                <w:b/>
                <w:szCs w:val="21"/>
              </w:rPr>
            </w:pPr>
            <w:r w:rsidRPr="00896265">
              <w:rPr>
                <w:rFonts w:eastAsiaTheme="minorEastAsia"/>
                <w:b/>
                <w:szCs w:val="21"/>
              </w:rPr>
              <w:t>2018</w:t>
            </w:r>
            <w:r w:rsidRPr="00896265">
              <w:rPr>
                <w:rFonts w:eastAsiaTheme="minorEastAsia"/>
                <w:b/>
                <w:szCs w:val="21"/>
              </w:rPr>
              <w:t>年末</w:t>
            </w:r>
          </w:p>
        </w:tc>
        <w:tc>
          <w:tcPr>
            <w:tcW w:w="1584" w:type="pct"/>
            <w:gridSpan w:val="2"/>
            <w:vAlign w:val="center"/>
          </w:tcPr>
          <w:p w:rsidR="00452A2E" w:rsidRPr="00896265" w:rsidRDefault="00452A2E" w:rsidP="008A3814">
            <w:pPr>
              <w:jc w:val="center"/>
              <w:rPr>
                <w:rFonts w:eastAsiaTheme="minorEastAsia"/>
                <w:b/>
                <w:szCs w:val="21"/>
              </w:rPr>
            </w:pPr>
            <w:r w:rsidRPr="00896265">
              <w:rPr>
                <w:rFonts w:eastAsiaTheme="minorEastAsia"/>
                <w:b/>
                <w:szCs w:val="21"/>
              </w:rPr>
              <w:t>2017</w:t>
            </w:r>
            <w:r w:rsidRPr="00896265">
              <w:rPr>
                <w:rFonts w:eastAsiaTheme="minorEastAsia"/>
                <w:b/>
                <w:szCs w:val="21"/>
              </w:rPr>
              <w:t>年末</w:t>
            </w:r>
          </w:p>
        </w:tc>
      </w:tr>
      <w:tr w:rsidR="00452A2E" w:rsidRPr="00896265" w:rsidTr="008A3814">
        <w:tc>
          <w:tcPr>
            <w:tcW w:w="516" w:type="pct"/>
            <w:vMerge/>
            <w:vAlign w:val="center"/>
          </w:tcPr>
          <w:p w:rsidR="00452A2E" w:rsidRPr="00896265" w:rsidRDefault="00452A2E" w:rsidP="008A3814">
            <w:pPr>
              <w:widowControl/>
              <w:jc w:val="left"/>
              <w:rPr>
                <w:rFonts w:eastAsiaTheme="minorEastAsia"/>
                <w:b/>
                <w:color w:val="000000"/>
                <w:szCs w:val="21"/>
              </w:rPr>
            </w:pPr>
          </w:p>
        </w:tc>
        <w:tc>
          <w:tcPr>
            <w:tcW w:w="687" w:type="pct"/>
            <w:vAlign w:val="center"/>
          </w:tcPr>
          <w:p w:rsidR="00452A2E" w:rsidRPr="00896265" w:rsidRDefault="00452A2E" w:rsidP="008A3814">
            <w:pPr>
              <w:jc w:val="center"/>
              <w:rPr>
                <w:rFonts w:eastAsiaTheme="minorEastAsia"/>
                <w:szCs w:val="21"/>
              </w:rPr>
            </w:pPr>
            <w:r w:rsidRPr="00896265">
              <w:rPr>
                <w:rFonts w:eastAsiaTheme="minorEastAsia"/>
                <w:szCs w:val="21"/>
              </w:rPr>
              <w:t>易方达黄金主题（</w:t>
            </w:r>
            <w:r w:rsidRPr="00896265">
              <w:rPr>
                <w:rFonts w:eastAsiaTheme="minorEastAsia"/>
                <w:szCs w:val="21"/>
              </w:rPr>
              <w:t>QDII-LOF-FOF</w:t>
            </w:r>
            <w:r w:rsidRPr="00896265">
              <w:rPr>
                <w:rFonts w:eastAsiaTheme="minorEastAsia"/>
                <w:szCs w:val="21"/>
              </w:rPr>
              <w:t>）</w:t>
            </w:r>
            <w:r w:rsidRPr="00896265">
              <w:rPr>
                <w:rFonts w:eastAsiaTheme="minorEastAsia"/>
                <w:szCs w:val="21"/>
              </w:rPr>
              <w:t>A</w:t>
            </w:r>
          </w:p>
        </w:tc>
        <w:tc>
          <w:tcPr>
            <w:tcW w:w="687" w:type="pct"/>
            <w:vAlign w:val="center"/>
          </w:tcPr>
          <w:p w:rsidR="00452A2E" w:rsidRPr="00896265" w:rsidRDefault="00452A2E" w:rsidP="008A3814">
            <w:pPr>
              <w:jc w:val="center"/>
              <w:rPr>
                <w:rFonts w:eastAsiaTheme="minorEastAsia"/>
                <w:szCs w:val="21"/>
              </w:rPr>
            </w:pPr>
            <w:r w:rsidRPr="00896265">
              <w:rPr>
                <w:rFonts w:eastAsiaTheme="minorEastAsia"/>
                <w:szCs w:val="21"/>
              </w:rPr>
              <w:t>易方达黄金主题（</w:t>
            </w:r>
            <w:r w:rsidRPr="00896265">
              <w:rPr>
                <w:rFonts w:eastAsiaTheme="minorEastAsia"/>
                <w:szCs w:val="21"/>
              </w:rPr>
              <w:t>QDII-LOF-FOF</w:t>
            </w:r>
            <w:r w:rsidRPr="00896265">
              <w:rPr>
                <w:rFonts w:eastAsiaTheme="minorEastAsia"/>
                <w:szCs w:val="21"/>
              </w:rPr>
              <w:t>）</w:t>
            </w:r>
            <w:r w:rsidRPr="00896265">
              <w:rPr>
                <w:rFonts w:eastAsiaTheme="minorEastAsia"/>
                <w:szCs w:val="21"/>
              </w:rPr>
              <w:t>C</w:t>
            </w:r>
          </w:p>
        </w:tc>
        <w:tc>
          <w:tcPr>
            <w:tcW w:w="750" w:type="pct"/>
            <w:vAlign w:val="center"/>
          </w:tcPr>
          <w:p w:rsidR="00452A2E" w:rsidRPr="00896265" w:rsidRDefault="00452A2E" w:rsidP="008A3814">
            <w:pPr>
              <w:jc w:val="center"/>
              <w:rPr>
                <w:rFonts w:eastAsiaTheme="minorEastAsia"/>
                <w:szCs w:val="21"/>
              </w:rPr>
            </w:pPr>
            <w:r w:rsidRPr="00896265">
              <w:rPr>
                <w:rFonts w:eastAsiaTheme="minorEastAsia"/>
                <w:szCs w:val="21"/>
              </w:rPr>
              <w:t>易方达黄金主题（</w:t>
            </w:r>
            <w:r w:rsidRPr="00896265">
              <w:rPr>
                <w:rFonts w:eastAsiaTheme="minorEastAsia"/>
                <w:szCs w:val="21"/>
              </w:rPr>
              <w:t>QDII-LOF-FOF</w:t>
            </w:r>
            <w:r w:rsidRPr="00896265">
              <w:rPr>
                <w:rFonts w:eastAsiaTheme="minorEastAsia"/>
                <w:szCs w:val="21"/>
              </w:rPr>
              <w:t>）</w:t>
            </w:r>
            <w:r w:rsidRPr="00896265">
              <w:rPr>
                <w:rFonts w:eastAsiaTheme="minorEastAsia"/>
                <w:szCs w:val="21"/>
              </w:rPr>
              <w:t>A</w:t>
            </w:r>
          </w:p>
        </w:tc>
        <w:tc>
          <w:tcPr>
            <w:tcW w:w="776" w:type="pct"/>
            <w:gridSpan w:val="2"/>
            <w:vAlign w:val="center"/>
          </w:tcPr>
          <w:p w:rsidR="00452A2E" w:rsidRPr="00896265" w:rsidRDefault="00452A2E" w:rsidP="008A3814">
            <w:pPr>
              <w:jc w:val="center"/>
              <w:rPr>
                <w:rFonts w:eastAsiaTheme="minorEastAsia"/>
                <w:szCs w:val="21"/>
              </w:rPr>
            </w:pPr>
            <w:r w:rsidRPr="00896265">
              <w:rPr>
                <w:rFonts w:eastAsiaTheme="minorEastAsia"/>
                <w:szCs w:val="21"/>
              </w:rPr>
              <w:t>易方达黄金主题（</w:t>
            </w:r>
            <w:r w:rsidRPr="00896265">
              <w:rPr>
                <w:rFonts w:eastAsiaTheme="minorEastAsia"/>
                <w:szCs w:val="21"/>
              </w:rPr>
              <w:t>QDII-LOF-FOF</w:t>
            </w:r>
            <w:r w:rsidRPr="00896265">
              <w:rPr>
                <w:rFonts w:eastAsiaTheme="minorEastAsia"/>
                <w:szCs w:val="21"/>
              </w:rPr>
              <w:t>）</w:t>
            </w:r>
            <w:r w:rsidRPr="00896265">
              <w:rPr>
                <w:rFonts w:eastAsiaTheme="minorEastAsia"/>
                <w:szCs w:val="21"/>
              </w:rPr>
              <w:t>C</w:t>
            </w:r>
          </w:p>
        </w:tc>
        <w:tc>
          <w:tcPr>
            <w:tcW w:w="764" w:type="pct"/>
            <w:vAlign w:val="center"/>
          </w:tcPr>
          <w:p w:rsidR="00452A2E" w:rsidRPr="00896265" w:rsidRDefault="00452A2E" w:rsidP="008A3814">
            <w:pPr>
              <w:jc w:val="center"/>
              <w:rPr>
                <w:rFonts w:eastAsiaTheme="minorEastAsia"/>
                <w:szCs w:val="21"/>
              </w:rPr>
            </w:pPr>
            <w:r w:rsidRPr="00896265">
              <w:rPr>
                <w:rFonts w:eastAsiaTheme="minorEastAsia"/>
                <w:szCs w:val="21"/>
              </w:rPr>
              <w:t>易方达黄金主题（</w:t>
            </w:r>
            <w:r w:rsidRPr="00896265">
              <w:rPr>
                <w:rFonts w:eastAsiaTheme="minorEastAsia"/>
                <w:szCs w:val="21"/>
              </w:rPr>
              <w:t>QDII-LOF-FOF</w:t>
            </w:r>
            <w:r w:rsidRPr="00896265">
              <w:rPr>
                <w:rFonts w:eastAsiaTheme="minorEastAsia"/>
                <w:szCs w:val="21"/>
              </w:rPr>
              <w:t>）</w:t>
            </w:r>
            <w:r w:rsidRPr="00896265">
              <w:rPr>
                <w:rFonts w:eastAsiaTheme="minorEastAsia"/>
                <w:szCs w:val="21"/>
              </w:rPr>
              <w:t>A</w:t>
            </w:r>
          </w:p>
        </w:tc>
        <w:tc>
          <w:tcPr>
            <w:tcW w:w="820" w:type="pct"/>
            <w:vAlign w:val="center"/>
          </w:tcPr>
          <w:p w:rsidR="00452A2E" w:rsidRPr="00896265" w:rsidRDefault="00452A2E" w:rsidP="008A3814">
            <w:pPr>
              <w:jc w:val="center"/>
              <w:rPr>
                <w:rFonts w:eastAsiaTheme="minorEastAsia"/>
                <w:szCs w:val="21"/>
              </w:rPr>
            </w:pPr>
            <w:r w:rsidRPr="00896265">
              <w:rPr>
                <w:rFonts w:eastAsiaTheme="minorEastAsia"/>
                <w:szCs w:val="21"/>
              </w:rPr>
              <w:t>易方达黄金主题（</w:t>
            </w:r>
            <w:r w:rsidRPr="00896265">
              <w:rPr>
                <w:rFonts w:eastAsiaTheme="minorEastAsia"/>
                <w:szCs w:val="21"/>
              </w:rPr>
              <w:t>QDII-LOF-FOF</w:t>
            </w:r>
            <w:r w:rsidRPr="00896265">
              <w:rPr>
                <w:rFonts w:eastAsiaTheme="minorEastAsia"/>
                <w:szCs w:val="21"/>
              </w:rPr>
              <w:t>）</w:t>
            </w:r>
            <w:r w:rsidRPr="00896265">
              <w:rPr>
                <w:rFonts w:eastAsiaTheme="minorEastAsia"/>
                <w:szCs w:val="21"/>
              </w:rPr>
              <w:t>C</w:t>
            </w:r>
          </w:p>
        </w:tc>
      </w:tr>
      <w:tr w:rsidR="00452A2E" w:rsidRPr="00896265" w:rsidTr="008A3814">
        <w:tc>
          <w:tcPr>
            <w:tcW w:w="516" w:type="pct"/>
            <w:vAlign w:val="center"/>
          </w:tcPr>
          <w:p w:rsidR="00452A2E" w:rsidRPr="00896265" w:rsidRDefault="00452A2E" w:rsidP="008A3814">
            <w:pPr>
              <w:rPr>
                <w:rFonts w:eastAsiaTheme="minorEastAsia"/>
                <w:szCs w:val="21"/>
              </w:rPr>
            </w:pPr>
            <w:r w:rsidRPr="00896265">
              <w:rPr>
                <w:rFonts w:eastAsiaTheme="minorEastAsia"/>
                <w:szCs w:val="21"/>
              </w:rPr>
              <w:t>基金份额累计净值增长率</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-14.50%</w:t>
            </w:r>
          </w:p>
        </w:tc>
        <w:tc>
          <w:tcPr>
            <w:tcW w:w="687" w:type="pct"/>
            <w:vAlign w:val="center"/>
          </w:tcPr>
          <w:p w:rsidR="00452A2E" w:rsidRPr="00896265" w:rsidRDefault="00452A2E" w:rsidP="008A3814">
            <w:pPr>
              <w:jc w:val="right"/>
              <w:rPr>
                <w:rFonts w:eastAsiaTheme="minorEastAsia"/>
                <w:szCs w:val="21"/>
              </w:rPr>
            </w:pPr>
            <w:r w:rsidRPr="00896265">
              <w:rPr>
                <w:rFonts w:eastAsiaTheme="minorEastAsia"/>
                <w:szCs w:val="21"/>
              </w:rPr>
              <w:t>6.21%</w:t>
            </w:r>
          </w:p>
        </w:tc>
        <w:tc>
          <w:tcPr>
            <w:tcW w:w="750" w:type="pct"/>
            <w:vAlign w:val="center"/>
          </w:tcPr>
          <w:p w:rsidR="00452A2E" w:rsidRPr="00896265" w:rsidRDefault="00452A2E" w:rsidP="008A3814">
            <w:pPr>
              <w:jc w:val="right"/>
              <w:rPr>
                <w:rFonts w:eastAsiaTheme="minorEastAsia"/>
                <w:szCs w:val="21"/>
              </w:rPr>
            </w:pPr>
            <w:r w:rsidRPr="00896265">
              <w:rPr>
                <w:rFonts w:eastAsiaTheme="minorEastAsia"/>
                <w:szCs w:val="21"/>
              </w:rPr>
              <w:t>-28.80%</w:t>
            </w:r>
          </w:p>
        </w:tc>
        <w:tc>
          <w:tcPr>
            <w:tcW w:w="776" w:type="pct"/>
            <w:gridSpan w:val="2"/>
            <w:vAlign w:val="center"/>
          </w:tcPr>
          <w:p w:rsidR="00452A2E" w:rsidRPr="00896265" w:rsidRDefault="00452A2E" w:rsidP="008A3814">
            <w:pPr>
              <w:jc w:val="right"/>
              <w:rPr>
                <w:rFonts w:eastAsiaTheme="minorEastAsia"/>
                <w:szCs w:val="21"/>
              </w:rPr>
            </w:pPr>
            <w:r w:rsidRPr="00896265">
              <w:rPr>
                <w:rFonts w:eastAsiaTheme="minorEastAsia"/>
                <w:szCs w:val="21"/>
              </w:rPr>
              <w:t>-</w:t>
            </w:r>
          </w:p>
        </w:tc>
        <w:tc>
          <w:tcPr>
            <w:tcW w:w="764" w:type="pct"/>
            <w:vAlign w:val="center"/>
          </w:tcPr>
          <w:p w:rsidR="00452A2E" w:rsidRPr="00896265" w:rsidRDefault="00452A2E" w:rsidP="008A3814">
            <w:pPr>
              <w:jc w:val="right"/>
              <w:rPr>
                <w:rFonts w:eastAsiaTheme="minorEastAsia"/>
                <w:szCs w:val="21"/>
              </w:rPr>
            </w:pPr>
            <w:r w:rsidRPr="00896265">
              <w:rPr>
                <w:rFonts w:eastAsiaTheme="minorEastAsia"/>
                <w:szCs w:val="21"/>
              </w:rPr>
              <w:t>-28.50%</w:t>
            </w:r>
          </w:p>
        </w:tc>
        <w:tc>
          <w:tcPr>
            <w:tcW w:w="820" w:type="pct"/>
            <w:vAlign w:val="center"/>
          </w:tcPr>
          <w:p w:rsidR="00452A2E" w:rsidRPr="00896265" w:rsidRDefault="00452A2E" w:rsidP="008A3814">
            <w:pPr>
              <w:jc w:val="right"/>
              <w:rPr>
                <w:rFonts w:eastAsiaTheme="minorEastAsia"/>
                <w:szCs w:val="21"/>
              </w:rPr>
            </w:pPr>
            <w:r w:rsidRPr="00896265">
              <w:rPr>
                <w:rFonts w:eastAsiaTheme="minorEastAsia"/>
                <w:szCs w:val="21"/>
              </w:rPr>
              <w:t>-</w:t>
            </w:r>
          </w:p>
        </w:tc>
      </w:tr>
    </w:tbl>
    <w:p w:rsidR="00F14AEA" w:rsidRDefault="00EC602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F14AEA" w:rsidRDefault="00EC602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F14AEA" w:rsidRDefault="00EC602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kern w:val="0"/>
          <w:szCs w:val="21"/>
        </w:rPr>
        <w:t>3.</w:t>
      </w:r>
      <w:r>
        <w:rPr>
          <w:rFonts w:eastAsiaTheme="minorEastAsia"/>
          <w:kern w:val="0"/>
          <w:szCs w:val="21"/>
        </w:rPr>
        <w:t>期末可供分配利润，为期末资产负债表中未分配利润与未分配利润中已实现部分的孰低数。</w:t>
      </w:r>
    </w:p>
    <w:p w:rsidR="007B62FA" w:rsidRPr="00896265" w:rsidRDefault="00452A2E" w:rsidP="00E70468">
      <w:pPr>
        <w:tabs>
          <w:tab w:val="left" w:pos="426"/>
        </w:tabs>
        <w:spacing w:line="360" w:lineRule="auto"/>
        <w:ind w:firstLineChars="200" w:firstLine="420"/>
        <w:jc w:val="left"/>
        <w:rPr>
          <w:rFonts w:eastAsiaTheme="minorEastAsia"/>
          <w:color w:val="000000" w:themeColor="text1"/>
          <w:kern w:val="0"/>
          <w:szCs w:val="21"/>
        </w:rPr>
      </w:pPr>
      <w:r w:rsidRPr="00896265">
        <w:rPr>
          <w:rFonts w:eastAsiaTheme="minorEastAsia"/>
          <w:kern w:val="0"/>
          <w:szCs w:val="21"/>
        </w:rPr>
        <w:t>4.</w:t>
      </w:r>
      <w:r w:rsidRPr="00896265">
        <w:rPr>
          <w:rFonts w:eastAsiaTheme="minorEastAsia"/>
          <w:kern w:val="0"/>
          <w:szCs w:val="21"/>
        </w:rPr>
        <w:t>自</w:t>
      </w:r>
      <w:r w:rsidRPr="00896265">
        <w:rPr>
          <w:rFonts w:eastAsiaTheme="minorEastAsia"/>
          <w:kern w:val="0"/>
          <w:szCs w:val="21"/>
        </w:rPr>
        <w:t>2019</w:t>
      </w:r>
      <w:r w:rsidRPr="00896265">
        <w:rPr>
          <w:rFonts w:eastAsiaTheme="minorEastAsia"/>
          <w:kern w:val="0"/>
          <w:szCs w:val="21"/>
        </w:rPr>
        <w:t>年</w:t>
      </w:r>
      <w:r w:rsidRPr="00896265">
        <w:rPr>
          <w:rFonts w:eastAsiaTheme="minorEastAsia"/>
          <w:kern w:val="0"/>
          <w:szCs w:val="21"/>
        </w:rPr>
        <w:t>10</w:t>
      </w:r>
      <w:r w:rsidRPr="00896265">
        <w:rPr>
          <w:rFonts w:eastAsiaTheme="minorEastAsia"/>
          <w:kern w:val="0"/>
          <w:szCs w:val="21"/>
        </w:rPr>
        <w:t>月</w:t>
      </w:r>
      <w:r w:rsidRPr="00896265">
        <w:rPr>
          <w:rFonts w:eastAsiaTheme="minorEastAsia"/>
          <w:kern w:val="0"/>
          <w:szCs w:val="21"/>
        </w:rPr>
        <w:t>11</w:t>
      </w:r>
      <w:r w:rsidRPr="00896265">
        <w:rPr>
          <w:rFonts w:eastAsiaTheme="minorEastAsia"/>
          <w:kern w:val="0"/>
          <w:szCs w:val="21"/>
        </w:rPr>
        <w:t>日起，本基金增设</w:t>
      </w:r>
      <w:r w:rsidRPr="00896265">
        <w:rPr>
          <w:rFonts w:eastAsiaTheme="minorEastAsia"/>
          <w:kern w:val="0"/>
          <w:szCs w:val="21"/>
        </w:rPr>
        <w:t>C</w:t>
      </w:r>
      <w:r w:rsidRPr="00896265">
        <w:rPr>
          <w:rFonts w:eastAsiaTheme="minorEastAsia"/>
          <w:kern w:val="0"/>
          <w:szCs w:val="21"/>
        </w:rPr>
        <w:t>类份额类别，份额首次确认日为</w:t>
      </w:r>
      <w:r w:rsidRPr="00896265">
        <w:rPr>
          <w:rFonts w:eastAsiaTheme="minorEastAsia"/>
          <w:kern w:val="0"/>
          <w:szCs w:val="21"/>
        </w:rPr>
        <w:t>2019</w:t>
      </w:r>
      <w:r w:rsidRPr="00896265">
        <w:rPr>
          <w:rFonts w:eastAsiaTheme="minorEastAsia"/>
          <w:kern w:val="0"/>
          <w:szCs w:val="21"/>
        </w:rPr>
        <w:t>年</w:t>
      </w:r>
      <w:r w:rsidRPr="00896265">
        <w:rPr>
          <w:rFonts w:eastAsiaTheme="minorEastAsia"/>
          <w:kern w:val="0"/>
          <w:szCs w:val="21"/>
        </w:rPr>
        <w:t>10</w:t>
      </w:r>
      <w:r w:rsidRPr="00896265">
        <w:rPr>
          <w:rFonts w:eastAsiaTheme="minorEastAsia"/>
          <w:kern w:val="0"/>
          <w:szCs w:val="21"/>
        </w:rPr>
        <w:t>月</w:t>
      </w:r>
      <w:r w:rsidRPr="00896265">
        <w:rPr>
          <w:rFonts w:eastAsiaTheme="minorEastAsia"/>
          <w:kern w:val="0"/>
          <w:szCs w:val="21"/>
        </w:rPr>
        <w:t>14</w:t>
      </w:r>
      <w:r w:rsidRPr="00896265">
        <w:rPr>
          <w:rFonts w:eastAsiaTheme="minorEastAsia"/>
          <w:kern w:val="0"/>
          <w:szCs w:val="21"/>
        </w:rPr>
        <w:t>日，增设当期的相关数据和指标按实际存续期计算。</w:t>
      </w:r>
    </w:p>
    <w:p w:rsidR="00980630" w:rsidRPr="00940842" w:rsidRDefault="00980630" w:rsidP="00940842">
      <w:pPr>
        <w:pStyle w:val="20"/>
        <w:spacing w:before="0" w:after="0"/>
        <w:rPr>
          <w:rFonts w:asciiTheme="majorEastAsia" w:eastAsiaTheme="majorEastAsia" w:hAnsiTheme="majorEastAsia"/>
          <w:color w:val="000000" w:themeColor="text1"/>
          <w:kern w:val="0"/>
          <w:sz w:val="21"/>
          <w:szCs w:val="21"/>
        </w:rPr>
      </w:pPr>
      <w:bookmarkStart w:id="77" w:name="_Toc225498252"/>
      <w:bookmarkStart w:id="78" w:name="_Toc361324852"/>
      <w:bookmarkStart w:id="79" w:name="_Toc374374932"/>
      <w:bookmarkStart w:id="80" w:name="_Toc35533803"/>
      <w:r w:rsidRPr="00940842">
        <w:rPr>
          <w:rFonts w:asciiTheme="majorEastAsia" w:eastAsiaTheme="majorEastAsia" w:hAnsiTheme="majorEastAsia"/>
          <w:color w:val="000000" w:themeColor="text1"/>
          <w:kern w:val="0"/>
          <w:sz w:val="21"/>
          <w:szCs w:val="21"/>
        </w:rPr>
        <w:t>3.2</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基金净值表现</w:t>
      </w:r>
      <w:bookmarkEnd w:id="77"/>
      <w:bookmarkEnd w:id="78"/>
      <w:bookmarkEnd w:id="79"/>
      <w:bookmarkEnd w:id="80"/>
    </w:p>
    <w:p w:rsidR="00980630" w:rsidRPr="000852F3" w:rsidRDefault="00980630" w:rsidP="00980630">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3.2.1 基金份额净值增长率及其与同期业绩比较基准收益率的比较</w:t>
      </w:r>
    </w:p>
    <w:p w:rsidR="00980630" w:rsidRPr="00896265" w:rsidRDefault="00980630" w:rsidP="00980630">
      <w:pPr>
        <w:pStyle w:val="21"/>
        <w:spacing w:line="360" w:lineRule="auto"/>
        <w:ind w:firstLineChars="0" w:firstLine="0"/>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易方达黄金主题（</w:t>
      </w:r>
      <w:r w:rsidRPr="00896265">
        <w:rPr>
          <w:rFonts w:ascii="Times New Roman" w:eastAsiaTheme="minorEastAsia" w:hAnsi="Times New Roman"/>
          <w:b/>
          <w:color w:val="000000" w:themeColor="text1"/>
          <w:sz w:val="21"/>
          <w:szCs w:val="21"/>
        </w:rPr>
        <w:t>QDII-LOF-FOF</w:t>
      </w:r>
      <w:r w:rsidRPr="00896265">
        <w:rPr>
          <w:rFonts w:ascii="Times New Roman" w:eastAsiaTheme="minorEastAsia" w:hAnsi="Times New Roman"/>
          <w:b/>
          <w:color w:val="000000" w:themeColor="text1"/>
          <w:sz w:val="21"/>
          <w:szCs w:val="21"/>
        </w:rPr>
        <w:t>）</w:t>
      </w:r>
      <w:r w:rsidRPr="00896265">
        <w:rPr>
          <w:rFonts w:ascii="Times New Roman" w:eastAsiaTheme="minorEastAsia" w:hAnsi="Times New Roman"/>
          <w:b/>
          <w:color w:val="000000" w:themeColor="text1"/>
          <w:sz w:val="21"/>
          <w:szCs w:val="21"/>
        </w:rPr>
        <w:t>A</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980630" w:rsidRPr="00896265" w:rsidTr="00070156">
        <w:tc>
          <w:tcPr>
            <w:tcW w:w="162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阶段</w:t>
            </w:r>
          </w:p>
        </w:tc>
        <w:tc>
          <w:tcPr>
            <w:tcW w:w="135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份额净值增长率</w:t>
            </w:r>
            <w:r w:rsidRPr="00896265">
              <w:rPr>
                <w:rFonts w:hAnsi="宋体"/>
                <w:color w:val="000000" w:themeColor="text1"/>
                <w:szCs w:val="21"/>
              </w:rPr>
              <w:t>①</w:t>
            </w:r>
          </w:p>
        </w:tc>
        <w:tc>
          <w:tcPr>
            <w:tcW w:w="135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份额净值增长率标准差</w:t>
            </w:r>
            <w:r w:rsidRPr="00896265">
              <w:rPr>
                <w:rFonts w:hAnsi="宋体"/>
                <w:color w:val="000000" w:themeColor="text1"/>
                <w:szCs w:val="21"/>
              </w:rPr>
              <w:t>②</w:t>
            </w:r>
          </w:p>
        </w:tc>
        <w:tc>
          <w:tcPr>
            <w:tcW w:w="135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业绩比较基准收益率</w:t>
            </w:r>
            <w:r w:rsidRPr="00896265">
              <w:rPr>
                <w:rFonts w:hAnsi="宋体"/>
                <w:color w:val="000000" w:themeColor="text1"/>
                <w:szCs w:val="21"/>
              </w:rPr>
              <w:t>③</w:t>
            </w:r>
          </w:p>
        </w:tc>
        <w:tc>
          <w:tcPr>
            <w:tcW w:w="135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业绩比较基准收益率标准差</w:t>
            </w:r>
            <w:r w:rsidRPr="00896265">
              <w:rPr>
                <w:rFonts w:hAnsi="宋体"/>
                <w:color w:val="000000" w:themeColor="text1"/>
                <w:szCs w:val="21"/>
              </w:rPr>
              <w:t>④</w:t>
            </w:r>
          </w:p>
        </w:tc>
        <w:tc>
          <w:tcPr>
            <w:tcW w:w="135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hAnsi="宋体"/>
                <w:color w:val="000000" w:themeColor="text1"/>
                <w:szCs w:val="21"/>
              </w:rPr>
              <w:t>①</w:t>
            </w:r>
            <w:r w:rsidRPr="00896265">
              <w:rPr>
                <w:rFonts w:eastAsiaTheme="minorEastAsia"/>
                <w:color w:val="000000" w:themeColor="text1"/>
                <w:szCs w:val="21"/>
              </w:rPr>
              <w:t>－</w:t>
            </w:r>
            <w:r w:rsidRPr="00896265">
              <w:rPr>
                <w:rFonts w:hAnsi="宋体"/>
                <w:color w:val="000000" w:themeColor="text1"/>
                <w:szCs w:val="21"/>
              </w:rPr>
              <w:t>③</w:t>
            </w:r>
          </w:p>
        </w:tc>
        <w:tc>
          <w:tcPr>
            <w:tcW w:w="135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hAnsi="宋体"/>
                <w:color w:val="000000" w:themeColor="text1"/>
                <w:szCs w:val="21"/>
              </w:rPr>
              <w:t>②</w:t>
            </w:r>
            <w:r w:rsidRPr="00896265">
              <w:rPr>
                <w:rFonts w:eastAsiaTheme="minorEastAsia"/>
                <w:color w:val="000000" w:themeColor="text1"/>
                <w:szCs w:val="21"/>
              </w:rPr>
              <w:t>－</w:t>
            </w:r>
            <w:r w:rsidRPr="00896265">
              <w:rPr>
                <w:rFonts w:hAnsi="宋体"/>
                <w:color w:val="000000" w:themeColor="text1"/>
                <w:szCs w:val="21"/>
              </w:rPr>
              <w:t>④</w:t>
            </w:r>
          </w:p>
        </w:tc>
      </w:tr>
      <w:tr w:rsidR="00F14AEA">
        <w:tc>
          <w:tcPr>
            <w:tcW w:w="1620" w:type="dxa"/>
            <w:vAlign w:val="center"/>
          </w:tcPr>
          <w:p w:rsidR="00F14AEA" w:rsidRDefault="00EC6028">
            <w:pPr>
              <w:jc w:val="left"/>
            </w:pPr>
            <w:r>
              <w:rPr>
                <w:rFonts w:eastAsiaTheme="minorEastAsia"/>
                <w:color w:val="000000" w:themeColor="text1"/>
                <w:szCs w:val="21"/>
              </w:rPr>
              <w:t>过去三个月</w:t>
            </w:r>
          </w:p>
        </w:tc>
        <w:tc>
          <w:tcPr>
            <w:tcW w:w="1350" w:type="dxa"/>
            <w:vAlign w:val="center"/>
          </w:tcPr>
          <w:p w:rsidR="00F14AEA" w:rsidRDefault="00EC6028">
            <w:pPr>
              <w:jc w:val="center"/>
            </w:pPr>
            <w:r>
              <w:rPr>
                <w:rFonts w:eastAsiaTheme="minorEastAsia"/>
                <w:color w:val="000000" w:themeColor="text1"/>
                <w:szCs w:val="21"/>
              </w:rPr>
              <w:t>6.74%</w:t>
            </w:r>
          </w:p>
        </w:tc>
        <w:tc>
          <w:tcPr>
            <w:tcW w:w="1350" w:type="dxa"/>
            <w:vAlign w:val="center"/>
          </w:tcPr>
          <w:p w:rsidR="00F14AEA" w:rsidRDefault="00EC6028">
            <w:pPr>
              <w:jc w:val="center"/>
            </w:pPr>
            <w:r>
              <w:rPr>
                <w:rFonts w:eastAsiaTheme="minorEastAsia"/>
                <w:color w:val="000000" w:themeColor="text1"/>
                <w:szCs w:val="21"/>
              </w:rPr>
              <w:t>1.39%</w:t>
            </w:r>
          </w:p>
        </w:tc>
        <w:tc>
          <w:tcPr>
            <w:tcW w:w="1350" w:type="dxa"/>
            <w:vAlign w:val="center"/>
          </w:tcPr>
          <w:p w:rsidR="00F14AEA" w:rsidRDefault="00EC6028">
            <w:pPr>
              <w:jc w:val="center"/>
            </w:pPr>
            <w:r>
              <w:rPr>
                <w:rFonts w:eastAsiaTheme="minorEastAsia"/>
                <w:color w:val="000000" w:themeColor="text1"/>
                <w:szCs w:val="21"/>
              </w:rPr>
              <w:t>3.47%</w:t>
            </w:r>
          </w:p>
        </w:tc>
        <w:tc>
          <w:tcPr>
            <w:tcW w:w="1350" w:type="dxa"/>
            <w:vAlign w:val="center"/>
          </w:tcPr>
          <w:p w:rsidR="00F14AEA" w:rsidRDefault="00EC6028">
            <w:pPr>
              <w:jc w:val="center"/>
            </w:pPr>
            <w:r>
              <w:rPr>
                <w:rFonts w:eastAsiaTheme="minorEastAsia"/>
                <w:color w:val="000000" w:themeColor="text1"/>
                <w:szCs w:val="21"/>
              </w:rPr>
              <w:t>0.92%</w:t>
            </w:r>
          </w:p>
        </w:tc>
        <w:tc>
          <w:tcPr>
            <w:tcW w:w="1350" w:type="dxa"/>
            <w:vAlign w:val="center"/>
          </w:tcPr>
          <w:p w:rsidR="00F14AEA" w:rsidRDefault="00EC6028">
            <w:pPr>
              <w:jc w:val="center"/>
            </w:pPr>
            <w:r>
              <w:rPr>
                <w:rFonts w:eastAsiaTheme="minorEastAsia"/>
                <w:color w:val="000000" w:themeColor="text1"/>
                <w:szCs w:val="21"/>
              </w:rPr>
              <w:t>3.27%</w:t>
            </w:r>
          </w:p>
        </w:tc>
        <w:tc>
          <w:tcPr>
            <w:tcW w:w="1350" w:type="dxa"/>
            <w:vAlign w:val="center"/>
          </w:tcPr>
          <w:p w:rsidR="00F14AEA" w:rsidRDefault="00EC6028">
            <w:pPr>
              <w:jc w:val="center"/>
            </w:pPr>
            <w:r>
              <w:rPr>
                <w:rFonts w:eastAsiaTheme="minorEastAsia"/>
                <w:color w:val="000000" w:themeColor="text1"/>
                <w:szCs w:val="21"/>
              </w:rPr>
              <w:t>0.47%</w:t>
            </w:r>
          </w:p>
        </w:tc>
      </w:tr>
      <w:tr w:rsidR="00F14AEA">
        <w:tc>
          <w:tcPr>
            <w:tcW w:w="1620" w:type="dxa"/>
            <w:vAlign w:val="center"/>
          </w:tcPr>
          <w:p w:rsidR="00F14AEA" w:rsidRDefault="00EC6028">
            <w:pPr>
              <w:jc w:val="left"/>
            </w:pPr>
            <w:r>
              <w:rPr>
                <w:rFonts w:eastAsiaTheme="minorEastAsia"/>
                <w:color w:val="000000" w:themeColor="text1"/>
                <w:szCs w:val="21"/>
              </w:rPr>
              <w:t>过去六个月</w:t>
            </w:r>
          </w:p>
        </w:tc>
        <w:tc>
          <w:tcPr>
            <w:tcW w:w="1350" w:type="dxa"/>
            <w:vAlign w:val="center"/>
          </w:tcPr>
          <w:p w:rsidR="00F14AEA" w:rsidRDefault="00EC6028">
            <w:pPr>
              <w:jc w:val="center"/>
            </w:pPr>
            <w:r>
              <w:rPr>
                <w:rFonts w:eastAsiaTheme="minorEastAsia"/>
                <w:color w:val="000000" w:themeColor="text1"/>
                <w:szCs w:val="21"/>
              </w:rPr>
              <w:t>12.50%</w:t>
            </w:r>
          </w:p>
        </w:tc>
        <w:tc>
          <w:tcPr>
            <w:tcW w:w="1350" w:type="dxa"/>
            <w:vAlign w:val="center"/>
          </w:tcPr>
          <w:p w:rsidR="00F14AEA" w:rsidRDefault="00EC6028">
            <w:pPr>
              <w:jc w:val="center"/>
            </w:pPr>
            <w:r>
              <w:rPr>
                <w:rFonts w:eastAsiaTheme="minorEastAsia"/>
                <w:color w:val="000000" w:themeColor="text1"/>
                <w:szCs w:val="21"/>
              </w:rPr>
              <w:t>1.39%</w:t>
            </w:r>
          </w:p>
        </w:tc>
        <w:tc>
          <w:tcPr>
            <w:tcW w:w="1350" w:type="dxa"/>
            <w:vAlign w:val="center"/>
          </w:tcPr>
          <w:p w:rsidR="00F14AEA" w:rsidRDefault="00EC6028">
            <w:pPr>
              <w:jc w:val="center"/>
            </w:pPr>
            <w:r>
              <w:rPr>
                <w:rFonts w:eastAsiaTheme="minorEastAsia"/>
                <w:color w:val="000000" w:themeColor="text1"/>
                <w:szCs w:val="21"/>
              </w:rPr>
              <w:t>13.54%</w:t>
            </w:r>
          </w:p>
        </w:tc>
        <w:tc>
          <w:tcPr>
            <w:tcW w:w="1350" w:type="dxa"/>
            <w:vAlign w:val="center"/>
          </w:tcPr>
          <w:p w:rsidR="00F14AEA" w:rsidRDefault="00EC6028">
            <w:pPr>
              <w:jc w:val="center"/>
            </w:pPr>
            <w:r>
              <w:rPr>
                <w:rFonts w:eastAsiaTheme="minorEastAsia"/>
                <w:color w:val="000000" w:themeColor="text1"/>
                <w:szCs w:val="21"/>
              </w:rPr>
              <w:t>1.00%</w:t>
            </w:r>
          </w:p>
        </w:tc>
        <w:tc>
          <w:tcPr>
            <w:tcW w:w="1350" w:type="dxa"/>
            <w:vAlign w:val="center"/>
          </w:tcPr>
          <w:p w:rsidR="00F14AEA" w:rsidRDefault="00EC6028">
            <w:pPr>
              <w:jc w:val="center"/>
            </w:pPr>
            <w:r>
              <w:rPr>
                <w:rFonts w:eastAsiaTheme="minorEastAsia"/>
                <w:color w:val="000000" w:themeColor="text1"/>
                <w:szCs w:val="21"/>
              </w:rPr>
              <w:t>-1.04%</w:t>
            </w:r>
          </w:p>
        </w:tc>
        <w:tc>
          <w:tcPr>
            <w:tcW w:w="1350" w:type="dxa"/>
            <w:vAlign w:val="center"/>
          </w:tcPr>
          <w:p w:rsidR="00F14AEA" w:rsidRDefault="00EC6028">
            <w:pPr>
              <w:jc w:val="center"/>
            </w:pPr>
            <w:r>
              <w:rPr>
                <w:rFonts w:eastAsiaTheme="minorEastAsia"/>
                <w:color w:val="000000" w:themeColor="text1"/>
                <w:szCs w:val="21"/>
              </w:rPr>
              <w:t>0.39%</w:t>
            </w:r>
          </w:p>
        </w:tc>
      </w:tr>
      <w:tr w:rsidR="00F14AEA">
        <w:tc>
          <w:tcPr>
            <w:tcW w:w="1620" w:type="dxa"/>
            <w:vAlign w:val="center"/>
          </w:tcPr>
          <w:p w:rsidR="00F14AEA" w:rsidRDefault="00EC6028">
            <w:pPr>
              <w:jc w:val="left"/>
            </w:pPr>
            <w:r>
              <w:rPr>
                <w:rFonts w:eastAsiaTheme="minorEastAsia"/>
                <w:color w:val="000000" w:themeColor="text1"/>
                <w:szCs w:val="21"/>
              </w:rPr>
              <w:t>过去一年</w:t>
            </w:r>
          </w:p>
        </w:tc>
        <w:tc>
          <w:tcPr>
            <w:tcW w:w="1350" w:type="dxa"/>
            <w:vAlign w:val="center"/>
          </w:tcPr>
          <w:p w:rsidR="00F14AEA" w:rsidRDefault="00EC6028">
            <w:pPr>
              <w:jc w:val="center"/>
            </w:pPr>
            <w:r>
              <w:rPr>
                <w:rFonts w:eastAsiaTheme="minorEastAsia"/>
                <w:color w:val="000000" w:themeColor="text1"/>
                <w:szCs w:val="21"/>
              </w:rPr>
              <w:t>20.08%</w:t>
            </w:r>
          </w:p>
        </w:tc>
        <w:tc>
          <w:tcPr>
            <w:tcW w:w="1350" w:type="dxa"/>
            <w:vAlign w:val="center"/>
          </w:tcPr>
          <w:p w:rsidR="00F14AEA" w:rsidRDefault="00EC6028">
            <w:pPr>
              <w:jc w:val="center"/>
            </w:pPr>
            <w:r>
              <w:rPr>
                <w:rFonts w:eastAsiaTheme="minorEastAsia"/>
                <w:color w:val="000000" w:themeColor="text1"/>
                <w:szCs w:val="21"/>
              </w:rPr>
              <w:t>1.14%</w:t>
            </w:r>
          </w:p>
        </w:tc>
        <w:tc>
          <w:tcPr>
            <w:tcW w:w="1350" w:type="dxa"/>
            <w:vAlign w:val="center"/>
          </w:tcPr>
          <w:p w:rsidR="00F14AEA" w:rsidRDefault="00EC6028">
            <w:pPr>
              <w:jc w:val="center"/>
            </w:pPr>
            <w:r>
              <w:rPr>
                <w:rFonts w:eastAsiaTheme="minorEastAsia"/>
                <w:color w:val="000000" w:themeColor="text1"/>
                <w:szCs w:val="21"/>
              </w:rPr>
              <w:t>24.88%</w:t>
            </w:r>
          </w:p>
        </w:tc>
        <w:tc>
          <w:tcPr>
            <w:tcW w:w="1350" w:type="dxa"/>
            <w:vAlign w:val="center"/>
          </w:tcPr>
          <w:p w:rsidR="00F14AEA" w:rsidRDefault="00EC6028">
            <w:pPr>
              <w:jc w:val="center"/>
            </w:pPr>
            <w:r>
              <w:rPr>
                <w:rFonts w:eastAsiaTheme="minorEastAsia"/>
                <w:color w:val="000000" w:themeColor="text1"/>
                <w:szCs w:val="21"/>
              </w:rPr>
              <w:t>0.85%</w:t>
            </w:r>
          </w:p>
        </w:tc>
        <w:tc>
          <w:tcPr>
            <w:tcW w:w="1350" w:type="dxa"/>
            <w:vAlign w:val="center"/>
          </w:tcPr>
          <w:p w:rsidR="00F14AEA" w:rsidRDefault="00EC6028">
            <w:pPr>
              <w:jc w:val="center"/>
            </w:pPr>
            <w:r>
              <w:rPr>
                <w:rFonts w:eastAsiaTheme="minorEastAsia"/>
                <w:color w:val="000000" w:themeColor="text1"/>
                <w:szCs w:val="21"/>
              </w:rPr>
              <w:t>-4.80%</w:t>
            </w:r>
          </w:p>
        </w:tc>
        <w:tc>
          <w:tcPr>
            <w:tcW w:w="1350" w:type="dxa"/>
            <w:vAlign w:val="center"/>
          </w:tcPr>
          <w:p w:rsidR="00F14AEA" w:rsidRDefault="00EC6028">
            <w:pPr>
              <w:jc w:val="center"/>
            </w:pPr>
            <w:r>
              <w:rPr>
                <w:rFonts w:eastAsiaTheme="minorEastAsia"/>
                <w:color w:val="000000" w:themeColor="text1"/>
                <w:szCs w:val="21"/>
              </w:rPr>
              <w:t>0.29%</w:t>
            </w:r>
          </w:p>
        </w:tc>
      </w:tr>
      <w:tr w:rsidR="00F14AEA">
        <w:tc>
          <w:tcPr>
            <w:tcW w:w="1620" w:type="dxa"/>
            <w:vAlign w:val="center"/>
          </w:tcPr>
          <w:p w:rsidR="00F14AEA" w:rsidRDefault="00EC6028">
            <w:pPr>
              <w:jc w:val="left"/>
            </w:pPr>
            <w:r>
              <w:rPr>
                <w:rFonts w:eastAsiaTheme="minorEastAsia"/>
                <w:color w:val="000000" w:themeColor="text1"/>
                <w:szCs w:val="21"/>
              </w:rPr>
              <w:t>过去三年</w:t>
            </w:r>
          </w:p>
        </w:tc>
        <w:tc>
          <w:tcPr>
            <w:tcW w:w="1350" w:type="dxa"/>
            <w:vAlign w:val="center"/>
          </w:tcPr>
          <w:p w:rsidR="00F14AEA" w:rsidRDefault="00EC6028">
            <w:pPr>
              <w:jc w:val="center"/>
            </w:pPr>
            <w:r>
              <w:rPr>
                <w:rFonts w:eastAsiaTheme="minorEastAsia"/>
                <w:color w:val="000000" w:themeColor="text1"/>
                <w:szCs w:val="21"/>
              </w:rPr>
              <w:t>22.49%</w:t>
            </w:r>
          </w:p>
        </w:tc>
        <w:tc>
          <w:tcPr>
            <w:tcW w:w="1350" w:type="dxa"/>
            <w:vAlign w:val="center"/>
          </w:tcPr>
          <w:p w:rsidR="00F14AEA" w:rsidRDefault="00EC6028">
            <w:pPr>
              <w:jc w:val="center"/>
            </w:pPr>
            <w:r>
              <w:rPr>
                <w:rFonts w:eastAsiaTheme="minorEastAsia"/>
                <w:color w:val="000000" w:themeColor="text1"/>
                <w:szCs w:val="21"/>
              </w:rPr>
              <w:t>0.79%</w:t>
            </w:r>
          </w:p>
        </w:tc>
        <w:tc>
          <w:tcPr>
            <w:tcW w:w="1350" w:type="dxa"/>
            <w:vAlign w:val="center"/>
          </w:tcPr>
          <w:p w:rsidR="00F14AEA" w:rsidRDefault="00EC6028">
            <w:pPr>
              <w:jc w:val="center"/>
            </w:pPr>
            <w:r>
              <w:rPr>
                <w:rFonts w:eastAsiaTheme="minorEastAsia"/>
                <w:color w:val="000000" w:themeColor="text1"/>
                <w:szCs w:val="21"/>
              </w:rPr>
              <w:t>37.92%</w:t>
            </w:r>
          </w:p>
        </w:tc>
        <w:tc>
          <w:tcPr>
            <w:tcW w:w="1350" w:type="dxa"/>
            <w:vAlign w:val="center"/>
          </w:tcPr>
          <w:p w:rsidR="00F14AEA" w:rsidRDefault="00EC6028">
            <w:pPr>
              <w:jc w:val="center"/>
            </w:pPr>
            <w:r>
              <w:rPr>
                <w:rFonts w:eastAsiaTheme="minorEastAsia"/>
                <w:color w:val="000000" w:themeColor="text1"/>
                <w:szCs w:val="21"/>
              </w:rPr>
              <w:t>0.67%</w:t>
            </w:r>
          </w:p>
        </w:tc>
        <w:tc>
          <w:tcPr>
            <w:tcW w:w="1350" w:type="dxa"/>
            <w:vAlign w:val="center"/>
          </w:tcPr>
          <w:p w:rsidR="00F14AEA" w:rsidRDefault="00EC6028">
            <w:pPr>
              <w:jc w:val="center"/>
            </w:pPr>
            <w:r>
              <w:rPr>
                <w:rFonts w:eastAsiaTheme="minorEastAsia"/>
                <w:color w:val="000000" w:themeColor="text1"/>
                <w:szCs w:val="21"/>
              </w:rPr>
              <w:t>-15.43%</w:t>
            </w:r>
          </w:p>
        </w:tc>
        <w:tc>
          <w:tcPr>
            <w:tcW w:w="1350" w:type="dxa"/>
            <w:vAlign w:val="center"/>
          </w:tcPr>
          <w:p w:rsidR="00F14AEA" w:rsidRDefault="00EC6028">
            <w:pPr>
              <w:jc w:val="center"/>
            </w:pPr>
            <w:r>
              <w:rPr>
                <w:rFonts w:eastAsiaTheme="minorEastAsia"/>
                <w:color w:val="000000" w:themeColor="text1"/>
                <w:szCs w:val="21"/>
              </w:rPr>
              <w:t>0.12%</w:t>
            </w:r>
          </w:p>
        </w:tc>
      </w:tr>
      <w:tr w:rsidR="00F14AEA">
        <w:tc>
          <w:tcPr>
            <w:tcW w:w="1620" w:type="dxa"/>
            <w:vAlign w:val="center"/>
          </w:tcPr>
          <w:p w:rsidR="00F14AEA" w:rsidRDefault="00EC6028">
            <w:pPr>
              <w:jc w:val="left"/>
            </w:pPr>
            <w:r>
              <w:rPr>
                <w:rFonts w:eastAsiaTheme="minorEastAsia"/>
                <w:color w:val="000000" w:themeColor="text1"/>
                <w:szCs w:val="21"/>
              </w:rPr>
              <w:t>过去五年</w:t>
            </w:r>
          </w:p>
        </w:tc>
        <w:tc>
          <w:tcPr>
            <w:tcW w:w="1350" w:type="dxa"/>
            <w:vAlign w:val="center"/>
          </w:tcPr>
          <w:p w:rsidR="00F14AEA" w:rsidRDefault="00EC6028">
            <w:pPr>
              <w:jc w:val="center"/>
            </w:pPr>
            <w:r>
              <w:rPr>
                <w:rFonts w:eastAsiaTheme="minorEastAsia"/>
                <w:color w:val="000000" w:themeColor="text1"/>
                <w:szCs w:val="21"/>
              </w:rPr>
              <w:t>34.86%</w:t>
            </w:r>
          </w:p>
        </w:tc>
        <w:tc>
          <w:tcPr>
            <w:tcW w:w="1350" w:type="dxa"/>
            <w:vAlign w:val="center"/>
          </w:tcPr>
          <w:p w:rsidR="00F14AEA" w:rsidRDefault="00EC6028">
            <w:pPr>
              <w:jc w:val="center"/>
            </w:pPr>
            <w:r>
              <w:rPr>
                <w:rFonts w:eastAsiaTheme="minorEastAsia"/>
                <w:color w:val="000000" w:themeColor="text1"/>
                <w:szCs w:val="21"/>
              </w:rPr>
              <w:t>0.81%</w:t>
            </w:r>
          </w:p>
        </w:tc>
        <w:tc>
          <w:tcPr>
            <w:tcW w:w="1350" w:type="dxa"/>
            <w:vAlign w:val="center"/>
          </w:tcPr>
          <w:p w:rsidR="00F14AEA" w:rsidRDefault="00EC6028">
            <w:pPr>
              <w:jc w:val="center"/>
            </w:pPr>
            <w:r>
              <w:rPr>
                <w:rFonts w:eastAsiaTheme="minorEastAsia"/>
                <w:color w:val="000000" w:themeColor="text1"/>
                <w:szCs w:val="21"/>
              </w:rPr>
              <w:t>46.88%</w:t>
            </w:r>
          </w:p>
        </w:tc>
        <w:tc>
          <w:tcPr>
            <w:tcW w:w="1350" w:type="dxa"/>
            <w:vAlign w:val="center"/>
          </w:tcPr>
          <w:p w:rsidR="00F14AEA" w:rsidRDefault="00EC6028">
            <w:pPr>
              <w:jc w:val="center"/>
            </w:pPr>
            <w:r>
              <w:rPr>
                <w:rFonts w:eastAsiaTheme="minorEastAsia"/>
                <w:color w:val="000000" w:themeColor="text1"/>
                <w:szCs w:val="21"/>
              </w:rPr>
              <w:t>0.81%</w:t>
            </w:r>
          </w:p>
        </w:tc>
        <w:tc>
          <w:tcPr>
            <w:tcW w:w="1350" w:type="dxa"/>
            <w:vAlign w:val="center"/>
          </w:tcPr>
          <w:p w:rsidR="00F14AEA" w:rsidRDefault="00EC6028">
            <w:pPr>
              <w:jc w:val="center"/>
            </w:pPr>
            <w:r>
              <w:rPr>
                <w:rFonts w:eastAsiaTheme="minorEastAsia"/>
                <w:color w:val="000000" w:themeColor="text1"/>
                <w:szCs w:val="21"/>
              </w:rPr>
              <w:t>-12.02%</w:t>
            </w:r>
          </w:p>
        </w:tc>
        <w:tc>
          <w:tcPr>
            <w:tcW w:w="1350" w:type="dxa"/>
            <w:vAlign w:val="center"/>
          </w:tcPr>
          <w:p w:rsidR="00F14AEA" w:rsidRDefault="00EC6028">
            <w:pPr>
              <w:jc w:val="center"/>
            </w:pPr>
            <w:r>
              <w:rPr>
                <w:rFonts w:eastAsiaTheme="minorEastAsia"/>
                <w:color w:val="000000" w:themeColor="text1"/>
                <w:szCs w:val="21"/>
              </w:rPr>
              <w:t>0.00%</w:t>
            </w:r>
          </w:p>
        </w:tc>
      </w:tr>
      <w:tr w:rsidR="00F14AEA">
        <w:tc>
          <w:tcPr>
            <w:tcW w:w="1620" w:type="dxa"/>
            <w:vAlign w:val="center"/>
          </w:tcPr>
          <w:p w:rsidR="00F14AEA" w:rsidRDefault="00EC6028">
            <w:pPr>
              <w:jc w:val="left"/>
            </w:pPr>
            <w:r>
              <w:rPr>
                <w:rFonts w:eastAsiaTheme="minorEastAsia"/>
                <w:color w:val="000000" w:themeColor="text1"/>
                <w:szCs w:val="21"/>
              </w:rPr>
              <w:t>自基金合同生效起至今</w:t>
            </w:r>
          </w:p>
        </w:tc>
        <w:tc>
          <w:tcPr>
            <w:tcW w:w="1350" w:type="dxa"/>
            <w:vAlign w:val="center"/>
          </w:tcPr>
          <w:p w:rsidR="00F14AEA" w:rsidRDefault="00EC6028">
            <w:pPr>
              <w:jc w:val="center"/>
            </w:pPr>
            <w:r>
              <w:rPr>
                <w:rFonts w:eastAsiaTheme="minorEastAsia"/>
                <w:color w:val="000000" w:themeColor="text1"/>
                <w:szCs w:val="21"/>
              </w:rPr>
              <w:t>-14.50%</w:t>
            </w:r>
          </w:p>
        </w:tc>
        <w:tc>
          <w:tcPr>
            <w:tcW w:w="1350" w:type="dxa"/>
            <w:vAlign w:val="center"/>
          </w:tcPr>
          <w:p w:rsidR="00F14AEA" w:rsidRDefault="00EC6028">
            <w:pPr>
              <w:jc w:val="center"/>
            </w:pPr>
            <w:r>
              <w:rPr>
                <w:rFonts w:eastAsiaTheme="minorEastAsia"/>
                <w:color w:val="000000" w:themeColor="text1"/>
                <w:szCs w:val="21"/>
              </w:rPr>
              <w:t>0.87%</w:t>
            </w:r>
          </w:p>
        </w:tc>
        <w:tc>
          <w:tcPr>
            <w:tcW w:w="1350" w:type="dxa"/>
            <w:vAlign w:val="center"/>
          </w:tcPr>
          <w:p w:rsidR="00F14AEA" w:rsidRDefault="00EC6028">
            <w:pPr>
              <w:jc w:val="center"/>
            </w:pPr>
            <w:r>
              <w:rPr>
                <w:rFonts w:eastAsiaTheme="minorEastAsia"/>
                <w:color w:val="000000" w:themeColor="text1"/>
                <w:szCs w:val="21"/>
              </w:rPr>
              <w:t>11.97%</w:t>
            </w:r>
          </w:p>
        </w:tc>
        <w:tc>
          <w:tcPr>
            <w:tcW w:w="1350" w:type="dxa"/>
            <w:vAlign w:val="center"/>
          </w:tcPr>
          <w:p w:rsidR="00F14AEA" w:rsidRDefault="00EC6028">
            <w:pPr>
              <w:jc w:val="center"/>
            </w:pPr>
            <w:r>
              <w:rPr>
                <w:rFonts w:eastAsiaTheme="minorEastAsia"/>
                <w:color w:val="000000" w:themeColor="text1"/>
                <w:szCs w:val="21"/>
              </w:rPr>
              <w:t>1.00%</w:t>
            </w:r>
          </w:p>
        </w:tc>
        <w:tc>
          <w:tcPr>
            <w:tcW w:w="1350" w:type="dxa"/>
            <w:vAlign w:val="center"/>
          </w:tcPr>
          <w:p w:rsidR="00F14AEA" w:rsidRDefault="00EC6028">
            <w:pPr>
              <w:jc w:val="center"/>
            </w:pPr>
            <w:r>
              <w:rPr>
                <w:rFonts w:eastAsiaTheme="minorEastAsia"/>
                <w:color w:val="000000" w:themeColor="text1"/>
                <w:szCs w:val="21"/>
              </w:rPr>
              <w:t>-26.47%</w:t>
            </w:r>
          </w:p>
        </w:tc>
        <w:tc>
          <w:tcPr>
            <w:tcW w:w="1350" w:type="dxa"/>
            <w:vAlign w:val="center"/>
          </w:tcPr>
          <w:p w:rsidR="00F14AEA" w:rsidRDefault="00EC6028">
            <w:pPr>
              <w:jc w:val="center"/>
            </w:pPr>
            <w:r>
              <w:rPr>
                <w:rFonts w:eastAsiaTheme="minorEastAsia"/>
                <w:color w:val="000000" w:themeColor="text1"/>
                <w:szCs w:val="21"/>
              </w:rPr>
              <w:t>-0.13%</w:t>
            </w:r>
          </w:p>
        </w:tc>
      </w:tr>
    </w:tbl>
    <w:p w:rsidR="00980630" w:rsidRPr="002E726A" w:rsidRDefault="00980630" w:rsidP="00980630">
      <w:pPr>
        <w:pStyle w:val="21"/>
        <w:spacing w:line="360" w:lineRule="auto"/>
        <w:ind w:firstLineChars="0" w:firstLine="0"/>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易方达黄金主题（</w:t>
      </w:r>
      <w:r w:rsidRPr="00896265">
        <w:rPr>
          <w:rFonts w:ascii="Times New Roman" w:eastAsiaTheme="minorEastAsia" w:hAnsi="Times New Roman"/>
          <w:b/>
          <w:color w:val="000000" w:themeColor="text1"/>
          <w:sz w:val="21"/>
          <w:szCs w:val="21"/>
        </w:rPr>
        <w:t>QDII-LOF-FOF</w:t>
      </w:r>
      <w:r w:rsidRPr="00896265">
        <w:rPr>
          <w:rFonts w:ascii="Times New Roman" w:eastAsiaTheme="minorEastAsia" w:hAnsi="Times New Roman"/>
          <w:b/>
          <w:color w:val="000000" w:themeColor="text1"/>
          <w:sz w:val="21"/>
          <w:szCs w:val="21"/>
        </w:rPr>
        <w:t>）</w:t>
      </w:r>
      <w:r w:rsidRPr="00896265">
        <w:rPr>
          <w:rFonts w:ascii="Times New Roman" w:eastAsiaTheme="minorEastAsia" w:hAnsi="Times New Roman"/>
          <w:b/>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980630" w:rsidRPr="00896265" w:rsidTr="00070156">
        <w:tc>
          <w:tcPr>
            <w:tcW w:w="162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阶段</w:t>
            </w:r>
          </w:p>
        </w:tc>
        <w:tc>
          <w:tcPr>
            <w:tcW w:w="135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份额净值增长率</w:t>
            </w:r>
            <w:r w:rsidRPr="00896265">
              <w:rPr>
                <w:rFonts w:hAnsi="宋体"/>
                <w:color w:val="000000" w:themeColor="text1"/>
                <w:szCs w:val="21"/>
              </w:rPr>
              <w:t>①</w:t>
            </w:r>
          </w:p>
        </w:tc>
        <w:tc>
          <w:tcPr>
            <w:tcW w:w="135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份额净值增长率标准差</w:t>
            </w:r>
            <w:r w:rsidRPr="00896265">
              <w:rPr>
                <w:rFonts w:hAnsi="宋体"/>
                <w:color w:val="000000" w:themeColor="text1"/>
                <w:szCs w:val="21"/>
              </w:rPr>
              <w:t>②</w:t>
            </w:r>
          </w:p>
        </w:tc>
        <w:tc>
          <w:tcPr>
            <w:tcW w:w="135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业绩比较基准收益率</w:t>
            </w:r>
            <w:r w:rsidRPr="00896265">
              <w:rPr>
                <w:rFonts w:hAnsi="宋体"/>
                <w:color w:val="000000" w:themeColor="text1"/>
                <w:szCs w:val="21"/>
              </w:rPr>
              <w:t>③</w:t>
            </w:r>
          </w:p>
        </w:tc>
        <w:tc>
          <w:tcPr>
            <w:tcW w:w="135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业绩比较基准收益率标准差</w:t>
            </w:r>
            <w:r w:rsidRPr="00896265">
              <w:rPr>
                <w:rFonts w:hAnsi="宋体"/>
                <w:color w:val="000000" w:themeColor="text1"/>
                <w:szCs w:val="21"/>
              </w:rPr>
              <w:t>④</w:t>
            </w:r>
          </w:p>
        </w:tc>
        <w:tc>
          <w:tcPr>
            <w:tcW w:w="135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hAnsi="宋体"/>
                <w:color w:val="000000" w:themeColor="text1"/>
                <w:szCs w:val="21"/>
              </w:rPr>
              <w:t>①</w:t>
            </w:r>
            <w:r w:rsidRPr="00896265">
              <w:rPr>
                <w:rFonts w:eastAsiaTheme="minorEastAsia"/>
                <w:color w:val="000000" w:themeColor="text1"/>
                <w:szCs w:val="21"/>
              </w:rPr>
              <w:t>－</w:t>
            </w:r>
            <w:r w:rsidRPr="00896265">
              <w:rPr>
                <w:rFonts w:hAnsi="宋体"/>
                <w:color w:val="000000" w:themeColor="text1"/>
                <w:szCs w:val="21"/>
              </w:rPr>
              <w:t>③</w:t>
            </w:r>
          </w:p>
        </w:tc>
        <w:tc>
          <w:tcPr>
            <w:tcW w:w="1350" w:type="dxa"/>
            <w:vAlign w:val="center"/>
          </w:tcPr>
          <w:p w:rsidR="00980630" w:rsidRPr="00896265" w:rsidRDefault="00980630" w:rsidP="00070156">
            <w:pPr>
              <w:spacing w:line="360" w:lineRule="auto"/>
              <w:jc w:val="center"/>
              <w:rPr>
                <w:rFonts w:eastAsiaTheme="minorEastAsia"/>
                <w:color w:val="000000" w:themeColor="text1"/>
                <w:szCs w:val="21"/>
              </w:rPr>
            </w:pPr>
            <w:r w:rsidRPr="00896265">
              <w:rPr>
                <w:rFonts w:hAnsi="宋体"/>
                <w:color w:val="000000" w:themeColor="text1"/>
                <w:szCs w:val="21"/>
              </w:rPr>
              <w:t>②</w:t>
            </w:r>
            <w:r w:rsidRPr="00896265">
              <w:rPr>
                <w:rFonts w:eastAsiaTheme="minorEastAsia"/>
                <w:color w:val="000000" w:themeColor="text1"/>
                <w:szCs w:val="21"/>
              </w:rPr>
              <w:t>－</w:t>
            </w:r>
            <w:r w:rsidRPr="00896265">
              <w:rPr>
                <w:rFonts w:hAnsi="宋体"/>
                <w:color w:val="000000" w:themeColor="text1"/>
                <w:szCs w:val="21"/>
              </w:rPr>
              <w:t>④</w:t>
            </w:r>
          </w:p>
        </w:tc>
      </w:tr>
      <w:tr w:rsidR="00F14AEA">
        <w:tc>
          <w:tcPr>
            <w:tcW w:w="1620" w:type="dxa"/>
            <w:vAlign w:val="center"/>
          </w:tcPr>
          <w:p w:rsidR="00F14AEA" w:rsidRDefault="00EC6028">
            <w:pPr>
              <w:jc w:val="left"/>
            </w:pPr>
            <w:r>
              <w:rPr>
                <w:rFonts w:eastAsiaTheme="minorEastAsia"/>
                <w:color w:val="000000" w:themeColor="text1"/>
                <w:szCs w:val="21"/>
              </w:rPr>
              <w:t>过去三个月</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r>
      <w:tr w:rsidR="00F14AEA">
        <w:tc>
          <w:tcPr>
            <w:tcW w:w="1620" w:type="dxa"/>
            <w:vAlign w:val="center"/>
          </w:tcPr>
          <w:p w:rsidR="00F14AEA" w:rsidRDefault="00EC6028">
            <w:pPr>
              <w:jc w:val="left"/>
            </w:pPr>
            <w:r>
              <w:rPr>
                <w:rFonts w:eastAsiaTheme="minorEastAsia"/>
                <w:color w:val="000000" w:themeColor="text1"/>
                <w:szCs w:val="21"/>
              </w:rPr>
              <w:t>过去六个月</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r>
      <w:tr w:rsidR="00F14AEA">
        <w:tc>
          <w:tcPr>
            <w:tcW w:w="1620" w:type="dxa"/>
            <w:vAlign w:val="center"/>
          </w:tcPr>
          <w:p w:rsidR="00F14AEA" w:rsidRDefault="00EC6028">
            <w:pPr>
              <w:jc w:val="left"/>
            </w:pPr>
            <w:r>
              <w:rPr>
                <w:rFonts w:eastAsiaTheme="minorEastAsia"/>
                <w:color w:val="000000" w:themeColor="text1"/>
                <w:szCs w:val="21"/>
              </w:rPr>
              <w:t>过去一年</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r>
      <w:tr w:rsidR="00F14AEA">
        <w:tc>
          <w:tcPr>
            <w:tcW w:w="1620" w:type="dxa"/>
            <w:vAlign w:val="center"/>
          </w:tcPr>
          <w:p w:rsidR="00F14AEA" w:rsidRDefault="00EC6028">
            <w:pPr>
              <w:jc w:val="left"/>
            </w:pPr>
            <w:r>
              <w:rPr>
                <w:rFonts w:eastAsiaTheme="minorEastAsia"/>
                <w:color w:val="000000" w:themeColor="text1"/>
                <w:szCs w:val="21"/>
              </w:rPr>
              <w:t>过去三年</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r>
      <w:tr w:rsidR="00F14AEA">
        <w:tc>
          <w:tcPr>
            <w:tcW w:w="1620" w:type="dxa"/>
            <w:vAlign w:val="center"/>
          </w:tcPr>
          <w:p w:rsidR="00F14AEA" w:rsidRDefault="00EC6028">
            <w:pPr>
              <w:jc w:val="left"/>
            </w:pPr>
            <w:r>
              <w:rPr>
                <w:rFonts w:eastAsiaTheme="minorEastAsia"/>
                <w:color w:val="000000" w:themeColor="text1"/>
                <w:szCs w:val="21"/>
              </w:rPr>
              <w:t>过去五年</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c>
          <w:tcPr>
            <w:tcW w:w="1350" w:type="dxa"/>
            <w:vAlign w:val="center"/>
          </w:tcPr>
          <w:p w:rsidR="00F14AEA" w:rsidRDefault="00EC6028">
            <w:pPr>
              <w:jc w:val="center"/>
            </w:pPr>
            <w:r>
              <w:rPr>
                <w:rFonts w:eastAsiaTheme="minorEastAsia"/>
                <w:color w:val="000000" w:themeColor="text1"/>
                <w:szCs w:val="21"/>
              </w:rPr>
              <w:t>-</w:t>
            </w:r>
          </w:p>
        </w:tc>
      </w:tr>
      <w:tr w:rsidR="00F14AEA">
        <w:tc>
          <w:tcPr>
            <w:tcW w:w="1620" w:type="dxa"/>
            <w:vAlign w:val="center"/>
          </w:tcPr>
          <w:p w:rsidR="00F14AEA" w:rsidRDefault="00EC6028">
            <w:pPr>
              <w:jc w:val="left"/>
            </w:pPr>
            <w:r>
              <w:rPr>
                <w:rFonts w:eastAsiaTheme="minorEastAsia"/>
                <w:color w:val="000000" w:themeColor="text1"/>
                <w:szCs w:val="21"/>
              </w:rPr>
              <w:t>自基金合同生效起至今</w:t>
            </w:r>
          </w:p>
        </w:tc>
        <w:tc>
          <w:tcPr>
            <w:tcW w:w="1350" w:type="dxa"/>
            <w:vAlign w:val="center"/>
          </w:tcPr>
          <w:p w:rsidR="00F14AEA" w:rsidRDefault="00EC6028">
            <w:pPr>
              <w:jc w:val="center"/>
            </w:pPr>
            <w:r>
              <w:rPr>
                <w:rFonts w:eastAsiaTheme="minorEastAsia"/>
                <w:color w:val="000000" w:themeColor="text1"/>
                <w:szCs w:val="21"/>
              </w:rPr>
              <w:t>6.21%</w:t>
            </w:r>
          </w:p>
        </w:tc>
        <w:tc>
          <w:tcPr>
            <w:tcW w:w="1350" w:type="dxa"/>
            <w:vAlign w:val="center"/>
          </w:tcPr>
          <w:p w:rsidR="00F14AEA" w:rsidRDefault="00EC6028">
            <w:pPr>
              <w:jc w:val="center"/>
            </w:pPr>
            <w:r>
              <w:rPr>
                <w:rFonts w:eastAsiaTheme="minorEastAsia"/>
                <w:color w:val="000000" w:themeColor="text1"/>
                <w:szCs w:val="21"/>
              </w:rPr>
              <w:t>1.36%</w:t>
            </w:r>
          </w:p>
        </w:tc>
        <w:tc>
          <w:tcPr>
            <w:tcW w:w="1350" w:type="dxa"/>
            <w:vAlign w:val="center"/>
          </w:tcPr>
          <w:p w:rsidR="00F14AEA" w:rsidRDefault="00EC6028">
            <w:pPr>
              <w:jc w:val="center"/>
            </w:pPr>
            <w:r>
              <w:rPr>
                <w:rFonts w:eastAsiaTheme="minorEastAsia"/>
                <w:color w:val="000000" w:themeColor="text1"/>
                <w:szCs w:val="21"/>
              </w:rPr>
              <w:t>5.86%</w:t>
            </w:r>
          </w:p>
        </w:tc>
        <w:tc>
          <w:tcPr>
            <w:tcW w:w="1350" w:type="dxa"/>
            <w:vAlign w:val="center"/>
          </w:tcPr>
          <w:p w:rsidR="00F14AEA" w:rsidRDefault="00EC6028">
            <w:pPr>
              <w:jc w:val="center"/>
            </w:pPr>
            <w:r>
              <w:rPr>
                <w:rFonts w:eastAsiaTheme="minorEastAsia"/>
                <w:color w:val="000000" w:themeColor="text1"/>
                <w:szCs w:val="21"/>
              </w:rPr>
              <w:t>0.86%</w:t>
            </w:r>
          </w:p>
        </w:tc>
        <w:tc>
          <w:tcPr>
            <w:tcW w:w="1350" w:type="dxa"/>
            <w:vAlign w:val="center"/>
          </w:tcPr>
          <w:p w:rsidR="00F14AEA" w:rsidRDefault="00EC6028">
            <w:pPr>
              <w:jc w:val="center"/>
            </w:pPr>
            <w:r>
              <w:rPr>
                <w:rFonts w:eastAsiaTheme="minorEastAsia"/>
                <w:color w:val="000000" w:themeColor="text1"/>
                <w:szCs w:val="21"/>
              </w:rPr>
              <w:t>0.35%</w:t>
            </w:r>
          </w:p>
        </w:tc>
        <w:tc>
          <w:tcPr>
            <w:tcW w:w="1350" w:type="dxa"/>
            <w:vAlign w:val="center"/>
          </w:tcPr>
          <w:p w:rsidR="00F14AEA" w:rsidRDefault="00EC6028">
            <w:pPr>
              <w:jc w:val="center"/>
            </w:pPr>
            <w:r>
              <w:rPr>
                <w:rFonts w:eastAsiaTheme="minorEastAsia"/>
                <w:color w:val="000000" w:themeColor="text1"/>
                <w:szCs w:val="21"/>
              </w:rPr>
              <w:t>0.50%</w:t>
            </w:r>
          </w:p>
        </w:tc>
      </w:tr>
    </w:tbl>
    <w:p w:rsidR="00F14AEA" w:rsidRDefault="00EC602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自</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日起，本基金增设</w:t>
      </w:r>
      <w:r>
        <w:rPr>
          <w:rFonts w:eastAsiaTheme="minorEastAsia"/>
          <w:color w:val="000000" w:themeColor="text1"/>
          <w:kern w:val="0"/>
          <w:szCs w:val="21"/>
        </w:rPr>
        <w:t>C</w:t>
      </w:r>
      <w:r>
        <w:rPr>
          <w:rFonts w:eastAsiaTheme="minorEastAsia"/>
          <w:color w:val="000000" w:themeColor="text1"/>
          <w:kern w:val="0"/>
          <w:szCs w:val="21"/>
        </w:rPr>
        <w:t>类份额类别，份额首次确认日为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日，增设当期的相关数据和指标按实际存续期计算。</w:t>
      </w:r>
    </w:p>
    <w:p w:rsidR="00980630" w:rsidRPr="00896265" w:rsidRDefault="00980630" w:rsidP="00980630">
      <w:pPr>
        <w:tabs>
          <w:tab w:val="left" w:pos="426"/>
        </w:tabs>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2.</w:t>
      </w:r>
      <w:r w:rsidRPr="00896265">
        <w:rPr>
          <w:rFonts w:eastAsiaTheme="minorEastAsia"/>
          <w:color w:val="000000" w:themeColor="text1"/>
          <w:kern w:val="0"/>
          <w:szCs w:val="21"/>
        </w:rPr>
        <w:t>自</w:t>
      </w:r>
      <w:r w:rsidRPr="00896265">
        <w:rPr>
          <w:rFonts w:eastAsiaTheme="minorEastAsia"/>
          <w:color w:val="000000" w:themeColor="text1"/>
          <w:kern w:val="0"/>
          <w:szCs w:val="21"/>
        </w:rPr>
        <w:t>2019</w:t>
      </w:r>
      <w:r w:rsidRPr="00896265">
        <w:rPr>
          <w:rFonts w:eastAsiaTheme="minorEastAsia"/>
          <w:color w:val="000000" w:themeColor="text1"/>
          <w:kern w:val="0"/>
          <w:szCs w:val="21"/>
        </w:rPr>
        <w:t>年</w:t>
      </w:r>
      <w:r w:rsidRPr="00896265">
        <w:rPr>
          <w:rFonts w:eastAsiaTheme="minorEastAsia"/>
          <w:color w:val="000000" w:themeColor="text1"/>
          <w:kern w:val="0"/>
          <w:szCs w:val="21"/>
        </w:rPr>
        <w:t>10</w:t>
      </w:r>
      <w:r w:rsidRPr="00896265">
        <w:rPr>
          <w:rFonts w:eastAsiaTheme="minorEastAsia"/>
          <w:color w:val="000000" w:themeColor="text1"/>
          <w:kern w:val="0"/>
          <w:szCs w:val="21"/>
        </w:rPr>
        <w:t>月</w:t>
      </w:r>
      <w:r w:rsidRPr="00896265">
        <w:rPr>
          <w:rFonts w:eastAsiaTheme="minorEastAsia"/>
          <w:color w:val="000000" w:themeColor="text1"/>
          <w:kern w:val="0"/>
          <w:szCs w:val="21"/>
        </w:rPr>
        <w:t>11</w:t>
      </w:r>
      <w:r w:rsidRPr="00896265">
        <w:rPr>
          <w:rFonts w:eastAsiaTheme="minorEastAsia"/>
          <w:color w:val="000000" w:themeColor="text1"/>
          <w:kern w:val="0"/>
          <w:szCs w:val="21"/>
        </w:rPr>
        <w:t>日起，本基金业绩比较基准由</w:t>
      </w:r>
      <w:r w:rsidRPr="00896265">
        <w:rPr>
          <w:rFonts w:eastAsiaTheme="minorEastAsia"/>
          <w:color w:val="000000" w:themeColor="text1"/>
          <w:kern w:val="0"/>
          <w:szCs w:val="21"/>
        </w:rPr>
        <w:t>“</w:t>
      </w:r>
      <w:r w:rsidRPr="00896265">
        <w:rPr>
          <w:rFonts w:eastAsiaTheme="minorEastAsia"/>
          <w:color w:val="000000" w:themeColor="text1"/>
          <w:kern w:val="0"/>
          <w:szCs w:val="21"/>
        </w:rPr>
        <w:t>以伦敦黄金市场下午定盘价计价的国际现货黄金（经汇率折算）</w:t>
      </w:r>
      <w:r w:rsidRPr="00896265">
        <w:rPr>
          <w:rFonts w:eastAsiaTheme="minorEastAsia"/>
          <w:color w:val="000000" w:themeColor="text1"/>
          <w:kern w:val="0"/>
          <w:szCs w:val="21"/>
        </w:rPr>
        <w:t>”</w:t>
      </w:r>
      <w:r w:rsidRPr="00896265">
        <w:rPr>
          <w:rFonts w:eastAsiaTheme="minorEastAsia"/>
          <w:color w:val="000000" w:themeColor="text1"/>
          <w:kern w:val="0"/>
          <w:szCs w:val="21"/>
        </w:rPr>
        <w:t>调整为</w:t>
      </w:r>
      <w:r w:rsidRPr="00896265">
        <w:rPr>
          <w:rFonts w:eastAsiaTheme="minorEastAsia"/>
          <w:color w:val="000000" w:themeColor="text1"/>
          <w:kern w:val="0"/>
          <w:szCs w:val="21"/>
        </w:rPr>
        <w:t>“</w:t>
      </w:r>
      <w:r w:rsidRPr="00896265">
        <w:rPr>
          <w:rFonts w:eastAsiaTheme="minorEastAsia"/>
          <w:color w:val="000000" w:themeColor="text1"/>
          <w:kern w:val="0"/>
          <w:szCs w:val="21"/>
        </w:rPr>
        <w:t>以伦敦黄金市场下午定盘价计价的国际现货黄金（经汇率折算）</w:t>
      </w:r>
      <w:r w:rsidRPr="00896265">
        <w:rPr>
          <w:rFonts w:eastAsiaTheme="minorEastAsia"/>
          <w:color w:val="000000" w:themeColor="text1"/>
          <w:kern w:val="0"/>
          <w:szCs w:val="21"/>
        </w:rPr>
        <w:t>×50%+MSCI</w:t>
      </w:r>
      <w:r w:rsidRPr="00896265">
        <w:rPr>
          <w:rFonts w:eastAsiaTheme="minorEastAsia"/>
          <w:color w:val="000000" w:themeColor="text1"/>
          <w:kern w:val="0"/>
          <w:szCs w:val="21"/>
        </w:rPr>
        <w:t>全球金矿股指数（</w:t>
      </w:r>
      <w:r w:rsidRPr="00896265">
        <w:rPr>
          <w:rFonts w:eastAsiaTheme="minorEastAsia"/>
          <w:color w:val="000000" w:themeColor="text1"/>
          <w:kern w:val="0"/>
          <w:szCs w:val="21"/>
        </w:rPr>
        <w:t>MSCI ACWI SELECT GOLD MINERS IMI INDEX</w:t>
      </w:r>
      <w:r w:rsidRPr="00896265">
        <w:rPr>
          <w:rFonts w:eastAsiaTheme="minorEastAsia"/>
          <w:color w:val="000000" w:themeColor="text1"/>
          <w:kern w:val="0"/>
          <w:szCs w:val="21"/>
        </w:rPr>
        <w:t>）</w:t>
      </w:r>
      <w:r w:rsidRPr="00896265">
        <w:rPr>
          <w:rFonts w:eastAsiaTheme="minorEastAsia"/>
          <w:color w:val="000000" w:themeColor="text1"/>
          <w:kern w:val="0"/>
          <w:szCs w:val="21"/>
        </w:rPr>
        <w:t>×50%”</w:t>
      </w:r>
      <w:r w:rsidRPr="00896265">
        <w:rPr>
          <w:rFonts w:eastAsiaTheme="minorEastAsia"/>
          <w:color w:val="000000" w:themeColor="text1"/>
          <w:kern w:val="0"/>
          <w:szCs w:val="21"/>
        </w:rPr>
        <w:t>。</w:t>
      </w:r>
      <w:r w:rsidRPr="00896265">
        <w:rPr>
          <w:rFonts w:eastAsiaTheme="minorEastAsia"/>
          <w:color w:val="000000" w:themeColor="text1"/>
          <w:kern w:val="0"/>
          <w:szCs w:val="21"/>
        </w:rPr>
        <w:t>MSCI</w:t>
      </w:r>
      <w:r w:rsidRPr="00896265">
        <w:rPr>
          <w:rFonts w:eastAsiaTheme="minorEastAsia"/>
          <w:color w:val="000000" w:themeColor="text1"/>
          <w:kern w:val="0"/>
          <w:szCs w:val="21"/>
        </w:rPr>
        <w:t>全球金矿股指数（</w:t>
      </w:r>
      <w:r w:rsidRPr="00896265">
        <w:rPr>
          <w:rFonts w:eastAsiaTheme="minorEastAsia"/>
          <w:color w:val="000000" w:themeColor="text1"/>
          <w:kern w:val="0"/>
          <w:szCs w:val="21"/>
        </w:rPr>
        <w:t>MSCI ACWI SELECT GOLD MINERS IMI INDEX</w:t>
      </w:r>
      <w:r w:rsidRPr="00896265">
        <w:rPr>
          <w:rFonts w:eastAsiaTheme="minorEastAsia"/>
          <w:color w:val="000000" w:themeColor="text1"/>
          <w:kern w:val="0"/>
          <w:szCs w:val="21"/>
        </w:rPr>
        <w:t>）由</w:t>
      </w:r>
      <w:r w:rsidRPr="00896265">
        <w:rPr>
          <w:rFonts w:eastAsiaTheme="minorEastAsia"/>
          <w:color w:val="000000" w:themeColor="text1"/>
          <w:kern w:val="0"/>
          <w:szCs w:val="21"/>
        </w:rPr>
        <w:t>MSCI</w:t>
      </w:r>
      <w:r w:rsidRPr="00896265">
        <w:rPr>
          <w:rFonts w:eastAsiaTheme="minorEastAsia"/>
          <w:color w:val="000000" w:themeColor="text1"/>
          <w:kern w:val="0"/>
          <w:szCs w:val="21"/>
        </w:rPr>
        <w:t>编制，由全球主要黄金采掘企业股票组成。而本基金为黄金主题基金，投资于基金的资产合计不低于本基金基金资产净值的</w:t>
      </w:r>
      <w:r w:rsidRPr="00896265">
        <w:rPr>
          <w:rFonts w:eastAsiaTheme="minorEastAsia"/>
          <w:color w:val="000000" w:themeColor="text1"/>
          <w:kern w:val="0"/>
          <w:szCs w:val="21"/>
        </w:rPr>
        <w:t>60%</w:t>
      </w:r>
      <w:r w:rsidRPr="00896265">
        <w:rPr>
          <w:rFonts w:eastAsiaTheme="minorEastAsia"/>
          <w:color w:val="000000" w:themeColor="text1"/>
          <w:kern w:val="0"/>
          <w:szCs w:val="21"/>
        </w:rPr>
        <w:t>，投资于基金的资产中不低于</w:t>
      </w:r>
      <w:r w:rsidRPr="00896265">
        <w:rPr>
          <w:rFonts w:eastAsiaTheme="minorEastAsia"/>
          <w:color w:val="000000" w:themeColor="text1"/>
          <w:kern w:val="0"/>
          <w:szCs w:val="21"/>
        </w:rPr>
        <w:t>80%</w:t>
      </w:r>
      <w:r w:rsidRPr="00896265">
        <w:rPr>
          <w:rFonts w:eastAsiaTheme="minorEastAsia"/>
          <w:color w:val="000000" w:themeColor="text1"/>
          <w:kern w:val="0"/>
          <w:szCs w:val="21"/>
        </w:rPr>
        <w:t>投资于黄金基金，黄金基金指黄金</w:t>
      </w:r>
      <w:r w:rsidRPr="00896265">
        <w:rPr>
          <w:rFonts w:eastAsiaTheme="minorEastAsia"/>
          <w:color w:val="000000" w:themeColor="text1"/>
          <w:kern w:val="0"/>
          <w:szCs w:val="21"/>
        </w:rPr>
        <w:t>ETF</w:t>
      </w:r>
      <w:r w:rsidRPr="00896265">
        <w:rPr>
          <w:rFonts w:eastAsiaTheme="minorEastAsia"/>
          <w:color w:val="000000" w:themeColor="text1"/>
          <w:kern w:val="0"/>
          <w:szCs w:val="21"/>
        </w:rPr>
        <w:t>（即跟踪黄金价格或黄金价格指数的</w:t>
      </w:r>
      <w:r w:rsidRPr="00896265">
        <w:rPr>
          <w:rFonts w:eastAsiaTheme="minorEastAsia"/>
          <w:color w:val="000000" w:themeColor="text1"/>
          <w:kern w:val="0"/>
          <w:szCs w:val="21"/>
        </w:rPr>
        <w:t>ETF</w:t>
      </w:r>
      <w:r w:rsidRPr="00896265">
        <w:rPr>
          <w:rFonts w:eastAsiaTheme="minorEastAsia"/>
          <w:color w:val="000000" w:themeColor="text1"/>
          <w:kern w:val="0"/>
          <w:szCs w:val="21"/>
        </w:rPr>
        <w:t>）及黄金股票基金（包括跟踪黄金股票指数的指数基金和</w:t>
      </w:r>
      <w:r w:rsidRPr="00896265">
        <w:rPr>
          <w:rFonts w:eastAsiaTheme="minorEastAsia"/>
          <w:color w:val="000000" w:themeColor="text1"/>
          <w:kern w:val="0"/>
          <w:szCs w:val="21"/>
        </w:rPr>
        <w:t>ETF</w:t>
      </w:r>
      <w:r w:rsidRPr="00896265">
        <w:rPr>
          <w:rFonts w:eastAsiaTheme="minorEastAsia"/>
          <w:color w:val="000000" w:themeColor="text1"/>
          <w:kern w:val="0"/>
          <w:szCs w:val="21"/>
        </w:rPr>
        <w:t>，以及</w:t>
      </w:r>
      <w:r w:rsidRPr="00896265">
        <w:rPr>
          <w:rFonts w:eastAsiaTheme="minorEastAsia"/>
          <w:color w:val="000000" w:themeColor="text1"/>
          <w:kern w:val="0"/>
          <w:szCs w:val="21"/>
        </w:rPr>
        <w:t>80%</w:t>
      </w:r>
      <w:r w:rsidRPr="00896265">
        <w:rPr>
          <w:rFonts w:eastAsiaTheme="minorEastAsia"/>
          <w:color w:val="000000" w:themeColor="text1"/>
          <w:kern w:val="0"/>
          <w:szCs w:val="21"/>
        </w:rPr>
        <w:t>以上基金资产投资于黄金采掘公司股票的主动基金）。基金管理人在对黄金基金、黄金采掘公司股票以及与其他资产进行主动配置的过程中，黄金价格和黄金采掘公司股票价格是影响投资判断的关键因素。采用</w:t>
      </w:r>
      <w:r w:rsidRPr="00896265">
        <w:rPr>
          <w:rFonts w:eastAsiaTheme="minorEastAsia"/>
          <w:color w:val="000000" w:themeColor="text1"/>
          <w:kern w:val="0"/>
          <w:szCs w:val="21"/>
        </w:rPr>
        <w:t>“</w:t>
      </w:r>
      <w:r w:rsidRPr="00896265">
        <w:rPr>
          <w:rFonts w:eastAsiaTheme="minorEastAsia"/>
          <w:color w:val="000000" w:themeColor="text1"/>
          <w:kern w:val="0"/>
          <w:szCs w:val="21"/>
        </w:rPr>
        <w:t>以伦敦黄金市场下午定盘价计价的国际现货黄金（经汇率折算）</w:t>
      </w:r>
      <w:r w:rsidRPr="00896265">
        <w:rPr>
          <w:rFonts w:eastAsiaTheme="minorEastAsia"/>
          <w:color w:val="000000" w:themeColor="text1"/>
          <w:kern w:val="0"/>
          <w:szCs w:val="21"/>
        </w:rPr>
        <w:t>×50%+MSCI</w:t>
      </w:r>
      <w:r w:rsidRPr="00896265">
        <w:rPr>
          <w:rFonts w:eastAsiaTheme="minorEastAsia"/>
          <w:color w:val="000000" w:themeColor="text1"/>
          <w:kern w:val="0"/>
          <w:szCs w:val="21"/>
        </w:rPr>
        <w:t>全球金矿股指数（</w:t>
      </w:r>
      <w:r w:rsidRPr="00896265">
        <w:rPr>
          <w:rFonts w:eastAsiaTheme="minorEastAsia"/>
          <w:color w:val="000000" w:themeColor="text1"/>
          <w:kern w:val="0"/>
          <w:szCs w:val="21"/>
        </w:rPr>
        <w:t>MSCI ACWI SELECT GOLD MINERS IMI INDEX</w:t>
      </w:r>
      <w:r w:rsidRPr="00896265">
        <w:rPr>
          <w:rFonts w:eastAsiaTheme="minorEastAsia"/>
          <w:color w:val="000000" w:themeColor="text1"/>
          <w:kern w:val="0"/>
          <w:szCs w:val="21"/>
        </w:rPr>
        <w:t>）</w:t>
      </w:r>
      <w:r w:rsidRPr="00896265">
        <w:rPr>
          <w:rFonts w:eastAsiaTheme="minorEastAsia"/>
          <w:color w:val="000000" w:themeColor="text1"/>
          <w:kern w:val="0"/>
          <w:szCs w:val="21"/>
        </w:rPr>
        <w:t>×50%”</w:t>
      </w:r>
      <w:r w:rsidRPr="00896265">
        <w:rPr>
          <w:rFonts w:eastAsiaTheme="minorEastAsia"/>
          <w:color w:val="000000" w:themeColor="text1"/>
          <w:kern w:val="0"/>
          <w:szCs w:val="21"/>
        </w:rPr>
        <w:t>作为业绩比较基准，能够相对比较真实、客观地反映本基金的风险收益特征。基金业绩比较基准收益率在变更前后期间分别根据相应的指标计算。</w:t>
      </w:r>
    </w:p>
    <w:p w:rsidR="00980630" w:rsidRPr="000852F3" w:rsidRDefault="00980630"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3.2.2</w:t>
      </w:r>
      <w:r w:rsidRPr="00D21D39">
        <w:rPr>
          <w:rFonts w:asciiTheme="majorEastAsia" w:eastAsiaTheme="majorEastAsia" w:hAnsiTheme="majorEastAsia"/>
          <w:b/>
          <w:color w:val="000000" w:themeColor="text1"/>
          <w:kern w:val="0"/>
          <w:szCs w:val="21"/>
        </w:rPr>
        <w:t>自基金合同生效以来</w:t>
      </w:r>
      <w:r w:rsidRPr="000852F3">
        <w:rPr>
          <w:rFonts w:asciiTheme="majorEastAsia" w:eastAsiaTheme="majorEastAsia" w:hAnsiTheme="majorEastAsia"/>
          <w:b/>
          <w:color w:val="000000" w:themeColor="text1"/>
          <w:kern w:val="0"/>
          <w:szCs w:val="21"/>
        </w:rPr>
        <w:t xml:space="preserve">基金份额累计净值增长率变动及其与同期业绩比较基准收益率变动的比较 </w:t>
      </w:r>
    </w:p>
    <w:p w:rsidR="00980630" w:rsidRPr="00896265" w:rsidRDefault="00980630" w:rsidP="00980630">
      <w:pPr>
        <w:spacing w:line="360" w:lineRule="auto"/>
        <w:jc w:val="center"/>
        <w:rPr>
          <w:rFonts w:eastAsiaTheme="minorEastAsia"/>
          <w:color w:val="000000" w:themeColor="text1"/>
          <w:szCs w:val="21"/>
        </w:rPr>
      </w:pPr>
      <w:r w:rsidRPr="00896265">
        <w:rPr>
          <w:rFonts w:eastAsiaTheme="minorEastAsia"/>
          <w:color w:val="000000" w:themeColor="text1"/>
          <w:szCs w:val="21"/>
        </w:rPr>
        <w:t>易方达黄金主题证券投资基金（</w:t>
      </w:r>
      <w:r w:rsidRPr="00896265">
        <w:rPr>
          <w:rFonts w:eastAsiaTheme="minorEastAsia"/>
          <w:color w:val="000000" w:themeColor="text1"/>
          <w:szCs w:val="21"/>
        </w:rPr>
        <w:t>LOF</w:t>
      </w:r>
      <w:r w:rsidRPr="00896265">
        <w:rPr>
          <w:rFonts w:eastAsiaTheme="minorEastAsia"/>
          <w:color w:val="000000" w:themeColor="text1"/>
          <w:szCs w:val="21"/>
        </w:rPr>
        <w:t>）</w:t>
      </w:r>
    </w:p>
    <w:p w:rsidR="00ED4440" w:rsidRDefault="00723E0A" w:rsidP="00ED4440">
      <w:pPr>
        <w:pStyle w:val="a6"/>
        <w:snapToGrid w:val="0"/>
        <w:spacing w:line="360" w:lineRule="auto"/>
        <w:jc w:val="center"/>
        <w:rPr>
          <w:rFonts w:ascii="Times New Roman" w:eastAsiaTheme="minorEastAsia" w:hAnsi="Times New Roman"/>
          <w:color w:val="000000" w:themeColor="text1"/>
        </w:rPr>
      </w:pPr>
      <w:r>
        <w:rPr>
          <w:rFonts w:eastAsiaTheme="minorEastAsia" w:hint="eastAsia"/>
          <w:color w:val="000000" w:themeColor="text1"/>
          <w:kern w:val="0"/>
        </w:rPr>
        <w:t>份额累计净值增长率与业绩比较基准收益率历史走势对比图</w:t>
      </w:r>
    </w:p>
    <w:p w:rsidR="00ED4440" w:rsidRDefault="00980630" w:rsidP="00ED4440">
      <w:pPr>
        <w:snapToGrid w:val="0"/>
        <w:spacing w:line="360" w:lineRule="auto"/>
        <w:rPr>
          <w:rFonts w:eastAsiaTheme="minorEastAsia"/>
          <w:color w:val="000000" w:themeColor="text1"/>
          <w:szCs w:val="21"/>
        </w:rPr>
      </w:pPr>
      <w:r w:rsidRPr="00896265">
        <w:rPr>
          <w:rFonts w:eastAsiaTheme="minorEastAsia"/>
          <w:color w:val="000000" w:themeColor="text1"/>
          <w:szCs w:val="21"/>
        </w:rPr>
        <w:t>易方达黄金主题（</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A</w:t>
      </w:r>
    </w:p>
    <w:p w:rsidR="00ED4440" w:rsidRPr="00D17720" w:rsidRDefault="00ED4440" w:rsidP="00ED4440">
      <w:pPr>
        <w:spacing w:line="360" w:lineRule="auto"/>
        <w:jc w:val="center"/>
        <w:rPr>
          <w:szCs w:val="21"/>
        </w:rPr>
      </w:pPr>
      <w:r w:rsidRPr="00D17720">
        <w:rPr>
          <w:szCs w:val="21"/>
        </w:rPr>
        <w:t>（</w:t>
      </w:r>
      <w:r w:rsidRPr="00D17720">
        <w:rPr>
          <w:szCs w:val="21"/>
        </w:rPr>
        <w:t>2011</w:t>
      </w:r>
      <w:r w:rsidRPr="00D17720">
        <w:rPr>
          <w:szCs w:val="21"/>
        </w:rPr>
        <w:t>年</w:t>
      </w:r>
      <w:r w:rsidRPr="00D17720">
        <w:rPr>
          <w:szCs w:val="21"/>
        </w:rPr>
        <w:t>5</w:t>
      </w:r>
      <w:r w:rsidRPr="00D17720">
        <w:rPr>
          <w:szCs w:val="21"/>
        </w:rPr>
        <w:t>月</w:t>
      </w:r>
      <w:r w:rsidRPr="00D17720">
        <w:rPr>
          <w:szCs w:val="21"/>
        </w:rPr>
        <w:t>6</w:t>
      </w:r>
      <w:r w:rsidRPr="00D17720">
        <w:rPr>
          <w:szCs w:val="21"/>
        </w:rPr>
        <w:t>日至</w:t>
      </w:r>
      <w:r w:rsidRPr="00D17720">
        <w:rPr>
          <w:szCs w:val="21"/>
        </w:rPr>
        <w:t>2019</w:t>
      </w:r>
      <w:r w:rsidRPr="00D17720">
        <w:rPr>
          <w:szCs w:val="21"/>
        </w:rPr>
        <w:t>年</w:t>
      </w:r>
      <w:r w:rsidRPr="00D17720">
        <w:rPr>
          <w:szCs w:val="21"/>
        </w:rPr>
        <w:t>12</w:t>
      </w:r>
      <w:r w:rsidRPr="00D17720">
        <w:rPr>
          <w:szCs w:val="21"/>
        </w:rPr>
        <w:t>月</w:t>
      </w:r>
      <w:r w:rsidRPr="00D17720">
        <w:rPr>
          <w:szCs w:val="21"/>
        </w:rPr>
        <w:t>31</w:t>
      </w:r>
      <w:r w:rsidRPr="00D17720">
        <w:rPr>
          <w:szCs w:val="21"/>
        </w:rPr>
        <w:t>日）</w:t>
      </w:r>
    </w:p>
    <w:p w:rsidR="00980630" w:rsidRPr="00896265" w:rsidRDefault="00980630" w:rsidP="00980630">
      <w:pPr>
        <w:pStyle w:val="21"/>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896265">
        <w:rPr>
          <w:rFonts w:ascii="Times New Roman" w:eastAsiaTheme="minorEastAsia" w:hAnsi="Times New Roman"/>
          <w:noProof/>
          <w:color w:val="000000" w:themeColor="text1"/>
          <w:sz w:val="21"/>
          <w:szCs w:val="21"/>
        </w:rPr>
        <w:drawing>
          <wp:inline distT="0" distB="0" distL="0" distR="0" wp14:anchorId="7BDE0BCA" wp14:editId="10774EDB">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ED4440" w:rsidRDefault="00980630" w:rsidP="00ED4440">
      <w:pPr>
        <w:snapToGrid w:val="0"/>
        <w:spacing w:beforeLines="50" w:before="156" w:line="360" w:lineRule="auto"/>
        <w:rPr>
          <w:rFonts w:eastAsiaTheme="minorEastAsia"/>
          <w:color w:val="000000" w:themeColor="text1"/>
          <w:szCs w:val="21"/>
        </w:rPr>
      </w:pPr>
      <w:r w:rsidRPr="00896265">
        <w:rPr>
          <w:rFonts w:eastAsiaTheme="minorEastAsia"/>
          <w:color w:val="000000" w:themeColor="text1"/>
          <w:szCs w:val="21"/>
        </w:rPr>
        <w:t>易方达黄金主题（</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C</w:t>
      </w:r>
    </w:p>
    <w:p w:rsidR="00ED4440" w:rsidRPr="00D17720" w:rsidRDefault="00ED4440" w:rsidP="00D17720">
      <w:pPr>
        <w:spacing w:line="360" w:lineRule="auto"/>
        <w:jc w:val="center"/>
        <w:rPr>
          <w:szCs w:val="21"/>
        </w:rPr>
      </w:pPr>
      <w:r w:rsidRPr="00D17720">
        <w:rPr>
          <w:szCs w:val="21"/>
        </w:rPr>
        <w:t>（</w:t>
      </w:r>
      <w:r w:rsidRPr="00D17720">
        <w:rPr>
          <w:szCs w:val="21"/>
        </w:rPr>
        <w:t>2019</w:t>
      </w:r>
      <w:r w:rsidRPr="00D17720">
        <w:rPr>
          <w:szCs w:val="21"/>
        </w:rPr>
        <w:t>年</w:t>
      </w:r>
      <w:r w:rsidRPr="00D17720">
        <w:rPr>
          <w:szCs w:val="21"/>
        </w:rPr>
        <w:t>10</w:t>
      </w:r>
      <w:r w:rsidRPr="00D17720">
        <w:rPr>
          <w:szCs w:val="21"/>
        </w:rPr>
        <w:t>月</w:t>
      </w:r>
      <w:r w:rsidRPr="00D17720">
        <w:rPr>
          <w:szCs w:val="21"/>
        </w:rPr>
        <w:t>14</w:t>
      </w:r>
      <w:r w:rsidRPr="00D17720">
        <w:rPr>
          <w:szCs w:val="21"/>
        </w:rPr>
        <w:t>日至</w:t>
      </w:r>
      <w:r w:rsidRPr="00D17720">
        <w:rPr>
          <w:szCs w:val="21"/>
        </w:rPr>
        <w:t>2019</w:t>
      </w:r>
      <w:r w:rsidRPr="00D17720">
        <w:rPr>
          <w:szCs w:val="21"/>
        </w:rPr>
        <w:t>年</w:t>
      </w:r>
      <w:r w:rsidRPr="00D17720">
        <w:rPr>
          <w:szCs w:val="21"/>
        </w:rPr>
        <w:t>12</w:t>
      </w:r>
      <w:r w:rsidRPr="00D17720">
        <w:rPr>
          <w:szCs w:val="21"/>
        </w:rPr>
        <w:t>月</w:t>
      </w:r>
      <w:r w:rsidRPr="00D17720">
        <w:rPr>
          <w:szCs w:val="21"/>
        </w:rPr>
        <w:t>31</w:t>
      </w:r>
      <w:r w:rsidRPr="00D17720">
        <w:rPr>
          <w:szCs w:val="21"/>
        </w:rPr>
        <w:t>日）</w:t>
      </w:r>
    </w:p>
    <w:p w:rsidR="00980630" w:rsidRPr="00896265" w:rsidRDefault="00980630" w:rsidP="00980630">
      <w:pPr>
        <w:pStyle w:val="21"/>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896265">
        <w:rPr>
          <w:rFonts w:ascii="Times New Roman" w:eastAsiaTheme="minorEastAsia" w:hAnsi="Times New Roman"/>
          <w:noProof/>
          <w:color w:val="000000" w:themeColor="text1"/>
          <w:sz w:val="21"/>
          <w:szCs w:val="21"/>
        </w:rPr>
        <w:drawing>
          <wp:inline distT="0" distB="0" distL="0" distR="0" wp14:anchorId="4C18CE72" wp14:editId="6EB4CFAA">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F14AEA" w:rsidRDefault="00EC602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自</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日起，本基金增设</w:t>
      </w:r>
      <w:r>
        <w:rPr>
          <w:rFonts w:eastAsiaTheme="minorEastAsia"/>
          <w:color w:val="000000" w:themeColor="text1"/>
          <w:kern w:val="0"/>
          <w:szCs w:val="21"/>
        </w:rPr>
        <w:t>C</w:t>
      </w:r>
      <w:r>
        <w:rPr>
          <w:rFonts w:eastAsiaTheme="minorEastAsia"/>
          <w:color w:val="000000" w:themeColor="text1"/>
          <w:kern w:val="0"/>
          <w:szCs w:val="21"/>
        </w:rPr>
        <w:t>类份额类别，份额首次确认日为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日，增设当期的相关数据和指标按实际存续期计算。</w:t>
      </w:r>
    </w:p>
    <w:p w:rsidR="00F14AEA" w:rsidRDefault="00EC602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自</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日起，本基金业绩比较基准由</w:t>
      </w:r>
      <w:r>
        <w:rPr>
          <w:rFonts w:eastAsiaTheme="minorEastAsia"/>
          <w:color w:val="000000" w:themeColor="text1"/>
          <w:kern w:val="0"/>
          <w:szCs w:val="21"/>
        </w:rPr>
        <w:t>“</w:t>
      </w:r>
      <w:r>
        <w:rPr>
          <w:rFonts w:eastAsiaTheme="minorEastAsia"/>
          <w:color w:val="000000" w:themeColor="text1"/>
          <w:kern w:val="0"/>
          <w:szCs w:val="21"/>
        </w:rPr>
        <w:t>以伦敦黄金市场下午定盘价计价的国际现货黄金（经汇率折算）</w:t>
      </w:r>
      <w:r>
        <w:rPr>
          <w:rFonts w:eastAsiaTheme="minorEastAsia"/>
          <w:color w:val="000000" w:themeColor="text1"/>
          <w:kern w:val="0"/>
          <w:szCs w:val="21"/>
        </w:rPr>
        <w:t>”</w:t>
      </w:r>
      <w:r>
        <w:rPr>
          <w:rFonts w:eastAsiaTheme="minorEastAsia"/>
          <w:color w:val="000000" w:themeColor="text1"/>
          <w:kern w:val="0"/>
          <w:szCs w:val="21"/>
        </w:rPr>
        <w:t>调整为</w:t>
      </w:r>
      <w:r>
        <w:rPr>
          <w:rFonts w:eastAsiaTheme="minorEastAsia"/>
          <w:color w:val="000000" w:themeColor="text1"/>
          <w:kern w:val="0"/>
          <w:szCs w:val="21"/>
        </w:rPr>
        <w:t>“</w:t>
      </w:r>
      <w:r>
        <w:rPr>
          <w:rFonts w:eastAsiaTheme="minorEastAsia"/>
          <w:color w:val="000000" w:themeColor="text1"/>
          <w:kern w:val="0"/>
          <w:szCs w:val="21"/>
        </w:rPr>
        <w:t>以伦敦黄金市场下午定盘价计价的国际现货黄金（经汇率折算）</w:t>
      </w:r>
      <w:r>
        <w:rPr>
          <w:rFonts w:eastAsiaTheme="minorEastAsia"/>
          <w:color w:val="000000" w:themeColor="text1"/>
          <w:kern w:val="0"/>
          <w:szCs w:val="21"/>
        </w:rPr>
        <w:t>×50%+MSCI</w:t>
      </w:r>
      <w:r>
        <w:rPr>
          <w:rFonts w:eastAsiaTheme="minorEastAsia"/>
          <w:color w:val="000000" w:themeColor="text1"/>
          <w:kern w:val="0"/>
          <w:szCs w:val="21"/>
        </w:rPr>
        <w:t>全球金矿股指数（</w:t>
      </w:r>
      <w:r>
        <w:rPr>
          <w:rFonts w:eastAsiaTheme="minorEastAsia"/>
          <w:color w:val="000000" w:themeColor="text1"/>
          <w:kern w:val="0"/>
          <w:szCs w:val="21"/>
        </w:rPr>
        <w:t>MSCI ACWI SELECT GOLD MINERS IMI INDEX</w:t>
      </w:r>
      <w:r>
        <w:rPr>
          <w:rFonts w:eastAsiaTheme="minorEastAsia"/>
          <w:color w:val="000000" w:themeColor="text1"/>
          <w:kern w:val="0"/>
          <w:szCs w:val="21"/>
        </w:rPr>
        <w:t>）</w:t>
      </w:r>
      <w:r>
        <w:rPr>
          <w:rFonts w:eastAsiaTheme="minorEastAsia"/>
          <w:color w:val="000000" w:themeColor="text1"/>
          <w:kern w:val="0"/>
          <w:szCs w:val="21"/>
        </w:rPr>
        <w:t>×50%”</w:t>
      </w:r>
      <w:r>
        <w:rPr>
          <w:rFonts w:eastAsiaTheme="minorEastAsia"/>
          <w:color w:val="000000" w:themeColor="text1"/>
          <w:kern w:val="0"/>
          <w:szCs w:val="21"/>
        </w:rPr>
        <w:t>。</w:t>
      </w:r>
      <w:r>
        <w:rPr>
          <w:rFonts w:eastAsiaTheme="minorEastAsia"/>
          <w:color w:val="000000" w:themeColor="text1"/>
          <w:kern w:val="0"/>
          <w:szCs w:val="21"/>
        </w:rPr>
        <w:t>MSCI</w:t>
      </w:r>
      <w:r>
        <w:rPr>
          <w:rFonts w:eastAsiaTheme="minorEastAsia"/>
          <w:color w:val="000000" w:themeColor="text1"/>
          <w:kern w:val="0"/>
          <w:szCs w:val="21"/>
        </w:rPr>
        <w:t>全球金矿股指数（</w:t>
      </w:r>
      <w:r>
        <w:rPr>
          <w:rFonts w:eastAsiaTheme="minorEastAsia"/>
          <w:color w:val="000000" w:themeColor="text1"/>
          <w:kern w:val="0"/>
          <w:szCs w:val="21"/>
        </w:rPr>
        <w:t>MSCI ACWI SELECT GOLD MINERS IMI INDEX</w:t>
      </w:r>
      <w:r>
        <w:rPr>
          <w:rFonts w:eastAsiaTheme="minorEastAsia"/>
          <w:color w:val="000000" w:themeColor="text1"/>
          <w:kern w:val="0"/>
          <w:szCs w:val="21"/>
        </w:rPr>
        <w:t>）由</w:t>
      </w:r>
      <w:r>
        <w:rPr>
          <w:rFonts w:eastAsiaTheme="minorEastAsia"/>
          <w:color w:val="000000" w:themeColor="text1"/>
          <w:kern w:val="0"/>
          <w:szCs w:val="21"/>
        </w:rPr>
        <w:t>MSCI</w:t>
      </w:r>
      <w:r>
        <w:rPr>
          <w:rFonts w:eastAsiaTheme="minorEastAsia"/>
          <w:color w:val="000000" w:themeColor="text1"/>
          <w:kern w:val="0"/>
          <w:szCs w:val="21"/>
        </w:rPr>
        <w:t>编制，由全球主要黄金采掘企业股票组成。而本基金为黄金主题基金，投资于基金的资产合计不低于本基金基金资产净值的</w:t>
      </w:r>
      <w:r>
        <w:rPr>
          <w:rFonts w:eastAsiaTheme="minorEastAsia"/>
          <w:color w:val="000000" w:themeColor="text1"/>
          <w:kern w:val="0"/>
          <w:szCs w:val="21"/>
        </w:rPr>
        <w:t>60%</w:t>
      </w:r>
      <w:r>
        <w:rPr>
          <w:rFonts w:eastAsiaTheme="minorEastAsia"/>
          <w:color w:val="000000" w:themeColor="text1"/>
          <w:kern w:val="0"/>
          <w:szCs w:val="21"/>
        </w:rPr>
        <w:t>，投资于基金的资产中不低于</w:t>
      </w:r>
      <w:r>
        <w:rPr>
          <w:rFonts w:eastAsiaTheme="minorEastAsia"/>
          <w:color w:val="000000" w:themeColor="text1"/>
          <w:kern w:val="0"/>
          <w:szCs w:val="21"/>
        </w:rPr>
        <w:t>80%</w:t>
      </w:r>
      <w:r>
        <w:rPr>
          <w:rFonts w:eastAsiaTheme="minorEastAsia"/>
          <w:color w:val="000000" w:themeColor="text1"/>
          <w:kern w:val="0"/>
          <w:szCs w:val="21"/>
        </w:rPr>
        <w:t>投资于黄金基金，黄金基金指黄金</w:t>
      </w:r>
      <w:r>
        <w:rPr>
          <w:rFonts w:eastAsiaTheme="minorEastAsia"/>
          <w:color w:val="000000" w:themeColor="text1"/>
          <w:kern w:val="0"/>
          <w:szCs w:val="21"/>
        </w:rPr>
        <w:t>ETF</w:t>
      </w:r>
      <w:r>
        <w:rPr>
          <w:rFonts w:eastAsiaTheme="minorEastAsia"/>
          <w:color w:val="000000" w:themeColor="text1"/>
          <w:kern w:val="0"/>
          <w:szCs w:val="21"/>
        </w:rPr>
        <w:t>（即跟踪黄金价格或黄金价格指数的</w:t>
      </w:r>
      <w:r>
        <w:rPr>
          <w:rFonts w:eastAsiaTheme="minorEastAsia"/>
          <w:color w:val="000000" w:themeColor="text1"/>
          <w:kern w:val="0"/>
          <w:szCs w:val="21"/>
        </w:rPr>
        <w:t>ETF</w:t>
      </w:r>
      <w:r>
        <w:rPr>
          <w:rFonts w:eastAsiaTheme="minorEastAsia"/>
          <w:color w:val="000000" w:themeColor="text1"/>
          <w:kern w:val="0"/>
          <w:szCs w:val="21"/>
        </w:rPr>
        <w:t>）及黄金股票基金（包括跟踪黄金股票指数的指数基金和</w:t>
      </w:r>
      <w:r>
        <w:rPr>
          <w:rFonts w:eastAsiaTheme="minorEastAsia"/>
          <w:color w:val="000000" w:themeColor="text1"/>
          <w:kern w:val="0"/>
          <w:szCs w:val="21"/>
        </w:rPr>
        <w:t>ETF</w:t>
      </w:r>
      <w:r>
        <w:rPr>
          <w:rFonts w:eastAsiaTheme="minorEastAsia"/>
          <w:color w:val="000000" w:themeColor="text1"/>
          <w:kern w:val="0"/>
          <w:szCs w:val="21"/>
        </w:rPr>
        <w:t>，以及</w:t>
      </w:r>
      <w:r>
        <w:rPr>
          <w:rFonts w:eastAsiaTheme="minorEastAsia"/>
          <w:color w:val="000000" w:themeColor="text1"/>
          <w:kern w:val="0"/>
          <w:szCs w:val="21"/>
        </w:rPr>
        <w:t>80%</w:t>
      </w:r>
      <w:r>
        <w:rPr>
          <w:rFonts w:eastAsiaTheme="minorEastAsia"/>
          <w:color w:val="000000" w:themeColor="text1"/>
          <w:kern w:val="0"/>
          <w:szCs w:val="21"/>
        </w:rPr>
        <w:t>以上基金资产投资于黄金采掘公司股票的主动基金）。基金管理人在对黄金基金、黄金采掘公司股票以及与其他资产进行主动配置的过程中，黄金价格和黄金采掘公司股票价格是影响投资判断的关键因素。采用</w:t>
      </w:r>
      <w:r>
        <w:rPr>
          <w:rFonts w:eastAsiaTheme="minorEastAsia"/>
          <w:color w:val="000000" w:themeColor="text1"/>
          <w:kern w:val="0"/>
          <w:szCs w:val="21"/>
        </w:rPr>
        <w:t>“</w:t>
      </w:r>
      <w:r>
        <w:rPr>
          <w:rFonts w:eastAsiaTheme="minorEastAsia"/>
          <w:color w:val="000000" w:themeColor="text1"/>
          <w:kern w:val="0"/>
          <w:szCs w:val="21"/>
        </w:rPr>
        <w:t>以伦敦黄金市场下午定盘价计价的国际现货黄金（经汇率折算）</w:t>
      </w:r>
      <w:r>
        <w:rPr>
          <w:rFonts w:eastAsiaTheme="minorEastAsia"/>
          <w:color w:val="000000" w:themeColor="text1"/>
          <w:kern w:val="0"/>
          <w:szCs w:val="21"/>
        </w:rPr>
        <w:t>×50%+MSCI</w:t>
      </w:r>
      <w:r>
        <w:rPr>
          <w:rFonts w:eastAsiaTheme="minorEastAsia"/>
          <w:color w:val="000000" w:themeColor="text1"/>
          <w:kern w:val="0"/>
          <w:szCs w:val="21"/>
        </w:rPr>
        <w:t>全球金矿股指数（</w:t>
      </w:r>
      <w:r>
        <w:rPr>
          <w:rFonts w:eastAsiaTheme="minorEastAsia"/>
          <w:color w:val="000000" w:themeColor="text1"/>
          <w:kern w:val="0"/>
          <w:szCs w:val="21"/>
        </w:rPr>
        <w:t>MSCI ACWI SELECT GOLD MINERS IMI INDEX</w:t>
      </w:r>
      <w:r>
        <w:rPr>
          <w:rFonts w:eastAsiaTheme="minorEastAsia"/>
          <w:color w:val="000000" w:themeColor="text1"/>
          <w:kern w:val="0"/>
          <w:szCs w:val="21"/>
        </w:rPr>
        <w:t>）</w:t>
      </w:r>
      <w:r>
        <w:rPr>
          <w:rFonts w:eastAsiaTheme="minorEastAsia"/>
          <w:color w:val="000000" w:themeColor="text1"/>
          <w:kern w:val="0"/>
          <w:szCs w:val="21"/>
        </w:rPr>
        <w:t>×50%”</w:t>
      </w:r>
      <w:r>
        <w:rPr>
          <w:rFonts w:eastAsiaTheme="minorEastAsia"/>
          <w:color w:val="000000" w:themeColor="text1"/>
          <w:kern w:val="0"/>
          <w:szCs w:val="21"/>
        </w:rPr>
        <w:t>作为业绩比较基准，能够相对比较真实、客观地反映本基金的风险收益特征。基金业绩比较基准收益率在变更前后期间分别根据相应的指标计算。</w:t>
      </w:r>
    </w:p>
    <w:p w:rsidR="00980630" w:rsidRPr="00896265" w:rsidRDefault="00980630" w:rsidP="00980630">
      <w:pPr>
        <w:tabs>
          <w:tab w:val="left" w:pos="426"/>
        </w:tabs>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3.</w:t>
      </w:r>
      <w:r w:rsidRPr="00896265">
        <w:rPr>
          <w:rFonts w:eastAsiaTheme="minorEastAsia"/>
          <w:color w:val="000000" w:themeColor="text1"/>
          <w:kern w:val="0"/>
          <w:szCs w:val="21"/>
        </w:rPr>
        <w:t>自基金合同生效至报告期末，</w:t>
      </w:r>
      <w:r w:rsidRPr="00896265">
        <w:rPr>
          <w:rFonts w:eastAsiaTheme="minorEastAsia"/>
          <w:color w:val="000000" w:themeColor="text1"/>
          <w:kern w:val="0"/>
          <w:szCs w:val="21"/>
        </w:rPr>
        <w:t>A</w:t>
      </w:r>
      <w:r w:rsidRPr="00896265">
        <w:rPr>
          <w:rFonts w:eastAsiaTheme="minorEastAsia"/>
          <w:color w:val="000000" w:themeColor="text1"/>
          <w:kern w:val="0"/>
          <w:szCs w:val="21"/>
        </w:rPr>
        <w:t>类基金份额净值增长率为</w:t>
      </w:r>
      <w:r w:rsidRPr="00896265">
        <w:rPr>
          <w:rFonts w:eastAsiaTheme="minorEastAsia"/>
          <w:color w:val="000000" w:themeColor="text1"/>
          <w:kern w:val="0"/>
          <w:szCs w:val="21"/>
        </w:rPr>
        <w:t>-14.50%</w:t>
      </w:r>
      <w:r w:rsidRPr="00896265">
        <w:rPr>
          <w:rFonts w:eastAsiaTheme="minorEastAsia"/>
          <w:color w:val="000000" w:themeColor="text1"/>
          <w:kern w:val="0"/>
          <w:szCs w:val="21"/>
        </w:rPr>
        <w:t>，同期业绩比较基准收益率为</w:t>
      </w:r>
      <w:r w:rsidRPr="00896265">
        <w:rPr>
          <w:rFonts w:eastAsiaTheme="minorEastAsia"/>
          <w:color w:val="000000" w:themeColor="text1"/>
          <w:kern w:val="0"/>
          <w:szCs w:val="21"/>
        </w:rPr>
        <w:t>11.97%</w:t>
      </w:r>
      <w:r w:rsidRPr="00896265">
        <w:rPr>
          <w:rFonts w:eastAsiaTheme="minorEastAsia"/>
          <w:color w:val="000000" w:themeColor="text1"/>
          <w:kern w:val="0"/>
          <w:szCs w:val="21"/>
        </w:rPr>
        <w:t>。</w:t>
      </w:r>
      <w:r w:rsidRPr="00896265">
        <w:rPr>
          <w:rFonts w:eastAsiaTheme="minorEastAsia"/>
          <w:color w:val="000000" w:themeColor="text1"/>
          <w:kern w:val="0"/>
          <w:szCs w:val="21"/>
        </w:rPr>
        <w:t>C</w:t>
      </w:r>
      <w:r w:rsidRPr="00896265">
        <w:rPr>
          <w:rFonts w:eastAsiaTheme="minorEastAsia"/>
          <w:color w:val="000000" w:themeColor="text1"/>
          <w:kern w:val="0"/>
          <w:szCs w:val="21"/>
        </w:rPr>
        <w:t>类基金份额净值增长率为</w:t>
      </w:r>
      <w:r w:rsidRPr="00896265">
        <w:rPr>
          <w:rFonts w:eastAsiaTheme="minorEastAsia"/>
          <w:color w:val="000000" w:themeColor="text1"/>
          <w:kern w:val="0"/>
          <w:szCs w:val="21"/>
        </w:rPr>
        <w:t>6.21%</w:t>
      </w:r>
      <w:r w:rsidRPr="00896265">
        <w:rPr>
          <w:rFonts w:eastAsiaTheme="minorEastAsia"/>
          <w:color w:val="000000" w:themeColor="text1"/>
          <w:kern w:val="0"/>
          <w:szCs w:val="21"/>
        </w:rPr>
        <w:t>，同期业绩比较基准收益率为</w:t>
      </w:r>
      <w:r w:rsidRPr="00896265">
        <w:rPr>
          <w:rFonts w:eastAsiaTheme="minorEastAsia"/>
          <w:color w:val="000000" w:themeColor="text1"/>
          <w:kern w:val="0"/>
          <w:szCs w:val="21"/>
        </w:rPr>
        <w:t>5.86%</w:t>
      </w:r>
      <w:r w:rsidRPr="00896265">
        <w:rPr>
          <w:rFonts w:eastAsiaTheme="minorEastAsia"/>
          <w:color w:val="000000" w:themeColor="text1"/>
          <w:kern w:val="0"/>
          <w:szCs w:val="21"/>
        </w:rPr>
        <w:t>。</w:t>
      </w:r>
    </w:p>
    <w:p w:rsidR="00980630" w:rsidRPr="000852F3" w:rsidRDefault="00980630"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3.2.3 过去五年基金每年净值增长率及其与同期业绩比较基准收益率的比较</w:t>
      </w:r>
    </w:p>
    <w:p w:rsidR="00980630" w:rsidRPr="00896265" w:rsidRDefault="00980630" w:rsidP="00980630">
      <w:pPr>
        <w:spacing w:line="360" w:lineRule="auto"/>
        <w:jc w:val="center"/>
        <w:rPr>
          <w:rFonts w:eastAsiaTheme="minorEastAsia"/>
          <w:color w:val="000000" w:themeColor="text1"/>
          <w:szCs w:val="21"/>
        </w:rPr>
      </w:pPr>
      <w:r w:rsidRPr="00896265">
        <w:rPr>
          <w:rFonts w:eastAsiaTheme="minorEastAsia"/>
          <w:color w:val="000000" w:themeColor="text1"/>
          <w:szCs w:val="21"/>
        </w:rPr>
        <w:t>易方达黄金主题证券投资基金（</w:t>
      </w:r>
      <w:r w:rsidRPr="00896265">
        <w:rPr>
          <w:rFonts w:eastAsiaTheme="minorEastAsia"/>
          <w:color w:val="000000" w:themeColor="text1"/>
          <w:szCs w:val="21"/>
        </w:rPr>
        <w:t>LOF</w:t>
      </w:r>
      <w:r w:rsidRPr="00896265">
        <w:rPr>
          <w:rFonts w:eastAsiaTheme="minorEastAsia"/>
          <w:color w:val="000000" w:themeColor="text1"/>
          <w:szCs w:val="21"/>
        </w:rPr>
        <w:t>）</w:t>
      </w:r>
    </w:p>
    <w:p w:rsidR="00980630" w:rsidRPr="00896265" w:rsidRDefault="00642496" w:rsidP="00980630">
      <w:pPr>
        <w:adjustRightInd w:val="0"/>
        <w:snapToGrid w:val="0"/>
        <w:spacing w:line="360" w:lineRule="auto"/>
        <w:ind w:firstLineChars="100" w:firstLine="210"/>
        <w:jc w:val="center"/>
        <w:rPr>
          <w:rFonts w:eastAsiaTheme="minorEastAsia"/>
          <w:color w:val="000000" w:themeColor="text1"/>
          <w:szCs w:val="21"/>
        </w:rPr>
      </w:pPr>
      <w:r>
        <w:rPr>
          <w:color w:val="000000"/>
          <w:szCs w:val="21"/>
        </w:rPr>
        <w:t>过去五年</w:t>
      </w:r>
      <w:r w:rsidR="00EC2B34">
        <w:rPr>
          <w:rFonts w:hint="eastAsia"/>
        </w:rPr>
        <w:t>基金净值增长率与业绩比较基准历年收益率对比</w:t>
      </w:r>
      <w:r w:rsidR="00EC2B34" w:rsidRPr="00141ECC">
        <w:rPr>
          <w:rFonts w:hint="eastAsia"/>
        </w:rPr>
        <w:t>图</w:t>
      </w:r>
    </w:p>
    <w:p w:rsidR="00980630" w:rsidRPr="00896265" w:rsidRDefault="00980630" w:rsidP="00980630">
      <w:pPr>
        <w:snapToGrid w:val="0"/>
        <w:spacing w:line="360" w:lineRule="auto"/>
        <w:rPr>
          <w:rFonts w:eastAsiaTheme="minorEastAsia"/>
          <w:color w:val="000000" w:themeColor="text1"/>
          <w:szCs w:val="21"/>
        </w:rPr>
      </w:pPr>
      <w:r w:rsidRPr="00896265">
        <w:rPr>
          <w:rFonts w:eastAsiaTheme="minorEastAsia"/>
          <w:color w:val="000000" w:themeColor="text1"/>
          <w:szCs w:val="21"/>
        </w:rPr>
        <w:t>易方达黄金主题（</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A</w:t>
      </w:r>
    </w:p>
    <w:p w:rsidR="00980630" w:rsidRPr="00896265"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896265">
        <w:rPr>
          <w:rFonts w:eastAsiaTheme="minorEastAsia"/>
          <w:noProof/>
          <w:color w:val="000000" w:themeColor="text1"/>
          <w:szCs w:val="21"/>
        </w:rPr>
        <w:drawing>
          <wp:inline distT="0" distB="0" distL="0" distR="0" wp14:anchorId="298FAE4F" wp14:editId="081EE8CA">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80630" w:rsidRPr="00896265" w:rsidRDefault="00980630" w:rsidP="007E24F2">
      <w:pPr>
        <w:snapToGrid w:val="0"/>
        <w:spacing w:beforeLines="50" w:before="156" w:line="360" w:lineRule="auto"/>
        <w:rPr>
          <w:rFonts w:eastAsiaTheme="minorEastAsia"/>
          <w:color w:val="000000" w:themeColor="text1"/>
          <w:szCs w:val="21"/>
        </w:rPr>
      </w:pPr>
      <w:r w:rsidRPr="00896265">
        <w:rPr>
          <w:rFonts w:eastAsiaTheme="minorEastAsia"/>
          <w:color w:val="000000" w:themeColor="text1"/>
          <w:szCs w:val="21"/>
        </w:rPr>
        <w:t>易方达黄金主题（</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C</w:t>
      </w:r>
    </w:p>
    <w:p w:rsidR="00980630" w:rsidRPr="00896265"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896265">
        <w:rPr>
          <w:rFonts w:eastAsiaTheme="minorEastAsia"/>
          <w:noProof/>
          <w:color w:val="000000" w:themeColor="text1"/>
          <w:szCs w:val="21"/>
        </w:rPr>
        <w:drawing>
          <wp:inline distT="0" distB="0" distL="0" distR="0" wp14:anchorId="24D549ED" wp14:editId="2581D9F2">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F14AEA" w:rsidRDefault="00EC602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自</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日起，本基金增设</w:t>
      </w:r>
      <w:r>
        <w:rPr>
          <w:rFonts w:eastAsiaTheme="minorEastAsia"/>
          <w:color w:val="000000" w:themeColor="text1"/>
          <w:kern w:val="0"/>
          <w:szCs w:val="21"/>
        </w:rPr>
        <w:t>C</w:t>
      </w:r>
      <w:r>
        <w:rPr>
          <w:rFonts w:eastAsiaTheme="minorEastAsia"/>
          <w:color w:val="000000" w:themeColor="text1"/>
          <w:kern w:val="0"/>
          <w:szCs w:val="21"/>
        </w:rPr>
        <w:t>类份额类别，份额首次确认日为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日，增设当期的相关数据和指标按实际存续期计算。</w:t>
      </w:r>
    </w:p>
    <w:p w:rsidR="00980630" w:rsidRPr="00896265" w:rsidRDefault="00980630" w:rsidP="00980630">
      <w:pPr>
        <w:tabs>
          <w:tab w:val="left" w:pos="426"/>
        </w:tabs>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2.</w:t>
      </w:r>
      <w:r w:rsidRPr="00896265">
        <w:rPr>
          <w:rFonts w:eastAsiaTheme="minorEastAsia"/>
          <w:color w:val="000000" w:themeColor="text1"/>
          <w:kern w:val="0"/>
          <w:szCs w:val="21"/>
        </w:rPr>
        <w:t>自</w:t>
      </w:r>
      <w:r w:rsidRPr="00896265">
        <w:rPr>
          <w:rFonts w:eastAsiaTheme="minorEastAsia"/>
          <w:color w:val="000000" w:themeColor="text1"/>
          <w:kern w:val="0"/>
          <w:szCs w:val="21"/>
        </w:rPr>
        <w:t>2019</w:t>
      </w:r>
      <w:r w:rsidRPr="00896265">
        <w:rPr>
          <w:rFonts w:eastAsiaTheme="minorEastAsia"/>
          <w:color w:val="000000" w:themeColor="text1"/>
          <w:kern w:val="0"/>
          <w:szCs w:val="21"/>
        </w:rPr>
        <w:t>年</w:t>
      </w:r>
      <w:r w:rsidRPr="00896265">
        <w:rPr>
          <w:rFonts w:eastAsiaTheme="minorEastAsia"/>
          <w:color w:val="000000" w:themeColor="text1"/>
          <w:kern w:val="0"/>
          <w:szCs w:val="21"/>
        </w:rPr>
        <w:t>10</w:t>
      </w:r>
      <w:r w:rsidRPr="00896265">
        <w:rPr>
          <w:rFonts w:eastAsiaTheme="minorEastAsia"/>
          <w:color w:val="000000" w:themeColor="text1"/>
          <w:kern w:val="0"/>
          <w:szCs w:val="21"/>
        </w:rPr>
        <w:t>月</w:t>
      </w:r>
      <w:r w:rsidRPr="00896265">
        <w:rPr>
          <w:rFonts w:eastAsiaTheme="minorEastAsia"/>
          <w:color w:val="000000" w:themeColor="text1"/>
          <w:kern w:val="0"/>
          <w:szCs w:val="21"/>
        </w:rPr>
        <w:t>11</w:t>
      </w:r>
      <w:r w:rsidRPr="00896265">
        <w:rPr>
          <w:rFonts w:eastAsiaTheme="minorEastAsia"/>
          <w:color w:val="000000" w:themeColor="text1"/>
          <w:kern w:val="0"/>
          <w:szCs w:val="21"/>
        </w:rPr>
        <w:t>日起，本基金业绩比较基准由</w:t>
      </w:r>
      <w:r w:rsidRPr="00896265">
        <w:rPr>
          <w:rFonts w:eastAsiaTheme="minorEastAsia"/>
          <w:color w:val="000000" w:themeColor="text1"/>
          <w:kern w:val="0"/>
          <w:szCs w:val="21"/>
        </w:rPr>
        <w:t>“</w:t>
      </w:r>
      <w:r w:rsidRPr="00896265">
        <w:rPr>
          <w:rFonts w:eastAsiaTheme="minorEastAsia"/>
          <w:color w:val="000000" w:themeColor="text1"/>
          <w:kern w:val="0"/>
          <w:szCs w:val="21"/>
        </w:rPr>
        <w:t>以伦敦黄金市场下午定盘价计价的国际现货黄金（经汇率折算）</w:t>
      </w:r>
      <w:r w:rsidRPr="00896265">
        <w:rPr>
          <w:rFonts w:eastAsiaTheme="minorEastAsia"/>
          <w:color w:val="000000" w:themeColor="text1"/>
          <w:kern w:val="0"/>
          <w:szCs w:val="21"/>
        </w:rPr>
        <w:t>”</w:t>
      </w:r>
      <w:r w:rsidRPr="00896265">
        <w:rPr>
          <w:rFonts w:eastAsiaTheme="minorEastAsia"/>
          <w:color w:val="000000" w:themeColor="text1"/>
          <w:kern w:val="0"/>
          <w:szCs w:val="21"/>
        </w:rPr>
        <w:t>调整为</w:t>
      </w:r>
      <w:r w:rsidRPr="00896265">
        <w:rPr>
          <w:rFonts w:eastAsiaTheme="minorEastAsia"/>
          <w:color w:val="000000" w:themeColor="text1"/>
          <w:kern w:val="0"/>
          <w:szCs w:val="21"/>
        </w:rPr>
        <w:t>“</w:t>
      </w:r>
      <w:r w:rsidRPr="00896265">
        <w:rPr>
          <w:rFonts w:eastAsiaTheme="minorEastAsia"/>
          <w:color w:val="000000" w:themeColor="text1"/>
          <w:kern w:val="0"/>
          <w:szCs w:val="21"/>
        </w:rPr>
        <w:t>以伦敦黄金市场下午定盘价计价的国际现货黄金（经汇率折算）</w:t>
      </w:r>
      <w:r w:rsidRPr="00896265">
        <w:rPr>
          <w:rFonts w:eastAsiaTheme="minorEastAsia"/>
          <w:color w:val="000000" w:themeColor="text1"/>
          <w:kern w:val="0"/>
          <w:szCs w:val="21"/>
        </w:rPr>
        <w:t>×50%+MSCI</w:t>
      </w:r>
      <w:r w:rsidRPr="00896265">
        <w:rPr>
          <w:rFonts w:eastAsiaTheme="minorEastAsia"/>
          <w:color w:val="000000" w:themeColor="text1"/>
          <w:kern w:val="0"/>
          <w:szCs w:val="21"/>
        </w:rPr>
        <w:t>全球金矿股指数（</w:t>
      </w:r>
      <w:r w:rsidRPr="00896265">
        <w:rPr>
          <w:rFonts w:eastAsiaTheme="minorEastAsia"/>
          <w:color w:val="000000" w:themeColor="text1"/>
          <w:kern w:val="0"/>
          <w:szCs w:val="21"/>
        </w:rPr>
        <w:t>MSCI ACWI SELECT GOLD MINERS IMI INDEX</w:t>
      </w:r>
      <w:r w:rsidRPr="00896265">
        <w:rPr>
          <w:rFonts w:eastAsiaTheme="minorEastAsia"/>
          <w:color w:val="000000" w:themeColor="text1"/>
          <w:kern w:val="0"/>
          <w:szCs w:val="21"/>
        </w:rPr>
        <w:t>）</w:t>
      </w:r>
      <w:r w:rsidRPr="00896265">
        <w:rPr>
          <w:rFonts w:eastAsiaTheme="minorEastAsia"/>
          <w:color w:val="000000" w:themeColor="text1"/>
          <w:kern w:val="0"/>
          <w:szCs w:val="21"/>
        </w:rPr>
        <w:t>×50%”</w:t>
      </w:r>
      <w:r w:rsidRPr="00896265">
        <w:rPr>
          <w:rFonts w:eastAsiaTheme="minorEastAsia"/>
          <w:color w:val="000000" w:themeColor="text1"/>
          <w:kern w:val="0"/>
          <w:szCs w:val="21"/>
        </w:rPr>
        <w:t>。</w:t>
      </w:r>
      <w:r w:rsidRPr="00896265">
        <w:rPr>
          <w:rFonts w:eastAsiaTheme="minorEastAsia"/>
          <w:color w:val="000000" w:themeColor="text1"/>
          <w:kern w:val="0"/>
          <w:szCs w:val="21"/>
        </w:rPr>
        <w:t>MSCI</w:t>
      </w:r>
      <w:r w:rsidRPr="00896265">
        <w:rPr>
          <w:rFonts w:eastAsiaTheme="minorEastAsia"/>
          <w:color w:val="000000" w:themeColor="text1"/>
          <w:kern w:val="0"/>
          <w:szCs w:val="21"/>
        </w:rPr>
        <w:t>全球金矿股指数（</w:t>
      </w:r>
      <w:r w:rsidRPr="00896265">
        <w:rPr>
          <w:rFonts w:eastAsiaTheme="minorEastAsia"/>
          <w:color w:val="000000" w:themeColor="text1"/>
          <w:kern w:val="0"/>
          <w:szCs w:val="21"/>
        </w:rPr>
        <w:t>MSCI ACWI SELECT GOLD MINERS IMI INDEX</w:t>
      </w:r>
      <w:r w:rsidRPr="00896265">
        <w:rPr>
          <w:rFonts w:eastAsiaTheme="minorEastAsia"/>
          <w:color w:val="000000" w:themeColor="text1"/>
          <w:kern w:val="0"/>
          <w:szCs w:val="21"/>
        </w:rPr>
        <w:t>）由</w:t>
      </w:r>
      <w:r w:rsidRPr="00896265">
        <w:rPr>
          <w:rFonts w:eastAsiaTheme="minorEastAsia"/>
          <w:color w:val="000000" w:themeColor="text1"/>
          <w:kern w:val="0"/>
          <w:szCs w:val="21"/>
        </w:rPr>
        <w:t>MSCI</w:t>
      </w:r>
      <w:r w:rsidRPr="00896265">
        <w:rPr>
          <w:rFonts w:eastAsiaTheme="minorEastAsia"/>
          <w:color w:val="000000" w:themeColor="text1"/>
          <w:kern w:val="0"/>
          <w:szCs w:val="21"/>
        </w:rPr>
        <w:t>编制，由全球主要黄金采掘企业股票组成。而本基金为黄金主题基金，投资于基金的资产合计不低于本基金基金资产净值的</w:t>
      </w:r>
      <w:r w:rsidRPr="00896265">
        <w:rPr>
          <w:rFonts w:eastAsiaTheme="minorEastAsia"/>
          <w:color w:val="000000" w:themeColor="text1"/>
          <w:kern w:val="0"/>
          <w:szCs w:val="21"/>
        </w:rPr>
        <w:t>60%</w:t>
      </w:r>
      <w:r w:rsidRPr="00896265">
        <w:rPr>
          <w:rFonts w:eastAsiaTheme="minorEastAsia"/>
          <w:color w:val="000000" w:themeColor="text1"/>
          <w:kern w:val="0"/>
          <w:szCs w:val="21"/>
        </w:rPr>
        <w:t>，投资于基金的资产中不低于</w:t>
      </w:r>
      <w:r w:rsidRPr="00896265">
        <w:rPr>
          <w:rFonts w:eastAsiaTheme="minorEastAsia"/>
          <w:color w:val="000000" w:themeColor="text1"/>
          <w:kern w:val="0"/>
          <w:szCs w:val="21"/>
        </w:rPr>
        <w:t>80%</w:t>
      </w:r>
      <w:r w:rsidRPr="00896265">
        <w:rPr>
          <w:rFonts w:eastAsiaTheme="minorEastAsia"/>
          <w:color w:val="000000" w:themeColor="text1"/>
          <w:kern w:val="0"/>
          <w:szCs w:val="21"/>
        </w:rPr>
        <w:t>投资于黄金基金，黄金基金指黄金</w:t>
      </w:r>
      <w:r w:rsidRPr="00896265">
        <w:rPr>
          <w:rFonts w:eastAsiaTheme="minorEastAsia"/>
          <w:color w:val="000000" w:themeColor="text1"/>
          <w:kern w:val="0"/>
          <w:szCs w:val="21"/>
        </w:rPr>
        <w:t>ETF</w:t>
      </w:r>
      <w:r w:rsidRPr="00896265">
        <w:rPr>
          <w:rFonts w:eastAsiaTheme="minorEastAsia"/>
          <w:color w:val="000000" w:themeColor="text1"/>
          <w:kern w:val="0"/>
          <w:szCs w:val="21"/>
        </w:rPr>
        <w:t>（即跟踪黄金价格或黄金价格指数的</w:t>
      </w:r>
      <w:r w:rsidRPr="00896265">
        <w:rPr>
          <w:rFonts w:eastAsiaTheme="minorEastAsia"/>
          <w:color w:val="000000" w:themeColor="text1"/>
          <w:kern w:val="0"/>
          <w:szCs w:val="21"/>
        </w:rPr>
        <w:t>ETF</w:t>
      </w:r>
      <w:r w:rsidRPr="00896265">
        <w:rPr>
          <w:rFonts w:eastAsiaTheme="minorEastAsia"/>
          <w:color w:val="000000" w:themeColor="text1"/>
          <w:kern w:val="0"/>
          <w:szCs w:val="21"/>
        </w:rPr>
        <w:t>）及黄金股票基金（包括跟踪黄金股票指数的指数基金和</w:t>
      </w:r>
      <w:r w:rsidRPr="00896265">
        <w:rPr>
          <w:rFonts w:eastAsiaTheme="minorEastAsia"/>
          <w:color w:val="000000" w:themeColor="text1"/>
          <w:kern w:val="0"/>
          <w:szCs w:val="21"/>
        </w:rPr>
        <w:t>ETF</w:t>
      </w:r>
      <w:r w:rsidRPr="00896265">
        <w:rPr>
          <w:rFonts w:eastAsiaTheme="minorEastAsia"/>
          <w:color w:val="000000" w:themeColor="text1"/>
          <w:kern w:val="0"/>
          <w:szCs w:val="21"/>
        </w:rPr>
        <w:t>，以及</w:t>
      </w:r>
      <w:r w:rsidRPr="00896265">
        <w:rPr>
          <w:rFonts w:eastAsiaTheme="minorEastAsia"/>
          <w:color w:val="000000" w:themeColor="text1"/>
          <w:kern w:val="0"/>
          <w:szCs w:val="21"/>
        </w:rPr>
        <w:t>80%</w:t>
      </w:r>
      <w:r w:rsidRPr="00896265">
        <w:rPr>
          <w:rFonts w:eastAsiaTheme="minorEastAsia"/>
          <w:color w:val="000000" w:themeColor="text1"/>
          <w:kern w:val="0"/>
          <w:szCs w:val="21"/>
        </w:rPr>
        <w:t>以上基金资产投资于黄金采掘公司股票的主动基金）。基金管理人在对黄金基金、黄金采掘公司股票以及与其他资产进行主动配置的过程中，黄金价格和黄金采掘公司股票价格是影响投资判断的关键因素。采用</w:t>
      </w:r>
      <w:r w:rsidRPr="00896265">
        <w:rPr>
          <w:rFonts w:eastAsiaTheme="minorEastAsia"/>
          <w:color w:val="000000" w:themeColor="text1"/>
          <w:kern w:val="0"/>
          <w:szCs w:val="21"/>
        </w:rPr>
        <w:t>“</w:t>
      </w:r>
      <w:r w:rsidRPr="00896265">
        <w:rPr>
          <w:rFonts w:eastAsiaTheme="minorEastAsia"/>
          <w:color w:val="000000" w:themeColor="text1"/>
          <w:kern w:val="0"/>
          <w:szCs w:val="21"/>
        </w:rPr>
        <w:t>以伦敦黄金市场下午定盘价计价的国际现货黄金（经汇率折算）</w:t>
      </w:r>
      <w:r w:rsidRPr="00896265">
        <w:rPr>
          <w:rFonts w:eastAsiaTheme="minorEastAsia"/>
          <w:color w:val="000000" w:themeColor="text1"/>
          <w:kern w:val="0"/>
          <w:szCs w:val="21"/>
        </w:rPr>
        <w:t>×50%+MSCI</w:t>
      </w:r>
      <w:r w:rsidRPr="00896265">
        <w:rPr>
          <w:rFonts w:eastAsiaTheme="minorEastAsia"/>
          <w:color w:val="000000" w:themeColor="text1"/>
          <w:kern w:val="0"/>
          <w:szCs w:val="21"/>
        </w:rPr>
        <w:t>全球金矿股指数（</w:t>
      </w:r>
      <w:r w:rsidRPr="00896265">
        <w:rPr>
          <w:rFonts w:eastAsiaTheme="minorEastAsia"/>
          <w:color w:val="000000" w:themeColor="text1"/>
          <w:kern w:val="0"/>
          <w:szCs w:val="21"/>
        </w:rPr>
        <w:t>MSCI ACWI SELECT GOLD MINERS IMI INDEX</w:t>
      </w:r>
      <w:r w:rsidRPr="00896265">
        <w:rPr>
          <w:rFonts w:eastAsiaTheme="minorEastAsia"/>
          <w:color w:val="000000" w:themeColor="text1"/>
          <w:kern w:val="0"/>
          <w:szCs w:val="21"/>
        </w:rPr>
        <w:t>）</w:t>
      </w:r>
      <w:r w:rsidRPr="00896265">
        <w:rPr>
          <w:rFonts w:eastAsiaTheme="minorEastAsia"/>
          <w:color w:val="000000" w:themeColor="text1"/>
          <w:kern w:val="0"/>
          <w:szCs w:val="21"/>
        </w:rPr>
        <w:t>×50%”</w:t>
      </w:r>
      <w:r w:rsidRPr="00896265">
        <w:rPr>
          <w:rFonts w:eastAsiaTheme="minorEastAsia"/>
          <w:color w:val="000000" w:themeColor="text1"/>
          <w:kern w:val="0"/>
          <w:szCs w:val="21"/>
        </w:rPr>
        <w:t>作为业绩比较基准，能够相对比较真实、客观地反映本基金的风险收益特征。基金业绩比较基准收益率在变更前后期间分别根据相应的指标计算。</w:t>
      </w:r>
    </w:p>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81" w:name="_Toc249760033"/>
      <w:bookmarkStart w:id="82" w:name="_Toc352255970"/>
      <w:bookmarkStart w:id="83" w:name="_Toc352256038"/>
      <w:bookmarkStart w:id="84" w:name="_Toc352331216"/>
      <w:bookmarkStart w:id="85" w:name="_Toc362423994"/>
      <w:bookmarkStart w:id="86" w:name="_Toc35533804"/>
      <w:r w:rsidRPr="00940842">
        <w:rPr>
          <w:rFonts w:asciiTheme="majorEastAsia" w:eastAsiaTheme="majorEastAsia" w:hAnsiTheme="majorEastAsia"/>
          <w:color w:val="000000" w:themeColor="text1"/>
          <w:kern w:val="0"/>
          <w:sz w:val="21"/>
          <w:szCs w:val="21"/>
        </w:rPr>
        <w:t>3.3</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过去三年基金的利润分配情况</w:t>
      </w:r>
      <w:bookmarkEnd w:id="81"/>
      <w:bookmarkEnd w:id="82"/>
      <w:bookmarkEnd w:id="83"/>
      <w:bookmarkEnd w:id="84"/>
      <w:bookmarkEnd w:id="85"/>
      <w:bookmarkEnd w:id="86"/>
    </w:p>
    <w:p w:rsidR="007B62FA" w:rsidRPr="00896265" w:rsidRDefault="0037636B" w:rsidP="0037636B">
      <w:pPr>
        <w:tabs>
          <w:tab w:val="left" w:pos="426"/>
        </w:tabs>
        <w:spacing w:line="360" w:lineRule="auto"/>
        <w:ind w:firstLineChars="200" w:firstLine="420"/>
        <w:jc w:val="left"/>
        <w:rPr>
          <w:rFonts w:eastAsiaTheme="minorEastAsia"/>
          <w:color w:val="000000" w:themeColor="text1"/>
          <w:kern w:val="0"/>
          <w:szCs w:val="21"/>
        </w:rPr>
      </w:pPr>
      <w:r w:rsidRPr="002F4936">
        <w:rPr>
          <w:rFonts w:eastAsiaTheme="minorEastAsia"/>
          <w:kern w:val="0"/>
          <w:szCs w:val="21"/>
        </w:rPr>
        <w:t>本基金过去三年未发生利润分配。</w:t>
      </w:r>
    </w:p>
    <w:p w:rsidR="007B62FA" w:rsidRPr="00AB6698" w:rsidRDefault="007B62FA" w:rsidP="007E24F2">
      <w:pPr>
        <w:pStyle w:val="20"/>
        <w:tabs>
          <w:tab w:val="num" w:pos="425"/>
        </w:tabs>
        <w:spacing w:beforeLines="100" w:before="312" w:afterLines="100" w:after="312"/>
        <w:ind w:left="425" w:hanging="425"/>
        <w:jc w:val="center"/>
        <w:rPr>
          <w:rFonts w:ascii="宋体" w:hAnsi="宋体" w:cs="Arial"/>
          <w:color w:val="000000"/>
          <w:sz w:val="21"/>
          <w:szCs w:val="21"/>
        </w:rPr>
      </w:pPr>
      <w:bookmarkStart w:id="87" w:name="_Toc225498254"/>
      <w:bookmarkStart w:id="88" w:name="_Toc352255971"/>
      <w:bookmarkStart w:id="89" w:name="_Toc352256039"/>
      <w:bookmarkStart w:id="90" w:name="_Toc352331217"/>
      <w:bookmarkStart w:id="91" w:name="_Toc362423995"/>
      <w:bookmarkStart w:id="92" w:name="_Toc35533805"/>
      <w:r w:rsidRPr="00AB6698">
        <w:rPr>
          <w:rFonts w:ascii="宋体" w:hAnsi="宋体" w:cs="Arial"/>
          <w:color w:val="000000"/>
          <w:sz w:val="21"/>
          <w:szCs w:val="21"/>
        </w:rPr>
        <w:t>§</w:t>
      </w:r>
      <w:r w:rsidR="001822F7" w:rsidRPr="00AB6698">
        <w:rPr>
          <w:rFonts w:ascii="宋体" w:hAnsi="宋体" w:cs="Arial"/>
          <w:color w:val="000000"/>
          <w:sz w:val="21"/>
          <w:szCs w:val="21"/>
        </w:rPr>
        <w:t>4</w:t>
      </w:r>
      <w:r w:rsidR="00A6121D" w:rsidRPr="00AB6698">
        <w:rPr>
          <w:rFonts w:ascii="宋体" w:hAnsi="宋体" w:cs="Arial"/>
          <w:color w:val="000000"/>
          <w:sz w:val="21"/>
          <w:szCs w:val="21"/>
        </w:rPr>
        <w:t xml:space="preserve">    </w:t>
      </w:r>
      <w:r w:rsidRPr="00AB6698">
        <w:rPr>
          <w:rFonts w:ascii="宋体" w:hAnsi="宋体" w:cs="Arial"/>
          <w:color w:val="000000"/>
          <w:sz w:val="21"/>
          <w:szCs w:val="21"/>
        </w:rPr>
        <w:t>管理人报告</w:t>
      </w:r>
      <w:bookmarkEnd w:id="87"/>
      <w:bookmarkEnd w:id="88"/>
      <w:bookmarkEnd w:id="89"/>
      <w:bookmarkEnd w:id="90"/>
      <w:bookmarkEnd w:id="91"/>
      <w:bookmarkEnd w:id="92"/>
    </w:p>
    <w:p w:rsidR="007B62FA" w:rsidRPr="00940842" w:rsidRDefault="007B62FA" w:rsidP="00D21507">
      <w:pPr>
        <w:pStyle w:val="20"/>
        <w:spacing w:before="0" w:after="0"/>
        <w:rPr>
          <w:rFonts w:asciiTheme="majorEastAsia" w:eastAsiaTheme="majorEastAsia" w:hAnsiTheme="majorEastAsia"/>
          <w:color w:val="000000" w:themeColor="text1"/>
          <w:kern w:val="0"/>
          <w:sz w:val="21"/>
          <w:szCs w:val="21"/>
        </w:rPr>
      </w:pPr>
      <w:bookmarkStart w:id="93" w:name="_Toc352255972"/>
      <w:bookmarkStart w:id="94" w:name="_Toc352256040"/>
      <w:bookmarkStart w:id="95" w:name="_Toc352331218"/>
      <w:bookmarkStart w:id="96" w:name="_Toc362423996"/>
      <w:bookmarkStart w:id="97" w:name="_Toc35533806"/>
      <w:r w:rsidRPr="00940842">
        <w:rPr>
          <w:rFonts w:asciiTheme="majorEastAsia" w:eastAsiaTheme="majorEastAsia" w:hAnsiTheme="majorEastAsia"/>
          <w:color w:val="000000" w:themeColor="text1"/>
          <w:kern w:val="0"/>
          <w:sz w:val="21"/>
          <w:szCs w:val="21"/>
        </w:rPr>
        <w:t>4.1</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基金管理人及基金经理情况</w:t>
      </w:r>
      <w:bookmarkEnd w:id="93"/>
      <w:bookmarkEnd w:id="94"/>
      <w:bookmarkEnd w:id="95"/>
      <w:bookmarkEnd w:id="96"/>
      <w:bookmarkEnd w:id="97"/>
    </w:p>
    <w:p w:rsidR="007B62FA" w:rsidRPr="000852F3" w:rsidRDefault="007B62FA" w:rsidP="00D21507">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4.1.1</w:t>
      </w:r>
      <w:r w:rsidR="006A6C3A"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基金管理人及其管理基金的经验</w:t>
      </w:r>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经中国证监会证监基金字</w:t>
      </w:r>
      <w:r w:rsidRPr="00896265">
        <w:rPr>
          <w:rFonts w:eastAsiaTheme="minorEastAsia"/>
          <w:color w:val="000000" w:themeColor="text1"/>
          <w:szCs w:val="21"/>
        </w:rPr>
        <w:t>[2001]4</w:t>
      </w:r>
      <w:r w:rsidRPr="00896265">
        <w:rPr>
          <w:rFonts w:eastAsiaTheme="minorEastAsia"/>
          <w:color w:val="000000" w:themeColor="text1"/>
          <w:szCs w:val="21"/>
        </w:rPr>
        <w:t>号文批准，易方达基金管理有限公司（简称</w:t>
      </w:r>
      <w:r w:rsidRPr="00896265">
        <w:rPr>
          <w:rFonts w:eastAsiaTheme="minorEastAsia"/>
          <w:color w:val="000000" w:themeColor="text1"/>
          <w:szCs w:val="21"/>
        </w:rPr>
        <w:t>“</w:t>
      </w:r>
      <w:r w:rsidRPr="00896265">
        <w:rPr>
          <w:rFonts w:eastAsiaTheme="minorEastAsia"/>
          <w:color w:val="000000" w:themeColor="text1"/>
          <w:szCs w:val="21"/>
        </w:rPr>
        <w:t>易方达</w:t>
      </w:r>
      <w:r w:rsidRPr="00896265">
        <w:rPr>
          <w:rFonts w:eastAsiaTheme="minorEastAsia"/>
          <w:color w:val="000000" w:themeColor="text1"/>
          <w:szCs w:val="21"/>
        </w:rPr>
        <w:t>”</w:t>
      </w:r>
      <w:r w:rsidRPr="00896265">
        <w:rPr>
          <w:rFonts w:eastAsiaTheme="minorEastAsia"/>
          <w:color w:val="000000" w:themeColor="text1"/>
          <w:szCs w:val="21"/>
        </w:rPr>
        <w:t>）成立于</w:t>
      </w:r>
      <w:r w:rsidRPr="00896265">
        <w:rPr>
          <w:rFonts w:eastAsiaTheme="minorEastAsia"/>
          <w:color w:val="000000" w:themeColor="text1"/>
          <w:szCs w:val="21"/>
        </w:rPr>
        <w:t>2001</w:t>
      </w:r>
      <w:r w:rsidRPr="00896265">
        <w:rPr>
          <w:rFonts w:eastAsiaTheme="minorEastAsia"/>
          <w:color w:val="000000" w:themeColor="text1"/>
          <w:szCs w:val="21"/>
        </w:rPr>
        <w:t>年</w:t>
      </w:r>
      <w:r w:rsidRPr="00896265">
        <w:rPr>
          <w:rFonts w:eastAsiaTheme="minorEastAsia"/>
          <w:color w:val="000000" w:themeColor="text1"/>
          <w:szCs w:val="21"/>
        </w:rPr>
        <w:t>4</w:t>
      </w:r>
      <w:r w:rsidRPr="00896265">
        <w:rPr>
          <w:rFonts w:eastAsiaTheme="minorEastAsia"/>
          <w:color w:val="000000" w:themeColor="text1"/>
          <w:szCs w:val="21"/>
        </w:rPr>
        <w:t>月</w:t>
      </w:r>
      <w:r w:rsidRPr="00896265">
        <w:rPr>
          <w:rFonts w:eastAsiaTheme="minorEastAsia"/>
          <w:color w:val="000000" w:themeColor="text1"/>
          <w:szCs w:val="21"/>
        </w:rPr>
        <w:t>17</w:t>
      </w:r>
      <w:r w:rsidRPr="00896265">
        <w:rPr>
          <w:rFonts w:eastAsiaTheme="minorEastAsia"/>
          <w:color w:val="000000" w:themeColor="text1"/>
          <w:szCs w:val="21"/>
        </w:rPr>
        <w:t>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w:t>
      </w:r>
      <w:r w:rsidRPr="00896265">
        <w:rPr>
          <w:rFonts w:eastAsiaTheme="minorEastAsia"/>
          <w:color w:val="000000" w:themeColor="text1"/>
          <w:szCs w:val="21"/>
        </w:rPr>
        <w:t>QDII</w:t>
      </w:r>
      <w:r w:rsidRPr="00896265">
        <w:rPr>
          <w:rFonts w:eastAsiaTheme="minorEastAsia"/>
          <w:color w:val="000000" w:themeColor="text1"/>
          <w:szCs w:val="21"/>
        </w:rPr>
        <w:t>、基本养老保险基金投资等业务资格，在主动权益、固定收益、指数投资、量化投资、混合资产投资、海外投资、多资产投资等领域全面布局。</w:t>
      </w:r>
    </w:p>
    <w:p w:rsidR="007B62FA" w:rsidRPr="000852F3" w:rsidRDefault="009D1492"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4.1.2</w:t>
      </w:r>
      <w:r w:rsidR="006A6C3A" w:rsidRPr="000852F3">
        <w:rPr>
          <w:rFonts w:asciiTheme="majorEastAsia" w:eastAsiaTheme="majorEastAsia" w:hAnsiTheme="majorEastAsia"/>
          <w:b/>
          <w:color w:val="000000" w:themeColor="text1"/>
          <w:kern w:val="0"/>
          <w:szCs w:val="21"/>
        </w:rPr>
        <w:t xml:space="preserve"> </w:t>
      </w:r>
      <w:r w:rsidR="00D4417B">
        <w:rPr>
          <w:rFonts w:asciiTheme="majorEastAsia" w:eastAsiaTheme="majorEastAsia" w:hAnsiTheme="majorEastAsia"/>
          <w:b/>
          <w:color w:val="000000" w:themeColor="text1"/>
          <w:kern w:val="0"/>
          <w:szCs w:val="21"/>
        </w:rPr>
        <w:t>基金经理（或基金经理小组）及基金经理助理</w:t>
      </w:r>
      <w:r w:rsidR="007B62FA" w:rsidRPr="000852F3">
        <w:rPr>
          <w:rFonts w:asciiTheme="majorEastAsia" w:eastAsiaTheme="majorEastAsia" w:hAnsiTheme="majorEastAsia"/>
          <w:b/>
          <w:color w:val="000000" w:themeColor="text1"/>
          <w:kern w:val="0"/>
          <w:szCs w:val="21"/>
        </w:rPr>
        <w:t>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E60957" w:rsidRPr="00896265" w:rsidTr="00E70468">
        <w:tc>
          <w:tcPr>
            <w:tcW w:w="653" w:type="pct"/>
            <w:vMerge w:val="restart"/>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姓名</w:t>
            </w:r>
          </w:p>
        </w:tc>
        <w:tc>
          <w:tcPr>
            <w:tcW w:w="854" w:type="pct"/>
            <w:vMerge w:val="restart"/>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职务</w:t>
            </w:r>
          </w:p>
        </w:tc>
        <w:tc>
          <w:tcPr>
            <w:tcW w:w="1409" w:type="pct"/>
            <w:gridSpan w:val="2"/>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任本基金的基金经理</w:t>
            </w:r>
            <w:r w:rsidR="00165641" w:rsidRPr="00896265">
              <w:rPr>
                <w:rFonts w:eastAsiaTheme="minorEastAsia"/>
                <w:color w:val="000000" w:themeColor="text1"/>
                <w:szCs w:val="21"/>
              </w:rPr>
              <w:t>（助理）</w:t>
            </w:r>
            <w:r w:rsidRPr="00896265">
              <w:rPr>
                <w:rFonts w:eastAsiaTheme="minorEastAsia"/>
                <w:color w:val="000000" w:themeColor="text1"/>
                <w:szCs w:val="21"/>
              </w:rPr>
              <w:t>期限</w:t>
            </w:r>
          </w:p>
        </w:tc>
        <w:tc>
          <w:tcPr>
            <w:tcW w:w="654" w:type="pct"/>
            <w:vMerge w:val="restart"/>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证券从业年限</w:t>
            </w:r>
          </w:p>
        </w:tc>
        <w:tc>
          <w:tcPr>
            <w:tcW w:w="1431" w:type="pct"/>
            <w:vMerge w:val="restart"/>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说明</w:t>
            </w:r>
          </w:p>
        </w:tc>
      </w:tr>
      <w:tr w:rsidR="00E60957" w:rsidRPr="00896265" w:rsidTr="00E70468">
        <w:tc>
          <w:tcPr>
            <w:tcW w:w="653" w:type="pct"/>
            <w:vMerge/>
            <w:vAlign w:val="center"/>
          </w:tcPr>
          <w:p w:rsidR="007B62FA" w:rsidRPr="00896265" w:rsidRDefault="007B62FA" w:rsidP="00417F87">
            <w:pPr>
              <w:widowControl/>
              <w:spacing w:line="360" w:lineRule="auto"/>
              <w:jc w:val="left"/>
              <w:rPr>
                <w:rFonts w:eastAsiaTheme="minorEastAsia"/>
                <w:color w:val="000000" w:themeColor="text1"/>
                <w:szCs w:val="21"/>
              </w:rPr>
            </w:pPr>
          </w:p>
        </w:tc>
        <w:tc>
          <w:tcPr>
            <w:tcW w:w="854" w:type="pct"/>
            <w:vMerge/>
            <w:vAlign w:val="center"/>
          </w:tcPr>
          <w:p w:rsidR="007B62FA" w:rsidRPr="00896265" w:rsidRDefault="007B62FA" w:rsidP="00417F87">
            <w:pPr>
              <w:widowControl/>
              <w:spacing w:line="360" w:lineRule="auto"/>
              <w:jc w:val="left"/>
              <w:rPr>
                <w:rFonts w:eastAsiaTheme="minorEastAsia"/>
                <w:color w:val="000000" w:themeColor="text1"/>
                <w:szCs w:val="21"/>
              </w:rPr>
            </w:pPr>
          </w:p>
        </w:tc>
        <w:tc>
          <w:tcPr>
            <w:tcW w:w="704" w:type="pct"/>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任职日期</w:t>
            </w:r>
          </w:p>
        </w:tc>
        <w:tc>
          <w:tcPr>
            <w:tcW w:w="704" w:type="pct"/>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离任日期</w:t>
            </w:r>
          </w:p>
        </w:tc>
        <w:tc>
          <w:tcPr>
            <w:tcW w:w="654" w:type="pct"/>
            <w:vMerge/>
            <w:vAlign w:val="center"/>
          </w:tcPr>
          <w:p w:rsidR="007B62FA" w:rsidRPr="00896265" w:rsidRDefault="007B62FA" w:rsidP="00417F87">
            <w:pPr>
              <w:widowControl/>
              <w:spacing w:line="360" w:lineRule="auto"/>
              <w:jc w:val="left"/>
              <w:rPr>
                <w:rFonts w:eastAsiaTheme="minorEastAsia"/>
                <w:color w:val="000000" w:themeColor="text1"/>
                <w:szCs w:val="21"/>
              </w:rPr>
            </w:pPr>
          </w:p>
        </w:tc>
        <w:tc>
          <w:tcPr>
            <w:tcW w:w="1431" w:type="pct"/>
            <w:vMerge/>
            <w:vAlign w:val="center"/>
          </w:tcPr>
          <w:p w:rsidR="007B62FA" w:rsidRPr="00896265" w:rsidRDefault="007B62FA" w:rsidP="00417F87">
            <w:pPr>
              <w:widowControl/>
              <w:spacing w:line="360" w:lineRule="auto"/>
              <w:jc w:val="left"/>
              <w:rPr>
                <w:rFonts w:eastAsiaTheme="minorEastAsia"/>
                <w:color w:val="000000" w:themeColor="text1"/>
                <w:szCs w:val="21"/>
              </w:rPr>
            </w:pPr>
          </w:p>
        </w:tc>
      </w:tr>
      <w:tr w:rsidR="00F14AEA">
        <w:tc>
          <w:tcPr>
            <w:tcW w:w="0" w:type="auto"/>
            <w:vAlign w:val="center"/>
          </w:tcPr>
          <w:p w:rsidR="00F14AEA" w:rsidRDefault="00EC6028">
            <w:pPr>
              <w:jc w:val="center"/>
            </w:pPr>
            <w:r>
              <w:rPr>
                <w:rFonts w:eastAsiaTheme="minorEastAsia"/>
                <w:color w:val="000000" w:themeColor="text1"/>
                <w:szCs w:val="21"/>
              </w:rPr>
              <w:t>周宇</w:t>
            </w:r>
          </w:p>
        </w:tc>
        <w:tc>
          <w:tcPr>
            <w:tcW w:w="0" w:type="auto"/>
            <w:vAlign w:val="center"/>
          </w:tcPr>
          <w:p w:rsidR="00F14AEA" w:rsidRDefault="00EC6028">
            <w:pPr>
              <w:jc w:val="left"/>
            </w:pPr>
            <w:r>
              <w:rPr>
                <w:rFonts w:eastAsiaTheme="minorEastAsia"/>
                <w:color w:val="000000" w:themeColor="text1"/>
                <w:szCs w:val="21"/>
              </w:rPr>
              <w:t>本基金的基金经理</w:t>
            </w:r>
          </w:p>
        </w:tc>
        <w:tc>
          <w:tcPr>
            <w:tcW w:w="0" w:type="auto"/>
            <w:vAlign w:val="center"/>
          </w:tcPr>
          <w:p w:rsidR="00F14AEA" w:rsidRDefault="00EC6028">
            <w:pPr>
              <w:jc w:val="center"/>
            </w:pPr>
            <w:r>
              <w:rPr>
                <w:rFonts w:eastAsiaTheme="minorEastAsia"/>
                <w:color w:val="000000" w:themeColor="text1"/>
                <w:szCs w:val="21"/>
              </w:rPr>
              <w:t>2017-04-21</w:t>
            </w:r>
          </w:p>
        </w:tc>
        <w:tc>
          <w:tcPr>
            <w:tcW w:w="0" w:type="auto"/>
            <w:vAlign w:val="center"/>
          </w:tcPr>
          <w:p w:rsidR="00F14AEA" w:rsidRDefault="00EC6028">
            <w:pPr>
              <w:jc w:val="center"/>
            </w:pPr>
            <w:r>
              <w:rPr>
                <w:rFonts w:eastAsiaTheme="minorEastAsia"/>
                <w:color w:val="000000" w:themeColor="text1"/>
                <w:szCs w:val="21"/>
              </w:rPr>
              <w:t>-</w:t>
            </w:r>
          </w:p>
        </w:tc>
        <w:tc>
          <w:tcPr>
            <w:tcW w:w="0" w:type="auto"/>
            <w:vAlign w:val="center"/>
          </w:tcPr>
          <w:p w:rsidR="00F14AEA" w:rsidRDefault="00EC6028">
            <w:pPr>
              <w:jc w:val="center"/>
            </w:pPr>
            <w:r>
              <w:rPr>
                <w:rFonts w:eastAsiaTheme="minorEastAsia"/>
                <w:color w:val="000000" w:themeColor="text1"/>
                <w:szCs w:val="21"/>
              </w:rPr>
              <w:t>8</w:t>
            </w:r>
            <w:r>
              <w:rPr>
                <w:rFonts w:eastAsiaTheme="minorEastAsia"/>
                <w:color w:val="000000" w:themeColor="text1"/>
                <w:szCs w:val="21"/>
              </w:rPr>
              <w:t>年</w:t>
            </w:r>
          </w:p>
        </w:tc>
        <w:tc>
          <w:tcPr>
            <w:tcW w:w="0" w:type="auto"/>
            <w:vAlign w:val="center"/>
          </w:tcPr>
          <w:p w:rsidR="00F14AEA" w:rsidRDefault="00EC6028">
            <w:pPr>
              <w:jc w:val="left"/>
            </w:pPr>
            <w:r>
              <w:rPr>
                <w:rFonts w:eastAsiaTheme="minorEastAsia"/>
                <w:color w:val="000000" w:themeColor="text1"/>
                <w:szCs w:val="21"/>
              </w:rPr>
              <w:t>硕士研究生，具有基金从业资格。曾任古根海姆投资管理公司全球宏观策略师，中国平安人寿保险总部投资管理中心策略经理，上海国泰君安证券资产管理有限公司研究发展部大类资产配置高级研究员。</w:t>
            </w:r>
          </w:p>
        </w:tc>
      </w:tr>
    </w:tbl>
    <w:p w:rsidR="00F14AEA" w:rsidRDefault="00EC602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对基金的首任基金经理，其</w:t>
      </w:r>
      <w:r>
        <w:rPr>
          <w:rFonts w:eastAsiaTheme="minorEastAsia"/>
          <w:color w:val="000000" w:themeColor="text1"/>
          <w:kern w:val="0"/>
          <w:szCs w:val="21"/>
        </w:rPr>
        <w:t>“</w:t>
      </w:r>
      <w:r>
        <w:rPr>
          <w:rFonts w:eastAsiaTheme="minorEastAsia"/>
          <w:color w:val="000000" w:themeColor="text1"/>
          <w:kern w:val="0"/>
          <w:szCs w:val="21"/>
        </w:rPr>
        <w:t>任职日期</w:t>
      </w:r>
      <w:r>
        <w:rPr>
          <w:rFonts w:eastAsiaTheme="minorEastAsia"/>
          <w:color w:val="000000" w:themeColor="text1"/>
          <w:kern w:val="0"/>
          <w:szCs w:val="21"/>
        </w:rPr>
        <w:t>”</w:t>
      </w:r>
      <w:r>
        <w:rPr>
          <w:rFonts w:eastAsiaTheme="minorEastAsia"/>
          <w:color w:val="000000" w:themeColor="text1"/>
          <w:kern w:val="0"/>
          <w:szCs w:val="21"/>
        </w:rPr>
        <w:t>为基金合同生效日，</w:t>
      </w:r>
      <w:r>
        <w:rPr>
          <w:rFonts w:eastAsiaTheme="minorEastAsia"/>
          <w:color w:val="000000" w:themeColor="text1"/>
          <w:kern w:val="0"/>
          <w:szCs w:val="21"/>
        </w:rPr>
        <w:t>“</w:t>
      </w:r>
      <w:r>
        <w:rPr>
          <w:rFonts w:eastAsiaTheme="minorEastAsia"/>
          <w:color w:val="000000" w:themeColor="text1"/>
          <w:kern w:val="0"/>
          <w:szCs w:val="21"/>
        </w:rPr>
        <w:t>离任日期</w:t>
      </w:r>
      <w:r>
        <w:rPr>
          <w:rFonts w:eastAsiaTheme="minorEastAsia"/>
          <w:color w:val="000000" w:themeColor="text1"/>
          <w:kern w:val="0"/>
          <w:szCs w:val="21"/>
        </w:rPr>
        <w:t>”</w:t>
      </w:r>
      <w:r>
        <w:rPr>
          <w:rFonts w:eastAsiaTheme="minorEastAsia"/>
          <w:color w:val="000000" w:themeColor="text1"/>
          <w:kern w:val="0"/>
          <w:szCs w:val="21"/>
        </w:rPr>
        <w:t>为根据公司决定确定的解聘日期；对此后的非首任基金经理</w:t>
      </w:r>
      <w:r>
        <w:rPr>
          <w:rFonts w:eastAsiaTheme="minorEastAsia"/>
          <w:color w:val="000000" w:themeColor="text1"/>
          <w:kern w:val="0"/>
          <w:szCs w:val="21"/>
        </w:rPr>
        <w:t>/</w:t>
      </w:r>
      <w:r>
        <w:rPr>
          <w:rFonts w:eastAsiaTheme="minorEastAsia"/>
          <w:color w:val="000000" w:themeColor="text1"/>
          <w:kern w:val="0"/>
          <w:szCs w:val="21"/>
        </w:rPr>
        <w:t>基金经理助理，</w:t>
      </w:r>
      <w:r>
        <w:rPr>
          <w:rFonts w:eastAsiaTheme="minorEastAsia"/>
          <w:color w:val="000000" w:themeColor="text1"/>
          <w:kern w:val="0"/>
          <w:szCs w:val="21"/>
        </w:rPr>
        <w:t>“</w:t>
      </w:r>
      <w:r>
        <w:rPr>
          <w:rFonts w:eastAsiaTheme="minorEastAsia"/>
          <w:color w:val="000000" w:themeColor="text1"/>
          <w:kern w:val="0"/>
          <w:szCs w:val="21"/>
        </w:rPr>
        <w:t>任职日期</w:t>
      </w:r>
      <w:r>
        <w:rPr>
          <w:rFonts w:eastAsiaTheme="minorEastAsia"/>
          <w:color w:val="000000" w:themeColor="text1"/>
          <w:kern w:val="0"/>
          <w:szCs w:val="21"/>
        </w:rPr>
        <w:t>”</w:t>
      </w:r>
      <w:r>
        <w:rPr>
          <w:rFonts w:eastAsiaTheme="minorEastAsia"/>
          <w:color w:val="000000" w:themeColor="text1"/>
          <w:kern w:val="0"/>
          <w:szCs w:val="21"/>
        </w:rPr>
        <w:t>和</w:t>
      </w:r>
      <w:r>
        <w:rPr>
          <w:rFonts w:eastAsiaTheme="minorEastAsia"/>
          <w:color w:val="000000" w:themeColor="text1"/>
          <w:kern w:val="0"/>
          <w:szCs w:val="21"/>
        </w:rPr>
        <w:t>“</w:t>
      </w:r>
      <w:r>
        <w:rPr>
          <w:rFonts w:eastAsiaTheme="minorEastAsia"/>
          <w:color w:val="000000" w:themeColor="text1"/>
          <w:kern w:val="0"/>
          <w:szCs w:val="21"/>
        </w:rPr>
        <w:t>离任日期</w:t>
      </w:r>
      <w:r>
        <w:rPr>
          <w:rFonts w:eastAsiaTheme="minorEastAsia"/>
          <w:color w:val="000000" w:themeColor="text1"/>
          <w:kern w:val="0"/>
          <w:szCs w:val="21"/>
        </w:rPr>
        <w:t>”</w:t>
      </w:r>
      <w:r>
        <w:rPr>
          <w:rFonts w:eastAsiaTheme="minorEastAsia"/>
          <w:color w:val="000000" w:themeColor="text1"/>
          <w:kern w:val="0"/>
          <w:szCs w:val="21"/>
        </w:rPr>
        <w:t>分别指根据公司决定确定的聘任日期和解聘日期。</w:t>
      </w:r>
    </w:p>
    <w:p w:rsidR="007B62FA" w:rsidRPr="00896265"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2.</w:t>
      </w:r>
      <w:r w:rsidRPr="00896265">
        <w:rPr>
          <w:rFonts w:eastAsiaTheme="minorEastAsia"/>
          <w:color w:val="000000" w:themeColor="text1"/>
          <w:kern w:val="0"/>
          <w:szCs w:val="21"/>
        </w:rPr>
        <w:t>证券从业的含义遵从《证券业从业人员资格管理办法》的相关规定。</w:t>
      </w:r>
    </w:p>
    <w:p w:rsidR="007B62FA" w:rsidRPr="00940842" w:rsidRDefault="009D1492" w:rsidP="00940842">
      <w:pPr>
        <w:pStyle w:val="20"/>
        <w:spacing w:before="0" w:after="0"/>
        <w:rPr>
          <w:rFonts w:asciiTheme="majorEastAsia" w:eastAsiaTheme="majorEastAsia" w:hAnsiTheme="majorEastAsia"/>
          <w:color w:val="000000" w:themeColor="text1"/>
          <w:kern w:val="0"/>
          <w:sz w:val="21"/>
          <w:szCs w:val="21"/>
        </w:rPr>
      </w:pPr>
      <w:bookmarkStart w:id="98" w:name="_Toc224618356"/>
      <w:bookmarkStart w:id="99" w:name="_Toc235605685"/>
      <w:bookmarkStart w:id="100" w:name="_Toc286929733"/>
      <w:bookmarkStart w:id="101" w:name="_Toc352255973"/>
      <w:bookmarkStart w:id="102" w:name="_Toc352256041"/>
      <w:bookmarkStart w:id="103" w:name="_Toc352331219"/>
      <w:bookmarkStart w:id="104" w:name="_Toc362423997"/>
      <w:bookmarkStart w:id="105" w:name="_Toc35533807"/>
      <w:r w:rsidRPr="00940842">
        <w:rPr>
          <w:rFonts w:asciiTheme="majorEastAsia" w:eastAsiaTheme="majorEastAsia" w:hAnsiTheme="majorEastAsia"/>
          <w:color w:val="000000" w:themeColor="text1"/>
          <w:kern w:val="0"/>
          <w:sz w:val="21"/>
          <w:szCs w:val="21"/>
        </w:rPr>
        <w:t>4.2</w:t>
      </w:r>
      <w:r w:rsidR="00FC2F24"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境外投资顾问为本基金提供投资建议的主要成员简介</w:t>
      </w:r>
      <w:bookmarkEnd w:id="98"/>
      <w:bookmarkEnd w:id="99"/>
      <w:bookmarkEnd w:id="100"/>
      <w:bookmarkEnd w:id="101"/>
      <w:bookmarkEnd w:id="102"/>
      <w:bookmarkEnd w:id="103"/>
      <w:bookmarkEnd w:id="104"/>
      <w:bookmarkEnd w:id="105"/>
    </w:p>
    <w:p w:rsidR="007B62FA" w:rsidRPr="00896265"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本基金未聘请境外投资顾问。</w:t>
      </w:r>
    </w:p>
    <w:p w:rsidR="007B62FA" w:rsidRPr="00940842" w:rsidRDefault="009D1492" w:rsidP="00940842">
      <w:pPr>
        <w:pStyle w:val="20"/>
        <w:spacing w:before="0" w:after="0"/>
        <w:rPr>
          <w:rFonts w:asciiTheme="majorEastAsia" w:eastAsiaTheme="majorEastAsia" w:hAnsiTheme="majorEastAsia"/>
          <w:color w:val="000000" w:themeColor="text1"/>
          <w:kern w:val="0"/>
          <w:sz w:val="21"/>
          <w:szCs w:val="21"/>
        </w:rPr>
      </w:pPr>
      <w:bookmarkStart w:id="106" w:name="_Toc225498256"/>
      <w:bookmarkStart w:id="107" w:name="_Toc352255974"/>
      <w:bookmarkStart w:id="108" w:name="_Toc352256042"/>
      <w:bookmarkStart w:id="109" w:name="_Toc352331220"/>
      <w:bookmarkStart w:id="110" w:name="_Toc362423998"/>
      <w:bookmarkStart w:id="111" w:name="_Toc35533808"/>
      <w:r w:rsidRPr="00940842">
        <w:rPr>
          <w:rFonts w:asciiTheme="majorEastAsia" w:eastAsiaTheme="majorEastAsia" w:hAnsiTheme="majorEastAsia"/>
          <w:color w:val="000000" w:themeColor="text1"/>
          <w:kern w:val="0"/>
          <w:sz w:val="21"/>
          <w:szCs w:val="21"/>
        </w:rPr>
        <w:t>4.3</w:t>
      </w:r>
      <w:r w:rsidR="00F73F35"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管理人对报告期内本基金运作遵规守信情况的说明</w:t>
      </w:r>
      <w:bookmarkEnd w:id="106"/>
      <w:bookmarkEnd w:id="107"/>
      <w:bookmarkEnd w:id="108"/>
      <w:bookmarkEnd w:id="109"/>
      <w:bookmarkEnd w:id="110"/>
      <w:bookmarkEnd w:id="111"/>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B62FA" w:rsidRPr="00940842" w:rsidRDefault="009D1492" w:rsidP="00940842">
      <w:pPr>
        <w:pStyle w:val="20"/>
        <w:spacing w:before="0" w:after="0"/>
        <w:rPr>
          <w:rFonts w:asciiTheme="majorEastAsia" w:eastAsiaTheme="majorEastAsia" w:hAnsiTheme="majorEastAsia"/>
          <w:color w:val="000000" w:themeColor="text1"/>
          <w:kern w:val="0"/>
          <w:sz w:val="21"/>
          <w:szCs w:val="21"/>
        </w:rPr>
      </w:pPr>
      <w:bookmarkStart w:id="112" w:name="_Toc225498257"/>
      <w:bookmarkStart w:id="113" w:name="_Toc352255975"/>
      <w:bookmarkStart w:id="114" w:name="_Toc352256043"/>
      <w:bookmarkStart w:id="115" w:name="_Toc352331221"/>
      <w:bookmarkStart w:id="116" w:name="_Toc362423999"/>
      <w:bookmarkStart w:id="117" w:name="_Toc35533809"/>
      <w:r w:rsidRPr="00940842">
        <w:rPr>
          <w:rFonts w:asciiTheme="majorEastAsia" w:eastAsiaTheme="majorEastAsia" w:hAnsiTheme="majorEastAsia"/>
          <w:color w:val="000000" w:themeColor="text1"/>
          <w:kern w:val="0"/>
          <w:sz w:val="21"/>
          <w:szCs w:val="21"/>
        </w:rPr>
        <w:t>4.4</w:t>
      </w:r>
      <w:r w:rsidR="00F73F35"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管理人对报告期内公平交易情况的专项说明</w:t>
      </w:r>
      <w:bookmarkEnd w:id="112"/>
      <w:bookmarkEnd w:id="113"/>
      <w:bookmarkEnd w:id="114"/>
      <w:bookmarkEnd w:id="115"/>
      <w:bookmarkEnd w:id="116"/>
      <w:bookmarkEnd w:id="117"/>
    </w:p>
    <w:p w:rsidR="007B62FA" w:rsidRPr="000852F3" w:rsidRDefault="00633B6F" w:rsidP="006F3BD2">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4.4.1</w:t>
      </w:r>
      <w:r w:rsidR="002D0B5F" w:rsidRPr="000852F3">
        <w:rPr>
          <w:rFonts w:asciiTheme="majorEastAsia" w:eastAsiaTheme="majorEastAsia" w:hAnsiTheme="majorEastAsia"/>
          <w:b/>
          <w:color w:val="000000" w:themeColor="text1"/>
          <w:kern w:val="0"/>
          <w:szCs w:val="21"/>
        </w:rPr>
        <w:t xml:space="preserve"> </w:t>
      </w:r>
      <w:r w:rsidR="007B62FA" w:rsidRPr="000852F3">
        <w:rPr>
          <w:rFonts w:asciiTheme="majorEastAsia" w:eastAsiaTheme="majorEastAsia" w:hAnsiTheme="majorEastAsia"/>
          <w:b/>
          <w:color w:val="000000" w:themeColor="text1"/>
          <w:kern w:val="0"/>
          <w:szCs w:val="21"/>
        </w:rPr>
        <w:t>公平交易制度和控制方法</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公平交易的实现措施和执行程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立事中和事后的同向交易、异常交易监控分析机制，对于发现的异常问题进行提示，并要求投资组合经理解释说明。</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对于公司旗下基金在境外的投资交易行为，公司制定了相应的投资权限管理制度、投资备选库管理制度和集中交易制度等，通过投资交易系统中的公平交易模块，并结合境外市场的交易特点规范交易委托方式，以尽可能确保公平对待各投资组合。</w:t>
      </w:r>
    </w:p>
    <w:p w:rsidR="007B62FA" w:rsidRPr="000852F3" w:rsidRDefault="00633B6F"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4.4.2</w:t>
      </w:r>
      <w:r w:rsidR="006A6C3A" w:rsidRPr="000852F3">
        <w:rPr>
          <w:rFonts w:asciiTheme="majorEastAsia" w:eastAsiaTheme="majorEastAsia" w:hAnsiTheme="majorEastAsia"/>
          <w:b/>
          <w:color w:val="000000" w:themeColor="text1"/>
          <w:kern w:val="0"/>
          <w:szCs w:val="21"/>
        </w:rPr>
        <w:t xml:space="preserve"> </w:t>
      </w:r>
      <w:r w:rsidR="007B62FA" w:rsidRPr="000852F3">
        <w:rPr>
          <w:rFonts w:asciiTheme="majorEastAsia" w:eastAsiaTheme="majorEastAsia" w:hAnsiTheme="majorEastAsia"/>
          <w:b/>
          <w:color w:val="000000" w:themeColor="text1"/>
          <w:kern w:val="0"/>
          <w:szCs w:val="21"/>
        </w:rPr>
        <w:t>公平交易制度的执行情况</w:t>
      </w:r>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本报告期内，上述公平交易制度和控制方法总体执行情况良好，未发现旗下投资组合之间存在不公平交易现象。</w:t>
      </w:r>
    </w:p>
    <w:p w:rsidR="007B62FA" w:rsidRPr="000852F3" w:rsidRDefault="00633B6F"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4.4.3</w:t>
      </w:r>
      <w:r w:rsidR="006A6C3A" w:rsidRPr="000852F3">
        <w:rPr>
          <w:rFonts w:asciiTheme="majorEastAsia" w:eastAsiaTheme="majorEastAsia" w:hAnsiTheme="majorEastAsia"/>
          <w:b/>
          <w:color w:val="000000" w:themeColor="text1"/>
          <w:kern w:val="0"/>
          <w:szCs w:val="21"/>
        </w:rPr>
        <w:t xml:space="preserve"> </w:t>
      </w:r>
      <w:r w:rsidR="007B62FA" w:rsidRPr="000852F3">
        <w:rPr>
          <w:rFonts w:asciiTheme="majorEastAsia" w:eastAsiaTheme="majorEastAsia" w:hAnsiTheme="majorEastAsia"/>
          <w:b/>
          <w:color w:val="000000" w:themeColor="text1"/>
          <w:kern w:val="0"/>
          <w:szCs w:val="21"/>
        </w:rPr>
        <w:t>异常交易行为的专项说明</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本报告期内，未发现本基金有可能导致不公平交易和利益输送的异常交易。</w:t>
      </w:r>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本报告期内，本公司旗下所有投资组合参与的交易所公开竞价交易中，同日反向交易成交较少的单边交易量超过该证券当日成交量的</w:t>
      </w:r>
      <w:r w:rsidRPr="00896265">
        <w:rPr>
          <w:rFonts w:eastAsiaTheme="minorEastAsia"/>
          <w:color w:val="000000" w:themeColor="text1"/>
          <w:szCs w:val="21"/>
        </w:rPr>
        <w:t>5%</w:t>
      </w:r>
      <w:r w:rsidRPr="00896265">
        <w:rPr>
          <w:rFonts w:eastAsiaTheme="minorEastAsia"/>
          <w:color w:val="000000" w:themeColor="text1"/>
          <w:szCs w:val="21"/>
        </w:rPr>
        <w:t>的交易共有</w:t>
      </w:r>
      <w:r w:rsidRPr="00896265">
        <w:rPr>
          <w:rFonts w:eastAsiaTheme="minorEastAsia"/>
          <w:color w:val="000000" w:themeColor="text1"/>
          <w:szCs w:val="21"/>
        </w:rPr>
        <w:t>116</w:t>
      </w:r>
      <w:r w:rsidRPr="00896265">
        <w:rPr>
          <w:rFonts w:eastAsiaTheme="minorEastAsia"/>
          <w:color w:val="000000" w:themeColor="text1"/>
          <w:szCs w:val="21"/>
        </w:rPr>
        <w:t>次，其中</w:t>
      </w:r>
      <w:r w:rsidRPr="00896265">
        <w:rPr>
          <w:rFonts w:eastAsiaTheme="minorEastAsia"/>
          <w:color w:val="000000" w:themeColor="text1"/>
          <w:szCs w:val="21"/>
        </w:rPr>
        <w:t>114</w:t>
      </w:r>
      <w:r w:rsidRPr="00896265">
        <w:rPr>
          <w:rFonts w:eastAsiaTheme="minorEastAsia"/>
          <w:color w:val="000000" w:themeColor="text1"/>
          <w:szCs w:val="21"/>
        </w:rPr>
        <w:t>次为旗下指数及量化组合因投资策略需要和其他组合发生反向交易</w:t>
      </w:r>
      <w:r w:rsidRPr="00896265">
        <w:rPr>
          <w:rFonts w:eastAsiaTheme="minorEastAsia"/>
          <w:color w:val="000000" w:themeColor="text1"/>
          <w:szCs w:val="21"/>
        </w:rPr>
        <w:t>, 2</w:t>
      </w:r>
      <w:r w:rsidRPr="00896265">
        <w:rPr>
          <w:rFonts w:eastAsiaTheme="minorEastAsia"/>
          <w:color w:val="000000" w:themeColor="text1"/>
          <w:szCs w:val="21"/>
        </w:rPr>
        <w:t>次为不同基金经理管理的组合间因投资策略不同而发生的反向交易，有关基金经理按规定履行了审批程序。</w:t>
      </w:r>
    </w:p>
    <w:p w:rsidR="007B62FA" w:rsidRPr="00940842" w:rsidRDefault="009D1492" w:rsidP="00940842">
      <w:pPr>
        <w:pStyle w:val="20"/>
        <w:spacing w:before="0" w:after="0"/>
        <w:rPr>
          <w:rFonts w:asciiTheme="majorEastAsia" w:eastAsiaTheme="majorEastAsia" w:hAnsiTheme="majorEastAsia"/>
          <w:color w:val="000000" w:themeColor="text1"/>
          <w:kern w:val="0"/>
          <w:sz w:val="21"/>
          <w:szCs w:val="21"/>
        </w:rPr>
      </w:pPr>
      <w:bookmarkStart w:id="118" w:name="_Toc225498258"/>
      <w:bookmarkStart w:id="119" w:name="_Toc352255976"/>
      <w:bookmarkStart w:id="120" w:name="_Toc352256044"/>
      <w:bookmarkStart w:id="121" w:name="_Toc352331222"/>
      <w:bookmarkStart w:id="122" w:name="_Toc362424000"/>
      <w:bookmarkStart w:id="123" w:name="_Toc35533810"/>
      <w:r w:rsidRPr="00940842">
        <w:rPr>
          <w:rFonts w:asciiTheme="majorEastAsia" w:eastAsiaTheme="majorEastAsia" w:hAnsiTheme="majorEastAsia"/>
          <w:color w:val="000000" w:themeColor="text1"/>
          <w:kern w:val="0"/>
          <w:sz w:val="21"/>
          <w:szCs w:val="21"/>
        </w:rPr>
        <w:t>4.5</w:t>
      </w:r>
      <w:r w:rsidR="00FC2F24"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管理人对报告期内基金的投资策略和业绩表现的说明</w:t>
      </w:r>
      <w:bookmarkEnd w:id="118"/>
      <w:bookmarkEnd w:id="119"/>
      <w:bookmarkEnd w:id="120"/>
      <w:bookmarkEnd w:id="121"/>
      <w:bookmarkEnd w:id="122"/>
      <w:bookmarkEnd w:id="123"/>
    </w:p>
    <w:p w:rsidR="007B62FA" w:rsidRPr="000852F3" w:rsidRDefault="009D1492"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4.5</w:t>
      </w:r>
      <w:r w:rsidR="007B62FA" w:rsidRPr="000852F3">
        <w:rPr>
          <w:rFonts w:asciiTheme="majorEastAsia" w:eastAsiaTheme="majorEastAsia" w:hAnsiTheme="majorEastAsia"/>
          <w:b/>
          <w:color w:val="000000" w:themeColor="text1"/>
          <w:kern w:val="0"/>
          <w:szCs w:val="21"/>
        </w:rPr>
        <w:t>.1报告期内基金投资策略和运作分析</w:t>
      </w:r>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2019</w:t>
      </w:r>
      <w:r w:rsidRPr="00896265">
        <w:rPr>
          <w:rFonts w:eastAsiaTheme="minorEastAsia"/>
          <w:color w:val="000000" w:themeColor="text1"/>
          <w:szCs w:val="21"/>
        </w:rPr>
        <w:t>年全球经济受贸易战、信贷收缩和汽车环保冲击等多重因素影响而显著放缓，以贸易与制造业最为明显。全球央行大幅放松了货币政策，主要央行纷纷重新扩张资产负债表。在经济增速放缓、利率下行和流动性宽松的环境下，黄金作为避险资产获得了较好的表现。而金矿股亦发挥了其更高弹性的特征。本基金在</w:t>
      </w:r>
      <w:r w:rsidRPr="00896265">
        <w:rPr>
          <w:rFonts w:eastAsiaTheme="minorEastAsia"/>
          <w:color w:val="000000" w:themeColor="text1"/>
          <w:szCs w:val="21"/>
        </w:rPr>
        <w:t>2019</w:t>
      </w:r>
      <w:r w:rsidRPr="00896265">
        <w:rPr>
          <w:rFonts w:eastAsiaTheme="minorEastAsia"/>
          <w:color w:val="000000" w:themeColor="text1"/>
          <w:szCs w:val="21"/>
        </w:rPr>
        <w:t>年通过配置部分金矿股以及金矿股基金，取得了相对较好的结果。</w:t>
      </w:r>
    </w:p>
    <w:p w:rsidR="007B62FA" w:rsidRPr="000852F3" w:rsidRDefault="009D1492"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4.5</w:t>
      </w:r>
      <w:r w:rsidR="007B62FA" w:rsidRPr="000852F3">
        <w:rPr>
          <w:rFonts w:asciiTheme="majorEastAsia" w:eastAsiaTheme="majorEastAsia" w:hAnsiTheme="majorEastAsia"/>
          <w:b/>
          <w:color w:val="000000" w:themeColor="text1"/>
          <w:kern w:val="0"/>
          <w:szCs w:val="21"/>
        </w:rPr>
        <w:t>.2</w:t>
      </w:r>
      <w:r w:rsidR="006A6C3A" w:rsidRPr="000852F3">
        <w:rPr>
          <w:rFonts w:asciiTheme="majorEastAsia" w:eastAsiaTheme="majorEastAsia" w:hAnsiTheme="majorEastAsia"/>
          <w:b/>
          <w:color w:val="000000" w:themeColor="text1"/>
          <w:kern w:val="0"/>
          <w:szCs w:val="21"/>
        </w:rPr>
        <w:t xml:space="preserve"> </w:t>
      </w:r>
      <w:r w:rsidR="007B62FA" w:rsidRPr="000852F3">
        <w:rPr>
          <w:rFonts w:asciiTheme="majorEastAsia" w:eastAsiaTheme="majorEastAsia" w:hAnsiTheme="majorEastAsia"/>
          <w:b/>
          <w:color w:val="000000" w:themeColor="text1"/>
          <w:kern w:val="0"/>
          <w:szCs w:val="21"/>
        </w:rPr>
        <w:t>报告期内基金的业绩表现</w:t>
      </w:r>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截至报告期末，本基金</w:t>
      </w:r>
      <w:r w:rsidRPr="00896265">
        <w:rPr>
          <w:rFonts w:eastAsiaTheme="minorEastAsia"/>
          <w:color w:val="000000" w:themeColor="text1"/>
          <w:szCs w:val="21"/>
        </w:rPr>
        <w:t>A</w:t>
      </w:r>
      <w:r w:rsidRPr="00896265">
        <w:rPr>
          <w:rFonts w:eastAsiaTheme="minorEastAsia"/>
          <w:color w:val="000000" w:themeColor="text1"/>
          <w:szCs w:val="21"/>
        </w:rPr>
        <w:t>类基金份额净值为</w:t>
      </w:r>
      <w:r w:rsidRPr="00896265">
        <w:rPr>
          <w:rFonts w:eastAsiaTheme="minorEastAsia"/>
          <w:color w:val="000000" w:themeColor="text1"/>
          <w:szCs w:val="21"/>
        </w:rPr>
        <w:t>0.855</w:t>
      </w:r>
      <w:r w:rsidRPr="00896265">
        <w:rPr>
          <w:rFonts w:eastAsiaTheme="minorEastAsia"/>
          <w:color w:val="000000" w:themeColor="text1"/>
          <w:szCs w:val="21"/>
        </w:rPr>
        <w:t>元，本报告期份额净值增长率为</w:t>
      </w:r>
      <w:r w:rsidRPr="00896265">
        <w:rPr>
          <w:rFonts w:eastAsiaTheme="minorEastAsia"/>
          <w:color w:val="000000" w:themeColor="text1"/>
          <w:szCs w:val="21"/>
        </w:rPr>
        <w:t>20.08%</w:t>
      </w:r>
      <w:r w:rsidRPr="00896265">
        <w:rPr>
          <w:rFonts w:eastAsiaTheme="minorEastAsia"/>
          <w:color w:val="000000" w:themeColor="text1"/>
          <w:szCs w:val="21"/>
        </w:rPr>
        <w:t>，同期业绩比较基准收益率为</w:t>
      </w:r>
      <w:r w:rsidRPr="00896265">
        <w:rPr>
          <w:rFonts w:eastAsiaTheme="minorEastAsia"/>
          <w:color w:val="000000" w:themeColor="text1"/>
          <w:szCs w:val="21"/>
        </w:rPr>
        <w:t>24.88%</w:t>
      </w:r>
      <w:r w:rsidRPr="00896265">
        <w:rPr>
          <w:rFonts w:eastAsiaTheme="minorEastAsia"/>
          <w:color w:val="000000" w:themeColor="text1"/>
          <w:szCs w:val="21"/>
        </w:rPr>
        <w:t>；</w:t>
      </w:r>
      <w:r w:rsidRPr="00896265">
        <w:rPr>
          <w:rFonts w:eastAsiaTheme="minorEastAsia"/>
          <w:color w:val="000000" w:themeColor="text1"/>
          <w:szCs w:val="21"/>
        </w:rPr>
        <w:t>C</w:t>
      </w:r>
      <w:r w:rsidRPr="00896265">
        <w:rPr>
          <w:rFonts w:eastAsiaTheme="minorEastAsia"/>
          <w:color w:val="000000" w:themeColor="text1"/>
          <w:szCs w:val="21"/>
        </w:rPr>
        <w:t>类基金份额净值为</w:t>
      </w:r>
      <w:r w:rsidRPr="00896265">
        <w:rPr>
          <w:rFonts w:eastAsiaTheme="minorEastAsia"/>
          <w:color w:val="000000" w:themeColor="text1"/>
          <w:szCs w:val="21"/>
        </w:rPr>
        <w:t>0.855</w:t>
      </w:r>
      <w:r w:rsidRPr="00896265">
        <w:rPr>
          <w:rFonts w:eastAsiaTheme="minorEastAsia"/>
          <w:color w:val="000000" w:themeColor="text1"/>
          <w:szCs w:val="21"/>
        </w:rPr>
        <w:t>元，本报告期份额净值增长率为</w:t>
      </w:r>
      <w:r w:rsidRPr="00896265">
        <w:rPr>
          <w:rFonts w:eastAsiaTheme="minorEastAsia"/>
          <w:color w:val="000000" w:themeColor="text1"/>
          <w:szCs w:val="21"/>
        </w:rPr>
        <w:t>6.21%</w:t>
      </w:r>
      <w:r w:rsidRPr="00896265">
        <w:rPr>
          <w:rFonts w:eastAsiaTheme="minorEastAsia"/>
          <w:color w:val="000000" w:themeColor="text1"/>
          <w:szCs w:val="21"/>
        </w:rPr>
        <w:t>，同期业绩比较基准收益率为</w:t>
      </w:r>
      <w:r w:rsidRPr="00896265">
        <w:rPr>
          <w:rFonts w:eastAsiaTheme="minorEastAsia"/>
          <w:color w:val="000000" w:themeColor="text1"/>
          <w:szCs w:val="21"/>
        </w:rPr>
        <w:t>5.86%</w:t>
      </w:r>
      <w:r w:rsidRPr="00896265">
        <w:rPr>
          <w:rFonts w:eastAsiaTheme="minorEastAsia"/>
          <w:color w:val="000000" w:themeColor="text1"/>
          <w:szCs w:val="21"/>
        </w:rPr>
        <w:t>。</w:t>
      </w:r>
    </w:p>
    <w:p w:rsidR="007B62FA" w:rsidRPr="00940842" w:rsidRDefault="009D1492" w:rsidP="00940842">
      <w:pPr>
        <w:pStyle w:val="20"/>
        <w:spacing w:before="0" w:after="0"/>
        <w:rPr>
          <w:rFonts w:asciiTheme="majorEastAsia" w:eastAsiaTheme="majorEastAsia" w:hAnsiTheme="majorEastAsia"/>
          <w:color w:val="000000" w:themeColor="text1"/>
          <w:kern w:val="0"/>
          <w:sz w:val="21"/>
          <w:szCs w:val="21"/>
        </w:rPr>
      </w:pPr>
      <w:bookmarkStart w:id="124" w:name="_Toc225498259"/>
      <w:bookmarkStart w:id="125" w:name="_Toc352255977"/>
      <w:bookmarkStart w:id="126" w:name="_Toc352256045"/>
      <w:bookmarkStart w:id="127" w:name="_Toc352331223"/>
      <w:bookmarkStart w:id="128" w:name="_Toc362424001"/>
      <w:bookmarkStart w:id="129" w:name="_Toc35533811"/>
      <w:r w:rsidRPr="00940842">
        <w:rPr>
          <w:rFonts w:asciiTheme="majorEastAsia" w:eastAsiaTheme="majorEastAsia" w:hAnsiTheme="majorEastAsia"/>
          <w:color w:val="000000" w:themeColor="text1"/>
          <w:kern w:val="0"/>
          <w:sz w:val="21"/>
          <w:szCs w:val="21"/>
        </w:rPr>
        <w:t>4.6</w:t>
      </w:r>
      <w:r w:rsidR="00FC2F24"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管理人对宏观经济、证券市场及行业走势的简要展望</w:t>
      </w:r>
      <w:bookmarkEnd w:id="124"/>
      <w:bookmarkEnd w:id="125"/>
      <w:bookmarkEnd w:id="126"/>
      <w:bookmarkEnd w:id="127"/>
      <w:bookmarkEnd w:id="128"/>
      <w:bookmarkEnd w:id="129"/>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相比于去年的单边上涨，今年黄金可能呈现一个区间震荡的状态。由于疫情对全球经济快速和剧烈的冲击，全球经济有较大可能步入衰退。黄金起初受益于利率的快速下行和各国央行的宽松货币政策预期而上涨，但随着市场恐慌情绪加剧，投资者对于流动性的追逐和对通缩预期的担忧正使他们抛售除了现金以外的所有资产，前期仓位较为拥挤的黄金和金矿股资产也不例外。金矿股亦额外遭受了股票基金在赎回压力下不加区别的抛售。</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但这并非黄金牛市的结束。类似的场景，我们在</w:t>
      </w:r>
      <w:r>
        <w:rPr>
          <w:rFonts w:eastAsiaTheme="minorEastAsia"/>
          <w:color w:val="000000" w:themeColor="text1"/>
          <w:szCs w:val="21"/>
        </w:rPr>
        <w:t>2000</w:t>
      </w:r>
      <w:r>
        <w:rPr>
          <w:rFonts w:eastAsiaTheme="minorEastAsia"/>
          <w:color w:val="000000" w:themeColor="text1"/>
          <w:szCs w:val="21"/>
        </w:rPr>
        <w:t>年和</w:t>
      </w:r>
      <w:r>
        <w:rPr>
          <w:rFonts w:eastAsiaTheme="minorEastAsia"/>
          <w:color w:val="000000" w:themeColor="text1"/>
          <w:szCs w:val="21"/>
        </w:rPr>
        <w:t>2008</w:t>
      </w:r>
      <w:r>
        <w:rPr>
          <w:rFonts w:eastAsiaTheme="minorEastAsia"/>
          <w:color w:val="000000" w:themeColor="text1"/>
          <w:szCs w:val="21"/>
        </w:rPr>
        <w:t>年的全球股票熊市均经历过。在</w:t>
      </w:r>
      <w:r>
        <w:rPr>
          <w:rFonts w:eastAsiaTheme="minorEastAsia"/>
          <w:color w:val="000000" w:themeColor="text1"/>
          <w:szCs w:val="21"/>
        </w:rPr>
        <w:t>2000</w:t>
      </w:r>
      <w:r>
        <w:rPr>
          <w:rFonts w:eastAsiaTheme="minorEastAsia"/>
          <w:color w:val="000000" w:themeColor="text1"/>
          <w:szCs w:val="21"/>
        </w:rPr>
        <w:t>年股票熊市期间，黄金与全球金矿股指数分别从当年高点下跌</w:t>
      </w:r>
      <w:r>
        <w:rPr>
          <w:rFonts w:eastAsiaTheme="minorEastAsia"/>
          <w:color w:val="000000" w:themeColor="text1"/>
          <w:szCs w:val="21"/>
        </w:rPr>
        <w:t>16%</w:t>
      </w:r>
      <w:r>
        <w:rPr>
          <w:rFonts w:eastAsiaTheme="minorEastAsia"/>
          <w:color w:val="000000" w:themeColor="text1"/>
          <w:szCs w:val="21"/>
        </w:rPr>
        <w:t>与</w:t>
      </w:r>
      <w:r>
        <w:rPr>
          <w:rFonts w:eastAsiaTheme="minorEastAsia"/>
          <w:color w:val="000000" w:themeColor="text1"/>
          <w:szCs w:val="21"/>
        </w:rPr>
        <w:t>43%</w:t>
      </w:r>
      <w:r>
        <w:rPr>
          <w:rFonts w:eastAsiaTheme="minorEastAsia"/>
          <w:color w:val="000000" w:themeColor="text1"/>
          <w:szCs w:val="21"/>
        </w:rPr>
        <w:t>，然后在接下来</w:t>
      </w:r>
      <w:r>
        <w:rPr>
          <w:rFonts w:eastAsiaTheme="minorEastAsia"/>
          <w:color w:val="000000" w:themeColor="text1"/>
          <w:szCs w:val="21"/>
        </w:rPr>
        <w:t>3</w:t>
      </w:r>
      <w:r>
        <w:rPr>
          <w:rFonts w:eastAsiaTheme="minorEastAsia"/>
          <w:color w:val="000000" w:themeColor="text1"/>
          <w:szCs w:val="21"/>
        </w:rPr>
        <w:t>年分别累计上涨</w:t>
      </w:r>
      <w:r>
        <w:rPr>
          <w:rFonts w:eastAsiaTheme="minorEastAsia"/>
          <w:color w:val="000000" w:themeColor="text1"/>
          <w:szCs w:val="21"/>
        </w:rPr>
        <w:t>45%</w:t>
      </w:r>
      <w:r>
        <w:rPr>
          <w:rFonts w:eastAsiaTheme="minorEastAsia"/>
          <w:color w:val="000000" w:themeColor="text1"/>
          <w:szCs w:val="21"/>
        </w:rPr>
        <w:t>与</w:t>
      </w:r>
      <w:r>
        <w:rPr>
          <w:rFonts w:eastAsiaTheme="minorEastAsia"/>
          <w:color w:val="000000" w:themeColor="text1"/>
          <w:szCs w:val="21"/>
        </w:rPr>
        <w:t>307%</w:t>
      </w:r>
      <w:r>
        <w:rPr>
          <w:rFonts w:eastAsiaTheme="minorEastAsia"/>
          <w:color w:val="000000" w:themeColor="text1"/>
          <w:szCs w:val="21"/>
        </w:rPr>
        <w:t>。在</w:t>
      </w:r>
      <w:r>
        <w:rPr>
          <w:rFonts w:eastAsiaTheme="minorEastAsia"/>
          <w:color w:val="000000" w:themeColor="text1"/>
          <w:szCs w:val="21"/>
        </w:rPr>
        <w:t>2008</w:t>
      </w:r>
      <w:r>
        <w:rPr>
          <w:rFonts w:eastAsiaTheme="minorEastAsia"/>
          <w:color w:val="000000" w:themeColor="text1"/>
          <w:szCs w:val="21"/>
        </w:rPr>
        <w:t>年全球金融危机时，黄金与全球金矿股指数分别从当年高点快速回撤</w:t>
      </w:r>
      <w:r>
        <w:rPr>
          <w:rFonts w:eastAsiaTheme="minorEastAsia"/>
          <w:color w:val="000000" w:themeColor="text1"/>
          <w:szCs w:val="21"/>
        </w:rPr>
        <w:t>29%</w:t>
      </w:r>
      <w:r>
        <w:rPr>
          <w:rFonts w:eastAsiaTheme="minorEastAsia"/>
          <w:color w:val="000000" w:themeColor="text1"/>
          <w:szCs w:val="21"/>
        </w:rPr>
        <w:t>与</w:t>
      </w:r>
      <w:r>
        <w:rPr>
          <w:rFonts w:eastAsiaTheme="minorEastAsia"/>
          <w:color w:val="000000" w:themeColor="text1"/>
          <w:szCs w:val="21"/>
        </w:rPr>
        <w:t>71%</w:t>
      </w:r>
      <w:r>
        <w:rPr>
          <w:rFonts w:eastAsiaTheme="minorEastAsia"/>
          <w:color w:val="000000" w:themeColor="text1"/>
          <w:szCs w:val="21"/>
        </w:rPr>
        <w:t>，然后在接下来</w:t>
      </w:r>
      <w:r>
        <w:rPr>
          <w:rFonts w:eastAsiaTheme="minorEastAsia"/>
          <w:color w:val="000000" w:themeColor="text1"/>
          <w:szCs w:val="21"/>
        </w:rPr>
        <w:t>3</w:t>
      </w:r>
      <w:r>
        <w:rPr>
          <w:rFonts w:eastAsiaTheme="minorEastAsia"/>
          <w:color w:val="000000" w:themeColor="text1"/>
          <w:szCs w:val="21"/>
        </w:rPr>
        <w:t>年分别累计上涨</w:t>
      </w:r>
      <w:r>
        <w:rPr>
          <w:rFonts w:eastAsiaTheme="minorEastAsia"/>
          <w:color w:val="000000" w:themeColor="text1"/>
          <w:szCs w:val="21"/>
        </w:rPr>
        <w:t>151%</w:t>
      </w:r>
      <w:r>
        <w:rPr>
          <w:rFonts w:eastAsiaTheme="minorEastAsia"/>
          <w:color w:val="000000" w:themeColor="text1"/>
          <w:szCs w:val="21"/>
        </w:rPr>
        <w:t>与</w:t>
      </w:r>
      <w:r>
        <w:rPr>
          <w:rFonts w:eastAsiaTheme="minorEastAsia"/>
          <w:color w:val="000000" w:themeColor="text1"/>
          <w:szCs w:val="21"/>
        </w:rPr>
        <w:t>290%</w:t>
      </w:r>
      <w:r>
        <w:rPr>
          <w:rFonts w:eastAsiaTheme="minorEastAsia"/>
          <w:color w:val="000000" w:themeColor="text1"/>
          <w:szCs w:val="21"/>
        </w:rPr>
        <w:t>。在本轮美股已经确认熊市后，全球央行料将长期维持着非常宽松的货币政策。而各国的财政政策将在未来打破通缩预期，压低实际利率水平。而美元多年牛市亦将宣告结束，失业压力对社会稳定和地缘政治环境的冲击将持续带动避险情绪的升级。</w:t>
      </w:r>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我们对黄金和金矿股资产的牛市判断的核心因素非但没有改变，反而得到了进一步的确立和强化。短期的波动实际上是黄金资产多年牛市的前期必经的调整期，我们建议投资者保持耐心，更加积极的看待黄金资产的中长期前景。本基金亦将继续积极的管理，力争降低短期调整期的回撤，把握中长期的上涨行情，取得相对基准的超额收益。</w:t>
      </w:r>
    </w:p>
    <w:p w:rsidR="007B62FA" w:rsidRPr="00940842" w:rsidRDefault="009D1492" w:rsidP="00940842">
      <w:pPr>
        <w:pStyle w:val="20"/>
        <w:spacing w:before="0" w:after="0"/>
        <w:rPr>
          <w:rFonts w:asciiTheme="majorEastAsia" w:eastAsiaTheme="majorEastAsia" w:hAnsiTheme="majorEastAsia"/>
          <w:color w:val="000000" w:themeColor="text1"/>
          <w:kern w:val="0"/>
          <w:sz w:val="21"/>
          <w:szCs w:val="21"/>
        </w:rPr>
      </w:pPr>
      <w:bookmarkStart w:id="130" w:name="_Toc247959456"/>
      <w:bookmarkStart w:id="131" w:name="_Toc245801806"/>
      <w:bookmarkStart w:id="132" w:name="_Toc352255978"/>
      <w:bookmarkStart w:id="133" w:name="_Toc352256046"/>
      <w:bookmarkStart w:id="134" w:name="_Toc352331224"/>
      <w:bookmarkStart w:id="135" w:name="_Toc362424002"/>
      <w:bookmarkStart w:id="136" w:name="_Toc35533812"/>
      <w:r w:rsidRPr="00940842">
        <w:rPr>
          <w:rFonts w:asciiTheme="majorEastAsia" w:eastAsiaTheme="majorEastAsia" w:hAnsiTheme="majorEastAsia"/>
          <w:color w:val="000000" w:themeColor="text1"/>
          <w:kern w:val="0"/>
          <w:sz w:val="21"/>
          <w:szCs w:val="21"/>
        </w:rPr>
        <w:t>4.7</w:t>
      </w:r>
      <w:r w:rsidR="00FC2F24"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管理人内部有关本基金的监察稽核工作情况</w:t>
      </w:r>
      <w:bookmarkEnd w:id="130"/>
      <w:bookmarkEnd w:id="131"/>
      <w:bookmarkEnd w:id="132"/>
      <w:bookmarkEnd w:id="133"/>
      <w:bookmarkEnd w:id="134"/>
      <w:bookmarkEnd w:id="135"/>
      <w:bookmarkEnd w:id="136"/>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本年度，主要监察稽核工作及措施如下：</w:t>
      </w:r>
      <w:r>
        <w:rPr>
          <w:rFonts w:eastAsiaTheme="minorEastAsia"/>
          <w:color w:val="000000" w:themeColor="text1"/>
          <w:szCs w:val="21"/>
        </w:rPr>
        <w:t xml:space="preserve"> </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）培育合规文化体系、严守合规底线、防控重大合规风险是监察稽核工作的重中之重。围绕这个工作重点，加大力度开展员工合规风控教育培训，进一步树立、强化</w:t>
      </w:r>
      <w:r>
        <w:rPr>
          <w:rFonts w:eastAsiaTheme="minorEastAsia"/>
          <w:color w:val="000000" w:themeColor="text1"/>
          <w:szCs w:val="21"/>
        </w:rPr>
        <w:t>“</w:t>
      </w:r>
      <w:r>
        <w:rPr>
          <w:rFonts w:eastAsiaTheme="minorEastAsia"/>
          <w:color w:val="000000" w:themeColor="text1"/>
          <w:szCs w:val="21"/>
        </w:rPr>
        <w:t>诚信、规范、专业、稳健</w:t>
      </w:r>
      <w:r>
        <w:rPr>
          <w:rFonts w:eastAsiaTheme="minorEastAsia"/>
          <w:color w:val="000000" w:themeColor="text1"/>
          <w:szCs w:val="21"/>
        </w:rPr>
        <w:t>”</w:t>
      </w:r>
      <w:r>
        <w:rPr>
          <w:rFonts w:eastAsiaTheme="minorEastAsia"/>
          <w:color w:val="000000" w:themeColor="text1"/>
          <w:szCs w:val="21"/>
        </w:rPr>
        <w:t>的基金行业文化理念和</w:t>
      </w:r>
      <w:r>
        <w:rPr>
          <w:rFonts w:eastAsiaTheme="minorEastAsia"/>
          <w:color w:val="000000" w:themeColor="text1"/>
          <w:szCs w:val="21"/>
        </w:rPr>
        <w:t>“</w:t>
      </w:r>
      <w:r>
        <w:rPr>
          <w:rFonts w:eastAsiaTheme="minorEastAsia"/>
          <w:color w:val="000000" w:themeColor="text1"/>
          <w:szCs w:val="21"/>
        </w:rPr>
        <w:t>忠实注意、谨慎勤勉</w:t>
      </w:r>
      <w:r>
        <w:rPr>
          <w:rFonts w:eastAsiaTheme="minorEastAsia"/>
          <w:color w:val="000000" w:themeColor="text1"/>
          <w:szCs w:val="21"/>
        </w:rPr>
        <w:t>”</w:t>
      </w:r>
      <w:r>
        <w:rPr>
          <w:rFonts w:eastAsiaTheme="minorEastAsia"/>
          <w:color w:val="000000" w:themeColor="text1"/>
          <w:szCs w:val="21"/>
        </w:rPr>
        <w:t>的信义义务意识，促进公司合规文化建设；持续完善制度流程和系统工具，重点规范和监控公平交易、异常交易、关联交易，严格防控内幕交易、市场操纵和利益输送等违法违规行为。</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）坚持</w:t>
      </w:r>
      <w:r>
        <w:rPr>
          <w:rFonts w:eastAsiaTheme="minorEastAsia"/>
          <w:color w:val="000000" w:themeColor="text1"/>
          <w:szCs w:val="21"/>
        </w:rPr>
        <w:t>“</w:t>
      </w:r>
      <w:r>
        <w:rPr>
          <w:rFonts w:eastAsiaTheme="minorEastAsia"/>
          <w:color w:val="000000" w:themeColor="text1"/>
          <w:szCs w:val="21"/>
        </w:rPr>
        <w:t>保规范、防风险</w:t>
      </w:r>
      <w:r>
        <w:rPr>
          <w:rFonts w:eastAsiaTheme="minorEastAsia"/>
          <w:color w:val="000000" w:themeColor="text1"/>
          <w:szCs w:val="21"/>
        </w:rPr>
        <w:t>”</w:t>
      </w:r>
      <w:r>
        <w:rPr>
          <w:rFonts w:eastAsiaTheme="minorEastAsia"/>
          <w:color w:val="000000" w:themeColor="text1"/>
          <w:szCs w:val="21"/>
        </w:rPr>
        <w:t>的思路，紧密跟踪监管政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4</w:t>
      </w:r>
      <w:r>
        <w:rPr>
          <w:rFonts w:eastAsiaTheme="minorEastAsia"/>
          <w:color w:val="000000" w:themeColor="text1"/>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5</w:t>
      </w:r>
      <w:r>
        <w:rPr>
          <w:rFonts w:eastAsiaTheme="minorEastAsia"/>
          <w:color w:val="000000" w:themeColor="text1"/>
          <w:szCs w:val="21"/>
        </w:rPr>
        <w:t>）积极参与新产品设计、新业务拓展工作，就相关问题提供合规咨询建议，严格进行合规审查。</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6</w:t>
      </w:r>
      <w:r>
        <w:rPr>
          <w:rFonts w:eastAsiaTheme="minorEastAsia"/>
          <w:color w:val="000000" w:themeColor="text1"/>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w:t>
      </w:r>
      <w:r>
        <w:rPr>
          <w:rFonts w:eastAsiaTheme="minorEastAsia"/>
          <w:color w:val="000000" w:themeColor="text1"/>
          <w:szCs w:val="21"/>
        </w:rPr>
        <w:t>“</w:t>
      </w:r>
      <w:r>
        <w:rPr>
          <w:rFonts w:eastAsiaTheme="minorEastAsia"/>
          <w:color w:val="000000" w:themeColor="text1"/>
          <w:szCs w:val="21"/>
        </w:rPr>
        <w:t>了解客户、了解产品，将适当产品销售给适当客户</w:t>
      </w:r>
      <w:r>
        <w:rPr>
          <w:rFonts w:eastAsiaTheme="minorEastAsia"/>
          <w:color w:val="000000" w:themeColor="text1"/>
          <w:szCs w:val="21"/>
        </w:rPr>
        <w:t>”</w:t>
      </w:r>
      <w:r>
        <w:rPr>
          <w:rFonts w:eastAsiaTheme="minorEastAsia"/>
          <w:color w:val="000000" w:themeColor="text1"/>
          <w:szCs w:val="21"/>
        </w:rPr>
        <w:t>的职责义务，切实保障投资者合法权益。</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7</w:t>
      </w:r>
      <w:r>
        <w:rPr>
          <w:rFonts w:eastAsiaTheme="minorEastAsia"/>
          <w:color w:val="000000" w:themeColor="text1"/>
          <w:szCs w:val="21"/>
        </w:rPr>
        <w:t>）提高认识，主动作为，积极践行</w:t>
      </w:r>
      <w:r>
        <w:rPr>
          <w:rFonts w:eastAsiaTheme="minorEastAsia"/>
          <w:color w:val="000000" w:themeColor="text1"/>
          <w:szCs w:val="21"/>
        </w:rPr>
        <w:t>“</w:t>
      </w:r>
      <w:r>
        <w:rPr>
          <w:rFonts w:eastAsiaTheme="minorEastAsia"/>
          <w:color w:val="000000" w:themeColor="text1"/>
          <w:szCs w:val="21"/>
        </w:rPr>
        <w:t>风险为本</w:t>
      </w:r>
      <w:r>
        <w:rPr>
          <w:rFonts w:eastAsiaTheme="minorEastAsia"/>
          <w:color w:val="000000" w:themeColor="text1"/>
          <w:szCs w:val="21"/>
        </w:rPr>
        <w:t>”</w:t>
      </w:r>
      <w:r>
        <w:rPr>
          <w:rFonts w:eastAsiaTheme="minorEastAsia"/>
          <w:color w:val="000000" w:themeColor="text1"/>
          <w:szCs w:val="21"/>
        </w:rPr>
        <w:t>的反洗钱工作方法，贯彻落实《法人金融机构洗钱和恐怖融资风险管理指引（试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8</w:t>
      </w:r>
      <w:r>
        <w:rPr>
          <w:rFonts w:eastAsiaTheme="minorEastAsia"/>
          <w:color w:val="000000" w:themeColor="text1"/>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9</w:t>
      </w:r>
      <w:r>
        <w:rPr>
          <w:rFonts w:eastAsiaTheme="minorEastAsia"/>
          <w:color w:val="000000" w:themeColor="text1"/>
          <w:szCs w:val="21"/>
        </w:rPr>
        <w:t>）不断完善合规管控框架和机制，促进监察稽核自身工具手段和流程的完善，持续提升监察稽核工作的独立性、规范性、针对性与有效性。</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w:t>
      </w:r>
      <w:r>
        <w:rPr>
          <w:rFonts w:eastAsiaTheme="minorEastAsia"/>
          <w:color w:val="000000" w:themeColor="text1"/>
          <w:szCs w:val="21"/>
        </w:rPr>
        <w:t>2019</w:t>
      </w:r>
      <w:r>
        <w:rPr>
          <w:rFonts w:eastAsiaTheme="minorEastAsia"/>
          <w:color w:val="000000" w:themeColor="text1"/>
          <w:szCs w:val="21"/>
        </w:rPr>
        <w:t>年末，公司已通过</w:t>
      </w:r>
      <w:r>
        <w:rPr>
          <w:rFonts w:eastAsiaTheme="minorEastAsia"/>
          <w:color w:val="000000" w:themeColor="text1"/>
          <w:szCs w:val="21"/>
        </w:rPr>
        <w:t>GIPS</w:t>
      </w:r>
      <w:r>
        <w:rPr>
          <w:rFonts w:eastAsiaTheme="minorEastAsia"/>
          <w:color w:val="000000" w:themeColor="text1"/>
          <w:szCs w:val="21"/>
        </w:rPr>
        <w:t>（全球投资业绩标准）验证，获得</w:t>
      </w:r>
      <w:r>
        <w:rPr>
          <w:rFonts w:eastAsiaTheme="minorEastAsia"/>
          <w:color w:val="000000" w:themeColor="text1"/>
          <w:szCs w:val="21"/>
        </w:rPr>
        <w:t>GIPS</w:t>
      </w:r>
      <w:r>
        <w:rPr>
          <w:rFonts w:eastAsiaTheme="minorEastAsia"/>
          <w:color w:val="000000" w:themeColor="text1"/>
          <w:szCs w:val="21"/>
        </w:rPr>
        <w:t>验证报告，验证日期区间为</w:t>
      </w:r>
      <w:r>
        <w:rPr>
          <w:rFonts w:eastAsiaTheme="minorEastAsia"/>
          <w:color w:val="000000" w:themeColor="text1"/>
          <w:szCs w:val="21"/>
        </w:rPr>
        <w:t>2001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日。通过开展</w:t>
      </w:r>
      <w:r>
        <w:rPr>
          <w:rFonts w:eastAsiaTheme="minorEastAsia"/>
          <w:color w:val="000000" w:themeColor="text1"/>
          <w:szCs w:val="21"/>
        </w:rPr>
        <w:t>GIPS</w:t>
      </w:r>
      <w:r>
        <w:rPr>
          <w:rFonts w:eastAsiaTheme="minorEastAsia"/>
          <w:color w:val="000000" w:themeColor="text1"/>
          <w:szCs w:val="21"/>
        </w:rPr>
        <w:t>验证项目，促进公司进一步夯实运营及内控基础，提升核心竞争力。</w:t>
      </w:r>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7B62FA" w:rsidRPr="00940842" w:rsidRDefault="009D1492" w:rsidP="00940842">
      <w:pPr>
        <w:pStyle w:val="20"/>
        <w:spacing w:before="0" w:after="0"/>
        <w:rPr>
          <w:rFonts w:asciiTheme="majorEastAsia" w:eastAsiaTheme="majorEastAsia" w:hAnsiTheme="majorEastAsia"/>
          <w:color w:val="000000" w:themeColor="text1"/>
          <w:kern w:val="0"/>
          <w:sz w:val="21"/>
          <w:szCs w:val="21"/>
        </w:rPr>
      </w:pPr>
      <w:bookmarkStart w:id="137" w:name="_Toc247959457"/>
      <w:bookmarkStart w:id="138" w:name="_Toc225570083"/>
      <w:bookmarkStart w:id="139" w:name="_Toc352255979"/>
      <w:bookmarkStart w:id="140" w:name="_Toc352256047"/>
      <w:bookmarkStart w:id="141" w:name="_Toc352331225"/>
      <w:bookmarkStart w:id="142" w:name="_Toc362424003"/>
      <w:bookmarkStart w:id="143" w:name="_Toc35533813"/>
      <w:r w:rsidRPr="00940842">
        <w:rPr>
          <w:rFonts w:asciiTheme="majorEastAsia" w:eastAsiaTheme="majorEastAsia" w:hAnsiTheme="majorEastAsia"/>
          <w:color w:val="000000" w:themeColor="text1"/>
          <w:kern w:val="0"/>
          <w:sz w:val="21"/>
          <w:szCs w:val="21"/>
        </w:rPr>
        <w:t>4.8</w:t>
      </w:r>
      <w:r w:rsidR="00FC2F24"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管理人对报告期内基金估值程序等事项的说明</w:t>
      </w:r>
      <w:bookmarkEnd w:id="137"/>
      <w:bookmarkEnd w:id="138"/>
      <w:bookmarkEnd w:id="139"/>
      <w:bookmarkEnd w:id="140"/>
      <w:bookmarkEnd w:id="141"/>
      <w:bookmarkEnd w:id="142"/>
      <w:bookmarkEnd w:id="143"/>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color w:val="000000" w:themeColor="text1"/>
          <w:szCs w:val="21"/>
        </w:rPr>
        <w:t xml:space="preserve"> </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color w:val="000000" w:themeColor="text1"/>
          <w:szCs w:val="21"/>
        </w:rPr>
        <w:t xml:space="preserve"> </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本报告期内，参与估值流程各方之间不存在任何重大利益冲突。</w:t>
      </w:r>
      <w:r>
        <w:rPr>
          <w:rFonts w:eastAsiaTheme="minorEastAsia"/>
          <w:color w:val="000000" w:themeColor="text1"/>
          <w:szCs w:val="21"/>
        </w:rPr>
        <w:t xml:space="preserve"> </w:t>
      </w:r>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7B62FA" w:rsidRPr="00940842" w:rsidRDefault="009D1492" w:rsidP="00940842">
      <w:pPr>
        <w:pStyle w:val="20"/>
        <w:spacing w:before="0" w:after="0"/>
        <w:rPr>
          <w:rFonts w:asciiTheme="majorEastAsia" w:eastAsiaTheme="majorEastAsia" w:hAnsiTheme="majorEastAsia"/>
          <w:color w:val="000000" w:themeColor="text1"/>
          <w:kern w:val="0"/>
          <w:sz w:val="21"/>
          <w:szCs w:val="21"/>
        </w:rPr>
      </w:pPr>
      <w:bookmarkStart w:id="144" w:name="_Toc247959458"/>
      <w:bookmarkStart w:id="145" w:name="_Toc225570084"/>
      <w:bookmarkStart w:id="146" w:name="_Toc352255980"/>
      <w:bookmarkStart w:id="147" w:name="_Toc352256048"/>
      <w:bookmarkStart w:id="148" w:name="_Toc352331226"/>
      <w:bookmarkStart w:id="149" w:name="_Toc362424004"/>
      <w:bookmarkStart w:id="150" w:name="_Toc35533814"/>
      <w:r w:rsidRPr="00940842">
        <w:rPr>
          <w:rFonts w:asciiTheme="majorEastAsia" w:eastAsiaTheme="majorEastAsia" w:hAnsiTheme="majorEastAsia"/>
          <w:color w:val="000000" w:themeColor="text1"/>
          <w:kern w:val="0"/>
          <w:sz w:val="21"/>
          <w:szCs w:val="21"/>
        </w:rPr>
        <w:t>4.9</w:t>
      </w:r>
      <w:r w:rsidR="00FC2F24"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管理人对报告期内基金利润分配情况的说明</w:t>
      </w:r>
      <w:bookmarkEnd w:id="144"/>
      <w:bookmarkEnd w:id="145"/>
      <w:bookmarkEnd w:id="146"/>
      <w:bookmarkEnd w:id="147"/>
      <w:bookmarkEnd w:id="148"/>
      <w:bookmarkEnd w:id="149"/>
      <w:bookmarkEnd w:id="150"/>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易方达黄金主题（</w:t>
      </w:r>
      <w:r>
        <w:rPr>
          <w:rFonts w:eastAsiaTheme="minorEastAsia"/>
          <w:color w:val="000000" w:themeColor="text1"/>
          <w:szCs w:val="21"/>
        </w:rPr>
        <w:t>QDII-LOF-FOF</w:t>
      </w:r>
      <w:r>
        <w:rPr>
          <w:rFonts w:eastAsiaTheme="minorEastAsia"/>
          <w:color w:val="000000" w:themeColor="text1"/>
          <w:szCs w:val="21"/>
        </w:rPr>
        <w:t>）</w:t>
      </w:r>
      <w:r>
        <w:rPr>
          <w:rFonts w:eastAsiaTheme="minorEastAsia"/>
          <w:color w:val="000000" w:themeColor="text1"/>
          <w:szCs w:val="21"/>
        </w:rPr>
        <w:t>A:</w:t>
      </w:r>
      <w:r>
        <w:rPr>
          <w:rFonts w:eastAsiaTheme="minorEastAsia"/>
          <w:color w:val="000000" w:themeColor="text1"/>
          <w:szCs w:val="21"/>
        </w:rPr>
        <w:t>本报告期内未实施利润分配。</w:t>
      </w:r>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易方达黄金主题（</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C:</w:t>
      </w:r>
      <w:r w:rsidRPr="00896265">
        <w:rPr>
          <w:rFonts w:eastAsiaTheme="minorEastAsia"/>
          <w:color w:val="000000" w:themeColor="text1"/>
          <w:szCs w:val="21"/>
        </w:rPr>
        <w:t>本报告期内未实施利润分配。</w:t>
      </w:r>
    </w:p>
    <w:p w:rsidR="007B62FA" w:rsidRPr="00AB6698" w:rsidRDefault="007B62FA" w:rsidP="007E24F2">
      <w:pPr>
        <w:pStyle w:val="20"/>
        <w:tabs>
          <w:tab w:val="num" w:pos="425"/>
        </w:tabs>
        <w:spacing w:beforeLines="100" w:before="312" w:afterLines="100" w:after="312"/>
        <w:ind w:left="425" w:hanging="425"/>
        <w:jc w:val="center"/>
        <w:rPr>
          <w:rFonts w:ascii="宋体" w:hAnsi="宋体" w:cs="Arial"/>
          <w:color w:val="000000"/>
          <w:sz w:val="21"/>
          <w:szCs w:val="21"/>
        </w:rPr>
      </w:pPr>
      <w:bookmarkStart w:id="151" w:name="_Toc225498263"/>
      <w:bookmarkStart w:id="152" w:name="_Toc352255982"/>
      <w:bookmarkStart w:id="153" w:name="_Toc352256050"/>
      <w:bookmarkStart w:id="154" w:name="_Toc352331228"/>
      <w:bookmarkStart w:id="155" w:name="_Toc362424006"/>
      <w:bookmarkStart w:id="156" w:name="_Toc35533815"/>
      <w:r w:rsidRPr="00AB6698">
        <w:rPr>
          <w:rFonts w:ascii="宋体" w:hAnsi="宋体" w:cs="Arial"/>
          <w:color w:val="000000"/>
          <w:sz w:val="21"/>
          <w:szCs w:val="21"/>
        </w:rPr>
        <w:t>§</w:t>
      </w:r>
      <w:r w:rsidR="003E5E48" w:rsidRPr="00AB6698">
        <w:rPr>
          <w:rFonts w:ascii="宋体" w:hAnsi="宋体" w:cs="Arial"/>
          <w:color w:val="000000"/>
          <w:sz w:val="21"/>
          <w:szCs w:val="21"/>
        </w:rPr>
        <w:t>5</w:t>
      </w:r>
      <w:r w:rsidR="00A6121D" w:rsidRPr="00AB6698">
        <w:rPr>
          <w:rFonts w:ascii="宋体" w:hAnsi="宋体" w:cs="Arial"/>
          <w:color w:val="000000"/>
          <w:sz w:val="21"/>
          <w:szCs w:val="21"/>
        </w:rPr>
        <w:t xml:space="preserve">    </w:t>
      </w:r>
      <w:r w:rsidRPr="00AB6698">
        <w:rPr>
          <w:rFonts w:ascii="宋体" w:hAnsi="宋体" w:cs="Arial"/>
          <w:color w:val="000000"/>
          <w:sz w:val="21"/>
          <w:szCs w:val="21"/>
        </w:rPr>
        <w:t>托管人报告</w:t>
      </w:r>
      <w:bookmarkEnd w:id="151"/>
      <w:bookmarkEnd w:id="152"/>
      <w:bookmarkEnd w:id="153"/>
      <w:bookmarkEnd w:id="154"/>
      <w:bookmarkEnd w:id="155"/>
      <w:bookmarkEnd w:id="156"/>
    </w:p>
    <w:p w:rsidR="007B62FA" w:rsidRPr="00940842" w:rsidRDefault="007B62FA" w:rsidP="00C03E37">
      <w:pPr>
        <w:pStyle w:val="20"/>
        <w:spacing w:before="0" w:after="0"/>
        <w:rPr>
          <w:rFonts w:asciiTheme="majorEastAsia" w:eastAsiaTheme="majorEastAsia" w:hAnsiTheme="majorEastAsia"/>
          <w:color w:val="000000" w:themeColor="text1"/>
          <w:kern w:val="0"/>
          <w:sz w:val="21"/>
          <w:szCs w:val="21"/>
        </w:rPr>
      </w:pPr>
      <w:bookmarkStart w:id="157" w:name="_Toc225498264"/>
      <w:bookmarkStart w:id="158" w:name="_Toc352255983"/>
      <w:bookmarkStart w:id="159" w:name="_Toc352256051"/>
      <w:bookmarkStart w:id="160" w:name="_Toc352331229"/>
      <w:bookmarkStart w:id="161" w:name="_Toc362424007"/>
      <w:bookmarkStart w:id="162" w:name="_Toc35533816"/>
      <w:r w:rsidRPr="00940842">
        <w:rPr>
          <w:rFonts w:asciiTheme="majorEastAsia" w:eastAsiaTheme="majorEastAsia" w:hAnsiTheme="majorEastAsia"/>
          <w:color w:val="000000" w:themeColor="text1"/>
          <w:kern w:val="0"/>
          <w:sz w:val="21"/>
          <w:szCs w:val="21"/>
        </w:rPr>
        <w:t>5.1</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报告期内本基金托管人遵规守信情况声明</w:t>
      </w:r>
      <w:bookmarkEnd w:id="157"/>
      <w:bookmarkEnd w:id="158"/>
      <w:bookmarkEnd w:id="159"/>
      <w:bookmarkEnd w:id="160"/>
      <w:bookmarkEnd w:id="161"/>
      <w:bookmarkEnd w:id="162"/>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在托管本基金的过程中，本基金托管人中国农业银行股份有限公司严格遵守《证券投资基金法》相关法律法规的规定以及基金合同、托管协议的约定，对本基金基金管理人</w:t>
      </w:r>
      <w:r w:rsidRPr="00896265">
        <w:rPr>
          <w:rFonts w:eastAsiaTheme="minorEastAsia"/>
          <w:color w:val="000000" w:themeColor="text1"/>
          <w:szCs w:val="21"/>
        </w:rPr>
        <w:t>—</w:t>
      </w:r>
      <w:r w:rsidRPr="00896265">
        <w:rPr>
          <w:rFonts w:eastAsiaTheme="minorEastAsia"/>
          <w:color w:val="000000" w:themeColor="text1"/>
          <w:szCs w:val="21"/>
        </w:rPr>
        <w:t>易方达基金管理有限公司</w:t>
      </w:r>
      <w:r w:rsidRPr="00896265">
        <w:rPr>
          <w:rFonts w:eastAsiaTheme="minorEastAsia"/>
          <w:color w:val="000000" w:themeColor="text1"/>
          <w:szCs w:val="21"/>
        </w:rPr>
        <w:t xml:space="preserve"> 2019 </w:t>
      </w:r>
      <w:r w:rsidRPr="00896265">
        <w:rPr>
          <w:rFonts w:eastAsiaTheme="minorEastAsia"/>
          <w:color w:val="000000" w:themeColor="text1"/>
          <w:szCs w:val="21"/>
        </w:rPr>
        <w:t>年</w:t>
      </w:r>
      <w:r w:rsidRPr="00896265">
        <w:rPr>
          <w:rFonts w:eastAsiaTheme="minorEastAsia"/>
          <w:color w:val="000000" w:themeColor="text1"/>
          <w:szCs w:val="21"/>
        </w:rPr>
        <w:t xml:space="preserve"> 1 </w:t>
      </w:r>
      <w:r w:rsidRPr="00896265">
        <w:rPr>
          <w:rFonts w:eastAsiaTheme="minorEastAsia"/>
          <w:color w:val="000000" w:themeColor="text1"/>
          <w:szCs w:val="21"/>
        </w:rPr>
        <w:t>月</w:t>
      </w:r>
      <w:r w:rsidRPr="00896265">
        <w:rPr>
          <w:rFonts w:eastAsiaTheme="minorEastAsia"/>
          <w:color w:val="000000" w:themeColor="text1"/>
          <w:szCs w:val="21"/>
        </w:rPr>
        <w:t xml:space="preserve"> 1 </w:t>
      </w:r>
      <w:r w:rsidRPr="00896265">
        <w:rPr>
          <w:rFonts w:eastAsiaTheme="minorEastAsia"/>
          <w:color w:val="000000" w:themeColor="text1"/>
          <w:szCs w:val="21"/>
        </w:rPr>
        <w:t>日至</w:t>
      </w:r>
      <w:r w:rsidRPr="00896265">
        <w:rPr>
          <w:rFonts w:eastAsiaTheme="minorEastAsia"/>
          <w:color w:val="000000" w:themeColor="text1"/>
          <w:szCs w:val="21"/>
        </w:rPr>
        <w:t xml:space="preserve"> 2019</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日基金的投资运作，进行了认真、独立的会计核算和必要的投资监督，认真履行了托管人的义务，没有从事任何损害基金份额持有人利益的行为。</w:t>
      </w:r>
    </w:p>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163" w:name="_Toc225498265"/>
      <w:bookmarkStart w:id="164" w:name="_Toc352255984"/>
      <w:bookmarkStart w:id="165" w:name="_Toc352256052"/>
      <w:bookmarkStart w:id="166" w:name="_Toc352331230"/>
      <w:bookmarkStart w:id="167" w:name="_Toc362424008"/>
      <w:bookmarkStart w:id="168" w:name="_Toc35533817"/>
      <w:r w:rsidRPr="00940842">
        <w:rPr>
          <w:rFonts w:asciiTheme="majorEastAsia" w:eastAsiaTheme="majorEastAsia" w:hAnsiTheme="majorEastAsia"/>
          <w:color w:val="000000" w:themeColor="text1"/>
          <w:kern w:val="0"/>
          <w:sz w:val="21"/>
          <w:szCs w:val="21"/>
        </w:rPr>
        <w:t>5.2</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托管人对报告期内本基金投资运作遵规守信、净值计算、利润分配等情况的</w:t>
      </w:r>
      <w:bookmarkEnd w:id="163"/>
      <w:r w:rsidRPr="00940842">
        <w:rPr>
          <w:rFonts w:asciiTheme="majorEastAsia" w:eastAsiaTheme="majorEastAsia" w:hAnsiTheme="majorEastAsia"/>
          <w:color w:val="000000" w:themeColor="text1"/>
          <w:kern w:val="0"/>
          <w:sz w:val="21"/>
          <w:szCs w:val="21"/>
        </w:rPr>
        <w:t>说明</w:t>
      </w:r>
      <w:bookmarkEnd w:id="164"/>
      <w:bookmarkEnd w:id="165"/>
      <w:bookmarkEnd w:id="166"/>
      <w:bookmarkEnd w:id="167"/>
      <w:bookmarkEnd w:id="168"/>
    </w:p>
    <w:p w:rsidR="007B62FA" w:rsidRPr="00896265" w:rsidRDefault="007B62FA" w:rsidP="00E7046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本托管人认为</w:t>
      </w:r>
      <w:r w:rsidRPr="00896265">
        <w:rPr>
          <w:rFonts w:eastAsiaTheme="minorEastAsia"/>
          <w:color w:val="000000" w:themeColor="text1"/>
          <w:szCs w:val="21"/>
        </w:rPr>
        <w:t xml:space="preserve">, </w:t>
      </w:r>
      <w:r w:rsidRPr="00896265">
        <w:rPr>
          <w:rFonts w:eastAsiaTheme="minorEastAsia"/>
          <w:color w:val="000000" w:themeColor="text1"/>
          <w:szCs w:val="21"/>
        </w:rPr>
        <w:t>易方达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169" w:name="_Toc225498266"/>
      <w:bookmarkStart w:id="170" w:name="_Toc352255985"/>
      <w:bookmarkStart w:id="171" w:name="_Toc352256053"/>
      <w:bookmarkStart w:id="172" w:name="_Toc352331231"/>
      <w:bookmarkStart w:id="173" w:name="_Toc362424009"/>
      <w:bookmarkStart w:id="174" w:name="_Toc35533818"/>
      <w:r w:rsidRPr="00940842">
        <w:rPr>
          <w:rFonts w:asciiTheme="majorEastAsia" w:eastAsiaTheme="majorEastAsia" w:hAnsiTheme="majorEastAsia"/>
          <w:color w:val="000000" w:themeColor="text1"/>
          <w:kern w:val="0"/>
          <w:sz w:val="21"/>
          <w:szCs w:val="21"/>
        </w:rPr>
        <w:t>5.3</w:t>
      </w:r>
      <w:r w:rsidR="00FC2F24"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托管人对本年度报告中财务信息等内容的真实、准确和完整发表意见</w:t>
      </w:r>
      <w:bookmarkEnd w:id="169"/>
      <w:bookmarkEnd w:id="170"/>
      <w:bookmarkEnd w:id="171"/>
      <w:bookmarkEnd w:id="172"/>
      <w:bookmarkEnd w:id="173"/>
      <w:bookmarkEnd w:id="174"/>
    </w:p>
    <w:p w:rsidR="007B62FA" w:rsidRPr="00896265" w:rsidRDefault="007B62FA" w:rsidP="00C03E37">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本托管人认为，易方达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7B62FA" w:rsidRPr="00AB6698" w:rsidRDefault="007B62FA" w:rsidP="007E24F2">
      <w:pPr>
        <w:pStyle w:val="20"/>
        <w:tabs>
          <w:tab w:val="num" w:pos="425"/>
        </w:tabs>
        <w:spacing w:beforeLines="100" w:before="312" w:afterLines="100" w:after="312"/>
        <w:ind w:left="425" w:hanging="425"/>
        <w:jc w:val="center"/>
        <w:rPr>
          <w:rFonts w:ascii="宋体" w:hAnsi="宋体" w:cs="Arial"/>
          <w:color w:val="000000"/>
          <w:sz w:val="21"/>
          <w:szCs w:val="21"/>
        </w:rPr>
      </w:pPr>
      <w:bookmarkStart w:id="175" w:name="_Toc245801814"/>
      <w:bookmarkStart w:id="176" w:name="_Toc247959464"/>
      <w:bookmarkStart w:id="177" w:name="_Toc352255986"/>
      <w:bookmarkStart w:id="178" w:name="_Toc352256054"/>
      <w:bookmarkStart w:id="179" w:name="_Toc352331232"/>
      <w:bookmarkStart w:id="180" w:name="_Toc362424010"/>
      <w:bookmarkStart w:id="181" w:name="_Toc35533819"/>
      <w:r w:rsidRPr="00AB6698">
        <w:rPr>
          <w:rFonts w:ascii="宋体" w:hAnsi="宋体" w:cs="Arial"/>
          <w:color w:val="000000"/>
          <w:sz w:val="21"/>
          <w:szCs w:val="21"/>
        </w:rPr>
        <w:t>§</w:t>
      </w:r>
      <w:r w:rsidR="001822F7" w:rsidRPr="00AB6698">
        <w:rPr>
          <w:rFonts w:ascii="宋体" w:hAnsi="宋体" w:cs="Arial"/>
          <w:color w:val="000000"/>
          <w:sz w:val="21"/>
          <w:szCs w:val="21"/>
        </w:rPr>
        <w:t>6</w:t>
      </w:r>
      <w:r w:rsidR="00A6121D" w:rsidRPr="00AB6698">
        <w:rPr>
          <w:rFonts w:ascii="宋体" w:hAnsi="宋体" w:cs="Arial"/>
          <w:color w:val="000000"/>
          <w:sz w:val="21"/>
          <w:szCs w:val="21"/>
        </w:rPr>
        <w:t xml:space="preserve">    </w:t>
      </w:r>
      <w:r w:rsidRPr="00AB6698">
        <w:rPr>
          <w:rFonts w:ascii="宋体" w:hAnsi="宋体" w:cs="Arial"/>
          <w:color w:val="000000"/>
          <w:sz w:val="21"/>
          <w:szCs w:val="21"/>
        </w:rPr>
        <w:t>审计报告</w:t>
      </w:r>
      <w:bookmarkEnd w:id="175"/>
      <w:bookmarkEnd w:id="176"/>
      <w:bookmarkEnd w:id="177"/>
      <w:bookmarkEnd w:id="178"/>
      <w:bookmarkEnd w:id="179"/>
      <w:bookmarkEnd w:id="180"/>
      <w:bookmarkEnd w:id="181"/>
    </w:p>
    <w:p w:rsidR="004B6190" w:rsidRPr="00A73188" w:rsidRDefault="004B6190" w:rsidP="004B6190">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(2020)</w:t>
      </w:r>
      <w:r w:rsidRPr="00A73188">
        <w:rPr>
          <w:rFonts w:eastAsiaTheme="minorEastAsia"/>
          <w:color w:val="000000" w:themeColor="text1"/>
          <w:kern w:val="0"/>
          <w:szCs w:val="21"/>
        </w:rPr>
        <w:t>第</w:t>
      </w:r>
      <w:r w:rsidRPr="00A73188">
        <w:rPr>
          <w:rFonts w:eastAsiaTheme="minorEastAsia"/>
          <w:color w:val="000000" w:themeColor="text1"/>
          <w:kern w:val="0"/>
          <w:szCs w:val="21"/>
        </w:rPr>
        <w:t>21344</w:t>
      </w:r>
      <w:r w:rsidRPr="00A73188">
        <w:rPr>
          <w:rFonts w:eastAsiaTheme="minorEastAsia"/>
          <w:color w:val="000000" w:themeColor="text1"/>
          <w:kern w:val="0"/>
          <w:szCs w:val="21"/>
        </w:rPr>
        <w:t>号</w:t>
      </w:r>
    </w:p>
    <w:p w:rsidR="004B6190" w:rsidRPr="00A73188" w:rsidRDefault="004B6190" w:rsidP="004B6190">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易方达黄金主题证券投资基金</w:t>
      </w:r>
      <w:r w:rsidRPr="00A73188">
        <w:rPr>
          <w:rFonts w:eastAsiaTheme="minorEastAsia"/>
          <w:color w:val="000000" w:themeColor="text1"/>
          <w:kern w:val="0"/>
          <w:szCs w:val="21"/>
        </w:rPr>
        <w:t>(LOF)</w:t>
      </w:r>
      <w:r w:rsidRPr="00A73188">
        <w:rPr>
          <w:rFonts w:eastAsiaTheme="minorEastAsia"/>
          <w:color w:val="000000" w:themeColor="text1"/>
          <w:kern w:val="0"/>
          <w:szCs w:val="21"/>
        </w:rPr>
        <w:t>全体基金份额持有人</w:t>
      </w:r>
      <w:r w:rsidRPr="00A73188">
        <w:rPr>
          <w:rFonts w:eastAsiaTheme="minorEastAsia"/>
          <w:color w:val="000000" w:themeColor="text1"/>
          <w:szCs w:val="21"/>
        </w:rPr>
        <w:t>：</w:t>
      </w:r>
    </w:p>
    <w:p w:rsidR="004B6190" w:rsidRPr="00F5408E" w:rsidRDefault="004B6190" w:rsidP="00F5408E">
      <w:pPr>
        <w:pStyle w:val="20"/>
        <w:spacing w:before="0" w:after="0"/>
        <w:rPr>
          <w:rFonts w:ascii="宋体" w:hAnsi="宋体"/>
          <w:kern w:val="0"/>
          <w:sz w:val="21"/>
          <w:szCs w:val="21"/>
        </w:rPr>
      </w:pPr>
      <w:bookmarkStart w:id="182" w:name="_Toc35533820"/>
      <w:r w:rsidRPr="00F5408E">
        <w:rPr>
          <w:rFonts w:ascii="宋体" w:hAnsi="宋体"/>
          <w:kern w:val="0"/>
          <w:sz w:val="21"/>
          <w:szCs w:val="21"/>
        </w:rPr>
        <w:t>6.1</w:t>
      </w:r>
      <w:r w:rsidR="00490262" w:rsidRPr="00940842">
        <w:rPr>
          <w:rFonts w:asciiTheme="majorEastAsia" w:eastAsiaTheme="majorEastAsia" w:hAnsiTheme="majorEastAsia"/>
          <w:color w:val="000000" w:themeColor="text1"/>
          <w:kern w:val="0"/>
          <w:sz w:val="21"/>
          <w:szCs w:val="21"/>
        </w:rPr>
        <w:t xml:space="preserve">    </w:t>
      </w:r>
      <w:r w:rsidRPr="00F5408E">
        <w:rPr>
          <w:rFonts w:ascii="宋体" w:hAnsi="宋体"/>
          <w:kern w:val="0"/>
          <w:sz w:val="21"/>
          <w:szCs w:val="21"/>
        </w:rPr>
        <w:t>审计意见</w:t>
      </w:r>
      <w:bookmarkEnd w:id="182"/>
    </w:p>
    <w:p w:rsidR="00F14AEA" w:rsidRDefault="00EC6028">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我们审计的内容</w:t>
      </w:r>
    </w:p>
    <w:p w:rsidR="00F14AEA" w:rsidRDefault="00EC6028">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我们审计了易方达黄金主题证券投资基金</w:t>
      </w:r>
      <w:r>
        <w:rPr>
          <w:rFonts w:eastAsiaTheme="minorEastAsia"/>
          <w:color w:val="000000" w:themeColor="text1"/>
          <w:kern w:val="0"/>
          <w:szCs w:val="21"/>
        </w:rPr>
        <w:t>(LOF)</w:t>
      </w:r>
      <w:r>
        <w:rPr>
          <w:rFonts w:eastAsiaTheme="minorEastAsia"/>
          <w:color w:val="000000" w:themeColor="text1"/>
          <w:kern w:val="0"/>
          <w:szCs w:val="21"/>
        </w:rPr>
        <w:t>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F14AEA" w:rsidRDefault="00EC6028">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我们的意见</w:t>
      </w:r>
    </w:p>
    <w:p w:rsidR="004B6190" w:rsidRPr="00A73188" w:rsidRDefault="004B6190" w:rsidP="004B6190">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发布的有关规定及允许的基金行业实务操作编制，公允反映了易方达黄金主题证券投资基金</w:t>
      </w:r>
      <w:r w:rsidRPr="00A73188">
        <w:rPr>
          <w:rFonts w:eastAsiaTheme="minorEastAsia"/>
          <w:color w:val="000000" w:themeColor="text1"/>
          <w:kern w:val="0"/>
          <w:szCs w:val="21"/>
        </w:rPr>
        <w:t>(LOF)2019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年度的经营成果和基金净值变动情况。</w:t>
      </w:r>
    </w:p>
    <w:p w:rsidR="004B6190" w:rsidRPr="00A73188" w:rsidRDefault="004B6190" w:rsidP="00F5408E">
      <w:pPr>
        <w:pStyle w:val="20"/>
        <w:spacing w:before="0" w:after="0"/>
        <w:rPr>
          <w:rFonts w:ascii="Times New Roman" w:eastAsiaTheme="minorEastAsia" w:hAnsi="Times New Roman"/>
          <w:color w:val="000000" w:themeColor="text1"/>
          <w:kern w:val="0"/>
          <w:sz w:val="21"/>
          <w:szCs w:val="21"/>
        </w:rPr>
      </w:pPr>
      <w:bookmarkStart w:id="183" w:name="_Toc35533821"/>
      <w:r w:rsidRPr="00F5408E">
        <w:rPr>
          <w:rFonts w:ascii="宋体" w:hAnsi="宋体"/>
          <w:kern w:val="0"/>
          <w:sz w:val="21"/>
          <w:szCs w:val="21"/>
        </w:rPr>
        <w:t>6.2</w:t>
      </w:r>
      <w:r w:rsidR="00490262" w:rsidRPr="00940842">
        <w:rPr>
          <w:rFonts w:asciiTheme="majorEastAsia" w:eastAsiaTheme="majorEastAsia" w:hAnsiTheme="majorEastAsia"/>
          <w:color w:val="000000" w:themeColor="text1"/>
          <w:kern w:val="0"/>
          <w:sz w:val="21"/>
          <w:szCs w:val="21"/>
        </w:rPr>
        <w:t xml:space="preserve">    </w:t>
      </w:r>
      <w:r w:rsidRPr="00F5408E">
        <w:rPr>
          <w:rFonts w:ascii="宋体" w:hAnsi="宋体" w:hint="eastAsia"/>
          <w:kern w:val="0"/>
          <w:sz w:val="21"/>
          <w:szCs w:val="21"/>
        </w:rPr>
        <w:t>形成审计意见的基础</w:t>
      </w:r>
      <w:bookmarkEnd w:id="183"/>
    </w:p>
    <w:p w:rsidR="00F14AEA" w:rsidRDefault="00EC6028">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4B6190" w:rsidRPr="00A73188" w:rsidRDefault="004B6190" w:rsidP="004B6190">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按照中国注册会计师职业道德守则，我们独立于易方达黄金主题证券投资基金</w:t>
      </w:r>
      <w:r w:rsidRPr="00A73188">
        <w:rPr>
          <w:rFonts w:eastAsiaTheme="minorEastAsia" w:hint="eastAsia"/>
          <w:color w:val="000000" w:themeColor="text1"/>
          <w:szCs w:val="21"/>
        </w:rPr>
        <w:t>(LOF)</w:t>
      </w:r>
      <w:r w:rsidRPr="00A73188">
        <w:rPr>
          <w:rFonts w:eastAsiaTheme="minorEastAsia" w:hint="eastAsia"/>
          <w:color w:val="000000" w:themeColor="text1"/>
          <w:szCs w:val="21"/>
        </w:rPr>
        <w:t>，并履行了职业道德方面的其他责任。</w:t>
      </w:r>
    </w:p>
    <w:p w:rsidR="004B6190" w:rsidRPr="00A73188" w:rsidRDefault="004B6190" w:rsidP="00F5408E">
      <w:pPr>
        <w:pStyle w:val="20"/>
        <w:spacing w:before="0" w:after="0"/>
        <w:rPr>
          <w:rFonts w:ascii="Times New Roman" w:eastAsiaTheme="minorEastAsia" w:hAnsi="Times New Roman"/>
          <w:color w:val="000000" w:themeColor="text1"/>
          <w:kern w:val="0"/>
          <w:sz w:val="21"/>
          <w:szCs w:val="21"/>
        </w:rPr>
      </w:pPr>
      <w:bookmarkStart w:id="184" w:name="_Toc35533822"/>
      <w:r w:rsidRPr="00F5408E">
        <w:rPr>
          <w:rFonts w:ascii="宋体" w:hAnsi="宋体"/>
          <w:kern w:val="0"/>
          <w:sz w:val="21"/>
          <w:szCs w:val="21"/>
        </w:rPr>
        <w:t>6.3</w:t>
      </w:r>
      <w:r w:rsidR="00490262" w:rsidRPr="00940842">
        <w:rPr>
          <w:rFonts w:asciiTheme="majorEastAsia" w:eastAsiaTheme="majorEastAsia" w:hAnsiTheme="majorEastAsia"/>
          <w:color w:val="000000" w:themeColor="text1"/>
          <w:kern w:val="0"/>
          <w:sz w:val="21"/>
          <w:szCs w:val="21"/>
        </w:rPr>
        <w:t xml:space="preserve">    </w:t>
      </w:r>
      <w:r w:rsidRPr="00F5408E">
        <w:rPr>
          <w:rFonts w:ascii="宋体" w:hAnsi="宋体"/>
          <w:kern w:val="0"/>
          <w:sz w:val="21"/>
          <w:szCs w:val="21"/>
        </w:rPr>
        <w:t>管理层</w:t>
      </w:r>
      <w:r w:rsidRPr="00F5408E">
        <w:rPr>
          <w:rFonts w:ascii="宋体" w:hAnsi="宋体" w:hint="eastAsia"/>
          <w:kern w:val="0"/>
          <w:sz w:val="21"/>
          <w:szCs w:val="21"/>
        </w:rPr>
        <w:t>和治理层</w:t>
      </w:r>
      <w:r w:rsidRPr="00F5408E">
        <w:rPr>
          <w:rFonts w:ascii="宋体" w:hAnsi="宋体"/>
          <w:kern w:val="0"/>
          <w:sz w:val="21"/>
          <w:szCs w:val="21"/>
        </w:rPr>
        <w:t>对财务报表的责任</w:t>
      </w:r>
      <w:bookmarkEnd w:id="184"/>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易方达黄金主题证券投资基金</w:t>
      </w:r>
      <w:r>
        <w:rPr>
          <w:rFonts w:eastAsiaTheme="minorEastAsia"/>
          <w:color w:val="000000" w:themeColor="text1"/>
          <w:szCs w:val="21"/>
        </w:rPr>
        <w:t>(LOF)</w:t>
      </w:r>
      <w:r>
        <w:rPr>
          <w:rFonts w:eastAsiaTheme="minorEastAsia"/>
          <w:color w:val="000000" w:themeColor="text1"/>
          <w:szCs w:val="21"/>
        </w:rPr>
        <w:t>的基金管理人易方达基金管理有限公司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在编制财务报表时，基金管理人管理层负责评估易方达黄金主题证券投资基金</w:t>
      </w:r>
      <w:r>
        <w:rPr>
          <w:rFonts w:eastAsiaTheme="minorEastAsia"/>
          <w:color w:val="000000" w:themeColor="text1"/>
          <w:szCs w:val="21"/>
        </w:rPr>
        <w:t>(LOF)</w:t>
      </w:r>
      <w:r>
        <w:rPr>
          <w:rFonts w:eastAsiaTheme="minorEastAsia"/>
          <w:color w:val="000000" w:themeColor="text1"/>
          <w:szCs w:val="21"/>
        </w:rPr>
        <w:t>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w:t>
      </w:r>
      <w:r>
        <w:rPr>
          <w:rFonts w:eastAsiaTheme="minorEastAsia"/>
          <w:color w:val="000000" w:themeColor="text1"/>
          <w:szCs w:val="21"/>
        </w:rPr>
        <w:t xml:space="preserve"> </w:t>
      </w:r>
      <w:r>
        <w:rPr>
          <w:rFonts w:eastAsiaTheme="minorEastAsia"/>
          <w:color w:val="000000" w:themeColor="text1"/>
          <w:szCs w:val="21"/>
        </w:rPr>
        <w:t>持续经营假设，除非基金管理人管理层计划清算易方达黄金主题证券投资基金</w:t>
      </w:r>
      <w:r>
        <w:rPr>
          <w:rFonts w:eastAsiaTheme="minorEastAsia"/>
          <w:color w:val="000000" w:themeColor="text1"/>
          <w:szCs w:val="21"/>
        </w:rPr>
        <w:t>(LOF)</w:t>
      </w:r>
      <w:r>
        <w:rPr>
          <w:rFonts w:eastAsiaTheme="minorEastAsia"/>
          <w:color w:val="000000" w:themeColor="text1"/>
          <w:szCs w:val="21"/>
        </w:rPr>
        <w:t>、终止运营或别无其他现实的选择。</w:t>
      </w:r>
    </w:p>
    <w:p w:rsidR="004B6190" w:rsidRPr="00A73188" w:rsidRDefault="004B6190" w:rsidP="004B6190">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基金管理人治理层负责监督易方达黄金主题证券投资基金</w:t>
      </w:r>
      <w:r w:rsidRPr="00A73188">
        <w:rPr>
          <w:rFonts w:eastAsiaTheme="minorEastAsia"/>
          <w:color w:val="000000" w:themeColor="text1"/>
          <w:szCs w:val="21"/>
        </w:rPr>
        <w:t>(LOF)</w:t>
      </w:r>
      <w:r w:rsidRPr="00A73188">
        <w:rPr>
          <w:rFonts w:eastAsiaTheme="minorEastAsia"/>
          <w:color w:val="000000" w:themeColor="text1"/>
          <w:szCs w:val="21"/>
        </w:rPr>
        <w:t>的财务报告过程。</w:t>
      </w:r>
    </w:p>
    <w:p w:rsidR="004B6190" w:rsidRPr="00F5408E" w:rsidRDefault="004B6190" w:rsidP="00F5408E">
      <w:pPr>
        <w:pStyle w:val="20"/>
        <w:spacing w:before="0" w:after="0"/>
        <w:rPr>
          <w:rFonts w:ascii="宋体" w:hAnsi="宋体"/>
          <w:kern w:val="0"/>
          <w:sz w:val="21"/>
          <w:szCs w:val="21"/>
        </w:rPr>
      </w:pPr>
      <w:bookmarkStart w:id="185" w:name="_Toc35533823"/>
      <w:r w:rsidRPr="00F5408E">
        <w:rPr>
          <w:rFonts w:ascii="宋体" w:hAnsi="宋体"/>
          <w:kern w:val="0"/>
          <w:sz w:val="21"/>
          <w:szCs w:val="21"/>
        </w:rPr>
        <w:t>6.4</w:t>
      </w:r>
      <w:r w:rsidR="00490262" w:rsidRPr="00940842">
        <w:rPr>
          <w:rFonts w:asciiTheme="majorEastAsia" w:eastAsiaTheme="majorEastAsia" w:hAnsiTheme="majorEastAsia"/>
          <w:color w:val="000000" w:themeColor="text1"/>
          <w:kern w:val="0"/>
          <w:sz w:val="21"/>
          <w:szCs w:val="21"/>
        </w:rPr>
        <w:t xml:space="preserve">    </w:t>
      </w:r>
      <w:r w:rsidRPr="00F5408E">
        <w:rPr>
          <w:rFonts w:ascii="宋体" w:hAnsi="宋体"/>
          <w:kern w:val="0"/>
          <w:sz w:val="21"/>
          <w:szCs w:val="21"/>
        </w:rPr>
        <w:t>注册会计师</w:t>
      </w:r>
      <w:r w:rsidRPr="00F5408E">
        <w:rPr>
          <w:rFonts w:ascii="宋体" w:hAnsi="宋体" w:hint="eastAsia"/>
          <w:kern w:val="0"/>
          <w:sz w:val="21"/>
          <w:szCs w:val="21"/>
        </w:rPr>
        <w:t>对财务报表审计</w:t>
      </w:r>
      <w:r w:rsidRPr="00F5408E">
        <w:rPr>
          <w:rFonts w:ascii="宋体" w:hAnsi="宋体"/>
          <w:kern w:val="0"/>
          <w:sz w:val="21"/>
          <w:szCs w:val="21"/>
        </w:rPr>
        <w:t>的责任</w:t>
      </w:r>
      <w:bookmarkEnd w:id="185"/>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对基金管理人管理层使用持续经营假设的恰当性得出结论。同时，根据获取的审计证据，就可能导致对易方达黄金主题证券投资基金</w:t>
      </w:r>
      <w:r>
        <w:rPr>
          <w:rFonts w:eastAsiaTheme="minorEastAsia"/>
          <w:color w:val="000000" w:themeColor="text1"/>
          <w:szCs w:val="21"/>
        </w:rPr>
        <w:t>(LOF)</w:t>
      </w:r>
      <w:r>
        <w:rPr>
          <w:rFonts w:eastAsiaTheme="minorEastAsia"/>
          <w:color w:val="000000" w:themeColor="text1"/>
          <w:szCs w:val="21"/>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黄金主题证券投资基金</w:t>
      </w:r>
      <w:r>
        <w:rPr>
          <w:rFonts w:eastAsiaTheme="minorEastAsia"/>
          <w:color w:val="000000" w:themeColor="text1"/>
          <w:szCs w:val="21"/>
        </w:rPr>
        <w:t>(LOF)</w:t>
      </w:r>
      <w:r>
        <w:rPr>
          <w:rFonts w:eastAsiaTheme="minorEastAsia"/>
          <w:color w:val="000000" w:themeColor="text1"/>
          <w:szCs w:val="21"/>
        </w:rPr>
        <w:t>不能持续经营。</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4B6190" w:rsidRPr="00A73188" w:rsidRDefault="004B6190" w:rsidP="004B6190">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4B6190" w:rsidRPr="00A73188" w:rsidRDefault="004B6190" w:rsidP="004B6190">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35233B">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4B6190" w:rsidRPr="00A73188" w:rsidRDefault="004B6190" w:rsidP="004B6190">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4B6190" w:rsidRPr="00A73188" w:rsidRDefault="004B6190" w:rsidP="004B6190">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上海市湖滨路</w:t>
      </w:r>
      <w:r w:rsidRPr="00A73188">
        <w:rPr>
          <w:rFonts w:eastAsiaTheme="minorEastAsia"/>
          <w:color w:val="000000" w:themeColor="text1"/>
          <w:kern w:val="0"/>
          <w:szCs w:val="21"/>
        </w:rPr>
        <w:t>202</w:t>
      </w:r>
      <w:r w:rsidRPr="00A73188">
        <w:rPr>
          <w:rFonts w:eastAsiaTheme="minorEastAsia"/>
          <w:color w:val="000000" w:themeColor="text1"/>
          <w:kern w:val="0"/>
          <w:szCs w:val="21"/>
        </w:rPr>
        <w:t>号普华永道中心</w:t>
      </w:r>
      <w:r w:rsidRPr="00A73188">
        <w:rPr>
          <w:rFonts w:eastAsiaTheme="minorEastAsia"/>
          <w:color w:val="000000" w:themeColor="text1"/>
          <w:kern w:val="0"/>
          <w:szCs w:val="21"/>
        </w:rPr>
        <w:t>11</w:t>
      </w:r>
      <w:r w:rsidRPr="00A73188">
        <w:rPr>
          <w:rFonts w:eastAsiaTheme="minorEastAsia"/>
          <w:color w:val="000000" w:themeColor="text1"/>
          <w:kern w:val="0"/>
          <w:szCs w:val="21"/>
        </w:rPr>
        <w:t>楼</w:t>
      </w:r>
    </w:p>
    <w:p w:rsidR="007B62FA" w:rsidRPr="00896265" w:rsidRDefault="004B6190" w:rsidP="004B6190">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7B62FA" w:rsidRPr="00AB6698" w:rsidRDefault="007B62FA" w:rsidP="007E24F2">
      <w:pPr>
        <w:pStyle w:val="20"/>
        <w:tabs>
          <w:tab w:val="num" w:pos="425"/>
        </w:tabs>
        <w:spacing w:beforeLines="100" w:before="312" w:afterLines="100" w:after="312"/>
        <w:ind w:left="425" w:hanging="425"/>
        <w:jc w:val="center"/>
        <w:rPr>
          <w:rFonts w:ascii="宋体" w:hAnsi="宋体" w:cs="Arial"/>
          <w:color w:val="000000"/>
          <w:sz w:val="21"/>
          <w:szCs w:val="21"/>
        </w:rPr>
      </w:pPr>
      <w:bookmarkStart w:id="186" w:name="_Toc352255990"/>
      <w:bookmarkStart w:id="187" w:name="_Toc352256058"/>
      <w:bookmarkStart w:id="188" w:name="_Toc352331236"/>
      <w:bookmarkStart w:id="189" w:name="_Toc362424014"/>
      <w:bookmarkStart w:id="190" w:name="_Toc35533824"/>
      <w:r w:rsidRPr="00AB6698">
        <w:rPr>
          <w:rFonts w:ascii="宋体" w:hAnsi="宋体" w:cs="Arial"/>
          <w:color w:val="000000"/>
          <w:sz w:val="21"/>
          <w:szCs w:val="21"/>
        </w:rPr>
        <w:t>§7</w:t>
      </w:r>
      <w:r w:rsidR="00A6121D" w:rsidRPr="00AB6698">
        <w:rPr>
          <w:rFonts w:ascii="宋体" w:hAnsi="宋体" w:cs="Arial"/>
          <w:color w:val="000000"/>
          <w:sz w:val="21"/>
          <w:szCs w:val="21"/>
        </w:rPr>
        <w:t xml:space="preserve">    </w:t>
      </w:r>
      <w:r w:rsidRPr="00AB6698">
        <w:rPr>
          <w:rFonts w:ascii="宋体" w:hAnsi="宋体" w:cs="Arial"/>
          <w:color w:val="000000"/>
          <w:sz w:val="21"/>
          <w:szCs w:val="21"/>
        </w:rPr>
        <w:t>年度财务报表</w:t>
      </w:r>
      <w:bookmarkEnd w:id="186"/>
      <w:bookmarkEnd w:id="187"/>
      <w:bookmarkEnd w:id="188"/>
      <w:bookmarkEnd w:id="189"/>
      <w:bookmarkEnd w:id="190"/>
    </w:p>
    <w:p w:rsidR="007B62FA" w:rsidRPr="00940842" w:rsidRDefault="007B62FA" w:rsidP="00C03E37">
      <w:pPr>
        <w:pStyle w:val="20"/>
        <w:spacing w:before="0" w:after="0"/>
        <w:rPr>
          <w:rFonts w:asciiTheme="majorEastAsia" w:eastAsiaTheme="majorEastAsia" w:hAnsiTheme="majorEastAsia"/>
          <w:color w:val="000000" w:themeColor="text1"/>
          <w:kern w:val="0"/>
          <w:sz w:val="21"/>
          <w:szCs w:val="21"/>
        </w:rPr>
      </w:pPr>
      <w:bookmarkStart w:id="191" w:name="_Toc225498268"/>
      <w:bookmarkStart w:id="192" w:name="_Toc352255991"/>
      <w:bookmarkStart w:id="193" w:name="_Toc352256059"/>
      <w:bookmarkStart w:id="194" w:name="_Toc352331237"/>
      <w:bookmarkStart w:id="195" w:name="_Toc362424015"/>
      <w:bookmarkStart w:id="196" w:name="_Toc35533825"/>
      <w:r w:rsidRPr="00940842">
        <w:rPr>
          <w:rFonts w:asciiTheme="majorEastAsia" w:eastAsiaTheme="majorEastAsia" w:hAnsiTheme="majorEastAsia"/>
          <w:color w:val="000000" w:themeColor="text1"/>
          <w:kern w:val="0"/>
          <w:sz w:val="21"/>
          <w:szCs w:val="21"/>
        </w:rPr>
        <w:t>7.1</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资产负债表</w:t>
      </w:r>
      <w:bookmarkEnd w:id="191"/>
      <w:bookmarkEnd w:id="192"/>
      <w:bookmarkEnd w:id="193"/>
      <w:bookmarkEnd w:id="194"/>
      <w:bookmarkEnd w:id="195"/>
      <w:bookmarkEnd w:id="196"/>
    </w:p>
    <w:p w:rsidR="007B62FA" w:rsidRPr="00896265" w:rsidRDefault="007B62FA" w:rsidP="00C03E37">
      <w:pPr>
        <w:spacing w:line="360" w:lineRule="auto"/>
        <w:rPr>
          <w:rFonts w:eastAsiaTheme="minorEastAsia"/>
          <w:color w:val="000000" w:themeColor="text1"/>
          <w:szCs w:val="21"/>
        </w:rPr>
      </w:pPr>
      <w:r w:rsidRPr="00896265">
        <w:rPr>
          <w:rFonts w:eastAsiaTheme="minorEastAsia"/>
          <w:color w:val="000000" w:themeColor="text1"/>
          <w:szCs w:val="21"/>
        </w:rPr>
        <w:t>会计主体：易方达黄金主题证券投资基金（</w:t>
      </w:r>
      <w:r w:rsidRPr="00896265">
        <w:rPr>
          <w:rFonts w:eastAsiaTheme="minorEastAsia"/>
          <w:color w:val="000000" w:themeColor="text1"/>
          <w:szCs w:val="21"/>
        </w:rPr>
        <w:t>LOF</w:t>
      </w:r>
      <w:r w:rsidRPr="00896265">
        <w:rPr>
          <w:rFonts w:eastAsiaTheme="minorEastAsia"/>
          <w:color w:val="000000" w:themeColor="text1"/>
          <w:szCs w:val="21"/>
        </w:rPr>
        <w:t>）</w:t>
      </w:r>
    </w:p>
    <w:p w:rsidR="007B62FA" w:rsidRPr="00896265" w:rsidRDefault="007B62FA" w:rsidP="00C03E37">
      <w:pPr>
        <w:spacing w:line="360" w:lineRule="auto"/>
        <w:rPr>
          <w:rFonts w:eastAsiaTheme="minorEastAsia"/>
          <w:color w:val="000000" w:themeColor="text1"/>
          <w:szCs w:val="21"/>
        </w:rPr>
      </w:pPr>
      <w:r w:rsidRPr="00896265">
        <w:rPr>
          <w:rFonts w:eastAsiaTheme="minorEastAsia"/>
          <w:color w:val="000000" w:themeColor="text1"/>
          <w:szCs w:val="21"/>
        </w:rPr>
        <w:t>报告截止日：</w:t>
      </w:r>
      <w:r w:rsidR="00ED2997" w:rsidRPr="00896265">
        <w:rPr>
          <w:rFonts w:eastAsiaTheme="minorEastAsia"/>
          <w:color w:val="000000" w:themeColor="text1"/>
          <w:szCs w:val="21"/>
        </w:rPr>
        <w:t>2019</w:t>
      </w:r>
      <w:r w:rsidR="00ED2997" w:rsidRPr="00896265">
        <w:rPr>
          <w:rFonts w:eastAsiaTheme="minorEastAsia"/>
          <w:color w:val="000000" w:themeColor="text1"/>
          <w:szCs w:val="21"/>
        </w:rPr>
        <w:t>年</w:t>
      </w:r>
      <w:r w:rsidR="00ED2997" w:rsidRPr="00896265">
        <w:rPr>
          <w:rFonts w:eastAsiaTheme="minorEastAsia"/>
          <w:color w:val="000000" w:themeColor="text1"/>
          <w:szCs w:val="21"/>
        </w:rPr>
        <w:t>12</w:t>
      </w:r>
      <w:r w:rsidR="00ED2997" w:rsidRPr="00896265">
        <w:rPr>
          <w:rFonts w:eastAsiaTheme="minorEastAsia"/>
          <w:color w:val="000000" w:themeColor="text1"/>
          <w:szCs w:val="21"/>
        </w:rPr>
        <w:t>月</w:t>
      </w:r>
      <w:r w:rsidR="00ED2997" w:rsidRPr="00896265">
        <w:rPr>
          <w:rFonts w:eastAsiaTheme="minorEastAsia"/>
          <w:color w:val="000000" w:themeColor="text1"/>
          <w:szCs w:val="21"/>
        </w:rPr>
        <w:t>31</w:t>
      </w:r>
      <w:r w:rsidR="00ED2997" w:rsidRPr="00896265">
        <w:rPr>
          <w:rFonts w:eastAsiaTheme="minorEastAsia"/>
          <w:color w:val="000000" w:themeColor="text1"/>
          <w:szCs w:val="21"/>
        </w:rPr>
        <w:t>日</w:t>
      </w:r>
    </w:p>
    <w:p w:rsidR="007B62FA" w:rsidRPr="00896265"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896265">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266"/>
        <w:gridCol w:w="2520"/>
        <w:gridCol w:w="2520"/>
      </w:tblGrid>
      <w:tr w:rsidR="00E60957" w:rsidRPr="00896265" w:rsidTr="0046299F">
        <w:tc>
          <w:tcPr>
            <w:tcW w:w="2694" w:type="dxa"/>
            <w:vAlign w:val="center"/>
          </w:tcPr>
          <w:p w:rsidR="007B62FA" w:rsidRPr="00896265" w:rsidRDefault="007B62FA" w:rsidP="00417F87">
            <w:pPr>
              <w:pStyle w:val="af6"/>
              <w:spacing w:line="360" w:lineRule="auto"/>
              <w:jc w:val="center"/>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资产</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附注号</w:t>
            </w:r>
          </w:p>
        </w:tc>
        <w:tc>
          <w:tcPr>
            <w:tcW w:w="2520" w:type="dxa"/>
            <w:vAlign w:val="center"/>
          </w:tcPr>
          <w:p w:rsidR="007B62FA" w:rsidRPr="00896265" w:rsidRDefault="007B62FA" w:rsidP="00417F87">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本期末</w:t>
            </w:r>
          </w:p>
          <w:p w:rsidR="007B62FA" w:rsidRPr="00896265" w:rsidRDefault="00ED2997" w:rsidP="00417F87">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kern w:val="2"/>
                <w:sz w:val="21"/>
                <w:szCs w:val="21"/>
              </w:rPr>
              <w:t>2019</w:t>
            </w:r>
            <w:r w:rsidRPr="00896265">
              <w:rPr>
                <w:rFonts w:ascii="Times New Roman" w:eastAsiaTheme="minorEastAsia" w:hAnsi="Times New Roman"/>
                <w:b/>
                <w:color w:val="000000" w:themeColor="text1"/>
                <w:kern w:val="2"/>
                <w:sz w:val="21"/>
                <w:szCs w:val="21"/>
              </w:rPr>
              <w:t>年</w:t>
            </w:r>
            <w:r w:rsidRPr="00896265">
              <w:rPr>
                <w:rFonts w:ascii="Times New Roman" w:eastAsiaTheme="minorEastAsia" w:hAnsi="Times New Roman"/>
                <w:b/>
                <w:color w:val="000000" w:themeColor="text1"/>
                <w:kern w:val="2"/>
                <w:sz w:val="21"/>
                <w:szCs w:val="21"/>
              </w:rPr>
              <w:t>12</w:t>
            </w:r>
            <w:r w:rsidRPr="00896265">
              <w:rPr>
                <w:rFonts w:ascii="Times New Roman" w:eastAsiaTheme="minorEastAsia" w:hAnsi="Times New Roman"/>
                <w:b/>
                <w:color w:val="000000" w:themeColor="text1"/>
                <w:kern w:val="2"/>
                <w:sz w:val="21"/>
                <w:szCs w:val="21"/>
              </w:rPr>
              <w:t>月</w:t>
            </w:r>
            <w:r w:rsidRPr="00896265">
              <w:rPr>
                <w:rFonts w:ascii="Times New Roman" w:eastAsiaTheme="minorEastAsia" w:hAnsi="Times New Roman"/>
                <w:b/>
                <w:color w:val="000000" w:themeColor="text1"/>
                <w:kern w:val="2"/>
                <w:sz w:val="21"/>
                <w:szCs w:val="21"/>
              </w:rPr>
              <w:t>31</w:t>
            </w:r>
            <w:r w:rsidRPr="00896265">
              <w:rPr>
                <w:rFonts w:ascii="Times New Roman" w:eastAsiaTheme="minorEastAsia" w:hAnsi="Times New Roman"/>
                <w:b/>
                <w:color w:val="000000" w:themeColor="text1"/>
                <w:kern w:val="2"/>
                <w:sz w:val="21"/>
                <w:szCs w:val="21"/>
              </w:rPr>
              <w:t>日</w:t>
            </w:r>
          </w:p>
        </w:tc>
        <w:tc>
          <w:tcPr>
            <w:tcW w:w="2520" w:type="dxa"/>
            <w:vAlign w:val="center"/>
          </w:tcPr>
          <w:p w:rsidR="007B62FA" w:rsidRPr="00896265" w:rsidRDefault="007B62FA" w:rsidP="00417F87">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上年度末</w:t>
            </w:r>
          </w:p>
          <w:p w:rsidR="007B62FA" w:rsidRPr="00896265" w:rsidRDefault="00ED2997" w:rsidP="00361EF8">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2018</w:t>
            </w:r>
            <w:r w:rsidRPr="00896265">
              <w:rPr>
                <w:rFonts w:ascii="Times New Roman" w:eastAsiaTheme="minorEastAsia" w:hAnsi="Times New Roman"/>
                <w:b/>
                <w:color w:val="000000" w:themeColor="text1"/>
                <w:sz w:val="21"/>
                <w:szCs w:val="21"/>
              </w:rPr>
              <w:t>年</w:t>
            </w:r>
            <w:r w:rsidRPr="00896265">
              <w:rPr>
                <w:rFonts w:ascii="Times New Roman" w:eastAsiaTheme="minorEastAsia" w:hAnsi="Times New Roman"/>
                <w:b/>
                <w:color w:val="000000" w:themeColor="text1"/>
                <w:sz w:val="21"/>
                <w:szCs w:val="21"/>
              </w:rPr>
              <w:t>12</w:t>
            </w:r>
            <w:r w:rsidRPr="00896265">
              <w:rPr>
                <w:rFonts w:ascii="Times New Roman" w:eastAsiaTheme="minorEastAsia" w:hAnsi="Times New Roman"/>
                <w:b/>
                <w:color w:val="000000" w:themeColor="text1"/>
                <w:sz w:val="21"/>
                <w:szCs w:val="21"/>
              </w:rPr>
              <w:t>月</w:t>
            </w:r>
            <w:r w:rsidRPr="00896265">
              <w:rPr>
                <w:rFonts w:ascii="Times New Roman" w:eastAsiaTheme="minorEastAsia" w:hAnsi="Times New Roman"/>
                <w:b/>
                <w:color w:val="000000" w:themeColor="text1"/>
                <w:sz w:val="21"/>
                <w:szCs w:val="21"/>
              </w:rPr>
              <w:t>31</w:t>
            </w:r>
            <w:r w:rsidRPr="00896265">
              <w:rPr>
                <w:rFonts w:ascii="Times New Roman" w:eastAsiaTheme="minorEastAsia" w:hAnsi="Times New Roman"/>
                <w:b/>
                <w:color w:val="000000" w:themeColor="text1"/>
                <w:sz w:val="21"/>
                <w:szCs w:val="21"/>
              </w:rPr>
              <w:t>日</w:t>
            </w:r>
          </w:p>
        </w:tc>
      </w:tr>
      <w:tr w:rsidR="00E60957" w:rsidRPr="00896265" w:rsidTr="0046299F">
        <w:tc>
          <w:tcPr>
            <w:tcW w:w="2694" w:type="dxa"/>
            <w:vAlign w:val="center"/>
          </w:tcPr>
          <w:p w:rsidR="007B62FA" w:rsidRPr="00896265" w:rsidRDefault="007B62FA" w:rsidP="00417F87">
            <w:pPr>
              <w:spacing w:line="360" w:lineRule="auto"/>
              <w:rPr>
                <w:rFonts w:eastAsiaTheme="minorEastAsia"/>
                <w:b/>
                <w:color w:val="000000" w:themeColor="text1"/>
                <w:szCs w:val="21"/>
              </w:rPr>
            </w:pPr>
            <w:r w:rsidRPr="00896265">
              <w:rPr>
                <w:rFonts w:eastAsiaTheme="minorEastAsia"/>
                <w:b/>
                <w:color w:val="000000" w:themeColor="text1"/>
                <w:szCs w:val="21"/>
              </w:rPr>
              <w:t>资产：</w:t>
            </w:r>
          </w:p>
        </w:tc>
        <w:tc>
          <w:tcPr>
            <w:tcW w:w="1266" w:type="dxa"/>
            <w:vAlign w:val="center"/>
          </w:tcPr>
          <w:p w:rsidR="007B62FA" w:rsidRPr="00896265" w:rsidRDefault="007B62FA" w:rsidP="00417F87">
            <w:pPr>
              <w:widowControl/>
              <w:autoSpaceDE w:val="0"/>
              <w:autoSpaceDN w:val="0"/>
              <w:spacing w:line="360" w:lineRule="auto"/>
              <w:ind w:right="-15"/>
              <w:jc w:val="center"/>
              <w:textAlignment w:val="bottom"/>
              <w:rPr>
                <w:rFonts w:eastAsiaTheme="minorEastAsia"/>
                <w:b/>
                <w:color w:val="000000" w:themeColor="text1"/>
                <w:szCs w:val="21"/>
              </w:rPr>
            </w:pPr>
          </w:p>
        </w:tc>
        <w:tc>
          <w:tcPr>
            <w:tcW w:w="2520" w:type="dxa"/>
            <w:vAlign w:val="center"/>
          </w:tcPr>
          <w:p w:rsidR="007B62FA" w:rsidRPr="00896265" w:rsidRDefault="007B62FA"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银行存款</w:t>
            </w:r>
          </w:p>
        </w:tc>
        <w:tc>
          <w:tcPr>
            <w:tcW w:w="1266" w:type="dxa"/>
            <w:vAlign w:val="center"/>
          </w:tcPr>
          <w:p w:rsidR="007B62FA" w:rsidRPr="00896265" w:rsidRDefault="00E70468" w:rsidP="00417F87">
            <w:pPr>
              <w:widowControl/>
              <w:autoSpaceDE w:val="0"/>
              <w:autoSpaceDN w:val="0"/>
              <w:spacing w:line="360" w:lineRule="auto"/>
              <w:ind w:right="-15"/>
              <w:jc w:val="center"/>
              <w:textAlignment w:val="bottom"/>
              <w:rPr>
                <w:rFonts w:eastAsiaTheme="minorEastAsia"/>
                <w:color w:val="000000" w:themeColor="text1"/>
                <w:szCs w:val="21"/>
              </w:rPr>
            </w:pPr>
            <w:r w:rsidRPr="00896265">
              <w:rPr>
                <w:rFonts w:eastAsiaTheme="minorEastAsia"/>
                <w:color w:val="000000" w:themeColor="text1"/>
                <w:szCs w:val="21"/>
              </w:rPr>
              <w:t>7.4.7.1</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41,451,777.35</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26,305,736.50</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结算备付金</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存出保证金</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交易性金融资产</w:t>
            </w:r>
          </w:p>
        </w:tc>
        <w:tc>
          <w:tcPr>
            <w:tcW w:w="1266" w:type="dxa"/>
            <w:vAlign w:val="center"/>
          </w:tcPr>
          <w:p w:rsidR="007B62FA" w:rsidRPr="00896265" w:rsidRDefault="00E70468" w:rsidP="00417F87">
            <w:pPr>
              <w:pStyle w:val="af6"/>
              <w:spacing w:line="360" w:lineRule="auto"/>
              <w:jc w:val="center"/>
              <w:rPr>
                <w:rFonts w:ascii="Times New Roman" w:eastAsiaTheme="minorEastAsia" w:hAnsi="Times New Roman"/>
                <w:color w:val="000000" w:themeColor="text1"/>
                <w:sz w:val="21"/>
                <w:szCs w:val="21"/>
              </w:rPr>
            </w:pPr>
            <w:r w:rsidRPr="00896265">
              <w:rPr>
                <w:rFonts w:ascii="Times New Roman" w:eastAsiaTheme="minorEastAsia" w:hAnsi="Times New Roman"/>
                <w:color w:val="000000" w:themeColor="text1"/>
                <w:sz w:val="21"/>
                <w:szCs w:val="21"/>
              </w:rPr>
              <w:t>7.4.7.2</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344,380,599.43</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242,790,926.68</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其中：股票投资</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D0372D">
            <w:pPr>
              <w:pStyle w:val="af6"/>
              <w:spacing w:line="360" w:lineRule="auto"/>
              <w:ind w:firstLineChars="300" w:firstLine="630"/>
              <w:jc w:val="both"/>
              <w:rPr>
                <w:rFonts w:ascii="Times New Roman" w:eastAsiaTheme="minorEastAsia" w:hAnsi="Times New Roman"/>
                <w:color w:val="000000" w:themeColor="text1"/>
                <w:sz w:val="21"/>
                <w:szCs w:val="21"/>
              </w:rPr>
            </w:pPr>
            <w:r w:rsidRPr="00896265">
              <w:rPr>
                <w:rFonts w:ascii="Times New Roman" w:eastAsiaTheme="minorEastAsia" w:hAnsi="Times New Roman"/>
                <w:color w:val="000000" w:themeColor="text1"/>
                <w:sz w:val="21"/>
                <w:szCs w:val="21"/>
              </w:rPr>
              <w:t>基金投资</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344,380,599.43</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242,790,926.68</w:t>
            </w:r>
          </w:p>
        </w:tc>
      </w:tr>
      <w:tr w:rsidR="00E60957" w:rsidRPr="00896265" w:rsidTr="0046299F">
        <w:tc>
          <w:tcPr>
            <w:tcW w:w="2694" w:type="dxa"/>
            <w:vAlign w:val="center"/>
          </w:tcPr>
          <w:p w:rsidR="007B62FA" w:rsidRPr="00896265" w:rsidRDefault="007B62FA" w:rsidP="00D0372D">
            <w:pPr>
              <w:spacing w:line="360" w:lineRule="auto"/>
              <w:ind w:firstLineChars="300" w:firstLine="630"/>
              <w:rPr>
                <w:rFonts w:eastAsiaTheme="minorEastAsia"/>
                <w:color w:val="000000" w:themeColor="text1"/>
                <w:szCs w:val="21"/>
              </w:rPr>
            </w:pPr>
            <w:r w:rsidRPr="00896265">
              <w:rPr>
                <w:rFonts w:eastAsiaTheme="minorEastAsia"/>
                <w:color w:val="000000" w:themeColor="text1"/>
                <w:szCs w:val="21"/>
              </w:rPr>
              <w:t>债券投资</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D0372D">
            <w:pPr>
              <w:spacing w:line="360" w:lineRule="auto"/>
              <w:ind w:firstLineChars="300" w:firstLine="630"/>
              <w:rPr>
                <w:rFonts w:eastAsiaTheme="minorEastAsia"/>
                <w:color w:val="000000" w:themeColor="text1"/>
                <w:szCs w:val="21"/>
              </w:rPr>
            </w:pPr>
            <w:r w:rsidRPr="00896265">
              <w:rPr>
                <w:rFonts w:eastAsiaTheme="minorEastAsia"/>
                <w:color w:val="000000" w:themeColor="text1"/>
                <w:szCs w:val="21"/>
              </w:rPr>
              <w:t>资产支持证券投资</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B567BA" w:rsidRPr="00896265" w:rsidTr="0046299F">
        <w:tc>
          <w:tcPr>
            <w:tcW w:w="2694" w:type="dxa"/>
            <w:vAlign w:val="center"/>
          </w:tcPr>
          <w:p w:rsidR="00B567BA" w:rsidRPr="00896265" w:rsidRDefault="00B567BA" w:rsidP="001A74A1">
            <w:pPr>
              <w:spacing w:line="360" w:lineRule="auto"/>
              <w:ind w:firstLineChars="300" w:firstLine="630"/>
              <w:rPr>
                <w:rFonts w:eastAsiaTheme="minorEastAsia"/>
                <w:color w:val="000000" w:themeColor="text1"/>
                <w:szCs w:val="21"/>
              </w:rPr>
            </w:pPr>
            <w:r w:rsidRPr="00896265">
              <w:rPr>
                <w:rFonts w:eastAsiaTheme="minorEastAsia"/>
                <w:color w:val="000000" w:themeColor="text1"/>
              </w:rPr>
              <w:t>贵金属投资</w:t>
            </w:r>
          </w:p>
        </w:tc>
        <w:tc>
          <w:tcPr>
            <w:tcW w:w="1266" w:type="dxa"/>
            <w:vAlign w:val="center"/>
          </w:tcPr>
          <w:p w:rsidR="00B567BA" w:rsidRPr="00896265" w:rsidRDefault="00B567BA" w:rsidP="001A74A1">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B567BA" w:rsidRPr="00896265" w:rsidRDefault="00B567BA" w:rsidP="008A3814">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B567BA" w:rsidRPr="00896265" w:rsidRDefault="00B567BA" w:rsidP="008A3814">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6E49B9" w:rsidRPr="00896265" w:rsidRDefault="006E49B9" w:rsidP="00417F87">
            <w:pPr>
              <w:spacing w:line="360" w:lineRule="auto"/>
              <w:rPr>
                <w:rFonts w:eastAsiaTheme="minorEastAsia"/>
                <w:color w:val="000000" w:themeColor="text1"/>
                <w:szCs w:val="21"/>
              </w:rPr>
            </w:pPr>
            <w:r w:rsidRPr="00896265">
              <w:rPr>
                <w:rFonts w:eastAsiaTheme="minorEastAsia"/>
                <w:color w:val="000000" w:themeColor="text1"/>
                <w:szCs w:val="21"/>
              </w:rPr>
              <w:t>衍生金融资产</w:t>
            </w:r>
          </w:p>
        </w:tc>
        <w:tc>
          <w:tcPr>
            <w:tcW w:w="1266" w:type="dxa"/>
            <w:vAlign w:val="center"/>
          </w:tcPr>
          <w:p w:rsidR="006E49B9" w:rsidRPr="00896265" w:rsidRDefault="00E70468" w:rsidP="00417F87">
            <w:pPr>
              <w:pStyle w:val="af6"/>
              <w:spacing w:line="360" w:lineRule="auto"/>
              <w:jc w:val="center"/>
              <w:rPr>
                <w:rFonts w:ascii="Times New Roman" w:eastAsiaTheme="minorEastAsia" w:hAnsi="Times New Roman"/>
                <w:color w:val="000000" w:themeColor="text1"/>
                <w:sz w:val="21"/>
                <w:szCs w:val="21"/>
              </w:rPr>
            </w:pPr>
            <w:r w:rsidRPr="00896265">
              <w:rPr>
                <w:rFonts w:ascii="Times New Roman" w:eastAsiaTheme="minorEastAsia" w:hAnsi="Times New Roman"/>
                <w:color w:val="000000" w:themeColor="text1"/>
                <w:sz w:val="21"/>
                <w:szCs w:val="21"/>
              </w:rPr>
              <w:t>7.4.7.3</w:t>
            </w: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6E49B9" w:rsidRPr="00896265" w:rsidRDefault="006E49B9" w:rsidP="00417F87">
            <w:pPr>
              <w:spacing w:line="360" w:lineRule="auto"/>
              <w:rPr>
                <w:rFonts w:eastAsiaTheme="minorEastAsia"/>
                <w:color w:val="000000" w:themeColor="text1"/>
                <w:szCs w:val="21"/>
              </w:rPr>
            </w:pPr>
            <w:r w:rsidRPr="00896265">
              <w:rPr>
                <w:rFonts w:eastAsiaTheme="minorEastAsia"/>
                <w:color w:val="000000" w:themeColor="text1"/>
                <w:szCs w:val="21"/>
              </w:rPr>
              <w:t>买入返售金融资产</w:t>
            </w:r>
          </w:p>
        </w:tc>
        <w:tc>
          <w:tcPr>
            <w:tcW w:w="1266" w:type="dxa"/>
            <w:vAlign w:val="center"/>
          </w:tcPr>
          <w:p w:rsidR="006E49B9" w:rsidRPr="00896265" w:rsidRDefault="00E70468" w:rsidP="00417F87">
            <w:pPr>
              <w:pStyle w:val="af6"/>
              <w:spacing w:line="360" w:lineRule="auto"/>
              <w:jc w:val="center"/>
              <w:rPr>
                <w:rFonts w:ascii="Times New Roman" w:eastAsiaTheme="minorEastAsia" w:hAnsi="Times New Roman"/>
                <w:color w:val="000000" w:themeColor="text1"/>
                <w:sz w:val="21"/>
                <w:szCs w:val="21"/>
              </w:rPr>
            </w:pPr>
            <w:r w:rsidRPr="00896265">
              <w:rPr>
                <w:rFonts w:ascii="Times New Roman" w:eastAsiaTheme="minorEastAsia" w:hAnsi="Times New Roman"/>
                <w:color w:val="000000" w:themeColor="text1"/>
                <w:sz w:val="21"/>
                <w:szCs w:val="21"/>
              </w:rPr>
              <w:t>7.4.7.4</w:t>
            </w: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6E49B9" w:rsidRPr="00896265" w:rsidRDefault="006E49B9" w:rsidP="00417F87">
            <w:pPr>
              <w:spacing w:line="360" w:lineRule="auto"/>
              <w:rPr>
                <w:rFonts w:eastAsiaTheme="minorEastAsia"/>
                <w:color w:val="000000" w:themeColor="text1"/>
                <w:szCs w:val="21"/>
              </w:rPr>
            </w:pPr>
            <w:r w:rsidRPr="00896265">
              <w:rPr>
                <w:rFonts w:eastAsiaTheme="minorEastAsia"/>
                <w:color w:val="000000" w:themeColor="text1"/>
                <w:szCs w:val="21"/>
              </w:rPr>
              <w:t>应收证券清算款</w:t>
            </w:r>
          </w:p>
        </w:tc>
        <w:tc>
          <w:tcPr>
            <w:tcW w:w="1266" w:type="dxa"/>
            <w:vAlign w:val="center"/>
          </w:tcPr>
          <w:p w:rsidR="006E49B9" w:rsidRPr="00896265" w:rsidRDefault="006E49B9"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96,774.96</w:t>
            </w:r>
          </w:p>
        </w:tc>
      </w:tr>
      <w:tr w:rsidR="00E60957" w:rsidRPr="00896265" w:rsidTr="0046299F">
        <w:tc>
          <w:tcPr>
            <w:tcW w:w="2694" w:type="dxa"/>
            <w:vAlign w:val="center"/>
          </w:tcPr>
          <w:p w:rsidR="006E49B9" w:rsidRPr="00896265" w:rsidRDefault="006E49B9" w:rsidP="00417F87">
            <w:pPr>
              <w:spacing w:line="360" w:lineRule="auto"/>
              <w:rPr>
                <w:rFonts w:eastAsiaTheme="minorEastAsia"/>
                <w:color w:val="000000" w:themeColor="text1"/>
                <w:szCs w:val="21"/>
              </w:rPr>
            </w:pPr>
            <w:r w:rsidRPr="00896265">
              <w:rPr>
                <w:rFonts w:eastAsiaTheme="minorEastAsia"/>
                <w:color w:val="000000" w:themeColor="text1"/>
                <w:szCs w:val="21"/>
              </w:rPr>
              <w:t>应收利息</w:t>
            </w:r>
          </w:p>
        </w:tc>
        <w:tc>
          <w:tcPr>
            <w:tcW w:w="1266" w:type="dxa"/>
            <w:vAlign w:val="center"/>
          </w:tcPr>
          <w:p w:rsidR="006E49B9" w:rsidRPr="00896265" w:rsidRDefault="00E70468" w:rsidP="00417F87">
            <w:pPr>
              <w:pStyle w:val="af6"/>
              <w:spacing w:line="360" w:lineRule="auto"/>
              <w:jc w:val="center"/>
              <w:rPr>
                <w:rFonts w:ascii="Times New Roman" w:eastAsiaTheme="minorEastAsia" w:hAnsi="Times New Roman"/>
                <w:color w:val="000000" w:themeColor="text1"/>
                <w:sz w:val="21"/>
                <w:szCs w:val="21"/>
              </w:rPr>
            </w:pPr>
            <w:r w:rsidRPr="00896265">
              <w:rPr>
                <w:rFonts w:ascii="Times New Roman" w:eastAsiaTheme="minorEastAsia" w:hAnsi="Times New Roman"/>
                <w:color w:val="000000" w:themeColor="text1"/>
                <w:sz w:val="21"/>
                <w:szCs w:val="21"/>
              </w:rPr>
              <w:t>7.4.7.5</w:t>
            </w: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6,939.82</w:t>
            </w: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945.45</w:t>
            </w:r>
          </w:p>
        </w:tc>
      </w:tr>
      <w:tr w:rsidR="00E60957" w:rsidRPr="00896265" w:rsidTr="0046299F">
        <w:tc>
          <w:tcPr>
            <w:tcW w:w="2694" w:type="dxa"/>
            <w:vAlign w:val="center"/>
          </w:tcPr>
          <w:p w:rsidR="006E49B9" w:rsidRPr="00896265" w:rsidRDefault="006E49B9" w:rsidP="00417F87">
            <w:pPr>
              <w:spacing w:line="360" w:lineRule="auto"/>
              <w:rPr>
                <w:rFonts w:eastAsiaTheme="minorEastAsia"/>
                <w:color w:val="000000" w:themeColor="text1"/>
                <w:szCs w:val="21"/>
              </w:rPr>
            </w:pPr>
            <w:r w:rsidRPr="00896265">
              <w:rPr>
                <w:rFonts w:eastAsiaTheme="minorEastAsia"/>
                <w:color w:val="000000" w:themeColor="text1"/>
                <w:szCs w:val="21"/>
              </w:rPr>
              <w:t>应收股利</w:t>
            </w:r>
          </w:p>
        </w:tc>
        <w:tc>
          <w:tcPr>
            <w:tcW w:w="1266" w:type="dxa"/>
            <w:vAlign w:val="center"/>
          </w:tcPr>
          <w:p w:rsidR="006E49B9" w:rsidRPr="00896265" w:rsidRDefault="006E49B9"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6E49B9" w:rsidRPr="00896265" w:rsidRDefault="006E49B9" w:rsidP="00417F87">
            <w:pPr>
              <w:spacing w:line="360" w:lineRule="auto"/>
              <w:rPr>
                <w:rFonts w:eastAsiaTheme="minorEastAsia"/>
                <w:color w:val="000000" w:themeColor="text1"/>
                <w:szCs w:val="21"/>
              </w:rPr>
            </w:pPr>
            <w:r w:rsidRPr="00896265">
              <w:rPr>
                <w:rFonts w:eastAsiaTheme="minorEastAsia"/>
                <w:color w:val="000000" w:themeColor="text1"/>
                <w:szCs w:val="21"/>
              </w:rPr>
              <w:t>应收申购款</w:t>
            </w:r>
          </w:p>
        </w:tc>
        <w:tc>
          <w:tcPr>
            <w:tcW w:w="1266" w:type="dxa"/>
            <w:vAlign w:val="center"/>
          </w:tcPr>
          <w:p w:rsidR="006E49B9" w:rsidRPr="00896265" w:rsidRDefault="006E49B9"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2,246,312.89</w:t>
            </w: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56,512.95</w:t>
            </w:r>
          </w:p>
        </w:tc>
      </w:tr>
      <w:tr w:rsidR="00E60957" w:rsidRPr="00896265" w:rsidTr="0046299F">
        <w:tc>
          <w:tcPr>
            <w:tcW w:w="2694" w:type="dxa"/>
            <w:vAlign w:val="center"/>
          </w:tcPr>
          <w:p w:rsidR="006E49B9" w:rsidRPr="00896265" w:rsidRDefault="006E49B9" w:rsidP="00417F87">
            <w:pPr>
              <w:spacing w:line="360" w:lineRule="auto"/>
              <w:rPr>
                <w:rFonts w:eastAsiaTheme="minorEastAsia"/>
                <w:color w:val="000000" w:themeColor="text1"/>
                <w:szCs w:val="21"/>
              </w:rPr>
            </w:pPr>
            <w:r w:rsidRPr="00896265">
              <w:rPr>
                <w:rFonts w:eastAsiaTheme="minorEastAsia"/>
                <w:color w:val="000000" w:themeColor="text1"/>
                <w:szCs w:val="21"/>
              </w:rPr>
              <w:t>递延所得税资产</w:t>
            </w:r>
          </w:p>
        </w:tc>
        <w:tc>
          <w:tcPr>
            <w:tcW w:w="1266" w:type="dxa"/>
            <w:vAlign w:val="center"/>
          </w:tcPr>
          <w:p w:rsidR="006E49B9" w:rsidRPr="00896265" w:rsidRDefault="006E49B9"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6E49B9" w:rsidRPr="00896265" w:rsidRDefault="006E49B9" w:rsidP="00417F87">
            <w:pPr>
              <w:spacing w:line="360" w:lineRule="auto"/>
              <w:rPr>
                <w:rFonts w:eastAsiaTheme="minorEastAsia"/>
                <w:color w:val="000000" w:themeColor="text1"/>
                <w:szCs w:val="21"/>
              </w:rPr>
            </w:pPr>
            <w:r w:rsidRPr="00896265">
              <w:rPr>
                <w:rFonts w:eastAsiaTheme="minorEastAsia"/>
                <w:color w:val="000000" w:themeColor="text1"/>
                <w:szCs w:val="21"/>
              </w:rPr>
              <w:t>其他资产</w:t>
            </w:r>
          </w:p>
        </w:tc>
        <w:tc>
          <w:tcPr>
            <w:tcW w:w="1266" w:type="dxa"/>
            <w:vAlign w:val="center"/>
          </w:tcPr>
          <w:p w:rsidR="006E49B9" w:rsidRPr="00896265" w:rsidRDefault="00E70468" w:rsidP="00417F87">
            <w:pPr>
              <w:pStyle w:val="af6"/>
              <w:spacing w:line="360" w:lineRule="auto"/>
              <w:jc w:val="center"/>
              <w:rPr>
                <w:rFonts w:ascii="Times New Roman" w:eastAsiaTheme="minorEastAsia" w:hAnsi="Times New Roman"/>
                <w:color w:val="000000" w:themeColor="text1"/>
                <w:sz w:val="21"/>
                <w:szCs w:val="21"/>
              </w:rPr>
            </w:pPr>
            <w:r w:rsidRPr="00896265">
              <w:rPr>
                <w:rFonts w:ascii="Times New Roman" w:eastAsiaTheme="minorEastAsia" w:hAnsi="Times New Roman"/>
                <w:color w:val="000000" w:themeColor="text1"/>
                <w:sz w:val="21"/>
                <w:szCs w:val="21"/>
              </w:rPr>
              <w:t>7.4.7.6</w:t>
            </w: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6E49B9" w:rsidRPr="00896265" w:rsidRDefault="006E49B9"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6E49B9" w:rsidRPr="00896265" w:rsidRDefault="006E49B9" w:rsidP="00417F87">
            <w:pPr>
              <w:spacing w:line="360" w:lineRule="auto"/>
              <w:rPr>
                <w:rFonts w:eastAsiaTheme="minorEastAsia"/>
                <w:b/>
                <w:color w:val="000000" w:themeColor="text1"/>
                <w:szCs w:val="21"/>
              </w:rPr>
            </w:pPr>
            <w:r w:rsidRPr="00896265">
              <w:rPr>
                <w:rFonts w:eastAsiaTheme="minorEastAsia"/>
                <w:b/>
                <w:color w:val="000000" w:themeColor="text1"/>
                <w:szCs w:val="21"/>
              </w:rPr>
              <w:t>资产总计</w:t>
            </w:r>
          </w:p>
        </w:tc>
        <w:tc>
          <w:tcPr>
            <w:tcW w:w="1266" w:type="dxa"/>
            <w:vAlign w:val="center"/>
          </w:tcPr>
          <w:p w:rsidR="006E49B9" w:rsidRPr="00896265" w:rsidRDefault="006E49B9" w:rsidP="00417F87">
            <w:pPr>
              <w:pStyle w:val="af6"/>
              <w:spacing w:line="360" w:lineRule="auto"/>
              <w:jc w:val="center"/>
              <w:rPr>
                <w:rFonts w:ascii="Times New Roman" w:eastAsiaTheme="minorEastAsia" w:hAnsi="Times New Roman"/>
                <w:b/>
                <w:color w:val="000000" w:themeColor="text1"/>
                <w:sz w:val="21"/>
                <w:szCs w:val="21"/>
              </w:rPr>
            </w:pPr>
          </w:p>
        </w:tc>
        <w:tc>
          <w:tcPr>
            <w:tcW w:w="2520" w:type="dxa"/>
            <w:vAlign w:val="center"/>
          </w:tcPr>
          <w:p w:rsidR="006E49B9" w:rsidRPr="00896265" w:rsidRDefault="006E49B9"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388,085,629.49</w:t>
            </w:r>
          </w:p>
        </w:tc>
        <w:tc>
          <w:tcPr>
            <w:tcW w:w="2520" w:type="dxa"/>
            <w:vAlign w:val="center"/>
          </w:tcPr>
          <w:p w:rsidR="006E49B9" w:rsidRPr="00896265" w:rsidRDefault="006E49B9"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269,250,896.54</w:t>
            </w:r>
          </w:p>
        </w:tc>
      </w:tr>
      <w:tr w:rsidR="00E60957" w:rsidRPr="00896265" w:rsidTr="0046299F">
        <w:tc>
          <w:tcPr>
            <w:tcW w:w="2694" w:type="dxa"/>
            <w:vAlign w:val="center"/>
          </w:tcPr>
          <w:p w:rsidR="007B62FA" w:rsidRPr="00896265" w:rsidRDefault="007B62FA" w:rsidP="00417F87">
            <w:pPr>
              <w:pStyle w:val="af6"/>
              <w:spacing w:line="360" w:lineRule="auto"/>
              <w:jc w:val="center"/>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负债和所有者权益</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附注号</w:t>
            </w:r>
          </w:p>
        </w:tc>
        <w:tc>
          <w:tcPr>
            <w:tcW w:w="2520" w:type="dxa"/>
            <w:vAlign w:val="center"/>
          </w:tcPr>
          <w:p w:rsidR="007B62FA" w:rsidRPr="00896265" w:rsidRDefault="007B62FA" w:rsidP="00417F87">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本期末</w:t>
            </w:r>
          </w:p>
          <w:p w:rsidR="007B62FA" w:rsidRPr="00896265" w:rsidRDefault="00ED2997" w:rsidP="00417F87">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kern w:val="2"/>
                <w:sz w:val="21"/>
                <w:szCs w:val="21"/>
              </w:rPr>
              <w:t>2019</w:t>
            </w:r>
            <w:r w:rsidRPr="00896265">
              <w:rPr>
                <w:rFonts w:ascii="Times New Roman" w:eastAsiaTheme="minorEastAsia" w:hAnsi="Times New Roman"/>
                <w:b/>
                <w:color w:val="000000" w:themeColor="text1"/>
                <w:kern w:val="2"/>
                <w:sz w:val="21"/>
                <w:szCs w:val="21"/>
              </w:rPr>
              <w:t>年</w:t>
            </w:r>
            <w:r w:rsidRPr="00896265">
              <w:rPr>
                <w:rFonts w:ascii="Times New Roman" w:eastAsiaTheme="minorEastAsia" w:hAnsi="Times New Roman"/>
                <w:b/>
                <w:color w:val="000000" w:themeColor="text1"/>
                <w:kern w:val="2"/>
                <w:sz w:val="21"/>
                <w:szCs w:val="21"/>
              </w:rPr>
              <w:t>12</w:t>
            </w:r>
            <w:r w:rsidRPr="00896265">
              <w:rPr>
                <w:rFonts w:ascii="Times New Roman" w:eastAsiaTheme="minorEastAsia" w:hAnsi="Times New Roman"/>
                <w:b/>
                <w:color w:val="000000" w:themeColor="text1"/>
                <w:kern w:val="2"/>
                <w:sz w:val="21"/>
                <w:szCs w:val="21"/>
              </w:rPr>
              <w:t>月</w:t>
            </w:r>
            <w:r w:rsidRPr="00896265">
              <w:rPr>
                <w:rFonts w:ascii="Times New Roman" w:eastAsiaTheme="minorEastAsia" w:hAnsi="Times New Roman"/>
                <w:b/>
                <w:color w:val="000000" w:themeColor="text1"/>
                <w:kern w:val="2"/>
                <w:sz w:val="21"/>
                <w:szCs w:val="21"/>
              </w:rPr>
              <w:t>31</w:t>
            </w:r>
            <w:r w:rsidRPr="00896265">
              <w:rPr>
                <w:rFonts w:ascii="Times New Roman" w:eastAsiaTheme="minorEastAsia" w:hAnsi="Times New Roman"/>
                <w:b/>
                <w:color w:val="000000" w:themeColor="text1"/>
                <w:kern w:val="2"/>
                <w:sz w:val="21"/>
                <w:szCs w:val="21"/>
              </w:rPr>
              <w:t>日</w:t>
            </w:r>
          </w:p>
        </w:tc>
        <w:tc>
          <w:tcPr>
            <w:tcW w:w="2520" w:type="dxa"/>
            <w:vAlign w:val="center"/>
          </w:tcPr>
          <w:p w:rsidR="007B62FA" w:rsidRPr="00896265" w:rsidRDefault="007B62FA" w:rsidP="00417F87">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上年度末</w:t>
            </w:r>
          </w:p>
          <w:p w:rsidR="007B62FA" w:rsidRPr="00896265" w:rsidRDefault="00264252" w:rsidP="00417F87">
            <w:pPr>
              <w:pStyle w:val="af6"/>
              <w:spacing w:before="0" w:beforeAutospacing="0" w:after="0" w:afterAutospacing="0" w:line="360" w:lineRule="auto"/>
              <w:jc w:val="center"/>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2018</w:t>
            </w:r>
            <w:r w:rsidRPr="00896265">
              <w:rPr>
                <w:rFonts w:ascii="Times New Roman" w:eastAsiaTheme="minorEastAsia" w:hAnsi="Times New Roman"/>
                <w:b/>
                <w:color w:val="000000" w:themeColor="text1"/>
                <w:sz w:val="21"/>
                <w:szCs w:val="21"/>
              </w:rPr>
              <w:t>年</w:t>
            </w:r>
            <w:r w:rsidRPr="00896265">
              <w:rPr>
                <w:rFonts w:ascii="Times New Roman" w:eastAsiaTheme="minorEastAsia" w:hAnsi="Times New Roman"/>
                <w:b/>
                <w:color w:val="000000" w:themeColor="text1"/>
                <w:sz w:val="21"/>
                <w:szCs w:val="21"/>
              </w:rPr>
              <w:t>12</w:t>
            </w:r>
            <w:r w:rsidRPr="00896265">
              <w:rPr>
                <w:rFonts w:ascii="Times New Roman" w:eastAsiaTheme="minorEastAsia" w:hAnsi="Times New Roman"/>
                <w:b/>
                <w:color w:val="000000" w:themeColor="text1"/>
                <w:sz w:val="21"/>
                <w:szCs w:val="21"/>
              </w:rPr>
              <w:t>月</w:t>
            </w:r>
            <w:r w:rsidRPr="00896265">
              <w:rPr>
                <w:rFonts w:ascii="Times New Roman" w:eastAsiaTheme="minorEastAsia" w:hAnsi="Times New Roman"/>
                <w:b/>
                <w:color w:val="000000" w:themeColor="text1"/>
                <w:sz w:val="21"/>
                <w:szCs w:val="21"/>
              </w:rPr>
              <w:t>31</w:t>
            </w:r>
            <w:r w:rsidRPr="00896265">
              <w:rPr>
                <w:rFonts w:ascii="Times New Roman" w:eastAsiaTheme="minorEastAsia" w:hAnsi="Times New Roman"/>
                <w:b/>
                <w:color w:val="000000" w:themeColor="text1"/>
                <w:sz w:val="21"/>
                <w:szCs w:val="21"/>
              </w:rPr>
              <w:t>日</w:t>
            </w:r>
          </w:p>
        </w:tc>
      </w:tr>
      <w:tr w:rsidR="00E60957" w:rsidRPr="00896265" w:rsidTr="0046299F">
        <w:tc>
          <w:tcPr>
            <w:tcW w:w="2694" w:type="dxa"/>
            <w:vAlign w:val="center"/>
          </w:tcPr>
          <w:p w:rsidR="007B62FA" w:rsidRPr="00896265" w:rsidRDefault="007B62FA" w:rsidP="00417F87">
            <w:pPr>
              <w:spacing w:line="360" w:lineRule="auto"/>
              <w:rPr>
                <w:rFonts w:eastAsiaTheme="minorEastAsia"/>
                <w:b/>
                <w:color w:val="000000" w:themeColor="text1"/>
                <w:szCs w:val="21"/>
              </w:rPr>
            </w:pPr>
            <w:r w:rsidRPr="00896265">
              <w:rPr>
                <w:rFonts w:eastAsiaTheme="minorEastAsia"/>
                <w:b/>
                <w:color w:val="000000" w:themeColor="text1"/>
                <w:szCs w:val="21"/>
              </w:rPr>
              <w:t>负债：</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b/>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短期借款</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交易性金融负债</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衍生金融负债</w:t>
            </w:r>
          </w:p>
        </w:tc>
        <w:tc>
          <w:tcPr>
            <w:tcW w:w="1266" w:type="dxa"/>
            <w:vAlign w:val="center"/>
          </w:tcPr>
          <w:p w:rsidR="007B62FA" w:rsidRPr="00896265" w:rsidRDefault="00E70468" w:rsidP="00417F87">
            <w:pPr>
              <w:pStyle w:val="af6"/>
              <w:spacing w:line="360" w:lineRule="auto"/>
              <w:jc w:val="center"/>
              <w:rPr>
                <w:rFonts w:ascii="Times New Roman" w:eastAsiaTheme="minorEastAsia" w:hAnsi="Times New Roman"/>
                <w:color w:val="000000" w:themeColor="text1"/>
                <w:sz w:val="21"/>
                <w:szCs w:val="21"/>
              </w:rPr>
            </w:pPr>
            <w:r w:rsidRPr="00896265">
              <w:rPr>
                <w:rFonts w:ascii="Times New Roman" w:eastAsiaTheme="minorEastAsia" w:hAnsi="Times New Roman"/>
                <w:color w:val="000000" w:themeColor="text1"/>
                <w:sz w:val="21"/>
                <w:szCs w:val="21"/>
              </w:rPr>
              <w:t>7.4.7.3</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卖出回购金融资产款</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应付证券清算款</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372,999.69</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应付赎回款</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19,894,263.63</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1,367,270.62</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应付管理人报酬</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371,761.99</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335,937.51</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应付托管费</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61,960.32</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67,187.50</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应付销售服务费</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28.11</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应付交易费用</w:t>
            </w:r>
          </w:p>
        </w:tc>
        <w:tc>
          <w:tcPr>
            <w:tcW w:w="1266" w:type="dxa"/>
            <w:vAlign w:val="center"/>
          </w:tcPr>
          <w:p w:rsidR="007B62FA" w:rsidRPr="00896265" w:rsidRDefault="00E70468" w:rsidP="00417F87">
            <w:pPr>
              <w:pStyle w:val="af6"/>
              <w:spacing w:line="360" w:lineRule="auto"/>
              <w:jc w:val="center"/>
              <w:rPr>
                <w:rFonts w:ascii="Times New Roman" w:eastAsiaTheme="minorEastAsia" w:hAnsi="Times New Roman"/>
                <w:color w:val="000000" w:themeColor="text1"/>
                <w:sz w:val="21"/>
                <w:szCs w:val="21"/>
              </w:rPr>
            </w:pPr>
            <w:r w:rsidRPr="00896265">
              <w:rPr>
                <w:rFonts w:ascii="Times New Roman" w:eastAsiaTheme="minorEastAsia" w:hAnsi="Times New Roman"/>
                <w:color w:val="000000" w:themeColor="text1"/>
                <w:sz w:val="21"/>
                <w:szCs w:val="21"/>
              </w:rPr>
              <w:t>7.4.7.7</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应交税费</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227,206.18</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应付利息</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应付利润</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递延所得税负债</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其他负债</w:t>
            </w:r>
          </w:p>
        </w:tc>
        <w:tc>
          <w:tcPr>
            <w:tcW w:w="1266" w:type="dxa"/>
            <w:vAlign w:val="center"/>
          </w:tcPr>
          <w:p w:rsidR="007B62FA" w:rsidRPr="00896265" w:rsidRDefault="00E70468" w:rsidP="00417F87">
            <w:pPr>
              <w:pStyle w:val="af6"/>
              <w:spacing w:line="360" w:lineRule="auto"/>
              <w:jc w:val="center"/>
              <w:rPr>
                <w:rFonts w:ascii="Times New Roman" w:eastAsiaTheme="minorEastAsia" w:hAnsi="Times New Roman"/>
                <w:color w:val="000000" w:themeColor="text1"/>
                <w:sz w:val="21"/>
                <w:szCs w:val="21"/>
              </w:rPr>
            </w:pPr>
            <w:r w:rsidRPr="00896265">
              <w:rPr>
                <w:rFonts w:ascii="Times New Roman" w:eastAsiaTheme="minorEastAsia" w:hAnsi="Times New Roman"/>
                <w:color w:val="000000" w:themeColor="text1"/>
                <w:sz w:val="21"/>
                <w:szCs w:val="21"/>
              </w:rPr>
              <w:t>7.4.7.8</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317,995.34</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272,719.36</w:t>
            </w:r>
          </w:p>
        </w:tc>
      </w:tr>
      <w:tr w:rsidR="00E60957" w:rsidRPr="00896265" w:rsidTr="0046299F">
        <w:tc>
          <w:tcPr>
            <w:tcW w:w="2694" w:type="dxa"/>
            <w:vAlign w:val="center"/>
          </w:tcPr>
          <w:p w:rsidR="007B62FA" w:rsidRPr="00896265" w:rsidRDefault="007B62FA" w:rsidP="00417F87">
            <w:pPr>
              <w:pStyle w:val="af6"/>
              <w:spacing w:line="360" w:lineRule="auto"/>
              <w:jc w:val="both"/>
              <w:rPr>
                <w:rFonts w:ascii="Times New Roman" w:eastAsiaTheme="minorEastAsia" w:hAnsi="Times New Roman"/>
                <w:b/>
                <w:color w:val="000000" w:themeColor="text1"/>
                <w:sz w:val="21"/>
                <w:szCs w:val="21"/>
              </w:rPr>
            </w:pPr>
            <w:r w:rsidRPr="00896265">
              <w:rPr>
                <w:rFonts w:ascii="Times New Roman" w:eastAsiaTheme="minorEastAsia" w:hAnsi="Times New Roman"/>
                <w:b/>
                <w:color w:val="000000" w:themeColor="text1"/>
                <w:sz w:val="21"/>
                <w:szCs w:val="21"/>
              </w:rPr>
              <w:t>负债合计</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b/>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21,246,215.26</w:t>
            </w:r>
          </w:p>
        </w:tc>
        <w:tc>
          <w:tcPr>
            <w:tcW w:w="2520" w:type="dxa"/>
            <w:vAlign w:val="center"/>
          </w:tcPr>
          <w:p w:rsidR="007B62FA" w:rsidRPr="00896265" w:rsidRDefault="007B62FA"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2,043,114.99</w:t>
            </w:r>
          </w:p>
        </w:tc>
      </w:tr>
      <w:tr w:rsidR="00E60957" w:rsidRPr="00896265" w:rsidTr="0046299F">
        <w:tc>
          <w:tcPr>
            <w:tcW w:w="2694" w:type="dxa"/>
            <w:vAlign w:val="center"/>
          </w:tcPr>
          <w:p w:rsidR="007B62FA" w:rsidRPr="00896265" w:rsidRDefault="007B62FA" w:rsidP="00417F87">
            <w:pPr>
              <w:spacing w:line="360" w:lineRule="auto"/>
              <w:rPr>
                <w:rFonts w:eastAsiaTheme="minorEastAsia"/>
                <w:b/>
                <w:color w:val="000000" w:themeColor="text1"/>
                <w:szCs w:val="21"/>
              </w:rPr>
            </w:pPr>
            <w:r w:rsidRPr="00896265">
              <w:rPr>
                <w:rFonts w:eastAsiaTheme="minorEastAsia"/>
                <w:b/>
                <w:color w:val="000000" w:themeColor="text1"/>
                <w:szCs w:val="21"/>
              </w:rPr>
              <w:t>所有者权益：</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w:t>
            </w:r>
          </w:p>
        </w:tc>
        <w:tc>
          <w:tcPr>
            <w:tcW w:w="2520" w:type="dxa"/>
            <w:vAlign w:val="center"/>
          </w:tcPr>
          <w:p w:rsidR="007B62FA" w:rsidRPr="00896265" w:rsidRDefault="007B62FA"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实收基金</w:t>
            </w:r>
          </w:p>
        </w:tc>
        <w:tc>
          <w:tcPr>
            <w:tcW w:w="1266" w:type="dxa"/>
            <w:vAlign w:val="center"/>
          </w:tcPr>
          <w:p w:rsidR="007B62FA" w:rsidRPr="00896265" w:rsidRDefault="00E70468" w:rsidP="00417F87">
            <w:pPr>
              <w:pStyle w:val="af6"/>
              <w:spacing w:line="360" w:lineRule="auto"/>
              <w:jc w:val="center"/>
              <w:rPr>
                <w:rFonts w:ascii="Times New Roman" w:eastAsiaTheme="minorEastAsia" w:hAnsi="Times New Roman"/>
                <w:color w:val="000000" w:themeColor="text1"/>
                <w:sz w:val="21"/>
                <w:szCs w:val="21"/>
              </w:rPr>
            </w:pPr>
            <w:r w:rsidRPr="00896265">
              <w:rPr>
                <w:rFonts w:ascii="Times New Roman" w:eastAsiaTheme="minorEastAsia" w:hAnsi="Times New Roman"/>
                <w:color w:val="000000" w:themeColor="text1"/>
                <w:sz w:val="21"/>
                <w:szCs w:val="21"/>
              </w:rPr>
              <w:t>7.4.7.9</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429,157,206.13</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375,538,714.53</w:t>
            </w:r>
          </w:p>
        </w:tc>
      </w:tr>
      <w:tr w:rsidR="00E60957" w:rsidRPr="00896265" w:rsidTr="0046299F">
        <w:tc>
          <w:tcPr>
            <w:tcW w:w="2694" w:type="dxa"/>
            <w:vAlign w:val="center"/>
          </w:tcPr>
          <w:p w:rsidR="007B62FA" w:rsidRPr="00896265" w:rsidRDefault="007B62FA" w:rsidP="00417F87">
            <w:pPr>
              <w:spacing w:line="360" w:lineRule="auto"/>
              <w:rPr>
                <w:rFonts w:eastAsiaTheme="minorEastAsia"/>
                <w:color w:val="000000" w:themeColor="text1"/>
                <w:szCs w:val="21"/>
              </w:rPr>
            </w:pPr>
            <w:r w:rsidRPr="00896265">
              <w:rPr>
                <w:rFonts w:eastAsiaTheme="minorEastAsia"/>
                <w:color w:val="000000" w:themeColor="text1"/>
                <w:szCs w:val="21"/>
              </w:rPr>
              <w:t>未分配利润</w:t>
            </w:r>
          </w:p>
        </w:tc>
        <w:tc>
          <w:tcPr>
            <w:tcW w:w="1266" w:type="dxa"/>
            <w:vAlign w:val="center"/>
          </w:tcPr>
          <w:p w:rsidR="007B62FA" w:rsidRPr="00896265" w:rsidRDefault="00E70468" w:rsidP="00417F87">
            <w:pPr>
              <w:pStyle w:val="af6"/>
              <w:spacing w:line="360" w:lineRule="auto"/>
              <w:jc w:val="center"/>
              <w:rPr>
                <w:rFonts w:ascii="Times New Roman" w:eastAsiaTheme="minorEastAsia" w:hAnsi="Times New Roman"/>
                <w:color w:val="000000" w:themeColor="text1"/>
                <w:sz w:val="21"/>
                <w:szCs w:val="21"/>
              </w:rPr>
            </w:pPr>
            <w:r w:rsidRPr="00896265">
              <w:rPr>
                <w:rFonts w:ascii="Times New Roman" w:eastAsiaTheme="minorEastAsia" w:hAnsi="Times New Roman"/>
                <w:color w:val="000000" w:themeColor="text1"/>
                <w:sz w:val="21"/>
                <w:szCs w:val="21"/>
              </w:rPr>
              <w:t>7.4.7.10</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-62,317,791.90</w:t>
            </w:r>
          </w:p>
        </w:tc>
        <w:tc>
          <w:tcPr>
            <w:tcW w:w="2520"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-108,330,932.98</w:t>
            </w:r>
          </w:p>
        </w:tc>
      </w:tr>
      <w:tr w:rsidR="00E60957" w:rsidRPr="00896265" w:rsidTr="0046299F">
        <w:tc>
          <w:tcPr>
            <w:tcW w:w="2694" w:type="dxa"/>
            <w:vAlign w:val="center"/>
          </w:tcPr>
          <w:p w:rsidR="007B62FA" w:rsidRPr="00896265" w:rsidRDefault="007B62FA" w:rsidP="00417F87">
            <w:pPr>
              <w:spacing w:line="360" w:lineRule="auto"/>
              <w:rPr>
                <w:rFonts w:eastAsiaTheme="minorEastAsia"/>
                <w:b/>
                <w:color w:val="000000" w:themeColor="text1"/>
                <w:szCs w:val="21"/>
              </w:rPr>
            </w:pPr>
            <w:r w:rsidRPr="00896265">
              <w:rPr>
                <w:rFonts w:eastAsiaTheme="minorEastAsia"/>
                <w:b/>
                <w:color w:val="000000" w:themeColor="text1"/>
                <w:szCs w:val="21"/>
              </w:rPr>
              <w:t>所有者权益合计</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b/>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366,839,414.23</w:t>
            </w:r>
          </w:p>
        </w:tc>
        <w:tc>
          <w:tcPr>
            <w:tcW w:w="2520" w:type="dxa"/>
            <w:vAlign w:val="center"/>
          </w:tcPr>
          <w:p w:rsidR="007B62FA" w:rsidRPr="00896265" w:rsidRDefault="007B62FA"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267,207,781.55</w:t>
            </w:r>
          </w:p>
        </w:tc>
      </w:tr>
      <w:tr w:rsidR="00E60957" w:rsidRPr="00896265" w:rsidTr="0046299F">
        <w:tc>
          <w:tcPr>
            <w:tcW w:w="2694" w:type="dxa"/>
            <w:vAlign w:val="center"/>
          </w:tcPr>
          <w:p w:rsidR="007B62FA" w:rsidRPr="00896265" w:rsidRDefault="007B62FA" w:rsidP="00417F87">
            <w:pPr>
              <w:spacing w:line="360" w:lineRule="auto"/>
              <w:rPr>
                <w:rFonts w:eastAsiaTheme="minorEastAsia"/>
                <w:b/>
                <w:color w:val="000000" w:themeColor="text1"/>
                <w:szCs w:val="21"/>
              </w:rPr>
            </w:pPr>
            <w:r w:rsidRPr="00896265">
              <w:rPr>
                <w:rFonts w:eastAsiaTheme="minorEastAsia"/>
                <w:b/>
                <w:color w:val="000000" w:themeColor="text1"/>
                <w:szCs w:val="21"/>
              </w:rPr>
              <w:t>负债和所有者权益总计</w:t>
            </w:r>
          </w:p>
        </w:tc>
        <w:tc>
          <w:tcPr>
            <w:tcW w:w="1266" w:type="dxa"/>
            <w:vAlign w:val="center"/>
          </w:tcPr>
          <w:p w:rsidR="007B62FA" w:rsidRPr="00896265" w:rsidRDefault="007B62FA" w:rsidP="00417F87">
            <w:pPr>
              <w:pStyle w:val="af6"/>
              <w:spacing w:line="360" w:lineRule="auto"/>
              <w:jc w:val="center"/>
              <w:rPr>
                <w:rFonts w:ascii="Times New Roman" w:eastAsiaTheme="minorEastAsia" w:hAnsi="Times New Roman"/>
                <w:b/>
                <w:color w:val="000000" w:themeColor="text1"/>
                <w:sz w:val="21"/>
                <w:szCs w:val="21"/>
              </w:rPr>
            </w:pPr>
          </w:p>
        </w:tc>
        <w:tc>
          <w:tcPr>
            <w:tcW w:w="2520" w:type="dxa"/>
            <w:vAlign w:val="center"/>
          </w:tcPr>
          <w:p w:rsidR="007B62FA" w:rsidRPr="00896265" w:rsidRDefault="007B62FA"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388,085,629.49</w:t>
            </w:r>
          </w:p>
        </w:tc>
        <w:tc>
          <w:tcPr>
            <w:tcW w:w="2520" w:type="dxa"/>
            <w:vAlign w:val="center"/>
          </w:tcPr>
          <w:p w:rsidR="007B62FA" w:rsidRPr="00896265" w:rsidRDefault="007B62FA" w:rsidP="00417F87">
            <w:pPr>
              <w:spacing w:line="360" w:lineRule="auto"/>
              <w:jc w:val="right"/>
              <w:rPr>
                <w:rFonts w:eastAsiaTheme="minorEastAsia"/>
                <w:b/>
                <w:color w:val="000000" w:themeColor="text1"/>
                <w:szCs w:val="21"/>
              </w:rPr>
            </w:pPr>
            <w:r w:rsidRPr="00896265">
              <w:rPr>
                <w:rFonts w:eastAsiaTheme="minorEastAsia"/>
                <w:b/>
                <w:color w:val="000000" w:themeColor="text1"/>
                <w:szCs w:val="21"/>
              </w:rPr>
              <w:t>269,250,896.54</w:t>
            </w:r>
          </w:p>
        </w:tc>
      </w:tr>
    </w:tbl>
    <w:p w:rsidR="007B62FA" w:rsidRPr="00896265" w:rsidRDefault="007B62FA" w:rsidP="00E70468">
      <w:pPr>
        <w:adjustRightInd w:val="0"/>
        <w:snapToGrid w:val="0"/>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注：报告截止日</w:t>
      </w:r>
      <w:r w:rsidRPr="00896265">
        <w:rPr>
          <w:rFonts w:eastAsiaTheme="minorEastAsia"/>
          <w:color w:val="000000" w:themeColor="text1"/>
          <w:kern w:val="0"/>
          <w:szCs w:val="21"/>
        </w:rPr>
        <w:t>2019</w:t>
      </w:r>
      <w:r w:rsidRPr="00896265">
        <w:rPr>
          <w:rFonts w:eastAsiaTheme="minorEastAsia"/>
          <w:color w:val="000000" w:themeColor="text1"/>
          <w:kern w:val="0"/>
          <w:szCs w:val="21"/>
        </w:rPr>
        <w:t>年</w:t>
      </w:r>
      <w:r w:rsidRPr="00896265">
        <w:rPr>
          <w:rFonts w:eastAsiaTheme="minorEastAsia"/>
          <w:color w:val="000000" w:themeColor="text1"/>
          <w:kern w:val="0"/>
          <w:szCs w:val="21"/>
        </w:rPr>
        <w:t>12</w:t>
      </w:r>
      <w:r w:rsidRPr="00896265">
        <w:rPr>
          <w:rFonts w:eastAsiaTheme="minorEastAsia"/>
          <w:color w:val="000000" w:themeColor="text1"/>
          <w:kern w:val="0"/>
          <w:szCs w:val="21"/>
        </w:rPr>
        <w:t>月</w:t>
      </w:r>
      <w:r w:rsidRPr="00896265">
        <w:rPr>
          <w:rFonts w:eastAsiaTheme="minorEastAsia"/>
          <w:color w:val="000000" w:themeColor="text1"/>
          <w:kern w:val="0"/>
          <w:szCs w:val="21"/>
        </w:rPr>
        <w:t>31</w:t>
      </w:r>
      <w:r w:rsidRPr="00896265">
        <w:rPr>
          <w:rFonts w:eastAsiaTheme="minorEastAsia"/>
          <w:color w:val="000000" w:themeColor="text1"/>
          <w:kern w:val="0"/>
          <w:szCs w:val="21"/>
        </w:rPr>
        <w:t>日，</w:t>
      </w:r>
      <w:r w:rsidRPr="00896265">
        <w:rPr>
          <w:rFonts w:eastAsiaTheme="minorEastAsia"/>
          <w:color w:val="000000" w:themeColor="text1"/>
          <w:kern w:val="0"/>
          <w:szCs w:val="21"/>
        </w:rPr>
        <w:t>A</w:t>
      </w:r>
      <w:r w:rsidRPr="00896265">
        <w:rPr>
          <w:rFonts w:eastAsiaTheme="minorEastAsia"/>
          <w:color w:val="000000" w:themeColor="text1"/>
          <w:kern w:val="0"/>
          <w:szCs w:val="21"/>
        </w:rPr>
        <w:t>类基金份额净值</w:t>
      </w:r>
      <w:r w:rsidRPr="00896265">
        <w:rPr>
          <w:rFonts w:eastAsiaTheme="minorEastAsia"/>
          <w:color w:val="000000" w:themeColor="text1"/>
          <w:kern w:val="0"/>
          <w:szCs w:val="21"/>
        </w:rPr>
        <w:t>0.855</w:t>
      </w:r>
      <w:r w:rsidRPr="00896265">
        <w:rPr>
          <w:rFonts w:eastAsiaTheme="minorEastAsia"/>
          <w:color w:val="000000" w:themeColor="text1"/>
          <w:kern w:val="0"/>
          <w:szCs w:val="21"/>
        </w:rPr>
        <w:t>元，</w:t>
      </w:r>
      <w:r w:rsidRPr="00896265">
        <w:rPr>
          <w:rFonts w:eastAsiaTheme="minorEastAsia"/>
          <w:color w:val="000000" w:themeColor="text1"/>
          <w:kern w:val="0"/>
          <w:szCs w:val="21"/>
        </w:rPr>
        <w:t>C</w:t>
      </w:r>
      <w:r w:rsidRPr="00896265">
        <w:rPr>
          <w:rFonts w:eastAsiaTheme="minorEastAsia"/>
          <w:color w:val="000000" w:themeColor="text1"/>
          <w:kern w:val="0"/>
          <w:szCs w:val="21"/>
        </w:rPr>
        <w:t>类基金份额净值</w:t>
      </w:r>
      <w:r w:rsidRPr="00896265">
        <w:rPr>
          <w:rFonts w:eastAsiaTheme="minorEastAsia"/>
          <w:color w:val="000000" w:themeColor="text1"/>
          <w:kern w:val="0"/>
          <w:szCs w:val="21"/>
        </w:rPr>
        <w:t>0.855</w:t>
      </w:r>
      <w:r w:rsidRPr="00896265">
        <w:rPr>
          <w:rFonts w:eastAsiaTheme="minorEastAsia"/>
          <w:color w:val="000000" w:themeColor="text1"/>
          <w:kern w:val="0"/>
          <w:szCs w:val="21"/>
        </w:rPr>
        <w:t>元；基金份额总额</w:t>
      </w:r>
      <w:r w:rsidRPr="00896265">
        <w:rPr>
          <w:rFonts w:eastAsiaTheme="minorEastAsia"/>
          <w:color w:val="000000" w:themeColor="text1"/>
          <w:kern w:val="0"/>
          <w:szCs w:val="21"/>
        </w:rPr>
        <w:t>429,157,206.13</w:t>
      </w:r>
      <w:r w:rsidRPr="00896265">
        <w:rPr>
          <w:rFonts w:eastAsiaTheme="minorEastAsia"/>
          <w:color w:val="000000" w:themeColor="text1"/>
          <w:kern w:val="0"/>
          <w:szCs w:val="21"/>
        </w:rPr>
        <w:t>份，下属分级基金的份额总额分别为：</w:t>
      </w:r>
      <w:r w:rsidRPr="00896265">
        <w:rPr>
          <w:rFonts w:eastAsiaTheme="minorEastAsia"/>
          <w:color w:val="000000" w:themeColor="text1"/>
          <w:kern w:val="0"/>
          <w:szCs w:val="21"/>
        </w:rPr>
        <w:t>A</w:t>
      </w:r>
      <w:r w:rsidRPr="00896265">
        <w:rPr>
          <w:rFonts w:eastAsiaTheme="minorEastAsia"/>
          <w:color w:val="000000" w:themeColor="text1"/>
          <w:kern w:val="0"/>
          <w:szCs w:val="21"/>
        </w:rPr>
        <w:t>类基金份额总额</w:t>
      </w:r>
      <w:r w:rsidRPr="00896265">
        <w:rPr>
          <w:rFonts w:eastAsiaTheme="minorEastAsia"/>
          <w:color w:val="000000" w:themeColor="text1"/>
          <w:kern w:val="0"/>
          <w:szCs w:val="21"/>
        </w:rPr>
        <w:t>428,703,387.26</w:t>
      </w:r>
      <w:r w:rsidRPr="00896265">
        <w:rPr>
          <w:rFonts w:eastAsiaTheme="minorEastAsia"/>
          <w:color w:val="000000" w:themeColor="text1"/>
          <w:kern w:val="0"/>
          <w:szCs w:val="21"/>
        </w:rPr>
        <w:t>份，</w:t>
      </w:r>
      <w:r w:rsidRPr="00896265">
        <w:rPr>
          <w:rFonts w:eastAsiaTheme="minorEastAsia"/>
          <w:color w:val="000000" w:themeColor="text1"/>
          <w:kern w:val="0"/>
          <w:szCs w:val="21"/>
        </w:rPr>
        <w:t>C</w:t>
      </w:r>
      <w:r w:rsidRPr="00896265">
        <w:rPr>
          <w:rFonts w:eastAsiaTheme="minorEastAsia"/>
          <w:color w:val="000000" w:themeColor="text1"/>
          <w:kern w:val="0"/>
          <w:szCs w:val="21"/>
        </w:rPr>
        <w:t>类基金份额总额</w:t>
      </w:r>
      <w:r w:rsidRPr="00896265">
        <w:rPr>
          <w:rFonts w:eastAsiaTheme="minorEastAsia"/>
          <w:color w:val="000000" w:themeColor="text1"/>
          <w:kern w:val="0"/>
          <w:szCs w:val="21"/>
        </w:rPr>
        <w:t>453,818.87</w:t>
      </w:r>
      <w:r w:rsidRPr="00896265">
        <w:rPr>
          <w:rFonts w:eastAsiaTheme="minorEastAsia"/>
          <w:color w:val="000000" w:themeColor="text1"/>
          <w:kern w:val="0"/>
          <w:szCs w:val="21"/>
        </w:rPr>
        <w:t>份。</w:t>
      </w:r>
    </w:p>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197" w:name="_Toc225498269"/>
      <w:bookmarkStart w:id="198" w:name="_Toc352255992"/>
      <w:bookmarkStart w:id="199" w:name="_Toc352256060"/>
      <w:bookmarkStart w:id="200" w:name="_Toc352331238"/>
      <w:bookmarkStart w:id="201" w:name="_Toc362424016"/>
      <w:bookmarkStart w:id="202" w:name="_Toc35533826"/>
      <w:r w:rsidRPr="00940842">
        <w:rPr>
          <w:rFonts w:asciiTheme="majorEastAsia" w:eastAsiaTheme="majorEastAsia" w:hAnsiTheme="majorEastAsia"/>
          <w:color w:val="000000" w:themeColor="text1"/>
          <w:kern w:val="0"/>
          <w:sz w:val="21"/>
          <w:szCs w:val="21"/>
        </w:rPr>
        <w:t>7.2</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利润表</w:t>
      </w:r>
      <w:bookmarkEnd w:id="197"/>
      <w:bookmarkEnd w:id="198"/>
      <w:bookmarkEnd w:id="199"/>
      <w:bookmarkEnd w:id="200"/>
      <w:bookmarkEnd w:id="201"/>
      <w:bookmarkEnd w:id="202"/>
    </w:p>
    <w:p w:rsidR="00EE1C79" w:rsidRPr="008F3810" w:rsidRDefault="00EE1C79" w:rsidP="00EE1C79">
      <w:pPr>
        <w:spacing w:line="360" w:lineRule="auto"/>
        <w:rPr>
          <w:rFonts w:eastAsiaTheme="minorEastAsia"/>
          <w:kern w:val="0"/>
          <w:szCs w:val="21"/>
        </w:rPr>
      </w:pPr>
      <w:r w:rsidRPr="008F3810">
        <w:rPr>
          <w:rFonts w:eastAsiaTheme="minorEastAsia"/>
          <w:color w:val="000000"/>
          <w:szCs w:val="21"/>
        </w:rPr>
        <w:t>会计主体：</w:t>
      </w:r>
      <w:r w:rsidRPr="008F3810">
        <w:rPr>
          <w:rFonts w:eastAsiaTheme="minorEastAsia"/>
          <w:kern w:val="0"/>
          <w:szCs w:val="21"/>
        </w:rPr>
        <w:t>易方达黄金主题证券投资基金（</w:t>
      </w:r>
      <w:r w:rsidRPr="008F3810">
        <w:rPr>
          <w:rFonts w:eastAsiaTheme="minorEastAsia"/>
          <w:kern w:val="0"/>
          <w:szCs w:val="21"/>
        </w:rPr>
        <w:t>LOF</w:t>
      </w:r>
      <w:r w:rsidRPr="008F3810">
        <w:rPr>
          <w:rFonts w:eastAsiaTheme="minorEastAsia"/>
          <w:kern w:val="0"/>
          <w:szCs w:val="21"/>
        </w:rPr>
        <w:t>）</w:t>
      </w:r>
    </w:p>
    <w:p w:rsidR="00EE1C79" w:rsidRPr="0091212A" w:rsidRDefault="00EE1C79" w:rsidP="00EE1C79">
      <w:pPr>
        <w:spacing w:line="360" w:lineRule="auto"/>
        <w:rPr>
          <w:rFonts w:asciiTheme="minorEastAsia" w:eastAsiaTheme="minorEastAsia" w:hAnsiTheme="minorEastAsia"/>
          <w:color w:val="000000"/>
          <w:kern w:val="0"/>
          <w:szCs w:val="21"/>
        </w:rPr>
      </w:pPr>
      <w:r w:rsidRPr="008F3810">
        <w:rPr>
          <w:rFonts w:eastAsiaTheme="minorEastAsia"/>
          <w:color w:val="000000"/>
          <w:szCs w:val="21"/>
        </w:rPr>
        <w:t>本报告期：</w:t>
      </w:r>
      <w:r w:rsidRPr="008F3810">
        <w:rPr>
          <w:rFonts w:eastAsiaTheme="minorEastAsia"/>
          <w:kern w:val="0"/>
          <w:szCs w:val="21"/>
        </w:rPr>
        <w:t>2019</w:t>
      </w:r>
      <w:r w:rsidRPr="008F3810">
        <w:rPr>
          <w:rFonts w:eastAsiaTheme="minorEastAsia"/>
          <w:kern w:val="0"/>
          <w:szCs w:val="21"/>
        </w:rPr>
        <w:t>年</w:t>
      </w:r>
      <w:r w:rsidRPr="008F3810">
        <w:rPr>
          <w:rFonts w:eastAsiaTheme="minorEastAsia"/>
          <w:kern w:val="0"/>
          <w:szCs w:val="21"/>
        </w:rPr>
        <w:t>1</w:t>
      </w:r>
      <w:r w:rsidRPr="008F3810">
        <w:rPr>
          <w:rFonts w:eastAsiaTheme="minorEastAsia"/>
          <w:kern w:val="0"/>
          <w:szCs w:val="21"/>
        </w:rPr>
        <w:t>月</w:t>
      </w:r>
      <w:r w:rsidRPr="008F3810">
        <w:rPr>
          <w:rFonts w:eastAsiaTheme="minorEastAsia"/>
          <w:kern w:val="0"/>
          <w:szCs w:val="21"/>
        </w:rPr>
        <w:t>1</w:t>
      </w:r>
      <w:r w:rsidRPr="008F3810">
        <w:rPr>
          <w:rFonts w:eastAsiaTheme="minorEastAsia"/>
          <w:kern w:val="0"/>
          <w:szCs w:val="21"/>
        </w:rPr>
        <w:t>日至</w:t>
      </w:r>
      <w:r w:rsidRPr="008F3810">
        <w:rPr>
          <w:rFonts w:eastAsiaTheme="minorEastAsia"/>
          <w:kern w:val="0"/>
          <w:szCs w:val="21"/>
        </w:rPr>
        <w:t>2019</w:t>
      </w:r>
      <w:r w:rsidRPr="008F3810">
        <w:rPr>
          <w:rFonts w:eastAsiaTheme="minorEastAsia"/>
          <w:kern w:val="0"/>
          <w:szCs w:val="21"/>
        </w:rPr>
        <w:t>年</w:t>
      </w:r>
      <w:r w:rsidRPr="008F3810">
        <w:rPr>
          <w:rFonts w:eastAsiaTheme="minorEastAsia"/>
          <w:kern w:val="0"/>
          <w:szCs w:val="21"/>
        </w:rPr>
        <w:t>12</w:t>
      </w:r>
      <w:r w:rsidRPr="008F3810">
        <w:rPr>
          <w:rFonts w:eastAsiaTheme="minorEastAsia"/>
          <w:kern w:val="0"/>
          <w:szCs w:val="21"/>
        </w:rPr>
        <w:t>月</w:t>
      </w:r>
      <w:r w:rsidRPr="008F3810">
        <w:rPr>
          <w:rFonts w:eastAsiaTheme="minorEastAsia"/>
          <w:kern w:val="0"/>
          <w:szCs w:val="21"/>
        </w:rPr>
        <w:t>31</w:t>
      </w:r>
      <w:r w:rsidRPr="008F3810">
        <w:rPr>
          <w:rFonts w:eastAsiaTheme="minorEastAsia"/>
          <w:kern w:val="0"/>
          <w:szCs w:val="21"/>
        </w:rPr>
        <w:t>日</w:t>
      </w:r>
    </w:p>
    <w:p w:rsidR="00EE1C79" w:rsidRPr="0091212A" w:rsidRDefault="00EE1C79" w:rsidP="00EE1C79">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EE1C79" w:rsidRPr="0091212A" w:rsidTr="00AA712C">
        <w:tc>
          <w:tcPr>
            <w:tcW w:w="3420" w:type="dxa"/>
            <w:vAlign w:val="center"/>
          </w:tcPr>
          <w:p w:rsidR="00EE1C79" w:rsidRPr="00B94359" w:rsidRDefault="00EE1C79" w:rsidP="00AA712C">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项</w:t>
            </w:r>
            <w:r>
              <w:rPr>
                <w:rFonts w:ascii="Times New Roman" w:eastAsiaTheme="minorEastAsia" w:hAnsi="Times New Roman" w:hint="eastAsia"/>
                <w:b/>
                <w:color w:val="000000"/>
                <w:sz w:val="21"/>
                <w:szCs w:val="21"/>
              </w:rPr>
              <w:t xml:space="preserve"> </w:t>
            </w:r>
            <w:r w:rsidRPr="00B94359">
              <w:rPr>
                <w:rFonts w:ascii="Times New Roman" w:eastAsiaTheme="minorEastAsia" w:hAnsi="Times New Roman"/>
                <w:b/>
                <w:color w:val="000000"/>
                <w:sz w:val="21"/>
                <w:szCs w:val="21"/>
              </w:rPr>
              <w:t>目</w:t>
            </w:r>
          </w:p>
        </w:tc>
        <w:tc>
          <w:tcPr>
            <w:tcW w:w="1080" w:type="dxa"/>
            <w:vAlign w:val="center"/>
          </w:tcPr>
          <w:p w:rsidR="00EE1C79" w:rsidRPr="00B94359" w:rsidRDefault="00EE1C79" w:rsidP="00AA712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250" w:type="dxa"/>
            <w:vAlign w:val="center"/>
          </w:tcPr>
          <w:p w:rsidR="00EE1C79" w:rsidRPr="00B94359" w:rsidRDefault="00EE1C79" w:rsidP="00AA712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w:t>
            </w:r>
          </w:p>
          <w:p w:rsidR="00EE1C79" w:rsidRPr="00B94359" w:rsidRDefault="00EE1C79" w:rsidP="00AA712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sz w:val="21"/>
                <w:szCs w:val="21"/>
              </w:rPr>
              <w:t>2019</w:t>
            </w:r>
            <w:r w:rsidRPr="00B94359">
              <w:rPr>
                <w:rFonts w:ascii="Times New Roman" w:eastAsiaTheme="minorEastAsia" w:hAnsi="Times New Roman"/>
                <w:sz w:val="21"/>
                <w:szCs w:val="21"/>
              </w:rPr>
              <w:t>年</w:t>
            </w:r>
            <w:r w:rsidRPr="00B94359">
              <w:rPr>
                <w:rFonts w:ascii="Times New Roman" w:eastAsiaTheme="minorEastAsia" w:hAnsi="Times New Roman"/>
                <w:sz w:val="21"/>
                <w:szCs w:val="21"/>
              </w:rPr>
              <w:t>1</w:t>
            </w:r>
            <w:r w:rsidRPr="00B94359">
              <w:rPr>
                <w:rFonts w:ascii="Times New Roman" w:eastAsiaTheme="minorEastAsia" w:hAnsi="Times New Roman"/>
                <w:sz w:val="21"/>
                <w:szCs w:val="21"/>
              </w:rPr>
              <w:t>月</w:t>
            </w:r>
            <w:r w:rsidRPr="00B94359">
              <w:rPr>
                <w:rFonts w:ascii="Times New Roman" w:eastAsiaTheme="minorEastAsia" w:hAnsi="Times New Roman"/>
                <w:sz w:val="21"/>
                <w:szCs w:val="21"/>
              </w:rPr>
              <w:t>1</w:t>
            </w:r>
            <w:r w:rsidRPr="00B94359">
              <w:rPr>
                <w:rFonts w:ascii="Times New Roman" w:eastAsiaTheme="minorEastAsia" w:hAnsi="Times New Roman"/>
                <w:sz w:val="21"/>
                <w:szCs w:val="21"/>
              </w:rPr>
              <w:t>日至</w:t>
            </w:r>
            <w:r w:rsidRPr="00B94359">
              <w:rPr>
                <w:rFonts w:ascii="Times New Roman" w:eastAsiaTheme="minorEastAsia" w:hAnsi="Times New Roman"/>
                <w:sz w:val="21"/>
                <w:szCs w:val="21"/>
              </w:rPr>
              <w:t>2019</w:t>
            </w:r>
            <w:r w:rsidRPr="00B94359">
              <w:rPr>
                <w:rFonts w:ascii="Times New Roman" w:eastAsiaTheme="minorEastAsia" w:hAnsi="Times New Roman"/>
                <w:sz w:val="21"/>
                <w:szCs w:val="21"/>
              </w:rPr>
              <w:t>年</w:t>
            </w:r>
            <w:r w:rsidRPr="00B94359">
              <w:rPr>
                <w:rFonts w:ascii="Times New Roman" w:eastAsiaTheme="minorEastAsia" w:hAnsi="Times New Roman"/>
                <w:sz w:val="21"/>
                <w:szCs w:val="21"/>
              </w:rPr>
              <w:t>12</w:t>
            </w:r>
            <w:r w:rsidRPr="00B94359">
              <w:rPr>
                <w:rFonts w:ascii="Times New Roman" w:eastAsiaTheme="minorEastAsia" w:hAnsi="Times New Roman"/>
                <w:sz w:val="21"/>
                <w:szCs w:val="21"/>
              </w:rPr>
              <w:t>月</w:t>
            </w:r>
            <w:r w:rsidRPr="00B94359">
              <w:rPr>
                <w:rFonts w:ascii="Times New Roman" w:eastAsiaTheme="minorEastAsia" w:hAnsi="Times New Roman"/>
                <w:sz w:val="21"/>
                <w:szCs w:val="21"/>
              </w:rPr>
              <w:t>31</w:t>
            </w:r>
            <w:r w:rsidRPr="00B94359">
              <w:rPr>
                <w:rFonts w:ascii="Times New Roman" w:eastAsiaTheme="minorEastAsia" w:hAnsi="Times New Roman"/>
                <w:sz w:val="21"/>
                <w:szCs w:val="21"/>
              </w:rPr>
              <w:t>日</w:t>
            </w:r>
          </w:p>
        </w:tc>
        <w:tc>
          <w:tcPr>
            <w:tcW w:w="2250" w:type="dxa"/>
            <w:vAlign w:val="center"/>
          </w:tcPr>
          <w:p w:rsidR="00EE1C79" w:rsidRPr="00B94359" w:rsidRDefault="00EE1C79" w:rsidP="00AA712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上年度可比期间</w:t>
            </w:r>
          </w:p>
          <w:p w:rsidR="00EE1C79" w:rsidRPr="00B94359" w:rsidRDefault="00EE1C79" w:rsidP="00AA712C">
            <w:pPr>
              <w:pStyle w:val="af6"/>
              <w:spacing w:before="0" w:beforeAutospacing="0" w:after="0" w:afterAutospacing="0"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2018</w:t>
            </w:r>
            <w:r w:rsidRPr="00B94359">
              <w:rPr>
                <w:rFonts w:ascii="Times New Roman" w:eastAsiaTheme="minorEastAsia" w:hAnsi="Times New Roman"/>
                <w:color w:val="000000"/>
                <w:sz w:val="21"/>
                <w:szCs w:val="21"/>
              </w:rPr>
              <w:t>年</w:t>
            </w:r>
            <w:r w:rsidRPr="00B94359">
              <w:rPr>
                <w:rFonts w:ascii="Times New Roman" w:eastAsiaTheme="minorEastAsia" w:hAnsi="Times New Roman"/>
                <w:color w:val="000000"/>
                <w:sz w:val="21"/>
                <w:szCs w:val="21"/>
              </w:rPr>
              <w:t>1</w:t>
            </w:r>
            <w:r w:rsidRPr="00B94359">
              <w:rPr>
                <w:rFonts w:ascii="Times New Roman" w:eastAsiaTheme="minorEastAsia" w:hAnsi="Times New Roman"/>
                <w:color w:val="000000"/>
                <w:sz w:val="21"/>
                <w:szCs w:val="21"/>
              </w:rPr>
              <w:t>月</w:t>
            </w:r>
            <w:r w:rsidRPr="00B94359">
              <w:rPr>
                <w:rFonts w:ascii="Times New Roman" w:eastAsiaTheme="minorEastAsia" w:hAnsi="Times New Roman"/>
                <w:color w:val="000000"/>
                <w:sz w:val="21"/>
                <w:szCs w:val="21"/>
              </w:rPr>
              <w:t>1</w:t>
            </w:r>
            <w:r w:rsidRPr="00B94359">
              <w:rPr>
                <w:rFonts w:ascii="Times New Roman" w:eastAsiaTheme="minorEastAsia" w:hAnsi="Times New Roman"/>
                <w:color w:val="000000"/>
                <w:sz w:val="21"/>
                <w:szCs w:val="21"/>
              </w:rPr>
              <w:t>日至</w:t>
            </w:r>
            <w:r w:rsidRPr="00B94359">
              <w:rPr>
                <w:rFonts w:ascii="Times New Roman" w:eastAsiaTheme="minorEastAsia" w:hAnsi="Times New Roman"/>
                <w:color w:val="000000"/>
                <w:sz w:val="21"/>
                <w:szCs w:val="21"/>
              </w:rPr>
              <w:t>2018</w:t>
            </w:r>
            <w:r w:rsidRPr="00B94359">
              <w:rPr>
                <w:rFonts w:ascii="Times New Roman" w:eastAsiaTheme="minorEastAsia" w:hAnsi="Times New Roman"/>
                <w:color w:val="000000"/>
                <w:sz w:val="21"/>
                <w:szCs w:val="21"/>
              </w:rPr>
              <w:t>年</w:t>
            </w:r>
            <w:r w:rsidRPr="00B94359">
              <w:rPr>
                <w:rFonts w:ascii="Times New Roman" w:eastAsiaTheme="minorEastAsia" w:hAnsi="Times New Roman"/>
                <w:color w:val="000000"/>
                <w:sz w:val="21"/>
                <w:szCs w:val="21"/>
              </w:rPr>
              <w:t>12</w:t>
            </w:r>
            <w:r w:rsidRPr="00B94359">
              <w:rPr>
                <w:rFonts w:ascii="Times New Roman" w:eastAsiaTheme="minorEastAsia" w:hAnsi="Times New Roman"/>
                <w:color w:val="000000"/>
                <w:sz w:val="21"/>
                <w:szCs w:val="21"/>
              </w:rPr>
              <w:t>月</w:t>
            </w:r>
            <w:r w:rsidRPr="00B94359">
              <w:rPr>
                <w:rFonts w:ascii="Times New Roman" w:eastAsiaTheme="minorEastAsia" w:hAnsi="Times New Roman"/>
                <w:color w:val="000000"/>
                <w:sz w:val="21"/>
                <w:szCs w:val="21"/>
              </w:rPr>
              <w:t>31</w:t>
            </w:r>
            <w:r w:rsidRPr="00B94359">
              <w:rPr>
                <w:rFonts w:ascii="Times New Roman" w:eastAsiaTheme="minorEastAsia" w:hAnsi="Times New Roman"/>
                <w:color w:val="000000"/>
                <w:sz w:val="21"/>
                <w:szCs w:val="21"/>
              </w:rPr>
              <w:t>日</w:t>
            </w:r>
          </w:p>
        </w:tc>
      </w:tr>
      <w:tr w:rsidR="00EE1C79" w:rsidRPr="0091212A" w:rsidTr="00AA712C">
        <w:tc>
          <w:tcPr>
            <w:tcW w:w="3420" w:type="dxa"/>
            <w:vAlign w:val="center"/>
          </w:tcPr>
          <w:p w:rsidR="00EE1C79" w:rsidRPr="00B94359" w:rsidRDefault="00EE1C79" w:rsidP="00AA712C">
            <w:pPr>
              <w:spacing w:line="360" w:lineRule="auto"/>
              <w:rPr>
                <w:rFonts w:eastAsiaTheme="minorEastAsia"/>
                <w:b/>
                <w:color w:val="000000"/>
                <w:szCs w:val="21"/>
              </w:rPr>
            </w:pPr>
            <w:r w:rsidRPr="00B94359">
              <w:rPr>
                <w:rFonts w:eastAsiaTheme="minorEastAsia"/>
                <w:b/>
                <w:color w:val="000000"/>
                <w:szCs w:val="21"/>
              </w:rPr>
              <w:t>一、收入</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b/>
                <w:color w:val="000000"/>
                <w:szCs w:val="21"/>
              </w:rPr>
            </w:pPr>
            <w:r w:rsidRPr="00B94359">
              <w:rPr>
                <w:rFonts w:eastAsiaTheme="minorEastAsia"/>
                <w:b/>
                <w:color w:val="000000"/>
                <w:szCs w:val="21"/>
              </w:rPr>
              <w:t>65,209,913.65</w:t>
            </w:r>
          </w:p>
        </w:tc>
        <w:tc>
          <w:tcPr>
            <w:tcW w:w="2250" w:type="dxa"/>
            <w:vAlign w:val="center"/>
          </w:tcPr>
          <w:p w:rsidR="00EE1C79" w:rsidRPr="00B94359" w:rsidRDefault="00EE1C79" w:rsidP="00AA712C">
            <w:pPr>
              <w:spacing w:line="360" w:lineRule="auto"/>
              <w:jc w:val="right"/>
              <w:rPr>
                <w:rFonts w:eastAsiaTheme="minorEastAsia"/>
                <w:b/>
                <w:color w:val="000000"/>
                <w:szCs w:val="21"/>
              </w:rPr>
            </w:pPr>
            <w:r w:rsidRPr="00B94359">
              <w:rPr>
                <w:rFonts w:eastAsiaTheme="minorEastAsia"/>
                <w:b/>
                <w:color w:val="000000"/>
                <w:szCs w:val="21"/>
              </w:rPr>
              <w:t>3,962,438.83</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sidRPr="00B94359">
              <w:rPr>
                <w:rFonts w:eastAsiaTheme="minorEastAsia"/>
                <w:color w:val="000000"/>
                <w:szCs w:val="21"/>
              </w:rPr>
              <w:t>1.</w:t>
            </w:r>
            <w:r w:rsidRPr="00B94359">
              <w:rPr>
                <w:rFonts w:eastAsiaTheme="minorEastAsia"/>
                <w:color w:val="000000"/>
                <w:szCs w:val="21"/>
              </w:rPr>
              <w:t>利息收入</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309,451.95</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101,493.81</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sidRPr="00B94359">
              <w:rPr>
                <w:rFonts w:eastAsiaTheme="minorEastAsia"/>
                <w:color w:val="000000"/>
                <w:szCs w:val="21"/>
              </w:rPr>
              <w:t>其中：存款利息收入</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7.4.7.11</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309,451.95</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101,493.81</w:t>
            </w:r>
          </w:p>
        </w:tc>
      </w:tr>
      <w:tr w:rsidR="00EE1C79" w:rsidRPr="0091212A" w:rsidTr="00AA712C">
        <w:tc>
          <w:tcPr>
            <w:tcW w:w="3420" w:type="dxa"/>
            <w:vAlign w:val="center"/>
          </w:tcPr>
          <w:p w:rsidR="00EE1C79" w:rsidRPr="00B94359" w:rsidRDefault="00EE1C79" w:rsidP="00AA712C">
            <w:pPr>
              <w:spacing w:line="360" w:lineRule="auto"/>
              <w:ind w:firstLineChars="250" w:firstLine="525"/>
              <w:rPr>
                <w:rFonts w:eastAsiaTheme="minorEastAsia"/>
                <w:color w:val="000000"/>
                <w:szCs w:val="21"/>
              </w:rPr>
            </w:pPr>
            <w:r w:rsidRPr="00B94359">
              <w:rPr>
                <w:rFonts w:eastAsiaTheme="minorEastAsia"/>
                <w:color w:val="000000"/>
                <w:szCs w:val="21"/>
              </w:rPr>
              <w:t>债券利息收入</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r>
      <w:tr w:rsidR="00EE1C79" w:rsidRPr="0091212A" w:rsidTr="00AA712C">
        <w:tc>
          <w:tcPr>
            <w:tcW w:w="3420" w:type="dxa"/>
            <w:vAlign w:val="center"/>
          </w:tcPr>
          <w:p w:rsidR="00EE1C79" w:rsidRPr="00B94359" w:rsidRDefault="00EE1C79" w:rsidP="00AA712C">
            <w:pPr>
              <w:spacing w:line="360" w:lineRule="auto"/>
              <w:ind w:firstLineChars="250" w:firstLine="525"/>
              <w:rPr>
                <w:rFonts w:eastAsiaTheme="minorEastAsia"/>
                <w:color w:val="000000"/>
                <w:szCs w:val="21"/>
              </w:rPr>
            </w:pPr>
            <w:r w:rsidRPr="00B94359">
              <w:rPr>
                <w:rFonts w:eastAsiaTheme="minorEastAsia"/>
                <w:color w:val="000000"/>
                <w:szCs w:val="21"/>
              </w:rPr>
              <w:t>资产支持证券利息收入</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r>
      <w:tr w:rsidR="00EE1C79" w:rsidRPr="0091212A" w:rsidTr="00AA712C">
        <w:tc>
          <w:tcPr>
            <w:tcW w:w="3420" w:type="dxa"/>
            <w:vAlign w:val="center"/>
          </w:tcPr>
          <w:p w:rsidR="00EE1C79" w:rsidRPr="00B94359" w:rsidRDefault="00EE1C79" w:rsidP="00AA712C">
            <w:pPr>
              <w:spacing w:line="360" w:lineRule="auto"/>
              <w:ind w:firstLineChars="250" w:firstLine="525"/>
              <w:rPr>
                <w:rFonts w:eastAsiaTheme="minorEastAsia"/>
                <w:color w:val="000000"/>
                <w:szCs w:val="21"/>
              </w:rPr>
            </w:pPr>
            <w:r w:rsidRPr="00B94359">
              <w:rPr>
                <w:rFonts w:eastAsiaTheme="minorEastAsia"/>
                <w:color w:val="000000"/>
                <w:szCs w:val="21"/>
              </w:rPr>
              <w:t>买入返售金融资产收入</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r>
      <w:tr w:rsidR="00EE1C79" w:rsidRPr="0091212A" w:rsidTr="00AA712C">
        <w:tc>
          <w:tcPr>
            <w:tcW w:w="3420" w:type="dxa"/>
            <w:vAlign w:val="center"/>
          </w:tcPr>
          <w:p w:rsidR="00EE1C79" w:rsidRPr="00B94359" w:rsidRDefault="00EE1C79" w:rsidP="00AA712C">
            <w:pPr>
              <w:spacing w:line="360" w:lineRule="auto"/>
              <w:ind w:firstLineChars="250" w:firstLine="525"/>
              <w:rPr>
                <w:rFonts w:eastAsiaTheme="minorEastAsia"/>
                <w:color w:val="000000"/>
                <w:szCs w:val="21"/>
              </w:rPr>
            </w:pPr>
            <w:r w:rsidRPr="00B94359">
              <w:rPr>
                <w:rFonts w:eastAsiaTheme="minorEastAsia"/>
                <w:color w:val="000000"/>
                <w:szCs w:val="21"/>
              </w:rPr>
              <w:t>其他利息收入</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sidRPr="00B94359">
              <w:rPr>
                <w:rFonts w:eastAsiaTheme="minorEastAsia"/>
                <w:color w:val="000000"/>
                <w:szCs w:val="21"/>
              </w:rPr>
              <w:t>2.</w:t>
            </w:r>
            <w:r w:rsidRPr="00B94359">
              <w:rPr>
                <w:rFonts w:eastAsiaTheme="minorEastAsia"/>
                <w:color w:val="000000"/>
                <w:szCs w:val="21"/>
              </w:rPr>
              <w:t>投资收益（损失以</w:t>
            </w:r>
            <w:r w:rsidRPr="00B94359">
              <w:rPr>
                <w:rFonts w:eastAsiaTheme="minorEastAsia"/>
                <w:color w:val="000000"/>
                <w:szCs w:val="21"/>
              </w:rPr>
              <w:t>“-”</w:t>
            </w:r>
            <w:r w:rsidRPr="00B94359">
              <w:rPr>
                <w:rFonts w:eastAsiaTheme="minorEastAsia"/>
                <w:color w:val="000000"/>
                <w:szCs w:val="21"/>
              </w:rPr>
              <w:t>填列）</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27,870,392.61</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-4,531,769.02</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sidRPr="00B94359">
              <w:rPr>
                <w:rFonts w:eastAsiaTheme="minorEastAsia"/>
                <w:color w:val="000000"/>
                <w:szCs w:val="21"/>
              </w:rPr>
              <w:t>其中：股票投资收益</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7.4.7.12</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-211,869.14</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-2,424,310.78</w:t>
            </w:r>
          </w:p>
        </w:tc>
      </w:tr>
      <w:tr w:rsidR="00EE1C79" w:rsidRPr="0091212A" w:rsidTr="00AA712C">
        <w:tc>
          <w:tcPr>
            <w:tcW w:w="3420" w:type="dxa"/>
            <w:vAlign w:val="center"/>
          </w:tcPr>
          <w:p w:rsidR="00EE1C79" w:rsidRPr="00B94359" w:rsidRDefault="00EE1C79" w:rsidP="00AA712C">
            <w:pPr>
              <w:spacing w:line="360" w:lineRule="auto"/>
              <w:ind w:firstLineChars="300" w:firstLine="630"/>
              <w:rPr>
                <w:rFonts w:eastAsiaTheme="minorEastAsia"/>
                <w:color w:val="000000"/>
                <w:szCs w:val="21"/>
              </w:rPr>
            </w:pPr>
            <w:r w:rsidRPr="00B94359">
              <w:rPr>
                <w:rFonts w:eastAsiaTheme="minorEastAsia"/>
                <w:color w:val="000000"/>
                <w:szCs w:val="21"/>
              </w:rPr>
              <w:t>基金投资收益</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7.4.7.13</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26,464,662.68</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-3,295,672.01</w:t>
            </w:r>
          </w:p>
        </w:tc>
      </w:tr>
      <w:tr w:rsidR="00EE1C79" w:rsidRPr="0091212A" w:rsidTr="00AA712C">
        <w:tc>
          <w:tcPr>
            <w:tcW w:w="3420" w:type="dxa"/>
          </w:tcPr>
          <w:p w:rsidR="00EE1C79" w:rsidRPr="00B94359" w:rsidRDefault="00EE1C79" w:rsidP="00AA712C">
            <w:pPr>
              <w:spacing w:line="360" w:lineRule="auto"/>
              <w:ind w:firstLineChars="300" w:firstLine="630"/>
              <w:rPr>
                <w:rFonts w:eastAsiaTheme="minorEastAsia"/>
                <w:color w:val="000000"/>
                <w:szCs w:val="21"/>
              </w:rPr>
            </w:pPr>
            <w:r w:rsidRPr="00B94359">
              <w:rPr>
                <w:rFonts w:eastAsiaTheme="minorEastAsia"/>
                <w:color w:val="000000"/>
                <w:szCs w:val="21"/>
              </w:rPr>
              <w:t>债券投资收益</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7.4.7.14</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r>
      <w:tr w:rsidR="00EE1C79" w:rsidRPr="0091212A" w:rsidTr="00AA712C">
        <w:tc>
          <w:tcPr>
            <w:tcW w:w="3420" w:type="dxa"/>
          </w:tcPr>
          <w:p w:rsidR="00EE1C79" w:rsidRPr="00B94359" w:rsidRDefault="00EE1C79" w:rsidP="00AA712C">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资产支持证券投资收益</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r>
      <w:tr w:rsidR="00EE1C79" w:rsidRPr="0091212A" w:rsidTr="00AA712C">
        <w:tc>
          <w:tcPr>
            <w:tcW w:w="3420" w:type="dxa"/>
          </w:tcPr>
          <w:p w:rsidR="00EE1C79" w:rsidRPr="00B94359" w:rsidRDefault="00EE1C79" w:rsidP="00AA712C">
            <w:pPr>
              <w:spacing w:line="360" w:lineRule="auto"/>
              <w:ind w:firstLineChars="300" w:firstLine="630"/>
              <w:rPr>
                <w:rFonts w:eastAsiaTheme="minorEastAsia"/>
                <w:color w:val="000000"/>
                <w:szCs w:val="21"/>
              </w:rPr>
            </w:pPr>
            <w:r w:rsidRPr="00B94359">
              <w:t>贵金属投资收益</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r>
      <w:tr w:rsidR="00EE1C79" w:rsidRPr="0091212A" w:rsidTr="00AA712C">
        <w:tc>
          <w:tcPr>
            <w:tcW w:w="3420" w:type="dxa"/>
            <w:vAlign w:val="center"/>
          </w:tcPr>
          <w:p w:rsidR="00EE1C79" w:rsidRPr="00B94359" w:rsidRDefault="00EE1C79" w:rsidP="00AA712C">
            <w:pPr>
              <w:spacing w:line="360" w:lineRule="auto"/>
              <w:ind w:firstLineChars="300" w:firstLine="630"/>
              <w:rPr>
                <w:rFonts w:eastAsiaTheme="minorEastAsia"/>
                <w:color w:val="000000"/>
                <w:szCs w:val="21"/>
              </w:rPr>
            </w:pPr>
            <w:r w:rsidRPr="00B94359">
              <w:rPr>
                <w:rFonts w:eastAsiaTheme="minorEastAsia"/>
                <w:color w:val="000000"/>
                <w:szCs w:val="21"/>
              </w:rPr>
              <w:t>衍生工具收益</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7.4.7.15</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r>
      <w:tr w:rsidR="00EE1C79" w:rsidRPr="0091212A" w:rsidTr="00AA712C">
        <w:tc>
          <w:tcPr>
            <w:tcW w:w="3420" w:type="dxa"/>
            <w:vAlign w:val="center"/>
          </w:tcPr>
          <w:p w:rsidR="00EE1C79" w:rsidRPr="00B94359" w:rsidRDefault="00EE1C79" w:rsidP="00AA712C">
            <w:pPr>
              <w:spacing w:line="360" w:lineRule="auto"/>
              <w:ind w:firstLineChars="300" w:firstLine="630"/>
              <w:rPr>
                <w:rFonts w:eastAsiaTheme="minorEastAsia"/>
                <w:color w:val="000000"/>
                <w:szCs w:val="21"/>
              </w:rPr>
            </w:pPr>
            <w:r w:rsidRPr="00B94359">
              <w:rPr>
                <w:rFonts w:eastAsiaTheme="minorEastAsia"/>
                <w:color w:val="000000"/>
                <w:szCs w:val="21"/>
              </w:rPr>
              <w:t>股利收益</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7.4.7.16</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1,617,599.07</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1,188,213.77</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sidRPr="00B94359">
              <w:rPr>
                <w:rFonts w:eastAsiaTheme="minorEastAsia"/>
                <w:color w:val="000000"/>
                <w:szCs w:val="21"/>
              </w:rPr>
              <w:t>3.</w:t>
            </w:r>
            <w:r w:rsidRPr="00B94359">
              <w:rPr>
                <w:rFonts w:eastAsiaTheme="minorEastAsia"/>
                <w:color w:val="000000"/>
                <w:szCs w:val="21"/>
              </w:rPr>
              <w:t>公允价值变动收益（损失以</w:t>
            </w:r>
            <w:r w:rsidRPr="00B94359">
              <w:rPr>
                <w:rFonts w:eastAsiaTheme="minorEastAsia"/>
                <w:color w:val="000000"/>
                <w:szCs w:val="21"/>
              </w:rPr>
              <w:t>“-”</w:t>
            </w:r>
            <w:r w:rsidRPr="00B94359">
              <w:rPr>
                <w:rFonts w:eastAsiaTheme="minorEastAsia"/>
                <w:color w:val="000000"/>
                <w:szCs w:val="21"/>
              </w:rPr>
              <w:t>号填列）</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7.4.7.17</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36,821,872.47</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7,667,325.73</w:t>
            </w:r>
          </w:p>
        </w:tc>
      </w:tr>
      <w:tr w:rsidR="00EE1C79" w:rsidRPr="0091212A" w:rsidTr="00AA712C">
        <w:tc>
          <w:tcPr>
            <w:tcW w:w="3420" w:type="dxa"/>
            <w:vAlign w:val="center"/>
          </w:tcPr>
          <w:p w:rsidR="00EE1C79" w:rsidRPr="00B94359" w:rsidRDefault="00EE1C79" w:rsidP="00AA712C">
            <w:pPr>
              <w:pStyle w:val="af6"/>
              <w:spacing w:line="360" w:lineRule="auto"/>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4.</w:t>
            </w:r>
            <w:r w:rsidRPr="00B94359">
              <w:rPr>
                <w:rFonts w:ascii="Times New Roman" w:eastAsiaTheme="minorEastAsia" w:hAnsi="Times New Roman"/>
                <w:color w:val="000000"/>
                <w:sz w:val="21"/>
                <w:szCs w:val="21"/>
              </w:rPr>
              <w:t>汇兑收益（损失以</w:t>
            </w:r>
            <w:r w:rsidRPr="00B94359">
              <w:rPr>
                <w:rFonts w:ascii="Times New Roman" w:eastAsiaTheme="minorEastAsia" w:hAnsi="Times New Roman"/>
                <w:color w:val="000000"/>
                <w:sz w:val="21"/>
                <w:szCs w:val="21"/>
              </w:rPr>
              <w:t>“</w:t>
            </w:r>
            <w:r w:rsidRPr="00B94359">
              <w:rPr>
                <w:rFonts w:ascii="Times New Roman" w:eastAsiaTheme="minorEastAsia" w:hAnsi="Times New Roman"/>
                <w:color w:val="000000"/>
                <w:sz w:val="21"/>
                <w:szCs w:val="21"/>
              </w:rPr>
              <w:t>－</w:t>
            </w:r>
            <w:r w:rsidRPr="00B94359">
              <w:rPr>
                <w:rFonts w:ascii="Times New Roman" w:eastAsiaTheme="minorEastAsia" w:hAnsi="Times New Roman"/>
                <w:color w:val="000000"/>
                <w:sz w:val="21"/>
                <w:szCs w:val="21"/>
              </w:rPr>
              <w:t>”</w:t>
            </w:r>
            <w:r w:rsidRPr="00B94359">
              <w:rPr>
                <w:rFonts w:ascii="Times New Roman" w:eastAsiaTheme="minorEastAsia" w:hAnsi="Times New Roman"/>
                <w:color w:val="000000"/>
                <w:sz w:val="21"/>
                <w:szCs w:val="21"/>
              </w:rPr>
              <w:t>号填列）</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-177,968.20</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632,621.30</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sidRPr="00B94359">
              <w:rPr>
                <w:rFonts w:eastAsiaTheme="minorEastAsia"/>
                <w:color w:val="000000"/>
                <w:szCs w:val="21"/>
              </w:rPr>
              <w:t>5.</w:t>
            </w:r>
            <w:r w:rsidRPr="00B94359">
              <w:rPr>
                <w:rFonts w:eastAsiaTheme="minorEastAsia"/>
                <w:color w:val="000000"/>
                <w:szCs w:val="21"/>
              </w:rPr>
              <w:t>其他收入（损失以</w:t>
            </w:r>
            <w:r w:rsidRPr="00B94359">
              <w:rPr>
                <w:rFonts w:eastAsiaTheme="minorEastAsia"/>
                <w:color w:val="000000"/>
                <w:szCs w:val="21"/>
              </w:rPr>
              <w:t>“-”</w:t>
            </w:r>
            <w:r w:rsidRPr="00B94359">
              <w:rPr>
                <w:rFonts w:eastAsiaTheme="minorEastAsia"/>
                <w:color w:val="000000"/>
                <w:szCs w:val="21"/>
              </w:rPr>
              <w:t>号填列）</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7.4.7.18</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386,164.82</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92,767.01</w:t>
            </w:r>
          </w:p>
        </w:tc>
      </w:tr>
      <w:tr w:rsidR="00EE1C79" w:rsidRPr="0091212A" w:rsidTr="00AA712C">
        <w:tc>
          <w:tcPr>
            <w:tcW w:w="3420" w:type="dxa"/>
            <w:vAlign w:val="center"/>
          </w:tcPr>
          <w:p w:rsidR="00EE1C79" w:rsidRPr="00B94359" w:rsidRDefault="00EE1C79" w:rsidP="00AA712C">
            <w:pPr>
              <w:spacing w:line="360" w:lineRule="auto"/>
              <w:rPr>
                <w:rFonts w:eastAsiaTheme="minorEastAsia"/>
                <w:b/>
                <w:color w:val="000000"/>
                <w:szCs w:val="21"/>
              </w:rPr>
            </w:pPr>
            <w:r w:rsidRPr="00B94359">
              <w:rPr>
                <w:rFonts w:eastAsiaTheme="minorEastAsia"/>
                <w:b/>
                <w:color w:val="000000"/>
                <w:szCs w:val="21"/>
              </w:rPr>
              <w:t>减：二、费用</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b/>
                <w:color w:val="000000"/>
                <w:szCs w:val="21"/>
              </w:rPr>
            </w:pPr>
            <w:r w:rsidRPr="00B94359">
              <w:rPr>
                <w:rFonts w:eastAsiaTheme="minorEastAsia"/>
                <w:b/>
                <w:color w:val="000000"/>
                <w:szCs w:val="21"/>
              </w:rPr>
              <w:t>6,792,947.39</w:t>
            </w:r>
          </w:p>
        </w:tc>
        <w:tc>
          <w:tcPr>
            <w:tcW w:w="2250" w:type="dxa"/>
            <w:vAlign w:val="center"/>
          </w:tcPr>
          <w:p w:rsidR="00EE1C79" w:rsidRPr="00B94359" w:rsidRDefault="00EE1C79" w:rsidP="00AA712C">
            <w:pPr>
              <w:spacing w:line="360" w:lineRule="auto"/>
              <w:jc w:val="right"/>
              <w:rPr>
                <w:rFonts w:eastAsiaTheme="minorEastAsia"/>
                <w:b/>
                <w:color w:val="000000"/>
                <w:szCs w:val="21"/>
              </w:rPr>
            </w:pPr>
            <w:r w:rsidRPr="00B94359">
              <w:rPr>
                <w:rFonts w:eastAsiaTheme="minorEastAsia"/>
                <w:b/>
                <w:color w:val="000000"/>
                <w:szCs w:val="21"/>
              </w:rPr>
              <w:t>5,857,240.38</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sidRPr="00B94359">
              <w:rPr>
                <w:rFonts w:eastAsiaTheme="minorEastAsia"/>
                <w:color w:val="000000"/>
                <w:szCs w:val="21"/>
              </w:rPr>
              <w:t>1</w:t>
            </w:r>
            <w:r w:rsidRPr="00B94359">
              <w:rPr>
                <w:rFonts w:eastAsiaTheme="minorEastAsia"/>
                <w:color w:val="000000"/>
                <w:szCs w:val="21"/>
              </w:rPr>
              <w:t>．管理人报酬</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4,598,071.55</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4,146,652.38</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sidRPr="00B94359">
              <w:rPr>
                <w:rFonts w:eastAsiaTheme="minorEastAsia"/>
                <w:color w:val="000000"/>
                <w:szCs w:val="21"/>
              </w:rPr>
              <w:t>2</w:t>
            </w:r>
            <w:r w:rsidRPr="00B94359">
              <w:rPr>
                <w:rFonts w:eastAsiaTheme="minorEastAsia"/>
                <w:color w:val="000000"/>
                <w:szCs w:val="21"/>
              </w:rPr>
              <w:t>．托管费</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889,141.87</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829,330.49</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sidRPr="00B94359">
              <w:rPr>
                <w:rFonts w:eastAsiaTheme="minorEastAsia"/>
                <w:color w:val="000000"/>
                <w:szCs w:val="21"/>
              </w:rPr>
              <w:t>3</w:t>
            </w:r>
            <w:r w:rsidRPr="00B94359">
              <w:rPr>
                <w:rFonts w:eastAsiaTheme="minorEastAsia"/>
                <w:color w:val="000000"/>
                <w:szCs w:val="21"/>
              </w:rPr>
              <w:t>．销售服务费</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53.71</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sidRPr="00B94359">
              <w:rPr>
                <w:rFonts w:eastAsiaTheme="minorEastAsia"/>
                <w:color w:val="000000"/>
                <w:szCs w:val="21"/>
              </w:rPr>
              <w:t>4</w:t>
            </w:r>
            <w:r w:rsidRPr="00B94359">
              <w:rPr>
                <w:rFonts w:eastAsiaTheme="minorEastAsia"/>
                <w:color w:val="000000"/>
                <w:szCs w:val="21"/>
              </w:rPr>
              <w:t>．交易费用</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7.4.7.19</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939,945.83</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429,451.51</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sidRPr="00B94359">
              <w:rPr>
                <w:rFonts w:eastAsiaTheme="minorEastAsia"/>
                <w:color w:val="000000"/>
                <w:szCs w:val="21"/>
              </w:rPr>
              <w:t>5</w:t>
            </w:r>
            <w:r w:rsidRPr="00B94359">
              <w:rPr>
                <w:rFonts w:eastAsiaTheme="minorEastAsia"/>
                <w:color w:val="000000"/>
                <w:szCs w:val="21"/>
              </w:rPr>
              <w:t>．利息支出</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sidRPr="00B94359">
              <w:rPr>
                <w:rFonts w:eastAsiaTheme="minorEastAsia"/>
                <w:color w:val="000000"/>
                <w:szCs w:val="21"/>
              </w:rPr>
              <w:t>其中：卖出回购金融资产支出</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r>
      <w:tr w:rsidR="00EE1C79" w:rsidRPr="0091212A" w:rsidTr="00AA712C">
        <w:tc>
          <w:tcPr>
            <w:tcW w:w="3420" w:type="dxa"/>
            <w:vAlign w:val="center"/>
          </w:tcPr>
          <w:p w:rsidR="00EE1C79" w:rsidRPr="000C3CA3" w:rsidRDefault="00EE1C79" w:rsidP="00AA712C">
            <w:pPr>
              <w:rPr>
                <w:rFonts w:eastAsiaTheme="minorEastAsia"/>
                <w:color w:val="000000"/>
                <w:szCs w:val="21"/>
              </w:rPr>
            </w:pPr>
            <w:r w:rsidRPr="000C3CA3">
              <w:rPr>
                <w:rFonts w:eastAsiaTheme="minorEastAsia" w:hint="eastAsia"/>
                <w:color w:val="000000"/>
                <w:szCs w:val="21"/>
              </w:rPr>
              <w:t>6</w:t>
            </w:r>
            <w:r w:rsidRPr="000C3CA3">
              <w:rPr>
                <w:rFonts w:eastAsiaTheme="minorEastAsia"/>
                <w:color w:val="000000"/>
                <w:szCs w:val="21"/>
              </w:rPr>
              <w:t>．</w:t>
            </w:r>
            <w:r w:rsidRPr="000C3CA3">
              <w:rPr>
                <w:rFonts w:eastAsiaTheme="minorEastAsia" w:hint="eastAsia"/>
                <w:color w:val="000000"/>
                <w:szCs w:val="21"/>
              </w:rPr>
              <w:t>税金及附加</w:t>
            </w:r>
          </w:p>
        </w:tc>
        <w:tc>
          <w:tcPr>
            <w:tcW w:w="1080" w:type="dxa"/>
            <w:vAlign w:val="center"/>
          </w:tcPr>
          <w:p w:rsidR="00EE1C79" w:rsidRPr="000C3CA3" w:rsidRDefault="00EE1C79" w:rsidP="00AA712C">
            <w:pPr>
              <w:pStyle w:val="af6"/>
              <w:jc w:val="center"/>
              <w:rPr>
                <w:rFonts w:ascii="Times New Roman" w:eastAsiaTheme="minorEastAsia" w:hAnsi="Times New Roman"/>
                <w:color w:val="000000"/>
                <w:sz w:val="21"/>
                <w:szCs w:val="21"/>
              </w:rPr>
            </w:pPr>
          </w:p>
        </w:tc>
        <w:tc>
          <w:tcPr>
            <w:tcW w:w="2250" w:type="dxa"/>
            <w:vAlign w:val="bottom"/>
          </w:tcPr>
          <w:p w:rsidR="00EE1C79" w:rsidRPr="000C3CA3" w:rsidRDefault="00EE1C79" w:rsidP="00AA712C">
            <w:pPr>
              <w:jc w:val="right"/>
              <w:rPr>
                <w:rFonts w:eastAsiaTheme="minorEastAsia"/>
                <w:color w:val="000000"/>
                <w:szCs w:val="21"/>
              </w:rPr>
            </w:pPr>
            <w:r w:rsidRPr="000C3CA3">
              <w:rPr>
                <w:rFonts w:eastAsiaTheme="minorEastAsia"/>
                <w:color w:val="000000"/>
                <w:szCs w:val="21"/>
              </w:rPr>
              <w:t>95,272.81</w:t>
            </w:r>
          </w:p>
        </w:tc>
        <w:tc>
          <w:tcPr>
            <w:tcW w:w="2250" w:type="dxa"/>
            <w:vAlign w:val="bottom"/>
          </w:tcPr>
          <w:p w:rsidR="00EE1C79" w:rsidRPr="000C3CA3" w:rsidRDefault="00EE1C79" w:rsidP="00AA712C">
            <w:pPr>
              <w:jc w:val="right"/>
              <w:rPr>
                <w:rFonts w:eastAsiaTheme="minorEastAsia"/>
                <w:color w:val="000000"/>
                <w:szCs w:val="21"/>
              </w:rPr>
            </w:pPr>
            <w:r w:rsidRPr="000C3CA3">
              <w:rPr>
                <w:rFonts w:eastAsiaTheme="minorEastAsia"/>
                <w:color w:val="000000"/>
                <w:szCs w:val="21"/>
              </w:rPr>
              <w:t>1,342.39</w:t>
            </w:r>
          </w:p>
        </w:tc>
      </w:tr>
      <w:tr w:rsidR="00EE1C79" w:rsidRPr="0091212A" w:rsidTr="00AA712C">
        <w:tc>
          <w:tcPr>
            <w:tcW w:w="3420" w:type="dxa"/>
            <w:vAlign w:val="center"/>
          </w:tcPr>
          <w:p w:rsidR="00EE1C79" w:rsidRPr="00B94359" w:rsidRDefault="00EE1C79" w:rsidP="00AA712C">
            <w:pPr>
              <w:spacing w:line="360" w:lineRule="auto"/>
              <w:rPr>
                <w:rFonts w:eastAsiaTheme="minorEastAsia"/>
                <w:color w:val="000000"/>
                <w:szCs w:val="21"/>
              </w:rPr>
            </w:pPr>
            <w:r>
              <w:rPr>
                <w:rFonts w:eastAsiaTheme="minorEastAsia"/>
                <w:color w:val="000000"/>
                <w:szCs w:val="21"/>
              </w:rPr>
              <w:t>7</w:t>
            </w:r>
            <w:r w:rsidRPr="00B94359">
              <w:rPr>
                <w:rFonts w:eastAsiaTheme="minorEastAsia"/>
                <w:color w:val="000000"/>
                <w:szCs w:val="21"/>
              </w:rPr>
              <w:t>．其他费用</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7.4.7.20</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270,461.62</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450,463.61</w:t>
            </w:r>
          </w:p>
        </w:tc>
      </w:tr>
      <w:tr w:rsidR="00EE1C79" w:rsidRPr="0091212A" w:rsidTr="00AA712C">
        <w:tc>
          <w:tcPr>
            <w:tcW w:w="3420" w:type="dxa"/>
            <w:vAlign w:val="center"/>
          </w:tcPr>
          <w:p w:rsidR="00EE1C79" w:rsidRPr="00B94359" w:rsidRDefault="00EE1C79" w:rsidP="00AA712C">
            <w:pPr>
              <w:spacing w:line="360" w:lineRule="auto"/>
              <w:rPr>
                <w:rFonts w:eastAsiaTheme="minorEastAsia"/>
                <w:b/>
                <w:color w:val="000000"/>
                <w:szCs w:val="21"/>
              </w:rPr>
            </w:pPr>
            <w:r w:rsidRPr="00B94359">
              <w:rPr>
                <w:rFonts w:eastAsiaTheme="minorEastAsia"/>
                <w:b/>
                <w:color w:val="000000"/>
                <w:szCs w:val="21"/>
              </w:rPr>
              <w:t>三、利润总额（亏损总额以</w:t>
            </w:r>
            <w:r w:rsidRPr="00B94359">
              <w:rPr>
                <w:rFonts w:eastAsiaTheme="minorEastAsia"/>
                <w:b/>
                <w:color w:val="000000"/>
                <w:szCs w:val="21"/>
              </w:rPr>
              <w:t>“-”</w:t>
            </w:r>
            <w:r w:rsidRPr="00B94359">
              <w:rPr>
                <w:rFonts w:eastAsiaTheme="minorEastAsia"/>
                <w:b/>
                <w:color w:val="000000"/>
                <w:szCs w:val="21"/>
              </w:rPr>
              <w:t>号填列）</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b/>
                <w:color w:val="000000"/>
                <w:szCs w:val="21"/>
              </w:rPr>
            </w:pPr>
            <w:r w:rsidRPr="00B94359">
              <w:rPr>
                <w:rFonts w:eastAsiaTheme="minorEastAsia"/>
                <w:b/>
                <w:color w:val="000000"/>
                <w:szCs w:val="21"/>
              </w:rPr>
              <w:t>58,416,966.26</w:t>
            </w:r>
          </w:p>
        </w:tc>
        <w:tc>
          <w:tcPr>
            <w:tcW w:w="2250" w:type="dxa"/>
            <w:vAlign w:val="center"/>
          </w:tcPr>
          <w:p w:rsidR="00EE1C79" w:rsidRPr="00B94359" w:rsidRDefault="00EE1C79" w:rsidP="00AA712C">
            <w:pPr>
              <w:spacing w:line="360" w:lineRule="auto"/>
              <w:jc w:val="right"/>
              <w:rPr>
                <w:rFonts w:eastAsiaTheme="minorEastAsia"/>
                <w:b/>
                <w:color w:val="000000"/>
                <w:szCs w:val="21"/>
              </w:rPr>
            </w:pPr>
            <w:r w:rsidRPr="00B94359">
              <w:rPr>
                <w:rFonts w:eastAsiaTheme="minorEastAsia"/>
                <w:b/>
                <w:color w:val="000000"/>
                <w:szCs w:val="21"/>
              </w:rPr>
              <w:t>-1,894,801.55</w:t>
            </w:r>
          </w:p>
        </w:tc>
      </w:tr>
      <w:tr w:rsidR="00EE1C79" w:rsidRPr="0091212A" w:rsidTr="00AA712C">
        <w:tc>
          <w:tcPr>
            <w:tcW w:w="3420" w:type="dxa"/>
            <w:vAlign w:val="center"/>
          </w:tcPr>
          <w:p w:rsidR="00EE1C79" w:rsidRPr="00B94359" w:rsidRDefault="00EE1C79" w:rsidP="00AA712C">
            <w:pPr>
              <w:spacing w:line="360" w:lineRule="auto"/>
              <w:rPr>
                <w:rFonts w:eastAsiaTheme="minorEastAsia"/>
                <w:b/>
                <w:color w:val="000000"/>
                <w:szCs w:val="21"/>
              </w:rPr>
            </w:pPr>
            <w:r w:rsidRPr="00B94359">
              <w:rPr>
                <w:rFonts w:eastAsiaTheme="minorEastAsia"/>
                <w:szCs w:val="21"/>
              </w:rPr>
              <w:t>减：所得税费用</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EE1C79" w:rsidRPr="00B94359" w:rsidRDefault="00EE1C79" w:rsidP="00AA712C">
            <w:pPr>
              <w:spacing w:line="360" w:lineRule="auto"/>
              <w:jc w:val="right"/>
              <w:rPr>
                <w:rFonts w:eastAsiaTheme="minorEastAsia"/>
                <w:color w:val="000000"/>
                <w:szCs w:val="21"/>
              </w:rPr>
            </w:pPr>
            <w:r w:rsidRPr="00B94359">
              <w:rPr>
                <w:rFonts w:eastAsiaTheme="minorEastAsia"/>
                <w:color w:val="000000"/>
                <w:szCs w:val="21"/>
              </w:rPr>
              <w:t>-</w:t>
            </w:r>
          </w:p>
        </w:tc>
      </w:tr>
      <w:tr w:rsidR="00EE1C79" w:rsidRPr="0091212A" w:rsidTr="00AA712C">
        <w:tc>
          <w:tcPr>
            <w:tcW w:w="3420" w:type="dxa"/>
            <w:vAlign w:val="center"/>
          </w:tcPr>
          <w:p w:rsidR="00EE1C79" w:rsidRPr="00B94359" w:rsidRDefault="00EE1C79" w:rsidP="00AA712C">
            <w:pPr>
              <w:spacing w:line="360" w:lineRule="auto"/>
              <w:rPr>
                <w:rFonts w:eastAsiaTheme="minorEastAsia"/>
                <w:b/>
                <w:color w:val="000000"/>
                <w:szCs w:val="21"/>
              </w:rPr>
            </w:pPr>
            <w:r w:rsidRPr="00B94359">
              <w:rPr>
                <w:rFonts w:eastAsiaTheme="minorEastAsia"/>
                <w:b/>
                <w:color w:val="000000"/>
                <w:szCs w:val="21"/>
              </w:rPr>
              <w:t>四、净利润（净亏损以</w:t>
            </w:r>
            <w:r w:rsidRPr="00B94359">
              <w:rPr>
                <w:rFonts w:eastAsiaTheme="minorEastAsia"/>
                <w:b/>
                <w:color w:val="000000"/>
                <w:szCs w:val="21"/>
              </w:rPr>
              <w:t>“-”</w:t>
            </w:r>
            <w:r w:rsidRPr="00B94359">
              <w:rPr>
                <w:rFonts w:eastAsiaTheme="minorEastAsia"/>
                <w:b/>
                <w:color w:val="000000"/>
                <w:szCs w:val="21"/>
              </w:rPr>
              <w:t>号填列）</w:t>
            </w:r>
          </w:p>
        </w:tc>
        <w:tc>
          <w:tcPr>
            <w:tcW w:w="1080" w:type="dxa"/>
            <w:vAlign w:val="center"/>
          </w:tcPr>
          <w:p w:rsidR="00EE1C79" w:rsidRPr="00B94359" w:rsidRDefault="00EE1C79" w:rsidP="00AA712C">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EE1C79" w:rsidRPr="00B94359" w:rsidRDefault="00EE1C79" w:rsidP="00AA712C">
            <w:pPr>
              <w:spacing w:line="360" w:lineRule="auto"/>
              <w:jc w:val="right"/>
              <w:rPr>
                <w:rFonts w:eastAsiaTheme="minorEastAsia"/>
                <w:b/>
                <w:color w:val="000000"/>
                <w:szCs w:val="21"/>
              </w:rPr>
            </w:pPr>
            <w:r w:rsidRPr="00B94359">
              <w:rPr>
                <w:rFonts w:eastAsiaTheme="minorEastAsia"/>
                <w:b/>
                <w:color w:val="000000"/>
                <w:szCs w:val="21"/>
              </w:rPr>
              <w:t>58,416,966.26</w:t>
            </w:r>
          </w:p>
        </w:tc>
        <w:tc>
          <w:tcPr>
            <w:tcW w:w="2250" w:type="dxa"/>
            <w:vAlign w:val="center"/>
          </w:tcPr>
          <w:p w:rsidR="00EE1C79" w:rsidRPr="00B94359" w:rsidRDefault="00EE1C79" w:rsidP="00AA712C">
            <w:pPr>
              <w:spacing w:line="360" w:lineRule="auto"/>
              <w:jc w:val="right"/>
              <w:rPr>
                <w:rFonts w:eastAsiaTheme="minorEastAsia"/>
                <w:b/>
                <w:color w:val="000000"/>
                <w:szCs w:val="21"/>
              </w:rPr>
            </w:pPr>
            <w:r w:rsidRPr="00B94359">
              <w:rPr>
                <w:rFonts w:eastAsiaTheme="minorEastAsia"/>
                <w:b/>
                <w:color w:val="000000"/>
                <w:szCs w:val="21"/>
              </w:rPr>
              <w:t>-1,894,801.55</w:t>
            </w:r>
          </w:p>
        </w:tc>
      </w:tr>
    </w:tbl>
    <w:p w:rsidR="006E686C" w:rsidRPr="00940842" w:rsidRDefault="006E686C" w:rsidP="006E686C">
      <w:pPr>
        <w:pStyle w:val="20"/>
        <w:spacing w:before="0" w:after="0"/>
        <w:rPr>
          <w:rFonts w:asciiTheme="majorEastAsia" w:eastAsiaTheme="majorEastAsia" w:hAnsiTheme="majorEastAsia"/>
          <w:color w:val="000000" w:themeColor="text1"/>
          <w:kern w:val="0"/>
          <w:sz w:val="21"/>
          <w:szCs w:val="21"/>
        </w:rPr>
      </w:pPr>
      <w:bookmarkStart w:id="203" w:name="_Toc225498270"/>
      <w:bookmarkStart w:id="204" w:name="_Toc352255993"/>
      <w:bookmarkStart w:id="205" w:name="_Toc352256061"/>
      <w:bookmarkStart w:id="206" w:name="_Toc352331239"/>
      <w:bookmarkStart w:id="207" w:name="_Toc362424017"/>
      <w:bookmarkStart w:id="208" w:name="_Toc35533827"/>
      <w:r w:rsidRPr="00940842">
        <w:rPr>
          <w:rFonts w:asciiTheme="majorEastAsia" w:eastAsiaTheme="majorEastAsia" w:hAnsiTheme="majorEastAsia"/>
          <w:color w:val="000000" w:themeColor="text1"/>
          <w:kern w:val="0"/>
          <w:sz w:val="21"/>
          <w:szCs w:val="21"/>
        </w:rPr>
        <w:t>7.3</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所有者权益（基金净值）变动表</w:t>
      </w:r>
      <w:bookmarkEnd w:id="203"/>
      <w:bookmarkEnd w:id="204"/>
      <w:bookmarkEnd w:id="205"/>
      <w:bookmarkEnd w:id="206"/>
      <w:bookmarkEnd w:id="207"/>
      <w:bookmarkEnd w:id="208"/>
    </w:p>
    <w:p w:rsidR="006E686C" w:rsidRPr="00896265" w:rsidRDefault="006E686C" w:rsidP="006E686C">
      <w:pPr>
        <w:spacing w:line="360" w:lineRule="auto"/>
        <w:rPr>
          <w:kern w:val="0"/>
          <w:szCs w:val="21"/>
        </w:rPr>
      </w:pPr>
      <w:r w:rsidRPr="00896265">
        <w:rPr>
          <w:color w:val="000000"/>
          <w:szCs w:val="21"/>
        </w:rPr>
        <w:t>会计主体：</w:t>
      </w:r>
      <w:r w:rsidRPr="00896265">
        <w:rPr>
          <w:kern w:val="0"/>
          <w:szCs w:val="21"/>
        </w:rPr>
        <w:t>易方达黄金主题证券投资基金（</w:t>
      </w:r>
      <w:r w:rsidRPr="00896265">
        <w:rPr>
          <w:kern w:val="0"/>
          <w:szCs w:val="21"/>
        </w:rPr>
        <w:t>LOF</w:t>
      </w:r>
      <w:r w:rsidRPr="00896265">
        <w:rPr>
          <w:kern w:val="0"/>
          <w:szCs w:val="21"/>
        </w:rPr>
        <w:t>）</w:t>
      </w:r>
    </w:p>
    <w:p w:rsidR="006E686C" w:rsidRPr="00896265" w:rsidRDefault="006E686C" w:rsidP="006E686C">
      <w:pPr>
        <w:spacing w:line="360" w:lineRule="auto"/>
        <w:rPr>
          <w:kern w:val="0"/>
          <w:szCs w:val="21"/>
        </w:rPr>
      </w:pPr>
      <w:r w:rsidRPr="00896265">
        <w:rPr>
          <w:color w:val="000000"/>
          <w:szCs w:val="21"/>
        </w:rPr>
        <w:t>本报告期：</w:t>
      </w:r>
      <w:r w:rsidRPr="00896265">
        <w:rPr>
          <w:kern w:val="0"/>
          <w:szCs w:val="21"/>
        </w:rPr>
        <w:t>2019</w:t>
      </w:r>
      <w:r w:rsidRPr="00896265">
        <w:rPr>
          <w:kern w:val="0"/>
          <w:szCs w:val="21"/>
        </w:rPr>
        <w:t>年</w:t>
      </w:r>
      <w:r w:rsidRPr="00896265">
        <w:rPr>
          <w:kern w:val="0"/>
          <w:szCs w:val="21"/>
        </w:rPr>
        <w:t>1</w:t>
      </w:r>
      <w:r w:rsidRPr="00896265">
        <w:rPr>
          <w:kern w:val="0"/>
          <w:szCs w:val="21"/>
        </w:rPr>
        <w:t>月</w:t>
      </w:r>
      <w:r w:rsidRPr="00896265">
        <w:rPr>
          <w:kern w:val="0"/>
          <w:szCs w:val="21"/>
        </w:rPr>
        <w:t>1</w:t>
      </w:r>
      <w:r w:rsidRPr="00896265">
        <w:rPr>
          <w:kern w:val="0"/>
          <w:szCs w:val="21"/>
        </w:rPr>
        <w:t>日至</w:t>
      </w:r>
      <w:r w:rsidRPr="00896265">
        <w:rPr>
          <w:kern w:val="0"/>
          <w:szCs w:val="21"/>
        </w:rPr>
        <w:t>2019</w:t>
      </w:r>
      <w:r w:rsidRPr="00896265">
        <w:rPr>
          <w:kern w:val="0"/>
          <w:szCs w:val="21"/>
        </w:rPr>
        <w:t>年</w:t>
      </w:r>
      <w:r w:rsidRPr="00896265">
        <w:rPr>
          <w:kern w:val="0"/>
          <w:szCs w:val="21"/>
        </w:rPr>
        <w:t>12</w:t>
      </w:r>
      <w:r w:rsidRPr="00896265">
        <w:rPr>
          <w:kern w:val="0"/>
          <w:szCs w:val="21"/>
        </w:rPr>
        <w:t>月</w:t>
      </w:r>
      <w:r w:rsidRPr="00896265">
        <w:rPr>
          <w:kern w:val="0"/>
          <w:szCs w:val="21"/>
        </w:rPr>
        <w:t>31</w:t>
      </w:r>
      <w:r w:rsidRPr="00896265">
        <w:rPr>
          <w:kern w:val="0"/>
          <w:szCs w:val="21"/>
        </w:rPr>
        <w:t>日</w:t>
      </w:r>
    </w:p>
    <w:p w:rsidR="006E686C" w:rsidRPr="00896265" w:rsidRDefault="006E686C" w:rsidP="006E686C">
      <w:pPr>
        <w:autoSpaceDE w:val="0"/>
        <w:autoSpaceDN w:val="0"/>
        <w:adjustRightInd w:val="0"/>
        <w:spacing w:before="29" w:line="360" w:lineRule="auto"/>
        <w:ind w:left="15"/>
        <w:jc w:val="right"/>
        <w:rPr>
          <w:color w:val="000000"/>
          <w:kern w:val="0"/>
          <w:szCs w:val="21"/>
        </w:rPr>
      </w:pPr>
      <w:r w:rsidRPr="00896265">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6E686C" w:rsidRPr="00896265" w:rsidTr="008A3814">
        <w:tc>
          <w:tcPr>
            <w:tcW w:w="2552" w:type="dxa"/>
            <w:vMerge w:val="restart"/>
            <w:vAlign w:val="center"/>
          </w:tcPr>
          <w:p w:rsidR="006E686C" w:rsidRPr="00896265" w:rsidRDefault="006E686C" w:rsidP="008A3814">
            <w:pPr>
              <w:spacing w:line="360" w:lineRule="auto"/>
              <w:jc w:val="center"/>
              <w:rPr>
                <w:b/>
                <w:color w:val="000000"/>
                <w:szCs w:val="21"/>
              </w:rPr>
            </w:pPr>
            <w:r w:rsidRPr="00896265">
              <w:rPr>
                <w:b/>
                <w:color w:val="000000"/>
                <w:szCs w:val="21"/>
              </w:rPr>
              <w:t>项目</w:t>
            </w:r>
          </w:p>
        </w:tc>
        <w:tc>
          <w:tcPr>
            <w:tcW w:w="6448" w:type="dxa"/>
            <w:gridSpan w:val="3"/>
            <w:vAlign w:val="center"/>
          </w:tcPr>
          <w:p w:rsidR="006E686C" w:rsidRPr="00896265" w:rsidRDefault="006E686C" w:rsidP="008A3814">
            <w:pPr>
              <w:spacing w:line="360" w:lineRule="auto"/>
              <w:jc w:val="center"/>
              <w:rPr>
                <w:b/>
                <w:color w:val="000000"/>
                <w:szCs w:val="21"/>
              </w:rPr>
            </w:pPr>
            <w:r w:rsidRPr="00896265">
              <w:rPr>
                <w:b/>
                <w:color w:val="000000"/>
                <w:szCs w:val="21"/>
              </w:rPr>
              <w:t>本期</w:t>
            </w:r>
          </w:p>
          <w:p w:rsidR="006E686C" w:rsidRPr="00896265" w:rsidRDefault="006E686C" w:rsidP="008A3814">
            <w:pPr>
              <w:pStyle w:val="af6"/>
              <w:spacing w:before="0" w:beforeAutospacing="0" w:after="0" w:afterAutospacing="0" w:line="360" w:lineRule="auto"/>
              <w:jc w:val="center"/>
              <w:rPr>
                <w:rFonts w:ascii="Times New Roman" w:hAnsi="Times New Roman"/>
                <w:b/>
                <w:color w:val="000000"/>
                <w:sz w:val="21"/>
                <w:szCs w:val="21"/>
              </w:rPr>
            </w:pPr>
            <w:r w:rsidRPr="00896265">
              <w:rPr>
                <w:rFonts w:ascii="Times New Roman" w:hAnsi="Times New Roman"/>
                <w:b/>
                <w:sz w:val="21"/>
                <w:szCs w:val="21"/>
              </w:rPr>
              <w:t>2019</w:t>
            </w:r>
            <w:r w:rsidRPr="00896265">
              <w:rPr>
                <w:rFonts w:ascii="Times New Roman" w:hAnsi="Times New Roman"/>
                <w:b/>
                <w:sz w:val="21"/>
                <w:szCs w:val="21"/>
              </w:rPr>
              <w:t>年</w:t>
            </w:r>
            <w:r w:rsidRPr="00896265">
              <w:rPr>
                <w:rFonts w:ascii="Times New Roman" w:hAnsi="Times New Roman"/>
                <w:b/>
                <w:sz w:val="21"/>
                <w:szCs w:val="21"/>
              </w:rPr>
              <w:t>1</w:t>
            </w:r>
            <w:r w:rsidRPr="00896265">
              <w:rPr>
                <w:rFonts w:ascii="Times New Roman" w:hAnsi="Times New Roman"/>
                <w:b/>
                <w:sz w:val="21"/>
                <w:szCs w:val="21"/>
              </w:rPr>
              <w:t>月</w:t>
            </w:r>
            <w:r w:rsidRPr="00896265">
              <w:rPr>
                <w:rFonts w:ascii="Times New Roman" w:hAnsi="Times New Roman"/>
                <w:b/>
                <w:sz w:val="21"/>
                <w:szCs w:val="21"/>
              </w:rPr>
              <w:t>1</w:t>
            </w:r>
            <w:r w:rsidRPr="00896265">
              <w:rPr>
                <w:rFonts w:ascii="Times New Roman" w:hAnsi="Times New Roman"/>
                <w:b/>
                <w:sz w:val="21"/>
                <w:szCs w:val="21"/>
              </w:rPr>
              <w:t>日至</w:t>
            </w:r>
            <w:r w:rsidRPr="00896265">
              <w:rPr>
                <w:rFonts w:ascii="Times New Roman" w:hAnsi="Times New Roman"/>
                <w:b/>
                <w:sz w:val="21"/>
                <w:szCs w:val="21"/>
              </w:rPr>
              <w:t>2019</w:t>
            </w:r>
            <w:r w:rsidRPr="00896265">
              <w:rPr>
                <w:rFonts w:ascii="Times New Roman" w:hAnsi="Times New Roman"/>
                <w:b/>
                <w:sz w:val="21"/>
                <w:szCs w:val="21"/>
              </w:rPr>
              <w:t>年</w:t>
            </w:r>
            <w:r w:rsidRPr="00896265">
              <w:rPr>
                <w:rFonts w:ascii="Times New Roman" w:hAnsi="Times New Roman"/>
                <w:b/>
                <w:sz w:val="21"/>
                <w:szCs w:val="21"/>
              </w:rPr>
              <w:t>12</w:t>
            </w:r>
            <w:r w:rsidRPr="00896265">
              <w:rPr>
                <w:rFonts w:ascii="Times New Roman" w:hAnsi="Times New Roman"/>
                <w:b/>
                <w:sz w:val="21"/>
                <w:szCs w:val="21"/>
              </w:rPr>
              <w:t>月</w:t>
            </w:r>
            <w:r w:rsidRPr="00896265">
              <w:rPr>
                <w:rFonts w:ascii="Times New Roman" w:hAnsi="Times New Roman"/>
                <w:b/>
                <w:sz w:val="21"/>
                <w:szCs w:val="21"/>
              </w:rPr>
              <w:t>31</w:t>
            </w:r>
            <w:r w:rsidRPr="00896265">
              <w:rPr>
                <w:rFonts w:ascii="Times New Roman" w:hAnsi="Times New Roman"/>
                <w:b/>
                <w:sz w:val="21"/>
                <w:szCs w:val="21"/>
              </w:rPr>
              <w:t>日</w:t>
            </w:r>
          </w:p>
        </w:tc>
      </w:tr>
      <w:tr w:rsidR="006E686C" w:rsidRPr="00896265" w:rsidTr="008A3814">
        <w:tc>
          <w:tcPr>
            <w:tcW w:w="2552" w:type="dxa"/>
            <w:vMerge/>
            <w:vAlign w:val="center"/>
          </w:tcPr>
          <w:p w:rsidR="006E686C" w:rsidRPr="00896265" w:rsidRDefault="006E686C" w:rsidP="008A3814">
            <w:pPr>
              <w:widowControl/>
              <w:spacing w:line="360" w:lineRule="auto"/>
              <w:jc w:val="left"/>
              <w:rPr>
                <w:b/>
                <w:color w:val="000000"/>
                <w:szCs w:val="21"/>
              </w:rPr>
            </w:pPr>
          </w:p>
        </w:tc>
        <w:tc>
          <w:tcPr>
            <w:tcW w:w="2149" w:type="dxa"/>
            <w:vAlign w:val="center"/>
          </w:tcPr>
          <w:p w:rsidR="006E686C" w:rsidRPr="00896265" w:rsidRDefault="006E686C" w:rsidP="008A3814">
            <w:pPr>
              <w:spacing w:line="360" w:lineRule="auto"/>
              <w:jc w:val="center"/>
              <w:rPr>
                <w:b/>
                <w:color w:val="000000"/>
                <w:szCs w:val="21"/>
              </w:rPr>
            </w:pPr>
            <w:r w:rsidRPr="00896265">
              <w:rPr>
                <w:b/>
                <w:color w:val="000000"/>
                <w:szCs w:val="21"/>
              </w:rPr>
              <w:t>实收基金</w:t>
            </w:r>
          </w:p>
        </w:tc>
        <w:tc>
          <w:tcPr>
            <w:tcW w:w="2149" w:type="dxa"/>
            <w:vAlign w:val="center"/>
          </w:tcPr>
          <w:p w:rsidR="006E686C" w:rsidRPr="00896265" w:rsidRDefault="006E686C" w:rsidP="008A3814">
            <w:pPr>
              <w:spacing w:line="360" w:lineRule="auto"/>
              <w:jc w:val="center"/>
              <w:rPr>
                <w:b/>
                <w:color w:val="000000"/>
                <w:szCs w:val="21"/>
              </w:rPr>
            </w:pPr>
            <w:r w:rsidRPr="00896265">
              <w:rPr>
                <w:b/>
                <w:color w:val="000000"/>
                <w:szCs w:val="21"/>
              </w:rPr>
              <w:t>未分配利润</w:t>
            </w:r>
          </w:p>
        </w:tc>
        <w:tc>
          <w:tcPr>
            <w:tcW w:w="2150" w:type="dxa"/>
            <w:vAlign w:val="center"/>
          </w:tcPr>
          <w:p w:rsidR="006E686C" w:rsidRPr="00896265" w:rsidRDefault="006E686C" w:rsidP="008A3814">
            <w:pPr>
              <w:spacing w:line="360" w:lineRule="auto"/>
              <w:jc w:val="center"/>
              <w:rPr>
                <w:color w:val="000000"/>
                <w:szCs w:val="21"/>
              </w:rPr>
            </w:pPr>
            <w:r w:rsidRPr="00896265">
              <w:rPr>
                <w:b/>
                <w:color w:val="000000"/>
                <w:szCs w:val="21"/>
              </w:rPr>
              <w:t>所有者权益合计</w:t>
            </w:r>
          </w:p>
        </w:tc>
      </w:tr>
      <w:tr w:rsidR="006E686C" w:rsidRPr="00896265" w:rsidTr="008A3814">
        <w:tc>
          <w:tcPr>
            <w:tcW w:w="2552" w:type="dxa"/>
            <w:vAlign w:val="center"/>
          </w:tcPr>
          <w:p w:rsidR="006E686C" w:rsidRPr="00896265" w:rsidRDefault="006E686C" w:rsidP="008A3814">
            <w:pPr>
              <w:spacing w:line="360" w:lineRule="auto"/>
              <w:rPr>
                <w:color w:val="000000"/>
                <w:szCs w:val="21"/>
              </w:rPr>
            </w:pPr>
            <w:r w:rsidRPr="00896265">
              <w:rPr>
                <w:color w:val="000000"/>
                <w:szCs w:val="21"/>
              </w:rPr>
              <w:t>一、期初所有者权益（基金净值）</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375,538,714.53</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-108,330,932.98</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267,207,781.55</w:t>
            </w:r>
          </w:p>
        </w:tc>
      </w:tr>
      <w:tr w:rsidR="006E686C" w:rsidRPr="00896265" w:rsidTr="008A3814">
        <w:tc>
          <w:tcPr>
            <w:tcW w:w="2552" w:type="dxa"/>
            <w:vAlign w:val="center"/>
          </w:tcPr>
          <w:p w:rsidR="006E686C" w:rsidRPr="00896265" w:rsidRDefault="006E686C" w:rsidP="008A3814">
            <w:pPr>
              <w:spacing w:line="360" w:lineRule="auto"/>
              <w:rPr>
                <w:color w:val="000000"/>
                <w:szCs w:val="21"/>
              </w:rPr>
            </w:pPr>
            <w:r w:rsidRPr="00896265">
              <w:rPr>
                <w:color w:val="000000"/>
                <w:szCs w:val="21"/>
              </w:rPr>
              <w:t>二、本期经营活动产生的基金净值变动数（本期利润）</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58,416,966.26</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58,416,966.26</w:t>
            </w:r>
          </w:p>
        </w:tc>
      </w:tr>
      <w:tr w:rsidR="006E686C" w:rsidRPr="00896265" w:rsidTr="008A3814">
        <w:tc>
          <w:tcPr>
            <w:tcW w:w="2552" w:type="dxa"/>
            <w:vAlign w:val="center"/>
          </w:tcPr>
          <w:p w:rsidR="006E686C" w:rsidRPr="00896265" w:rsidRDefault="006E686C" w:rsidP="008A3814">
            <w:pPr>
              <w:spacing w:line="360" w:lineRule="auto"/>
              <w:rPr>
                <w:color w:val="000000"/>
                <w:szCs w:val="21"/>
              </w:rPr>
            </w:pPr>
            <w:r w:rsidRPr="00896265">
              <w:rPr>
                <w:color w:val="000000"/>
                <w:szCs w:val="21"/>
              </w:rPr>
              <w:t>三、本期基金份额交易产生的基金净值变动数（净值减少以</w:t>
            </w:r>
            <w:r w:rsidRPr="00896265">
              <w:rPr>
                <w:color w:val="000000"/>
                <w:szCs w:val="21"/>
              </w:rPr>
              <w:t>“-”</w:t>
            </w:r>
            <w:r w:rsidRPr="00896265">
              <w:rPr>
                <w:color w:val="000000"/>
                <w:szCs w:val="21"/>
              </w:rPr>
              <w:t>号填列）</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53,618,491.60</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-12,403,825.18</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41,214,666.42</w:t>
            </w:r>
          </w:p>
        </w:tc>
      </w:tr>
      <w:tr w:rsidR="006E686C" w:rsidRPr="00896265" w:rsidTr="008A3814">
        <w:tc>
          <w:tcPr>
            <w:tcW w:w="2552" w:type="dxa"/>
            <w:vAlign w:val="center"/>
          </w:tcPr>
          <w:p w:rsidR="006E686C" w:rsidRPr="00896265" w:rsidRDefault="006E686C" w:rsidP="008A3814">
            <w:pPr>
              <w:spacing w:line="360" w:lineRule="auto"/>
              <w:rPr>
                <w:color w:val="000000"/>
                <w:szCs w:val="21"/>
              </w:rPr>
            </w:pPr>
            <w:r w:rsidRPr="00896265">
              <w:rPr>
                <w:color w:val="000000"/>
                <w:szCs w:val="21"/>
              </w:rPr>
              <w:t>其中：</w:t>
            </w:r>
            <w:r w:rsidRPr="00896265">
              <w:rPr>
                <w:color w:val="000000"/>
                <w:szCs w:val="21"/>
              </w:rPr>
              <w:t>1.</w:t>
            </w:r>
            <w:r w:rsidRPr="00896265">
              <w:rPr>
                <w:color w:val="000000"/>
                <w:szCs w:val="21"/>
              </w:rPr>
              <w:t>基金申购款</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579,847,216.42</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-123,464,043.33</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456,383,173.09</w:t>
            </w:r>
          </w:p>
        </w:tc>
      </w:tr>
      <w:tr w:rsidR="006E686C" w:rsidRPr="00896265" w:rsidTr="008A3814">
        <w:tc>
          <w:tcPr>
            <w:tcW w:w="2552" w:type="dxa"/>
            <w:vAlign w:val="center"/>
          </w:tcPr>
          <w:p w:rsidR="006E686C" w:rsidRPr="00896265" w:rsidRDefault="006E686C" w:rsidP="008A3814">
            <w:pPr>
              <w:spacing w:line="360" w:lineRule="auto"/>
              <w:ind w:firstLineChars="300" w:firstLine="630"/>
              <w:rPr>
                <w:color w:val="000000"/>
                <w:szCs w:val="21"/>
              </w:rPr>
            </w:pPr>
            <w:r w:rsidRPr="00896265">
              <w:rPr>
                <w:color w:val="000000"/>
                <w:szCs w:val="21"/>
              </w:rPr>
              <w:t>2.</w:t>
            </w:r>
            <w:r w:rsidRPr="00896265">
              <w:rPr>
                <w:color w:val="000000"/>
                <w:szCs w:val="21"/>
              </w:rPr>
              <w:t>基金赎回款</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-526,228,724.82</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111,060,218.15</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-415,168,506.67</w:t>
            </w:r>
          </w:p>
        </w:tc>
      </w:tr>
      <w:tr w:rsidR="006E686C" w:rsidRPr="00896265" w:rsidTr="008A3814">
        <w:tc>
          <w:tcPr>
            <w:tcW w:w="2552" w:type="dxa"/>
            <w:vAlign w:val="center"/>
          </w:tcPr>
          <w:p w:rsidR="006E686C" w:rsidRPr="00896265" w:rsidRDefault="006E686C" w:rsidP="008A3814">
            <w:pPr>
              <w:spacing w:line="360" w:lineRule="auto"/>
              <w:rPr>
                <w:color w:val="000000"/>
                <w:szCs w:val="21"/>
              </w:rPr>
            </w:pPr>
            <w:r w:rsidRPr="00896265">
              <w:rPr>
                <w:color w:val="000000"/>
                <w:szCs w:val="21"/>
              </w:rPr>
              <w:t>四、本期向基金份额持有人分配利润产生的基金净值变动（净值减少以</w:t>
            </w:r>
            <w:r w:rsidRPr="00896265">
              <w:rPr>
                <w:color w:val="000000"/>
                <w:szCs w:val="21"/>
              </w:rPr>
              <w:t>“-”</w:t>
            </w:r>
            <w:r w:rsidRPr="00896265">
              <w:rPr>
                <w:color w:val="000000"/>
                <w:szCs w:val="21"/>
              </w:rPr>
              <w:t>号填列）</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w:t>
            </w:r>
          </w:p>
        </w:tc>
      </w:tr>
      <w:tr w:rsidR="006E686C" w:rsidRPr="00896265" w:rsidTr="008A3814">
        <w:tc>
          <w:tcPr>
            <w:tcW w:w="2552" w:type="dxa"/>
            <w:vAlign w:val="center"/>
          </w:tcPr>
          <w:p w:rsidR="006E686C" w:rsidRPr="00896265" w:rsidRDefault="006E686C" w:rsidP="008A3814">
            <w:pPr>
              <w:spacing w:line="360" w:lineRule="auto"/>
              <w:rPr>
                <w:color w:val="000000"/>
                <w:szCs w:val="21"/>
              </w:rPr>
            </w:pPr>
            <w:r w:rsidRPr="00896265">
              <w:rPr>
                <w:color w:val="000000"/>
                <w:szCs w:val="21"/>
              </w:rPr>
              <w:t>五、期末所有者权益（基金净值）</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429,157,206.13</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-62,317,791.90</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366,839,414.23</w:t>
            </w:r>
          </w:p>
        </w:tc>
      </w:tr>
      <w:tr w:rsidR="006E686C" w:rsidRPr="00896265" w:rsidTr="008A3814">
        <w:tc>
          <w:tcPr>
            <w:tcW w:w="2552" w:type="dxa"/>
            <w:vMerge w:val="restart"/>
            <w:vAlign w:val="center"/>
          </w:tcPr>
          <w:p w:rsidR="006E686C" w:rsidRPr="00896265" w:rsidRDefault="006E686C" w:rsidP="008A3814">
            <w:pPr>
              <w:spacing w:line="360" w:lineRule="auto"/>
              <w:jc w:val="center"/>
              <w:rPr>
                <w:color w:val="000000"/>
                <w:szCs w:val="21"/>
              </w:rPr>
            </w:pPr>
            <w:r w:rsidRPr="00896265">
              <w:rPr>
                <w:b/>
                <w:color w:val="000000"/>
                <w:szCs w:val="21"/>
              </w:rPr>
              <w:t>项目</w:t>
            </w:r>
          </w:p>
        </w:tc>
        <w:tc>
          <w:tcPr>
            <w:tcW w:w="6448" w:type="dxa"/>
            <w:gridSpan w:val="3"/>
            <w:vAlign w:val="center"/>
          </w:tcPr>
          <w:p w:rsidR="006E686C" w:rsidRPr="00896265" w:rsidRDefault="006E686C" w:rsidP="008A3814">
            <w:pPr>
              <w:spacing w:line="360" w:lineRule="auto"/>
              <w:jc w:val="center"/>
              <w:rPr>
                <w:b/>
                <w:color w:val="000000"/>
                <w:szCs w:val="21"/>
              </w:rPr>
            </w:pPr>
            <w:r w:rsidRPr="00896265">
              <w:rPr>
                <w:b/>
                <w:color w:val="000000"/>
                <w:szCs w:val="21"/>
              </w:rPr>
              <w:t>上年度可比期间</w:t>
            </w:r>
          </w:p>
          <w:p w:rsidR="006E686C" w:rsidRPr="00896265" w:rsidRDefault="006E686C" w:rsidP="008A3814">
            <w:pPr>
              <w:pStyle w:val="af6"/>
              <w:spacing w:before="0" w:beforeAutospacing="0" w:after="0" w:afterAutospacing="0" w:line="360" w:lineRule="auto"/>
              <w:jc w:val="center"/>
              <w:rPr>
                <w:rFonts w:ascii="Times New Roman" w:hAnsi="Times New Roman"/>
                <w:b/>
                <w:color w:val="000000"/>
                <w:sz w:val="21"/>
                <w:szCs w:val="21"/>
              </w:rPr>
            </w:pPr>
            <w:r w:rsidRPr="00896265">
              <w:rPr>
                <w:rFonts w:ascii="Times New Roman" w:hAnsi="Times New Roman"/>
                <w:b/>
                <w:color w:val="000000"/>
                <w:sz w:val="21"/>
                <w:szCs w:val="21"/>
              </w:rPr>
              <w:t>2018</w:t>
            </w:r>
            <w:r w:rsidRPr="00896265">
              <w:rPr>
                <w:rFonts w:ascii="Times New Roman" w:hAnsi="Times New Roman"/>
                <w:b/>
                <w:color w:val="000000"/>
                <w:sz w:val="21"/>
                <w:szCs w:val="21"/>
              </w:rPr>
              <w:t>年</w:t>
            </w:r>
            <w:r w:rsidRPr="00896265">
              <w:rPr>
                <w:rFonts w:ascii="Times New Roman" w:hAnsi="Times New Roman"/>
                <w:b/>
                <w:color w:val="000000"/>
                <w:sz w:val="21"/>
                <w:szCs w:val="21"/>
              </w:rPr>
              <w:t>1</w:t>
            </w:r>
            <w:r w:rsidRPr="00896265">
              <w:rPr>
                <w:rFonts w:ascii="Times New Roman" w:hAnsi="Times New Roman"/>
                <w:b/>
                <w:color w:val="000000"/>
                <w:sz w:val="21"/>
                <w:szCs w:val="21"/>
              </w:rPr>
              <w:t>月</w:t>
            </w:r>
            <w:r w:rsidRPr="00896265">
              <w:rPr>
                <w:rFonts w:ascii="Times New Roman" w:hAnsi="Times New Roman"/>
                <w:b/>
                <w:color w:val="000000"/>
                <w:sz w:val="21"/>
                <w:szCs w:val="21"/>
              </w:rPr>
              <w:t>1</w:t>
            </w:r>
            <w:r w:rsidRPr="00896265">
              <w:rPr>
                <w:rFonts w:ascii="Times New Roman" w:hAnsi="Times New Roman"/>
                <w:b/>
                <w:color w:val="000000"/>
                <w:sz w:val="21"/>
                <w:szCs w:val="21"/>
              </w:rPr>
              <w:t>日至</w:t>
            </w:r>
            <w:r w:rsidRPr="00896265">
              <w:rPr>
                <w:rFonts w:ascii="Times New Roman" w:hAnsi="Times New Roman"/>
                <w:b/>
                <w:color w:val="000000"/>
                <w:sz w:val="21"/>
                <w:szCs w:val="21"/>
              </w:rPr>
              <w:t>2018</w:t>
            </w:r>
            <w:r w:rsidRPr="00896265">
              <w:rPr>
                <w:rFonts w:ascii="Times New Roman" w:hAnsi="Times New Roman"/>
                <w:b/>
                <w:color w:val="000000"/>
                <w:sz w:val="21"/>
                <w:szCs w:val="21"/>
              </w:rPr>
              <w:t>年</w:t>
            </w:r>
            <w:r w:rsidRPr="00896265">
              <w:rPr>
                <w:rFonts w:ascii="Times New Roman" w:hAnsi="Times New Roman"/>
                <w:b/>
                <w:color w:val="000000"/>
                <w:sz w:val="21"/>
                <w:szCs w:val="21"/>
              </w:rPr>
              <w:t>12</w:t>
            </w:r>
            <w:r w:rsidRPr="00896265">
              <w:rPr>
                <w:rFonts w:ascii="Times New Roman" w:hAnsi="Times New Roman"/>
                <w:b/>
                <w:color w:val="000000"/>
                <w:sz w:val="21"/>
                <w:szCs w:val="21"/>
              </w:rPr>
              <w:t>月</w:t>
            </w:r>
            <w:r w:rsidRPr="00896265">
              <w:rPr>
                <w:rFonts w:ascii="Times New Roman" w:hAnsi="Times New Roman"/>
                <w:b/>
                <w:color w:val="000000"/>
                <w:sz w:val="21"/>
                <w:szCs w:val="21"/>
              </w:rPr>
              <w:t>31</w:t>
            </w:r>
            <w:r w:rsidRPr="00896265">
              <w:rPr>
                <w:rFonts w:ascii="Times New Roman" w:hAnsi="Times New Roman"/>
                <w:b/>
                <w:color w:val="000000"/>
                <w:sz w:val="21"/>
                <w:szCs w:val="21"/>
              </w:rPr>
              <w:t>日</w:t>
            </w:r>
          </w:p>
        </w:tc>
      </w:tr>
      <w:tr w:rsidR="006E686C" w:rsidRPr="00896265" w:rsidTr="008A3814">
        <w:tc>
          <w:tcPr>
            <w:tcW w:w="2552" w:type="dxa"/>
            <w:vMerge/>
            <w:vAlign w:val="center"/>
          </w:tcPr>
          <w:p w:rsidR="006E686C" w:rsidRPr="00896265" w:rsidRDefault="006E686C" w:rsidP="008A3814">
            <w:pPr>
              <w:widowControl/>
              <w:spacing w:line="360" w:lineRule="auto"/>
              <w:jc w:val="left"/>
              <w:rPr>
                <w:color w:val="000000"/>
                <w:szCs w:val="21"/>
              </w:rPr>
            </w:pPr>
          </w:p>
        </w:tc>
        <w:tc>
          <w:tcPr>
            <w:tcW w:w="2149" w:type="dxa"/>
            <w:vAlign w:val="center"/>
          </w:tcPr>
          <w:p w:rsidR="006E686C" w:rsidRPr="00896265" w:rsidRDefault="006E686C" w:rsidP="008A3814">
            <w:pPr>
              <w:spacing w:line="360" w:lineRule="auto"/>
              <w:jc w:val="center"/>
              <w:rPr>
                <w:color w:val="000000"/>
                <w:szCs w:val="21"/>
              </w:rPr>
            </w:pPr>
            <w:r w:rsidRPr="00896265">
              <w:rPr>
                <w:b/>
                <w:color w:val="000000"/>
                <w:szCs w:val="21"/>
              </w:rPr>
              <w:t>实收基金</w:t>
            </w:r>
          </w:p>
        </w:tc>
        <w:tc>
          <w:tcPr>
            <w:tcW w:w="2149" w:type="dxa"/>
          </w:tcPr>
          <w:p w:rsidR="006E686C" w:rsidRPr="00896265" w:rsidRDefault="006E686C" w:rsidP="008A3814">
            <w:pPr>
              <w:spacing w:line="360" w:lineRule="auto"/>
              <w:jc w:val="center"/>
              <w:rPr>
                <w:color w:val="000000"/>
                <w:szCs w:val="21"/>
              </w:rPr>
            </w:pPr>
            <w:r w:rsidRPr="00896265">
              <w:rPr>
                <w:b/>
                <w:color w:val="000000"/>
                <w:szCs w:val="21"/>
              </w:rPr>
              <w:t>未分配利润</w:t>
            </w:r>
          </w:p>
        </w:tc>
        <w:tc>
          <w:tcPr>
            <w:tcW w:w="2150" w:type="dxa"/>
            <w:vAlign w:val="center"/>
          </w:tcPr>
          <w:p w:rsidR="006E686C" w:rsidRPr="00896265" w:rsidRDefault="006E686C" w:rsidP="008A3814">
            <w:pPr>
              <w:spacing w:line="360" w:lineRule="auto"/>
              <w:jc w:val="center"/>
              <w:rPr>
                <w:b/>
                <w:color w:val="000000"/>
                <w:szCs w:val="21"/>
              </w:rPr>
            </w:pPr>
            <w:r w:rsidRPr="00896265">
              <w:rPr>
                <w:b/>
                <w:color w:val="000000"/>
                <w:szCs w:val="21"/>
              </w:rPr>
              <w:t>所有者权益合计</w:t>
            </w:r>
          </w:p>
        </w:tc>
      </w:tr>
      <w:tr w:rsidR="006E686C" w:rsidRPr="00896265" w:rsidTr="008A3814">
        <w:tc>
          <w:tcPr>
            <w:tcW w:w="2552" w:type="dxa"/>
            <w:vAlign w:val="center"/>
          </w:tcPr>
          <w:p w:rsidR="006E686C" w:rsidRPr="00896265" w:rsidRDefault="006E686C" w:rsidP="008A3814">
            <w:pPr>
              <w:spacing w:line="360" w:lineRule="auto"/>
              <w:rPr>
                <w:color w:val="000000"/>
                <w:szCs w:val="21"/>
              </w:rPr>
            </w:pPr>
            <w:r w:rsidRPr="00896265">
              <w:rPr>
                <w:color w:val="000000"/>
                <w:szCs w:val="21"/>
              </w:rPr>
              <w:t>一、期初所有者权益（基金净值）</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430,064,088.00</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-122,520,057.34</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307,544,030.66</w:t>
            </w:r>
          </w:p>
        </w:tc>
      </w:tr>
      <w:tr w:rsidR="006E686C" w:rsidRPr="00896265" w:rsidTr="008A3814">
        <w:tc>
          <w:tcPr>
            <w:tcW w:w="2552" w:type="dxa"/>
            <w:vAlign w:val="center"/>
          </w:tcPr>
          <w:p w:rsidR="006E686C" w:rsidRPr="00896265" w:rsidRDefault="006E686C" w:rsidP="008A3814">
            <w:pPr>
              <w:spacing w:line="360" w:lineRule="auto"/>
              <w:rPr>
                <w:color w:val="000000"/>
                <w:szCs w:val="21"/>
              </w:rPr>
            </w:pPr>
            <w:r w:rsidRPr="00896265">
              <w:rPr>
                <w:color w:val="000000"/>
                <w:szCs w:val="21"/>
              </w:rPr>
              <w:t>二、本期经营活动产生的基金净值变动数（本期利润）</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-1,894,801.55</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-1,894,801.55</w:t>
            </w:r>
          </w:p>
        </w:tc>
      </w:tr>
      <w:tr w:rsidR="006E686C" w:rsidRPr="00896265" w:rsidTr="008A3814">
        <w:tc>
          <w:tcPr>
            <w:tcW w:w="2552" w:type="dxa"/>
            <w:vAlign w:val="center"/>
          </w:tcPr>
          <w:p w:rsidR="006E686C" w:rsidRPr="00896265" w:rsidRDefault="006E686C" w:rsidP="008A3814">
            <w:pPr>
              <w:spacing w:line="360" w:lineRule="auto"/>
              <w:rPr>
                <w:color w:val="000000"/>
                <w:szCs w:val="21"/>
              </w:rPr>
            </w:pPr>
            <w:r w:rsidRPr="00896265">
              <w:rPr>
                <w:color w:val="000000"/>
                <w:szCs w:val="21"/>
              </w:rPr>
              <w:t>三、本期基金份额交易产生的基金净值变动数（净值减少以</w:t>
            </w:r>
            <w:r w:rsidRPr="00896265">
              <w:rPr>
                <w:color w:val="000000"/>
                <w:szCs w:val="21"/>
              </w:rPr>
              <w:t>“-”</w:t>
            </w:r>
            <w:r w:rsidRPr="00896265">
              <w:rPr>
                <w:color w:val="000000"/>
                <w:szCs w:val="21"/>
              </w:rPr>
              <w:t>号填列）</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-54,525,373.47</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16,083,925.91</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-38,441,447.56</w:t>
            </w:r>
          </w:p>
        </w:tc>
      </w:tr>
      <w:tr w:rsidR="006E686C" w:rsidRPr="00896265" w:rsidTr="008A3814">
        <w:tc>
          <w:tcPr>
            <w:tcW w:w="2552" w:type="dxa"/>
            <w:vAlign w:val="center"/>
          </w:tcPr>
          <w:p w:rsidR="006E686C" w:rsidRPr="00896265" w:rsidRDefault="006E686C" w:rsidP="008A3814">
            <w:pPr>
              <w:spacing w:line="360" w:lineRule="auto"/>
              <w:rPr>
                <w:color w:val="000000"/>
                <w:szCs w:val="21"/>
              </w:rPr>
            </w:pPr>
            <w:r w:rsidRPr="00896265">
              <w:rPr>
                <w:color w:val="000000"/>
                <w:szCs w:val="21"/>
              </w:rPr>
              <w:t>其中：</w:t>
            </w:r>
            <w:r w:rsidRPr="00896265">
              <w:rPr>
                <w:color w:val="000000"/>
                <w:szCs w:val="21"/>
              </w:rPr>
              <w:t>1.</w:t>
            </w:r>
            <w:r w:rsidRPr="00896265">
              <w:rPr>
                <w:color w:val="000000"/>
                <w:szCs w:val="21"/>
              </w:rPr>
              <w:t>基金申购款</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46,449,753.64</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-13,956,799.80</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32,492,953.84</w:t>
            </w:r>
          </w:p>
        </w:tc>
      </w:tr>
      <w:tr w:rsidR="006E686C" w:rsidRPr="00896265" w:rsidTr="008A3814">
        <w:tc>
          <w:tcPr>
            <w:tcW w:w="2552" w:type="dxa"/>
            <w:vAlign w:val="center"/>
          </w:tcPr>
          <w:p w:rsidR="006E686C" w:rsidRPr="00896265" w:rsidRDefault="006E686C" w:rsidP="008A3814">
            <w:pPr>
              <w:spacing w:line="360" w:lineRule="auto"/>
              <w:ind w:firstLineChars="300" w:firstLine="630"/>
              <w:rPr>
                <w:color w:val="000000"/>
                <w:szCs w:val="21"/>
              </w:rPr>
            </w:pPr>
            <w:r w:rsidRPr="00896265">
              <w:rPr>
                <w:color w:val="000000"/>
                <w:szCs w:val="21"/>
              </w:rPr>
              <w:t>2.</w:t>
            </w:r>
            <w:r w:rsidRPr="00896265">
              <w:rPr>
                <w:color w:val="000000"/>
                <w:szCs w:val="21"/>
              </w:rPr>
              <w:t>基金赎回款</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-100,975,127.11</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30,040,725.71</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-70,934,401.40</w:t>
            </w:r>
          </w:p>
        </w:tc>
      </w:tr>
      <w:tr w:rsidR="006E686C" w:rsidRPr="00896265" w:rsidTr="008A3814">
        <w:tc>
          <w:tcPr>
            <w:tcW w:w="2552" w:type="dxa"/>
            <w:vAlign w:val="center"/>
          </w:tcPr>
          <w:p w:rsidR="006E686C" w:rsidRPr="00896265" w:rsidRDefault="006E686C" w:rsidP="008A3814">
            <w:pPr>
              <w:spacing w:line="360" w:lineRule="auto"/>
              <w:rPr>
                <w:color w:val="000000"/>
                <w:szCs w:val="21"/>
              </w:rPr>
            </w:pPr>
            <w:r w:rsidRPr="00896265">
              <w:rPr>
                <w:color w:val="000000"/>
                <w:szCs w:val="21"/>
              </w:rPr>
              <w:t>四、本期向基金份额持有人分配利润产生的基金净值变动（净值减少以</w:t>
            </w:r>
            <w:r w:rsidRPr="00896265">
              <w:rPr>
                <w:color w:val="000000"/>
                <w:szCs w:val="21"/>
              </w:rPr>
              <w:t>“-”</w:t>
            </w:r>
            <w:r w:rsidRPr="00896265">
              <w:rPr>
                <w:color w:val="000000"/>
                <w:szCs w:val="21"/>
              </w:rPr>
              <w:t>号填列）</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w:t>
            </w:r>
          </w:p>
        </w:tc>
      </w:tr>
      <w:tr w:rsidR="006E686C" w:rsidRPr="00896265" w:rsidTr="008A3814">
        <w:tc>
          <w:tcPr>
            <w:tcW w:w="2552" w:type="dxa"/>
            <w:vAlign w:val="center"/>
          </w:tcPr>
          <w:p w:rsidR="006E686C" w:rsidRPr="00896265" w:rsidRDefault="006E686C" w:rsidP="008A3814">
            <w:pPr>
              <w:spacing w:line="360" w:lineRule="auto"/>
              <w:rPr>
                <w:color w:val="000000"/>
                <w:szCs w:val="21"/>
              </w:rPr>
            </w:pPr>
            <w:r w:rsidRPr="00896265">
              <w:rPr>
                <w:color w:val="000000"/>
                <w:szCs w:val="21"/>
              </w:rPr>
              <w:t>五、期末所有者权益（基金净值）</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375,538,714.53</w:t>
            </w:r>
          </w:p>
        </w:tc>
        <w:tc>
          <w:tcPr>
            <w:tcW w:w="2149" w:type="dxa"/>
            <w:vAlign w:val="center"/>
          </w:tcPr>
          <w:p w:rsidR="006E686C" w:rsidRPr="00896265" w:rsidRDefault="006E686C" w:rsidP="008A3814">
            <w:pPr>
              <w:spacing w:line="360" w:lineRule="auto"/>
              <w:jc w:val="right"/>
              <w:rPr>
                <w:color w:val="000000"/>
                <w:szCs w:val="21"/>
              </w:rPr>
            </w:pPr>
            <w:r w:rsidRPr="00896265">
              <w:rPr>
                <w:color w:val="000000"/>
                <w:szCs w:val="21"/>
              </w:rPr>
              <w:t>-108,330,932.98</w:t>
            </w:r>
          </w:p>
        </w:tc>
        <w:tc>
          <w:tcPr>
            <w:tcW w:w="2150" w:type="dxa"/>
            <w:vAlign w:val="center"/>
          </w:tcPr>
          <w:p w:rsidR="006E686C" w:rsidRPr="00896265" w:rsidRDefault="006E686C" w:rsidP="008A3814">
            <w:pPr>
              <w:spacing w:line="360" w:lineRule="auto"/>
              <w:jc w:val="right"/>
              <w:rPr>
                <w:color w:val="000000"/>
                <w:szCs w:val="21"/>
              </w:rPr>
            </w:pPr>
            <w:r w:rsidRPr="00896265">
              <w:rPr>
                <w:color w:val="000000"/>
                <w:szCs w:val="21"/>
              </w:rPr>
              <w:t>267,207,781.55</w:t>
            </w:r>
          </w:p>
        </w:tc>
      </w:tr>
    </w:tbl>
    <w:p w:rsidR="006E686C" w:rsidRPr="00896265" w:rsidRDefault="006E686C" w:rsidP="006E686C">
      <w:pPr>
        <w:spacing w:line="360" w:lineRule="auto"/>
        <w:rPr>
          <w:szCs w:val="21"/>
        </w:rPr>
      </w:pPr>
      <w:r w:rsidRPr="00896265">
        <w:rPr>
          <w:szCs w:val="21"/>
        </w:rPr>
        <w:t>报表附注为财务报表的组成部分。</w:t>
      </w:r>
    </w:p>
    <w:p w:rsidR="006E686C" w:rsidRPr="00896265" w:rsidRDefault="006E686C" w:rsidP="006E686C">
      <w:pPr>
        <w:spacing w:line="360" w:lineRule="auto"/>
        <w:rPr>
          <w:szCs w:val="21"/>
        </w:rPr>
      </w:pPr>
      <w:r w:rsidRPr="00896265">
        <w:rPr>
          <w:szCs w:val="21"/>
        </w:rPr>
        <w:t>本报告</w:t>
      </w:r>
      <w:r w:rsidRPr="00896265">
        <w:rPr>
          <w:szCs w:val="21"/>
        </w:rPr>
        <w:t>7.1</w:t>
      </w:r>
      <w:r w:rsidRPr="00896265">
        <w:rPr>
          <w:szCs w:val="21"/>
        </w:rPr>
        <w:t>至</w:t>
      </w:r>
      <w:r w:rsidRPr="00896265">
        <w:rPr>
          <w:szCs w:val="21"/>
        </w:rPr>
        <w:t>7.4</w:t>
      </w:r>
      <w:r w:rsidRPr="00896265">
        <w:rPr>
          <w:szCs w:val="21"/>
        </w:rPr>
        <w:t>，财务报表由下列负责人签署：</w:t>
      </w:r>
    </w:p>
    <w:p w:rsidR="007B62FA" w:rsidRPr="00896265" w:rsidRDefault="006E686C" w:rsidP="006E686C">
      <w:pPr>
        <w:spacing w:line="360" w:lineRule="auto"/>
        <w:rPr>
          <w:rFonts w:eastAsiaTheme="minorEastAsia"/>
          <w:color w:val="000000" w:themeColor="text1"/>
          <w:szCs w:val="21"/>
        </w:rPr>
      </w:pPr>
      <w:r w:rsidRPr="00896265">
        <w:rPr>
          <w:szCs w:val="21"/>
        </w:rPr>
        <w:t>基金管理人负责人：刘晓艳，主管会计工作负责人：陈荣，会计机构负责人：邱毅华</w:t>
      </w:r>
    </w:p>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209" w:name="_Toc225498271"/>
      <w:bookmarkStart w:id="210" w:name="_Toc352255994"/>
      <w:bookmarkStart w:id="211" w:name="_Toc352256062"/>
      <w:bookmarkStart w:id="212" w:name="_Toc352331240"/>
      <w:bookmarkStart w:id="213" w:name="_Toc362424018"/>
      <w:bookmarkStart w:id="214" w:name="_Toc35533828"/>
      <w:r w:rsidRPr="00940842">
        <w:rPr>
          <w:rFonts w:asciiTheme="majorEastAsia" w:eastAsiaTheme="majorEastAsia" w:hAnsiTheme="majorEastAsia"/>
          <w:color w:val="000000" w:themeColor="text1"/>
          <w:kern w:val="0"/>
          <w:sz w:val="21"/>
          <w:szCs w:val="21"/>
        </w:rPr>
        <w:t>7.4</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报表附注</w:t>
      </w:r>
      <w:bookmarkEnd w:id="209"/>
      <w:bookmarkEnd w:id="210"/>
      <w:bookmarkEnd w:id="211"/>
      <w:bookmarkEnd w:id="212"/>
      <w:bookmarkEnd w:id="213"/>
      <w:bookmarkEnd w:id="214"/>
    </w:p>
    <w:p w:rsidR="007B62FA" w:rsidRPr="000852F3" w:rsidRDefault="007B62FA" w:rsidP="00C03E37">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7.4.1</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基金基本情况</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易方达黄金主题证券投资基金（</w:t>
      </w:r>
      <w:r>
        <w:rPr>
          <w:rFonts w:eastAsiaTheme="minorEastAsia"/>
          <w:color w:val="000000" w:themeColor="text1"/>
          <w:kern w:val="0"/>
          <w:szCs w:val="21"/>
        </w:rPr>
        <w:t>LOF</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 xml:space="preserve"> (</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 xml:space="preserve">[2011]181 </w:t>
      </w:r>
      <w:r>
        <w:rPr>
          <w:rFonts w:eastAsiaTheme="minorEastAsia"/>
          <w:color w:val="000000" w:themeColor="text1"/>
          <w:kern w:val="0"/>
          <w:szCs w:val="21"/>
        </w:rPr>
        <w:t>号《关于核准易方达黄金主题证券投资基金（</w:t>
      </w:r>
      <w:r>
        <w:rPr>
          <w:rFonts w:eastAsiaTheme="minorEastAsia"/>
          <w:color w:val="000000" w:themeColor="text1"/>
          <w:kern w:val="0"/>
          <w:szCs w:val="21"/>
        </w:rPr>
        <w:t>LOF</w:t>
      </w:r>
      <w:r>
        <w:rPr>
          <w:rFonts w:eastAsiaTheme="minorEastAsia"/>
          <w:color w:val="000000" w:themeColor="text1"/>
          <w:kern w:val="0"/>
          <w:szCs w:val="21"/>
        </w:rPr>
        <w:t>）募集的批复》核准，由易方达基金管理有限公司依照《中华人民共和国证券投资基金法》和《易方达黄金主题证券投资基金（</w:t>
      </w:r>
      <w:r>
        <w:rPr>
          <w:rFonts w:eastAsiaTheme="minorEastAsia"/>
          <w:color w:val="000000" w:themeColor="text1"/>
          <w:kern w:val="0"/>
          <w:szCs w:val="21"/>
        </w:rPr>
        <w:t>LOF</w:t>
      </w:r>
      <w:r>
        <w:rPr>
          <w:rFonts w:eastAsiaTheme="minorEastAsia"/>
          <w:color w:val="000000" w:themeColor="text1"/>
          <w:kern w:val="0"/>
          <w:szCs w:val="21"/>
        </w:rPr>
        <w:t>）基金合同》公开募集。经向中国证监会备案，本基金基金合同于</w:t>
      </w:r>
      <w:r>
        <w:rPr>
          <w:rFonts w:eastAsiaTheme="minorEastAsia"/>
          <w:color w:val="000000" w:themeColor="text1"/>
          <w:kern w:val="0"/>
          <w:szCs w:val="21"/>
        </w:rPr>
        <w:t>2011</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6</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2,657,035,909.18</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1,549,690.94</w:t>
      </w:r>
      <w:r>
        <w:rPr>
          <w:rFonts w:eastAsiaTheme="minorEastAsia"/>
          <w:color w:val="000000" w:themeColor="text1"/>
          <w:kern w:val="0"/>
          <w:szCs w:val="21"/>
        </w:rPr>
        <w:t>份基金份额。本基金为契约型、上市开放式基金，存续期限不定。本基金的基金管理人为易方达基金管理有限公司，注册登记机构为中国证券登记结算有限责任公司，基金托管人为中国农业银行股份有限公司，境外资产托管人为香港上海汇丰银行有限公司。</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自</w:t>
      </w:r>
      <w:r w:rsidRPr="00896265">
        <w:rPr>
          <w:rFonts w:eastAsiaTheme="minorEastAsia"/>
          <w:color w:val="000000" w:themeColor="text1"/>
          <w:kern w:val="0"/>
          <w:szCs w:val="21"/>
        </w:rPr>
        <w:t>2019</w:t>
      </w:r>
      <w:r w:rsidRPr="00896265">
        <w:rPr>
          <w:rFonts w:eastAsiaTheme="minorEastAsia"/>
          <w:color w:val="000000" w:themeColor="text1"/>
          <w:kern w:val="0"/>
          <w:szCs w:val="21"/>
        </w:rPr>
        <w:t>年</w:t>
      </w:r>
      <w:r w:rsidRPr="00896265">
        <w:rPr>
          <w:rFonts w:eastAsiaTheme="minorEastAsia"/>
          <w:color w:val="000000" w:themeColor="text1"/>
          <w:kern w:val="0"/>
          <w:szCs w:val="21"/>
        </w:rPr>
        <w:t>10</w:t>
      </w:r>
      <w:r w:rsidRPr="00896265">
        <w:rPr>
          <w:rFonts w:eastAsiaTheme="minorEastAsia"/>
          <w:color w:val="000000" w:themeColor="text1"/>
          <w:kern w:val="0"/>
          <w:szCs w:val="21"/>
        </w:rPr>
        <w:t>月</w:t>
      </w:r>
      <w:r w:rsidRPr="00896265">
        <w:rPr>
          <w:rFonts w:eastAsiaTheme="minorEastAsia"/>
          <w:color w:val="000000" w:themeColor="text1"/>
          <w:kern w:val="0"/>
          <w:szCs w:val="21"/>
        </w:rPr>
        <w:t>11</w:t>
      </w:r>
      <w:r w:rsidRPr="00896265">
        <w:rPr>
          <w:rFonts w:eastAsiaTheme="minorEastAsia"/>
          <w:color w:val="000000" w:themeColor="text1"/>
          <w:kern w:val="0"/>
          <w:szCs w:val="21"/>
        </w:rPr>
        <w:t>日起，本基金增设</w:t>
      </w:r>
      <w:r w:rsidRPr="00896265">
        <w:rPr>
          <w:rFonts w:eastAsiaTheme="minorEastAsia"/>
          <w:color w:val="000000" w:themeColor="text1"/>
          <w:kern w:val="0"/>
          <w:szCs w:val="21"/>
        </w:rPr>
        <w:t>C</w:t>
      </w:r>
      <w:r w:rsidRPr="00896265">
        <w:rPr>
          <w:rFonts w:eastAsiaTheme="minorEastAsia"/>
          <w:color w:val="000000" w:themeColor="text1"/>
          <w:kern w:val="0"/>
          <w:szCs w:val="21"/>
        </w:rPr>
        <w:t>类份额类别，份额首次确认日为</w:t>
      </w:r>
      <w:r w:rsidRPr="00896265">
        <w:rPr>
          <w:rFonts w:eastAsiaTheme="minorEastAsia"/>
          <w:color w:val="000000" w:themeColor="text1"/>
          <w:kern w:val="0"/>
          <w:szCs w:val="21"/>
        </w:rPr>
        <w:t>2019</w:t>
      </w:r>
      <w:r w:rsidRPr="00896265">
        <w:rPr>
          <w:rFonts w:eastAsiaTheme="minorEastAsia"/>
          <w:color w:val="000000" w:themeColor="text1"/>
          <w:kern w:val="0"/>
          <w:szCs w:val="21"/>
        </w:rPr>
        <w:t>年</w:t>
      </w:r>
      <w:r w:rsidRPr="00896265">
        <w:rPr>
          <w:rFonts w:eastAsiaTheme="minorEastAsia"/>
          <w:color w:val="000000" w:themeColor="text1"/>
          <w:kern w:val="0"/>
          <w:szCs w:val="21"/>
        </w:rPr>
        <w:t>10</w:t>
      </w:r>
      <w:r w:rsidRPr="00896265">
        <w:rPr>
          <w:rFonts w:eastAsiaTheme="minorEastAsia"/>
          <w:color w:val="000000" w:themeColor="text1"/>
          <w:kern w:val="0"/>
          <w:szCs w:val="21"/>
        </w:rPr>
        <w:t>月</w:t>
      </w:r>
      <w:r w:rsidRPr="00896265">
        <w:rPr>
          <w:rFonts w:eastAsiaTheme="minorEastAsia"/>
          <w:color w:val="000000" w:themeColor="text1"/>
          <w:kern w:val="0"/>
          <w:szCs w:val="21"/>
        </w:rPr>
        <w:t>14</w:t>
      </w:r>
      <w:r w:rsidRPr="00896265">
        <w:rPr>
          <w:rFonts w:eastAsiaTheme="minorEastAsia"/>
          <w:color w:val="000000" w:themeColor="text1"/>
          <w:kern w:val="0"/>
          <w:szCs w:val="21"/>
        </w:rPr>
        <w:t>日。</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7.4.2</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会计报表的编制基础</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w:t>
      </w:r>
      <w:r>
        <w:rPr>
          <w:rFonts w:eastAsiaTheme="minorEastAsia"/>
          <w:color w:val="000000" w:themeColor="text1"/>
          <w:kern w:val="0"/>
          <w:szCs w:val="21"/>
        </w:rPr>
        <w:t>-</w:t>
      </w:r>
      <w:r>
        <w:rPr>
          <w:rFonts w:eastAsiaTheme="minorEastAsia"/>
          <w:color w:val="000000" w:themeColor="text1"/>
          <w:kern w:val="0"/>
          <w:szCs w:val="21"/>
        </w:rPr>
        <w:t>基本准则》、各项具体会计准则及相关规定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颁布的《证券投资基金会计核算业务指引》、《易方达黄金主题证券投资基金</w:t>
      </w:r>
      <w:r>
        <w:rPr>
          <w:rFonts w:eastAsiaTheme="minorEastAsia"/>
          <w:color w:val="000000" w:themeColor="text1"/>
          <w:kern w:val="0"/>
          <w:szCs w:val="21"/>
        </w:rPr>
        <w:t>(LOF)</w:t>
      </w:r>
      <w:r>
        <w:rPr>
          <w:rFonts w:eastAsiaTheme="minorEastAsia"/>
          <w:color w:val="000000" w:themeColor="text1"/>
          <w:kern w:val="0"/>
          <w:szCs w:val="21"/>
        </w:rPr>
        <w:t>基金合同》和财务报表附注所列示的中国证监会、中国基金业协会发布的有关规定及允许的基金行业实务操作编制。</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本财务报表以持续经营为基础编制。</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7.4.3</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遵循企业会计准则及其他有关规定的声明</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本财务报表符合企业会计准则的要求，真实、完整地反映了本基金本报告期末的财务状况以及本报告期间的经营成果和基金净值变动情况等有关信息。</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重要会计政策和会计估计</w:t>
      </w:r>
    </w:p>
    <w:p w:rsidR="007B62FA" w:rsidRPr="00896265" w:rsidRDefault="007B62FA" w:rsidP="00C03E37">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本基金财务报表所载财务信息根据下列依照企业会计准则、《证券投资基金会计核算业务指引》和其他相关规定所制定的重要会计政策和会计估计编制。</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7.4.4.1</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会计年度</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本基金会计年度为公历</w:t>
      </w:r>
      <w:r w:rsidRPr="00896265">
        <w:rPr>
          <w:rFonts w:eastAsiaTheme="minorEastAsia"/>
          <w:color w:val="000000" w:themeColor="text1"/>
          <w:kern w:val="0"/>
          <w:szCs w:val="21"/>
        </w:rPr>
        <w:t>1</w:t>
      </w:r>
      <w:r w:rsidRPr="00896265">
        <w:rPr>
          <w:rFonts w:eastAsiaTheme="minorEastAsia"/>
          <w:color w:val="000000" w:themeColor="text1"/>
          <w:kern w:val="0"/>
          <w:szCs w:val="21"/>
        </w:rPr>
        <w:t>月</w:t>
      </w:r>
      <w:r w:rsidRPr="00896265">
        <w:rPr>
          <w:rFonts w:eastAsiaTheme="minorEastAsia"/>
          <w:color w:val="000000" w:themeColor="text1"/>
          <w:kern w:val="0"/>
          <w:szCs w:val="21"/>
        </w:rPr>
        <w:t>1</w:t>
      </w:r>
      <w:r w:rsidRPr="00896265">
        <w:rPr>
          <w:rFonts w:eastAsiaTheme="minorEastAsia"/>
          <w:color w:val="000000" w:themeColor="text1"/>
          <w:kern w:val="0"/>
          <w:szCs w:val="21"/>
        </w:rPr>
        <w:t>日起至</w:t>
      </w:r>
      <w:r w:rsidRPr="00896265">
        <w:rPr>
          <w:rFonts w:eastAsiaTheme="minorEastAsia"/>
          <w:color w:val="000000" w:themeColor="text1"/>
          <w:kern w:val="0"/>
          <w:szCs w:val="21"/>
        </w:rPr>
        <w:t>12</w:t>
      </w:r>
      <w:r w:rsidRPr="00896265">
        <w:rPr>
          <w:rFonts w:eastAsiaTheme="minorEastAsia"/>
          <w:color w:val="000000" w:themeColor="text1"/>
          <w:kern w:val="0"/>
          <w:szCs w:val="21"/>
        </w:rPr>
        <w:t>月</w:t>
      </w:r>
      <w:r w:rsidRPr="00896265">
        <w:rPr>
          <w:rFonts w:eastAsiaTheme="minorEastAsia"/>
          <w:color w:val="000000" w:themeColor="text1"/>
          <w:kern w:val="0"/>
          <w:szCs w:val="21"/>
        </w:rPr>
        <w:t>31</w:t>
      </w:r>
      <w:r w:rsidRPr="00896265">
        <w:rPr>
          <w:rFonts w:eastAsiaTheme="minorEastAsia"/>
          <w:color w:val="000000" w:themeColor="text1"/>
          <w:kern w:val="0"/>
          <w:szCs w:val="21"/>
        </w:rPr>
        <w:t>日止。</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7.4.4.2 记账本位币</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本基金记账本位币和编制本财务报表所采用的货币均为人民币。除有特别说明外，均以人民币元为单位表示。</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7.4.4.3 金融资产和金融负债的分类</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金融资产的分类</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目前暂无金融资产分类为可供出售金融资产及持有至到期投资。</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本基金持有的基金投资、股票投资、债券投资、资产支持证券投资和衍生工具</w:t>
      </w:r>
      <w:r>
        <w:rPr>
          <w:rFonts w:eastAsiaTheme="minorEastAsia"/>
          <w:color w:val="000000" w:themeColor="text1"/>
          <w:kern w:val="0"/>
          <w:szCs w:val="21"/>
        </w:rPr>
        <w:t>(</w:t>
      </w:r>
      <w:r>
        <w:rPr>
          <w:rFonts w:eastAsiaTheme="minorEastAsia"/>
          <w:color w:val="000000" w:themeColor="text1"/>
          <w:kern w:val="0"/>
          <w:szCs w:val="21"/>
        </w:rPr>
        <w:t>主要为权证投资</w:t>
      </w:r>
      <w:r>
        <w:rPr>
          <w:rFonts w:eastAsiaTheme="minorEastAsia"/>
          <w:color w:val="000000" w:themeColor="text1"/>
          <w:kern w:val="0"/>
          <w:szCs w:val="21"/>
        </w:rPr>
        <w:t>)</w:t>
      </w:r>
      <w:r>
        <w:rPr>
          <w:rFonts w:eastAsiaTheme="minorEastAsia"/>
          <w:color w:val="000000" w:themeColor="text1"/>
          <w:kern w:val="0"/>
          <w:szCs w:val="21"/>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本基金持有的其他金融资产分类为应收款项，包括银行存款、买入返售金融资产和其他各类应收款项等。应收款项是指在活跃市场中没有报价、回收金额固定或可确定的非衍生金融资产。</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金融负债的分类</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w:t>
      </w:r>
      <w:r w:rsidRPr="00896265">
        <w:rPr>
          <w:rFonts w:eastAsiaTheme="minorEastAsia"/>
          <w:color w:val="000000" w:themeColor="text1"/>
          <w:kern w:val="0"/>
          <w:szCs w:val="21"/>
        </w:rPr>
        <w:t xml:space="preserve"> </w:t>
      </w:r>
      <w:r w:rsidRPr="00896265">
        <w:rPr>
          <w:rFonts w:eastAsiaTheme="minorEastAsia"/>
          <w:color w:val="000000" w:themeColor="text1"/>
          <w:kern w:val="0"/>
          <w:szCs w:val="21"/>
        </w:rPr>
        <w:t>各类应付款项等。</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7.4.4.4 金融资产和金融负债的初始确认、后续计量和终止确认</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对于以公允价值计量且其变动计入当期损益的金融资产，按照公允价值进行后续计量；对于应收款项和其他金融负债采用实际利率法，以摊余成本进行后续计量。</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金融资产满足下列条件之一的，予以终止确认：</w:t>
      </w:r>
      <w:r>
        <w:rPr>
          <w:rFonts w:eastAsiaTheme="minorEastAsia"/>
          <w:color w:val="000000" w:themeColor="text1"/>
          <w:kern w:val="0"/>
          <w:szCs w:val="21"/>
        </w:rPr>
        <w:t>(1)</w:t>
      </w:r>
      <w:r>
        <w:rPr>
          <w:rFonts w:eastAsiaTheme="minorEastAsia"/>
          <w:color w:val="000000" w:themeColor="text1"/>
          <w:kern w:val="0"/>
          <w:szCs w:val="21"/>
        </w:rPr>
        <w:t>收取该金融资产现金流量的合同权利终止；</w:t>
      </w:r>
      <w:r>
        <w:rPr>
          <w:rFonts w:eastAsiaTheme="minorEastAsia"/>
          <w:color w:val="000000" w:themeColor="text1"/>
          <w:kern w:val="0"/>
          <w:szCs w:val="21"/>
        </w:rPr>
        <w:t>(2)</w:t>
      </w:r>
      <w:r>
        <w:rPr>
          <w:rFonts w:eastAsiaTheme="minorEastAsia"/>
          <w:color w:val="000000" w:themeColor="text1"/>
          <w:kern w:val="0"/>
          <w:szCs w:val="21"/>
        </w:rPr>
        <w:t>该金融资产已转移，且本基金将金融资产所有权上几乎所有的风险和报酬转移给转入方；或者</w:t>
      </w:r>
      <w:r>
        <w:rPr>
          <w:rFonts w:eastAsiaTheme="minorEastAsia"/>
          <w:color w:val="000000" w:themeColor="text1"/>
          <w:kern w:val="0"/>
          <w:szCs w:val="21"/>
        </w:rPr>
        <w:t>(3)</w:t>
      </w:r>
      <w:r>
        <w:rPr>
          <w:rFonts w:eastAsiaTheme="minorEastAsia"/>
          <w:color w:val="000000" w:themeColor="text1"/>
          <w:kern w:val="0"/>
          <w:szCs w:val="21"/>
        </w:rPr>
        <w:t>该金融资产已转移，虽然本基金既没有转移也没有保留金融资产所有权上几乎所有的风险和报酬，但是放弃了对该金融资产控制。</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金融资产终止确认时，其账面价值与收到的对价的差额，计入当期损益。</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当金融负债的现时义务全部或部分已经解除时，终止确认该金融负债或义务已解除的部分。终止确认部分的账面价值与支付的对价之间的差额，计入当期损益。</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7.4.4.5 金融资产和金融负债的估值原则</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本基金持有的基金投资、股票投资、债券投资和衍生工具</w:t>
      </w:r>
      <w:r>
        <w:rPr>
          <w:rFonts w:eastAsiaTheme="minorEastAsia"/>
          <w:color w:val="000000" w:themeColor="text1"/>
          <w:kern w:val="0"/>
          <w:szCs w:val="21"/>
        </w:rPr>
        <w:t>(</w:t>
      </w:r>
      <w:r>
        <w:rPr>
          <w:rFonts w:eastAsiaTheme="minorEastAsia"/>
          <w:color w:val="000000" w:themeColor="text1"/>
          <w:kern w:val="0"/>
          <w:szCs w:val="21"/>
        </w:rPr>
        <w:t>主要为权证投资</w:t>
      </w:r>
      <w:r>
        <w:rPr>
          <w:rFonts w:eastAsiaTheme="minorEastAsia"/>
          <w:color w:val="000000" w:themeColor="text1"/>
          <w:kern w:val="0"/>
          <w:szCs w:val="21"/>
        </w:rPr>
        <w:t>)</w:t>
      </w:r>
      <w:r>
        <w:rPr>
          <w:rFonts w:eastAsiaTheme="minorEastAsia"/>
          <w:color w:val="000000" w:themeColor="text1"/>
          <w:kern w:val="0"/>
          <w:szCs w:val="21"/>
        </w:rPr>
        <w:t>按如下原则确定公允价值并进行估值：</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(3)</w:t>
      </w:r>
      <w:r w:rsidRPr="00896265">
        <w:rPr>
          <w:rFonts w:eastAsiaTheme="minorEastAsia"/>
          <w:color w:val="000000" w:themeColor="text1"/>
          <w:kern w:val="0"/>
          <w:szCs w:val="21"/>
        </w:rPr>
        <w:t>如经济环境发生重大变化或证券发行人发生影响金融工具价格的重大事件，应对估值进行调整并确定公允价值。</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7.4.4.6 金融资产和金融负债的抵销</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本基金持有的资产和承担的负债基本为金融资产和金融负债。当本基金</w:t>
      </w:r>
      <w:r w:rsidRPr="00896265">
        <w:rPr>
          <w:rFonts w:eastAsiaTheme="minorEastAsia"/>
          <w:color w:val="000000" w:themeColor="text1"/>
          <w:kern w:val="0"/>
          <w:szCs w:val="21"/>
        </w:rPr>
        <w:t xml:space="preserve">1) </w:t>
      </w:r>
      <w:r w:rsidRPr="00896265">
        <w:rPr>
          <w:rFonts w:eastAsiaTheme="minorEastAsia"/>
          <w:color w:val="000000" w:themeColor="text1"/>
          <w:kern w:val="0"/>
          <w:szCs w:val="21"/>
        </w:rPr>
        <w:t>具有抵销已确认金额的法定权利且该种法定权利现在是可执行的；且</w:t>
      </w:r>
      <w:r w:rsidRPr="00896265">
        <w:rPr>
          <w:rFonts w:eastAsiaTheme="minorEastAsia"/>
          <w:color w:val="000000" w:themeColor="text1"/>
          <w:kern w:val="0"/>
          <w:szCs w:val="21"/>
        </w:rPr>
        <w:t>2)</w:t>
      </w:r>
      <w:r w:rsidRPr="00896265">
        <w:rPr>
          <w:rFonts w:eastAsiaTheme="minorEastAsia"/>
          <w:color w:val="000000" w:themeColor="text1"/>
          <w:kern w:val="0"/>
          <w:szCs w:val="21"/>
        </w:rPr>
        <w:t>交易双方准备按净额结算时，金融资产与金融负债按抵销后的净额在资产负债表中列示。</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7.4.4.7 实收基金</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实收基金为对外发行基金份额所募集的总金额在扣除损益平准金分摊部分后的余额。由于申购和赎回引起的实收基金变动分别于基金申购确认日及基金赎回确认日认列。</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7.4.4.8 损益平准金</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896265">
        <w:rPr>
          <w:rFonts w:eastAsiaTheme="minorEastAsia"/>
          <w:color w:val="000000" w:themeColor="text1"/>
          <w:kern w:val="0"/>
          <w:szCs w:val="21"/>
        </w:rPr>
        <w:t>/(</w:t>
      </w:r>
      <w:r w:rsidRPr="00896265">
        <w:rPr>
          <w:rFonts w:eastAsiaTheme="minorEastAsia"/>
          <w:color w:val="000000" w:themeColor="text1"/>
          <w:kern w:val="0"/>
          <w:szCs w:val="21"/>
        </w:rPr>
        <w:t>累计亏损</w:t>
      </w:r>
      <w:r w:rsidRPr="00896265">
        <w:rPr>
          <w:rFonts w:eastAsiaTheme="minorEastAsia"/>
          <w:color w:val="000000" w:themeColor="text1"/>
          <w:kern w:val="0"/>
          <w:szCs w:val="21"/>
        </w:rPr>
        <w:t>)</w:t>
      </w:r>
      <w:r w:rsidRPr="00896265">
        <w:rPr>
          <w:rFonts w:eastAsiaTheme="minorEastAsia"/>
          <w:color w:val="000000" w:themeColor="text1"/>
          <w:kern w:val="0"/>
          <w:szCs w:val="21"/>
        </w:rPr>
        <w:t>。</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7.4.4.9 收入/(损失)的确认和计量</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的金融资产在持有期间的公允价值变动确认为公允价值变动损益；处置时其处置价格与初始确认金额之间的差额扣除在适用情况下由基金管理人缴纳的增值税后的净额确认为投资收益，其中包括从公允价值变动损益结转的公允价值累计变动额。</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应收款项在持有期间确认的利息收入按实际利率法计算，实际利率法与直线法差异较小的也可按直线法计算。</w:t>
      </w:r>
    </w:p>
    <w:p w:rsidR="00EB7371"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7.4.4.10 费用的确认和计量</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针对基金合同约定费率和计算方法的费用，本基金在费用涵盖期间按合同约定进行确认。</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其他金融负债在持有期间确认的利息支出按实际利率法计算，实际利率法与直线法差异较小的按直线法近似计算。</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7.4.4.11 基金的收益分配政策</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类基金份额在费用收取上不同，其分别对应的可分配收益可能有所不同。同一类别的每一基金份额享有同等分配权；</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收益分配基准日的基金份额净值减去每单位基金份额收益分配金额后不能低于面值；即基金收益分配基准日人民币基金份额的基金份额净值减去每单位基金份额收益分配金额后不能低于面值；对于美元现汇基金份额，由于汇率因素影响，收益分配后美元现汇基金份</w:t>
      </w:r>
      <w:r>
        <w:rPr>
          <w:rFonts w:eastAsiaTheme="minorEastAsia"/>
          <w:color w:val="000000" w:themeColor="text1"/>
          <w:kern w:val="0"/>
          <w:szCs w:val="21"/>
        </w:rPr>
        <w:t xml:space="preserve"> </w:t>
      </w:r>
      <w:r>
        <w:rPr>
          <w:rFonts w:eastAsiaTheme="minorEastAsia"/>
          <w:color w:val="000000" w:themeColor="text1"/>
          <w:kern w:val="0"/>
          <w:szCs w:val="21"/>
        </w:rPr>
        <w:t>额的基金份额净值可能低于对应的基金份额面值；</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在符合有关基金分红条件的前提下，本基金每年收益分配次数最多为</w:t>
      </w:r>
      <w:r>
        <w:rPr>
          <w:rFonts w:eastAsiaTheme="minorEastAsia"/>
          <w:color w:val="000000" w:themeColor="text1"/>
          <w:kern w:val="0"/>
          <w:szCs w:val="21"/>
        </w:rPr>
        <w:t>12</w:t>
      </w:r>
      <w:r>
        <w:rPr>
          <w:rFonts w:eastAsiaTheme="minorEastAsia"/>
          <w:color w:val="000000" w:themeColor="text1"/>
          <w:kern w:val="0"/>
          <w:szCs w:val="21"/>
        </w:rPr>
        <w:t>次，每份基金份额每次收益分配比例不低于收益分配基准日每份基金份额可供分配利润的</w:t>
      </w:r>
      <w:r>
        <w:rPr>
          <w:rFonts w:eastAsiaTheme="minorEastAsia"/>
          <w:color w:val="000000" w:themeColor="text1"/>
          <w:kern w:val="0"/>
          <w:szCs w:val="21"/>
        </w:rPr>
        <w:t>10%</w:t>
      </w:r>
      <w:r>
        <w:rPr>
          <w:rFonts w:eastAsiaTheme="minorEastAsia"/>
          <w:color w:val="000000" w:themeColor="text1"/>
          <w:kern w:val="0"/>
          <w:szCs w:val="21"/>
        </w:rPr>
        <w:t>；若《基金合同》生效不满</w:t>
      </w:r>
      <w:r>
        <w:rPr>
          <w:rFonts w:eastAsiaTheme="minorEastAsia"/>
          <w:color w:val="000000" w:themeColor="text1"/>
          <w:kern w:val="0"/>
          <w:szCs w:val="21"/>
        </w:rPr>
        <w:t>3</w:t>
      </w:r>
      <w:r>
        <w:rPr>
          <w:rFonts w:eastAsiaTheme="minorEastAsia"/>
          <w:color w:val="000000" w:themeColor="text1"/>
          <w:kern w:val="0"/>
          <w:szCs w:val="21"/>
        </w:rPr>
        <w:t>个月可不进行收益分配；</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本基金场外份额收益分配方式分为现金分红与红利再投资，基金份额持有人可选择获取现金红利或将现金红利自动转为对应类别的基金份额进行再投资，红利再投资的计算方法等有关事项遵循登记结算机构的相关规定；若基金份额持有人不选择，本基金场外份额默认的收益分配方式是现金分红。本基金场内份额只能采取现金分红方式，基金份额持有人不能选择红利再投资；</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人民币基金份额的现金分红分配币种为人民币，美元基金份额现金分红币种为美元；不同币种份额红利再投资适用的净值为该币种份额的净值；不同类别美元份额的每份额分配金额为对应类别人民币份额的每份额分配数额按照权益登记日前一工作日美元估值汇率折算后的美元金额，计算结果以美元为单位，四舍五入，保留到小数点后四位，由此误差产生的损失由基金财产承担，产生的收益归基金财产所有；</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(6)</w:t>
      </w:r>
      <w:r w:rsidRPr="00896265">
        <w:rPr>
          <w:rFonts w:eastAsiaTheme="minorEastAsia"/>
          <w:color w:val="000000" w:themeColor="text1"/>
          <w:kern w:val="0"/>
          <w:szCs w:val="21"/>
        </w:rPr>
        <w:t>法律法规或监管机构另有规定的，从其规定。</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7.4.4.12</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外币交易</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外币交易按交易发生日的即期汇率将外币金额折算为人民币入账。</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外币货币性项目，于估值日采用估值日的即期汇率折算为人民币，所产生的折算差额直接计入汇兑损益科目。以公允价值计量的外币非货币性项目，于估值日采用估值日的即期汇率折算为人民币，与所产生的折算差额直接计入公允价值变动损益科目。</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7.4.4.13 分部报告</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本基金以内部组织结构、管理要求、内部报告制度为依据确定经营分部，以经营分部为基础确定报告分部并披露分部信息。</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经营分部是指本基金内同时满足下列条件的组成部分：</w:t>
      </w:r>
      <w:r>
        <w:rPr>
          <w:rFonts w:eastAsiaTheme="minorEastAsia"/>
          <w:color w:val="000000" w:themeColor="text1"/>
          <w:kern w:val="0"/>
          <w:szCs w:val="21"/>
        </w:rPr>
        <w:t xml:space="preserve">(1) </w:t>
      </w:r>
      <w:r>
        <w:rPr>
          <w:rFonts w:eastAsiaTheme="minorEastAsia"/>
          <w:color w:val="000000" w:themeColor="text1"/>
          <w:kern w:val="0"/>
          <w:szCs w:val="21"/>
        </w:rPr>
        <w:t>该组成部分能够在日常活动中产生收入、发生费用；</w:t>
      </w:r>
      <w:r>
        <w:rPr>
          <w:rFonts w:eastAsiaTheme="minorEastAsia"/>
          <w:color w:val="000000" w:themeColor="text1"/>
          <w:kern w:val="0"/>
          <w:szCs w:val="21"/>
        </w:rPr>
        <w:t>(2)</w:t>
      </w:r>
      <w:r>
        <w:rPr>
          <w:rFonts w:eastAsiaTheme="minorEastAsia"/>
          <w:color w:val="000000" w:themeColor="text1"/>
          <w:kern w:val="0"/>
          <w:szCs w:val="21"/>
        </w:rPr>
        <w:t>本基金管理人能够定期评价该组成部分的经营成果，以决定向其配置资源、评价其业绩；</w:t>
      </w:r>
      <w:r>
        <w:rPr>
          <w:rFonts w:eastAsiaTheme="minorEastAsia"/>
          <w:color w:val="000000" w:themeColor="text1"/>
          <w:kern w:val="0"/>
          <w:szCs w:val="21"/>
        </w:rPr>
        <w:t>(3)</w:t>
      </w:r>
      <w:r>
        <w:rPr>
          <w:rFonts w:eastAsiaTheme="minorEastAsia"/>
          <w:color w:val="000000" w:themeColor="text1"/>
          <w:kern w:val="0"/>
          <w:szCs w:val="21"/>
        </w:rPr>
        <w:t>本基金能够取得该组成部分的财务状况、经营成果和现金流量等有关会计信息。如果两个或多个经营分部具有相似的经济特征，并且满足一定条件的，则合并为一个经营分部。</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本基金目前以一个经营分部运作，不需要进行分部报告的披露。</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7.4.4.14 其他重要的会计政策和会计估计</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根据本基金的估值原则和中国证监会允许的基金行业估值实务操作，本基金确定以下类别股票投资的公允价值时采用的估值方法及其关键假设如下：</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w:t>
      </w:r>
      <w:r w:rsidRPr="00896265">
        <w:rPr>
          <w:rFonts w:eastAsiaTheme="minorEastAsia"/>
          <w:color w:val="000000" w:themeColor="text1"/>
          <w:kern w:val="0"/>
          <w:szCs w:val="21"/>
        </w:rPr>
        <w:t>1</w:t>
      </w:r>
      <w:r w:rsidRPr="00896265">
        <w:rPr>
          <w:rFonts w:eastAsiaTheme="minorEastAsia"/>
          <w:color w:val="000000" w:themeColor="text1"/>
          <w:kern w:val="0"/>
          <w:szCs w:val="21"/>
        </w:rPr>
        <w:t>）对于证券交易所上市的股票，若出现重大事项停牌或交易不活跃</w:t>
      </w:r>
      <w:r w:rsidRPr="00896265">
        <w:rPr>
          <w:rFonts w:eastAsiaTheme="minorEastAsia"/>
          <w:color w:val="000000" w:themeColor="text1"/>
          <w:kern w:val="0"/>
          <w:szCs w:val="21"/>
        </w:rPr>
        <w:t>(</w:t>
      </w:r>
      <w:r w:rsidRPr="00896265">
        <w:rPr>
          <w:rFonts w:eastAsiaTheme="minorEastAsia"/>
          <w:color w:val="000000" w:themeColor="text1"/>
          <w:kern w:val="0"/>
          <w:szCs w:val="21"/>
        </w:rPr>
        <w:t>包括涨跌停时的交易不活跃</w:t>
      </w:r>
      <w:r w:rsidRPr="00896265">
        <w:rPr>
          <w:rFonts w:eastAsiaTheme="minorEastAsia"/>
          <w:color w:val="000000" w:themeColor="text1"/>
          <w:kern w:val="0"/>
          <w:szCs w:val="21"/>
        </w:rPr>
        <w:t>)</w:t>
      </w:r>
      <w:r w:rsidRPr="00896265">
        <w:rPr>
          <w:rFonts w:eastAsiaTheme="minorEastAsia"/>
          <w:color w:val="000000" w:themeColor="text1"/>
          <w:kern w:val="0"/>
          <w:szCs w:val="21"/>
        </w:rPr>
        <w:t>等情况，本基金根据中国证监会公告</w:t>
      </w:r>
      <w:r w:rsidRPr="00896265">
        <w:rPr>
          <w:rFonts w:eastAsiaTheme="minorEastAsia"/>
          <w:color w:val="000000" w:themeColor="text1"/>
          <w:kern w:val="0"/>
          <w:szCs w:val="21"/>
        </w:rPr>
        <w:t>[2017]13</w:t>
      </w:r>
      <w:r w:rsidRPr="00896265">
        <w:rPr>
          <w:rFonts w:eastAsiaTheme="minorEastAsia"/>
          <w:color w:val="000000" w:themeColor="text1"/>
          <w:kern w:val="0"/>
          <w:szCs w:val="21"/>
        </w:rPr>
        <w:t>号《中国证监会关于证券投资基金估值业务的指导意见》，根据具体情况采用《关于发布中基协</w:t>
      </w:r>
      <w:r w:rsidRPr="00896265">
        <w:rPr>
          <w:rFonts w:eastAsiaTheme="minorEastAsia"/>
          <w:color w:val="000000" w:themeColor="text1"/>
          <w:kern w:val="0"/>
          <w:szCs w:val="21"/>
        </w:rPr>
        <w:t>(AMAC)</w:t>
      </w:r>
      <w:r w:rsidRPr="00896265">
        <w:rPr>
          <w:rFonts w:eastAsiaTheme="minorEastAsia"/>
          <w:color w:val="000000" w:themeColor="text1"/>
          <w:kern w:val="0"/>
          <w:szCs w:val="21"/>
        </w:rPr>
        <w:t>基金行业股票估值指数的通知》提供的指数收益法、市盈率法等估值技术进行估值。</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7.4.5</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会计政策和会计估计变更以及差错更正的说明</w:t>
      </w:r>
    </w:p>
    <w:p w:rsidR="007B62FA" w:rsidRPr="000852F3" w:rsidRDefault="007B62FA" w:rsidP="00C03E37">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7.4.5.1 会计政策变更的说明</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本基金本报告期未发生会计政策变更。</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7.4.5.2 会计估计变更的说明</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本基金本报告期未发生会计估计变更。</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7.4.5.3 差错更正的说明</w:t>
      </w:r>
    </w:p>
    <w:p w:rsidR="007B62FA" w:rsidRPr="00896265" w:rsidRDefault="007B62FA" w:rsidP="001A74A1">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本基金本报告期无会计差错更正。</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7.4.6</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税项</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号《关于明确金融房地产开发教育辅助服务等增值税政策的通知》、财税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号《关于租入固定资产进项税额抵扣等增值税政策的通知》及其他相关境内外财税法规和实务操作，主要税项列示如下：</w:t>
      </w:r>
      <w:r>
        <w:rPr>
          <w:rFonts w:eastAsiaTheme="minorEastAsia"/>
          <w:color w:val="000000" w:themeColor="text1"/>
          <w:kern w:val="0"/>
          <w:szCs w:val="21"/>
        </w:rPr>
        <w:t xml:space="preserve"> </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的征收率缴纳增值税。对资管产品在</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日前运营过程中发生的增值税应税行为，未缴纳增值税的，不再缴纳；已缴纳增值税的，已纳税额从资管产品管理人以后月份的增值税应纳税额中抵减。</w:t>
      </w:r>
      <w:r>
        <w:rPr>
          <w:rFonts w:eastAsiaTheme="minorEastAsia"/>
          <w:color w:val="000000" w:themeColor="text1"/>
          <w:kern w:val="0"/>
          <w:szCs w:val="21"/>
        </w:rPr>
        <w:t xml:space="preserve"> </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日起产生的利息及利息性质的收入为销售额。资管产品管理人运营资管产品转让</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日前取得的基金、非货物期货，可以选择按照实际买入价计算销售额，或者以</w:t>
      </w:r>
      <w:r>
        <w:rPr>
          <w:rFonts w:eastAsiaTheme="minorEastAsia"/>
          <w:color w:val="000000" w:themeColor="text1"/>
          <w:kern w:val="0"/>
          <w:szCs w:val="21"/>
        </w:rPr>
        <w:t xml:space="preserve"> 2017</w:t>
      </w:r>
      <w:r>
        <w:rPr>
          <w:rFonts w:eastAsiaTheme="minorEastAsia"/>
          <w:color w:val="000000" w:themeColor="text1"/>
          <w:kern w:val="0"/>
          <w:szCs w:val="21"/>
        </w:rPr>
        <w:t>年最后一个交易日的基金份额净值、非货物期货结算价格作为买入价计算销售额。</w:t>
      </w:r>
      <w:r>
        <w:rPr>
          <w:rFonts w:eastAsiaTheme="minorEastAsia"/>
          <w:color w:val="000000" w:themeColor="text1"/>
          <w:kern w:val="0"/>
          <w:szCs w:val="21"/>
        </w:rPr>
        <w:t xml:space="preserve"> </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目前基金取得的源自境外的差价收入，其涉及的境外所得税税收政策，按照相关国家或地区税收法律和法规执行，在境内暂不征收企业所得税。</w:t>
      </w:r>
      <w:r>
        <w:rPr>
          <w:rFonts w:eastAsiaTheme="minorEastAsia"/>
          <w:color w:val="000000" w:themeColor="text1"/>
          <w:kern w:val="0"/>
          <w:szCs w:val="21"/>
        </w:rPr>
        <w:t xml:space="preserve"> </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目前基金取得的源自境外的股利收益，其涉及的境外所得税税收政策，按照相关国家或地区税收法律和法规执行，在境内暂不征收个人所得税和企业所得税。</w:t>
      </w:r>
      <w:r>
        <w:rPr>
          <w:rFonts w:eastAsiaTheme="minorEastAsia"/>
          <w:color w:val="000000" w:themeColor="text1"/>
          <w:kern w:val="0"/>
          <w:szCs w:val="21"/>
        </w:rPr>
        <w:t xml:space="preserve"> </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w:t>
      </w:r>
      <w:r>
        <w:rPr>
          <w:rFonts w:eastAsiaTheme="minorEastAsia"/>
          <w:color w:val="000000" w:themeColor="text1"/>
          <w:kern w:val="0"/>
          <w:szCs w:val="21"/>
        </w:rPr>
        <w:t>/</w:t>
      </w:r>
      <w:r>
        <w:rPr>
          <w:rFonts w:eastAsiaTheme="minorEastAsia"/>
          <w:color w:val="000000" w:themeColor="text1"/>
          <w:kern w:val="0"/>
          <w:szCs w:val="21"/>
        </w:rPr>
        <w:t>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w:t>
      </w:r>
      <w:r>
        <w:rPr>
          <w:rFonts w:eastAsiaTheme="minorEastAsia"/>
          <w:color w:val="000000" w:themeColor="text1"/>
          <w:kern w:val="0"/>
          <w:szCs w:val="21"/>
        </w:rPr>
        <w:t>/</w:t>
      </w:r>
      <w:r>
        <w:rPr>
          <w:rFonts w:eastAsiaTheme="minorEastAsia"/>
          <w:color w:val="000000" w:themeColor="text1"/>
          <w:kern w:val="0"/>
          <w:szCs w:val="21"/>
        </w:rPr>
        <w:t>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rsidR="00F14AEA" w:rsidRDefault="00EC6028" w:rsidP="00322ED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基金通过沪港通</w:t>
      </w:r>
      <w:r>
        <w:rPr>
          <w:rFonts w:eastAsiaTheme="minorEastAsia"/>
          <w:color w:val="000000" w:themeColor="text1"/>
          <w:kern w:val="0"/>
          <w:szCs w:val="21"/>
        </w:rPr>
        <w:t>/</w:t>
      </w:r>
      <w:r>
        <w:rPr>
          <w:rFonts w:eastAsiaTheme="minorEastAsia"/>
          <w:color w:val="000000" w:themeColor="text1"/>
          <w:kern w:val="0"/>
          <w:szCs w:val="21"/>
        </w:rPr>
        <w:t>深港通买卖、继承、赠与联交所上市股票，按照香港特别行政区现行税法规定缴纳印花税。</w:t>
      </w:r>
    </w:p>
    <w:p w:rsidR="007B62FA" w:rsidRPr="00896265" w:rsidRDefault="00EC6028" w:rsidP="00322ED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(5) </w:t>
      </w:r>
      <w:bookmarkStart w:id="215" w:name="_GoBack"/>
      <w:bookmarkEnd w:id="215"/>
      <w:r w:rsidR="007B62FA" w:rsidRPr="00896265">
        <w:rPr>
          <w:rFonts w:eastAsiaTheme="minorEastAsia"/>
          <w:color w:val="000000" w:themeColor="text1"/>
          <w:kern w:val="0"/>
          <w:szCs w:val="21"/>
        </w:rPr>
        <w:t>本基金的城市维护建设税、教育费附加和地方教育附加等税费按照实际缴纳增值税额的适用比例计算缴纳。</w:t>
      </w:r>
      <w:r w:rsidR="007B62FA" w:rsidRPr="00896265">
        <w:rPr>
          <w:rFonts w:eastAsiaTheme="minorEastAsia"/>
          <w:color w:val="000000" w:themeColor="text1"/>
          <w:kern w:val="0"/>
          <w:szCs w:val="21"/>
        </w:rPr>
        <w:t xml:space="preserve"> </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重要财务报表项目的说明</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7.4.7.1</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银行存款</w:t>
      </w:r>
    </w:p>
    <w:p w:rsidR="00931AEE" w:rsidRPr="00703293" w:rsidRDefault="00931AEE" w:rsidP="00931AEE">
      <w:pPr>
        <w:autoSpaceDE w:val="0"/>
        <w:autoSpaceDN w:val="0"/>
        <w:adjustRightInd w:val="0"/>
        <w:spacing w:line="360" w:lineRule="auto"/>
        <w:ind w:left="15"/>
        <w:jc w:val="right"/>
        <w:rPr>
          <w:rFonts w:eastAsiaTheme="minorEastAsia"/>
          <w:b/>
          <w:color w:val="000000"/>
          <w:kern w:val="0"/>
          <w:szCs w:val="21"/>
        </w:rPr>
      </w:pPr>
      <w:r w:rsidRPr="00703293">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931AEE" w:rsidRPr="0091212A" w:rsidTr="00AA712C">
        <w:trPr>
          <w:trHeight w:val="345"/>
          <w:jc w:val="center"/>
        </w:trPr>
        <w:tc>
          <w:tcPr>
            <w:tcW w:w="2634" w:type="dxa"/>
            <w:tcMar>
              <w:top w:w="15" w:type="dxa"/>
              <w:left w:w="15" w:type="dxa"/>
              <w:bottom w:w="0" w:type="dxa"/>
              <w:right w:w="15" w:type="dxa"/>
            </w:tcMar>
            <w:vAlign w:val="center"/>
          </w:tcPr>
          <w:p w:rsidR="00931AEE" w:rsidRPr="008735B8" w:rsidRDefault="00931AEE" w:rsidP="00AA712C">
            <w:pPr>
              <w:spacing w:line="360" w:lineRule="auto"/>
              <w:jc w:val="center"/>
              <w:rPr>
                <w:rFonts w:eastAsiaTheme="minorEastAsia"/>
                <w:szCs w:val="21"/>
              </w:rPr>
            </w:pPr>
            <w:r w:rsidRPr="008735B8">
              <w:rPr>
                <w:rFonts w:eastAsiaTheme="minorEastAsia"/>
                <w:kern w:val="0"/>
                <w:szCs w:val="21"/>
              </w:rPr>
              <w:t>项目</w:t>
            </w:r>
          </w:p>
        </w:tc>
        <w:tc>
          <w:tcPr>
            <w:tcW w:w="3157" w:type="dxa"/>
            <w:tcMar>
              <w:top w:w="15" w:type="dxa"/>
              <w:left w:w="15" w:type="dxa"/>
              <w:bottom w:w="0" w:type="dxa"/>
              <w:right w:w="15" w:type="dxa"/>
            </w:tcMar>
          </w:tcPr>
          <w:p w:rsidR="00931AEE" w:rsidRPr="008735B8" w:rsidRDefault="00931AEE" w:rsidP="00AA712C">
            <w:pPr>
              <w:spacing w:line="360" w:lineRule="auto"/>
              <w:jc w:val="center"/>
              <w:rPr>
                <w:rFonts w:eastAsiaTheme="minorEastAsia"/>
                <w:kern w:val="0"/>
                <w:szCs w:val="21"/>
              </w:rPr>
            </w:pPr>
            <w:r w:rsidRPr="008735B8">
              <w:rPr>
                <w:rFonts w:eastAsiaTheme="minorEastAsia"/>
                <w:kern w:val="0"/>
                <w:szCs w:val="21"/>
              </w:rPr>
              <w:t>本期末</w:t>
            </w:r>
          </w:p>
          <w:p w:rsidR="00931AEE" w:rsidRPr="008735B8" w:rsidRDefault="00931AEE" w:rsidP="00AA712C">
            <w:pPr>
              <w:spacing w:line="360" w:lineRule="auto"/>
              <w:jc w:val="center"/>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158" w:type="dxa"/>
            <w:tcMar>
              <w:top w:w="15" w:type="dxa"/>
              <w:left w:w="15" w:type="dxa"/>
              <w:bottom w:w="0" w:type="dxa"/>
              <w:right w:w="15" w:type="dxa"/>
            </w:tcMar>
          </w:tcPr>
          <w:p w:rsidR="00931AEE" w:rsidRPr="008735B8" w:rsidRDefault="00931AEE" w:rsidP="00AA712C">
            <w:pPr>
              <w:spacing w:line="360" w:lineRule="auto"/>
              <w:jc w:val="center"/>
              <w:rPr>
                <w:rFonts w:eastAsiaTheme="minorEastAsia"/>
                <w:kern w:val="0"/>
                <w:szCs w:val="21"/>
              </w:rPr>
            </w:pPr>
            <w:r w:rsidRPr="008735B8">
              <w:rPr>
                <w:rFonts w:eastAsiaTheme="minorEastAsia"/>
                <w:kern w:val="0"/>
                <w:szCs w:val="21"/>
              </w:rPr>
              <w:t>上年度末</w:t>
            </w:r>
          </w:p>
          <w:p w:rsidR="00931AEE" w:rsidRPr="008735B8" w:rsidRDefault="00931AEE" w:rsidP="00AA712C">
            <w:pPr>
              <w:spacing w:line="360" w:lineRule="auto"/>
              <w:jc w:val="center"/>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931AEE" w:rsidRPr="0091212A" w:rsidTr="00AA712C">
        <w:trPr>
          <w:trHeight w:val="315"/>
          <w:jc w:val="center"/>
        </w:trPr>
        <w:tc>
          <w:tcPr>
            <w:tcW w:w="2634" w:type="dxa"/>
            <w:tcMar>
              <w:top w:w="15" w:type="dxa"/>
              <w:left w:w="15" w:type="dxa"/>
              <w:bottom w:w="0" w:type="dxa"/>
              <w:right w:w="15" w:type="dxa"/>
            </w:tcMar>
            <w:vAlign w:val="center"/>
          </w:tcPr>
          <w:p w:rsidR="00931AEE" w:rsidRPr="008735B8" w:rsidRDefault="00931AEE" w:rsidP="00AA712C">
            <w:pPr>
              <w:spacing w:line="360" w:lineRule="auto"/>
              <w:rPr>
                <w:rFonts w:eastAsiaTheme="minorEastAsia"/>
                <w:kern w:val="0"/>
                <w:szCs w:val="21"/>
              </w:rPr>
            </w:pPr>
            <w:r w:rsidRPr="008735B8">
              <w:rPr>
                <w:rFonts w:eastAsiaTheme="minorEastAsia"/>
                <w:kern w:val="0"/>
                <w:szCs w:val="21"/>
              </w:rPr>
              <w:t>活期存款</w:t>
            </w:r>
          </w:p>
        </w:tc>
        <w:tc>
          <w:tcPr>
            <w:tcW w:w="3157" w:type="dxa"/>
            <w:tcMar>
              <w:top w:w="15" w:type="dxa"/>
              <w:left w:w="15" w:type="dxa"/>
              <w:bottom w:w="0" w:type="dxa"/>
              <w:right w:w="15" w:type="dxa"/>
            </w:tcMar>
            <w:vAlign w:val="center"/>
          </w:tcPr>
          <w:p w:rsidR="00931AEE" w:rsidRPr="008735B8" w:rsidRDefault="00931AEE" w:rsidP="00AA712C">
            <w:pPr>
              <w:spacing w:line="360" w:lineRule="auto"/>
              <w:jc w:val="right"/>
              <w:rPr>
                <w:rFonts w:eastAsiaTheme="minorEastAsia"/>
                <w:kern w:val="0"/>
                <w:szCs w:val="21"/>
              </w:rPr>
            </w:pPr>
            <w:r w:rsidRPr="008735B8">
              <w:rPr>
                <w:rFonts w:eastAsiaTheme="minorEastAsia"/>
                <w:kern w:val="0"/>
                <w:szCs w:val="21"/>
              </w:rPr>
              <w:t>41,451,777.35</w:t>
            </w:r>
          </w:p>
        </w:tc>
        <w:tc>
          <w:tcPr>
            <w:tcW w:w="3158" w:type="dxa"/>
            <w:tcMar>
              <w:top w:w="15" w:type="dxa"/>
              <w:left w:w="15" w:type="dxa"/>
              <w:bottom w:w="0" w:type="dxa"/>
              <w:right w:w="15" w:type="dxa"/>
            </w:tcMar>
            <w:vAlign w:val="center"/>
          </w:tcPr>
          <w:p w:rsidR="00931AEE" w:rsidRPr="008735B8" w:rsidRDefault="00931AEE" w:rsidP="00AA712C">
            <w:pPr>
              <w:spacing w:line="360" w:lineRule="auto"/>
              <w:jc w:val="right"/>
              <w:rPr>
                <w:rFonts w:eastAsiaTheme="minorEastAsia"/>
                <w:kern w:val="0"/>
                <w:szCs w:val="21"/>
              </w:rPr>
            </w:pPr>
            <w:r w:rsidRPr="008735B8">
              <w:rPr>
                <w:rFonts w:eastAsiaTheme="minorEastAsia"/>
                <w:kern w:val="0"/>
                <w:szCs w:val="21"/>
              </w:rPr>
              <w:t>26,305,736.50</w:t>
            </w:r>
          </w:p>
        </w:tc>
      </w:tr>
      <w:tr w:rsidR="00931AEE" w:rsidRPr="0091212A" w:rsidTr="00AA712C">
        <w:trPr>
          <w:trHeight w:val="315"/>
          <w:jc w:val="center"/>
        </w:trPr>
        <w:tc>
          <w:tcPr>
            <w:tcW w:w="2634" w:type="dxa"/>
            <w:tcMar>
              <w:top w:w="15" w:type="dxa"/>
              <w:left w:w="15" w:type="dxa"/>
              <w:bottom w:w="0" w:type="dxa"/>
              <w:right w:w="15" w:type="dxa"/>
            </w:tcMar>
            <w:vAlign w:val="center"/>
          </w:tcPr>
          <w:p w:rsidR="00931AEE" w:rsidRPr="008735B8" w:rsidRDefault="00931AEE" w:rsidP="00AA712C">
            <w:pPr>
              <w:spacing w:line="360" w:lineRule="auto"/>
              <w:rPr>
                <w:rFonts w:eastAsiaTheme="minorEastAsia"/>
                <w:kern w:val="0"/>
                <w:szCs w:val="21"/>
              </w:rPr>
            </w:pPr>
            <w:r w:rsidRPr="008735B8">
              <w:rPr>
                <w:rFonts w:eastAsiaTheme="minorEastAsia"/>
                <w:kern w:val="0"/>
                <w:szCs w:val="21"/>
              </w:rPr>
              <w:t>定期存款</w:t>
            </w:r>
          </w:p>
        </w:tc>
        <w:tc>
          <w:tcPr>
            <w:tcW w:w="3157" w:type="dxa"/>
            <w:tcMar>
              <w:top w:w="15" w:type="dxa"/>
              <w:left w:w="15" w:type="dxa"/>
              <w:bottom w:w="0" w:type="dxa"/>
              <w:right w:w="15" w:type="dxa"/>
            </w:tcMar>
            <w:vAlign w:val="center"/>
          </w:tcPr>
          <w:p w:rsidR="00931AEE" w:rsidRPr="008735B8" w:rsidRDefault="00931AEE" w:rsidP="00AA712C">
            <w:pPr>
              <w:spacing w:line="360" w:lineRule="auto"/>
              <w:jc w:val="right"/>
              <w:rPr>
                <w:rFonts w:eastAsiaTheme="minorEastAsia"/>
                <w:kern w:val="0"/>
                <w:szCs w:val="21"/>
              </w:rPr>
            </w:pPr>
            <w:r w:rsidRPr="008735B8">
              <w:rPr>
                <w:rFonts w:eastAsiaTheme="minorEastAsia"/>
                <w:kern w:val="0"/>
                <w:szCs w:val="21"/>
              </w:rPr>
              <w:t>-</w:t>
            </w:r>
          </w:p>
        </w:tc>
        <w:tc>
          <w:tcPr>
            <w:tcW w:w="3158" w:type="dxa"/>
            <w:tcMar>
              <w:top w:w="15" w:type="dxa"/>
              <w:left w:w="15" w:type="dxa"/>
              <w:bottom w:w="0" w:type="dxa"/>
              <w:right w:w="15" w:type="dxa"/>
            </w:tcMar>
            <w:vAlign w:val="center"/>
          </w:tcPr>
          <w:p w:rsidR="00931AEE" w:rsidRPr="008735B8" w:rsidRDefault="00931AEE" w:rsidP="00AA712C">
            <w:pPr>
              <w:spacing w:line="360" w:lineRule="auto"/>
              <w:jc w:val="right"/>
              <w:rPr>
                <w:rFonts w:eastAsiaTheme="minorEastAsia"/>
                <w:kern w:val="0"/>
                <w:szCs w:val="21"/>
              </w:rPr>
            </w:pPr>
            <w:r w:rsidRPr="008735B8">
              <w:rPr>
                <w:rFonts w:eastAsiaTheme="minorEastAsia"/>
                <w:kern w:val="0"/>
                <w:szCs w:val="21"/>
              </w:rPr>
              <w:t>-</w:t>
            </w:r>
          </w:p>
        </w:tc>
      </w:tr>
      <w:tr w:rsidR="00931AEE" w:rsidRPr="0091212A" w:rsidTr="00AA712C">
        <w:trPr>
          <w:trHeight w:val="315"/>
          <w:jc w:val="center"/>
        </w:trPr>
        <w:tc>
          <w:tcPr>
            <w:tcW w:w="2634" w:type="dxa"/>
            <w:tcMar>
              <w:top w:w="15" w:type="dxa"/>
              <w:left w:w="15" w:type="dxa"/>
              <w:bottom w:w="0" w:type="dxa"/>
              <w:right w:w="15" w:type="dxa"/>
            </w:tcMar>
          </w:tcPr>
          <w:p w:rsidR="00931AEE" w:rsidRPr="00211604" w:rsidRDefault="00931AEE" w:rsidP="00AA712C">
            <w:pPr>
              <w:rPr>
                <w:rFonts w:ascii="宋体" w:hAnsi="宋体"/>
                <w:color w:val="000000" w:themeColor="text1"/>
                <w:kern w:val="0"/>
                <w:szCs w:val="21"/>
              </w:rPr>
            </w:pPr>
            <w:r w:rsidRPr="00211604">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931AEE" w:rsidRPr="00211604" w:rsidRDefault="00931AEE" w:rsidP="00AA712C">
            <w:pPr>
              <w:spacing w:line="360" w:lineRule="auto"/>
              <w:jc w:val="right"/>
              <w:rPr>
                <w:rFonts w:eastAsiaTheme="minorEastAsia"/>
                <w:color w:val="000000" w:themeColor="text1"/>
                <w:kern w:val="0"/>
                <w:szCs w:val="21"/>
              </w:rPr>
            </w:pPr>
            <w:r w:rsidRPr="00865569">
              <w:rPr>
                <w:rFonts w:eastAsiaTheme="minorEastAsia"/>
                <w:kern w:val="0"/>
                <w:szCs w:val="21"/>
              </w:rPr>
              <w:t>-</w:t>
            </w:r>
          </w:p>
        </w:tc>
        <w:tc>
          <w:tcPr>
            <w:tcW w:w="3158" w:type="dxa"/>
            <w:tcMar>
              <w:top w:w="15" w:type="dxa"/>
              <w:left w:w="15" w:type="dxa"/>
              <w:bottom w:w="0" w:type="dxa"/>
              <w:right w:w="15" w:type="dxa"/>
            </w:tcMar>
            <w:vAlign w:val="center"/>
          </w:tcPr>
          <w:p w:rsidR="00931AEE" w:rsidRPr="008735B8" w:rsidRDefault="00931AEE" w:rsidP="00AA712C">
            <w:pPr>
              <w:spacing w:line="360" w:lineRule="auto"/>
              <w:jc w:val="right"/>
              <w:rPr>
                <w:rFonts w:eastAsiaTheme="minorEastAsia"/>
                <w:kern w:val="0"/>
                <w:szCs w:val="21"/>
              </w:rPr>
            </w:pPr>
            <w:r w:rsidRPr="00211604">
              <w:rPr>
                <w:rFonts w:eastAsiaTheme="minorEastAsia"/>
                <w:color w:val="000000" w:themeColor="text1"/>
                <w:kern w:val="0"/>
                <w:szCs w:val="21"/>
              </w:rPr>
              <w:t>-</w:t>
            </w:r>
          </w:p>
        </w:tc>
      </w:tr>
      <w:tr w:rsidR="00931AEE" w:rsidRPr="0091212A" w:rsidTr="00AA712C">
        <w:trPr>
          <w:trHeight w:val="315"/>
          <w:jc w:val="center"/>
        </w:trPr>
        <w:tc>
          <w:tcPr>
            <w:tcW w:w="2634" w:type="dxa"/>
            <w:tcMar>
              <w:top w:w="15" w:type="dxa"/>
              <w:left w:w="15" w:type="dxa"/>
              <w:bottom w:w="0" w:type="dxa"/>
              <w:right w:w="15" w:type="dxa"/>
            </w:tcMar>
          </w:tcPr>
          <w:p w:rsidR="00931AEE" w:rsidRPr="00211604" w:rsidRDefault="00931AEE" w:rsidP="00AA712C">
            <w:pPr>
              <w:ind w:firstLineChars="300" w:firstLine="630"/>
              <w:rPr>
                <w:rFonts w:ascii="宋体" w:hAnsi="宋体"/>
                <w:color w:val="000000" w:themeColor="text1"/>
                <w:kern w:val="0"/>
                <w:szCs w:val="21"/>
              </w:rPr>
            </w:pPr>
            <w:r w:rsidRPr="00211604">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931AEE" w:rsidRPr="00211604" w:rsidRDefault="00931AEE" w:rsidP="00AA712C">
            <w:pPr>
              <w:spacing w:line="360" w:lineRule="auto"/>
              <w:jc w:val="right"/>
              <w:rPr>
                <w:rFonts w:eastAsiaTheme="minorEastAsia"/>
                <w:color w:val="000000" w:themeColor="text1"/>
                <w:kern w:val="0"/>
                <w:szCs w:val="21"/>
              </w:rPr>
            </w:pPr>
            <w:r w:rsidRPr="00211604">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931AEE" w:rsidRPr="00865569" w:rsidRDefault="00931AEE" w:rsidP="00AA712C">
            <w:pPr>
              <w:spacing w:line="360" w:lineRule="auto"/>
              <w:jc w:val="right"/>
              <w:rPr>
                <w:rFonts w:eastAsiaTheme="minorEastAsia"/>
                <w:kern w:val="0"/>
                <w:szCs w:val="21"/>
              </w:rPr>
            </w:pPr>
            <w:r w:rsidRPr="00865569">
              <w:rPr>
                <w:rFonts w:eastAsiaTheme="minorEastAsia"/>
                <w:kern w:val="0"/>
                <w:szCs w:val="21"/>
              </w:rPr>
              <w:t>-</w:t>
            </w:r>
          </w:p>
        </w:tc>
      </w:tr>
      <w:tr w:rsidR="00931AEE" w:rsidRPr="0091212A" w:rsidTr="00AA712C">
        <w:trPr>
          <w:trHeight w:val="315"/>
          <w:jc w:val="center"/>
        </w:trPr>
        <w:tc>
          <w:tcPr>
            <w:tcW w:w="2634" w:type="dxa"/>
            <w:tcMar>
              <w:top w:w="15" w:type="dxa"/>
              <w:left w:w="15" w:type="dxa"/>
              <w:bottom w:w="0" w:type="dxa"/>
              <w:right w:w="15" w:type="dxa"/>
            </w:tcMar>
          </w:tcPr>
          <w:p w:rsidR="00931AEE" w:rsidRPr="00211604" w:rsidRDefault="00931AEE" w:rsidP="00AA712C">
            <w:pPr>
              <w:ind w:firstLineChars="300" w:firstLine="630"/>
              <w:rPr>
                <w:rFonts w:ascii="宋体" w:hAnsi="宋体"/>
                <w:color w:val="000000" w:themeColor="text1"/>
                <w:kern w:val="0"/>
                <w:szCs w:val="21"/>
              </w:rPr>
            </w:pPr>
            <w:r w:rsidRPr="00211604">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931AEE" w:rsidRPr="00211604" w:rsidRDefault="00931AEE" w:rsidP="00AA712C">
            <w:pPr>
              <w:spacing w:line="360" w:lineRule="auto"/>
              <w:jc w:val="right"/>
              <w:rPr>
                <w:rFonts w:eastAsiaTheme="minorEastAsia"/>
                <w:color w:val="000000" w:themeColor="text1"/>
                <w:kern w:val="0"/>
                <w:szCs w:val="21"/>
              </w:rPr>
            </w:pPr>
            <w:r w:rsidRPr="00211604">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931AEE" w:rsidRPr="00211604" w:rsidRDefault="00931AEE" w:rsidP="00AA712C">
            <w:pPr>
              <w:spacing w:line="360" w:lineRule="auto"/>
              <w:jc w:val="right"/>
              <w:rPr>
                <w:rFonts w:eastAsiaTheme="minorEastAsia"/>
                <w:color w:val="000000" w:themeColor="text1"/>
                <w:kern w:val="0"/>
                <w:szCs w:val="21"/>
              </w:rPr>
            </w:pPr>
            <w:r w:rsidRPr="00211604">
              <w:rPr>
                <w:rFonts w:eastAsiaTheme="minorEastAsia"/>
                <w:color w:val="000000" w:themeColor="text1"/>
                <w:kern w:val="0"/>
                <w:szCs w:val="21"/>
              </w:rPr>
              <w:t>-</w:t>
            </w:r>
          </w:p>
        </w:tc>
      </w:tr>
      <w:tr w:rsidR="00931AEE" w:rsidRPr="0091212A" w:rsidTr="00AA712C">
        <w:trPr>
          <w:trHeight w:val="315"/>
          <w:jc w:val="center"/>
        </w:trPr>
        <w:tc>
          <w:tcPr>
            <w:tcW w:w="2634" w:type="dxa"/>
            <w:tcMar>
              <w:top w:w="15" w:type="dxa"/>
              <w:left w:w="15" w:type="dxa"/>
              <w:bottom w:w="0" w:type="dxa"/>
              <w:right w:w="15" w:type="dxa"/>
            </w:tcMar>
            <w:vAlign w:val="center"/>
          </w:tcPr>
          <w:p w:rsidR="00931AEE" w:rsidRPr="008735B8" w:rsidRDefault="00931AEE" w:rsidP="00AA712C">
            <w:pPr>
              <w:spacing w:line="360" w:lineRule="auto"/>
              <w:rPr>
                <w:rFonts w:eastAsiaTheme="minorEastAsia"/>
                <w:color w:val="000000"/>
                <w:kern w:val="0"/>
                <w:szCs w:val="21"/>
              </w:rPr>
            </w:pPr>
            <w:r w:rsidRPr="008735B8">
              <w:rPr>
                <w:rFonts w:eastAsiaTheme="minorEastAsia"/>
                <w:kern w:val="0"/>
                <w:szCs w:val="21"/>
              </w:rPr>
              <w:t>其他存款</w:t>
            </w:r>
          </w:p>
        </w:tc>
        <w:tc>
          <w:tcPr>
            <w:tcW w:w="3157" w:type="dxa"/>
            <w:tcMar>
              <w:top w:w="15" w:type="dxa"/>
              <w:left w:w="15" w:type="dxa"/>
              <w:bottom w:w="0" w:type="dxa"/>
              <w:right w:w="15" w:type="dxa"/>
            </w:tcMar>
            <w:vAlign w:val="center"/>
          </w:tcPr>
          <w:p w:rsidR="00931AEE" w:rsidRPr="008735B8" w:rsidRDefault="00931AEE" w:rsidP="00AA712C">
            <w:pPr>
              <w:spacing w:line="360" w:lineRule="auto"/>
              <w:jc w:val="right"/>
              <w:rPr>
                <w:rFonts w:eastAsiaTheme="minorEastAsia"/>
                <w:kern w:val="0"/>
                <w:szCs w:val="21"/>
              </w:rPr>
            </w:pPr>
            <w:r w:rsidRPr="008735B8">
              <w:rPr>
                <w:rFonts w:eastAsiaTheme="minorEastAsia"/>
                <w:kern w:val="0"/>
                <w:szCs w:val="21"/>
              </w:rPr>
              <w:t>-</w:t>
            </w:r>
          </w:p>
        </w:tc>
        <w:tc>
          <w:tcPr>
            <w:tcW w:w="3158" w:type="dxa"/>
            <w:tcMar>
              <w:top w:w="15" w:type="dxa"/>
              <w:left w:w="15" w:type="dxa"/>
              <w:bottom w:w="0" w:type="dxa"/>
              <w:right w:w="15" w:type="dxa"/>
            </w:tcMar>
            <w:vAlign w:val="center"/>
          </w:tcPr>
          <w:p w:rsidR="00931AEE" w:rsidRPr="008735B8" w:rsidRDefault="00931AEE" w:rsidP="00AA712C">
            <w:pPr>
              <w:spacing w:line="360" w:lineRule="auto"/>
              <w:jc w:val="right"/>
              <w:rPr>
                <w:rFonts w:eastAsiaTheme="minorEastAsia"/>
                <w:kern w:val="0"/>
                <w:szCs w:val="21"/>
              </w:rPr>
            </w:pPr>
            <w:r w:rsidRPr="008735B8">
              <w:rPr>
                <w:rFonts w:eastAsiaTheme="minorEastAsia"/>
                <w:kern w:val="0"/>
                <w:szCs w:val="21"/>
              </w:rPr>
              <w:t>-</w:t>
            </w:r>
          </w:p>
        </w:tc>
      </w:tr>
      <w:tr w:rsidR="00931AEE" w:rsidRPr="0091212A" w:rsidTr="00AA712C">
        <w:trPr>
          <w:trHeight w:val="315"/>
          <w:jc w:val="center"/>
        </w:trPr>
        <w:tc>
          <w:tcPr>
            <w:tcW w:w="2634" w:type="dxa"/>
            <w:tcMar>
              <w:top w:w="15" w:type="dxa"/>
              <w:left w:w="15" w:type="dxa"/>
              <w:bottom w:w="0" w:type="dxa"/>
              <w:right w:w="15" w:type="dxa"/>
            </w:tcMar>
            <w:vAlign w:val="center"/>
          </w:tcPr>
          <w:p w:rsidR="00931AEE" w:rsidRPr="008735B8" w:rsidRDefault="00931AEE" w:rsidP="00AA712C">
            <w:pPr>
              <w:spacing w:line="360" w:lineRule="auto"/>
              <w:rPr>
                <w:rFonts w:eastAsiaTheme="minorEastAsia"/>
                <w:color w:val="000000"/>
                <w:kern w:val="0"/>
                <w:szCs w:val="21"/>
              </w:rPr>
            </w:pPr>
            <w:r w:rsidRPr="008735B8">
              <w:rPr>
                <w:rFonts w:eastAsiaTheme="minorEastAsia"/>
                <w:kern w:val="0"/>
                <w:szCs w:val="21"/>
              </w:rPr>
              <w:t>合计</w:t>
            </w:r>
          </w:p>
        </w:tc>
        <w:tc>
          <w:tcPr>
            <w:tcW w:w="3157" w:type="dxa"/>
            <w:tcMar>
              <w:top w:w="15" w:type="dxa"/>
              <w:left w:w="15" w:type="dxa"/>
              <w:bottom w:w="0" w:type="dxa"/>
              <w:right w:w="15" w:type="dxa"/>
            </w:tcMar>
            <w:vAlign w:val="center"/>
          </w:tcPr>
          <w:p w:rsidR="00931AEE" w:rsidRPr="008735B8" w:rsidRDefault="00931AEE" w:rsidP="00AA712C">
            <w:pPr>
              <w:spacing w:line="360" w:lineRule="auto"/>
              <w:jc w:val="right"/>
              <w:rPr>
                <w:rFonts w:eastAsiaTheme="minorEastAsia"/>
                <w:kern w:val="0"/>
                <w:szCs w:val="21"/>
              </w:rPr>
            </w:pPr>
            <w:r w:rsidRPr="008735B8">
              <w:rPr>
                <w:rFonts w:eastAsiaTheme="minorEastAsia"/>
                <w:kern w:val="0"/>
                <w:szCs w:val="21"/>
              </w:rPr>
              <w:t>41,451,777.35</w:t>
            </w:r>
          </w:p>
        </w:tc>
        <w:tc>
          <w:tcPr>
            <w:tcW w:w="3158" w:type="dxa"/>
            <w:tcMar>
              <w:top w:w="15" w:type="dxa"/>
              <w:left w:w="15" w:type="dxa"/>
              <w:bottom w:w="0" w:type="dxa"/>
              <w:right w:w="15" w:type="dxa"/>
            </w:tcMar>
            <w:vAlign w:val="center"/>
          </w:tcPr>
          <w:p w:rsidR="00931AEE" w:rsidRPr="008735B8" w:rsidRDefault="00931AEE" w:rsidP="00AA712C">
            <w:pPr>
              <w:spacing w:line="360" w:lineRule="auto"/>
              <w:jc w:val="right"/>
              <w:rPr>
                <w:rFonts w:eastAsiaTheme="minorEastAsia"/>
                <w:kern w:val="0"/>
                <w:szCs w:val="21"/>
              </w:rPr>
            </w:pPr>
            <w:r w:rsidRPr="008735B8">
              <w:rPr>
                <w:rFonts w:eastAsiaTheme="minorEastAsia"/>
                <w:kern w:val="0"/>
                <w:szCs w:val="21"/>
              </w:rPr>
              <w:t>26,305,736.50</w:t>
            </w:r>
          </w:p>
        </w:tc>
      </w:tr>
    </w:tbl>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7.4.7.2</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交易性金融资产</w:t>
      </w:r>
    </w:p>
    <w:p w:rsidR="007B62FA" w:rsidRPr="00896265"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896265">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60957" w:rsidRPr="00896265" w:rsidTr="00202E0B">
        <w:trPr>
          <w:trHeight w:val="255"/>
        </w:trPr>
        <w:tc>
          <w:tcPr>
            <w:tcW w:w="2268" w:type="dxa"/>
            <w:gridSpan w:val="2"/>
            <w:vMerge w:val="restart"/>
            <w:vAlign w:val="center"/>
          </w:tcPr>
          <w:p w:rsidR="00CD7E19" w:rsidRPr="00896265" w:rsidRDefault="00CD7E19"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项目</w:t>
            </w:r>
          </w:p>
        </w:tc>
        <w:tc>
          <w:tcPr>
            <w:tcW w:w="7018" w:type="dxa"/>
            <w:gridSpan w:val="3"/>
            <w:vAlign w:val="center"/>
          </w:tcPr>
          <w:p w:rsidR="00CD7E19" w:rsidRPr="00896265" w:rsidRDefault="00CD7E19"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本期末</w:t>
            </w:r>
          </w:p>
          <w:p w:rsidR="00CD7E19" w:rsidRPr="00896265" w:rsidRDefault="00CD7E19"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2019</w:t>
            </w:r>
            <w:r w:rsidRPr="00896265">
              <w:rPr>
                <w:rFonts w:eastAsiaTheme="minorEastAsia"/>
                <w:color w:val="000000" w:themeColor="text1"/>
                <w:kern w:val="0"/>
                <w:szCs w:val="21"/>
              </w:rPr>
              <w:t>年</w:t>
            </w:r>
            <w:r w:rsidRPr="00896265">
              <w:rPr>
                <w:rFonts w:eastAsiaTheme="minorEastAsia"/>
                <w:color w:val="000000" w:themeColor="text1"/>
                <w:kern w:val="0"/>
                <w:szCs w:val="21"/>
              </w:rPr>
              <w:t>12</w:t>
            </w:r>
            <w:r w:rsidRPr="00896265">
              <w:rPr>
                <w:rFonts w:eastAsiaTheme="minorEastAsia"/>
                <w:color w:val="000000" w:themeColor="text1"/>
                <w:kern w:val="0"/>
                <w:szCs w:val="21"/>
              </w:rPr>
              <w:t>月</w:t>
            </w:r>
            <w:r w:rsidRPr="00896265">
              <w:rPr>
                <w:rFonts w:eastAsiaTheme="minorEastAsia"/>
                <w:color w:val="000000" w:themeColor="text1"/>
                <w:kern w:val="0"/>
                <w:szCs w:val="21"/>
              </w:rPr>
              <w:t>31</w:t>
            </w:r>
            <w:r w:rsidRPr="00896265">
              <w:rPr>
                <w:rFonts w:eastAsiaTheme="minorEastAsia"/>
                <w:color w:val="000000" w:themeColor="text1"/>
                <w:kern w:val="0"/>
                <w:szCs w:val="21"/>
              </w:rPr>
              <w:t>日</w:t>
            </w:r>
          </w:p>
        </w:tc>
      </w:tr>
      <w:tr w:rsidR="00E60957" w:rsidRPr="00896265" w:rsidTr="00202E0B">
        <w:trPr>
          <w:trHeight w:val="270"/>
        </w:trPr>
        <w:tc>
          <w:tcPr>
            <w:tcW w:w="2268" w:type="dxa"/>
            <w:gridSpan w:val="2"/>
            <w:vMerge/>
            <w:vAlign w:val="center"/>
          </w:tcPr>
          <w:p w:rsidR="00CD7E19" w:rsidRPr="00896265" w:rsidRDefault="00CD7E19" w:rsidP="00417F87">
            <w:pPr>
              <w:widowControl/>
              <w:spacing w:line="360" w:lineRule="auto"/>
              <w:jc w:val="left"/>
              <w:rPr>
                <w:rFonts w:eastAsiaTheme="minorEastAsia"/>
                <w:color w:val="000000" w:themeColor="text1"/>
                <w:kern w:val="0"/>
                <w:szCs w:val="21"/>
              </w:rPr>
            </w:pPr>
          </w:p>
        </w:tc>
        <w:tc>
          <w:tcPr>
            <w:tcW w:w="2339" w:type="dxa"/>
            <w:vAlign w:val="center"/>
          </w:tcPr>
          <w:p w:rsidR="00CD7E19" w:rsidRPr="00896265" w:rsidRDefault="00CD7E19"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成本</w:t>
            </w:r>
          </w:p>
        </w:tc>
        <w:tc>
          <w:tcPr>
            <w:tcW w:w="2339" w:type="dxa"/>
            <w:vAlign w:val="center"/>
          </w:tcPr>
          <w:p w:rsidR="00CD7E19" w:rsidRPr="00896265" w:rsidRDefault="00CD7E19"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公允价值</w:t>
            </w:r>
          </w:p>
        </w:tc>
        <w:tc>
          <w:tcPr>
            <w:tcW w:w="2340" w:type="dxa"/>
            <w:vAlign w:val="center"/>
          </w:tcPr>
          <w:p w:rsidR="00CD7E19" w:rsidRPr="00896265" w:rsidRDefault="00CD7E19"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公允价值变动</w:t>
            </w:r>
          </w:p>
        </w:tc>
      </w:tr>
      <w:tr w:rsidR="00E60957" w:rsidRPr="00896265" w:rsidTr="00202E0B">
        <w:trPr>
          <w:trHeight w:val="270"/>
        </w:trPr>
        <w:tc>
          <w:tcPr>
            <w:tcW w:w="2268" w:type="dxa"/>
            <w:gridSpan w:val="2"/>
            <w:vAlign w:val="center"/>
          </w:tcPr>
          <w:p w:rsidR="00CD7E19" w:rsidRPr="00896265" w:rsidRDefault="00CD7E19" w:rsidP="00417F87">
            <w:pPr>
              <w:widowControl/>
              <w:spacing w:line="360" w:lineRule="auto"/>
              <w:rPr>
                <w:rFonts w:eastAsiaTheme="minorEastAsia"/>
                <w:color w:val="000000" w:themeColor="text1"/>
                <w:kern w:val="0"/>
                <w:szCs w:val="21"/>
              </w:rPr>
            </w:pPr>
            <w:r w:rsidRPr="00896265">
              <w:rPr>
                <w:rFonts w:eastAsiaTheme="minorEastAsia"/>
                <w:color w:val="000000" w:themeColor="text1"/>
                <w:kern w:val="0"/>
                <w:szCs w:val="21"/>
              </w:rPr>
              <w:t>股票</w:t>
            </w:r>
          </w:p>
        </w:tc>
        <w:tc>
          <w:tcPr>
            <w:tcW w:w="2339" w:type="dxa"/>
            <w:vAlign w:val="center"/>
          </w:tcPr>
          <w:p w:rsidR="00CD7E19" w:rsidRPr="00896265" w:rsidRDefault="00CD7E19"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39" w:type="dxa"/>
            <w:vAlign w:val="center"/>
          </w:tcPr>
          <w:p w:rsidR="00CD7E19" w:rsidRPr="00896265" w:rsidRDefault="00CD7E19"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40" w:type="dxa"/>
            <w:vAlign w:val="center"/>
          </w:tcPr>
          <w:p w:rsidR="00CD7E19" w:rsidRPr="00896265" w:rsidRDefault="00CD7E19"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r>
      <w:tr w:rsidR="00E60957" w:rsidRPr="00896265" w:rsidTr="00202E0B">
        <w:trPr>
          <w:trHeight w:val="270"/>
        </w:trPr>
        <w:tc>
          <w:tcPr>
            <w:tcW w:w="2268" w:type="dxa"/>
            <w:gridSpan w:val="2"/>
            <w:vAlign w:val="center"/>
          </w:tcPr>
          <w:p w:rsidR="0082714C" w:rsidRPr="00896265" w:rsidRDefault="0082714C" w:rsidP="001A74A1">
            <w:pPr>
              <w:widowControl/>
              <w:spacing w:line="360" w:lineRule="auto"/>
              <w:rPr>
                <w:rFonts w:eastAsiaTheme="minorEastAsia"/>
                <w:color w:val="000000" w:themeColor="text1"/>
                <w:kern w:val="0"/>
                <w:szCs w:val="21"/>
              </w:rPr>
            </w:pPr>
            <w:r w:rsidRPr="00896265">
              <w:rPr>
                <w:rFonts w:eastAsiaTheme="minorEastAsia"/>
                <w:color w:val="000000" w:themeColor="text1"/>
                <w:kern w:val="0"/>
                <w:szCs w:val="21"/>
              </w:rPr>
              <w:t>贵金属投资</w:t>
            </w:r>
            <w:r w:rsidRPr="00896265">
              <w:rPr>
                <w:rFonts w:eastAsiaTheme="minorEastAsia"/>
                <w:color w:val="000000" w:themeColor="text1"/>
                <w:kern w:val="0"/>
                <w:szCs w:val="21"/>
              </w:rPr>
              <w:t>-</w:t>
            </w:r>
            <w:r w:rsidRPr="00896265">
              <w:rPr>
                <w:rFonts w:eastAsiaTheme="minorEastAsia"/>
                <w:color w:val="000000" w:themeColor="text1"/>
                <w:kern w:val="0"/>
                <w:szCs w:val="21"/>
              </w:rPr>
              <w:t>金交所黄金合约</w:t>
            </w:r>
          </w:p>
        </w:tc>
        <w:tc>
          <w:tcPr>
            <w:tcW w:w="2339" w:type="dxa"/>
            <w:vAlign w:val="center"/>
          </w:tcPr>
          <w:p w:rsidR="0082714C" w:rsidRPr="00896265" w:rsidRDefault="0082714C" w:rsidP="001A74A1">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39" w:type="dxa"/>
            <w:vAlign w:val="center"/>
          </w:tcPr>
          <w:p w:rsidR="0082714C" w:rsidRPr="00896265" w:rsidRDefault="0082714C" w:rsidP="001A74A1">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40" w:type="dxa"/>
            <w:vAlign w:val="center"/>
          </w:tcPr>
          <w:p w:rsidR="0082714C" w:rsidRPr="00896265" w:rsidRDefault="0082714C" w:rsidP="001A74A1">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r>
      <w:tr w:rsidR="00E60957" w:rsidRPr="00896265" w:rsidTr="00202E0B">
        <w:trPr>
          <w:trHeight w:val="285"/>
        </w:trPr>
        <w:tc>
          <w:tcPr>
            <w:tcW w:w="828" w:type="dxa"/>
            <w:vMerge w:val="restart"/>
            <w:vAlign w:val="center"/>
          </w:tcPr>
          <w:p w:rsidR="0082714C" w:rsidRPr="00896265" w:rsidRDefault="0082714C"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债券</w:t>
            </w:r>
          </w:p>
        </w:tc>
        <w:tc>
          <w:tcPr>
            <w:tcW w:w="1440" w:type="dxa"/>
            <w:vAlign w:val="center"/>
          </w:tcPr>
          <w:p w:rsidR="0082714C" w:rsidRPr="00896265" w:rsidRDefault="0082714C" w:rsidP="00417F87">
            <w:pPr>
              <w:spacing w:line="360" w:lineRule="auto"/>
              <w:jc w:val="left"/>
              <w:rPr>
                <w:rFonts w:eastAsiaTheme="minorEastAsia"/>
                <w:color w:val="000000" w:themeColor="text1"/>
                <w:kern w:val="0"/>
                <w:szCs w:val="21"/>
              </w:rPr>
            </w:pPr>
            <w:r w:rsidRPr="00896265">
              <w:rPr>
                <w:rFonts w:eastAsiaTheme="minorEastAsia"/>
                <w:color w:val="000000" w:themeColor="text1"/>
                <w:kern w:val="0"/>
                <w:szCs w:val="21"/>
              </w:rPr>
              <w:t>交易所市场</w:t>
            </w:r>
          </w:p>
        </w:tc>
        <w:tc>
          <w:tcPr>
            <w:tcW w:w="2339" w:type="dxa"/>
            <w:vAlign w:val="bottom"/>
          </w:tcPr>
          <w:p w:rsidR="0082714C" w:rsidRPr="00896265" w:rsidRDefault="0082714C"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39" w:type="dxa"/>
            <w:vAlign w:val="bottom"/>
          </w:tcPr>
          <w:p w:rsidR="0082714C" w:rsidRPr="00896265" w:rsidRDefault="0082714C"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40" w:type="dxa"/>
            <w:vAlign w:val="bottom"/>
          </w:tcPr>
          <w:p w:rsidR="0082714C" w:rsidRPr="00896265" w:rsidRDefault="0082714C"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r>
      <w:tr w:rsidR="00E60957" w:rsidRPr="00896265" w:rsidTr="00202E0B">
        <w:trPr>
          <w:trHeight w:val="103"/>
        </w:trPr>
        <w:tc>
          <w:tcPr>
            <w:tcW w:w="828" w:type="dxa"/>
            <w:vMerge/>
            <w:vAlign w:val="center"/>
          </w:tcPr>
          <w:p w:rsidR="0082714C" w:rsidRPr="00896265" w:rsidRDefault="0082714C" w:rsidP="00417F87">
            <w:pPr>
              <w:widowControl/>
              <w:spacing w:line="360" w:lineRule="auto"/>
              <w:jc w:val="left"/>
              <w:rPr>
                <w:rFonts w:eastAsiaTheme="minorEastAsia"/>
                <w:color w:val="000000" w:themeColor="text1"/>
                <w:kern w:val="0"/>
                <w:szCs w:val="21"/>
              </w:rPr>
            </w:pPr>
          </w:p>
        </w:tc>
        <w:tc>
          <w:tcPr>
            <w:tcW w:w="1440" w:type="dxa"/>
            <w:vAlign w:val="center"/>
          </w:tcPr>
          <w:p w:rsidR="0082714C" w:rsidRPr="00896265" w:rsidRDefault="0082714C" w:rsidP="00417F87">
            <w:pPr>
              <w:widowControl/>
              <w:spacing w:line="360" w:lineRule="auto"/>
              <w:jc w:val="left"/>
              <w:rPr>
                <w:rFonts w:eastAsiaTheme="minorEastAsia"/>
                <w:color w:val="000000" w:themeColor="text1"/>
                <w:kern w:val="0"/>
                <w:szCs w:val="21"/>
              </w:rPr>
            </w:pPr>
            <w:r w:rsidRPr="00896265">
              <w:rPr>
                <w:rFonts w:eastAsiaTheme="minorEastAsia"/>
                <w:color w:val="000000" w:themeColor="text1"/>
                <w:kern w:val="0"/>
                <w:szCs w:val="21"/>
              </w:rPr>
              <w:t>银行间市场</w:t>
            </w:r>
          </w:p>
        </w:tc>
        <w:tc>
          <w:tcPr>
            <w:tcW w:w="2339" w:type="dxa"/>
            <w:vAlign w:val="bottom"/>
          </w:tcPr>
          <w:p w:rsidR="0082714C" w:rsidRPr="00896265" w:rsidRDefault="0082714C"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39" w:type="dxa"/>
            <w:vAlign w:val="bottom"/>
          </w:tcPr>
          <w:p w:rsidR="0082714C" w:rsidRPr="00896265" w:rsidRDefault="0082714C"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40" w:type="dxa"/>
            <w:vAlign w:val="bottom"/>
          </w:tcPr>
          <w:p w:rsidR="0082714C" w:rsidRPr="00896265" w:rsidRDefault="0082714C"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r>
      <w:tr w:rsidR="00E60957" w:rsidRPr="00896265" w:rsidTr="00202E0B">
        <w:trPr>
          <w:trHeight w:val="103"/>
        </w:trPr>
        <w:tc>
          <w:tcPr>
            <w:tcW w:w="828" w:type="dxa"/>
            <w:vMerge/>
            <w:vAlign w:val="center"/>
          </w:tcPr>
          <w:p w:rsidR="0082714C" w:rsidRPr="00896265" w:rsidRDefault="0082714C" w:rsidP="00417F87">
            <w:pPr>
              <w:widowControl/>
              <w:spacing w:line="360" w:lineRule="auto"/>
              <w:jc w:val="left"/>
              <w:rPr>
                <w:rFonts w:eastAsiaTheme="minorEastAsia"/>
                <w:color w:val="000000" w:themeColor="text1"/>
                <w:kern w:val="0"/>
                <w:szCs w:val="21"/>
              </w:rPr>
            </w:pPr>
          </w:p>
        </w:tc>
        <w:tc>
          <w:tcPr>
            <w:tcW w:w="1440" w:type="dxa"/>
            <w:vAlign w:val="center"/>
          </w:tcPr>
          <w:p w:rsidR="0082714C" w:rsidRPr="00896265" w:rsidRDefault="0082714C" w:rsidP="00417F87">
            <w:pPr>
              <w:widowControl/>
              <w:spacing w:line="360" w:lineRule="auto"/>
              <w:rPr>
                <w:rFonts w:eastAsiaTheme="minorEastAsia"/>
                <w:color w:val="000000" w:themeColor="text1"/>
                <w:kern w:val="0"/>
                <w:szCs w:val="21"/>
              </w:rPr>
            </w:pPr>
            <w:r w:rsidRPr="00896265">
              <w:rPr>
                <w:rFonts w:eastAsiaTheme="minorEastAsia"/>
                <w:color w:val="000000" w:themeColor="text1"/>
                <w:kern w:val="0"/>
                <w:szCs w:val="21"/>
              </w:rPr>
              <w:t>合计</w:t>
            </w:r>
          </w:p>
        </w:tc>
        <w:tc>
          <w:tcPr>
            <w:tcW w:w="2339" w:type="dxa"/>
            <w:vAlign w:val="center"/>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339" w:type="dxa"/>
            <w:vAlign w:val="center"/>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340" w:type="dxa"/>
            <w:vAlign w:val="center"/>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202E0B">
        <w:trPr>
          <w:trHeight w:val="270"/>
        </w:trPr>
        <w:tc>
          <w:tcPr>
            <w:tcW w:w="2268" w:type="dxa"/>
            <w:gridSpan w:val="2"/>
            <w:vAlign w:val="center"/>
          </w:tcPr>
          <w:p w:rsidR="0082714C" w:rsidRPr="00896265" w:rsidRDefault="0082714C" w:rsidP="00417F87">
            <w:pPr>
              <w:widowControl/>
              <w:spacing w:line="360" w:lineRule="auto"/>
              <w:rPr>
                <w:rFonts w:eastAsiaTheme="minorEastAsia"/>
                <w:color w:val="000000" w:themeColor="text1"/>
                <w:kern w:val="0"/>
                <w:szCs w:val="21"/>
              </w:rPr>
            </w:pPr>
            <w:r w:rsidRPr="00896265">
              <w:rPr>
                <w:rFonts w:eastAsiaTheme="minorEastAsia"/>
                <w:color w:val="000000" w:themeColor="text1"/>
                <w:kern w:val="0"/>
                <w:szCs w:val="21"/>
              </w:rPr>
              <w:t>资产支持证券</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340"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202E0B">
        <w:trPr>
          <w:trHeight w:val="270"/>
        </w:trPr>
        <w:tc>
          <w:tcPr>
            <w:tcW w:w="2268" w:type="dxa"/>
            <w:gridSpan w:val="2"/>
            <w:vAlign w:val="center"/>
          </w:tcPr>
          <w:p w:rsidR="0082714C" w:rsidRPr="00896265" w:rsidRDefault="0082714C" w:rsidP="00417F87">
            <w:pPr>
              <w:widowControl/>
              <w:spacing w:line="360" w:lineRule="auto"/>
              <w:rPr>
                <w:rFonts w:eastAsiaTheme="minorEastAsia"/>
                <w:color w:val="000000" w:themeColor="text1"/>
                <w:kern w:val="0"/>
                <w:szCs w:val="21"/>
              </w:rPr>
            </w:pPr>
            <w:r w:rsidRPr="00896265">
              <w:rPr>
                <w:rFonts w:eastAsiaTheme="minorEastAsia"/>
                <w:color w:val="000000" w:themeColor="text1"/>
                <w:kern w:val="0"/>
                <w:szCs w:val="21"/>
              </w:rPr>
              <w:t>基金</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306,498,439.65</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344,380,599.43</w:t>
            </w:r>
          </w:p>
        </w:tc>
        <w:tc>
          <w:tcPr>
            <w:tcW w:w="2340"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37,882,159.78</w:t>
            </w:r>
          </w:p>
        </w:tc>
      </w:tr>
      <w:tr w:rsidR="00E60957" w:rsidRPr="00896265" w:rsidTr="00202E0B">
        <w:trPr>
          <w:trHeight w:val="270"/>
        </w:trPr>
        <w:tc>
          <w:tcPr>
            <w:tcW w:w="2268" w:type="dxa"/>
            <w:gridSpan w:val="2"/>
            <w:vAlign w:val="center"/>
          </w:tcPr>
          <w:p w:rsidR="0082714C" w:rsidRPr="00896265" w:rsidRDefault="0082714C" w:rsidP="00417F87">
            <w:pPr>
              <w:widowControl/>
              <w:spacing w:line="360" w:lineRule="auto"/>
              <w:rPr>
                <w:rFonts w:eastAsiaTheme="minorEastAsia"/>
                <w:color w:val="000000" w:themeColor="text1"/>
                <w:kern w:val="0"/>
                <w:szCs w:val="21"/>
              </w:rPr>
            </w:pPr>
            <w:r w:rsidRPr="00896265">
              <w:rPr>
                <w:rFonts w:eastAsiaTheme="minorEastAsia"/>
                <w:color w:val="000000" w:themeColor="text1"/>
                <w:kern w:val="0"/>
                <w:szCs w:val="21"/>
              </w:rPr>
              <w:t>其他</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340"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202E0B">
        <w:trPr>
          <w:trHeight w:val="270"/>
        </w:trPr>
        <w:tc>
          <w:tcPr>
            <w:tcW w:w="2268" w:type="dxa"/>
            <w:gridSpan w:val="2"/>
            <w:vAlign w:val="center"/>
          </w:tcPr>
          <w:p w:rsidR="0082714C" w:rsidRPr="00896265" w:rsidRDefault="0082714C" w:rsidP="00417F87">
            <w:pPr>
              <w:widowControl/>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合计</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306,498,439.65</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344,380,599.43</w:t>
            </w:r>
          </w:p>
        </w:tc>
        <w:tc>
          <w:tcPr>
            <w:tcW w:w="2340"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37,882,159.78</w:t>
            </w:r>
          </w:p>
        </w:tc>
      </w:tr>
      <w:tr w:rsidR="00E60957" w:rsidRPr="00896265" w:rsidTr="00202E0B">
        <w:trPr>
          <w:trHeight w:val="255"/>
        </w:trPr>
        <w:tc>
          <w:tcPr>
            <w:tcW w:w="2268" w:type="dxa"/>
            <w:gridSpan w:val="2"/>
            <w:vMerge w:val="restart"/>
            <w:vAlign w:val="center"/>
          </w:tcPr>
          <w:p w:rsidR="00CD7E19" w:rsidRPr="00896265" w:rsidRDefault="00CD7E19"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项目</w:t>
            </w:r>
          </w:p>
        </w:tc>
        <w:tc>
          <w:tcPr>
            <w:tcW w:w="7018" w:type="dxa"/>
            <w:gridSpan w:val="3"/>
            <w:vAlign w:val="center"/>
          </w:tcPr>
          <w:p w:rsidR="00CD7E19" w:rsidRPr="00896265" w:rsidRDefault="00CD7E19"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上年度末</w:t>
            </w:r>
          </w:p>
          <w:p w:rsidR="00CD7E19" w:rsidRPr="00896265" w:rsidRDefault="00264252"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2018</w:t>
            </w:r>
            <w:r w:rsidRPr="00896265">
              <w:rPr>
                <w:rFonts w:eastAsiaTheme="minorEastAsia"/>
                <w:color w:val="000000" w:themeColor="text1"/>
                <w:kern w:val="0"/>
                <w:szCs w:val="21"/>
              </w:rPr>
              <w:t>年</w:t>
            </w:r>
            <w:r w:rsidRPr="00896265">
              <w:rPr>
                <w:rFonts w:eastAsiaTheme="minorEastAsia"/>
                <w:color w:val="000000" w:themeColor="text1"/>
                <w:kern w:val="0"/>
                <w:szCs w:val="21"/>
              </w:rPr>
              <w:t>12</w:t>
            </w:r>
            <w:r w:rsidRPr="00896265">
              <w:rPr>
                <w:rFonts w:eastAsiaTheme="minorEastAsia"/>
                <w:color w:val="000000" w:themeColor="text1"/>
                <w:kern w:val="0"/>
                <w:szCs w:val="21"/>
              </w:rPr>
              <w:t>月</w:t>
            </w:r>
            <w:r w:rsidRPr="00896265">
              <w:rPr>
                <w:rFonts w:eastAsiaTheme="minorEastAsia"/>
                <w:color w:val="000000" w:themeColor="text1"/>
                <w:kern w:val="0"/>
                <w:szCs w:val="21"/>
              </w:rPr>
              <w:t>31</w:t>
            </w:r>
            <w:r w:rsidRPr="00896265">
              <w:rPr>
                <w:rFonts w:eastAsiaTheme="minorEastAsia"/>
                <w:color w:val="000000" w:themeColor="text1"/>
                <w:kern w:val="0"/>
                <w:szCs w:val="21"/>
              </w:rPr>
              <w:t>日</w:t>
            </w:r>
          </w:p>
        </w:tc>
      </w:tr>
      <w:tr w:rsidR="00E60957" w:rsidRPr="00896265" w:rsidTr="00202E0B">
        <w:trPr>
          <w:trHeight w:val="270"/>
        </w:trPr>
        <w:tc>
          <w:tcPr>
            <w:tcW w:w="2268" w:type="dxa"/>
            <w:gridSpan w:val="2"/>
            <w:vMerge/>
            <w:vAlign w:val="center"/>
          </w:tcPr>
          <w:p w:rsidR="00CD7E19" w:rsidRPr="00896265" w:rsidRDefault="00CD7E19" w:rsidP="00417F87">
            <w:pPr>
              <w:widowControl/>
              <w:spacing w:line="360" w:lineRule="auto"/>
              <w:jc w:val="left"/>
              <w:rPr>
                <w:rFonts w:eastAsiaTheme="minorEastAsia"/>
                <w:color w:val="000000" w:themeColor="text1"/>
                <w:kern w:val="0"/>
                <w:szCs w:val="21"/>
              </w:rPr>
            </w:pPr>
          </w:p>
        </w:tc>
        <w:tc>
          <w:tcPr>
            <w:tcW w:w="2339" w:type="dxa"/>
            <w:vAlign w:val="center"/>
          </w:tcPr>
          <w:p w:rsidR="00CD7E19" w:rsidRPr="00896265" w:rsidRDefault="00CD7E19"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成本</w:t>
            </w:r>
          </w:p>
        </w:tc>
        <w:tc>
          <w:tcPr>
            <w:tcW w:w="2339" w:type="dxa"/>
            <w:vAlign w:val="center"/>
          </w:tcPr>
          <w:p w:rsidR="00CD7E19" w:rsidRPr="00896265" w:rsidRDefault="00CD7E19"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公允价值</w:t>
            </w:r>
          </w:p>
        </w:tc>
        <w:tc>
          <w:tcPr>
            <w:tcW w:w="2340" w:type="dxa"/>
            <w:vAlign w:val="center"/>
          </w:tcPr>
          <w:p w:rsidR="00CD7E19" w:rsidRPr="00896265" w:rsidRDefault="00CD7E19"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公允价值变动</w:t>
            </w:r>
          </w:p>
        </w:tc>
      </w:tr>
      <w:tr w:rsidR="00E60957" w:rsidRPr="00896265" w:rsidTr="00202E0B">
        <w:trPr>
          <w:trHeight w:val="270"/>
        </w:trPr>
        <w:tc>
          <w:tcPr>
            <w:tcW w:w="2268" w:type="dxa"/>
            <w:gridSpan w:val="2"/>
            <w:vAlign w:val="center"/>
          </w:tcPr>
          <w:p w:rsidR="00CD7E19" w:rsidRPr="00896265" w:rsidRDefault="00CD7E19" w:rsidP="00417F87">
            <w:pPr>
              <w:widowControl/>
              <w:spacing w:line="360" w:lineRule="auto"/>
              <w:rPr>
                <w:rFonts w:eastAsiaTheme="minorEastAsia"/>
                <w:color w:val="000000" w:themeColor="text1"/>
                <w:kern w:val="0"/>
                <w:szCs w:val="21"/>
              </w:rPr>
            </w:pPr>
            <w:r w:rsidRPr="00896265">
              <w:rPr>
                <w:rFonts w:eastAsiaTheme="minorEastAsia"/>
                <w:color w:val="000000" w:themeColor="text1"/>
                <w:kern w:val="0"/>
                <w:szCs w:val="21"/>
              </w:rPr>
              <w:t>股票</w:t>
            </w:r>
          </w:p>
        </w:tc>
        <w:tc>
          <w:tcPr>
            <w:tcW w:w="2339" w:type="dxa"/>
            <w:vAlign w:val="center"/>
          </w:tcPr>
          <w:p w:rsidR="00CD7E19" w:rsidRPr="00896265" w:rsidRDefault="00CD7E19"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39" w:type="dxa"/>
            <w:vAlign w:val="center"/>
          </w:tcPr>
          <w:p w:rsidR="00CD7E19" w:rsidRPr="00896265" w:rsidRDefault="00CD7E19"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40" w:type="dxa"/>
            <w:vAlign w:val="center"/>
          </w:tcPr>
          <w:p w:rsidR="00CD7E19" w:rsidRPr="00896265" w:rsidRDefault="00CD7E19"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r>
      <w:tr w:rsidR="00E60957" w:rsidRPr="00896265" w:rsidTr="00202E0B">
        <w:trPr>
          <w:trHeight w:val="270"/>
        </w:trPr>
        <w:tc>
          <w:tcPr>
            <w:tcW w:w="2268" w:type="dxa"/>
            <w:gridSpan w:val="2"/>
            <w:vAlign w:val="center"/>
          </w:tcPr>
          <w:p w:rsidR="0082714C" w:rsidRPr="00896265" w:rsidRDefault="0082714C" w:rsidP="001A74A1">
            <w:pPr>
              <w:widowControl/>
              <w:spacing w:line="360" w:lineRule="auto"/>
              <w:rPr>
                <w:rFonts w:eastAsiaTheme="minorEastAsia"/>
                <w:color w:val="000000" w:themeColor="text1"/>
                <w:kern w:val="0"/>
                <w:szCs w:val="21"/>
              </w:rPr>
            </w:pPr>
            <w:r w:rsidRPr="00896265">
              <w:rPr>
                <w:rFonts w:eastAsiaTheme="minorEastAsia"/>
                <w:color w:val="000000" w:themeColor="text1"/>
                <w:kern w:val="0"/>
                <w:szCs w:val="21"/>
              </w:rPr>
              <w:t>贵金属投资</w:t>
            </w:r>
            <w:r w:rsidRPr="00896265">
              <w:rPr>
                <w:rFonts w:eastAsiaTheme="minorEastAsia"/>
                <w:color w:val="000000" w:themeColor="text1"/>
                <w:kern w:val="0"/>
                <w:szCs w:val="21"/>
              </w:rPr>
              <w:t>-</w:t>
            </w:r>
            <w:r w:rsidRPr="00896265">
              <w:rPr>
                <w:rFonts w:eastAsiaTheme="minorEastAsia"/>
                <w:color w:val="000000" w:themeColor="text1"/>
                <w:kern w:val="0"/>
                <w:szCs w:val="21"/>
              </w:rPr>
              <w:t>金交所黄金合约</w:t>
            </w:r>
          </w:p>
        </w:tc>
        <w:tc>
          <w:tcPr>
            <w:tcW w:w="2339" w:type="dxa"/>
            <w:vAlign w:val="center"/>
          </w:tcPr>
          <w:p w:rsidR="0082714C" w:rsidRPr="00896265" w:rsidRDefault="0082714C" w:rsidP="001A74A1">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39" w:type="dxa"/>
            <w:vAlign w:val="center"/>
          </w:tcPr>
          <w:p w:rsidR="0082714C" w:rsidRPr="00896265" w:rsidRDefault="0082714C" w:rsidP="001A74A1">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40" w:type="dxa"/>
            <w:vAlign w:val="center"/>
          </w:tcPr>
          <w:p w:rsidR="0082714C" w:rsidRPr="00896265" w:rsidRDefault="0082714C" w:rsidP="001A74A1">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r>
      <w:tr w:rsidR="00E60957" w:rsidRPr="00896265" w:rsidTr="00202E0B">
        <w:trPr>
          <w:trHeight w:val="285"/>
        </w:trPr>
        <w:tc>
          <w:tcPr>
            <w:tcW w:w="828" w:type="dxa"/>
            <w:vMerge w:val="restart"/>
            <w:vAlign w:val="center"/>
          </w:tcPr>
          <w:p w:rsidR="0082714C" w:rsidRPr="00896265" w:rsidRDefault="0082714C"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债券</w:t>
            </w:r>
          </w:p>
        </w:tc>
        <w:tc>
          <w:tcPr>
            <w:tcW w:w="1440" w:type="dxa"/>
            <w:vAlign w:val="center"/>
          </w:tcPr>
          <w:p w:rsidR="0082714C" w:rsidRPr="00896265" w:rsidRDefault="0082714C" w:rsidP="00417F87">
            <w:pPr>
              <w:spacing w:line="360" w:lineRule="auto"/>
              <w:jc w:val="left"/>
              <w:rPr>
                <w:rFonts w:eastAsiaTheme="minorEastAsia"/>
                <w:color w:val="000000" w:themeColor="text1"/>
                <w:kern w:val="0"/>
                <w:szCs w:val="21"/>
              </w:rPr>
            </w:pPr>
            <w:r w:rsidRPr="00896265">
              <w:rPr>
                <w:rFonts w:eastAsiaTheme="minorEastAsia"/>
                <w:color w:val="000000" w:themeColor="text1"/>
                <w:kern w:val="0"/>
                <w:szCs w:val="21"/>
              </w:rPr>
              <w:t>交易所市场</w:t>
            </w:r>
          </w:p>
        </w:tc>
        <w:tc>
          <w:tcPr>
            <w:tcW w:w="2339" w:type="dxa"/>
            <w:vAlign w:val="bottom"/>
          </w:tcPr>
          <w:p w:rsidR="0082714C" w:rsidRPr="00896265" w:rsidRDefault="0082714C"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39" w:type="dxa"/>
            <w:vAlign w:val="bottom"/>
          </w:tcPr>
          <w:p w:rsidR="0082714C" w:rsidRPr="00896265" w:rsidRDefault="0082714C"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40" w:type="dxa"/>
            <w:vAlign w:val="bottom"/>
          </w:tcPr>
          <w:p w:rsidR="0082714C" w:rsidRPr="00896265" w:rsidRDefault="0082714C"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r>
      <w:tr w:rsidR="00E60957" w:rsidRPr="00896265" w:rsidTr="00202E0B">
        <w:trPr>
          <w:trHeight w:val="103"/>
        </w:trPr>
        <w:tc>
          <w:tcPr>
            <w:tcW w:w="828" w:type="dxa"/>
            <w:vMerge/>
            <w:vAlign w:val="center"/>
          </w:tcPr>
          <w:p w:rsidR="0082714C" w:rsidRPr="00896265" w:rsidRDefault="0082714C" w:rsidP="00417F87">
            <w:pPr>
              <w:widowControl/>
              <w:spacing w:line="360" w:lineRule="auto"/>
              <w:jc w:val="left"/>
              <w:rPr>
                <w:rFonts w:eastAsiaTheme="minorEastAsia"/>
                <w:color w:val="000000" w:themeColor="text1"/>
                <w:kern w:val="0"/>
                <w:szCs w:val="21"/>
              </w:rPr>
            </w:pPr>
          </w:p>
        </w:tc>
        <w:tc>
          <w:tcPr>
            <w:tcW w:w="1440" w:type="dxa"/>
            <w:vAlign w:val="center"/>
          </w:tcPr>
          <w:p w:rsidR="0082714C" w:rsidRPr="00896265" w:rsidRDefault="0082714C" w:rsidP="00417F87">
            <w:pPr>
              <w:widowControl/>
              <w:spacing w:line="360" w:lineRule="auto"/>
              <w:jc w:val="left"/>
              <w:rPr>
                <w:rFonts w:eastAsiaTheme="minorEastAsia"/>
                <w:color w:val="000000" w:themeColor="text1"/>
                <w:kern w:val="0"/>
                <w:szCs w:val="21"/>
              </w:rPr>
            </w:pPr>
            <w:r w:rsidRPr="00896265">
              <w:rPr>
                <w:rFonts w:eastAsiaTheme="minorEastAsia"/>
                <w:color w:val="000000" w:themeColor="text1"/>
                <w:kern w:val="0"/>
                <w:szCs w:val="21"/>
              </w:rPr>
              <w:t>银行间市场</w:t>
            </w:r>
          </w:p>
        </w:tc>
        <w:tc>
          <w:tcPr>
            <w:tcW w:w="2339" w:type="dxa"/>
            <w:vAlign w:val="bottom"/>
          </w:tcPr>
          <w:p w:rsidR="0082714C" w:rsidRPr="00896265" w:rsidRDefault="0082714C"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39" w:type="dxa"/>
            <w:vAlign w:val="bottom"/>
          </w:tcPr>
          <w:p w:rsidR="0082714C" w:rsidRPr="00896265" w:rsidRDefault="0082714C"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c>
          <w:tcPr>
            <w:tcW w:w="2340" w:type="dxa"/>
            <w:vAlign w:val="bottom"/>
          </w:tcPr>
          <w:p w:rsidR="0082714C" w:rsidRPr="00896265" w:rsidRDefault="0082714C" w:rsidP="00417F87">
            <w:pPr>
              <w:spacing w:line="360" w:lineRule="auto"/>
              <w:jc w:val="right"/>
              <w:rPr>
                <w:rFonts w:eastAsiaTheme="minorEastAsia"/>
                <w:color w:val="000000" w:themeColor="text1"/>
                <w:kern w:val="0"/>
                <w:szCs w:val="21"/>
              </w:rPr>
            </w:pPr>
            <w:r w:rsidRPr="00896265">
              <w:rPr>
                <w:rFonts w:eastAsiaTheme="minorEastAsia"/>
                <w:color w:val="000000" w:themeColor="text1"/>
                <w:kern w:val="0"/>
                <w:szCs w:val="21"/>
              </w:rPr>
              <w:t>-</w:t>
            </w:r>
          </w:p>
        </w:tc>
      </w:tr>
      <w:tr w:rsidR="00E60957" w:rsidRPr="00896265" w:rsidTr="00202E0B">
        <w:trPr>
          <w:trHeight w:val="103"/>
        </w:trPr>
        <w:tc>
          <w:tcPr>
            <w:tcW w:w="828" w:type="dxa"/>
            <w:vMerge/>
            <w:vAlign w:val="center"/>
          </w:tcPr>
          <w:p w:rsidR="0082714C" w:rsidRPr="00896265" w:rsidRDefault="0082714C" w:rsidP="00417F87">
            <w:pPr>
              <w:widowControl/>
              <w:spacing w:line="360" w:lineRule="auto"/>
              <w:jc w:val="left"/>
              <w:rPr>
                <w:rFonts w:eastAsiaTheme="minorEastAsia"/>
                <w:color w:val="000000" w:themeColor="text1"/>
                <w:kern w:val="0"/>
                <w:szCs w:val="21"/>
              </w:rPr>
            </w:pPr>
          </w:p>
        </w:tc>
        <w:tc>
          <w:tcPr>
            <w:tcW w:w="1440" w:type="dxa"/>
            <w:vAlign w:val="center"/>
          </w:tcPr>
          <w:p w:rsidR="0082714C" w:rsidRPr="00896265" w:rsidRDefault="0082714C" w:rsidP="00417F87">
            <w:pPr>
              <w:widowControl/>
              <w:spacing w:line="360" w:lineRule="auto"/>
              <w:rPr>
                <w:rFonts w:eastAsiaTheme="minorEastAsia"/>
                <w:color w:val="000000" w:themeColor="text1"/>
                <w:kern w:val="0"/>
                <w:szCs w:val="21"/>
              </w:rPr>
            </w:pPr>
            <w:r w:rsidRPr="00896265">
              <w:rPr>
                <w:rFonts w:eastAsiaTheme="minorEastAsia"/>
                <w:color w:val="000000" w:themeColor="text1"/>
                <w:kern w:val="0"/>
                <w:szCs w:val="21"/>
              </w:rPr>
              <w:t>合计</w:t>
            </w:r>
          </w:p>
        </w:tc>
        <w:tc>
          <w:tcPr>
            <w:tcW w:w="2339" w:type="dxa"/>
            <w:vAlign w:val="center"/>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339" w:type="dxa"/>
            <w:vAlign w:val="center"/>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340" w:type="dxa"/>
            <w:vAlign w:val="center"/>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202E0B">
        <w:trPr>
          <w:trHeight w:val="270"/>
        </w:trPr>
        <w:tc>
          <w:tcPr>
            <w:tcW w:w="2268" w:type="dxa"/>
            <w:gridSpan w:val="2"/>
            <w:vAlign w:val="center"/>
          </w:tcPr>
          <w:p w:rsidR="0082714C" w:rsidRPr="00896265" w:rsidRDefault="0082714C" w:rsidP="00417F87">
            <w:pPr>
              <w:widowControl/>
              <w:spacing w:line="360" w:lineRule="auto"/>
              <w:rPr>
                <w:rFonts w:eastAsiaTheme="minorEastAsia"/>
                <w:color w:val="000000" w:themeColor="text1"/>
                <w:kern w:val="0"/>
                <w:szCs w:val="21"/>
              </w:rPr>
            </w:pPr>
            <w:r w:rsidRPr="00896265">
              <w:rPr>
                <w:rFonts w:eastAsiaTheme="minorEastAsia"/>
                <w:color w:val="000000" w:themeColor="text1"/>
                <w:kern w:val="0"/>
                <w:szCs w:val="21"/>
              </w:rPr>
              <w:t>资产支持证券</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340"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202E0B">
        <w:trPr>
          <w:trHeight w:val="270"/>
        </w:trPr>
        <w:tc>
          <w:tcPr>
            <w:tcW w:w="2268" w:type="dxa"/>
            <w:gridSpan w:val="2"/>
            <w:vAlign w:val="center"/>
          </w:tcPr>
          <w:p w:rsidR="0082714C" w:rsidRPr="00896265" w:rsidRDefault="0082714C" w:rsidP="00417F87">
            <w:pPr>
              <w:widowControl/>
              <w:spacing w:line="360" w:lineRule="auto"/>
              <w:rPr>
                <w:rFonts w:eastAsiaTheme="minorEastAsia"/>
                <w:color w:val="000000" w:themeColor="text1"/>
                <w:kern w:val="0"/>
                <w:szCs w:val="21"/>
              </w:rPr>
            </w:pPr>
            <w:r w:rsidRPr="00896265">
              <w:rPr>
                <w:rFonts w:eastAsiaTheme="minorEastAsia"/>
                <w:color w:val="000000" w:themeColor="text1"/>
                <w:kern w:val="0"/>
                <w:szCs w:val="21"/>
              </w:rPr>
              <w:t>基金</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241,730,639.37</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242,790,926.68</w:t>
            </w:r>
          </w:p>
        </w:tc>
        <w:tc>
          <w:tcPr>
            <w:tcW w:w="2340"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1,060,287.31</w:t>
            </w:r>
          </w:p>
        </w:tc>
      </w:tr>
      <w:tr w:rsidR="00E60957" w:rsidRPr="00896265" w:rsidTr="00202E0B">
        <w:trPr>
          <w:trHeight w:val="270"/>
        </w:trPr>
        <w:tc>
          <w:tcPr>
            <w:tcW w:w="2268" w:type="dxa"/>
            <w:gridSpan w:val="2"/>
            <w:vAlign w:val="center"/>
          </w:tcPr>
          <w:p w:rsidR="0082714C" w:rsidRPr="00896265" w:rsidRDefault="0082714C" w:rsidP="00417F87">
            <w:pPr>
              <w:widowControl/>
              <w:spacing w:line="360" w:lineRule="auto"/>
              <w:rPr>
                <w:rFonts w:eastAsiaTheme="minorEastAsia"/>
                <w:color w:val="000000" w:themeColor="text1"/>
                <w:kern w:val="0"/>
                <w:szCs w:val="21"/>
              </w:rPr>
            </w:pPr>
            <w:r w:rsidRPr="00896265">
              <w:rPr>
                <w:rFonts w:eastAsiaTheme="minorEastAsia"/>
                <w:color w:val="000000" w:themeColor="text1"/>
                <w:kern w:val="0"/>
                <w:szCs w:val="21"/>
              </w:rPr>
              <w:t>其他</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2340"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202E0B">
        <w:trPr>
          <w:trHeight w:val="270"/>
        </w:trPr>
        <w:tc>
          <w:tcPr>
            <w:tcW w:w="2268" w:type="dxa"/>
            <w:gridSpan w:val="2"/>
            <w:vAlign w:val="center"/>
          </w:tcPr>
          <w:p w:rsidR="0082714C" w:rsidRPr="00896265" w:rsidRDefault="0082714C" w:rsidP="00417F87">
            <w:pPr>
              <w:widowControl/>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合计</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241,730,639.37</w:t>
            </w:r>
          </w:p>
        </w:tc>
        <w:tc>
          <w:tcPr>
            <w:tcW w:w="2339"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242,790,926.68</w:t>
            </w:r>
          </w:p>
        </w:tc>
        <w:tc>
          <w:tcPr>
            <w:tcW w:w="2340" w:type="dxa"/>
            <w:vAlign w:val="bottom"/>
          </w:tcPr>
          <w:p w:rsidR="0082714C" w:rsidRPr="00896265" w:rsidRDefault="0082714C"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1,060,287.31</w:t>
            </w:r>
          </w:p>
        </w:tc>
      </w:tr>
    </w:tbl>
    <w:p w:rsidR="007B62FA" w:rsidRPr="00896265" w:rsidRDefault="007B62FA" w:rsidP="00202E0B">
      <w:pPr>
        <w:widowControl/>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注：</w:t>
      </w:r>
      <w:r w:rsidRPr="00896265">
        <w:rPr>
          <w:rFonts w:eastAsiaTheme="minorEastAsia"/>
          <w:color w:val="000000" w:themeColor="text1"/>
          <w:kern w:val="0"/>
          <w:szCs w:val="21"/>
        </w:rPr>
        <w:t>“</w:t>
      </w:r>
      <w:r w:rsidRPr="00896265">
        <w:rPr>
          <w:rFonts w:eastAsiaTheme="minorEastAsia"/>
          <w:color w:val="000000" w:themeColor="text1"/>
          <w:kern w:val="0"/>
          <w:szCs w:val="21"/>
        </w:rPr>
        <w:t>股票</w:t>
      </w:r>
      <w:r w:rsidRPr="00896265">
        <w:rPr>
          <w:rFonts w:eastAsiaTheme="minorEastAsia"/>
          <w:color w:val="000000" w:themeColor="text1"/>
          <w:kern w:val="0"/>
          <w:szCs w:val="21"/>
        </w:rPr>
        <w:t>”</w:t>
      </w:r>
      <w:r w:rsidRPr="00896265">
        <w:rPr>
          <w:rFonts w:eastAsiaTheme="minorEastAsia"/>
          <w:color w:val="000000" w:themeColor="text1"/>
          <w:kern w:val="0"/>
          <w:szCs w:val="21"/>
        </w:rPr>
        <w:t>包括普通股、存托凭证和优先股等。</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7.4.7.3</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衍生金融资产/负债</w:t>
      </w:r>
    </w:p>
    <w:p w:rsidR="007B62FA" w:rsidRPr="00896265" w:rsidRDefault="000506E5" w:rsidP="00202E0B">
      <w:pPr>
        <w:widowControl/>
        <w:spacing w:line="360" w:lineRule="auto"/>
        <w:ind w:firstLineChars="200" w:firstLine="420"/>
        <w:jc w:val="left"/>
        <w:rPr>
          <w:rFonts w:eastAsiaTheme="minorEastAsia"/>
          <w:color w:val="000000" w:themeColor="text1"/>
          <w:kern w:val="0"/>
          <w:szCs w:val="21"/>
        </w:rPr>
      </w:pPr>
      <w:r>
        <w:rPr>
          <w:rFonts w:eastAsiaTheme="minorEastAsia"/>
          <w:color w:val="000000"/>
          <w:szCs w:val="21"/>
        </w:rPr>
        <w:t>本基金本报告期末及上年度末无衍生金融资产</w:t>
      </w:r>
      <w:r>
        <w:rPr>
          <w:rFonts w:eastAsiaTheme="minorEastAsia"/>
          <w:color w:val="000000"/>
          <w:szCs w:val="21"/>
        </w:rPr>
        <w:t>/</w:t>
      </w:r>
      <w:r>
        <w:rPr>
          <w:rFonts w:eastAsiaTheme="minorEastAsia"/>
          <w:color w:val="000000"/>
          <w:szCs w:val="21"/>
        </w:rPr>
        <w:t>负债。</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7.4.7.4</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买入返售金融资产</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7.4.7.4.1</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各项买入返售金融资产期末余额</w:t>
      </w:r>
    </w:p>
    <w:p w:rsidR="007B62FA" w:rsidRPr="00896265" w:rsidRDefault="00382850" w:rsidP="00202E0B">
      <w:pPr>
        <w:adjustRightInd w:val="0"/>
        <w:snapToGrid w:val="0"/>
        <w:spacing w:line="360" w:lineRule="auto"/>
        <w:ind w:firstLineChars="200" w:firstLine="420"/>
        <w:jc w:val="left"/>
        <w:rPr>
          <w:rFonts w:eastAsiaTheme="minorEastAsia"/>
          <w:color w:val="000000" w:themeColor="text1"/>
          <w:szCs w:val="21"/>
        </w:rPr>
      </w:pPr>
      <w:r w:rsidRPr="00AD22E5">
        <w:rPr>
          <w:rFonts w:eastAsiaTheme="minorEastAsia"/>
          <w:kern w:val="0"/>
          <w:szCs w:val="21"/>
        </w:rPr>
        <w:t>本基金本报告期末及上年度末无买入返售金融资产。</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7.4.7.4.2</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期末买断式逆回购交易中取得的债券</w:t>
      </w:r>
    </w:p>
    <w:p w:rsidR="007B62FA" w:rsidRDefault="007B62FA" w:rsidP="00202E0B">
      <w:pPr>
        <w:widowControl/>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本基金本报告期末及上年度末无买断式逆回购交易中取得的债券。</w:t>
      </w:r>
    </w:p>
    <w:p w:rsidR="00EE3C7B" w:rsidRPr="00D0372D" w:rsidRDefault="00EE3C7B" w:rsidP="00EE3C7B">
      <w:pPr>
        <w:spacing w:line="360" w:lineRule="auto"/>
        <w:rPr>
          <w:rFonts w:ascii="宋体" w:hAnsi="宋体"/>
          <w:b/>
          <w:color w:val="000000"/>
          <w:szCs w:val="21"/>
        </w:rPr>
      </w:pPr>
      <w:r w:rsidRPr="00D0372D">
        <w:rPr>
          <w:rFonts w:ascii="宋体" w:hAnsi="宋体"/>
          <w:b/>
          <w:bCs/>
          <w:color w:val="000000"/>
          <w:kern w:val="0"/>
          <w:szCs w:val="21"/>
        </w:rPr>
        <w:t>7.4.7.5</w:t>
      </w:r>
      <w:r w:rsidRPr="00D0372D">
        <w:rPr>
          <w:rFonts w:ascii="宋体" w:hAnsi="宋体" w:hint="eastAsia"/>
          <w:b/>
          <w:bCs/>
          <w:color w:val="000000"/>
          <w:kern w:val="0"/>
          <w:szCs w:val="21"/>
        </w:rPr>
        <w:t xml:space="preserve"> </w:t>
      </w:r>
      <w:r w:rsidRPr="00D0372D">
        <w:rPr>
          <w:rFonts w:ascii="宋体" w:hAnsi="宋体" w:hint="eastAsia"/>
          <w:b/>
          <w:color w:val="000000"/>
          <w:szCs w:val="21"/>
        </w:rPr>
        <w:t>应收利息</w:t>
      </w:r>
    </w:p>
    <w:p w:rsidR="008147C8" w:rsidRPr="002C2833" w:rsidRDefault="008147C8" w:rsidP="008147C8">
      <w:pPr>
        <w:spacing w:line="360" w:lineRule="auto"/>
        <w:jc w:val="right"/>
        <w:rPr>
          <w:rFonts w:eastAsiaTheme="minorEastAsia"/>
          <w:color w:val="000000"/>
          <w:szCs w:val="21"/>
        </w:rPr>
      </w:pPr>
      <w:r w:rsidRPr="002C2833">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8147C8" w:rsidRPr="0091212A" w:rsidTr="00AA712C">
        <w:trPr>
          <w:trHeight w:val="330"/>
        </w:trPr>
        <w:tc>
          <w:tcPr>
            <w:tcW w:w="2351" w:type="dxa"/>
            <w:vAlign w:val="center"/>
          </w:tcPr>
          <w:p w:rsidR="008147C8" w:rsidRPr="008735B8" w:rsidRDefault="008147C8" w:rsidP="00AA712C">
            <w:pPr>
              <w:spacing w:line="360" w:lineRule="auto"/>
              <w:jc w:val="center"/>
              <w:rPr>
                <w:rFonts w:eastAsiaTheme="minorEastAsia"/>
                <w:szCs w:val="21"/>
              </w:rPr>
            </w:pPr>
            <w:r w:rsidRPr="008735B8">
              <w:rPr>
                <w:rFonts w:eastAsiaTheme="minorEastAsia"/>
                <w:szCs w:val="21"/>
              </w:rPr>
              <w:t>项目</w:t>
            </w:r>
          </w:p>
        </w:tc>
        <w:tc>
          <w:tcPr>
            <w:tcW w:w="3258" w:type="dxa"/>
            <w:vAlign w:val="bottom"/>
          </w:tcPr>
          <w:p w:rsidR="008147C8" w:rsidRPr="008735B8" w:rsidRDefault="008147C8" w:rsidP="00AA712C">
            <w:pPr>
              <w:spacing w:line="360" w:lineRule="auto"/>
              <w:jc w:val="center"/>
              <w:rPr>
                <w:rFonts w:eastAsiaTheme="minorEastAsia"/>
                <w:kern w:val="0"/>
                <w:szCs w:val="21"/>
              </w:rPr>
            </w:pPr>
            <w:r w:rsidRPr="008735B8">
              <w:rPr>
                <w:rFonts w:eastAsiaTheme="minorEastAsia"/>
                <w:kern w:val="0"/>
                <w:szCs w:val="21"/>
              </w:rPr>
              <w:t>本期末</w:t>
            </w:r>
          </w:p>
          <w:p w:rsidR="008147C8" w:rsidRPr="008735B8" w:rsidRDefault="008147C8" w:rsidP="00AA712C">
            <w:pPr>
              <w:spacing w:line="360" w:lineRule="auto"/>
              <w:jc w:val="center"/>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406" w:type="dxa"/>
          </w:tcPr>
          <w:p w:rsidR="008147C8" w:rsidRPr="008735B8" w:rsidRDefault="008147C8" w:rsidP="00AA712C">
            <w:pPr>
              <w:spacing w:line="360" w:lineRule="auto"/>
              <w:jc w:val="center"/>
              <w:rPr>
                <w:rFonts w:eastAsiaTheme="minorEastAsia"/>
                <w:kern w:val="0"/>
                <w:szCs w:val="21"/>
              </w:rPr>
            </w:pPr>
            <w:r w:rsidRPr="008735B8">
              <w:rPr>
                <w:rFonts w:eastAsiaTheme="minorEastAsia"/>
                <w:kern w:val="0"/>
                <w:szCs w:val="21"/>
              </w:rPr>
              <w:t>上年度末</w:t>
            </w:r>
          </w:p>
          <w:p w:rsidR="008147C8" w:rsidRPr="008735B8" w:rsidRDefault="008147C8" w:rsidP="00AA712C">
            <w:pPr>
              <w:spacing w:line="360" w:lineRule="auto"/>
              <w:jc w:val="center"/>
              <w:rPr>
                <w:rFonts w:eastAsiaTheme="minorEastAsia"/>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8147C8" w:rsidRPr="0091212A" w:rsidTr="00AA712C">
        <w:trPr>
          <w:trHeight w:val="257"/>
        </w:trPr>
        <w:tc>
          <w:tcPr>
            <w:tcW w:w="2351" w:type="dxa"/>
            <w:vAlign w:val="center"/>
          </w:tcPr>
          <w:p w:rsidR="008147C8" w:rsidRPr="008735B8" w:rsidRDefault="008147C8" w:rsidP="00AA712C">
            <w:pPr>
              <w:spacing w:line="360" w:lineRule="auto"/>
              <w:rPr>
                <w:rFonts w:eastAsiaTheme="minorEastAsia"/>
                <w:szCs w:val="21"/>
              </w:rPr>
            </w:pPr>
            <w:r w:rsidRPr="008735B8">
              <w:rPr>
                <w:rFonts w:eastAsiaTheme="minorEastAsia"/>
                <w:szCs w:val="21"/>
              </w:rPr>
              <w:t>应收活期存款利息</w:t>
            </w:r>
          </w:p>
        </w:tc>
        <w:tc>
          <w:tcPr>
            <w:tcW w:w="3258" w:type="dxa"/>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6,939.82</w:t>
            </w:r>
          </w:p>
        </w:tc>
        <w:tc>
          <w:tcPr>
            <w:tcW w:w="3406" w:type="dxa"/>
            <w:noWrap/>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945.45</w:t>
            </w:r>
          </w:p>
        </w:tc>
      </w:tr>
      <w:tr w:rsidR="008147C8" w:rsidRPr="0091212A" w:rsidTr="00AA712C">
        <w:trPr>
          <w:trHeight w:val="223"/>
        </w:trPr>
        <w:tc>
          <w:tcPr>
            <w:tcW w:w="2351" w:type="dxa"/>
            <w:vAlign w:val="center"/>
          </w:tcPr>
          <w:p w:rsidR="008147C8" w:rsidRPr="008735B8" w:rsidRDefault="008147C8" w:rsidP="00AA712C">
            <w:pPr>
              <w:spacing w:line="360" w:lineRule="auto"/>
              <w:rPr>
                <w:rFonts w:eastAsiaTheme="minorEastAsia"/>
                <w:szCs w:val="21"/>
              </w:rPr>
            </w:pPr>
            <w:r w:rsidRPr="008735B8">
              <w:rPr>
                <w:rFonts w:eastAsiaTheme="minorEastAsia"/>
                <w:szCs w:val="21"/>
              </w:rPr>
              <w:t>应收定期存款利息</w:t>
            </w:r>
          </w:p>
        </w:tc>
        <w:tc>
          <w:tcPr>
            <w:tcW w:w="3258" w:type="dxa"/>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r>
      <w:tr w:rsidR="008147C8" w:rsidRPr="0091212A" w:rsidTr="00AA712C">
        <w:trPr>
          <w:trHeight w:val="223"/>
        </w:trPr>
        <w:tc>
          <w:tcPr>
            <w:tcW w:w="2351" w:type="dxa"/>
            <w:vAlign w:val="center"/>
          </w:tcPr>
          <w:p w:rsidR="008147C8" w:rsidRPr="008735B8" w:rsidRDefault="008147C8" w:rsidP="00AA712C">
            <w:pPr>
              <w:spacing w:line="360" w:lineRule="auto"/>
              <w:rPr>
                <w:rFonts w:eastAsiaTheme="minorEastAsia"/>
                <w:szCs w:val="21"/>
              </w:rPr>
            </w:pPr>
            <w:r w:rsidRPr="008735B8">
              <w:rPr>
                <w:rFonts w:eastAsiaTheme="minorEastAsia"/>
                <w:szCs w:val="21"/>
              </w:rPr>
              <w:t>应收其他存款利息</w:t>
            </w:r>
          </w:p>
        </w:tc>
        <w:tc>
          <w:tcPr>
            <w:tcW w:w="3258" w:type="dxa"/>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r>
      <w:tr w:rsidR="008147C8" w:rsidRPr="0091212A" w:rsidTr="00AA712C">
        <w:trPr>
          <w:trHeight w:val="223"/>
        </w:trPr>
        <w:tc>
          <w:tcPr>
            <w:tcW w:w="2351" w:type="dxa"/>
            <w:vAlign w:val="center"/>
          </w:tcPr>
          <w:p w:rsidR="008147C8" w:rsidRPr="008735B8" w:rsidRDefault="008147C8" w:rsidP="00AA712C">
            <w:pPr>
              <w:spacing w:line="360" w:lineRule="auto"/>
              <w:rPr>
                <w:rFonts w:eastAsiaTheme="minorEastAsia"/>
                <w:szCs w:val="21"/>
              </w:rPr>
            </w:pPr>
            <w:r w:rsidRPr="008735B8">
              <w:rPr>
                <w:rFonts w:eastAsiaTheme="minorEastAsia"/>
                <w:szCs w:val="21"/>
              </w:rPr>
              <w:t>应收结算备付金利息</w:t>
            </w:r>
          </w:p>
        </w:tc>
        <w:tc>
          <w:tcPr>
            <w:tcW w:w="3258" w:type="dxa"/>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r>
      <w:tr w:rsidR="008147C8" w:rsidRPr="0091212A" w:rsidTr="00AA712C">
        <w:trPr>
          <w:trHeight w:val="269"/>
        </w:trPr>
        <w:tc>
          <w:tcPr>
            <w:tcW w:w="2351" w:type="dxa"/>
            <w:vAlign w:val="center"/>
          </w:tcPr>
          <w:p w:rsidR="008147C8" w:rsidRPr="008735B8" w:rsidRDefault="008147C8" w:rsidP="00AA712C">
            <w:pPr>
              <w:spacing w:line="360" w:lineRule="auto"/>
              <w:rPr>
                <w:rFonts w:eastAsiaTheme="minorEastAsia"/>
                <w:szCs w:val="21"/>
              </w:rPr>
            </w:pPr>
            <w:r w:rsidRPr="008735B8">
              <w:rPr>
                <w:rFonts w:eastAsiaTheme="minorEastAsia"/>
                <w:szCs w:val="21"/>
              </w:rPr>
              <w:t>应收债券利息</w:t>
            </w:r>
          </w:p>
        </w:tc>
        <w:tc>
          <w:tcPr>
            <w:tcW w:w="3258" w:type="dxa"/>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r>
      <w:tr w:rsidR="008147C8" w:rsidRPr="00145E14" w:rsidTr="00AA712C">
        <w:trPr>
          <w:trHeight w:val="287"/>
        </w:trPr>
        <w:tc>
          <w:tcPr>
            <w:tcW w:w="2351" w:type="dxa"/>
            <w:vAlign w:val="bottom"/>
          </w:tcPr>
          <w:p w:rsidR="008147C8" w:rsidRPr="00211604" w:rsidRDefault="008147C8" w:rsidP="00AA712C">
            <w:pPr>
              <w:spacing w:line="360" w:lineRule="auto"/>
              <w:rPr>
                <w:rFonts w:eastAsiaTheme="minorEastAsia"/>
                <w:szCs w:val="21"/>
              </w:rPr>
            </w:pPr>
            <w:r w:rsidRPr="00211604">
              <w:rPr>
                <w:rFonts w:eastAsiaTheme="minorEastAsia" w:hint="eastAsia"/>
                <w:szCs w:val="21"/>
              </w:rPr>
              <w:t>应收资产支持证券利息</w:t>
            </w:r>
          </w:p>
        </w:tc>
        <w:tc>
          <w:tcPr>
            <w:tcW w:w="3258" w:type="dxa"/>
          </w:tcPr>
          <w:p w:rsidR="008147C8" w:rsidRPr="00211604" w:rsidRDefault="008147C8" w:rsidP="00AA712C">
            <w:pPr>
              <w:spacing w:line="360" w:lineRule="auto"/>
              <w:jc w:val="right"/>
              <w:rPr>
                <w:rFonts w:eastAsiaTheme="minorEastAsia"/>
                <w:szCs w:val="21"/>
              </w:rPr>
            </w:pPr>
            <w:r w:rsidRPr="00211604">
              <w:rPr>
                <w:rFonts w:eastAsiaTheme="minorEastAsia"/>
                <w:szCs w:val="21"/>
              </w:rPr>
              <w:t>-</w:t>
            </w:r>
          </w:p>
        </w:tc>
        <w:tc>
          <w:tcPr>
            <w:tcW w:w="3406" w:type="dxa"/>
            <w:noWrap/>
          </w:tcPr>
          <w:p w:rsidR="008147C8" w:rsidRPr="00211604" w:rsidRDefault="008147C8" w:rsidP="00AA712C">
            <w:pPr>
              <w:spacing w:line="360" w:lineRule="auto"/>
              <w:jc w:val="right"/>
              <w:rPr>
                <w:rFonts w:eastAsiaTheme="minorEastAsia"/>
                <w:szCs w:val="21"/>
              </w:rPr>
            </w:pPr>
            <w:r w:rsidRPr="00211604">
              <w:rPr>
                <w:rFonts w:eastAsiaTheme="minorEastAsia"/>
                <w:szCs w:val="21"/>
              </w:rPr>
              <w:t>-</w:t>
            </w:r>
          </w:p>
        </w:tc>
      </w:tr>
      <w:tr w:rsidR="008147C8" w:rsidRPr="0091212A" w:rsidTr="00AA712C">
        <w:trPr>
          <w:trHeight w:val="287"/>
        </w:trPr>
        <w:tc>
          <w:tcPr>
            <w:tcW w:w="2351" w:type="dxa"/>
            <w:vAlign w:val="center"/>
          </w:tcPr>
          <w:p w:rsidR="008147C8" w:rsidRPr="008735B8" w:rsidRDefault="008147C8" w:rsidP="00AA712C">
            <w:pPr>
              <w:spacing w:line="360" w:lineRule="auto"/>
              <w:rPr>
                <w:rFonts w:eastAsiaTheme="minorEastAsia"/>
                <w:szCs w:val="21"/>
              </w:rPr>
            </w:pPr>
            <w:r w:rsidRPr="008735B8">
              <w:rPr>
                <w:rFonts w:eastAsiaTheme="minorEastAsia"/>
                <w:szCs w:val="21"/>
              </w:rPr>
              <w:t>应收买入返售证券利息</w:t>
            </w:r>
          </w:p>
        </w:tc>
        <w:tc>
          <w:tcPr>
            <w:tcW w:w="3258" w:type="dxa"/>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r>
      <w:tr w:rsidR="008147C8" w:rsidRPr="0091212A" w:rsidTr="00AA712C">
        <w:trPr>
          <w:trHeight w:val="305"/>
        </w:trPr>
        <w:tc>
          <w:tcPr>
            <w:tcW w:w="2351" w:type="dxa"/>
            <w:vAlign w:val="center"/>
          </w:tcPr>
          <w:p w:rsidR="008147C8" w:rsidRPr="008735B8" w:rsidRDefault="008147C8" w:rsidP="00AA712C">
            <w:pPr>
              <w:spacing w:line="360" w:lineRule="auto"/>
              <w:rPr>
                <w:rFonts w:eastAsiaTheme="minorEastAsia"/>
                <w:szCs w:val="21"/>
              </w:rPr>
            </w:pPr>
            <w:r w:rsidRPr="008735B8">
              <w:rPr>
                <w:rFonts w:eastAsiaTheme="minorEastAsia"/>
                <w:szCs w:val="21"/>
              </w:rPr>
              <w:t>应收申购款利息</w:t>
            </w:r>
          </w:p>
        </w:tc>
        <w:tc>
          <w:tcPr>
            <w:tcW w:w="3258" w:type="dxa"/>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r>
      <w:tr w:rsidR="008147C8" w:rsidRPr="0091212A" w:rsidTr="00AA712C">
        <w:trPr>
          <w:trHeight w:val="305"/>
        </w:trPr>
        <w:tc>
          <w:tcPr>
            <w:tcW w:w="2351" w:type="dxa"/>
            <w:vAlign w:val="center"/>
          </w:tcPr>
          <w:p w:rsidR="008147C8" w:rsidRPr="008735B8" w:rsidRDefault="008147C8" w:rsidP="00AA712C">
            <w:pPr>
              <w:spacing w:line="360" w:lineRule="auto"/>
              <w:rPr>
                <w:rFonts w:eastAsiaTheme="minorEastAsia"/>
                <w:szCs w:val="21"/>
              </w:rPr>
            </w:pPr>
            <w:r w:rsidRPr="008735B8">
              <w:rPr>
                <w:rFonts w:eastAsiaTheme="minorEastAsia"/>
                <w:szCs w:val="21"/>
              </w:rPr>
              <w:t>应收黄金合约拆借孳息</w:t>
            </w:r>
          </w:p>
        </w:tc>
        <w:tc>
          <w:tcPr>
            <w:tcW w:w="3258" w:type="dxa"/>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r>
      <w:tr w:rsidR="008147C8" w:rsidRPr="0091212A" w:rsidTr="00AA712C">
        <w:trPr>
          <w:trHeight w:val="305"/>
        </w:trPr>
        <w:tc>
          <w:tcPr>
            <w:tcW w:w="2351" w:type="dxa"/>
            <w:vAlign w:val="center"/>
          </w:tcPr>
          <w:p w:rsidR="008147C8" w:rsidRPr="008735B8" w:rsidRDefault="008147C8" w:rsidP="00AA712C">
            <w:pPr>
              <w:spacing w:line="360" w:lineRule="auto"/>
              <w:rPr>
                <w:rFonts w:eastAsiaTheme="minorEastAsia"/>
                <w:szCs w:val="21"/>
              </w:rPr>
            </w:pPr>
            <w:r w:rsidRPr="008735B8">
              <w:rPr>
                <w:rFonts w:eastAsiaTheme="minorEastAsia"/>
                <w:szCs w:val="21"/>
              </w:rPr>
              <w:t>其他</w:t>
            </w:r>
          </w:p>
        </w:tc>
        <w:tc>
          <w:tcPr>
            <w:tcW w:w="3258" w:type="dxa"/>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w:t>
            </w:r>
          </w:p>
        </w:tc>
      </w:tr>
      <w:tr w:rsidR="008147C8" w:rsidRPr="0091212A" w:rsidTr="00AA712C">
        <w:trPr>
          <w:trHeight w:val="330"/>
        </w:trPr>
        <w:tc>
          <w:tcPr>
            <w:tcW w:w="2351" w:type="dxa"/>
            <w:vAlign w:val="center"/>
          </w:tcPr>
          <w:p w:rsidR="008147C8" w:rsidRPr="008735B8" w:rsidRDefault="008147C8" w:rsidP="00AA712C">
            <w:pPr>
              <w:spacing w:line="360" w:lineRule="auto"/>
              <w:jc w:val="center"/>
              <w:rPr>
                <w:rFonts w:eastAsiaTheme="minorEastAsia"/>
                <w:szCs w:val="21"/>
              </w:rPr>
            </w:pPr>
            <w:r w:rsidRPr="008735B8">
              <w:rPr>
                <w:rFonts w:eastAsiaTheme="minorEastAsia"/>
                <w:szCs w:val="21"/>
              </w:rPr>
              <w:t>合计</w:t>
            </w:r>
          </w:p>
        </w:tc>
        <w:tc>
          <w:tcPr>
            <w:tcW w:w="3258" w:type="dxa"/>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6,939.82</w:t>
            </w:r>
          </w:p>
        </w:tc>
        <w:tc>
          <w:tcPr>
            <w:tcW w:w="3406" w:type="dxa"/>
            <w:noWrap/>
            <w:vAlign w:val="center"/>
          </w:tcPr>
          <w:p w:rsidR="008147C8" w:rsidRPr="008735B8" w:rsidRDefault="008147C8" w:rsidP="00AA712C">
            <w:pPr>
              <w:spacing w:line="360" w:lineRule="auto"/>
              <w:jc w:val="right"/>
              <w:rPr>
                <w:rFonts w:eastAsiaTheme="minorEastAsia"/>
                <w:szCs w:val="21"/>
              </w:rPr>
            </w:pPr>
            <w:r w:rsidRPr="008735B8">
              <w:rPr>
                <w:rFonts w:eastAsiaTheme="minorEastAsia"/>
                <w:szCs w:val="21"/>
              </w:rPr>
              <w:t>945.45</w:t>
            </w:r>
          </w:p>
        </w:tc>
      </w:tr>
    </w:tbl>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7.4.7.6</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其他资产</w:t>
      </w:r>
    </w:p>
    <w:p w:rsidR="007B62FA" w:rsidRPr="00896265" w:rsidRDefault="007B62FA" w:rsidP="00202E0B">
      <w:pPr>
        <w:widowControl/>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本基金本报告期末及上年度末无其他资产。</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7.4.7.7</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应付交易费用</w:t>
      </w:r>
    </w:p>
    <w:p w:rsidR="007B62FA" w:rsidRPr="00896265" w:rsidRDefault="007B62FA" w:rsidP="00202E0B">
      <w:pPr>
        <w:widowControl/>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本基金本报告期末及上年度末无应付交易费用。</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7.4.7.8</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其他负债</w:t>
      </w:r>
    </w:p>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E60957" w:rsidRPr="00896265" w:rsidTr="00202E0B">
        <w:trPr>
          <w:trHeight w:val="330"/>
        </w:trPr>
        <w:tc>
          <w:tcPr>
            <w:tcW w:w="2715" w:type="dxa"/>
            <w:vAlign w:val="center"/>
          </w:tcPr>
          <w:p w:rsidR="007566CD" w:rsidRPr="00896265" w:rsidRDefault="007566CD" w:rsidP="0026196C">
            <w:pPr>
              <w:spacing w:line="360" w:lineRule="auto"/>
              <w:jc w:val="center"/>
              <w:rPr>
                <w:rFonts w:eastAsiaTheme="minorEastAsia"/>
                <w:color w:val="000000" w:themeColor="text1"/>
                <w:szCs w:val="21"/>
              </w:rPr>
            </w:pPr>
            <w:r w:rsidRPr="00896265">
              <w:rPr>
                <w:rFonts w:eastAsiaTheme="minorEastAsia"/>
                <w:color w:val="000000" w:themeColor="text1"/>
                <w:szCs w:val="21"/>
              </w:rPr>
              <w:t>项目</w:t>
            </w:r>
          </w:p>
        </w:tc>
        <w:tc>
          <w:tcPr>
            <w:tcW w:w="3150" w:type="dxa"/>
            <w:vAlign w:val="center"/>
          </w:tcPr>
          <w:p w:rsidR="007566CD" w:rsidRPr="00896265" w:rsidRDefault="007566CD" w:rsidP="0026196C">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本期末</w:t>
            </w:r>
          </w:p>
          <w:p w:rsidR="007566CD" w:rsidRPr="00896265" w:rsidRDefault="007566CD" w:rsidP="0026196C">
            <w:pPr>
              <w:spacing w:line="360" w:lineRule="auto"/>
              <w:jc w:val="center"/>
              <w:rPr>
                <w:rFonts w:eastAsiaTheme="minorEastAsia"/>
                <w:color w:val="000000" w:themeColor="text1"/>
                <w:szCs w:val="21"/>
              </w:rPr>
            </w:pPr>
            <w:r w:rsidRPr="00896265">
              <w:rPr>
                <w:rFonts w:eastAsiaTheme="minorEastAsia"/>
                <w:color w:val="000000" w:themeColor="text1"/>
                <w:szCs w:val="21"/>
              </w:rPr>
              <w:t>2019</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w:t>
            </w:r>
          </w:p>
        </w:tc>
        <w:tc>
          <w:tcPr>
            <w:tcW w:w="3150" w:type="dxa"/>
            <w:vAlign w:val="center"/>
          </w:tcPr>
          <w:p w:rsidR="007566CD" w:rsidRPr="00896265" w:rsidRDefault="007566CD" w:rsidP="0026196C">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上年度末</w:t>
            </w:r>
          </w:p>
          <w:p w:rsidR="007566CD" w:rsidRPr="00896265" w:rsidRDefault="007566CD" w:rsidP="0026196C">
            <w:pPr>
              <w:spacing w:line="360" w:lineRule="auto"/>
              <w:jc w:val="center"/>
              <w:rPr>
                <w:rFonts w:eastAsiaTheme="minorEastAsia"/>
                <w:color w:val="000000" w:themeColor="text1"/>
                <w:szCs w:val="21"/>
              </w:rPr>
            </w:pPr>
            <w:r w:rsidRPr="00896265">
              <w:rPr>
                <w:rFonts w:eastAsiaTheme="minorEastAsia"/>
                <w:color w:val="000000" w:themeColor="text1"/>
                <w:szCs w:val="21"/>
              </w:rPr>
              <w:t>2018</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w:t>
            </w:r>
          </w:p>
        </w:tc>
      </w:tr>
      <w:tr w:rsidR="00E60957" w:rsidRPr="00896265" w:rsidTr="00202E0B">
        <w:trPr>
          <w:trHeight w:val="325"/>
        </w:trPr>
        <w:tc>
          <w:tcPr>
            <w:tcW w:w="2715" w:type="dxa"/>
            <w:vAlign w:val="center"/>
          </w:tcPr>
          <w:p w:rsidR="007566CD" w:rsidRPr="00896265" w:rsidRDefault="007566CD" w:rsidP="0026196C">
            <w:pPr>
              <w:spacing w:line="360" w:lineRule="auto"/>
              <w:rPr>
                <w:rFonts w:eastAsiaTheme="minorEastAsia"/>
                <w:color w:val="000000" w:themeColor="text1"/>
                <w:szCs w:val="21"/>
              </w:rPr>
            </w:pPr>
            <w:r w:rsidRPr="00896265">
              <w:rPr>
                <w:rFonts w:eastAsiaTheme="minorEastAsia"/>
                <w:color w:val="000000" w:themeColor="text1"/>
                <w:szCs w:val="21"/>
              </w:rPr>
              <w:t>应付券商交易单元保证金</w:t>
            </w:r>
          </w:p>
        </w:tc>
        <w:tc>
          <w:tcPr>
            <w:tcW w:w="3150" w:type="dxa"/>
            <w:vAlign w:val="center"/>
          </w:tcPr>
          <w:p w:rsidR="007566CD" w:rsidRPr="00896265" w:rsidRDefault="007566CD" w:rsidP="0026196C">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3150" w:type="dxa"/>
            <w:vAlign w:val="center"/>
          </w:tcPr>
          <w:p w:rsidR="007566CD" w:rsidRPr="00896265" w:rsidRDefault="007566CD" w:rsidP="0026196C">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202E0B">
        <w:trPr>
          <w:trHeight w:val="325"/>
        </w:trPr>
        <w:tc>
          <w:tcPr>
            <w:tcW w:w="2715" w:type="dxa"/>
            <w:vAlign w:val="center"/>
          </w:tcPr>
          <w:p w:rsidR="007566CD" w:rsidRPr="00896265" w:rsidRDefault="007566CD" w:rsidP="0026196C">
            <w:pPr>
              <w:spacing w:line="360" w:lineRule="auto"/>
              <w:rPr>
                <w:rFonts w:eastAsiaTheme="minorEastAsia"/>
                <w:color w:val="000000" w:themeColor="text1"/>
                <w:szCs w:val="21"/>
              </w:rPr>
            </w:pPr>
            <w:r w:rsidRPr="00896265">
              <w:rPr>
                <w:rFonts w:eastAsiaTheme="minorEastAsia"/>
                <w:color w:val="000000" w:themeColor="text1"/>
                <w:szCs w:val="21"/>
              </w:rPr>
              <w:t>应付赎回费</w:t>
            </w:r>
          </w:p>
        </w:tc>
        <w:tc>
          <w:tcPr>
            <w:tcW w:w="3150" w:type="dxa"/>
            <w:vAlign w:val="center"/>
          </w:tcPr>
          <w:p w:rsidR="007566CD" w:rsidRPr="00896265" w:rsidRDefault="007566CD" w:rsidP="0026196C">
            <w:pPr>
              <w:spacing w:line="360" w:lineRule="auto"/>
              <w:jc w:val="right"/>
              <w:rPr>
                <w:rFonts w:eastAsiaTheme="minorEastAsia"/>
                <w:color w:val="000000" w:themeColor="text1"/>
                <w:szCs w:val="21"/>
              </w:rPr>
            </w:pPr>
            <w:r w:rsidRPr="00896265">
              <w:rPr>
                <w:rFonts w:eastAsiaTheme="minorEastAsia"/>
                <w:color w:val="000000" w:themeColor="text1"/>
                <w:szCs w:val="21"/>
              </w:rPr>
              <w:t>25,995.34</w:t>
            </w:r>
          </w:p>
        </w:tc>
        <w:tc>
          <w:tcPr>
            <w:tcW w:w="3150" w:type="dxa"/>
            <w:vAlign w:val="center"/>
          </w:tcPr>
          <w:p w:rsidR="007566CD" w:rsidRPr="00896265" w:rsidRDefault="007566CD" w:rsidP="0026196C">
            <w:pPr>
              <w:spacing w:line="360" w:lineRule="auto"/>
              <w:jc w:val="right"/>
              <w:rPr>
                <w:rFonts w:eastAsiaTheme="minorEastAsia"/>
                <w:color w:val="000000" w:themeColor="text1"/>
                <w:szCs w:val="21"/>
              </w:rPr>
            </w:pPr>
            <w:r w:rsidRPr="00896265">
              <w:rPr>
                <w:rFonts w:eastAsiaTheme="minorEastAsia"/>
                <w:color w:val="000000" w:themeColor="text1"/>
                <w:szCs w:val="21"/>
              </w:rPr>
              <w:t>719.36</w:t>
            </w:r>
          </w:p>
        </w:tc>
      </w:tr>
      <w:tr w:rsidR="00F14AEA">
        <w:tc>
          <w:tcPr>
            <w:tcW w:w="2715" w:type="dxa"/>
            <w:vAlign w:val="center"/>
          </w:tcPr>
          <w:p w:rsidR="00F14AEA" w:rsidRDefault="00EC6028">
            <w:pPr>
              <w:jc w:val="left"/>
            </w:pPr>
            <w:r>
              <w:rPr>
                <w:rFonts w:eastAsiaTheme="minorEastAsia"/>
                <w:color w:val="000000" w:themeColor="text1"/>
                <w:szCs w:val="21"/>
              </w:rPr>
              <w:t>预提费用</w:t>
            </w:r>
          </w:p>
        </w:tc>
        <w:tc>
          <w:tcPr>
            <w:tcW w:w="3150" w:type="dxa"/>
            <w:vAlign w:val="center"/>
          </w:tcPr>
          <w:p w:rsidR="00F14AEA" w:rsidRDefault="00EC6028">
            <w:pPr>
              <w:jc w:val="right"/>
            </w:pPr>
            <w:r>
              <w:rPr>
                <w:rFonts w:eastAsiaTheme="minorEastAsia"/>
                <w:color w:val="000000" w:themeColor="text1"/>
                <w:szCs w:val="21"/>
              </w:rPr>
              <w:t>292,000.00</w:t>
            </w:r>
          </w:p>
        </w:tc>
        <w:tc>
          <w:tcPr>
            <w:tcW w:w="3150" w:type="dxa"/>
            <w:vAlign w:val="center"/>
          </w:tcPr>
          <w:p w:rsidR="00F14AEA" w:rsidRDefault="00EC6028">
            <w:pPr>
              <w:jc w:val="right"/>
            </w:pPr>
            <w:r>
              <w:rPr>
                <w:rFonts w:eastAsiaTheme="minorEastAsia"/>
                <w:color w:val="000000" w:themeColor="text1"/>
                <w:szCs w:val="21"/>
              </w:rPr>
              <w:t>272,000.00</w:t>
            </w:r>
          </w:p>
        </w:tc>
      </w:tr>
      <w:tr w:rsidR="00E60957" w:rsidRPr="00896265" w:rsidTr="00202E0B">
        <w:trPr>
          <w:trHeight w:val="325"/>
        </w:trPr>
        <w:tc>
          <w:tcPr>
            <w:tcW w:w="2715" w:type="dxa"/>
            <w:vAlign w:val="center"/>
          </w:tcPr>
          <w:p w:rsidR="007566CD" w:rsidRPr="00896265" w:rsidRDefault="007566CD" w:rsidP="0026196C">
            <w:pPr>
              <w:spacing w:line="360" w:lineRule="auto"/>
              <w:jc w:val="center"/>
              <w:rPr>
                <w:rFonts w:eastAsiaTheme="minorEastAsia"/>
                <w:color w:val="000000" w:themeColor="text1"/>
                <w:szCs w:val="21"/>
              </w:rPr>
            </w:pPr>
            <w:r w:rsidRPr="00896265">
              <w:rPr>
                <w:rFonts w:eastAsiaTheme="minorEastAsia"/>
                <w:color w:val="000000" w:themeColor="text1"/>
                <w:szCs w:val="21"/>
              </w:rPr>
              <w:t>合计</w:t>
            </w:r>
          </w:p>
        </w:tc>
        <w:tc>
          <w:tcPr>
            <w:tcW w:w="3150" w:type="dxa"/>
            <w:vAlign w:val="center"/>
          </w:tcPr>
          <w:p w:rsidR="007566CD" w:rsidRPr="00896265" w:rsidRDefault="007566CD" w:rsidP="0026196C">
            <w:pPr>
              <w:spacing w:line="360" w:lineRule="auto"/>
              <w:jc w:val="right"/>
              <w:rPr>
                <w:rFonts w:eastAsiaTheme="minorEastAsia"/>
                <w:color w:val="000000" w:themeColor="text1"/>
                <w:szCs w:val="21"/>
              </w:rPr>
            </w:pPr>
            <w:r w:rsidRPr="00896265">
              <w:rPr>
                <w:rFonts w:eastAsiaTheme="minorEastAsia"/>
                <w:color w:val="000000" w:themeColor="text1"/>
                <w:szCs w:val="21"/>
              </w:rPr>
              <w:t>317,995.34</w:t>
            </w:r>
          </w:p>
        </w:tc>
        <w:tc>
          <w:tcPr>
            <w:tcW w:w="3150" w:type="dxa"/>
            <w:vAlign w:val="center"/>
          </w:tcPr>
          <w:p w:rsidR="007566CD" w:rsidRPr="00896265" w:rsidRDefault="007566CD" w:rsidP="0026196C">
            <w:pPr>
              <w:spacing w:line="360" w:lineRule="auto"/>
              <w:jc w:val="right"/>
              <w:rPr>
                <w:rFonts w:eastAsiaTheme="minorEastAsia"/>
                <w:color w:val="000000" w:themeColor="text1"/>
                <w:szCs w:val="21"/>
              </w:rPr>
            </w:pPr>
            <w:r w:rsidRPr="00896265">
              <w:rPr>
                <w:rFonts w:eastAsiaTheme="minorEastAsia"/>
                <w:color w:val="000000" w:themeColor="text1"/>
                <w:szCs w:val="21"/>
              </w:rPr>
              <w:t>272,719.36</w:t>
            </w:r>
          </w:p>
        </w:tc>
      </w:tr>
    </w:tbl>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7.4.7.9</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实收基金</w:t>
      </w:r>
    </w:p>
    <w:p w:rsidR="003970C2" w:rsidRPr="00896265" w:rsidRDefault="003970C2" w:rsidP="003970C2">
      <w:pPr>
        <w:adjustRightInd w:val="0"/>
        <w:snapToGrid w:val="0"/>
        <w:spacing w:line="360" w:lineRule="auto"/>
        <w:rPr>
          <w:rFonts w:eastAsiaTheme="minorEastAsia"/>
          <w:b/>
          <w:color w:val="000000"/>
          <w:szCs w:val="21"/>
        </w:rPr>
      </w:pPr>
      <w:r w:rsidRPr="00896265">
        <w:rPr>
          <w:rFonts w:eastAsiaTheme="minorEastAsia"/>
          <w:szCs w:val="21"/>
        </w:rPr>
        <w:t>易方达黄金主题（</w:t>
      </w:r>
      <w:r w:rsidRPr="00896265">
        <w:rPr>
          <w:rFonts w:eastAsiaTheme="minorEastAsia"/>
          <w:szCs w:val="21"/>
        </w:rPr>
        <w:t>QDII-LOF-FOF</w:t>
      </w:r>
      <w:r w:rsidRPr="00896265">
        <w:rPr>
          <w:rFonts w:eastAsiaTheme="minorEastAsia"/>
          <w:szCs w:val="21"/>
        </w:rPr>
        <w:t>）</w:t>
      </w:r>
      <w:r w:rsidRPr="00896265">
        <w:rPr>
          <w:rFonts w:eastAsiaTheme="minorEastAsia"/>
          <w:szCs w:val="21"/>
        </w:rPr>
        <w:t>A</w:t>
      </w:r>
    </w:p>
    <w:p w:rsidR="003970C2" w:rsidRPr="00896265" w:rsidRDefault="003970C2" w:rsidP="003970C2">
      <w:pPr>
        <w:adjustRightInd w:val="0"/>
        <w:snapToGrid w:val="0"/>
        <w:spacing w:line="360" w:lineRule="auto"/>
        <w:jc w:val="right"/>
        <w:rPr>
          <w:rFonts w:eastAsiaTheme="minorEastAsia"/>
          <w:color w:val="000000"/>
          <w:szCs w:val="21"/>
        </w:rPr>
      </w:pPr>
      <w:r w:rsidRPr="00896265">
        <w:rPr>
          <w:rFonts w:eastAsiaTheme="minor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3970C2" w:rsidRPr="00896265" w:rsidTr="008A3814">
        <w:trPr>
          <w:jc w:val="center"/>
        </w:trPr>
        <w:tc>
          <w:tcPr>
            <w:tcW w:w="3120" w:type="dxa"/>
            <w:vMerge w:val="restart"/>
            <w:vAlign w:val="center"/>
          </w:tcPr>
          <w:p w:rsidR="003970C2" w:rsidRPr="00896265" w:rsidRDefault="003970C2" w:rsidP="008A3814">
            <w:pPr>
              <w:widowControl/>
              <w:autoSpaceDE w:val="0"/>
              <w:autoSpaceDN w:val="0"/>
              <w:spacing w:line="360" w:lineRule="auto"/>
              <w:ind w:right="-15"/>
              <w:jc w:val="center"/>
              <w:textAlignment w:val="bottom"/>
              <w:rPr>
                <w:rFonts w:eastAsiaTheme="minorEastAsia"/>
                <w:color w:val="000000"/>
                <w:szCs w:val="21"/>
              </w:rPr>
            </w:pPr>
            <w:r w:rsidRPr="00896265">
              <w:rPr>
                <w:rFonts w:eastAsiaTheme="minorEastAsia"/>
                <w:color w:val="000000"/>
                <w:szCs w:val="21"/>
              </w:rPr>
              <w:t>项目</w:t>
            </w:r>
          </w:p>
        </w:tc>
        <w:tc>
          <w:tcPr>
            <w:tcW w:w="6240" w:type="dxa"/>
            <w:gridSpan w:val="2"/>
            <w:vAlign w:val="center"/>
          </w:tcPr>
          <w:p w:rsidR="003970C2" w:rsidRPr="00896265" w:rsidRDefault="003970C2" w:rsidP="008A3814">
            <w:pPr>
              <w:spacing w:line="360" w:lineRule="auto"/>
              <w:jc w:val="center"/>
              <w:rPr>
                <w:rFonts w:eastAsiaTheme="minorEastAsia"/>
                <w:color w:val="000000"/>
                <w:szCs w:val="21"/>
              </w:rPr>
            </w:pPr>
            <w:r w:rsidRPr="00896265">
              <w:rPr>
                <w:rFonts w:eastAsiaTheme="minorEastAsia"/>
                <w:color w:val="000000"/>
                <w:szCs w:val="21"/>
              </w:rPr>
              <w:t>本期</w:t>
            </w:r>
          </w:p>
          <w:p w:rsidR="003970C2" w:rsidRPr="00896265" w:rsidRDefault="003970C2" w:rsidP="008A3814">
            <w:pPr>
              <w:widowControl/>
              <w:autoSpaceDE w:val="0"/>
              <w:autoSpaceDN w:val="0"/>
              <w:spacing w:line="360" w:lineRule="auto"/>
              <w:ind w:right="-15"/>
              <w:jc w:val="center"/>
              <w:textAlignment w:val="bottom"/>
              <w:rPr>
                <w:rFonts w:eastAsiaTheme="minorEastAsia"/>
                <w:color w:val="000000"/>
                <w:szCs w:val="21"/>
              </w:rPr>
            </w:pPr>
            <w:r w:rsidRPr="00896265">
              <w:rPr>
                <w:rFonts w:eastAsiaTheme="minorEastAsia"/>
                <w:szCs w:val="21"/>
              </w:rPr>
              <w:t>2019</w:t>
            </w:r>
            <w:r w:rsidRPr="00896265">
              <w:rPr>
                <w:rFonts w:eastAsiaTheme="minorEastAsia"/>
                <w:szCs w:val="21"/>
              </w:rPr>
              <w:t>年</w:t>
            </w:r>
            <w:r w:rsidRPr="00896265">
              <w:rPr>
                <w:rFonts w:eastAsiaTheme="minorEastAsia"/>
                <w:szCs w:val="21"/>
              </w:rPr>
              <w:t>1</w:t>
            </w:r>
            <w:r w:rsidRPr="00896265">
              <w:rPr>
                <w:rFonts w:eastAsiaTheme="minorEastAsia"/>
                <w:szCs w:val="21"/>
              </w:rPr>
              <w:t>月</w:t>
            </w:r>
            <w:r w:rsidRPr="00896265">
              <w:rPr>
                <w:rFonts w:eastAsiaTheme="minorEastAsia"/>
                <w:szCs w:val="21"/>
              </w:rPr>
              <w:t>1</w:t>
            </w:r>
            <w:r w:rsidRPr="00896265">
              <w:rPr>
                <w:rFonts w:eastAsiaTheme="minorEastAsia"/>
                <w:szCs w:val="21"/>
              </w:rPr>
              <w:t>日至</w:t>
            </w:r>
            <w:r w:rsidRPr="00896265">
              <w:rPr>
                <w:rFonts w:eastAsiaTheme="minorEastAsia"/>
                <w:szCs w:val="21"/>
              </w:rPr>
              <w:t>2019</w:t>
            </w:r>
            <w:r w:rsidRPr="00896265">
              <w:rPr>
                <w:rFonts w:eastAsiaTheme="minorEastAsia"/>
                <w:szCs w:val="21"/>
              </w:rPr>
              <w:t>年</w:t>
            </w:r>
            <w:r w:rsidRPr="00896265">
              <w:rPr>
                <w:rFonts w:eastAsiaTheme="minorEastAsia"/>
                <w:szCs w:val="21"/>
              </w:rPr>
              <w:t>12</w:t>
            </w:r>
            <w:r w:rsidRPr="00896265">
              <w:rPr>
                <w:rFonts w:eastAsiaTheme="minorEastAsia"/>
                <w:szCs w:val="21"/>
              </w:rPr>
              <w:t>月</w:t>
            </w:r>
            <w:r w:rsidRPr="00896265">
              <w:rPr>
                <w:rFonts w:eastAsiaTheme="minorEastAsia"/>
                <w:szCs w:val="21"/>
              </w:rPr>
              <w:t>31</w:t>
            </w:r>
            <w:r w:rsidRPr="00896265">
              <w:rPr>
                <w:rFonts w:eastAsiaTheme="minorEastAsia"/>
                <w:szCs w:val="21"/>
              </w:rPr>
              <w:t>日</w:t>
            </w:r>
          </w:p>
        </w:tc>
      </w:tr>
      <w:tr w:rsidR="003970C2" w:rsidRPr="00896265" w:rsidTr="008A3814">
        <w:trPr>
          <w:jc w:val="center"/>
        </w:trPr>
        <w:tc>
          <w:tcPr>
            <w:tcW w:w="3120" w:type="dxa"/>
            <w:vMerge/>
            <w:vAlign w:val="center"/>
          </w:tcPr>
          <w:p w:rsidR="003970C2" w:rsidRPr="00896265" w:rsidRDefault="003970C2" w:rsidP="008A3814">
            <w:pPr>
              <w:widowControl/>
              <w:spacing w:line="360" w:lineRule="auto"/>
              <w:jc w:val="left"/>
              <w:rPr>
                <w:rFonts w:eastAsiaTheme="minorEastAsia"/>
                <w:color w:val="000000"/>
                <w:szCs w:val="21"/>
              </w:rPr>
            </w:pPr>
          </w:p>
        </w:tc>
        <w:tc>
          <w:tcPr>
            <w:tcW w:w="3120" w:type="dxa"/>
            <w:vAlign w:val="center"/>
          </w:tcPr>
          <w:p w:rsidR="003970C2" w:rsidRPr="00896265" w:rsidRDefault="003970C2" w:rsidP="008A3814">
            <w:pPr>
              <w:widowControl/>
              <w:autoSpaceDE w:val="0"/>
              <w:autoSpaceDN w:val="0"/>
              <w:spacing w:line="360" w:lineRule="auto"/>
              <w:ind w:right="-15"/>
              <w:jc w:val="center"/>
              <w:textAlignment w:val="bottom"/>
              <w:rPr>
                <w:rFonts w:eastAsiaTheme="minorEastAsia"/>
                <w:color w:val="000000"/>
                <w:szCs w:val="21"/>
              </w:rPr>
            </w:pPr>
            <w:r w:rsidRPr="00896265">
              <w:rPr>
                <w:rFonts w:eastAsiaTheme="minorEastAsia"/>
                <w:color w:val="000000"/>
                <w:kern w:val="0"/>
                <w:szCs w:val="21"/>
              </w:rPr>
              <w:t>基金份额</w:t>
            </w:r>
            <w:r w:rsidRPr="00896265">
              <w:rPr>
                <w:color w:val="000000"/>
                <w:kern w:val="0"/>
                <w:szCs w:val="21"/>
              </w:rPr>
              <w:t>（份）</w:t>
            </w:r>
          </w:p>
        </w:tc>
        <w:tc>
          <w:tcPr>
            <w:tcW w:w="3120" w:type="dxa"/>
            <w:vAlign w:val="center"/>
          </w:tcPr>
          <w:p w:rsidR="003970C2" w:rsidRPr="00896265" w:rsidRDefault="003970C2" w:rsidP="008A3814">
            <w:pPr>
              <w:widowControl/>
              <w:autoSpaceDE w:val="0"/>
              <w:autoSpaceDN w:val="0"/>
              <w:spacing w:line="360" w:lineRule="auto"/>
              <w:ind w:right="-15"/>
              <w:jc w:val="center"/>
              <w:textAlignment w:val="bottom"/>
              <w:rPr>
                <w:rFonts w:eastAsiaTheme="minorEastAsia"/>
                <w:color w:val="000000"/>
                <w:szCs w:val="21"/>
              </w:rPr>
            </w:pPr>
            <w:r w:rsidRPr="00896265">
              <w:rPr>
                <w:rFonts w:eastAsiaTheme="minorEastAsia"/>
                <w:color w:val="000000"/>
                <w:kern w:val="0"/>
                <w:szCs w:val="21"/>
              </w:rPr>
              <w:t>账面金额</w:t>
            </w:r>
          </w:p>
        </w:tc>
      </w:tr>
      <w:tr w:rsidR="003970C2" w:rsidRPr="00896265" w:rsidTr="008A3814">
        <w:trPr>
          <w:jc w:val="center"/>
        </w:trPr>
        <w:tc>
          <w:tcPr>
            <w:tcW w:w="3120" w:type="dxa"/>
            <w:vAlign w:val="center"/>
          </w:tcPr>
          <w:p w:rsidR="003970C2" w:rsidRPr="00896265" w:rsidRDefault="003970C2" w:rsidP="008A3814">
            <w:pPr>
              <w:spacing w:line="360" w:lineRule="auto"/>
              <w:rPr>
                <w:rFonts w:eastAsiaTheme="minorEastAsia"/>
                <w:color w:val="000000"/>
                <w:szCs w:val="21"/>
              </w:rPr>
            </w:pPr>
            <w:r w:rsidRPr="00896265">
              <w:rPr>
                <w:color w:val="000000"/>
                <w:szCs w:val="21"/>
              </w:rPr>
              <w:t>上年度末</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375,538,714.53</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375,538,714.53</w:t>
            </w:r>
          </w:p>
        </w:tc>
      </w:tr>
      <w:tr w:rsidR="003970C2" w:rsidRPr="00896265" w:rsidTr="008A3814">
        <w:trPr>
          <w:jc w:val="center"/>
        </w:trPr>
        <w:tc>
          <w:tcPr>
            <w:tcW w:w="3120" w:type="dxa"/>
            <w:vAlign w:val="center"/>
          </w:tcPr>
          <w:p w:rsidR="003970C2" w:rsidRPr="00896265" w:rsidRDefault="003970C2" w:rsidP="008A3814">
            <w:pPr>
              <w:spacing w:line="360" w:lineRule="auto"/>
              <w:rPr>
                <w:rFonts w:eastAsiaTheme="minorEastAsia"/>
                <w:color w:val="000000"/>
                <w:szCs w:val="21"/>
              </w:rPr>
            </w:pPr>
            <w:r w:rsidRPr="00896265">
              <w:rPr>
                <w:rFonts w:eastAsiaTheme="minorEastAsia"/>
                <w:color w:val="000000"/>
                <w:szCs w:val="21"/>
              </w:rPr>
              <w:t>本期申购</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579,237,209.83</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579,237,209.83</w:t>
            </w:r>
          </w:p>
        </w:tc>
      </w:tr>
      <w:tr w:rsidR="003970C2" w:rsidRPr="00896265" w:rsidTr="008A3814">
        <w:trPr>
          <w:jc w:val="center"/>
        </w:trPr>
        <w:tc>
          <w:tcPr>
            <w:tcW w:w="3120" w:type="dxa"/>
            <w:vAlign w:val="center"/>
          </w:tcPr>
          <w:p w:rsidR="003970C2" w:rsidRPr="00896265" w:rsidRDefault="003970C2" w:rsidP="008A3814">
            <w:pPr>
              <w:spacing w:line="360" w:lineRule="auto"/>
              <w:rPr>
                <w:rFonts w:eastAsiaTheme="minorEastAsia"/>
                <w:color w:val="000000"/>
                <w:szCs w:val="21"/>
              </w:rPr>
            </w:pPr>
            <w:r w:rsidRPr="00896265">
              <w:rPr>
                <w:rFonts w:eastAsiaTheme="minorEastAsia"/>
                <w:color w:val="000000"/>
                <w:szCs w:val="21"/>
              </w:rPr>
              <w:t>本期赎回（以</w:t>
            </w:r>
            <w:r w:rsidRPr="00896265">
              <w:rPr>
                <w:rFonts w:eastAsiaTheme="minorEastAsia"/>
                <w:color w:val="000000"/>
                <w:szCs w:val="21"/>
              </w:rPr>
              <w:t>“-”</w:t>
            </w:r>
            <w:r w:rsidRPr="00896265">
              <w:rPr>
                <w:rFonts w:eastAsiaTheme="minorEastAsia"/>
                <w:color w:val="000000"/>
                <w:szCs w:val="21"/>
              </w:rPr>
              <w:t>号填列）</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-526,072,537.10</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-526,072,537.10</w:t>
            </w:r>
          </w:p>
        </w:tc>
      </w:tr>
      <w:tr w:rsidR="003970C2" w:rsidRPr="00896265" w:rsidTr="008A3814">
        <w:trPr>
          <w:jc w:val="center"/>
        </w:trPr>
        <w:tc>
          <w:tcPr>
            <w:tcW w:w="3120" w:type="dxa"/>
            <w:vAlign w:val="center"/>
          </w:tcPr>
          <w:p w:rsidR="003970C2" w:rsidRPr="00896265" w:rsidRDefault="003970C2" w:rsidP="008A3814">
            <w:pPr>
              <w:spacing w:line="360" w:lineRule="auto"/>
              <w:rPr>
                <w:rFonts w:eastAsiaTheme="minorEastAsia"/>
                <w:color w:val="000000"/>
                <w:szCs w:val="21"/>
              </w:rPr>
            </w:pPr>
            <w:r w:rsidRPr="00896265">
              <w:rPr>
                <w:rFonts w:eastAsiaTheme="minorEastAsia"/>
                <w:szCs w:val="21"/>
              </w:rPr>
              <w:t>本期末</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428,703,387.26</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428,703,387.26</w:t>
            </w:r>
          </w:p>
        </w:tc>
      </w:tr>
    </w:tbl>
    <w:p w:rsidR="003970C2" w:rsidRPr="00896265" w:rsidRDefault="003970C2" w:rsidP="003970C2">
      <w:pPr>
        <w:adjustRightInd w:val="0"/>
        <w:snapToGrid w:val="0"/>
        <w:spacing w:line="360" w:lineRule="auto"/>
        <w:rPr>
          <w:rFonts w:eastAsiaTheme="minorEastAsia"/>
          <w:szCs w:val="21"/>
        </w:rPr>
      </w:pPr>
      <w:r w:rsidRPr="00896265">
        <w:rPr>
          <w:rFonts w:eastAsiaTheme="minorEastAsia"/>
          <w:szCs w:val="21"/>
        </w:rPr>
        <w:t>易方达黄金主题（</w:t>
      </w:r>
      <w:r w:rsidRPr="00896265">
        <w:rPr>
          <w:rFonts w:eastAsiaTheme="minorEastAsia"/>
          <w:szCs w:val="21"/>
        </w:rPr>
        <w:t>QDII-LOF-FOF</w:t>
      </w:r>
      <w:r w:rsidRPr="00896265">
        <w:rPr>
          <w:rFonts w:eastAsiaTheme="minorEastAsia"/>
          <w:szCs w:val="21"/>
        </w:rPr>
        <w:t>）</w:t>
      </w:r>
      <w:r w:rsidRPr="00896265">
        <w:rPr>
          <w:rFonts w:eastAsiaTheme="minorEastAsia"/>
          <w:szCs w:val="21"/>
        </w:rPr>
        <w:t>C</w:t>
      </w:r>
    </w:p>
    <w:p w:rsidR="003970C2" w:rsidRPr="00896265" w:rsidRDefault="003970C2" w:rsidP="003970C2">
      <w:pPr>
        <w:adjustRightInd w:val="0"/>
        <w:snapToGrid w:val="0"/>
        <w:spacing w:line="360" w:lineRule="auto"/>
        <w:jc w:val="right"/>
        <w:rPr>
          <w:rFonts w:eastAsiaTheme="minorEastAsia"/>
          <w:color w:val="000000"/>
          <w:szCs w:val="21"/>
        </w:rPr>
      </w:pPr>
      <w:r w:rsidRPr="00896265">
        <w:rPr>
          <w:rFonts w:eastAsiaTheme="minor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3970C2" w:rsidRPr="00896265" w:rsidTr="008A3814">
        <w:trPr>
          <w:jc w:val="center"/>
        </w:trPr>
        <w:tc>
          <w:tcPr>
            <w:tcW w:w="3120" w:type="dxa"/>
            <w:vMerge w:val="restart"/>
            <w:vAlign w:val="center"/>
          </w:tcPr>
          <w:p w:rsidR="003970C2" w:rsidRPr="00896265" w:rsidRDefault="003970C2" w:rsidP="008A3814">
            <w:pPr>
              <w:widowControl/>
              <w:autoSpaceDE w:val="0"/>
              <w:autoSpaceDN w:val="0"/>
              <w:spacing w:line="360" w:lineRule="auto"/>
              <w:ind w:right="-15"/>
              <w:jc w:val="center"/>
              <w:textAlignment w:val="bottom"/>
              <w:rPr>
                <w:rFonts w:eastAsiaTheme="minorEastAsia"/>
                <w:color w:val="000000"/>
                <w:szCs w:val="21"/>
              </w:rPr>
            </w:pPr>
            <w:r w:rsidRPr="00896265">
              <w:rPr>
                <w:rFonts w:eastAsiaTheme="minorEastAsia"/>
                <w:color w:val="000000"/>
                <w:szCs w:val="21"/>
              </w:rPr>
              <w:t>项目</w:t>
            </w:r>
          </w:p>
        </w:tc>
        <w:tc>
          <w:tcPr>
            <w:tcW w:w="6240" w:type="dxa"/>
            <w:gridSpan w:val="2"/>
            <w:vAlign w:val="center"/>
          </w:tcPr>
          <w:p w:rsidR="003970C2" w:rsidRPr="00896265" w:rsidRDefault="003970C2" w:rsidP="008A3814">
            <w:pPr>
              <w:widowControl/>
              <w:autoSpaceDE w:val="0"/>
              <w:autoSpaceDN w:val="0"/>
              <w:spacing w:line="360" w:lineRule="auto"/>
              <w:ind w:right="-15"/>
              <w:jc w:val="center"/>
              <w:textAlignment w:val="bottom"/>
              <w:rPr>
                <w:rFonts w:eastAsiaTheme="minorEastAsia"/>
                <w:color w:val="000000"/>
                <w:szCs w:val="21"/>
              </w:rPr>
            </w:pPr>
            <w:r w:rsidRPr="00896265">
              <w:rPr>
                <w:rFonts w:eastAsiaTheme="minorEastAsia"/>
                <w:color w:val="000000"/>
                <w:szCs w:val="21"/>
              </w:rPr>
              <w:t>本期</w:t>
            </w:r>
          </w:p>
          <w:p w:rsidR="003970C2" w:rsidRPr="00896265" w:rsidRDefault="003970C2" w:rsidP="008A3814">
            <w:pPr>
              <w:widowControl/>
              <w:autoSpaceDE w:val="0"/>
              <w:autoSpaceDN w:val="0"/>
              <w:spacing w:line="360" w:lineRule="auto"/>
              <w:ind w:right="-15"/>
              <w:jc w:val="center"/>
              <w:textAlignment w:val="bottom"/>
              <w:rPr>
                <w:rFonts w:eastAsiaTheme="minorEastAsia"/>
                <w:color w:val="000000"/>
                <w:szCs w:val="21"/>
              </w:rPr>
            </w:pPr>
            <w:r w:rsidRPr="00896265">
              <w:rPr>
                <w:rFonts w:eastAsiaTheme="minorEastAsia"/>
                <w:szCs w:val="21"/>
              </w:rPr>
              <w:t>2019</w:t>
            </w:r>
            <w:r w:rsidRPr="00896265">
              <w:rPr>
                <w:rFonts w:eastAsiaTheme="minorEastAsia"/>
                <w:szCs w:val="21"/>
              </w:rPr>
              <w:t>年</w:t>
            </w:r>
            <w:r w:rsidRPr="00896265">
              <w:rPr>
                <w:rFonts w:eastAsiaTheme="minorEastAsia"/>
                <w:szCs w:val="21"/>
              </w:rPr>
              <w:t>1</w:t>
            </w:r>
            <w:r w:rsidRPr="00896265">
              <w:rPr>
                <w:rFonts w:eastAsiaTheme="minorEastAsia"/>
                <w:szCs w:val="21"/>
              </w:rPr>
              <w:t>月</w:t>
            </w:r>
            <w:r w:rsidRPr="00896265">
              <w:rPr>
                <w:rFonts w:eastAsiaTheme="minorEastAsia"/>
                <w:szCs w:val="21"/>
              </w:rPr>
              <w:t>1</w:t>
            </w:r>
            <w:r w:rsidRPr="00896265">
              <w:rPr>
                <w:rFonts w:eastAsiaTheme="minorEastAsia"/>
                <w:szCs w:val="21"/>
              </w:rPr>
              <w:t>日至</w:t>
            </w:r>
            <w:r w:rsidRPr="00896265">
              <w:rPr>
                <w:rFonts w:eastAsiaTheme="minorEastAsia"/>
                <w:szCs w:val="21"/>
              </w:rPr>
              <w:t>2019</w:t>
            </w:r>
            <w:r w:rsidRPr="00896265">
              <w:rPr>
                <w:rFonts w:eastAsiaTheme="minorEastAsia"/>
                <w:szCs w:val="21"/>
              </w:rPr>
              <w:t>年</w:t>
            </w:r>
            <w:r w:rsidRPr="00896265">
              <w:rPr>
                <w:rFonts w:eastAsiaTheme="minorEastAsia"/>
                <w:szCs w:val="21"/>
              </w:rPr>
              <w:t>12</w:t>
            </w:r>
            <w:r w:rsidRPr="00896265">
              <w:rPr>
                <w:rFonts w:eastAsiaTheme="minorEastAsia"/>
                <w:szCs w:val="21"/>
              </w:rPr>
              <w:t>月</w:t>
            </w:r>
            <w:r w:rsidRPr="00896265">
              <w:rPr>
                <w:rFonts w:eastAsiaTheme="minorEastAsia"/>
                <w:szCs w:val="21"/>
              </w:rPr>
              <w:t>31</w:t>
            </w:r>
            <w:r w:rsidRPr="00896265">
              <w:rPr>
                <w:rFonts w:eastAsiaTheme="minorEastAsia"/>
                <w:szCs w:val="21"/>
              </w:rPr>
              <w:t>日</w:t>
            </w:r>
          </w:p>
        </w:tc>
      </w:tr>
      <w:tr w:rsidR="003970C2" w:rsidRPr="00896265" w:rsidTr="008A3814">
        <w:trPr>
          <w:jc w:val="center"/>
        </w:trPr>
        <w:tc>
          <w:tcPr>
            <w:tcW w:w="3120" w:type="dxa"/>
            <w:vMerge/>
            <w:vAlign w:val="center"/>
          </w:tcPr>
          <w:p w:rsidR="003970C2" w:rsidRPr="00896265" w:rsidRDefault="003970C2" w:rsidP="008A3814">
            <w:pPr>
              <w:widowControl/>
              <w:spacing w:line="360" w:lineRule="auto"/>
              <w:jc w:val="left"/>
              <w:rPr>
                <w:rFonts w:eastAsiaTheme="minorEastAsia"/>
                <w:color w:val="000000"/>
                <w:szCs w:val="21"/>
              </w:rPr>
            </w:pPr>
          </w:p>
        </w:tc>
        <w:tc>
          <w:tcPr>
            <w:tcW w:w="3120" w:type="dxa"/>
            <w:vAlign w:val="center"/>
          </w:tcPr>
          <w:p w:rsidR="003970C2" w:rsidRPr="00896265" w:rsidRDefault="003970C2" w:rsidP="008A3814">
            <w:pPr>
              <w:widowControl/>
              <w:autoSpaceDE w:val="0"/>
              <w:autoSpaceDN w:val="0"/>
              <w:spacing w:line="360" w:lineRule="auto"/>
              <w:ind w:right="-15"/>
              <w:jc w:val="center"/>
              <w:textAlignment w:val="bottom"/>
              <w:rPr>
                <w:rFonts w:eastAsiaTheme="minorEastAsia"/>
                <w:color w:val="000000"/>
                <w:szCs w:val="21"/>
              </w:rPr>
            </w:pPr>
            <w:r w:rsidRPr="00896265">
              <w:rPr>
                <w:rFonts w:eastAsiaTheme="minorEastAsia"/>
                <w:color w:val="000000"/>
                <w:kern w:val="0"/>
                <w:szCs w:val="21"/>
              </w:rPr>
              <w:t>基金份额</w:t>
            </w:r>
            <w:r w:rsidRPr="00896265">
              <w:rPr>
                <w:color w:val="000000"/>
                <w:kern w:val="0"/>
                <w:szCs w:val="21"/>
              </w:rPr>
              <w:t>（份）</w:t>
            </w:r>
          </w:p>
        </w:tc>
        <w:tc>
          <w:tcPr>
            <w:tcW w:w="3120" w:type="dxa"/>
            <w:vAlign w:val="center"/>
          </w:tcPr>
          <w:p w:rsidR="003970C2" w:rsidRPr="00896265" w:rsidRDefault="003970C2" w:rsidP="008A3814">
            <w:pPr>
              <w:widowControl/>
              <w:autoSpaceDE w:val="0"/>
              <w:autoSpaceDN w:val="0"/>
              <w:spacing w:line="360" w:lineRule="auto"/>
              <w:ind w:right="-15"/>
              <w:jc w:val="center"/>
              <w:textAlignment w:val="bottom"/>
              <w:rPr>
                <w:rFonts w:eastAsiaTheme="minorEastAsia"/>
                <w:color w:val="000000"/>
                <w:szCs w:val="21"/>
              </w:rPr>
            </w:pPr>
            <w:r w:rsidRPr="00896265">
              <w:rPr>
                <w:rFonts w:eastAsiaTheme="minorEastAsia"/>
                <w:color w:val="000000"/>
                <w:kern w:val="0"/>
                <w:szCs w:val="21"/>
              </w:rPr>
              <w:t>账面金额</w:t>
            </w:r>
          </w:p>
        </w:tc>
      </w:tr>
      <w:tr w:rsidR="003970C2" w:rsidRPr="00896265" w:rsidTr="008A3814">
        <w:trPr>
          <w:jc w:val="center"/>
        </w:trPr>
        <w:tc>
          <w:tcPr>
            <w:tcW w:w="3120" w:type="dxa"/>
            <w:vAlign w:val="center"/>
          </w:tcPr>
          <w:p w:rsidR="003970C2" w:rsidRPr="00896265" w:rsidRDefault="003970C2" w:rsidP="008A3814">
            <w:pPr>
              <w:spacing w:line="360" w:lineRule="auto"/>
              <w:rPr>
                <w:rFonts w:eastAsiaTheme="minorEastAsia"/>
                <w:color w:val="000000"/>
                <w:szCs w:val="21"/>
              </w:rPr>
            </w:pPr>
            <w:r w:rsidRPr="00896265">
              <w:rPr>
                <w:rFonts w:eastAsiaTheme="minorEastAsia"/>
                <w:color w:val="000000"/>
                <w:szCs w:val="21"/>
              </w:rPr>
              <w:t>本期申购</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610,006.59</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610,006.59</w:t>
            </w:r>
          </w:p>
        </w:tc>
      </w:tr>
      <w:tr w:rsidR="003970C2" w:rsidRPr="00896265" w:rsidTr="008A3814">
        <w:trPr>
          <w:jc w:val="center"/>
        </w:trPr>
        <w:tc>
          <w:tcPr>
            <w:tcW w:w="3120" w:type="dxa"/>
            <w:vAlign w:val="center"/>
          </w:tcPr>
          <w:p w:rsidR="003970C2" w:rsidRPr="00896265" w:rsidRDefault="003970C2" w:rsidP="008A3814">
            <w:pPr>
              <w:spacing w:line="360" w:lineRule="auto"/>
              <w:rPr>
                <w:rFonts w:eastAsiaTheme="minorEastAsia"/>
                <w:color w:val="000000"/>
                <w:szCs w:val="21"/>
              </w:rPr>
            </w:pPr>
            <w:r w:rsidRPr="00896265">
              <w:rPr>
                <w:rFonts w:eastAsiaTheme="minorEastAsia"/>
                <w:color w:val="000000"/>
                <w:szCs w:val="21"/>
              </w:rPr>
              <w:t>本期赎回（以</w:t>
            </w:r>
            <w:r w:rsidRPr="00896265">
              <w:rPr>
                <w:rFonts w:eastAsiaTheme="minorEastAsia"/>
                <w:color w:val="000000"/>
                <w:szCs w:val="21"/>
              </w:rPr>
              <w:t>“-”</w:t>
            </w:r>
            <w:r w:rsidRPr="00896265">
              <w:rPr>
                <w:rFonts w:eastAsiaTheme="minorEastAsia"/>
                <w:color w:val="000000"/>
                <w:szCs w:val="21"/>
              </w:rPr>
              <w:t>号填列）</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-156,187.72</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-156,187.72</w:t>
            </w:r>
          </w:p>
        </w:tc>
      </w:tr>
      <w:tr w:rsidR="003970C2" w:rsidRPr="00896265" w:rsidTr="008A3814">
        <w:trPr>
          <w:jc w:val="center"/>
        </w:trPr>
        <w:tc>
          <w:tcPr>
            <w:tcW w:w="3120" w:type="dxa"/>
            <w:vAlign w:val="center"/>
          </w:tcPr>
          <w:p w:rsidR="003970C2" w:rsidRPr="00896265" w:rsidRDefault="003970C2" w:rsidP="008A3814">
            <w:pPr>
              <w:spacing w:line="360" w:lineRule="auto"/>
              <w:rPr>
                <w:rFonts w:eastAsiaTheme="minorEastAsia"/>
                <w:color w:val="000000"/>
                <w:szCs w:val="21"/>
              </w:rPr>
            </w:pPr>
            <w:r w:rsidRPr="00896265">
              <w:rPr>
                <w:rFonts w:eastAsiaTheme="minorEastAsia"/>
                <w:szCs w:val="21"/>
              </w:rPr>
              <w:t>本期末</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453,818.87</w:t>
            </w:r>
          </w:p>
        </w:tc>
        <w:tc>
          <w:tcPr>
            <w:tcW w:w="3120" w:type="dxa"/>
            <w:vAlign w:val="center"/>
          </w:tcPr>
          <w:p w:rsidR="003970C2" w:rsidRPr="00896265" w:rsidRDefault="003970C2" w:rsidP="008A3814">
            <w:pPr>
              <w:spacing w:line="360" w:lineRule="auto"/>
              <w:jc w:val="right"/>
              <w:rPr>
                <w:rFonts w:eastAsiaTheme="minorEastAsia"/>
                <w:szCs w:val="21"/>
              </w:rPr>
            </w:pPr>
            <w:r w:rsidRPr="00896265">
              <w:rPr>
                <w:rFonts w:eastAsiaTheme="minorEastAsia"/>
                <w:szCs w:val="21"/>
              </w:rPr>
              <w:t>453,818.87</w:t>
            </w:r>
          </w:p>
        </w:tc>
      </w:tr>
    </w:tbl>
    <w:p w:rsidR="00C84E91" w:rsidRPr="00896265" w:rsidRDefault="003970C2" w:rsidP="003970C2">
      <w:pPr>
        <w:adjustRightInd w:val="0"/>
        <w:snapToGrid w:val="0"/>
        <w:spacing w:line="360" w:lineRule="auto"/>
        <w:ind w:firstLineChars="200" w:firstLine="420"/>
        <w:jc w:val="left"/>
        <w:rPr>
          <w:rFonts w:eastAsiaTheme="minorEastAsia"/>
          <w:color w:val="000000" w:themeColor="text1"/>
          <w:szCs w:val="21"/>
        </w:rPr>
      </w:pPr>
      <w:r w:rsidRPr="00896265">
        <w:rPr>
          <w:rFonts w:eastAsiaTheme="minorEastAsia"/>
          <w:kern w:val="0"/>
          <w:szCs w:val="21"/>
        </w:rPr>
        <w:t>注：自</w:t>
      </w:r>
      <w:r w:rsidRPr="00896265">
        <w:rPr>
          <w:rFonts w:eastAsiaTheme="minorEastAsia"/>
          <w:kern w:val="0"/>
          <w:szCs w:val="21"/>
        </w:rPr>
        <w:t>2019</w:t>
      </w:r>
      <w:r w:rsidRPr="00896265">
        <w:rPr>
          <w:rFonts w:eastAsiaTheme="minorEastAsia"/>
          <w:kern w:val="0"/>
          <w:szCs w:val="21"/>
        </w:rPr>
        <w:t>年</w:t>
      </w:r>
      <w:r w:rsidRPr="00896265">
        <w:rPr>
          <w:rFonts w:eastAsiaTheme="minorEastAsia"/>
          <w:kern w:val="0"/>
          <w:szCs w:val="21"/>
        </w:rPr>
        <w:t>10</w:t>
      </w:r>
      <w:r w:rsidRPr="00896265">
        <w:rPr>
          <w:rFonts w:eastAsiaTheme="minorEastAsia"/>
          <w:kern w:val="0"/>
          <w:szCs w:val="21"/>
        </w:rPr>
        <w:t>月</w:t>
      </w:r>
      <w:r w:rsidRPr="00896265">
        <w:rPr>
          <w:rFonts w:eastAsiaTheme="minorEastAsia"/>
          <w:kern w:val="0"/>
          <w:szCs w:val="21"/>
        </w:rPr>
        <w:t>11</w:t>
      </w:r>
      <w:r w:rsidRPr="00896265">
        <w:rPr>
          <w:rFonts w:eastAsiaTheme="minorEastAsia"/>
          <w:kern w:val="0"/>
          <w:szCs w:val="21"/>
        </w:rPr>
        <w:t>日起</w:t>
      </w:r>
      <w:r w:rsidRPr="00896265">
        <w:rPr>
          <w:rFonts w:eastAsiaTheme="minorEastAsia"/>
          <w:kern w:val="0"/>
          <w:szCs w:val="21"/>
        </w:rPr>
        <w:t>,</w:t>
      </w:r>
      <w:r w:rsidRPr="00896265">
        <w:rPr>
          <w:rFonts w:eastAsiaTheme="minorEastAsia"/>
          <w:kern w:val="0"/>
          <w:szCs w:val="21"/>
        </w:rPr>
        <w:t>本基金增设</w:t>
      </w:r>
      <w:r w:rsidRPr="00896265">
        <w:rPr>
          <w:rFonts w:eastAsiaTheme="minorEastAsia"/>
          <w:kern w:val="0"/>
          <w:szCs w:val="21"/>
        </w:rPr>
        <w:t>C</w:t>
      </w:r>
      <w:r w:rsidRPr="00896265">
        <w:rPr>
          <w:rFonts w:eastAsiaTheme="minorEastAsia"/>
          <w:kern w:val="0"/>
          <w:szCs w:val="21"/>
        </w:rPr>
        <w:t>类份额类别</w:t>
      </w:r>
      <w:r w:rsidRPr="00896265">
        <w:rPr>
          <w:rFonts w:eastAsiaTheme="minorEastAsia"/>
          <w:kern w:val="0"/>
          <w:szCs w:val="21"/>
        </w:rPr>
        <w:t>,</w:t>
      </w:r>
      <w:r w:rsidRPr="00896265">
        <w:rPr>
          <w:rFonts w:eastAsiaTheme="minorEastAsia"/>
          <w:kern w:val="0"/>
          <w:szCs w:val="21"/>
        </w:rPr>
        <w:t>份额首次确认日为</w:t>
      </w:r>
      <w:r w:rsidRPr="00896265">
        <w:rPr>
          <w:rFonts w:eastAsiaTheme="minorEastAsia"/>
          <w:kern w:val="0"/>
          <w:szCs w:val="21"/>
        </w:rPr>
        <w:t>2019</w:t>
      </w:r>
      <w:r w:rsidRPr="00896265">
        <w:rPr>
          <w:rFonts w:eastAsiaTheme="minorEastAsia"/>
          <w:kern w:val="0"/>
          <w:szCs w:val="21"/>
        </w:rPr>
        <w:t>年</w:t>
      </w:r>
      <w:r w:rsidRPr="00896265">
        <w:rPr>
          <w:rFonts w:eastAsiaTheme="minorEastAsia"/>
          <w:kern w:val="0"/>
          <w:szCs w:val="21"/>
        </w:rPr>
        <w:t>10</w:t>
      </w:r>
      <w:r w:rsidRPr="00896265">
        <w:rPr>
          <w:rFonts w:eastAsiaTheme="minorEastAsia"/>
          <w:kern w:val="0"/>
          <w:szCs w:val="21"/>
        </w:rPr>
        <w:t>月</w:t>
      </w:r>
      <w:r w:rsidRPr="00896265">
        <w:rPr>
          <w:rFonts w:eastAsiaTheme="minorEastAsia"/>
          <w:kern w:val="0"/>
          <w:szCs w:val="21"/>
        </w:rPr>
        <w:t>14</w:t>
      </w:r>
      <w:r w:rsidRPr="00896265">
        <w:rPr>
          <w:rFonts w:eastAsiaTheme="minorEastAsia"/>
          <w:kern w:val="0"/>
          <w:szCs w:val="21"/>
        </w:rPr>
        <w:t>日。</w:t>
      </w:r>
    </w:p>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7.4.7.10</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未分配利润</w:t>
      </w:r>
    </w:p>
    <w:p w:rsidR="00C84E91" w:rsidRPr="00896265" w:rsidRDefault="00C84E91" w:rsidP="00C84E91">
      <w:pPr>
        <w:adjustRightInd w:val="0"/>
        <w:snapToGrid w:val="0"/>
        <w:spacing w:line="360" w:lineRule="auto"/>
        <w:jc w:val="right"/>
        <w:rPr>
          <w:rFonts w:eastAsiaTheme="minorEastAsia"/>
          <w:color w:val="000000" w:themeColor="text1"/>
          <w:szCs w:val="21"/>
        </w:rPr>
      </w:pPr>
      <w:r w:rsidRPr="00896265">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99554A" w:rsidRPr="00896265" w:rsidTr="0099554A">
        <w:tc>
          <w:tcPr>
            <w:tcW w:w="9415" w:type="dxa"/>
            <w:gridSpan w:val="4"/>
          </w:tcPr>
          <w:p w:rsidR="0099554A" w:rsidRPr="00896265" w:rsidRDefault="0099554A" w:rsidP="0099554A">
            <w:pPr>
              <w:spacing w:line="360" w:lineRule="auto"/>
              <w:jc w:val="center"/>
              <w:rPr>
                <w:rFonts w:eastAsiaTheme="minorEastAsia"/>
                <w:color w:val="000000" w:themeColor="text1"/>
                <w:szCs w:val="21"/>
              </w:rPr>
            </w:pPr>
            <w:r w:rsidRPr="00896265">
              <w:rPr>
                <w:rFonts w:eastAsiaTheme="minorEastAsia"/>
                <w:color w:val="000000" w:themeColor="text1"/>
                <w:szCs w:val="21"/>
              </w:rPr>
              <w:t>易方达黄金主题（</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A</w:t>
            </w:r>
          </w:p>
        </w:tc>
      </w:tr>
      <w:tr w:rsidR="00C84E91" w:rsidRPr="00896265" w:rsidTr="0099554A">
        <w:tc>
          <w:tcPr>
            <w:tcW w:w="2706" w:type="dxa"/>
          </w:tcPr>
          <w:p w:rsidR="00C84E91" w:rsidRPr="00896265" w:rsidRDefault="00C84E91" w:rsidP="00C84E91">
            <w:pPr>
              <w:jc w:val="center"/>
              <w:rPr>
                <w:rFonts w:eastAsiaTheme="minorEastAsia"/>
                <w:color w:val="000000" w:themeColor="text1"/>
                <w:szCs w:val="21"/>
              </w:rPr>
            </w:pPr>
            <w:r w:rsidRPr="00896265">
              <w:rPr>
                <w:rFonts w:eastAsiaTheme="minorEastAsia"/>
                <w:color w:val="000000" w:themeColor="text1"/>
                <w:szCs w:val="21"/>
              </w:rPr>
              <w:t>项目</w:t>
            </w:r>
          </w:p>
        </w:tc>
        <w:tc>
          <w:tcPr>
            <w:tcW w:w="2236" w:type="dxa"/>
            <w:vAlign w:val="center"/>
          </w:tcPr>
          <w:p w:rsidR="00C84E91" w:rsidRPr="00896265" w:rsidRDefault="00C84E91" w:rsidP="00C84E91">
            <w:pPr>
              <w:jc w:val="center"/>
              <w:rPr>
                <w:rFonts w:eastAsiaTheme="minorEastAsia"/>
                <w:color w:val="000000" w:themeColor="text1"/>
                <w:szCs w:val="21"/>
              </w:rPr>
            </w:pPr>
            <w:r w:rsidRPr="00896265">
              <w:rPr>
                <w:rFonts w:eastAsiaTheme="minorEastAsia"/>
                <w:color w:val="000000" w:themeColor="text1"/>
                <w:szCs w:val="21"/>
              </w:rPr>
              <w:t>已实现部分</w:t>
            </w:r>
          </w:p>
        </w:tc>
        <w:tc>
          <w:tcPr>
            <w:tcW w:w="2236" w:type="dxa"/>
            <w:vAlign w:val="center"/>
          </w:tcPr>
          <w:p w:rsidR="00C84E91" w:rsidRPr="00896265" w:rsidRDefault="00C84E91" w:rsidP="00C84E91">
            <w:pPr>
              <w:jc w:val="center"/>
              <w:rPr>
                <w:rFonts w:eastAsiaTheme="minorEastAsia"/>
                <w:color w:val="000000" w:themeColor="text1"/>
                <w:szCs w:val="21"/>
              </w:rPr>
            </w:pPr>
            <w:r w:rsidRPr="00896265">
              <w:rPr>
                <w:rFonts w:eastAsiaTheme="minorEastAsia"/>
                <w:color w:val="000000" w:themeColor="text1"/>
                <w:szCs w:val="21"/>
              </w:rPr>
              <w:t>未实现部分</w:t>
            </w:r>
          </w:p>
        </w:tc>
        <w:tc>
          <w:tcPr>
            <w:tcW w:w="2237" w:type="dxa"/>
            <w:vAlign w:val="center"/>
          </w:tcPr>
          <w:p w:rsidR="00C84E91" w:rsidRPr="00896265" w:rsidRDefault="00C84E91" w:rsidP="00C84E91">
            <w:pPr>
              <w:jc w:val="center"/>
              <w:rPr>
                <w:rFonts w:eastAsiaTheme="minorEastAsia"/>
                <w:color w:val="000000" w:themeColor="text1"/>
                <w:szCs w:val="21"/>
              </w:rPr>
            </w:pPr>
            <w:r w:rsidRPr="00896265">
              <w:rPr>
                <w:rFonts w:eastAsiaTheme="minorEastAsia"/>
                <w:color w:val="000000" w:themeColor="text1"/>
                <w:szCs w:val="21"/>
              </w:rPr>
              <w:t>未分配利润合计</w:t>
            </w:r>
          </w:p>
        </w:tc>
      </w:tr>
      <w:tr w:rsidR="00C84E91" w:rsidRPr="00896265" w:rsidTr="0099554A">
        <w:tc>
          <w:tcPr>
            <w:tcW w:w="2706" w:type="dxa"/>
            <w:vAlign w:val="center"/>
          </w:tcPr>
          <w:p w:rsidR="00C84E91" w:rsidRPr="00896265" w:rsidRDefault="00C84E91" w:rsidP="00C84E91">
            <w:pPr>
              <w:rPr>
                <w:rFonts w:eastAsiaTheme="minorEastAsia"/>
                <w:color w:val="000000" w:themeColor="text1"/>
                <w:szCs w:val="21"/>
              </w:rPr>
            </w:pPr>
            <w:r w:rsidRPr="00896265">
              <w:rPr>
                <w:rFonts w:eastAsiaTheme="minorEastAsia"/>
                <w:color w:val="000000" w:themeColor="text1"/>
                <w:szCs w:val="21"/>
              </w:rPr>
              <w:t>上年度末</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-106,367,018.28</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-1,963,914.70</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-108,330,932.98</w:t>
            </w:r>
          </w:p>
        </w:tc>
      </w:tr>
      <w:tr w:rsidR="00C84E91" w:rsidRPr="00896265" w:rsidTr="0099554A">
        <w:tc>
          <w:tcPr>
            <w:tcW w:w="2706" w:type="dxa"/>
            <w:vAlign w:val="center"/>
          </w:tcPr>
          <w:p w:rsidR="00C84E91" w:rsidRPr="00896265" w:rsidRDefault="00C84E91" w:rsidP="00C84E91">
            <w:pPr>
              <w:rPr>
                <w:rFonts w:eastAsiaTheme="minorEastAsia"/>
                <w:color w:val="000000" w:themeColor="text1"/>
                <w:szCs w:val="21"/>
              </w:rPr>
            </w:pPr>
            <w:r w:rsidRPr="00896265">
              <w:rPr>
                <w:rFonts w:eastAsiaTheme="minorEastAsia"/>
                <w:color w:val="000000" w:themeColor="text1"/>
                <w:szCs w:val="21"/>
              </w:rPr>
              <w:t>本期利润</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21,587,574.35</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36,801,940.16</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58,389,514.51</w:t>
            </w:r>
          </w:p>
        </w:tc>
      </w:tr>
      <w:tr w:rsidR="00C84E91" w:rsidRPr="00896265" w:rsidTr="0099554A">
        <w:tc>
          <w:tcPr>
            <w:tcW w:w="2706" w:type="dxa"/>
            <w:vAlign w:val="center"/>
          </w:tcPr>
          <w:p w:rsidR="00C84E91" w:rsidRPr="00896265" w:rsidRDefault="00C84E91" w:rsidP="00C84E91">
            <w:pPr>
              <w:rPr>
                <w:rFonts w:eastAsiaTheme="minorEastAsia"/>
                <w:color w:val="000000" w:themeColor="text1"/>
                <w:szCs w:val="21"/>
              </w:rPr>
            </w:pPr>
            <w:r w:rsidRPr="00896265">
              <w:rPr>
                <w:rFonts w:eastAsiaTheme="minorEastAsia"/>
                <w:color w:val="000000" w:themeColor="text1"/>
                <w:szCs w:val="21"/>
              </w:rPr>
              <w:t>本期基金份额交易产生的变动数</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-17,752,737.70</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5,441,978.70</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-12,310,759.00</w:t>
            </w:r>
          </w:p>
        </w:tc>
      </w:tr>
      <w:tr w:rsidR="00C84E91" w:rsidRPr="00896265" w:rsidTr="0099554A">
        <w:tc>
          <w:tcPr>
            <w:tcW w:w="2706" w:type="dxa"/>
            <w:vAlign w:val="center"/>
          </w:tcPr>
          <w:p w:rsidR="00C84E91" w:rsidRPr="00896265" w:rsidRDefault="00C84E91" w:rsidP="00C84E91">
            <w:pPr>
              <w:rPr>
                <w:rFonts w:eastAsiaTheme="minorEastAsia"/>
                <w:color w:val="000000" w:themeColor="text1"/>
                <w:szCs w:val="21"/>
              </w:rPr>
            </w:pPr>
            <w:r w:rsidRPr="00896265">
              <w:rPr>
                <w:rFonts w:eastAsiaTheme="minorEastAsia"/>
                <w:color w:val="000000" w:themeColor="text1"/>
                <w:szCs w:val="21"/>
              </w:rPr>
              <w:t>其中：基金申购款</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-165,625,344.14</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42,279,839.51</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-123,345,504.63</w:t>
            </w:r>
          </w:p>
        </w:tc>
      </w:tr>
      <w:tr w:rsidR="00C84E91" w:rsidRPr="00896265" w:rsidTr="0099554A">
        <w:tc>
          <w:tcPr>
            <w:tcW w:w="2706" w:type="dxa"/>
            <w:vAlign w:val="center"/>
          </w:tcPr>
          <w:p w:rsidR="00C84E91" w:rsidRPr="00896265" w:rsidRDefault="00C84E91" w:rsidP="00C84E91">
            <w:pPr>
              <w:ind w:firstLineChars="300" w:firstLine="630"/>
              <w:rPr>
                <w:rFonts w:eastAsiaTheme="minorEastAsia"/>
                <w:color w:val="000000" w:themeColor="text1"/>
                <w:szCs w:val="21"/>
              </w:rPr>
            </w:pPr>
            <w:r w:rsidRPr="00896265">
              <w:rPr>
                <w:rFonts w:eastAsiaTheme="minorEastAsia"/>
                <w:color w:val="000000" w:themeColor="text1"/>
                <w:szCs w:val="21"/>
              </w:rPr>
              <w:t>基金赎回款</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147,872,606.44</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-36,837,860.81</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111,034,745.63</w:t>
            </w:r>
          </w:p>
        </w:tc>
      </w:tr>
      <w:tr w:rsidR="00C84E91" w:rsidRPr="00896265" w:rsidTr="0099554A">
        <w:tc>
          <w:tcPr>
            <w:tcW w:w="2706" w:type="dxa"/>
            <w:vAlign w:val="center"/>
          </w:tcPr>
          <w:p w:rsidR="00C84E91" w:rsidRPr="00896265" w:rsidRDefault="00C84E91" w:rsidP="00C84E91">
            <w:pPr>
              <w:rPr>
                <w:rFonts w:eastAsiaTheme="minorEastAsia"/>
                <w:color w:val="000000" w:themeColor="text1"/>
                <w:szCs w:val="21"/>
              </w:rPr>
            </w:pPr>
            <w:r w:rsidRPr="00896265">
              <w:rPr>
                <w:rFonts w:eastAsiaTheme="minorEastAsia"/>
                <w:color w:val="000000" w:themeColor="text1"/>
                <w:szCs w:val="21"/>
              </w:rPr>
              <w:t>本期已分配利润</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w:t>
            </w:r>
          </w:p>
        </w:tc>
      </w:tr>
      <w:tr w:rsidR="00C84E91" w:rsidRPr="00896265" w:rsidTr="0099554A">
        <w:tc>
          <w:tcPr>
            <w:tcW w:w="2706" w:type="dxa"/>
            <w:vAlign w:val="center"/>
          </w:tcPr>
          <w:p w:rsidR="00C84E91" w:rsidRPr="00896265" w:rsidRDefault="00C84E91" w:rsidP="00C84E91">
            <w:pPr>
              <w:rPr>
                <w:rFonts w:eastAsiaTheme="minorEastAsia"/>
                <w:color w:val="000000" w:themeColor="text1"/>
                <w:szCs w:val="21"/>
              </w:rPr>
            </w:pPr>
            <w:r w:rsidRPr="00896265">
              <w:rPr>
                <w:rFonts w:eastAsiaTheme="minorEastAsia"/>
                <w:color w:val="000000" w:themeColor="text1"/>
                <w:szCs w:val="21"/>
              </w:rPr>
              <w:t>本期末</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-102,532,181.63</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40,280,004.16</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-62,252,177.47</w:t>
            </w:r>
          </w:p>
        </w:tc>
      </w:tr>
    </w:tbl>
    <w:p w:rsidR="00C84E91" w:rsidRPr="00896265" w:rsidRDefault="00C84E91" w:rsidP="007E24F2">
      <w:pPr>
        <w:adjustRightInd w:val="0"/>
        <w:snapToGrid w:val="0"/>
        <w:spacing w:beforeLines="50" w:before="156" w:line="360" w:lineRule="auto"/>
        <w:jc w:val="right"/>
        <w:rPr>
          <w:rFonts w:eastAsiaTheme="minorEastAsia"/>
          <w:color w:val="000000" w:themeColor="text1"/>
          <w:szCs w:val="21"/>
        </w:rPr>
      </w:pPr>
      <w:r w:rsidRPr="00896265">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99554A" w:rsidRPr="00896265" w:rsidTr="0099554A">
        <w:tc>
          <w:tcPr>
            <w:tcW w:w="9415" w:type="dxa"/>
            <w:gridSpan w:val="4"/>
          </w:tcPr>
          <w:p w:rsidR="0099554A" w:rsidRPr="00896265" w:rsidRDefault="0099554A" w:rsidP="007E24F2">
            <w:pPr>
              <w:adjustRightInd w:val="0"/>
              <w:snapToGrid w:val="0"/>
              <w:spacing w:beforeLines="50" w:before="156" w:line="360" w:lineRule="auto"/>
              <w:jc w:val="center"/>
              <w:rPr>
                <w:rFonts w:eastAsiaTheme="minorEastAsia"/>
                <w:color w:val="000000" w:themeColor="text1"/>
                <w:szCs w:val="21"/>
              </w:rPr>
            </w:pPr>
            <w:r w:rsidRPr="00896265">
              <w:rPr>
                <w:rFonts w:eastAsiaTheme="minorEastAsia"/>
                <w:color w:val="000000" w:themeColor="text1"/>
                <w:szCs w:val="21"/>
              </w:rPr>
              <w:t>易方达黄金主题（</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C</w:t>
            </w:r>
          </w:p>
        </w:tc>
      </w:tr>
      <w:tr w:rsidR="00C84E91" w:rsidRPr="00896265" w:rsidTr="0099554A">
        <w:tc>
          <w:tcPr>
            <w:tcW w:w="2706" w:type="dxa"/>
          </w:tcPr>
          <w:p w:rsidR="00C84E91" w:rsidRPr="00896265" w:rsidRDefault="00C84E91" w:rsidP="00C84E91">
            <w:pPr>
              <w:jc w:val="center"/>
              <w:rPr>
                <w:rFonts w:eastAsiaTheme="minorEastAsia"/>
                <w:color w:val="000000" w:themeColor="text1"/>
                <w:szCs w:val="21"/>
              </w:rPr>
            </w:pPr>
            <w:r w:rsidRPr="00896265">
              <w:rPr>
                <w:rFonts w:eastAsiaTheme="minorEastAsia"/>
                <w:color w:val="000000" w:themeColor="text1"/>
                <w:szCs w:val="21"/>
              </w:rPr>
              <w:t>项目</w:t>
            </w:r>
          </w:p>
        </w:tc>
        <w:tc>
          <w:tcPr>
            <w:tcW w:w="2236" w:type="dxa"/>
            <w:vAlign w:val="center"/>
          </w:tcPr>
          <w:p w:rsidR="00C84E91" w:rsidRPr="00896265" w:rsidRDefault="00C84E91" w:rsidP="00C84E91">
            <w:pPr>
              <w:jc w:val="center"/>
              <w:rPr>
                <w:rFonts w:eastAsiaTheme="minorEastAsia"/>
                <w:color w:val="000000" w:themeColor="text1"/>
                <w:szCs w:val="21"/>
              </w:rPr>
            </w:pPr>
            <w:r w:rsidRPr="00896265">
              <w:rPr>
                <w:rFonts w:eastAsiaTheme="minorEastAsia"/>
                <w:color w:val="000000" w:themeColor="text1"/>
                <w:szCs w:val="21"/>
              </w:rPr>
              <w:t>已实现部分</w:t>
            </w:r>
          </w:p>
        </w:tc>
        <w:tc>
          <w:tcPr>
            <w:tcW w:w="2236" w:type="dxa"/>
            <w:vAlign w:val="center"/>
          </w:tcPr>
          <w:p w:rsidR="00C84E91" w:rsidRPr="00896265" w:rsidRDefault="00C84E91" w:rsidP="00C84E91">
            <w:pPr>
              <w:jc w:val="center"/>
              <w:rPr>
                <w:rFonts w:eastAsiaTheme="minorEastAsia"/>
                <w:color w:val="000000" w:themeColor="text1"/>
                <w:szCs w:val="21"/>
              </w:rPr>
            </w:pPr>
            <w:r w:rsidRPr="00896265">
              <w:rPr>
                <w:rFonts w:eastAsiaTheme="minorEastAsia"/>
                <w:color w:val="000000" w:themeColor="text1"/>
                <w:szCs w:val="21"/>
              </w:rPr>
              <w:t>未实现部分</w:t>
            </w:r>
          </w:p>
        </w:tc>
        <w:tc>
          <w:tcPr>
            <w:tcW w:w="2237" w:type="dxa"/>
            <w:vAlign w:val="center"/>
          </w:tcPr>
          <w:p w:rsidR="00C84E91" w:rsidRPr="00896265" w:rsidRDefault="00C84E91" w:rsidP="00C84E91">
            <w:pPr>
              <w:jc w:val="center"/>
              <w:rPr>
                <w:rFonts w:eastAsiaTheme="minorEastAsia"/>
                <w:color w:val="000000" w:themeColor="text1"/>
                <w:szCs w:val="21"/>
              </w:rPr>
            </w:pPr>
            <w:r w:rsidRPr="00896265">
              <w:rPr>
                <w:rFonts w:eastAsiaTheme="minorEastAsia"/>
                <w:color w:val="000000" w:themeColor="text1"/>
                <w:szCs w:val="21"/>
              </w:rPr>
              <w:t>未分配利润合计</w:t>
            </w:r>
          </w:p>
        </w:tc>
      </w:tr>
      <w:tr w:rsidR="00C84E91" w:rsidRPr="00896265" w:rsidTr="0099554A">
        <w:tc>
          <w:tcPr>
            <w:tcW w:w="2706" w:type="dxa"/>
            <w:vAlign w:val="center"/>
          </w:tcPr>
          <w:p w:rsidR="00C84E91" w:rsidRPr="00896265" w:rsidRDefault="00C84E91" w:rsidP="00C84E91">
            <w:pPr>
              <w:rPr>
                <w:rFonts w:eastAsiaTheme="minorEastAsia"/>
                <w:color w:val="000000" w:themeColor="text1"/>
                <w:szCs w:val="21"/>
              </w:rPr>
            </w:pPr>
            <w:r w:rsidRPr="00896265">
              <w:rPr>
                <w:rFonts w:eastAsiaTheme="minorEastAsia"/>
                <w:color w:val="000000" w:themeColor="text1"/>
                <w:szCs w:val="21"/>
              </w:rPr>
              <w:t>上年度末</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w:t>
            </w:r>
          </w:p>
        </w:tc>
      </w:tr>
      <w:tr w:rsidR="00C84E91" w:rsidRPr="00896265" w:rsidTr="0099554A">
        <w:tc>
          <w:tcPr>
            <w:tcW w:w="2706" w:type="dxa"/>
            <w:vAlign w:val="center"/>
          </w:tcPr>
          <w:p w:rsidR="00C84E91" w:rsidRPr="00896265" w:rsidRDefault="00C84E91" w:rsidP="00C84E91">
            <w:pPr>
              <w:rPr>
                <w:rFonts w:eastAsiaTheme="minorEastAsia"/>
                <w:color w:val="000000" w:themeColor="text1"/>
                <w:szCs w:val="21"/>
              </w:rPr>
            </w:pPr>
            <w:r w:rsidRPr="00896265">
              <w:rPr>
                <w:rFonts w:eastAsiaTheme="minorEastAsia"/>
                <w:color w:val="000000" w:themeColor="text1"/>
                <w:szCs w:val="21"/>
              </w:rPr>
              <w:t>本期利润</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7,519.44</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19,932.31</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27,451.75</w:t>
            </w:r>
          </w:p>
        </w:tc>
      </w:tr>
      <w:tr w:rsidR="00C84E91" w:rsidRPr="00896265" w:rsidTr="0099554A">
        <w:tc>
          <w:tcPr>
            <w:tcW w:w="2706" w:type="dxa"/>
            <w:vAlign w:val="center"/>
          </w:tcPr>
          <w:p w:rsidR="00C84E91" w:rsidRPr="00896265" w:rsidRDefault="00C84E91" w:rsidP="00C84E91">
            <w:pPr>
              <w:rPr>
                <w:rFonts w:eastAsiaTheme="minorEastAsia"/>
                <w:color w:val="000000" w:themeColor="text1"/>
                <w:szCs w:val="21"/>
              </w:rPr>
            </w:pPr>
            <w:r w:rsidRPr="00896265">
              <w:rPr>
                <w:rFonts w:eastAsiaTheme="minorEastAsia"/>
                <w:color w:val="000000" w:themeColor="text1"/>
                <w:szCs w:val="21"/>
              </w:rPr>
              <w:t>本期基金份额交易产生的变动数</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-88,294.02</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-4,772.16</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-93,066.18</w:t>
            </w:r>
          </w:p>
        </w:tc>
      </w:tr>
      <w:tr w:rsidR="00C84E91" w:rsidRPr="00896265" w:rsidTr="0099554A">
        <w:tc>
          <w:tcPr>
            <w:tcW w:w="2706" w:type="dxa"/>
            <w:vAlign w:val="center"/>
          </w:tcPr>
          <w:p w:rsidR="00C84E91" w:rsidRPr="00896265" w:rsidRDefault="00C84E91" w:rsidP="00C84E91">
            <w:pPr>
              <w:rPr>
                <w:rFonts w:eastAsiaTheme="minorEastAsia"/>
                <w:color w:val="000000" w:themeColor="text1"/>
                <w:szCs w:val="21"/>
              </w:rPr>
            </w:pPr>
            <w:r w:rsidRPr="00896265">
              <w:rPr>
                <w:rFonts w:eastAsiaTheme="minorEastAsia"/>
                <w:color w:val="000000" w:themeColor="text1"/>
                <w:szCs w:val="21"/>
              </w:rPr>
              <w:t>其中：基金申购款</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-118,496.37</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-42.33</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-118,538.70</w:t>
            </w:r>
          </w:p>
        </w:tc>
      </w:tr>
      <w:tr w:rsidR="00C84E91" w:rsidRPr="00896265" w:rsidTr="0099554A">
        <w:tc>
          <w:tcPr>
            <w:tcW w:w="2706" w:type="dxa"/>
            <w:vAlign w:val="center"/>
          </w:tcPr>
          <w:p w:rsidR="00C84E91" w:rsidRPr="00896265" w:rsidRDefault="00C84E91" w:rsidP="00C84E91">
            <w:pPr>
              <w:ind w:firstLineChars="300" w:firstLine="630"/>
              <w:rPr>
                <w:rFonts w:eastAsiaTheme="minorEastAsia"/>
                <w:color w:val="000000" w:themeColor="text1"/>
                <w:szCs w:val="21"/>
              </w:rPr>
            </w:pPr>
            <w:r w:rsidRPr="00896265">
              <w:rPr>
                <w:rFonts w:eastAsiaTheme="minorEastAsia"/>
                <w:color w:val="000000" w:themeColor="text1"/>
                <w:szCs w:val="21"/>
              </w:rPr>
              <w:t>基金赎回款</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30,202.35</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-4,729.83</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25,472.52</w:t>
            </w:r>
          </w:p>
        </w:tc>
      </w:tr>
      <w:tr w:rsidR="00C84E91" w:rsidRPr="00896265" w:rsidTr="0099554A">
        <w:tc>
          <w:tcPr>
            <w:tcW w:w="2706" w:type="dxa"/>
            <w:vAlign w:val="center"/>
          </w:tcPr>
          <w:p w:rsidR="00C84E91" w:rsidRPr="00896265" w:rsidRDefault="00C84E91" w:rsidP="00C84E91">
            <w:pPr>
              <w:rPr>
                <w:rFonts w:eastAsiaTheme="minorEastAsia"/>
                <w:color w:val="000000" w:themeColor="text1"/>
                <w:szCs w:val="21"/>
              </w:rPr>
            </w:pPr>
            <w:r w:rsidRPr="00896265">
              <w:rPr>
                <w:rFonts w:eastAsiaTheme="minorEastAsia"/>
                <w:color w:val="000000" w:themeColor="text1"/>
                <w:szCs w:val="21"/>
              </w:rPr>
              <w:t>本期已分配利润</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w:t>
            </w:r>
          </w:p>
        </w:tc>
      </w:tr>
      <w:tr w:rsidR="00C84E91" w:rsidRPr="00896265" w:rsidTr="0099554A">
        <w:tc>
          <w:tcPr>
            <w:tcW w:w="2706" w:type="dxa"/>
            <w:vAlign w:val="center"/>
          </w:tcPr>
          <w:p w:rsidR="00C84E91" w:rsidRPr="00896265" w:rsidRDefault="00C84E91" w:rsidP="00C84E91">
            <w:pPr>
              <w:rPr>
                <w:rFonts w:eastAsiaTheme="minorEastAsia"/>
                <w:color w:val="000000" w:themeColor="text1"/>
                <w:szCs w:val="21"/>
              </w:rPr>
            </w:pPr>
            <w:r w:rsidRPr="00896265">
              <w:rPr>
                <w:rFonts w:eastAsiaTheme="minorEastAsia"/>
                <w:color w:val="000000" w:themeColor="text1"/>
                <w:szCs w:val="21"/>
              </w:rPr>
              <w:t>本期末</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-80,774.58</w:t>
            </w:r>
          </w:p>
        </w:tc>
        <w:tc>
          <w:tcPr>
            <w:tcW w:w="2236"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15,160.15</w:t>
            </w:r>
          </w:p>
        </w:tc>
        <w:tc>
          <w:tcPr>
            <w:tcW w:w="2237" w:type="dxa"/>
            <w:vAlign w:val="center"/>
          </w:tcPr>
          <w:p w:rsidR="00C84E91" w:rsidRPr="00896265" w:rsidRDefault="00C84E91" w:rsidP="00C84E91">
            <w:pPr>
              <w:jc w:val="right"/>
              <w:rPr>
                <w:rFonts w:eastAsiaTheme="minorEastAsia"/>
                <w:color w:val="000000" w:themeColor="text1"/>
                <w:szCs w:val="21"/>
              </w:rPr>
            </w:pPr>
            <w:r w:rsidRPr="00896265">
              <w:rPr>
                <w:rFonts w:eastAsiaTheme="minorEastAsia"/>
                <w:color w:val="000000" w:themeColor="text1"/>
                <w:szCs w:val="21"/>
              </w:rPr>
              <w:t>-65,614.43</w:t>
            </w:r>
          </w:p>
        </w:tc>
      </w:tr>
    </w:tbl>
    <w:p w:rsidR="007B62FA" w:rsidRPr="000852F3" w:rsidRDefault="007B62FA"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7.4.7.11</w:t>
      </w:r>
      <w:r w:rsidR="002D0B5F" w:rsidRPr="000852F3">
        <w:rPr>
          <w:rFonts w:asciiTheme="majorEastAsia" w:eastAsiaTheme="majorEastAsia" w:hAnsiTheme="majorEastAsia"/>
          <w:b/>
          <w:color w:val="000000" w:themeColor="text1"/>
          <w:kern w:val="0"/>
          <w:szCs w:val="21"/>
        </w:rPr>
        <w:t xml:space="preserve"> </w:t>
      </w:r>
      <w:r w:rsidRPr="000852F3">
        <w:rPr>
          <w:rFonts w:asciiTheme="majorEastAsia" w:eastAsiaTheme="majorEastAsia" w:hAnsiTheme="majorEastAsia"/>
          <w:b/>
          <w:color w:val="000000" w:themeColor="text1"/>
          <w:kern w:val="0"/>
          <w:szCs w:val="21"/>
        </w:rPr>
        <w:t>存款利息收入</w:t>
      </w:r>
    </w:p>
    <w:p w:rsidR="003970C2" w:rsidRPr="00896265" w:rsidRDefault="003970C2" w:rsidP="003970C2">
      <w:pPr>
        <w:spacing w:line="360" w:lineRule="auto"/>
        <w:jc w:val="right"/>
        <w:rPr>
          <w:color w:val="000000"/>
          <w:szCs w:val="21"/>
        </w:rPr>
      </w:pPr>
      <w:r w:rsidRPr="00896265">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3970C2" w:rsidRPr="00896265" w:rsidTr="008A3814">
        <w:tc>
          <w:tcPr>
            <w:tcW w:w="2912" w:type="dxa"/>
            <w:vAlign w:val="center"/>
          </w:tcPr>
          <w:p w:rsidR="003970C2" w:rsidRPr="00896265" w:rsidRDefault="003970C2" w:rsidP="008A3814">
            <w:pPr>
              <w:spacing w:line="360" w:lineRule="auto"/>
              <w:jc w:val="center"/>
              <w:rPr>
                <w:szCs w:val="21"/>
              </w:rPr>
            </w:pPr>
            <w:r w:rsidRPr="00896265">
              <w:rPr>
                <w:szCs w:val="21"/>
              </w:rPr>
              <w:t>项目</w:t>
            </w:r>
          </w:p>
        </w:tc>
        <w:tc>
          <w:tcPr>
            <w:tcW w:w="3208" w:type="dxa"/>
            <w:vAlign w:val="center"/>
          </w:tcPr>
          <w:p w:rsidR="003970C2" w:rsidRPr="00896265" w:rsidRDefault="003970C2" w:rsidP="008A3814">
            <w:pPr>
              <w:spacing w:line="360" w:lineRule="auto"/>
              <w:jc w:val="center"/>
              <w:rPr>
                <w:szCs w:val="21"/>
              </w:rPr>
            </w:pPr>
            <w:r w:rsidRPr="00896265">
              <w:rPr>
                <w:szCs w:val="21"/>
              </w:rPr>
              <w:t>本期</w:t>
            </w:r>
          </w:p>
          <w:p w:rsidR="003970C2" w:rsidRPr="00896265" w:rsidRDefault="003970C2" w:rsidP="008A3814">
            <w:pPr>
              <w:spacing w:line="360" w:lineRule="auto"/>
              <w:jc w:val="center"/>
              <w:rPr>
                <w:b/>
                <w:szCs w:val="21"/>
              </w:rPr>
            </w:pPr>
            <w:r w:rsidRPr="00896265">
              <w:rPr>
                <w:szCs w:val="21"/>
              </w:rPr>
              <w:t>2019</w:t>
            </w:r>
            <w:r w:rsidRPr="00896265">
              <w:rPr>
                <w:szCs w:val="21"/>
              </w:rPr>
              <w:t>年</w:t>
            </w:r>
            <w:r w:rsidRPr="00896265">
              <w:rPr>
                <w:szCs w:val="21"/>
              </w:rPr>
              <w:t>1</w:t>
            </w:r>
            <w:r w:rsidRPr="00896265">
              <w:rPr>
                <w:szCs w:val="21"/>
              </w:rPr>
              <w:t>月</w:t>
            </w:r>
            <w:r w:rsidRPr="00896265">
              <w:rPr>
                <w:szCs w:val="21"/>
              </w:rPr>
              <w:t>1</w:t>
            </w:r>
            <w:r w:rsidRPr="00896265">
              <w:rPr>
                <w:szCs w:val="21"/>
              </w:rPr>
              <w:t>日至</w:t>
            </w:r>
            <w:r w:rsidRPr="00896265">
              <w:rPr>
                <w:szCs w:val="21"/>
              </w:rPr>
              <w:t>2019</w:t>
            </w:r>
            <w:r w:rsidRPr="00896265">
              <w:rPr>
                <w:szCs w:val="21"/>
              </w:rPr>
              <w:t>年</w:t>
            </w:r>
            <w:r w:rsidRPr="00896265">
              <w:rPr>
                <w:szCs w:val="21"/>
              </w:rPr>
              <w:t>12</w:t>
            </w:r>
            <w:r w:rsidRPr="00896265">
              <w:rPr>
                <w:szCs w:val="21"/>
              </w:rPr>
              <w:t>月</w:t>
            </w:r>
            <w:r w:rsidRPr="00896265">
              <w:rPr>
                <w:szCs w:val="21"/>
              </w:rPr>
              <w:t>31</w:t>
            </w:r>
            <w:r w:rsidRPr="00896265">
              <w:rPr>
                <w:szCs w:val="21"/>
              </w:rPr>
              <w:t>日</w:t>
            </w:r>
          </w:p>
        </w:tc>
        <w:tc>
          <w:tcPr>
            <w:tcW w:w="2880" w:type="dxa"/>
            <w:vAlign w:val="center"/>
          </w:tcPr>
          <w:p w:rsidR="003970C2" w:rsidRPr="00896265" w:rsidRDefault="003970C2" w:rsidP="008A3814">
            <w:pPr>
              <w:spacing w:line="360" w:lineRule="auto"/>
              <w:jc w:val="center"/>
              <w:rPr>
                <w:szCs w:val="21"/>
              </w:rPr>
            </w:pPr>
            <w:r w:rsidRPr="00896265">
              <w:rPr>
                <w:szCs w:val="21"/>
              </w:rPr>
              <w:t>上年度可比期间</w:t>
            </w:r>
          </w:p>
          <w:p w:rsidR="003970C2" w:rsidRPr="00896265" w:rsidRDefault="003970C2" w:rsidP="008A3814">
            <w:pPr>
              <w:spacing w:line="360" w:lineRule="auto"/>
              <w:jc w:val="center"/>
              <w:rPr>
                <w:b/>
                <w:szCs w:val="21"/>
              </w:rPr>
            </w:pPr>
            <w:r w:rsidRPr="00896265">
              <w:rPr>
                <w:szCs w:val="21"/>
              </w:rPr>
              <w:t>2018</w:t>
            </w:r>
            <w:r w:rsidRPr="00896265">
              <w:rPr>
                <w:szCs w:val="21"/>
              </w:rPr>
              <w:t>年</w:t>
            </w:r>
            <w:r w:rsidRPr="00896265">
              <w:rPr>
                <w:szCs w:val="21"/>
              </w:rPr>
              <w:t>1</w:t>
            </w:r>
            <w:r w:rsidRPr="00896265">
              <w:rPr>
                <w:szCs w:val="21"/>
              </w:rPr>
              <w:t>月</w:t>
            </w:r>
            <w:r w:rsidRPr="00896265">
              <w:rPr>
                <w:szCs w:val="21"/>
              </w:rPr>
              <w:t>1</w:t>
            </w:r>
            <w:r w:rsidRPr="00896265">
              <w:rPr>
                <w:szCs w:val="21"/>
              </w:rPr>
              <w:t>日至</w:t>
            </w:r>
            <w:r w:rsidRPr="00896265">
              <w:rPr>
                <w:szCs w:val="21"/>
              </w:rPr>
              <w:t>2018</w:t>
            </w:r>
            <w:r w:rsidRPr="00896265">
              <w:rPr>
                <w:szCs w:val="21"/>
              </w:rPr>
              <w:t>年</w:t>
            </w:r>
            <w:r w:rsidRPr="00896265">
              <w:rPr>
                <w:szCs w:val="21"/>
              </w:rPr>
              <w:t>12</w:t>
            </w:r>
            <w:r w:rsidRPr="00896265">
              <w:rPr>
                <w:szCs w:val="21"/>
              </w:rPr>
              <w:t>月</w:t>
            </w:r>
            <w:r w:rsidRPr="00896265">
              <w:rPr>
                <w:szCs w:val="21"/>
              </w:rPr>
              <w:t>31</w:t>
            </w:r>
            <w:r w:rsidRPr="00896265">
              <w:rPr>
                <w:szCs w:val="21"/>
              </w:rPr>
              <w:t>日</w:t>
            </w:r>
          </w:p>
        </w:tc>
      </w:tr>
      <w:tr w:rsidR="003970C2" w:rsidRPr="00896265" w:rsidTr="008A3814">
        <w:tc>
          <w:tcPr>
            <w:tcW w:w="2912" w:type="dxa"/>
            <w:vAlign w:val="center"/>
          </w:tcPr>
          <w:p w:rsidR="003970C2" w:rsidRPr="00896265" w:rsidRDefault="003970C2" w:rsidP="008A3814">
            <w:pPr>
              <w:spacing w:line="360" w:lineRule="auto"/>
              <w:rPr>
                <w:szCs w:val="21"/>
              </w:rPr>
            </w:pPr>
            <w:r w:rsidRPr="00896265">
              <w:rPr>
                <w:szCs w:val="21"/>
              </w:rPr>
              <w:t>活期存款利息收入</w:t>
            </w:r>
          </w:p>
        </w:tc>
        <w:tc>
          <w:tcPr>
            <w:tcW w:w="3208" w:type="dxa"/>
            <w:vAlign w:val="center"/>
          </w:tcPr>
          <w:p w:rsidR="003970C2" w:rsidRPr="00896265" w:rsidRDefault="003970C2" w:rsidP="008A3814">
            <w:pPr>
              <w:spacing w:line="360" w:lineRule="auto"/>
              <w:jc w:val="right"/>
              <w:rPr>
                <w:szCs w:val="21"/>
              </w:rPr>
            </w:pPr>
            <w:r w:rsidRPr="00896265">
              <w:rPr>
                <w:szCs w:val="21"/>
              </w:rPr>
              <w:t>308,653.42</w:t>
            </w:r>
          </w:p>
        </w:tc>
        <w:tc>
          <w:tcPr>
            <w:tcW w:w="2880" w:type="dxa"/>
            <w:vAlign w:val="center"/>
          </w:tcPr>
          <w:p w:rsidR="003970C2" w:rsidRPr="00896265" w:rsidRDefault="003970C2" w:rsidP="008A3814">
            <w:pPr>
              <w:spacing w:line="360" w:lineRule="auto"/>
              <w:jc w:val="right"/>
              <w:rPr>
                <w:szCs w:val="21"/>
              </w:rPr>
            </w:pPr>
            <w:r w:rsidRPr="00896265">
              <w:rPr>
                <w:szCs w:val="21"/>
              </w:rPr>
              <w:t>101,333.24</w:t>
            </w:r>
          </w:p>
        </w:tc>
      </w:tr>
      <w:tr w:rsidR="003970C2" w:rsidRPr="00896265" w:rsidTr="008A3814">
        <w:tc>
          <w:tcPr>
            <w:tcW w:w="2912" w:type="dxa"/>
            <w:vAlign w:val="center"/>
          </w:tcPr>
          <w:p w:rsidR="003970C2" w:rsidRPr="00896265" w:rsidRDefault="003970C2" w:rsidP="008A3814">
            <w:pPr>
              <w:spacing w:line="360" w:lineRule="auto"/>
              <w:rPr>
                <w:szCs w:val="21"/>
              </w:rPr>
            </w:pPr>
            <w:r w:rsidRPr="00896265">
              <w:rPr>
                <w:szCs w:val="21"/>
              </w:rPr>
              <w:t>定期存款利息收入</w:t>
            </w:r>
          </w:p>
        </w:tc>
        <w:tc>
          <w:tcPr>
            <w:tcW w:w="3208" w:type="dxa"/>
            <w:vAlign w:val="center"/>
          </w:tcPr>
          <w:p w:rsidR="003970C2" w:rsidRPr="00896265" w:rsidRDefault="003970C2" w:rsidP="008A3814">
            <w:pPr>
              <w:spacing w:line="360" w:lineRule="auto"/>
              <w:jc w:val="right"/>
              <w:rPr>
                <w:szCs w:val="21"/>
              </w:rPr>
            </w:pPr>
            <w:r w:rsidRPr="00896265">
              <w:rPr>
                <w:szCs w:val="21"/>
              </w:rPr>
              <w:t>-</w:t>
            </w:r>
          </w:p>
        </w:tc>
        <w:tc>
          <w:tcPr>
            <w:tcW w:w="2880" w:type="dxa"/>
            <w:vAlign w:val="center"/>
          </w:tcPr>
          <w:p w:rsidR="003970C2" w:rsidRPr="00896265" w:rsidRDefault="003970C2" w:rsidP="008A3814">
            <w:pPr>
              <w:spacing w:line="360" w:lineRule="auto"/>
              <w:jc w:val="right"/>
              <w:rPr>
                <w:szCs w:val="21"/>
              </w:rPr>
            </w:pPr>
            <w:r w:rsidRPr="00896265">
              <w:rPr>
                <w:szCs w:val="21"/>
              </w:rPr>
              <w:t>-</w:t>
            </w:r>
          </w:p>
        </w:tc>
      </w:tr>
      <w:tr w:rsidR="003970C2" w:rsidRPr="00896265" w:rsidTr="008A3814">
        <w:tc>
          <w:tcPr>
            <w:tcW w:w="2912" w:type="dxa"/>
            <w:vAlign w:val="center"/>
          </w:tcPr>
          <w:p w:rsidR="003970C2" w:rsidRPr="00896265" w:rsidRDefault="003970C2" w:rsidP="008A3814">
            <w:pPr>
              <w:spacing w:line="360" w:lineRule="auto"/>
              <w:rPr>
                <w:szCs w:val="21"/>
              </w:rPr>
            </w:pPr>
            <w:r w:rsidRPr="00896265">
              <w:rPr>
                <w:szCs w:val="21"/>
              </w:rPr>
              <w:t>其他存款利息收入</w:t>
            </w:r>
          </w:p>
        </w:tc>
        <w:tc>
          <w:tcPr>
            <w:tcW w:w="3208" w:type="dxa"/>
            <w:vAlign w:val="center"/>
          </w:tcPr>
          <w:p w:rsidR="003970C2" w:rsidRPr="00896265" w:rsidRDefault="003970C2" w:rsidP="008A3814">
            <w:pPr>
              <w:spacing w:line="360" w:lineRule="auto"/>
              <w:jc w:val="right"/>
              <w:rPr>
                <w:szCs w:val="21"/>
              </w:rPr>
            </w:pPr>
            <w:r w:rsidRPr="00896265">
              <w:rPr>
                <w:szCs w:val="21"/>
              </w:rPr>
              <w:t>-</w:t>
            </w:r>
          </w:p>
        </w:tc>
        <w:tc>
          <w:tcPr>
            <w:tcW w:w="2880" w:type="dxa"/>
            <w:vAlign w:val="center"/>
          </w:tcPr>
          <w:p w:rsidR="003970C2" w:rsidRPr="00896265" w:rsidRDefault="003970C2" w:rsidP="008A3814">
            <w:pPr>
              <w:spacing w:line="360" w:lineRule="auto"/>
              <w:jc w:val="right"/>
              <w:rPr>
                <w:szCs w:val="21"/>
              </w:rPr>
            </w:pPr>
            <w:r w:rsidRPr="00896265">
              <w:rPr>
                <w:szCs w:val="21"/>
              </w:rPr>
              <w:t>-</w:t>
            </w:r>
          </w:p>
        </w:tc>
      </w:tr>
      <w:tr w:rsidR="003970C2" w:rsidRPr="00896265" w:rsidTr="008A3814">
        <w:tc>
          <w:tcPr>
            <w:tcW w:w="2912" w:type="dxa"/>
            <w:vAlign w:val="center"/>
          </w:tcPr>
          <w:p w:rsidR="003970C2" w:rsidRPr="00896265" w:rsidRDefault="003970C2" w:rsidP="008A3814">
            <w:pPr>
              <w:spacing w:line="360" w:lineRule="auto"/>
              <w:rPr>
                <w:szCs w:val="21"/>
              </w:rPr>
            </w:pPr>
            <w:r w:rsidRPr="00896265">
              <w:rPr>
                <w:szCs w:val="21"/>
              </w:rPr>
              <w:t>结算备付金利息收入</w:t>
            </w:r>
          </w:p>
        </w:tc>
        <w:tc>
          <w:tcPr>
            <w:tcW w:w="3208" w:type="dxa"/>
            <w:vAlign w:val="center"/>
          </w:tcPr>
          <w:p w:rsidR="003970C2" w:rsidRPr="00896265" w:rsidRDefault="003970C2" w:rsidP="008A3814">
            <w:pPr>
              <w:spacing w:line="360" w:lineRule="auto"/>
              <w:jc w:val="right"/>
              <w:rPr>
                <w:szCs w:val="21"/>
              </w:rPr>
            </w:pPr>
            <w:r w:rsidRPr="00896265">
              <w:rPr>
                <w:szCs w:val="21"/>
              </w:rPr>
              <w:t>-</w:t>
            </w:r>
          </w:p>
        </w:tc>
        <w:tc>
          <w:tcPr>
            <w:tcW w:w="2880" w:type="dxa"/>
            <w:vAlign w:val="center"/>
          </w:tcPr>
          <w:p w:rsidR="003970C2" w:rsidRPr="00896265" w:rsidRDefault="003970C2" w:rsidP="008A3814">
            <w:pPr>
              <w:spacing w:line="360" w:lineRule="auto"/>
              <w:jc w:val="right"/>
              <w:rPr>
                <w:szCs w:val="21"/>
              </w:rPr>
            </w:pPr>
            <w:r w:rsidRPr="00896265">
              <w:rPr>
                <w:szCs w:val="21"/>
              </w:rPr>
              <w:t>-</w:t>
            </w:r>
          </w:p>
        </w:tc>
      </w:tr>
      <w:tr w:rsidR="003970C2" w:rsidRPr="00896265" w:rsidTr="008A3814">
        <w:tc>
          <w:tcPr>
            <w:tcW w:w="2912" w:type="dxa"/>
            <w:vAlign w:val="center"/>
          </w:tcPr>
          <w:p w:rsidR="003970C2" w:rsidRPr="00896265" w:rsidRDefault="003970C2" w:rsidP="008A3814">
            <w:pPr>
              <w:spacing w:line="360" w:lineRule="auto"/>
              <w:rPr>
                <w:szCs w:val="21"/>
              </w:rPr>
            </w:pPr>
            <w:r w:rsidRPr="00896265">
              <w:rPr>
                <w:szCs w:val="21"/>
              </w:rPr>
              <w:t>其他</w:t>
            </w:r>
          </w:p>
        </w:tc>
        <w:tc>
          <w:tcPr>
            <w:tcW w:w="3208" w:type="dxa"/>
            <w:vAlign w:val="center"/>
          </w:tcPr>
          <w:p w:rsidR="003970C2" w:rsidRPr="00896265" w:rsidRDefault="003970C2" w:rsidP="008A3814">
            <w:pPr>
              <w:spacing w:line="360" w:lineRule="auto"/>
              <w:jc w:val="right"/>
              <w:rPr>
                <w:szCs w:val="21"/>
              </w:rPr>
            </w:pPr>
            <w:r w:rsidRPr="00896265">
              <w:rPr>
                <w:szCs w:val="21"/>
              </w:rPr>
              <w:t>798.53</w:t>
            </w:r>
          </w:p>
        </w:tc>
        <w:tc>
          <w:tcPr>
            <w:tcW w:w="2880" w:type="dxa"/>
            <w:vAlign w:val="center"/>
          </w:tcPr>
          <w:p w:rsidR="003970C2" w:rsidRPr="00896265" w:rsidRDefault="003970C2" w:rsidP="008A3814">
            <w:pPr>
              <w:spacing w:line="360" w:lineRule="auto"/>
              <w:jc w:val="right"/>
              <w:rPr>
                <w:szCs w:val="21"/>
              </w:rPr>
            </w:pPr>
            <w:r w:rsidRPr="00896265">
              <w:rPr>
                <w:szCs w:val="21"/>
              </w:rPr>
              <w:t>160.57</w:t>
            </w:r>
          </w:p>
        </w:tc>
      </w:tr>
      <w:tr w:rsidR="003970C2" w:rsidRPr="00896265" w:rsidTr="008A3814">
        <w:tc>
          <w:tcPr>
            <w:tcW w:w="2912" w:type="dxa"/>
            <w:vAlign w:val="center"/>
          </w:tcPr>
          <w:p w:rsidR="003970C2" w:rsidRPr="00896265" w:rsidRDefault="003970C2" w:rsidP="008A3814">
            <w:pPr>
              <w:spacing w:line="360" w:lineRule="auto"/>
              <w:rPr>
                <w:szCs w:val="21"/>
              </w:rPr>
            </w:pPr>
            <w:r w:rsidRPr="00896265">
              <w:rPr>
                <w:szCs w:val="21"/>
              </w:rPr>
              <w:t>合计</w:t>
            </w:r>
          </w:p>
        </w:tc>
        <w:tc>
          <w:tcPr>
            <w:tcW w:w="3208" w:type="dxa"/>
            <w:vAlign w:val="center"/>
          </w:tcPr>
          <w:p w:rsidR="003970C2" w:rsidRPr="00896265" w:rsidRDefault="003970C2" w:rsidP="008A3814">
            <w:pPr>
              <w:spacing w:line="360" w:lineRule="auto"/>
              <w:jc w:val="right"/>
              <w:rPr>
                <w:szCs w:val="21"/>
              </w:rPr>
            </w:pPr>
            <w:r w:rsidRPr="00896265">
              <w:rPr>
                <w:szCs w:val="21"/>
              </w:rPr>
              <w:t>309,451.95</w:t>
            </w:r>
          </w:p>
        </w:tc>
        <w:tc>
          <w:tcPr>
            <w:tcW w:w="2880" w:type="dxa"/>
            <w:vAlign w:val="center"/>
          </w:tcPr>
          <w:p w:rsidR="003970C2" w:rsidRPr="00896265" w:rsidRDefault="003970C2" w:rsidP="008A3814">
            <w:pPr>
              <w:spacing w:line="360" w:lineRule="auto"/>
              <w:jc w:val="right"/>
              <w:rPr>
                <w:szCs w:val="21"/>
              </w:rPr>
            </w:pPr>
            <w:r w:rsidRPr="00896265">
              <w:rPr>
                <w:szCs w:val="21"/>
              </w:rPr>
              <w:t>101,493.81</w:t>
            </w:r>
          </w:p>
        </w:tc>
      </w:tr>
    </w:tbl>
    <w:p w:rsidR="003970C2" w:rsidRPr="000852F3" w:rsidRDefault="003970C2" w:rsidP="000852F3">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0852F3">
        <w:rPr>
          <w:rFonts w:asciiTheme="majorEastAsia" w:eastAsiaTheme="majorEastAsia" w:hAnsiTheme="majorEastAsia"/>
          <w:b/>
          <w:color w:val="000000" w:themeColor="text1"/>
          <w:kern w:val="0"/>
          <w:szCs w:val="21"/>
        </w:rPr>
        <w:t>7.4.7.12 股票投资收益——买卖股票差价收入</w:t>
      </w:r>
    </w:p>
    <w:p w:rsidR="003970C2" w:rsidRPr="00896265" w:rsidRDefault="003970C2" w:rsidP="003970C2">
      <w:pPr>
        <w:autoSpaceDE w:val="0"/>
        <w:autoSpaceDN w:val="0"/>
        <w:adjustRightInd w:val="0"/>
        <w:spacing w:before="29" w:line="288" w:lineRule="auto"/>
        <w:ind w:left="15"/>
        <w:jc w:val="right"/>
        <w:rPr>
          <w:color w:val="000000"/>
          <w:kern w:val="0"/>
          <w:szCs w:val="21"/>
        </w:rPr>
      </w:pPr>
      <w:r w:rsidRPr="00896265">
        <w:rPr>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970C2" w:rsidRPr="00896265" w:rsidTr="008A3814">
        <w:trPr>
          <w:trHeight w:val="300"/>
          <w:jc w:val="center"/>
        </w:trPr>
        <w:tc>
          <w:tcPr>
            <w:tcW w:w="3755" w:type="dxa"/>
            <w:tcMar>
              <w:top w:w="15" w:type="dxa"/>
              <w:left w:w="15" w:type="dxa"/>
              <w:bottom w:w="0" w:type="dxa"/>
              <w:right w:w="15" w:type="dxa"/>
            </w:tcMar>
            <w:vAlign w:val="center"/>
          </w:tcPr>
          <w:p w:rsidR="003970C2" w:rsidRPr="00896265" w:rsidRDefault="003970C2" w:rsidP="008A3814">
            <w:pPr>
              <w:jc w:val="center"/>
              <w:rPr>
                <w:szCs w:val="21"/>
              </w:rPr>
            </w:pPr>
            <w:r w:rsidRPr="00896265">
              <w:rPr>
                <w:szCs w:val="21"/>
              </w:rPr>
              <w:t>项目</w:t>
            </w:r>
          </w:p>
        </w:tc>
        <w:tc>
          <w:tcPr>
            <w:tcW w:w="2726" w:type="dxa"/>
            <w:tcMar>
              <w:top w:w="15" w:type="dxa"/>
              <w:left w:w="15" w:type="dxa"/>
              <w:bottom w:w="0" w:type="dxa"/>
              <w:right w:w="15" w:type="dxa"/>
            </w:tcMar>
            <w:vAlign w:val="center"/>
          </w:tcPr>
          <w:p w:rsidR="003970C2" w:rsidRPr="00896265" w:rsidRDefault="003970C2" w:rsidP="008A3814">
            <w:pPr>
              <w:jc w:val="center"/>
              <w:rPr>
                <w:szCs w:val="21"/>
              </w:rPr>
            </w:pPr>
            <w:r w:rsidRPr="00896265">
              <w:rPr>
                <w:szCs w:val="21"/>
              </w:rPr>
              <w:t>本期</w:t>
            </w:r>
          </w:p>
          <w:p w:rsidR="003970C2" w:rsidRPr="00896265" w:rsidRDefault="003970C2" w:rsidP="008A3814">
            <w:pPr>
              <w:jc w:val="center"/>
              <w:rPr>
                <w:szCs w:val="21"/>
              </w:rPr>
            </w:pPr>
            <w:r w:rsidRPr="00896265">
              <w:rPr>
                <w:szCs w:val="21"/>
              </w:rPr>
              <w:t>2019</w:t>
            </w:r>
            <w:r w:rsidRPr="00896265">
              <w:rPr>
                <w:szCs w:val="21"/>
              </w:rPr>
              <w:t>年</w:t>
            </w:r>
            <w:r w:rsidRPr="00896265">
              <w:rPr>
                <w:szCs w:val="21"/>
              </w:rPr>
              <w:t>1</w:t>
            </w:r>
            <w:r w:rsidRPr="00896265">
              <w:rPr>
                <w:szCs w:val="21"/>
              </w:rPr>
              <w:t>月</w:t>
            </w:r>
            <w:r w:rsidRPr="00896265">
              <w:rPr>
                <w:szCs w:val="21"/>
              </w:rPr>
              <w:t>1</w:t>
            </w:r>
            <w:r w:rsidRPr="00896265">
              <w:rPr>
                <w:szCs w:val="21"/>
              </w:rPr>
              <w:t>日至</w:t>
            </w:r>
            <w:r w:rsidRPr="00896265">
              <w:rPr>
                <w:szCs w:val="21"/>
              </w:rPr>
              <w:t>2019</w:t>
            </w:r>
            <w:r w:rsidRPr="00896265">
              <w:rPr>
                <w:szCs w:val="21"/>
              </w:rPr>
              <w:t>年</w:t>
            </w:r>
            <w:r w:rsidRPr="00896265">
              <w:rPr>
                <w:szCs w:val="21"/>
              </w:rPr>
              <w:t>12</w:t>
            </w:r>
            <w:r w:rsidRPr="00896265">
              <w:rPr>
                <w:szCs w:val="21"/>
              </w:rPr>
              <w:t>月</w:t>
            </w:r>
            <w:r w:rsidRPr="00896265">
              <w:rPr>
                <w:szCs w:val="21"/>
              </w:rPr>
              <w:t>31</w:t>
            </w:r>
            <w:r w:rsidRPr="00896265">
              <w:rPr>
                <w:szCs w:val="21"/>
              </w:rPr>
              <w:t>日</w:t>
            </w:r>
          </w:p>
        </w:tc>
        <w:tc>
          <w:tcPr>
            <w:tcW w:w="2726" w:type="dxa"/>
            <w:vAlign w:val="center"/>
          </w:tcPr>
          <w:p w:rsidR="003970C2" w:rsidRPr="00896265" w:rsidRDefault="003970C2" w:rsidP="008A3814">
            <w:pPr>
              <w:spacing w:line="360" w:lineRule="auto"/>
              <w:jc w:val="center"/>
              <w:rPr>
                <w:rFonts w:eastAsiaTheme="minorEastAsia"/>
                <w:color w:val="000000"/>
                <w:szCs w:val="21"/>
              </w:rPr>
            </w:pPr>
            <w:r w:rsidRPr="00896265">
              <w:rPr>
                <w:rFonts w:eastAsiaTheme="minorEastAsia"/>
                <w:color w:val="000000"/>
                <w:szCs w:val="21"/>
              </w:rPr>
              <w:t>上年度可比期间</w:t>
            </w:r>
          </w:p>
          <w:p w:rsidR="003970C2" w:rsidRPr="00896265" w:rsidRDefault="003970C2" w:rsidP="008A3814">
            <w:pPr>
              <w:jc w:val="center"/>
              <w:rPr>
                <w:b/>
                <w:szCs w:val="21"/>
              </w:rPr>
            </w:pPr>
            <w:r w:rsidRPr="00896265">
              <w:rPr>
                <w:rFonts w:eastAsiaTheme="minorEastAsia"/>
                <w:color w:val="000000"/>
                <w:szCs w:val="21"/>
              </w:rPr>
              <w:t>2018</w:t>
            </w:r>
            <w:r w:rsidRPr="00896265">
              <w:rPr>
                <w:rFonts w:eastAsiaTheme="minorEastAsia"/>
                <w:color w:val="000000"/>
                <w:szCs w:val="21"/>
              </w:rPr>
              <w:t>年</w:t>
            </w:r>
            <w:r w:rsidRPr="00896265">
              <w:rPr>
                <w:rFonts w:eastAsiaTheme="minorEastAsia"/>
                <w:color w:val="000000"/>
                <w:szCs w:val="21"/>
              </w:rPr>
              <w:t>1</w:t>
            </w:r>
            <w:r w:rsidRPr="00896265">
              <w:rPr>
                <w:rFonts w:eastAsiaTheme="minorEastAsia"/>
                <w:color w:val="000000"/>
                <w:szCs w:val="21"/>
              </w:rPr>
              <w:t>月</w:t>
            </w:r>
            <w:r w:rsidRPr="00896265">
              <w:rPr>
                <w:rFonts w:eastAsiaTheme="minorEastAsia"/>
                <w:color w:val="000000"/>
                <w:szCs w:val="21"/>
              </w:rPr>
              <w:t>1</w:t>
            </w:r>
            <w:r w:rsidRPr="00896265">
              <w:rPr>
                <w:rFonts w:eastAsiaTheme="minorEastAsia"/>
                <w:color w:val="000000"/>
                <w:szCs w:val="21"/>
              </w:rPr>
              <w:t>日至</w:t>
            </w:r>
            <w:r w:rsidRPr="00896265">
              <w:rPr>
                <w:rFonts w:eastAsiaTheme="minorEastAsia"/>
                <w:color w:val="000000"/>
                <w:szCs w:val="21"/>
              </w:rPr>
              <w:t>2018</w:t>
            </w:r>
            <w:r w:rsidRPr="00896265">
              <w:rPr>
                <w:rFonts w:eastAsiaTheme="minorEastAsia"/>
                <w:color w:val="000000"/>
                <w:szCs w:val="21"/>
              </w:rPr>
              <w:t>年</w:t>
            </w:r>
            <w:r w:rsidRPr="00896265">
              <w:rPr>
                <w:rFonts w:eastAsiaTheme="minorEastAsia"/>
                <w:color w:val="000000"/>
                <w:szCs w:val="21"/>
              </w:rPr>
              <w:t>12</w:t>
            </w:r>
            <w:r w:rsidRPr="00896265">
              <w:rPr>
                <w:rFonts w:eastAsiaTheme="minorEastAsia"/>
                <w:color w:val="000000"/>
                <w:szCs w:val="21"/>
              </w:rPr>
              <w:t>月</w:t>
            </w:r>
            <w:r w:rsidRPr="00896265">
              <w:rPr>
                <w:rFonts w:eastAsiaTheme="minorEastAsia"/>
                <w:color w:val="000000"/>
                <w:szCs w:val="21"/>
              </w:rPr>
              <w:t>31</w:t>
            </w:r>
            <w:r w:rsidRPr="00896265">
              <w:rPr>
                <w:rFonts w:eastAsiaTheme="minorEastAsia"/>
                <w:color w:val="000000"/>
                <w:szCs w:val="21"/>
              </w:rPr>
              <w:t>日</w:t>
            </w:r>
          </w:p>
        </w:tc>
      </w:tr>
      <w:tr w:rsidR="003970C2" w:rsidRPr="00896265" w:rsidTr="008A3814">
        <w:trPr>
          <w:trHeight w:val="300"/>
          <w:jc w:val="center"/>
        </w:trPr>
        <w:tc>
          <w:tcPr>
            <w:tcW w:w="3755" w:type="dxa"/>
            <w:tcMar>
              <w:top w:w="15" w:type="dxa"/>
              <w:left w:w="15" w:type="dxa"/>
              <w:bottom w:w="0" w:type="dxa"/>
              <w:right w:w="15" w:type="dxa"/>
            </w:tcMar>
            <w:vAlign w:val="center"/>
          </w:tcPr>
          <w:p w:rsidR="003970C2" w:rsidRPr="00896265" w:rsidRDefault="003970C2" w:rsidP="008A3814">
            <w:pPr>
              <w:rPr>
                <w:szCs w:val="21"/>
              </w:rPr>
            </w:pPr>
            <w:r w:rsidRPr="00896265">
              <w:rPr>
                <w:szCs w:val="21"/>
              </w:rPr>
              <w:t>卖出股票成交总额</w:t>
            </w:r>
          </w:p>
        </w:tc>
        <w:tc>
          <w:tcPr>
            <w:tcW w:w="2726" w:type="dxa"/>
            <w:tcMar>
              <w:top w:w="15" w:type="dxa"/>
              <w:left w:w="15" w:type="dxa"/>
              <w:bottom w:w="0" w:type="dxa"/>
              <w:right w:w="15" w:type="dxa"/>
            </w:tcMar>
            <w:vAlign w:val="bottom"/>
          </w:tcPr>
          <w:p w:rsidR="003970C2" w:rsidRPr="00896265" w:rsidRDefault="003970C2" w:rsidP="008A3814">
            <w:pPr>
              <w:jc w:val="right"/>
              <w:rPr>
                <w:szCs w:val="21"/>
              </w:rPr>
            </w:pPr>
            <w:r w:rsidRPr="00896265">
              <w:rPr>
                <w:szCs w:val="21"/>
              </w:rPr>
              <w:t>84,831,792.70</w:t>
            </w:r>
          </w:p>
        </w:tc>
        <w:tc>
          <w:tcPr>
            <w:tcW w:w="2726" w:type="dxa"/>
            <w:vAlign w:val="bottom"/>
          </w:tcPr>
          <w:p w:rsidR="003970C2" w:rsidRPr="00896265" w:rsidRDefault="003970C2" w:rsidP="008A3814">
            <w:pPr>
              <w:jc w:val="right"/>
              <w:rPr>
                <w:szCs w:val="21"/>
              </w:rPr>
            </w:pPr>
            <w:r w:rsidRPr="00896265">
              <w:rPr>
                <w:szCs w:val="21"/>
              </w:rPr>
              <w:t>145,960,652.94</w:t>
            </w:r>
          </w:p>
        </w:tc>
      </w:tr>
      <w:tr w:rsidR="003970C2" w:rsidRPr="00896265" w:rsidTr="008A3814">
        <w:trPr>
          <w:trHeight w:val="300"/>
          <w:jc w:val="center"/>
        </w:trPr>
        <w:tc>
          <w:tcPr>
            <w:tcW w:w="3755" w:type="dxa"/>
            <w:tcMar>
              <w:top w:w="15" w:type="dxa"/>
              <w:left w:w="15" w:type="dxa"/>
              <w:bottom w:w="0" w:type="dxa"/>
              <w:right w:w="15" w:type="dxa"/>
            </w:tcMar>
            <w:vAlign w:val="center"/>
          </w:tcPr>
          <w:p w:rsidR="003970C2" w:rsidRPr="00896265" w:rsidRDefault="003970C2" w:rsidP="008A3814">
            <w:pPr>
              <w:rPr>
                <w:szCs w:val="21"/>
              </w:rPr>
            </w:pPr>
            <w:r w:rsidRPr="00896265">
              <w:rPr>
                <w:szCs w:val="21"/>
              </w:rPr>
              <w:t>减：卖出股票成本总额</w:t>
            </w:r>
          </w:p>
        </w:tc>
        <w:tc>
          <w:tcPr>
            <w:tcW w:w="2726" w:type="dxa"/>
            <w:tcMar>
              <w:top w:w="15" w:type="dxa"/>
              <w:left w:w="15" w:type="dxa"/>
              <w:bottom w:w="0" w:type="dxa"/>
              <w:right w:w="15" w:type="dxa"/>
            </w:tcMar>
            <w:vAlign w:val="bottom"/>
          </w:tcPr>
          <w:p w:rsidR="003970C2" w:rsidRPr="00896265" w:rsidRDefault="003970C2" w:rsidP="008A3814">
            <w:pPr>
              <w:jc w:val="right"/>
              <w:rPr>
                <w:szCs w:val="21"/>
              </w:rPr>
            </w:pPr>
            <w:r w:rsidRPr="00896265">
              <w:rPr>
                <w:szCs w:val="21"/>
              </w:rPr>
              <w:t>85,043,661.84</w:t>
            </w:r>
          </w:p>
        </w:tc>
        <w:tc>
          <w:tcPr>
            <w:tcW w:w="2726" w:type="dxa"/>
            <w:vAlign w:val="bottom"/>
          </w:tcPr>
          <w:p w:rsidR="003970C2" w:rsidRPr="00896265" w:rsidRDefault="003970C2" w:rsidP="008A3814">
            <w:pPr>
              <w:jc w:val="right"/>
              <w:rPr>
                <w:szCs w:val="21"/>
              </w:rPr>
            </w:pPr>
            <w:r w:rsidRPr="00896265">
              <w:rPr>
                <w:szCs w:val="21"/>
              </w:rPr>
              <w:t>148,384,963.72</w:t>
            </w:r>
          </w:p>
        </w:tc>
      </w:tr>
      <w:tr w:rsidR="003970C2" w:rsidRPr="00896265" w:rsidTr="008A3814">
        <w:trPr>
          <w:trHeight w:val="300"/>
          <w:jc w:val="center"/>
        </w:trPr>
        <w:tc>
          <w:tcPr>
            <w:tcW w:w="3755" w:type="dxa"/>
            <w:tcMar>
              <w:top w:w="15" w:type="dxa"/>
              <w:left w:w="15" w:type="dxa"/>
              <w:bottom w:w="0" w:type="dxa"/>
              <w:right w:w="15" w:type="dxa"/>
            </w:tcMar>
            <w:vAlign w:val="center"/>
          </w:tcPr>
          <w:p w:rsidR="003970C2" w:rsidRPr="00896265" w:rsidRDefault="003970C2" w:rsidP="008A3814">
            <w:pPr>
              <w:rPr>
                <w:szCs w:val="21"/>
              </w:rPr>
            </w:pPr>
            <w:r w:rsidRPr="00896265">
              <w:rPr>
                <w:szCs w:val="21"/>
              </w:rPr>
              <w:t>买卖股票差价收入</w:t>
            </w:r>
          </w:p>
        </w:tc>
        <w:tc>
          <w:tcPr>
            <w:tcW w:w="2726" w:type="dxa"/>
            <w:tcMar>
              <w:top w:w="15" w:type="dxa"/>
              <w:left w:w="15" w:type="dxa"/>
              <w:bottom w:w="0" w:type="dxa"/>
              <w:right w:w="15" w:type="dxa"/>
            </w:tcMar>
            <w:vAlign w:val="bottom"/>
          </w:tcPr>
          <w:p w:rsidR="003970C2" w:rsidRPr="00896265" w:rsidRDefault="003970C2" w:rsidP="008A3814">
            <w:pPr>
              <w:jc w:val="right"/>
              <w:rPr>
                <w:szCs w:val="21"/>
              </w:rPr>
            </w:pPr>
            <w:r w:rsidRPr="00896265">
              <w:rPr>
                <w:szCs w:val="21"/>
              </w:rPr>
              <w:t>-211,869.14</w:t>
            </w:r>
          </w:p>
        </w:tc>
        <w:tc>
          <w:tcPr>
            <w:tcW w:w="2726" w:type="dxa"/>
            <w:vAlign w:val="bottom"/>
          </w:tcPr>
          <w:p w:rsidR="003970C2" w:rsidRPr="00896265" w:rsidRDefault="003970C2" w:rsidP="008A3814">
            <w:pPr>
              <w:jc w:val="right"/>
              <w:rPr>
                <w:szCs w:val="21"/>
              </w:rPr>
            </w:pPr>
            <w:r w:rsidRPr="00896265">
              <w:rPr>
                <w:szCs w:val="21"/>
              </w:rPr>
              <w:t>-2,424,310.78</w:t>
            </w:r>
          </w:p>
        </w:tc>
      </w:tr>
    </w:tbl>
    <w:p w:rsidR="003970C2" w:rsidRPr="00FB4041" w:rsidRDefault="003970C2"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7.4.7.13 基金投资收益</w:t>
      </w:r>
    </w:p>
    <w:p w:rsidR="003970C2" w:rsidRPr="00896265" w:rsidRDefault="003970C2" w:rsidP="003970C2">
      <w:pPr>
        <w:spacing w:line="360" w:lineRule="auto"/>
        <w:jc w:val="right"/>
        <w:rPr>
          <w:color w:val="000000"/>
          <w:szCs w:val="21"/>
        </w:rPr>
      </w:pPr>
      <w:r w:rsidRPr="00896265">
        <w:rPr>
          <w:color w:val="000000"/>
          <w:szCs w:val="21"/>
        </w:rPr>
        <w:t>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7"/>
        <w:gridCol w:w="2775"/>
        <w:gridCol w:w="3078"/>
      </w:tblGrid>
      <w:tr w:rsidR="003970C2" w:rsidRPr="00896265" w:rsidTr="008A3814">
        <w:trPr>
          <w:trHeight w:val="315"/>
          <w:jc w:val="center"/>
        </w:trPr>
        <w:tc>
          <w:tcPr>
            <w:tcW w:w="3505" w:type="dxa"/>
            <w:vAlign w:val="center"/>
          </w:tcPr>
          <w:p w:rsidR="003970C2" w:rsidRPr="00896265" w:rsidRDefault="003970C2" w:rsidP="008A3814">
            <w:pPr>
              <w:spacing w:line="360" w:lineRule="auto"/>
              <w:jc w:val="center"/>
              <w:rPr>
                <w:color w:val="000000"/>
                <w:szCs w:val="21"/>
              </w:rPr>
            </w:pPr>
            <w:r w:rsidRPr="00896265">
              <w:rPr>
                <w:color w:val="000000"/>
                <w:szCs w:val="21"/>
              </w:rPr>
              <w:t>项目</w:t>
            </w:r>
          </w:p>
        </w:tc>
        <w:tc>
          <w:tcPr>
            <w:tcW w:w="2774" w:type="dxa"/>
          </w:tcPr>
          <w:p w:rsidR="003970C2" w:rsidRPr="00896265" w:rsidRDefault="003970C2" w:rsidP="008A3814">
            <w:pPr>
              <w:spacing w:line="360" w:lineRule="auto"/>
              <w:jc w:val="center"/>
              <w:rPr>
                <w:color w:val="000000"/>
                <w:szCs w:val="21"/>
              </w:rPr>
            </w:pPr>
            <w:r w:rsidRPr="00896265">
              <w:rPr>
                <w:color w:val="000000"/>
                <w:szCs w:val="21"/>
              </w:rPr>
              <w:t>本期</w:t>
            </w:r>
          </w:p>
          <w:p w:rsidR="003970C2" w:rsidRPr="00896265" w:rsidRDefault="003970C2" w:rsidP="008A3814">
            <w:pPr>
              <w:spacing w:line="360" w:lineRule="auto"/>
              <w:jc w:val="center"/>
              <w:rPr>
                <w:color w:val="000000"/>
                <w:szCs w:val="21"/>
              </w:rPr>
            </w:pPr>
            <w:r w:rsidRPr="00896265">
              <w:rPr>
                <w:szCs w:val="21"/>
              </w:rPr>
              <w:t>2019</w:t>
            </w:r>
            <w:r w:rsidRPr="00896265">
              <w:rPr>
                <w:szCs w:val="21"/>
              </w:rPr>
              <w:t>年</w:t>
            </w:r>
            <w:r w:rsidRPr="00896265">
              <w:rPr>
                <w:szCs w:val="21"/>
              </w:rPr>
              <w:t>1</w:t>
            </w:r>
            <w:r w:rsidRPr="00896265">
              <w:rPr>
                <w:szCs w:val="21"/>
              </w:rPr>
              <w:t>月</w:t>
            </w:r>
            <w:r w:rsidRPr="00896265">
              <w:rPr>
                <w:szCs w:val="21"/>
              </w:rPr>
              <w:t>1</w:t>
            </w:r>
            <w:r w:rsidRPr="00896265">
              <w:rPr>
                <w:szCs w:val="21"/>
              </w:rPr>
              <w:t>日至</w:t>
            </w:r>
            <w:r w:rsidRPr="00896265">
              <w:rPr>
                <w:szCs w:val="21"/>
              </w:rPr>
              <w:t>2019</w:t>
            </w:r>
            <w:r w:rsidRPr="00896265">
              <w:rPr>
                <w:szCs w:val="21"/>
              </w:rPr>
              <w:t>年</w:t>
            </w:r>
            <w:r w:rsidRPr="00896265">
              <w:rPr>
                <w:szCs w:val="21"/>
              </w:rPr>
              <w:t>12</w:t>
            </w:r>
            <w:r w:rsidRPr="00896265">
              <w:rPr>
                <w:szCs w:val="21"/>
              </w:rPr>
              <w:t>月</w:t>
            </w:r>
            <w:r w:rsidRPr="00896265">
              <w:rPr>
                <w:szCs w:val="21"/>
              </w:rPr>
              <w:t>31</w:t>
            </w:r>
            <w:r w:rsidRPr="00896265">
              <w:rPr>
                <w:szCs w:val="21"/>
              </w:rPr>
              <w:t>日</w:t>
            </w:r>
          </w:p>
        </w:tc>
        <w:tc>
          <w:tcPr>
            <w:tcW w:w="3077" w:type="dxa"/>
          </w:tcPr>
          <w:p w:rsidR="003970C2" w:rsidRPr="00896265" w:rsidRDefault="003970C2" w:rsidP="008A3814">
            <w:pPr>
              <w:spacing w:line="360" w:lineRule="auto"/>
              <w:jc w:val="center"/>
              <w:rPr>
                <w:color w:val="000000"/>
                <w:szCs w:val="21"/>
              </w:rPr>
            </w:pPr>
            <w:r w:rsidRPr="00896265">
              <w:rPr>
                <w:color w:val="000000"/>
                <w:szCs w:val="21"/>
              </w:rPr>
              <w:t>上年度可比期间</w:t>
            </w:r>
          </w:p>
          <w:p w:rsidR="003970C2" w:rsidRPr="00896265" w:rsidRDefault="003970C2" w:rsidP="008A3814">
            <w:pPr>
              <w:spacing w:line="360" w:lineRule="auto"/>
              <w:jc w:val="center"/>
              <w:rPr>
                <w:color w:val="000000"/>
                <w:szCs w:val="21"/>
              </w:rPr>
            </w:pPr>
            <w:r w:rsidRPr="00896265">
              <w:rPr>
                <w:color w:val="000000"/>
                <w:szCs w:val="21"/>
              </w:rPr>
              <w:t>2018</w:t>
            </w:r>
            <w:r w:rsidRPr="00896265">
              <w:rPr>
                <w:color w:val="000000"/>
                <w:szCs w:val="21"/>
              </w:rPr>
              <w:t>年</w:t>
            </w:r>
            <w:r w:rsidRPr="00896265">
              <w:rPr>
                <w:color w:val="000000"/>
                <w:szCs w:val="21"/>
              </w:rPr>
              <w:t>1</w:t>
            </w:r>
            <w:r w:rsidRPr="00896265">
              <w:rPr>
                <w:color w:val="000000"/>
                <w:szCs w:val="21"/>
              </w:rPr>
              <w:t>月</w:t>
            </w:r>
            <w:r w:rsidRPr="00896265">
              <w:rPr>
                <w:color w:val="000000"/>
                <w:szCs w:val="21"/>
              </w:rPr>
              <w:t>1</w:t>
            </w:r>
            <w:r w:rsidRPr="00896265">
              <w:rPr>
                <w:color w:val="000000"/>
                <w:szCs w:val="21"/>
              </w:rPr>
              <w:t>日至</w:t>
            </w:r>
            <w:r w:rsidRPr="00896265">
              <w:rPr>
                <w:color w:val="000000"/>
                <w:szCs w:val="21"/>
              </w:rPr>
              <w:t>2018</w:t>
            </w:r>
            <w:r w:rsidRPr="00896265">
              <w:rPr>
                <w:color w:val="000000"/>
                <w:szCs w:val="21"/>
              </w:rPr>
              <w:t>年</w:t>
            </w:r>
            <w:r w:rsidRPr="00896265">
              <w:rPr>
                <w:color w:val="000000"/>
                <w:szCs w:val="21"/>
              </w:rPr>
              <w:t>12</w:t>
            </w:r>
            <w:r w:rsidRPr="00896265">
              <w:rPr>
                <w:color w:val="000000"/>
                <w:szCs w:val="21"/>
              </w:rPr>
              <w:t>月</w:t>
            </w:r>
            <w:r w:rsidRPr="00896265">
              <w:rPr>
                <w:color w:val="000000"/>
                <w:szCs w:val="21"/>
              </w:rPr>
              <w:t>31</w:t>
            </w:r>
            <w:r w:rsidRPr="00896265">
              <w:rPr>
                <w:color w:val="000000"/>
                <w:szCs w:val="21"/>
              </w:rPr>
              <w:t>日</w:t>
            </w:r>
          </w:p>
        </w:tc>
      </w:tr>
      <w:tr w:rsidR="003970C2" w:rsidRPr="00896265" w:rsidTr="008A3814">
        <w:trPr>
          <w:trHeight w:val="315"/>
          <w:jc w:val="center"/>
        </w:trPr>
        <w:tc>
          <w:tcPr>
            <w:tcW w:w="3505" w:type="dxa"/>
            <w:vAlign w:val="center"/>
          </w:tcPr>
          <w:p w:rsidR="003970C2" w:rsidRPr="00896265" w:rsidRDefault="003970C2" w:rsidP="008A3814">
            <w:pPr>
              <w:spacing w:line="360" w:lineRule="auto"/>
              <w:jc w:val="left"/>
              <w:rPr>
                <w:color w:val="000000"/>
                <w:szCs w:val="21"/>
              </w:rPr>
            </w:pPr>
            <w:r w:rsidRPr="00896265">
              <w:rPr>
                <w:color w:val="000000"/>
                <w:szCs w:val="21"/>
              </w:rPr>
              <w:t>卖出</w:t>
            </w:r>
            <w:r w:rsidRPr="00896265">
              <w:rPr>
                <w:color w:val="000000"/>
                <w:szCs w:val="21"/>
              </w:rPr>
              <w:t>/</w:t>
            </w:r>
            <w:r w:rsidRPr="00896265">
              <w:rPr>
                <w:color w:val="000000"/>
                <w:szCs w:val="21"/>
              </w:rPr>
              <w:t>赎回基金成交总额</w:t>
            </w:r>
          </w:p>
        </w:tc>
        <w:tc>
          <w:tcPr>
            <w:tcW w:w="2774" w:type="dxa"/>
            <w:vAlign w:val="center"/>
          </w:tcPr>
          <w:p w:rsidR="003970C2" w:rsidRPr="00896265" w:rsidRDefault="003970C2" w:rsidP="008A3814">
            <w:pPr>
              <w:spacing w:line="360" w:lineRule="auto"/>
              <w:jc w:val="right"/>
              <w:rPr>
                <w:szCs w:val="21"/>
              </w:rPr>
            </w:pPr>
            <w:r w:rsidRPr="00896265">
              <w:rPr>
                <w:szCs w:val="21"/>
              </w:rPr>
              <w:t>796,111,426.12</w:t>
            </w:r>
          </w:p>
        </w:tc>
        <w:tc>
          <w:tcPr>
            <w:tcW w:w="3077" w:type="dxa"/>
            <w:vAlign w:val="center"/>
          </w:tcPr>
          <w:p w:rsidR="003970C2" w:rsidRPr="00896265" w:rsidRDefault="003970C2" w:rsidP="008A3814">
            <w:pPr>
              <w:spacing w:line="360" w:lineRule="auto"/>
              <w:jc w:val="right"/>
              <w:rPr>
                <w:szCs w:val="21"/>
              </w:rPr>
            </w:pPr>
            <w:r w:rsidRPr="00896265">
              <w:rPr>
                <w:szCs w:val="21"/>
              </w:rPr>
              <w:t>419,231,349.40</w:t>
            </w:r>
          </w:p>
        </w:tc>
      </w:tr>
      <w:tr w:rsidR="003970C2" w:rsidRPr="00896265" w:rsidTr="008A3814">
        <w:trPr>
          <w:trHeight w:val="315"/>
          <w:jc w:val="center"/>
        </w:trPr>
        <w:tc>
          <w:tcPr>
            <w:tcW w:w="3505" w:type="dxa"/>
            <w:vAlign w:val="center"/>
          </w:tcPr>
          <w:p w:rsidR="003970C2" w:rsidRPr="00896265" w:rsidRDefault="003970C2" w:rsidP="008A3814">
            <w:pPr>
              <w:spacing w:line="360" w:lineRule="auto"/>
              <w:jc w:val="left"/>
              <w:rPr>
                <w:color w:val="000000"/>
                <w:szCs w:val="21"/>
              </w:rPr>
            </w:pPr>
            <w:r w:rsidRPr="00896265">
              <w:rPr>
                <w:color w:val="000000"/>
                <w:szCs w:val="21"/>
              </w:rPr>
              <w:t>减：卖出</w:t>
            </w:r>
            <w:r w:rsidRPr="00896265">
              <w:rPr>
                <w:color w:val="000000"/>
                <w:szCs w:val="21"/>
              </w:rPr>
              <w:t>/</w:t>
            </w:r>
            <w:r w:rsidRPr="00896265">
              <w:rPr>
                <w:color w:val="000000"/>
                <w:szCs w:val="21"/>
              </w:rPr>
              <w:t>赎回基金成本总额</w:t>
            </w:r>
          </w:p>
        </w:tc>
        <w:tc>
          <w:tcPr>
            <w:tcW w:w="2774" w:type="dxa"/>
            <w:vAlign w:val="center"/>
          </w:tcPr>
          <w:p w:rsidR="003970C2" w:rsidRPr="00896265" w:rsidRDefault="003970C2" w:rsidP="008A3814">
            <w:pPr>
              <w:spacing w:line="360" w:lineRule="auto"/>
              <w:jc w:val="right"/>
              <w:rPr>
                <w:szCs w:val="21"/>
              </w:rPr>
            </w:pPr>
            <w:r w:rsidRPr="00896265">
              <w:rPr>
                <w:szCs w:val="21"/>
              </w:rPr>
              <w:t>769,646,763.44</w:t>
            </w:r>
          </w:p>
        </w:tc>
        <w:tc>
          <w:tcPr>
            <w:tcW w:w="3077" w:type="dxa"/>
            <w:vAlign w:val="center"/>
          </w:tcPr>
          <w:p w:rsidR="003970C2" w:rsidRPr="00896265" w:rsidRDefault="003970C2" w:rsidP="008A3814">
            <w:pPr>
              <w:spacing w:line="360" w:lineRule="auto"/>
              <w:jc w:val="right"/>
              <w:rPr>
                <w:szCs w:val="21"/>
              </w:rPr>
            </w:pPr>
            <w:r w:rsidRPr="00896265">
              <w:rPr>
                <w:szCs w:val="21"/>
              </w:rPr>
              <w:t>422,527,021.41</w:t>
            </w:r>
          </w:p>
        </w:tc>
      </w:tr>
      <w:tr w:rsidR="003970C2" w:rsidRPr="00896265" w:rsidTr="008A3814">
        <w:trPr>
          <w:trHeight w:val="315"/>
          <w:jc w:val="center"/>
        </w:trPr>
        <w:tc>
          <w:tcPr>
            <w:tcW w:w="3505" w:type="dxa"/>
            <w:vAlign w:val="center"/>
          </w:tcPr>
          <w:p w:rsidR="003970C2" w:rsidRPr="00896265" w:rsidRDefault="003970C2" w:rsidP="008A3814">
            <w:pPr>
              <w:spacing w:line="360" w:lineRule="auto"/>
              <w:jc w:val="left"/>
              <w:rPr>
                <w:color w:val="000000"/>
                <w:szCs w:val="21"/>
              </w:rPr>
            </w:pPr>
            <w:r w:rsidRPr="00896265">
              <w:rPr>
                <w:color w:val="000000"/>
                <w:szCs w:val="21"/>
              </w:rPr>
              <w:t>基金投资收益</w:t>
            </w:r>
          </w:p>
        </w:tc>
        <w:tc>
          <w:tcPr>
            <w:tcW w:w="2774" w:type="dxa"/>
            <w:vAlign w:val="center"/>
          </w:tcPr>
          <w:p w:rsidR="003970C2" w:rsidRPr="00896265" w:rsidRDefault="003970C2" w:rsidP="008A3814">
            <w:pPr>
              <w:spacing w:line="360" w:lineRule="auto"/>
              <w:jc w:val="right"/>
              <w:rPr>
                <w:szCs w:val="21"/>
              </w:rPr>
            </w:pPr>
            <w:r w:rsidRPr="00896265">
              <w:rPr>
                <w:szCs w:val="21"/>
              </w:rPr>
              <w:t>26,464,662.68</w:t>
            </w:r>
          </w:p>
        </w:tc>
        <w:tc>
          <w:tcPr>
            <w:tcW w:w="3077" w:type="dxa"/>
            <w:vAlign w:val="center"/>
          </w:tcPr>
          <w:p w:rsidR="003970C2" w:rsidRPr="00896265" w:rsidRDefault="003970C2" w:rsidP="008A3814">
            <w:pPr>
              <w:spacing w:line="360" w:lineRule="auto"/>
              <w:jc w:val="right"/>
              <w:rPr>
                <w:szCs w:val="21"/>
              </w:rPr>
            </w:pPr>
            <w:r w:rsidRPr="00896265">
              <w:rPr>
                <w:szCs w:val="21"/>
              </w:rPr>
              <w:t>-3,295,672.01</w:t>
            </w:r>
          </w:p>
        </w:tc>
      </w:tr>
    </w:tbl>
    <w:p w:rsidR="003970C2" w:rsidRPr="00896265" w:rsidRDefault="003970C2" w:rsidP="00FB4041">
      <w:pPr>
        <w:autoSpaceDE w:val="0"/>
        <w:autoSpaceDN w:val="0"/>
        <w:adjustRightInd w:val="0"/>
        <w:spacing w:line="360" w:lineRule="auto"/>
        <w:jc w:val="left"/>
        <w:rPr>
          <w:b/>
          <w:color w:val="000000"/>
          <w:szCs w:val="21"/>
        </w:rPr>
      </w:pPr>
      <w:r w:rsidRPr="00FB4041">
        <w:rPr>
          <w:rFonts w:asciiTheme="majorEastAsia" w:eastAsiaTheme="majorEastAsia" w:hAnsiTheme="majorEastAsia"/>
          <w:b/>
          <w:color w:val="000000" w:themeColor="text1"/>
          <w:kern w:val="0"/>
          <w:szCs w:val="21"/>
        </w:rPr>
        <w:t>7.4.7.14债券投资收益——买卖债券差价收入</w:t>
      </w:r>
    </w:p>
    <w:p w:rsidR="003970C2" w:rsidRPr="00896265" w:rsidRDefault="003970C2" w:rsidP="003970C2">
      <w:pPr>
        <w:spacing w:line="360" w:lineRule="auto"/>
        <w:ind w:firstLineChars="200" w:firstLine="420"/>
        <w:rPr>
          <w:color w:val="000000"/>
          <w:szCs w:val="21"/>
        </w:rPr>
      </w:pPr>
      <w:r w:rsidRPr="00896265">
        <w:rPr>
          <w:rFonts w:eastAsiaTheme="minorEastAsia"/>
          <w:kern w:val="0"/>
          <w:szCs w:val="21"/>
        </w:rPr>
        <w:t>本基金本报告期及上年度可比期间无债券投资收益。</w:t>
      </w:r>
    </w:p>
    <w:p w:rsidR="003970C2" w:rsidRPr="00FB4041" w:rsidRDefault="003970C2"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7.4.7.15 衍生工具收益</w:t>
      </w:r>
    </w:p>
    <w:p w:rsidR="003970C2" w:rsidRPr="00896265" w:rsidRDefault="000B6049" w:rsidP="003970C2">
      <w:pPr>
        <w:spacing w:line="360" w:lineRule="auto"/>
        <w:ind w:firstLineChars="200" w:firstLine="420"/>
        <w:jc w:val="left"/>
        <w:rPr>
          <w:color w:val="000000"/>
          <w:szCs w:val="21"/>
        </w:rPr>
      </w:pPr>
      <w:r w:rsidRPr="001A03CE">
        <w:rPr>
          <w:rFonts w:eastAsiaTheme="minorEastAsia"/>
          <w:kern w:val="0"/>
          <w:szCs w:val="21"/>
        </w:rPr>
        <w:t>本基金本报告期及上年度可比期间无衍生工具收益。</w:t>
      </w:r>
    </w:p>
    <w:p w:rsidR="003970C2" w:rsidRPr="00FB4041" w:rsidRDefault="003970C2"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7.4.7.16 股利收益</w:t>
      </w:r>
    </w:p>
    <w:p w:rsidR="003970C2" w:rsidRPr="00896265" w:rsidRDefault="003970C2" w:rsidP="003970C2">
      <w:pPr>
        <w:tabs>
          <w:tab w:val="left" w:pos="7200"/>
          <w:tab w:val="left" w:pos="8280"/>
        </w:tabs>
        <w:spacing w:line="360" w:lineRule="auto"/>
        <w:ind w:rightChars="33" w:right="69"/>
        <w:jc w:val="right"/>
        <w:rPr>
          <w:color w:val="000000"/>
          <w:szCs w:val="21"/>
        </w:rPr>
      </w:pPr>
      <w:r w:rsidRPr="00896265">
        <w:rPr>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3970C2" w:rsidRPr="00896265" w:rsidTr="008A3814">
        <w:tc>
          <w:tcPr>
            <w:tcW w:w="2988" w:type="dxa"/>
            <w:vAlign w:val="center"/>
          </w:tcPr>
          <w:p w:rsidR="003970C2" w:rsidRPr="00896265" w:rsidRDefault="003970C2" w:rsidP="008A3814">
            <w:pPr>
              <w:spacing w:line="360" w:lineRule="auto"/>
              <w:jc w:val="center"/>
              <w:rPr>
                <w:szCs w:val="21"/>
              </w:rPr>
            </w:pPr>
            <w:r w:rsidRPr="00896265">
              <w:rPr>
                <w:szCs w:val="21"/>
              </w:rPr>
              <w:t>项目</w:t>
            </w:r>
          </w:p>
        </w:tc>
        <w:tc>
          <w:tcPr>
            <w:tcW w:w="3150" w:type="dxa"/>
          </w:tcPr>
          <w:p w:rsidR="003970C2" w:rsidRPr="00896265" w:rsidRDefault="003970C2" w:rsidP="008A3814">
            <w:pPr>
              <w:spacing w:line="360" w:lineRule="auto"/>
              <w:jc w:val="center"/>
              <w:rPr>
                <w:szCs w:val="21"/>
              </w:rPr>
            </w:pPr>
            <w:r w:rsidRPr="00896265">
              <w:rPr>
                <w:szCs w:val="21"/>
              </w:rPr>
              <w:t>本期</w:t>
            </w:r>
          </w:p>
          <w:p w:rsidR="003970C2" w:rsidRPr="00896265" w:rsidRDefault="003970C2" w:rsidP="008A3814">
            <w:pPr>
              <w:widowControl/>
              <w:autoSpaceDE w:val="0"/>
              <w:autoSpaceDN w:val="0"/>
              <w:spacing w:line="360" w:lineRule="auto"/>
              <w:ind w:right="-15"/>
              <w:jc w:val="center"/>
              <w:textAlignment w:val="bottom"/>
              <w:rPr>
                <w:szCs w:val="21"/>
              </w:rPr>
            </w:pPr>
            <w:r w:rsidRPr="00896265">
              <w:rPr>
                <w:szCs w:val="21"/>
              </w:rPr>
              <w:t>2019</w:t>
            </w:r>
            <w:r w:rsidRPr="00896265">
              <w:rPr>
                <w:szCs w:val="21"/>
              </w:rPr>
              <w:t>年</w:t>
            </w:r>
            <w:r w:rsidRPr="00896265">
              <w:rPr>
                <w:szCs w:val="21"/>
              </w:rPr>
              <w:t>1</w:t>
            </w:r>
            <w:r w:rsidRPr="00896265">
              <w:rPr>
                <w:szCs w:val="21"/>
              </w:rPr>
              <w:t>月</w:t>
            </w:r>
            <w:r w:rsidRPr="00896265">
              <w:rPr>
                <w:szCs w:val="21"/>
              </w:rPr>
              <w:t>1</w:t>
            </w:r>
            <w:r w:rsidRPr="00896265">
              <w:rPr>
                <w:szCs w:val="21"/>
              </w:rPr>
              <w:t>日至</w:t>
            </w:r>
            <w:r w:rsidRPr="00896265">
              <w:rPr>
                <w:szCs w:val="21"/>
              </w:rPr>
              <w:t>2019</w:t>
            </w:r>
            <w:r w:rsidRPr="00896265">
              <w:rPr>
                <w:szCs w:val="21"/>
              </w:rPr>
              <w:t>年</w:t>
            </w:r>
            <w:r w:rsidRPr="00896265">
              <w:rPr>
                <w:szCs w:val="21"/>
              </w:rPr>
              <w:t>12</w:t>
            </w:r>
            <w:r w:rsidRPr="00896265">
              <w:rPr>
                <w:szCs w:val="21"/>
              </w:rPr>
              <w:t>月</w:t>
            </w:r>
            <w:r w:rsidRPr="00896265">
              <w:rPr>
                <w:szCs w:val="21"/>
              </w:rPr>
              <w:t>31</w:t>
            </w:r>
            <w:r w:rsidRPr="00896265">
              <w:rPr>
                <w:szCs w:val="21"/>
              </w:rPr>
              <w:t>日</w:t>
            </w:r>
          </w:p>
        </w:tc>
        <w:tc>
          <w:tcPr>
            <w:tcW w:w="3150" w:type="dxa"/>
          </w:tcPr>
          <w:p w:rsidR="003970C2" w:rsidRPr="00896265" w:rsidRDefault="003970C2" w:rsidP="008A3814">
            <w:pPr>
              <w:spacing w:line="360" w:lineRule="auto"/>
              <w:jc w:val="center"/>
              <w:rPr>
                <w:szCs w:val="21"/>
              </w:rPr>
            </w:pPr>
            <w:r w:rsidRPr="00896265">
              <w:rPr>
                <w:szCs w:val="21"/>
              </w:rPr>
              <w:t>上年度可比期间</w:t>
            </w:r>
          </w:p>
          <w:p w:rsidR="003970C2" w:rsidRPr="00896265" w:rsidRDefault="003970C2" w:rsidP="008A3814">
            <w:pPr>
              <w:widowControl/>
              <w:autoSpaceDE w:val="0"/>
              <w:autoSpaceDN w:val="0"/>
              <w:spacing w:line="360" w:lineRule="auto"/>
              <w:ind w:right="-15"/>
              <w:jc w:val="center"/>
              <w:textAlignment w:val="bottom"/>
              <w:rPr>
                <w:kern w:val="0"/>
                <w:szCs w:val="21"/>
              </w:rPr>
            </w:pPr>
            <w:r w:rsidRPr="00896265">
              <w:rPr>
                <w:szCs w:val="21"/>
              </w:rPr>
              <w:t>2018</w:t>
            </w:r>
            <w:r w:rsidRPr="00896265">
              <w:rPr>
                <w:szCs w:val="21"/>
              </w:rPr>
              <w:t>年</w:t>
            </w:r>
            <w:r w:rsidRPr="00896265">
              <w:rPr>
                <w:szCs w:val="21"/>
              </w:rPr>
              <w:t>1</w:t>
            </w:r>
            <w:r w:rsidRPr="00896265">
              <w:rPr>
                <w:szCs w:val="21"/>
              </w:rPr>
              <w:t>月</w:t>
            </w:r>
            <w:r w:rsidRPr="00896265">
              <w:rPr>
                <w:szCs w:val="21"/>
              </w:rPr>
              <w:t>1</w:t>
            </w:r>
            <w:r w:rsidRPr="00896265">
              <w:rPr>
                <w:szCs w:val="21"/>
              </w:rPr>
              <w:t>日至</w:t>
            </w:r>
            <w:r w:rsidRPr="00896265">
              <w:rPr>
                <w:szCs w:val="21"/>
              </w:rPr>
              <w:t>2018</w:t>
            </w:r>
            <w:r w:rsidRPr="00896265">
              <w:rPr>
                <w:szCs w:val="21"/>
              </w:rPr>
              <w:t>年</w:t>
            </w:r>
            <w:r w:rsidRPr="00896265">
              <w:rPr>
                <w:szCs w:val="21"/>
              </w:rPr>
              <w:t>12</w:t>
            </w:r>
            <w:r w:rsidRPr="00896265">
              <w:rPr>
                <w:szCs w:val="21"/>
              </w:rPr>
              <w:t>月</w:t>
            </w:r>
            <w:r w:rsidRPr="00896265">
              <w:rPr>
                <w:szCs w:val="21"/>
              </w:rPr>
              <w:t>31</w:t>
            </w:r>
            <w:r w:rsidRPr="00896265">
              <w:rPr>
                <w:szCs w:val="21"/>
              </w:rPr>
              <w:t>日</w:t>
            </w:r>
          </w:p>
        </w:tc>
      </w:tr>
      <w:tr w:rsidR="003970C2" w:rsidRPr="00896265" w:rsidTr="008A3814">
        <w:tc>
          <w:tcPr>
            <w:tcW w:w="2988" w:type="dxa"/>
            <w:vAlign w:val="center"/>
          </w:tcPr>
          <w:p w:rsidR="003970C2" w:rsidRPr="00896265" w:rsidRDefault="003970C2" w:rsidP="008A3814">
            <w:pPr>
              <w:spacing w:line="360" w:lineRule="auto"/>
              <w:rPr>
                <w:szCs w:val="21"/>
              </w:rPr>
            </w:pPr>
            <w:r w:rsidRPr="00896265">
              <w:rPr>
                <w:szCs w:val="21"/>
              </w:rPr>
              <w:t>股票投资产生的股利收益</w:t>
            </w:r>
          </w:p>
        </w:tc>
        <w:tc>
          <w:tcPr>
            <w:tcW w:w="3150" w:type="dxa"/>
            <w:vAlign w:val="center"/>
          </w:tcPr>
          <w:p w:rsidR="003970C2" w:rsidRPr="00896265" w:rsidRDefault="003970C2" w:rsidP="008A3814">
            <w:pPr>
              <w:spacing w:line="360" w:lineRule="auto"/>
              <w:jc w:val="right"/>
              <w:rPr>
                <w:szCs w:val="21"/>
              </w:rPr>
            </w:pPr>
            <w:r w:rsidRPr="00896265">
              <w:rPr>
                <w:szCs w:val="21"/>
              </w:rPr>
              <w:t>533,862.49</w:t>
            </w:r>
          </w:p>
        </w:tc>
        <w:tc>
          <w:tcPr>
            <w:tcW w:w="3150" w:type="dxa"/>
            <w:vAlign w:val="center"/>
          </w:tcPr>
          <w:p w:rsidR="003970C2" w:rsidRPr="00896265" w:rsidRDefault="003970C2" w:rsidP="008A3814">
            <w:pPr>
              <w:spacing w:line="360" w:lineRule="auto"/>
              <w:jc w:val="right"/>
              <w:rPr>
                <w:szCs w:val="21"/>
              </w:rPr>
            </w:pPr>
            <w:r w:rsidRPr="00896265">
              <w:rPr>
                <w:szCs w:val="21"/>
              </w:rPr>
              <w:t>560,251.61</w:t>
            </w:r>
          </w:p>
        </w:tc>
      </w:tr>
      <w:tr w:rsidR="003970C2" w:rsidRPr="00896265" w:rsidTr="008A3814">
        <w:tc>
          <w:tcPr>
            <w:tcW w:w="2988" w:type="dxa"/>
            <w:vAlign w:val="center"/>
          </w:tcPr>
          <w:p w:rsidR="003970C2" w:rsidRPr="00896265" w:rsidRDefault="003970C2" w:rsidP="008A3814">
            <w:pPr>
              <w:spacing w:line="360" w:lineRule="auto"/>
              <w:rPr>
                <w:szCs w:val="21"/>
              </w:rPr>
            </w:pPr>
            <w:r w:rsidRPr="00896265">
              <w:rPr>
                <w:szCs w:val="21"/>
              </w:rPr>
              <w:t>基金投资产生的股利收益</w:t>
            </w:r>
          </w:p>
        </w:tc>
        <w:tc>
          <w:tcPr>
            <w:tcW w:w="3150" w:type="dxa"/>
            <w:vAlign w:val="center"/>
          </w:tcPr>
          <w:p w:rsidR="003970C2" w:rsidRPr="00896265" w:rsidRDefault="003970C2" w:rsidP="008A3814">
            <w:pPr>
              <w:spacing w:line="360" w:lineRule="auto"/>
              <w:jc w:val="right"/>
              <w:rPr>
                <w:szCs w:val="21"/>
              </w:rPr>
            </w:pPr>
            <w:r w:rsidRPr="00896265">
              <w:rPr>
                <w:szCs w:val="21"/>
              </w:rPr>
              <w:t>1,083,736.58</w:t>
            </w:r>
          </w:p>
        </w:tc>
        <w:tc>
          <w:tcPr>
            <w:tcW w:w="3150" w:type="dxa"/>
            <w:vAlign w:val="center"/>
          </w:tcPr>
          <w:p w:rsidR="003970C2" w:rsidRPr="00896265" w:rsidRDefault="003970C2" w:rsidP="008A3814">
            <w:pPr>
              <w:spacing w:line="360" w:lineRule="auto"/>
              <w:jc w:val="right"/>
              <w:rPr>
                <w:szCs w:val="21"/>
              </w:rPr>
            </w:pPr>
            <w:r w:rsidRPr="00896265">
              <w:rPr>
                <w:szCs w:val="21"/>
              </w:rPr>
              <w:t>627,962.16</w:t>
            </w:r>
          </w:p>
        </w:tc>
      </w:tr>
      <w:tr w:rsidR="003970C2" w:rsidRPr="00896265" w:rsidTr="008A3814">
        <w:tc>
          <w:tcPr>
            <w:tcW w:w="2988" w:type="dxa"/>
            <w:vAlign w:val="center"/>
          </w:tcPr>
          <w:p w:rsidR="003970C2" w:rsidRPr="00896265" w:rsidRDefault="003970C2" w:rsidP="008A3814">
            <w:pPr>
              <w:spacing w:line="360" w:lineRule="auto"/>
              <w:rPr>
                <w:szCs w:val="21"/>
              </w:rPr>
            </w:pPr>
            <w:r w:rsidRPr="00896265">
              <w:rPr>
                <w:szCs w:val="21"/>
              </w:rPr>
              <w:t>合计</w:t>
            </w:r>
          </w:p>
        </w:tc>
        <w:tc>
          <w:tcPr>
            <w:tcW w:w="3150" w:type="dxa"/>
            <w:vAlign w:val="center"/>
          </w:tcPr>
          <w:p w:rsidR="003970C2" w:rsidRPr="00896265" w:rsidRDefault="003970C2" w:rsidP="008A3814">
            <w:pPr>
              <w:spacing w:line="360" w:lineRule="auto"/>
              <w:jc w:val="right"/>
              <w:rPr>
                <w:szCs w:val="21"/>
              </w:rPr>
            </w:pPr>
            <w:r w:rsidRPr="00896265">
              <w:rPr>
                <w:szCs w:val="21"/>
              </w:rPr>
              <w:t>1,617,599.07</w:t>
            </w:r>
          </w:p>
        </w:tc>
        <w:tc>
          <w:tcPr>
            <w:tcW w:w="3150" w:type="dxa"/>
            <w:vAlign w:val="center"/>
          </w:tcPr>
          <w:p w:rsidR="003970C2" w:rsidRPr="00896265" w:rsidRDefault="003970C2" w:rsidP="008A3814">
            <w:pPr>
              <w:spacing w:line="360" w:lineRule="auto"/>
              <w:jc w:val="right"/>
              <w:rPr>
                <w:szCs w:val="21"/>
              </w:rPr>
            </w:pPr>
            <w:r w:rsidRPr="00896265">
              <w:rPr>
                <w:szCs w:val="21"/>
              </w:rPr>
              <w:t>1,188,213.77</w:t>
            </w:r>
          </w:p>
        </w:tc>
      </w:tr>
    </w:tbl>
    <w:p w:rsidR="003970C2" w:rsidRPr="00FB4041" w:rsidRDefault="003970C2"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7.4.7.17 公允价值变动收益</w:t>
      </w:r>
    </w:p>
    <w:p w:rsidR="008B70AD" w:rsidRPr="001A03CE" w:rsidRDefault="008B70AD" w:rsidP="008B70AD">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8B70AD" w:rsidRPr="001A03CE" w:rsidTr="00AA712C">
        <w:trPr>
          <w:trHeight w:val="285"/>
        </w:trPr>
        <w:tc>
          <w:tcPr>
            <w:tcW w:w="2987" w:type="dxa"/>
            <w:vAlign w:val="center"/>
          </w:tcPr>
          <w:p w:rsidR="008B70AD" w:rsidRPr="001A03CE" w:rsidRDefault="008B70AD" w:rsidP="00AA712C">
            <w:pPr>
              <w:spacing w:line="360" w:lineRule="auto"/>
              <w:jc w:val="center"/>
              <w:rPr>
                <w:rFonts w:eastAsiaTheme="minorEastAsia"/>
                <w:szCs w:val="21"/>
              </w:rPr>
            </w:pPr>
            <w:r w:rsidRPr="001A03CE">
              <w:rPr>
                <w:rFonts w:eastAsiaTheme="minorEastAsia"/>
                <w:kern w:val="0"/>
                <w:szCs w:val="21"/>
              </w:rPr>
              <w:t>项目名称</w:t>
            </w:r>
          </w:p>
        </w:tc>
        <w:tc>
          <w:tcPr>
            <w:tcW w:w="3149" w:type="dxa"/>
          </w:tcPr>
          <w:p w:rsidR="008B70AD" w:rsidRPr="001A03CE" w:rsidRDefault="008B70AD" w:rsidP="00AA712C">
            <w:pPr>
              <w:spacing w:line="360" w:lineRule="auto"/>
              <w:jc w:val="center"/>
              <w:rPr>
                <w:rFonts w:eastAsiaTheme="minorEastAsia"/>
                <w:szCs w:val="21"/>
              </w:rPr>
            </w:pPr>
            <w:r w:rsidRPr="001A03CE">
              <w:rPr>
                <w:rFonts w:eastAsiaTheme="minorEastAsia"/>
                <w:szCs w:val="21"/>
              </w:rPr>
              <w:t>本期</w:t>
            </w:r>
          </w:p>
          <w:p w:rsidR="008B70AD" w:rsidRPr="001A03CE" w:rsidRDefault="008B70AD" w:rsidP="00AA712C">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2019</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2019</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8B70AD" w:rsidRPr="001A03CE" w:rsidRDefault="008B70AD" w:rsidP="00AA712C">
            <w:pPr>
              <w:spacing w:line="360" w:lineRule="auto"/>
              <w:jc w:val="center"/>
              <w:rPr>
                <w:rFonts w:eastAsiaTheme="minorEastAsia"/>
                <w:szCs w:val="21"/>
              </w:rPr>
            </w:pPr>
            <w:r w:rsidRPr="001A03CE">
              <w:rPr>
                <w:rFonts w:eastAsiaTheme="minorEastAsia"/>
                <w:szCs w:val="21"/>
              </w:rPr>
              <w:t>上年度可比期间</w:t>
            </w:r>
          </w:p>
          <w:p w:rsidR="008B70AD" w:rsidRPr="001A03CE" w:rsidRDefault="008B70AD" w:rsidP="00AA712C">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2018</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2018</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8B70AD" w:rsidRPr="001A03CE" w:rsidTr="00AA712C">
        <w:trPr>
          <w:trHeight w:val="285"/>
        </w:trPr>
        <w:tc>
          <w:tcPr>
            <w:tcW w:w="2987" w:type="dxa"/>
            <w:vAlign w:val="center"/>
          </w:tcPr>
          <w:p w:rsidR="008B70AD" w:rsidRPr="001A03CE" w:rsidRDefault="008B70AD" w:rsidP="00AA712C">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8B70AD" w:rsidRPr="001A03CE" w:rsidRDefault="008B70AD" w:rsidP="00AA712C">
            <w:pPr>
              <w:spacing w:line="360" w:lineRule="auto"/>
              <w:jc w:val="right"/>
              <w:rPr>
                <w:rFonts w:eastAsiaTheme="minorEastAsia"/>
                <w:szCs w:val="21"/>
              </w:rPr>
            </w:pPr>
            <w:r w:rsidRPr="001A03CE">
              <w:rPr>
                <w:rFonts w:eastAsiaTheme="minorEastAsia"/>
                <w:szCs w:val="21"/>
              </w:rPr>
              <w:t>36,821,872.47</w:t>
            </w:r>
          </w:p>
        </w:tc>
        <w:tc>
          <w:tcPr>
            <w:tcW w:w="3149" w:type="dxa"/>
            <w:vAlign w:val="center"/>
          </w:tcPr>
          <w:p w:rsidR="008B70AD" w:rsidRPr="001A03CE" w:rsidRDefault="008B70AD" w:rsidP="00AA712C">
            <w:pPr>
              <w:spacing w:line="360" w:lineRule="auto"/>
              <w:jc w:val="right"/>
              <w:rPr>
                <w:rFonts w:eastAsiaTheme="minorEastAsia"/>
                <w:szCs w:val="21"/>
              </w:rPr>
            </w:pPr>
            <w:r w:rsidRPr="001A03CE">
              <w:rPr>
                <w:rFonts w:eastAsiaTheme="minorEastAsia"/>
                <w:szCs w:val="21"/>
              </w:rPr>
              <w:t>7,667,325.73</w:t>
            </w:r>
          </w:p>
        </w:tc>
      </w:tr>
      <w:tr w:rsidR="008B70AD" w:rsidRPr="001A03CE" w:rsidTr="00AA712C">
        <w:trPr>
          <w:trHeight w:val="285"/>
        </w:trPr>
        <w:tc>
          <w:tcPr>
            <w:tcW w:w="2987" w:type="dxa"/>
            <w:vAlign w:val="center"/>
          </w:tcPr>
          <w:p w:rsidR="008B70AD" w:rsidRPr="001A03CE" w:rsidRDefault="008B70AD" w:rsidP="00AA712C">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8B70AD" w:rsidRPr="001A03CE" w:rsidRDefault="008B70AD" w:rsidP="00AA712C">
            <w:pPr>
              <w:spacing w:line="360" w:lineRule="auto"/>
              <w:jc w:val="right"/>
              <w:rPr>
                <w:rFonts w:eastAsiaTheme="minorEastAsia"/>
                <w:szCs w:val="21"/>
              </w:rPr>
            </w:pPr>
            <w:r w:rsidRPr="001A03CE">
              <w:rPr>
                <w:rFonts w:eastAsiaTheme="minorEastAsia"/>
                <w:szCs w:val="21"/>
              </w:rPr>
              <w:t>-</w:t>
            </w:r>
          </w:p>
        </w:tc>
        <w:tc>
          <w:tcPr>
            <w:tcW w:w="3149" w:type="dxa"/>
            <w:vAlign w:val="center"/>
          </w:tcPr>
          <w:p w:rsidR="008B70AD" w:rsidRPr="001A03CE" w:rsidRDefault="008B70AD" w:rsidP="00AA712C">
            <w:pPr>
              <w:spacing w:line="360" w:lineRule="auto"/>
              <w:jc w:val="right"/>
              <w:rPr>
                <w:rFonts w:eastAsiaTheme="minorEastAsia"/>
                <w:szCs w:val="21"/>
              </w:rPr>
            </w:pPr>
            <w:r w:rsidRPr="001A03CE">
              <w:rPr>
                <w:rFonts w:eastAsiaTheme="minorEastAsia"/>
                <w:szCs w:val="21"/>
              </w:rPr>
              <w:t>-630,864.16</w:t>
            </w:r>
          </w:p>
        </w:tc>
      </w:tr>
      <w:tr w:rsidR="008B70AD" w:rsidRPr="001A03CE" w:rsidTr="00AA712C">
        <w:trPr>
          <w:trHeight w:val="285"/>
        </w:trPr>
        <w:tc>
          <w:tcPr>
            <w:tcW w:w="2987" w:type="dxa"/>
            <w:vAlign w:val="center"/>
          </w:tcPr>
          <w:p w:rsidR="008B70AD" w:rsidRPr="001A03CE" w:rsidRDefault="008B70AD" w:rsidP="00AA712C">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8B70AD" w:rsidRPr="001A03CE" w:rsidRDefault="008B70AD" w:rsidP="00AA712C">
            <w:pPr>
              <w:spacing w:line="360" w:lineRule="auto"/>
              <w:jc w:val="right"/>
              <w:rPr>
                <w:rFonts w:eastAsiaTheme="minorEastAsia"/>
                <w:szCs w:val="21"/>
              </w:rPr>
            </w:pPr>
            <w:r w:rsidRPr="001A03CE">
              <w:rPr>
                <w:rFonts w:eastAsiaTheme="minorEastAsia"/>
                <w:szCs w:val="21"/>
              </w:rPr>
              <w:t>-</w:t>
            </w:r>
          </w:p>
        </w:tc>
        <w:tc>
          <w:tcPr>
            <w:tcW w:w="3149" w:type="dxa"/>
            <w:vAlign w:val="center"/>
          </w:tcPr>
          <w:p w:rsidR="008B70AD" w:rsidRPr="001A03CE" w:rsidRDefault="008B70AD" w:rsidP="00AA712C">
            <w:pPr>
              <w:spacing w:line="360" w:lineRule="auto"/>
              <w:jc w:val="right"/>
              <w:rPr>
                <w:rFonts w:eastAsiaTheme="minorEastAsia"/>
                <w:szCs w:val="21"/>
              </w:rPr>
            </w:pPr>
            <w:r w:rsidRPr="001A03CE">
              <w:rPr>
                <w:rFonts w:eastAsiaTheme="minorEastAsia"/>
                <w:szCs w:val="21"/>
              </w:rPr>
              <w:t>-</w:t>
            </w:r>
          </w:p>
        </w:tc>
      </w:tr>
      <w:tr w:rsidR="008B70AD" w:rsidRPr="001A03CE" w:rsidTr="00AA712C">
        <w:trPr>
          <w:trHeight w:val="285"/>
        </w:trPr>
        <w:tc>
          <w:tcPr>
            <w:tcW w:w="2987" w:type="dxa"/>
            <w:vAlign w:val="center"/>
          </w:tcPr>
          <w:p w:rsidR="008B70AD" w:rsidRPr="001A03CE" w:rsidRDefault="008B70AD" w:rsidP="00AA712C">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8B70AD" w:rsidRPr="001A03CE" w:rsidRDefault="008B70AD" w:rsidP="00AA712C">
            <w:pPr>
              <w:spacing w:line="360" w:lineRule="auto"/>
              <w:jc w:val="right"/>
              <w:rPr>
                <w:rFonts w:eastAsiaTheme="minorEastAsia"/>
                <w:szCs w:val="21"/>
              </w:rPr>
            </w:pPr>
            <w:r w:rsidRPr="001A03CE">
              <w:rPr>
                <w:rFonts w:eastAsiaTheme="minorEastAsia"/>
                <w:szCs w:val="21"/>
              </w:rPr>
              <w:t>-</w:t>
            </w:r>
          </w:p>
        </w:tc>
        <w:tc>
          <w:tcPr>
            <w:tcW w:w="3149" w:type="dxa"/>
            <w:vAlign w:val="center"/>
          </w:tcPr>
          <w:p w:rsidR="008B70AD" w:rsidRPr="001A03CE" w:rsidRDefault="008B70AD" w:rsidP="00AA712C">
            <w:pPr>
              <w:spacing w:line="360" w:lineRule="auto"/>
              <w:jc w:val="right"/>
              <w:rPr>
                <w:rFonts w:eastAsiaTheme="minorEastAsia"/>
                <w:szCs w:val="21"/>
              </w:rPr>
            </w:pPr>
            <w:r w:rsidRPr="001A03CE">
              <w:rPr>
                <w:rFonts w:eastAsiaTheme="minorEastAsia"/>
                <w:szCs w:val="21"/>
              </w:rPr>
              <w:t>-</w:t>
            </w:r>
          </w:p>
        </w:tc>
      </w:tr>
      <w:tr w:rsidR="008B70AD" w:rsidRPr="001A03CE" w:rsidTr="00AA712C">
        <w:trPr>
          <w:trHeight w:val="285"/>
        </w:trPr>
        <w:tc>
          <w:tcPr>
            <w:tcW w:w="2987" w:type="dxa"/>
            <w:vAlign w:val="center"/>
          </w:tcPr>
          <w:p w:rsidR="008B70AD" w:rsidRPr="001A03CE" w:rsidRDefault="008B70AD" w:rsidP="00AA712C">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8B70AD" w:rsidRPr="001A03CE" w:rsidRDefault="008B70AD" w:rsidP="00AA712C">
            <w:pPr>
              <w:spacing w:line="360" w:lineRule="auto"/>
              <w:jc w:val="right"/>
              <w:rPr>
                <w:szCs w:val="21"/>
              </w:rPr>
            </w:pPr>
            <w:r w:rsidRPr="001A03CE">
              <w:rPr>
                <w:szCs w:val="21"/>
              </w:rPr>
              <w:t>36,821,872.47</w:t>
            </w:r>
          </w:p>
        </w:tc>
        <w:tc>
          <w:tcPr>
            <w:tcW w:w="3149" w:type="dxa"/>
            <w:vAlign w:val="center"/>
          </w:tcPr>
          <w:p w:rsidR="008B70AD" w:rsidRPr="001A03CE" w:rsidRDefault="008B70AD" w:rsidP="00AA712C">
            <w:pPr>
              <w:spacing w:line="360" w:lineRule="auto"/>
              <w:jc w:val="right"/>
              <w:rPr>
                <w:szCs w:val="21"/>
              </w:rPr>
            </w:pPr>
            <w:r w:rsidRPr="001A03CE">
              <w:rPr>
                <w:szCs w:val="21"/>
              </w:rPr>
              <w:t>8,298,189.89</w:t>
            </w:r>
          </w:p>
        </w:tc>
      </w:tr>
      <w:tr w:rsidR="008B70AD" w:rsidRPr="001A03CE" w:rsidTr="00AA712C">
        <w:trPr>
          <w:trHeight w:val="285"/>
        </w:trPr>
        <w:tc>
          <w:tcPr>
            <w:tcW w:w="2987" w:type="dxa"/>
            <w:vAlign w:val="center"/>
          </w:tcPr>
          <w:p w:rsidR="008B70AD" w:rsidRPr="001A03CE" w:rsidRDefault="008B70AD" w:rsidP="00AA712C">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8B70AD" w:rsidRPr="001A03CE" w:rsidRDefault="008B70AD" w:rsidP="00AA712C">
            <w:pPr>
              <w:spacing w:line="360" w:lineRule="auto"/>
              <w:jc w:val="right"/>
              <w:rPr>
                <w:szCs w:val="21"/>
              </w:rPr>
            </w:pPr>
            <w:r w:rsidRPr="001A03CE">
              <w:rPr>
                <w:szCs w:val="21"/>
              </w:rPr>
              <w:t>-</w:t>
            </w:r>
          </w:p>
        </w:tc>
        <w:tc>
          <w:tcPr>
            <w:tcW w:w="3149" w:type="dxa"/>
            <w:vAlign w:val="center"/>
          </w:tcPr>
          <w:p w:rsidR="008B70AD" w:rsidRPr="001A03CE" w:rsidRDefault="008B70AD" w:rsidP="00AA712C">
            <w:pPr>
              <w:spacing w:line="360" w:lineRule="auto"/>
              <w:jc w:val="right"/>
              <w:rPr>
                <w:szCs w:val="21"/>
              </w:rPr>
            </w:pPr>
            <w:r w:rsidRPr="001A03CE">
              <w:rPr>
                <w:szCs w:val="21"/>
              </w:rPr>
              <w:t>-</w:t>
            </w:r>
          </w:p>
        </w:tc>
      </w:tr>
      <w:tr w:rsidR="008B70AD" w:rsidRPr="001A03CE" w:rsidTr="00AA712C">
        <w:trPr>
          <w:trHeight w:val="285"/>
        </w:trPr>
        <w:tc>
          <w:tcPr>
            <w:tcW w:w="2987" w:type="dxa"/>
            <w:vAlign w:val="center"/>
          </w:tcPr>
          <w:p w:rsidR="008B70AD" w:rsidRPr="00211604" w:rsidRDefault="008B70AD" w:rsidP="00AA712C">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8B70AD" w:rsidRPr="008A0782" w:rsidRDefault="008B70AD" w:rsidP="00AA712C">
            <w:pPr>
              <w:spacing w:line="360" w:lineRule="auto"/>
              <w:jc w:val="right"/>
              <w:rPr>
                <w:szCs w:val="21"/>
              </w:rPr>
            </w:pPr>
            <w:r w:rsidRPr="008A0782">
              <w:rPr>
                <w:rFonts w:hint="eastAsia"/>
                <w:szCs w:val="21"/>
              </w:rPr>
              <w:t>-</w:t>
            </w:r>
          </w:p>
        </w:tc>
        <w:tc>
          <w:tcPr>
            <w:tcW w:w="3149" w:type="dxa"/>
            <w:vAlign w:val="center"/>
          </w:tcPr>
          <w:p w:rsidR="008B70AD" w:rsidRPr="001A03CE" w:rsidRDefault="008B70AD" w:rsidP="00AA712C">
            <w:pPr>
              <w:spacing w:line="360" w:lineRule="auto"/>
              <w:jc w:val="right"/>
              <w:rPr>
                <w:szCs w:val="21"/>
              </w:rPr>
            </w:pPr>
            <w:r w:rsidRPr="008A0782">
              <w:rPr>
                <w:rFonts w:hint="eastAsia"/>
                <w:szCs w:val="21"/>
              </w:rPr>
              <w:t>-</w:t>
            </w:r>
          </w:p>
        </w:tc>
      </w:tr>
      <w:tr w:rsidR="008B70AD" w:rsidRPr="001A03CE" w:rsidTr="00AA712C">
        <w:trPr>
          <w:trHeight w:val="285"/>
        </w:trPr>
        <w:tc>
          <w:tcPr>
            <w:tcW w:w="2987" w:type="dxa"/>
            <w:vAlign w:val="center"/>
          </w:tcPr>
          <w:p w:rsidR="008B70AD" w:rsidRPr="001A03CE" w:rsidRDefault="008B70AD" w:rsidP="00AA712C">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8B70AD" w:rsidRPr="001A03CE" w:rsidRDefault="008B70AD" w:rsidP="00AA712C">
            <w:pPr>
              <w:spacing w:line="360" w:lineRule="auto"/>
              <w:jc w:val="right"/>
              <w:rPr>
                <w:szCs w:val="21"/>
              </w:rPr>
            </w:pPr>
            <w:r w:rsidRPr="001A03CE">
              <w:rPr>
                <w:szCs w:val="21"/>
              </w:rPr>
              <w:t>-</w:t>
            </w:r>
          </w:p>
        </w:tc>
        <w:tc>
          <w:tcPr>
            <w:tcW w:w="3149" w:type="dxa"/>
            <w:vAlign w:val="center"/>
          </w:tcPr>
          <w:p w:rsidR="008B70AD" w:rsidRPr="001A03CE" w:rsidRDefault="008B70AD" w:rsidP="00AA712C">
            <w:pPr>
              <w:spacing w:line="360" w:lineRule="auto"/>
              <w:jc w:val="right"/>
              <w:rPr>
                <w:szCs w:val="21"/>
              </w:rPr>
            </w:pPr>
            <w:r w:rsidRPr="001A03CE">
              <w:rPr>
                <w:szCs w:val="21"/>
              </w:rPr>
              <w:t>-</w:t>
            </w:r>
          </w:p>
        </w:tc>
      </w:tr>
      <w:tr w:rsidR="008B70AD" w:rsidRPr="001A03CE" w:rsidTr="00AA712C">
        <w:trPr>
          <w:trHeight w:val="285"/>
        </w:trPr>
        <w:tc>
          <w:tcPr>
            <w:tcW w:w="2987" w:type="dxa"/>
            <w:vAlign w:val="center"/>
          </w:tcPr>
          <w:p w:rsidR="008B70AD" w:rsidRPr="001A03CE" w:rsidRDefault="008B70AD" w:rsidP="00AA712C">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8B70AD" w:rsidRPr="001A03CE" w:rsidRDefault="008B70AD" w:rsidP="00AA712C">
            <w:pPr>
              <w:spacing w:line="360" w:lineRule="auto"/>
              <w:jc w:val="right"/>
              <w:rPr>
                <w:szCs w:val="21"/>
              </w:rPr>
            </w:pPr>
            <w:r w:rsidRPr="001A03CE">
              <w:rPr>
                <w:szCs w:val="21"/>
              </w:rPr>
              <w:t>-</w:t>
            </w:r>
          </w:p>
        </w:tc>
        <w:tc>
          <w:tcPr>
            <w:tcW w:w="3149" w:type="dxa"/>
            <w:vAlign w:val="center"/>
          </w:tcPr>
          <w:p w:rsidR="008B70AD" w:rsidRPr="001A03CE" w:rsidRDefault="008B70AD" w:rsidP="00AA712C">
            <w:pPr>
              <w:spacing w:line="360" w:lineRule="auto"/>
              <w:jc w:val="right"/>
              <w:rPr>
                <w:szCs w:val="21"/>
              </w:rPr>
            </w:pPr>
            <w:r w:rsidRPr="001A03CE">
              <w:rPr>
                <w:szCs w:val="21"/>
              </w:rPr>
              <w:t>-</w:t>
            </w:r>
          </w:p>
        </w:tc>
      </w:tr>
      <w:tr w:rsidR="00F14AEA">
        <w:tc>
          <w:tcPr>
            <w:tcW w:w="2987" w:type="dxa"/>
            <w:vAlign w:val="center"/>
          </w:tcPr>
          <w:p w:rsidR="00F14AEA" w:rsidRDefault="00EC6028">
            <w:pPr>
              <w:jc w:val="left"/>
            </w:pPr>
            <w:r>
              <w:rPr>
                <w:rFonts w:eastAsiaTheme="minorEastAsia"/>
                <w:kern w:val="0"/>
                <w:szCs w:val="21"/>
              </w:rPr>
              <w:t>——</w:t>
            </w:r>
            <w:r>
              <w:rPr>
                <w:rFonts w:eastAsiaTheme="minorEastAsia"/>
                <w:kern w:val="0"/>
                <w:szCs w:val="21"/>
              </w:rPr>
              <w:t>期货投资</w:t>
            </w:r>
          </w:p>
        </w:tc>
        <w:tc>
          <w:tcPr>
            <w:tcW w:w="3149" w:type="dxa"/>
            <w:vAlign w:val="center"/>
          </w:tcPr>
          <w:p w:rsidR="00F14AEA" w:rsidRDefault="00EC6028">
            <w:pPr>
              <w:jc w:val="right"/>
            </w:pPr>
            <w:r>
              <w:rPr>
                <w:rFonts w:eastAsiaTheme="minorEastAsia"/>
                <w:kern w:val="0"/>
                <w:szCs w:val="21"/>
              </w:rPr>
              <w:t>-</w:t>
            </w:r>
          </w:p>
        </w:tc>
        <w:tc>
          <w:tcPr>
            <w:tcW w:w="3149" w:type="dxa"/>
            <w:vAlign w:val="center"/>
          </w:tcPr>
          <w:p w:rsidR="00F14AEA" w:rsidRDefault="00EC6028">
            <w:pPr>
              <w:jc w:val="right"/>
            </w:pPr>
            <w:r>
              <w:rPr>
                <w:rFonts w:eastAsiaTheme="minorEastAsia"/>
                <w:kern w:val="0"/>
                <w:szCs w:val="21"/>
              </w:rPr>
              <w:t>-</w:t>
            </w:r>
          </w:p>
        </w:tc>
      </w:tr>
      <w:tr w:rsidR="00F14AEA">
        <w:tc>
          <w:tcPr>
            <w:tcW w:w="2987" w:type="dxa"/>
            <w:vAlign w:val="center"/>
          </w:tcPr>
          <w:p w:rsidR="00F14AEA" w:rsidRDefault="00EC6028">
            <w:pPr>
              <w:jc w:val="left"/>
            </w:pPr>
            <w:r>
              <w:rPr>
                <w:rFonts w:eastAsiaTheme="minorEastAsia"/>
                <w:kern w:val="0"/>
                <w:szCs w:val="21"/>
              </w:rPr>
              <w:t>——</w:t>
            </w:r>
            <w:r>
              <w:rPr>
                <w:rFonts w:eastAsiaTheme="minorEastAsia"/>
                <w:kern w:val="0"/>
                <w:szCs w:val="21"/>
              </w:rPr>
              <w:t>期权投资</w:t>
            </w:r>
          </w:p>
        </w:tc>
        <w:tc>
          <w:tcPr>
            <w:tcW w:w="3149" w:type="dxa"/>
            <w:vAlign w:val="center"/>
          </w:tcPr>
          <w:p w:rsidR="00F14AEA" w:rsidRDefault="00EC6028">
            <w:pPr>
              <w:jc w:val="right"/>
            </w:pPr>
            <w:r>
              <w:rPr>
                <w:rFonts w:eastAsiaTheme="minorEastAsia"/>
                <w:kern w:val="0"/>
                <w:szCs w:val="21"/>
              </w:rPr>
              <w:t>-</w:t>
            </w:r>
          </w:p>
        </w:tc>
        <w:tc>
          <w:tcPr>
            <w:tcW w:w="3149" w:type="dxa"/>
            <w:vAlign w:val="center"/>
          </w:tcPr>
          <w:p w:rsidR="00F14AEA" w:rsidRDefault="00EC6028">
            <w:pPr>
              <w:jc w:val="right"/>
            </w:pPr>
            <w:r>
              <w:rPr>
                <w:rFonts w:eastAsiaTheme="minorEastAsia"/>
                <w:kern w:val="0"/>
                <w:szCs w:val="21"/>
              </w:rPr>
              <w:t>-</w:t>
            </w:r>
          </w:p>
        </w:tc>
      </w:tr>
      <w:tr w:rsidR="00F14AEA">
        <w:tc>
          <w:tcPr>
            <w:tcW w:w="2987" w:type="dxa"/>
            <w:vAlign w:val="center"/>
          </w:tcPr>
          <w:p w:rsidR="00F14AEA" w:rsidRDefault="00EC6028">
            <w:pPr>
              <w:jc w:val="left"/>
            </w:pPr>
            <w:r>
              <w:rPr>
                <w:rFonts w:eastAsiaTheme="minorEastAsia"/>
                <w:kern w:val="0"/>
                <w:szCs w:val="21"/>
              </w:rPr>
              <w:t>——</w:t>
            </w:r>
            <w:r>
              <w:rPr>
                <w:rFonts w:eastAsiaTheme="minorEastAsia"/>
                <w:kern w:val="0"/>
                <w:szCs w:val="21"/>
              </w:rPr>
              <w:t>外汇远期</w:t>
            </w:r>
          </w:p>
        </w:tc>
        <w:tc>
          <w:tcPr>
            <w:tcW w:w="3149" w:type="dxa"/>
            <w:vAlign w:val="center"/>
          </w:tcPr>
          <w:p w:rsidR="00F14AEA" w:rsidRDefault="00EC6028">
            <w:pPr>
              <w:jc w:val="right"/>
            </w:pPr>
            <w:r>
              <w:rPr>
                <w:rFonts w:eastAsiaTheme="minorEastAsia"/>
                <w:kern w:val="0"/>
                <w:szCs w:val="21"/>
              </w:rPr>
              <w:t>-</w:t>
            </w:r>
          </w:p>
        </w:tc>
        <w:tc>
          <w:tcPr>
            <w:tcW w:w="3149" w:type="dxa"/>
            <w:vAlign w:val="center"/>
          </w:tcPr>
          <w:p w:rsidR="00F14AEA" w:rsidRDefault="00EC6028">
            <w:pPr>
              <w:jc w:val="right"/>
            </w:pPr>
            <w:r>
              <w:rPr>
                <w:rFonts w:eastAsiaTheme="minorEastAsia"/>
                <w:kern w:val="0"/>
                <w:szCs w:val="21"/>
              </w:rPr>
              <w:t>-</w:t>
            </w:r>
          </w:p>
        </w:tc>
      </w:tr>
      <w:tr w:rsidR="008B70AD" w:rsidRPr="001A03CE" w:rsidTr="00AA712C">
        <w:trPr>
          <w:trHeight w:val="285"/>
        </w:trPr>
        <w:tc>
          <w:tcPr>
            <w:tcW w:w="2987" w:type="dxa"/>
            <w:vAlign w:val="center"/>
          </w:tcPr>
          <w:p w:rsidR="008B70AD" w:rsidRPr="001A03CE" w:rsidRDefault="008B70AD" w:rsidP="00AA712C">
            <w:pPr>
              <w:widowControl/>
              <w:spacing w:line="360" w:lineRule="auto"/>
              <w:rPr>
                <w:rFonts w:eastAsiaTheme="minorEastAsia"/>
                <w:szCs w:val="21"/>
              </w:rPr>
            </w:pPr>
            <w:r w:rsidRPr="001A03CE">
              <w:rPr>
                <w:rFonts w:eastAsiaTheme="minorEastAsia"/>
                <w:kern w:val="0"/>
                <w:szCs w:val="21"/>
              </w:rPr>
              <w:t>3.</w:t>
            </w:r>
            <w:r w:rsidRPr="001A03CE">
              <w:rPr>
                <w:rFonts w:eastAsiaTheme="minorEastAsia"/>
                <w:kern w:val="0"/>
                <w:szCs w:val="21"/>
              </w:rPr>
              <w:t>其他</w:t>
            </w:r>
          </w:p>
        </w:tc>
        <w:tc>
          <w:tcPr>
            <w:tcW w:w="3149" w:type="dxa"/>
            <w:vAlign w:val="bottom"/>
          </w:tcPr>
          <w:p w:rsidR="008B70AD" w:rsidRPr="00F31FA4" w:rsidRDefault="008B70AD" w:rsidP="00AA712C">
            <w:pPr>
              <w:spacing w:line="360" w:lineRule="auto"/>
              <w:jc w:val="right"/>
              <w:rPr>
                <w:szCs w:val="21"/>
              </w:rPr>
            </w:pPr>
            <w:r w:rsidRPr="00F31FA4">
              <w:rPr>
                <w:szCs w:val="21"/>
              </w:rPr>
              <w:t>-</w:t>
            </w:r>
          </w:p>
        </w:tc>
        <w:tc>
          <w:tcPr>
            <w:tcW w:w="3149" w:type="dxa"/>
            <w:vAlign w:val="bottom"/>
          </w:tcPr>
          <w:p w:rsidR="008B70AD" w:rsidRPr="001A03CE" w:rsidRDefault="008B70AD" w:rsidP="00AA712C">
            <w:pPr>
              <w:spacing w:line="360" w:lineRule="auto"/>
              <w:jc w:val="right"/>
              <w:rPr>
                <w:rFonts w:eastAsiaTheme="minorEastAsia"/>
                <w:szCs w:val="21"/>
              </w:rPr>
            </w:pPr>
            <w:r w:rsidRPr="001A03CE">
              <w:rPr>
                <w:rFonts w:eastAsiaTheme="minorEastAsia"/>
                <w:szCs w:val="21"/>
              </w:rPr>
              <w:t>-</w:t>
            </w:r>
          </w:p>
        </w:tc>
      </w:tr>
      <w:tr w:rsidR="008B70AD" w:rsidRPr="001A03CE" w:rsidTr="00AA712C">
        <w:trPr>
          <w:trHeight w:val="285"/>
        </w:trPr>
        <w:tc>
          <w:tcPr>
            <w:tcW w:w="2987" w:type="dxa"/>
            <w:vAlign w:val="center"/>
          </w:tcPr>
          <w:p w:rsidR="008B70AD" w:rsidRPr="00665228" w:rsidRDefault="008B70AD" w:rsidP="00AA712C">
            <w:pPr>
              <w:widowControl/>
              <w:jc w:val="left"/>
              <w:rPr>
                <w:rFonts w:eastAsiaTheme="minorEastAsia"/>
                <w:kern w:val="0"/>
                <w:szCs w:val="21"/>
              </w:rPr>
            </w:pPr>
            <w:r w:rsidRPr="00665228">
              <w:rPr>
                <w:rFonts w:eastAsiaTheme="minorEastAsia" w:hint="eastAsia"/>
                <w:kern w:val="0"/>
                <w:szCs w:val="21"/>
              </w:rPr>
              <w:t>减：应税金融商品公允价值变动产生的预估增值税</w:t>
            </w:r>
          </w:p>
        </w:tc>
        <w:tc>
          <w:tcPr>
            <w:tcW w:w="3149" w:type="dxa"/>
            <w:vAlign w:val="bottom"/>
          </w:tcPr>
          <w:p w:rsidR="008B70AD" w:rsidRPr="00665228" w:rsidRDefault="008B70AD" w:rsidP="00AA712C">
            <w:pPr>
              <w:jc w:val="right"/>
              <w:rPr>
                <w:rFonts w:eastAsiaTheme="minorEastAsia"/>
                <w:szCs w:val="21"/>
              </w:rPr>
            </w:pPr>
            <w:r w:rsidRPr="00665228">
              <w:rPr>
                <w:rFonts w:eastAsiaTheme="minorEastAsia"/>
                <w:szCs w:val="21"/>
              </w:rPr>
              <w:t>-</w:t>
            </w:r>
          </w:p>
        </w:tc>
        <w:tc>
          <w:tcPr>
            <w:tcW w:w="3149" w:type="dxa"/>
            <w:vAlign w:val="bottom"/>
          </w:tcPr>
          <w:p w:rsidR="008B70AD" w:rsidRPr="001A03CE" w:rsidRDefault="008B70AD" w:rsidP="00AA712C">
            <w:pPr>
              <w:spacing w:line="360" w:lineRule="auto"/>
              <w:jc w:val="right"/>
              <w:rPr>
                <w:rFonts w:eastAsiaTheme="minorEastAsia"/>
                <w:szCs w:val="21"/>
              </w:rPr>
            </w:pPr>
            <w:r w:rsidRPr="00665228">
              <w:rPr>
                <w:rFonts w:eastAsiaTheme="minorEastAsia"/>
                <w:szCs w:val="21"/>
              </w:rPr>
              <w:t>-</w:t>
            </w:r>
          </w:p>
        </w:tc>
      </w:tr>
      <w:tr w:rsidR="008B70AD" w:rsidRPr="001A03CE" w:rsidTr="00AA712C">
        <w:trPr>
          <w:trHeight w:val="285"/>
        </w:trPr>
        <w:tc>
          <w:tcPr>
            <w:tcW w:w="2987" w:type="dxa"/>
            <w:vAlign w:val="center"/>
          </w:tcPr>
          <w:p w:rsidR="008B70AD" w:rsidRPr="001A03CE" w:rsidRDefault="008B70AD" w:rsidP="00AA712C">
            <w:pPr>
              <w:widowControl/>
              <w:spacing w:line="360" w:lineRule="auto"/>
              <w:rPr>
                <w:rFonts w:eastAsiaTheme="minorEastAsia"/>
                <w:szCs w:val="21"/>
              </w:rPr>
            </w:pPr>
            <w:r w:rsidRPr="001A03CE">
              <w:rPr>
                <w:rFonts w:eastAsiaTheme="minorEastAsia"/>
                <w:kern w:val="0"/>
                <w:szCs w:val="21"/>
              </w:rPr>
              <w:t>合计</w:t>
            </w:r>
          </w:p>
        </w:tc>
        <w:tc>
          <w:tcPr>
            <w:tcW w:w="3149" w:type="dxa"/>
            <w:vAlign w:val="bottom"/>
          </w:tcPr>
          <w:p w:rsidR="008B70AD" w:rsidRPr="001A03CE" w:rsidRDefault="008B70AD" w:rsidP="00AA712C">
            <w:pPr>
              <w:spacing w:line="360" w:lineRule="auto"/>
              <w:jc w:val="right"/>
              <w:rPr>
                <w:rFonts w:eastAsiaTheme="minorEastAsia"/>
                <w:szCs w:val="21"/>
              </w:rPr>
            </w:pPr>
            <w:r w:rsidRPr="001A03CE">
              <w:rPr>
                <w:rFonts w:eastAsiaTheme="minorEastAsia"/>
                <w:szCs w:val="21"/>
              </w:rPr>
              <w:t>36,821,872.47</w:t>
            </w:r>
          </w:p>
        </w:tc>
        <w:tc>
          <w:tcPr>
            <w:tcW w:w="3149" w:type="dxa"/>
            <w:vAlign w:val="bottom"/>
          </w:tcPr>
          <w:p w:rsidR="008B70AD" w:rsidRPr="001A03CE" w:rsidRDefault="008B70AD" w:rsidP="00AA712C">
            <w:pPr>
              <w:spacing w:line="360" w:lineRule="auto"/>
              <w:jc w:val="right"/>
              <w:rPr>
                <w:rFonts w:eastAsiaTheme="minorEastAsia"/>
                <w:szCs w:val="21"/>
              </w:rPr>
            </w:pPr>
            <w:r w:rsidRPr="001A03CE">
              <w:rPr>
                <w:rFonts w:eastAsiaTheme="minorEastAsia"/>
                <w:szCs w:val="21"/>
              </w:rPr>
              <w:t>7,667,325.73</w:t>
            </w:r>
          </w:p>
        </w:tc>
      </w:tr>
    </w:tbl>
    <w:p w:rsidR="003970C2" w:rsidRPr="00FB4041" w:rsidRDefault="003970C2"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7.4.7.18 其他收入</w:t>
      </w:r>
    </w:p>
    <w:p w:rsidR="003970C2" w:rsidRPr="00896265" w:rsidRDefault="003970C2" w:rsidP="003970C2">
      <w:pPr>
        <w:tabs>
          <w:tab w:val="left" w:pos="7200"/>
          <w:tab w:val="left" w:pos="8280"/>
        </w:tabs>
        <w:spacing w:line="360" w:lineRule="auto"/>
        <w:ind w:rightChars="-52" w:right="-109"/>
        <w:jc w:val="right"/>
        <w:rPr>
          <w:szCs w:val="21"/>
          <w:lang w:val="en-AU"/>
        </w:rPr>
      </w:pPr>
      <w:r w:rsidRPr="00896265">
        <w:rPr>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3970C2" w:rsidRPr="00896265" w:rsidTr="008A3814">
        <w:trPr>
          <w:trHeight w:val="255"/>
        </w:trPr>
        <w:tc>
          <w:tcPr>
            <w:tcW w:w="2557" w:type="dxa"/>
            <w:vAlign w:val="center"/>
          </w:tcPr>
          <w:p w:rsidR="003970C2" w:rsidRPr="00896265" w:rsidRDefault="003970C2" w:rsidP="008A3814">
            <w:pPr>
              <w:spacing w:line="360" w:lineRule="auto"/>
              <w:jc w:val="center"/>
              <w:rPr>
                <w:szCs w:val="21"/>
              </w:rPr>
            </w:pPr>
            <w:r w:rsidRPr="00896265">
              <w:rPr>
                <w:szCs w:val="21"/>
              </w:rPr>
              <w:t>项目</w:t>
            </w:r>
          </w:p>
        </w:tc>
        <w:tc>
          <w:tcPr>
            <w:tcW w:w="3402" w:type="dxa"/>
          </w:tcPr>
          <w:p w:rsidR="003970C2" w:rsidRPr="00896265" w:rsidRDefault="003970C2" w:rsidP="008A3814">
            <w:pPr>
              <w:spacing w:line="360" w:lineRule="auto"/>
              <w:jc w:val="center"/>
              <w:rPr>
                <w:szCs w:val="21"/>
              </w:rPr>
            </w:pPr>
            <w:r w:rsidRPr="00896265">
              <w:rPr>
                <w:szCs w:val="21"/>
              </w:rPr>
              <w:t>本期</w:t>
            </w:r>
          </w:p>
          <w:p w:rsidR="003970C2" w:rsidRPr="00896265" w:rsidRDefault="003970C2" w:rsidP="008A3814">
            <w:pPr>
              <w:widowControl/>
              <w:autoSpaceDE w:val="0"/>
              <w:autoSpaceDN w:val="0"/>
              <w:spacing w:line="360" w:lineRule="auto"/>
              <w:ind w:right="-15"/>
              <w:jc w:val="center"/>
              <w:textAlignment w:val="bottom"/>
              <w:rPr>
                <w:szCs w:val="21"/>
              </w:rPr>
            </w:pPr>
            <w:r w:rsidRPr="00896265">
              <w:rPr>
                <w:szCs w:val="21"/>
              </w:rPr>
              <w:t>2019</w:t>
            </w:r>
            <w:r w:rsidRPr="00896265">
              <w:rPr>
                <w:szCs w:val="21"/>
              </w:rPr>
              <w:t>年</w:t>
            </w:r>
            <w:r w:rsidRPr="00896265">
              <w:rPr>
                <w:szCs w:val="21"/>
              </w:rPr>
              <w:t>1</w:t>
            </w:r>
            <w:r w:rsidRPr="00896265">
              <w:rPr>
                <w:szCs w:val="21"/>
              </w:rPr>
              <w:t>月</w:t>
            </w:r>
            <w:r w:rsidRPr="00896265">
              <w:rPr>
                <w:szCs w:val="21"/>
              </w:rPr>
              <w:t>1</w:t>
            </w:r>
            <w:r w:rsidRPr="00896265">
              <w:rPr>
                <w:szCs w:val="21"/>
              </w:rPr>
              <w:t>日至</w:t>
            </w:r>
            <w:r w:rsidRPr="00896265">
              <w:rPr>
                <w:szCs w:val="21"/>
              </w:rPr>
              <w:t>2019</w:t>
            </w:r>
            <w:r w:rsidRPr="00896265">
              <w:rPr>
                <w:szCs w:val="21"/>
              </w:rPr>
              <w:t>年</w:t>
            </w:r>
            <w:r w:rsidRPr="00896265">
              <w:rPr>
                <w:szCs w:val="21"/>
              </w:rPr>
              <w:t>12</w:t>
            </w:r>
            <w:r w:rsidRPr="00896265">
              <w:rPr>
                <w:szCs w:val="21"/>
              </w:rPr>
              <w:t>月</w:t>
            </w:r>
            <w:r w:rsidRPr="00896265">
              <w:rPr>
                <w:szCs w:val="21"/>
              </w:rPr>
              <w:t>31</w:t>
            </w:r>
            <w:r w:rsidRPr="00896265">
              <w:rPr>
                <w:szCs w:val="21"/>
              </w:rPr>
              <w:t>日</w:t>
            </w:r>
          </w:p>
        </w:tc>
        <w:tc>
          <w:tcPr>
            <w:tcW w:w="3221" w:type="dxa"/>
          </w:tcPr>
          <w:p w:rsidR="003970C2" w:rsidRPr="00896265" w:rsidRDefault="003970C2" w:rsidP="008A3814">
            <w:pPr>
              <w:spacing w:line="360" w:lineRule="auto"/>
              <w:jc w:val="center"/>
              <w:rPr>
                <w:szCs w:val="21"/>
              </w:rPr>
            </w:pPr>
            <w:r w:rsidRPr="00896265">
              <w:rPr>
                <w:szCs w:val="21"/>
              </w:rPr>
              <w:t>上年度可比期间</w:t>
            </w:r>
          </w:p>
          <w:p w:rsidR="003970C2" w:rsidRPr="00896265" w:rsidRDefault="003970C2" w:rsidP="008A3814">
            <w:pPr>
              <w:widowControl/>
              <w:autoSpaceDE w:val="0"/>
              <w:autoSpaceDN w:val="0"/>
              <w:spacing w:line="360" w:lineRule="auto"/>
              <w:ind w:right="-15"/>
              <w:jc w:val="center"/>
              <w:textAlignment w:val="bottom"/>
              <w:rPr>
                <w:kern w:val="0"/>
                <w:szCs w:val="21"/>
              </w:rPr>
            </w:pPr>
            <w:r w:rsidRPr="00896265">
              <w:rPr>
                <w:szCs w:val="21"/>
              </w:rPr>
              <w:t>2018</w:t>
            </w:r>
            <w:r w:rsidRPr="00896265">
              <w:rPr>
                <w:szCs w:val="21"/>
              </w:rPr>
              <w:t>年</w:t>
            </w:r>
            <w:r w:rsidRPr="00896265">
              <w:rPr>
                <w:szCs w:val="21"/>
              </w:rPr>
              <w:t>1</w:t>
            </w:r>
            <w:r w:rsidRPr="00896265">
              <w:rPr>
                <w:szCs w:val="21"/>
              </w:rPr>
              <w:t>月</w:t>
            </w:r>
            <w:r w:rsidRPr="00896265">
              <w:rPr>
                <w:szCs w:val="21"/>
              </w:rPr>
              <w:t>1</w:t>
            </w:r>
            <w:r w:rsidRPr="00896265">
              <w:rPr>
                <w:szCs w:val="21"/>
              </w:rPr>
              <w:t>日至</w:t>
            </w:r>
            <w:r w:rsidRPr="00896265">
              <w:rPr>
                <w:szCs w:val="21"/>
              </w:rPr>
              <w:t>2018</w:t>
            </w:r>
            <w:r w:rsidRPr="00896265">
              <w:rPr>
                <w:szCs w:val="21"/>
              </w:rPr>
              <w:t>年</w:t>
            </w:r>
            <w:r w:rsidRPr="00896265">
              <w:rPr>
                <w:szCs w:val="21"/>
              </w:rPr>
              <w:t>12</w:t>
            </w:r>
            <w:r w:rsidRPr="00896265">
              <w:rPr>
                <w:szCs w:val="21"/>
              </w:rPr>
              <w:t>月</w:t>
            </w:r>
            <w:r w:rsidRPr="00896265">
              <w:rPr>
                <w:szCs w:val="21"/>
              </w:rPr>
              <w:t>31</w:t>
            </w:r>
            <w:r w:rsidRPr="00896265">
              <w:rPr>
                <w:szCs w:val="21"/>
              </w:rPr>
              <w:t>日</w:t>
            </w:r>
          </w:p>
        </w:tc>
      </w:tr>
      <w:tr w:rsidR="003970C2" w:rsidRPr="00896265" w:rsidTr="008A3814">
        <w:trPr>
          <w:trHeight w:val="255"/>
        </w:trPr>
        <w:tc>
          <w:tcPr>
            <w:tcW w:w="2557" w:type="dxa"/>
            <w:vAlign w:val="center"/>
          </w:tcPr>
          <w:p w:rsidR="003970C2" w:rsidRPr="00896265" w:rsidRDefault="003970C2" w:rsidP="008A3814">
            <w:pPr>
              <w:spacing w:line="360" w:lineRule="auto"/>
              <w:rPr>
                <w:szCs w:val="21"/>
              </w:rPr>
            </w:pPr>
            <w:r w:rsidRPr="00896265">
              <w:rPr>
                <w:szCs w:val="21"/>
              </w:rPr>
              <w:t>基金赎回费收入</w:t>
            </w:r>
          </w:p>
        </w:tc>
        <w:tc>
          <w:tcPr>
            <w:tcW w:w="3402" w:type="dxa"/>
            <w:vAlign w:val="center"/>
          </w:tcPr>
          <w:p w:rsidR="003970C2" w:rsidRPr="00896265" w:rsidRDefault="003970C2" w:rsidP="008A3814">
            <w:pPr>
              <w:spacing w:line="360" w:lineRule="auto"/>
              <w:jc w:val="right"/>
              <w:rPr>
                <w:szCs w:val="21"/>
              </w:rPr>
            </w:pPr>
            <w:r w:rsidRPr="00896265">
              <w:rPr>
                <w:szCs w:val="21"/>
              </w:rPr>
              <w:t>367,896.96</w:t>
            </w:r>
          </w:p>
        </w:tc>
        <w:tc>
          <w:tcPr>
            <w:tcW w:w="3221" w:type="dxa"/>
            <w:vAlign w:val="center"/>
          </w:tcPr>
          <w:p w:rsidR="003970C2" w:rsidRPr="00896265" w:rsidRDefault="003970C2" w:rsidP="008A3814">
            <w:pPr>
              <w:spacing w:line="360" w:lineRule="auto"/>
              <w:jc w:val="right"/>
              <w:rPr>
                <w:szCs w:val="21"/>
              </w:rPr>
            </w:pPr>
            <w:r w:rsidRPr="00896265">
              <w:rPr>
                <w:szCs w:val="21"/>
              </w:rPr>
              <w:t>20,235.19</w:t>
            </w:r>
          </w:p>
        </w:tc>
      </w:tr>
      <w:tr w:rsidR="00F14AEA">
        <w:tc>
          <w:tcPr>
            <w:tcW w:w="2557" w:type="dxa"/>
            <w:vAlign w:val="center"/>
          </w:tcPr>
          <w:p w:rsidR="00F14AEA" w:rsidRDefault="00EC6028">
            <w:pPr>
              <w:jc w:val="left"/>
            </w:pPr>
            <w:r>
              <w:rPr>
                <w:szCs w:val="21"/>
              </w:rPr>
              <w:t>其他</w:t>
            </w:r>
          </w:p>
        </w:tc>
        <w:tc>
          <w:tcPr>
            <w:tcW w:w="3402" w:type="dxa"/>
            <w:vAlign w:val="center"/>
          </w:tcPr>
          <w:p w:rsidR="00F14AEA" w:rsidRDefault="00EC6028">
            <w:pPr>
              <w:jc w:val="right"/>
            </w:pPr>
            <w:r>
              <w:rPr>
                <w:szCs w:val="21"/>
              </w:rPr>
              <w:t>18,267.86</w:t>
            </w:r>
          </w:p>
        </w:tc>
        <w:tc>
          <w:tcPr>
            <w:tcW w:w="3221" w:type="dxa"/>
            <w:vAlign w:val="center"/>
          </w:tcPr>
          <w:p w:rsidR="00F14AEA" w:rsidRDefault="00EC6028">
            <w:pPr>
              <w:jc w:val="right"/>
            </w:pPr>
            <w:r>
              <w:rPr>
                <w:szCs w:val="21"/>
              </w:rPr>
              <w:t>72,531.82</w:t>
            </w:r>
          </w:p>
        </w:tc>
      </w:tr>
      <w:tr w:rsidR="003970C2" w:rsidRPr="00896265" w:rsidTr="008A3814">
        <w:trPr>
          <w:trHeight w:val="255"/>
        </w:trPr>
        <w:tc>
          <w:tcPr>
            <w:tcW w:w="2557" w:type="dxa"/>
            <w:vAlign w:val="center"/>
          </w:tcPr>
          <w:p w:rsidR="003970C2" w:rsidRPr="00896265" w:rsidRDefault="003970C2" w:rsidP="008A3814">
            <w:pPr>
              <w:spacing w:line="360" w:lineRule="auto"/>
              <w:rPr>
                <w:szCs w:val="21"/>
              </w:rPr>
            </w:pPr>
            <w:r w:rsidRPr="00896265">
              <w:rPr>
                <w:szCs w:val="21"/>
              </w:rPr>
              <w:t>合计</w:t>
            </w:r>
          </w:p>
        </w:tc>
        <w:tc>
          <w:tcPr>
            <w:tcW w:w="3402" w:type="dxa"/>
            <w:vAlign w:val="center"/>
          </w:tcPr>
          <w:p w:rsidR="003970C2" w:rsidRPr="00896265" w:rsidRDefault="003970C2" w:rsidP="008A3814">
            <w:pPr>
              <w:spacing w:line="360" w:lineRule="auto"/>
              <w:jc w:val="right"/>
              <w:rPr>
                <w:szCs w:val="21"/>
              </w:rPr>
            </w:pPr>
            <w:r w:rsidRPr="00896265">
              <w:rPr>
                <w:szCs w:val="21"/>
              </w:rPr>
              <w:t>386,164.82</w:t>
            </w:r>
          </w:p>
        </w:tc>
        <w:tc>
          <w:tcPr>
            <w:tcW w:w="3221" w:type="dxa"/>
            <w:vAlign w:val="center"/>
          </w:tcPr>
          <w:p w:rsidR="003970C2" w:rsidRPr="00896265" w:rsidRDefault="003970C2" w:rsidP="008A3814">
            <w:pPr>
              <w:spacing w:line="360" w:lineRule="auto"/>
              <w:jc w:val="right"/>
              <w:rPr>
                <w:szCs w:val="21"/>
              </w:rPr>
            </w:pPr>
            <w:r w:rsidRPr="00896265">
              <w:rPr>
                <w:szCs w:val="21"/>
              </w:rPr>
              <w:t>92,767.01</w:t>
            </w:r>
          </w:p>
        </w:tc>
      </w:tr>
    </w:tbl>
    <w:p w:rsidR="003970C2" w:rsidRPr="00FB4041" w:rsidRDefault="003970C2"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7.4.7.19 交易费用</w:t>
      </w:r>
    </w:p>
    <w:p w:rsidR="001A4AFC" w:rsidRDefault="001A4AFC" w:rsidP="001A4AFC">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2"/>
        <w:gridCol w:w="3115"/>
        <w:gridCol w:w="3471"/>
      </w:tblGrid>
      <w:tr w:rsidR="001A4AFC" w:rsidTr="001A4AFC">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center"/>
              <w:rPr>
                <w:rFonts w:eastAsiaTheme="minorEastAsia"/>
                <w:color w:val="000000" w:themeColor="text1"/>
                <w:szCs w:val="21"/>
              </w:rPr>
            </w:pPr>
            <w:r>
              <w:rPr>
                <w:rFonts w:eastAsiaTheme="minorEastAsia" w:hint="eastAsia"/>
                <w:color w:val="000000" w:themeColor="text1"/>
                <w:szCs w:val="21"/>
              </w:rPr>
              <w:t>项目</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center"/>
              <w:rPr>
                <w:rFonts w:eastAsiaTheme="minorEastAsia"/>
                <w:color w:val="000000" w:themeColor="text1"/>
                <w:szCs w:val="21"/>
              </w:rPr>
            </w:pPr>
            <w:r>
              <w:rPr>
                <w:rFonts w:eastAsiaTheme="minorEastAsia" w:hint="eastAsia"/>
                <w:color w:val="000000" w:themeColor="text1"/>
                <w:szCs w:val="21"/>
              </w:rPr>
              <w:t>本期</w:t>
            </w:r>
          </w:p>
          <w:p w:rsidR="001A4AFC" w:rsidRDefault="001A4AFC">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center"/>
              <w:rPr>
                <w:rFonts w:eastAsiaTheme="minorEastAsia"/>
                <w:color w:val="000000" w:themeColor="text1"/>
                <w:szCs w:val="21"/>
              </w:rPr>
            </w:pPr>
            <w:r>
              <w:rPr>
                <w:rFonts w:eastAsiaTheme="minorEastAsia" w:hint="eastAsia"/>
                <w:color w:val="000000" w:themeColor="text1"/>
                <w:szCs w:val="21"/>
              </w:rPr>
              <w:t>上年度可比期间</w:t>
            </w:r>
          </w:p>
          <w:p w:rsidR="001A4AFC" w:rsidRDefault="001A4AFC">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1A4AFC" w:rsidTr="001A4AFC">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rPr>
                <w:rFonts w:eastAsiaTheme="minorEastAsia"/>
                <w:color w:val="000000" w:themeColor="text1"/>
                <w:szCs w:val="21"/>
              </w:rPr>
            </w:pPr>
            <w:r>
              <w:rPr>
                <w:rFonts w:eastAsiaTheme="minorEastAsia" w:hint="eastAsia"/>
                <w:color w:val="000000" w:themeColor="text1"/>
                <w:szCs w:val="21"/>
              </w:rPr>
              <w:t>交易所市场交易费用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right"/>
              <w:rPr>
                <w:rFonts w:eastAsiaTheme="minorEastAsia"/>
                <w:color w:val="000000" w:themeColor="text1"/>
                <w:szCs w:val="21"/>
              </w:rPr>
            </w:pPr>
            <w:r>
              <w:rPr>
                <w:rFonts w:eastAsiaTheme="minorEastAsia"/>
                <w:color w:val="000000" w:themeColor="text1"/>
                <w:szCs w:val="21"/>
              </w:rPr>
              <w:t>148,701.60</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right"/>
              <w:rPr>
                <w:rFonts w:eastAsiaTheme="minorEastAsia"/>
                <w:color w:val="000000" w:themeColor="text1"/>
                <w:szCs w:val="21"/>
              </w:rPr>
            </w:pPr>
            <w:r>
              <w:rPr>
                <w:rFonts w:eastAsiaTheme="minorEastAsia"/>
                <w:color w:val="000000" w:themeColor="text1"/>
                <w:szCs w:val="21"/>
              </w:rPr>
              <w:t>89,824.02</w:t>
            </w:r>
          </w:p>
        </w:tc>
      </w:tr>
      <w:tr w:rsidR="001A4AFC" w:rsidTr="001A4AFC">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rPr>
                <w:rFonts w:eastAsiaTheme="minorEastAsia"/>
                <w:color w:val="000000" w:themeColor="text1"/>
                <w:szCs w:val="21"/>
              </w:rPr>
            </w:pPr>
            <w:r>
              <w:rPr>
                <w:rFonts w:eastAsiaTheme="minorEastAsia" w:hint="eastAsia"/>
                <w:color w:val="000000" w:themeColor="text1"/>
                <w:szCs w:val="21"/>
              </w:rPr>
              <w:t>银行间市场交易费用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right"/>
              <w:rPr>
                <w:rFonts w:eastAsiaTheme="minorEastAsia"/>
                <w:color w:val="000000" w:themeColor="text1"/>
                <w:szCs w:val="21"/>
              </w:rPr>
            </w:pPr>
            <w:r>
              <w:rPr>
                <w:rFonts w:eastAsiaTheme="minorEastAsia"/>
                <w:color w:val="000000" w:themeColor="text1"/>
                <w:szCs w:val="21"/>
              </w:rPr>
              <w:t>-</w:t>
            </w:r>
          </w:p>
        </w:tc>
      </w:tr>
      <w:tr w:rsidR="001A4AFC" w:rsidTr="001A4AFC">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rPr>
                <w:rFonts w:eastAsiaTheme="minorEastAsia"/>
                <w:color w:val="000000" w:themeColor="text1"/>
                <w:szCs w:val="21"/>
              </w:rPr>
            </w:pPr>
            <w:r>
              <w:rPr>
                <w:rFonts w:eastAsiaTheme="minorEastAsia" w:hint="eastAsia"/>
                <w:color w:val="000000" w:themeColor="text1"/>
                <w:szCs w:val="21"/>
              </w:rPr>
              <w:t>交易基金产生的费用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right"/>
              <w:rPr>
                <w:rFonts w:eastAsiaTheme="minorEastAsia"/>
                <w:color w:val="000000" w:themeColor="text1"/>
                <w:szCs w:val="21"/>
              </w:rPr>
            </w:pPr>
            <w:r>
              <w:rPr>
                <w:rFonts w:eastAsiaTheme="minorEastAsia"/>
                <w:color w:val="000000" w:themeColor="text1"/>
                <w:szCs w:val="21"/>
              </w:rPr>
              <w:t>791,244.23</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right"/>
              <w:rPr>
                <w:rFonts w:eastAsiaTheme="minorEastAsia"/>
                <w:color w:val="000000" w:themeColor="text1"/>
                <w:szCs w:val="21"/>
              </w:rPr>
            </w:pPr>
            <w:r>
              <w:rPr>
                <w:rFonts w:eastAsiaTheme="minorEastAsia"/>
                <w:color w:val="000000" w:themeColor="text1"/>
                <w:szCs w:val="21"/>
              </w:rPr>
              <w:t>339,627.49</w:t>
            </w:r>
          </w:p>
        </w:tc>
      </w:tr>
      <w:tr w:rsidR="001A4AFC" w:rsidTr="001A4AFC">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rPr>
                <w:rFonts w:eastAsiaTheme="minorEastAsia"/>
                <w:color w:val="000000" w:themeColor="text1"/>
                <w:szCs w:val="21"/>
              </w:rPr>
            </w:pPr>
            <w:r>
              <w:rPr>
                <w:rFonts w:eastAsiaTheme="minorEastAsia" w:hint="eastAsia"/>
                <w:color w:val="000000" w:themeColor="text1"/>
                <w:szCs w:val="21"/>
              </w:rPr>
              <w:t>其中：申购费</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right"/>
              <w:rPr>
                <w:rFonts w:eastAsiaTheme="minorEastAsia"/>
                <w:color w:val="000000" w:themeColor="text1"/>
                <w:szCs w:val="21"/>
              </w:rPr>
            </w:pPr>
            <w:r>
              <w:rPr>
                <w:rFonts w:eastAsiaTheme="minorEastAsia"/>
                <w:color w:val="000000" w:themeColor="text1"/>
                <w:szCs w:val="21"/>
              </w:rPr>
              <w:t>-</w:t>
            </w:r>
          </w:p>
        </w:tc>
      </w:tr>
      <w:tr w:rsidR="001A4AFC" w:rsidTr="001A4AFC">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rPr>
                <w:rFonts w:eastAsiaTheme="minorEastAsia"/>
                <w:color w:val="000000" w:themeColor="text1"/>
                <w:szCs w:val="21"/>
              </w:rPr>
            </w:pPr>
            <w:r>
              <w:rPr>
                <w:rFonts w:eastAsiaTheme="minorEastAsia" w:hint="eastAsia"/>
                <w:color w:val="000000" w:themeColor="text1"/>
                <w:szCs w:val="21"/>
              </w:rPr>
              <w:t>赎回费</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14AEA">
        <w:tc>
          <w:tcPr>
            <w:tcW w:w="2632" w:type="dxa"/>
            <w:vAlign w:val="center"/>
          </w:tcPr>
          <w:p w:rsidR="00F14AEA" w:rsidRDefault="00EC6028">
            <w:pPr>
              <w:jc w:val="center"/>
            </w:pPr>
            <w:r>
              <w:rPr>
                <w:rFonts w:eastAsiaTheme="minorEastAsia"/>
                <w:color w:val="000000" w:themeColor="text1"/>
                <w:kern w:val="0"/>
                <w:szCs w:val="21"/>
              </w:rPr>
              <w:t>其他</w:t>
            </w:r>
          </w:p>
        </w:tc>
        <w:tc>
          <w:tcPr>
            <w:tcW w:w="3115" w:type="dxa"/>
            <w:vAlign w:val="center"/>
          </w:tcPr>
          <w:p w:rsidR="00F14AEA" w:rsidRDefault="00EC6028">
            <w:pPr>
              <w:jc w:val="right"/>
            </w:pPr>
            <w:r>
              <w:rPr>
                <w:rFonts w:eastAsiaTheme="minorEastAsia"/>
                <w:color w:val="000000" w:themeColor="text1"/>
                <w:kern w:val="0"/>
                <w:szCs w:val="21"/>
              </w:rPr>
              <w:t>791,244.23</w:t>
            </w:r>
          </w:p>
        </w:tc>
        <w:tc>
          <w:tcPr>
            <w:tcW w:w="3471" w:type="dxa"/>
            <w:vAlign w:val="center"/>
          </w:tcPr>
          <w:p w:rsidR="00F14AEA" w:rsidRDefault="00EC6028">
            <w:pPr>
              <w:jc w:val="right"/>
            </w:pPr>
            <w:r>
              <w:rPr>
                <w:rFonts w:eastAsiaTheme="minorEastAsia"/>
                <w:color w:val="000000" w:themeColor="text1"/>
                <w:kern w:val="0"/>
                <w:szCs w:val="21"/>
              </w:rPr>
              <w:t>339,627.49</w:t>
            </w:r>
          </w:p>
        </w:tc>
      </w:tr>
      <w:tr w:rsidR="001A4AFC" w:rsidTr="001A4AFC">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rPr>
                <w:rFonts w:eastAsiaTheme="minorEastAsia"/>
                <w:color w:val="000000" w:themeColor="text1"/>
                <w:szCs w:val="21"/>
              </w:rPr>
            </w:pPr>
            <w:r>
              <w:rPr>
                <w:rFonts w:eastAsiaTheme="minorEastAsia" w:hint="eastAsia"/>
                <w:color w:val="000000" w:themeColor="text1"/>
                <w:szCs w:val="21"/>
                <w:lang w:val="en-AU"/>
              </w:rPr>
              <w:t>合计</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right"/>
              <w:rPr>
                <w:rFonts w:eastAsiaTheme="minorEastAsia"/>
                <w:color w:val="000000" w:themeColor="text1"/>
                <w:szCs w:val="21"/>
              </w:rPr>
            </w:pPr>
            <w:r>
              <w:rPr>
                <w:rFonts w:eastAsiaTheme="minorEastAsia"/>
                <w:color w:val="000000" w:themeColor="text1"/>
                <w:szCs w:val="21"/>
              </w:rPr>
              <w:t>939,945.83</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1A4AFC" w:rsidRDefault="001A4AFC">
            <w:pPr>
              <w:spacing w:line="360" w:lineRule="auto"/>
              <w:jc w:val="right"/>
              <w:rPr>
                <w:rFonts w:eastAsiaTheme="minorEastAsia"/>
                <w:color w:val="000000" w:themeColor="text1"/>
                <w:szCs w:val="21"/>
              </w:rPr>
            </w:pPr>
            <w:r>
              <w:rPr>
                <w:rFonts w:eastAsiaTheme="minorEastAsia"/>
                <w:color w:val="000000" w:themeColor="text1"/>
                <w:szCs w:val="21"/>
              </w:rPr>
              <w:t>429,451.51</w:t>
            </w:r>
          </w:p>
        </w:tc>
      </w:tr>
    </w:tbl>
    <w:p w:rsidR="003970C2" w:rsidRPr="00FB4041" w:rsidRDefault="003970C2"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7.4.7.20 其他费用</w:t>
      </w:r>
    </w:p>
    <w:p w:rsidR="003970C2" w:rsidRPr="00896265" w:rsidRDefault="003970C2" w:rsidP="003970C2">
      <w:pPr>
        <w:tabs>
          <w:tab w:val="left" w:pos="7200"/>
          <w:tab w:val="left" w:pos="8280"/>
          <w:tab w:val="left" w:pos="9000"/>
        </w:tabs>
        <w:spacing w:line="360" w:lineRule="auto"/>
        <w:ind w:rightChars="-52" w:right="-109"/>
        <w:jc w:val="right"/>
        <w:rPr>
          <w:color w:val="000000"/>
          <w:szCs w:val="21"/>
        </w:rPr>
      </w:pPr>
      <w:r w:rsidRPr="00896265">
        <w:rPr>
          <w:color w:val="000000"/>
          <w:szCs w:val="21"/>
        </w:rPr>
        <w:t>单位：人民币元</w:t>
      </w:r>
    </w:p>
    <w:tbl>
      <w:tblPr>
        <w:tblStyle w:val="af7"/>
        <w:tblW w:w="0" w:type="auto"/>
        <w:tblLayout w:type="fixed"/>
        <w:tblLook w:val="04A0" w:firstRow="1" w:lastRow="0" w:firstColumn="1" w:lastColumn="0" w:noHBand="0" w:noVBand="1"/>
      </w:tblPr>
      <w:tblGrid>
        <w:gridCol w:w="2943"/>
        <w:gridCol w:w="2977"/>
        <w:gridCol w:w="3366"/>
      </w:tblGrid>
      <w:tr w:rsidR="003970C2" w:rsidRPr="00896265" w:rsidTr="008A3814">
        <w:tc>
          <w:tcPr>
            <w:tcW w:w="2943" w:type="dxa"/>
            <w:vAlign w:val="center"/>
          </w:tcPr>
          <w:p w:rsidR="003970C2" w:rsidRPr="00896265" w:rsidRDefault="003970C2" w:rsidP="008A3814">
            <w:pPr>
              <w:spacing w:line="360" w:lineRule="auto"/>
              <w:jc w:val="center"/>
              <w:rPr>
                <w:szCs w:val="21"/>
              </w:rPr>
            </w:pPr>
            <w:r w:rsidRPr="00896265">
              <w:rPr>
                <w:szCs w:val="21"/>
              </w:rPr>
              <w:t>项目</w:t>
            </w:r>
          </w:p>
        </w:tc>
        <w:tc>
          <w:tcPr>
            <w:tcW w:w="2977" w:type="dxa"/>
          </w:tcPr>
          <w:p w:rsidR="003970C2" w:rsidRPr="00896265" w:rsidRDefault="003970C2" w:rsidP="008A3814">
            <w:pPr>
              <w:spacing w:line="360" w:lineRule="auto"/>
              <w:jc w:val="center"/>
              <w:rPr>
                <w:szCs w:val="21"/>
              </w:rPr>
            </w:pPr>
            <w:r w:rsidRPr="00896265">
              <w:rPr>
                <w:szCs w:val="21"/>
              </w:rPr>
              <w:t>本期</w:t>
            </w:r>
          </w:p>
          <w:p w:rsidR="003970C2" w:rsidRPr="00896265" w:rsidRDefault="003970C2" w:rsidP="008A3814">
            <w:pPr>
              <w:widowControl/>
              <w:autoSpaceDE w:val="0"/>
              <w:autoSpaceDN w:val="0"/>
              <w:spacing w:line="360" w:lineRule="auto"/>
              <w:ind w:right="-15"/>
              <w:jc w:val="center"/>
              <w:textAlignment w:val="bottom"/>
              <w:rPr>
                <w:szCs w:val="21"/>
              </w:rPr>
            </w:pPr>
            <w:r w:rsidRPr="00896265">
              <w:rPr>
                <w:szCs w:val="21"/>
              </w:rPr>
              <w:t>2019</w:t>
            </w:r>
            <w:r w:rsidRPr="00896265">
              <w:rPr>
                <w:szCs w:val="21"/>
              </w:rPr>
              <w:t>年</w:t>
            </w:r>
            <w:r w:rsidRPr="00896265">
              <w:rPr>
                <w:szCs w:val="21"/>
              </w:rPr>
              <w:t>1</w:t>
            </w:r>
            <w:r w:rsidRPr="00896265">
              <w:rPr>
                <w:szCs w:val="21"/>
              </w:rPr>
              <w:t>月</w:t>
            </w:r>
            <w:r w:rsidRPr="00896265">
              <w:rPr>
                <w:szCs w:val="21"/>
              </w:rPr>
              <w:t>1</w:t>
            </w:r>
            <w:r w:rsidRPr="00896265">
              <w:rPr>
                <w:szCs w:val="21"/>
              </w:rPr>
              <w:t>日至</w:t>
            </w:r>
            <w:r w:rsidRPr="00896265">
              <w:rPr>
                <w:szCs w:val="21"/>
              </w:rPr>
              <w:t>2019</w:t>
            </w:r>
            <w:r w:rsidRPr="00896265">
              <w:rPr>
                <w:szCs w:val="21"/>
              </w:rPr>
              <w:t>年</w:t>
            </w:r>
            <w:r w:rsidRPr="00896265">
              <w:rPr>
                <w:szCs w:val="21"/>
              </w:rPr>
              <w:t>12</w:t>
            </w:r>
            <w:r w:rsidRPr="00896265">
              <w:rPr>
                <w:szCs w:val="21"/>
              </w:rPr>
              <w:t>月</w:t>
            </w:r>
            <w:r w:rsidRPr="00896265">
              <w:rPr>
                <w:szCs w:val="21"/>
              </w:rPr>
              <w:t>31</w:t>
            </w:r>
            <w:r w:rsidRPr="00896265">
              <w:rPr>
                <w:szCs w:val="21"/>
              </w:rPr>
              <w:t>日</w:t>
            </w:r>
          </w:p>
        </w:tc>
        <w:tc>
          <w:tcPr>
            <w:tcW w:w="3366" w:type="dxa"/>
          </w:tcPr>
          <w:p w:rsidR="003970C2" w:rsidRPr="00896265" w:rsidRDefault="003970C2" w:rsidP="008A3814">
            <w:pPr>
              <w:spacing w:line="360" w:lineRule="auto"/>
              <w:jc w:val="center"/>
              <w:rPr>
                <w:szCs w:val="21"/>
              </w:rPr>
            </w:pPr>
            <w:r w:rsidRPr="00896265">
              <w:rPr>
                <w:szCs w:val="21"/>
              </w:rPr>
              <w:t>上年度可比期间</w:t>
            </w:r>
          </w:p>
          <w:p w:rsidR="003970C2" w:rsidRPr="00896265" w:rsidRDefault="003970C2" w:rsidP="008A3814">
            <w:pPr>
              <w:widowControl/>
              <w:autoSpaceDE w:val="0"/>
              <w:autoSpaceDN w:val="0"/>
              <w:spacing w:line="360" w:lineRule="auto"/>
              <w:ind w:right="-15"/>
              <w:jc w:val="center"/>
              <w:textAlignment w:val="bottom"/>
              <w:rPr>
                <w:kern w:val="0"/>
                <w:szCs w:val="21"/>
              </w:rPr>
            </w:pPr>
            <w:r w:rsidRPr="00896265">
              <w:rPr>
                <w:szCs w:val="21"/>
              </w:rPr>
              <w:t>2018</w:t>
            </w:r>
            <w:r w:rsidRPr="00896265">
              <w:rPr>
                <w:szCs w:val="21"/>
              </w:rPr>
              <w:t>年</w:t>
            </w:r>
            <w:r w:rsidRPr="00896265">
              <w:rPr>
                <w:szCs w:val="21"/>
              </w:rPr>
              <w:t>1</w:t>
            </w:r>
            <w:r w:rsidRPr="00896265">
              <w:rPr>
                <w:szCs w:val="21"/>
              </w:rPr>
              <w:t>月</w:t>
            </w:r>
            <w:r w:rsidRPr="00896265">
              <w:rPr>
                <w:szCs w:val="21"/>
              </w:rPr>
              <w:t>1</w:t>
            </w:r>
            <w:r w:rsidRPr="00896265">
              <w:rPr>
                <w:szCs w:val="21"/>
              </w:rPr>
              <w:t>日至</w:t>
            </w:r>
            <w:r w:rsidRPr="00896265">
              <w:rPr>
                <w:szCs w:val="21"/>
              </w:rPr>
              <w:t>2018</w:t>
            </w:r>
            <w:r w:rsidRPr="00896265">
              <w:rPr>
                <w:szCs w:val="21"/>
              </w:rPr>
              <w:t>年</w:t>
            </w:r>
            <w:r w:rsidRPr="00896265">
              <w:rPr>
                <w:szCs w:val="21"/>
              </w:rPr>
              <w:t>12</w:t>
            </w:r>
            <w:r w:rsidRPr="00896265">
              <w:rPr>
                <w:szCs w:val="21"/>
              </w:rPr>
              <w:t>月</w:t>
            </w:r>
            <w:r w:rsidRPr="00896265">
              <w:rPr>
                <w:szCs w:val="21"/>
              </w:rPr>
              <w:t>31</w:t>
            </w:r>
            <w:r w:rsidRPr="00896265">
              <w:rPr>
                <w:szCs w:val="21"/>
              </w:rPr>
              <w:t>日</w:t>
            </w:r>
          </w:p>
        </w:tc>
      </w:tr>
      <w:tr w:rsidR="003970C2" w:rsidRPr="00896265" w:rsidTr="008A3814">
        <w:tc>
          <w:tcPr>
            <w:tcW w:w="2943" w:type="dxa"/>
            <w:vAlign w:val="center"/>
          </w:tcPr>
          <w:p w:rsidR="003970C2" w:rsidRPr="00896265" w:rsidRDefault="003970C2" w:rsidP="008A3814">
            <w:pPr>
              <w:spacing w:line="360" w:lineRule="auto"/>
              <w:rPr>
                <w:szCs w:val="21"/>
              </w:rPr>
            </w:pPr>
            <w:r w:rsidRPr="00896265">
              <w:rPr>
                <w:szCs w:val="21"/>
              </w:rPr>
              <w:t>审计费用</w:t>
            </w:r>
          </w:p>
        </w:tc>
        <w:tc>
          <w:tcPr>
            <w:tcW w:w="2977" w:type="dxa"/>
            <w:vAlign w:val="center"/>
          </w:tcPr>
          <w:p w:rsidR="003970C2" w:rsidRPr="00896265" w:rsidRDefault="003970C2" w:rsidP="008A3814">
            <w:pPr>
              <w:spacing w:line="360" w:lineRule="auto"/>
              <w:jc w:val="right"/>
              <w:rPr>
                <w:szCs w:val="21"/>
              </w:rPr>
            </w:pPr>
            <w:r w:rsidRPr="00896265">
              <w:rPr>
                <w:szCs w:val="21"/>
              </w:rPr>
              <w:t>72,000.00</w:t>
            </w:r>
          </w:p>
        </w:tc>
        <w:tc>
          <w:tcPr>
            <w:tcW w:w="3366" w:type="dxa"/>
            <w:vAlign w:val="center"/>
          </w:tcPr>
          <w:p w:rsidR="003970C2" w:rsidRPr="00896265" w:rsidRDefault="003970C2" w:rsidP="008A3814">
            <w:pPr>
              <w:spacing w:line="360" w:lineRule="auto"/>
              <w:jc w:val="right"/>
              <w:rPr>
                <w:szCs w:val="21"/>
              </w:rPr>
            </w:pPr>
            <w:r w:rsidRPr="00896265">
              <w:rPr>
                <w:szCs w:val="21"/>
              </w:rPr>
              <w:t>72,000.00</w:t>
            </w:r>
          </w:p>
        </w:tc>
      </w:tr>
      <w:tr w:rsidR="003970C2" w:rsidRPr="00896265" w:rsidTr="008A3814">
        <w:tc>
          <w:tcPr>
            <w:tcW w:w="2943" w:type="dxa"/>
            <w:vAlign w:val="center"/>
          </w:tcPr>
          <w:p w:rsidR="003970C2" w:rsidRPr="00896265" w:rsidRDefault="003970C2" w:rsidP="008A3814">
            <w:pPr>
              <w:spacing w:line="360" w:lineRule="auto"/>
              <w:rPr>
                <w:szCs w:val="21"/>
              </w:rPr>
            </w:pPr>
            <w:r w:rsidRPr="00896265">
              <w:rPr>
                <w:szCs w:val="21"/>
              </w:rPr>
              <w:t>信息披露费</w:t>
            </w:r>
          </w:p>
        </w:tc>
        <w:tc>
          <w:tcPr>
            <w:tcW w:w="2977" w:type="dxa"/>
            <w:vAlign w:val="center"/>
          </w:tcPr>
          <w:p w:rsidR="003970C2" w:rsidRPr="00896265" w:rsidRDefault="003970C2" w:rsidP="008A3814">
            <w:pPr>
              <w:spacing w:line="360" w:lineRule="auto"/>
              <w:jc w:val="right"/>
              <w:rPr>
                <w:szCs w:val="21"/>
              </w:rPr>
            </w:pPr>
            <w:r w:rsidRPr="00896265">
              <w:rPr>
                <w:szCs w:val="21"/>
              </w:rPr>
              <w:t>120,000.00</w:t>
            </w:r>
          </w:p>
        </w:tc>
        <w:tc>
          <w:tcPr>
            <w:tcW w:w="3366" w:type="dxa"/>
            <w:vAlign w:val="center"/>
          </w:tcPr>
          <w:p w:rsidR="003970C2" w:rsidRPr="00896265" w:rsidRDefault="003970C2" w:rsidP="008A3814">
            <w:pPr>
              <w:spacing w:line="360" w:lineRule="auto"/>
              <w:jc w:val="right"/>
              <w:rPr>
                <w:szCs w:val="21"/>
              </w:rPr>
            </w:pPr>
            <w:r w:rsidRPr="00896265">
              <w:rPr>
                <w:szCs w:val="21"/>
              </w:rPr>
              <w:t>300,000.00</w:t>
            </w:r>
          </w:p>
        </w:tc>
      </w:tr>
      <w:tr w:rsidR="00F14AEA">
        <w:tc>
          <w:tcPr>
            <w:tcW w:w="2943" w:type="dxa"/>
            <w:vAlign w:val="center"/>
          </w:tcPr>
          <w:p w:rsidR="00F14AEA" w:rsidRDefault="00EC6028">
            <w:pPr>
              <w:jc w:val="left"/>
            </w:pPr>
            <w:r>
              <w:rPr>
                <w:szCs w:val="21"/>
              </w:rPr>
              <w:t>银行汇划费</w:t>
            </w:r>
          </w:p>
        </w:tc>
        <w:tc>
          <w:tcPr>
            <w:tcW w:w="2977" w:type="dxa"/>
            <w:vAlign w:val="center"/>
          </w:tcPr>
          <w:p w:rsidR="00F14AEA" w:rsidRDefault="00EC6028">
            <w:pPr>
              <w:jc w:val="right"/>
            </w:pPr>
            <w:r>
              <w:rPr>
                <w:szCs w:val="21"/>
              </w:rPr>
              <w:t>461.62</w:t>
            </w:r>
          </w:p>
        </w:tc>
        <w:tc>
          <w:tcPr>
            <w:tcW w:w="3366" w:type="dxa"/>
            <w:vAlign w:val="center"/>
          </w:tcPr>
          <w:p w:rsidR="00F14AEA" w:rsidRDefault="00EC6028">
            <w:pPr>
              <w:jc w:val="right"/>
            </w:pPr>
            <w:r>
              <w:rPr>
                <w:szCs w:val="21"/>
              </w:rPr>
              <w:t>463.61</w:t>
            </w:r>
          </w:p>
        </w:tc>
      </w:tr>
      <w:tr w:rsidR="00F14AEA">
        <w:tc>
          <w:tcPr>
            <w:tcW w:w="2943" w:type="dxa"/>
            <w:vAlign w:val="center"/>
          </w:tcPr>
          <w:p w:rsidR="00F14AEA" w:rsidRDefault="00EC6028">
            <w:pPr>
              <w:jc w:val="left"/>
            </w:pPr>
            <w:r>
              <w:rPr>
                <w:szCs w:val="21"/>
              </w:rPr>
              <w:t>银行间账户维护费</w:t>
            </w:r>
          </w:p>
        </w:tc>
        <w:tc>
          <w:tcPr>
            <w:tcW w:w="2977" w:type="dxa"/>
            <w:vAlign w:val="center"/>
          </w:tcPr>
          <w:p w:rsidR="00F14AEA" w:rsidRDefault="00EC6028">
            <w:pPr>
              <w:jc w:val="right"/>
            </w:pPr>
            <w:r>
              <w:rPr>
                <w:szCs w:val="21"/>
              </w:rPr>
              <w:t>18,000.00</w:t>
            </w:r>
          </w:p>
        </w:tc>
        <w:tc>
          <w:tcPr>
            <w:tcW w:w="3366" w:type="dxa"/>
            <w:vAlign w:val="center"/>
          </w:tcPr>
          <w:p w:rsidR="00F14AEA" w:rsidRDefault="00EC6028">
            <w:pPr>
              <w:jc w:val="right"/>
            </w:pPr>
            <w:r>
              <w:rPr>
                <w:szCs w:val="21"/>
              </w:rPr>
              <w:t>18,000.00</w:t>
            </w:r>
          </w:p>
        </w:tc>
      </w:tr>
      <w:tr w:rsidR="00F14AEA">
        <w:tc>
          <w:tcPr>
            <w:tcW w:w="2943" w:type="dxa"/>
            <w:vAlign w:val="center"/>
          </w:tcPr>
          <w:p w:rsidR="00F14AEA" w:rsidRDefault="00EC6028">
            <w:pPr>
              <w:jc w:val="left"/>
            </w:pPr>
            <w:r>
              <w:rPr>
                <w:szCs w:val="21"/>
              </w:rPr>
              <w:t>上市费</w:t>
            </w:r>
          </w:p>
        </w:tc>
        <w:tc>
          <w:tcPr>
            <w:tcW w:w="2977" w:type="dxa"/>
            <w:vAlign w:val="center"/>
          </w:tcPr>
          <w:p w:rsidR="00F14AEA" w:rsidRDefault="00EC6028">
            <w:pPr>
              <w:jc w:val="right"/>
            </w:pPr>
            <w:r>
              <w:rPr>
                <w:szCs w:val="21"/>
              </w:rPr>
              <w:t>60,000.00</w:t>
            </w:r>
          </w:p>
        </w:tc>
        <w:tc>
          <w:tcPr>
            <w:tcW w:w="3366" w:type="dxa"/>
            <w:vAlign w:val="center"/>
          </w:tcPr>
          <w:p w:rsidR="00F14AEA" w:rsidRDefault="00EC6028">
            <w:pPr>
              <w:jc w:val="right"/>
            </w:pPr>
            <w:r>
              <w:rPr>
                <w:szCs w:val="21"/>
              </w:rPr>
              <w:t>60,000.00</w:t>
            </w:r>
          </w:p>
        </w:tc>
      </w:tr>
      <w:tr w:rsidR="00F14AEA">
        <w:tc>
          <w:tcPr>
            <w:tcW w:w="2943" w:type="dxa"/>
            <w:vAlign w:val="center"/>
          </w:tcPr>
          <w:p w:rsidR="00F14AEA" w:rsidRDefault="00EC6028">
            <w:pPr>
              <w:jc w:val="left"/>
            </w:pPr>
            <w:r>
              <w:rPr>
                <w:szCs w:val="21"/>
              </w:rPr>
              <w:t>其他</w:t>
            </w:r>
          </w:p>
        </w:tc>
        <w:tc>
          <w:tcPr>
            <w:tcW w:w="2977" w:type="dxa"/>
            <w:vAlign w:val="center"/>
          </w:tcPr>
          <w:p w:rsidR="00F14AEA" w:rsidRDefault="00EC6028">
            <w:pPr>
              <w:jc w:val="right"/>
            </w:pPr>
            <w:r>
              <w:rPr>
                <w:szCs w:val="21"/>
              </w:rPr>
              <w:t>-</w:t>
            </w:r>
          </w:p>
        </w:tc>
        <w:tc>
          <w:tcPr>
            <w:tcW w:w="3366" w:type="dxa"/>
            <w:vAlign w:val="center"/>
          </w:tcPr>
          <w:p w:rsidR="00F14AEA" w:rsidRDefault="00EC6028">
            <w:pPr>
              <w:jc w:val="right"/>
            </w:pPr>
            <w:r>
              <w:rPr>
                <w:szCs w:val="21"/>
              </w:rPr>
              <w:t>-</w:t>
            </w:r>
          </w:p>
        </w:tc>
      </w:tr>
      <w:tr w:rsidR="003970C2" w:rsidRPr="00896265" w:rsidTr="008A3814">
        <w:tc>
          <w:tcPr>
            <w:tcW w:w="2943" w:type="dxa"/>
            <w:vAlign w:val="center"/>
          </w:tcPr>
          <w:p w:rsidR="003970C2" w:rsidRPr="00896265" w:rsidRDefault="003970C2" w:rsidP="008A3814">
            <w:pPr>
              <w:spacing w:line="360" w:lineRule="auto"/>
              <w:rPr>
                <w:szCs w:val="21"/>
              </w:rPr>
            </w:pPr>
            <w:r w:rsidRPr="00896265">
              <w:rPr>
                <w:szCs w:val="21"/>
              </w:rPr>
              <w:t>合计</w:t>
            </w:r>
          </w:p>
        </w:tc>
        <w:tc>
          <w:tcPr>
            <w:tcW w:w="2977" w:type="dxa"/>
            <w:vAlign w:val="center"/>
          </w:tcPr>
          <w:p w:rsidR="003970C2" w:rsidRPr="00896265" w:rsidRDefault="003970C2" w:rsidP="008A3814">
            <w:pPr>
              <w:spacing w:line="360" w:lineRule="auto"/>
              <w:jc w:val="right"/>
              <w:rPr>
                <w:szCs w:val="21"/>
              </w:rPr>
            </w:pPr>
            <w:r w:rsidRPr="00896265">
              <w:rPr>
                <w:szCs w:val="21"/>
              </w:rPr>
              <w:t>270,461.62</w:t>
            </w:r>
          </w:p>
        </w:tc>
        <w:tc>
          <w:tcPr>
            <w:tcW w:w="3366" w:type="dxa"/>
            <w:vAlign w:val="center"/>
          </w:tcPr>
          <w:p w:rsidR="003970C2" w:rsidRPr="00896265" w:rsidRDefault="003970C2" w:rsidP="008A3814">
            <w:pPr>
              <w:spacing w:line="360" w:lineRule="auto"/>
              <w:jc w:val="right"/>
              <w:rPr>
                <w:szCs w:val="21"/>
              </w:rPr>
            </w:pPr>
            <w:r w:rsidRPr="00896265">
              <w:rPr>
                <w:szCs w:val="21"/>
              </w:rPr>
              <w:t>450,463.61</w:t>
            </w:r>
          </w:p>
        </w:tc>
      </w:tr>
    </w:tbl>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7.4.8 或有事项、资产负债表日后事项的说明</w:t>
      </w:r>
    </w:p>
    <w:p w:rsidR="007B62FA" w:rsidRPr="00FB4041" w:rsidRDefault="007B62FA" w:rsidP="00F60702">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7.4.8.1 或有事项</w:t>
      </w:r>
    </w:p>
    <w:p w:rsidR="007B62FA" w:rsidRPr="00896265" w:rsidRDefault="007B62FA" w:rsidP="00215394">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截至资产负债表日，本基金无须作披露的或有事项。</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7.4.8.2 资产负债表日后事项</w:t>
      </w:r>
    </w:p>
    <w:p w:rsidR="007B62FA" w:rsidRPr="00896265" w:rsidRDefault="007B62FA" w:rsidP="00215394">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截至本会计报表批准报出日，本基金无须作披露的资产负债表日后事项。</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7.4.9</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E60957" w:rsidRPr="00896265" w:rsidTr="007C55F6">
        <w:tc>
          <w:tcPr>
            <w:tcW w:w="4820" w:type="dxa"/>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关联方名称</w:t>
            </w:r>
          </w:p>
        </w:tc>
        <w:tc>
          <w:tcPr>
            <w:tcW w:w="4180" w:type="dxa"/>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与本基金的关系</w:t>
            </w:r>
          </w:p>
        </w:tc>
      </w:tr>
      <w:tr w:rsidR="00F14AEA">
        <w:tc>
          <w:tcPr>
            <w:tcW w:w="4820" w:type="dxa"/>
            <w:vAlign w:val="center"/>
          </w:tcPr>
          <w:p w:rsidR="00F14AEA" w:rsidRDefault="00EC6028">
            <w:pPr>
              <w:jc w:val="left"/>
            </w:pPr>
            <w:r>
              <w:rPr>
                <w:rFonts w:eastAsiaTheme="minorEastAsia"/>
                <w:color w:val="000000" w:themeColor="text1"/>
                <w:szCs w:val="21"/>
              </w:rPr>
              <w:t>易方达基金管理有限公司</w:t>
            </w:r>
          </w:p>
        </w:tc>
        <w:tc>
          <w:tcPr>
            <w:tcW w:w="4180" w:type="dxa"/>
            <w:vAlign w:val="center"/>
          </w:tcPr>
          <w:p w:rsidR="00F14AEA" w:rsidRDefault="00EC6028">
            <w:pPr>
              <w:jc w:val="center"/>
            </w:pPr>
            <w:r>
              <w:rPr>
                <w:rFonts w:eastAsiaTheme="minorEastAsia"/>
                <w:color w:val="000000" w:themeColor="text1"/>
                <w:szCs w:val="21"/>
              </w:rPr>
              <w:t>基金管理人、注册登记机构、基金销售机构</w:t>
            </w:r>
          </w:p>
        </w:tc>
      </w:tr>
      <w:tr w:rsidR="00F14AEA">
        <w:tc>
          <w:tcPr>
            <w:tcW w:w="4820" w:type="dxa"/>
            <w:vAlign w:val="center"/>
          </w:tcPr>
          <w:p w:rsidR="00F14AEA" w:rsidRDefault="00EC6028">
            <w:pPr>
              <w:jc w:val="left"/>
            </w:pPr>
            <w:r>
              <w:rPr>
                <w:rFonts w:eastAsiaTheme="minorEastAsia"/>
                <w:color w:val="000000" w:themeColor="text1"/>
                <w:szCs w:val="21"/>
              </w:rPr>
              <w:t>中国农业银行股份有限公司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中国农业银行</w:t>
            </w:r>
            <w:r>
              <w:rPr>
                <w:rFonts w:eastAsiaTheme="minorEastAsia"/>
                <w:color w:val="000000" w:themeColor="text1"/>
                <w:szCs w:val="21"/>
              </w:rPr>
              <w:t>”)</w:t>
            </w:r>
          </w:p>
        </w:tc>
        <w:tc>
          <w:tcPr>
            <w:tcW w:w="4180" w:type="dxa"/>
            <w:vAlign w:val="center"/>
          </w:tcPr>
          <w:p w:rsidR="00F14AEA" w:rsidRDefault="00EC6028">
            <w:pPr>
              <w:jc w:val="center"/>
            </w:pPr>
            <w:r>
              <w:rPr>
                <w:rFonts w:eastAsiaTheme="minorEastAsia"/>
                <w:color w:val="000000" w:themeColor="text1"/>
                <w:szCs w:val="21"/>
              </w:rPr>
              <w:t>基金托管人、基金销售机构</w:t>
            </w:r>
          </w:p>
        </w:tc>
      </w:tr>
      <w:tr w:rsidR="00F14AEA">
        <w:tc>
          <w:tcPr>
            <w:tcW w:w="4820" w:type="dxa"/>
            <w:vAlign w:val="center"/>
          </w:tcPr>
          <w:p w:rsidR="00F14AEA" w:rsidRDefault="00EC6028">
            <w:pPr>
              <w:jc w:val="left"/>
            </w:pPr>
            <w:r>
              <w:rPr>
                <w:rFonts w:eastAsiaTheme="minorEastAsia"/>
                <w:color w:val="000000" w:themeColor="text1"/>
                <w:szCs w:val="21"/>
              </w:rPr>
              <w:t>香港上海汇丰银行有限公司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汇丰银行</w:t>
            </w:r>
            <w:r>
              <w:rPr>
                <w:rFonts w:eastAsiaTheme="minorEastAsia"/>
                <w:color w:val="000000" w:themeColor="text1"/>
                <w:szCs w:val="21"/>
              </w:rPr>
              <w:t>")</w:t>
            </w:r>
          </w:p>
        </w:tc>
        <w:tc>
          <w:tcPr>
            <w:tcW w:w="4180" w:type="dxa"/>
            <w:vAlign w:val="center"/>
          </w:tcPr>
          <w:p w:rsidR="00F14AEA" w:rsidRDefault="00EC6028">
            <w:pPr>
              <w:jc w:val="center"/>
            </w:pPr>
            <w:r>
              <w:rPr>
                <w:rFonts w:eastAsiaTheme="minorEastAsia"/>
                <w:color w:val="000000" w:themeColor="text1"/>
                <w:szCs w:val="21"/>
              </w:rPr>
              <w:t>境外资产托管人</w:t>
            </w:r>
          </w:p>
        </w:tc>
      </w:tr>
      <w:tr w:rsidR="00F14AEA">
        <w:tc>
          <w:tcPr>
            <w:tcW w:w="4820" w:type="dxa"/>
            <w:vAlign w:val="center"/>
          </w:tcPr>
          <w:p w:rsidR="00F14AEA" w:rsidRDefault="00EC6028">
            <w:pPr>
              <w:jc w:val="left"/>
            </w:pPr>
            <w:r>
              <w:rPr>
                <w:rFonts w:eastAsiaTheme="minorEastAsia"/>
                <w:color w:val="000000" w:themeColor="text1"/>
                <w:szCs w:val="21"/>
              </w:rPr>
              <w:t>广发证券股份有限公司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广发证券</w:t>
            </w:r>
            <w:r>
              <w:rPr>
                <w:rFonts w:eastAsiaTheme="minorEastAsia"/>
                <w:color w:val="000000" w:themeColor="text1"/>
                <w:szCs w:val="21"/>
              </w:rPr>
              <w:t>”)</w:t>
            </w:r>
          </w:p>
        </w:tc>
        <w:tc>
          <w:tcPr>
            <w:tcW w:w="4180" w:type="dxa"/>
            <w:vAlign w:val="center"/>
          </w:tcPr>
          <w:p w:rsidR="00F14AEA" w:rsidRDefault="00EC6028">
            <w:pPr>
              <w:jc w:val="center"/>
            </w:pPr>
            <w:r>
              <w:rPr>
                <w:rFonts w:eastAsiaTheme="minorEastAsia"/>
                <w:color w:val="000000" w:themeColor="text1"/>
                <w:szCs w:val="21"/>
              </w:rPr>
              <w:t>基金管理人股东、基金销售机构</w:t>
            </w:r>
          </w:p>
        </w:tc>
      </w:tr>
      <w:tr w:rsidR="00F14AEA">
        <w:tc>
          <w:tcPr>
            <w:tcW w:w="4820" w:type="dxa"/>
            <w:vAlign w:val="center"/>
          </w:tcPr>
          <w:p w:rsidR="00F14AEA" w:rsidRDefault="00EC6028">
            <w:pPr>
              <w:jc w:val="left"/>
            </w:pPr>
            <w:r>
              <w:rPr>
                <w:rFonts w:eastAsiaTheme="minorEastAsia"/>
                <w:color w:val="000000" w:themeColor="text1"/>
                <w:szCs w:val="21"/>
              </w:rPr>
              <w:t>广东粤财信托有限公司</w:t>
            </w:r>
          </w:p>
        </w:tc>
        <w:tc>
          <w:tcPr>
            <w:tcW w:w="4180" w:type="dxa"/>
            <w:vAlign w:val="center"/>
          </w:tcPr>
          <w:p w:rsidR="00F14AEA" w:rsidRDefault="00EC6028">
            <w:pPr>
              <w:jc w:val="center"/>
            </w:pPr>
            <w:r>
              <w:rPr>
                <w:rFonts w:eastAsiaTheme="minorEastAsia"/>
                <w:color w:val="000000" w:themeColor="text1"/>
                <w:szCs w:val="21"/>
              </w:rPr>
              <w:t>基金管理人股东</w:t>
            </w:r>
          </w:p>
        </w:tc>
      </w:tr>
      <w:tr w:rsidR="00F14AEA">
        <w:tc>
          <w:tcPr>
            <w:tcW w:w="4820" w:type="dxa"/>
            <w:vAlign w:val="center"/>
          </w:tcPr>
          <w:p w:rsidR="00F14AEA" w:rsidRDefault="00EC6028">
            <w:pPr>
              <w:jc w:val="left"/>
            </w:pPr>
            <w:r>
              <w:rPr>
                <w:rFonts w:eastAsiaTheme="minorEastAsia"/>
                <w:color w:val="000000" w:themeColor="text1"/>
                <w:szCs w:val="21"/>
              </w:rPr>
              <w:t>盈峰控股集团有限公司</w:t>
            </w:r>
          </w:p>
        </w:tc>
        <w:tc>
          <w:tcPr>
            <w:tcW w:w="4180" w:type="dxa"/>
            <w:vAlign w:val="center"/>
          </w:tcPr>
          <w:p w:rsidR="00F14AEA" w:rsidRDefault="00EC6028">
            <w:pPr>
              <w:jc w:val="center"/>
            </w:pPr>
            <w:r>
              <w:rPr>
                <w:rFonts w:eastAsiaTheme="minorEastAsia"/>
                <w:color w:val="000000" w:themeColor="text1"/>
                <w:szCs w:val="21"/>
              </w:rPr>
              <w:t>基金管理人股东</w:t>
            </w:r>
          </w:p>
        </w:tc>
      </w:tr>
      <w:tr w:rsidR="00F14AEA">
        <w:tc>
          <w:tcPr>
            <w:tcW w:w="4820" w:type="dxa"/>
            <w:vAlign w:val="center"/>
          </w:tcPr>
          <w:p w:rsidR="00F14AEA" w:rsidRDefault="00EC6028">
            <w:pPr>
              <w:jc w:val="left"/>
            </w:pPr>
            <w:r>
              <w:rPr>
                <w:rFonts w:eastAsiaTheme="minorEastAsia"/>
                <w:color w:val="000000" w:themeColor="text1"/>
                <w:szCs w:val="21"/>
              </w:rPr>
              <w:t>广东省广晟资产经营有限公司</w:t>
            </w:r>
          </w:p>
        </w:tc>
        <w:tc>
          <w:tcPr>
            <w:tcW w:w="4180" w:type="dxa"/>
            <w:vAlign w:val="center"/>
          </w:tcPr>
          <w:p w:rsidR="00F14AEA" w:rsidRDefault="00EC6028">
            <w:pPr>
              <w:jc w:val="center"/>
            </w:pPr>
            <w:r>
              <w:rPr>
                <w:rFonts w:eastAsiaTheme="minorEastAsia"/>
                <w:color w:val="000000" w:themeColor="text1"/>
                <w:szCs w:val="21"/>
              </w:rPr>
              <w:t>基金管理人股东</w:t>
            </w:r>
          </w:p>
        </w:tc>
      </w:tr>
      <w:tr w:rsidR="00F14AEA">
        <w:tc>
          <w:tcPr>
            <w:tcW w:w="4820" w:type="dxa"/>
            <w:vAlign w:val="center"/>
          </w:tcPr>
          <w:p w:rsidR="00F14AEA" w:rsidRDefault="00EC6028">
            <w:pPr>
              <w:jc w:val="left"/>
            </w:pPr>
            <w:r>
              <w:rPr>
                <w:rFonts w:eastAsiaTheme="minorEastAsia"/>
                <w:color w:val="000000" w:themeColor="text1"/>
                <w:szCs w:val="21"/>
              </w:rPr>
              <w:t>广州市广永国有资产经营有限公司</w:t>
            </w:r>
          </w:p>
        </w:tc>
        <w:tc>
          <w:tcPr>
            <w:tcW w:w="4180" w:type="dxa"/>
            <w:vAlign w:val="center"/>
          </w:tcPr>
          <w:p w:rsidR="00F14AEA" w:rsidRDefault="00EC6028">
            <w:pPr>
              <w:jc w:val="center"/>
            </w:pPr>
            <w:r>
              <w:rPr>
                <w:rFonts w:eastAsiaTheme="minorEastAsia"/>
                <w:color w:val="000000" w:themeColor="text1"/>
                <w:szCs w:val="21"/>
              </w:rPr>
              <w:t>基金管理人股东</w:t>
            </w:r>
          </w:p>
        </w:tc>
      </w:tr>
      <w:tr w:rsidR="00F14AEA">
        <w:tc>
          <w:tcPr>
            <w:tcW w:w="4820" w:type="dxa"/>
            <w:vAlign w:val="center"/>
          </w:tcPr>
          <w:p w:rsidR="00F14AEA" w:rsidRDefault="00EC6028">
            <w:pPr>
              <w:jc w:val="left"/>
            </w:pPr>
            <w:r>
              <w:rPr>
                <w:rFonts w:eastAsiaTheme="minorEastAsia"/>
                <w:color w:val="000000" w:themeColor="text1"/>
                <w:szCs w:val="21"/>
              </w:rPr>
              <w:t>珠海祺荣宝股权投资合伙企业（有限合伙）</w:t>
            </w:r>
          </w:p>
        </w:tc>
        <w:tc>
          <w:tcPr>
            <w:tcW w:w="4180" w:type="dxa"/>
            <w:vAlign w:val="center"/>
          </w:tcPr>
          <w:p w:rsidR="00F14AEA" w:rsidRDefault="00EC6028">
            <w:pPr>
              <w:jc w:val="center"/>
            </w:pPr>
            <w:r>
              <w:rPr>
                <w:rFonts w:eastAsiaTheme="minorEastAsia"/>
                <w:color w:val="000000" w:themeColor="text1"/>
                <w:szCs w:val="21"/>
              </w:rPr>
              <w:t>基金管理人股东</w:t>
            </w:r>
          </w:p>
        </w:tc>
      </w:tr>
      <w:tr w:rsidR="00F14AEA">
        <w:tc>
          <w:tcPr>
            <w:tcW w:w="4820" w:type="dxa"/>
            <w:vAlign w:val="center"/>
          </w:tcPr>
          <w:p w:rsidR="00F14AEA" w:rsidRDefault="00EC6028">
            <w:pPr>
              <w:jc w:val="left"/>
            </w:pPr>
            <w:r>
              <w:rPr>
                <w:rFonts w:eastAsiaTheme="minorEastAsia"/>
                <w:color w:val="000000" w:themeColor="text1"/>
                <w:szCs w:val="21"/>
              </w:rPr>
              <w:t>珠海祺泰宝股权投资合伙企业（有限合伙）</w:t>
            </w:r>
          </w:p>
        </w:tc>
        <w:tc>
          <w:tcPr>
            <w:tcW w:w="4180" w:type="dxa"/>
            <w:vAlign w:val="center"/>
          </w:tcPr>
          <w:p w:rsidR="00F14AEA" w:rsidRDefault="00EC6028">
            <w:pPr>
              <w:jc w:val="center"/>
            </w:pPr>
            <w:r>
              <w:rPr>
                <w:rFonts w:eastAsiaTheme="minorEastAsia"/>
                <w:color w:val="000000" w:themeColor="text1"/>
                <w:szCs w:val="21"/>
              </w:rPr>
              <w:t>基金管理人股东</w:t>
            </w:r>
          </w:p>
        </w:tc>
      </w:tr>
      <w:tr w:rsidR="00F14AEA">
        <w:tc>
          <w:tcPr>
            <w:tcW w:w="4820" w:type="dxa"/>
            <w:vAlign w:val="center"/>
          </w:tcPr>
          <w:p w:rsidR="00F14AEA" w:rsidRDefault="00EC6028">
            <w:pPr>
              <w:jc w:val="left"/>
            </w:pPr>
            <w:r>
              <w:rPr>
                <w:rFonts w:eastAsiaTheme="minorEastAsia"/>
                <w:color w:val="000000" w:themeColor="text1"/>
                <w:szCs w:val="21"/>
              </w:rPr>
              <w:t>珠海祺丰宝股权投资合伙企业（有限合伙）</w:t>
            </w:r>
          </w:p>
        </w:tc>
        <w:tc>
          <w:tcPr>
            <w:tcW w:w="4180" w:type="dxa"/>
            <w:vAlign w:val="center"/>
          </w:tcPr>
          <w:p w:rsidR="00F14AEA" w:rsidRDefault="00EC6028">
            <w:pPr>
              <w:jc w:val="center"/>
            </w:pPr>
            <w:r>
              <w:rPr>
                <w:rFonts w:eastAsiaTheme="minorEastAsia"/>
                <w:color w:val="000000" w:themeColor="text1"/>
                <w:szCs w:val="21"/>
              </w:rPr>
              <w:t>基金管理人股东</w:t>
            </w:r>
          </w:p>
        </w:tc>
      </w:tr>
      <w:tr w:rsidR="00F14AEA">
        <w:tc>
          <w:tcPr>
            <w:tcW w:w="4820" w:type="dxa"/>
            <w:vAlign w:val="center"/>
          </w:tcPr>
          <w:p w:rsidR="00F14AEA" w:rsidRDefault="00EC6028">
            <w:pPr>
              <w:jc w:val="left"/>
            </w:pPr>
            <w:r>
              <w:rPr>
                <w:rFonts w:eastAsiaTheme="minorEastAsia"/>
                <w:color w:val="000000" w:themeColor="text1"/>
                <w:szCs w:val="21"/>
              </w:rPr>
              <w:t>珠海聚莱康股权投资合伙企业（有限合伙）</w:t>
            </w:r>
          </w:p>
        </w:tc>
        <w:tc>
          <w:tcPr>
            <w:tcW w:w="4180" w:type="dxa"/>
            <w:vAlign w:val="center"/>
          </w:tcPr>
          <w:p w:rsidR="00F14AEA" w:rsidRDefault="00EC6028">
            <w:pPr>
              <w:jc w:val="center"/>
            </w:pPr>
            <w:r>
              <w:rPr>
                <w:rFonts w:eastAsiaTheme="minorEastAsia"/>
                <w:color w:val="000000" w:themeColor="text1"/>
                <w:szCs w:val="21"/>
              </w:rPr>
              <w:t>基金管理人股东</w:t>
            </w:r>
          </w:p>
        </w:tc>
      </w:tr>
      <w:tr w:rsidR="00F14AEA">
        <w:tc>
          <w:tcPr>
            <w:tcW w:w="4820" w:type="dxa"/>
            <w:vAlign w:val="center"/>
          </w:tcPr>
          <w:p w:rsidR="00F14AEA" w:rsidRDefault="00EC6028">
            <w:pPr>
              <w:jc w:val="left"/>
            </w:pPr>
            <w:r>
              <w:rPr>
                <w:rFonts w:eastAsiaTheme="minorEastAsia"/>
                <w:color w:val="000000" w:themeColor="text1"/>
                <w:szCs w:val="21"/>
              </w:rPr>
              <w:t>珠海聚宁康股权投资合伙企业（有限合伙）</w:t>
            </w:r>
          </w:p>
        </w:tc>
        <w:tc>
          <w:tcPr>
            <w:tcW w:w="4180" w:type="dxa"/>
            <w:vAlign w:val="center"/>
          </w:tcPr>
          <w:p w:rsidR="00F14AEA" w:rsidRDefault="00EC6028">
            <w:pPr>
              <w:jc w:val="center"/>
            </w:pPr>
            <w:r>
              <w:rPr>
                <w:rFonts w:eastAsiaTheme="minorEastAsia"/>
                <w:color w:val="000000" w:themeColor="text1"/>
                <w:szCs w:val="21"/>
              </w:rPr>
              <w:t>基金管理人股东</w:t>
            </w:r>
          </w:p>
        </w:tc>
      </w:tr>
      <w:tr w:rsidR="00F14AEA">
        <w:tc>
          <w:tcPr>
            <w:tcW w:w="4820" w:type="dxa"/>
            <w:vAlign w:val="center"/>
          </w:tcPr>
          <w:p w:rsidR="00F14AEA" w:rsidRDefault="00EC6028">
            <w:pPr>
              <w:jc w:val="left"/>
            </w:pPr>
            <w:r>
              <w:rPr>
                <w:rFonts w:eastAsiaTheme="minorEastAsia"/>
                <w:color w:val="000000" w:themeColor="text1"/>
                <w:szCs w:val="21"/>
              </w:rPr>
              <w:t>珠海聚弘康股权投资合伙企业（有限合伙）</w:t>
            </w:r>
          </w:p>
        </w:tc>
        <w:tc>
          <w:tcPr>
            <w:tcW w:w="4180" w:type="dxa"/>
            <w:vAlign w:val="center"/>
          </w:tcPr>
          <w:p w:rsidR="00F14AEA" w:rsidRDefault="00EC6028">
            <w:pPr>
              <w:jc w:val="center"/>
            </w:pPr>
            <w:r>
              <w:rPr>
                <w:rFonts w:eastAsiaTheme="minorEastAsia"/>
                <w:color w:val="000000" w:themeColor="text1"/>
                <w:szCs w:val="21"/>
              </w:rPr>
              <w:t>基金管理人股东</w:t>
            </w:r>
          </w:p>
        </w:tc>
      </w:tr>
      <w:tr w:rsidR="00F14AEA">
        <w:tc>
          <w:tcPr>
            <w:tcW w:w="4820" w:type="dxa"/>
            <w:vAlign w:val="center"/>
          </w:tcPr>
          <w:p w:rsidR="00F14AEA" w:rsidRDefault="00EC6028">
            <w:pPr>
              <w:jc w:val="left"/>
            </w:pPr>
            <w:r>
              <w:rPr>
                <w:rFonts w:eastAsiaTheme="minorEastAsia"/>
                <w:color w:val="000000" w:themeColor="text1"/>
                <w:szCs w:val="21"/>
              </w:rPr>
              <w:t>易方达资产管理有限公司</w:t>
            </w:r>
          </w:p>
        </w:tc>
        <w:tc>
          <w:tcPr>
            <w:tcW w:w="4180" w:type="dxa"/>
            <w:vAlign w:val="center"/>
          </w:tcPr>
          <w:p w:rsidR="00F14AEA" w:rsidRDefault="00EC6028">
            <w:pPr>
              <w:jc w:val="center"/>
            </w:pPr>
            <w:r>
              <w:rPr>
                <w:rFonts w:eastAsiaTheme="minorEastAsia"/>
                <w:color w:val="000000" w:themeColor="text1"/>
                <w:szCs w:val="21"/>
              </w:rPr>
              <w:t>基金管理人的子公司</w:t>
            </w:r>
          </w:p>
        </w:tc>
      </w:tr>
    </w:tbl>
    <w:p w:rsidR="007B62FA" w:rsidRPr="00896265" w:rsidRDefault="007B62FA" w:rsidP="00215394">
      <w:pPr>
        <w:widowControl/>
        <w:spacing w:line="360" w:lineRule="auto"/>
        <w:ind w:firstLineChars="200" w:firstLine="420"/>
        <w:jc w:val="left"/>
        <w:rPr>
          <w:rFonts w:eastAsiaTheme="minorEastAsia"/>
          <w:color w:val="000000" w:themeColor="text1"/>
          <w:szCs w:val="21"/>
        </w:rPr>
      </w:pPr>
      <w:r w:rsidRPr="00896265">
        <w:rPr>
          <w:rFonts w:eastAsiaTheme="minorEastAsia"/>
          <w:color w:val="000000" w:themeColor="text1"/>
          <w:szCs w:val="21"/>
        </w:rPr>
        <w:t>注：以下关联交易均在正常业务范围内按一般商业条款订立。</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 本报告期及上年度可比期间的关联方交易</w:t>
      </w:r>
    </w:p>
    <w:p w:rsidR="007B62FA" w:rsidRPr="00FB4041" w:rsidRDefault="007B62FA" w:rsidP="009138EB">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7.4.10.1 通过关联方交易单元进行的交易</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7.4.10.1.1</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股票交易</w:t>
      </w:r>
    </w:p>
    <w:p w:rsidR="001A6905" w:rsidRPr="00896265" w:rsidRDefault="001A6905" w:rsidP="001A6905">
      <w:pPr>
        <w:spacing w:line="360" w:lineRule="auto"/>
        <w:ind w:firstLineChars="200" w:firstLine="420"/>
        <w:jc w:val="left"/>
        <w:rPr>
          <w:color w:val="000000"/>
          <w:szCs w:val="21"/>
        </w:rPr>
      </w:pPr>
      <w:r w:rsidRPr="00896265">
        <w:rPr>
          <w:color w:val="000000"/>
          <w:szCs w:val="21"/>
        </w:rPr>
        <w:t>本基金本报告期及上年度可比期间未发生通过关联方交易单元进行的股票交易。</w:t>
      </w:r>
    </w:p>
    <w:p w:rsidR="001A6905" w:rsidRPr="00FB4041" w:rsidRDefault="001A6905"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7.4.10.1.2 权证交易</w:t>
      </w:r>
    </w:p>
    <w:p w:rsidR="001A6905" w:rsidRPr="00896265" w:rsidRDefault="001A6905" w:rsidP="001A6905">
      <w:pPr>
        <w:spacing w:line="360" w:lineRule="auto"/>
        <w:ind w:firstLineChars="200" w:firstLine="420"/>
        <w:jc w:val="left"/>
        <w:rPr>
          <w:color w:val="000000"/>
          <w:szCs w:val="21"/>
        </w:rPr>
      </w:pPr>
      <w:r w:rsidRPr="00896265">
        <w:rPr>
          <w:color w:val="000000"/>
          <w:szCs w:val="21"/>
        </w:rPr>
        <w:t>本基金本报告期及上年度可比期间未发生通过关联方交易单元进行的权证交易。</w:t>
      </w:r>
    </w:p>
    <w:p w:rsidR="001A6905" w:rsidRPr="00FB4041" w:rsidRDefault="001A6905"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7.4.10.1.3 应支付关联方的佣金</w:t>
      </w:r>
    </w:p>
    <w:p w:rsidR="001A6905" w:rsidRPr="00896265" w:rsidRDefault="001A6905" w:rsidP="001A6905">
      <w:pPr>
        <w:spacing w:line="360" w:lineRule="auto"/>
        <w:ind w:firstLineChars="200" w:firstLine="420"/>
        <w:jc w:val="left"/>
        <w:rPr>
          <w:color w:val="000000"/>
          <w:szCs w:val="21"/>
        </w:rPr>
      </w:pPr>
      <w:r w:rsidRPr="00896265">
        <w:rPr>
          <w:kern w:val="0"/>
          <w:szCs w:val="21"/>
        </w:rPr>
        <w:t>本基金本报告期及上年度可比期间无应支付关联方的佣金。</w:t>
      </w:r>
    </w:p>
    <w:p w:rsidR="001A6905" w:rsidRPr="00FB4041" w:rsidRDefault="001A6905"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7.4.10.2 关联方报酬</w:t>
      </w:r>
    </w:p>
    <w:p w:rsidR="001A6905" w:rsidRPr="00FB4041" w:rsidRDefault="001A6905"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7.4.10.2.1 基金管理费</w:t>
      </w:r>
    </w:p>
    <w:p w:rsidR="001A6905" w:rsidRPr="00896265" w:rsidRDefault="001A6905" w:rsidP="001A6905">
      <w:pPr>
        <w:autoSpaceDE w:val="0"/>
        <w:autoSpaceDN w:val="0"/>
        <w:adjustRightInd w:val="0"/>
        <w:spacing w:before="29" w:line="360" w:lineRule="auto"/>
        <w:ind w:left="15" w:right="210"/>
        <w:jc w:val="right"/>
        <w:rPr>
          <w:color w:val="000000"/>
          <w:kern w:val="0"/>
          <w:szCs w:val="21"/>
        </w:rPr>
      </w:pPr>
      <w:r w:rsidRPr="00896265">
        <w:rPr>
          <w:color w:val="000000"/>
          <w:szCs w:val="21"/>
        </w:rPr>
        <w:t>单位：</w:t>
      </w:r>
      <w:r w:rsidRPr="00896265">
        <w:rPr>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1A6905" w:rsidRPr="00896265" w:rsidTr="008A3814">
        <w:tc>
          <w:tcPr>
            <w:tcW w:w="3828" w:type="dxa"/>
            <w:vAlign w:val="center"/>
          </w:tcPr>
          <w:p w:rsidR="001A6905" w:rsidRPr="00896265" w:rsidRDefault="001A6905" w:rsidP="008A3814">
            <w:pPr>
              <w:spacing w:line="360" w:lineRule="auto"/>
              <w:jc w:val="center"/>
              <w:rPr>
                <w:color w:val="000000"/>
                <w:szCs w:val="21"/>
              </w:rPr>
            </w:pPr>
            <w:r w:rsidRPr="00896265">
              <w:rPr>
                <w:color w:val="000000"/>
                <w:szCs w:val="21"/>
              </w:rPr>
              <w:t>项目</w:t>
            </w:r>
          </w:p>
        </w:tc>
        <w:tc>
          <w:tcPr>
            <w:tcW w:w="2586" w:type="dxa"/>
          </w:tcPr>
          <w:p w:rsidR="001A6905" w:rsidRPr="00896265" w:rsidRDefault="001A6905" w:rsidP="008A3814">
            <w:pPr>
              <w:spacing w:line="360" w:lineRule="auto"/>
              <w:jc w:val="center"/>
              <w:rPr>
                <w:color w:val="000000"/>
                <w:szCs w:val="21"/>
              </w:rPr>
            </w:pPr>
            <w:r w:rsidRPr="00896265">
              <w:rPr>
                <w:color w:val="000000"/>
                <w:szCs w:val="21"/>
              </w:rPr>
              <w:t>本期</w:t>
            </w:r>
          </w:p>
          <w:p w:rsidR="001A6905" w:rsidRPr="00896265" w:rsidRDefault="001A6905" w:rsidP="008A3814">
            <w:pPr>
              <w:widowControl/>
              <w:autoSpaceDE w:val="0"/>
              <w:autoSpaceDN w:val="0"/>
              <w:spacing w:line="360" w:lineRule="auto"/>
              <w:ind w:right="-15"/>
              <w:jc w:val="center"/>
              <w:textAlignment w:val="bottom"/>
              <w:rPr>
                <w:color w:val="000000"/>
                <w:szCs w:val="21"/>
              </w:rPr>
            </w:pPr>
            <w:r w:rsidRPr="00896265">
              <w:rPr>
                <w:color w:val="000000"/>
                <w:szCs w:val="21"/>
              </w:rPr>
              <w:t>2019</w:t>
            </w:r>
            <w:r w:rsidRPr="00896265">
              <w:rPr>
                <w:color w:val="000000"/>
                <w:szCs w:val="21"/>
              </w:rPr>
              <w:t>年</w:t>
            </w:r>
            <w:r w:rsidRPr="00896265">
              <w:rPr>
                <w:color w:val="000000"/>
                <w:szCs w:val="21"/>
              </w:rPr>
              <w:t>1</w:t>
            </w:r>
            <w:r w:rsidRPr="00896265">
              <w:rPr>
                <w:color w:val="000000"/>
                <w:szCs w:val="21"/>
              </w:rPr>
              <w:t>月</w:t>
            </w:r>
            <w:r w:rsidRPr="00896265">
              <w:rPr>
                <w:color w:val="000000"/>
                <w:szCs w:val="21"/>
              </w:rPr>
              <w:t>1</w:t>
            </w:r>
            <w:r w:rsidRPr="00896265">
              <w:rPr>
                <w:color w:val="000000"/>
                <w:szCs w:val="21"/>
              </w:rPr>
              <w:t>日至</w:t>
            </w:r>
            <w:r w:rsidRPr="00896265">
              <w:rPr>
                <w:color w:val="000000"/>
                <w:szCs w:val="21"/>
              </w:rPr>
              <w:t>2019</w:t>
            </w:r>
            <w:r w:rsidRPr="00896265">
              <w:rPr>
                <w:color w:val="000000"/>
                <w:szCs w:val="21"/>
              </w:rPr>
              <w:t>年</w:t>
            </w:r>
            <w:r w:rsidRPr="00896265">
              <w:rPr>
                <w:color w:val="000000"/>
                <w:szCs w:val="21"/>
              </w:rPr>
              <w:t>12</w:t>
            </w:r>
            <w:r w:rsidRPr="00896265">
              <w:rPr>
                <w:color w:val="000000"/>
                <w:szCs w:val="21"/>
              </w:rPr>
              <w:t>月</w:t>
            </w:r>
            <w:r w:rsidRPr="00896265">
              <w:rPr>
                <w:color w:val="000000"/>
                <w:szCs w:val="21"/>
              </w:rPr>
              <w:t>31</w:t>
            </w:r>
            <w:r w:rsidRPr="00896265">
              <w:rPr>
                <w:color w:val="000000"/>
                <w:szCs w:val="21"/>
              </w:rPr>
              <w:t>日</w:t>
            </w:r>
          </w:p>
        </w:tc>
        <w:tc>
          <w:tcPr>
            <w:tcW w:w="2586" w:type="dxa"/>
          </w:tcPr>
          <w:p w:rsidR="001A6905" w:rsidRPr="00896265" w:rsidRDefault="001A6905" w:rsidP="008A3814">
            <w:pPr>
              <w:spacing w:line="360" w:lineRule="auto"/>
              <w:jc w:val="center"/>
              <w:rPr>
                <w:color w:val="000000"/>
                <w:szCs w:val="21"/>
              </w:rPr>
            </w:pPr>
            <w:r w:rsidRPr="00896265">
              <w:rPr>
                <w:color w:val="000000"/>
                <w:szCs w:val="21"/>
              </w:rPr>
              <w:t>上年度可比期间</w:t>
            </w:r>
          </w:p>
          <w:p w:rsidR="001A6905" w:rsidRPr="00896265" w:rsidRDefault="001A6905" w:rsidP="008A3814">
            <w:pPr>
              <w:widowControl/>
              <w:autoSpaceDE w:val="0"/>
              <w:autoSpaceDN w:val="0"/>
              <w:spacing w:line="360" w:lineRule="auto"/>
              <w:ind w:right="-15"/>
              <w:jc w:val="center"/>
              <w:textAlignment w:val="bottom"/>
              <w:rPr>
                <w:color w:val="000000"/>
                <w:kern w:val="0"/>
                <w:szCs w:val="21"/>
              </w:rPr>
            </w:pPr>
            <w:r w:rsidRPr="00896265">
              <w:rPr>
                <w:color w:val="000000"/>
                <w:szCs w:val="21"/>
              </w:rPr>
              <w:t>2018</w:t>
            </w:r>
            <w:r w:rsidRPr="00896265">
              <w:rPr>
                <w:color w:val="000000"/>
                <w:szCs w:val="21"/>
              </w:rPr>
              <w:t>年</w:t>
            </w:r>
            <w:r w:rsidRPr="00896265">
              <w:rPr>
                <w:color w:val="000000"/>
                <w:szCs w:val="21"/>
              </w:rPr>
              <w:t>1</w:t>
            </w:r>
            <w:r w:rsidRPr="00896265">
              <w:rPr>
                <w:color w:val="000000"/>
                <w:szCs w:val="21"/>
              </w:rPr>
              <w:t>月</w:t>
            </w:r>
            <w:r w:rsidRPr="00896265">
              <w:rPr>
                <w:color w:val="000000"/>
                <w:szCs w:val="21"/>
              </w:rPr>
              <w:t>1</w:t>
            </w:r>
            <w:r w:rsidRPr="00896265">
              <w:rPr>
                <w:color w:val="000000"/>
                <w:szCs w:val="21"/>
              </w:rPr>
              <w:t>日至</w:t>
            </w:r>
            <w:r w:rsidRPr="00896265">
              <w:rPr>
                <w:color w:val="000000"/>
                <w:szCs w:val="21"/>
              </w:rPr>
              <w:t>2018</w:t>
            </w:r>
            <w:r w:rsidRPr="00896265">
              <w:rPr>
                <w:color w:val="000000"/>
                <w:szCs w:val="21"/>
              </w:rPr>
              <w:t>年</w:t>
            </w:r>
            <w:r w:rsidRPr="00896265">
              <w:rPr>
                <w:color w:val="000000"/>
                <w:szCs w:val="21"/>
              </w:rPr>
              <w:t>12</w:t>
            </w:r>
            <w:r w:rsidRPr="00896265">
              <w:rPr>
                <w:color w:val="000000"/>
                <w:szCs w:val="21"/>
              </w:rPr>
              <w:t>月</w:t>
            </w:r>
            <w:r w:rsidRPr="00896265">
              <w:rPr>
                <w:color w:val="000000"/>
                <w:szCs w:val="21"/>
              </w:rPr>
              <w:t>31</w:t>
            </w:r>
            <w:r w:rsidRPr="00896265">
              <w:rPr>
                <w:color w:val="000000"/>
                <w:szCs w:val="21"/>
              </w:rPr>
              <w:t>日</w:t>
            </w:r>
          </w:p>
        </w:tc>
      </w:tr>
      <w:tr w:rsidR="001A6905" w:rsidRPr="00896265" w:rsidTr="008A3814">
        <w:tc>
          <w:tcPr>
            <w:tcW w:w="3828" w:type="dxa"/>
            <w:vAlign w:val="center"/>
          </w:tcPr>
          <w:p w:rsidR="001A6905" w:rsidRPr="00896265" w:rsidRDefault="001A6905" w:rsidP="008A3814">
            <w:pPr>
              <w:spacing w:line="360" w:lineRule="auto"/>
              <w:rPr>
                <w:color w:val="000000"/>
                <w:szCs w:val="21"/>
              </w:rPr>
            </w:pPr>
            <w:r w:rsidRPr="00896265">
              <w:rPr>
                <w:szCs w:val="21"/>
              </w:rPr>
              <w:t>当期发生的基金应支付的管理费</w:t>
            </w:r>
          </w:p>
        </w:tc>
        <w:tc>
          <w:tcPr>
            <w:tcW w:w="2586" w:type="dxa"/>
            <w:vAlign w:val="center"/>
          </w:tcPr>
          <w:p w:rsidR="001A6905" w:rsidRPr="00896265" w:rsidRDefault="001A6905" w:rsidP="008A3814">
            <w:pPr>
              <w:spacing w:line="360" w:lineRule="auto"/>
              <w:jc w:val="right"/>
              <w:rPr>
                <w:szCs w:val="21"/>
              </w:rPr>
            </w:pPr>
            <w:r w:rsidRPr="00896265">
              <w:rPr>
                <w:szCs w:val="21"/>
              </w:rPr>
              <w:t>4,598,071.55</w:t>
            </w:r>
          </w:p>
        </w:tc>
        <w:tc>
          <w:tcPr>
            <w:tcW w:w="2586" w:type="dxa"/>
            <w:vAlign w:val="center"/>
          </w:tcPr>
          <w:p w:rsidR="001A6905" w:rsidRPr="00896265" w:rsidRDefault="001A6905" w:rsidP="008A3814">
            <w:pPr>
              <w:spacing w:line="360" w:lineRule="auto"/>
              <w:jc w:val="right"/>
              <w:rPr>
                <w:szCs w:val="21"/>
              </w:rPr>
            </w:pPr>
            <w:r w:rsidRPr="00896265">
              <w:rPr>
                <w:szCs w:val="21"/>
              </w:rPr>
              <w:t>4,146,652.38</w:t>
            </w:r>
          </w:p>
        </w:tc>
      </w:tr>
      <w:tr w:rsidR="001A6905" w:rsidRPr="00896265" w:rsidTr="008A3814">
        <w:tc>
          <w:tcPr>
            <w:tcW w:w="3828" w:type="dxa"/>
            <w:vAlign w:val="center"/>
          </w:tcPr>
          <w:p w:rsidR="001A6905" w:rsidRPr="00896265" w:rsidRDefault="001A6905" w:rsidP="008A3814">
            <w:pPr>
              <w:spacing w:line="360" w:lineRule="auto"/>
              <w:rPr>
                <w:color w:val="000000"/>
                <w:szCs w:val="21"/>
              </w:rPr>
            </w:pPr>
            <w:r w:rsidRPr="00896265">
              <w:rPr>
                <w:szCs w:val="21"/>
              </w:rPr>
              <w:t>其中：支付销售机构的客户维护费</w:t>
            </w:r>
          </w:p>
        </w:tc>
        <w:tc>
          <w:tcPr>
            <w:tcW w:w="2586" w:type="dxa"/>
            <w:vAlign w:val="center"/>
          </w:tcPr>
          <w:p w:rsidR="001A6905" w:rsidRPr="00896265" w:rsidRDefault="001A6905" w:rsidP="008A3814">
            <w:pPr>
              <w:spacing w:line="360" w:lineRule="auto"/>
              <w:jc w:val="right"/>
              <w:rPr>
                <w:szCs w:val="21"/>
              </w:rPr>
            </w:pPr>
            <w:r w:rsidRPr="00896265">
              <w:rPr>
                <w:szCs w:val="21"/>
              </w:rPr>
              <w:t>1,629,736.32</w:t>
            </w:r>
          </w:p>
        </w:tc>
        <w:tc>
          <w:tcPr>
            <w:tcW w:w="2586" w:type="dxa"/>
            <w:vAlign w:val="center"/>
          </w:tcPr>
          <w:p w:rsidR="001A6905" w:rsidRPr="00896265" w:rsidRDefault="001A6905" w:rsidP="008A3814">
            <w:pPr>
              <w:spacing w:line="360" w:lineRule="auto"/>
              <w:jc w:val="right"/>
              <w:rPr>
                <w:szCs w:val="21"/>
              </w:rPr>
            </w:pPr>
            <w:r w:rsidRPr="00896265">
              <w:rPr>
                <w:szCs w:val="21"/>
              </w:rPr>
              <w:t>1,246,956.20</w:t>
            </w:r>
          </w:p>
        </w:tc>
      </w:tr>
    </w:tbl>
    <w:p w:rsidR="00F14AEA" w:rsidRDefault="00EC6028">
      <w:pPr>
        <w:spacing w:line="360" w:lineRule="auto"/>
        <w:ind w:firstLineChars="200" w:firstLine="420"/>
        <w:jc w:val="left"/>
        <w:rPr>
          <w:color w:val="000000"/>
          <w:szCs w:val="21"/>
        </w:rPr>
      </w:pPr>
      <w:r>
        <w:rPr>
          <w:color w:val="000000"/>
          <w:szCs w:val="21"/>
        </w:rPr>
        <w:t>注：</w:t>
      </w:r>
      <w:r>
        <w:rPr>
          <w:color w:val="000000"/>
          <w:szCs w:val="21"/>
        </w:rPr>
        <w:t>1.</w:t>
      </w:r>
      <w:r>
        <w:rPr>
          <w:color w:val="000000"/>
          <w:szCs w:val="21"/>
        </w:rPr>
        <w:t>本基金的管理费（如基金管理人委托投资顾问，包括投资顾问费）按前一日基金资产净值的</w:t>
      </w:r>
      <w:r>
        <w:rPr>
          <w:color w:val="000000"/>
          <w:szCs w:val="21"/>
        </w:rPr>
        <w:t>1. 2%</w:t>
      </w:r>
      <w:r>
        <w:rPr>
          <w:color w:val="000000"/>
          <w:szCs w:val="21"/>
        </w:rPr>
        <w:t>年费率计提。计算方法如下：</w:t>
      </w:r>
    </w:p>
    <w:p w:rsidR="00F14AEA" w:rsidRDefault="00EC6028">
      <w:pPr>
        <w:spacing w:line="360" w:lineRule="auto"/>
        <w:ind w:firstLineChars="200" w:firstLine="420"/>
        <w:jc w:val="left"/>
        <w:rPr>
          <w:color w:val="000000"/>
          <w:szCs w:val="21"/>
        </w:rPr>
      </w:pPr>
      <w:r>
        <w:rPr>
          <w:color w:val="000000"/>
          <w:szCs w:val="21"/>
        </w:rPr>
        <w:t>H</w:t>
      </w:r>
      <w:r>
        <w:rPr>
          <w:color w:val="000000"/>
          <w:szCs w:val="21"/>
        </w:rPr>
        <w:t>＝</w:t>
      </w:r>
      <w:r>
        <w:rPr>
          <w:color w:val="000000"/>
          <w:szCs w:val="21"/>
        </w:rPr>
        <w:t>E×1. 2%÷</w:t>
      </w:r>
      <w:r>
        <w:rPr>
          <w:color w:val="000000"/>
          <w:szCs w:val="21"/>
        </w:rPr>
        <w:t>当年天数</w:t>
      </w:r>
    </w:p>
    <w:p w:rsidR="00F14AEA" w:rsidRDefault="00EC6028">
      <w:pPr>
        <w:spacing w:line="360" w:lineRule="auto"/>
        <w:ind w:firstLineChars="200" w:firstLine="420"/>
        <w:jc w:val="left"/>
        <w:rPr>
          <w:color w:val="000000"/>
          <w:szCs w:val="21"/>
        </w:rPr>
      </w:pPr>
      <w:r>
        <w:rPr>
          <w:color w:val="000000"/>
          <w:szCs w:val="21"/>
        </w:rPr>
        <w:t>H</w:t>
      </w:r>
      <w:r>
        <w:rPr>
          <w:color w:val="000000"/>
          <w:szCs w:val="21"/>
        </w:rPr>
        <w:t>为每日应计提的基金的管理费</w:t>
      </w:r>
    </w:p>
    <w:p w:rsidR="00F14AEA" w:rsidRDefault="00EC6028">
      <w:pPr>
        <w:spacing w:line="360" w:lineRule="auto"/>
        <w:ind w:firstLineChars="200" w:firstLine="420"/>
        <w:jc w:val="left"/>
        <w:rPr>
          <w:color w:val="000000"/>
          <w:szCs w:val="21"/>
        </w:rPr>
      </w:pPr>
      <w:r>
        <w:rPr>
          <w:color w:val="000000"/>
          <w:szCs w:val="21"/>
        </w:rPr>
        <w:t>E</w:t>
      </w:r>
      <w:r>
        <w:rPr>
          <w:color w:val="000000"/>
          <w:szCs w:val="21"/>
        </w:rPr>
        <w:t>为前一日的基金资产净值</w:t>
      </w:r>
    </w:p>
    <w:p w:rsidR="00F14AEA" w:rsidRDefault="00EC6028">
      <w:pPr>
        <w:spacing w:line="360" w:lineRule="auto"/>
        <w:ind w:firstLineChars="200" w:firstLine="420"/>
        <w:jc w:val="left"/>
        <w:rPr>
          <w:color w:val="000000"/>
          <w:szCs w:val="21"/>
        </w:rPr>
      </w:pPr>
      <w:r>
        <w:rPr>
          <w:color w:val="000000"/>
          <w:szCs w:val="21"/>
        </w:rPr>
        <w:t>基金的管理费每日计算，逐日累计至每月月末，按月支付。经基金管理人和基金托管人核对一致后，基金托管人于次月前</w:t>
      </w:r>
      <w:r>
        <w:rPr>
          <w:color w:val="000000"/>
          <w:szCs w:val="21"/>
        </w:rPr>
        <w:t>3</w:t>
      </w:r>
      <w:r>
        <w:rPr>
          <w:color w:val="000000"/>
          <w:szCs w:val="21"/>
        </w:rPr>
        <w:t>个工作日内从基金财产中一次性支付给基金管理人。</w:t>
      </w:r>
    </w:p>
    <w:p w:rsidR="001A6905" w:rsidRPr="00896265" w:rsidRDefault="001A6905" w:rsidP="001A6905">
      <w:pPr>
        <w:spacing w:line="360" w:lineRule="auto"/>
        <w:ind w:firstLineChars="200" w:firstLine="420"/>
        <w:jc w:val="left"/>
        <w:rPr>
          <w:color w:val="000000"/>
          <w:szCs w:val="21"/>
        </w:rPr>
      </w:pPr>
      <w:r w:rsidRPr="00896265">
        <w:rPr>
          <w:color w:val="000000"/>
          <w:szCs w:val="21"/>
        </w:rPr>
        <w:t>2.</w:t>
      </w:r>
      <w:r w:rsidRPr="00896265">
        <w:rPr>
          <w:color w:val="000000"/>
          <w:szCs w:val="21"/>
        </w:rPr>
        <w:t>自</w:t>
      </w:r>
      <w:r w:rsidRPr="00896265">
        <w:rPr>
          <w:color w:val="000000"/>
          <w:szCs w:val="21"/>
        </w:rPr>
        <w:t>2019</w:t>
      </w:r>
      <w:r w:rsidRPr="00896265">
        <w:rPr>
          <w:color w:val="000000"/>
          <w:szCs w:val="21"/>
        </w:rPr>
        <w:t>年</w:t>
      </w:r>
      <w:r w:rsidRPr="00896265">
        <w:rPr>
          <w:color w:val="000000"/>
          <w:szCs w:val="21"/>
        </w:rPr>
        <w:t>10</w:t>
      </w:r>
      <w:r w:rsidRPr="00896265">
        <w:rPr>
          <w:color w:val="000000"/>
          <w:szCs w:val="21"/>
        </w:rPr>
        <w:t>月</w:t>
      </w:r>
      <w:r w:rsidRPr="00896265">
        <w:rPr>
          <w:color w:val="000000"/>
          <w:szCs w:val="21"/>
        </w:rPr>
        <w:t>18</w:t>
      </w:r>
      <w:r w:rsidRPr="00896265">
        <w:rPr>
          <w:color w:val="000000"/>
          <w:szCs w:val="21"/>
        </w:rPr>
        <w:t>日起，本基金的基金管理费由</w:t>
      </w:r>
      <w:r w:rsidRPr="00896265">
        <w:rPr>
          <w:color w:val="000000"/>
          <w:szCs w:val="21"/>
        </w:rPr>
        <w:t>“</w:t>
      </w:r>
      <w:r w:rsidRPr="00896265">
        <w:rPr>
          <w:color w:val="000000"/>
          <w:szCs w:val="21"/>
        </w:rPr>
        <w:t>按前一日基金资产净值的</w:t>
      </w:r>
      <w:r w:rsidRPr="00896265">
        <w:rPr>
          <w:color w:val="000000"/>
          <w:szCs w:val="21"/>
        </w:rPr>
        <w:t>1.5%</w:t>
      </w:r>
      <w:r w:rsidRPr="00896265">
        <w:rPr>
          <w:color w:val="000000"/>
          <w:szCs w:val="21"/>
        </w:rPr>
        <w:t>年费率计提</w:t>
      </w:r>
      <w:r w:rsidRPr="00896265">
        <w:rPr>
          <w:color w:val="000000"/>
          <w:szCs w:val="21"/>
        </w:rPr>
        <w:t>”</w:t>
      </w:r>
      <w:r w:rsidRPr="00896265">
        <w:rPr>
          <w:color w:val="000000"/>
          <w:szCs w:val="21"/>
        </w:rPr>
        <w:t>调整为本基金的基金管理费</w:t>
      </w:r>
      <w:r w:rsidRPr="00896265">
        <w:rPr>
          <w:color w:val="000000"/>
          <w:szCs w:val="21"/>
        </w:rPr>
        <w:t>“</w:t>
      </w:r>
      <w:r w:rsidRPr="00896265">
        <w:rPr>
          <w:color w:val="000000"/>
          <w:szCs w:val="21"/>
        </w:rPr>
        <w:t>按前一日基金资产净值的</w:t>
      </w:r>
      <w:r w:rsidRPr="00896265">
        <w:rPr>
          <w:color w:val="000000"/>
          <w:szCs w:val="21"/>
        </w:rPr>
        <w:t>1.2%</w:t>
      </w:r>
      <w:r w:rsidRPr="00896265">
        <w:rPr>
          <w:color w:val="000000"/>
          <w:szCs w:val="21"/>
        </w:rPr>
        <w:t>年费率计提</w:t>
      </w:r>
      <w:r w:rsidRPr="00896265">
        <w:rPr>
          <w:color w:val="000000"/>
          <w:szCs w:val="21"/>
        </w:rPr>
        <w:t>”</w:t>
      </w:r>
      <w:r w:rsidRPr="00896265">
        <w:rPr>
          <w:color w:val="000000"/>
          <w:szCs w:val="21"/>
        </w:rPr>
        <w:t>。</w:t>
      </w:r>
    </w:p>
    <w:p w:rsidR="001A6905" w:rsidRPr="00FB4041" w:rsidRDefault="001A6905"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7.4.10.2.2 基金托管费</w:t>
      </w:r>
    </w:p>
    <w:p w:rsidR="001A6905" w:rsidRPr="00896265" w:rsidRDefault="001A6905" w:rsidP="001A6905">
      <w:pPr>
        <w:autoSpaceDE w:val="0"/>
        <w:autoSpaceDN w:val="0"/>
        <w:adjustRightInd w:val="0"/>
        <w:spacing w:before="29" w:line="360" w:lineRule="auto"/>
        <w:ind w:left="15" w:right="210"/>
        <w:jc w:val="right"/>
        <w:rPr>
          <w:color w:val="000000"/>
          <w:kern w:val="0"/>
          <w:szCs w:val="21"/>
        </w:rPr>
      </w:pPr>
      <w:r w:rsidRPr="00896265">
        <w:rPr>
          <w:bCs/>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1A6905" w:rsidRPr="00896265" w:rsidTr="008A3814">
        <w:tc>
          <w:tcPr>
            <w:tcW w:w="3828" w:type="dxa"/>
            <w:vAlign w:val="center"/>
          </w:tcPr>
          <w:p w:rsidR="001A6905" w:rsidRPr="00896265" w:rsidRDefault="001A6905" w:rsidP="008A3814">
            <w:pPr>
              <w:spacing w:line="360" w:lineRule="auto"/>
              <w:jc w:val="center"/>
              <w:rPr>
                <w:color w:val="000000"/>
                <w:szCs w:val="21"/>
              </w:rPr>
            </w:pPr>
            <w:r w:rsidRPr="00896265">
              <w:rPr>
                <w:color w:val="000000"/>
                <w:szCs w:val="21"/>
              </w:rPr>
              <w:t>项目</w:t>
            </w:r>
          </w:p>
        </w:tc>
        <w:tc>
          <w:tcPr>
            <w:tcW w:w="2586" w:type="dxa"/>
          </w:tcPr>
          <w:p w:rsidR="001A6905" w:rsidRPr="00896265" w:rsidRDefault="001A6905" w:rsidP="008A3814">
            <w:pPr>
              <w:spacing w:line="360" w:lineRule="auto"/>
              <w:jc w:val="center"/>
              <w:rPr>
                <w:color w:val="000000"/>
                <w:szCs w:val="21"/>
              </w:rPr>
            </w:pPr>
            <w:r w:rsidRPr="00896265">
              <w:rPr>
                <w:color w:val="000000"/>
                <w:szCs w:val="21"/>
              </w:rPr>
              <w:t>本期</w:t>
            </w:r>
          </w:p>
          <w:p w:rsidR="001A6905" w:rsidRPr="00896265" w:rsidRDefault="001A6905" w:rsidP="008A3814">
            <w:pPr>
              <w:widowControl/>
              <w:autoSpaceDE w:val="0"/>
              <w:autoSpaceDN w:val="0"/>
              <w:spacing w:line="360" w:lineRule="auto"/>
              <w:ind w:right="-15"/>
              <w:jc w:val="center"/>
              <w:textAlignment w:val="bottom"/>
              <w:rPr>
                <w:color w:val="000000"/>
                <w:szCs w:val="21"/>
              </w:rPr>
            </w:pPr>
            <w:r w:rsidRPr="00896265">
              <w:rPr>
                <w:color w:val="000000"/>
                <w:szCs w:val="21"/>
              </w:rPr>
              <w:t>2019</w:t>
            </w:r>
            <w:r w:rsidRPr="00896265">
              <w:rPr>
                <w:color w:val="000000"/>
                <w:szCs w:val="21"/>
              </w:rPr>
              <w:t>年</w:t>
            </w:r>
            <w:r w:rsidRPr="00896265">
              <w:rPr>
                <w:color w:val="000000"/>
                <w:szCs w:val="21"/>
              </w:rPr>
              <w:t>1</w:t>
            </w:r>
            <w:r w:rsidRPr="00896265">
              <w:rPr>
                <w:color w:val="000000"/>
                <w:szCs w:val="21"/>
              </w:rPr>
              <w:t>月</w:t>
            </w:r>
            <w:r w:rsidRPr="00896265">
              <w:rPr>
                <w:color w:val="000000"/>
                <w:szCs w:val="21"/>
              </w:rPr>
              <w:t>1</w:t>
            </w:r>
            <w:r w:rsidRPr="00896265">
              <w:rPr>
                <w:color w:val="000000"/>
                <w:szCs w:val="21"/>
              </w:rPr>
              <w:t>日至</w:t>
            </w:r>
            <w:r w:rsidRPr="00896265">
              <w:rPr>
                <w:color w:val="000000"/>
                <w:szCs w:val="21"/>
              </w:rPr>
              <w:t>2019</w:t>
            </w:r>
            <w:r w:rsidRPr="00896265">
              <w:rPr>
                <w:color w:val="000000"/>
                <w:szCs w:val="21"/>
              </w:rPr>
              <w:t>年</w:t>
            </w:r>
            <w:r w:rsidRPr="00896265">
              <w:rPr>
                <w:color w:val="000000"/>
                <w:szCs w:val="21"/>
              </w:rPr>
              <w:t>12</w:t>
            </w:r>
            <w:r w:rsidRPr="00896265">
              <w:rPr>
                <w:color w:val="000000"/>
                <w:szCs w:val="21"/>
              </w:rPr>
              <w:t>月</w:t>
            </w:r>
            <w:r w:rsidRPr="00896265">
              <w:rPr>
                <w:color w:val="000000"/>
                <w:szCs w:val="21"/>
              </w:rPr>
              <w:t>31</w:t>
            </w:r>
            <w:r w:rsidRPr="00896265">
              <w:rPr>
                <w:color w:val="000000"/>
                <w:szCs w:val="21"/>
              </w:rPr>
              <w:t>日</w:t>
            </w:r>
          </w:p>
        </w:tc>
        <w:tc>
          <w:tcPr>
            <w:tcW w:w="2586" w:type="dxa"/>
          </w:tcPr>
          <w:p w:rsidR="001A6905" w:rsidRPr="00896265" w:rsidRDefault="001A6905" w:rsidP="008A3814">
            <w:pPr>
              <w:spacing w:line="360" w:lineRule="auto"/>
              <w:jc w:val="center"/>
              <w:rPr>
                <w:color w:val="000000"/>
                <w:szCs w:val="21"/>
              </w:rPr>
            </w:pPr>
            <w:r w:rsidRPr="00896265">
              <w:rPr>
                <w:color w:val="000000"/>
                <w:szCs w:val="21"/>
              </w:rPr>
              <w:t>上年度可比期间</w:t>
            </w:r>
          </w:p>
          <w:p w:rsidR="001A6905" w:rsidRPr="00896265" w:rsidRDefault="001A6905" w:rsidP="008A3814">
            <w:pPr>
              <w:widowControl/>
              <w:autoSpaceDE w:val="0"/>
              <w:autoSpaceDN w:val="0"/>
              <w:spacing w:line="360" w:lineRule="auto"/>
              <w:ind w:right="-15"/>
              <w:jc w:val="center"/>
              <w:textAlignment w:val="bottom"/>
              <w:rPr>
                <w:color w:val="000000"/>
                <w:kern w:val="0"/>
                <w:szCs w:val="21"/>
              </w:rPr>
            </w:pPr>
            <w:r w:rsidRPr="00896265">
              <w:rPr>
                <w:color w:val="000000"/>
                <w:szCs w:val="21"/>
              </w:rPr>
              <w:t>2018</w:t>
            </w:r>
            <w:r w:rsidRPr="00896265">
              <w:rPr>
                <w:color w:val="000000"/>
                <w:szCs w:val="21"/>
              </w:rPr>
              <w:t>年</w:t>
            </w:r>
            <w:r w:rsidRPr="00896265">
              <w:rPr>
                <w:color w:val="000000"/>
                <w:szCs w:val="21"/>
              </w:rPr>
              <w:t>1</w:t>
            </w:r>
            <w:r w:rsidRPr="00896265">
              <w:rPr>
                <w:color w:val="000000"/>
                <w:szCs w:val="21"/>
              </w:rPr>
              <w:t>月</w:t>
            </w:r>
            <w:r w:rsidRPr="00896265">
              <w:rPr>
                <w:color w:val="000000"/>
                <w:szCs w:val="21"/>
              </w:rPr>
              <w:t>1</w:t>
            </w:r>
            <w:r w:rsidRPr="00896265">
              <w:rPr>
                <w:color w:val="000000"/>
                <w:szCs w:val="21"/>
              </w:rPr>
              <w:t>日至</w:t>
            </w:r>
            <w:r w:rsidRPr="00896265">
              <w:rPr>
                <w:color w:val="000000"/>
                <w:szCs w:val="21"/>
              </w:rPr>
              <w:t>2018</w:t>
            </w:r>
            <w:r w:rsidRPr="00896265">
              <w:rPr>
                <w:color w:val="000000"/>
                <w:szCs w:val="21"/>
              </w:rPr>
              <w:t>年</w:t>
            </w:r>
            <w:r w:rsidRPr="00896265">
              <w:rPr>
                <w:color w:val="000000"/>
                <w:szCs w:val="21"/>
              </w:rPr>
              <w:t>12</w:t>
            </w:r>
            <w:r w:rsidRPr="00896265">
              <w:rPr>
                <w:color w:val="000000"/>
                <w:szCs w:val="21"/>
              </w:rPr>
              <w:t>月</w:t>
            </w:r>
            <w:r w:rsidRPr="00896265">
              <w:rPr>
                <w:color w:val="000000"/>
                <w:szCs w:val="21"/>
              </w:rPr>
              <w:t>31</w:t>
            </w:r>
            <w:r w:rsidRPr="00896265">
              <w:rPr>
                <w:color w:val="000000"/>
                <w:szCs w:val="21"/>
              </w:rPr>
              <w:t>日</w:t>
            </w:r>
          </w:p>
        </w:tc>
      </w:tr>
      <w:tr w:rsidR="001A6905" w:rsidRPr="00896265" w:rsidTr="008A3814">
        <w:tc>
          <w:tcPr>
            <w:tcW w:w="3828" w:type="dxa"/>
            <w:vAlign w:val="center"/>
          </w:tcPr>
          <w:p w:rsidR="001A6905" w:rsidRPr="00896265" w:rsidRDefault="001A6905" w:rsidP="008A3814">
            <w:pPr>
              <w:spacing w:line="360" w:lineRule="auto"/>
              <w:rPr>
                <w:color w:val="000000"/>
                <w:szCs w:val="21"/>
              </w:rPr>
            </w:pPr>
            <w:r w:rsidRPr="00896265">
              <w:rPr>
                <w:szCs w:val="21"/>
              </w:rPr>
              <w:t>当期发生的基金应支付的托管费</w:t>
            </w:r>
          </w:p>
        </w:tc>
        <w:tc>
          <w:tcPr>
            <w:tcW w:w="2586" w:type="dxa"/>
            <w:vAlign w:val="center"/>
          </w:tcPr>
          <w:p w:rsidR="001A6905" w:rsidRPr="00896265" w:rsidRDefault="001A6905" w:rsidP="008A3814">
            <w:pPr>
              <w:spacing w:line="360" w:lineRule="auto"/>
              <w:jc w:val="right"/>
              <w:rPr>
                <w:color w:val="000000"/>
                <w:kern w:val="0"/>
                <w:szCs w:val="21"/>
              </w:rPr>
            </w:pPr>
            <w:r w:rsidRPr="00896265">
              <w:rPr>
                <w:szCs w:val="21"/>
              </w:rPr>
              <w:t>889,141.87</w:t>
            </w:r>
          </w:p>
        </w:tc>
        <w:tc>
          <w:tcPr>
            <w:tcW w:w="2586" w:type="dxa"/>
            <w:vAlign w:val="center"/>
          </w:tcPr>
          <w:p w:rsidR="001A6905" w:rsidRPr="00896265" w:rsidRDefault="001A6905" w:rsidP="008A3814">
            <w:pPr>
              <w:spacing w:line="360" w:lineRule="auto"/>
              <w:jc w:val="right"/>
              <w:rPr>
                <w:color w:val="000000"/>
                <w:szCs w:val="21"/>
              </w:rPr>
            </w:pPr>
            <w:r w:rsidRPr="00896265">
              <w:rPr>
                <w:szCs w:val="21"/>
              </w:rPr>
              <w:t>829,330.49</w:t>
            </w:r>
          </w:p>
        </w:tc>
      </w:tr>
    </w:tbl>
    <w:p w:rsidR="00F14AEA" w:rsidRDefault="00EC6028">
      <w:pPr>
        <w:widowControl/>
        <w:spacing w:line="360" w:lineRule="auto"/>
        <w:ind w:firstLineChars="200" w:firstLine="420"/>
        <w:jc w:val="left"/>
        <w:rPr>
          <w:rFonts w:eastAsiaTheme="minorEastAsia"/>
          <w:color w:val="000000" w:themeColor="text1"/>
          <w:szCs w:val="21"/>
        </w:rPr>
      </w:pPr>
      <w:r>
        <w:rPr>
          <w:color w:val="000000"/>
          <w:szCs w:val="21"/>
        </w:rPr>
        <w:t>注：</w:t>
      </w:r>
      <w:r>
        <w:rPr>
          <w:color w:val="000000"/>
          <w:szCs w:val="21"/>
        </w:rPr>
        <w:t>1.</w:t>
      </w:r>
      <w:r>
        <w:rPr>
          <w:color w:val="000000"/>
          <w:szCs w:val="21"/>
        </w:rPr>
        <w:t>本基金的托管费（如基金托管人委托境外托管人，包括境外托管费）按前一日基金资产净值的</w:t>
      </w:r>
      <w:r>
        <w:rPr>
          <w:color w:val="000000"/>
          <w:szCs w:val="21"/>
        </w:rPr>
        <w:t>0.2%</w:t>
      </w:r>
      <w:r>
        <w:rPr>
          <w:color w:val="000000"/>
          <w:szCs w:val="21"/>
        </w:rPr>
        <w:t>的年费率计提。托管费的计算方法如下：</w:t>
      </w:r>
    </w:p>
    <w:p w:rsidR="00F14AEA" w:rsidRDefault="00EC6028">
      <w:pPr>
        <w:widowControl/>
        <w:spacing w:line="360" w:lineRule="auto"/>
        <w:ind w:firstLineChars="200" w:firstLine="420"/>
        <w:jc w:val="left"/>
        <w:rPr>
          <w:rFonts w:eastAsiaTheme="minorEastAsia"/>
          <w:color w:val="000000" w:themeColor="text1"/>
          <w:szCs w:val="21"/>
        </w:rPr>
      </w:pPr>
      <w:r>
        <w:rPr>
          <w:color w:val="000000"/>
          <w:szCs w:val="21"/>
        </w:rPr>
        <w:t>H</w:t>
      </w:r>
      <w:r>
        <w:rPr>
          <w:color w:val="000000"/>
          <w:szCs w:val="21"/>
        </w:rPr>
        <w:t>＝</w:t>
      </w:r>
      <w:r>
        <w:rPr>
          <w:color w:val="000000"/>
          <w:szCs w:val="21"/>
        </w:rPr>
        <w:t>E×0.2%÷</w:t>
      </w:r>
      <w:r>
        <w:rPr>
          <w:color w:val="000000"/>
          <w:szCs w:val="21"/>
        </w:rPr>
        <w:t>当年天数</w:t>
      </w:r>
    </w:p>
    <w:p w:rsidR="00F14AEA" w:rsidRDefault="00EC6028">
      <w:pPr>
        <w:widowControl/>
        <w:spacing w:line="360" w:lineRule="auto"/>
        <w:ind w:firstLineChars="200" w:firstLine="420"/>
        <w:jc w:val="left"/>
        <w:rPr>
          <w:rFonts w:eastAsiaTheme="minorEastAsia"/>
          <w:color w:val="000000" w:themeColor="text1"/>
          <w:szCs w:val="21"/>
        </w:rPr>
      </w:pPr>
      <w:r>
        <w:rPr>
          <w:color w:val="000000"/>
          <w:szCs w:val="21"/>
        </w:rPr>
        <w:t>H</w:t>
      </w:r>
      <w:r>
        <w:rPr>
          <w:color w:val="000000"/>
          <w:szCs w:val="21"/>
        </w:rPr>
        <w:t>为每日应计提的基金托管费</w:t>
      </w:r>
    </w:p>
    <w:p w:rsidR="00F14AEA" w:rsidRDefault="00EC6028">
      <w:pPr>
        <w:widowControl/>
        <w:spacing w:line="360" w:lineRule="auto"/>
        <w:ind w:firstLineChars="200" w:firstLine="420"/>
        <w:jc w:val="left"/>
        <w:rPr>
          <w:rFonts w:eastAsiaTheme="minorEastAsia"/>
          <w:color w:val="000000" w:themeColor="text1"/>
          <w:szCs w:val="21"/>
        </w:rPr>
      </w:pPr>
      <w:r>
        <w:rPr>
          <w:color w:val="000000"/>
          <w:szCs w:val="21"/>
        </w:rPr>
        <w:t>E</w:t>
      </w:r>
      <w:r>
        <w:rPr>
          <w:color w:val="000000"/>
          <w:szCs w:val="21"/>
        </w:rPr>
        <w:t>为前一日的基金资产净值</w:t>
      </w:r>
    </w:p>
    <w:p w:rsidR="00F14AEA" w:rsidRDefault="00EC6028">
      <w:pPr>
        <w:widowControl/>
        <w:spacing w:line="360" w:lineRule="auto"/>
        <w:ind w:firstLineChars="200" w:firstLine="420"/>
        <w:jc w:val="left"/>
        <w:rPr>
          <w:rFonts w:eastAsiaTheme="minorEastAsia"/>
          <w:color w:val="000000" w:themeColor="text1"/>
          <w:szCs w:val="21"/>
        </w:rPr>
      </w:pPr>
      <w:r>
        <w:rPr>
          <w:color w:val="000000"/>
          <w:szCs w:val="21"/>
        </w:rPr>
        <w:t>基金托管费每日计提，逐日累计至每月月末，按月支付。经基金管理人和基金托管人核对一致后，基金托管人于次月前</w:t>
      </w:r>
      <w:r>
        <w:rPr>
          <w:color w:val="000000"/>
          <w:szCs w:val="21"/>
        </w:rPr>
        <w:t>3</w:t>
      </w:r>
      <w:r>
        <w:rPr>
          <w:color w:val="000000"/>
          <w:szCs w:val="21"/>
        </w:rPr>
        <w:t>个工作日内从基金财产中一次性支付托管费给基金托管人。</w:t>
      </w:r>
    </w:p>
    <w:p w:rsidR="007B62FA" w:rsidRPr="00896265" w:rsidRDefault="001A6905" w:rsidP="00215394">
      <w:pPr>
        <w:widowControl/>
        <w:spacing w:line="360" w:lineRule="auto"/>
        <w:ind w:firstLineChars="200" w:firstLine="420"/>
        <w:jc w:val="left"/>
        <w:rPr>
          <w:rFonts w:eastAsiaTheme="minorEastAsia"/>
          <w:color w:val="000000" w:themeColor="text1"/>
          <w:szCs w:val="21"/>
        </w:rPr>
      </w:pPr>
      <w:r w:rsidRPr="00896265">
        <w:rPr>
          <w:color w:val="000000"/>
          <w:szCs w:val="21"/>
        </w:rPr>
        <w:t>2.</w:t>
      </w:r>
      <w:r w:rsidRPr="00896265">
        <w:rPr>
          <w:color w:val="000000"/>
          <w:szCs w:val="21"/>
        </w:rPr>
        <w:t>自</w:t>
      </w:r>
      <w:r w:rsidRPr="00896265">
        <w:rPr>
          <w:color w:val="000000"/>
          <w:szCs w:val="21"/>
        </w:rPr>
        <w:t>2019</w:t>
      </w:r>
      <w:r w:rsidRPr="00896265">
        <w:rPr>
          <w:color w:val="000000"/>
          <w:szCs w:val="21"/>
        </w:rPr>
        <w:t>年</w:t>
      </w:r>
      <w:r w:rsidRPr="00896265">
        <w:rPr>
          <w:color w:val="000000"/>
          <w:szCs w:val="21"/>
        </w:rPr>
        <w:t>10</w:t>
      </w:r>
      <w:r w:rsidRPr="00896265">
        <w:rPr>
          <w:color w:val="000000"/>
          <w:szCs w:val="21"/>
        </w:rPr>
        <w:t>月</w:t>
      </w:r>
      <w:r w:rsidRPr="00896265">
        <w:rPr>
          <w:color w:val="000000"/>
          <w:szCs w:val="21"/>
        </w:rPr>
        <w:t>18</w:t>
      </w:r>
      <w:r w:rsidRPr="00896265">
        <w:rPr>
          <w:color w:val="000000"/>
          <w:szCs w:val="21"/>
        </w:rPr>
        <w:t>日起，本基金的基金托管费由</w:t>
      </w:r>
      <w:r w:rsidRPr="00896265">
        <w:rPr>
          <w:color w:val="000000"/>
          <w:szCs w:val="21"/>
        </w:rPr>
        <w:t>“</w:t>
      </w:r>
      <w:r w:rsidRPr="00896265">
        <w:rPr>
          <w:color w:val="000000"/>
          <w:szCs w:val="21"/>
        </w:rPr>
        <w:t>按前一日基金资产净值的</w:t>
      </w:r>
      <w:r w:rsidRPr="00896265">
        <w:rPr>
          <w:color w:val="000000"/>
          <w:szCs w:val="21"/>
        </w:rPr>
        <w:t>0.3%</w:t>
      </w:r>
      <w:r w:rsidRPr="00896265">
        <w:rPr>
          <w:color w:val="000000"/>
          <w:szCs w:val="21"/>
        </w:rPr>
        <w:t>年费率计提</w:t>
      </w:r>
      <w:r w:rsidRPr="00896265">
        <w:rPr>
          <w:color w:val="000000"/>
          <w:szCs w:val="21"/>
        </w:rPr>
        <w:t>”</w:t>
      </w:r>
      <w:r w:rsidRPr="00896265">
        <w:rPr>
          <w:color w:val="000000"/>
          <w:szCs w:val="21"/>
        </w:rPr>
        <w:t>调整为本基金的基金托管费</w:t>
      </w:r>
      <w:r w:rsidRPr="00896265">
        <w:rPr>
          <w:color w:val="000000"/>
          <w:szCs w:val="21"/>
        </w:rPr>
        <w:t>“</w:t>
      </w:r>
      <w:r w:rsidRPr="00896265">
        <w:rPr>
          <w:color w:val="000000"/>
          <w:szCs w:val="21"/>
        </w:rPr>
        <w:t>按前一日基金资产净值的</w:t>
      </w:r>
      <w:r w:rsidRPr="00896265">
        <w:rPr>
          <w:color w:val="000000"/>
          <w:szCs w:val="21"/>
        </w:rPr>
        <w:t>0.2%</w:t>
      </w:r>
      <w:r w:rsidRPr="00896265">
        <w:rPr>
          <w:color w:val="000000"/>
          <w:szCs w:val="21"/>
        </w:rPr>
        <w:t>年费率计提</w:t>
      </w:r>
      <w:r w:rsidRPr="00896265">
        <w:rPr>
          <w:color w:val="000000"/>
          <w:szCs w:val="21"/>
        </w:rPr>
        <w:t>”</w:t>
      </w:r>
      <w:r w:rsidRPr="00896265">
        <w:rPr>
          <w:color w:val="000000"/>
          <w:szCs w:val="21"/>
        </w:rPr>
        <w:t>。</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7.4.10.2.3</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销售服务费</w:t>
      </w:r>
    </w:p>
    <w:p w:rsidR="00ED38CB" w:rsidRPr="00896265" w:rsidRDefault="00ED38CB" w:rsidP="00ED38CB">
      <w:pPr>
        <w:autoSpaceDE w:val="0"/>
        <w:autoSpaceDN w:val="0"/>
        <w:adjustRightInd w:val="0"/>
        <w:spacing w:before="29" w:line="360" w:lineRule="auto"/>
        <w:jc w:val="right"/>
        <w:rPr>
          <w:rFonts w:eastAsiaTheme="minorEastAsia"/>
          <w:color w:val="000000"/>
          <w:szCs w:val="21"/>
        </w:rPr>
      </w:pPr>
      <w:r w:rsidRPr="00896265">
        <w:rPr>
          <w:rFonts w:eastAsiaTheme="minorEastAsia"/>
          <w:color w:val="000000"/>
          <w:szCs w:val="21"/>
        </w:rPr>
        <w:t>单位：人民币元</w:t>
      </w:r>
    </w:p>
    <w:tbl>
      <w:tblPr>
        <w:tblStyle w:val="af7"/>
        <w:tblW w:w="0" w:type="auto"/>
        <w:tblLayout w:type="fixed"/>
        <w:tblLook w:val="04A0" w:firstRow="1" w:lastRow="0" w:firstColumn="1" w:lastColumn="0" w:noHBand="0" w:noVBand="1"/>
      </w:tblPr>
      <w:tblGrid>
        <w:gridCol w:w="2110"/>
        <w:gridCol w:w="2393"/>
        <w:gridCol w:w="2409"/>
        <w:gridCol w:w="2374"/>
      </w:tblGrid>
      <w:tr w:rsidR="00ED38CB" w:rsidRPr="00896265" w:rsidTr="008A3814">
        <w:tc>
          <w:tcPr>
            <w:tcW w:w="2110" w:type="dxa"/>
            <w:vMerge w:val="restart"/>
            <w:vAlign w:val="center"/>
          </w:tcPr>
          <w:p w:rsidR="00ED38CB" w:rsidRPr="00896265" w:rsidRDefault="00ED38CB" w:rsidP="008A3814">
            <w:pPr>
              <w:tabs>
                <w:tab w:val="left" w:pos="426"/>
              </w:tabs>
              <w:spacing w:line="360" w:lineRule="auto"/>
              <w:jc w:val="center"/>
              <w:rPr>
                <w:rFonts w:eastAsiaTheme="minorEastAsia"/>
                <w:kern w:val="0"/>
                <w:szCs w:val="21"/>
              </w:rPr>
            </w:pPr>
            <w:r w:rsidRPr="00896265">
              <w:rPr>
                <w:rFonts w:eastAsiaTheme="minorEastAsia"/>
                <w:szCs w:val="21"/>
              </w:rPr>
              <w:t>获得销售服务费的各关联方名称</w:t>
            </w:r>
          </w:p>
        </w:tc>
        <w:tc>
          <w:tcPr>
            <w:tcW w:w="7176" w:type="dxa"/>
            <w:gridSpan w:val="3"/>
            <w:vAlign w:val="center"/>
          </w:tcPr>
          <w:p w:rsidR="00ED38CB" w:rsidRPr="00896265" w:rsidRDefault="00ED38CB" w:rsidP="008A3814">
            <w:pPr>
              <w:widowControl/>
              <w:autoSpaceDE w:val="0"/>
              <w:autoSpaceDN w:val="0"/>
              <w:ind w:leftChars="-51" w:left="-107" w:rightChars="-51" w:right="-107"/>
              <w:jc w:val="center"/>
              <w:textAlignment w:val="bottom"/>
              <w:rPr>
                <w:rFonts w:eastAsiaTheme="minorEastAsia"/>
                <w:szCs w:val="21"/>
              </w:rPr>
            </w:pPr>
            <w:r w:rsidRPr="00896265">
              <w:rPr>
                <w:rFonts w:eastAsiaTheme="minorEastAsia"/>
                <w:szCs w:val="21"/>
              </w:rPr>
              <w:t>本期</w:t>
            </w:r>
          </w:p>
          <w:p w:rsidR="00ED38CB" w:rsidRPr="00896265" w:rsidRDefault="00ED38CB" w:rsidP="008A3814">
            <w:pPr>
              <w:widowControl/>
              <w:autoSpaceDE w:val="0"/>
              <w:autoSpaceDN w:val="0"/>
              <w:ind w:leftChars="-51" w:left="-107" w:rightChars="-51" w:right="-107"/>
              <w:jc w:val="center"/>
              <w:textAlignment w:val="bottom"/>
              <w:rPr>
                <w:rFonts w:eastAsiaTheme="minorEastAsia"/>
                <w:szCs w:val="21"/>
              </w:rPr>
            </w:pPr>
            <w:r w:rsidRPr="00896265">
              <w:rPr>
                <w:rFonts w:eastAsiaTheme="minorEastAsia"/>
                <w:szCs w:val="21"/>
              </w:rPr>
              <w:t>2019</w:t>
            </w:r>
            <w:r w:rsidRPr="00896265">
              <w:rPr>
                <w:rFonts w:eastAsiaTheme="minorEastAsia"/>
                <w:szCs w:val="21"/>
              </w:rPr>
              <w:t>年</w:t>
            </w:r>
            <w:r w:rsidRPr="00896265">
              <w:rPr>
                <w:rFonts w:eastAsiaTheme="minorEastAsia"/>
                <w:szCs w:val="21"/>
              </w:rPr>
              <w:t>1</w:t>
            </w:r>
            <w:r w:rsidRPr="00896265">
              <w:rPr>
                <w:rFonts w:eastAsiaTheme="minorEastAsia"/>
                <w:szCs w:val="21"/>
              </w:rPr>
              <w:t>月</w:t>
            </w:r>
            <w:r w:rsidRPr="00896265">
              <w:rPr>
                <w:rFonts w:eastAsiaTheme="minorEastAsia"/>
                <w:szCs w:val="21"/>
              </w:rPr>
              <w:t>1</w:t>
            </w:r>
            <w:r w:rsidRPr="00896265">
              <w:rPr>
                <w:rFonts w:eastAsiaTheme="minorEastAsia"/>
                <w:szCs w:val="21"/>
              </w:rPr>
              <w:t>日至</w:t>
            </w:r>
            <w:r w:rsidRPr="00896265">
              <w:rPr>
                <w:rFonts w:eastAsiaTheme="minorEastAsia"/>
                <w:szCs w:val="21"/>
              </w:rPr>
              <w:t>2019</w:t>
            </w:r>
            <w:r w:rsidRPr="00896265">
              <w:rPr>
                <w:rFonts w:eastAsiaTheme="minorEastAsia"/>
                <w:szCs w:val="21"/>
              </w:rPr>
              <w:t>年</w:t>
            </w:r>
            <w:r w:rsidRPr="00896265">
              <w:rPr>
                <w:rFonts w:eastAsiaTheme="minorEastAsia"/>
                <w:szCs w:val="21"/>
              </w:rPr>
              <w:t>12</w:t>
            </w:r>
            <w:r w:rsidRPr="00896265">
              <w:rPr>
                <w:rFonts w:eastAsiaTheme="minorEastAsia"/>
                <w:szCs w:val="21"/>
              </w:rPr>
              <w:t>月</w:t>
            </w:r>
            <w:r w:rsidRPr="00896265">
              <w:rPr>
                <w:rFonts w:eastAsiaTheme="minorEastAsia"/>
                <w:szCs w:val="21"/>
              </w:rPr>
              <w:t>31</w:t>
            </w:r>
            <w:r w:rsidRPr="00896265">
              <w:rPr>
                <w:rFonts w:eastAsiaTheme="minorEastAsia"/>
                <w:szCs w:val="21"/>
              </w:rPr>
              <w:t>日</w:t>
            </w:r>
          </w:p>
        </w:tc>
      </w:tr>
      <w:tr w:rsidR="00ED38CB" w:rsidRPr="00896265" w:rsidTr="008A3814">
        <w:tc>
          <w:tcPr>
            <w:tcW w:w="2110" w:type="dxa"/>
            <w:vMerge/>
          </w:tcPr>
          <w:p w:rsidR="00ED38CB" w:rsidRPr="00896265" w:rsidRDefault="00ED38CB" w:rsidP="008A3814">
            <w:pPr>
              <w:tabs>
                <w:tab w:val="left" w:pos="426"/>
              </w:tabs>
              <w:spacing w:line="360" w:lineRule="auto"/>
              <w:jc w:val="left"/>
              <w:rPr>
                <w:rFonts w:eastAsiaTheme="minorEastAsia"/>
                <w:kern w:val="0"/>
                <w:szCs w:val="21"/>
              </w:rPr>
            </w:pPr>
          </w:p>
        </w:tc>
        <w:tc>
          <w:tcPr>
            <w:tcW w:w="7176" w:type="dxa"/>
            <w:gridSpan w:val="3"/>
            <w:vAlign w:val="center"/>
          </w:tcPr>
          <w:p w:rsidR="00ED38CB" w:rsidRPr="00896265" w:rsidRDefault="00ED38CB" w:rsidP="008A3814">
            <w:pPr>
              <w:widowControl/>
              <w:autoSpaceDE w:val="0"/>
              <w:autoSpaceDN w:val="0"/>
              <w:ind w:leftChars="-51" w:left="-107" w:rightChars="-51" w:right="-107"/>
              <w:jc w:val="center"/>
              <w:textAlignment w:val="bottom"/>
              <w:rPr>
                <w:rFonts w:eastAsiaTheme="minorEastAsia"/>
                <w:szCs w:val="21"/>
              </w:rPr>
            </w:pPr>
            <w:r w:rsidRPr="00896265">
              <w:rPr>
                <w:rFonts w:eastAsiaTheme="minorEastAsia"/>
                <w:szCs w:val="21"/>
              </w:rPr>
              <w:t>当期发生的基金应支付的销售服务费</w:t>
            </w:r>
          </w:p>
        </w:tc>
      </w:tr>
      <w:tr w:rsidR="00ED38CB" w:rsidRPr="00896265" w:rsidTr="008A3814">
        <w:tc>
          <w:tcPr>
            <w:tcW w:w="2110" w:type="dxa"/>
            <w:vMerge/>
          </w:tcPr>
          <w:p w:rsidR="00ED38CB" w:rsidRPr="00896265" w:rsidRDefault="00ED38CB" w:rsidP="008A3814">
            <w:pPr>
              <w:tabs>
                <w:tab w:val="left" w:pos="426"/>
              </w:tabs>
              <w:spacing w:line="360" w:lineRule="auto"/>
              <w:jc w:val="left"/>
              <w:rPr>
                <w:rFonts w:eastAsiaTheme="minorEastAsia"/>
                <w:kern w:val="0"/>
                <w:szCs w:val="21"/>
              </w:rPr>
            </w:pPr>
          </w:p>
        </w:tc>
        <w:tc>
          <w:tcPr>
            <w:tcW w:w="2393" w:type="dxa"/>
            <w:vAlign w:val="center"/>
          </w:tcPr>
          <w:p w:rsidR="00ED38CB" w:rsidRPr="00896265" w:rsidRDefault="00ED38CB" w:rsidP="008A3814">
            <w:pPr>
              <w:widowControl/>
              <w:ind w:leftChars="-51" w:left="-107" w:rightChars="-51" w:right="-107"/>
              <w:jc w:val="center"/>
              <w:rPr>
                <w:rFonts w:eastAsiaTheme="minorEastAsia"/>
                <w:szCs w:val="21"/>
              </w:rPr>
            </w:pPr>
            <w:r w:rsidRPr="00896265">
              <w:rPr>
                <w:rFonts w:eastAsiaTheme="minorEastAsia"/>
                <w:szCs w:val="21"/>
              </w:rPr>
              <w:t>易方达黄金主题（</w:t>
            </w:r>
            <w:r w:rsidRPr="00896265">
              <w:rPr>
                <w:rFonts w:eastAsiaTheme="minorEastAsia"/>
                <w:szCs w:val="21"/>
              </w:rPr>
              <w:t>QDII-LOF-FOF</w:t>
            </w:r>
            <w:r w:rsidRPr="00896265">
              <w:rPr>
                <w:rFonts w:eastAsiaTheme="minorEastAsia"/>
                <w:szCs w:val="21"/>
              </w:rPr>
              <w:t>）</w:t>
            </w:r>
            <w:r w:rsidRPr="00896265">
              <w:rPr>
                <w:rFonts w:eastAsiaTheme="minorEastAsia"/>
                <w:szCs w:val="21"/>
              </w:rPr>
              <w:t>A</w:t>
            </w:r>
          </w:p>
        </w:tc>
        <w:tc>
          <w:tcPr>
            <w:tcW w:w="2409" w:type="dxa"/>
            <w:vAlign w:val="center"/>
          </w:tcPr>
          <w:p w:rsidR="00ED38CB" w:rsidRPr="00896265" w:rsidRDefault="00ED38CB" w:rsidP="008A3814">
            <w:pPr>
              <w:widowControl/>
              <w:ind w:leftChars="-51" w:left="-107" w:rightChars="-51" w:right="-107"/>
              <w:jc w:val="center"/>
              <w:rPr>
                <w:rFonts w:eastAsiaTheme="minorEastAsia"/>
                <w:szCs w:val="21"/>
              </w:rPr>
            </w:pPr>
            <w:r w:rsidRPr="00896265">
              <w:rPr>
                <w:rFonts w:eastAsiaTheme="minorEastAsia"/>
                <w:szCs w:val="21"/>
              </w:rPr>
              <w:t>易方达黄金主题（</w:t>
            </w:r>
            <w:r w:rsidRPr="00896265">
              <w:rPr>
                <w:rFonts w:eastAsiaTheme="minorEastAsia"/>
                <w:szCs w:val="21"/>
              </w:rPr>
              <w:t>QDII-LOF-FOF</w:t>
            </w:r>
            <w:r w:rsidRPr="00896265">
              <w:rPr>
                <w:rFonts w:eastAsiaTheme="minorEastAsia"/>
                <w:szCs w:val="21"/>
              </w:rPr>
              <w:t>）</w:t>
            </w:r>
            <w:r w:rsidRPr="00896265">
              <w:rPr>
                <w:rFonts w:eastAsiaTheme="minorEastAsia"/>
                <w:szCs w:val="21"/>
              </w:rPr>
              <w:t>C</w:t>
            </w:r>
          </w:p>
        </w:tc>
        <w:tc>
          <w:tcPr>
            <w:tcW w:w="2374" w:type="dxa"/>
            <w:vAlign w:val="center"/>
          </w:tcPr>
          <w:p w:rsidR="00ED38CB" w:rsidRPr="00896265" w:rsidRDefault="00ED38CB" w:rsidP="008A3814">
            <w:pPr>
              <w:widowControl/>
              <w:ind w:leftChars="-51" w:left="-107" w:rightChars="-51" w:right="-107"/>
              <w:jc w:val="center"/>
              <w:rPr>
                <w:rFonts w:eastAsiaTheme="minorEastAsia"/>
                <w:szCs w:val="21"/>
              </w:rPr>
            </w:pPr>
            <w:r w:rsidRPr="00896265">
              <w:rPr>
                <w:rFonts w:eastAsiaTheme="minorEastAsia"/>
                <w:szCs w:val="21"/>
              </w:rPr>
              <w:t>合计</w:t>
            </w:r>
          </w:p>
        </w:tc>
      </w:tr>
      <w:tr w:rsidR="00F14AEA">
        <w:tc>
          <w:tcPr>
            <w:tcW w:w="2110" w:type="dxa"/>
            <w:vAlign w:val="center"/>
          </w:tcPr>
          <w:p w:rsidR="00F14AEA" w:rsidRDefault="00EC6028">
            <w:pPr>
              <w:jc w:val="left"/>
            </w:pPr>
            <w:r>
              <w:rPr>
                <w:rFonts w:eastAsiaTheme="minorEastAsia"/>
                <w:szCs w:val="21"/>
              </w:rPr>
              <w:t>易方达基金管理有限公司</w:t>
            </w:r>
          </w:p>
        </w:tc>
        <w:tc>
          <w:tcPr>
            <w:tcW w:w="2393" w:type="dxa"/>
            <w:vAlign w:val="center"/>
          </w:tcPr>
          <w:p w:rsidR="00F14AEA" w:rsidRDefault="00EC6028">
            <w:pPr>
              <w:jc w:val="right"/>
            </w:pPr>
            <w:r>
              <w:rPr>
                <w:rFonts w:eastAsiaTheme="minorEastAsia"/>
                <w:szCs w:val="21"/>
              </w:rPr>
              <w:t>-</w:t>
            </w:r>
          </w:p>
        </w:tc>
        <w:tc>
          <w:tcPr>
            <w:tcW w:w="2409" w:type="dxa"/>
            <w:vAlign w:val="center"/>
          </w:tcPr>
          <w:p w:rsidR="00F14AEA" w:rsidRDefault="00EC6028">
            <w:pPr>
              <w:jc w:val="right"/>
            </w:pPr>
            <w:r>
              <w:rPr>
                <w:rFonts w:eastAsiaTheme="minorEastAsia"/>
                <w:szCs w:val="21"/>
              </w:rPr>
              <w:t>53.71</w:t>
            </w:r>
          </w:p>
        </w:tc>
        <w:tc>
          <w:tcPr>
            <w:tcW w:w="2374" w:type="dxa"/>
            <w:vAlign w:val="center"/>
          </w:tcPr>
          <w:p w:rsidR="00F14AEA" w:rsidRDefault="00EC6028">
            <w:pPr>
              <w:jc w:val="right"/>
            </w:pPr>
            <w:r>
              <w:rPr>
                <w:rFonts w:eastAsiaTheme="minorEastAsia"/>
                <w:szCs w:val="21"/>
              </w:rPr>
              <w:t>53.71</w:t>
            </w:r>
          </w:p>
        </w:tc>
      </w:tr>
      <w:tr w:rsidR="00ED38CB" w:rsidRPr="00896265" w:rsidTr="008A3814">
        <w:tc>
          <w:tcPr>
            <w:tcW w:w="2110" w:type="dxa"/>
            <w:vAlign w:val="center"/>
          </w:tcPr>
          <w:p w:rsidR="00ED38CB" w:rsidRPr="00896265" w:rsidRDefault="00ED38CB" w:rsidP="008A3814">
            <w:pPr>
              <w:tabs>
                <w:tab w:val="left" w:pos="426"/>
              </w:tabs>
              <w:spacing w:line="360" w:lineRule="auto"/>
              <w:jc w:val="center"/>
              <w:rPr>
                <w:rFonts w:eastAsiaTheme="minorEastAsia"/>
                <w:kern w:val="0"/>
                <w:szCs w:val="21"/>
              </w:rPr>
            </w:pPr>
            <w:r w:rsidRPr="00896265">
              <w:rPr>
                <w:rFonts w:eastAsiaTheme="minorEastAsia"/>
                <w:szCs w:val="21"/>
              </w:rPr>
              <w:t>合计</w:t>
            </w:r>
          </w:p>
        </w:tc>
        <w:tc>
          <w:tcPr>
            <w:tcW w:w="2393" w:type="dxa"/>
            <w:vAlign w:val="center"/>
          </w:tcPr>
          <w:p w:rsidR="00ED38CB" w:rsidRPr="00896265" w:rsidRDefault="00ED38CB" w:rsidP="008A3814">
            <w:pPr>
              <w:tabs>
                <w:tab w:val="left" w:pos="426"/>
              </w:tabs>
              <w:spacing w:line="360" w:lineRule="auto"/>
              <w:jc w:val="right"/>
              <w:rPr>
                <w:rFonts w:eastAsiaTheme="minorEastAsia"/>
                <w:kern w:val="0"/>
                <w:szCs w:val="21"/>
              </w:rPr>
            </w:pPr>
            <w:r w:rsidRPr="00896265">
              <w:rPr>
                <w:rFonts w:eastAsiaTheme="minorEastAsia"/>
                <w:szCs w:val="21"/>
              </w:rPr>
              <w:t>-</w:t>
            </w:r>
          </w:p>
        </w:tc>
        <w:tc>
          <w:tcPr>
            <w:tcW w:w="2409" w:type="dxa"/>
            <w:vAlign w:val="center"/>
          </w:tcPr>
          <w:p w:rsidR="00ED38CB" w:rsidRPr="00896265" w:rsidRDefault="00ED38CB" w:rsidP="008A3814">
            <w:pPr>
              <w:jc w:val="right"/>
              <w:rPr>
                <w:rFonts w:eastAsiaTheme="minorEastAsia"/>
                <w:szCs w:val="21"/>
              </w:rPr>
            </w:pPr>
            <w:r w:rsidRPr="00896265">
              <w:rPr>
                <w:rFonts w:eastAsiaTheme="minorEastAsia"/>
                <w:szCs w:val="21"/>
              </w:rPr>
              <w:t>53.71</w:t>
            </w:r>
          </w:p>
        </w:tc>
        <w:tc>
          <w:tcPr>
            <w:tcW w:w="2374" w:type="dxa"/>
            <w:vAlign w:val="center"/>
          </w:tcPr>
          <w:p w:rsidR="00ED38CB" w:rsidRPr="00896265" w:rsidRDefault="00ED38CB" w:rsidP="008A3814">
            <w:pPr>
              <w:jc w:val="right"/>
              <w:rPr>
                <w:rFonts w:eastAsiaTheme="minorEastAsia"/>
                <w:szCs w:val="21"/>
              </w:rPr>
            </w:pPr>
            <w:r w:rsidRPr="00896265">
              <w:rPr>
                <w:rFonts w:eastAsiaTheme="minorEastAsia"/>
                <w:szCs w:val="21"/>
              </w:rPr>
              <w:t>53.71</w:t>
            </w:r>
          </w:p>
        </w:tc>
      </w:tr>
      <w:tr w:rsidR="00ED38CB" w:rsidRPr="00896265" w:rsidTr="008A3814">
        <w:tc>
          <w:tcPr>
            <w:tcW w:w="2110" w:type="dxa"/>
            <w:vMerge w:val="restart"/>
            <w:vAlign w:val="center"/>
          </w:tcPr>
          <w:p w:rsidR="00ED38CB" w:rsidRPr="00896265" w:rsidRDefault="00ED38CB" w:rsidP="008A3814">
            <w:pPr>
              <w:tabs>
                <w:tab w:val="left" w:pos="426"/>
              </w:tabs>
              <w:spacing w:line="360" w:lineRule="auto"/>
              <w:jc w:val="center"/>
              <w:rPr>
                <w:rFonts w:eastAsiaTheme="minorEastAsia"/>
                <w:kern w:val="0"/>
                <w:szCs w:val="21"/>
              </w:rPr>
            </w:pPr>
            <w:r w:rsidRPr="00896265">
              <w:rPr>
                <w:rFonts w:eastAsiaTheme="minorEastAsia"/>
                <w:szCs w:val="21"/>
              </w:rPr>
              <w:t>获得销售服务费的各关联方名称</w:t>
            </w:r>
          </w:p>
        </w:tc>
        <w:tc>
          <w:tcPr>
            <w:tcW w:w="7176" w:type="dxa"/>
            <w:gridSpan w:val="3"/>
            <w:vAlign w:val="center"/>
          </w:tcPr>
          <w:p w:rsidR="00ED38CB" w:rsidRPr="00896265" w:rsidRDefault="00ED38CB" w:rsidP="008A3814">
            <w:pPr>
              <w:widowControl/>
              <w:autoSpaceDE w:val="0"/>
              <w:autoSpaceDN w:val="0"/>
              <w:ind w:leftChars="-51" w:left="-107" w:rightChars="-51" w:right="-107"/>
              <w:jc w:val="center"/>
              <w:textAlignment w:val="bottom"/>
              <w:rPr>
                <w:rFonts w:eastAsiaTheme="minorEastAsia"/>
                <w:szCs w:val="21"/>
              </w:rPr>
            </w:pPr>
            <w:r w:rsidRPr="00896265">
              <w:rPr>
                <w:rFonts w:eastAsiaTheme="minorEastAsia"/>
                <w:szCs w:val="21"/>
              </w:rPr>
              <w:t>上年度可比期间</w:t>
            </w:r>
          </w:p>
          <w:p w:rsidR="00ED38CB" w:rsidRPr="00896265" w:rsidRDefault="00ED38CB" w:rsidP="008A3814">
            <w:pPr>
              <w:widowControl/>
              <w:autoSpaceDE w:val="0"/>
              <w:autoSpaceDN w:val="0"/>
              <w:ind w:leftChars="-51" w:left="-107" w:rightChars="-51" w:right="-107"/>
              <w:jc w:val="center"/>
              <w:textAlignment w:val="bottom"/>
              <w:rPr>
                <w:rFonts w:eastAsiaTheme="minorEastAsia"/>
                <w:szCs w:val="21"/>
              </w:rPr>
            </w:pPr>
            <w:r w:rsidRPr="00896265">
              <w:rPr>
                <w:rFonts w:eastAsiaTheme="minorEastAsia"/>
                <w:szCs w:val="21"/>
              </w:rPr>
              <w:t>2018</w:t>
            </w:r>
            <w:r w:rsidRPr="00896265">
              <w:rPr>
                <w:rFonts w:eastAsiaTheme="minorEastAsia"/>
                <w:szCs w:val="21"/>
              </w:rPr>
              <w:t>年</w:t>
            </w:r>
            <w:r w:rsidRPr="00896265">
              <w:rPr>
                <w:rFonts w:eastAsiaTheme="minorEastAsia"/>
                <w:szCs w:val="21"/>
              </w:rPr>
              <w:t>1</w:t>
            </w:r>
            <w:r w:rsidRPr="00896265">
              <w:rPr>
                <w:rFonts w:eastAsiaTheme="minorEastAsia"/>
                <w:szCs w:val="21"/>
              </w:rPr>
              <w:t>月</w:t>
            </w:r>
            <w:r w:rsidRPr="00896265">
              <w:rPr>
                <w:rFonts w:eastAsiaTheme="minorEastAsia"/>
                <w:szCs w:val="21"/>
              </w:rPr>
              <w:t>1</w:t>
            </w:r>
            <w:r w:rsidRPr="00896265">
              <w:rPr>
                <w:rFonts w:eastAsiaTheme="minorEastAsia"/>
                <w:szCs w:val="21"/>
              </w:rPr>
              <w:t>日至</w:t>
            </w:r>
            <w:r w:rsidRPr="00896265">
              <w:rPr>
                <w:rFonts w:eastAsiaTheme="minorEastAsia"/>
                <w:szCs w:val="21"/>
              </w:rPr>
              <w:t>2018</w:t>
            </w:r>
            <w:r w:rsidRPr="00896265">
              <w:rPr>
                <w:rFonts w:eastAsiaTheme="minorEastAsia"/>
                <w:szCs w:val="21"/>
              </w:rPr>
              <w:t>年</w:t>
            </w:r>
            <w:r w:rsidRPr="00896265">
              <w:rPr>
                <w:rFonts w:eastAsiaTheme="minorEastAsia"/>
                <w:szCs w:val="21"/>
              </w:rPr>
              <w:t>12</w:t>
            </w:r>
            <w:r w:rsidRPr="00896265">
              <w:rPr>
                <w:rFonts w:eastAsiaTheme="minorEastAsia"/>
                <w:szCs w:val="21"/>
              </w:rPr>
              <w:t>月</w:t>
            </w:r>
            <w:r w:rsidRPr="00896265">
              <w:rPr>
                <w:rFonts w:eastAsiaTheme="minorEastAsia"/>
                <w:szCs w:val="21"/>
              </w:rPr>
              <w:t>31</w:t>
            </w:r>
            <w:r w:rsidRPr="00896265">
              <w:rPr>
                <w:rFonts w:eastAsiaTheme="minorEastAsia"/>
                <w:szCs w:val="21"/>
              </w:rPr>
              <w:t>日</w:t>
            </w:r>
          </w:p>
        </w:tc>
      </w:tr>
      <w:tr w:rsidR="00ED38CB" w:rsidRPr="00896265" w:rsidTr="008A3814">
        <w:tc>
          <w:tcPr>
            <w:tcW w:w="2110" w:type="dxa"/>
            <w:vMerge/>
          </w:tcPr>
          <w:p w:rsidR="00ED38CB" w:rsidRPr="00896265" w:rsidRDefault="00ED38CB" w:rsidP="008A3814">
            <w:pPr>
              <w:tabs>
                <w:tab w:val="left" w:pos="426"/>
              </w:tabs>
              <w:spacing w:line="360" w:lineRule="auto"/>
              <w:jc w:val="left"/>
              <w:rPr>
                <w:rFonts w:eastAsiaTheme="minorEastAsia"/>
                <w:kern w:val="0"/>
                <w:szCs w:val="21"/>
              </w:rPr>
            </w:pPr>
          </w:p>
        </w:tc>
        <w:tc>
          <w:tcPr>
            <w:tcW w:w="7176" w:type="dxa"/>
            <w:gridSpan w:val="3"/>
            <w:vAlign w:val="center"/>
          </w:tcPr>
          <w:p w:rsidR="00ED38CB" w:rsidRPr="00896265" w:rsidRDefault="00ED38CB" w:rsidP="008A3814">
            <w:pPr>
              <w:widowControl/>
              <w:autoSpaceDE w:val="0"/>
              <w:autoSpaceDN w:val="0"/>
              <w:ind w:leftChars="-51" w:left="-107" w:rightChars="-51" w:right="-107"/>
              <w:jc w:val="center"/>
              <w:textAlignment w:val="bottom"/>
              <w:rPr>
                <w:rFonts w:eastAsiaTheme="minorEastAsia"/>
                <w:szCs w:val="21"/>
              </w:rPr>
            </w:pPr>
            <w:r w:rsidRPr="00896265">
              <w:rPr>
                <w:rFonts w:eastAsiaTheme="minorEastAsia"/>
                <w:szCs w:val="21"/>
              </w:rPr>
              <w:t>当期发生的基金应支付的销售服务费</w:t>
            </w:r>
          </w:p>
        </w:tc>
      </w:tr>
      <w:tr w:rsidR="00ED38CB" w:rsidRPr="00896265" w:rsidTr="008A3814">
        <w:tc>
          <w:tcPr>
            <w:tcW w:w="2110" w:type="dxa"/>
            <w:vMerge/>
          </w:tcPr>
          <w:p w:rsidR="00ED38CB" w:rsidRPr="00896265" w:rsidRDefault="00ED38CB" w:rsidP="008A3814">
            <w:pPr>
              <w:tabs>
                <w:tab w:val="left" w:pos="426"/>
              </w:tabs>
              <w:spacing w:line="360" w:lineRule="auto"/>
              <w:jc w:val="left"/>
              <w:rPr>
                <w:rFonts w:eastAsiaTheme="minorEastAsia"/>
                <w:kern w:val="0"/>
                <w:szCs w:val="21"/>
              </w:rPr>
            </w:pPr>
          </w:p>
        </w:tc>
        <w:tc>
          <w:tcPr>
            <w:tcW w:w="2393" w:type="dxa"/>
            <w:vAlign w:val="center"/>
          </w:tcPr>
          <w:p w:rsidR="00ED38CB" w:rsidRPr="00896265" w:rsidRDefault="00ED38CB" w:rsidP="008A3814">
            <w:pPr>
              <w:widowControl/>
              <w:autoSpaceDE w:val="0"/>
              <w:autoSpaceDN w:val="0"/>
              <w:ind w:leftChars="-51" w:left="-107" w:rightChars="-51" w:right="-107"/>
              <w:jc w:val="center"/>
              <w:textAlignment w:val="bottom"/>
              <w:rPr>
                <w:rFonts w:eastAsiaTheme="minorEastAsia"/>
                <w:szCs w:val="21"/>
              </w:rPr>
            </w:pPr>
            <w:r w:rsidRPr="00896265">
              <w:rPr>
                <w:rFonts w:eastAsiaTheme="minorEastAsia"/>
                <w:szCs w:val="21"/>
              </w:rPr>
              <w:t>易方达黄金主题（</w:t>
            </w:r>
            <w:r w:rsidRPr="00896265">
              <w:rPr>
                <w:rFonts w:eastAsiaTheme="minorEastAsia"/>
                <w:szCs w:val="21"/>
              </w:rPr>
              <w:t>QDII-LOF-FOF</w:t>
            </w:r>
            <w:r w:rsidRPr="00896265">
              <w:rPr>
                <w:rFonts w:eastAsiaTheme="minorEastAsia"/>
                <w:szCs w:val="21"/>
              </w:rPr>
              <w:t>）</w:t>
            </w:r>
            <w:r w:rsidRPr="00896265">
              <w:rPr>
                <w:rFonts w:eastAsiaTheme="minorEastAsia"/>
                <w:szCs w:val="21"/>
              </w:rPr>
              <w:t>A</w:t>
            </w:r>
          </w:p>
        </w:tc>
        <w:tc>
          <w:tcPr>
            <w:tcW w:w="2409" w:type="dxa"/>
            <w:vAlign w:val="center"/>
          </w:tcPr>
          <w:p w:rsidR="00ED38CB" w:rsidRPr="00896265" w:rsidRDefault="00ED38CB" w:rsidP="008A3814">
            <w:pPr>
              <w:widowControl/>
              <w:autoSpaceDE w:val="0"/>
              <w:autoSpaceDN w:val="0"/>
              <w:ind w:leftChars="-51" w:left="-107" w:rightChars="-51" w:right="-107"/>
              <w:jc w:val="center"/>
              <w:textAlignment w:val="bottom"/>
              <w:rPr>
                <w:rFonts w:eastAsiaTheme="minorEastAsia"/>
                <w:szCs w:val="21"/>
              </w:rPr>
            </w:pPr>
            <w:r w:rsidRPr="00896265">
              <w:rPr>
                <w:rFonts w:eastAsiaTheme="minorEastAsia"/>
                <w:szCs w:val="21"/>
              </w:rPr>
              <w:t>易方达黄金主题（</w:t>
            </w:r>
            <w:r w:rsidRPr="00896265">
              <w:rPr>
                <w:rFonts w:eastAsiaTheme="minorEastAsia"/>
                <w:szCs w:val="21"/>
              </w:rPr>
              <w:t>QDII-LOF-FOF</w:t>
            </w:r>
            <w:r w:rsidRPr="00896265">
              <w:rPr>
                <w:rFonts w:eastAsiaTheme="minorEastAsia"/>
                <w:szCs w:val="21"/>
              </w:rPr>
              <w:t>）</w:t>
            </w:r>
            <w:r w:rsidRPr="00896265">
              <w:rPr>
                <w:rFonts w:eastAsiaTheme="minorEastAsia"/>
                <w:szCs w:val="21"/>
              </w:rPr>
              <w:t>C</w:t>
            </w:r>
          </w:p>
        </w:tc>
        <w:tc>
          <w:tcPr>
            <w:tcW w:w="2374" w:type="dxa"/>
            <w:vAlign w:val="center"/>
          </w:tcPr>
          <w:p w:rsidR="00ED38CB" w:rsidRPr="00896265" w:rsidRDefault="00ED38CB" w:rsidP="008A3814">
            <w:pPr>
              <w:widowControl/>
              <w:autoSpaceDE w:val="0"/>
              <w:autoSpaceDN w:val="0"/>
              <w:ind w:leftChars="-51" w:left="-107" w:rightChars="-51" w:right="-107"/>
              <w:jc w:val="center"/>
              <w:textAlignment w:val="bottom"/>
              <w:rPr>
                <w:rFonts w:eastAsiaTheme="minorEastAsia"/>
                <w:szCs w:val="21"/>
              </w:rPr>
            </w:pPr>
            <w:r w:rsidRPr="00896265">
              <w:rPr>
                <w:rFonts w:eastAsiaTheme="minorEastAsia"/>
                <w:szCs w:val="21"/>
              </w:rPr>
              <w:t>合计</w:t>
            </w:r>
          </w:p>
        </w:tc>
      </w:tr>
      <w:tr w:rsidR="00ED38CB" w:rsidRPr="00896265" w:rsidTr="008A3814">
        <w:tc>
          <w:tcPr>
            <w:tcW w:w="2110" w:type="dxa"/>
            <w:vAlign w:val="center"/>
          </w:tcPr>
          <w:p w:rsidR="00ED38CB" w:rsidRPr="00896265" w:rsidRDefault="00ED38CB" w:rsidP="008A3814">
            <w:pPr>
              <w:widowControl/>
              <w:jc w:val="center"/>
              <w:rPr>
                <w:rFonts w:eastAsiaTheme="minorEastAsia"/>
                <w:szCs w:val="21"/>
              </w:rPr>
            </w:pPr>
            <w:r w:rsidRPr="00896265">
              <w:rPr>
                <w:rFonts w:eastAsiaTheme="minorEastAsia"/>
                <w:szCs w:val="21"/>
              </w:rPr>
              <w:t>合计</w:t>
            </w:r>
          </w:p>
        </w:tc>
        <w:tc>
          <w:tcPr>
            <w:tcW w:w="2393" w:type="dxa"/>
            <w:vAlign w:val="center"/>
          </w:tcPr>
          <w:p w:rsidR="00ED38CB" w:rsidRPr="00896265" w:rsidRDefault="00ED38CB" w:rsidP="008A3814">
            <w:pPr>
              <w:jc w:val="right"/>
              <w:rPr>
                <w:rFonts w:eastAsiaTheme="minorEastAsia"/>
                <w:szCs w:val="21"/>
              </w:rPr>
            </w:pPr>
            <w:r w:rsidRPr="00896265">
              <w:rPr>
                <w:rFonts w:eastAsiaTheme="minorEastAsia"/>
                <w:szCs w:val="21"/>
              </w:rPr>
              <w:t>-</w:t>
            </w:r>
          </w:p>
        </w:tc>
        <w:tc>
          <w:tcPr>
            <w:tcW w:w="2409" w:type="dxa"/>
            <w:vAlign w:val="center"/>
          </w:tcPr>
          <w:p w:rsidR="00ED38CB" w:rsidRPr="00896265" w:rsidRDefault="00ED38CB" w:rsidP="008A3814">
            <w:pPr>
              <w:jc w:val="right"/>
              <w:rPr>
                <w:rFonts w:eastAsiaTheme="minorEastAsia"/>
                <w:szCs w:val="21"/>
              </w:rPr>
            </w:pPr>
            <w:r w:rsidRPr="00896265">
              <w:rPr>
                <w:rFonts w:eastAsiaTheme="minorEastAsia"/>
                <w:szCs w:val="21"/>
              </w:rPr>
              <w:t>-</w:t>
            </w:r>
          </w:p>
        </w:tc>
        <w:tc>
          <w:tcPr>
            <w:tcW w:w="2374" w:type="dxa"/>
            <w:vAlign w:val="center"/>
          </w:tcPr>
          <w:p w:rsidR="00ED38CB" w:rsidRPr="00896265" w:rsidRDefault="00ED38CB" w:rsidP="008A3814">
            <w:pPr>
              <w:jc w:val="right"/>
              <w:rPr>
                <w:rFonts w:eastAsiaTheme="minorEastAsia"/>
                <w:szCs w:val="21"/>
              </w:rPr>
            </w:pPr>
            <w:r w:rsidRPr="00896265">
              <w:rPr>
                <w:rFonts w:eastAsiaTheme="minorEastAsia"/>
                <w:szCs w:val="21"/>
              </w:rPr>
              <w:t>-</w:t>
            </w:r>
          </w:p>
        </w:tc>
      </w:tr>
    </w:tbl>
    <w:p w:rsidR="00F14AEA" w:rsidRDefault="00EC6028">
      <w:pPr>
        <w:widowControl/>
        <w:spacing w:line="360" w:lineRule="auto"/>
        <w:ind w:firstLineChars="200" w:firstLine="420"/>
        <w:jc w:val="left"/>
        <w:rPr>
          <w:rFonts w:eastAsiaTheme="minorEastAsia"/>
          <w:color w:val="000000" w:themeColor="text1"/>
          <w:szCs w:val="21"/>
        </w:rPr>
      </w:pPr>
      <w:r>
        <w:rPr>
          <w:rFonts w:eastAsiaTheme="minorEastAsia"/>
          <w:kern w:val="0"/>
          <w:szCs w:val="21"/>
        </w:rPr>
        <w:t>注：销售服务费可用于本基金市场推广、销售以及基金份额持有人服务等各项费用。本基金份额分为不同的类别，适用不同的销售服务费率。其中，</w:t>
      </w:r>
      <w:r>
        <w:rPr>
          <w:rFonts w:eastAsiaTheme="minorEastAsia"/>
          <w:kern w:val="0"/>
          <w:szCs w:val="21"/>
        </w:rPr>
        <w:t>A</w:t>
      </w:r>
      <w:r>
        <w:rPr>
          <w:rFonts w:eastAsiaTheme="minorEastAsia"/>
          <w:kern w:val="0"/>
          <w:szCs w:val="21"/>
        </w:rPr>
        <w:t>类人民币份额、</w:t>
      </w:r>
      <w:r>
        <w:rPr>
          <w:rFonts w:eastAsiaTheme="minorEastAsia"/>
          <w:kern w:val="0"/>
          <w:szCs w:val="21"/>
        </w:rPr>
        <w:t>A</w:t>
      </w:r>
      <w:r>
        <w:rPr>
          <w:rFonts w:eastAsiaTheme="minorEastAsia"/>
          <w:kern w:val="0"/>
          <w:szCs w:val="21"/>
        </w:rPr>
        <w:t>类美元份额均不收取销售服务费，</w:t>
      </w:r>
      <w:r>
        <w:rPr>
          <w:rFonts w:eastAsiaTheme="minorEastAsia"/>
          <w:kern w:val="0"/>
          <w:szCs w:val="21"/>
        </w:rPr>
        <w:t>C</w:t>
      </w:r>
      <w:r>
        <w:rPr>
          <w:rFonts w:eastAsiaTheme="minorEastAsia"/>
          <w:kern w:val="0"/>
          <w:szCs w:val="21"/>
        </w:rPr>
        <w:t>类人民币份额、</w:t>
      </w:r>
      <w:r>
        <w:rPr>
          <w:rFonts w:eastAsiaTheme="minorEastAsia"/>
          <w:kern w:val="0"/>
          <w:szCs w:val="21"/>
        </w:rPr>
        <w:t>C</w:t>
      </w:r>
      <w:r>
        <w:rPr>
          <w:rFonts w:eastAsiaTheme="minorEastAsia"/>
          <w:kern w:val="0"/>
          <w:szCs w:val="21"/>
        </w:rPr>
        <w:t>类美元份额的销售服务费年费率为</w:t>
      </w:r>
      <w:r>
        <w:rPr>
          <w:rFonts w:eastAsiaTheme="minorEastAsia"/>
          <w:kern w:val="0"/>
          <w:szCs w:val="21"/>
        </w:rPr>
        <w:t>0.1%</w:t>
      </w:r>
      <w:r>
        <w:rPr>
          <w:rFonts w:eastAsiaTheme="minorEastAsia"/>
          <w:kern w:val="0"/>
          <w:szCs w:val="21"/>
        </w:rPr>
        <w:t>。</w:t>
      </w:r>
    </w:p>
    <w:p w:rsidR="00F14AEA" w:rsidRDefault="00EC6028">
      <w:pPr>
        <w:widowControl/>
        <w:spacing w:line="360" w:lineRule="auto"/>
        <w:ind w:firstLineChars="200" w:firstLine="420"/>
        <w:jc w:val="left"/>
        <w:rPr>
          <w:rFonts w:eastAsiaTheme="minorEastAsia"/>
          <w:color w:val="000000" w:themeColor="text1"/>
          <w:szCs w:val="21"/>
        </w:rPr>
      </w:pPr>
      <w:r>
        <w:rPr>
          <w:rFonts w:eastAsiaTheme="minorEastAsia"/>
          <w:kern w:val="0"/>
          <w:szCs w:val="21"/>
        </w:rPr>
        <w:t>销售服务费计算方法如下：</w:t>
      </w:r>
    </w:p>
    <w:p w:rsidR="00F14AEA" w:rsidRDefault="00EC6028">
      <w:pPr>
        <w:widowControl/>
        <w:spacing w:line="360" w:lineRule="auto"/>
        <w:ind w:firstLineChars="200" w:firstLine="420"/>
        <w:jc w:val="left"/>
        <w:rPr>
          <w:rFonts w:eastAsiaTheme="minorEastAsia"/>
          <w:color w:val="000000" w:themeColor="text1"/>
          <w:szCs w:val="21"/>
        </w:rPr>
      </w:pPr>
      <w:r>
        <w:rPr>
          <w:rFonts w:eastAsiaTheme="minorEastAsia"/>
          <w:kern w:val="0"/>
          <w:szCs w:val="21"/>
        </w:rPr>
        <w:t>H</w:t>
      </w:r>
      <w:r>
        <w:rPr>
          <w:rFonts w:eastAsiaTheme="minorEastAsia"/>
          <w:kern w:val="0"/>
          <w:szCs w:val="21"/>
        </w:rPr>
        <w:t>＝</w:t>
      </w:r>
      <w:r>
        <w:rPr>
          <w:rFonts w:eastAsiaTheme="minorEastAsia"/>
          <w:kern w:val="0"/>
          <w:szCs w:val="21"/>
        </w:rPr>
        <w:t>E×0.1%÷</w:t>
      </w:r>
      <w:r>
        <w:rPr>
          <w:rFonts w:eastAsiaTheme="minorEastAsia"/>
          <w:kern w:val="0"/>
          <w:szCs w:val="21"/>
        </w:rPr>
        <w:t>当年天数</w:t>
      </w:r>
    </w:p>
    <w:p w:rsidR="00F14AEA" w:rsidRDefault="00EC6028">
      <w:pPr>
        <w:widowControl/>
        <w:spacing w:line="360" w:lineRule="auto"/>
        <w:ind w:firstLineChars="200" w:firstLine="420"/>
        <w:jc w:val="left"/>
        <w:rPr>
          <w:rFonts w:eastAsiaTheme="minorEastAsia"/>
          <w:color w:val="000000" w:themeColor="text1"/>
          <w:szCs w:val="21"/>
        </w:rPr>
      </w:pPr>
      <w:r>
        <w:rPr>
          <w:rFonts w:eastAsiaTheme="minorEastAsia"/>
          <w:kern w:val="0"/>
          <w:szCs w:val="21"/>
        </w:rPr>
        <w:t>H</w:t>
      </w:r>
      <w:r>
        <w:rPr>
          <w:rFonts w:eastAsiaTheme="minorEastAsia"/>
          <w:kern w:val="0"/>
          <w:szCs w:val="21"/>
        </w:rPr>
        <w:t>为</w:t>
      </w:r>
      <w:r>
        <w:rPr>
          <w:rFonts w:eastAsiaTheme="minorEastAsia"/>
          <w:kern w:val="0"/>
          <w:szCs w:val="21"/>
        </w:rPr>
        <w:t>C</w:t>
      </w:r>
      <w:r>
        <w:rPr>
          <w:rFonts w:eastAsiaTheme="minorEastAsia"/>
          <w:kern w:val="0"/>
          <w:szCs w:val="21"/>
        </w:rPr>
        <w:t>类基金份额每日应计提的销售服务费</w:t>
      </w:r>
    </w:p>
    <w:p w:rsidR="00F14AEA" w:rsidRDefault="00EC6028">
      <w:pPr>
        <w:widowControl/>
        <w:spacing w:line="360" w:lineRule="auto"/>
        <w:ind w:firstLineChars="200" w:firstLine="420"/>
        <w:jc w:val="left"/>
        <w:rPr>
          <w:rFonts w:eastAsiaTheme="minorEastAsia"/>
          <w:color w:val="000000" w:themeColor="text1"/>
          <w:szCs w:val="21"/>
        </w:rPr>
      </w:pPr>
      <w:r>
        <w:rPr>
          <w:rFonts w:eastAsiaTheme="minorEastAsia"/>
          <w:kern w:val="0"/>
          <w:szCs w:val="21"/>
        </w:rPr>
        <w:t>E</w:t>
      </w:r>
      <w:r>
        <w:rPr>
          <w:rFonts w:eastAsiaTheme="minorEastAsia"/>
          <w:kern w:val="0"/>
          <w:szCs w:val="21"/>
        </w:rPr>
        <w:t>为本基金</w:t>
      </w:r>
      <w:r>
        <w:rPr>
          <w:rFonts w:eastAsiaTheme="minorEastAsia"/>
          <w:kern w:val="0"/>
          <w:szCs w:val="21"/>
        </w:rPr>
        <w:t>C</w:t>
      </w:r>
      <w:r>
        <w:rPr>
          <w:rFonts w:eastAsiaTheme="minorEastAsia"/>
          <w:kern w:val="0"/>
          <w:szCs w:val="21"/>
        </w:rPr>
        <w:t>类基金份额前一日基金资产净值</w:t>
      </w:r>
    </w:p>
    <w:p w:rsidR="007B62FA" w:rsidRPr="00896265" w:rsidRDefault="00ED38CB" w:rsidP="00215394">
      <w:pPr>
        <w:widowControl/>
        <w:spacing w:line="360" w:lineRule="auto"/>
        <w:ind w:firstLineChars="200" w:firstLine="420"/>
        <w:jc w:val="left"/>
        <w:rPr>
          <w:rFonts w:eastAsiaTheme="minorEastAsia"/>
          <w:color w:val="000000" w:themeColor="text1"/>
          <w:szCs w:val="21"/>
        </w:rPr>
      </w:pPr>
      <w:r w:rsidRPr="00896265">
        <w:rPr>
          <w:rFonts w:eastAsiaTheme="minorEastAsia"/>
          <w:kern w:val="0"/>
          <w:szCs w:val="21"/>
        </w:rPr>
        <w:t>基金销售服务费每日计提，逐日累计至每月月末，按月支付。经基金管理人与基金托管人核对一致后，基金托管人按照与基金管理人协商一致的方式于次月前</w:t>
      </w:r>
      <w:r w:rsidRPr="00896265">
        <w:rPr>
          <w:rFonts w:eastAsiaTheme="minorEastAsia"/>
          <w:kern w:val="0"/>
          <w:szCs w:val="21"/>
        </w:rPr>
        <w:t>3</w:t>
      </w:r>
      <w:r w:rsidRPr="00896265">
        <w:rPr>
          <w:rFonts w:eastAsiaTheme="minorEastAsia"/>
          <w:kern w:val="0"/>
          <w:szCs w:val="21"/>
        </w:rPr>
        <w:t>个工作日内从基金财产中一次性支付至登记结算机构，由登记结算机构代付给销售机构。若遇法定节假日、公休假等，支付日期顺延。</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7.4.10.3</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与关联方进行银行间同业市场的债券(含回购)交易</w:t>
      </w:r>
    </w:p>
    <w:p w:rsidR="007B62FA" w:rsidRPr="00896265" w:rsidRDefault="008A3814" w:rsidP="00215394">
      <w:pPr>
        <w:tabs>
          <w:tab w:val="left" w:pos="426"/>
        </w:tabs>
        <w:spacing w:line="360" w:lineRule="auto"/>
        <w:ind w:firstLineChars="200" w:firstLine="420"/>
        <w:jc w:val="left"/>
        <w:rPr>
          <w:rFonts w:eastAsiaTheme="minorEastAsia"/>
          <w:color w:val="000000" w:themeColor="text1"/>
          <w:kern w:val="0"/>
          <w:szCs w:val="21"/>
        </w:rPr>
      </w:pPr>
      <w:r w:rsidRPr="00896265">
        <w:rPr>
          <w:color w:val="000000"/>
          <w:szCs w:val="21"/>
        </w:rPr>
        <w:t>本基金本报告期及上年度可比期间未与关联方进行银行间同业市场债券（含回购）交易。</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7.4.10.4</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各关联方投资本基金的情况</w:t>
      </w:r>
    </w:p>
    <w:p w:rsidR="00A05CD8" w:rsidRDefault="007B62FA" w:rsidP="00A05CD8">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7.4.10.4.1</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报告期内基金管理人运用固有资金投资本基金的情况</w:t>
      </w:r>
    </w:p>
    <w:p w:rsidR="007B62FA" w:rsidRPr="00896265" w:rsidRDefault="00892FC6" w:rsidP="00892FC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kern w:val="0"/>
          <w:szCs w:val="21"/>
        </w:rPr>
        <w:t>本报告期内和上年度可比期间基金管理人未运用固有资金投资本基金。</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7.4.10.4.2</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报告期末除基金管理人之外的其他关联方投资本基金的情况</w:t>
      </w:r>
    </w:p>
    <w:p w:rsidR="008A3814" w:rsidRPr="00896265" w:rsidRDefault="008A3814" w:rsidP="008A3814">
      <w:pPr>
        <w:adjustRightInd w:val="0"/>
        <w:snapToGrid w:val="0"/>
        <w:spacing w:line="360" w:lineRule="auto"/>
        <w:rPr>
          <w:rFonts w:eastAsiaTheme="minorEastAsia"/>
          <w:szCs w:val="21"/>
        </w:rPr>
      </w:pPr>
      <w:r w:rsidRPr="00896265">
        <w:rPr>
          <w:rFonts w:eastAsiaTheme="minorEastAsia"/>
          <w:szCs w:val="21"/>
        </w:rPr>
        <w:t>易方达黄金主题（</w:t>
      </w:r>
      <w:r w:rsidRPr="00896265">
        <w:rPr>
          <w:rFonts w:eastAsiaTheme="minorEastAsia"/>
          <w:szCs w:val="21"/>
        </w:rPr>
        <w:t>QDII-LOF-FOF</w:t>
      </w:r>
      <w:r w:rsidRPr="00896265">
        <w:rPr>
          <w:rFonts w:eastAsiaTheme="minorEastAsia"/>
          <w:szCs w:val="21"/>
        </w:rPr>
        <w:t>）</w:t>
      </w:r>
      <w:r w:rsidRPr="00896265">
        <w:rPr>
          <w:rFonts w:eastAsiaTheme="minorEastAsia"/>
          <w:szCs w:val="21"/>
        </w:rPr>
        <w:t>A</w:t>
      </w:r>
    </w:p>
    <w:p w:rsidR="008A3814" w:rsidRPr="00896265" w:rsidRDefault="008A3814" w:rsidP="008A3814">
      <w:pPr>
        <w:tabs>
          <w:tab w:val="left" w:pos="426"/>
        </w:tabs>
        <w:spacing w:line="360" w:lineRule="auto"/>
        <w:ind w:firstLineChars="200" w:firstLine="420"/>
        <w:jc w:val="left"/>
        <w:rPr>
          <w:rFonts w:eastAsiaTheme="minorEastAsia"/>
          <w:kern w:val="0"/>
          <w:szCs w:val="21"/>
        </w:rPr>
      </w:pPr>
      <w:r w:rsidRPr="00896265">
        <w:rPr>
          <w:rFonts w:eastAsiaTheme="minorEastAsia"/>
          <w:kern w:val="0"/>
          <w:szCs w:val="21"/>
        </w:rPr>
        <w:t>无。</w:t>
      </w:r>
    </w:p>
    <w:p w:rsidR="008A3814" w:rsidRPr="00896265" w:rsidRDefault="008A3814" w:rsidP="008A3814">
      <w:pPr>
        <w:adjustRightInd w:val="0"/>
        <w:snapToGrid w:val="0"/>
        <w:spacing w:line="360" w:lineRule="auto"/>
        <w:rPr>
          <w:rFonts w:eastAsiaTheme="minorEastAsia"/>
          <w:szCs w:val="21"/>
        </w:rPr>
      </w:pPr>
      <w:r w:rsidRPr="00896265">
        <w:rPr>
          <w:rFonts w:eastAsiaTheme="minorEastAsia"/>
          <w:szCs w:val="21"/>
        </w:rPr>
        <w:t>易方达黄金主题（</w:t>
      </w:r>
      <w:r w:rsidRPr="00896265">
        <w:rPr>
          <w:rFonts w:eastAsiaTheme="minorEastAsia"/>
          <w:szCs w:val="21"/>
        </w:rPr>
        <w:t>QDII-LOF-FOF</w:t>
      </w:r>
      <w:r w:rsidRPr="00896265">
        <w:rPr>
          <w:rFonts w:eastAsiaTheme="minorEastAsia"/>
          <w:szCs w:val="21"/>
        </w:rPr>
        <w:t>）</w:t>
      </w:r>
      <w:r w:rsidRPr="00896265">
        <w:rPr>
          <w:rFonts w:eastAsiaTheme="minorEastAsia"/>
          <w:szCs w:val="21"/>
        </w:rPr>
        <w:t>C</w:t>
      </w:r>
    </w:p>
    <w:p w:rsidR="008A3814" w:rsidRPr="00896265" w:rsidRDefault="008A3814" w:rsidP="008A3814">
      <w:pPr>
        <w:tabs>
          <w:tab w:val="left" w:pos="426"/>
        </w:tabs>
        <w:spacing w:line="360" w:lineRule="auto"/>
        <w:ind w:firstLineChars="200" w:firstLine="420"/>
        <w:jc w:val="left"/>
        <w:rPr>
          <w:rFonts w:eastAsiaTheme="minorEastAsia"/>
          <w:kern w:val="0"/>
          <w:szCs w:val="21"/>
        </w:rPr>
      </w:pPr>
      <w:r w:rsidRPr="00896265">
        <w:rPr>
          <w:rFonts w:eastAsiaTheme="minorEastAsia"/>
          <w:kern w:val="0"/>
          <w:szCs w:val="21"/>
        </w:rPr>
        <w:t>无。</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7.4.10.5</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由关联方保管的银行存款余额及当期产生的利息收入</w:t>
      </w:r>
    </w:p>
    <w:p w:rsidR="00E712C7" w:rsidRPr="00896265" w:rsidRDefault="00E712C7" w:rsidP="00E712C7">
      <w:pPr>
        <w:autoSpaceDE w:val="0"/>
        <w:autoSpaceDN w:val="0"/>
        <w:adjustRightInd w:val="0"/>
        <w:spacing w:before="29" w:line="360" w:lineRule="auto"/>
        <w:ind w:left="15" w:right="210"/>
        <w:jc w:val="right"/>
        <w:rPr>
          <w:color w:val="000000"/>
          <w:kern w:val="0"/>
          <w:szCs w:val="21"/>
        </w:rPr>
      </w:pPr>
      <w:r w:rsidRPr="00896265">
        <w:rPr>
          <w:bCs/>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E712C7" w:rsidRPr="00896265" w:rsidTr="000852F3">
        <w:tc>
          <w:tcPr>
            <w:tcW w:w="2694" w:type="dxa"/>
            <w:vMerge w:val="restart"/>
            <w:vAlign w:val="center"/>
          </w:tcPr>
          <w:p w:rsidR="00E712C7" w:rsidRPr="00896265" w:rsidRDefault="00E712C7" w:rsidP="000852F3">
            <w:pPr>
              <w:spacing w:line="360" w:lineRule="auto"/>
              <w:jc w:val="center"/>
              <w:rPr>
                <w:color w:val="000000"/>
                <w:szCs w:val="21"/>
              </w:rPr>
            </w:pPr>
            <w:r w:rsidRPr="00896265">
              <w:rPr>
                <w:color w:val="000000"/>
                <w:szCs w:val="21"/>
              </w:rPr>
              <w:t>关联方名称</w:t>
            </w:r>
          </w:p>
        </w:tc>
        <w:tc>
          <w:tcPr>
            <w:tcW w:w="3153" w:type="dxa"/>
            <w:gridSpan w:val="2"/>
          </w:tcPr>
          <w:p w:rsidR="00E712C7" w:rsidRPr="00896265" w:rsidRDefault="00E712C7" w:rsidP="000852F3">
            <w:pPr>
              <w:spacing w:line="360" w:lineRule="auto"/>
              <w:jc w:val="center"/>
              <w:rPr>
                <w:color w:val="000000"/>
                <w:szCs w:val="21"/>
              </w:rPr>
            </w:pPr>
            <w:r w:rsidRPr="00896265">
              <w:rPr>
                <w:color w:val="000000"/>
                <w:szCs w:val="21"/>
              </w:rPr>
              <w:t>本期</w:t>
            </w:r>
          </w:p>
          <w:p w:rsidR="00E712C7" w:rsidRPr="00896265" w:rsidRDefault="00E712C7" w:rsidP="000852F3">
            <w:pPr>
              <w:widowControl/>
              <w:autoSpaceDE w:val="0"/>
              <w:autoSpaceDN w:val="0"/>
              <w:spacing w:line="360" w:lineRule="auto"/>
              <w:ind w:right="-15"/>
              <w:jc w:val="center"/>
              <w:textAlignment w:val="bottom"/>
              <w:rPr>
                <w:color w:val="000000"/>
                <w:szCs w:val="21"/>
              </w:rPr>
            </w:pPr>
            <w:r w:rsidRPr="00896265">
              <w:rPr>
                <w:color w:val="000000"/>
                <w:szCs w:val="21"/>
              </w:rPr>
              <w:t>2019</w:t>
            </w:r>
            <w:r w:rsidRPr="00896265">
              <w:rPr>
                <w:color w:val="000000"/>
                <w:szCs w:val="21"/>
              </w:rPr>
              <w:t>年</w:t>
            </w:r>
            <w:r w:rsidRPr="00896265">
              <w:rPr>
                <w:color w:val="000000"/>
                <w:szCs w:val="21"/>
              </w:rPr>
              <w:t>1</w:t>
            </w:r>
            <w:r w:rsidRPr="00896265">
              <w:rPr>
                <w:color w:val="000000"/>
                <w:szCs w:val="21"/>
              </w:rPr>
              <w:t>月</w:t>
            </w:r>
            <w:r w:rsidRPr="00896265">
              <w:rPr>
                <w:color w:val="000000"/>
                <w:szCs w:val="21"/>
              </w:rPr>
              <w:t>1</w:t>
            </w:r>
            <w:r w:rsidRPr="00896265">
              <w:rPr>
                <w:color w:val="000000"/>
                <w:szCs w:val="21"/>
              </w:rPr>
              <w:t>日至</w:t>
            </w:r>
            <w:r w:rsidRPr="00896265">
              <w:rPr>
                <w:color w:val="000000"/>
                <w:szCs w:val="21"/>
              </w:rPr>
              <w:t>2019</w:t>
            </w:r>
            <w:r w:rsidRPr="00896265">
              <w:rPr>
                <w:color w:val="000000"/>
                <w:szCs w:val="21"/>
              </w:rPr>
              <w:t>年</w:t>
            </w:r>
            <w:r w:rsidRPr="00896265">
              <w:rPr>
                <w:color w:val="000000"/>
                <w:szCs w:val="21"/>
              </w:rPr>
              <w:t>12</w:t>
            </w:r>
            <w:r w:rsidRPr="00896265">
              <w:rPr>
                <w:color w:val="000000"/>
                <w:szCs w:val="21"/>
              </w:rPr>
              <w:t>月</w:t>
            </w:r>
            <w:r w:rsidRPr="00896265">
              <w:rPr>
                <w:color w:val="000000"/>
                <w:szCs w:val="21"/>
              </w:rPr>
              <w:t>31</w:t>
            </w:r>
            <w:r w:rsidRPr="00896265">
              <w:rPr>
                <w:color w:val="000000"/>
                <w:szCs w:val="21"/>
              </w:rPr>
              <w:t>日</w:t>
            </w:r>
          </w:p>
        </w:tc>
        <w:tc>
          <w:tcPr>
            <w:tcW w:w="3153" w:type="dxa"/>
            <w:gridSpan w:val="2"/>
          </w:tcPr>
          <w:p w:rsidR="00E712C7" w:rsidRPr="00896265" w:rsidRDefault="00E712C7" w:rsidP="000852F3">
            <w:pPr>
              <w:spacing w:line="360" w:lineRule="auto"/>
              <w:jc w:val="center"/>
              <w:rPr>
                <w:color w:val="000000"/>
                <w:szCs w:val="21"/>
              </w:rPr>
            </w:pPr>
            <w:r w:rsidRPr="00896265">
              <w:rPr>
                <w:color w:val="000000"/>
                <w:szCs w:val="21"/>
              </w:rPr>
              <w:t>上年度可比期间</w:t>
            </w:r>
          </w:p>
          <w:p w:rsidR="00E712C7" w:rsidRPr="00896265" w:rsidRDefault="00E712C7" w:rsidP="000852F3">
            <w:pPr>
              <w:widowControl/>
              <w:autoSpaceDE w:val="0"/>
              <w:autoSpaceDN w:val="0"/>
              <w:spacing w:line="360" w:lineRule="auto"/>
              <w:ind w:right="-15"/>
              <w:jc w:val="center"/>
              <w:textAlignment w:val="bottom"/>
              <w:rPr>
                <w:color w:val="000000"/>
                <w:kern w:val="0"/>
                <w:szCs w:val="21"/>
              </w:rPr>
            </w:pPr>
            <w:r w:rsidRPr="00896265">
              <w:rPr>
                <w:color w:val="000000"/>
                <w:szCs w:val="21"/>
              </w:rPr>
              <w:t>2018</w:t>
            </w:r>
            <w:r w:rsidRPr="00896265">
              <w:rPr>
                <w:color w:val="000000"/>
                <w:szCs w:val="21"/>
              </w:rPr>
              <w:t>年</w:t>
            </w:r>
            <w:r w:rsidRPr="00896265">
              <w:rPr>
                <w:color w:val="000000"/>
                <w:szCs w:val="21"/>
              </w:rPr>
              <w:t>1</w:t>
            </w:r>
            <w:r w:rsidRPr="00896265">
              <w:rPr>
                <w:color w:val="000000"/>
                <w:szCs w:val="21"/>
              </w:rPr>
              <w:t>月</w:t>
            </w:r>
            <w:r w:rsidRPr="00896265">
              <w:rPr>
                <w:color w:val="000000"/>
                <w:szCs w:val="21"/>
              </w:rPr>
              <w:t>1</w:t>
            </w:r>
            <w:r w:rsidRPr="00896265">
              <w:rPr>
                <w:color w:val="000000"/>
                <w:szCs w:val="21"/>
              </w:rPr>
              <w:t>日至</w:t>
            </w:r>
            <w:r w:rsidRPr="00896265">
              <w:rPr>
                <w:color w:val="000000"/>
                <w:szCs w:val="21"/>
              </w:rPr>
              <w:t>2018</w:t>
            </w:r>
            <w:r w:rsidRPr="00896265">
              <w:rPr>
                <w:color w:val="000000"/>
                <w:szCs w:val="21"/>
              </w:rPr>
              <w:t>年</w:t>
            </w:r>
            <w:r w:rsidRPr="00896265">
              <w:rPr>
                <w:color w:val="000000"/>
                <w:szCs w:val="21"/>
              </w:rPr>
              <w:t>12</w:t>
            </w:r>
            <w:r w:rsidRPr="00896265">
              <w:rPr>
                <w:color w:val="000000"/>
                <w:szCs w:val="21"/>
              </w:rPr>
              <w:t>月</w:t>
            </w:r>
            <w:r w:rsidRPr="00896265">
              <w:rPr>
                <w:color w:val="000000"/>
                <w:szCs w:val="21"/>
              </w:rPr>
              <w:t>31</w:t>
            </w:r>
            <w:r w:rsidRPr="00896265">
              <w:rPr>
                <w:color w:val="000000"/>
                <w:szCs w:val="21"/>
              </w:rPr>
              <w:t>日</w:t>
            </w:r>
          </w:p>
        </w:tc>
      </w:tr>
      <w:tr w:rsidR="00E712C7" w:rsidRPr="00896265" w:rsidTr="000852F3">
        <w:tc>
          <w:tcPr>
            <w:tcW w:w="2694" w:type="dxa"/>
            <w:vMerge/>
            <w:vAlign w:val="center"/>
          </w:tcPr>
          <w:p w:rsidR="00E712C7" w:rsidRPr="00896265" w:rsidRDefault="00E712C7" w:rsidP="000852F3">
            <w:pPr>
              <w:widowControl/>
              <w:spacing w:line="360" w:lineRule="auto"/>
              <w:jc w:val="left"/>
              <w:rPr>
                <w:color w:val="000000"/>
                <w:szCs w:val="21"/>
              </w:rPr>
            </w:pPr>
          </w:p>
        </w:tc>
        <w:tc>
          <w:tcPr>
            <w:tcW w:w="1417" w:type="dxa"/>
            <w:vAlign w:val="center"/>
          </w:tcPr>
          <w:p w:rsidR="00E712C7" w:rsidRPr="00896265" w:rsidRDefault="00E712C7" w:rsidP="000852F3">
            <w:pPr>
              <w:spacing w:line="360" w:lineRule="auto"/>
              <w:jc w:val="center"/>
              <w:rPr>
                <w:color w:val="000000"/>
                <w:szCs w:val="21"/>
              </w:rPr>
            </w:pPr>
            <w:r w:rsidRPr="00896265">
              <w:rPr>
                <w:color w:val="000000"/>
                <w:szCs w:val="21"/>
              </w:rPr>
              <w:t>期末余额</w:t>
            </w:r>
          </w:p>
        </w:tc>
        <w:tc>
          <w:tcPr>
            <w:tcW w:w="1736" w:type="dxa"/>
            <w:vAlign w:val="center"/>
          </w:tcPr>
          <w:p w:rsidR="00E712C7" w:rsidRPr="00896265" w:rsidRDefault="00E712C7" w:rsidP="000852F3">
            <w:pPr>
              <w:spacing w:line="360" w:lineRule="auto"/>
              <w:jc w:val="center"/>
              <w:rPr>
                <w:color w:val="000000"/>
                <w:szCs w:val="21"/>
              </w:rPr>
            </w:pPr>
            <w:r w:rsidRPr="00896265">
              <w:rPr>
                <w:color w:val="000000"/>
                <w:szCs w:val="21"/>
              </w:rPr>
              <w:t>当期利息收入</w:t>
            </w:r>
          </w:p>
        </w:tc>
        <w:tc>
          <w:tcPr>
            <w:tcW w:w="1383" w:type="dxa"/>
            <w:vAlign w:val="center"/>
          </w:tcPr>
          <w:p w:rsidR="00E712C7" w:rsidRPr="00896265" w:rsidRDefault="00E712C7" w:rsidP="000852F3">
            <w:pPr>
              <w:spacing w:line="360" w:lineRule="auto"/>
              <w:jc w:val="center"/>
              <w:rPr>
                <w:color w:val="000000"/>
                <w:szCs w:val="21"/>
              </w:rPr>
            </w:pPr>
            <w:r w:rsidRPr="00896265">
              <w:rPr>
                <w:color w:val="000000"/>
                <w:szCs w:val="21"/>
              </w:rPr>
              <w:t>期末余额</w:t>
            </w:r>
          </w:p>
        </w:tc>
        <w:tc>
          <w:tcPr>
            <w:tcW w:w="1770" w:type="dxa"/>
            <w:vAlign w:val="center"/>
          </w:tcPr>
          <w:p w:rsidR="00E712C7" w:rsidRPr="00896265" w:rsidRDefault="00E712C7" w:rsidP="000852F3">
            <w:pPr>
              <w:spacing w:line="360" w:lineRule="auto"/>
              <w:jc w:val="center"/>
              <w:rPr>
                <w:color w:val="000000"/>
                <w:szCs w:val="21"/>
              </w:rPr>
            </w:pPr>
            <w:r w:rsidRPr="00896265">
              <w:rPr>
                <w:color w:val="000000"/>
                <w:szCs w:val="21"/>
              </w:rPr>
              <w:t>当期利息收入</w:t>
            </w:r>
          </w:p>
        </w:tc>
      </w:tr>
      <w:tr w:rsidR="00F14AEA">
        <w:tc>
          <w:tcPr>
            <w:tcW w:w="2694" w:type="dxa"/>
            <w:vAlign w:val="center"/>
          </w:tcPr>
          <w:p w:rsidR="00F14AEA" w:rsidRDefault="00EC6028">
            <w:pPr>
              <w:jc w:val="left"/>
            </w:pPr>
            <w:r>
              <w:rPr>
                <w:szCs w:val="21"/>
              </w:rPr>
              <w:t>中国农业银行</w:t>
            </w:r>
            <w:r>
              <w:rPr>
                <w:szCs w:val="21"/>
              </w:rPr>
              <w:t>-</w:t>
            </w:r>
            <w:r>
              <w:rPr>
                <w:szCs w:val="21"/>
              </w:rPr>
              <w:t>活期存款</w:t>
            </w:r>
          </w:p>
        </w:tc>
        <w:tc>
          <w:tcPr>
            <w:tcW w:w="1417" w:type="dxa"/>
            <w:vAlign w:val="center"/>
          </w:tcPr>
          <w:p w:rsidR="00F14AEA" w:rsidRDefault="00EC6028">
            <w:pPr>
              <w:jc w:val="right"/>
            </w:pPr>
            <w:r>
              <w:rPr>
                <w:szCs w:val="21"/>
              </w:rPr>
              <w:t>28,232,151.45</w:t>
            </w:r>
          </w:p>
        </w:tc>
        <w:tc>
          <w:tcPr>
            <w:tcW w:w="1736" w:type="dxa"/>
            <w:vAlign w:val="center"/>
          </w:tcPr>
          <w:p w:rsidR="00F14AEA" w:rsidRDefault="00EC6028">
            <w:pPr>
              <w:jc w:val="right"/>
            </w:pPr>
            <w:r>
              <w:rPr>
                <w:szCs w:val="21"/>
              </w:rPr>
              <w:t>121,124.13</w:t>
            </w:r>
          </w:p>
        </w:tc>
        <w:tc>
          <w:tcPr>
            <w:tcW w:w="1383" w:type="dxa"/>
            <w:vAlign w:val="center"/>
          </w:tcPr>
          <w:p w:rsidR="00F14AEA" w:rsidRDefault="00EC6028">
            <w:pPr>
              <w:jc w:val="right"/>
            </w:pPr>
            <w:r>
              <w:rPr>
                <w:szCs w:val="21"/>
              </w:rPr>
              <w:t>4,572,318.71</w:t>
            </w:r>
          </w:p>
        </w:tc>
        <w:tc>
          <w:tcPr>
            <w:tcW w:w="1770" w:type="dxa"/>
            <w:vAlign w:val="center"/>
          </w:tcPr>
          <w:p w:rsidR="00F14AEA" w:rsidRDefault="00EC6028">
            <w:pPr>
              <w:jc w:val="right"/>
            </w:pPr>
            <w:r>
              <w:rPr>
                <w:szCs w:val="21"/>
              </w:rPr>
              <w:t>42,783.03</w:t>
            </w:r>
          </w:p>
        </w:tc>
      </w:tr>
      <w:tr w:rsidR="00F14AEA">
        <w:tc>
          <w:tcPr>
            <w:tcW w:w="2694" w:type="dxa"/>
            <w:vAlign w:val="center"/>
          </w:tcPr>
          <w:p w:rsidR="00F14AEA" w:rsidRDefault="00EC6028">
            <w:pPr>
              <w:jc w:val="left"/>
            </w:pPr>
            <w:r>
              <w:rPr>
                <w:szCs w:val="21"/>
              </w:rPr>
              <w:t>汇丰银行</w:t>
            </w:r>
            <w:r>
              <w:rPr>
                <w:szCs w:val="21"/>
              </w:rPr>
              <w:t>-</w:t>
            </w:r>
            <w:r>
              <w:rPr>
                <w:szCs w:val="21"/>
              </w:rPr>
              <w:t>活期存款</w:t>
            </w:r>
          </w:p>
        </w:tc>
        <w:tc>
          <w:tcPr>
            <w:tcW w:w="1417" w:type="dxa"/>
            <w:vAlign w:val="center"/>
          </w:tcPr>
          <w:p w:rsidR="00F14AEA" w:rsidRDefault="00EC6028">
            <w:pPr>
              <w:jc w:val="right"/>
            </w:pPr>
            <w:r>
              <w:rPr>
                <w:szCs w:val="21"/>
              </w:rPr>
              <w:t>13,219,625.90</w:t>
            </w:r>
          </w:p>
        </w:tc>
        <w:tc>
          <w:tcPr>
            <w:tcW w:w="1736" w:type="dxa"/>
            <w:vAlign w:val="center"/>
          </w:tcPr>
          <w:p w:rsidR="00F14AEA" w:rsidRDefault="00EC6028">
            <w:pPr>
              <w:jc w:val="right"/>
            </w:pPr>
            <w:r>
              <w:rPr>
                <w:szCs w:val="21"/>
              </w:rPr>
              <w:t>187,529.29</w:t>
            </w:r>
          </w:p>
        </w:tc>
        <w:tc>
          <w:tcPr>
            <w:tcW w:w="1383" w:type="dxa"/>
            <w:vAlign w:val="center"/>
          </w:tcPr>
          <w:p w:rsidR="00F14AEA" w:rsidRDefault="00EC6028">
            <w:pPr>
              <w:jc w:val="right"/>
            </w:pPr>
            <w:r>
              <w:rPr>
                <w:szCs w:val="21"/>
              </w:rPr>
              <w:t>21,733,417.79</w:t>
            </w:r>
          </w:p>
        </w:tc>
        <w:tc>
          <w:tcPr>
            <w:tcW w:w="1770" w:type="dxa"/>
            <w:vAlign w:val="center"/>
          </w:tcPr>
          <w:p w:rsidR="00F14AEA" w:rsidRDefault="00EC6028">
            <w:pPr>
              <w:jc w:val="right"/>
            </w:pPr>
            <w:r>
              <w:rPr>
                <w:szCs w:val="21"/>
              </w:rPr>
              <w:t>58,550.21</w:t>
            </w:r>
          </w:p>
        </w:tc>
      </w:tr>
    </w:tbl>
    <w:p w:rsidR="007B62FA" w:rsidRPr="00896265" w:rsidRDefault="00E712C7" w:rsidP="00215394">
      <w:pPr>
        <w:widowControl/>
        <w:spacing w:line="360" w:lineRule="auto"/>
        <w:ind w:firstLineChars="200" w:firstLine="420"/>
        <w:jc w:val="left"/>
        <w:rPr>
          <w:rFonts w:eastAsiaTheme="minorEastAsia"/>
          <w:color w:val="000000" w:themeColor="text1"/>
          <w:szCs w:val="21"/>
        </w:rPr>
      </w:pPr>
      <w:r w:rsidRPr="00896265">
        <w:rPr>
          <w:color w:val="000000"/>
          <w:szCs w:val="21"/>
        </w:rPr>
        <w:t>注：本基金的上述银行存款由基金托管人中国农业银行股份有限公司和香港上海汇丰银行有限公司保管，按银行同业利率或约定利率计息。</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7.4.10.6</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本基金在承销期内参与关联方承销证券的情况</w:t>
      </w:r>
    </w:p>
    <w:p w:rsidR="007B62FA" w:rsidRPr="00896265" w:rsidRDefault="00583EED" w:rsidP="00215394">
      <w:pPr>
        <w:widowControl/>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本基金本报告期及上年度可比期间未在承销期内参与关联方承销证券。</w:t>
      </w:r>
    </w:p>
    <w:p w:rsidR="00F03D29" w:rsidRPr="00A73188" w:rsidRDefault="00F03D29" w:rsidP="00F03D29">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7.4.10.7 </w:t>
      </w:r>
      <w:r w:rsidRPr="00A73188">
        <w:rPr>
          <w:rFonts w:eastAsiaTheme="minorEastAsia"/>
          <w:b/>
          <w:color w:val="000000" w:themeColor="text1"/>
          <w:szCs w:val="21"/>
        </w:rPr>
        <w:t>其他关联交易事项的说明</w:t>
      </w:r>
    </w:p>
    <w:p w:rsidR="00F03D29" w:rsidRPr="00A73188" w:rsidRDefault="00F03D29" w:rsidP="00F03D29">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F03D29" w:rsidRPr="00A73188" w:rsidRDefault="00F03D29" w:rsidP="00F03D29">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8952B4" w:rsidRPr="001A0538" w:rsidRDefault="007B62FA" w:rsidP="008952B4">
      <w:pPr>
        <w:tabs>
          <w:tab w:val="left" w:pos="426"/>
        </w:tabs>
        <w:spacing w:line="360" w:lineRule="auto"/>
        <w:ind w:firstLineChars="200" w:firstLine="422"/>
        <w:jc w:val="left"/>
        <w:rPr>
          <w:rFonts w:eastAsiaTheme="minorEastAsia"/>
          <w:kern w:val="0"/>
          <w:szCs w:val="21"/>
        </w:rPr>
      </w:pPr>
      <w:r w:rsidRPr="00FB4041">
        <w:rPr>
          <w:rFonts w:asciiTheme="majorEastAsia" w:eastAsiaTheme="majorEastAsia" w:hAnsiTheme="majorEastAsia"/>
          <w:b/>
          <w:color w:val="000000" w:themeColor="text1"/>
          <w:kern w:val="0"/>
          <w:szCs w:val="21"/>
        </w:rPr>
        <w:t>7.4.11</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利润分配情况</w:t>
      </w:r>
    </w:p>
    <w:p w:rsidR="008952B4" w:rsidRPr="001A0538" w:rsidRDefault="008952B4" w:rsidP="008952B4">
      <w:pPr>
        <w:adjustRightInd w:val="0"/>
        <w:snapToGrid w:val="0"/>
        <w:spacing w:line="360" w:lineRule="auto"/>
        <w:rPr>
          <w:rFonts w:eastAsiaTheme="minorEastAsia"/>
          <w:szCs w:val="21"/>
        </w:rPr>
      </w:pPr>
      <w:r w:rsidRPr="001A0538">
        <w:rPr>
          <w:rFonts w:eastAsiaTheme="minorEastAsia"/>
          <w:szCs w:val="21"/>
        </w:rPr>
        <w:t>易方达黄金主题（</w:t>
      </w:r>
      <w:r w:rsidRPr="001A0538">
        <w:rPr>
          <w:rFonts w:eastAsiaTheme="minorEastAsia"/>
          <w:szCs w:val="21"/>
        </w:rPr>
        <w:t>QDII-LOF-FOF</w:t>
      </w:r>
      <w:r w:rsidRPr="001A0538">
        <w:rPr>
          <w:rFonts w:eastAsiaTheme="minorEastAsia"/>
          <w:szCs w:val="21"/>
        </w:rPr>
        <w:t>）</w:t>
      </w:r>
      <w:r w:rsidRPr="001A0538">
        <w:rPr>
          <w:rFonts w:eastAsiaTheme="minorEastAsia"/>
          <w:szCs w:val="21"/>
        </w:rPr>
        <w:t>A</w:t>
      </w:r>
    </w:p>
    <w:p w:rsidR="008952B4" w:rsidRPr="001A0538" w:rsidRDefault="008952B4" w:rsidP="008952B4">
      <w:pPr>
        <w:tabs>
          <w:tab w:val="left" w:pos="426"/>
        </w:tabs>
        <w:spacing w:line="360" w:lineRule="auto"/>
        <w:ind w:firstLineChars="200" w:firstLine="420"/>
        <w:jc w:val="left"/>
        <w:rPr>
          <w:rFonts w:eastAsiaTheme="minorEastAsia"/>
          <w:kern w:val="0"/>
          <w:szCs w:val="21"/>
        </w:rPr>
      </w:pPr>
      <w:r w:rsidRPr="001A0538">
        <w:rPr>
          <w:rFonts w:eastAsiaTheme="minorEastAsia"/>
          <w:kern w:val="0"/>
          <w:szCs w:val="21"/>
        </w:rPr>
        <w:t>本报告期内未发生利润分配。</w:t>
      </w:r>
    </w:p>
    <w:p w:rsidR="008952B4" w:rsidRPr="001A0538" w:rsidRDefault="008952B4" w:rsidP="008952B4">
      <w:pPr>
        <w:adjustRightInd w:val="0"/>
        <w:snapToGrid w:val="0"/>
        <w:spacing w:line="360" w:lineRule="auto"/>
        <w:rPr>
          <w:rFonts w:eastAsiaTheme="minorEastAsia"/>
          <w:szCs w:val="21"/>
        </w:rPr>
      </w:pPr>
      <w:r w:rsidRPr="001A0538">
        <w:rPr>
          <w:rFonts w:eastAsiaTheme="minorEastAsia"/>
          <w:szCs w:val="21"/>
        </w:rPr>
        <w:t>易方达黄金主题（</w:t>
      </w:r>
      <w:r w:rsidRPr="001A0538">
        <w:rPr>
          <w:rFonts w:eastAsiaTheme="minorEastAsia"/>
          <w:szCs w:val="21"/>
        </w:rPr>
        <w:t>QDII-LOF-FOF</w:t>
      </w:r>
      <w:r w:rsidRPr="001A0538">
        <w:rPr>
          <w:rFonts w:eastAsiaTheme="minorEastAsia"/>
          <w:szCs w:val="21"/>
        </w:rPr>
        <w:t>）</w:t>
      </w:r>
      <w:r w:rsidRPr="001A0538">
        <w:rPr>
          <w:rFonts w:eastAsiaTheme="minorEastAsia"/>
          <w:szCs w:val="21"/>
        </w:rPr>
        <w:t>C</w:t>
      </w:r>
    </w:p>
    <w:p w:rsidR="007B62FA" w:rsidRPr="00896265" w:rsidRDefault="008952B4" w:rsidP="008952B4">
      <w:pPr>
        <w:autoSpaceDE w:val="0"/>
        <w:autoSpaceDN w:val="0"/>
        <w:adjustRightInd w:val="0"/>
        <w:spacing w:line="360" w:lineRule="auto"/>
        <w:jc w:val="left"/>
        <w:rPr>
          <w:rFonts w:eastAsiaTheme="minorEastAsia"/>
          <w:color w:val="000000" w:themeColor="text1"/>
          <w:szCs w:val="21"/>
        </w:rPr>
      </w:pPr>
      <w:r w:rsidRPr="002F4936">
        <w:rPr>
          <w:rFonts w:eastAsiaTheme="minorEastAsia"/>
          <w:kern w:val="0"/>
          <w:szCs w:val="21"/>
        </w:rPr>
        <w:t>本报告期内未发生利润分配。</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7.4.12</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期末（</w:t>
      </w:r>
      <w:r w:rsidR="00ED2997" w:rsidRPr="00FB4041">
        <w:rPr>
          <w:rFonts w:asciiTheme="majorEastAsia" w:eastAsiaTheme="majorEastAsia" w:hAnsiTheme="majorEastAsia"/>
          <w:b/>
          <w:color w:val="000000" w:themeColor="text1"/>
          <w:kern w:val="0"/>
          <w:szCs w:val="21"/>
        </w:rPr>
        <w:t>2019年12月31日</w:t>
      </w:r>
      <w:r w:rsidRPr="00FB4041">
        <w:rPr>
          <w:rFonts w:asciiTheme="majorEastAsia" w:eastAsiaTheme="majorEastAsia" w:hAnsiTheme="majorEastAsia"/>
          <w:b/>
          <w:color w:val="000000" w:themeColor="text1"/>
          <w:kern w:val="0"/>
          <w:szCs w:val="21"/>
        </w:rPr>
        <w:t>）本基金持有的流通受限证券</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7.4.12.1</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因认购新发/增发证券而于期末持有的流通受限证券</w:t>
      </w:r>
    </w:p>
    <w:p w:rsidR="007B62FA" w:rsidRPr="00896265" w:rsidRDefault="007B62FA" w:rsidP="00215394">
      <w:pPr>
        <w:widowControl/>
        <w:spacing w:line="360" w:lineRule="auto"/>
        <w:ind w:firstLineChars="200" w:firstLine="420"/>
        <w:jc w:val="left"/>
        <w:rPr>
          <w:rFonts w:eastAsiaTheme="minorEastAsia"/>
          <w:color w:val="000000" w:themeColor="text1"/>
          <w:szCs w:val="21"/>
        </w:rPr>
      </w:pPr>
      <w:r w:rsidRPr="00896265">
        <w:rPr>
          <w:rFonts w:eastAsiaTheme="minorEastAsia"/>
          <w:color w:val="000000" w:themeColor="text1"/>
          <w:szCs w:val="21"/>
        </w:rPr>
        <w:t>本基金无因认购新发</w:t>
      </w:r>
      <w:r w:rsidRPr="00896265">
        <w:rPr>
          <w:rFonts w:eastAsiaTheme="minorEastAsia"/>
          <w:color w:val="000000" w:themeColor="text1"/>
          <w:szCs w:val="21"/>
        </w:rPr>
        <w:t>/</w:t>
      </w:r>
      <w:r w:rsidRPr="00896265">
        <w:rPr>
          <w:rFonts w:eastAsiaTheme="minorEastAsia"/>
          <w:color w:val="000000" w:themeColor="text1"/>
          <w:szCs w:val="21"/>
        </w:rPr>
        <w:t>增发证券而于期末持有的流通受限证券。</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7.4.12.2</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期末持有的暂时停牌等流通受限股票</w:t>
      </w:r>
    </w:p>
    <w:p w:rsidR="0012764F" w:rsidRPr="00896265" w:rsidRDefault="007B62FA" w:rsidP="00215394">
      <w:pPr>
        <w:widowControl/>
        <w:spacing w:line="360" w:lineRule="auto"/>
        <w:ind w:firstLineChars="200" w:firstLine="420"/>
        <w:jc w:val="left"/>
        <w:rPr>
          <w:rFonts w:eastAsiaTheme="minorEastAsia"/>
          <w:color w:val="000000" w:themeColor="text1"/>
          <w:szCs w:val="21"/>
        </w:rPr>
      </w:pPr>
      <w:r w:rsidRPr="00896265">
        <w:rPr>
          <w:rFonts w:eastAsiaTheme="minorEastAsia"/>
          <w:color w:val="000000" w:themeColor="text1"/>
          <w:szCs w:val="21"/>
        </w:rPr>
        <w:t>本基金本报告期末未持有股票。</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7.4.12.3</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期末债券正回购交易中作为抵押的债券</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7.4.12.3.1</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银行间市场债券正回购</w:t>
      </w:r>
    </w:p>
    <w:p w:rsidR="007B62FA" w:rsidRPr="00896265" w:rsidRDefault="007B62FA" w:rsidP="00D0372D">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截至本报告期末</w:t>
      </w:r>
      <w:r w:rsidRPr="00896265">
        <w:rPr>
          <w:rFonts w:eastAsiaTheme="minorEastAsia"/>
          <w:color w:val="000000" w:themeColor="text1"/>
          <w:szCs w:val="21"/>
        </w:rPr>
        <w:t>2019</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日止，本基金从事银行间市场债券正回购交易形成的卖出回购证券款余额为</w:t>
      </w:r>
      <w:r w:rsidRPr="00896265">
        <w:rPr>
          <w:rFonts w:eastAsiaTheme="minorEastAsia"/>
          <w:color w:val="000000" w:themeColor="text1"/>
          <w:szCs w:val="21"/>
        </w:rPr>
        <w:t>0</w:t>
      </w:r>
      <w:r w:rsidRPr="00896265">
        <w:rPr>
          <w:rFonts w:eastAsiaTheme="minorEastAsia"/>
          <w:color w:val="000000" w:themeColor="text1"/>
          <w:szCs w:val="21"/>
        </w:rPr>
        <w:t>，无抵押债券。</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7.4.12.3.2</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交易所市场债券正回购</w:t>
      </w:r>
    </w:p>
    <w:p w:rsidR="007B62FA" w:rsidRPr="00896265" w:rsidRDefault="007B62FA" w:rsidP="00215394">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截至本报告期末</w:t>
      </w:r>
      <w:r w:rsidRPr="00896265">
        <w:rPr>
          <w:rFonts w:eastAsiaTheme="minorEastAsia"/>
          <w:color w:val="000000" w:themeColor="text1"/>
          <w:szCs w:val="21"/>
        </w:rPr>
        <w:t>2019</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日止，本基金从事证券交易所债券正回购交易形成的卖出回购证券款余额为</w:t>
      </w:r>
      <w:r w:rsidRPr="00896265">
        <w:rPr>
          <w:rFonts w:eastAsiaTheme="minorEastAsia"/>
          <w:color w:val="000000" w:themeColor="text1"/>
          <w:szCs w:val="21"/>
        </w:rPr>
        <w:t>0</w:t>
      </w:r>
      <w:r w:rsidRPr="00896265">
        <w:rPr>
          <w:rFonts w:eastAsiaTheme="minorEastAsia"/>
          <w:color w:val="000000" w:themeColor="text1"/>
          <w:szCs w:val="21"/>
        </w:rPr>
        <w:t>，无抵押债券。</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金融工具风险及管理</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7.4.13.1</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风险管理政策和组织架构</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本基金管理人按照</w:t>
      </w:r>
      <w:r>
        <w:rPr>
          <w:rFonts w:eastAsiaTheme="minorEastAsia"/>
          <w:color w:val="000000" w:themeColor="text1"/>
          <w:szCs w:val="21"/>
        </w:rPr>
        <w:t>“</w:t>
      </w:r>
      <w:r>
        <w:rPr>
          <w:rFonts w:eastAsiaTheme="minorEastAsia"/>
          <w:color w:val="000000" w:themeColor="text1"/>
          <w:szCs w:val="21"/>
        </w:rPr>
        <w:t>自上而下与自下而上相结合，全面管理、专业分工</w:t>
      </w:r>
      <w:r>
        <w:rPr>
          <w:rFonts w:eastAsiaTheme="minorEastAsia"/>
          <w:color w:val="000000" w:themeColor="text1"/>
          <w:szCs w:val="21"/>
        </w:rPr>
        <w:t>”</w:t>
      </w:r>
      <w:r>
        <w:rPr>
          <w:rFonts w:eastAsiaTheme="minorEastAsia"/>
          <w:color w:val="000000" w:themeColor="text1"/>
          <w:szCs w:val="21"/>
        </w:rPr>
        <w:t>的思路，将风险控制嵌入到全公司的组织架构中，对风险实行多层次、多角度、全方位的管理。</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color w:val="000000" w:themeColor="text1"/>
          <w:szCs w:val="21"/>
        </w:rPr>
        <w:t>“</w:t>
      </w:r>
      <w:r>
        <w:rPr>
          <w:rFonts w:eastAsiaTheme="minorEastAsia"/>
          <w:color w:val="000000" w:themeColor="text1"/>
          <w:szCs w:val="21"/>
        </w:rPr>
        <w:t>事前的风险定位、事中的风险管理和事后的风险评估</w:t>
      </w:r>
      <w:r>
        <w:rPr>
          <w:rFonts w:eastAsiaTheme="minorEastAsia"/>
          <w:color w:val="000000" w:themeColor="text1"/>
          <w:szCs w:val="21"/>
        </w:rPr>
        <w:t>”</w:t>
      </w:r>
      <w:r>
        <w:rPr>
          <w:rFonts w:eastAsiaTheme="minorEastAsia"/>
          <w:color w:val="000000" w:themeColor="text1"/>
          <w:szCs w:val="21"/>
        </w:rPr>
        <w:t>的健全的风险监控体系。</w:t>
      </w:r>
    </w:p>
    <w:p w:rsidR="007B62FA" w:rsidRPr="00896265" w:rsidRDefault="007B62FA" w:rsidP="00215394">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本基金为基金中基金，其投资于基金的资产合计不低于本基金基金资产净值的</w:t>
      </w:r>
      <w:r w:rsidRPr="00896265">
        <w:rPr>
          <w:rFonts w:eastAsiaTheme="minorEastAsia"/>
          <w:color w:val="000000" w:themeColor="text1"/>
          <w:szCs w:val="21"/>
        </w:rPr>
        <w:t>60%</w:t>
      </w:r>
      <w:r w:rsidRPr="00896265">
        <w:rPr>
          <w:rFonts w:eastAsiaTheme="minorEastAsia"/>
          <w:color w:val="000000" w:themeColor="text1"/>
          <w:szCs w:val="21"/>
        </w:rPr>
        <w:t>，投资于基金的资产中不低于</w:t>
      </w:r>
      <w:r w:rsidRPr="00896265">
        <w:rPr>
          <w:rFonts w:eastAsiaTheme="minorEastAsia"/>
          <w:color w:val="000000" w:themeColor="text1"/>
          <w:szCs w:val="21"/>
        </w:rPr>
        <w:t>80%</w:t>
      </w:r>
      <w:r w:rsidRPr="00896265">
        <w:rPr>
          <w:rFonts w:eastAsiaTheme="minorEastAsia"/>
          <w:color w:val="000000" w:themeColor="text1"/>
          <w:szCs w:val="21"/>
        </w:rPr>
        <w:t>投资于黄金基金，因此，本基金的表现与黄金价格相关性较高，历史上黄金价格波幅较大，波动周期较长，预期收益可能长期超过或低于股票、债券等传统金融资产，因此本基金是预期收益与预期风险较高的基金品种。</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7.4.13.2</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信用风险</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发生交收违约，或者基金所投资证券之发行人出现违约、拒绝支付到期本息，导致基金资产损失和收益变化的风险。基金管理人通过对交易对手（包括存款银行）、证券发行人的信用评级进行跟踪，防范信用风险的发生。</w:t>
      </w:r>
    </w:p>
    <w:p w:rsidR="007B62FA" w:rsidRPr="00896265" w:rsidRDefault="007B62FA" w:rsidP="00215394">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于</w:t>
      </w:r>
      <w:r w:rsidRPr="00896265">
        <w:rPr>
          <w:rFonts w:eastAsiaTheme="minorEastAsia"/>
          <w:color w:val="000000" w:themeColor="text1"/>
          <w:szCs w:val="21"/>
        </w:rPr>
        <w:t>2019</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日，本基金持有的除国债、央行票据和政策性金融债以外的债券占基金资产净值的比例为</w:t>
      </w:r>
      <w:r w:rsidRPr="00896265">
        <w:rPr>
          <w:rFonts w:eastAsiaTheme="minorEastAsia"/>
          <w:color w:val="000000" w:themeColor="text1"/>
          <w:szCs w:val="21"/>
        </w:rPr>
        <w:t>0.00%(2018</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w:t>
      </w:r>
      <w:r w:rsidRPr="00896265">
        <w:rPr>
          <w:rFonts w:eastAsiaTheme="minorEastAsia"/>
          <w:color w:val="000000" w:themeColor="text1"/>
          <w:szCs w:val="21"/>
        </w:rPr>
        <w:t>0.00%)</w:t>
      </w:r>
      <w:r w:rsidRPr="00896265">
        <w:rPr>
          <w:rFonts w:eastAsiaTheme="minorEastAsia"/>
          <w:color w:val="000000" w:themeColor="text1"/>
          <w:szCs w:val="21"/>
        </w:rPr>
        <w:t>。</w:t>
      </w:r>
    </w:p>
    <w:p w:rsidR="00EE5909" w:rsidRPr="00A24E54" w:rsidRDefault="00EE5909" w:rsidP="00A24E54">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A24E54">
        <w:rPr>
          <w:rFonts w:asciiTheme="majorEastAsia" w:eastAsiaTheme="majorEastAsia" w:hAnsiTheme="majorEastAsia"/>
          <w:b/>
          <w:color w:val="000000" w:themeColor="text1"/>
          <w:kern w:val="0"/>
          <w:szCs w:val="21"/>
        </w:rPr>
        <w:t>7.4.13.2.1</w:t>
      </w:r>
      <w:r w:rsidRPr="00A24E54">
        <w:rPr>
          <w:rFonts w:asciiTheme="majorEastAsia" w:eastAsiaTheme="majorEastAsia" w:hAnsiTheme="majorEastAsia" w:hint="eastAsia"/>
          <w:b/>
          <w:color w:val="000000" w:themeColor="text1"/>
          <w:kern w:val="0"/>
          <w:szCs w:val="21"/>
        </w:rPr>
        <w:t>按短期信用评级列示的债券投资</w:t>
      </w:r>
    </w:p>
    <w:p w:rsidR="00EE5909" w:rsidRPr="002C2833" w:rsidRDefault="00EE5909" w:rsidP="00EE5909">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EE5909" w:rsidRPr="000B045A" w:rsidTr="00AA712C">
        <w:tc>
          <w:tcPr>
            <w:tcW w:w="2590" w:type="dxa"/>
            <w:vAlign w:val="center"/>
          </w:tcPr>
          <w:p w:rsidR="00EE5909" w:rsidRPr="000B045A" w:rsidRDefault="00EE5909" w:rsidP="00AA712C">
            <w:pPr>
              <w:spacing w:line="360" w:lineRule="auto"/>
              <w:jc w:val="center"/>
              <w:rPr>
                <w:rFonts w:eastAsiaTheme="minorEastAsia"/>
                <w:szCs w:val="21"/>
              </w:rPr>
            </w:pPr>
            <w:r w:rsidRPr="000B045A">
              <w:rPr>
                <w:rFonts w:eastAsiaTheme="minorEastAsia"/>
                <w:szCs w:val="21"/>
              </w:rPr>
              <w:t>短期信用评级</w:t>
            </w:r>
          </w:p>
        </w:tc>
        <w:tc>
          <w:tcPr>
            <w:tcW w:w="2797" w:type="dxa"/>
          </w:tcPr>
          <w:p w:rsidR="00EE5909" w:rsidRPr="000B045A" w:rsidRDefault="00EE5909" w:rsidP="00AA712C">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EE5909" w:rsidRPr="000B045A" w:rsidRDefault="00EE5909" w:rsidP="00AA712C">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EE5909" w:rsidRPr="000B045A" w:rsidRDefault="00EE5909" w:rsidP="00AA712C">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EE5909" w:rsidRPr="000B045A" w:rsidRDefault="00EE5909" w:rsidP="00AA712C">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EE5909" w:rsidRPr="000B045A" w:rsidTr="00AA712C">
        <w:tc>
          <w:tcPr>
            <w:tcW w:w="2590" w:type="dxa"/>
          </w:tcPr>
          <w:p w:rsidR="00EE5909" w:rsidRPr="000B045A" w:rsidRDefault="00EE5909" w:rsidP="00AA712C">
            <w:pPr>
              <w:spacing w:line="360" w:lineRule="auto"/>
              <w:rPr>
                <w:rFonts w:eastAsiaTheme="minorEastAsia"/>
                <w:szCs w:val="21"/>
              </w:rPr>
            </w:pPr>
            <w:r w:rsidRPr="000B045A">
              <w:rPr>
                <w:rFonts w:eastAsiaTheme="minorEastAsia"/>
                <w:szCs w:val="21"/>
              </w:rPr>
              <w:t>A-1</w:t>
            </w:r>
          </w:p>
        </w:tc>
        <w:tc>
          <w:tcPr>
            <w:tcW w:w="2797" w:type="dxa"/>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c>
          <w:tcPr>
            <w:tcW w:w="3260" w:type="dxa"/>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r>
      <w:tr w:rsidR="00EE5909" w:rsidRPr="000B045A" w:rsidTr="00AA712C">
        <w:tc>
          <w:tcPr>
            <w:tcW w:w="2590" w:type="dxa"/>
          </w:tcPr>
          <w:p w:rsidR="00EE5909" w:rsidRPr="000B045A" w:rsidRDefault="00EE5909" w:rsidP="00AA712C">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c>
          <w:tcPr>
            <w:tcW w:w="3260" w:type="dxa"/>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r>
      <w:tr w:rsidR="00EE5909" w:rsidRPr="000B045A" w:rsidTr="00AA712C">
        <w:tc>
          <w:tcPr>
            <w:tcW w:w="2590" w:type="dxa"/>
            <w:vAlign w:val="center"/>
          </w:tcPr>
          <w:p w:rsidR="00EE5909" w:rsidRPr="000B045A" w:rsidRDefault="00EE5909" w:rsidP="00AA712C">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r>
      <w:tr w:rsidR="00EE5909" w:rsidRPr="000B045A" w:rsidTr="00AA712C">
        <w:tc>
          <w:tcPr>
            <w:tcW w:w="2590" w:type="dxa"/>
            <w:vAlign w:val="center"/>
          </w:tcPr>
          <w:p w:rsidR="00EE5909" w:rsidRPr="000B045A" w:rsidRDefault="00EE5909" w:rsidP="00AA712C">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r>
    </w:tbl>
    <w:p w:rsidR="00F14AEA" w:rsidRDefault="00EC6028">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F14AEA" w:rsidRDefault="00EC6028">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EE5909" w:rsidRDefault="00EE5909" w:rsidP="00EE5909">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EE5909" w:rsidRPr="00A24E54" w:rsidRDefault="00EE5909" w:rsidP="00A24E54">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A24E54">
        <w:rPr>
          <w:rFonts w:asciiTheme="majorEastAsia" w:eastAsiaTheme="majorEastAsia" w:hAnsiTheme="majorEastAsia"/>
          <w:b/>
          <w:color w:val="000000" w:themeColor="text1"/>
          <w:kern w:val="0"/>
          <w:szCs w:val="21"/>
        </w:rPr>
        <w:t>7.4.13.2.2</w:t>
      </w:r>
      <w:r w:rsidRPr="00A24E54">
        <w:rPr>
          <w:rFonts w:asciiTheme="majorEastAsia" w:eastAsiaTheme="majorEastAsia" w:hAnsiTheme="majorEastAsia" w:hint="eastAsia"/>
          <w:b/>
          <w:color w:val="000000" w:themeColor="text1"/>
          <w:kern w:val="0"/>
          <w:szCs w:val="21"/>
        </w:rPr>
        <w:t xml:space="preserve"> 按短期信用评级列示的资产支持证券投资</w:t>
      </w:r>
    </w:p>
    <w:p w:rsidR="00EE5909" w:rsidRPr="00851E96" w:rsidRDefault="00EE5909" w:rsidP="00EE5909">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EE5909" w:rsidRPr="00851E96" w:rsidTr="00AA712C">
        <w:tc>
          <w:tcPr>
            <w:tcW w:w="2552" w:type="dxa"/>
            <w:vAlign w:val="center"/>
          </w:tcPr>
          <w:p w:rsidR="00EE5909" w:rsidRPr="00851E96" w:rsidRDefault="00EE5909" w:rsidP="00AA712C">
            <w:pPr>
              <w:spacing w:line="360" w:lineRule="auto"/>
              <w:jc w:val="center"/>
              <w:rPr>
                <w:rFonts w:eastAsiaTheme="minorEastAsia"/>
                <w:szCs w:val="21"/>
              </w:rPr>
            </w:pPr>
            <w:r w:rsidRPr="00851E96">
              <w:rPr>
                <w:rFonts w:eastAsiaTheme="minorEastAsia"/>
                <w:szCs w:val="21"/>
              </w:rPr>
              <w:t>短期信用评级</w:t>
            </w:r>
          </w:p>
        </w:tc>
        <w:tc>
          <w:tcPr>
            <w:tcW w:w="2835" w:type="dxa"/>
          </w:tcPr>
          <w:p w:rsidR="00EE5909" w:rsidRPr="00851E96" w:rsidRDefault="00EE5909" w:rsidP="00AA712C">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EE5909" w:rsidRPr="00851E96" w:rsidRDefault="00EE5909" w:rsidP="00AA712C">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EE5909" w:rsidRPr="00851E96" w:rsidRDefault="00EE5909" w:rsidP="00AA712C">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EE5909" w:rsidRPr="00851E96" w:rsidRDefault="00EE5909" w:rsidP="00AA712C">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EE5909" w:rsidRPr="00851E96" w:rsidTr="00AA712C">
        <w:tc>
          <w:tcPr>
            <w:tcW w:w="2552" w:type="dxa"/>
          </w:tcPr>
          <w:p w:rsidR="00EE5909" w:rsidRPr="00851E96" w:rsidRDefault="00EE5909" w:rsidP="00AA712C">
            <w:pPr>
              <w:spacing w:line="360" w:lineRule="auto"/>
              <w:rPr>
                <w:rFonts w:eastAsiaTheme="minorEastAsia"/>
                <w:szCs w:val="21"/>
              </w:rPr>
            </w:pPr>
            <w:r w:rsidRPr="00851E96">
              <w:rPr>
                <w:rFonts w:eastAsiaTheme="minorEastAsia"/>
                <w:szCs w:val="21"/>
              </w:rPr>
              <w:t>A-1</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r w:rsidR="00EE5909" w:rsidRPr="00851E96" w:rsidTr="00AA712C">
        <w:tc>
          <w:tcPr>
            <w:tcW w:w="2552" w:type="dxa"/>
          </w:tcPr>
          <w:p w:rsidR="00EE5909" w:rsidRPr="00851E96" w:rsidRDefault="00EE5909" w:rsidP="00AA712C">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r w:rsidR="00EE5909" w:rsidRPr="00851E96" w:rsidTr="00AA712C">
        <w:tc>
          <w:tcPr>
            <w:tcW w:w="2552" w:type="dxa"/>
            <w:vAlign w:val="center"/>
          </w:tcPr>
          <w:p w:rsidR="00EE5909" w:rsidRPr="00851E96" w:rsidRDefault="00EE5909" w:rsidP="00AA712C">
            <w:pPr>
              <w:spacing w:line="360" w:lineRule="auto"/>
              <w:rPr>
                <w:rFonts w:eastAsiaTheme="minorEastAsia"/>
                <w:szCs w:val="21"/>
              </w:rPr>
            </w:pPr>
            <w:r w:rsidRPr="007C3E5A">
              <w:rPr>
                <w:rFonts w:eastAsiaTheme="minorEastAsia"/>
                <w:szCs w:val="21"/>
              </w:rPr>
              <w:t>未评级</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r w:rsidR="00EE5909" w:rsidRPr="00851E96" w:rsidTr="00AA712C">
        <w:tc>
          <w:tcPr>
            <w:tcW w:w="2552" w:type="dxa"/>
            <w:vAlign w:val="center"/>
          </w:tcPr>
          <w:p w:rsidR="00EE5909" w:rsidRPr="00851E96" w:rsidRDefault="00EE5909" w:rsidP="00AA712C">
            <w:pPr>
              <w:spacing w:line="360" w:lineRule="auto"/>
              <w:rPr>
                <w:rFonts w:eastAsiaTheme="minorEastAsia"/>
                <w:szCs w:val="21"/>
              </w:rPr>
            </w:pPr>
            <w:r w:rsidRPr="007C3E5A">
              <w:rPr>
                <w:rFonts w:eastAsiaTheme="minorEastAsia"/>
                <w:szCs w:val="21"/>
              </w:rPr>
              <w:t>合计</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bl>
    <w:p w:rsidR="00EE5909" w:rsidRPr="00A24E54" w:rsidRDefault="00EE5909" w:rsidP="00A24E54">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A24E54">
        <w:rPr>
          <w:rFonts w:asciiTheme="majorEastAsia" w:eastAsiaTheme="majorEastAsia" w:hAnsiTheme="majorEastAsia"/>
          <w:b/>
          <w:color w:val="000000" w:themeColor="text1"/>
          <w:kern w:val="0"/>
          <w:szCs w:val="21"/>
        </w:rPr>
        <w:t>7.4.13.2.3</w:t>
      </w:r>
      <w:r w:rsidRPr="00A24E54">
        <w:rPr>
          <w:rFonts w:asciiTheme="majorEastAsia" w:eastAsiaTheme="majorEastAsia" w:hAnsiTheme="majorEastAsia" w:hint="eastAsia"/>
          <w:b/>
          <w:color w:val="000000" w:themeColor="text1"/>
          <w:kern w:val="0"/>
          <w:szCs w:val="21"/>
        </w:rPr>
        <w:t xml:space="preserve"> 按短期信用评级列示的同业存单投资</w:t>
      </w:r>
    </w:p>
    <w:p w:rsidR="00EE5909" w:rsidRPr="00851E96" w:rsidRDefault="00EE5909" w:rsidP="00EE5909">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EE5909" w:rsidRPr="00851E96" w:rsidTr="00AA712C">
        <w:tc>
          <w:tcPr>
            <w:tcW w:w="2552" w:type="dxa"/>
            <w:vAlign w:val="center"/>
          </w:tcPr>
          <w:p w:rsidR="00EE5909" w:rsidRPr="00851E96" w:rsidRDefault="00EE5909" w:rsidP="00AA712C">
            <w:pPr>
              <w:spacing w:line="360" w:lineRule="auto"/>
              <w:jc w:val="center"/>
              <w:rPr>
                <w:rFonts w:eastAsiaTheme="minorEastAsia"/>
                <w:szCs w:val="21"/>
              </w:rPr>
            </w:pPr>
            <w:r w:rsidRPr="00851E96">
              <w:rPr>
                <w:rFonts w:eastAsiaTheme="minorEastAsia"/>
                <w:szCs w:val="21"/>
              </w:rPr>
              <w:t>短期信用评级</w:t>
            </w:r>
          </w:p>
        </w:tc>
        <w:tc>
          <w:tcPr>
            <w:tcW w:w="2835" w:type="dxa"/>
          </w:tcPr>
          <w:p w:rsidR="00EE5909" w:rsidRPr="00851E96" w:rsidRDefault="00EE5909" w:rsidP="00AA712C">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EE5909" w:rsidRPr="00851E96" w:rsidRDefault="00EE5909" w:rsidP="00AA712C">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EE5909" w:rsidRPr="00851E96" w:rsidRDefault="00EE5909" w:rsidP="00AA712C">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EE5909" w:rsidRPr="00851E96" w:rsidRDefault="00EE5909" w:rsidP="00AA712C">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EE5909" w:rsidRPr="00851E96" w:rsidTr="00AA712C">
        <w:tc>
          <w:tcPr>
            <w:tcW w:w="2552" w:type="dxa"/>
          </w:tcPr>
          <w:p w:rsidR="00EE5909" w:rsidRPr="00851E96" w:rsidRDefault="00EE5909" w:rsidP="00AA712C">
            <w:pPr>
              <w:spacing w:line="360" w:lineRule="auto"/>
              <w:rPr>
                <w:rFonts w:eastAsiaTheme="minorEastAsia"/>
                <w:szCs w:val="21"/>
              </w:rPr>
            </w:pPr>
            <w:r w:rsidRPr="00851E96">
              <w:rPr>
                <w:rFonts w:eastAsiaTheme="minorEastAsia"/>
                <w:szCs w:val="21"/>
              </w:rPr>
              <w:t>A-1</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r w:rsidR="00EE5909" w:rsidRPr="00851E96" w:rsidTr="00AA712C">
        <w:tc>
          <w:tcPr>
            <w:tcW w:w="2552" w:type="dxa"/>
          </w:tcPr>
          <w:p w:rsidR="00EE5909" w:rsidRPr="00851E96" w:rsidRDefault="00EE5909" w:rsidP="00AA712C">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r w:rsidR="00EE5909" w:rsidRPr="00851E96" w:rsidTr="00AA712C">
        <w:tc>
          <w:tcPr>
            <w:tcW w:w="2552" w:type="dxa"/>
            <w:vAlign w:val="center"/>
          </w:tcPr>
          <w:p w:rsidR="00EE5909" w:rsidRPr="00851E96" w:rsidRDefault="00EE5909" w:rsidP="00AA712C">
            <w:pPr>
              <w:spacing w:line="360" w:lineRule="auto"/>
              <w:rPr>
                <w:rFonts w:eastAsiaTheme="minorEastAsia"/>
                <w:szCs w:val="21"/>
              </w:rPr>
            </w:pPr>
            <w:r w:rsidRPr="007C3E5A">
              <w:rPr>
                <w:rFonts w:eastAsiaTheme="minorEastAsia"/>
                <w:szCs w:val="21"/>
              </w:rPr>
              <w:t>未评级</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r w:rsidR="00EE5909" w:rsidRPr="00851E96" w:rsidTr="00AA712C">
        <w:tc>
          <w:tcPr>
            <w:tcW w:w="2552" w:type="dxa"/>
            <w:vAlign w:val="center"/>
          </w:tcPr>
          <w:p w:rsidR="00EE5909" w:rsidRPr="00851E96" w:rsidRDefault="00EE5909" w:rsidP="00AA712C">
            <w:pPr>
              <w:spacing w:line="360" w:lineRule="auto"/>
              <w:rPr>
                <w:rFonts w:eastAsiaTheme="minorEastAsia"/>
                <w:szCs w:val="21"/>
              </w:rPr>
            </w:pPr>
            <w:r w:rsidRPr="007C3E5A">
              <w:rPr>
                <w:rFonts w:eastAsiaTheme="minorEastAsia"/>
                <w:szCs w:val="21"/>
              </w:rPr>
              <w:t>合计</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bl>
    <w:p w:rsidR="00EE5909" w:rsidRPr="00A24E54" w:rsidRDefault="00EE5909" w:rsidP="00A24E54">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A24E54">
        <w:rPr>
          <w:rFonts w:asciiTheme="majorEastAsia" w:eastAsiaTheme="majorEastAsia" w:hAnsiTheme="majorEastAsia"/>
          <w:b/>
          <w:color w:val="000000" w:themeColor="text1"/>
          <w:kern w:val="0"/>
          <w:szCs w:val="21"/>
        </w:rPr>
        <w:t>7.4.13.2.4按长期信用评级列示的债券投资</w:t>
      </w:r>
    </w:p>
    <w:p w:rsidR="00EE5909" w:rsidRPr="000B045A" w:rsidRDefault="00EE5909" w:rsidP="00EE5909">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EE5909" w:rsidRPr="000B045A" w:rsidTr="00AA712C">
        <w:tc>
          <w:tcPr>
            <w:tcW w:w="2552" w:type="dxa"/>
            <w:vAlign w:val="center"/>
          </w:tcPr>
          <w:p w:rsidR="00EE5909" w:rsidRPr="000B045A" w:rsidRDefault="00EE5909" w:rsidP="00AA712C">
            <w:pPr>
              <w:spacing w:line="360" w:lineRule="auto"/>
              <w:jc w:val="center"/>
              <w:rPr>
                <w:rFonts w:eastAsiaTheme="minorEastAsia"/>
                <w:szCs w:val="21"/>
              </w:rPr>
            </w:pPr>
            <w:r w:rsidRPr="000B045A">
              <w:rPr>
                <w:rFonts w:eastAsiaTheme="minorEastAsia"/>
                <w:szCs w:val="21"/>
              </w:rPr>
              <w:t>长期信用评级</w:t>
            </w:r>
          </w:p>
        </w:tc>
        <w:tc>
          <w:tcPr>
            <w:tcW w:w="2835" w:type="dxa"/>
          </w:tcPr>
          <w:p w:rsidR="00EE5909" w:rsidRPr="000B045A" w:rsidRDefault="00EE5909" w:rsidP="00AA712C">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EE5909" w:rsidRPr="000B045A" w:rsidRDefault="00EE5909" w:rsidP="00AA712C">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EE5909" w:rsidRPr="000B045A" w:rsidRDefault="00EE5909" w:rsidP="00AA712C">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EE5909" w:rsidRPr="000B045A" w:rsidRDefault="00EE5909" w:rsidP="00AA712C">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EE5909" w:rsidRPr="000B045A" w:rsidTr="00AA712C">
        <w:tc>
          <w:tcPr>
            <w:tcW w:w="2552" w:type="dxa"/>
          </w:tcPr>
          <w:p w:rsidR="00EE5909" w:rsidRPr="000B045A" w:rsidRDefault="00EE5909" w:rsidP="00AA712C">
            <w:pPr>
              <w:spacing w:line="360" w:lineRule="auto"/>
              <w:rPr>
                <w:rFonts w:eastAsiaTheme="minorEastAsia"/>
                <w:szCs w:val="21"/>
              </w:rPr>
            </w:pPr>
            <w:r w:rsidRPr="000B045A">
              <w:rPr>
                <w:rFonts w:eastAsiaTheme="minorEastAsia"/>
                <w:szCs w:val="21"/>
              </w:rPr>
              <w:t>AAA</w:t>
            </w:r>
          </w:p>
        </w:tc>
        <w:tc>
          <w:tcPr>
            <w:tcW w:w="2835" w:type="dxa"/>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c>
          <w:tcPr>
            <w:tcW w:w="3260" w:type="dxa"/>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r>
      <w:tr w:rsidR="00EE5909" w:rsidRPr="000B045A" w:rsidTr="00AA712C">
        <w:tc>
          <w:tcPr>
            <w:tcW w:w="2552" w:type="dxa"/>
          </w:tcPr>
          <w:p w:rsidR="00EE5909" w:rsidRPr="000B045A" w:rsidRDefault="00EE5909" w:rsidP="00AA712C">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c>
          <w:tcPr>
            <w:tcW w:w="3260" w:type="dxa"/>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r>
      <w:tr w:rsidR="00EE5909" w:rsidRPr="000B045A" w:rsidTr="00AA712C">
        <w:tc>
          <w:tcPr>
            <w:tcW w:w="2552" w:type="dxa"/>
            <w:vAlign w:val="center"/>
          </w:tcPr>
          <w:p w:rsidR="00EE5909" w:rsidRPr="000B045A" w:rsidRDefault="00EE5909" w:rsidP="00AA712C">
            <w:pPr>
              <w:spacing w:line="360" w:lineRule="auto"/>
              <w:rPr>
                <w:rFonts w:eastAsiaTheme="minorEastAsia"/>
                <w:szCs w:val="21"/>
              </w:rPr>
            </w:pPr>
            <w:r w:rsidRPr="000B045A">
              <w:rPr>
                <w:rFonts w:eastAsiaTheme="minorEastAsia"/>
                <w:kern w:val="0"/>
                <w:szCs w:val="21"/>
              </w:rPr>
              <w:t>未评级</w:t>
            </w:r>
          </w:p>
        </w:tc>
        <w:tc>
          <w:tcPr>
            <w:tcW w:w="2835" w:type="dxa"/>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c>
          <w:tcPr>
            <w:tcW w:w="3260" w:type="dxa"/>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r>
      <w:tr w:rsidR="00EE5909" w:rsidRPr="000B045A" w:rsidTr="00AA712C">
        <w:tc>
          <w:tcPr>
            <w:tcW w:w="2552" w:type="dxa"/>
            <w:vAlign w:val="center"/>
          </w:tcPr>
          <w:p w:rsidR="00EE5909" w:rsidRPr="000B045A" w:rsidRDefault="00EE5909" w:rsidP="00AA712C">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EE5909" w:rsidRPr="000B045A" w:rsidRDefault="00EE5909" w:rsidP="00AA712C">
            <w:pPr>
              <w:spacing w:line="360" w:lineRule="auto"/>
              <w:jc w:val="right"/>
              <w:rPr>
                <w:rFonts w:eastAsiaTheme="minorEastAsia"/>
                <w:szCs w:val="21"/>
              </w:rPr>
            </w:pPr>
            <w:r w:rsidRPr="000B045A">
              <w:rPr>
                <w:rFonts w:eastAsiaTheme="minorEastAsia"/>
                <w:szCs w:val="21"/>
              </w:rPr>
              <w:t>0.00</w:t>
            </w:r>
          </w:p>
        </w:tc>
      </w:tr>
    </w:tbl>
    <w:p w:rsidR="00F14AEA" w:rsidRDefault="00EC6028">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F14AEA" w:rsidRDefault="00EC6028">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EE5909" w:rsidRDefault="00EE5909" w:rsidP="00EE5909">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EE5909" w:rsidRPr="00A24E54" w:rsidRDefault="00EE5909" w:rsidP="00A24E54">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A24E54">
        <w:rPr>
          <w:rFonts w:asciiTheme="majorEastAsia" w:eastAsiaTheme="majorEastAsia" w:hAnsiTheme="majorEastAsia"/>
          <w:b/>
          <w:color w:val="000000" w:themeColor="text1"/>
          <w:kern w:val="0"/>
          <w:szCs w:val="21"/>
        </w:rPr>
        <w:t>7.4.13.2.5</w:t>
      </w:r>
      <w:r w:rsidRPr="00A24E54">
        <w:rPr>
          <w:rFonts w:asciiTheme="majorEastAsia" w:eastAsiaTheme="majorEastAsia" w:hAnsiTheme="majorEastAsia" w:hint="eastAsia"/>
          <w:b/>
          <w:color w:val="000000" w:themeColor="text1"/>
          <w:kern w:val="0"/>
          <w:szCs w:val="21"/>
        </w:rPr>
        <w:t xml:space="preserve"> 按长期信用评级列示的资产支持证券投资</w:t>
      </w:r>
    </w:p>
    <w:p w:rsidR="00EE5909" w:rsidRPr="00851E96" w:rsidRDefault="00EE5909" w:rsidP="00EE5909">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EE5909" w:rsidRPr="00851E96" w:rsidTr="00AA712C">
        <w:tc>
          <w:tcPr>
            <w:tcW w:w="2552" w:type="dxa"/>
            <w:vAlign w:val="center"/>
          </w:tcPr>
          <w:p w:rsidR="00EE5909" w:rsidRPr="00851E96" w:rsidRDefault="00EE5909" w:rsidP="00AA712C">
            <w:pPr>
              <w:spacing w:line="360" w:lineRule="auto"/>
              <w:jc w:val="center"/>
              <w:rPr>
                <w:rFonts w:eastAsiaTheme="minorEastAsia"/>
                <w:szCs w:val="21"/>
              </w:rPr>
            </w:pPr>
            <w:r w:rsidRPr="00851E96">
              <w:rPr>
                <w:rFonts w:eastAsiaTheme="minorEastAsia"/>
                <w:szCs w:val="21"/>
              </w:rPr>
              <w:t>长期信用评级</w:t>
            </w:r>
          </w:p>
        </w:tc>
        <w:tc>
          <w:tcPr>
            <w:tcW w:w="2835" w:type="dxa"/>
          </w:tcPr>
          <w:p w:rsidR="00EE5909" w:rsidRPr="00851E96" w:rsidRDefault="00EE5909" w:rsidP="00AA712C">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EE5909" w:rsidRPr="00851E96" w:rsidRDefault="00EE5909" w:rsidP="00AA712C">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EE5909" w:rsidRPr="00851E96" w:rsidRDefault="00EE5909" w:rsidP="00AA712C">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EE5909" w:rsidRPr="00851E96" w:rsidRDefault="00EE5909" w:rsidP="00AA712C">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EE5909" w:rsidRPr="00851E96" w:rsidTr="00AA712C">
        <w:tc>
          <w:tcPr>
            <w:tcW w:w="2552" w:type="dxa"/>
          </w:tcPr>
          <w:p w:rsidR="00EE5909" w:rsidRPr="00851E96" w:rsidRDefault="00EE5909" w:rsidP="00AA712C">
            <w:pPr>
              <w:spacing w:line="360" w:lineRule="auto"/>
              <w:rPr>
                <w:rFonts w:eastAsiaTheme="minorEastAsia"/>
                <w:szCs w:val="21"/>
              </w:rPr>
            </w:pPr>
            <w:r w:rsidRPr="00851E96">
              <w:rPr>
                <w:rFonts w:eastAsiaTheme="minorEastAsia"/>
                <w:szCs w:val="21"/>
              </w:rPr>
              <w:t>AAA</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r w:rsidR="00EE5909" w:rsidRPr="00851E96" w:rsidTr="00AA712C">
        <w:tc>
          <w:tcPr>
            <w:tcW w:w="2552" w:type="dxa"/>
          </w:tcPr>
          <w:p w:rsidR="00EE5909" w:rsidRPr="00851E96" w:rsidRDefault="00EE5909" w:rsidP="00AA712C">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r w:rsidR="00EE5909" w:rsidRPr="00851E96" w:rsidTr="00AA712C">
        <w:tc>
          <w:tcPr>
            <w:tcW w:w="2552" w:type="dxa"/>
            <w:vAlign w:val="center"/>
          </w:tcPr>
          <w:p w:rsidR="00EE5909" w:rsidRPr="00851E96" w:rsidRDefault="00EE5909" w:rsidP="00AA712C">
            <w:pPr>
              <w:spacing w:line="360" w:lineRule="auto"/>
              <w:rPr>
                <w:rFonts w:eastAsiaTheme="minorEastAsia"/>
                <w:szCs w:val="21"/>
              </w:rPr>
            </w:pPr>
            <w:r w:rsidRPr="007C3E5A">
              <w:rPr>
                <w:rFonts w:eastAsiaTheme="minorEastAsia"/>
                <w:szCs w:val="21"/>
              </w:rPr>
              <w:t>未评级</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r w:rsidR="00EE5909" w:rsidRPr="00851E96" w:rsidTr="00AA712C">
        <w:tc>
          <w:tcPr>
            <w:tcW w:w="2552" w:type="dxa"/>
            <w:vAlign w:val="center"/>
          </w:tcPr>
          <w:p w:rsidR="00EE5909" w:rsidRPr="007C3E5A" w:rsidRDefault="00EE5909" w:rsidP="00AA712C">
            <w:pPr>
              <w:spacing w:line="360" w:lineRule="auto"/>
              <w:rPr>
                <w:rFonts w:eastAsiaTheme="minorEastAsia"/>
                <w:szCs w:val="21"/>
              </w:rPr>
            </w:pPr>
            <w:r w:rsidRPr="007C3E5A">
              <w:rPr>
                <w:rFonts w:eastAsiaTheme="minorEastAsia"/>
                <w:szCs w:val="21"/>
              </w:rPr>
              <w:t>合计</w:t>
            </w:r>
          </w:p>
        </w:tc>
        <w:tc>
          <w:tcPr>
            <w:tcW w:w="2835" w:type="dxa"/>
            <w:vAlign w:val="center"/>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bl>
    <w:p w:rsidR="00EE5909" w:rsidRPr="00A24E54" w:rsidRDefault="00EE5909" w:rsidP="00A24E54">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A24E54">
        <w:rPr>
          <w:rFonts w:asciiTheme="majorEastAsia" w:eastAsiaTheme="majorEastAsia" w:hAnsiTheme="majorEastAsia"/>
          <w:b/>
          <w:color w:val="000000" w:themeColor="text1"/>
          <w:kern w:val="0"/>
          <w:szCs w:val="21"/>
        </w:rPr>
        <w:t>7.4.13.2.6</w:t>
      </w:r>
      <w:r w:rsidRPr="00A24E54">
        <w:rPr>
          <w:rFonts w:asciiTheme="majorEastAsia" w:eastAsiaTheme="majorEastAsia" w:hAnsiTheme="majorEastAsia" w:hint="eastAsia"/>
          <w:b/>
          <w:color w:val="000000" w:themeColor="text1"/>
          <w:kern w:val="0"/>
          <w:szCs w:val="21"/>
        </w:rPr>
        <w:t>按长期信用评级列示的同业存单投资</w:t>
      </w:r>
    </w:p>
    <w:p w:rsidR="00EE5909" w:rsidRPr="00851E96" w:rsidRDefault="00EE5909" w:rsidP="00EE5909">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EE5909" w:rsidRPr="00851E96" w:rsidTr="00AA712C">
        <w:tc>
          <w:tcPr>
            <w:tcW w:w="2552" w:type="dxa"/>
            <w:vAlign w:val="center"/>
          </w:tcPr>
          <w:p w:rsidR="00EE5909" w:rsidRPr="00851E96" w:rsidRDefault="00EE5909" w:rsidP="00AA712C">
            <w:pPr>
              <w:spacing w:line="360" w:lineRule="auto"/>
              <w:jc w:val="center"/>
              <w:rPr>
                <w:rFonts w:eastAsiaTheme="minorEastAsia"/>
                <w:szCs w:val="21"/>
              </w:rPr>
            </w:pPr>
            <w:r w:rsidRPr="00851E96">
              <w:rPr>
                <w:rFonts w:eastAsiaTheme="minorEastAsia"/>
                <w:szCs w:val="21"/>
              </w:rPr>
              <w:t>长期信用评级</w:t>
            </w:r>
          </w:p>
        </w:tc>
        <w:tc>
          <w:tcPr>
            <w:tcW w:w="2835" w:type="dxa"/>
          </w:tcPr>
          <w:p w:rsidR="00EE5909" w:rsidRPr="00851E96" w:rsidRDefault="00EE5909" w:rsidP="00AA712C">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EE5909" w:rsidRPr="00851E96" w:rsidRDefault="00EE5909" w:rsidP="00AA712C">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EE5909" w:rsidRPr="00851E96" w:rsidRDefault="00EE5909" w:rsidP="00AA712C">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EE5909" w:rsidRPr="00851E96" w:rsidRDefault="00EE5909" w:rsidP="00AA712C">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EE5909" w:rsidRPr="00851E96" w:rsidTr="00AA712C">
        <w:tc>
          <w:tcPr>
            <w:tcW w:w="2552" w:type="dxa"/>
          </w:tcPr>
          <w:p w:rsidR="00EE5909" w:rsidRPr="00851E96" w:rsidRDefault="00EE5909" w:rsidP="00AA712C">
            <w:pPr>
              <w:spacing w:line="360" w:lineRule="auto"/>
              <w:rPr>
                <w:rFonts w:eastAsiaTheme="minorEastAsia"/>
                <w:szCs w:val="21"/>
              </w:rPr>
            </w:pPr>
            <w:r w:rsidRPr="00851E96">
              <w:rPr>
                <w:rFonts w:eastAsiaTheme="minorEastAsia"/>
                <w:szCs w:val="21"/>
              </w:rPr>
              <w:t>AAA</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r w:rsidR="00EE5909" w:rsidRPr="00851E96" w:rsidTr="00AA712C">
        <w:tc>
          <w:tcPr>
            <w:tcW w:w="2552" w:type="dxa"/>
          </w:tcPr>
          <w:p w:rsidR="00EE5909" w:rsidRPr="00851E96" w:rsidRDefault="00EE5909" w:rsidP="00AA712C">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r w:rsidR="00EE5909" w:rsidRPr="00851E96" w:rsidTr="00AA712C">
        <w:tc>
          <w:tcPr>
            <w:tcW w:w="2552" w:type="dxa"/>
            <w:vAlign w:val="center"/>
          </w:tcPr>
          <w:p w:rsidR="00EE5909" w:rsidRPr="00851E96" w:rsidRDefault="00EE5909" w:rsidP="00AA712C">
            <w:pPr>
              <w:spacing w:line="360" w:lineRule="auto"/>
              <w:rPr>
                <w:rFonts w:eastAsiaTheme="minorEastAsia"/>
                <w:szCs w:val="21"/>
              </w:rPr>
            </w:pPr>
            <w:r w:rsidRPr="007C3E5A">
              <w:rPr>
                <w:rFonts w:eastAsiaTheme="minorEastAsia"/>
                <w:szCs w:val="21"/>
              </w:rPr>
              <w:t>未评级</w:t>
            </w:r>
          </w:p>
        </w:tc>
        <w:tc>
          <w:tcPr>
            <w:tcW w:w="2835"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r w:rsidR="00EE5909" w:rsidRPr="00851E96" w:rsidTr="00AA712C">
        <w:tc>
          <w:tcPr>
            <w:tcW w:w="2552" w:type="dxa"/>
            <w:vAlign w:val="center"/>
          </w:tcPr>
          <w:p w:rsidR="00EE5909" w:rsidRPr="007C3E5A" w:rsidRDefault="00EE5909" w:rsidP="00AA712C">
            <w:pPr>
              <w:spacing w:line="360" w:lineRule="auto"/>
              <w:rPr>
                <w:rFonts w:eastAsiaTheme="minorEastAsia"/>
                <w:szCs w:val="21"/>
              </w:rPr>
            </w:pPr>
            <w:r w:rsidRPr="007C3E5A">
              <w:rPr>
                <w:rFonts w:eastAsiaTheme="minorEastAsia"/>
                <w:szCs w:val="21"/>
              </w:rPr>
              <w:t>合计</w:t>
            </w:r>
          </w:p>
        </w:tc>
        <w:tc>
          <w:tcPr>
            <w:tcW w:w="2835" w:type="dxa"/>
            <w:vAlign w:val="center"/>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EE5909" w:rsidRPr="00851E96" w:rsidRDefault="00EE5909" w:rsidP="00AA712C">
            <w:pPr>
              <w:spacing w:line="360" w:lineRule="auto"/>
              <w:jc w:val="right"/>
              <w:rPr>
                <w:rFonts w:eastAsiaTheme="minorEastAsia"/>
                <w:szCs w:val="21"/>
              </w:rPr>
            </w:pPr>
            <w:r w:rsidRPr="00851E96">
              <w:rPr>
                <w:rFonts w:eastAsiaTheme="minorEastAsia"/>
                <w:szCs w:val="21"/>
              </w:rPr>
              <w:t>0.00</w:t>
            </w:r>
          </w:p>
        </w:tc>
      </w:tr>
    </w:tbl>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7.4.13.3</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流动性风险</w:t>
      </w:r>
    </w:p>
    <w:p w:rsidR="00F14AEA" w:rsidRDefault="00EC60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7B62FA" w:rsidRPr="00896265" w:rsidRDefault="007B62FA" w:rsidP="009138EB">
      <w:pPr>
        <w:widowControl/>
        <w:spacing w:line="360" w:lineRule="auto"/>
        <w:ind w:firstLineChars="200" w:firstLine="420"/>
        <w:rPr>
          <w:rFonts w:eastAsiaTheme="minorEastAsia"/>
          <w:color w:val="000000" w:themeColor="text1"/>
          <w:kern w:val="0"/>
          <w:szCs w:val="21"/>
        </w:rPr>
      </w:pPr>
      <w:r w:rsidRPr="00896265">
        <w:rPr>
          <w:rFonts w:eastAsiaTheme="minorEastAsia"/>
          <w:color w:val="000000" w:themeColor="text1"/>
          <w:kern w:val="0"/>
          <w:szCs w:val="21"/>
        </w:rPr>
        <w:t>于</w:t>
      </w:r>
      <w:r w:rsidRPr="00896265">
        <w:rPr>
          <w:rFonts w:eastAsiaTheme="minorEastAsia"/>
          <w:color w:val="000000" w:themeColor="text1"/>
          <w:kern w:val="0"/>
          <w:szCs w:val="21"/>
        </w:rPr>
        <w:t>2019</w:t>
      </w:r>
      <w:r w:rsidRPr="00896265">
        <w:rPr>
          <w:rFonts w:eastAsiaTheme="minorEastAsia"/>
          <w:color w:val="000000" w:themeColor="text1"/>
          <w:kern w:val="0"/>
          <w:szCs w:val="21"/>
        </w:rPr>
        <w:t>年</w:t>
      </w:r>
      <w:r w:rsidRPr="00896265">
        <w:rPr>
          <w:rFonts w:eastAsiaTheme="minorEastAsia"/>
          <w:color w:val="000000" w:themeColor="text1"/>
          <w:kern w:val="0"/>
          <w:szCs w:val="21"/>
        </w:rPr>
        <w:t>12</w:t>
      </w:r>
      <w:r w:rsidRPr="00896265">
        <w:rPr>
          <w:rFonts w:eastAsiaTheme="minorEastAsia"/>
          <w:color w:val="000000" w:themeColor="text1"/>
          <w:kern w:val="0"/>
          <w:szCs w:val="21"/>
        </w:rPr>
        <w:t>月</w:t>
      </w:r>
      <w:r w:rsidRPr="00896265">
        <w:rPr>
          <w:rFonts w:eastAsiaTheme="minorEastAsia"/>
          <w:color w:val="000000" w:themeColor="text1"/>
          <w:kern w:val="0"/>
          <w:szCs w:val="21"/>
        </w:rPr>
        <w:t>31</w:t>
      </w:r>
      <w:r w:rsidRPr="00896265">
        <w:rPr>
          <w:rFonts w:eastAsiaTheme="minorEastAsia"/>
          <w:color w:val="000000" w:themeColor="text1"/>
          <w:kern w:val="0"/>
          <w:szCs w:val="21"/>
        </w:rPr>
        <w:t>日，除卖出回购金融资产款余额</w:t>
      </w:r>
      <w:r w:rsidRPr="00896265">
        <w:rPr>
          <w:rFonts w:eastAsiaTheme="minorEastAsia"/>
          <w:color w:val="000000" w:themeColor="text1"/>
          <w:kern w:val="0"/>
          <w:szCs w:val="21"/>
        </w:rPr>
        <w:t>(</w:t>
      </w:r>
      <w:r w:rsidRPr="00896265">
        <w:rPr>
          <w:rFonts w:eastAsiaTheme="minorEastAsia"/>
          <w:color w:val="000000" w:themeColor="text1"/>
          <w:kern w:val="0"/>
          <w:szCs w:val="21"/>
        </w:rPr>
        <w:t>计息但该利息金额不重大</w:t>
      </w:r>
      <w:r w:rsidRPr="00896265">
        <w:rPr>
          <w:rFonts w:eastAsiaTheme="minorEastAsia"/>
          <w:color w:val="000000" w:themeColor="text1"/>
          <w:kern w:val="0"/>
          <w:szCs w:val="21"/>
        </w:rPr>
        <w:t>)</w:t>
      </w:r>
      <w:r w:rsidRPr="00896265">
        <w:rPr>
          <w:rFonts w:eastAsiaTheme="minorEastAsia"/>
          <w:color w:val="000000" w:themeColor="text1"/>
          <w:kern w:val="0"/>
          <w:szCs w:val="21"/>
        </w:rPr>
        <w:t>以外，本基金承担的其他金融负债的合约约定到期日均为一年以内且不计息，可赎回基金份额净值</w:t>
      </w:r>
      <w:r w:rsidRPr="00896265">
        <w:rPr>
          <w:rFonts w:eastAsiaTheme="minorEastAsia"/>
          <w:color w:val="000000" w:themeColor="text1"/>
          <w:kern w:val="0"/>
          <w:szCs w:val="21"/>
        </w:rPr>
        <w:t>(</w:t>
      </w:r>
      <w:r w:rsidRPr="00896265">
        <w:rPr>
          <w:rFonts w:eastAsiaTheme="minorEastAsia"/>
          <w:color w:val="000000" w:themeColor="text1"/>
          <w:kern w:val="0"/>
          <w:szCs w:val="21"/>
        </w:rPr>
        <w:t>所有者权益</w:t>
      </w:r>
      <w:r w:rsidRPr="00896265">
        <w:rPr>
          <w:rFonts w:eastAsiaTheme="minorEastAsia"/>
          <w:color w:val="000000" w:themeColor="text1"/>
          <w:kern w:val="0"/>
          <w:szCs w:val="21"/>
        </w:rPr>
        <w:t>)</w:t>
      </w:r>
      <w:r w:rsidRPr="00896265">
        <w:rPr>
          <w:rFonts w:eastAsiaTheme="minorEastAsia"/>
          <w:color w:val="000000" w:themeColor="text1"/>
          <w:kern w:val="0"/>
          <w:szCs w:val="21"/>
        </w:rPr>
        <w:t>无固定到期日且不计息，因此账面余额约为未折现的合约到期现金流量。</w:t>
      </w:r>
    </w:p>
    <w:p w:rsidR="009D2B7A" w:rsidRPr="00B55557" w:rsidRDefault="009D2B7A" w:rsidP="009D2B7A">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F14AEA" w:rsidRDefault="00EC6028">
      <w:pPr>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9D2B7A" w:rsidRPr="00896265" w:rsidRDefault="009D2B7A" w:rsidP="009D2B7A">
      <w:pPr>
        <w:spacing w:line="360" w:lineRule="auto"/>
        <w:ind w:firstLineChars="200" w:firstLine="420"/>
        <w:jc w:val="left"/>
        <w:rPr>
          <w:rFonts w:eastAsiaTheme="minorEastAsia"/>
          <w:color w:val="000000" w:themeColor="text1"/>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7.4.13.4</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市场风险</w:t>
      </w:r>
    </w:p>
    <w:p w:rsidR="007B62FA" w:rsidRPr="00896265" w:rsidRDefault="007B62FA" w:rsidP="00215394">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本基金主要投资黄金基金和黄金采掘公司股票，业绩表现受黄金价格波动影响较大。影响黄金价格波动的因素包括但不限于：全球黄金供给和需求的变动；投资者对通胀水平的预期；主要经济体的利率水平；主要经济体法定货币币值的变动；各国央行、对冲基金、商品基金等机构投资者的投资与交易活动；全球或地区政治、经济、金融局势及货币体系的变化。</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7.4.13.4.1</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利率风险</w:t>
      </w:r>
    </w:p>
    <w:p w:rsidR="007B62FA" w:rsidRPr="00896265" w:rsidRDefault="007B62FA" w:rsidP="00215394">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利率风险是指基金的财务状况和现金流量受市场利率变动而发生波动的风险。投资管理人通过久期、凸度、</w:t>
      </w:r>
      <w:r w:rsidRPr="00896265">
        <w:rPr>
          <w:rFonts w:eastAsiaTheme="minorEastAsia"/>
          <w:color w:val="000000" w:themeColor="text1"/>
          <w:szCs w:val="21"/>
        </w:rPr>
        <w:t>VAR</w:t>
      </w:r>
      <w:r w:rsidRPr="00896265">
        <w:rPr>
          <w:rFonts w:eastAsiaTheme="minorEastAsia"/>
          <w:color w:val="000000" w:themeColor="text1"/>
          <w:szCs w:val="21"/>
        </w:rPr>
        <w:t>等方法评估组合面临的利率风险敞口，并通过调整投资组合的久期等方法对上述利率风险进行管理。</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7.4.13.4.1.1</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利率风险敞口</w:t>
      </w:r>
    </w:p>
    <w:p w:rsidR="001550BA" w:rsidRPr="00896265" w:rsidRDefault="001550BA" w:rsidP="001550BA">
      <w:pPr>
        <w:autoSpaceDE w:val="0"/>
        <w:autoSpaceDN w:val="0"/>
        <w:adjustRightInd w:val="0"/>
        <w:spacing w:before="29" w:line="360" w:lineRule="auto"/>
        <w:ind w:left="15"/>
        <w:jc w:val="right"/>
        <w:rPr>
          <w:rFonts w:eastAsiaTheme="minorEastAsia"/>
          <w:color w:val="000000" w:themeColor="text1"/>
          <w:szCs w:val="21"/>
        </w:rPr>
      </w:pPr>
      <w:r w:rsidRPr="0089626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E60957" w:rsidRPr="00896265" w:rsidTr="00215394">
        <w:trPr>
          <w:trHeight w:val="280"/>
        </w:trPr>
        <w:tc>
          <w:tcPr>
            <w:tcW w:w="1588" w:type="dxa"/>
            <w:vAlign w:val="center"/>
          </w:tcPr>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本期末</w:t>
            </w:r>
          </w:p>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2019</w:t>
            </w:r>
            <w:r w:rsidRPr="00896265">
              <w:rPr>
                <w:rFonts w:eastAsiaTheme="minorEastAsia"/>
                <w:b/>
                <w:color w:val="000000" w:themeColor="text1"/>
                <w:szCs w:val="21"/>
              </w:rPr>
              <w:t>年</w:t>
            </w:r>
            <w:r w:rsidRPr="00896265">
              <w:rPr>
                <w:rFonts w:eastAsiaTheme="minorEastAsia"/>
                <w:b/>
                <w:color w:val="000000" w:themeColor="text1"/>
                <w:szCs w:val="21"/>
              </w:rPr>
              <w:t>12</w:t>
            </w:r>
            <w:r w:rsidRPr="00896265">
              <w:rPr>
                <w:rFonts w:eastAsiaTheme="minorEastAsia"/>
                <w:b/>
                <w:color w:val="000000" w:themeColor="text1"/>
                <w:szCs w:val="21"/>
              </w:rPr>
              <w:t>月</w:t>
            </w:r>
            <w:r w:rsidRPr="00896265">
              <w:rPr>
                <w:rFonts w:eastAsiaTheme="minorEastAsia"/>
                <w:b/>
                <w:color w:val="000000" w:themeColor="text1"/>
                <w:szCs w:val="21"/>
              </w:rPr>
              <w:t>31</w:t>
            </w:r>
            <w:r w:rsidRPr="00896265">
              <w:rPr>
                <w:rFonts w:eastAsiaTheme="minorEastAsia"/>
                <w:b/>
                <w:color w:val="000000" w:themeColor="text1"/>
                <w:szCs w:val="21"/>
              </w:rPr>
              <w:t>日</w:t>
            </w:r>
          </w:p>
        </w:tc>
        <w:tc>
          <w:tcPr>
            <w:tcW w:w="1701" w:type="dxa"/>
            <w:vAlign w:val="center"/>
          </w:tcPr>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1</w:t>
            </w:r>
            <w:r w:rsidRPr="00896265">
              <w:rPr>
                <w:rFonts w:eastAsiaTheme="minorEastAsia"/>
                <w:b/>
                <w:color w:val="000000" w:themeColor="text1"/>
                <w:szCs w:val="21"/>
              </w:rPr>
              <w:t>年以内</w:t>
            </w:r>
          </w:p>
        </w:tc>
        <w:tc>
          <w:tcPr>
            <w:tcW w:w="1701" w:type="dxa"/>
            <w:vAlign w:val="center"/>
          </w:tcPr>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1-5</w:t>
            </w:r>
            <w:r w:rsidRPr="00896265">
              <w:rPr>
                <w:rFonts w:eastAsiaTheme="minorEastAsia"/>
                <w:b/>
                <w:color w:val="000000" w:themeColor="text1"/>
                <w:szCs w:val="21"/>
              </w:rPr>
              <w:t>年</w:t>
            </w:r>
          </w:p>
        </w:tc>
        <w:tc>
          <w:tcPr>
            <w:tcW w:w="1559" w:type="dxa"/>
            <w:vAlign w:val="center"/>
          </w:tcPr>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5</w:t>
            </w:r>
            <w:r w:rsidRPr="00896265">
              <w:rPr>
                <w:rFonts w:eastAsiaTheme="minorEastAsia"/>
                <w:b/>
                <w:color w:val="000000" w:themeColor="text1"/>
                <w:szCs w:val="21"/>
              </w:rPr>
              <w:t>年以上</w:t>
            </w:r>
          </w:p>
        </w:tc>
        <w:tc>
          <w:tcPr>
            <w:tcW w:w="1559" w:type="dxa"/>
            <w:vAlign w:val="center"/>
          </w:tcPr>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不计息</w:t>
            </w:r>
          </w:p>
        </w:tc>
        <w:tc>
          <w:tcPr>
            <w:tcW w:w="1301" w:type="dxa"/>
            <w:vAlign w:val="center"/>
          </w:tcPr>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合计</w:t>
            </w:r>
          </w:p>
        </w:tc>
      </w:tr>
      <w:tr w:rsidR="00E60957" w:rsidRPr="00896265" w:rsidTr="00215394">
        <w:trPr>
          <w:trHeight w:val="280"/>
        </w:trPr>
        <w:tc>
          <w:tcPr>
            <w:tcW w:w="1588" w:type="dxa"/>
          </w:tcPr>
          <w:p w:rsidR="001550BA" w:rsidRPr="00896265" w:rsidRDefault="001550BA" w:rsidP="001A74A1">
            <w:pPr>
              <w:spacing w:line="360" w:lineRule="auto"/>
              <w:rPr>
                <w:rFonts w:eastAsiaTheme="minorEastAsia"/>
                <w:color w:val="000000" w:themeColor="text1"/>
                <w:szCs w:val="21"/>
              </w:rPr>
            </w:pPr>
            <w:r w:rsidRPr="00896265">
              <w:rPr>
                <w:rFonts w:eastAsiaTheme="minorEastAsia"/>
                <w:color w:val="000000" w:themeColor="text1"/>
                <w:szCs w:val="21"/>
              </w:rPr>
              <w:t>资产</w:t>
            </w:r>
          </w:p>
        </w:tc>
        <w:tc>
          <w:tcPr>
            <w:tcW w:w="1701" w:type="dxa"/>
            <w:vAlign w:val="center"/>
          </w:tcPr>
          <w:p w:rsidR="001550BA" w:rsidRPr="00896265" w:rsidRDefault="001550BA" w:rsidP="001A74A1">
            <w:pPr>
              <w:spacing w:line="360" w:lineRule="auto"/>
              <w:jc w:val="right"/>
              <w:rPr>
                <w:rFonts w:eastAsiaTheme="minorEastAsia"/>
                <w:color w:val="000000" w:themeColor="text1"/>
                <w:szCs w:val="21"/>
              </w:rPr>
            </w:pPr>
          </w:p>
        </w:tc>
        <w:tc>
          <w:tcPr>
            <w:tcW w:w="1701" w:type="dxa"/>
            <w:vAlign w:val="center"/>
          </w:tcPr>
          <w:p w:rsidR="001550BA" w:rsidRPr="00896265" w:rsidRDefault="001550BA" w:rsidP="001A74A1">
            <w:pPr>
              <w:spacing w:line="360" w:lineRule="auto"/>
              <w:jc w:val="right"/>
              <w:rPr>
                <w:rFonts w:eastAsiaTheme="minorEastAsia"/>
                <w:color w:val="000000" w:themeColor="text1"/>
                <w:szCs w:val="21"/>
              </w:rPr>
            </w:pPr>
          </w:p>
        </w:tc>
        <w:tc>
          <w:tcPr>
            <w:tcW w:w="1559" w:type="dxa"/>
            <w:vAlign w:val="center"/>
          </w:tcPr>
          <w:p w:rsidR="001550BA" w:rsidRPr="00896265" w:rsidRDefault="001550BA" w:rsidP="001A74A1">
            <w:pPr>
              <w:spacing w:line="360" w:lineRule="auto"/>
              <w:jc w:val="right"/>
              <w:rPr>
                <w:rFonts w:eastAsiaTheme="minorEastAsia"/>
                <w:color w:val="000000" w:themeColor="text1"/>
                <w:szCs w:val="21"/>
              </w:rPr>
            </w:pPr>
          </w:p>
        </w:tc>
        <w:tc>
          <w:tcPr>
            <w:tcW w:w="1559" w:type="dxa"/>
            <w:vAlign w:val="center"/>
          </w:tcPr>
          <w:p w:rsidR="001550BA" w:rsidRPr="00896265" w:rsidRDefault="001550BA" w:rsidP="001A74A1">
            <w:pPr>
              <w:spacing w:line="360" w:lineRule="auto"/>
              <w:jc w:val="right"/>
              <w:rPr>
                <w:rFonts w:eastAsiaTheme="minorEastAsia"/>
                <w:color w:val="000000" w:themeColor="text1"/>
                <w:szCs w:val="21"/>
              </w:rPr>
            </w:pPr>
          </w:p>
        </w:tc>
        <w:tc>
          <w:tcPr>
            <w:tcW w:w="1301" w:type="dxa"/>
            <w:vAlign w:val="center"/>
          </w:tcPr>
          <w:p w:rsidR="001550BA" w:rsidRPr="00896265" w:rsidRDefault="001550BA" w:rsidP="001A74A1">
            <w:pPr>
              <w:spacing w:line="360" w:lineRule="auto"/>
              <w:jc w:val="right"/>
              <w:rPr>
                <w:rFonts w:eastAsiaTheme="minorEastAsia"/>
                <w:b/>
                <w:color w:val="000000" w:themeColor="text1"/>
                <w:szCs w:val="21"/>
              </w:rPr>
            </w:pPr>
          </w:p>
        </w:tc>
      </w:tr>
      <w:tr w:rsidR="00F14AEA">
        <w:tc>
          <w:tcPr>
            <w:tcW w:w="1588" w:type="dxa"/>
            <w:vAlign w:val="center"/>
          </w:tcPr>
          <w:p w:rsidR="00F14AEA" w:rsidRDefault="00EC6028">
            <w:pPr>
              <w:jc w:val="center"/>
            </w:pPr>
            <w:r>
              <w:rPr>
                <w:rFonts w:eastAsiaTheme="minorEastAsia"/>
                <w:color w:val="000000" w:themeColor="text1"/>
                <w:szCs w:val="21"/>
              </w:rPr>
              <w:t>银行存款</w:t>
            </w:r>
          </w:p>
        </w:tc>
        <w:tc>
          <w:tcPr>
            <w:tcW w:w="1701" w:type="dxa"/>
            <w:vAlign w:val="center"/>
          </w:tcPr>
          <w:p w:rsidR="00F14AEA" w:rsidRDefault="00EC6028">
            <w:pPr>
              <w:jc w:val="right"/>
            </w:pPr>
            <w:r>
              <w:rPr>
                <w:rFonts w:eastAsiaTheme="minorEastAsia"/>
                <w:color w:val="000000" w:themeColor="text1"/>
                <w:szCs w:val="21"/>
              </w:rPr>
              <w:t>41,451,777.35</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41,451,777.35</w:t>
            </w:r>
          </w:p>
        </w:tc>
      </w:tr>
      <w:tr w:rsidR="00F14AEA">
        <w:tc>
          <w:tcPr>
            <w:tcW w:w="1588" w:type="dxa"/>
            <w:vAlign w:val="center"/>
          </w:tcPr>
          <w:p w:rsidR="00F14AEA" w:rsidRDefault="00EC6028">
            <w:pPr>
              <w:jc w:val="center"/>
            </w:pPr>
            <w:r>
              <w:rPr>
                <w:rFonts w:eastAsiaTheme="minorEastAsia"/>
                <w:color w:val="000000" w:themeColor="text1"/>
                <w:szCs w:val="21"/>
              </w:rPr>
              <w:t>结算备付金</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存出保证金</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交易性金融资产</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344,380,599.43</w:t>
            </w:r>
          </w:p>
        </w:tc>
        <w:tc>
          <w:tcPr>
            <w:tcW w:w="1301" w:type="dxa"/>
            <w:vAlign w:val="center"/>
          </w:tcPr>
          <w:p w:rsidR="00F14AEA" w:rsidRDefault="00EC6028">
            <w:pPr>
              <w:jc w:val="right"/>
            </w:pPr>
            <w:r>
              <w:rPr>
                <w:rFonts w:eastAsiaTheme="minorEastAsia"/>
                <w:color w:val="000000" w:themeColor="text1"/>
                <w:szCs w:val="21"/>
              </w:rPr>
              <w:t>344,380,599.43</w:t>
            </w:r>
          </w:p>
        </w:tc>
      </w:tr>
      <w:tr w:rsidR="00F14AEA">
        <w:tc>
          <w:tcPr>
            <w:tcW w:w="1588" w:type="dxa"/>
            <w:vAlign w:val="center"/>
          </w:tcPr>
          <w:p w:rsidR="00F14AEA" w:rsidRDefault="00EC6028">
            <w:pPr>
              <w:jc w:val="center"/>
            </w:pPr>
            <w:r>
              <w:rPr>
                <w:rFonts w:eastAsiaTheme="minorEastAsia"/>
                <w:color w:val="000000" w:themeColor="text1"/>
                <w:szCs w:val="21"/>
              </w:rPr>
              <w:t>衍生金融资产</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买入返售金融资产</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应收证券清算款</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应收利息</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6,939.82</w:t>
            </w:r>
          </w:p>
        </w:tc>
        <w:tc>
          <w:tcPr>
            <w:tcW w:w="1301" w:type="dxa"/>
            <w:vAlign w:val="center"/>
          </w:tcPr>
          <w:p w:rsidR="00F14AEA" w:rsidRDefault="00EC6028">
            <w:pPr>
              <w:jc w:val="right"/>
            </w:pPr>
            <w:r>
              <w:rPr>
                <w:rFonts w:eastAsiaTheme="minorEastAsia"/>
                <w:color w:val="000000" w:themeColor="text1"/>
                <w:szCs w:val="21"/>
              </w:rPr>
              <w:t>6,939.82</w:t>
            </w:r>
          </w:p>
        </w:tc>
      </w:tr>
      <w:tr w:rsidR="00F14AEA">
        <w:tc>
          <w:tcPr>
            <w:tcW w:w="1588" w:type="dxa"/>
            <w:vAlign w:val="center"/>
          </w:tcPr>
          <w:p w:rsidR="00F14AEA" w:rsidRDefault="00EC6028">
            <w:pPr>
              <w:jc w:val="center"/>
            </w:pPr>
            <w:r>
              <w:rPr>
                <w:rFonts w:eastAsiaTheme="minorEastAsia"/>
                <w:color w:val="000000" w:themeColor="text1"/>
                <w:szCs w:val="21"/>
              </w:rPr>
              <w:t>应收股利</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应收申购款</w:t>
            </w:r>
          </w:p>
        </w:tc>
        <w:tc>
          <w:tcPr>
            <w:tcW w:w="1701" w:type="dxa"/>
            <w:vAlign w:val="center"/>
          </w:tcPr>
          <w:p w:rsidR="00F14AEA" w:rsidRDefault="00EC6028">
            <w:pPr>
              <w:jc w:val="right"/>
            </w:pPr>
            <w:r>
              <w:rPr>
                <w:rFonts w:eastAsiaTheme="minorEastAsia"/>
                <w:color w:val="000000" w:themeColor="text1"/>
                <w:szCs w:val="21"/>
              </w:rPr>
              <w:t>946,709.82</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1,299,603.07</w:t>
            </w:r>
          </w:p>
        </w:tc>
        <w:tc>
          <w:tcPr>
            <w:tcW w:w="1301" w:type="dxa"/>
            <w:vAlign w:val="center"/>
          </w:tcPr>
          <w:p w:rsidR="00F14AEA" w:rsidRDefault="00EC6028">
            <w:pPr>
              <w:jc w:val="right"/>
            </w:pPr>
            <w:r>
              <w:rPr>
                <w:rFonts w:eastAsiaTheme="minorEastAsia"/>
                <w:color w:val="000000" w:themeColor="text1"/>
                <w:szCs w:val="21"/>
              </w:rPr>
              <w:t>2,246,312.89</w:t>
            </w:r>
          </w:p>
        </w:tc>
      </w:tr>
      <w:tr w:rsidR="00F14AEA">
        <w:tc>
          <w:tcPr>
            <w:tcW w:w="1588" w:type="dxa"/>
            <w:vAlign w:val="center"/>
          </w:tcPr>
          <w:p w:rsidR="00F14AEA" w:rsidRDefault="00EC6028">
            <w:pPr>
              <w:jc w:val="center"/>
            </w:pPr>
            <w:r>
              <w:rPr>
                <w:rFonts w:eastAsiaTheme="minorEastAsia"/>
                <w:color w:val="000000" w:themeColor="text1"/>
                <w:szCs w:val="21"/>
              </w:rPr>
              <w:t>递延所得税资产</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其他资产</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E60957" w:rsidRPr="00896265" w:rsidTr="00215394">
        <w:trPr>
          <w:trHeight w:val="280"/>
        </w:trPr>
        <w:tc>
          <w:tcPr>
            <w:tcW w:w="1588" w:type="dxa"/>
          </w:tcPr>
          <w:p w:rsidR="001550BA" w:rsidRPr="00896265" w:rsidRDefault="001550BA" w:rsidP="001A74A1">
            <w:pPr>
              <w:autoSpaceDE w:val="0"/>
              <w:autoSpaceDN w:val="0"/>
              <w:adjustRightInd w:val="0"/>
              <w:spacing w:before="29" w:line="360" w:lineRule="auto"/>
              <w:rPr>
                <w:rFonts w:eastAsiaTheme="minorEastAsia"/>
                <w:color w:val="000000" w:themeColor="text1"/>
                <w:szCs w:val="21"/>
              </w:rPr>
            </w:pPr>
            <w:r w:rsidRPr="00896265">
              <w:rPr>
                <w:rFonts w:eastAsiaTheme="minorEastAsia"/>
                <w:color w:val="000000" w:themeColor="text1"/>
                <w:szCs w:val="21"/>
              </w:rPr>
              <w:t>资产总计</w:t>
            </w:r>
          </w:p>
        </w:tc>
        <w:tc>
          <w:tcPr>
            <w:tcW w:w="1701" w:type="dxa"/>
          </w:tcPr>
          <w:p w:rsidR="001550BA" w:rsidRPr="00896265" w:rsidRDefault="001550BA" w:rsidP="001A74A1">
            <w:pPr>
              <w:autoSpaceDE w:val="0"/>
              <w:autoSpaceDN w:val="0"/>
              <w:adjustRightInd w:val="0"/>
              <w:spacing w:before="29" w:line="360" w:lineRule="auto"/>
              <w:jc w:val="right"/>
              <w:rPr>
                <w:rFonts w:eastAsiaTheme="minorEastAsia"/>
                <w:color w:val="000000" w:themeColor="text1"/>
                <w:szCs w:val="21"/>
              </w:rPr>
            </w:pPr>
            <w:r w:rsidRPr="00896265">
              <w:rPr>
                <w:rFonts w:eastAsiaTheme="minorEastAsia"/>
                <w:color w:val="000000" w:themeColor="text1"/>
                <w:szCs w:val="21"/>
              </w:rPr>
              <w:t>42,398,487.17</w:t>
            </w:r>
          </w:p>
        </w:tc>
        <w:tc>
          <w:tcPr>
            <w:tcW w:w="1701" w:type="dxa"/>
          </w:tcPr>
          <w:p w:rsidR="001550BA" w:rsidRPr="00896265" w:rsidRDefault="001550BA" w:rsidP="001A74A1">
            <w:pPr>
              <w:autoSpaceDE w:val="0"/>
              <w:autoSpaceDN w:val="0"/>
              <w:adjustRightInd w:val="0"/>
              <w:spacing w:before="29"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559" w:type="dxa"/>
          </w:tcPr>
          <w:p w:rsidR="001550BA" w:rsidRPr="00896265" w:rsidRDefault="001550BA" w:rsidP="001A74A1">
            <w:pPr>
              <w:autoSpaceDE w:val="0"/>
              <w:autoSpaceDN w:val="0"/>
              <w:adjustRightInd w:val="0"/>
              <w:spacing w:before="29"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559" w:type="dxa"/>
          </w:tcPr>
          <w:p w:rsidR="001550BA" w:rsidRPr="00896265" w:rsidRDefault="001550BA" w:rsidP="001A74A1">
            <w:pPr>
              <w:autoSpaceDE w:val="0"/>
              <w:autoSpaceDN w:val="0"/>
              <w:adjustRightInd w:val="0"/>
              <w:spacing w:before="29" w:line="360" w:lineRule="auto"/>
              <w:jc w:val="right"/>
              <w:rPr>
                <w:rFonts w:eastAsiaTheme="minorEastAsia"/>
                <w:color w:val="000000" w:themeColor="text1"/>
                <w:szCs w:val="21"/>
              </w:rPr>
            </w:pPr>
            <w:r w:rsidRPr="00896265">
              <w:rPr>
                <w:rFonts w:eastAsiaTheme="minorEastAsia"/>
                <w:color w:val="000000" w:themeColor="text1"/>
                <w:szCs w:val="21"/>
              </w:rPr>
              <w:t>345,687,142.32</w:t>
            </w:r>
          </w:p>
        </w:tc>
        <w:tc>
          <w:tcPr>
            <w:tcW w:w="1301" w:type="dxa"/>
          </w:tcPr>
          <w:p w:rsidR="001550BA" w:rsidRPr="00896265" w:rsidRDefault="001550BA" w:rsidP="001A74A1">
            <w:pPr>
              <w:autoSpaceDE w:val="0"/>
              <w:autoSpaceDN w:val="0"/>
              <w:adjustRightInd w:val="0"/>
              <w:spacing w:before="29" w:line="360" w:lineRule="auto"/>
              <w:jc w:val="right"/>
              <w:rPr>
                <w:rFonts w:eastAsiaTheme="minorEastAsia"/>
                <w:color w:val="000000" w:themeColor="text1"/>
                <w:szCs w:val="21"/>
              </w:rPr>
            </w:pPr>
            <w:r w:rsidRPr="00896265">
              <w:rPr>
                <w:rFonts w:eastAsiaTheme="minorEastAsia"/>
                <w:color w:val="000000" w:themeColor="text1"/>
                <w:szCs w:val="21"/>
              </w:rPr>
              <w:t>388,085,629.49</w:t>
            </w:r>
          </w:p>
        </w:tc>
      </w:tr>
      <w:tr w:rsidR="00E60957" w:rsidRPr="00896265" w:rsidTr="00215394">
        <w:trPr>
          <w:trHeight w:val="280"/>
        </w:trPr>
        <w:tc>
          <w:tcPr>
            <w:tcW w:w="1588" w:type="dxa"/>
          </w:tcPr>
          <w:p w:rsidR="001550BA" w:rsidRPr="00896265" w:rsidRDefault="001550BA" w:rsidP="001A74A1">
            <w:pPr>
              <w:spacing w:line="360" w:lineRule="auto"/>
              <w:rPr>
                <w:rFonts w:eastAsiaTheme="minorEastAsia"/>
                <w:color w:val="000000" w:themeColor="text1"/>
                <w:szCs w:val="21"/>
              </w:rPr>
            </w:pPr>
            <w:r w:rsidRPr="00896265">
              <w:rPr>
                <w:rFonts w:eastAsiaTheme="minorEastAsia"/>
                <w:color w:val="000000" w:themeColor="text1"/>
                <w:szCs w:val="21"/>
              </w:rPr>
              <w:t>负债</w:t>
            </w:r>
          </w:p>
        </w:tc>
        <w:tc>
          <w:tcPr>
            <w:tcW w:w="1701" w:type="dxa"/>
            <w:vAlign w:val="center"/>
          </w:tcPr>
          <w:p w:rsidR="001550BA" w:rsidRPr="00896265" w:rsidRDefault="001550BA" w:rsidP="001A74A1">
            <w:pPr>
              <w:spacing w:line="360" w:lineRule="auto"/>
              <w:jc w:val="right"/>
              <w:rPr>
                <w:rFonts w:eastAsiaTheme="minorEastAsia"/>
                <w:color w:val="000000" w:themeColor="text1"/>
                <w:kern w:val="0"/>
                <w:szCs w:val="21"/>
              </w:rPr>
            </w:pPr>
          </w:p>
        </w:tc>
        <w:tc>
          <w:tcPr>
            <w:tcW w:w="1701" w:type="dxa"/>
            <w:vAlign w:val="center"/>
          </w:tcPr>
          <w:p w:rsidR="001550BA" w:rsidRPr="00896265" w:rsidRDefault="001550BA" w:rsidP="001A74A1">
            <w:pPr>
              <w:spacing w:line="360" w:lineRule="auto"/>
              <w:jc w:val="right"/>
              <w:rPr>
                <w:rFonts w:eastAsiaTheme="minorEastAsia"/>
                <w:color w:val="000000" w:themeColor="text1"/>
                <w:szCs w:val="21"/>
              </w:rPr>
            </w:pPr>
          </w:p>
        </w:tc>
        <w:tc>
          <w:tcPr>
            <w:tcW w:w="1559" w:type="dxa"/>
            <w:vAlign w:val="center"/>
          </w:tcPr>
          <w:p w:rsidR="001550BA" w:rsidRPr="00896265" w:rsidRDefault="001550BA" w:rsidP="001A74A1">
            <w:pPr>
              <w:spacing w:line="360" w:lineRule="auto"/>
              <w:jc w:val="right"/>
              <w:rPr>
                <w:rFonts w:eastAsiaTheme="minorEastAsia"/>
                <w:color w:val="000000" w:themeColor="text1"/>
                <w:szCs w:val="21"/>
              </w:rPr>
            </w:pPr>
          </w:p>
        </w:tc>
        <w:tc>
          <w:tcPr>
            <w:tcW w:w="1559" w:type="dxa"/>
            <w:vAlign w:val="center"/>
          </w:tcPr>
          <w:p w:rsidR="001550BA" w:rsidRPr="00896265" w:rsidRDefault="001550BA" w:rsidP="001A74A1">
            <w:pPr>
              <w:spacing w:line="360" w:lineRule="auto"/>
              <w:jc w:val="right"/>
              <w:rPr>
                <w:rFonts w:eastAsiaTheme="minorEastAsia"/>
                <w:color w:val="000000" w:themeColor="text1"/>
                <w:szCs w:val="21"/>
              </w:rPr>
            </w:pPr>
          </w:p>
        </w:tc>
        <w:tc>
          <w:tcPr>
            <w:tcW w:w="1301" w:type="dxa"/>
            <w:vAlign w:val="center"/>
          </w:tcPr>
          <w:p w:rsidR="001550BA" w:rsidRPr="00896265" w:rsidRDefault="001550BA" w:rsidP="001A74A1">
            <w:pPr>
              <w:spacing w:line="360" w:lineRule="auto"/>
              <w:jc w:val="right"/>
              <w:rPr>
                <w:rFonts w:eastAsiaTheme="minorEastAsia"/>
                <w:color w:val="000000" w:themeColor="text1"/>
                <w:szCs w:val="21"/>
              </w:rPr>
            </w:pPr>
          </w:p>
        </w:tc>
      </w:tr>
      <w:tr w:rsidR="00F14AEA">
        <w:tc>
          <w:tcPr>
            <w:tcW w:w="1588" w:type="dxa"/>
            <w:vAlign w:val="center"/>
          </w:tcPr>
          <w:p w:rsidR="00F14AEA" w:rsidRDefault="00EC6028">
            <w:pPr>
              <w:jc w:val="center"/>
            </w:pPr>
            <w:r>
              <w:rPr>
                <w:rFonts w:eastAsiaTheme="minorEastAsia"/>
                <w:color w:val="000000" w:themeColor="text1"/>
                <w:szCs w:val="21"/>
              </w:rPr>
              <w:t>短期借款</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交易性金融负债</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衍生金融负债</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卖出回购金融资产款</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应付证券清算款</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372,999.69</w:t>
            </w:r>
          </w:p>
        </w:tc>
        <w:tc>
          <w:tcPr>
            <w:tcW w:w="1301" w:type="dxa"/>
            <w:vAlign w:val="center"/>
          </w:tcPr>
          <w:p w:rsidR="00F14AEA" w:rsidRDefault="00EC6028">
            <w:pPr>
              <w:jc w:val="right"/>
            </w:pPr>
            <w:r>
              <w:rPr>
                <w:rFonts w:eastAsiaTheme="minorEastAsia"/>
                <w:color w:val="000000" w:themeColor="text1"/>
                <w:szCs w:val="21"/>
              </w:rPr>
              <w:t>372,999.69</w:t>
            </w:r>
          </w:p>
        </w:tc>
      </w:tr>
      <w:tr w:rsidR="00F14AEA">
        <w:tc>
          <w:tcPr>
            <w:tcW w:w="1588" w:type="dxa"/>
            <w:vAlign w:val="center"/>
          </w:tcPr>
          <w:p w:rsidR="00F14AEA" w:rsidRDefault="00EC6028">
            <w:pPr>
              <w:jc w:val="center"/>
            </w:pPr>
            <w:r>
              <w:rPr>
                <w:rFonts w:eastAsiaTheme="minorEastAsia"/>
                <w:color w:val="000000" w:themeColor="text1"/>
                <w:szCs w:val="21"/>
              </w:rPr>
              <w:t>应付赎回款</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19,894,263.63</w:t>
            </w:r>
          </w:p>
        </w:tc>
        <w:tc>
          <w:tcPr>
            <w:tcW w:w="1301" w:type="dxa"/>
            <w:vAlign w:val="center"/>
          </w:tcPr>
          <w:p w:rsidR="00F14AEA" w:rsidRDefault="00EC6028">
            <w:pPr>
              <w:jc w:val="right"/>
            </w:pPr>
            <w:r>
              <w:rPr>
                <w:rFonts w:eastAsiaTheme="minorEastAsia"/>
                <w:color w:val="000000" w:themeColor="text1"/>
                <w:szCs w:val="21"/>
              </w:rPr>
              <w:t>19,894,263.63</w:t>
            </w:r>
          </w:p>
        </w:tc>
      </w:tr>
      <w:tr w:rsidR="00F14AEA">
        <w:tc>
          <w:tcPr>
            <w:tcW w:w="1588" w:type="dxa"/>
            <w:vAlign w:val="center"/>
          </w:tcPr>
          <w:p w:rsidR="00F14AEA" w:rsidRDefault="00EC6028">
            <w:pPr>
              <w:jc w:val="center"/>
            </w:pPr>
            <w:r>
              <w:rPr>
                <w:rFonts w:eastAsiaTheme="minorEastAsia"/>
                <w:color w:val="000000" w:themeColor="text1"/>
                <w:szCs w:val="21"/>
              </w:rPr>
              <w:t>应付管理人报酬</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371,761.99</w:t>
            </w:r>
          </w:p>
        </w:tc>
        <w:tc>
          <w:tcPr>
            <w:tcW w:w="1301" w:type="dxa"/>
            <w:vAlign w:val="center"/>
          </w:tcPr>
          <w:p w:rsidR="00F14AEA" w:rsidRDefault="00EC6028">
            <w:pPr>
              <w:jc w:val="right"/>
            </w:pPr>
            <w:r>
              <w:rPr>
                <w:rFonts w:eastAsiaTheme="minorEastAsia"/>
                <w:color w:val="000000" w:themeColor="text1"/>
                <w:szCs w:val="21"/>
              </w:rPr>
              <w:t>371,761.99</w:t>
            </w:r>
          </w:p>
        </w:tc>
      </w:tr>
      <w:tr w:rsidR="00F14AEA">
        <w:tc>
          <w:tcPr>
            <w:tcW w:w="1588" w:type="dxa"/>
            <w:vAlign w:val="center"/>
          </w:tcPr>
          <w:p w:rsidR="00F14AEA" w:rsidRDefault="00EC6028">
            <w:pPr>
              <w:jc w:val="center"/>
            </w:pPr>
            <w:r>
              <w:rPr>
                <w:rFonts w:eastAsiaTheme="minorEastAsia"/>
                <w:color w:val="000000" w:themeColor="text1"/>
                <w:szCs w:val="21"/>
              </w:rPr>
              <w:t>应付托管费</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61,960.32</w:t>
            </w:r>
          </w:p>
        </w:tc>
        <w:tc>
          <w:tcPr>
            <w:tcW w:w="1301" w:type="dxa"/>
            <w:vAlign w:val="center"/>
          </w:tcPr>
          <w:p w:rsidR="00F14AEA" w:rsidRDefault="00EC6028">
            <w:pPr>
              <w:jc w:val="right"/>
            </w:pPr>
            <w:r>
              <w:rPr>
                <w:rFonts w:eastAsiaTheme="minorEastAsia"/>
                <w:color w:val="000000" w:themeColor="text1"/>
                <w:szCs w:val="21"/>
              </w:rPr>
              <w:t>61,960.32</w:t>
            </w:r>
          </w:p>
        </w:tc>
      </w:tr>
      <w:tr w:rsidR="00F14AEA">
        <w:tc>
          <w:tcPr>
            <w:tcW w:w="1588" w:type="dxa"/>
            <w:vAlign w:val="center"/>
          </w:tcPr>
          <w:p w:rsidR="00F14AEA" w:rsidRDefault="00EC6028">
            <w:pPr>
              <w:jc w:val="center"/>
            </w:pPr>
            <w:r>
              <w:rPr>
                <w:rFonts w:eastAsiaTheme="minorEastAsia"/>
                <w:color w:val="000000" w:themeColor="text1"/>
                <w:szCs w:val="21"/>
              </w:rPr>
              <w:t>应付销售服务费</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28.11</w:t>
            </w:r>
          </w:p>
        </w:tc>
        <w:tc>
          <w:tcPr>
            <w:tcW w:w="1301" w:type="dxa"/>
            <w:vAlign w:val="center"/>
          </w:tcPr>
          <w:p w:rsidR="00F14AEA" w:rsidRDefault="00EC6028">
            <w:pPr>
              <w:jc w:val="right"/>
            </w:pPr>
            <w:r>
              <w:rPr>
                <w:rFonts w:eastAsiaTheme="minorEastAsia"/>
                <w:color w:val="000000" w:themeColor="text1"/>
                <w:szCs w:val="21"/>
              </w:rPr>
              <w:t>28.11</w:t>
            </w:r>
          </w:p>
        </w:tc>
      </w:tr>
      <w:tr w:rsidR="00F14AEA">
        <w:tc>
          <w:tcPr>
            <w:tcW w:w="1588" w:type="dxa"/>
            <w:vAlign w:val="center"/>
          </w:tcPr>
          <w:p w:rsidR="00F14AEA" w:rsidRDefault="00EC6028">
            <w:pPr>
              <w:jc w:val="center"/>
            </w:pPr>
            <w:r>
              <w:rPr>
                <w:rFonts w:eastAsiaTheme="minorEastAsia"/>
                <w:color w:val="000000" w:themeColor="text1"/>
                <w:szCs w:val="21"/>
              </w:rPr>
              <w:t>应付交易费用</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应交税费</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227,206.18</w:t>
            </w:r>
          </w:p>
        </w:tc>
        <w:tc>
          <w:tcPr>
            <w:tcW w:w="1301" w:type="dxa"/>
            <w:vAlign w:val="center"/>
          </w:tcPr>
          <w:p w:rsidR="00F14AEA" w:rsidRDefault="00EC6028">
            <w:pPr>
              <w:jc w:val="right"/>
            </w:pPr>
            <w:r>
              <w:rPr>
                <w:rFonts w:eastAsiaTheme="minorEastAsia"/>
                <w:color w:val="000000" w:themeColor="text1"/>
                <w:szCs w:val="21"/>
              </w:rPr>
              <w:t>227,206.18</w:t>
            </w:r>
          </w:p>
        </w:tc>
      </w:tr>
      <w:tr w:rsidR="00F14AEA">
        <w:tc>
          <w:tcPr>
            <w:tcW w:w="1588" w:type="dxa"/>
            <w:vAlign w:val="center"/>
          </w:tcPr>
          <w:p w:rsidR="00F14AEA" w:rsidRDefault="00EC6028">
            <w:pPr>
              <w:jc w:val="center"/>
            </w:pPr>
            <w:r>
              <w:rPr>
                <w:rFonts w:eastAsiaTheme="minorEastAsia"/>
                <w:color w:val="000000" w:themeColor="text1"/>
                <w:szCs w:val="21"/>
              </w:rPr>
              <w:t>应付利息</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应付利润</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递延所得税负债</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其他负债</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317,995.34</w:t>
            </w:r>
          </w:p>
        </w:tc>
        <w:tc>
          <w:tcPr>
            <w:tcW w:w="1301" w:type="dxa"/>
            <w:vAlign w:val="center"/>
          </w:tcPr>
          <w:p w:rsidR="00F14AEA" w:rsidRDefault="00EC6028">
            <w:pPr>
              <w:jc w:val="right"/>
            </w:pPr>
            <w:r>
              <w:rPr>
                <w:rFonts w:eastAsiaTheme="minorEastAsia"/>
                <w:color w:val="000000" w:themeColor="text1"/>
                <w:szCs w:val="21"/>
              </w:rPr>
              <w:t>317,995.34</w:t>
            </w:r>
          </w:p>
        </w:tc>
      </w:tr>
      <w:tr w:rsidR="00E60957" w:rsidRPr="00896265" w:rsidTr="00215394">
        <w:trPr>
          <w:trHeight w:val="280"/>
        </w:trPr>
        <w:tc>
          <w:tcPr>
            <w:tcW w:w="1588" w:type="dxa"/>
          </w:tcPr>
          <w:p w:rsidR="001550BA" w:rsidRPr="00896265" w:rsidRDefault="001550BA" w:rsidP="001A74A1">
            <w:pPr>
              <w:spacing w:line="360" w:lineRule="auto"/>
              <w:rPr>
                <w:rFonts w:eastAsiaTheme="minorEastAsia"/>
                <w:color w:val="000000" w:themeColor="text1"/>
                <w:szCs w:val="21"/>
              </w:rPr>
            </w:pPr>
            <w:r w:rsidRPr="00896265">
              <w:rPr>
                <w:rFonts w:eastAsiaTheme="minorEastAsia"/>
                <w:color w:val="000000" w:themeColor="text1"/>
                <w:szCs w:val="21"/>
              </w:rPr>
              <w:t>负债总计</w:t>
            </w:r>
          </w:p>
        </w:tc>
        <w:tc>
          <w:tcPr>
            <w:tcW w:w="1701"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701"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559"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559"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21,246,215.26</w:t>
            </w:r>
          </w:p>
        </w:tc>
        <w:tc>
          <w:tcPr>
            <w:tcW w:w="1301" w:type="dxa"/>
          </w:tcPr>
          <w:p w:rsidR="001550BA" w:rsidRPr="00896265" w:rsidRDefault="001550BA" w:rsidP="00ED00F7">
            <w:pPr>
              <w:spacing w:line="360" w:lineRule="auto"/>
              <w:jc w:val="right"/>
              <w:rPr>
                <w:rFonts w:eastAsiaTheme="minorEastAsia"/>
                <w:color w:val="000000" w:themeColor="text1"/>
                <w:szCs w:val="21"/>
              </w:rPr>
            </w:pPr>
            <w:r w:rsidRPr="00896265">
              <w:rPr>
                <w:rFonts w:eastAsiaTheme="minorEastAsia"/>
                <w:color w:val="000000" w:themeColor="text1"/>
                <w:szCs w:val="21"/>
              </w:rPr>
              <w:t>21,246,215.26</w:t>
            </w:r>
          </w:p>
        </w:tc>
      </w:tr>
      <w:tr w:rsidR="00E60957" w:rsidRPr="00896265" w:rsidTr="00215394">
        <w:trPr>
          <w:trHeight w:val="280"/>
        </w:trPr>
        <w:tc>
          <w:tcPr>
            <w:tcW w:w="1588" w:type="dxa"/>
          </w:tcPr>
          <w:p w:rsidR="001550BA" w:rsidRPr="00896265" w:rsidRDefault="001550BA" w:rsidP="001A74A1">
            <w:pPr>
              <w:spacing w:line="360" w:lineRule="auto"/>
              <w:rPr>
                <w:rFonts w:eastAsiaTheme="minorEastAsia"/>
                <w:color w:val="000000" w:themeColor="text1"/>
                <w:szCs w:val="21"/>
              </w:rPr>
            </w:pPr>
            <w:r w:rsidRPr="00896265">
              <w:rPr>
                <w:rFonts w:eastAsiaTheme="minorEastAsia"/>
                <w:color w:val="000000" w:themeColor="text1"/>
                <w:szCs w:val="21"/>
              </w:rPr>
              <w:t>利率敏感度缺口</w:t>
            </w:r>
          </w:p>
        </w:tc>
        <w:tc>
          <w:tcPr>
            <w:tcW w:w="1701"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42,398,487.17</w:t>
            </w:r>
          </w:p>
        </w:tc>
        <w:tc>
          <w:tcPr>
            <w:tcW w:w="1701"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559"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559"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324,440,927.06</w:t>
            </w:r>
          </w:p>
        </w:tc>
        <w:tc>
          <w:tcPr>
            <w:tcW w:w="1301"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366,839,414.23</w:t>
            </w:r>
          </w:p>
        </w:tc>
      </w:tr>
      <w:tr w:rsidR="00E60957" w:rsidRPr="00896265" w:rsidTr="00215394">
        <w:trPr>
          <w:trHeight w:val="280"/>
        </w:trPr>
        <w:tc>
          <w:tcPr>
            <w:tcW w:w="1588" w:type="dxa"/>
            <w:vAlign w:val="center"/>
          </w:tcPr>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上年度末</w:t>
            </w:r>
          </w:p>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2018</w:t>
            </w:r>
            <w:r w:rsidRPr="00896265">
              <w:rPr>
                <w:rFonts w:eastAsiaTheme="minorEastAsia"/>
                <w:b/>
                <w:color w:val="000000" w:themeColor="text1"/>
                <w:szCs w:val="21"/>
              </w:rPr>
              <w:t>年</w:t>
            </w:r>
            <w:r w:rsidRPr="00896265">
              <w:rPr>
                <w:rFonts w:eastAsiaTheme="minorEastAsia"/>
                <w:b/>
                <w:color w:val="000000" w:themeColor="text1"/>
                <w:szCs w:val="21"/>
              </w:rPr>
              <w:t>12</w:t>
            </w:r>
            <w:r w:rsidRPr="00896265">
              <w:rPr>
                <w:rFonts w:eastAsiaTheme="minorEastAsia"/>
                <w:b/>
                <w:color w:val="000000" w:themeColor="text1"/>
                <w:szCs w:val="21"/>
              </w:rPr>
              <w:t>月</w:t>
            </w:r>
            <w:r w:rsidRPr="00896265">
              <w:rPr>
                <w:rFonts w:eastAsiaTheme="minorEastAsia"/>
                <w:b/>
                <w:color w:val="000000" w:themeColor="text1"/>
                <w:szCs w:val="21"/>
              </w:rPr>
              <w:t>31</w:t>
            </w:r>
            <w:r w:rsidRPr="00896265">
              <w:rPr>
                <w:rFonts w:eastAsiaTheme="minorEastAsia"/>
                <w:b/>
                <w:color w:val="000000" w:themeColor="text1"/>
                <w:szCs w:val="21"/>
              </w:rPr>
              <w:t>日</w:t>
            </w:r>
          </w:p>
        </w:tc>
        <w:tc>
          <w:tcPr>
            <w:tcW w:w="1701" w:type="dxa"/>
            <w:vAlign w:val="center"/>
          </w:tcPr>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1</w:t>
            </w:r>
            <w:r w:rsidRPr="00896265">
              <w:rPr>
                <w:rFonts w:eastAsiaTheme="minorEastAsia"/>
                <w:b/>
                <w:color w:val="000000" w:themeColor="text1"/>
                <w:szCs w:val="21"/>
              </w:rPr>
              <w:t>年以内</w:t>
            </w:r>
          </w:p>
        </w:tc>
        <w:tc>
          <w:tcPr>
            <w:tcW w:w="1701" w:type="dxa"/>
            <w:vAlign w:val="center"/>
          </w:tcPr>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1-5</w:t>
            </w:r>
            <w:r w:rsidRPr="00896265">
              <w:rPr>
                <w:rFonts w:eastAsiaTheme="minorEastAsia"/>
                <w:b/>
                <w:color w:val="000000" w:themeColor="text1"/>
                <w:szCs w:val="21"/>
              </w:rPr>
              <w:t>年</w:t>
            </w:r>
          </w:p>
        </w:tc>
        <w:tc>
          <w:tcPr>
            <w:tcW w:w="1559" w:type="dxa"/>
            <w:vAlign w:val="center"/>
          </w:tcPr>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5</w:t>
            </w:r>
            <w:r w:rsidRPr="00896265">
              <w:rPr>
                <w:rFonts w:eastAsiaTheme="minorEastAsia"/>
                <w:b/>
                <w:color w:val="000000" w:themeColor="text1"/>
                <w:szCs w:val="21"/>
              </w:rPr>
              <w:t>年以上</w:t>
            </w:r>
          </w:p>
        </w:tc>
        <w:tc>
          <w:tcPr>
            <w:tcW w:w="1559" w:type="dxa"/>
            <w:vAlign w:val="center"/>
          </w:tcPr>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不计息</w:t>
            </w:r>
          </w:p>
        </w:tc>
        <w:tc>
          <w:tcPr>
            <w:tcW w:w="1301" w:type="dxa"/>
            <w:vAlign w:val="center"/>
          </w:tcPr>
          <w:p w:rsidR="001550BA" w:rsidRPr="00896265" w:rsidRDefault="001550BA" w:rsidP="001A74A1">
            <w:pPr>
              <w:spacing w:line="360" w:lineRule="auto"/>
              <w:jc w:val="center"/>
              <w:rPr>
                <w:rFonts w:eastAsiaTheme="minorEastAsia"/>
                <w:b/>
                <w:color w:val="000000" w:themeColor="text1"/>
                <w:szCs w:val="21"/>
              </w:rPr>
            </w:pPr>
            <w:r w:rsidRPr="00896265">
              <w:rPr>
                <w:rFonts w:eastAsiaTheme="minorEastAsia"/>
                <w:b/>
                <w:color w:val="000000" w:themeColor="text1"/>
                <w:szCs w:val="21"/>
              </w:rPr>
              <w:t>合计</w:t>
            </w:r>
          </w:p>
        </w:tc>
      </w:tr>
      <w:tr w:rsidR="00E60957" w:rsidRPr="00896265" w:rsidTr="00215394">
        <w:trPr>
          <w:trHeight w:val="280"/>
        </w:trPr>
        <w:tc>
          <w:tcPr>
            <w:tcW w:w="1588" w:type="dxa"/>
          </w:tcPr>
          <w:p w:rsidR="001550BA" w:rsidRPr="00896265" w:rsidRDefault="001550BA" w:rsidP="001A74A1">
            <w:pPr>
              <w:spacing w:line="360" w:lineRule="auto"/>
              <w:rPr>
                <w:rFonts w:eastAsiaTheme="minorEastAsia"/>
                <w:color w:val="000000" w:themeColor="text1"/>
                <w:szCs w:val="21"/>
              </w:rPr>
            </w:pPr>
            <w:r w:rsidRPr="00896265">
              <w:rPr>
                <w:rFonts w:eastAsiaTheme="minorEastAsia"/>
                <w:color w:val="000000" w:themeColor="text1"/>
                <w:szCs w:val="21"/>
              </w:rPr>
              <w:t>资产</w:t>
            </w:r>
          </w:p>
        </w:tc>
        <w:tc>
          <w:tcPr>
            <w:tcW w:w="1701" w:type="dxa"/>
            <w:vAlign w:val="center"/>
          </w:tcPr>
          <w:p w:rsidR="001550BA" w:rsidRPr="00896265" w:rsidRDefault="001550BA" w:rsidP="001A74A1">
            <w:pPr>
              <w:spacing w:line="360" w:lineRule="auto"/>
              <w:jc w:val="right"/>
              <w:rPr>
                <w:rFonts w:eastAsiaTheme="minorEastAsia"/>
                <w:color w:val="000000" w:themeColor="text1"/>
                <w:szCs w:val="21"/>
              </w:rPr>
            </w:pPr>
          </w:p>
        </w:tc>
        <w:tc>
          <w:tcPr>
            <w:tcW w:w="1701" w:type="dxa"/>
            <w:vAlign w:val="center"/>
          </w:tcPr>
          <w:p w:rsidR="001550BA" w:rsidRPr="00896265" w:rsidRDefault="001550BA" w:rsidP="001A74A1">
            <w:pPr>
              <w:spacing w:line="360" w:lineRule="auto"/>
              <w:jc w:val="right"/>
              <w:rPr>
                <w:rFonts w:eastAsiaTheme="minorEastAsia"/>
                <w:b/>
                <w:color w:val="000000" w:themeColor="text1"/>
                <w:szCs w:val="21"/>
              </w:rPr>
            </w:pPr>
          </w:p>
        </w:tc>
        <w:tc>
          <w:tcPr>
            <w:tcW w:w="1559" w:type="dxa"/>
            <w:vAlign w:val="center"/>
          </w:tcPr>
          <w:p w:rsidR="001550BA" w:rsidRPr="00896265" w:rsidRDefault="001550BA" w:rsidP="001A74A1">
            <w:pPr>
              <w:spacing w:line="360" w:lineRule="auto"/>
              <w:jc w:val="right"/>
              <w:rPr>
                <w:rFonts w:eastAsiaTheme="minorEastAsia"/>
                <w:b/>
                <w:color w:val="000000" w:themeColor="text1"/>
                <w:szCs w:val="21"/>
              </w:rPr>
            </w:pPr>
          </w:p>
        </w:tc>
        <w:tc>
          <w:tcPr>
            <w:tcW w:w="1559" w:type="dxa"/>
            <w:vAlign w:val="center"/>
          </w:tcPr>
          <w:p w:rsidR="001550BA" w:rsidRPr="00896265" w:rsidRDefault="001550BA" w:rsidP="001A74A1">
            <w:pPr>
              <w:spacing w:line="360" w:lineRule="auto"/>
              <w:jc w:val="right"/>
              <w:rPr>
                <w:rFonts w:eastAsiaTheme="minorEastAsia"/>
                <w:b/>
                <w:color w:val="000000" w:themeColor="text1"/>
                <w:szCs w:val="21"/>
              </w:rPr>
            </w:pPr>
          </w:p>
        </w:tc>
        <w:tc>
          <w:tcPr>
            <w:tcW w:w="1301" w:type="dxa"/>
            <w:vAlign w:val="center"/>
          </w:tcPr>
          <w:p w:rsidR="001550BA" w:rsidRPr="00896265" w:rsidRDefault="001550BA" w:rsidP="001A74A1">
            <w:pPr>
              <w:spacing w:line="360" w:lineRule="auto"/>
              <w:jc w:val="right"/>
              <w:rPr>
                <w:rFonts w:eastAsiaTheme="minorEastAsia"/>
                <w:b/>
                <w:color w:val="000000" w:themeColor="text1"/>
                <w:szCs w:val="21"/>
              </w:rPr>
            </w:pPr>
          </w:p>
        </w:tc>
      </w:tr>
      <w:tr w:rsidR="00F14AEA">
        <w:tc>
          <w:tcPr>
            <w:tcW w:w="1588" w:type="dxa"/>
            <w:vAlign w:val="center"/>
          </w:tcPr>
          <w:p w:rsidR="00F14AEA" w:rsidRDefault="00EC6028">
            <w:pPr>
              <w:jc w:val="center"/>
            </w:pPr>
            <w:r>
              <w:rPr>
                <w:rFonts w:eastAsiaTheme="minorEastAsia"/>
                <w:color w:val="000000" w:themeColor="text1"/>
                <w:szCs w:val="21"/>
              </w:rPr>
              <w:t>银行存款</w:t>
            </w:r>
          </w:p>
        </w:tc>
        <w:tc>
          <w:tcPr>
            <w:tcW w:w="1701" w:type="dxa"/>
            <w:vAlign w:val="center"/>
          </w:tcPr>
          <w:p w:rsidR="00F14AEA" w:rsidRDefault="00EC6028">
            <w:pPr>
              <w:jc w:val="right"/>
            </w:pPr>
            <w:r>
              <w:rPr>
                <w:rFonts w:eastAsiaTheme="minorEastAsia"/>
                <w:color w:val="000000" w:themeColor="text1"/>
                <w:szCs w:val="21"/>
              </w:rPr>
              <w:t>26,305,736.50</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26,305,736.50</w:t>
            </w:r>
          </w:p>
        </w:tc>
      </w:tr>
      <w:tr w:rsidR="00F14AEA">
        <w:tc>
          <w:tcPr>
            <w:tcW w:w="1588" w:type="dxa"/>
            <w:vAlign w:val="center"/>
          </w:tcPr>
          <w:p w:rsidR="00F14AEA" w:rsidRDefault="00EC6028">
            <w:pPr>
              <w:jc w:val="center"/>
            </w:pPr>
            <w:r>
              <w:rPr>
                <w:rFonts w:eastAsiaTheme="minorEastAsia"/>
                <w:color w:val="000000" w:themeColor="text1"/>
                <w:szCs w:val="21"/>
              </w:rPr>
              <w:t>结算备付金</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存出保证金</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交易性金融资产</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242,790,926.68</w:t>
            </w:r>
          </w:p>
        </w:tc>
        <w:tc>
          <w:tcPr>
            <w:tcW w:w="1301" w:type="dxa"/>
            <w:vAlign w:val="center"/>
          </w:tcPr>
          <w:p w:rsidR="00F14AEA" w:rsidRDefault="00EC6028">
            <w:pPr>
              <w:jc w:val="right"/>
            </w:pPr>
            <w:r>
              <w:rPr>
                <w:rFonts w:eastAsiaTheme="minorEastAsia"/>
                <w:color w:val="000000" w:themeColor="text1"/>
                <w:szCs w:val="21"/>
              </w:rPr>
              <w:t>242,790,926.68</w:t>
            </w:r>
          </w:p>
        </w:tc>
      </w:tr>
      <w:tr w:rsidR="00F14AEA">
        <w:tc>
          <w:tcPr>
            <w:tcW w:w="1588" w:type="dxa"/>
            <w:vAlign w:val="center"/>
          </w:tcPr>
          <w:p w:rsidR="00F14AEA" w:rsidRDefault="00EC6028">
            <w:pPr>
              <w:jc w:val="center"/>
            </w:pPr>
            <w:r>
              <w:rPr>
                <w:rFonts w:eastAsiaTheme="minorEastAsia"/>
                <w:color w:val="000000" w:themeColor="text1"/>
                <w:szCs w:val="21"/>
              </w:rPr>
              <w:t>衍生金融资产</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买入返售金融资产</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应收证券清算款</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96,774.96</w:t>
            </w:r>
          </w:p>
        </w:tc>
        <w:tc>
          <w:tcPr>
            <w:tcW w:w="1301" w:type="dxa"/>
            <w:vAlign w:val="center"/>
          </w:tcPr>
          <w:p w:rsidR="00F14AEA" w:rsidRDefault="00EC6028">
            <w:pPr>
              <w:jc w:val="right"/>
            </w:pPr>
            <w:r>
              <w:rPr>
                <w:rFonts w:eastAsiaTheme="minorEastAsia"/>
                <w:color w:val="000000" w:themeColor="text1"/>
                <w:szCs w:val="21"/>
              </w:rPr>
              <w:t>96,774.96</w:t>
            </w:r>
          </w:p>
        </w:tc>
      </w:tr>
      <w:tr w:rsidR="00F14AEA">
        <w:tc>
          <w:tcPr>
            <w:tcW w:w="1588" w:type="dxa"/>
            <w:vAlign w:val="center"/>
          </w:tcPr>
          <w:p w:rsidR="00F14AEA" w:rsidRDefault="00EC6028">
            <w:pPr>
              <w:jc w:val="center"/>
            </w:pPr>
            <w:r>
              <w:rPr>
                <w:rFonts w:eastAsiaTheme="minorEastAsia"/>
                <w:color w:val="000000" w:themeColor="text1"/>
                <w:szCs w:val="21"/>
              </w:rPr>
              <w:t>应收利息</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945.45</w:t>
            </w:r>
          </w:p>
        </w:tc>
        <w:tc>
          <w:tcPr>
            <w:tcW w:w="1301" w:type="dxa"/>
            <w:vAlign w:val="center"/>
          </w:tcPr>
          <w:p w:rsidR="00F14AEA" w:rsidRDefault="00EC6028">
            <w:pPr>
              <w:jc w:val="right"/>
            </w:pPr>
            <w:r>
              <w:rPr>
                <w:rFonts w:eastAsiaTheme="minorEastAsia"/>
                <w:color w:val="000000" w:themeColor="text1"/>
                <w:szCs w:val="21"/>
              </w:rPr>
              <w:t>945.45</w:t>
            </w:r>
          </w:p>
        </w:tc>
      </w:tr>
      <w:tr w:rsidR="00F14AEA">
        <w:tc>
          <w:tcPr>
            <w:tcW w:w="1588" w:type="dxa"/>
            <w:vAlign w:val="center"/>
          </w:tcPr>
          <w:p w:rsidR="00F14AEA" w:rsidRDefault="00EC6028">
            <w:pPr>
              <w:jc w:val="center"/>
            </w:pPr>
            <w:r>
              <w:rPr>
                <w:rFonts w:eastAsiaTheme="minorEastAsia"/>
                <w:color w:val="000000" w:themeColor="text1"/>
                <w:szCs w:val="21"/>
              </w:rPr>
              <w:t>应收股利</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应收申购款</w:t>
            </w:r>
          </w:p>
        </w:tc>
        <w:tc>
          <w:tcPr>
            <w:tcW w:w="1701" w:type="dxa"/>
            <w:vAlign w:val="center"/>
          </w:tcPr>
          <w:p w:rsidR="00F14AEA" w:rsidRDefault="00EC6028">
            <w:pPr>
              <w:jc w:val="right"/>
            </w:pPr>
            <w:r>
              <w:rPr>
                <w:rFonts w:eastAsiaTheme="minorEastAsia"/>
                <w:color w:val="000000" w:themeColor="text1"/>
                <w:szCs w:val="21"/>
              </w:rPr>
              <w:t>14,717.48</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41,795.47</w:t>
            </w:r>
          </w:p>
        </w:tc>
        <w:tc>
          <w:tcPr>
            <w:tcW w:w="1301" w:type="dxa"/>
            <w:vAlign w:val="center"/>
          </w:tcPr>
          <w:p w:rsidR="00F14AEA" w:rsidRDefault="00EC6028">
            <w:pPr>
              <w:jc w:val="right"/>
            </w:pPr>
            <w:r>
              <w:rPr>
                <w:rFonts w:eastAsiaTheme="minorEastAsia"/>
                <w:color w:val="000000" w:themeColor="text1"/>
                <w:szCs w:val="21"/>
              </w:rPr>
              <w:t>56,512.95</w:t>
            </w:r>
          </w:p>
        </w:tc>
      </w:tr>
      <w:tr w:rsidR="00F14AEA">
        <w:tc>
          <w:tcPr>
            <w:tcW w:w="1588" w:type="dxa"/>
            <w:vAlign w:val="center"/>
          </w:tcPr>
          <w:p w:rsidR="00F14AEA" w:rsidRDefault="00EC6028">
            <w:pPr>
              <w:jc w:val="center"/>
            </w:pPr>
            <w:r>
              <w:rPr>
                <w:rFonts w:eastAsiaTheme="minorEastAsia"/>
                <w:color w:val="000000" w:themeColor="text1"/>
                <w:szCs w:val="21"/>
              </w:rPr>
              <w:t>递延所得税资产</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其他资产</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E60957" w:rsidRPr="00896265" w:rsidTr="00215394">
        <w:trPr>
          <w:trHeight w:val="280"/>
        </w:trPr>
        <w:tc>
          <w:tcPr>
            <w:tcW w:w="1588" w:type="dxa"/>
          </w:tcPr>
          <w:p w:rsidR="001550BA" w:rsidRPr="00896265" w:rsidRDefault="001550BA" w:rsidP="001A74A1">
            <w:pPr>
              <w:spacing w:line="360" w:lineRule="auto"/>
              <w:rPr>
                <w:rFonts w:eastAsiaTheme="minorEastAsia"/>
                <w:color w:val="000000" w:themeColor="text1"/>
                <w:szCs w:val="21"/>
              </w:rPr>
            </w:pPr>
            <w:r w:rsidRPr="00896265">
              <w:rPr>
                <w:rFonts w:eastAsiaTheme="minorEastAsia"/>
                <w:color w:val="000000" w:themeColor="text1"/>
                <w:szCs w:val="21"/>
              </w:rPr>
              <w:t>资产总计</w:t>
            </w:r>
          </w:p>
        </w:tc>
        <w:tc>
          <w:tcPr>
            <w:tcW w:w="1701"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26,320,453.98</w:t>
            </w:r>
          </w:p>
        </w:tc>
        <w:tc>
          <w:tcPr>
            <w:tcW w:w="1701"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559" w:type="dxa"/>
            <w:vAlign w:val="center"/>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559"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242,930,442.56</w:t>
            </w:r>
          </w:p>
        </w:tc>
        <w:tc>
          <w:tcPr>
            <w:tcW w:w="1301"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269,250,896.54</w:t>
            </w:r>
          </w:p>
        </w:tc>
      </w:tr>
      <w:tr w:rsidR="00E60957" w:rsidRPr="00896265" w:rsidTr="00215394">
        <w:trPr>
          <w:trHeight w:val="278"/>
        </w:trPr>
        <w:tc>
          <w:tcPr>
            <w:tcW w:w="1588" w:type="dxa"/>
          </w:tcPr>
          <w:p w:rsidR="001550BA" w:rsidRPr="00896265" w:rsidRDefault="001550BA" w:rsidP="001A74A1">
            <w:pPr>
              <w:spacing w:line="360" w:lineRule="auto"/>
              <w:rPr>
                <w:rFonts w:eastAsiaTheme="minorEastAsia"/>
                <w:color w:val="000000" w:themeColor="text1"/>
                <w:szCs w:val="21"/>
              </w:rPr>
            </w:pPr>
            <w:r w:rsidRPr="00896265">
              <w:rPr>
                <w:rFonts w:eastAsiaTheme="minorEastAsia"/>
                <w:color w:val="000000" w:themeColor="text1"/>
                <w:szCs w:val="21"/>
              </w:rPr>
              <w:t>负债</w:t>
            </w:r>
          </w:p>
        </w:tc>
        <w:tc>
          <w:tcPr>
            <w:tcW w:w="1701" w:type="dxa"/>
            <w:vAlign w:val="bottom"/>
          </w:tcPr>
          <w:p w:rsidR="001550BA" w:rsidRPr="00896265" w:rsidRDefault="001550BA" w:rsidP="001A74A1">
            <w:pPr>
              <w:spacing w:line="360" w:lineRule="auto"/>
              <w:jc w:val="right"/>
              <w:rPr>
                <w:rFonts w:eastAsiaTheme="minorEastAsia"/>
                <w:color w:val="000000" w:themeColor="text1"/>
                <w:kern w:val="0"/>
                <w:szCs w:val="21"/>
              </w:rPr>
            </w:pPr>
          </w:p>
        </w:tc>
        <w:tc>
          <w:tcPr>
            <w:tcW w:w="1701" w:type="dxa"/>
            <w:vAlign w:val="bottom"/>
          </w:tcPr>
          <w:p w:rsidR="001550BA" w:rsidRPr="00896265" w:rsidRDefault="001550BA" w:rsidP="001A74A1">
            <w:pPr>
              <w:spacing w:line="360" w:lineRule="auto"/>
              <w:jc w:val="right"/>
              <w:rPr>
                <w:rFonts w:eastAsiaTheme="minorEastAsia"/>
                <w:color w:val="000000" w:themeColor="text1"/>
                <w:szCs w:val="21"/>
              </w:rPr>
            </w:pPr>
          </w:p>
        </w:tc>
        <w:tc>
          <w:tcPr>
            <w:tcW w:w="1559" w:type="dxa"/>
            <w:vAlign w:val="bottom"/>
          </w:tcPr>
          <w:p w:rsidR="001550BA" w:rsidRPr="00896265" w:rsidRDefault="001550BA" w:rsidP="001A74A1">
            <w:pPr>
              <w:spacing w:line="360" w:lineRule="auto"/>
              <w:jc w:val="right"/>
              <w:rPr>
                <w:rFonts w:eastAsiaTheme="minorEastAsia"/>
                <w:color w:val="000000" w:themeColor="text1"/>
                <w:szCs w:val="21"/>
              </w:rPr>
            </w:pPr>
          </w:p>
        </w:tc>
        <w:tc>
          <w:tcPr>
            <w:tcW w:w="1559" w:type="dxa"/>
            <w:vAlign w:val="bottom"/>
          </w:tcPr>
          <w:p w:rsidR="001550BA" w:rsidRPr="00896265" w:rsidRDefault="001550BA" w:rsidP="001A74A1">
            <w:pPr>
              <w:spacing w:line="360" w:lineRule="auto"/>
              <w:jc w:val="right"/>
              <w:rPr>
                <w:rFonts w:eastAsiaTheme="minorEastAsia"/>
                <w:color w:val="000000" w:themeColor="text1"/>
                <w:szCs w:val="21"/>
              </w:rPr>
            </w:pPr>
          </w:p>
        </w:tc>
        <w:tc>
          <w:tcPr>
            <w:tcW w:w="1301" w:type="dxa"/>
            <w:vAlign w:val="bottom"/>
          </w:tcPr>
          <w:p w:rsidR="001550BA" w:rsidRPr="00896265" w:rsidRDefault="001550BA" w:rsidP="001A74A1">
            <w:pPr>
              <w:spacing w:line="360" w:lineRule="auto"/>
              <w:jc w:val="right"/>
              <w:rPr>
                <w:rFonts w:eastAsiaTheme="minorEastAsia"/>
                <w:color w:val="000000" w:themeColor="text1"/>
                <w:szCs w:val="21"/>
              </w:rPr>
            </w:pPr>
          </w:p>
        </w:tc>
      </w:tr>
      <w:tr w:rsidR="00F14AEA">
        <w:tc>
          <w:tcPr>
            <w:tcW w:w="1588" w:type="dxa"/>
            <w:vAlign w:val="center"/>
          </w:tcPr>
          <w:p w:rsidR="00F14AEA" w:rsidRDefault="00EC6028">
            <w:pPr>
              <w:jc w:val="center"/>
            </w:pPr>
            <w:r>
              <w:rPr>
                <w:rFonts w:eastAsiaTheme="minorEastAsia"/>
                <w:color w:val="000000" w:themeColor="text1"/>
                <w:szCs w:val="21"/>
              </w:rPr>
              <w:t>短期借款</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center"/>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交易性金融负债</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center"/>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衍生金融负债</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center"/>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卖出回购金融资产款</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center"/>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应付证券清算款</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center"/>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应付赎回款</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center"/>
            </w:pPr>
            <w:r>
              <w:rPr>
                <w:rFonts w:eastAsiaTheme="minorEastAsia"/>
                <w:color w:val="000000" w:themeColor="text1"/>
                <w:szCs w:val="21"/>
              </w:rPr>
              <w:t>1,367,270.62</w:t>
            </w:r>
          </w:p>
        </w:tc>
        <w:tc>
          <w:tcPr>
            <w:tcW w:w="1301" w:type="dxa"/>
            <w:vAlign w:val="center"/>
          </w:tcPr>
          <w:p w:rsidR="00F14AEA" w:rsidRDefault="00EC6028">
            <w:pPr>
              <w:jc w:val="right"/>
            </w:pPr>
            <w:r>
              <w:rPr>
                <w:rFonts w:eastAsiaTheme="minorEastAsia"/>
                <w:color w:val="000000" w:themeColor="text1"/>
                <w:szCs w:val="21"/>
              </w:rPr>
              <w:t>1,367,270.62</w:t>
            </w:r>
          </w:p>
        </w:tc>
      </w:tr>
      <w:tr w:rsidR="00F14AEA">
        <w:tc>
          <w:tcPr>
            <w:tcW w:w="1588" w:type="dxa"/>
            <w:vAlign w:val="center"/>
          </w:tcPr>
          <w:p w:rsidR="00F14AEA" w:rsidRDefault="00EC6028">
            <w:pPr>
              <w:jc w:val="center"/>
            </w:pPr>
            <w:r>
              <w:rPr>
                <w:rFonts w:eastAsiaTheme="minorEastAsia"/>
                <w:color w:val="000000" w:themeColor="text1"/>
                <w:szCs w:val="21"/>
              </w:rPr>
              <w:t>应付管理人报酬</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center"/>
            </w:pPr>
            <w:r>
              <w:rPr>
                <w:rFonts w:eastAsiaTheme="minorEastAsia"/>
                <w:color w:val="000000" w:themeColor="text1"/>
                <w:szCs w:val="21"/>
              </w:rPr>
              <w:t>335,937.51</w:t>
            </w:r>
          </w:p>
        </w:tc>
        <w:tc>
          <w:tcPr>
            <w:tcW w:w="1301" w:type="dxa"/>
            <w:vAlign w:val="center"/>
          </w:tcPr>
          <w:p w:rsidR="00F14AEA" w:rsidRDefault="00EC6028">
            <w:pPr>
              <w:jc w:val="right"/>
            </w:pPr>
            <w:r>
              <w:rPr>
                <w:rFonts w:eastAsiaTheme="minorEastAsia"/>
                <w:color w:val="000000" w:themeColor="text1"/>
                <w:szCs w:val="21"/>
              </w:rPr>
              <w:t>335,937.51</w:t>
            </w:r>
          </w:p>
        </w:tc>
      </w:tr>
      <w:tr w:rsidR="00F14AEA">
        <w:tc>
          <w:tcPr>
            <w:tcW w:w="1588" w:type="dxa"/>
            <w:vAlign w:val="center"/>
          </w:tcPr>
          <w:p w:rsidR="00F14AEA" w:rsidRDefault="00EC6028">
            <w:pPr>
              <w:jc w:val="center"/>
            </w:pPr>
            <w:r>
              <w:rPr>
                <w:rFonts w:eastAsiaTheme="minorEastAsia"/>
                <w:color w:val="000000" w:themeColor="text1"/>
                <w:szCs w:val="21"/>
              </w:rPr>
              <w:t>应付托管费</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center"/>
            </w:pPr>
            <w:r>
              <w:rPr>
                <w:rFonts w:eastAsiaTheme="minorEastAsia"/>
                <w:color w:val="000000" w:themeColor="text1"/>
                <w:szCs w:val="21"/>
              </w:rPr>
              <w:t>67,187.50</w:t>
            </w:r>
          </w:p>
        </w:tc>
        <w:tc>
          <w:tcPr>
            <w:tcW w:w="1301" w:type="dxa"/>
            <w:vAlign w:val="center"/>
          </w:tcPr>
          <w:p w:rsidR="00F14AEA" w:rsidRDefault="00EC6028">
            <w:pPr>
              <w:jc w:val="right"/>
            </w:pPr>
            <w:r>
              <w:rPr>
                <w:rFonts w:eastAsiaTheme="minorEastAsia"/>
                <w:color w:val="000000" w:themeColor="text1"/>
                <w:szCs w:val="21"/>
              </w:rPr>
              <w:t>67,187.50</w:t>
            </w:r>
          </w:p>
        </w:tc>
      </w:tr>
      <w:tr w:rsidR="00F14AEA">
        <w:tc>
          <w:tcPr>
            <w:tcW w:w="1588" w:type="dxa"/>
            <w:vAlign w:val="center"/>
          </w:tcPr>
          <w:p w:rsidR="00F14AEA" w:rsidRDefault="00EC6028">
            <w:pPr>
              <w:jc w:val="center"/>
            </w:pPr>
            <w:r>
              <w:rPr>
                <w:rFonts w:eastAsiaTheme="minorEastAsia"/>
                <w:color w:val="000000" w:themeColor="text1"/>
                <w:szCs w:val="21"/>
              </w:rPr>
              <w:t>应付销售服务费</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center"/>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应付交易费用</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center"/>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应交税费</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center"/>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应付利息</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center"/>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应付利润</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center"/>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递延所得税负债</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center"/>
            </w:pPr>
            <w:r>
              <w:rPr>
                <w:rFonts w:eastAsiaTheme="minorEastAsia"/>
                <w:color w:val="000000" w:themeColor="text1"/>
                <w:szCs w:val="21"/>
              </w:rPr>
              <w:t>-</w:t>
            </w:r>
          </w:p>
        </w:tc>
        <w:tc>
          <w:tcPr>
            <w:tcW w:w="1301" w:type="dxa"/>
            <w:vAlign w:val="center"/>
          </w:tcPr>
          <w:p w:rsidR="00F14AEA" w:rsidRDefault="00EC6028">
            <w:pPr>
              <w:jc w:val="right"/>
            </w:pPr>
            <w:r>
              <w:rPr>
                <w:rFonts w:eastAsiaTheme="minorEastAsia"/>
                <w:color w:val="000000" w:themeColor="text1"/>
                <w:szCs w:val="21"/>
              </w:rPr>
              <w:t>-</w:t>
            </w:r>
          </w:p>
        </w:tc>
      </w:tr>
      <w:tr w:rsidR="00F14AEA">
        <w:tc>
          <w:tcPr>
            <w:tcW w:w="1588" w:type="dxa"/>
            <w:vAlign w:val="center"/>
          </w:tcPr>
          <w:p w:rsidR="00F14AEA" w:rsidRDefault="00EC6028">
            <w:pPr>
              <w:jc w:val="center"/>
            </w:pPr>
            <w:r>
              <w:rPr>
                <w:rFonts w:eastAsiaTheme="minorEastAsia"/>
                <w:color w:val="000000" w:themeColor="text1"/>
                <w:szCs w:val="21"/>
              </w:rPr>
              <w:t>其他负债</w:t>
            </w:r>
          </w:p>
        </w:tc>
        <w:tc>
          <w:tcPr>
            <w:tcW w:w="1701" w:type="dxa"/>
            <w:vAlign w:val="center"/>
          </w:tcPr>
          <w:p w:rsidR="00F14AEA" w:rsidRDefault="00EC6028">
            <w:pPr>
              <w:jc w:val="right"/>
            </w:pPr>
            <w:r>
              <w:rPr>
                <w:rFonts w:eastAsiaTheme="minorEastAsia"/>
                <w:color w:val="000000" w:themeColor="text1"/>
                <w:szCs w:val="21"/>
              </w:rPr>
              <w:t>-</w:t>
            </w:r>
          </w:p>
        </w:tc>
        <w:tc>
          <w:tcPr>
            <w:tcW w:w="1701"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right"/>
            </w:pPr>
            <w:r>
              <w:rPr>
                <w:rFonts w:eastAsiaTheme="minorEastAsia"/>
                <w:color w:val="000000" w:themeColor="text1"/>
                <w:szCs w:val="21"/>
              </w:rPr>
              <w:t>-</w:t>
            </w:r>
          </w:p>
        </w:tc>
        <w:tc>
          <w:tcPr>
            <w:tcW w:w="1559" w:type="dxa"/>
            <w:vAlign w:val="center"/>
          </w:tcPr>
          <w:p w:rsidR="00F14AEA" w:rsidRDefault="00EC6028">
            <w:pPr>
              <w:jc w:val="center"/>
            </w:pPr>
            <w:r>
              <w:rPr>
                <w:rFonts w:eastAsiaTheme="minorEastAsia"/>
                <w:color w:val="000000" w:themeColor="text1"/>
                <w:szCs w:val="21"/>
              </w:rPr>
              <w:t>272,719.36</w:t>
            </w:r>
          </w:p>
        </w:tc>
        <w:tc>
          <w:tcPr>
            <w:tcW w:w="1301" w:type="dxa"/>
            <w:vAlign w:val="center"/>
          </w:tcPr>
          <w:p w:rsidR="00F14AEA" w:rsidRDefault="00EC6028">
            <w:pPr>
              <w:jc w:val="right"/>
            </w:pPr>
            <w:r>
              <w:rPr>
                <w:rFonts w:eastAsiaTheme="minorEastAsia"/>
                <w:color w:val="000000" w:themeColor="text1"/>
                <w:szCs w:val="21"/>
              </w:rPr>
              <w:t>272,719.36</w:t>
            </w:r>
          </w:p>
        </w:tc>
      </w:tr>
      <w:tr w:rsidR="00E60957" w:rsidRPr="00896265" w:rsidTr="00215394">
        <w:trPr>
          <w:trHeight w:val="278"/>
        </w:trPr>
        <w:tc>
          <w:tcPr>
            <w:tcW w:w="1588" w:type="dxa"/>
          </w:tcPr>
          <w:p w:rsidR="001550BA" w:rsidRPr="00896265" w:rsidRDefault="001550BA" w:rsidP="001A74A1">
            <w:pPr>
              <w:spacing w:line="360" w:lineRule="auto"/>
              <w:rPr>
                <w:rFonts w:eastAsiaTheme="minorEastAsia"/>
                <w:color w:val="000000" w:themeColor="text1"/>
                <w:szCs w:val="21"/>
              </w:rPr>
            </w:pPr>
            <w:r w:rsidRPr="00896265">
              <w:rPr>
                <w:rFonts w:eastAsiaTheme="minorEastAsia"/>
                <w:color w:val="000000" w:themeColor="text1"/>
                <w:szCs w:val="21"/>
              </w:rPr>
              <w:t>负债总计</w:t>
            </w:r>
          </w:p>
        </w:tc>
        <w:tc>
          <w:tcPr>
            <w:tcW w:w="1701"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701"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559"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559"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2,043,114.99</w:t>
            </w:r>
          </w:p>
        </w:tc>
        <w:tc>
          <w:tcPr>
            <w:tcW w:w="1301"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2,043,114.99</w:t>
            </w:r>
          </w:p>
        </w:tc>
      </w:tr>
      <w:tr w:rsidR="00E60957" w:rsidRPr="00896265" w:rsidTr="00215394">
        <w:trPr>
          <w:trHeight w:val="278"/>
        </w:trPr>
        <w:tc>
          <w:tcPr>
            <w:tcW w:w="1588" w:type="dxa"/>
          </w:tcPr>
          <w:p w:rsidR="001550BA" w:rsidRPr="00896265" w:rsidRDefault="001550BA" w:rsidP="001A74A1">
            <w:pPr>
              <w:spacing w:line="360" w:lineRule="auto"/>
              <w:rPr>
                <w:rFonts w:eastAsiaTheme="minorEastAsia"/>
                <w:color w:val="000000" w:themeColor="text1"/>
                <w:szCs w:val="21"/>
              </w:rPr>
            </w:pPr>
            <w:r w:rsidRPr="00896265">
              <w:rPr>
                <w:rFonts w:eastAsiaTheme="minorEastAsia"/>
                <w:color w:val="000000" w:themeColor="text1"/>
                <w:szCs w:val="21"/>
              </w:rPr>
              <w:t>利率敏感度缺口</w:t>
            </w:r>
          </w:p>
        </w:tc>
        <w:tc>
          <w:tcPr>
            <w:tcW w:w="1701" w:type="dxa"/>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26,320,453.98</w:t>
            </w:r>
          </w:p>
        </w:tc>
        <w:tc>
          <w:tcPr>
            <w:tcW w:w="1701" w:type="dxa"/>
            <w:vAlign w:val="center"/>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559" w:type="dxa"/>
            <w:vAlign w:val="center"/>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559" w:type="dxa"/>
            <w:vAlign w:val="center"/>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240,887,327.57</w:t>
            </w:r>
          </w:p>
        </w:tc>
        <w:tc>
          <w:tcPr>
            <w:tcW w:w="1301" w:type="dxa"/>
            <w:vAlign w:val="center"/>
          </w:tcPr>
          <w:p w:rsidR="001550BA" w:rsidRPr="00896265" w:rsidRDefault="001550B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267,207,781.55</w:t>
            </w:r>
          </w:p>
        </w:tc>
      </w:tr>
    </w:tbl>
    <w:p w:rsidR="007B62FA" w:rsidRPr="00896265" w:rsidRDefault="001550BA" w:rsidP="00215394">
      <w:pPr>
        <w:widowControl/>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注：各期限分类的标准为按金融资产或金融负债的重新定价日或到期日孰早者进行分类。</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7.4.13.4.1.2</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利率风险的敏感性分析</w:t>
      </w:r>
    </w:p>
    <w:p w:rsidR="007B62FA" w:rsidRPr="00896265" w:rsidRDefault="00EA53F6" w:rsidP="00215394">
      <w:pPr>
        <w:widowControl/>
        <w:spacing w:line="360" w:lineRule="auto"/>
        <w:ind w:firstLineChars="200" w:firstLine="420"/>
        <w:jc w:val="left"/>
        <w:rPr>
          <w:rFonts w:eastAsiaTheme="minorEastAsia"/>
          <w:color w:val="000000" w:themeColor="text1"/>
          <w:kern w:val="0"/>
          <w:szCs w:val="21"/>
        </w:rPr>
      </w:pPr>
      <w:r w:rsidRPr="00896265">
        <w:rPr>
          <w:rFonts w:eastAsiaTheme="minorEastAsia"/>
          <w:color w:val="000000" w:themeColor="text1"/>
          <w:kern w:val="0"/>
          <w:szCs w:val="21"/>
        </w:rPr>
        <w:t>本期末本基金未持有交易性债券投资</w:t>
      </w:r>
      <w:r w:rsidRPr="00896265">
        <w:rPr>
          <w:rFonts w:eastAsiaTheme="minorEastAsia"/>
          <w:color w:val="000000" w:themeColor="text1"/>
          <w:kern w:val="0"/>
          <w:szCs w:val="21"/>
        </w:rPr>
        <w:t>(</w:t>
      </w:r>
      <w:r w:rsidRPr="00896265">
        <w:rPr>
          <w:rFonts w:eastAsiaTheme="minorEastAsia"/>
          <w:color w:val="000000" w:themeColor="text1"/>
          <w:kern w:val="0"/>
          <w:szCs w:val="21"/>
        </w:rPr>
        <w:t>不包括可转债），因此市场利率的变动对于本基金资产净值无重大影响。</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7.4.13.4.2</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外汇风险</w:t>
      </w:r>
    </w:p>
    <w:p w:rsidR="007B62FA" w:rsidRPr="00896265" w:rsidRDefault="007B62FA" w:rsidP="00340730">
      <w:pPr>
        <w:widowControl/>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本基金投资于海外市场，海外市场金融品种以外币计价，如果所投资市场的货币相对于人民币贬值，将对基金收益产生不利影响；外币对人民币的汇率大幅波动也将加大基金净值波动的幅度。</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7.4.13.4.2.1</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外汇风险敞口</w:t>
      </w:r>
    </w:p>
    <w:p w:rsidR="00D56ADA" w:rsidRPr="00896265" w:rsidRDefault="00D56ADA" w:rsidP="00D56ADA">
      <w:pPr>
        <w:spacing w:line="360" w:lineRule="auto"/>
        <w:jc w:val="right"/>
        <w:rPr>
          <w:color w:val="000000"/>
          <w:szCs w:val="21"/>
        </w:rPr>
      </w:pPr>
      <w:r w:rsidRPr="00896265">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701"/>
        <w:gridCol w:w="1843"/>
        <w:gridCol w:w="1842"/>
        <w:gridCol w:w="1629"/>
      </w:tblGrid>
      <w:tr w:rsidR="00D56ADA" w:rsidRPr="00896265" w:rsidTr="000852F3">
        <w:tc>
          <w:tcPr>
            <w:tcW w:w="1985" w:type="dxa"/>
            <w:vMerge w:val="restart"/>
            <w:vAlign w:val="center"/>
          </w:tcPr>
          <w:p w:rsidR="00D56ADA" w:rsidRPr="00896265" w:rsidRDefault="00D56ADA" w:rsidP="000852F3">
            <w:pPr>
              <w:autoSpaceDE w:val="0"/>
              <w:autoSpaceDN w:val="0"/>
              <w:adjustRightInd w:val="0"/>
              <w:spacing w:before="29" w:line="360" w:lineRule="auto"/>
              <w:ind w:left="15"/>
              <w:jc w:val="center"/>
              <w:rPr>
                <w:color w:val="000000"/>
                <w:kern w:val="0"/>
                <w:szCs w:val="21"/>
              </w:rPr>
            </w:pPr>
            <w:r w:rsidRPr="00896265">
              <w:rPr>
                <w:color w:val="000000"/>
                <w:szCs w:val="21"/>
              </w:rPr>
              <w:t>项目</w:t>
            </w:r>
          </w:p>
        </w:tc>
        <w:tc>
          <w:tcPr>
            <w:tcW w:w="7015" w:type="dxa"/>
            <w:gridSpan w:val="4"/>
          </w:tcPr>
          <w:p w:rsidR="00D56ADA" w:rsidRPr="00896265" w:rsidRDefault="00D56ADA" w:rsidP="000852F3">
            <w:pPr>
              <w:spacing w:line="360" w:lineRule="auto"/>
              <w:jc w:val="center"/>
              <w:rPr>
                <w:color w:val="000000"/>
                <w:szCs w:val="21"/>
              </w:rPr>
            </w:pPr>
            <w:r w:rsidRPr="00896265">
              <w:rPr>
                <w:color w:val="000000"/>
                <w:szCs w:val="21"/>
              </w:rPr>
              <w:t>本期末</w:t>
            </w:r>
          </w:p>
          <w:p w:rsidR="00D56ADA" w:rsidRPr="00896265" w:rsidRDefault="00D56ADA" w:rsidP="000852F3">
            <w:pPr>
              <w:autoSpaceDE w:val="0"/>
              <w:autoSpaceDN w:val="0"/>
              <w:adjustRightInd w:val="0"/>
              <w:spacing w:before="29" w:line="360" w:lineRule="auto"/>
              <w:ind w:left="15"/>
              <w:jc w:val="center"/>
              <w:rPr>
                <w:color w:val="000000"/>
                <w:kern w:val="0"/>
                <w:szCs w:val="21"/>
              </w:rPr>
            </w:pPr>
            <w:r w:rsidRPr="00896265">
              <w:rPr>
                <w:szCs w:val="21"/>
              </w:rPr>
              <w:t>2019</w:t>
            </w:r>
            <w:r w:rsidRPr="00896265">
              <w:rPr>
                <w:szCs w:val="21"/>
              </w:rPr>
              <w:t>年</w:t>
            </w:r>
            <w:r w:rsidRPr="00896265">
              <w:rPr>
                <w:szCs w:val="21"/>
              </w:rPr>
              <w:t>12</w:t>
            </w:r>
            <w:r w:rsidRPr="00896265">
              <w:rPr>
                <w:szCs w:val="21"/>
              </w:rPr>
              <w:t>月</w:t>
            </w:r>
            <w:r w:rsidRPr="00896265">
              <w:rPr>
                <w:szCs w:val="21"/>
              </w:rPr>
              <w:t>31</w:t>
            </w:r>
            <w:r w:rsidRPr="00896265">
              <w:rPr>
                <w:szCs w:val="21"/>
              </w:rPr>
              <w:t>日</w:t>
            </w:r>
          </w:p>
        </w:tc>
      </w:tr>
      <w:tr w:rsidR="00D56ADA" w:rsidRPr="00896265" w:rsidTr="000852F3">
        <w:tc>
          <w:tcPr>
            <w:tcW w:w="1985" w:type="dxa"/>
            <w:vMerge/>
            <w:vAlign w:val="center"/>
          </w:tcPr>
          <w:p w:rsidR="00D56ADA" w:rsidRPr="00896265" w:rsidRDefault="00D56ADA" w:rsidP="000852F3">
            <w:pPr>
              <w:autoSpaceDE w:val="0"/>
              <w:autoSpaceDN w:val="0"/>
              <w:adjustRightInd w:val="0"/>
              <w:spacing w:before="29" w:line="360" w:lineRule="auto"/>
              <w:ind w:left="15"/>
              <w:jc w:val="left"/>
              <w:rPr>
                <w:color w:val="000000"/>
                <w:kern w:val="0"/>
                <w:szCs w:val="21"/>
              </w:rPr>
            </w:pPr>
          </w:p>
        </w:tc>
        <w:tc>
          <w:tcPr>
            <w:tcW w:w="1701" w:type="dxa"/>
            <w:vAlign w:val="center"/>
          </w:tcPr>
          <w:p w:rsidR="00D56ADA" w:rsidRPr="00896265" w:rsidRDefault="00D56ADA" w:rsidP="000852F3">
            <w:pPr>
              <w:spacing w:line="360" w:lineRule="auto"/>
              <w:jc w:val="center"/>
              <w:rPr>
                <w:color w:val="000000"/>
                <w:szCs w:val="21"/>
              </w:rPr>
            </w:pPr>
            <w:r w:rsidRPr="00896265">
              <w:rPr>
                <w:color w:val="000000"/>
                <w:szCs w:val="21"/>
              </w:rPr>
              <w:t>美元</w:t>
            </w:r>
          </w:p>
          <w:p w:rsidR="00D56ADA" w:rsidRPr="00896265" w:rsidRDefault="00D56ADA" w:rsidP="000852F3">
            <w:pPr>
              <w:spacing w:line="360" w:lineRule="auto"/>
              <w:jc w:val="center"/>
              <w:rPr>
                <w:color w:val="000000"/>
                <w:szCs w:val="21"/>
              </w:rPr>
            </w:pPr>
            <w:r w:rsidRPr="00896265">
              <w:rPr>
                <w:color w:val="000000"/>
                <w:szCs w:val="21"/>
              </w:rPr>
              <w:t>折合人民币</w:t>
            </w:r>
          </w:p>
        </w:tc>
        <w:tc>
          <w:tcPr>
            <w:tcW w:w="1843" w:type="dxa"/>
            <w:vAlign w:val="center"/>
          </w:tcPr>
          <w:p w:rsidR="00D56ADA" w:rsidRPr="00896265" w:rsidRDefault="00D56ADA" w:rsidP="000852F3">
            <w:pPr>
              <w:spacing w:line="360" w:lineRule="auto"/>
              <w:jc w:val="center"/>
              <w:rPr>
                <w:color w:val="000000"/>
                <w:szCs w:val="21"/>
              </w:rPr>
            </w:pPr>
            <w:r w:rsidRPr="00896265">
              <w:rPr>
                <w:color w:val="000000"/>
                <w:szCs w:val="21"/>
              </w:rPr>
              <w:t>港币</w:t>
            </w:r>
          </w:p>
          <w:p w:rsidR="00D56ADA" w:rsidRPr="00896265" w:rsidRDefault="00D56ADA" w:rsidP="000852F3">
            <w:pPr>
              <w:spacing w:line="360" w:lineRule="auto"/>
              <w:jc w:val="center"/>
              <w:rPr>
                <w:color w:val="000000"/>
                <w:szCs w:val="21"/>
              </w:rPr>
            </w:pPr>
            <w:r w:rsidRPr="00896265">
              <w:rPr>
                <w:color w:val="000000"/>
                <w:szCs w:val="21"/>
              </w:rPr>
              <w:t>折合人民币</w:t>
            </w:r>
          </w:p>
        </w:tc>
        <w:tc>
          <w:tcPr>
            <w:tcW w:w="1842" w:type="dxa"/>
            <w:vAlign w:val="center"/>
          </w:tcPr>
          <w:p w:rsidR="00D56ADA" w:rsidRPr="00896265" w:rsidRDefault="00D56ADA" w:rsidP="000852F3">
            <w:pPr>
              <w:spacing w:line="360" w:lineRule="auto"/>
              <w:jc w:val="center"/>
              <w:rPr>
                <w:color w:val="000000"/>
                <w:szCs w:val="21"/>
              </w:rPr>
            </w:pPr>
            <w:r w:rsidRPr="00896265">
              <w:rPr>
                <w:color w:val="000000"/>
                <w:szCs w:val="21"/>
              </w:rPr>
              <w:t>其他币种</w:t>
            </w:r>
          </w:p>
          <w:p w:rsidR="00D56ADA" w:rsidRPr="00896265" w:rsidRDefault="00D56ADA" w:rsidP="000852F3">
            <w:pPr>
              <w:spacing w:line="360" w:lineRule="auto"/>
              <w:jc w:val="center"/>
              <w:rPr>
                <w:color w:val="000000"/>
                <w:szCs w:val="21"/>
              </w:rPr>
            </w:pPr>
            <w:r w:rsidRPr="00896265">
              <w:rPr>
                <w:color w:val="000000"/>
                <w:szCs w:val="21"/>
              </w:rPr>
              <w:t>折合人民币</w:t>
            </w:r>
          </w:p>
        </w:tc>
        <w:tc>
          <w:tcPr>
            <w:tcW w:w="1629" w:type="dxa"/>
            <w:vAlign w:val="center"/>
          </w:tcPr>
          <w:p w:rsidR="00D56ADA" w:rsidRPr="00896265" w:rsidRDefault="00D56ADA" w:rsidP="000852F3">
            <w:pPr>
              <w:spacing w:line="360" w:lineRule="auto"/>
              <w:jc w:val="center"/>
              <w:rPr>
                <w:color w:val="000000"/>
                <w:szCs w:val="21"/>
              </w:rPr>
            </w:pPr>
            <w:r w:rsidRPr="00896265">
              <w:rPr>
                <w:color w:val="000000"/>
                <w:szCs w:val="21"/>
              </w:rPr>
              <w:t>合计</w:t>
            </w:r>
          </w:p>
        </w:tc>
      </w:tr>
      <w:tr w:rsidR="00D56ADA" w:rsidRPr="00896265" w:rsidTr="000852F3">
        <w:tc>
          <w:tcPr>
            <w:tcW w:w="1985" w:type="dxa"/>
            <w:vAlign w:val="center"/>
          </w:tcPr>
          <w:p w:rsidR="00D56ADA" w:rsidRPr="00896265" w:rsidRDefault="00D56ADA" w:rsidP="000852F3">
            <w:pPr>
              <w:spacing w:line="360" w:lineRule="auto"/>
              <w:rPr>
                <w:color w:val="000000"/>
                <w:kern w:val="0"/>
                <w:szCs w:val="21"/>
              </w:rPr>
            </w:pPr>
            <w:r w:rsidRPr="00896265">
              <w:rPr>
                <w:szCs w:val="21"/>
              </w:rPr>
              <w:t>以外币计价的资产</w:t>
            </w:r>
          </w:p>
        </w:tc>
        <w:tc>
          <w:tcPr>
            <w:tcW w:w="1701" w:type="dxa"/>
          </w:tcPr>
          <w:p w:rsidR="00D56ADA" w:rsidRPr="00896265" w:rsidRDefault="00D56ADA" w:rsidP="000852F3">
            <w:pPr>
              <w:autoSpaceDE w:val="0"/>
              <w:autoSpaceDN w:val="0"/>
              <w:adjustRightInd w:val="0"/>
              <w:spacing w:before="29" w:line="360" w:lineRule="auto"/>
              <w:ind w:left="15"/>
              <w:jc w:val="right"/>
              <w:rPr>
                <w:color w:val="000000"/>
                <w:kern w:val="0"/>
                <w:szCs w:val="21"/>
              </w:rPr>
            </w:pPr>
          </w:p>
        </w:tc>
        <w:tc>
          <w:tcPr>
            <w:tcW w:w="1843" w:type="dxa"/>
          </w:tcPr>
          <w:p w:rsidR="00D56ADA" w:rsidRPr="00896265" w:rsidRDefault="00D56ADA" w:rsidP="000852F3">
            <w:pPr>
              <w:autoSpaceDE w:val="0"/>
              <w:autoSpaceDN w:val="0"/>
              <w:adjustRightInd w:val="0"/>
              <w:spacing w:before="29" w:line="360" w:lineRule="auto"/>
              <w:ind w:left="15"/>
              <w:jc w:val="right"/>
              <w:rPr>
                <w:color w:val="000000"/>
                <w:kern w:val="0"/>
                <w:szCs w:val="21"/>
              </w:rPr>
            </w:pPr>
          </w:p>
        </w:tc>
        <w:tc>
          <w:tcPr>
            <w:tcW w:w="1842" w:type="dxa"/>
          </w:tcPr>
          <w:p w:rsidR="00D56ADA" w:rsidRPr="00896265" w:rsidRDefault="00D56ADA" w:rsidP="000852F3">
            <w:pPr>
              <w:autoSpaceDE w:val="0"/>
              <w:autoSpaceDN w:val="0"/>
              <w:adjustRightInd w:val="0"/>
              <w:spacing w:before="29" w:line="360" w:lineRule="auto"/>
              <w:ind w:left="15"/>
              <w:jc w:val="right"/>
              <w:rPr>
                <w:color w:val="000000"/>
                <w:kern w:val="0"/>
                <w:szCs w:val="21"/>
              </w:rPr>
            </w:pPr>
          </w:p>
        </w:tc>
        <w:tc>
          <w:tcPr>
            <w:tcW w:w="1629" w:type="dxa"/>
            <w:vAlign w:val="center"/>
          </w:tcPr>
          <w:p w:rsidR="00D56ADA" w:rsidRPr="00896265" w:rsidRDefault="00D56ADA" w:rsidP="000852F3">
            <w:pPr>
              <w:autoSpaceDE w:val="0"/>
              <w:autoSpaceDN w:val="0"/>
              <w:adjustRightInd w:val="0"/>
              <w:spacing w:before="29" w:line="360" w:lineRule="auto"/>
              <w:ind w:left="15"/>
              <w:jc w:val="right"/>
              <w:rPr>
                <w:color w:val="000000"/>
                <w:kern w:val="0"/>
                <w:szCs w:val="21"/>
              </w:rPr>
            </w:pPr>
          </w:p>
        </w:tc>
      </w:tr>
      <w:tr w:rsidR="00F14AEA">
        <w:tc>
          <w:tcPr>
            <w:tcW w:w="1985" w:type="dxa"/>
            <w:vAlign w:val="center"/>
          </w:tcPr>
          <w:p w:rsidR="00F14AEA" w:rsidRDefault="00EC6028">
            <w:pPr>
              <w:jc w:val="left"/>
            </w:pPr>
            <w:r>
              <w:rPr>
                <w:color w:val="000000"/>
                <w:szCs w:val="21"/>
              </w:rPr>
              <w:t>银行存款</w:t>
            </w:r>
          </w:p>
        </w:tc>
        <w:tc>
          <w:tcPr>
            <w:tcW w:w="1701" w:type="dxa"/>
            <w:vAlign w:val="center"/>
          </w:tcPr>
          <w:p w:rsidR="00F14AEA" w:rsidRDefault="00EC6028">
            <w:pPr>
              <w:jc w:val="right"/>
            </w:pPr>
            <w:r>
              <w:rPr>
                <w:color w:val="000000"/>
                <w:szCs w:val="21"/>
              </w:rPr>
              <w:t>12,219,941.44</w:t>
            </w:r>
          </w:p>
        </w:tc>
        <w:tc>
          <w:tcPr>
            <w:tcW w:w="1843" w:type="dxa"/>
            <w:vAlign w:val="center"/>
          </w:tcPr>
          <w:p w:rsidR="00F14AEA" w:rsidRDefault="00EC6028">
            <w:pPr>
              <w:jc w:val="right"/>
            </w:pPr>
            <w:r>
              <w:rPr>
                <w:color w:val="000000"/>
                <w:szCs w:val="21"/>
              </w:rPr>
              <w:t>117.99</w:t>
            </w:r>
          </w:p>
        </w:tc>
        <w:tc>
          <w:tcPr>
            <w:tcW w:w="1842" w:type="dxa"/>
            <w:vAlign w:val="center"/>
          </w:tcPr>
          <w:p w:rsidR="00F14AEA" w:rsidRDefault="00EC6028">
            <w:pPr>
              <w:jc w:val="right"/>
            </w:pPr>
            <w:r>
              <w:rPr>
                <w:color w:val="000000"/>
                <w:szCs w:val="21"/>
              </w:rPr>
              <w:t>91,503.34</w:t>
            </w:r>
          </w:p>
        </w:tc>
        <w:tc>
          <w:tcPr>
            <w:tcW w:w="1629" w:type="dxa"/>
            <w:vAlign w:val="center"/>
          </w:tcPr>
          <w:p w:rsidR="00F14AEA" w:rsidRDefault="00EC6028">
            <w:pPr>
              <w:jc w:val="right"/>
            </w:pPr>
            <w:r>
              <w:rPr>
                <w:color w:val="000000"/>
                <w:szCs w:val="21"/>
              </w:rPr>
              <w:t>12,311,562.77</w:t>
            </w:r>
          </w:p>
        </w:tc>
      </w:tr>
      <w:tr w:rsidR="00F14AEA">
        <w:tc>
          <w:tcPr>
            <w:tcW w:w="1985" w:type="dxa"/>
            <w:vAlign w:val="center"/>
          </w:tcPr>
          <w:p w:rsidR="00F14AEA" w:rsidRDefault="00EC6028">
            <w:pPr>
              <w:jc w:val="left"/>
            </w:pPr>
            <w:r>
              <w:rPr>
                <w:color w:val="000000"/>
                <w:szCs w:val="21"/>
              </w:rPr>
              <w:t>结算备付金</w:t>
            </w:r>
          </w:p>
        </w:tc>
        <w:tc>
          <w:tcPr>
            <w:tcW w:w="1701" w:type="dxa"/>
            <w:vAlign w:val="center"/>
          </w:tcPr>
          <w:p w:rsidR="00F14AEA" w:rsidRDefault="00EC6028">
            <w:pPr>
              <w:jc w:val="right"/>
            </w:pPr>
            <w:r>
              <w:rPr>
                <w:color w:val="000000"/>
                <w:szCs w:val="21"/>
              </w:rPr>
              <w:t>-</w:t>
            </w:r>
          </w:p>
        </w:tc>
        <w:tc>
          <w:tcPr>
            <w:tcW w:w="1843" w:type="dxa"/>
            <w:vAlign w:val="center"/>
          </w:tcPr>
          <w:p w:rsidR="00F14AEA" w:rsidRDefault="00EC6028">
            <w:pPr>
              <w:jc w:val="right"/>
            </w:pPr>
            <w:r>
              <w:rPr>
                <w:color w:val="000000"/>
                <w:szCs w:val="21"/>
              </w:rPr>
              <w:t>-</w:t>
            </w:r>
          </w:p>
        </w:tc>
        <w:tc>
          <w:tcPr>
            <w:tcW w:w="1842" w:type="dxa"/>
            <w:vAlign w:val="center"/>
          </w:tcPr>
          <w:p w:rsidR="00F14AEA" w:rsidRDefault="00EC6028">
            <w:pPr>
              <w:jc w:val="right"/>
            </w:pPr>
            <w:r>
              <w:rPr>
                <w:color w:val="000000"/>
                <w:szCs w:val="21"/>
              </w:rPr>
              <w:t>-</w:t>
            </w:r>
          </w:p>
        </w:tc>
        <w:tc>
          <w:tcPr>
            <w:tcW w:w="1629" w:type="dxa"/>
            <w:vAlign w:val="center"/>
          </w:tcPr>
          <w:p w:rsidR="00F14AEA" w:rsidRDefault="00EC6028">
            <w:pPr>
              <w:jc w:val="right"/>
            </w:pPr>
            <w:r>
              <w:rPr>
                <w:color w:val="000000"/>
                <w:szCs w:val="21"/>
              </w:rPr>
              <w:t>-</w:t>
            </w:r>
          </w:p>
        </w:tc>
      </w:tr>
      <w:tr w:rsidR="00F14AEA">
        <w:tc>
          <w:tcPr>
            <w:tcW w:w="1985" w:type="dxa"/>
            <w:vAlign w:val="center"/>
          </w:tcPr>
          <w:p w:rsidR="00F14AEA" w:rsidRDefault="00EC6028">
            <w:pPr>
              <w:jc w:val="left"/>
            </w:pPr>
            <w:r>
              <w:rPr>
                <w:color w:val="000000"/>
                <w:szCs w:val="21"/>
              </w:rPr>
              <w:t>交易性金融资产</w:t>
            </w:r>
          </w:p>
        </w:tc>
        <w:tc>
          <w:tcPr>
            <w:tcW w:w="1701" w:type="dxa"/>
            <w:vAlign w:val="center"/>
          </w:tcPr>
          <w:p w:rsidR="00F14AEA" w:rsidRDefault="00EC6028">
            <w:pPr>
              <w:jc w:val="right"/>
            </w:pPr>
            <w:r>
              <w:rPr>
                <w:color w:val="000000"/>
                <w:szCs w:val="21"/>
              </w:rPr>
              <w:t>344,380,599.43</w:t>
            </w:r>
          </w:p>
        </w:tc>
        <w:tc>
          <w:tcPr>
            <w:tcW w:w="1843" w:type="dxa"/>
            <w:vAlign w:val="center"/>
          </w:tcPr>
          <w:p w:rsidR="00F14AEA" w:rsidRDefault="00EC6028">
            <w:pPr>
              <w:jc w:val="right"/>
            </w:pPr>
            <w:r>
              <w:rPr>
                <w:color w:val="000000"/>
                <w:szCs w:val="21"/>
              </w:rPr>
              <w:t>-</w:t>
            </w:r>
          </w:p>
        </w:tc>
        <w:tc>
          <w:tcPr>
            <w:tcW w:w="1842" w:type="dxa"/>
            <w:vAlign w:val="center"/>
          </w:tcPr>
          <w:p w:rsidR="00F14AEA" w:rsidRDefault="00EC6028">
            <w:pPr>
              <w:jc w:val="right"/>
            </w:pPr>
            <w:r>
              <w:rPr>
                <w:color w:val="000000"/>
                <w:szCs w:val="21"/>
              </w:rPr>
              <w:t>-</w:t>
            </w:r>
          </w:p>
        </w:tc>
        <w:tc>
          <w:tcPr>
            <w:tcW w:w="1629" w:type="dxa"/>
            <w:vAlign w:val="center"/>
          </w:tcPr>
          <w:p w:rsidR="00F14AEA" w:rsidRDefault="00EC6028">
            <w:pPr>
              <w:jc w:val="right"/>
            </w:pPr>
            <w:r>
              <w:rPr>
                <w:color w:val="000000"/>
                <w:szCs w:val="21"/>
              </w:rPr>
              <w:t>344,380,599.43</w:t>
            </w:r>
          </w:p>
        </w:tc>
      </w:tr>
      <w:tr w:rsidR="00F14AEA">
        <w:tc>
          <w:tcPr>
            <w:tcW w:w="1985" w:type="dxa"/>
            <w:vAlign w:val="center"/>
          </w:tcPr>
          <w:p w:rsidR="00F14AEA" w:rsidRDefault="00EC6028">
            <w:pPr>
              <w:jc w:val="left"/>
            </w:pPr>
            <w:r>
              <w:rPr>
                <w:color w:val="000000"/>
                <w:szCs w:val="21"/>
              </w:rPr>
              <w:t>衍生金融资产</w:t>
            </w:r>
          </w:p>
        </w:tc>
        <w:tc>
          <w:tcPr>
            <w:tcW w:w="1701" w:type="dxa"/>
            <w:vAlign w:val="center"/>
          </w:tcPr>
          <w:p w:rsidR="00F14AEA" w:rsidRDefault="00EC6028">
            <w:pPr>
              <w:jc w:val="right"/>
            </w:pPr>
            <w:r>
              <w:rPr>
                <w:color w:val="000000"/>
                <w:szCs w:val="21"/>
              </w:rPr>
              <w:t>-</w:t>
            </w:r>
          </w:p>
        </w:tc>
        <w:tc>
          <w:tcPr>
            <w:tcW w:w="1843" w:type="dxa"/>
            <w:vAlign w:val="center"/>
          </w:tcPr>
          <w:p w:rsidR="00F14AEA" w:rsidRDefault="00EC6028">
            <w:pPr>
              <w:jc w:val="right"/>
            </w:pPr>
            <w:r>
              <w:rPr>
                <w:color w:val="000000"/>
                <w:szCs w:val="21"/>
              </w:rPr>
              <w:t>-</w:t>
            </w:r>
          </w:p>
        </w:tc>
        <w:tc>
          <w:tcPr>
            <w:tcW w:w="1842" w:type="dxa"/>
            <w:vAlign w:val="center"/>
          </w:tcPr>
          <w:p w:rsidR="00F14AEA" w:rsidRDefault="00EC6028">
            <w:pPr>
              <w:jc w:val="right"/>
            </w:pPr>
            <w:r>
              <w:rPr>
                <w:color w:val="000000"/>
                <w:szCs w:val="21"/>
              </w:rPr>
              <w:t>-</w:t>
            </w:r>
          </w:p>
        </w:tc>
        <w:tc>
          <w:tcPr>
            <w:tcW w:w="1629" w:type="dxa"/>
            <w:vAlign w:val="center"/>
          </w:tcPr>
          <w:p w:rsidR="00F14AEA" w:rsidRDefault="00EC6028">
            <w:pPr>
              <w:jc w:val="right"/>
            </w:pPr>
            <w:r>
              <w:rPr>
                <w:color w:val="000000"/>
                <w:szCs w:val="21"/>
              </w:rPr>
              <w:t>-</w:t>
            </w:r>
          </w:p>
        </w:tc>
      </w:tr>
      <w:tr w:rsidR="00F14AEA">
        <w:tc>
          <w:tcPr>
            <w:tcW w:w="1985" w:type="dxa"/>
            <w:vAlign w:val="center"/>
          </w:tcPr>
          <w:p w:rsidR="00F14AEA" w:rsidRDefault="00EC6028">
            <w:pPr>
              <w:jc w:val="left"/>
            </w:pPr>
            <w:r>
              <w:rPr>
                <w:color w:val="000000"/>
                <w:szCs w:val="21"/>
              </w:rPr>
              <w:t>应收证券清算款</w:t>
            </w:r>
          </w:p>
        </w:tc>
        <w:tc>
          <w:tcPr>
            <w:tcW w:w="1701" w:type="dxa"/>
            <w:vAlign w:val="center"/>
          </w:tcPr>
          <w:p w:rsidR="00F14AEA" w:rsidRDefault="00EC6028">
            <w:pPr>
              <w:jc w:val="right"/>
            </w:pPr>
            <w:r>
              <w:rPr>
                <w:color w:val="000000"/>
                <w:szCs w:val="21"/>
              </w:rPr>
              <w:t>-</w:t>
            </w:r>
          </w:p>
        </w:tc>
        <w:tc>
          <w:tcPr>
            <w:tcW w:w="1843" w:type="dxa"/>
            <w:vAlign w:val="center"/>
          </w:tcPr>
          <w:p w:rsidR="00F14AEA" w:rsidRDefault="00EC6028">
            <w:pPr>
              <w:jc w:val="right"/>
            </w:pPr>
            <w:r>
              <w:rPr>
                <w:color w:val="000000"/>
                <w:szCs w:val="21"/>
              </w:rPr>
              <w:t>-</w:t>
            </w:r>
          </w:p>
        </w:tc>
        <w:tc>
          <w:tcPr>
            <w:tcW w:w="1842" w:type="dxa"/>
            <w:vAlign w:val="center"/>
          </w:tcPr>
          <w:p w:rsidR="00F14AEA" w:rsidRDefault="00EC6028">
            <w:pPr>
              <w:jc w:val="right"/>
            </w:pPr>
            <w:r>
              <w:rPr>
                <w:color w:val="000000"/>
                <w:szCs w:val="21"/>
              </w:rPr>
              <w:t>-</w:t>
            </w:r>
          </w:p>
        </w:tc>
        <w:tc>
          <w:tcPr>
            <w:tcW w:w="1629" w:type="dxa"/>
            <w:vAlign w:val="center"/>
          </w:tcPr>
          <w:p w:rsidR="00F14AEA" w:rsidRDefault="00EC6028">
            <w:pPr>
              <w:jc w:val="right"/>
            </w:pPr>
            <w:r>
              <w:rPr>
                <w:color w:val="000000"/>
                <w:szCs w:val="21"/>
              </w:rPr>
              <w:t>-</w:t>
            </w:r>
          </w:p>
        </w:tc>
      </w:tr>
      <w:tr w:rsidR="00F14AEA">
        <w:tc>
          <w:tcPr>
            <w:tcW w:w="1985" w:type="dxa"/>
            <w:vAlign w:val="center"/>
          </w:tcPr>
          <w:p w:rsidR="00F14AEA" w:rsidRDefault="00EC6028">
            <w:pPr>
              <w:jc w:val="left"/>
            </w:pPr>
            <w:r>
              <w:rPr>
                <w:color w:val="000000"/>
                <w:szCs w:val="21"/>
              </w:rPr>
              <w:t>应收利息</w:t>
            </w:r>
          </w:p>
        </w:tc>
        <w:tc>
          <w:tcPr>
            <w:tcW w:w="1701" w:type="dxa"/>
            <w:vAlign w:val="center"/>
          </w:tcPr>
          <w:p w:rsidR="00F14AEA" w:rsidRDefault="00EC6028">
            <w:pPr>
              <w:jc w:val="right"/>
            </w:pPr>
            <w:r>
              <w:rPr>
                <w:color w:val="000000"/>
                <w:szCs w:val="21"/>
              </w:rPr>
              <w:t>119.30</w:t>
            </w:r>
          </w:p>
        </w:tc>
        <w:tc>
          <w:tcPr>
            <w:tcW w:w="1843" w:type="dxa"/>
            <w:vAlign w:val="center"/>
          </w:tcPr>
          <w:p w:rsidR="00F14AEA" w:rsidRDefault="00EC6028">
            <w:pPr>
              <w:jc w:val="right"/>
            </w:pPr>
            <w:r>
              <w:rPr>
                <w:color w:val="000000"/>
                <w:szCs w:val="21"/>
              </w:rPr>
              <w:t>-</w:t>
            </w:r>
          </w:p>
        </w:tc>
        <w:tc>
          <w:tcPr>
            <w:tcW w:w="1842" w:type="dxa"/>
            <w:vAlign w:val="center"/>
          </w:tcPr>
          <w:p w:rsidR="00F14AEA" w:rsidRDefault="00EC6028">
            <w:pPr>
              <w:jc w:val="right"/>
            </w:pPr>
            <w:r>
              <w:rPr>
                <w:color w:val="000000"/>
                <w:szCs w:val="21"/>
              </w:rPr>
              <w:t>-</w:t>
            </w:r>
          </w:p>
        </w:tc>
        <w:tc>
          <w:tcPr>
            <w:tcW w:w="1629" w:type="dxa"/>
            <w:vAlign w:val="center"/>
          </w:tcPr>
          <w:p w:rsidR="00F14AEA" w:rsidRDefault="00EC6028">
            <w:pPr>
              <w:jc w:val="right"/>
            </w:pPr>
            <w:r>
              <w:rPr>
                <w:color w:val="000000"/>
                <w:szCs w:val="21"/>
              </w:rPr>
              <w:t>119.30</w:t>
            </w:r>
          </w:p>
        </w:tc>
      </w:tr>
      <w:tr w:rsidR="00F14AEA">
        <w:tc>
          <w:tcPr>
            <w:tcW w:w="1985" w:type="dxa"/>
            <w:vAlign w:val="center"/>
          </w:tcPr>
          <w:p w:rsidR="00F14AEA" w:rsidRDefault="00EC6028">
            <w:pPr>
              <w:jc w:val="left"/>
            </w:pPr>
            <w:r>
              <w:rPr>
                <w:color w:val="000000"/>
                <w:szCs w:val="21"/>
              </w:rPr>
              <w:t>应收股利</w:t>
            </w:r>
          </w:p>
        </w:tc>
        <w:tc>
          <w:tcPr>
            <w:tcW w:w="1701" w:type="dxa"/>
            <w:vAlign w:val="center"/>
          </w:tcPr>
          <w:p w:rsidR="00F14AEA" w:rsidRDefault="00EC6028">
            <w:pPr>
              <w:jc w:val="right"/>
            </w:pPr>
            <w:r>
              <w:rPr>
                <w:color w:val="000000"/>
                <w:szCs w:val="21"/>
              </w:rPr>
              <w:t>-</w:t>
            </w:r>
          </w:p>
        </w:tc>
        <w:tc>
          <w:tcPr>
            <w:tcW w:w="1843" w:type="dxa"/>
            <w:vAlign w:val="center"/>
          </w:tcPr>
          <w:p w:rsidR="00F14AEA" w:rsidRDefault="00EC6028">
            <w:pPr>
              <w:jc w:val="right"/>
            </w:pPr>
            <w:r>
              <w:rPr>
                <w:color w:val="000000"/>
                <w:szCs w:val="21"/>
              </w:rPr>
              <w:t>-</w:t>
            </w:r>
          </w:p>
        </w:tc>
        <w:tc>
          <w:tcPr>
            <w:tcW w:w="1842" w:type="dxa"/>
            <w:vAlign w:val="center"/>
          </w:tcPr>
          <w:p w:rsidR="00F14AEA" w:rsidRDefault="00EC6028">
            <w:pPr>
              <w:jc w:val="right"/>
            </w:pPr>
            <w:r>
              <w:rPr>
                <w:color w:val="000000"/>
                <w:szCs w:val="21"/>
              </w:rPr>
              <w:t>-</w:t>
            </w:r>
          </w:p>
        </w:tc>
        <w:tc>
          <w:tcPr>
            <w:tcW w:w="1629" w:type="dxa"/>
            <w:vAlign w:val="center"/>
          </w:tcPr>
          <w:p w:rsidR="00F14AEA" w:rsidRDefault="00EC6028">
            <w:pPr>
              <w:jc w:val="right"/>
            </w:pPr>
            <w:r>
              <w:rPr>
                <w:color w:val="000000"/>
                <w:szCs w:val="21"/>
              </w:rPr>
              <w:t>-</w:t>
            </w:r>
          </w:p>
        </w:tc>
      </w:tr>
      <w:tr w:rsidR="00F14AEA">
        <w:tc>
          <w:tcPr>
            <w:tcW w:w="1985" w:type="dxa"/>
            <w:vAlign w:val="center"/>
          </w:tcPr>
          <w:p w:rsidR="00F14AEA" w:rsidRDefault="00EC6028">
            <w:pPr>
              <w:jc w:val="left"/>
            </w:pPr>
            <w:r>
              <w:rPr>
                <w:color w:val="000000"/>
                <w:szCs w:val="21"/>
              </w:rPr>
              <w:t>应收申购款</w:t>
            </w:r>
          </w:p>
        </w:tc>
        <w:tc>
          <w:tcPr>
            <w:tcW w:w="1701" w:type="dxa"/>
            <w:vAlign w:val="center"/>
          </w:tcPr>
          <w:p w:rsidR="00F14AEA" w:rsidRDefault="00EC6028">
            <w:pPr>
              <w:jc w:val="right"/>
            </w:pPr>
            <w:r>
              <w:rPr>
                <w:color w:val="000000"/>
                <w:szCs w:val="21"/>
              </w:rPr>
              <w:t>13,945.42</w:t>
            </w:r>
          </w:p>
        </w:tc>
        <w:tc>
          <w:tcPr>
            <w:tcW w:w="1843" w:type="dxa"/>
            <w:vAlign w:val="center"/>
          </w:tcPr>
          <w:p w:rsidR="00F14AEA" w:rsidRDefault="00EC6028">
            <w:pPr>
              <w:jc w:val="right"/>
            </w:pPr>
            <w:r>
              <w:rPr>
                <w:color w:val="000000"/>
                <w:szCs w:val="21"/>
              </w:rPr>
              <w:t>-</w:t>
            </w:r>
          </w:p>
        </w:tc>
        <w:tc>
          <w:tcPr>
            <w:tcW w:w="1842" w:type="dxa"/>
            <w:vAlign w:val="center"/>
          </w:tcPr>
          <w:p w:rsidR="00F14AEA" w:rsidRDefault="00EC6028">
            <w:pPr>
              <w:jc w:val="right"/>
            </w:pPr>
            <w:r>
              <w:rPr>
                <w:color w:val="000000"/>
                <w:szCs w:val="21"/>
              </w:rPr>
              <w:t>-</w:t>
            </w:r>
          </w:p>
        </w:tc>
        <w:tc>
          <w:tcPr>
            <w:tcW w:w="1629" w:type="dxa"/>
            <w:vAlign w:val="center"/>
          </w:tcPr>
          <w:p w:rsidR="00F14AEA" w:rsidRDefault="00EC6028">
            <w:pPr>
              <w:jc w:val="right"/>
            </w:pPr>
            <w:r>
              <w:rPr>
                <w:color w:val="000000"/>
                <w:szCs w:val="21"/>
              </w:rPr>
              <w:t>13,945.42</w:t>
            </w:r>
          </w:p>
        </w:tc>
      </w:tr>
      <w:tr w:rsidR="00F14AEA">
        <w:tc>
          <w:tcPr>
            <w:tcW w:w="1985" w:type="dxa"/>
            <w:vAlign w:val="center"/>
          </w:tcPr>
          <w:p w:rsidR="00F14AEA" w:rsidRDefault="00EC6028">
            <w:pPr>
              <w:jc w:val="left"/>
            </w:pPr>
            <w:r>
              <w:rPr>
                <w:color w:val="000000"/>
                <w:szCs w:val="21"/>
              </w:rPr>
              <w:t>其他资产</w:t>
            </w:r>
          </w:p>
        </w:tc>
        <w:tc>
          <w:tcPr>
            <w:tcW w:w="1701" w:type="dxa"/>
            <w:vAlign w:val="center"/>
          </w:tcPr>
          <w:p w:rsidR="00F14AEA" w:rsidRDefault="00EC6028">
            <w:pPr>
              <w:jc w:val="right"/>
            </w:pPr>
            <w:r>
              <w:rPr>
                <w:color w:val="000000"/>
                <w:szCs w:val="21"/>
              </w:rPr>
              <w:t>-</w:t>
            </w:r>
          </w:p>
        </w:tc>
        <w:tc>
          <w:tcPr>
            <w:tcW w:w="1843" w:type="dxa"/>
            <w:vAlign w:val="center"/>
          </w:tcPr>
          <w:p w:rsidR="00F14AEA" w:rsidRDefault="00EC6028">
            <w:pPr>
              <w:jc w:val="right"/>
            </w:pPr>
            <w:r>
              <w:rPr>
                <w:color w:val="000000"/>
                <w:szCs w:val="21"/>
              </w:rPr>
              <w:t>-</w:t>
            </w:r>
          </w:p>
        </w:tc>
        <w:tc>
          <w:tcPr>
            <w:tcW w:w="1842" w:type="dxa"/>
            <w:vAlign w:val="center"/>
          </w:tcPr>
          <w:p w:rsidR="00F14AEA" w:rsidRDefault="00EC6028">
            <w:pPr>
              <w:jc w:val="right"/>
            </w:pPr>
            <w:r>
              <w:rPr>
                <w:color w:val="000000"/>
                <w:szCs w:val="21"/>
              </w:rPr>
              <w:t>-</w:t>
            </w:r>
          </w:p>
        </w:tc>
        <w:tc>
          <w:tcPr>
            <w:tcW w:w="1629" w:type="dxa"/>
            <w:vAlign w:val="center"/>
          </w:tcPr>
          <w:p w:rsidR="00F14AEA" w:rsidRDefault="00EC6028">
            <w:pPr>
              <w:jc w:val="right"/>
            </w:pPr>
            <w:r>
              <w:rPr>
                <w:color w:val="000000"/>
                <w:szCs w:val="21"/>
              </w:rPr>
              <w:t>-</w:t>
            </w:r>
          </w:p>
        </w:tc>
      </w:tr>
      <w:tr w:rsidR="00D56ADA" w:rsidRPr="00896265" w:rsidTr="000852F3">
        <w:tc>
          <w:tcPr>
            <w:tcW w:w="1985" w:type="dxa"/>
            <w:vAlign w:val="center"/>
          </w:tcPr>
          <w:p w:rsidR="00D56ADA" w:rsidRPr="00896265" w:rsidRDefault="00D56ADA" w:rsidP="000852F3">
            <w:pPr>
              <w:spacing w:line="360" w:lineRule="auto"/>
              <w:rPr>
                <w:color w:val="000000"/>
                <w:kern w:val="0"/>
                <w:szCs w:val="21"/>
              </w:rPr>
            </w:pPr>
            <w:r w:rsidRPr="00896265">
              <w:rPr>
                <w:szCs w:val="21"/>
              </w:rPr>
              <w:t>资产合计</w:t>
            </w:r>
          </w:p>
        </w:tc>
        <w:tc>
          <w:tcPr>
            <w:tcW w:w="1701" w:type="dxa"/>
            <w:vAlign w:val="center"/>
          </w:tcPr>
          <w:p w:rsidR="00D56ADA" w:rsidRPr="00896265" w:rsidRDefault="00D56ADA" w:rsidP="000852F3">
            <w:pPr>
              <w:spacing w:line="360" w:lineRule="auto"/>
              <w:jc w:val="right"/>
              <w:rPr>
                <w:szCs w:val="21"/>
              </w:rPr>
            </w:pPr>
            <w:r w:rsidRPr="00896265">
              <w:rPr>
                <w:szCs w:val="21"/>
              </w:rPr>
              <w:t>356,614,605.59</w:t>
            </w:r>
          </w:p>
        </w:tc>
        <w:tc>
          <w:tcPr>
            <w:tcW w:w="1843" w:type="dxa"/>
            <w:vAlign w:val="center"/>
          </w:tcPr>
          <w:p w:rsidR="00D56ADA" w:rsidRPr="00896265" w:rsidRDefault="00D56ADA" w:rsidP="000852F3">
            <w:pPr>
              <w:spacing w:line="360" w:lineRule="auto"/>
              <w:jc w:val="right"/>
              <w:rPr>
                <w:szCs w:val="21"/>
              </w:rPr>
            </w:pPr>
            <w:r w:rsidRPr="00896265">
              <w:rPr>
                <w:szCs w:val="21"/>
              </w:rPr>
              <w:t>117.99</w:t>
            </w:r>
          </w:p>
        </w:tc>
        <w:tc>
          <w:tcPr>
            <w:tcW w:w="1842" w:type="dxa"/>
            <w:vAlign w:val="center"/>
          </w:tcPr>
          <w:p w:rsidR="00D56ADA" w:rsidRPr="00896265" w:rsidRDefault="00D56ADA" w:rsidP="000852F3">
            <w:pPr>
              <w:spacing w:line="360" w:lineRule="auto"/>
              <w:jc w:val="right"/>
              <w:rPr>
                <w:szCs w:val="21"/>
              </w:rPr>
            </w:pPr>
            <w:r w:rsidRPr="00896265">
              <w:rPr>
                <w:szCs w:val="21"/>
              </w:rPr>
              <w:t>91,503.34</w:t>
            </w:r>
          </w:p>
        </w:tc>
        <w:tc>
          <w:tcPr>
            <w:tcW w:w="1629" w:type="dxa"/>
            <w:vAlign w:val="center"/>
          </w:tcPr>
          <w:p w:rsidR="00D56ADA" w:rsidRPr="00896265" w:rsidRDefault="00D56ADA" w:rsidP="000852F3">
            <w:pPr>
              <w:spacing w:line="360" w:lineRule="auto"/>
              <w:jc w:val="right"/>
              <w:rPr>
                <w:szCs w:val="21"/>
              </w:rPr>
            </w:pPr>
            <w:r w:rsidRPr="00896265">
              <w:rPr>
                <w:szCs w:val="21"/>
              </w:rPr>
              <w:t>356,706,226.92</w:t>
            </w:r>
          </w:p>
        </w:tc>
      </w:tr>
      <w:tr w:rsidR="00D56ADA" w:rsidRPr="00896265" w:rsidTr="000852F3">
        <w:tc>
          <w:tcPr>
            <w:tcW w:w="1985" w:type="dxa"/>
            <w:vAlign w:val="center"/>
          </w:tcPr>
          <w:p w:rsidR="00D56ADA" w:rsidRPr="00896265" w:rsidRDefault="00D56ADA" w:rsidP="000852F3">
            <w:pPr>
              <w:spacing w:line="360" w:lineRule="auto"/>
              <w:rPr>
                <w:color w:val="000000"/>
                <w:kern w:val="0"/>
                <w:szCs w:val="21"/>
              </w:rPr>
            </w:pPr>
            <w:r w:rsidRPr="00896265">
              <w:rPr>
                <w:szCs w:val="21"/>
              </w:rPr>
              <w:t>以外币计价的负债</w:t>
            </w:r>
          </w:p>
        </w:tc>
        <w:tc>
          <w:tcPr>
            <w:tcW w:w="1701" w:type="dxa"/>
          </w:tcPr>
          <w:p w:rsidR="00D56ADA" w:rsidRPr="00896265" w:rsidRDefault="00D56ADA" w:rsidP="000852F3">
            <w:pPr>
              <w:autoSpaceDE w:val="0"/>
              <w:autoSpaceDN w:val="0"/>
              <w:adjustRightInd w:val="0"/>
              <w:spacing w:before="29" w:line="360" w:lineRule="auto"/>
              <w:ind w:left="15"/>
              <w:jc w:val="center"/>
              <w:rPr>
                <w:color w:val="000000"/>
                <w:kern w:val="0"/>
                <w:szCs w:val="21"/>
              </w:rPr>
            </w:pPr>
          </w:p>
        </w:tc>
        <w:tc>
          <w:tcPr>
            <w:tcW w:w="1843" w:type="dxa"/>
          </w:tcPr>
          <w:p w:rsidR="00D56ADA" w:rsidRPr="00896265" w:rsidRDefault="00D56ADA" w:rsidP="000852F3">
            <w:pPr>
              <w:autoSpaceDE w:val="0"/>
              <w:autoSpaceDN w:val="0"/>
              <w:adjustRightInd w:val="0"/>
              <w:spacing w:before="29" w:line="360" w:lineRule="auto"/>
              <w:ind w:left="15"/>
              <w:jc w:val="center"/>
              <w:rPr>
                <w:color w:val="000000"/>
                <w:kern w:val="0"/>
                <w:szCs w:val="21"/>
              </w:rPr>
            </w:pPr>
          </w:p>
        </w:tc>
        <w:tc>
          <w:tcPr>
            <w:tcW w:w="1842" w:type="dxa"/>
          </w:tcPr>
          <w:p w:rsidR="00D56ADA" w:rsidRPr="00896265" w:rsidRDefault="00D56ADA" w:rsidP="000852F3">
            <w:pPr>
              <w:autoSpaceDE w:val="0"/>
              <w:autoSpaceDN w:val="0"/>
              <w:adjustRightInd w:val="0"/>
              <w:spacing w:before="29" w:line="360" w:lineRule="auto"/>
              <w:ind w:left="15"/>
              <w:jc w:val="center"/>
              <w:rPr>
                <w:color w:val="000000"/>
                <w:kern w:val="0"/>
                <w:szCs w:val="21"/>
              </w:rPr>
            </w:pPr>
          </w:p>
        </w:tc>
        <w:tc>
          <w:tcPr>
            <w:tcW w:w="1629" w:type="dxa"/>
          </w:tcPr>
          <w:p w:rsidR="00D56ADA" w:rsidRPr="00896265" w:rsidRDefault="00D56ADA" w:rsidP="000852F3">
            <w:pPr>
              <w:autoSpaceDE w:val="0"/>
              <w:autoSpaceDN w:val="0"/>
              <w:adjustRightInd w:val="0"/>
              <w:spacing w:before="29" w:line="360" w:lineRule="auto"/>
              <w:ind w:left="15"/>
              <w:jc w:val="center"/>
              <w:rPr>
                <w:color w:val="000000"/>
                <w:kern w:val="0"/>
                <w:szCs w:val="21"/>
              </w:rPr>
            </w:pPr>
          </w:p>
        </w:tc>
      </w:tr>
      <w:tr w:rsidR="00F14AEA">
        <w:tc>
          <w:tcPr>
            <w:tcW w:w="1985" w:type="dxa"/>
            <w:vAlign w:val="center"/>
          </w:tcPr>
          <w:p w:rsidR="00F14AEA" w:rsidRDefault="00EC6028">
            <w:pPr>
              <w:jc w:val="left"/>
            </w:pPr>
            <w:r>
              <w:rPr>
                <w:color w:val="000000"/>
                <w:szCs w:val="21"/>
              </w:rPr>
              <w:t>应付证券清算款</w:t>
            </w:r>
          </w:p>
        </w:tc>
        <w:tc>
          <w:tcPr>
            <w:tcW w:w="1701" w:type="dxa"/>
            <w:vAlign w:val="center"/>
          </w:tcPr>
          <w:p w:rsidR="00F14AEA" w:rsidRDefault="00EC6028">
            <w:pPr>
              <w:jc w:val="right"/>
            </w:pPr>
            <w:r>
              <w:rPr>
                <w:color w:val="000000"/>
                <w:szCs w:val="21"/>
              </w:rPr>
              <w:t>372,999.69</w:t>
            </w:r>
          </w:p>
        </w:tc>
        <w:tc>
          <w:tcPr>
            <w:tcW w:w="1843" w:type="dxa"/>
            <w:vAlign w:val="center"/>
          </w:tcPr>
          <w:p w:rsidR="00F14AEA" w:rsidRDefault="00EC6028">
            <w:pPr>
              <w:jc w:val="right"/>
            </w:pPr>
            <w:r>
              <w:rPr>
                <w:color w:val="000000"/>
                <w:szCs w:val="21"/>
              </w:rPr>
              <w:t>-</w:t>
            </w:r>
          </w:p>
        </w:tc>
        <w:tc>
          <w:tcPr>
            <w:tcW w:w="1842" w:type="dxa"/>
            <w:vAlign w:val="center"/>
          </w:tcPr>
          <w:p w:rsidR="00F14AEA" w:rsidRDefault="00EC6028">
            <w:pPr>
              <w:jc w:val="right"/>
            </w:pPr>
            <w:r>
              <w:rPr>
                <w:color w:val="000000"/>
                <w:szCs w:val="21"/>
              </w:rPr>
              <w:t>-</w:t>
            </w:r>
          </w:p>
        </w:tc>
        <w:tc>
          <w:tcPr>
            <w:tcW w:w="1629" w:type="dxa"/>
            <w:vAlign w:val="center"/>
          </w:tcPr>
          <w:p w:rsidR="00F14AEA" w:rsidRDefault="00EC6028">
            <w:pPr>
              <w:jc w:val="right"/>
            </w:pPr>
            <w:r>
              <w:rPr>
                <w:color w:val="000000"/>
                <w:szCs w:val="21"/>
              </w:rPr>
              <w:t>372,999.69</w:t>
            </w:r>
          </w:p>
        </w:tc>
      </w:tr>
      <w:tr w:rsidR="00F14AEA">
        <w:tc>
          <w:tcPr>
            <w:tcW w:w="1985" w:type="dxa"/>
            <w:vAlign w:val="center"/>
          </w:tcPr>
          <w:p w:rsidR="00F14AEA" w:rsidRDefault="00EC6028">
            <w:pPr>
              <w:jc w:val="left"/>
            </w:pPr>
            <w:r>
              <w:rPr>
                <w:color w:val="000000"/>
                <w:szCs w:val="21"/>
              </w:rPr>
              <w:t>应付赎回款</w:t>
            </w:r>
          </w:p>
        </w:tc>
        <w:tc>
          <w:tcPr>
            <w:tcW w:w="1701" w:type="dxa"/>
            <w:vAlign w:val="center"/>
          </w:tcPr>
          <w:p w:rsidR="00F14AEA" w:rsidRDefault="00EC6028">
            <w:pPr>
              <w:jc w:val="right"/>
            </w:pPr>
            <w:r>
              <w:rPr>
                <w:color w:val="000000"/>
                <w:szCs w:val="21"/>
              </w:rPr>
              <w:t>-</w:t>
            </w:r>
          </w:p>
        </w:tc>
        <w:tc>
          <w:tcPr>
            <w:tcW w:w="1843" w:type="dxa"/>
            <w:vAlign w:val="center"/>
          </w:tcPr>
          <w:p w:rsidR="00F14AEA" w:rsidRDefault="00EC6028">
            <w:pPr>
              <w:jc w:val="right"/>
            </w:pPr>
            <w:r>
              <w:rPr>
                <w:color w:val="000000"/>
                <w:szCs w:val="21"/>
              </w:rPr>
              <w:t>-</w:t>
            </w:r>
          </w:p>
        </w:tc>
        <w:tc>
          <w:tcPr>
            <w:tcW w:w="1842" w:type="dxa"/>
            <w:vAlign w:val="center"/>
          </w:tcPr>
          <w:p w:rsidR="00F14AEA" w:rsidRDefault="00EC6028">
            <w:pPr>
              <w:jc w:val="right"/>
            </w:pPr>
            <w:r>
              <w:rPr>
                <w:color w:val="000000"/>
                <w:szCs w:val="21"/>
              </w:rPr>
              <w:t>-</w:t>
            </w:r>
          </w:p>
        </w:tc>
        <w:tc>
          <w:tcPr>
            <w:tcW w:w="1629" w:type="dxa"/>
            <w:vAlign w:val="center"/>
          </w:tcPr>
          <w:p w:rsidR="00F14AEA" w:rsidRDefault="00EC6028">
            <w:pPr>
              <w:jc w:val="right"/>
            </w:pPr>
            <w:r>
              <w:rPr>
                <w:color w:val="000000"/>
                <w:szCs w:val="21"/>
              </w:rPr>
              <w:t>-</w:t>
            </w:r>
          </w:p>
        </w:tc>
      </w:tr>
      <w:tr w:rsidR="00F14AEA">
        <w:tc>
          <w:tcPr>
            <w:tcW w:w="1985" w:type="dxa"/>
            <w:vAlign w:val="center"/>
          </w:tcPr>
          <w:p w:rsidR="00F14AEA" w:rsidRDefault="00EC6028">
            <w:pPr>
              <w:jc w:val="left"/>
            </w:pPr>
            <w:r>
              <w:rPr>
                <w:color w:val="000000"/>
                <w:szCs w:val="21"/>
              </w:rPr>
              <w:t>其他负债</w:t>
            </w:r>
          </w:p>
        </w:tc>
        <w:tc>
          <w:tcPr>
            <w:tcW w:w="1701" w:type="dxa"/>
            <w:vAlign w:val="center"/>
          </w:tcPr>
          <w:p w:rsidR="00F14AEA" w:rsidRDefault="00EC6028">
            <w:pPr>
              <w:jc w:val="right"/>
            </w:pPr>
            <w:r>
              <w:rPr>
                <w:color w:val="000000"/>
                <w:szCs w:val="21"/>
              </w:rPr>
              <w:t>-</w:t>
            </w:r>
          </w:p>
        </w:tc>
        <w:tc>
          <w:tcPr>
            <w:tcW w:w="1843" w:type="dxa"/>
            <w:vAlign w:val="center"/>
          </w:tcPr>
          <w:p w:rsidR="00F14AEA" w:rsidRDefault="00EC6028">
            <w:pPr>
              <w:jc w:val="right"/>
            </w:pPr>
            <w:r>
              <w:rPr>
                <w:color w:val="000000"/>
                <w:szCs w:val="21"/>
              </w:rPr>
              <w:t>-</w:t>
            </w:r>
          </w:p>
        </w:tc>
        <w:tc>
          <w:tcPr>
            <w:tcW w:w="1842" w:type="dxa"/>
            <w:vAlign w:val="center"/>
          </w:tcPr>
          <w:p w:rsidR="00F14AEA" w:rsidRDefault="00EC6028">
            <w:pPr>
              <w:jc w:val="right"/>
            </w:pPr>
            <w:r>
              <w:rPr>
                <w:color w:val="000000"/>
                <w:szCs w:val="21"/>
              </w:rPr>
              <w:t>-</w:t>
            </w:r>
          </w:p>
        </w:tc>
        <w:tc>
          <w:tcPr>
            <w:tcW w:w="1629" w:type="dxa"/>
            <w:vAlign w:val="center"/>
          </w:tcPr>
          <w:p w:rsidR="00F14AEA" w:rsidRDefault="00EC6028">
            <w:pPr>
              <w:jc w:val="right"/>
            </w:pPr>
            <w:r>
              <w:rPr>
                <w:color w:val="000000"/>
                <w:szCs w:val="21"/>
              </w:rPr>
              <w:t>-</w:t>
            </w:r>
          </w:p>
        </w:tc>
      </w:tr>
      <w:tr w:rsidR="00D56ADA" w:rsidRPr="00896265" w:rsidTr="000852F3">
        <w:tc>
          <w:tcPr>
            <w:tcW w:w="1985" w:type="dxa"/>
            <w:vAlign w:val="center"/>
          </w:tcPr>
          <w:p w:rsidR="00D56ADA" w:rsidRPr="00896265" w:rsidRDefault="00D56ADA" w:rsidP="000852F3">
            <w:pPr>
              <w:spacing w:line="360" w:lineRule="auto"/>
              <w:rPr>
                <w:color w:val="000000"/>
                <w:kern w:val="0"/>
                <w:szCs w:val="21"/>
              </w:rPr>
            </w:pPr>
            <w:r w:rsidRPr="00896265">
              <w:rPr>
                <w:szCs w:val="21"/>
              </w:rPr>
              <w:t>负债合计</w:t>
            </w:r>
          </w:p>
        </w:tc>
        <w:tc>
          <w:tcPr>
            <w:tcW w:w="1701" w:type="dxa"/>
            <w:vAlign w:val="center"/>
          </w:tcPr>
          <w:p w:rsidR="00D56ADA" w:rsidRPr="00896265" w:rsidRDefault="00D56ADA" w:rsidP="000852F3">
            <w:pPr>
              <w:spacing w:line="360" w:lineRule="auto"/>
              <w:jc w:val="right"/>
              <w:rPr>
                <w:szCs w:val="21"/>
              </w:rPr>
            </w:pPr>
            <w:r w:rsidRPr="00896265">
              <w:rPr>
                <w:szCs w:val="21"/>
              </w:rPr>
              <w:t>372,999.69</w:t>
            </w:r>
          </w:p>
        </w:tc>
        <w:tc>
          <w:tcPr>
            <w:tcW w:w="1843" w:type="dxa"/>
            <w:vAlign w:val="center"/>
          </w:tcPr>
          <w:p w:rsidR="00D56ADA" w:rsidRPr="00896265" w:rsidRDefault="00D56ADA" w:rsidP="000852F3">
            <w:pPr>
              <w:spacing w:line="360" w:lineRule="auto"/>
              <w:jc w:val="right"/>
              <w:rPr>
                <w:szCs w:val="21"/>
              </w:rPr>
            </w:pPr>
            <w:r w:rsidRPr="00896265">
              <w:rPr>
                <w:szCs w:val="21"/>
              </w:rPr>
              <w:t>-</w:t>
            </w:r>
          </w:p>
        </w:tc>
        <w:tc>
          <w:tcPr>
            <w:tcW w:w="1842" w:type="dxa"/>
            <w:vAlign w:val="center"/>
          </w:tcPr>
          <w:p w:rsidR="00D56ADA" w:rsidRPr="00896265" w:rsidRDefault="00D56ADA" w:rsidP="000852F3">
            <w:pPr>
              <w:spacing w:line="360" w:lineRule="auto"/>
              <w:jc w:val="right"/>
              <w:rPr>
                <w:szCs w:val="21"/>
              </w:rPr>
            </w:pPr>
            <w:r w:rsidRPr="00896265">
              <w:rPr>
                <w:szCs w:val="21"/>
              </w:rPr>
              <w:t>-</w:t>
            </w:r>
          </w:p>
        </w:tc>
        <w:tc>
          <w:tcPr>
            <w:tcW w:w="1629" w:type="dxa"/>
            <w:vAlign w:val="center"/>
          </w:tcPr>
          <w:p w:rsidR="00D56ADA" w:rsidRPr="00896265" w:rsidRDefault="00D56ADA" w:rsidP="000852F3">
            <w:pPr>
              <w:spacing w:line="360" w:lineRule="auto"/>
              <w:jc w:val="right"/>
              <w:rPr>
                <w:szCs w:val="21"/>
              </w:rPr>
            </w:pPr>
            <w:r w:rsidRPr="00896265">
              <w:rPr>
                <w:szCs w:val="21"/>
              </w:rPr>
              <w:t>372,999.69</w:t>
            </w:r>
          </w:p>
        </w:tc>
      </w:tr>
      <w:tr w:rsidR="00D56ADA" w:rsidRPr="00896265" w:rsidTr="000852F3">
        <w:tc>
          <w:tcPr>
            <w:tcW w:w="1985" w:type="dxa"/>
            <w:vAlign w:val="center"/>
          </w:tcPr>
          <w:p w:rsidR="00D56ADA" w:rsidRPr="00896265" w:rsidRDefault="00D56ADA" w:rsidP="000852F3">
            <w:pPr>
              <w:spacing w:line="360" w:lineRule="auto"/>
              <w:rPr>
                <w:color w:val="000000"/>
                <w:kern w:val="0"/>
                <w:szCs w:val="21"/>
              </w:rPr>
            </w:pPr>
            <w:r w:rsidRPr="00896265">
              <w:rPr>
                <w:szCs w:val="21"/>
              </w:rPr>
              <w:t>资产负债表外汇风险敞口净额</w:t>
            </w:r>
          </w:p>
        </w:tc>
        <w:tc>
          <w:tcPr>
            <w:tcW w:w="1701" w:type="dxa"/>
            <w:vAlign w:val="center"/>
          </w:tcPr>
          <w:p w:rsidR="00D56ADA" w:rsidRPr="00896265" w:rsidRDefault="00D56ADA" w:rsidP="000852F3">
            <w:pPr>
              <w:spacing w:line="360" w:lineRule="auto"/>
              <w:jc w:val="right"/>
              <w:rPr>
                <w:szCs w:val="21"/>
              </w:rPr>
            </w:pPr>
            <w:r w:rsidRPr="00896265">
              <w:rPr>
                <w:szCs w:val="21"/>
              </w:rPr>
              <w:t>356,241,605.90</w:t>
            </w:r>
          </w:p>
        </w:tc>
        <w:tc>
          <w:tcPr>
            <w:tcW w:w="1843" w:type="dxa"/>
            <w:vAlign w:val="center"/>
          </w:tcPr>
          <w:p w:rsidR="00D56ADA" w:rsidRPr="00896265" w:rsidRDefault="00D56ADA" w:rsidP="000852F3">
            <w:pPr>
              <w:spacing w:line="360" w:lineRule="auto"/>
              <w:jc w:val="right"/>
              <w:rPr>
                <w:szCs w:val="21"/>
              </w:rPr>
            </w:pPr>
            <w:r w:rsidRPr="00896265">
              <w:rPr>
                <w:szCs w:val="21"/>
              </w:rPr>
              <w:t>117.99</w:t>
            </w:r>
          </w:p>
        </w:tc>
        <w:tc>
          <w:tcPr>
            <w:tcW w:w="1842" w:type="dxa"/>
            <w:vAlign w:val="center"/>
          </w:tcPr>
          <w:p w:rsidR="00D56ADA" w:rsidRPr="00896265" w:rsidRDefault="00D56ADA" w:rsidP="000852F3">
            <w:pPr>
              <w:spacing w:line="360" w:lineRule="auto"/>
              <w:jc w:val="right"/>
              <w:rPr>
                <w:szCs w:val="21"/>
              </w:rPr>
            </w:pPr>
            <w:r w:rsidRPr="00896265">
              <w:rPr>
                <w:szCs w:val="21"/>
              </w:rPr>
              <w:t>91,503.34</w:t>
            </w:r>
          </w:p>
        </w:tc>
        <w:tc>
          <w:tcPr>
            <w:tcW w:w="1629" w:type="dxa"/>
            <w:vAlign w:val="center"/>
          </w:tcPr>
          <w:p w:rsidR="00D56ADA" w:rsidRPr="00896265" w:rsidRDefault="00D56ADA" w:rsidP="000852F3">
            <w:pPr>
              <w:spacing w:line="360" w:lineRule="auto"/>
              <w:jc w:val="right"/>
              <w:rPr>
                <w:szCs w:val="21"/>
              </w:rPr>
            </w:pPr>
            <w:r w:rsidRPr="00896265">
              <w:rPr>
                <w:szCs w:val="21"/>
              </w:rPr>
              <w:t>356,333,227.23</w:t>
            </w:r>
          </w:p>
        </w:tc>
      </w:tr>
      <w:tr w:rsidR="00D56ADA" w:rsidRPr="00896265" w:rsidTr="000852F3">
        <w:tc>
          <w:tcPr>
            <w:tcW w:w="1985" w:type="dxa"/>
            <w:vMerge w:val="restart"/>
            <w:vAlign w:val="center"/>
          </w:tcPr>
          <w:p w:rsidR="00D56ADA" w:rsidRPr="00896265" w:rsidRDefault="00D56ADA" w:rsidP="000852F3">
            <w:pPr>
              <w:autoSpaceDE w:val="0"/>
              <w:autoSpaceDN w:val="0"/>
              <w:adjustRightInd w:val="0"/>
              <w:spacing w:before="29" w:line="360" w:lineRule="auto"/>
              <w:ind w:left="15"/>
              <w:jc w:val="center"/>
              <w:rPr>
                <w:color w:val="000000"/>
                <w:kern w:val="0"/>
                <w:szCs w:val="21"/>
              </w:rPr>
            </w:pPr>
            <w:r w:rsidRPr="00896265">
              <w:rPr>
                <w:color w:val="000000"/>
                <w:szCs w:val="21"/>
              </w:rPr>
              <w:t>项目</w:t>
            </w:r>
          </w:p>
        </w:tc>
        <w:tc>
          <w:tcPr>
            <w:tcW w:w="7015" w:type="dxa"/>
            <w:gridSpan w:val="4"/>
          </w:tcPr>
          <w:p w:rsidR="00D56ADA" w:rsidRPr="00896265" w:rsidRDefault="00D56ADA" w:rsidP="000852F3">
            <w:pPr>
              <w:spacing w:line="360" w:lineRule="auto"/>
              <w:jc w:val="center"/>
              <w:rPr>
                <w:color w:val="000000"/>
                <w:szCs w:val="21"/>
              </w:rPr>
            </w:pPr>
            <w:r w:rsidRPr="00896265">
              <w:rPr>
                <w:color w:val="000000"/>
                <w:szCs w:val="21"/>
              </w:rPr>
              <w:t>上年度末</w:t>
            </w:r>
          </w:p>
          <w:p w:rsidR="00D56ADA" w:rsidRPr="00896265" w:rsidRDefault="00D56ADA" w:rsidP="000852F3">
            <w:pPr>
              <w:autoSpaceDE w:val="0"/>
              <w:autoSpaceDN w:val="0"/>
              <w:adjustRightInd w:val="0"/>
              <w:spacing w:before="29" w:line="360" w:lineRule="auto"/>
              <w:ind w:left="15"/>
              <w:jc w:val="center"/>
              <w:rPr>
                <w:color w:val="000000"/>
                <w:kern w:val="0"/>
                <w:szCs w:val="21"/>
              </w:rPr>
            </w:pPr>
            <w:r w:rsidRPr="00896265">
              <w:rPr>
                <w:szCs w:val="21"/>
              </w:rPr>
              <w:t>2018</w:t>
            </w:r>
            <w:r w:rsidRPr="00896265">
              <w:rPr>
                <w:szCs w:val="21"/>
              </w:rPr>
              <w:t>年</w:t>
            </w:r>
            <w:r w:rsidRPr="00896265">
              <w:rPr>
                <w:szCs w:val="21"/>
              </w:rPr>
              <w:t>12</w:t>
            </w:r>
            <w:r w:rsidRPr="00896265">
              <w:rPr>
                <w:szCs w:val="21"/>
              </w:rPr>
              <w:t>月</w:t>
            </w:r>
            <w:r w:rsidRPr="00896265">
              <w:rPr>
                <w:szCs w:val="21"/>
              </w:rPr>
              <w:t>31</w:t>
            </w:r>
            <w:r w:rsidRPr="00896265">
              <w:rPr>
                <w:szCs w:val="21"/>
              </w:rPr>
              <w:t>日</w:t>
            </w:r>
          </w:p>
        </w:tc>
      </w:tr>
      <w:tr w:rsidR="00D56ADA" w:rsidRPr="00896265" w:rsidTr="000852F3">
        <w:tc>
          <w:tcPr>
            <w:tcW w:w="1985" w:type="dxa"/>
            <w:vMerge/>
            <w:vAlign w:val="center"/>
          </w:tcPr>
          <w:p w:rsidR="00D56ADA" w:rsidRPr="00896265" w:rsidRDefault="00D56ADA" w:rsidP="000852F3">
            <w:pPr>
              <w:autoSpaceDE w:val="0"/>
              <w:autoSpaceDN w:val="0"/>
              <w:adjustRightInd w:val="0"/>
              <w:spacing w:before="29" w:line="360" w:lineRule="auto"/>
              <w:ind w:left="15"/>
              <w:jc w:val="left"/>
              <w:rPr>
                <w:color w:val="000000"/>
                <w:kern w:val="0"/>
                <w:szCs w:val="21"/>
              </w:rPr>
            </w:pPr>
          </w:p>
        </w:tc>
        <w:tc>
          <w:tcPr>
            <w:tcW w:w="1701" w:type="dxa"/>
            <w:vAlign w:val="center"/>
          </w:tcPr>
          <w:p w:rsidR="00D56ADA" w:rsidRPr="00896265" w:rsidRDefault="00D56ADA" w:rsidP="000852F3">
            <w:pPr>
              <w:spacing w:line="360" w:lineRule="auto"/>
              <w:jc w:val="center"/>
              <w:rPr>
                <w:color w:val="000000"/>
                <w:szCs w:val="21"/>
              </w:rPr>
            </w:pPr>
            <w:r w:rsidRPr="00896265">
              <w:rPr>
                <w:color w:val="000000"/>
                <w:szCs w:val="21"/>
              </w:rPr>
              <w:t>美元</w:t>
            </w:r>
          </w:p>
          <w:p w:rsidR="00D56ADA" w:rsidRPr="00896265" w:rsidRDefault="00D56ADA" w:rsidP="000852F3">
            <w:pPr>
              <w:spacing w:line="360" w:lineRule="auto"/>
              <w:jc w:val="center"/>
              <w:rPr>
                <w:color w:val="000000"/>
                <w:szCs w:val="21"/>
              </w:rPr>
            </w:pPr>
            <w:r w:rsidRPr="00896265">
              <w:rPr>
                <w:color w:val="000000"/>
                <w:szCs w:val="21"/>
              </w:rPr>
              <w:t>折合人民币</w:t>
            </w:r>
          </w:p>
        </w:tc>
        <w:tc>
          <w:tcPr>
            <w:tcW w:w="1843" w:type="dxa"/>
            <w:vAlign w:val="center"/>
          </w:tcPr>
          <w:p w:rsidR="00D56ADA" w:rsidRPr="00896265" w:rsidRDefault="00D56ADA" w:rsidP="000852F3">
            <w:pPr>
              <w:spacing w:line="360" w:lineRule="auto"/>
              <w:jc w:val="center"/>
              <w:rPr>
                <w:color w:val="000000"/>
                <w:szCs w:val="21"/>
              </w:rPr>
            </w:pPr>
            <w:r w:rsidRPr="00896265">
              <w:rPr>
                <w:color w:val="000000"/>
                <w:szCs w:val="21"/>
              </w:rPr>
              <w:t>港币</w:t>
            </w:r>
          </w:p>
          <w:p w:rsidR="00D56ADA" w:rsidRPr="00896265" w:rsidRDefault="00D56ADA" w:rsidP="000852F3">
            <w:pPr>
              <w:spacing w:line="360" w:lineRule="auto"/>
              <w:jc w:val="center"/>
              <w:rPr>
                <w:color w:val="000000"/>
                <w:szCs w:val="21"/>
              </w:rPr>
            </w:pPr>
            <w:r w:rsidRPr="00896265">
              <w:rPr>
                <w:color w:val="000000"/>
                <w:szCs w:val="21"/>
              </w:rPr>
              <w:t>折合人民币</w:t>
            </w:r>
          </w:p>
        </w:tc>
        <w:tc>
          <w:tcPr>
            <w:tcW w:w="1842" w:type="dxa"/>
            <w:vAlign w:val="center"/>
          </w:tcPr>
          <w:p w:rsidR="00D56ADA" w:rsidRPr="00896265" w:rsidRDefault="00D56ADA" w:rsidP="000852F3">
            <w:pPr>
              <w:spacing w:line="360" w:lineRule="auto"/>
              <w:jc w:val="center"/>
              <w:rPr>
                <w:color w:val="000000"/>
                <w:szCs w:val="21"/>
              </w:rPr>
            </w:pPr>
            <w:r w:rsidRPr="00896265">
              <w:rPr>
                <w:color w:val="000000"/>
                <w:szCs w:val="21"/>
              </w:rPr>
              <w:t>其他币种</w:t>
            </w:r>
          </w:p>
          <w:p w:rsidR="00D56ADA" w:rsidRPr="00896265" w:rsidRDefault="00D56ADA" w:rsidP="000852F3">
            <w:pPr>
              <w:spacing w:line="360" w:lineRule="auto"/>
              <w:jc w:val="center"/>
              <w:rPr>
                <w:color w:val="000000"/>
                <w:szCs w:val="21"/>
              </w:rPr>
            </w:pPr>
            <w:r w:rsidRPr="00896265">
              <w:rPr>
                <w:color w:val="000000"/>
                <w:szCs w:val="21"/>
              </w:rPr>
              <w:t>折合人民币</w:t>
            </w:r>
          </w:p>
        </w:tc>
        <w:tc>
          <w:tcPr>
            <w:tcW w:w="1629" w:type="dxa"/>
            <w:vAlign w:val="center"/>
          </w:tcPr>
          <w:p w:rsidR="00D56ADA" w:rsidRPr="00896265" w:rsidRDefault="00D56ADA" w:rsidP="000852F3">
            <w:pPr>
              <w:spacing w:line="360" w:lineRule="auto"/>
              <w:jc w:val="center"/>
              <w:rPr>
                <w:color w:val="000000"/>
                <w:szCs w:val="21"/>
              </w:rPr>
            </w:pPr>
            <w:r w:rsidRPr="00896265">
              <w:rPr>
                <w:color w:val="000000"/>
                <w:szCs w:val="21"/>
              </w:rPr>
              <w:t>合计</w:t>
            </w:r>
          </w:p>
        </w:tc>
      </w:tr>
      <w:tr w:rsidR="00D56ADA" w:rsidRPr="00896265" w:rsidTr="000852F3">
        <w:tc>
          <w:tcPr>
            <w:tcW w:w="1985" w:type="dxa"/>
            <w:vAlign w:val="center"/>
          </w:tcPr>
          <w:p w:rsidR="00D56ADA" w:rsidRPr="00896265" w:rsidRDefault="00D56ADA" w:rsidP="000852F3">
            <w:pPr>
              <w:spacing w:line="360" w:lineRule="auto"/>
              <w:rPr>
                <w:szCs w:val="21"/>
              </w:rPr>
            </w:pPr>
            <w:r w:rsidRPr="00896265">
              <w:rPr>
                <w:szCs w:val="21"/>
              </w:rPr>
              <w:t>以外币计价的资产</w:t>
            </w:r>
          </w:p>
        </w:tc>
        <w:tc>
          <w:tcPr>
            <w:tcW w:w="1701" w:type="dxa"/>
          </w:tcPr>
          <w:p w:rsidR="00D56ADA" w:rsidRPr="00896265" w:rsidRDefault="00D56ADA" w:rsidP="000852F3">
            <w:pPr>
              <w:autoSpaceDE w:val="0"/>
              <w:autoSpaceDN w:val="0"/>
              <w:adjustRightInd w:val="0"/>
              <w:spacing w:before="29" w:line="360" w:lineRule="auto"/>
              <w:ind w:left="15"/>
              <w:jc w:val="right"/>
              <w:rPr>
                <w:color w:val="000000"/>
                <w:kern w:val="0"/>
                <w:szCs w:val="21"/>
              </w:rPr>
            </w:pPr>
          </w:p>
        </w:tc>
        <w:tc>
          <w:tcPr>
            <w:tcW w:w="1843" w:type="dxa"/>
          </w:tcPr>
          <w:p w:rsidR="00D56ADA" w:rsidRPr="00896265" w:rsidRDefault="00D56ADA" w:rsidP="000852F3">
            <w:pPr>
              <w:autoSpaceDE w:val="0"/>
              <w:autoSpaceDN w:val="0"/>
              <w:adjustRightInd w:val="0"/>
              <w:spacing w:before="29" w:line="360" w:lineRule="auto"/>
              <w:ind w:left="15"/>
              <w:jc w:val="right"/>
              <w:rPr>
                <w:color w:val="000000"/>
                <w:kern w:val="0"/>
                <w:szCs w:val="21"/>
              </w:rPr>
            </w:pPr>
          </w:p>
        </w:tc>
        <w:tc>
          <w:tcPr>
            <w:tcW w:w="1842" w:type="dxa"/>
          </w:tcPr>
          <w:p w:rsidR="00D56ADA" w:rsidRPr="00896265" w:rsidRDefault="00D56ADA" w:rsidP="000852F3">
            <w:pPr>
              <w:autoSpaceDE w:val="0"/>
              <w:autoSpaceDN w:val="0"/>
              <w:adjustRightInd w:val="0"/>
              <w:spacing w:before="29" w:line="360" w:lineRule="auto"/>
              <w:ind w:left="15"/>
              <w:jc w:val="right"/>
              <w:rPr>
                <w:color w:val="000000"/>
                <w:kern w:val="0"/>
                <w:szCs w:val="21"/>
              </w:rPr>
            </w:pPr>
          </w:p>
        </w:tc>
        <w:tc>
          <w:tcPr>
            <w:tcW w:w="1629" w:type="dxa"/>
            <w:vAlign w:val="center"/>
          </w:tcPr>
          <w:p w:rsidR="00D56ADA" w:rsidRPr="00896265" w:rsidRDefault="00D56ADA" w:rsidP="000852F3">
            <w:pPr>
              <w:autoSpaceDE w:val="0"/>
              <w:autoSpaceDN w:val="0"/>
              <w:adjustRightInd w:val="0"/>
              <w:spacing w:before="29" w:line="360" w:lineRule="auto"/>
              <w:ind w:left="15"/>
              <w:jc w:val="right"/>
              <w:rPr>
                <w:color w:val="000000"/>
                <w:kern w:val="0"/>
                <w:szCs w:val="21"/>
              </w:rPr>
            </w:pPr>
          </w:p>
        </w:tc>
      </w:tr>
      <w:tr w:rsidR="00F14AEA">
        <w:tc>
          <w:tcPr>
            <w:tcW w:w="1985" w:type="dxa"/>
            <w:vAlign w:val="center"/>
          </w:tcPr>
          <w:p w:rsidR="00F14AEA" w:rsidRDefault="00EC6028">
            <w:pPr>
              <w:jc w:val="left"/>
            </w:pPr>
            <w:r>
              <w:rPr>
                <w:color w:val="000000"/>
                <w:szCs w:val="21"/>
              </w:rPr>
              <w:t>银行存款</w:t>
            </w:r>
          </w:p>
        </w:tc>
        <w:tc>
          <w:tcPr>
            <w:tcW w:w="1701" w:type="dxa"/>
            <w:vAlign w:val="center"/>
          </w:tcPr>
          <w:p w:rsidR="00F14AEA" w:rsidRDefault="00EC6028">
            <w:pPr>
              <w:jc w:val="right"/>
            </w:pPr>
            <w:r>
              <w:rPr>
                <w:color w:val="000000"/>
                <w:szCs w:val="21"/>
              </w:rPr>
              <w:t>11,409,393.43</w:t>
            </w:r>
          </w:p>
        </w:tc>
        <w:tc>
          <w:tcPr>
            <w:tcW w:w="1843" w:type="dxa"/>
            <w:vAlign w:val="center"/>
          </w:tcPr>
          <w:p w:rsidR="00F14AEA" w:rsidRDefault="00EC6028">
            <w:pPr>
              <w:jc w:val="right"/>
            </w:pPr>
            <w:r>
              <w:rPr>
                <w:color w:val="000000"/>
                <w:szCs w:val="21"/>
              </w:rPr>
              <w:t>2,057.91</w:t>
            </w:r>
          </w:p>
        </w:tc>
        <w:tc>
          <w:tcPr>
            <w:tcW w:w="1842" w:type="dxa"/>
            <w:vAlign w:val="center"/>
          </w:tcPr>
          <w:p w:rsidR="00F14AEA" w:rsidRDefault="00EC6028">
            <w:pPr>
              <w:jc w:val="right"/>
            </w:pPr>
            <w:r>
              <w:rPr>
                <w:color w:val="000000"/>
                <w:szCs w:val="21"/>
              </w:rPr>
              <w:t>10,334,578.21</w:t>
            </w:r>
          </w:p>
        </w:tc>
        <w:tc>
          <w:tcPr>
            <w:tcW w:w="1629" w:type="dxa"/>
            <w:vAlign w:val="center"/>
          </w:tcPr>
          <w:p w:rsidR="00F14AEA" w:rsidRDefault="00EC6028">
            <w:pPr>
              <w:jc w:val="right"/>
            </w:pPr>
            <w:r>
              <w:rPr>
                <w:color w:val="000000"/>
                <w:szCs w:val="21"/>
              </w:rPr>
              <w:t>21,746,029.55</w:t>
            </w:r>
          </w:p>
        </w:tc>
      </w:tr>
      <w:tr w:rsidR="00F14AEA">
        <w:tc>
          <w:tcPr>
            <w:tcW w:w="1985" w:type="dxa"/>
            <w:vAlign w:val="center"/>
          </w:tcPr>
          <w:p w:rsidR="00F14AEA" w:rsidRDefault="00EC6028">
            <w:pPr>
              <w:jc w:val="left"/>
            </w:pPr>
            <w:r>
              <w:rPr>
                <w:color w:val="000000"/>
                <w:szCs w:val="21"/>
              </w:rPr>
              <w:t>结算备付金</w:t>
            </w:r>
          </w:p>
        </w:tc>
        <w:tc>
          <w:tcPr>
            <w:tcW w:w="1701" w:type="dxa"/>
            <w:vAlign w:val="center"/>
          </w:tcPr>
          <w:p w:rsidR="00F14AEA" w:rsidRDefault="00EC6028">
            <w:pPr>
              <w:jc w:val="right"/>
            </w:pPr>
            <w:r>
              <w:rPr>
                <w:color w:val="000000"/>
                <w:szCs w:val="21"/>
              </w:rPr>
              <w:t>-</w:t>
            </w:r>
          </w:p>
        </w:tc>
        <w:tc>
          <w:tcPr>
            <w:tcW w:w="1843" w:type="dxa"/>
            <w:vAlign w:val="center"/>
          </w:tcPr>
          <w:p w:rsidR="00F14AEA" w:rsidRDefault="00EC6028">
            <w:pPr>
              <w:jc w:val="right"/>
            </w:pPr>
            <w:r>
              <w:rPr>
                <w:color w:val="000000"/>
                <w:szCs w:val="21"/>
              </w:rPr>
              <w:t>-</w:t>
            </w:r>
          </w:p>
        </w:tc>
        <w:tc>
          <w:tcPr>
            <w:tcW w:w="1842" w:type="dxa"/>
            <w:vAlign w:val="center"/>
          </w:tcPr>
          <w:p w:rsidR="00F14AEA" w:rsidRDefault="00EC6028">
            <w:pPr>
              <w:jc w:val="right"/>
            </w:pPr>
            <w:r>
              <w:rPr>
                <w:color w:val="000000"/>
                <w:szCs w:val="21"/>
              </w:rPr>
              <w:t>-</w:t>
            </w:r>
          </w:p>
        </w:tc>
        <w:tc>
          <w:tcPr>
            <w:tcW w:w="1629" w:type="dxa"/>
            <w:vAlign w:val="center"/>
          </w:tcPr>
          <w:p w:rsidR="00F14AEA" w:rsidRDefault="00EC6028">
            <w:pPr>
              <w:jc w:val="right"/>
            </w:pPr>
            <w:r>
              <w:rPr>
                <w:color w:val="000000"/>
                <w:szCs w:val="21"/>
              </w:rPr>
              <w:t>-</w:t>
            </w:r>
          </w:p>
        </w:tc>
      </w:tr>
      <w:tr w:rsidR="00F14AEA">
        <w:tc>
          <w:tcPr>
            <w:tcW w:w="1985" w:type="dxa"/>
            <w:vAlign w:val="center"/>
          </w:tcPr>
          <w:p w:rsidR="00F14AEA" w:rsidRDefault="00EC6028">
            <w:pPr>
              <w:jc w:val="left"/>
            </w:pPr>
            <w:r>
              <w:rPr>
                <w:color w:val="000000"/>
                <w:szCs w:val="21"/>
              </w:rPr>
              <w:t>交易性金融资产</w:t>
            </w:r>
          </w:p>
        </w:tc>
        <w:tc>
          <w:tcPr>
            <w:tcW w:w="1701" w:type="dxa"/>
            <w:vAlign w:val="center"/>
          </w:tcPr>
          <w:p w:rsidR="00F14AEA" w:rsidRDefault="00EC6028">
            <w:pPr>
              <w:jc w:val="right"/>
            </w:pPr>
            <w:r>
              <w:rPr>
                <w:color w:val="000000"/>
                <w:szCs w:val="21"/>
              </w:rPr>
              <w:t>242,790,926.68</w:t>
            </w:r>
          </w:p>
        </w:tc>
        <w:tc>
          <w:tcPr>
            <w:tcW w:w="1843" w:type="dxa"/>
            <w:vAlign w:val="center"/>
          </w:tcPr>
          <w:p w:rsidR="00F14AEA" w:rsidRDefault="00EC6028">
            <w:pPr>
              <w:jc w:val="right"/>
            </w:pPr>
            <w:r>
              <w:rPr>
                <w:color w:val="000000"/>
                <w:szCs w:val="21"/>
              </w:rPr>
              <w:t>-</w:t>
            </w:r>
          </w:p>
        </w:tc>
        <w:tc>
          <w:tcPr>
            <w:tcW w:w="1842" w:type="dxa"/>
            <w:vAlign w:val="center"/>
          </w:tcPr>
          <w:p w:rsidR="00F14AEA" w:rsidRDefault="00EC6028">
            <w:pPr>
              <w:jc w:val="right"/>
            </w:pPr>
            <w:r>
              <w:rPr>
                <w:color w:val="000000"/>
                <w:szCs w:val="21"/>
              </w:rPr>
              <w:t>-</w:t>
            </w:r>
          </w:p>
        </w:tc>
        <w:tc>
          <w:tcPr>
            <w:tcW w:w="1629" w:type="dxa"/>
            <w:vAlign w:val="center"/>
          </w:tcPr>
          <w:p w:rsidR="00F14AEA" w:rsidRDefault="00EC6028">
            <w:pPr>
              <w:jc w:val="right"/>
            </w:pPr>
            <w:r>
              <w:rPr>
                <w:color w:val="000000"/>
                <w:szCs w:val="21"/>
              </w:rPr>
              <w:t>242,790,926.68</w:t>
            </w:r>
          </w:p>
        </w:tc>
      </w:tr>
      <w:tr w:rsidR="00F14AEA">
        <w:tc>
          <w:tcPr>
            <w:tcW w:w="1985" w:type="dxa"/>
            <w:vAlign w:val="center"/>
          </w:tcPr>
          <w:p w:rsidR="00F14AEA" w:rsidRDefault="00EC6028">
            <w:pPr>
              <w:jc w:val="left"/>
            </w:pPr>
            <w:r>
              <w:rPr>
                <w:color w:val="000000"/>
                <w:szCs w:val="21"/>
              </w:rPr>
              <w:t>衍生金融资产</w:t>
            </w:r>
          </w:p>
        </w:tc>
        <w:tc>
          <w:tcPr>
            <w:tcW w:w="1701" w:type="dxa"/>
            <w:vAlign w:val="center"/>
          </w:tcPr>
          <w:p w:rsidR="00F14AEA" w:rsidRDefault="00EC6028">
            <w:pPr>
              <w:jc w:val="right"/>
            </w:pPr>
            <w:r>
              <w:rPr>
                <w:color w:val="000000"/>
                <w:szCs w:val="21"/>
              </w:rPr>
              <w:t>-</w:t>
            </w:r>
          </w:p>
        </w:tc>
        <w:tc>
          <w:tcPr>
            <w:tcW w:w="1843" w:type="dxa"/>
            <w:vAlign w:val="center"/>
          </w:tcPr>
          <w:p w:rsidR="00F14AEA" w:rsidRDefault="00EC6028">
            <w:pPr>
              <w:jc w:val="right"/>
            </w:pPr>
            <w:r>
              <w:rPr>
                <w:color w:val="000000"/>
                <w:szCs w:val="21"/>
              </w:rPr>
              <w:t>-</w:t>
            </w:r>
          </w:p>
        </w:tc>
        <w:tc>
          <w:tcPr>
            <w:tcW w:w="1842" w:type="dxa"/>
            <w:vAlign w:val="center"/>
          </w:tcPr>
          <w:p w:rsidR="00F14AEA" w:rsidRDefault="00EC6028">
            <w:pPr>
              <w:jc w:val="right"/>
            </w:pPr>
            <w:r>
              <w:rPr>
                <w:color w:val="000000"/>
                <w:szCs w:val="21"/>
              </w:rPr>
              <w:t>-</w:t>
            </w:r>
          </w:p>
        </w:tc>
        <w:tc>
          <w:tcPr>
            <w:tcW w:w="1629" w:type="dxa"/>
            <w:vAlign w:val="center"/>
          </w:tcPr>
          <w:p w:rsidR="00F14AEA" w:rsidRDefault="00EC6028">
            <w:pPr>
              <w:jc w:val="right"/>
            </w:pPr>
            <w:r>
              <w:rPr>
                <w:color w:val="000000"/>
                <w:szCs w:val="21"/>
              </w:rPr>
              <w:t>-</w:t>
            </w:r>
          </w:p>
        </w:tc>
      </w:tr>
      <w:tr w:rsidR="00F14AEA">
        <w:tc>
          <w:tcPr>
            <w:tcW w:w="1985" w:type="dxa"/>
            <w:vAlign w:val="center"/>
          </w:tcPr>
          <w:p w:rsidR="00F14AEA" w:rsidRDefault="00EC6028">
            <w:pPr>
              <w:jc w:val="left"/>
            </w:pPr>
            <w:r>
              <w:rPr>
                <w:color w:val="000000"/>
                <w:szCs w:val="21"/>
              </w:rPr>
              <w:t>应收证券清算款</w:t>
            </w:r>
          </w:p>
        </w:tc>
        <w:tc>
          <w:tcPr>
            <w:tcW w:w="1701" w:type="dxa"/>
            <w:vAlign w:val="center"/>
          </w:tcPr>
          <w:p w:rsidR="00F14AEA" w:rsidRDefault="00EC6028">
            <w:pPr>
              <w:jc w:val="right"/>
            </w:pPr>
            <w:r>
              <w:rPr>
                <w:color w:val="000000"/>
                <w:szCs w:val="21"/>
              </w:rPr>
              <w:t>96,774.96</w:t>
            </w:r>
          </w:p>
        </w:tc>
        <w:tc>
          <w:tcPr>
            <w:tcW w:w="1843" w:type="dxa"/>
            <w:vAlign w:val="center"/>
          </w:tcPr>
          <w:p w:rsidR="00F14AEA" w:rsidRDefault="00EC6028">
            <w:pPr>
              <w:jc w:val="right"/>
            </w:pPr>
            <w:r>
              <w:rPr>
                <w:color w:val="000000"/>
                <w:szCs w:val="21"/>
              </w:rPr>
              <w:t>-</w:t>
            </w:r>
          </w:p>
        </w:tc>
        <w:tc>
          <w:tcPr>
            <w:tcW w:w="1842" w:type="dxa"/>
            <w:vAlign w:val="center"/>
          </w:tcPr>
          <w:p w:rsidR="00F14AEA" w:rsidRDefault="00EC6028">
            <w:pPr>
              <w:jc w:val="right"/>
            </w:pPr>
            <w:r>
              <w:rPr>
                <w:color w:val="000000"/>
                <w:szCs w:val="21"/>
              </w:rPr>
              <w:t>-</w:t>
            </w:r>
          </w:p>
        </w:tc>
        <w:tc>
          <w:tcPr>
            <w:tcW w:w="1629" w:type="dxa"/>
            <w:vAlign w:val="center"/>
          </w:tcPr>
          <w:p w:rsidR="00F14AEA" w:rsidRDefault="00EC6028">
            <w:pPr>
              <w:jc w:val="right"/>
            </w:pPr>
            <w:r>
              <w:rPr>
                <w:color w:val="000000"/>
                <w:szCs w:val="21"/>
              </w:rPr>
              <w:t>96,774.96</w:t>
            </w:r>
          </w:p>
        </w:tc>
      </w:tr>
      <w:tr w:rsidR="00F14AEA">
        <w:tc>
          <w:tcPr>
            <w:tcW w:w="1985" w:type="dxa"/>
            <w:vAlign w:val="center"/>
          </w:tcPr>
          <w:p w:rsidR="00F14AEA" w:rsidRDefault="00EC6028">
            <w:pPr>
              <w:jc w:val="left"/>
            </w:pPr>
            <w:r>
              <w:rPr>
                <w:color w:val="000000"/>
                <w:szCs w:val="21"/>
              </w:rPr>
              <w:t>应收利息</w:t>
            </w:r>
          </w:p>
        </w:tc>
        <w:tc>
          <w:tcPr>
            <w:tcW w:w="1701" w:type="dxa"/>
            <w:vAlign w:val="center"/>
          </w:tcPr>
          <w:p w:rsidR="00F14AEA" w:rsidRDefault="00EC6028">
            <w:pPr>
              <w:jc w:val="right"/>
            </w:pPr>
            <w:r>
              <w:rPr>
                <w:color w:val="000000"/>
                <w:szCs w:val="21"/>
              </w:rPr>
              <w:t>284.89</w:t>
            </w:r>
          </w:p>
        </w:tc>
        <w:tc>
          <w:tcPr>
            <w:tcW w:w="1843" w:type="dxa"/>
            <w:vAlign w:val="center"/>
          </w:tcPr>
          <w:p w:rsidR="00F14AEA" w:rsidRDefault="00EC6028">
            <w:pPr>
              <w:jc w:val="right"/>
            </w:pPr>
            <w:r>
              <w:rPr>
                <w:color w:val="000000"/>
                <w:szCs w:val="21"/>
              </w:rPr>
              <w:t>0.01</w:t>
            </w:r>
          </w:p>
        </w:tc>
        <w:tc>
          <w:tcPr>
            <w:tcW w:w="1842" w:type="dxa"/>
            <w:vAlign w:val="center"/>
          </w:tcPr>
          <w:p w:rsidR="00F14AEA" w:rsidRDefault="00EC6028">
            <w:pPr>
              <w:jc w:val="right"/>
            </w:pPr>
            <w:r>
              <w:rPr>
                <w:color w:val="000000"/>
                <w:szCs w:val="21"/>
              </w:rPr>
              <w:t>-</w:t>
            </w:r>
          </w:p>
        </w:tc>
        <w:tc>
          <w:tcPr>
            <w:tcW w:w="1629" w:type="dxa"/>
            <w:vAlign w:val="center"/>
          </w:tcPr>
          <w:p w:rsidR="00F14AEA" w:rsidRDefault="00EC6028">
            <w:pPr>
              <w:jc w:val="right"/>
            </w:pPr>
            <w:r>
              <w:rPr>
                <w:color w:val="000000"/>
                <w:szCs w:val="21"/>
              </w:rPr>
              <w:t>284.90</w:t>
            </w:r>
          </w:p>
        </w:tc>
      </w:tr>
      <w:tr w:rsidR="00F14AEA">
        <w:tc>
          <w:tcPr>
            <w:tcW w:w="1985" w:type="dxa"/>
            <w:vAlign w:val="center"/>
          </w:tcPr>
          <w:p w:rsidR="00F14AEA" w:rsidRDefault="00EC6028">
            <w:pPr>
              <w:jc w:val="left"/>
            </w:pPr>
            <w:r>
              <w:rPr>
                <w:color w:val="000000"/>
                <w:szCs w:val="21"/>
              </w:rPr>
              <w:t>应收股利</w:t>
            </w:r>
          </w:p>
        </w:tc>
        <w:tc>
          <w:tcPr>
            <w:tcW w:w="1701" w:type="dxa"/>
            <w:vAlign w:val="center"/>
          </w:tcPr>
          <w:p w:rsidR="00F14AEA" w:rsidRDefault="00EC6028">
            <w:pPr>
              <w:jc w:val="right"/>
            </w:pPr>
            <w:r>
              <w:rPr>
                <w:color w:val="000000"/>
                <w:szCs w:val="21"/>
              </w:rPr>
              <w:t>-</w:t>
            </w:r>
          </w:p>
        </w:tc>
        <w:tc>
          <w:tcPr>
            <w:tcW w:w="1843" w:type="dxa"/>
            <w:vAlign w:val="center"/>
          </w:tcPr>
          <w:p w:rsidR="00F14AEA" w:rsidRDefault="00EC6028">
            <w:pPr>
              <w:jc w:val="right"/>
            </w:pPr>
            <w:r>
              <w:rPr>
                <w:color w:val="000000"/>
                <w:szCs w:val="21"/>
              </w:rPr>
              <w:t>-</w:t>
            </w:r>
          </w:p>
        </w:tc>
        <w:tc>
          <w:tcPr>
            <w:tcW w:w="1842" w:type="dxa"/>
            <w:vAlign w:val="center"/>
          </w:tcPr>
          <w:p w:rsidR="00F14AEA" w:rsidRDefault="00EC6028">
            <w:pPr>
              <w:jc w:val="right"/>
            </w:pPr>
            <w:r>
              <w:rPr>
                <w:color w:val="000000"/>
                <w:szCs w:val="21"/>
              </w:rPr>
              <w:t>-</w:t>
            </w:r>
          </w:p>
        </w:tc>
        <w:tc>
          <w:tcPr>
            <w:tcW w:w="1629" w:type="dxa"/>
            <w:vAlign w:val="center"/>
          </w:tcPr>
          <w:p w:rsidR="00F14AEA" w:rsidRDefault="00EC6028">
            <w:pPr>
              <w:jc w:val="right"/>
            </w:pPr>
            <w:r>
              <w:rPr>
                <w:color w:val="000000"/>
                <w:szCs w:val="21"/>
              </w:rPr>
              <w:t>-</w:t>
            </w:r>
          </w:p>
        </w:tc>
      </w:tr>
      <w:tr w:rsidR="00F14AEA">
        <w:tc>
          <w:tcPr>
            <w:tcW w:w="1985" w:type="dxa"/>
            <w:vAlign w:val="center"/>
          </w:tcPr>
          <w:p w:rsidR="00F14AEA" w:rsidRDefault="00EC6028">
            <w:pPr>
              <w:jc w:val="left"/>
            </w:pPr>
            <w:r>
              <w:rPr>
                <w:color w:val="000000"/>
                <w:szCs w:val="21"/>
              </w:rPr>
              <w:t>应收申购款</w:t>
            </w:r>
          </w:p>
        </w:tc>
        <w:tc>
          <w:tcPr>
            <w:tcW w:w="1701" w:type="dxa"/>
            <w:vAlign w:val="center"/>
          </w:tcPr>
          <w:p w:rsidR="00F14AEA" w:rsidRDefault="00EC6028">
            <w:pPr>
              <w:jc w:val="right"/>
            </w:pPr>
            <w:r>
              <w:rPr>
                <w:color w:val="000000"/>
                <w:szCs w:val="21"/>
              </w:rPr>
              <w:t>-</w:t>
            </w:r>
          </w:p>
        </w:tc>
        <w:tc>
          <w:tcPr>
            <w:tcW w:w="1843" w:type="dxa"/>
            <w:vAlign w:val="center"/>
          </w:tcPr>
          <w:p w:rsidR="00F14AEA" w:rsidRDefault="00EC6028">
            <w:pPr>
              <w:jc w:val="right"/>
            </w:pPr>
            <w:r>
              <w:rPr>
                <w:color w:val="000000"/>
                <w:szCs w:val="21"/>
              </w:rPr>
              <w:t>-</w:t>
            </w:r>
          </w:p>
        </w:tc>
        <w:tc>
          <w:tcPr>
            <w:tcW w:w="1842" w:type="dxa"/>
            <w:vAlign w:val="center"/>
          </w:tcPr>
          <w:p w:rsidR="00F14AEA" w:rsidRDefault="00EC6028">
            <w:pPr>
              <w:jc w:val="right"/>
            </w:pPr>
            <w:r>
              <w:rPr>
                <w:color w:val="000000"/>
                <w:szCs w:val="21"/>
              </w:rPr>
              <w:t>-</w:t>
            </w:r>
          </w:p>
        </w:tc>
        <w:tc>
          <w:tcPr>
            <w:tcW w:w="1629" w:type="dxa"/>
            <w:vAlign w:val="center"/>
          </w:tcPr>
          <w:p w:rsidR="00F14AEA" w:rsidRDefault="00EC6028">
            <w:pPr>
              <w:jc w:val="right"/>
            </w:pPr>
            <w:r>
              <w:rPr>
                <w:color w:val="000000"/>
                <w:szCs w:val="21"/>
              </w:rPr>
              <w:t>-</w:t>
            </w:r>
          </w:p>
        </w:tc>
      </w:tr>
      <w:tr w:rsidR="00F14AEA">
        <w:tc>
          <w:tcPr>
            <w:tcW w:w="1985" w:type="dxa"/>
            <w:vAlign w:val="center"/>
          </w:tcPr>
          <w:p w:rsidR="00F14AEA" w:rsidRDefault="00EC6028">
            <w:pPr>
              <w:jc w:val="left"/>
            </w:pPr>
            <w:r>
              <w:rPr>
                <w:color w:val="000000"/>
                <w:szCs w:val="21"/>
              </w:rPr>
              <w:t>其他资产</w:t>
            </w:r>
          </w:p>
        </w:tc>
        <w:tc>
          <w:tcPr>
            <w:tcW w:w="1701" w:type="dxa"/>
            <w:vAlign w:val="center"/>
          </w:tcPr>
          <w:p w:rsidR="00F14AEA" w:rsidRDefault="00EC6028">
            <w:pPr>
              <w:jc w:val="right"/>
            </w:pPr>
            <w:r>
              <w:rPr>
                <w:color w:val="000000"/>
                <w:szCs w:val="21"/>
              </w:rPr>
              <w:t>-</w:t>
            </w:r>
          </w:p>
        </w:tc>
        <w:tc>
          <w:tcPr>
            <w:tcW w:w="1843" w:type="dxa"/>
            <w:vAlign w:val="center"/>
          </w:tcPr>
          <w:p w:rsidR="00F14AEA" w:rsidRDefault="00EC6028">
            <w:pPr>
              <w:jc w:val="right"/>
            </w:pPr>
            <w:r>
              <w:rPr>
                <w:color w:val="000000"/>
                <w:szCs w:val="21"/>
              </w:rPr>
              <w:t>-</w:t>
            </w:r>
          </w:p>
        </w:tc>
        <w:tc>
          <w:tcPr>
            <w:tcW w:w="1842" w:type="dxa"/>
            <w:vAlign w:val="center"/>
          </w:tcPr>
          <w:p w:rsidR="00F14AEA" w:rsidRDefault="00EC6028">
            <w:pPr>
              <w:jc w:val="right"/>
            </w:pPr>
            <w:r>
              <w:rPr>
                <w:color w:val="000000"/>
                <w:szCs w:val="21"/>
              </w:rPr>
              <w:t>-</w:t>
            </w:r>
          </w:p>
        </w:tc>
        <w:tc>
          <w:tcPr>
            <w:tcW w:w="1629" w:type="dxa"/>
            <w:vAlign w:val="center"/>
          </w:tcPr>
          <w:p w:rsidR="00F14AEA" w:rsidRDefault="00EC6028">
            <w:pPr>
              <w:jc w:val="right"/>
            </w:pPr>
            <w:r>
              <w:rPr>
                <w:color w:val="000000"/>
                <w:szCs w:val="21"/>
              </w:rPr>
              <w:t>-</w:t>
            </w:r>
          </w:p>
        </w:tc>
      </w:tr>
      <w:tr w:rsidR="00D56ADA" w:rsidRPr="00896265" w:rsidTr="000852F3">
        <w:tc>
          <w:tcPr>
            <w:tcW w:w="1985" w:type="dxa"/>
            <w:vAlign w:val="center"/>
          </w:tcPr>
          <w:p w:rsidR="00D56ADA" w:rsidRPr="00896265" w:rsidRDefault="00D56ADA" w:rsidP="000852F3">
            <w:pPr>
              <w:spacing w:line="360" w:lineRule="auto"/>
              <w:rPr>
                <w:color w:val="000000"/>
                <w:kern w:val="0"/>
                <w:szCs w:val="21"/>
              </w:rPr>
            </w:pPr>
            <w:r w:rsidRPr="00896265">
              <w:rPr>
                <w:szCs w:val="21"/>
              </w:rPr>
              <w:t>资产合计</w:t>
            </w:r>
          </w:p>
        </w:tc>
        <w:tc>
          <w:tcPr>
            <w:tcW w:w="1701" w:type="dxa"/>
            <w:vAlign w:val="center"/>
          </w:tcPr>
          <w:p w:rsidR="00D56ADA" w:rsidRPr="00896265" w:rsidRDefault="00D56ADA" w:rsidP="000852F3">
            <w:pPr>
              <w:spacing w:line="360" w:lineRule="auto"/>
              <w:jc w:val="right"/>
              <w:rPr>
                <w:szCs w:val="21"/>
              </w:rPr>
            </w:pPr>
            <w:r w:rsidRPr="00896265">
              <w:rPr>
                <w:szCs w:val="21"/>
              </w:rPr>
              <w:t>254,297,379.96</w:t>
            </w:r>
          </w:p>
        </w:tc>
        <w:tc>
          <w:tcPr>
            <w:tcW w:w="1843" w:type="dxa"/>
            <w:vAlign w:val="center"/>
          </w:tcPr>
          <w:p w:rsidR="00D56ADA" w:rsidRPr="00896265" w:rsidRDefault="00D56ADA" w:rsidP="000852F3">
            <w:pPr>
              <w:spacing w:line="360" w:lineRule="auto"/>
              <w:jc w:val="right"/>
              <w:rPr>
                <w:szCs w:val="21"/>
              </w:rPr>
            </w:pPr>
            <w:r w:rsidRPr="00896265">
              <w:rPr>
                <w:szCs w:val="21"/>
              </w:rPr>
              <w:t>2,057.92</w:t>
            </w:r>
          </w:p>
        </w:tc>
        <w:tc>
          <w:tcPr>
            <w:tcW w:w="1842" w:type="dxa"/>
            <w:vAlign w:val="center"/>
          </w:tcPr>
          <w:p w:rsidR="00D56ADA" w:rsidRPr="00896265" w:rsidRDefault="00D56ADA" w:rsidP="000852F3">
            <w:pPr>
              <w:spacing w:line="360" w:lineRule="auto"/>
              <w:jc w:val="right"/>
              <w:rPr>
                <w:szCs w:val="21"/>
              </w:rPr>
            </w:pPr>
            <w:r w:rsidRPr="00896265">
              <w:rPr>
                <w:szCs w:val="21"/>
              </w:rPr>
              <w:t>10,334,578.21</w:t>
            </w:r>
          </w:p>
        </w:tc>
        <w:tc>
          <w:tcPr>
            <w:tcW w:w="1629" w:type="dxa"/>
            <w:vAlign w:val="center"/>
          </w:tcPr>
          <w:p w:rsidR="00D56ADA" w:rsidRPr="00896265" w:rsidRDefault="00D56ADA" w:rsidP="000852F3">
            <w:pPr>
              <w:spacing w:line="360" w:lineRule="auto"/>
              <w:jc w:val="right"/>
              <w:rPr>
                <w:szCs w:val="21"/>
              </w:rPr>
            </w:pPr>
            <w:r w:rsidRPr="00896265">
              <w:rPr>
                <w:szCs w:val="21"/>
              </w:rPr>
              <w:t>264,634,016.09</w:t>
            </w:r>
          </w:p>
        </w:tc>
      </w:tr>
      <w:tr w:rsidR="00D56ADA" w:rsidRPr="00896265" w:rsidTr="000852F3">
        <w:tc>
          <w:tcPr>
            <w:tcW w:w="1985" w:type="dxa"/>
            <w:vAlign w:val="center"/>
          </w:tcPr>
          <w:p w:rsidR="00D56ADA" w:rsidRPr="00896265" w:rsidRDefault="00D56ADA" w:rsidP="000852F3">
            <w:pPr>
              <w:spacing w:line="360" w:lineRule="auto"/>
              <w:rPr>
                <w:color w:val="000000"/>
                <w:kern w:val="0"/>
                <w:szCs w:val="21"/>
              </w:rPr>
            </w:pPr>
            <w:r w:rsidRPr="00896265">
              <w:rPr>
                <w:szCs w:val="21"/>
              </w:rPr>
              <w:t>以外币计价的负债</w:t>
            </w:r>
          </w:p>
        </w:tc>
        <w:tc>
          <w:tcPr>
            <w:tcW w:w="1701" w:type="dxa"/>
          </w:tcPr>
          <w:p w:rsidR="00D56ADA" w:rsidRPr="00896265" w:rsidRDefault="00D56ADA" w:rsidP="000852F3">
            <w:pPr>
              <w:autoSpaceDE w:val="0"/>
              <w:autoSpaceDN w:val="0"/>
              <w:adjustRightInd w:val="0"/>
              <w:spacing w:before="29" w:line="360" w:lineRule="auto"/>
              <w:ind w:left="15"/>
              <w:jc w:val="center"/>
              <w:rPr>
                <w:color w:val="000000"/>
                <w:kern w:val="0"/>
                <w:szCs w:val="21"/>
              </w:rPr>
            </w:pPr>
          </w:p>
        </w:tc>
        <w:tc>
          <w:tcPr>
            <w:tcW w:w="1843" w:type="dxa"/>
          </w:tcPr>
          <w:p w:rsidR="00D56ADA" w:rsidRPr="00896265" w:rsidRDefault="00D56ADA" w:rsidP="000852F3">
            <w:pPr>
              <w:autoSpaceDE w:val="0"/>
              <w:autoSpaceDN w:val="0"/>
              <w:adjustRightInd w:val="0"/>
              <w:spacing w:before="29" w:line="360" w:lineRule="auto"/>
              <w:ind w:left="15"/>
              <w:jc w:val="center"/>
              <w:rPr>
                <w:color w:val="000000"/>
                <w:kern w:val="0"/>
                <w:szCs w:val="21"/>
              </w:rPr>
            </w:pPr>
          </w:p>
        </w:tc>
        <w:tc>
          <w:tcPr>
            <w:tcW w:w="1842" w:type="dxa"/>
          </w:tcPr>
          <w:p w:rsidR="00D56ADA" w:rsidRPr="00896265" w:rsidRDefault="00D56ADA" w:rsidP="000852F3">
            <w:pPr>
              <w:autoSpaceDE w:val="0"/>
              <w:autoSpaceDN w:val="0"/>
              <w:adjustRightInd w:val="0"/>
              <w:spacing w:before="29" w:line="360" w:lineRule="auto"/>
              <w:ind w:left="15"/>
              <w:jc w:val="center"/>
              <w:rPr>
                <w:color w:val="000000"/>
                <w:kern w:val="0"/>
                <w:szCs w:val="21"/>
              </w:rPr>
            </w:pPr>
          </w:p>
        </w:tc>
        <w:tc>
          <w:tcPr>
            <w:tcW w:w="1629" w:type="dxa"/>
          </w:tcPr>
          <w:p w:rsidR="00D56ADA" w:rsidRPr="00896265" w:rsidRDefault="00D56ADA" w:rsidP="000852F3">
            <w:pPr>
              <w:autoSpaceDE w:val="0"/>
              <w:autoSpaceDN w:val="0"/>
              <w:adjustRightInd w:val="0"/>
              <w:spacing w:before="29" w:line="360" w:lineRule="auto"/>
              <w:ind w:left="15"/>
              <w:jc w:val="center"/>
              <w:rPr>
                <w:color w:val="000000"/>
                <w:kern w:val="0"/>
                <w:szCs w:val="21"/>
              </w:rPr>
            </w:pPr>
          </w:p>
        </w:tc>
      </w:tr>
      <w:tr w:rsidR="00F14AEA">
        <w:tc>
          <w:tcPr>
            <w:tcW w:w="1985" w:type="dxa"/>
            <w:vAlign w:val="center"/>
          </w:tcPr>
          <w:p w:rsidR="00F14AEA" w:rsidRDefault="00EC6028">
            <w:pPr>
              <w:jc w:val="left"/>
            </w:pPr>
            <w:r>
              <w:rPr>
                <w:color w:val="000000"/>
                <w:szCs w:val="21"/>
              </w:rPr>
              <w:t>应付证券清算款</w:t>
            </w:r>
          </w:p>
        </w:tc>
        <w:tc>
          <w:tcPr>
            <w:tcW w:w="1701" w:type="dxa"/>
            <w:vAlign w:val="center"/>
          </w:tcPr>
          <w:p w:rsidR="00F14AEA" w:rsidRDefault="00EC6028">
            <w:pPr>
              <w:jc w:val="right"/>
            </w:pPr>
            <w:r>
              <w:rPr>
                <w:color w:val="000000"/>
                <w:szCs w:val="21"/>
              </w:rPr>
              <w:t>-</w:t>
            </w:r>
          </w:p>
        </w:tc>
        <w:tc>
          <w:tcPr>
            <w:tcW w:w="1843" w:type="dxa"/>
            <w:vAlign w:val="center"/>
          </w:tcPr>
          <w:p w:rsidR="00F14AEA" w:rsidRDefault="00EC6028">
            <w:pPr>
              <w:jc w:val="right"/>
            </w:pPr>
            <w:r>
              <w:rPr>
                <w:color w:val="000000"/>
                <w:szCs w:val="21"/>
              </w:rPr>
              <w:t>-</w:t>
            </w:r>
          </w:p>
        </w:tc>
        <w:tc>
          <w:tcPr>
            <w:tcW w:w="1842" w:type="dxa"/>
            <w:vAlign w:val="center"/>
          </w:tcPr>
          <w:p w:rsidR="00F14AEA" w:rsidRDefault="00EC6028">
            <w:pPr>
              <w:jc w:val="right"/>
            </w:pPr>
            <w:r>
              <w:rPr>
                <w:color w:val="000000"/>
                <w:szCs w:val="21"/>
              </w:rPr>
              <w:t>-</w:t>
            </w:r>
          </w:p>
        </w:tc>
        <w:tc>
          <w:tcPr>
            <w:tcW w:w="1629" w:type="dxa"/>
            <w:vAlign w:val="center"/>
          </w:tcPr>
          <w:p w:rsidR="00F14AEA" w:rsidRDefault="00EC6028">
            <w:pPr>
              <w:jc w:val="right"/>
            </w:pPr>
            <w:r>
              <w:rPr>
                <w:color w:val="000000"/>
                <w:szCs w:val="21"/>
              </w:rPr>
              <w:t>-</w:t>
            </w:r>
          </w:p>
        </w:tc>
      </w:tr>
      <w:tr w:rsidR="00F14AEA">
        <w:tc>
          <w:tcPr>
            <w:tcW w:w="1985" w:type="dxa"/>
            <w:vAlign w:val="center"/>
          </w:tcPr>
          <w:p w:rsidR="00F14AEA" w:rsidRDefault="00EC6028">
            <w:pPr>
              <w:jc w:val="left"/>
            </w:pPr>
            <w:r>
              <w:rPr>
                <w:color w:val="000000"/>
                <w:szCs w:val="21"/>
              </w:rPr>
              <w:t>应付赎回款</w:t>
            </w:r>
          </w:p>
        </w:tc>
        <w:tc>
          <w:tcPr>
            <w:tcW w:w="1701" w:type="dxa"/>
            <w:vAlign w:val="center"/>
          </w:tcPr>
          <w:p w:rsidR="00F14AEA" w:rsidRDefault="00EC6028">
            <w:pPr>
              <w:jc w:val="right"/>
            </w:pPr>
            <w:r>
              <w:rPr>
                <w:color w:val="000000"/>
                <w:szCs w:val="21"/>
              </w:rPr>
              <w:t>-</w:t>
            </w:r>
          </w:p>
        </w:tc>
        <w:tc>
          <w:tcPr>
            <w:tcW w:w="1843" w:type="dxa"/>
            <w:vAlign w:val="center"/>
          </w:tcPr>
          <w:p w:rsidR="00F14AEA" w:rsidRDefault="00EC6028">
            <w:pPr>
              <w:jc w:val="right"/>
            </w:pPr>
            <w:r>
              <w:rPr>
                <w:color w:val="000000"/>
                <w:szCs w:val="21"/>
              </w:rPr>
              <w:t>-</w:t>
            </w:r>
          </w:p>
        </w:tc>
        <w:tc>
          <w:tcPr>
            <w:tcW w:w="1842" w:type="dxa"/>
            <w:vAlign w:val="center"/>
          </w:tcPr>
          <w:p w:rsidR="00F14AEA" w:rsidRDefault="00EC6028">
            <w:pPr>
              <w:jc w:val="right"/>
            </w:pPr>
            <w:r>
              <w:rPr>
                <w:color w:val="000000"/>
                <w:szCs w:val="21"/>
              </w:rPr>
              <w:t>-</w:t>
            </w:r>
          </w:p>
        </w:tc>
        <w:tc>
          <w:tcPr>
            <w:tcW w:w="1629" w:type="dxa"/>
            <w:vAlign w:val="center"/>
          </w:tcPr>
          <w:p w:rsidR="00F14AEA" w:rsidRDefault="00EC6028">
            <w:pPr>
              <w:jc w:val="right"/>
            </w:pPr>
            <w:r>
              <w:rPr>
                <w:color w:val="000000"/>
                <w:szCs w:val="21"/>
              </w:rPr>
              <w:t>-</w:t>
            </w:r>
          </w:p>
        </w:tc>
      </w:tr>
      <w:tr w:rsidR="00F14AEA">
        <w:tc>
          <w:tcPr>
            <w:tcW w:w="1985" w:type="dxa"/>
            <w:vAlign w:val="center"/>
          </w:tcPr>
          <w:p w:rsidR="00F14AEA" w:rsidRDefault="00EC6028">
            <w:pPr>
              <w:jc w:val="left"/>
            </w:pPr>
            <w:r>
              <w:rPr>
                <w:color w:val="000000"/>
                <w:szCs w:val="21"/>
              </w:rPr>
              <w:t>其他负债</w:t>
            </w:r>
          </w:p>
        </w:tc>
        <w:tc>
          <w:tcPr>
            <w:tcW w:w="1701" w:type="dxa"/>
            <w:vAlign w:val="center"/>
          </w:tcPr>
          <w:p w:rsidR="00F14AEA" w:rsidRDefault="00EC6028">
            <w:pPr>
              <w:jc w:val="right"/>
            </w:pPr>
            <w:r>
              <w:rPr>
                <w:color w:val="000000"/>
                <w:szCs w:val="21"/>
              </w:rPr>
              <w:t>-</w:t>
            </w:r>
          </w:p>
        </w:tc>
        <w:tc>
          <w:tcPr>
            <w:tcW w:w="1843" w:type="dxa"/>
            <w:vAlign w:val="center"/>
          </w:tcPr>
          <w:p w:rsidR="00F14AEA" w:rsidRDefault="00EC6028">
            <w:pPr>
              <w:jc w:val="right"/>
            </w:pPr>
            <w:r>
              <w:rPr>
                <w:color w:val="000000"/>
                <w:szCs w:val="21"/>
              </w:rPr>
              <w:t>-</w:t>
            </w:r>
          </w:p>
        </w:tc>
        <w:tc>
          <w:tcPr>
            <w:tcW w:w="1842" w:type="dxa"/>
            <w:vAlign w:val="center"/>
          </w:tcPr>
          <w:p w:rsidR="00F14AEA" w:rsidRDefault="00EC6028">
            <w:pPr>
              <w:jc w:val="right"/>
            </w:pPr>
            <w:r>
              <w:rPr>
                <w:color w:val="000000"/>
                <w:szCs w:val="21"/>
              </w:rPr>
              <w:t>-</w:t>
            </w:r>
          </w:p>
        </w:tc>
        <w:tc>
          <w:tcPr>
            <w:tcW w:w="1629" w:type="dxa"/>
            <w:vAlign w:val="center"/>
          </w:tcPr>
          <w:p w:rsidR="00F14AEA" w:rsidRDefault="00EC6028">
            <w:pPr>
              <w:jc w:val="right"/>
            </w:pPr>
            <w:r>
              <w:rPr>
                <w:color w:val="000000"/>
                <w:szCs w:val="21"/>
              </w:rPr>
              <w:t>-</w:t>
            </w:r>
          </w:p>
        </w:tc>
      </w:tr>
      <w:tr w:rsidR="00D56ADA" w:rsidRPr="00896265" w:rsidTr="000852F3">
        <w:tc>
          <w:tcPr>
            <w:tcW w:w="1985" w:type="dxa"/>
            <w:vAlign w:val="center"/>
          </w:tcPr>
          <w:p w:rsidR="00D56ADA" w:rsidRPr="00896265" w:rsidRDefault="00D56ADA" w:rsidP="000852F3">
            <w:pPr>
              <w:spacing w:line="360" w:lineRule="auto"/>
              <w:rPr>
                <w:color w:val="000000"/>
                <w:kern w:val="0"/>
                <w:szCs w:val="21"/>
              </w:rPr>
            </w:pPr>
            <w:r w:rsidRPr="00896265">
              <w:rPr>
                <w:szCs w:val="21"/>
              </w:rPr>
              <w:t>负债合计</w:t>
            </w:r>
          </w:p>
        </w:tc>
        <w:tc>
          <w:tcPr>
            <w:tcW w:w="1701" w:type="dxa"/>
            <w:vAlign w:val="center"/>
          </w:tcPr>
          <w:p w:rsidR="00D56ADA" w:rsidRPr="00896265" w:rsidRDefault="00D56ADA" w:rsidP="000852F3">
            <w:pPr>
              <w:spacing w:line="360" w:lineRule="auto"/>
              <w:jc w:val="right"/>
              <w:rPr>
                <w:szCs w:val="21"/>
              </w:rPr>
            </w:pPr>
            <w:r w:rsidRPr="00896265">
              <w:rPr>
                <w:szCs w:val="21"/>
              </w:rPr>
              <w:t>-</w:t>
            </w:r>
          </w:p>
        </w:tc>
        <w:tc>
          <w:tcPr>
            <w:tcW w:w="1843" w:type="dxa"/>
            <w:vAlign w:val="center"/>
          </w:tcPr>
          <w:p w:rsidR="00D56ADA" w:rsidRPr="00896265" w:rsidRDefault="00D56ADA" w:rsidP="000852F3">
            <w:pPr>
              <w:spacing w:line="360" w:lineRule="auto"/>
              <w:jc w:val="right"/>
              <w:rPr>
                <w:szCs w:val="21"/>
              </w:rPr>
            </w:pPr>
            <w:r w:rsidRPr="00896265">
              <w:rPr>
                <w:szCs w:val="21"/>
              </w:rPr>
              <w:t>-</w:t>
            </w:r>
          </w:p>
        </w:tc>
        <w:tc>
          <w:tcPr>
            <w:tcW w:w="1842" w:type="dxa"/>
            <w:vAlign w:val="center"/>
          </w:tcPr>
          <w:p w:rsidR="00D56ADA" w:rsidRPr="00896265" w:rsidRDefault="00D56ADA" w:rsidP="000852F3">
            <w:pPr>
              <w:spacing w:line="360" w:lineRule="auto"/>
              <w:jc w:val="right"/>
              <w:rPr>
                <w:szCs w:val="21"/>
              </w:rPr>
            </w:pPr>
            <w:r w:rsidRPr="00896265">
              <w:rPr>
                <w:szCs w:val="21"/>
              </w:rPr>
              <w:t>-</w:t>
            </w:r>
          </w:p>
        </w:tc>
        <w:tc>
          <w:tcPr>
            <w:tcW w:w="1629" w:type="dxa"/>
            <w:vAlign w:val="center"/>
          </w:tcPr>
          <w:p w:rsidR="00D56ADA" w:rsidRPr="00896265" w:rsidRDefault="00D56ADA" w:rsidP="000852F3">
            <w:pPr>
              <w:spacing w:line="360" w:lineRule="auto"/>
              <w:jc w:val="right"/>
              <w:rPr>
                <w:szCs w:val="21"/>
              </w:rPr>
            </w:pPr>
            <w:r w:rsidRPr="00896265">
              <w:rPr>
                <w:szCs w:val="21"/>
              </w:rPr>
              <w:t>-</w:t>
            </w:r>
          </w:p>
        </w:tc>
      </w:tr>
      <w:tr w:rsidR="00D56ADA" w:rsidRPr="00896265" w:rsidTr="000852F3">
        <w:tc>
          <w:tcPr>
            <w:tcW w:w="1985" w:type="dxa"/>
            <w:vAlign w:val="center"/>
          </w:tcPr>
          <w:p w:rsidR="00D56ADA" w:rsidRPr="00896265" w:rsidRDefault="00D56ADA" w:rsidP="000852F3">
            <w:pPr>
              <w:spacing w:line="360" w:lineRule="auto"/>
              <w:rPr>
                <w:color w:val="000000"/>
                <w:kern w:val="0"/>
                <w:szCs w:val="21"/>
              </w:rPr>
            </w:pPr>
            <w:r w:rsidRPr="00896265">
              <w:rPr>
                <w:szCs w:val="21"/>
              </w:rPr>
              <w:t>资产负债表外汇风险敞口净额</w:t>
            </w:r>
          </w:p>
        </w:tc>
        <w:tc>
          <w:tcPr>
            <w:tcW w:w="1701" w:type="dxa"/>
            <w:vAlign w:val="center"/>
          </w:tcPr>
          <w:p w:rsidR="00D56ADA" w:rsidRPr="00896265" w:rsidRDefault="00D56ADA" w:rsidP="000852F3">
            <w:pPr>
              <w:spacing w:line="360" w:lineRule="auto"/>
              <w:jc w:val="right"/>
              <w:rPr>
                <w:szCs w:val="21"/>
              </w:rPr>
            </w:pPr>
            <w:r w:rsidRPr="00896265">
              <w:rPr>
                <w:szCs w:val="21"/>
              </w:rPr>
              <w:t>254,297,379.96</w:t>
            </w:r>
          </w:p>
        </w:tc>
        <w:tc>
          <w:tcPr>
            <w:tcW w:w="1843" w:type="dxa"/>
            <w:vAlign w:val="center"/>
          </w:tcPr>
          <w:p w:rsidR="00D56ADA" w:rsidRPr="00896265" w:rsidRDefault="00D56ADA" w:rsidP="000852F3">
            <w:pPr>
              <w:spacing w:line="360" w:lineRule="auto"/>
              <w:jc w:val="right"/>
              <w:rPr>
                <w:szCs w:val="21"/>
              </w:rPr>
            </w:pPr>
            <w:r w:rsidRPr="00896265">
              <w:rPr>
                <w:szCs w:val="21"/>
              </w:rPr>
              <w:t>2,057.92</w:t>
            </w:r>
          </w:p>
        </w:tc>
        <w:tc>
          <w:tcPr>
            <w:tcW w:w="1842" w:type="dxa"/>
            <w:vAlign w:val="center"/>
          </w:tcPr>
          <w:p w:rsidR="00D56ADA" w:rsidRPr="00896265" w:rsidRDefault="00D56ADA" w:rsidP="000852F3">
            <w:pPr>
              <w:spacing w:line="360" w:lineRule="auto"/>
              <w:jc w:val="right"/>
              <w:rPr>
                <w:szCs w:val="21"/>
              </w:rPr>
            </w:pPr>
            <w:r w:rsidRPr="00896265">
              <w:rPr>
                <w:szCs w:val="21"/>
              </w:rPr>
              <w:t>10,334,578.21</w:t>
            </w:r>
          </w:p>
        </w:tc>
        <w:tc>
          <w:tcPr>
            <w:tcW w:w="1629" w:type="dxa"/>
            <w:vAlign w:val="center"/>
          </w:tcPr>
          <w:p w:rsidR="00D56ADA" w:rsidRPr="00896265" w:rsidRDefault="00D56ADA" w:rsidP="000852F3">
            <w:pPr>
              <w:spacing w:line="360" w:lineRule="auto"/>
              <w:jc w:val="right"/>
              <w:rPr>
                <w:szCs w:val="21"/>
              </w:rPr>
            </w:pPr>
            <w:r w:rsidRPr="00896265">
              <w:rPr>
                <w:szCs w:val="21"/>
              </w:rPr>
              <w:t>264,634,016.09</w:t>
            </w:r>
          </w:p>
        </w:tc>
      </w:tr>
    </w:tbl>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7.4.13.4.2.2</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F14AEA">
        <w:tc>
          <w:tcPr>
            <w:tcW w:w="993" w:type="dxa"/>
            <w:vAlign w:val="center"/>
          </w:tcPr>
          <w:p w:rsidR="00F14AEA" w:rsidRDefault="00EC6028">
            <w:pPr>
              <w:jc w:val="left"/>
            </w:pPr>
            <w:r>
              <w:rPr>
                <w:rFonts w:eastAsiaTheme="minorEastAsia"/>
                <w:color w:val="000000" w:themeColor="text1"/>
                <w:szCs w:val="21"/>
              </w:rPr>
              <w:t>假设</w:t>
            </w:r>
          </w:p>
        </w:tc>
        <w:tc>
          <w:tcPr>
            <w:tcW w:w="8007" w:type="dxa"/>
            <w:gridSpan w:val="3"/>
            <w:vAlign w:val="center"/>
          </w:tcPr>
          <w:p w:rsidR="00F14AEA" w:rsidRDefault="00EC6028">
            <w:pPr>
              <w:jc w:val="left"/>
            </w:pPr>
            <w:r>
              <w:rPr>
                <w:rFonts w:eastAsiaTheme="minorEastAsia"/>
                <w:color w:val="000000" w:themeColor="text1"/>
                <w:szCs w:val="21"/>
              </w:rPr>
              <w:t>除汇率外其他因素保持不变</w:t>
            </w:r>
          </w:p>
        </w:tc>
      </w:tr>
      <w:tr w:rsidR="00E60957" w:rsidRPr="00896265" w:rsidTr="00C74171">
        <w:tc>
          <w:tcPr>
            <w:tcW w:w="993" w:type="dxa"/>
            <w:vMerge w:val="restart"/>
            <w:vAlign w:val="center"/>
          </w:tcPr>
          <w:p w:rsidR="007B62FA" w:rsidRPr="00896265" w:rsidRDefault="007B62FA" w:rsidP="00A10BC2">
            <w:pPr>
              <w:pStyle w:val="ae"/>
              <w:spacing w:line="360" w:lineRule="auto"/>
              <w:jc w:val="center"/>
              <w:rPr>
                <w:rFonts w:eastAsiaTheme="minorEastAsia"/>
                <w:color w:val="000000" w:themeColor="text1"/>
                <w:sz w:val="21"/>
                <w:szCs w:val="21"/>
              </w:rPr>
            </w:pPr>
            <w:r w:rsidRPr="00896265">
              <w:rPr>
                <w:rFonts w:eastAsiaTheme="minorEastAsia"/>
                <w:bCs/>
                <w:color w:val="000000" w:themeColor="text1"/>
                <w:sz w:val="21"/>
                <w:szCs w:val="21"/>
              </w:rPr>
              <w:t>分析</w:t>
            </w:r>
          </w:p>
        </w:tc>
        <w:tc>
          <w:tcPr>
            <w:tcW w:w="3402" w:type="dxa"/>
            <w:vMerge w:val="restart"/>
            <w:vAlign w:val="center"/>
          </w:tcPr>
          <w:p w:rsidR="007B62FA" w:rsidRPr="00896265" w:rsidRDefault="007B62FA"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896265">
              <w:rPr>
                <w:rFonts w:eastAsiaTheme="minorEastAsia"/>
                <w:bCs/>
                <w:color w:val="000000" w:themeColor="text1"/>
                <w:szCs w:val="21"/>
              </w:rPr>
              <w:t>相关风险变量的变动</w:t>
            </w:r>
          </w:p>
        </w:tc>
        <w:tc>
          <w:tcPr>
            <w:tcW w:w="4605" w:type="dxa"/>
            <w:gridSpan w:val="2"/>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对资产负债表日基金资产净值的</w:t>
            </w:r>
          </w:p>
          <w:p w:rsidR="007B62FA" w:rsidRPr="00896265" w:rsidRDefault="00C01772" w:rsidP="00A10BC2">
            <w:pPr>
              <w:widowControl/>
              <w:autoSpaceDE w:val="0"/>
              <w:autoSpaceDN w:val="0"/>
              <w:spacing w:line="360" w:lineRule="auto"/>
              <w:ind w:right="-15"/>
              <w:jc w:val="center"/>
              <w:textAlignment w:val="bottom"/>
              <w:rPr>
                <w:rFonts w:eastAsiaTheme="minorEastAsia"/>
                <w:color w:val="000000" w:themeColor="text1"/>
                <w:kern w:val="0"/>
                <w:szCs w:val="21"/>
              </w:rPr>
            </w:pPr>
            <w:r w:rsidRPr="00896265">
              <w:rPr>
                <w:rFonts w:eastAsiaTheme="minorEastAsia"/>
                <w:color w:val="000000" w:themeColor="text1"/>
                <w:szCs w:val="21"/>
              </w:rPr>
              <w:t>影响金额（</w:t>
            </w:r>
            <w:r w:rsidR="00A10BC2" w:rsidRPr="00896265">
              <w:rPr>
                <w:rFonts w:eastAsiaTheme="minorEastAsia"/>
                <w:color w:val="000000" w:themeColor="text1"/>
                <w:szCs w:val="21"/>
              </w:rPr>
              <w:t>单位：人民币</w:t>
            </w:r>
            <w:r w:rsidR="007B62FA" w:rsidRPr="00896265">
              <w:rPr>
                <w:rFonts w:eastAsiaTheme="minorEastAsia"/>
                <w:color w:val="000000" w:themeColor="text1"/>
                <w:szCs w:val="21"/>
              </w:rPr>
              <w:t>元</w:t>
            </w:r>
            <w:r w:rsidRPr="00896265">
              <w:rPr>
                <w:rFonts w:eastAsiaTheme="minorEastAsia"/>
                <w:color w:val="000000" w:themeColor="text1"/>
                <w:szCs w:val="21"/>
              </w:rPr>
              <w:t>）</w:t>
            </w:r>
          </w:p>
        </w:tc>
      </w:tr>
      <w:tr w:rsidR="00E60957" w:rsidRPr="00896265" w:rsidTr="009327EB">
        <w:tc>
          <w:tcPr>
            <w:tcW w:w="993" w:type="dxa"/>
            <w:vMerge/>
            <w:vAlign w:val="center"/>
          </w:tcPr>
          <w:p w:rsidR="007B62FA" w:rsidRPr="00896265" w:rsidRDefault="007B62FA" w:rsidP="00417F87">
            <w:pPr>
              <w:widowControl/>
              <w:spacing w:line="360" w:lineRule="auto"/>
              <w:jc w:val="left"/>
              <w:rPr>
                <w:rFonts w:eastAsiaTheme="minorEastAsia"/>
                <w:color w:val="000000" w:themeColor="text1"/>
                <w:szCs w:val="21"/>
              </w:rPr>
            </w:pPr>
          </w:p>
        </w:tc>
        <w:tc>
          <w:tcPr>
            <w:tcW w:w="3402" w:type="dxa"/>
            <w:vMerge/>
            <w:vAlign w:val="center"/>
          </w:tcPr>
          <w:p w:rsidR="007B62FA" w:rsidRPr="00896265" w:rsidRDefault="007B62FA" w:rsidP="00417F87">
            <w:pPr>
              <w:widowControl/>
              <w:spacing w:line="360" w:lineRule="auto"/>
              <w:jc w:val="left"/>
              <w:rPr>
                <w:rFonts w:eastAsiaTheme="minorEastAsia"/>
                <w:color w:val="000000" w:themeColor="text1"/>
                <w:kern w:val="0"/>
                <w:szCs w:val="21"/>
              </w:rPr>
            </w:pPr>
          </w:p>
        </w:tc>
        <w:tc>
          <w:tcPr>
            <w:tcW w:w="2302" w:type="dxa"/>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本期末</w:t>
            </w:r>
          </w:p>
          <w:p w:rsidR="007B62FA" w:rsidRPr="00896265" w:rsidRDefault="00ED2997" w:rsidP="00417F87">
            <w:pPr>
              <w:spacing w:line="360" w:lineRule="auto"/>
              <w:jc w:val="center"/>
              <w:rPr>
                <w:rFonts w:eastAsiaTheme="minorEastAsia"/>
                <w:bCs/>
                <w:color w:val="000000" w:themeColor="text1"/>
                <w:szCs w:val="21"/>
              </w:rPr>
            </w:pPr>
            <w:r w:rsidRPr="00896265">
              <w:rPr>
                <w:rFonts w:eastAsiaTheme="minorEastAsia"/>
                <w:color w:val="000000" w:themeColor="text1"/>
                <w:szCs w:val="21"/>
              </w:rPr>
              <w:t>2019</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w:t>
            </w:r>
          </w:p>
        </w:tc>
        <w:tc>
          <w:tcPr>
            <w:tcW w:w="2303" w:type="dxa"/>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上年度末</w:t>
            </w:r>
          </w:p>
          <w:p w:rsidR="007B62FA" w:rsidRPr="00896265" w:rsidRDefault="00264252" w:rsidP="00417F87">
            <w:pPr>
              <w:spacing w:line="360" w:lineRule="auto"/>
              <w:jc w:val="center"/>
              <w:rPr>
                <w:rFonts w:eastAsiaTheme="minorEastAsia"/>
                <w:bCs/>
                <w:color w:val="000000" w:themeColor="text1"/>
                <w:szCs w:val="21"/>
              </w:rPr>
            </w:pPr>
            <w:r w:rsidRPr="00896265">
              <w:rPr>
                <w:rFonts w:eastAsiaTheme="minorEastAsia"/>
                <w:color w:val="000000" w:themeColor="text1"/>
                <w:szCs w:val="21"/>
              </w:rPr>
              <w:t>2018</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w:t>
            </w:r>
          </w:p>
        </w:tc>
      </w:tr>
      <w:tr w:rsidR="00F14AEA">
        <w:tc>
          <w:tcPr>
            <w:tcW w:w="993" w:type="dxa"/>
            <w:vMerge/>
          </w:tcPr>
          <w:p w:rsidR="00F14AEA" w:rsidRDefault="00F14AEA"/>
        </w:tc>
        <w:tc>
          <w:tcPr>
            <w:tcW w:w="3402" w:type="dxa"/>
            <w:vAlign w:val="center"/>
          </w:tcPr>
          <w:p w:rsidR="00F14AEA" w:rsidRDefault="00EC6028">
            <w:pPr>
              <w:jc w:val="left"/>
            </w:pPr>
            <w:r>
              <w:rPr>
                <w:rFonts w:eastAsiaTheme="minorEastAsia"/>
                <w:color w:val="000000" w:themeColor="text1"/>
                <w:szCs w:val="21"/>
              </w:rPr>
              <w:t>假设人民币对一揽子货币平均升值</w:t>
            </w:r>
            <w:r>
              <w:rPr>
                <w:rFonts w:eastAsiaTheme="minorEastAsia"/>
                <w:color w:val="000000" w:themeColor="text1"/>
                <w:szCs w:val="21"/>
              </w:rPr>
              <w:t>5%</w:t>
            </w:r>
          </w:p>
        </w:tc>
        <w:tc>
          <w:tcPr>
            <w:tcW w:w="2302" w:type="dxa"/>
            <w:vAlign w:val="center"/>
          </w:tcPr>
          <w:p w:rsidR="00F14AEA" w:rsidRDefault="00EC6028">
            <w:pPr>
              <w:jc w:val="right"/>
            </w:pPr>
            <w:r>
              <w:rPr>
                <w:rFonts w:eastAsiaTheme="minorEastAsia"/>
                <w:color w:val="000000" w:themeColor="text1"/>
                <w:szCs w:val="21"/>
              </w:rPr>
              <w:t>-17,816,661.36</w:t>
            </w:r>
          </w:p>
        </w:tc>
        <w:tc>
          <w:tcPr>
            <w:tcW w:w="2303" w:type="dxa"/>
            <w:vAlign w:val="center"/>
          </w:tcPr>
          <w:p w:rsidR="00F14AEA" w:rsidRDefault="00EC6028">
            <w:pPr>
              <w:jc w:val="right"/>
            </w:pPr>
            <w:r>
              <w:rPr>
                <w:rFonts w:eastAsiaTheme="minorEastAsia"/>
                <w:color w:val="000000" w:themeColor="text1"/>
                <w:szCs w:val="21"/>
              </w:rPr>
              <w:t>-13,231,700.80</w:t>
            </w:r>
          </w:p>
        </w:tc>
      </w:tr>
      <w:tr w:rsidR="00F14AEA">
        <w:tc>
          <w:tcPr>
            <w:tcW w:w="993" w:type="dxa"/>
            <w:vMerge/>
          </w:tcPr>
          <w:p w:rsidR="00F14AEA" w:rsidRDefault="00F14AEA"/>
        </w:tc>
        <w:tc>
          <w:tcPr>
            <w:tcW w:w="3402" w:type="dxa"/>
            <w:vAlign w:val="center"/>
          </w:tcPr>
          <w:p w:rsidR="00F14AEA" w:rsidRDefault="00EC6028">
            <w:pPr>
              <w:jc w:val="left"/>
            </w:pPr>
            <w:r>
              <w:rPr>
                <w:rFonts w:eastAsiaTheme="minorEastAsia"/>
                <w:color w:val="000000" w:themeColor="text1"/>
                <w:szCs w:val="21"/>
              </w:rPr>
              <w:t>假设人民币对一揽子货币平均贬值</w:t>
            </w:r>
            <w:r>
              <w:rPr>
                <w:rFonts w:eastAsiaTheme="minorEastAsia"/>
                <w:color w:val="000000" w:themeColor="text1"/>
                <w:szCs w:val="21"/>
              </w:rPr>
              <w:t>5%</w:t>
            </w:r>
          </w:p>
        </w:tc>
        <w:tc>
          <w:tcPr>
            <w:tcW w:w="2302" w:type="dxa"/>
            <w:vAlign w:val="center"/>
          </w:tcPr>
          <w:p w:rsidR="00F14AEA" w:rsidRDefault="00EC6028">
            <w:pPr>
              <w:jc w:val="right"/>
            </w:pPr>
            <w:r>
              <w:rPr>
                <w:rFonts w:eastAsiaTheme="minorEastAsia"/>
                <w:color w:val="000000" w:themeColor="text1"/>
                <w:szCs w:val="21"/>
              </w:rPr>
              <w:t>17,816,661.36</w:t>
            </w:r>
          </w:p>
        </w:tc>
        <w:tc>
          <w:tcPr>
            <w:tcW w:w="2303" w:type="dxa"/>
            <w:vAlign w:val="center"/>
          </w:tcPr>
          <w:p w:rsidR="00F14AEA" w:rsidRDefault="00EC6028">
            <w:pPr>
              <w:jc w:val="right"/>
            </w:pPr>
            <w:r>
              <w:rPr>
                <w:rFonts w:eastAsiaTheme="minorEastAsia"/>
                <w:color w:val="000000" w:themeColor="text1"/>
                <w:szCs w:val="21"/>
              </w:rPr>
              <w:t>13,231,700.80</w:t>
            </w:r>
          </w:p>
        </w:tc>
      </w:tr>
    </w:tbl>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7.4.13.4.3</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其他价格风险</w:t>
      </w:r>
    </w:p>
    <w:p w:rsidR="00F14AEA" w:rsidRDefault="00EC6028">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因受到经济因素、政治因素、投资者心理和交易制度等多种因素的共同影响，黄金价格的变化可能导致基金收益水平的波动，产生系统性风险。</w:t>
      </w:r>
    </w:p>
    <w:p w:rsidR="007B62FA" w:rsidRPr="00896265" w:rsidRDefault="007B62FA" w:rsidP="00474A69">
      <w:pPr>
        <w:widowControl/>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本基金的基金管理人采用</w:t>
      </w:r>
      <w:r w:rsidRPr="00896265">
        <w:rPr>
          <w:rFonts w:eastAsiaTheme="minorEastAsia"/>
          <w:color w:val="000000" w:themeColor="text1"/>
          <w:szCs w:val="21"/>
        </w:rPr>
        <w:t>Barra</w:t>
      </w:r>
      <w:r w:rsidRPr="00896265">
        <w:rPr>
          <w:rFonts w:eastAsiaTheme="minorEastAsia"/>
          <w:color w:val="000000" w:themeColor="text1"/>
          <w:szCs w:val="21"/>
        </w:rPr>
        <w:t>风险管理系统，通过标准差、跟踪误差、</w:t>
      </w:r>
      <w:r w:rsidRPr="00896265">
        <w:rPr>
          <w:rFonts w:eastAsiaTheme="minorEastAsia"/>
          <w:color w:val="000000" w:themeColor="text1"/>
          <w:szCs w:val="21"/>
        </w:rPr>
        <w:t>beta</w:t>
      </w:r>
      <w:r w:rsidRPr="00896265">
        <w:rPr>
          <w:rFonts w:eastAsiaTheme="minorEastAsia"/>
          <w:color w:val="000000" w:themeColor="text1"/>
          <w:szCs w:val="21"/>
        </w:rPr>
        <w:t>值、</w:t>
      </w:r>
      <w:r w:rsidRPr="00896265">
        <w:rPr>
          <w:rFonts w:eastAsiaTheme="minorEastAsia"/>
          <w:color w:val="000000" w:themeColor="text1"/>
          <w:szCs w:val="21"/>
        </w:rPr>
        <w:t>VAR</w:t>
      </w:r>
      <w:r w:rsidRPr="00896265">
        <w:rPr>
          <w:rFonts w:eastAsiaTheme="minorEastAsia"/>
          <w:color w:val="000000" w:themeColor="text1"/>
          <w:szCs w:val="21"/>
        </w:rPr>
        <w:t>等指标，监控投资组合面临的市场价格波动风险。</w:t>
      </w:r>
    </w:p>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7.4.13.4.3.1</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其他价格风险敞口</w:t>
      </w:r>
    </w:p>
    <w:p w:rsidR="007E6DF3" w:rsidRPr="00896265" w:rsidRDefault="007E6DF3" w:rsidP="007E6DF3">
      <w:pPr>
        <w:wordWrap w:val="0"/>
        <w:autoSpaceDE w:val="0"/>
        <w:autoSpaceDN w:val="0"/>
        <w:adjustRightInd w:val="0"/>
        <w:spacing w:before="29" w:line="288" w:lineRule="auto"/>
        <w:ind w:left="15"/>
        <w:jc w:val="right"/>
        <w:rPr>
          <w:rFonts w:eastAsiaTheme="minorEastAsia"/>
          <w:color w:val="000000" w:themeColor="text1"/>
          <w:kern w:val="0"/>
          <w:szCs w:val="21"/>
        </w:rPr>
      </w:pPr>
      <w:r w:rsidRPr="00896265">
        <w:rPr>
          <w:rFonts w:eastAsiaTheme="minorEastAsia"/>
          <w:color w:val="000000" w:themeColor="text1"/>
          <w:szCs w:val="21"/>
        </w:rPr>
        <w:t>金额单位</w:t>
      </w:r>
      <w:r w:rsidRPr="00896265">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E60957" w:rsidRPr="00896265" w:rsidTr="009569B4">
        <w:tc>
          <w:tcPr>
            <w:tcW w:w="3119" w:type="dxa"/>
            <w:vMerge w:val="restart"/>
            <w:vAlign w:val="center"/>
          </w:tcPr>
          <w:p w:rsidR="007B62FA" w:rsidRPr="00896265" w:rsidRDefault="007B62FA" w:rsidP="00950BD7">
            <w:pPr>
              <w:spacing w:line="360" w:lineRule="auto"/>
              <w:jc w:val="center"/>
              <w:rPr>
                <w:rFonts w:eastAsiaTheme="minorEastAsia"/>
                <w:color w:val="000000" w:themeColor="text1"/>
                <w:szCs w:val="21"/>
              </w:rPr>
            </w:pPr>
            <w:r w:rsidRPr="00896265">
              <w:rPr>
                <w:rFonts w:eastAsiaTheme="minorEastAsia"/>
                <w:color w:val="000000" w:themeColor="text1"/>
                <w:szCs w:val="21"/>
              </w:rPr>
              <w:t>项目</w:t>
            </w:r>
          </w:p>
        </w:tc>
        <w:tc>
          <w:tcPr>
            <w:tcW w:w="2940" w:type="dxa"/>
            <w:gridSpan w:val="2"/>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本期末</w:t>
            </w:r>
          </w:p>
          <w:p w:rsidR="007B62FA" w:rsidRPr="00896265" w:rsidRDefault="00ED2997"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2019</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w:t>
            </w:r>
          </w:p>
        </w:tc>
        <w:tc>
          <w:tcPr>
            <w:tcW w:w="2941" w:type="dxa"/>
            <w:gridSpan w:val="2"/>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上年度末</w:t>
            </w:r>
          </w:p>
          <w:p w:rsidR="007B62FA" w:rsidRPr="00896265" w:rsidRDefault="00264252"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2018</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w:t>
            </w:r>
          </w:p>
        </w:tc>
      </w:tr>
      <w:tr w:rsidR="00E60957" w:rsidRPr="00896265" w:rsidTr="009569B4">
        <w:tc>
          <w:tcPr>
            <w:tcW w:w="3119" w:type="dxa"/>
            <w:vMerge/>
            <w:vAlign w:val="center"/>
          </w:tcPr>
          <w:p w:rsidR="007B62FA" w:rsidRPr="00896265" w:rsidRDefault="007B62FA" w:rsidP="00417F87">
            <w:pPr>
              <w:widowControl/>
              <w:spacing w:line="360" w:lineRule="auto"/>
              <w:jc w:val="left"/>
              <w:rPr>
                <w:rFonts w:eastAsiaTheme="minorEastAsia"/>
                <w:color w:val="000000" w:themeColor="text1"/>
                <w:szCs w:val="21"/>
              </w:rPr>
            </w:pPr>
          </w:p>
        </w:tc>
        <w:tc>
          <w:tcPr>
            <w:tcW w:w="1843" w:type="dxa"/>
            <w:vAlign w:val="center"/>
          </w:tcPr>
          <w:p w:rsidR="007B62FA" w:rsidRPr="00896265" w:rsidRDefault="007B62FA" w:rsidP="00417F87">
            <w:pPr>
              <w:spacing w:line="360" w:lineRule="auto"/>
              <w:ind w:right="142"/>
              <w:jc w:val="center"/>
              <w:rPr>
                <w:rFonts w:eastAsiaTheme="minorEastAsia"/>
                <w:color w:val="000000" w:themeColor="text1"/>
                <w:szCs w:val="21"/>
              </w:rPr>
            </w:pPr>
            <w:r w:rsidRPr="00896265">
              <w:rPr>
                <w:rFonts w:eastAsiaTheme="minorEastAsia"/>
                <w:color w:val="000000" w:themeColor="text1"/>
                <w:szCs w:val="21"/>
              </w:rPr>
              <w:t>公允价值</w:t>
            </w:r>
          </w:p>
        </w:tc>
        <w:tc>
          <w:tcPr>
            <w:tcW w:w="1097" w:type="dxa"/>
            <w:vAlign w:val="center"/>
          </w:tcPr>
          <w:p w:rsidR="007B62FA" w:rsidRPr="00896265" w:rsidRDefault="007B62FA" w:rsidP="00417F87">
            <w:pPr>
              <w:spacing w:line="360" w:lineRule="auto"/>
              <w:ind w:right="141"/>
              <w:jc w:val="center"/>
              <w:rPr>
                <w:rFonts w:eastAsiaTheme="minorEastAsia"/>
                <w:color w:val="000000" w:themeColor="text1"/>
                <w:szCs w:val="21"/>
              </w:rPr>
            </w:pPr>
            <w:r w:rsidRPr="00896265">
              <w:rPr>
                <w:rFonts w:eastAsiaTheme="minorEastAsia"/>
                <w:color w:val="000000" w:themeColor="text1"/>
                <w:szCs w:val="21"/>
              </w:rPr>
              <w:t>占基金资产净值比例（</w:t>
            </w:r>
            <w:r w:rsidRPr="00896265">
              <w:rPr>
                <w:rFonts w:eastAsiaTheme="minorEastAsia"/>
                <w:color w:val="000000" w:themeColor="text1"/>
                <w:szCs w:val="21"/>
              </w:rPr>
              <w:t>%</w:t>
            </w:r>
            <w:r w:rsidRPr="00896265">
              <w:rPr>
                <w:rFonts w:eastAsiaTheme="minorEastAsia"/>
                <w:color w:val="000000" w:themeColor="text1"/>
                <w:szCs w:val="21"/>
              </w:rPr>
              <w:t>）</w:t>
            </w:r>
          </w:p>
        </w:tc>
        <w:tc>
          <w:tcPr>
            <w:tcW w:w="1879" w:type="dxa"/>
            <w:vAlign w:val="center"/>
          </w:tcPr>
          <w:p w:rsidR="007B62FA" w:rsidRPr="00896265" w:rsidRDefault="007B62FA" w:rsidP="005B385E">
            <w:pPr>
              <w:spacing w:line="360" w:lineRule="auto"/>
              <w:ind w:right="113"/>
              <w:jc w:val="center"/>
              <w:rPr>
                <w:rFonts w:eastAsiaTheme="minorEastAsia"/>
                <w:color w:val="000000" w:themeColor="text1"/>
                <w:szCs w:val="21"/>
              </w:rPr>
            </w:pPr>
            <w:r w:rsidRPr="00896265">
              <w:rPr>
                <w:rFonts w:eastAsiaTheme="minorEastAsia"/>
                <w:color w:val="000000" w:themeColor="text1"/>
                <w:szCs w:val="21"/>
              </w:rPr>
              <w:t>公允价值</w:t>
            </w:r>
          </w:p>
        </w:tc>
        <w:tc>
          <w:tcPr>
            <w:tcW w:w="1062" w:type="dxa"/>
            <w:vAlign w:val="center"/>
          </w:tcPr>
          <w:p w:rsidR="007B62FA" w:rsidRPr="00896265" w:rsidRDefault="007B62FA" w:rsidP="005B385E">
            <w:pPr>
              <w:spacing w:line="360" w:lineRule="auto"/>
              <w:ind w:right="141"/>
              <w:jc w:val="center"/>
              <w:rPr>
                <w:rFonts w:eastAsiaTheme="minorEastAsia"/>
                <w:color w:val="000000" w:themeColor="text1"/>
                <w:szCs w:val="21"/>
              </w:rPr>
            </w:pPr>
            <w:r w:rsidRPr="00896265">
              <w:rPr>
                <w:rFonts w:eastAsiaTheme="minorEastAsia"/>
                <w:color w:val="000000" w:themeColor="text1"/>
                <w:szCs w:val="21"/>
              </w:rPr>
              <w:t>占基金资产净值比例（</w:t>
            </w:r>
            <w:r w:rsidRPr="00896265">
              <w:rPr>
                <w:rFonts w:eastAsiaTheme="minorEastAsia"/>
                <w:color w:val="000000" w:themeColor="text1"/>
                <w:szCs w:val="21"/>
              </w:rPr>
              <w:t>%</w:t>
            </w:r>
            <w:r w:rsidRPr="00896265">
              <w:rPr>
                <w:rFonts w:eastAsiaTheme="minorEastAsia"/>
                <w:color w:val="000000" w:themeColor="text1"/>
                <w:szCs w:val="21"/>
              </w:rPr>
              <w:t>）</w:t>
            </w:r>
          </w:p>
        </w:tc>
      </w:tr>
      <w:tr w:rsidR="00E60957" w:rsidRPr="00896265" w:rsidTr="009569B4">
        <w:tc>
          <w:tcPr>
            <w:tcW w:w="3119" w:type="dxa"/>
            <w:vAlign w:val="center"/>
          </w:tcPr>
          <w:p w:rsidR="007B62FA" w:rsidRPr="00896265" w:rsidRDefault="007B62FA" w:rsidP="00417F87">
            <w:pPr>
              <w:spacing w:line="360" w:lineRule="auto"/>
              <w:jc w:val="left"/>
              <w:rPr>
                <w:rFonts w:eastAsiaTheme="minorEastAsia"/>
                <w:color w:val="000000" w:themeColor="text1"/>
                <w:szCs w:val="21"/>
              </w:rPr>
            </w:pPr>
            <w:r w:rsidRPr="00896265">
              <w:rPr>
                <w:rFonts w:eastAsiaTheme="minorEastAsia"/>
                <w:color w:val="000000" w:themeColor="text1"/>
                <w:szCs w:val="21"/>
              </w:rPr>
              <w:t>交易性金融资产－股票投资</w:t>
            </w:r>
          </w:p>
        </w:tc>
        <w:tc>
          <w:tcPr>
            <w:tcW w:w="1843"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097"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879" w:type="dxa"/>
            <w:vAlign w:val="center"/>
          </w:tcPr>
          <w:p w:rsidR="007B62FA" w:rsidRPr="00896265" w:rsidRDefault="00654F26" w:rsidP="005B385E">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062" w:type="dxa"/>
            <w:vAlign w:val="center"/>
          </w:tcPr>
          <w:p w:rsidR="007B62FA" w:rsidRPr="00896265" w:rsidRDefault="00654F26" w:rsidP="005B385E">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9569B4">
        <w:tc>
          <w:tcPr>
            <w:tcW w:w="3119" w:type="dxa"/>
            <w:vAlign w:val="center"/>
          </w:tcPr>
          <w:p w:rsidR="007B62FA" w:rsidRPr="00896265" w:rsidRDefault="007B62FA" w:rsidP="00417F87">
            <w:pPr>
              <w:spacing w:line="360" w:lineRule="auto"/>
              <w:jc w:val="left"/>
              <w:rPr>
                <w:rFonts w:eastAsiaTheme="minorEastAsia"/>
                <w:color w:val="000000" w:themeColor="text1"/>
                <w:szCs w:val="21"/>
              </w:rPr>
            </w:pPr>
            <w:r w:rsidRPr="00896265">
              <w:rPr>
                <w:rFonts w:eastAsiaTheme="minorEastAsia"/>
                <w:color w:val="000000" w:themeColor="text1"/>
                <w:szCs w:val="21"/>
              </w:rPr>
              <w:t>交易性金融资产</w:t>
            </w:r>
            <w:r w:rsidR="00843EA1" w:rsidRPr="00896265">
              <w:rPr>
                <w:rFonts w:eastAsiaTheme="minorEastAsia"/>
                <w:color w:val="000000" w:themeColor="text1"/>
                <w:szCs w:val="21"/>
              </w:rPr>
              <w:t>－</w:t>
            </w:r>
            <w:r w:rsidRPr="00896265">
              <w:rPr>
                <w:rFonts w:eastAsiaTheme="minorEastAsia"/>
                <w:color w:val="000000" w:themeColor="text1"/>
                <w:szCs w:val="21"/>
              </w:rPr>
              <w:t>基金投资</w:t>
            </w:r>
          </w:p>
        </w:tc>
        <w:tc>
          <w:tcPr>
            <w:tcW w:w="1843" w:type="dxa"/>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344,380,599.43</w:t>
            </w:r>
          </w:p>
        </w:tc>
        <w:tc>
          <w:tcPr>
            <w:tcW w:w="1097" w:type="dxa"/>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93.88</w:t>
            </w:r>
          </w:p>
        </w:tc>
        <w:tc>
          <w:tcPr>
            <w:tcW w:w="1879" w:type="dxa"/>
          </w:tcPr>
          <w:p w:rsidR="007B62FA" w:rsidRPr="00896265" w:rsidRDefault="00654F26" w:rsidP="005B385E">
            <w:pPr>
              <w:spacing w:line="360" w:lineRule="auto"/>
              <w:jc w:val="right"/>
              <w:rPr>
                <w:rFonts w:eastAsiaTheme="minorEastAsia"/>
                <w:color w:val="000000" w:themeColor="text1"/>
                <w:szCs w:val="21"/>
              </w:rPr>
            </w:pPr>
            <w:r w:rsidRPr="00896265">
              <w:rPr>
                <w:rFonts w:eastAsiaTheme="minorEastAsia"/>
                <w:color w:val="000000" w:themeColor="text1"/>
                <w:szCs w:val="21"/>
              </w:rPr>
              <w:t>242,790,926.68</w:t>
            </w:r>
          </w:p>
        </w:tc>
        <w:tc>
          <w:tcPr>
            <w:tcW w:w="1062" w:type="dxa"/>
          </w:tcPr>
          <w:p w:rsidR="007B62FA" w:rsidRPr="00896265" w:rsidRDefault="00654F26" w:rsidP="003A0DB9">
            <w:pPr>
              <w:spacing w:line="360" w:lineRule="auto"/>
              <w:jc w:val="right"/>
              <w:rPr>
                <w:rFonts w:eastAsiaTheme="minorEastAsia"/>
                <w:color w:val="000000" w:themeColor="text1"/>
                <w:szCs w:val="21"/>
              </w:rPr>
            </w:pPr>
            <w:r w:rsidRPr="00896265">
              <w:rPr>
                <w:rFonts w:eastAsiaTheme="minorEastAsia"/>
                <w:color w:val="000000" w:themeColor="text1"/>
                <w:szCs w:val="21"/>
              </w:rPr>
              <w:t>90.86</w:t>
            </w:r>
          </w:p>
        </w:tc>
      </w:tr>
      <w:tr w:rsidR="00E60957" w:rsidRPr="00896265" w:rsidTr="001A74A1">
        <w:tc>
          <w:tcPr>
            <w:tcW w:w="3119" w:type="dxa"/>
            <w:vAlign w:val="center"/>
          </w:tcPr>
          <w:p w:rsidR="00CB785A" w:rsidRPr="00896265" w:rsidRDefault="00CB785A" w:rsidP="001A74A1">
            <w:pPr>
              <w:spacing w:line="360" w:lineRule="auto"/>
              <w:jc w:val="left"/>
              <w:rPr>
                <w:rFonts w:eastAsiaTheme="minorEastAsia"/>
                <w:color w:val="000000" w:themeColor="text1"/>
                <w:szCs w:val="21"/>
              </w:rPr>
            </w:pPr>
            <w:r w:rsidRPr="00896265">
              <w:rPr>
                <w:rFonts w:eastAsiaTheme="minorEastAsia"/>
                <w:color w:val="000000" w:themeColor="text1"/>
                <w:szCs w:val="21"/>
              </w:rPr>
              <w:t>交易性金融资产－贵金属投资</w:t>
            </w:r>
          </w:p>
        </w:tc>
        <w:tc>
          <w:tcPr>
            <w:tcW w:w="1843" w:type="dxa"/>
            <w:vAlign w:val="center"/>
          </w:tcPr>
          <w:p w:rsidR="00CB785A" w:rsidRPr="00896265" w:rsidRDefault="00CB785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097" w:type="dxa"/>
            <w:vAlign w:val="center"/>
          </w:tcPr>
          <w:p w:rsidR="00CB785A" w:rsidRPr="00896265" w:rsidRDefault="00CB785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879" w:type="dxa"/>
            <w:vAlign w:val="center"/>
          </w:tcPr>
          <w:p w:rsidR="00CB785A" w:rsidRPr="00896265" w:rsidRDefault="00CB785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062" w:type="dxa"/>
            <w:vAlign w:val="center"/>
          </w:tcPr>
          <w:p w:rsidR="00CB785A" w:rsidRPr="00896265" w:rsidRDefault="00CB785A"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9569B4">
        <w:tc>
          <w:tcPr>
            <w:tcW w:w="3119" w:type="dxa"/>
            <w:vAlign w:val="center"/>
          </w:tcPr>
          <w:p w:rsidR="00CB785A" w:rsidRPr="00896265" w:rsidRDefault="00CB785A" w:rsidP="00417F87">
            <w:pPr>
              <w:spacing w:line="360" w:lineRule="auto"/>
              <w:jc w:val="left"/>
              <w:rPr>
                <w:rFonts w:eastAsiaTheme="minorEastAsia"/>
                <w:color w:val="000000" w:themeColor="text1"/>
                <w:szCs w:val="21"/>
              </w:rPr>
            </w:pPr>
            <w:r w:rsidRPr="00896265">
              <w:rPr>
                <w:rFonts w:eastAsiaTheme="minorEastAsia"/>
                <w:color w:val="000000" w:themeColor="text1"/>
                <w:szCs w:val="21"/>
              </w:rPr>
              <w:t>衍生金融资产－权证投资</w:t>
            </w:r>
          </w:p>
        </w:tc>
        <w:tc>
          <w:tcPr>
            <w:tcW w:w="1843" w:type="dxa"/>
          </w:tcPr>
          <w:p w:rsidR="00CB785A" w:rsidRPr="00896265" w:rsidRDefault="00CB785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097" w:type="dxa"/>
          </w:tcPr>
          <w:p w:rsidR="00CB785A" w:rsidRPr="00896265" w:rsidRDefault="00CB785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879" w:type="dxa"/>
          </w:tcPr>
          <w:p w:rsidR="00CB785A" w:rsidRPr="00896265" w:rsidRDefault="00CB785A" w:rsidP="003A0DB9">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062" w:type="dxa"/>
          </w:tcPr>
          <w:p w:rsidR="00CB785A" w:rsidRPr="00896265" w:rsidRDefault="00CB785A" w:rsidP="003A0DB9">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9569B4">
        <w:tc>
          <w:tcPr>
            <w:tcW w:w="3119" w:type="dxa"/>
            <w:vAlign w:val="center"/>
          </w:tcPr>
          <w:p w:rsidR="00CB785A" w:rsidRPr="00896265" w:rsidRDefault="00CB785A" w:rsidP="00417F87">
            <w:pPr>
              <w:spacing w:line="360" w:lineRule="auto"/>
              <w:jc w:val="left"/>
              <w:rPr>
                <w:rFonts w:eastAsiaTheme="minorEastAsia"/>
                <w:color w:val="000000" w:themeColor="text1"/>
                <w:szCs w:val="21"/>
              </w:rPr>
            </w:pPr>
            <w:r w:rsidRPr="00896265">
              <w:rPr>
                <w:rFonts w:eastAsiaTheme="minorEastAsia"/>
                <w:color w:val="000000" w:themeColor="text1"/>
                <w:szCs w:val="21"/>
              </w:rPr>
              <w:t>其他</w:t>
            </w:r>
          </w:p>
        </w:tc>
        <w:tc>
          <w:tcPr>
            <w:tcW w:w="1843" w:type="dxa"/>
          </w:tcPr>
          <w:p w:rsidR="00CB785A" w:rsidRPr="00896265" w:rsidRDefault="00CB785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097" w:type="dxa"/>
          </w:tcPr>
          <w:p w:rsidR="00CB785A" w:rsidRPr="00896265" w:rsidRDefault="00CB785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879" w:type="dxa"/>
          </w:tcPr>
          <w:p w:rsidR="00CB785A" w:rsidRPr="00896265" w:rsidRDefault="00CB785A" w:rsidP="003A0DB9">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062" w:type="dxa"/>
          </w:tcPr>
          <w:p w:rsidR="00CB785A" w:rsidRPr="00896265" w:rsidRDefault="00CB785A" w:rsidP="003A0DB9">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B71622">
        <w:tc>
          <w:tcPr>
            <w:tcW w:w="3119" w:type="dxa"/>
            <w:vAlign w:val="center"/>
          </w:tcPr>
          <w:p w:rsidR="00CB785A" w:rsidRPr="00896265" w:rsidRDefault="00CB785A" w:rsidP="00417F87">
            <w:pPr>
              <w:spacing w:line="360" w:lineRule="auto"/>
              <w:jc w:val="center"/>
              <w:rPr>
                <w:rFonts w:eastAsiaTheme="minorEastAsia"/>
                <w:b/>
                <w:color w:val="000000" w:themeColor="text1"/>
                <w:szCs w:val="21"/>
              </w:rPr>
            </w:pPr>
            <w:r w:rsidRPr="00896265">
              <w:rPr>
                <w:rFonts w:eastAsiaTheme="minorEastAsia"/>
                <w:b/>
                <w:color w:val="000000" w:themeColor="text1"/>
                <w:szCs w:val="21"/>
              </w:rPr>
              <w:t>合计</w:t>
            </w:r>
          </w:p>
        </w:tc>
        <w:tc>
          <w:tcPr>
            <w:tcW w:w="1843" w:type="dxa"/>
          </w:tcPr>
          <w:p w:rsidR="00CB785A" w:rsidRPr="00896265" w:rsidRDefault="00CB785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344,380,599.43</w:t>
            </w:r>
          </w:p>
        </w:tc>
        <w:tc>
          <w:tcPr>
            <w:tcW w:w="1097" w:type="dxa"/>
          </w:tcPr>
          <w:p w:rsidR="00CB785A" w:rsidRPr="00896265" w:rsidRDefault="00CB785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93.88</w:t>
            </w:r>
          </w:p>
        </w:tc>
        <w:tc>
          <w:tcPr>
            <w:tcW w:w="1879" w:type="dxa"/>
          </w:tcPr>
          <w:p w:rsidR="00CB785A" w:rsidRPr="00896265" w:rsidRDefault="00CB785A" w:rsidP="003A0DB9">
            <w:pPr>
              <w:spacing w:line="360" w:lineRule="auto"/>
              <w:jc w:val="right"/>
              <w:rPr>
                <w:rFonts w:eastAsiaTheme="minorEastAsia"/>
                <w:color w:val="000000" w:themeColor="text1"/>
                <w:szCs w:val="21"/>
              </w:rPr>
            </w:pPr>
            <w:r w:rsidRPr="00896265">
              <w:rPr>
                <w:rFonts w:eastAsiaTheme="minorEastAsia"/>
                <w:color w:val="000000" w:themeColor="text1"/>
                <w:szCs w:val="21"/>
              </w:rPr>
              <w:t>242,790,926.68</w:t>
            </w:r>
          </w:p>
        </w:tc>
        <w:tc>
          <w:tcPr>
            <w:tcW w:w="1062" w:type="dxa"/>
          </w:tcPr>
          <w:p w:rsidR="00CB785A" w:rsidRPr="00896265" w:rsidRDefault="00CB785A" w:rsidP="003A0DB9">
            <w:pPr>
              <w:spacing w:line="360" w:lineRule="auto"/>
              <w:jc w:val="right"/>
              <w:rPr>
                <w:rFonts w:eastAsiaTheme="minorEastAsia"/>
                <w:color w:val="000000" w:themeColor="text1"/>
                <w:szCs w:val="21"/>
              </w:rPr>
            </w:pPr>
            <w:r w:rsidRPr="00896265">
              <w:rPr>
                <w:rFonts w:eastAsiaTheme="minorEastAsia"/>
                <w:color w:val="000000" w:themeColor="text1"/>
                <w:szCs w:val="21"/>
              </w:rPr>
              <w:t>90.86</w:t>
            </w:r>
          </w:p>
        </w:tc>
      </w:tr>
    </w:tbl>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7.4.13.4.3.2</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F14AEA">
        <w:tc>
          <w:tcPr>
            <w:tcW w:w="993" w:type="dxa"/>
            <w:vAlign w:val="center"/>
          </w:tcPr>
          <w:p w:rsidR="00F14AEA" w:rsidRDefault="00EC6028">
            <w:pPr>
              <w:jc w:val="left"/>
            </w:pPr>
            <w:r>
              <w:rPr>
                <w:rFonts w:eastAsiaTheme="minorEastAsia"/>
                <w:color w:val="000000" w:themeColor="text1"/>
                <w:szCs w:val="21"/>
              </w:rPr>
              <w:t>假设</w:t>
            </w:r>
          </w:p>
        </w:tc>
        <w:tc>
          <w:tcPr>
            <w:tcW w:w="8079" w:type="dxa"/>
            <w:gridSpan w:val="3"/>
            <w:vAlign w:val="center"/>
          </w:tcPr>
          <w:p w:rsidR="00F14AEA" w:rsidRDefault="00EC6028">
            <w:pPr>
              <w:jc w:val="center"/>
            </w:pPr>
            <w:r>
              <w:rPr>
                <w:rFonts w:eastAsiaTheme="minorEastAsia"/>
                <w:color w:val="000000" w:themeColor="text1"/>
                <w:szCs w:val="21"/>
              </w:rPr>
              <w:t>除业绩比较基准以外的其他市场变量保持不变</w:t>
            </w:r>
          </w:p>
        </w:tc>
      </w:tr>
      <w:tr w:rsidR="00E60957" w:rsidRPr="00896265" w:rsidTr="009D203B">
        <w:tc>
          <w:tcPr>
            <w:tcW w:w="993" w:type="dxa"/>
            <w:vMerge w:val="restart"/>
            <w:vAlign w:val="center"/>
          </w:tcPr>
          <w:p w:rsidR="002B0AC4" w:rsidRPr="00896265" w:rsidRDefault="002B0AC4" w:rsidP="00A10BC2">
            <w:pPr>
              <w:pStyle w:val="ae"/>
              <w:jc w:val="center"/>
              <w:rPr>
                <w:rFonts w:eastAsiaTheme="minorEastAsia"/>
                <w:color w:val="000000" w:themeColor="text1"/>
                <w:sz w:val="21"/>
                <w:szCs w:val="21"/>
              </w:rPr>
            </w:pPr>
            <w:r w:rsidRPr="00896265">
              <w:rPr>
                <w:rFonts w:eastAsiaTheme="minorEastAsia"/>
                <w:bCs/>
                <w:color w:val="000000" w:themeColor="text1"/>
                <w:sz w:val="21"/>
                <w:szCs w:val="21"/>
              </w:rPr>
              <w:t>分析</w:t>
            </w:r>
          </w:p>
        </w:tc>
        <w:tc>
          <w:tcPr>
            <w:tcW w:w="2448" w:type="dxa"/>
            <w:vMerge w:val="restart"/>
            <w:vAlign w:val="center"/>
          </w:tcPr>
          <w:p w:rsidR="002B0AC4" w:rsidRPr="00896265" w:rsidRDefault="002B0AC4" w:rsidP="0026196C">
            <w:pPr>
              <w:widowControl/>
              <w:autoSpaceDE w:val="0"/>
              <w:autoSpaceDN w:val="0"/>
              <w:ind w:right="-15"/>
              <w:jc w:val="center"/>
              <w:textAlignment w:val="bottom"/>
              <w:rPr>
                <w:rFonts w:eastAsiaTheme="minorEastAsia"/>
                <w:color w:val="000000" w:themeColor="text1"/>
                <w:kern w:val="0"/>
                <w:szCs w:val="21"/>
              </w:rPr>
            </w:pPr>
            <w:r w:rsidRPr="00896265">
              <w:rPr>
                <w:rFonts w:eastAsiaTheme="minorEastAsia"/>
                <w:bCs/>
                <w:color w:val="000000" w:themeColor="text1"/>
                <w:szCs w:val="21"/>
              </w:rPr>
              <w:t>相关风险变量的变动</w:t>
            </w:r>
          </w:p>
        </w:tc>
        <w:tc>
          <w:tcPr>
            <w:tcW w:w="5631" w:type="dxa"/>
            <w:gridSpan w:val="2"/>
          </w:tcPr>
          <w:p w:rsidR="002B0AC4" w:rsidRPr="00896265" w:rsidRDefault="002B0AC4" w:rsidP="0026196C">
            <w:pPr>
              <w:jc w:val="center"/>
              <w:rPr>
                <w:rFonts w:eastAsiaTheme="minorEastAsia"/>
                <w:color w:val="000000" w:themeColor="text1"/>
                <w:szCs w:val="21"/>
              </w:rPr>
            </w:pPr>
            <w:r w:rsidRPr="00896265">
              <w:rPr>
                <w:rFonts w:eastAsiaTheme="minorEastAsia"/>
                <w:color w:val="000000" w:themeColor="text1"/>
                <w:szCs w:val="21"/>
              </w:rPr>
              <w:t>对资产负债表日基金资产净值的</w:t>
            </w:r>
          </w:p>
          <w:p w:rsidR="002B0AC4" w:rsidRPr="00896265" w:rsidRDefault="00A10BC2" w:rsidP="00A10BC2">
            <w:pPr>
              <w:widowControl/>
              <w:autoSpaceDE w:val="0"/>
              <w:autoSpaceDN w:val="0"/>
              <w:ind w:right="-15"/>
              <w:jc w:val="center"/>
              <w:textAlignment w:val="bottom"/>
              <w:rPr>
                <w:rFonts w:eastAsiaTheme="minorEastAsia"/>
                <w:color w:val="000000" w:themeColor="text1"/>
                <w:kern w:val="0"/>
                <w:szCs w:val="21"/>
              </w:rPr>
            </w:pPr>
            <w:r w:rsidRPr="00896265">
              <w:rPr>
                <w:rFonts w:eastAsiaTheme="minorEastAsia"/>
                <w:color w:val="000000" w:themeColor="text1"/>
                <w:szCs w:val="21"/>
              </w:rPr>
              <w:t>影响金额（单位：人民币</w:t>
            </w:r>
            <w:r w:rsidR="002B0AC4" w:rsidRPr="00896265">
              <w:rPr>
                <w:rFonts w:eastAsiaTheme="minorEastAsia"/>
                <w:color w:val="000000" w:themeColor="text1"/>
                <w:szCs w:val="21"/>
              </w:rPr>
              <w:t>元）</w:t>
            </w:r>
          </w:p>
        </w:tc>
      </w:tr>
      <w:tr w:rsidR="00E60957" w:rsidRPr="00896265" w:rsidTr="009D203B">
        <w:tc>
          <w:tcPr>
            <w:tcW w:w="993" w:type="dxa"/>
            <w:vMerge/>
            <w:vAlign w:val="center"/>
          </w:tcPr>
          <w:p w:rsidR="002B0AC4" w:rsidRPr="00896265" w:rsidRDefault="002B0AC4" w:rsidP="0026196C">
            <w:pPr>
              <w:widowControl/>
              <w:jc w:val="left"/>
              <w:rPr>
                <w:rFonts w:eastAsiaTheme="minorEastAsia"/>
                <w:color w:val="000000" w:themeColor="text1"/>
                <w:szCs w:val="21"/>
              </w:rPr>
            </w:pPr>
          </w:p>
        </w:tc>
        <w:tc>
          <w:tcPr>
            <w:tcW w:w="2448" w:type="dxa"/>
            <w:vMerge/>
            <w:vAlign w:val="center"/>
          </w:tcPr>
          <w:p w:rsidR="002B0AC4" w:rsidRPr="00896265" w:rsidRDefault="002B0AC4" w:rsidP="0026196C">
            <w:pPr>
              <w:widowControl/>
              <w:jc w:val="left"/>
              <w:rPr>
                <w:rFonts w:eastAsiaTheme="minorEastAsia"/>
                <w:color w:val="000000" w:themeColor="text1"/>
                <w:kern w:val="0"/>
                <w:szCs w:val="21"/>
              </w:rPr>
            </w:pPr>
          </w:p>
        </w:tc>
        <w:tc>
          <w:tcPr>
            <w:tcW w:w="2880" w:type="dxa"/>
          </w:tcPr>
          <w:p w:rsidR="002B0AC4" w:rsidRPr="00896265" w:rsidRDefault="002B0AC4" w:rsidP="00D0372D">
            <w:pPr>
              <w:spacing w:line="360" w:lineRule="auto"/>
              <w:ind w:firstLineChars="350" w:firstLine="735"/>
              <w:rPr>
                <w:rFonts w:eastAsiaTheme="minorEastAsia"/>
                <w:color w:val="000000" w:themeColor="text1"/>
                <w:szCs w:val="21"/>
              </w:rPr>
            </w:pPr>
            <w:r w:rsidRPr="00896265">
              <w:rPr>
                <w:rFonts w:eastAsiaTheme="minorEastAsia"/>
                <w:color w:val="000000" w:themeColor="text1"/>
                <w:szCs w:val="21"/>
              </w:rPr>
              <w:t>本期末</w:t>
            </w:r>
          </w:p>
          <w:p w:rsidR="002B0AC4" w:rsidRPr="00896265" w:rsidRDefault="002B0AC4" w:rsidP="0026196C">
            <w:pPr>
              <w:spacing w:line="360" w:lineRule="auto"/>
              <w:jc w:val="center"/>
              <w:rPr>
                <w:rFonts w:eastAsiaTheme="minorEastAsia"/>
                <w:bCs/>
                <w:color w:val="000000" w:themeColor="text1"/>
                <w:szCs w:val="21"/>
              </w:rPr>
            </w:pPr>
            <w:r w:rsidRPr="00896265">
              <w:rPr>
                <w:rFonts w:eastAsiaTheme="minorEastAsia"/>
                <w:color w:val="000000" w:themeColor="text1"/>
                <w:szCs w:val="21"/>
              </w:rPr>
              <w:t>2019</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w:t>
            </w:r>
          </w:p>
        </w:tc>
        <w:tc>
          <w:tcPr>
            <w:tcW w:w="2751" w:type="dxa"/>
          </w:tcPr>
          <w:p w:rsidR="002B0AC4" w:rsidRPr="00896265" w:rsidRDefault="002B0AC4" w:rsidP="00D0372D">
            <w:pPr>
              <w:spacing w:line="360" w:lineRule="auto"/>
              <w:ind w:firstLineChars="300" w:firstLine="630"/>
              <w:rPr>
                <w:rFonts w:eastAsiaTheme="minorEastAsia"/>
                <w:color w:val="000000" w:themeColor="text1"/>
                <w:szCs w:val="21"/>
              </w:rPr>
            </w:pPr>
            <w:r w:rsidRPr="00896265">
              <w:rPr>
                <w:rFonts w:eastAsiaTheme="minorEastAsia"/>
                <w:color w:val="000000" w:themeColor="text1"/>
                <w:szCs w:val="21"/>
              </w:rPr>
              <w:t>上年度末</w:t>
            </w:r>
          </w:p>
          <w:p w:rsidR="002B0AC4" w:rsidRPr="00896265" w:rsidRDefault="002B0AC4" w:rsidP="0026196C">
            <w:pPr>
              <w:spacing w:line="360" w:lineRule="auto"/>
              <w:jc w:val="center"/>
              <w:rPr>
                <w:rFonts w:eastAsiaTheme="minorEastAsia"/>
                <w:bCs/>
                <w:color w:val="000000" w:themeColor="text1"/>
                <w:szCs w:val="21"/>
              </w:rPr>
            </w:pPr>
            <w:r w:rsidRPr="00896265">
              <w:rPr>
                <w:rFonts w:eastAsiaTheme="minorEastAsia"/>
                <w:color w:val="000000" w:themeColor="text1"/>
                <w:szCs w:val="21"/>
              </w:rPr>
              <w:t>2018</w:t>
            </w:r>
            <w:r w:rsidRPr="00896265">
              <w:rPr>
                <w:rFonts w:eastAsiaTheme="minorEastAsia"/>
                <w:color w:val="000000" w:themeColor="text1"/>
                <w:szCs w:val="21"/>
              </w:rPr>
              <w:t>年</w:t>
            </w:r>
            <w:r w:rsidRPr="00896265">
              <w:rPr>
                <w:rFonts w:eastAsiaTheme="minorEastAsia"/>
                <w:color w:val="000000" w:themeColor="text1"/>
                <w:szCs w:val="21"/>
              </w:rPr>
              <w:t>12</w:t>
            </w:r>
            <w:r w:rsidRPr="00896265">
              <w:rPr>
                <w:rFonts w:eastAsiaTheme="minorEastAsia"/>
                <w:color w:val="000000" w:themeColor="text1"/>
                <w:szCs w:val="21"/>
              </w:rPr>
              <w:t>月</w:t>
            </w:r>
            <w:r w:rsidRPr="00896265">
              <w:rPr>
                <w:rFonts w:eastAsiaTheme="minorEastAsia"/>
                <w:color w:val="000000" w:themeColor="text1"/>
                <w:szCs w:val="21"/>
              </w:rPr>
              <w:t>31</w:t>
            </w:r>
            <w:r w:rsidRPr="00896265">
              <w:rPr>
                <w:rFonts w:eastAsiaTheme="minorEastAsia"/>
                <w:color w:val="000000" w:themeColor="text1"/>
                <w:szCs w:val="21"/>
              </w:rPr>
              <w:t>日</w:t>
            </w:r>
          </w:p>
        </w:tc>
      </w:tr>
      <w:tr w:rsidR="00F14AEA">
        <w:tc>
          <w:tcPr>
            <w:tcW w:w="993" w:type="dxa"/>
            <w:vMerge/>
          </w:tcPr>
          <w:p w:rsidR="00F14AEA" w:rsidRDefault="00F14AEA"/>
        </w:tc>
        <w:tc>
          <w:tcPr>
            <w:tcW w:w="2448" w:type="dxa"/>
            <w:vAlign w:val="center"/>
          </w:tcPr>
          <w:p w:rsidR="00F14AEA" w:rsidRDefault="00EC6028">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F14AEA" w:rsidRDefault="00EC6028">
            <w:pPr>
              <w:jc w:val="right"/>
            </w:pPr>
            <w:r>
              <w:rPr>
                <w:rFonts w:eastAsiaTheme="minorEastAsia"/>
                <w:color w:val="000000" w:themeColor="text1"/>
                <w:szCs w:val="21"/>
              </w:rPr>
              <w:t>17,219,029.96</w:t>
            </w:r>
          </w:p>
        </w:tc>
        <w:tc>
          <w:tcPr>
            <w:tcW w:w="2751" w:type="dxa"/>
            <w:vAlign w:val="center"/>
          </w:tcPr>
          <w:p w:rsidR="00F14AEA" w:rsidRDefault="00EC6028">
            <w:pPr>
              <w:jc w:val="right"/>
            </w:pPr>
            <w:r>
              <w:rPr>
                <w:rFonts w:eastAsiaTheme="minorEastAsia"/>
                <w:color w:val="000000" w:themeColor="text1"/>
                <w:szCs w:val="21"/>
              </w:rPr>
              <w:t>12,139,546.33</w:t>
            </w:r>
          </w:p>
        </w:tc>
      </w:tr>
      <w:tr w:rsidR="00F14AEA">
        <w:tc>
          <w:tcPr>
            <w:tcW w:w="993" w:type="dxa"/>
            <w:vMerge/>
          </w:tcPr>
          <w:p w:rsidR="00F14AEA" w:rsidRDefault="00F14AEA"/>
        </w:tc>
        <w:tc>
          <w:tcPr>
            <w:tcW w:w="2448" w:type="dxa"/>
            <w:vAlign w:val="center"/>
          </w:tcPr>
          <w:p w:rsidR="00F14AEA" w:rsidRDefault="00EC6028">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F14AEA" w:rsidRDefault="00EC6028">
            <w:pPr>
              <w:jc w:val="right"/>
            </w:pPr>
            <w:r>
              <w:rPr>
                <w:rFonts w:eastAsiaTheme="minorEastAsia"/>
                <w:color w:val="000000" w:themeColor="text1"/>
                <w:szCs w:val="21"/>
              </w:rPr>
              <w:t>-17,219,029.96</w:t>
            </w:r>
          </w:p>
        </w:tc>
        <w:tc>
          <w:tcPr>
            <w:tcW w:w="2751" w:type="dxa"/>
            <w:vAlign w:val="center"/>
          </w:tcPr>
          <w:p w:rsidR="00F14AEA" w:rsidRDefault="00EC6028">
            <w:pPr>
              <w:jc w:val="right"/>
            </w:pPr>
            <w:r>
              <w:rPr>
                <w:rFonts w:eastAsiaTheme="minorEastAsia"/>
                <w:color w:val="000000" w:themeColor="text1"/>
                <w:szCs w:val="21"/>
              </w:rPr>
              <w:t>-12,139,546.33</w:t>
            </w:r>
          </w:p>
        </w:tc>
      </w:tr>
    </w:tbl>
    <w:p w:rsidR="007B62FA" w:rsidRPr="00FB4041" w:rsidRDefault="007B62FA"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FB4041">
        <w:rPr>
          <w:rFonts w:asciiTheme="majorEastAsia" w:eastAsiaTheme="majorEastAsia" w:hAnsiTheme="majorEastAsia"/>
          <w:b/>
          <w:color w:val="000000" w:themeColor="text1"/>
          <w:kern w:val="0"/>
          <w:szCs w:val="21"/>
        </w:rPr>
        <w:t>7.4.14</w:t>
      </w:r>
      <w:r w:rsidR="002D0B5F" w:rsidRPr="00FB4041">
        <w:rPr>
          <w:rFonts w:asciiTheme="majorEastAsia" w:eastAsiaTheme="majorEastAsia" w:hAnsiTheme="majorEastAsia"/>
          <w:b/>
          <w:color w:val="000000" w:themeColor="text1"/>
          <w:kern w:val="0"/>
          <w:szCs w:val="21"/>
        </w:rPr>
        <w:t xml:space="preserve"> </w:t>
      </w:r>
      <w:r w:rsidRPr="00FB4041">
        <w:rPr>
          <w:rFonts w:asciiTheme="majorEastAsia" w:eastAsiaTheme="majorEastAsia" w:hAnsiTheme="majorEastAsia"/>
          <w:b/>
          <w:color w:val="000000" w:themeColor="text1"/>
          <w:kern w:val="0"/>
          <w:szCs w:val="21"/>
        </w:rPr>
        <w:t>有助于理解和分析会计报表需要说明的其他事项</w:t>
      </w:r>
    </w:p>
    <w:p w:rsidR="00F14AEA" w:rsidRDefault="00EC6028">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公允价值</w:t>
      </w:r>
      <w:r>
        <w:rPr>
          <w:rFonts w:eastAsiaTheme="minorEastAsia"/>
          <w:color w:val="000000" w:themeColor="text1"/>
          <w:szCs w:val="21"/>
        </w:rPr>
        <w:t xml:space="preserve"> </w:t>
      </w:r>
    </w:p>
    <w:p w:rsidR="00F14AEA" w:rsidRDefault="00EC6028">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(a)</w:t>
      </w:r>
      <w:r>
        <w:rPr>
          <w:rFonts w:eastAsiaTheme="minorEastAsia"/>
          <w:color w:val="000000" w:themeColor="text1"/>
          <w:szCs w:val="21"/>
        </w:rPr>
        <w:t>金融工具公允价值计量的方法</w:t>
      </w:r>
      <w:r>
        <w:rPr>
          <w:rFonts w:eastAsiaTheme="minorEastAsia"/>
          <w:color w:val="000000" w:themeColor="text1"/>
          <w:szCs w:val="21"/>
        </w:rPr>
        <w:t xml:space="preserve"> </w:t>
      </w:r>
    </w:p>
    <w:p w:rsidR="00F14AEA" w:rsidRDefault="00EC6028">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r>
        <w:rPr>
          <w:rFonts w:eastAsiaTheme="minorEastAsia"/>
          <w:color w:val="000000" w:themeColor="text1"/>
          <w:szCs w:val="21"/>
        </w:rPr>
        <w:t xml:space="preserve"> </w:t>
      </w:r>
    </w:p>
    <w:p w:rsidR="00F14AEA" w:rsidRDefault="00EC6028">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r>
        <w:rPr>
          <w:rFonts w:eastAsiaTheme="minorEastAsia"/>
          <w:color w:val="000000" w:themeColor="text1"/>
          <w:szCs w:val="21"/>
        </w:rPr>
        <w:t xml:space="preserve"> </w:t>
      </w:r>
    </w:p>
    <w:p w:rsidR="00F14AEA" w:rsidRDefault="00EC6028">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r>
        <w:rPr>
          <w:rFonts w:eastAsiaTheme="minorEastAsia"/>
          <w:color w:val="000000" w:themeColor="text1"/>
          <w:szCs w:val="21"/>
        </w:rPr>
        <w:t xml:space="preserve"> </w:t>
      </w:r>
    </w:p>
    <w:p w:rsidR="00F14AEA" w:rsidRDefault="00EC6028">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第三层次：相关资产或负债的不可观察输入值。</w:t>
      </w:r>
      <w:r>
        <w:rPr>
          <w:rFonts w:eastAsiaTheme="minorEastAsia"/>
          <w:color w:val="000000" w:themeColor="text1"/>
          <w:szCs w:val="21"/>
        </w:rPr>
        <w:t xml:space="preserve"> </w:t>
      </w:r>
    </w:p>
    <w:p w:rsidR="00F14AEA" w:rsidRDefault="00EC6028">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(b)</w:t>
      </w:r>
      <w:r>
        <w:rPr>
          <w:rFonts w:eastAsiaTheme="minorEastAsia"/>
          <w:color w:val="000000" w:themeColor="text1"/>
          <w:szCs w:val="21"/>
        </w:rPr>
        <w:t>持续的以公允价值计量的金融工具</w:t>
      </w:r>
      <w:r>
        <w:rPr>
          <w:rFonts w:eastAsiaTheme="minorEastAsia"/>
          <w:color w:val="000000" w:themeColor="text1"/>
          <w:szCs w:val="21"/>
        </w:rPr>
        <w:t xml:space="preserve"> </w:t>
      </w:r>
    </w:p>
    <w:p w:rsidR="00F14AEA" w:rsidRDefault="00EC6028">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(i)</w:t>
      </w:r>
      <w:r>
        <w:rPr>
          <w:rFonts w:eastAsiaTheme="minorEastAsia"/>
          <w:color w:val="000000" w:themeColor="text1"/>
          <w:szCs w:val="21"/>
        </w:rPr>
        <w:t>各层次金融工具公允价值</w:t>
      </w:r>
      <w:r>
        <w:rPr>
          <w:rFonts w:eastAsiaTheme="minorEastAsia"/>
          <w:color w:val="000000" w:themeColor="text1"/>
          <w:szCs w:val="21"/>
        </w:rPr>
        <w:t xml:space="preserve"> </w:t>
      </w:r>
    </w:p>
    <w:p w:rsidR="00F14AEA" w:rsidRDefault="00EC6028">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日，本基金持有的以公允价值计量且其变动计入当期损益的金融资产中属于第一层次的余额为</w:t>
      </w:r>
      <w:r>
        <w:rPr>
          <w:rFonts w:eastAsiaTheme="minorEastAsia"/>
          <w:color w:val="000000" w:themeColor="text1"/>
          <w:szCs w:val="21"/>
        </w:rPr>
        <w:t>344,380,599.43</w:t>
      </w:r>
      <w:r>
        <w:rPr>
          <w:rFonts w:eastAsiaTheme="minorEastAsia"/>
          <w:color w:val="000000" w:themeColor="text1"/>
          <w:szCs w:val="21"/>
        </w:rPr>
        <w:t>元，无属于第二层次的余额，无属于第三层次的余额</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日：第一层次</w:t>
      </w:r>
      <w:r>
        <w:rPr>
          <w:rFonts w:eastAsiaTheme="minorEastAsia"/>
          <w:color w:val="000000" w:themeColor="text1"/>
          <w:szCs w:val="21"/>
        </w:rPr>
        <w:t>242,790,926.68</w:t>
      </w:r>
      <w:r>
        <w:rPr>
          <w:rFonts w:eastAsiaTheme="minorEastAsia"/>
          <w:color w:val="000000" w:themeColor="text1"/>
          <w:szCs w:val="21"/>
        </w:rPr>
        <w:t>元，无属于第二层次的余额，无属于第三层次的余额</w:t>
      </w:r>
      <w:r>
        <w:rPr>
          <w:rFonts w:eastAsiaTheme="minorEastAsia"/>
          <w:color w:val="000000" w:themeColor="text1"/>
          <w:szCs w:val="21"/>
        </w:rPr>
        <w:t>)</w:t>
      </w:r>
      <w:r>
        <w:rPr>
          <w:rFonts w:eastAsiaTheme="minorEastAsia"/>
          <w:color w:val="000000" w:themeColor="text1"/>
          <w:szCs w:val="21"/>
        </w:rPr>
        <w:t>。</w:t>
      </w:r>
    </w:p>
    <w:p w:rsidR="00F14AEA" w:rsidRDefault="00EC6028">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(ii)</w:t>
      </w:r>
      <w:r>
        <w:rPr>
          <w:rFonts w:eastAsiaTheme="minorEastAsia"/>
          <w:color w:val="000000" w:themeColor="text1"/>
          <w:szCs w:val="21"/>
        </w:rPr>
        <w:t>公允价值所属层次间的重大变动</w:t>
      </w:r>
    </w:p>
    <w:p w:rsidR="00F14AEA" w:rsidRDefault="00EC6028">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对于证券交易所上市的股票，若出现重大事项停牌、交易不活跃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或属于非公开发行等情况，本基金不会于停牌日至交易恢复活跃日期间、交易不活跃期间及限售期间将相关股票的公允价值列入第一层次；并根据估值调整中采用的不可观察输入值对于公允价值的影响程度，确定相关股票公允价值应属第二层次还是第三层次。</w:t>
      </w:r>
    </w:p>
    <w:p w:rsidR="00F14AEA" w:rsidRDefault="00EC6028">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(iii)</w:t>
      </w:r>
      <w:r>
        <w:rPr>
          <w:rFonts w:eastAsiaTheme="minorEastAsia"/>
          <w:color w:val="000000" w:themeColor="text1"/>
          <w:szCs w:val="21"/>
        </w:rPr>
        <w:t>第三层次公允价值余额和本期变动金额</w:t>
      </w:r>
      <w:r>
        <w:rPr>
          <w:rFonts w:eastAsiaTheme="minorEastAsia"/>
          <w:color w:val="000000" w:themeColor="text1"/>
          <w:szCs w:val="21"/>
        </w:rPr>
        <w:t xml:space="preserve"> </w:t>
      </w:r>
    </w:p>
    <w:p w:rsidR="00F14AEA" w:rsidRDefault="00EC6028">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无。</w:t>
      </w:r>
      <w:r>
        <w:rPr>
          <w:rFonts w:eastAsiaTheme="minorEastAsia"/>
          <w:color w:val="000000" w:themeColor="text1"/>
          <w:szCs w:val="21"/>
        </w:rPr>
        <w:t xml:space="preserve"> </w:t>
      </w:r>
    </w:p>
    <w:p w:rsidR="00F14AEA" w:rsidRDefault="00EC6028">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(c)</w:t>
      </w:r>
      <w:r>
        <w:rPr>
          <w:rFonts w:eastAsiaTheme="minorEastAsia"/>
          <w:color w:val="000000" w:themeColor="text1"/>
          <w:szCs w:val="21"/>
        </w:rPr>
        <w:t>非持续的以公允价值计量的金融工具</w:t>
      </w:r>
      <w:r>
        <w:rPr>
          <w:rFonts w:eastAsiaTheme="minorEastAsia"/>
          <w:color w:val="000000" w:themeColor="text1"/>
          <w:szCs w:val="21"/>
        </w:rPr>
        <w:t xml:space="preserve"> </w:t>
      </w:r>
    </w:p>
    <w:p w:rsidR="00F14AEA" w:rsidRDefault="00EC6028">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日，本基金未持有非持续的以公允价值计量的金融资产</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 xml:space="preserve">) </w:t>
      </w:r>
      <w:r>
        <w:rPr>
          <w:rFonts w:eastAsiaTheme="minorEastAsia"/>
          <w:color w:val="000000" w:themeColor="text1"/>
          <w:szCs w:val="21"/>
        </w:rPr>
        <w:t>。</w:t>
      </w:r>
    </w:p>
    <w:p w:rsidR="00F14AEA" w:rsidRDefault="00EC6028">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(d)</w:t>
      </w:r>
      <w:r>
        <w:rPr>
          <w:rFonts w:eastAsiaTheme="minorEastAsia"/>
          <w:color w:val="000000" w:themeColor="text1"/>
          <w:szCs w:val="21"/>
        </w:rPr>
        <w:t>不以公允价值计量的金融工具</w:t>
      </w:r>
      <w:r>
        <w:rPr>
          <w:rFonts w:eastAsiaTheme="minorEastAsia"/>
          <w:color w:val="000000" w:themeColor="text1"/>
          <w:szCs w:val="21"/>
        </w:rPr>
        <w:t xml:space="preserve"> </w:t>
      </w:r>
    </w:p>
    <w:p w:rsidR="00F14AEA" w:rsidRDefault="00EC6028">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不以公允价值计量的金融资产和负债主要包括应收款项和其他金融负债，其账面价值与公允价值相差很小。</w:t>
      </w:r>
      <w:r>
        <w:rPr>
          <w:rFonts w:eastAsiaTheme="minorEastAsia"/>
          <w:color w:val="000000" w:themeColor="text1"/>
          <w:szCs w:val="21"/>
        </w:rPr>
        <w:t xml:space="preserve"> </w:t>
      </w:r>
    </w:p>
    <w:p w:rsidR="007B62FA" w:rsidRPr="00896265" w:rsidRDefault="007B62FA" w:rsidP="00602A38">
      <w:pPr>
        <w:widowControl/>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(2)</w:t>
      </w:r>
      <w:r w:rsidRPr="00896265">
        <w:rPr>
          <w:rFonts w:eastAsiaTheme="minorEastAsia"/>
          <w:color w:val="000000" w:themeColor="text1"/>
          <w:szCs w:val="21"/>
        </w:rPr>
        <w:t>除公允价值外，截至资产负债表日本基金无需要说明的其他重要事项。</w:t>
      </w:r>
    </w:p>
    <w:p w:rsidR="007B62FA" w:rsidRPr="00AB6698" w:rsidRDefault="007B62FA" w:rsidP="007E24F2">
      <w:pPr>
        <w:pStyle w:val="20"/>
        <w:tabs>
          <w:tab w:val="num" w:pos="425"/>
        </w:tabs>
        <w:spacing w:beforeLines="100" w:before="312" w:afterLines="100" w:after="312"/>
        <w:ind w:left="425" w:hanging="425"/>
        <w:jc w:val="center"/>
        <w:rPr>
          <w:rFonts w:ascii="宋体" w:hAnsi="宋体" w:cs="Arial"/>
          <w:color w:val="000000"/>
          <w:sz w:val="21"/>
          <w:szCs w:val="21"/>
        </w:rPr>
      </w:pPr>
      <w:bookmarkStart w:id="216" w:name="_Toc225498272"/>
      <w:bookmarkStart w:id="217" w:name="_Toc352255995"/>
      <w:bookmarkStart w:id="218" w:name="_Toc352256063"/>
      <w:bookmarkStart w:id="219" w:name="_Toc352331241"/>
      <w:bookmarkStart w:id="220" w:name="_Toc362424019"/>
      <w:bookmarkStart w:id="221" w:name="_Toc35533829"/>
      <w:r w:rsidRPr="00AB6698">
        <w:rPr>
          <w:rFonts w:ascii="宋体" w:hAnsi="宋体" w:cs="Arial"/>
          <w:color w:val="000000"/>
          <w:sz w:val="21"/>
          <w:szCs w:val="21"/>
        </w:rPr>
        <w:t>§8</w:t>
      </w:r>
      <w:r w:rsidR="00632A28" w:rsidRPr="00AB6698">
        <w:rPr>
          <w:rFonts w:ascii="宋体" w:hAnsi="宋体" w:cs="Arial"/>
          <w:color w:val="000000"/>
          <w:sz w:val="21"/>
          <w:szCs w:val="21"/>
        </w:rPr>
        <w:t xml:space="preserve">    </w:t>
      </w:r>
      <w:r w:rsidRPr="00AB6698">
        <w:rPr>
          <w:rFonts w:ascii="宋体" w:hAnsi="宋体" w:cs="Arial"/>
          <w:color w:val="000000"/>
          <w:sz w:val="21"/>
          <w:szCs w:val="21"/>
        </w:rPr>
        <w:t>投资组合报告</w:t>
      </w:r>
      <w:bookmarkEnd w:id="216"/>
      <w:bookmarkEnd w:id="217"/>
      <w:bookmarkEnd w:id="218"/>
      <w:bookmarkEnd w:id="219"/>
      <w:bookmarkEnd w:id="220"/>
      <w:bookmarkEnd w:id="221"/>
    </w:p>
    <w:p w:rsidR="007B62FA" w:rsidRPr="00940842" w:rsidRDefault="007B62FA" w:rsidP="00602A38">
      <w:pPr>
        <w:pStyle w:val="20"/>
        <w:spacing w:before="0" w:after="0"/>
        <w:rPr>
          <w:rFonts w:asciiTheme="majorEastAsia" w:eastAsiaTheme="majorEastAsia" w:hAnsiTheme="majorEastAsia"/>
          <w:color w:val="000000" w:themeColor="text1"/>
          <w:kern w:val="0"/>
          <w:sz w:val="21"/>
          <w:szCs w:val="21"/>
        </w:rPr>
      </w:pPr>
      <w:bookmarkStart w:id="222" w:name="_Toc225498273"/>
      <w:bookmarkStart w:id="223" w:name="_Toc352255996"/>
      <w:bookmarkStart w:id="224" w:name="_Toc352256064"/>
      <w:bookmarkStart w:id="225" w:name="_Toc352331242"/>
      <w:bookmarkStart w:id="226" w:name="_Toc362424020"/>
      <w:bookmarkStart w:id="227" w:name="_Toc35533830"/>
      <w:r w:rsidRPr="00940842">
        <w:rPr>
          <w:rFonts w:asciiTheme="majorEastAsia" w:eastAsiaTheme="majorEastAsia" w:hAnsiTheme="majorEastAsia"/>
          <w:color w:val="000000" w:themeColor="text1"/>
          <w:kern w:val="0"/>
          <w:sz w:val="21"/>
          <w:szCs w:val="21"/>
        </w:rPr>
        <w:t>8.1</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期末基金资产组合情况</w:t>
      </w:r>
      <w:bookmarkEnd w:id="222"/>
      <w:bookmarkEnd w:id="223"/>
      <w:bookmarkEnd w:id="224"/>
      <w:bookmarkEnd w:id="225"/>
      <w:bookmarkEnd w:id="226"/>
      <w:bookmarkEnd w:id="227"/>
    </w:p>
    <w:p w:rsidR="007B62FA" w:rsidRPr="00896265"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896265">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
        <w:gridCol w:w="3420"/>
        <w:gridCol w:w="2520"/>
        <w:gridCol w:w="1980"/>
      </w:tblGrid>
      <w:tr w:rsidR="00E60957" w:rsidRPr="00896265" w:rsidTr="00474A69">
        <w:tc>
          <w:tcPr>
            <w:tcW w:w="938"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序号</w:t>
            </w:r>
          </w:p>
        </w:tc>
        <w:tc>
          <w:tcPr>
            <w:tcW w:w="34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项目</w:t>
            </w:r>
          </w:p>
        </w:tc>
        <w:tc>
          <w:tcPr>
            <w:tcW w:w="25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金额</w:t>
            </w:r>
          </w:p>
        </w:tc>
        <w:tc>
          <w:tcPr>
            <w:tcW w:w="198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占基金总资产的比例（</w:t>
            </w:r>
            <w:r w:rsidRPr="00896265">
              <w:rPr>
                <w:rFonts w:eastAsiaTheme="minorEastAsia"/>
                <w:color w:val="000000" w:themeColor="text1"/>
                <w:szCs w:val="21"/>
              </w:rPr>
              <w:t>%</w:t>
            </w:r>
            <w:r w:rsidRPr="00896265">
              <w:rPr>
                <w:rFonts w:eastAsiaTheme="minorEastAsia"/>
                <w:color w:val="000000" w:themeColor="text1"/>
                <w:szCs w:val="21"/>
              </w:rPr>
              <w:t>）</w:t>
            </w:r>
          </w:p>
        </w:tc>
      </w:tr>
      <w:tr w:rsidR="00E60957" w:rsidRPr="00896265" w:rsidTr="00474A69">
        <w:tc>
          <w:tcPr>
            <w:tcW w:w="938"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1</w:t>
            </w:r>
          </w:p>
        </w:tc>
        <w:tc>
          <w:tcPr>
            <w:tcW w:w="3420" w:type="dxa"/>
            <w:vAlign w:val="center"/>
          </w:tcPr>
          <w:p w:rsidR="007B62FA" w:rsidRPr="00896265" w:rsidRDefault="007B62FA"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权益投资</w:t>
            </w:r>
          </w:p>
        </w:tc>
        <w:tc>
          <w:tcPr>
            <w:tcW w:w="2520" w:type="dxa"/>
            <w:vAlign w:val="bottom"/>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7B62FA" w:rsidRPr="00896265" w:rsidRDefault="007B62FA" w:rsidP="00417F87">
            <w:pPr>
              <w:spacing w:line="360" w:lineRule="auto"/>
              <w:jc w:val="center"/>
              <w:rPr>
                <w:rFonts w:eastAsiaTheme="minorEastAsia"/>
                <w:color w:val="000000" w:themeColor="text1"/>
                <w:szCs w:val="21"/>
              </w:rPr>
            </w:pPr>
          </w:p>
        </w:tc>
        <w:tc>
          <w:tcPr>
            <w:tcW w:w="3420" w:type="dxa"/>
            <w:vAlign w:val="center"/>
          </w:tcPr>
          <w:p w:rsidR="007B62FA" w:rsidRPr="00896265" w:rsidRDefault="007B62FA"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其中：普通股</w:t>
            </w:r>
          </w:p>
        </w:tc>
        <w:tc>
          <w:tcPr>
            <w:tcW w:w="2520" w:type="dxa"/>
            <w:vAlign w:val="bottom"/>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7B62FA" w:rsidRPr="00896265" w:rsidRDefault="007B62FA" w:rsidP="00417F87">
            <w:pPr>
              <w:spacing w:line="360" w:lineRule="auto"/>
              <w:jc w:val="center"/>
              <w:rPr>
                <w:rFonts w:eastAsiaTheme="minorEastAsia"/>
                <w:color w:val="000000" w:themeColor="text1"/>
                <w:szCs w:val="21"/>
              </w:rPr>
            </w:pPr>
          </w:p>
        </w:tc>
        <w:tc>
          <w:tcPr>
            <w:tcW w:w="3420" w:type="dxa"/>
            <w:vAlign w:val="center"/>
          </w:tcPr>
          <w:p w:rsidR="007B62FA" w:rsidRPr="00896265" w:rsidRDefault="007B62FA" w:rsidP="00D0372D">
            <w:pPr>
              <w:spacing w:line="360" w:lineRule="auto"/>
              <w:ind w:leftChars="50" w:left="105" w:firstLineChars="300" w:firstLine="630"/>
              <w:rPr>
                <w:rFonts w:eastAsiaTheme="minorEastAsia"/>
                <w:color w:val="000000" w:themeColor="text1"/>
                <w:szCs w:val="21"/>
              </w:rPr>
            </w:pPr>
            <w:r w:rsidRPr="00896265">
              <w:rPr>
                <w:rFonts w:eastAsiaTheme="minorEastAsia"/>
                <w:color w:val="000000" w:themeColor="text1"/>
                <w:szCs w:val="21"/>
              </w:rPr>
              <w:t>存托凭证</w:t>
            </w:r>
          </w:p>
        </w:tc>
        <w:tc>
          <w:tcPr>
            <w:tcW w:w="2520" w:type="dxa"/>
            <w:vAlign w:val="bottom"/>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896265" w:rsidRDefault="00831232" w:rsidP="00474A69">
            <w:pPr>
              <w:spacing w:before="29" w:line="360" w:lineRule="auto"/>
              <w:ind w:left="17" w:firstLineChars="350" w:firstLine="735"/>
              <w:jc w:val="left"/>
              <w:rPr>
                <w:rFonts w:eastAsiaTheme="minorEastAsia"/>
                <w:color w:val="000000" w:themeColor="text1"/>
                <w:szCs w:val="21"/>
              </w:rPr>
            </w:pPr>
            <w:r w:rsidRPr="00896265">
              <w:rPr>
                <w:rFonts w:eastAsiaTheme="minorEastAsia"/>
                <w:color w:val="000000" w:themeColor="text1"/>
                <w:szCs w:val="21"/>
              </w:rPr>
              <w:t>优先股</w:t>
            </w:r>
          </w:p>
        </w:tc>
        <w:tc>
          <w:tcPr>
            <w:tcW w:w="2520" w:type="dxa"/>
            <w:vAlign w:val="center"/>
          </w:tcPr>
          <w:p w:rsidR="00831232" w:rsidRPr="00896265" w:rsidRDefault="00831232" w:rsidP="0026196C">
            <w:pPr>
              <w:spacing w:before="29" w:line="360" w:lineRule="auto"/>
              <w:ind w:left="17"/>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center"/>
          </w:tcPr>
          <w:p w:rsidR="00831232" w:rsidRPr="00896265" w:rsidRDefault="00831232" w:rsidP="0026196C">
            <w:pPr>
              <w:spacing w:before="29" w:line="360" w:lineRule="auto"/>
              <w:ind w:left="17"/>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896265" w:rsidRDefault="00831232" w:rsidP="00474A69">
            <w:pPr>
              <w:spacing w:before="29" w:line="360" w:lineRule="auto"/>
              <w:ind w:left="17" w:firstLineChars="350" w:firstLine="735"/>
              <w:jc w:val="left"/>
              <w:rPr>
                <w:rFonts w:eastAsiaTheme="minorEastAsia"/>
                <w:color w:val="000000" w:themeColor="text1"/>
                <w:szCs w:val="21"/>
              </w:rPr>
            </w:pPr>
            <w:r w:rsidRPr="00896265">
              <w:rPr>
                <w:rFonts w:eastAsiaTheme="minorEastAsia"/>
                <w:color w:val="000000" w:themeColor="text1"/>
                <w:szCs w:val="21"/>
              </w:rPr>
              <w:t>房地产信托</w:t>
            </w:r>
            <w:r w:rsidR="00B1057D" w:rsidRPr="00896265">
              <w:rPr>
                <w:rFonts w:eastAsiaTheme="minorEastAsia"/>
                <w:color w:val="000000" w:themeColor="text1"/>
                <w:szCs w:val="21"/>
              </w:rPr>
              <w:t>凭证</w:t>
            </w:r>
          </w:p>
        </w:tc>
        <w:tc>
          <w:tcPr>
            <w:tcW w:w="2520" w:type="dxa"/>
            <w:vAlign w:val="center"/>
          </w:tcPr>
          <w:p w:rsidR="00831232" w:rsidRPr="00896265" w:rsidRDefault="00831232" w:rsidP="0026196C">
            <w:pPr>
              <w:spacing w:before="29" w:line="360" w:lineRule="auto"/>
              <w:ind w:left="17"/>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center"/>
          </w:tcPr>
          <w:p w:rsidR="00831232" w:rsidRPr="00896265" w:rsidRDefault="00831232" w:rsidP="0026196C">
            <w:pPr>
              <w:spacing w:before="29" w:line="360" w:lineRule="auto"/>
              <w:ind w:left="17"/>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2</w:t>
            </w:r>
          </w:p>
        </w:tc>
        <w:tc>
          <w:tcPr>
            <w:tcW w:w="3420" w:type="dxa"/>
            <w:vAlign w:val="center"/>
          </w:tcPr>
          <w:p w:rsidR="00831232" w:rsidRPr="00896265" w:rsidRDefault="00831232" w:rsidP="00417F87">
            <w:pPr>
              <w:spacing w:line="360" w:lineRule="auto"/>
              <w:ind w:leftChars="49" w:left="103"/>
              <w:rPr>
                <w:rFonts w:eastAsiaTheme="minorEastAsia"/>
                <w:color w:val="000000" w:themeColor="text1"/>
                <w:szCs w:val="21"/>
              </w:rPr>
            </w:pPr>
            <w:r w:rsidRPr="00896265">
              <w:rPr>
                <w:rFonts w:eastAsiaTheme="minorEastAsia"/>
                <w:color w:val="000000" w:themeColor="text1"/>
                <w:szCs w:val="21"/>
              </w:rPr>
              <w:t>基金投资</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344,380,599.43</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88.74</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3</w:t>
            </w:r>
          </w:p>
        </w:tc>
        <w:tc>
          <w:tcPr>
            <w:tcW w:w="3420" w:type="dxa"/>
            <w:vAlign w:val="center"/>
          </w:tcPr>
          <w:p w:rsidR="00831232" w:rsidRPr="00896265" w:rsidRDefault="00831232"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固定收益投资</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896265" w:rsidRDefault="00831232"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其中：债券</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896265" w:rsidRDefault="00831232" w:rsidP="00474A69">
            <w:pPr>
              <w:spacing w:line="360" w:lineRule="auto"/>
              <w:ind w:leftChars="50" w:left="105" w:firstLineChars="300" w:firstLine="630"/>
              <w:rPr>
                <w:rFonts w:eastAsiaTheme="minorEastAsia"/>
                <w:color w:val="000000" w:themeColor="text1"/>
                <w:szCs w:val="21"/>
              </w:rPr>
            </w:pPr>
            <w:r w:rsidRPr="00896265">
              <w:rPr>
                <w:rFonts w:eastAsiaTheme="minorEastAsia"/>
                <w:color w:val="000000" w:themeColor="text1"/>
                <w:szCs w:val="21"/>
              </w:rPr>
              <w:t>资产支持证券</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4</w:t>
            </w:r>
          </w:p>
        </w:tc>
        <w:tc>
          <w:tcPr>
            <w:tcW w:w="3420" w:type="dxa"/>
            <w:vAlign w:val="center"/>
          </w:tcPr>
          <w:p w:rsidR="00831232" w:rsidRPr="00896265" w:rsidRDefault="00831232"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金融衍生品投资</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896265" w:rsidRDefault="00831232"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其中：远期</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896265" w:rsidRDefault="00831232"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 xml:space="preserve">      </w:t>
            </w:r>
            <w:r w:rsidRPr="00896265">
              <w:rPr>
                <w:rFonts w:eastAsiaTheme="minorEastAsia"/>
                <w:color w:val="000000" w:themeColor="text1"/>
                <w:szCs w:val="21"/>
              </w:rPr>
              <w:t>期货</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896265" w:rsidRDefault="00831232"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 xml:space="preserve">      </w:t>
            </w:r>
            <w:r w:rsidRPr="00896265">
              <w:rPr>
                <w:rFonts w:eastAsiaTheme="minorEastAsia"/>
                <w:color w:val="000000" w:themeColor="text1"/>
                <w:szCs w:val="21"/>
              </w:rPr>
              <w:t>期权</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896265" w:rsidRDefault="00831232"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 xml:space="preserve">      </w:t>
            </w:r>
            <w:r w:rsidRPr="00896265">
              <w:rPr>
                <w:rFonts w:eastAsiaTheme="minorEastAsia"/>
                <w:color w:val="000000" w:themeColor="text1"/>
                <w:szCs w:val="21"/>
              </w:rPr>
              <w:t>权证</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5</w:t>
            </w:r>
          </w:p>
        </w:tc>
        <w:tc>
          <w:tcPr>
            <w:tcW w:w="3420" w:type="dxa"/>
            <w:vAlign w:val="center"/>
          </w:tcPr>
          <w:p w:rsidR="00831232" w:rsidRPr="00896265" w:rsidRDefault="00831232"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买入返售金融资产</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896265" w:rsidRDefault="00831232"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其中：买断式回购的买入返售金融资产</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6</w:t>
            </w:r>
          </w:p>
        </w:tc>
        <w:tc>
          <w:tcPr>
            <w:tcW w:w="3420" w:type="dxa"/>
            <w:vAlign w:val="center"/>
          </w:tcPr>
          <w:p w:rsidR="00831232" w:rsidRPr="00896265" w:rsidRDefault="00831232"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货币市场工具</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474A69">
        <w:tc>
          <w:tcPr>
            <w:tcW w:w="938" w:type="dxa"/>
            <w:vAlign w:val="center"/>
          </w:tcPr>
          <w:p w:rsidR="00831232" w:rsidRPr="00896265" w:rsidRDefault="00831232"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7</w:t>
            </w:r>
          </w:p>
        </w:tc>
        <w:tc>
          <w:tcPr>
            <w:tcW w:w="3420" w:type="dxa"/>
            <w:vAlign w:val="center"/>
          </w:tcPr>
          <w:p w:rsidR="00831232" w:rsidRPr="00896265" w:rsidRDefault="00831232"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银行存款和结算备付金合计</w:t>
            </w:r>
          </w:p>
        </w:tc>
        <w:tc>
          <w:tcPr>
            <w:tcW w:w="252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41,451,777.35</w:t>
            </w:r>
          </w:p>
        </w:tc>
        <w:tc>
          <w:tcPr>
            <w:tcW w:w="1980" w:type="dxa"/>
            <w:vAlign w:val="bottom"/>
          </w:tcPr>
          <w:p w:rsidR="00831232" w:rsidRPr="00896265" w:rsidRDefault="00831232"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10.68</w:t>
            </w:r>
          </w:p>
        </w:tc>
      </w:tr>
      <w:tr w:rsidR="00E60957" w:rsidRPr="00896265" w:rsidTr="00474A69">
        <w:tc>
          <w:tcPr>
            <w:tcW w:w="938" w:type="dxa"/>
            <w:vAlign w:val="center"/>
          </w:tcPr>
          <w:p w:rsidR="00692972" w:rsidRPr="00896265" w:rsidRDefault="00692972" w:rsidP="001A74A1">
            <w:pPr>
              <w:spacing w:before="29" w:line="360" w:lineRule="auto"/>
              <w:ind w:left="17"/>
              <w:jc w:val="center"/>
              <w:rPr>
                <w:rFonts w:eastAsiaTheme="minorEastAsia"/>
                <w:color w:val="000000" w:themeColor="text1"/>
                <w:szCs w:val="21"/>
              </w:rPr>
            </w:pPr>
            <w:r w:rsidRPr="00896265">
              <w:rPr>
                <w:rFonts w:eastAsiaTheme="minorEastAsia"/>
                <w:color w:val="000000" w:themeColor="text1"/>
                <w:szCs w:val="21"/>
              </w:rPr>
              <w:t>8</w:t>
            </w:r>
          </w:p>
        </w:tc>
        <w:tc>
          <w:tcPr>
            <w:tcW w:w="3420" w:type="dxa"/>
            <w:vAlign w:val="center"/>
          </w:tcPr>
          <w:p w:rsidR="00692972" w:rsidRPr="00896265" w:rsidRDefault="00692972" w:rsidP="001A74A1">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其他各项资产</w:t>
            </w:r>
          </w:p>
        </w:tc>
        <w:tc>
          <w:tcPr>
            <w:tcW w:w="2520" w:type="dxa"/>
            <w:vAlign w:val="center"/>
          </w:tcPr>
          <w:p w:rsidR="00692972" w:rsidRPr="00896265" w:rsidRDefault="00692972"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2,253,252.71</w:t>
            </w:r>
          </w:p>
        </w:tc>
        <w:tc>
          <w:tcPr>
            <w:tcW w:w="1980" w:type="dxa"/>
            <w:vAlign w:val="center"/>
          </w:tcPr>
          <w:p w:rsidR="00692972" w:rsidRPr="00896265" w:rsidRDefault="00692972"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0.58</w:t>
            </w:r>
          </w:p>
        </w:tc>
      </w:tr>
      <w:tr w:rsidR="00E60957" w:rsidRPr="00896265" w:rsidTr="00474A69">
        <w:tc>
          <w:tcPr>
            <w:tcW w:w="938" w:type="dxa"/>
            <w:vAlign w:val="center"/>
          </w:tcPr>
          <w:p w:rsidR="00692972" w:rsidRPr="00896265" w:rsidRDefault="00692972" w:rsidP="001A74A1">
            <w:pPr>
              <w:spacing w:before="29" w:line="360" w:lineRule="auto"/>
              <w:ind w:left="17"/>
              <w:jc w:val="center"/>
              <w:rPr>
                <w:rFonts w:eastAsiaTheme="minorEastAsia"/>
                <w:color w:val="000000" w:themeColor="text1"/>
                <w:szCs w:val="21"/>
              </w:rPr>
            </w:pPr>
            <w:r w:rsidRPr="00896265">
              <w:rPr>
                <w:rFonts w:eastAsiaTheme="minorEastAsia"/>
                <w:color w:val="000000" w:themeColor="text1"/>
                <w:szCs w:val="21"/>
              </w:rPr>
              <w:t>9</w:t>
            </w:r>
          </w:p>
        </w:tc>
        <w:tc>
          <w:tcPr>
            <w:tcW w:w="3420" w:type="dxa"/>
            <w:vAlign w:val="center"/>
          </w:tcPr>
          <w:p w:rsidR="00692972" w:rsidRPr="00896265" w:rsidRDefault="00692972" w:rsidP="001A74A1">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合计</w:t>
            </w:r>
          </w:p>
        </w:tc>
        <w:tc>
          <w:tcPr>
            <w:tcW w:w="2520" w:type="dxa"/>
            <w:vAlign w:val="center"/>
          </w:tcPr>
          <w:p w:rsidR="00692972" w:rsidRPr="00896265" w:rsidRDefault="00692972"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388,085,629.49</w:t>
            </w:r>
          </w:p>
        </w:tc>
        <w:tc>
          <w:tcPr>
            <w:tcW w:w="1980" w:type="dxa"/>
            <w:vAlign w:val="center"/>
          </w:tcPr>
          <w:p w:rsidR="00692972" w:rsidRPr="00896265" w:rsidRDefault="00692972" w:rsidP="001A74A1">
            <w:pPr>
              <w:spacing w:line="360" w:lineRule="auto"/>
              <w:jc w:val="right"/>
              <w:rPr>
                <w:rFonts w:eastAsiaTheme="minorEastAsia"/>
                <w:color w:val="000000" w:themeColor="text1"/>
                <w:szCs w:val="21"/>
              </w:rPr>
            </w:pPr>
            <w:r w:rsidRPr="00896265">
              <w:rPr>
                <w:rFonts w:eastAsiaTheme="minorEastAsia"/>
                <w:color w:val="000000" w:themeColor="text1"/>
                <w:szCs w:val="21"/>
              </w:rPr>
              <w:t>100.00</w:t>
            </w:r>
          </w:p>
        </w:tc>
      </w:tr>
    </w:tbl>
    <w:p w:rsidR="007B62FA" w:rsidRPr="00940842" w:rsidRDefault="007B62FA" w:rsidP="00602A38">
      <w:pPr>
        <w:pStyle w:val="20"/>
        <w:spacing w:before="0" w:after="0"/>
        <w:rPr>
          <w:rFonts w:asciiTheme="majorEastAsia" w:eastAsiaTheme="majorEastAsia" w:hAnsiTheme="majorEastAsia"/>
          <w:color w:val="000000" w:themeColor="text1"/>
          <w:kern w:val="0"/>
          <w:sz w:val="21"/>
          <w:szCs w:val="21"/>
        </w:rPr>
      </w:pPr>
      <w:bookmarkStart w:id="228" w:name="_Toc35533831"/>
      <w:r w:rsidRPr="00940842">
        <w:rPr>
          <w:rFonts w:asciiTheme="majorEastAsia" w:eastAsiaTheme="majorEastAsia" w:hAnsiTheme="majorEastAsia"/>
          <w:color w:val="000000" w:themeColor="text1"/>
          <w:kern w:val="0"/>
          <w:sz w:val="21"/>
          <w:szCs w:val="21"/>
        </w:rPr>
        <w:t>8.2</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期末在各个国家（地区）证券市场的权益投资分布</w:t>
      </w:r>
      <w:bookmarkEnd w:id="228"/>
    </w:p>
    <w:p w:rsidR="000D4783" w:rsidRPr="00A77606" w:rsidRDefault="007B62FA" w:rsidP="000D4783">
      <w:pPr>
        <w:spacing w:line="360" w:lineRule="auto"/>
        <w:ind w:firstLineChars="200" w:firstLine="420"/>
        <w:jc w:val="left"/>
        <w:rPr>
          <w:color w:val="000000"/>
          <w:szCs w:val="21"/>
        </w:rPr>
      </w:pPr>
      <w:r w:rsidRPr="00896265">
        <w:rPr>
          <w:rFonts w:eastAsiaTheme="minorEastAsia"/>
          <w:color w:val="000000" w:themeColor="text1"/>
          <w:szCs w:val="21"/>
        </w:rPr>
        <w:t>本基金本报告期末未持有权益投资。</w:t>
      </w:r>
      <w:bookmarkStart w:id="229" w:name="_Toc224618386"/>
      <w:bookmarkStart w:id="230" w:name="_Toc248233033"/>
      <w:bookmarkStart w:id="231" w:name="_Toc249790565"/>
      <w:bookmarkStart w:id="232" w:name="_Toc286929766"/>
      <w:bookmarkStart w:id="233" w:name="_Toc352256005"/>
      <w:bookmarkStart w:id="234" w:name="_Toc352256073"/>
      <w:bookmarkStart w:id="235" w:name="_Toc352331251"/>
      <w:bookmarkStart w:id="236" w:name="_Toc362424029"/>
    </w:p>
    <w:p w:rsidR="000D4783" w:rsidRPr="00D0372D" w:rsidRDefault="000D4783" w:rsidP="000D4783">
      <w:pPr>
        <w:pStyle w:val="20"/>
        <w:spacing w:before="0" w:after="0"/>
        <w:rPr>
          <w:rFonts w:ascii="宋体" w:hAnsi="宋体"/>
          <w:kern w:val="0"/>
          <w:sz w:val="21"/>
          <w:szCs w:val="21"/>
        </w:rPr>
      </w:pPr>
      <w:bookmarkStart w:id="237" w:name="_Toc224618378"/>
      <w:bookmarkStart w:id="238" w:name="_Toc248233025"/>
      <w:bookmarkStart w:id="239" w:name="_Toc249790557"/>
      <w:bookmarkStart w:id="240" w:name="_Toc286929758"/>
      <w:bookmarkStart w:id="241" w:name="_Toc352255997"/>
      <w:bookmarkStart w:id="242" w:name="_Toc352256065"/>
      <w:bookmarkStart w:id="243" w:name="_Toc352331243"/>
      <w:bookmarkStart w:id="244" w:name="_Toc362424021"/>
      <w:bookmarkStart w:id="245" w:name="_Toc35533832"/>
      <w:r w:rsidRPr="00D0372D">
        <w:rPr>
          <w:rFonts w:ascii="宋体" w:hAnsi="宋体"/>
          <w:kern w:val="0"/>
          <w:sz w:val="21"/>
          <w:szCs w:val="21"/>
        </w:rPr>
        <w:t>8.3</w:t>
      </w:r>
      <w:r w:rsidR="00F73F35" w:rsidRPr="00940842">
        <w:rPr>
          <w:rFonts w:asciiTheme="majorEastAsia" w:eastAsiaTheme="majorEastAsia" w:hAnsiTheme="majorEastAsia"/>
          <w:color w:val="000000" w:themeColor="text1"/>
          <w:kern w:val="0"/>
          <w:sz w:val="21"/>
          <w:szCs w:val="21"/>
        </w:rPr>
        <w:t xml:space="preserve">    </w:t>
      </w:r>
      <w:r w:rsidRPr="00D0372D">
        <w:rPr>
          <w:rFonts w:ascii="宋体" w:hAnsi="宋体" w:hint="eastAsia"/>
          <w:kern w:val="0"/>
          <w:sz w:val="21"/>
          <w:szCs w:val="21"/>
        </w:rPr>
        <w:t>期末按行业分类的权益投资组合</w:t>
      </w:r>
      <w:bookmarkEnd w:id="237"/>
      <w:bookmarkEnd w:id="238"/>
      <w:bookmarkEnd w:id="239"/>
      <w:bookmarkEnd w:id="240"/>
      <w:bookmarkEnd w:id="241"/>
      <w:bookmarkEnd w:id="242"/>
      <w:bookmarkEnd w:id="243"/>
      <w:bookmarkEnd w:id="244"/>
      <w:bookmarkEnd w:id="245"/>
    </w:p>
    <w:p w:rsidR="000D4783" w:rsidRPr="003671D5" w:rsidRDefault="000D4783" w:rsidP="000D4783">
      <w:pPr>
        <w:spacing w:line="360" w:lineRule="auto"/>
        <w:ind w:firstLineChars="200" w:firstLine="420"/>
        <w:jc w:val="left"/>
        <w:rPr>
          <w:color w:val="000000"/>
          <w:szCs w:val="21"/>
        </w:rPr>
      </w:pPr>
      <w:r w:rsidRPr="003671D5">
        <w:rPr>
          <w:color w:val="000000"/>
          <w:szCs w:val="21"/>
        </w:rPr>
        <w:t>本基金本报告期末未持有权益投资。</w:t>
      </w:r>
    </w:p>
    <w:p w:rsidR="000D4783" w:rsidRPr="00D0372D" w:rsidRDefault="000D4783" w:rsidP="000D4783">
      <w:pPr>
        <w:pStyle w:val="20"/>
        <w:spacing w:before="0" w:after="0"/>
        <w:rPr>
          <w:rFonts w:ascii="宋体" w:hAnsi="宋体"/>
          <w:kern w:val="0"/>
          <w:sz w:val="21"/>
          <w:szCs w:val="21"/>
        </w:rPr>
      </w:pPr>
      <w:bookmarkStart w:id="246" w:name="_Toc352255998"/>
      <w:bookmarkStart w:id="247" w:name="_Toc352256066"/>
      <w:bookmarkStart w:id="248" w:name="_Toc352331244"/>
      <w:bookmarkStart w:id="249" w:name="_Toc362424022"/>
      <w:bookmarkStart w:id="250" w:name="_Toc35533833"/>
      <w:r w:rsidRPr="00D0372D">
        <w:rPr>
          <w:rFonts w:ascii="宋体" w:hAnsi="宋体"/>
          <w:kern w:val="0"/>
          <w:sz w:val="21"/>
          <w:szCs w:val="21"/>
        </w:rPr>
        <w:t>8.4</w:t>
      </w:r>
      <w:r w:rsidR="00F73F35" w:rsidRPr="00940842">
        <w:rPr>
          <w:rFonts w:asciiTheme="majorEastAsia" w:eastAsiaTheme="majorEastAsia" w:hAnsiTheme="majorEastAsia"/>
          <w:color w:val="000000" w:themeColor="text1"/>
          <w:kern w:val="0"/>
          <w:sz w:val="21"/>
          <w:szCs w:val="21"/>
        </w:rPr>
        <w:t xml:space="preserve">    </w:t>
      </w:r>
      <w:r w:rsidRPr="00D0372D">
        <w:rPr>
          <w:rFonts w:ascii="宋体" w:hAnsi="宋体" w:hint="eastAsia"/>
          <w:kern w:val="0"/>
          <w:sz w:val="21"/>
          <w:szCs w:val="21"/>
        </w:rPr>
        <w:t>期末按公允价值占基金资产净值比例大小排序的所有权益投资明细</w:t>
      </w:r>
      <w:bookmarkEnd w:id="246"/>
      <w:bookmarkEnd w:id="247"/>
      <w:bookmarkEnd w:id="248"/>
      <w:bookmarkEnd w:id="249"/>
      <w:bookmarkEnd w:id="250"/>
    </w:p>
    <w:p w:rsidR="000D4783" w:rsidRPr="003671D5" w:rsidRDefault="000D4783" w:rsidP="000D4783">
      <w:pPr>
        <w:spacing w:line="360" w:lineRule="auto"/>
        <w:ind w:firstLineChars="200" w:firstLine="420"/>
        <w:jc w:val="left"/>
        <w:rPr>
          <w:color w:val="000000"/>
          <w:szCs w:val="21"/>
        </w:rPr>
      </w:pPr>
      <w:r w:rsidRPr="003671D5">
        <w:rPr>
          <w:color w:val="000000"/>
          <w:szCs w:val="21"/>
        </w:rPr>
        <w:t>本基金本报告期末未持有权益投资。</w:t>
      </w:r>
    </w:p>
    <w:p w:rsidR="000D4783" w:rsidRPr="00D0372D" w:rsidRDefault="000D4783" w:rsidP="000D4783">
      <w:pPr>
        <w:pStyle w:val="20"/>
        <w:spacing w:before="0" w:after="0"/>
        <w:rPr>
          <w:rFonts w:ascii="宋体" w:hAnsi="宋体"/>
          <w:kern w:val="0"/>
          <w:sz w:val="21"/>
          <w:szCs w:val="21"/>
        </w:rPr>
      </w:pPr>
      <w:bookmarkStart w:id="251" w:name="_Toc224618380"/>
      <w:bookmarkStart w:id="252" w:name="_Toc248233027"/>
      <w:bookmarkStart w:id="253" w:name="_Toc249790559"/>
      <w:bookmarkStart w:id="254" w:name="_Toc286929760"/>
      <w:bookmarkStart w:id="255" w:name="_Toc352255999"/>
      <w:bookmarkStart w:id="256" w:name="_Toc352256067"/>
      <w:bookmarkStart w:id="257" w:name="_Toc352331245"/>
      <w:bookmarkStart w:id="258" w:name="_Toc362424023"/>
      <w:bookmarkStart w:id="259" w:name="_Toc35533834"/>
      <w:r w:rsidRPr="00D0372D">
        <w:rPr>
          <w:rFonts w:ascii="宋体" w:hAnsi="宋体"/>
          <w:kern w:val="0"/>
          <w:sz w:val="21"/>
          <w:szCs w:val="21"/>
        </w:rPr>
        <w:t>8.5</w:t>
      </w:r>
      <w:r w:rsidR="00F73F35" w:rsidRPr="00940842">
        <w:rPr>
          <w:rFonts w:asciiTheme="majorEastAsia" w:eastAsiaTheme="majorEastAsia" w:hAnsiTheme="majorEastAsia"/>
          <w:color w:val="000000" w:themeColor="text1"/>
          <w:kern w:val="0"/>
          <w:sz w:val="21"/>
          <w:szCs w:val="21"/>
        </w:rPr>
        <w:t xml:space="preserve">    </w:t>
      </w:r>
      <w:r w:rsidRPr="00D0372D">
        <w:rPr>
          <w:rFonts w:ascii="宋体" w:hAnsi="宋体" w:hint="eastAsia"/>
          <w:kern w:val="0"/>
          <w:sz w:val="21"/>
          <w:szCs w:val="21"/>
        </w:rPr>
        <w:t>报告期内权益投资组合的重大变动</w:t>
      </w:r>
      <w:bookmarkEnd w:id="251"/>
      <w:bookmarkEnd w:id="252"/>
      <w:bookmarkEnd w:id="253"/>
      <w:bookmarkEnd w:id="254"/>
      <w:bookmarkEnd w:id="255"/>
      <w:bookmarkEnd w:id="256"/>
      <w:bookmarkEnd w:id="257"/>
      <w:bookmarkEnd w:id="258"/>
      <w:bookmarkEnd w:id="259"/>
    </w:p>
    <w:p w:rsidR="000D4783" w:rsidRPr="00D0372D" w:rsidRDefault="000D4783" w:rsidP="000D4783">
      <w:pPr>
        <w:autoSpaceDE w:val="0"/>
        <w:autoSpaceDN w:val="0"/>
        <w:adjustRightInd w:val="0"/>
        <w:snapToGrid w:val="0"/>
        <w:spacing w:line="360" w:lineRule="auto"/>
        <w:jc w:val="left"/>
        <w:rPr>
          <w:rFonts w:ascii="宋体" w:hAnsi="宋体"/>
          <w:b/>
          <w:color w:val="000000"/>
          <w:kern w:val="0"/>
          <w:szCs w:val="21"/>
        </w:rPr>
      </w:pPr>
      <w:r w:rsidRPr="00D0372D">
        <w:rPr>
          <w:rFonts w:ascii="宋体" w:hAnsi="宋体"/>
          <w:b/>
          <w:kern w:val="0"/>
          <w:szCs w:val="21"/>
        </w:rPr>
        <w:t>8.5.1</w:t>
      </w:r>
      <w:r w:rsidRPr="00D0372D">
        <w:rPr>
          <w:rFonts w:ascii="宋体" w:hAnsi="宋体" w:hint="eastAsia"/>
          <w:b/>
          <w:kern w:val="0"/>
          <w:szCs w:val="21"/>
        </w:rPr>
        <w:t xml:space="preserve"> </w:t>
      </w:r>
      <w:r w:rsidRPr="00D0372D">
        <w:rPr>
          <w:rFonts w:ascii="宋体" w:hAnsi="宋体" w:hint="eastAsia"/>
          <w:b/>
          <w:color w:val="000000"/>
          <w:kern w:val="0"/>
          <w:szCs w:val="21"/>
        </w:rPr>
        <w:t>累计买入金额超出期初基金资产净值</w:t>
      </w:r>
      <w:r w:rsidRPr="00D0372D">
        <w:rPr>
          <w:rFonts w:hAnsi="宋体" w:hint="eastAsia"/>
          <w:b/>
          <w:szCs w:val="21"/>
        </w:rPr>
        <w:t>2%</w:t>
      </w:r>
      <w:r w:rsidRPr="00D0372D">
        <w:rPr>
          <w:rFonts w:ascii="宋体" w:hAnsi="宋体" w:hint="eastAsia"/>
          <w:b/>
          <w:color w:val="000000"/>
          <w:kern w:val="0"/>
          <w:szCs w:val="21"/>
        </w:rPr>
        <w:t>或前</w:t>
      </w:r>
      <w:r w:rsidRPr="00D0372D">
        <w:rPr>
          <w:rFonts w:ascii="宋体" w:hAnsi="宋体"/>
          <w:b/>
          <w:color w:val="000000"/>
          <w:kern w:val="0"/>
          <w:szCs w:val="21"/>
        </w:rPr>
        <w:t>20</w:t>
      </w:r>
      <w:r w:rsidRPr="00D0372D">
        <w:rPr>
          <w:rFonts w:ascii="宋体" w:hAnsi="宋体" w:hint="eastAsia"/>
          <w:b/>
          <w:color w:val="000000"/>
          <w:kern w:val="0"/>
          <w:szCs w:val="21"/>
        </w:rPr>
        <w:t>名的权益投资明细</w:t>
      </w:r>
    </w:p>
    <w:p w:rsidR="000D4783" w:rsidRPr="00A77606" w:rsidRDefault="000D4783" w:rsidP="000D4783">
      <w:pPr>
        <w:autoSpaceDE w:val="0"/>
        <w:autoSpaceDN w:val="0"/>
        <w:adjustRightInd w:val="0"/>
        <w:spacing w:before="29" w:line="360" w:lineRule="auto"/>
        <w:ind w:left="15"/>
        <w:jc w:val="right"/>
        <w:rPr>
          <w:color w:val="000000"/>
          <w:szCs w:val="21"/>
        </w:rPr>
      </w:pPr>
      <w:r w:rsidRPr="00A77606">
        <w:rPr>
          <w:color w:val="000000"/>
          <w:szCs w:val="21"/>
        </w:rPr>
        <w:t>金额单位：人民币元</w:t>
      </w: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0D4783" w:rsidRPr="00A77606" w:rsidTr="00AA712C">
        <w:trPr>
          <w:trHeight w:val="315"/>
          <w:jc w:val="center"/>
        </w:trPr>
        <w:tc>
          <w:tcPr>
            <w:tcW w:w="555" w:type="dxa"/>
            <w:tcMar>
              <w:top w:w="15" w:type="dxa"/>
              <w:left w:w="15" w:type="dxa"/>
              <w:bottom w:w="0" w:type="dxa"/>
              <w:right w:w="15" w:type="dxa"/>
            </w:tcMar>
            <w:vAlign w:val="center"/>
          </w:tcPr>
          <w:p w:rsidR="000D4783" w:rsidRPr="00A77606" w:rsidRDefault="000D4783" w:rsidP="00AA712C">
            <w:pPr>
              <w:spacing w:line="360" w:lineRule="auto"/>
              <w:jc w:val="center"/>
              <w:rPr>
                <w:color w:val="000000"/>
                <w:szCs w:val="21"/>
              </w:rPr>
            </w:pPr>
            <w:r w:rsidRPr="00A77606">
              <w:rPr>
                <w:color w:val="000000"/>
                <w:szCs w:val="21"/>
              </w:rPr>
              <w:t>序号</w:t>
            </w:r>
          </w:p>
        </w:tc>
        <w:tc>
          <w:tcPr>
            <w:tcW w:w="2378" w:type="dxa"/>
            <w:tcMar>
              <w:top w:w="15" w:type="dxa"/>
              <w:left w:w="15" w:type="dxa"/>
              <w:bottom w:w="0" w:type="dxa"/>
              <w:right w:w="15" w:type="dxa"/>
            </w:tcMar>
            <w:vAlign w:val="center"/>
          </w:tcPr>
          <w:p w:rsidR="000D4783" w:rsidRPr="00A77606" w:rsidRDefault="000D4783" w:rsidP="00AA712C">
            <w:pPr>
              <w:spacing w:line="360" w:lineRule="auto"/>
              <w:jc w:val="center"/>
              <w:rPr>
                <w:color w:val="000000"/>
                <w:szCs w:val="21"/>
              </w:rPr>
            </w:pPr>
            <w:r w:rsidRPr="00A77606">
              <w:rPr>
                <w:color w:val="000000"/>
                <w:szCs w:val="21"/>
              </w:rPr>
              <w:t>公司名称（英文）</w:t>
            </w:r>
          </w:p>
        </w:tc>
        <w:tc>
          <w:tcPr>
            <w:tcW w:w="2552" w:type="dxa"/>
            <w:tcMar>
              <w:top w:w="15" w:type="dxa"/>
              <w:left w:w="15" w:type="dxa"/>
              <w:bottom w:w="0" w:type="dxa"/>
              <w:right w:w="15" w:type="dxa"/>
            </w:tcMar>
            <w:vAlign w:val="center"/>
          </w:tcPr>
          <w:p w:rsidR="000D4783" w:rsidRPr="00A77606" w:rsidRDefault="000D4783" w:rsidP="00AA712C">
            <w:pPr>
              <w:spacing w:line="360" w:lineRule="auto"/>
              <w:jc w:val="center"/>
              <w:rPr>
                <w:color w:val="000000"/>
                <w:szCs w:val="21"/>
              </w:rPr>
            </w:pPr>
            <w:r w:rsidRPr="00A77606">
              <w:rPr>
                <w:color w:val="000000"/>
                <w:szCs w:val="21"/>
              </w:rPr>
              <w:t>证券代码</w:t>
            </w:r>
          </w:p>
        </w:tc>
        <w:tc>
          <w:tcPr>
            <w:tcW w:w="2130" w:type="dxa"/>
            <w:tcMar>
              <w:top w:w="15" w:type="dxa"/>
              <w:left w:w="15" w:type="dxa"/>
              <w:bottom w:w="0" w:type="dxa"/>
              <w:right w:w="15" w:type="dxa"/>
            </w:tcMar>
            <w:vAlign w:val="center"/>
          </w:tcPr>
          <w:p w:rsidR="000D4783" w:rsidRPr="00A77606" w:rsidRDefault="000D4783" w:rsidP="00AA712C">
            <w:pPr>
              <w:spacing w:line="360" w:lineRule="auto"/>
              <w:jc w:val="center"/>
              <w:rPr>
                <w:color w:val="000000"/>
                <w:szCs w:val="21"/>
              </w:rPr>
            </w:pPr>
            <w:r w:rsidRPr="00A77606">
              <w:rPr>
                <w:color w:val="000000"/>
                <w:szCs w:val="21"/>
              </w:rPr>
              <w:t>本期累计买入金额</w:t>
            </w:r>
          </w:p>
        </w:tc>
        <w:tc>
          <w:tcPr>
            <w:tcW w:w="1650" w:type="dxa"/>
            <w:tcMar>
              <w:top w:w="15" w:type="dxa"/>
              <w:left w:w="15" w:type="dxa"/>
              <w:bottom w:w="0" w:type="dxa"/>
              <w:right w:w="15" w:type="dxa"/>
            </w:tcMar>
            <w:vAlign w:val="center"/>
          </w:tcPr>
          <w:p w:rsidR="000D4783" w:rsidRPr="00A77606" w:rsidRDefault="000D4783" w:rsidP="00AA712C">
            <w:pPr>
              <w:spacing w:line="360" w:lineRule="auto"/>
              <w:jc w:val="center"/>
              <w:rPr>
                <w:color w:val="000000"/>
                <w:szCs w:val="21"/>
              </w:rPr>
            </w:pPr>
            <w:r w:rsidRPr="00A77606">
              <w:rPr>
                <w:color w:val="000000"/>
                <w:szCs w:val="21"/>
              </w:rPr>
              <w:t>占</w:t>
            </w:r>
            <w:r w:rsidRPr="00A77606">
              <w:rPr>
                <w:color w:val="000000"/>
                <w:kern w:val="0"/>
                <w:szCs w:val="21"/>
              </w:rPr>
              <w:t>期初</w:t>
            </w:r>
            <w:r w:rsidRPr="00A77606">
              <w:rPr>
                <w:color w:val="000000"/>
                <w:szCs w:val="21"/>
              </w:rPr>
              <w:t>基金</w:t>
            </w:r>
          </w:p>
          <w:p w:rsidR="000D4783" w:rsidRPr="00A77606" w:rsidRDefault="000D4783" w:rsidP="00AA712C">
            <w:pPr>
              <w:spacing w:line="360" w:lineRule="auto"/>
              <w:jc w:val="center"/>
              <w:rPr>
                <w:color w:val="000000"/>
                <w:szCs w:val="21"/>
              </w:rPr>
            </w:pPr>
            <w:r w:rsidRPr="00A77606">
              <w:rPr>
                <w:color w:val="000000"/>
                <w:szCs w:val="21"/>
              </w:rPr>
              <w:t>资产净值比例（％）</w:t>
            </w:r>
          </w:p>
        </w:tc>
      </w:tr>
      <w:tr w:rsidR="00F14AEA">
        <w:trPr>
          <w:jc w:val="center"/>
        </w:trPr>
        <w:tc>
          <w:tcPr>
            <w:tcW w:w="555" w:type="dxa"/>
            <w:vAlign w:val="center"/>
          </w:tcPr>
          <w:p w:rsidR="00F14AEA" w:rsidRDefault="00EC6028">
            <w:pPr>
              <w:jc w:val="center"/>
            </w:pPr>
            <w:r>
              <w:rPr>
                <w:color w:val="000000"/>
                <w:szCs w:val="21"/>
              </w:rPr>
              <w:t>1</w:t>
            </w:r>
          </w:p>
        </w:tc>
        <w:tc>
          <w:tcPr>
            <w:tcW w:w="2378" w:type="dxa"/>
            <w:vAlign w:val="center"/>
          </w:tcPr>
          <w:p w:rsidR="00F14AEA" w:rsidRDefault="00EC6028">
            <w:pPr>
              <w:jc w:val="center"/>
            </w:pPr>
            <w:r>
              <w:rPr>
                <w:color w:val="000000"/>
                <w:szCs w:val="21"/>
              </w:rPr>
              <w:t>Northern Star Resources Ltd</w:t>
            </w:r>
          </w:p>
        </w:tc>
        <w:tc>
          <w:tcPr>
            <w:tcW w:w="2552" w:type="dxa"/>
            <w:vAlign w:val="center"/>
          </w:tcPr>
          <w:p w:rsidR="00F14AEA" w:rsidRDefault="00EC6028">
            <w:pPr>
              <w:jc w:val="center"/>
            </w:pPr>
            <w:r>
              <w:rPr>
                <w:color w:val="000000"/>
                <w:szCs w:val="21"/>
              </w:rPr>
              <w:t>NST AU</w:t>
            </w:r>
          </w:p>
        </w:tc>
        <w:tc>
          <w:tcPr>
            <w:tcW w:w="2130" w:type="dxa"/>
            <w:vAlign w:val="center"/>
          </w:tcPr>
          <w:p w:rsidR="00F14AEA" w:rsidRDefault="00EC6028">
            <w:pPr>
              <w:jc w:val="right"/>
            </w:pPr>
            <w:r>
              <w:rPr>
                <w:color w:val="000000"/>
                <w:szCs w:val="21"/>
              </w:rPr>
              <w:t>8,253,689.32</w:t>
            </w:r>
          </w:p>
        </w:tc>
        <w:tc>
          <w:tcPr>
            <w:tcW w:w="1650" w:type="dxa"/>
            <w:vAlign w:val="center"/>
          </w:tcPr>
          <w:p w:rsidR="00F14AEA" w:rsidRDefault="00EC6028">
            <w:pPr>
              <w:jc w:val="right"/>
            </w:pPr>
            <w:r>
              <w:rPr>
                <w:color w:val="000000"/>
                <w:szCs w:val="21"/>
              </w:rPr>
              <w:t>3.09</w:t>
            </w:r>
          </w:p>
        </w:tc>
      </w:tr>
      <w:tr w:rsidR="00F14AEA">
        <w:trPr>
          <w:jc w:val="center"/>
        </w:trPr>
        <w:tc>
          <w:tcPr>
            <w:tcW w:w="555" w:type="dxa"/>
            <w:vAlign w:val="center"/>
          </w:tcPr>
          <w:p w:rsidR="00F14AEA" w:rsidRDefault="00EC6028">
            <w:pPr>
              <w:jc w:val="center"/>
            </w:pPr>
            <w:r>
              <w:rPr>
                <w:color w:val="000000"/>
                <w:szCs w:val="21"/>
              </w:rPr>
              <w:t>2</w:t>
            </w:r>
          </w:p>
        </w:tc>
        <w:tc>
          <w:tcPr>
            <w:tcW w:w="2378" w:type="dxa"/>
            <w:vAlign w:val="center"/>
          </w:tcPr>
          <w:p w:rsidR="00F14AEA" w:rsidRDefault="00EC6028">
            <w:pPr>
              <w:jc w:val="center"/>
            </w:pPr>
            <w:r>
              <w:rPr>
                <w:color w:val="000000"/>
                <w:szCs w:val="21"/>
              </w:rPr>
              <w:t>Zijin Mining Group Company Limited</w:t>
            </w:r>
          </w:p>
        </w:tc>
        <w:tc>
          <w:tcPr>
            <w:tcW w:w="2552" w:type="dxa"/>
            <w:vAlign w:val="center"/>
          </w:tcPr>
          <w:p w:rsidR="00F14AEA" w:rsidRDefault="00EC6028">
            <w:pPr>
              <w:jc w:val="center"/>
            </w:pPr>
            <w:r>
              <w:rPr>
                <w:color w:val="000000"/>
                <w:szCs w:val="21"/>
              </w:rPr>
              <w:t>2899 HK</w:t>
            </w:r>
          </w:p>
        </w:tc>
        <w:tc>
          <w:tcPr>
            <w:tcW w:w="2130" w:type="dxa"/>
            <w:vAlign w:val="center"/>
          </w:tcPr>
          <w:p w:rsidR="00F14AEA" w:rsidRDefault="00EC6028">
            <w:pPr>
              <w:jc w:val="right"/>
            </w:pPr>
            <w:r>
              <w:rPr>
                <w:color w:val="000000"/>
                <w:szCs w:val="21"/>
              </w:rPr>
              <w:t>7,914,980.36</w:t>
            </w:r>
          </w:p>
        </w:tc>
        <w:tc>
          <w:tcPr>
            <w:tcW w:w="1650" w:type="dxa"/>
            <w:vAlign w:val="center"/>
          </w:tcPr>
          <w:p w:rsidR="00F14AEA" w:rsidRDefault="00EC6028">
            <w:pPr>
              <w:jc w:val="right"/>
            </w:pPr>
            <w:r>
              <w:rPr>
                <w:color w:val="000000"/>
                <w:szCs w:val="21"/>
              </w:rPr>
              <w:t>2.96</w:t>
            </w:r>
          </w:p>
        </w:tc>
      </w:tr>
      <w:tr w:rsidR="00F14AEA">
        <w:trPr>
          <w:jc w:val="center"/>
        </w:trPr>
        <w:tc>
          <w:tcPr>
            <w:tcW w:w="555" w:type="dxa"/>
            <w:vAlign w:val="center"/>
          </w:tcPr>
          <w:p w:rsidR="00F14AEA" w:rsidRDefault="00EC6028">
            <w:pPr>
              <w:jc w:val="center"/>
            </w:pPr>
            <w:r>
              <w:rPr>
                <w:color w:val="000000"/>
                <w:szCs w:val="21"/>
              </w:rPr>
              <w:t>3</w:t>
            </w:r>
          </w:p>
        </w:tc>
        <w:tc>
          <w:tcPr>
            <w:tcW w:w="2378" w:type="dxa"/>
            <w:vAlign w:val="center"/>
          </w:tcPr>
          <w:p w:rsidR="00F14AEA" w:rsidRDefault="00EC6028">
            <w:pPr>
              <w:jc w:val="center"/>
            </w:pPr>
            <w:r>
              <w:rPr>
                <w:color w:val="000000"/>
                <w:szCs w:val="21"/>
              </w:rPr>
              <w:t>Jiangxi Copper Company Limited</w:t>
            </w:r>
          </w:p>
        </w:tc>
        <w:tc>
          <w:tcPr>
            <w:tcW w:w="2552" w:type="dxa"/>
            <w:vAlign w:val="center"/>
          </w:tcPr>
          <w:p w:rsidR="00F14AEA" w:rsidRDefault="00EC6028">
            <w:pPr>
              <w:jc w:val="center"/>
            </w:pPr>
            <w:r>
              <w:rPr>
                <w:color w:val="000000"/>
                <w:szCs w:val="21"/>
              </w:rPr>
              <w:t>358 HK</w:t>
            </w:r>
          </w:p>
        </w:tc>
        <w:tc>
          <w:tcPr>
            <w:tcW w:w="2130" w:type="dxa"/>
            <w:vAlign w:val="center"/>
          </w:tcPr>
          <w:p w:rsidR="00F14AEA" w:rsidRDefault="00EC6028">
            <w:pPr>
              <w:jc w:val="right"/>
            </w:pPr>
            <w:r>
              <w:rPr>
                <w:color w:val="000000"/>
                <w:szCs w:val="21"/>
              </w:rPr>
              <w:t>7,597,152.32</w:t>
            </w:r>
          </w:p>
        </w:tc>
        <w:tc>
          <w:tcPr>
            <w:tcW w:w="1650" w:type="dxa"/>
            <w:vAlign w:val="center"/>
          </w:tcPr>
          <w:p w:rsidR="00F14AEA" w:rsidRDefault="00EC6028">
            <w:pPr>
              <w:jc w:val="right"/>
            </w:pPr>
            <w:r>
              <w:rPr>
                <w:color w:val="000000"/>
                <w:szCs w:val="21"/>
              </w:rPr>
              <w:t>2.84</w:t>
            </w:r>
          </w:p>
        </w:tc>
      </w:tr>
      <w:tr w:rsidR="00F14AEA">
        <w:trPr>
          <w:jc w:val="center"/>
        </w:trPr>
        <w:tc>
          <w:tcPr>
            <w:tcW w:w="555" w:type="dxa"/>
            <w:vAlign w:val="center"/>
          </w:tcPr>
          <w:p w:rsidR="00F14AEA" w:rsidRDefault="00EC6028">
            <w:pPr>
              <w:jc w:val="center"/>
            </w:pPr>
            <w:r>
              <w:rPr>
                <w:color w:val="000000"/>
                <w:szCs w:val="21"/>
              </w:rPr>
              <w:t>4</w:t>
            </w:r>
          </w:p>
        </w:tc>
        <w:tc>
          <w:tcPr>
            <w:tcW w:w="2378" w:type="dxa"/>
            <w:vAlign w:val="center"/>
          </w:tcPr>
          <w:p w:rsidR="00F14AEA" w:rsidRDefault="00EC6028">
            <w:pPr>
              <w:jc w:val="center"/>
            </w:pPr>
            <w:r>
              <w:rPr>
                <w:color w:val="000000"/>
                <w:szCs w:val="21"/>
              </w:rPr>
              <w:t>Glencore plc</w:t>
            </w:r>
          </w:p>
        </w:tc>
        <w:tc>
          <w:tcPr>
            <w:tcW w:w="2552" w:type="dxa"/>
            <w:vAlign w:val="center"/>
          </w:tcPr>
          <w:p w:rsidR="00F14AEA" w:rsidRDefault="00EC6028">
            <w:pPr>
              <w:jc w:val="center"/>
            </w:pPr>
            <w:r>
              <w:rPr>
                <w:color w:val="000000"/>
                <w:szCs w:val="21"/>
              </w:rPr>
              <w:t>GLEN LN</w:t>
            </w:r>
          </w:p>
        </w:tc>
        <w:tc>
          <w:tcPr>
            <w:tcW w:w="2130" w:type="dxa"/>
            <w:vAlign w:val="center"/>
          </w:tcPr>
          <w:p w:rsidR="00F14AEA" w:rsidRDefault="00EC6028">
            <w:pPr>
              <w:jc w:val="right"/>
            </w:pPr>
            <w:r>
              <w:rPr>
                <w:color w:val="000000"/>
                <w:szCs w:val="21"/>
              </w:rPr>
              <w:t>4,863,856.79</w:t>
            </w:r>
          </w:p>
        </w:tc>
        <w:tc>
          <w:tcPr>
            <w:tcW w:w="1650" w:type="dxa"/>
            <w:vAlign w:val="center"/>
          </w:tcPr>
          <w:p w:rsidR="00F14AEA" w:rsidRDefault="00EC6028">
            <w:pPr>
              <w:jc w:val="right"/>
            </w:pPr>
            <w:r>
              <w:rPr>
                <w:color w:val="000000"/>
                <w:szCs w:val="21"/>
              </w:rPr>
              <w:t>1.82</w:t>
            </w:r>
          </w:p>
        </w:tc>
      </w:tr>
      <w:tr w:rsidR="00F14AEA">
        <w:trPr>
          <w:jc w:val="center"/>
        </w:trPr>
        <w:tc>
          <w:tcPr>
            <w:tcW w:w="555" w:type="dxa"/>
            <w:vAlign w:val="center"/>
          </w:tcPr>
          <w:p w:rsidR="00F14AEA" w:rsidRDefault="00EC6028">
            <w:pPr>
              <w:jc w:val="center"/>
            </w:pPr>
            <w:r>
              <w:rPr>
                <w:color w:val="000000"/>
                <w:szCs w:val="21"/>
              </w:rPr>
              <w:t>5</w:t>
            </w:r>
          </w:p>
        </w:tc>
        <w:tc>
          <w:tcPr>
            <w:tcW w:w="2378" w:type="dxa"/>
            <w:vAlign w:val="center"/>
          </w:tcPr>
          <w:p w:rsidR="00F14AEA" w:rsidRDefault="00EC6028">
            <w:pPr>
              <w:jc w:val="center"/>
            </w:pPr>
            <w:r>
              <w:rPr>
                <w:color w:val="000000"/>
                <w:szCs w:val="21"/>
              </w:rPr>
              <w:t>Freeport-McMoRan Inc</w:t>
            </w:r>
          </w:p>
        </w:tc>
        <w:tc>
          <w:tcPr>
            <w:tcW w:w="2552" w:type="dxa"/>
            <w:vAlign w:val="center"/>
          </w:tcPr>
          <w:p w:rsidR="00F14AEA" w:rsidRDefault="00EC6028">
            <w:pPr>
              <w:jc w:val="center"/>
            </w:pPr>
            <w:r>
              <w:rPr>
                <w:color w:val="000000"/>
                <w:szCs w:val="21"/>
              </w:rPr>
              <w:t>FCX US</w:t>
            </w:r>
          </w:p>
        </w:tc>
        <w:tc>
          <w:tcPr>
            <w:tcW w:w="2130" w:type="dxa"/>
            <w:vAlign w:val="center"/>
          </w:tcPr>
          <w:p w:rsidR="00F14AEA" w:rsidRDefault="00EC6028">
            <w:pPr>
              <w:jc w:val="right"/>
            </w:pPr>
            <w:r>
              <w:rPr>
                <w:color w:val="000000"/>
                <w:szCs w:val="21"/>
              </w:rPr>
              <w:t>4,823,750.27</w:t>
            </w:r>
          </w:p>
        </w:tc>
        <w:tc>
          <w:tcPr>
            <w:tcW w:w="1650" w:type="dxa"/>
            <w:vAlign w:val="center"/>
          </w:tcPr>
          <w:p w:rsidR="00F14AEA" w:rsidRDefault="00EC6028">
            <w:pPr>
              <w:jc w:val="right"/>
            </w:pPr>
            <w:r>
              <w:rPr>
                <w:color w:val="000000"/>
                <w:szCs w:val="21"/>
              </w:rPr>
              <w:t>1.81</w:t>
            </w:r>
          </w:p>
        </w:tc>
      </w:tr>
      <w:tr w:rsidR="00F14AEA">
        <w:trPr>
          <w:jc w:val="center"/>
        </w:trPr>
        <w:tc>
          <w:tcPr>
            <w:tcW w:w="555" w:type="dxa"/>
            <w:vAlign w:val="center"/>
          </w:tcPr>
          <w:p w:rsidR="00F14AEA" w:rsidRDefault="00EC6028">
            <w:pPr>
              <w:jc w:val="center"/>
            </w:pPr>
            <w:r>
              <w:rPr>
                <w:color w:val="000000"/>
                <w:szCs w:val="21"/>
              </w:rPr>
              <w:t>6</w:t>
            </w:r>
          </w:p>
        </w:tc>
        <w:tc>
          <w:tcPr>
            <w:tcW w:w="2378" w:type="dxa"/>
            <w:vAlign w:val="center"/>
          </w:tcPr>
          <w:p w:rsidR="00F14AEA" w:rsidRDefault="00EC6028">
            <w:pPr>
              <w:jc w:val="center"/>
            </w:pPr>
            <w:r>
              <w:rPr>
                <w:color w:val="000000"/>
                <w:szCs w:val="21"/>
              </w:rPr>
              <w:t>Agnico Eagle Mines Ltd</w:t>
            </w:r>
          </w:p>
        </w:tc>
        <w:tc>
          <w:tcPr>
            <w:tcW w:w="2552" w:type="dxa"/>
            <w:vAlign w:val="center"/>
          </w:tcPr>
          <w:p w:rsidR="00F14AEA" w:rsidRDefault="00EC6028">
            <w:pPr>
              <w:jc w:val="center"/>
            </w:pPr>
            <w:r>
              <w:rPr>
                <w:color w:val="000000"/>
                <w:szCs w:val="21"/>
              </w:rPr>
              <w:t>AEM US</w:t>
            </w:r>
          </w:p>
        </w:tc>
        <w:tc>
          <w:tcPr>
            <w:tcW w:w="2130" w:type="dxa"/>
            <w:vAlign w:val="center"/>
          </w:tcPr>
          <w:p w:rsidR="00F14AEA" w:rsidRDefault="00EC6028">
            <w:pPr>
              <w:jc w:val="right"/>
            </w:pPr>
            <w:r>
              <w:rPr>
                <w:color w:val="000000"/>
                <w:szCs w:val="21"/>
              </w:rPr>
              <w:t>4,402,277.01</w:t>
            </w:r>
          </w:p>
        </w:tc>
        <w:tc>
          <w:tcPr>
            <w:tcW w:w="1650" w:type="dxa"/>
            <w:vAlign w:val="center"/>
          </w:tcPr>
          <w:p w:rsidR="00F14AEA" w:rsidRDefault="00EC6028">
            <w:pPr>
              <w:jc w:val="right"/>
            </w:pPr>
            <w:r>
              <w:rPr>
                <w:color w:val="000000"/>
                <w:szCs w:val="21"/>
              </w:rPr>
              <w:t>1.65</w:t>
            </w:r>
          </w:p>
        </w:tc>
      </w:tr>
      <w:tr w:rsidR="00F14AEA">
        <w:trPr>
          <w:jc w:val="center"/>
        </w:trPr>
        <w:tc>
          <w:tcPr>
            <w:tcW w:w="555" w:type="dxa"/>
            <w:vAlign w:val="center"/>
          </w:tcPr>
          <w:p w:rsidR="00F14AEA" w:rsidRDefault="00EC6028">
            <w:pPr>
              <w:jc w:val="center"/>
            </w:pPr>
            <w:r>
              <w:rPr>
                <w:color w:val="000000"/>
                <w:szCs w:val="21"/>
              </w:rPr>
              <w:t>7</w:t>
            </w:r>
          </w:p>
        </w:tc>
        <w:tc>
          <w:tcPr>
            <w:tcW w:w="2378" w:type="dxa"/>
            <w:vAlign w:val="center"/>
          </w:tcPr>
          <w:p w:rsidR="00F14AEA" w:rsidRDefault="00EC6028">
            <w:pPr>
              <w:jc w:val="center"/>
            </w:pPr>
            <w:r>
              <w:rPr>
                <w:color w:val="000000"/>
                <w:szCs w:val="21"/>
              </w:rPr>
              <w:t>Evolution Mining Ltd</w:t>
            </w:r>
          </w:p>
        </w:tc>
        <w:tc>
          <w:tcPr>
            <w:tcW w:w="2552" w:type="dxa"/>
            <w:vAlign w:val="center"/>
          </w:tcPr>
          <w:p w:rsidR="00F14AEA" w:rsidRDefault="00EC6028">
            <w:pPr>
              <w:jc w:val="center"/>
            </w:pPr>
            <w:r>
              <w:rPr>
                <w:color w:val="000000"/>
                <w:szCs w:val="21"/>
              </w:rPr>
              <w:t>EVN AU</w:t>
            </w:r>
          </w:p>
        </w:tc>
        <w:tc>
          <w:tcPr>
            <w:tcW w:w="2130" w:type="dxa"/>
            <w:vAlign w:val="center"/>
          </w:tcPr>
          <w:p w:rsidR="00F14AEA" w:rsidRDefault="00EC6028">
            <w:pPr>
              <w:jc w:val="right"/>
            </w:pPr>
            <w:r>
              <w:rPr>
                <w:color w:val="000000"/>
                <w:szCs w:val="21"/>
              </w:rPr>
              <w:t>4,248,761.74</w:t>
            </w:r>
          </w:p>
        </w:tc>
        <w:tc>
          <w:tcPr>
            <w:tcW w:w="1650" w:type="dxa"/>
            <w:vAlign w:val="center"/>
          </w:tcPr>
          <w:p w:rsidR="00F14AEA" w:rsidRDefault="00EC6028">
            <w:pPr>
              <w:jc w:val="right"/>
            </w:pPr>
            <w:r>
              <w:rPr>
                <w:color w:val="000000"/>
                <w:szCs w:val="21"/>
              </w:rPr>
              <w:t>1.59</w:t>
            </w:r>
          </w:p>
        </w:tc>
      </w:tr>
      <w:tr w:rsidR="00F14AEA">
        <w:trPr>
          <w:jc w:val="center"/>
        </w:trPr>
        <w:tc>
          <w:tcPr>
            <w:tcW w:w="555" w:type="dxa"/>
            <w:vAlign w:val="center"/>
          </w:tcPr>
          <w:p w:rsidR="00F14AEA" w:rsidRDefault="00EC6028">
            <w:pPr>
              <w:jc w:val="center"/>
            </w:pPr>
            <w:r>
              <w:rPr>
                <w:color w:val="000000"/>
                <w:szCs w:val="21"/>
              </w:rPr>
              <w:t>8</w:t>
            </w:r>
          </w:p>
        </w:tc>
        <w:tc>
          <w:tcPr>
            <w:tcW w:w="2378" w:type="dxa"/>
            <w:vAlign w:val="center"/>
          </w:tcPr>
          <w:p w:rsidR="00F14AEA" w:rsidRDefault="00EC6028">
            <w:pPr>
              <w:jc w:val="center"/>
            </w:pPr>
            <w:r>
              <w:rPr>
                <w:color w:val="000000"/>
                <w:szCs w:val="21"/>
              </w:rPr>
              <w:t>Newcrest Mining Ltd</w:t>
            </w:r>
          </w:p>
        </w:tc>
        <w:tc>
          <w:tcPr>
            <w:tcW w:w="2552" w:type="dxa"/>
            <w:vAlign w:val="center"/>
          </w:tcPr>
          <w:p w:rsidR="00F14AEA" w:rsidRDefault="00EC6028">
            <w:pPr>
              <w:jc w:val="center"/>
            </w:pPr>
            <w:r>
              <w:rPr>
                <w:color w:val="000000"/>
                <w:szCs w:val="21"/>
              </w:rPr>
              <w:t>NCM AU</w:t>
            </w:r>
          </w:p>
        </w:tc>
        <w:tc>
          <w:tcPr>
            <w:tcW w:w="2130" w:type="dxa"/>
            <w:vAlign w:val="center"/>
          </w:tcPr>
          <w:p w:rsidR="00F14AEA" w:rsidRDefault="00EC6028">
            <w:pPr>
              <w:jc w:val="right"/>
            </w:pPr>
            <w:r>
              <w:rPr>
                <w:color w:val="000000"/>
                <w:szCs w:val="21"/>
              </w:rPr>
              <w:t>3,813,392.35</w:t>
            </w:r>
          </w:p>
        </w:tc>
        <w:tc>
          <w:tcPr>
            <w:tcW w:w="1650" w:type="dxa"/>
            <w:vAlign w:val="center"/>
          </w:tcPr>
          <w:p w:rsidR="00F14AEA" w:rsidRDefault="00EC6028">
            <w:pPr>
              <w:jc w:val="right"/>
            </w:pPr>
            <w:r>
              <w:rPr>
                <w:color w:val="000000"/>
                <w:szCs w:val="21"/>
              </w:rPr>
              <w:t>1.43</w:t>
            </w:r>
          </w:p>
        </w:tc>
      </w:tr>
      <w:tr w:rsidR="00F14AEA">
        <w:trPr>
          <w:jc w:val="center"/>
        </w:trPr>
        <w:tc>
          <w:tcPr>
            <w:tcW w:w="555" w:type="dxa"/>
            <w:vAlign w:val="center"/>
          </w:tcPr>
          <w:p w:rsidR="00F14AEA" w:rsidRDefault="00EC6028">
            <w:pPr>
              <w:jc w:val="center"/>
            </w:pPr>
            <w:r>
              <w:rPr>
                <w:color w:val="000000"/>
                <w:szCs w:val="21"/>
              </w:rPr>
              <w:t>9</w:t>
            </w:r>
          </w:p>
        </w:tc>
        <w:tc>
          <w:tcPr>
            <w:tcW w:w="2378" w:type="dxa"/>
            <w:vAlign w:val="center"/>
          </w:tcPr>
          <w:p w:rsidR="00F14AEA" w:rsidRDefault="00EC6028">
            <w:pPr>
              <w:jc w:val="center"/>
            </w:pPr>
            <w:r>
              <w:rPr>
                <w:color w:val="000000"/>
                <w:szCs w:val="21"/>
              </w:rPr>
              <w:t>Centerra Gold Inc</w:t>
            </w:r>
          </w:p>
        </w:tc>
        <w:tc>
          <w:tcPr>
            <w:tcW w:w="2552" w:type="dxa"/>
            <w:vAlign w:val="center"/>
          </w:tcPr>
          <w:p w:rsidR="00F14AEA" w:rsidRDefault="00EC6028">
            <w:pPr>
              <w:jc w:val="center"/>
            </w:pPr>
            <w:r>
              <w:rPr>
                <w:color w:val="000000"/>
                <w:szCs w:val="21"/>
              </w:rPr>
              <w:t>CG CN</w:t>
            </w:r>
          </w:p>
        </w:tc>
        <w:tc>
          <w:tcPr>
            <w:tcW w:w="2130" w:type="dxa"/>
            <w:vAlign w:val="center"/>
          </w:tcPr>
          <w:p w:rsidR="00F14AEA" w:rsidRDefault="00EC6028">
            <w:pPr>
              <w:jc w:val="right"/>
            </w:pPr>
            <w:r>
              <w:rPr>
                <w:color w:val="000000"/>
                <w:szCs w:val="21"/>
              </w:rPr>
              <w:t>3,753,795.16</w:t>
            </w:r>
          </w:p>
        </w:tc>
        <w:tc>
          <w:tcPr>
            <w:tcW w:w="1650" w:type="dxa"/>
            <w:vAlign w:val="center"/>
          </w:tcPr>
          <w:p w:rsidR="00F14AEA" w:rsidRDefault="00EC6028">
            <w:pPr>
              <w:jc w:val="right"/>
            </w:pPr>
            <w:r>
              <w:rPr>
                <w:color w:val="000000"/>
                <w:szCs w:val="21"/>
              </w:rPr>
              <w:t>1.40</w:t>
            </w:r>
          </w:p>
        </w:tc>
      </w:tr>
      <w:tr w:rsidR="00F14AEA">
        <w:trPr>
          <w:jc w:val="center"/>
        </w:trPr>
        <w:tc>
          <w:tcPr>
            <w:tcW w:w="555" w:type="dxa"/>
            <w:vAlign w:val="center"/>
          </w:tcPr>
          <w:p w:rsidR="00F14AEA" w:rsidRDefault="00EC6028">
            <w:pPr>
              <w:jc w:val="center"/>
            </w:pPr>
            <w:r>
              <w:rPr>
                <w:color w:val="000000"/>
                <w:szCs w:val="21"/>
              </w:rPr>
              <w:t>10</w:t>
            </w:r>
          </w:p>
        </w:tc>
        <w:tc>
          <w:tcPr>
            <w:tcW w:w="2378" w:type="dxa"/>
            <w:vAlign w:val="center"/>
          </w:tcPr>
          <w:p w:rsidR="00F14AEA" w:rsidRDefault="00EC6028">
            <w:pPr>
              <w:jc w:val="center"/>
            </w:pPr>
            <w:r>
              <w:rPr>
                <w:color w:val="000000"/>
                <w:szCs w:val="21"/>
              </w:rPr>
              <w:t>Saracen Mineral Holdings Ltd.</w:t>
            </w:r>
          </w:p>
        </w:tc>
        <w:tc>
          <w:tcPr>
            <w:tcW w:w="2552" w:type="dxa"/>
            <w:vAlign w:val="center"/>
          </w:tcPr>
          <w:p w:rsidR="00F14AEA" w:rsidRDefault="00EC6028">
            <w:pPr>
              <w:jc w:val="center"/>
            </w:pPr>
            <w:r>
              <w:rPr>
                <w:color w:val="000000"/>
                <w:szCs w:val="21"/>
              </w:rPr>
              <w:t>SAR AU</w:t>
            </w:r>
          </w:p>
        </w:tc>
        <w:tc>
          <w:tcPr>
            <w:tcW w:w="2130" w:type="dxa"/>
            <w:vAlign w:val="center"/>
          </w:tcPr>
          <w:p w:rsidR="00F14AEA" w:rsidRDefault="00EC6028">
            <w:pPr>
              <w:jc w:val="right"/>
            </w:pPr>
            <w:r>
              <w:rPr>
                <w:color w:val="000000"/>
                <w:szCs w:val="21"/>
              </w:rPr>
              <w:t>3,697,355.85</w:t>
            </w:r>
          </w:p>
        </w:tc>
        <w:tc>
          <w:tcPr>
            <w:tcW w:w="1650" w:type="dxa"/>
            <w:vAlign w:val="center"/>
          </w:tcPr>
          <w:p w:rsidR="00F14AEA" w:rsidRDefault="00EC6028">
            <w:pPr>
              <w:jc w:val="right"/>
            </w:pPr>
            <w:r>
              <w:rPr>
                <w:color w:val="000000"/>
                <w:szCs w:val="21"/>
              </w:rPr>
              <w:t>1.38</w:t>
            </w:r>
          </w:p>
        </w:tc>
      </w:tr>
      <w:tr w:rsidR="00F14AEA">
        <w:trPr>
          <w:jc w:val="center"/>
        </w:trPr>
        <w:tc>
          <w:tcPr>
            <w:tcW w:w="555" w:type="dxa"/>
            <w:vAlign w:val="center"/>
          </w:tcPr>
          <w:p w:rsidR="00F14AEA" w:rsidRDefault="00EC6028">
            <w:pPr>
              <w:jc w:val="center"/>
            </w:pPr>
            <w:r>
              <w:rPr>
                <w:color w:val="000000"/>
                <w:szCs w:val="21"/>
              </w:rPr>
              <w:t>11</w:t>
            </w:r>
          </w:p>
        </w:tc>
        <w:tc>
          <w:tcPr>
            <w:tcW w:w="2378" w:type="dxa"/>
            <w:vAlign w:val="center"/>
          </w:tcPr>
          <w:p w:rsidR="00F14AEA" w:rsidRDefault="00EC6028">
            <w:pPr>
              <w:jc w:val="center"/>
            </w:pPr>
            <w:r>
              <w:rPr>
                <w:color w:val="000000"/>
                <w:szCs w:val="21"/>
              </w:rPr>
              <w:t>Barrick Gold Corp</w:t>
            </w:r>
          </w:p>
        </w:tc>
        <w:tc>
          <w:tcPr>
            <w:tcW w:w="2552" w:type="dxa"/>
            <w:vAlign w:val="center"/>
          </w:tcPr>
          <w:p w:rsidR="00F14AEA" w:rsidRDefault="00EC6028">
            <w:pPr>
              <w:jc w:val="center"/>
            </w:pPr>
            <w:r>
              <w:rPr>
                <w:color w:val="000000"/>
                <w:szCs w:val="21"/>
              </w:rPr>
              <w:t>GOLD US</w:t>
            </w:r>
          </w:p>
        </w:tc>
        <w:tc>
          <w:tcPr>
            <w:tcW w:w="2130" w:type="dxa"/>
            <w:vAlign w:val="center"/>
          </w:tcPr>
          <w:p w:rsidR="00F14AEA" w:rsidRDefault="00EC6028">
            <w:pPr>
              <w:jc w:val="right"/>
            </w:pPr>
            <w:r>
              <w:rPr>
                <w:color w:val="000000"/>
                <w:szCs w:val="21"/>
              </w:rPr>
              <w:t>3,634,326.70</w:t>
            </w:r>
          </w:p>
        </w:tc>
        <w:tc>
          <w:tcPr>
            <w:tcW w:w="1650" w:type="dxa"/>
            <w:vAlign w:val="center"/>
          </w:tcPr>
          <w:p w:rsidR="00F14AEA" w:rsidRDefault="00EC6028">
            <w:pPr>
              <w:jc w:val="right"/>
            </w:pPr>
            <w:r>
              <w:rPr>
                <w:color w:val="000000"/>
                <w:szCs w:val="21"/>
              </w:rPr>
              <w:t>1.36</w:t>
            </w:r>
          </w:p>
        </w:tc>
      </w:tr>
      <w:tr w:rsidR="00F14AEA">
        <w:trPr>
          <w:jc w:val="center"/>
        </w:trPr>
        <w:tc>
          <w:tcPr>
            <w:tcW w:w="555" w:type="dxa"/>
            <w:vAlign w:val="center"/>
          </w:tcPr>
          <w:p w:rsidR="00F14AEA" w:rsidRDefault="00EC6028">
            <w:pPr>
              <w:jc w:val="center"/>
            </w:pPr>
            <w:r>
              <w:rPr>
                <w:color w:val="000000"/>
                <w:szCs w:val="21"/>
              </w:rPr>
              <w:t>12</w:t>
            </w:r>
          </w:p>
        </w:tc>
        <w:tc>
          <w:tcPr>
            <w:tcW w:w="2378" w:type="dxa"/>
            <w:vAlign w:val="center"/>
          </w:tcPr>
          <w:p w:rsidR="00F14AEA" w:rsidRDefault="00EC6028">
            <w:pPr>
              <w:jc w:val="center"/>
            </w:pPr>
            <w:r>
              <w:rPr>
                <w:color w:val="000000"/>
                <w:szCs w:val="21"/>
              </w:rPr>
              <w:t>Pretium Resources Inc</w:t>
            </w:r>
          </w:p>
        </w:tc>
        <w:tc>
          <w:tcPr>
            <w:tcW w:w="2552" w:type="dxa"/>
            <w:vAlign w:val="center"/>
          </w:tcPr>
          <w:p w:rsidR="00F14AEA" w:rsidRDefault="00EC6028">
            <w:pPr>
              <w:jc w:val="center"/>
            </w:pPr>
            <w:r>
              <w:rPr>
                <w:color w:val="000000"/>
                <w:szCs w:val="21"/>
              </w:rPr>
              <w:t>PVG CN</w:t>
            </w:r>
          </w:p>
        </w:tc>
        <w:tc>
          <w:tcPr>
            <w:tcW w:w="2130" w:type="dxa"/>
            <w:vAlign w:val="center"/>
          </w:tcPr>
          <w:p w:rsidR="00F14AEA" w:rsidRDefault="00EC6028">
            <w:pPr>
              <w:jc w:val="right"/>
            </w:pPr>
            <w:r>
              <w:rPr>
                <w:color w:val="000000"/>
                <w:szCs w:val="21"/>
              </w:rPr>
              <w:t>3,629,879.81</w:t>
            </w:r>
          </w:p>
        </w:tc>
        <w:tc>
          <w:tcPr>
            <w:tcW w:w="1650" w:type="dxa"/>
            <w:vAlign w:val="center"/>
          </w:tcPr>
          <w:p w:rsidR="00F14AEA" w:rsidRDefault="00EC6028">
            <w:pPr>
              <w:jc w:val="right"/>
            </w:pPr>
            <w:r>
              <w:rPr>
                <w:color w:val="000000"/>
                <w:szCs w:val="21"/>
              </w:rPr>
              <w:t>1.36</w:t>
            </w:r>
          </w:p>
        </w:tc>
      </w:tr>
      <w:tr w:rsidR="00F14AEA">
        <w:trPr>
          <w:jc w:val="center"/>
        </w:trPr>
        <w:tc>
          <w:tcPr>
            <w:tcW w:w="555" w:type="dxa"/>
            <w:vAlign w:val="center"/>
          </w:tcPr>
          <w:p w:rsidR="00F14AEA" w:rsidRDefault="00EC6028">
            <w:pPr>
              <w:jc w:val="center"/>
            </w:pPr>
            <w:r>
              <w:rPr>
                <w:color w:val="000000"/>
                <w:szCs w:val="21"/>
              </w:rPr>
              <w:t>13</w:t>
            </w:r>
          </w:p>
        </w:tc>
        <w:tc>
          <w:tcPr>
            <w:tcW w:w="2378" w:type="dxa"/>
            <w:vAlign w:val="center"/>
          </w:tcPr>
          <w:p w:rsidR="00F14AEA" w:rsidRDefault="00EC6028">
            <w:pPr>
              <w:jc w:val="center"/>
            </w:pPr>
            <w:r>
              <w:rPr>
                <w:color w:val="000000"/>
                <w:szCs w:val="21"/>
              </w:rPr>
              <w:t>Kirkland Lake Gold Ltd</w:t>
            </w:r>
          </w:p>
        </w:tc>
        <w:tc>
          <w:tcPr>
            <w:tcW w:w="2552" w:type="dxa"/>
            <w:vAlign w:val="center"/>
          </w:tcPr>
          <w:p w:rsidR="00F14AEA" w:rsidRDefault="00EC6028">
            <w:pPr>
              <w:jc w:val="center"/>
            </w:pPr>
            <w:r>
              <w:rPr>
                <w:color w:val="000000"/>
                <w:szCs w:val="21"/>
              </w:rPr>
              <w:t>KL US</w:t>
            </w:r>
          </w:p>
        </w:tc>
        <w:tc>
          <w:tcPr>
            <w:tcW w:w="2130" w:type="dxa"/>
            <w:vAlign w:val="center"/>
          </w:tcPr>
          <w:p w:rsidR="00F14AEA" w:rsidRDefault="00EC6028">
            <w:pPr>
              <w:jc w:val="right"/>
            </w:pPr>
            <w:r>
              <w:rPr>
                <w:color w:val="000000"/>
                <w:szCs w:val="21"/>
              </w:rPr>
              <w:t>3,375,838.69</w:t>
            </w:r>
          </w:p>
        </w:tc>
        <w:tc>
          <w:tcPr>
            <w:tcW w:w="1650" w:type="dxa"/>
            <w:vAlign w:val="center"/>
          </w:tcPr>
          <w:p w:rsidR="00F14AEA" w:rsidRDefault="00EC6028">
            <w:pPr>
              <w:jc w:val="right"/>
            </w:pPr>
            <w:r>
              <w:rPr>
                <w:color w:val="000000"/>
                <w:szCs w:val="21"/>
              </w:rPr>
              <w:t>1.26</w:t>
            </w:r>
          </w:p>
        </w:tc>
      </w:tr>
      <w:tr w:rsidR="00F14AEA">
        <w:trPr>
          <w:jc w:val="center"/>
        </w:trPr>
        <w:tc>
          <w:tcPr>
            <w:tcW w:w="555" w:type="dxa"/>
            <w:vAlign w:val="center"/>
          </w:tcPr>
          <w:p w:rsidR="00F14AEA" w:rsidRDefault="00EC6028">
            <w:pPr>
              <w:jc w:val="center"/>
            </w:pPr>
            <w:r>
              <w:rPr>
                <w:color w:val="000000"/>
                <w:szCs w:val="21"/>
              </w:rPr>
              <w:t>14</w:t>
            </w:r>
          </w:p>
        </w:tc>
        <w:tc>
          <w:tcPr>
            <w:tcW w:w="2378" w:type="dxa"/>
            <w:vAlign w:val="center"/>
          </w:tcPr>
          <w:p w:rsidR="00F14AEA" w:rsidRDefault="00EC6028">
            <w:pPr>
              <w:jc w:val="center"/>
            </w:pPr>
            <w:r>
              <w:rPr>
                <w:color w:val="000000"/>
                <w:szCs w:val="21"/>
              </w:rPr>
              <w:t>SEMAFO Inc</w:t>
            </w:r>
          </w:p>
        </w:tc>
        <w:tc>
          <w:tcPr>
            <w:tcW w:w="2552" w:type="dxa"/>
            <w:vAlign w:val="center"/>
          </w:tcPr>
          <w:p w:rsidR="00F14AEA" w:rsidRDefault="00EC6028">
            <w:pPr>
              <w:jc w:val="center"/>
            </w:pPr>
            <w:r>
              <w:rPr>
                <w:color w:val="000000"/>
                <w:szCs w:val="21"/>
              </w:rPr>
              <w:t>SMF CN</w:t>
            </w:r>
          </w:p>
        </w:tc>
        <w:tc>
          <w:tcPr>
            <w:tcW w:w="2130" w:type="dxa"/>
            <w:vAlign w:val="center"/>
          </w:tcPr>
          <w:p w:rsidR="00F14AEA" w:rsidRDefault="00EC6028">
            <w:pPr>
              <w:jc w:val="right"/>
            </w:pPr>
            <w:r>
              <w:rPr>
                <w:color w:val="000000"/>
                <w:szCs w:val="21"/>
              </w:rPr>
              <w:t>3,285,042.24</w:t>
            </w:r>
          </w:p>
        </w:tc>
        <w:tc>
          <w:tcPr>
            <w:tcW w:w="1650" w:type="dxa"/>
            <w:vAlign w:val="center"/>
          </w:tcPr>
          <w:p w:rsidR="00F14AEA" w:rsidRDefault="00EC6028">
            <w:pPr>
              <w:jc w:val="right"/>
            </w:pPr>
            <w:r>
              <w:rPr>
                <w:color w:val="000000"/>
                <w:szCs w:val="21"/>
              </w:rPr>
              <w:t>1.23</w:t>
            </w:r>
          </w:p>
        </w:tc>
      </w:tr>
      <w:tr w:rsidR="00F14AEA">
        <w:trPr>
          <w:jc w:val="center"/>
        </w:trPr>
        <w:tc>
          <w:tcPr>
            <w:tcW w:w="555" w:type="dxa"/>
            <w:vAlign w:val="center"/>
          </w:tcPr>
          <w:p w:rsidR="00F14AEA" w:rsidRDefault="00EC6028">
            <w:pPr>
              <w:jc w:val="center"/>
            </w:pPr>
            <w:r>
              <w:rPr>
                <w:color w:val="000000"/>
                <w:szCs w:val="21"/>
              </w:rPr>
              <w:t>15</w:t>
            </w:r>
          </w:p>
        </w:tc>
        <w:tc>
          <w:tcPr>
            <w:tcW w:w="2378" w:type="dxa"/>
            <w:vAlign w:val="center"/>
          </w:tcPr>
          <w:p w:rsidR="00F14AEA" w:rsidRDefault="00EC6028">
            <w:pPr>
              <w:jc w:val="center"/>
            </w:pPr>
            <w:r>
              <w:rPr>
                <w:color w:val="000000"/>
                <w:szCs w:val="21"/>
              </w:rPr>
              <w:t>Franco-Nevada Corp</w:t>
            </w:r>
          </w:p>
        </w:tc>
        <w:tc>
          <w:tcPr>
            <w:tcW w:w="2552" w:type="dxa"/>
            <w:vAlign w:val="center"/>
          </w:tcPr>
          <w:p w:rsidR="00F14AEA" w:rsidRDefault="00EC6028">
            <w:pPr>
              <w:jc w:val="center"/>
            </w:pPr>
            <w:r>
              <w:rPr>
                <w:color w:val="000000"/>
                <w:szCs w:val="21"/>
              </w:rPr>
              <w:t>FNV CN</w:t>
            </w:r>
          </w:p>
        </w:tc>
        <w:tc>
          <w:tcPr>
            <w:tcW w:w="2130" w:type="dxa"/>
            <w:vAlign w:val="center"/>
          </w:tcPr>
          <w:p w:rsidR="00F14AEA" w:rsidRDefault="00EC6028">
            <w:pPr>
              <w:jc w:val="right"/>
            </w:pPr>
            <w:r>
              <w:rPr>
                <w:color w:val="000000"/>
                <w:szCs w:val="21"/>
              </w:rPr>
              <w:t>3,073,681.41</w:t>
            </w:r>
          </w:p>
        </w:tc>
        <w:tc>
          <w:tcPr>
            <w:tcW w:w="1650" w:type="dxa"/>
            <w:vAlign w:val="center"/>
          </w:tcPr>
          <w:p w:rsidR="00F14AEA" w:rsidRDefault="00EC6028">
            <w:pPr>
              <w:jc w:val="right"/>
            </w:pPr>
            <w:r>
              <w:rPr>
                <w:color w:val="000000"/>
                <w:szCs w:val="21"/>
              </w:rPr>
              <w:t>1.15</w:t>
            </w:r>
          </w:p>
        </w:tc>
      </w:tr>
      <w:tr w:rsidR="00F14AEA">
        <w:trPr>
          <w:jc w:val="center"/>
        </w:trPr>
        <w:tc>
          <w:tcPr>
            <w:tcW w:w="555" w:type="dxa"/>
            <w:vAlign w:val="center"/>
          </w:tcPr>
          <w:p w:rsidR="00F14AEA" w:rsidRDefault="00EC6028">
            <w:pPr>
              <w:jc w:val="center"/>
            </w:pPr>
            <w:r>
              <w:rPr>
                <w:color w:val="000000"/>
                <w:szCs w:val="21"/>
              </w:rPr>
              <w:t>16</w:t>
            </w:r>
          </w:p>
        </w:tc>
        <w:tc>
          <w:tcPr>
            <w:tcW w:w="2378" w:type="dxa"/>
            <w:vAlign w:val="center"/>
          </w:tcPr>
          <w:p w:rsidR="00F14AEA" w:rsidRDefault="00EC6028">
            <w:pPr>
              <w:jc w:val="center"/>
            </w:pPr>
            <w:r>
              <w:rPr>
                <w:color w:val="000000"/>
                <w:szCs w:val="21"/>
              </w:rPr>
              <w:t>OceanaGold Corp</w:t>
            </w:r>
          </w:p>
        </w:tc>
        <w:tc>
          <w:tcPr>
            <w:tcW w:w="2552" w:type="dxa"/>
            <w:vAlign w:val="center"/>
          </w:tcPr>
          <w:p w:rsidR="00F14AEA" w:rsidRDefault="00EC6028">
            <w:pPr>
              <w:jc w:val="center"/>
            </w:pPr>
            <w:r>
              <w:rPr>
                <w:color w:val="000000"/>
                <w:szCs w:val="21"/>
              </w:rPr>
              <w:t>OGC CN</w:t>
            </w:r>
          </w:p>
        </w:tc>
        <w:tc>
          <w:tcPr>
            <w:tcW w:w="2130" w:type="dxa"/>
            <w:vAlign w:val="center"/>
          </w:tcPr>
          <w:p w:rsidR="00F14AEA" w:rsidRDefault="00EC6028">
            <w:pPr>
              <w:jc w:val="right"/>
            </w:pPr>
            <w:r>
              <w:rPr>
                <w:color w:val="000000"/>
                <w:szCs w:val="21"/>
              </w:rPr>
              <w:t>3,070,506.98</w:t>
            </w:r>
          </w:p>
        </w:tc>
        <w:tc>
          <w:tcPr>
            <w:tcW w:w="1650" w:type="dxa"/>
            <w:vAlign w:val="center"/>
          </w:tcPr>
          <w:p w:rsidR="00F14AEA" w:rsidRDefault="00EC6028">
            <w:pPr>
              <w:jc w:val="right"/>
            </w:pPr>
            <w:r>
              <w:rPr>
                <w:color w:val="000000"/>
                <w:szCs w:val="21"/>
              </w:rPr>
              <w:t>1.15</w:t>
            </w:r>
          </w:p>
        </w:tc>
      </w:tr>
      <w:tr w:rsidR="00F14AEA">
        <w:trPr>
          <w:jc w:val="center"/>
        </w:trPr>
        <w:tc>
          <w:tcPr>
            <w:tcW w:w="555" w:type="dxa"/>
            <w:vAlign w:val="center"/>
          </w:tcPr>
          <w:p w:rsidR="00F14AEA" w:rsidRDefault="00EC6028">
            <w:pPr>
              <w:jc w:val="center"/>
            </w:pPr>
            <w:r>
              <w:rPr>
                <w:color w:val="000000"/>
                <w:szCs w:val="21"/>
              </w:rPr>
              <w:t>17</w:t>
            </w:r>
          </w:p>
        </w:tc>
        <w:tc>
          <w:tcPr>
            <w:tcW w:w="2378" w:type="dxa"/>
            <w:vAlign w:val="center"/>
          </w:tcPr>
          <w:p w:rsidR="00F14AEA" w:rsidRDefault="00EC6028">
            <w:pPr>
              <w:jc w:val="center"/>
            </w:pPr>
            <w:r>
              <w:rPr>
                <w:color w:val="000000"/>
                <w:szCs w:val="21"/>
              </w:rPr>
              <w:t>Pan American Silver Corp</w:t>
            </w:r>
          </w:p>
        </w:tc>
        <w:tc>
          <w:tcPr>
            <w:tcW w:w="2552" w:type="dxa"/>
            <w:vAlign w:val="center"/>
          </w:tcPr>
          <w:p w:rsidR="00F14AEA" w:rsidRDefault="00EC6028">
            <w:pPr>
              <w:jc w:val="center"/>
            </w:pPr>
            <w:r>
              <w:rPr>
                <w:color w:val="000000"/>
                <w:szCs w:val="21"/>
              </w:rPr>
              <w:t>PAAS US</w:t>
            </w:r>
          </w:p>
        </w:tc>
        <w:tc>
          <w:tcPr>
            <w:tcW w:w="2130" w:type="dxa"/>
            <w:vAlign w:val="center"/>
          </w:tcPr>
          <w:p w:rsidR="00F14AEA" w:rsidRDefault="00EC6028">
            <w:pPr>
              <w:jc w:val="right"/>
            </w:pPr>
            <w:r>
              <w:rPr>
                <w:color w:val="000000"/>
                <w:szCs w:val="21"/>
              </w:rPr>
              <w:t>2,392,428.61</w:t>
            </w:r>
          </w:p>
        </w:tc>
        <w:tc>
          <w:tcPr>
            <w:tcW w:w="1650" w:type="dxa"/>
            <w:vAlign w:val="center"/>
          </w:tcPr>
          <w:p w:rsidR="00F14AEA" w:rsidRDefault="00EC6028">
            <w:pPr>
              <w:jc w:val="right"/>
            </w:pPr>
            <w:r>
              <w:rPr>
                <w:color w:val="000000"/>
                <w:szCs w:val="21"/>
              </w:rPr>
              <w:t>0.90</w:t>
            </w:r>
          </w:p>
        </w:tc>
      </w:tr>
      <w:tr w:rsidR="00F14AEA">
        <w:trPr>
          <w:jc w:val="center"/>
        </w:trPr>
        <w:tc>
          <w:tcPr>
            <w:tcW w:w="555" w:type="dxa"/>
            <w:vAlign w:val="center"/>
          </w:tcPr>
          <w:p w:rsidR="00F14AEA" w:rsidRDefault="00EC6028">
            <w:pPr>
              <w:jc w:val="center"/>
            </w:pPr>
            <w:r>
              <w:rPr>
                <w:color w:val="000000"/>
                <w:szCs w:val="21"/>
              </w:rPr>
              <w:t>18</w:t>
            </w:r>
          </w:p>
        </w:tc>
        <w:tc>
          <w:tcPr>
            <w:tcW w:w="2378" w:type="dxa"/>
            <w:vAlign w:val="center"/>
          </w:tcPr>
          <w:p w:rsidR="00F14AEA" w:rsidRDefault="00EC6028">
            <w:pPr>
              <w:jc w:val="center"/>
            </w:pPr>
            <w:r>
              <w:rPr>
                <w:color w:val="000000"/>
                <w:szCs w:val="21"/>
              </w:rPr>
              <w:t>Newmont Goldcorp Corp</w:t>
            </w:r>
          </w:p>
        </w:tc>
        <w:tc>
          <w:tcPr>
            <w:tcW w:w="2552" w:type="dxa"/>
            <w:vAlign w:val="center"/>
          </w:tcPr>
          <w:p w:rsidR="00F14AEA" w:rsidRDefault="00EC6028">
            <w:pPr>
              <w:jc w:val="center"/>
            </w:pPr>
            <w:r>
              <w:rPr>
                <w:color w:val="000000"/>
                <w:szCs w:val="21"/>
              </w:rPr>
              <w:t>NEM US</w:t>
            </w:r>
          </w:p>
        </w:tc>
        <w:tc>
          <w:tcPr>
            <w:tcW w:w="2130" w:type="dxa"/>
            <w:vAlign w:val="center"/>
          </w:tcPr>
          <w:p w:rsidR="00F14AEA" w:rsidRDefault="00EC6028">
            <w:pPr>
              <w:jc w:val="right"/>
            </w:pPr>
            <w:r>
              <w:rPr>
                <w:color w:val="000000"/>
                <w:szCs w:val="21"/>
              </w:rPr>
              <w:t>2,266,220.80</w:t>
            </w:r>
          </w:p>
        </w:tc>
        <w:tc>
          <w:tcPr>
            <w:tcW w:w="1650" w:type="dxa"/>
            <w:vAlign w:val="center"/>
          </w:tcPr>
          <w:p w:rsidR="00F14AEA" w:rsidRDefault="00EC6028">
            <w:pPr>
              <w:jc w:val="right"/>
            </w:pPr>
            <w:r>
              <w:rPr>
                <w:color w:val="000000"/>
                <w:szCs w:val="21"/>
              </w:rPr>
              <w:t>0.85</w:t>
            </w:r>
          </w:p>
        </w:tc>
      </w:tr>
      <w:tr w:rsidR="00F14AEA">
        <w:trPr>
          <w:jc w:val="center"/>
        </w:trPr>
        <w:tc>
          <w:tcPr>
            <w:tcW w:w="555" w:type="dxa"/>
            <w:vAlign w:val="center"/>
          </w:tcPr>
          <w:p w:rsidR="00F14AEA" w:rsidRDefault="00EC6028">
            <w:pPr>
              <w:jc w:val="center"/>
            </w:pPr>
            <w:r>
              <w:rPr>
                <w:color w:val="000000"/>
                <w:szCs w:val="21"/>
              </w:rPr>
              <w:t>19</w:t>
            </w:r>
          </w:p>
        </w:tc>
        <w:tc>
          <w:tcPr>
            <w:tcW w:w="2378" w:type="dxa"/>
            <w:vAlign w:val="center"/>
          </w:tcPr>
          <w:p w:rsidR="00F14AEA" w:rsidRDefault="00EC6028">
            <w:pPr>
              <w:jc w:val="center"/>
            </w:pPr>
            <w:r>
              <w:rPr>
                <w:color w:val="000000"/>
                <w:szCs w:val="21"/>
              </w:rPr>
              <w:t>Aurelia Metals Ltd</w:t>
            </w:r>
          </w:p>
        </w:tc>
        <w:tc>
          <w:tcPr>
            <w:tcW w:w="2552" w:type="dxa"/>
            <w:vAlign w:val="center"/>
          </w:tcPr>
          <w:p w:rsidR="00F14AEA" w:rsidRDefault="00EC6028">
            <w:pPr>
              <w:jc w:val="center"/>
            </w:pPr>
            <w:r>
              <w:rPr>
                <w:color w:val="000000"/>
                <w:szCs w:val="21"/>
              </w:rPr>
              <w:t>AMI AU</w:t>
            </w:r>
          </w:p>
        </w:tc>
        <w:tc>
          <w:tcPr>
            <w:tcW w:w="2130" w:type="dxa"/>
            <w:vAlign w:val="center"/>
          </w:tcPr>
          <w:p w:rsidR="00F14AEA" w:rsidRDefault="00EC6028">
            <w:pPr>
              <w:jc w:val="right"/>
            </w:pPr>
            <w:r>
              <w:rPr>
                <w:color w:val="000000"/>
                <w:szCs w:val="21"/>
              </w:rPr>
              <w:t>1,343,355.86</w:t>
            </w:r>
          </w:p>
        </w:tc>
        <w:tc>
          <w:tcPr>
            <w:tcW w:w="1650" w:type="dxa"/>
            <w:vAlign w:val="center"/>
          </w:tcPr>
          <w:p w:rsidR="00F14AEA" w:rsidRDefault="00EC6028">
            <w:pPr>
              <w:jc w:val="right"/>
            </w:pPr>
            <w:r>
              <w:rPr>
                <w:color w:val="000000"/>
                <w:szCs w:val="21"/>
              </w:rPr>
              <w:t>0.50</w:t>
            </w:r>
          </w:p>
        </w:tc>
      </w:tr>
      <w:tr w:rsidR="00F14AEA">
        <w:trPr>
          <w:jc w:val="center"/>
        </w:trPr>
        <w:tc>
          <w:tcPr>
            <w:tcW w:w="555" w:type="dxa"/>
            <w:vAlign w:val="center"/>
          </w:tcPr>
          <w:p w:rsidR="00F14AEA" w:rsidRDefault="00EC6028">
            <w:pPr>
              <w:jc w:val="center"/>
            </w:pPr>
            <w:r>
              <w:rPr>
                <w:color w:val="000000"/>
                <w:szCs w:val="21"/>
              </w:rPr>
              <w:t>20</w:t>
            </w:r>
          </w:p>
        </w:tc>
        <w:tc>
          <w:tcPr>
            <w:tcW w:w="2378" w:type="dxa"/>
            <w:vAlign w:val="center"/>
          </w:tcPr>
          <w:p w:rsidR="00F14AEA" w:rsidRDefault="00EC6028">
            <w:pPr>
              <w:jc w:val="center"/>
            </w:pPr>
            <w:r>
              <w:rPr>
                <w:color w:val="000000"/>
                <w:szCs w:val="21"/>
              </w:rPr>
              <w:t>SSR Mining Inc</w:t>
            </w:r>
          </w:p>
        </w:tc>
        <w:tc>
          <w:tcPr>
            <w:tcW w:w="2552" w:type="dxa"/>
            <w:vAlign w:val="center"/>
          </w:tcPr>
          <w:p w:rsidR="00F14AEA" w:rsidRDefault="00EC6028">
            <w:pPr>
              <w:jc w:val="center"/>
            </w:pPr>
            <w:r>
              <w:rPr>
                <w:color w:val="000000"/>
                <w:szCs w:val="21"/>
              </w:rPr>
              <w:t>SSRM US</w:t>
            </w:r>
          </w:p>
        </w:tc>
        <w:tc>
          <w:tcPr>
            <w:tcW w:w="2130" w:type="dxa"/>
            <w:vAlign w:val="center"/>
          </w:tcPr>
          <w:p w:rsidR="00F14AEA" w:rsidRDefault="00EC6028">
            <w:pPr>
              <w:jc w:val="right"/>
            </w:pPr>
            <w:r>
              <w:rPr>
                <w:color w:val="000000"/>
                <w:szCs w:val="21"/>
              </w:rPr>
              <w:t>1,328,686.62</w:t>
            </w:r>
          </w:p>
        </w:tc>
        <w:tc>
          <w:tcPr>
            <w:tcW w:w="1650" w:type="dxa"/>
            <w:vAlign w:val="center"/>
          </w:tcPr>
          <w:p w:rsidR="00F14AEA" w:rsidRDefault="00EC6028">
            <w:pPr>
              <w:jc w:val="right"/>
            </w:pPr>
            <w:r>
              <w:rPr>
                <w:color w:val="000000"/>
                <w:szCs w:val="21"/>
              </w:rPr>
              <w:t>0.50</w:t>
            </w:r>
          </w:p>
        </w:tc>
      </w:tr>
    </w:tbl>
    <w:p w:rsidR="00F14AEA" w:rsidRDefault="00EC6028">
      <w:pPr>
        <w:spacing w:line="360" w:lineRule="auto"/>
        <w:ind w:firstLineChars="200" w:firstLine="420"/>
        <w:jc w:val="left"/>
        <w:rPr>
          <w:color w:val="000000"/>
          <w:szCs w:val="21"/>
        </w:rPr>
      </w:pPr>
      <w:r>
        <w:rPr>
          <w:color w:val="000000"/>
          <w:szCs w:val="21"/>
        </w:rPr>
        <w:t>注：</w:t>
      </w:r>
      <w:r>
        <w:rPr>
          <w:color w:val="000000"/>
          <w:szCs w:val="21"/>
        </w:rPr>
        <w:t>1.</w:t>
      </w:r>
      <w:r>
        <w:rPr>
          <w:color w:val="000000"/>
          <w:szCs w:val="21"/>
        </w:rPr>
        <w:t>买入金额按买卖成交金额（成交单价乘以成交数量）填列，不考虑相关交易费用。</w:t>
      </w:r>
    </w:p>
    <w:p w:rsidR="000D4783" w:rsidRPr="00A77606" w:rsidRDefault="000D4783" w:rsidP="000D4783">
      <w:pPr>
        <w:spacing w:line="360" w:lineRule="auto"/>
        <w:ind w:firstLineChars="200" w:firstLine="420"/>
        <w:jc w:val="left"/>
        <w:rPr>
          <w:color w:val="000000"/>
          <w:szCs w:val="21"/>
        </w:rPr>
      </w:pPr>
      <w:r w:rsidRPr="003671D5">
        <w:rPr>
          <w:color w:val="000000"/>
          <w:szCs w:val="21"/>
        </w:rPr>
        <w:t>2.</w:t>
      </w:r>
      <w:r w:rsidRPr="003671D5">
        <w:rPr>
          <w:color w:val="000000"/>
          <w:szCs w:val="21"/>
        </w:rPr>
        <w:t>此处所用证券代码的类别是当地市场代码。</w:t>
      </w:r>
    </w:p>
    <w:p w:rsidR="000D4783" w:rsidRPr="00D0372D" w:rsidRDefault="000D4783" w:rsidP="000D4783">
      <w:pPr>
        <w:autoSpaceDE w:val="0"/>
        <w:autoSpaceDN w:val="0"/>
        <w:adjustRightInd w:val="0"/>
        <w:snapToGrid w:val="0"/>
        <w:spacing w:line="360" w:lineRule="auto"/>
        <w:jc w:val="left"/>
        <w:rPr>
          <w:rFonts w:ascii="宋体" w:hAnsi="宋体"/>
          <w:b/>
          <w:color w:val="000000"/>
          <w:kern w:val="0"/>
          <w:szCs w:val="21"/>
        </w:rPr>
      </w:pPr>
      <w:r w:rsidRPr="00D0372D">
        <w:rPr>
          <w:rFonts w:ascii="宋体" w:hAnsi="宋体"/>
          <w:b/>
          <w:kern w:val="0"/>
          <w:szCs w:val="21"/>
        </w:rPr>
        <w:t>8.5.2</w:t>
      </w:r>
      <w:r w:rsidRPr="00D0372D">
        <w:rPr>
          <w:rFonts w:ascii="宋体" w:hAnsi="宋体" w:hint="eastAsia"/>
          <w:b/>
          <w:kern w:val="0"/>
          <w:szCs w:val="21"/>
        </w:rPr>
        <w:t xml:space="preserve"> </w:t>
      </w:r>
      <w:r w:rsidRPr="00D0372D">
        <w:rPr>
          <w:rFonts w:ascii="宋体" w:hAnsi="宋体" w:hint="eastAsia"/>
          <w:b/>
          <w:color w:val="000000"/>
          <w:kern w:val="0"/>
          <w:szCs w:val="21"/>
        </w:rPr>
        <w:t>累计卖出金额超出期初基金资产净值</w:t>
      </w:r>
      <w:r w:rsidRPr="00D0372D">
        <w:rPr>
          <w:rFonts w:hAnsi="宋体" w:hint="eastAsia"/>
          <w:b/>
          <w:szCs w:val="21"/>
        </w:rPr>
        <w:t>2%</w:t>
      </w:r>
      <w:r w:rsidRPr="00D0372D">
        <w:rPr>
          <w:rFonts w:ascii="宋体" w:hAnsi="宋体" w:hint="eastAsia"/>
          <w:b/>
          <w:color w:val="000000"/>
          <w:kern w:val="0"/>
          <w:szCs w:val="21"/>
        </w:rPr>
        <w:t>或前</w:t>
      </w:r>
      <w:r w:rsidRPr="00D0372D">
        <w:rPr>
          <w:rFonts w:ascii="宋体" w:hAnsi="宋体"/>
          <w:b/>
          <w:color w:val="000000"/>
          <w:kern w:val="0"/>
          <w:szCs w:val="21"/>
        </w:rPr>
        <w:t>20</w:t>
      </w:r>
      <w:r w:rsidRPr="00D0372D">
        <w:rPr>
          <w:rFonts w:ascii="宋体" w:hAnsi="宋体" w:hint="eastAsia"/>
          <w:b/>
          <w:color w:val="000000"/>
          <w:kern w:val="0"/>
          <w:szCs w:val="21"/>
        </w:rPr>
        <w:t>名的权益投资明细</w:t>
      </w:r>
    </w:p>
    <w:p w:rsidR="000D4783" w:rsidRPr="00A77606" w:rsidRDefault="000D4783" w:rsidP="000D4783">
      <w:pPr>
        <w:autoSpaceDE w:val="0"/>
        <w:autoSpaceDN w:val="0"/>
        <w:adjustRightInd w:val="0"/>
        <w:spacing w:before="29" w:line="360" w:lineRule="auto"/>
        <w:ind w:left="15"/>
        <w:jc w:val="right"/>
        <w:rPr>
          <w:color w:val="000000"/>
          <w:szCs w:val="21"/>
        </w:rPr>
      </w:pPr>
      <w:r w:rsidRPr="00A77606">
        <w:rPr>
          <w:color w:val="000000"/>
          <w:szCs w:val="21"/>
        </w:rPr>
        <w:t>金额单位：人民币元</w:t>
      </w: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0D4783" w:rsidRPr="00A77606" w:rsidTr="00AA712C">
        <w:trPr>
          <w:trHeight w:val="315"/>
          <w:jc w:val="center"/>
        </w:trPr>
        <w:tc>
          <w:tcPr>
            <w:tcW w:w="555" w:type="dxa"/>
            <w:tcMar>
              <w:top w:w="15" w:type="dxa"/>
              <w:left w:w="15" w:type="dxa"/>
              <w:bottom w:w="0" w:type="dxa"/>
              <w:right w:w="15" w:type="dxa"/>
            </w:tcMar>
            <w:vAlign w:val="center"/>
          </w:tcPr>
          <w:p w:rsidR="000D4783" w:rsidRPr="00A77606" w:rsidRDefault="000D4783" w:rsidP="00AA712C">
            <w:pPr>
              <w:spacing w:line="360" w:lineRule="auto"/>
              <w:jc w:val="center"/>
              <w:rPr>
                <w:color w:val="000000"/>
                <w:szCs w:val="21"/>
              </w:rPr>
            </w:pPr>
            <w:r w:rsidRPr="00A77606">
              <w:rPr>
                <w:color w:val="000000"/>
                <w:szCs w:val="21"/>
              </w:rPr>
              <w:t>序号</w:t>
            </w:r>
          </w:p>
        </w:tc>
        <w:tc>
          <w:tcPr>
            <w:tcW w:w="2378" w:type="dxa"/>
            <w:tcMar>
              <w:top w:w="15" w:type="dxa"/>
              <w:left w:w="15" w:type="dxa"/>
              <w:bottom w:w="0" w:type="dxa"/>
              <w:right w:w="15" w:type="dxa"/>
            </w:tcMar>
            <w:vAlign w:val="center"/>
          </w:tcPr>
          <w:p w:rsidR="000D4783" w:rsidRPr="00A77606" w:rsidRDefault="000D4783" w:rsidP="00AA712C">
            <w:pPr>
              <w:spacing w:line="360" w:lineRule="auto"/>
              <w:jc w:val="center"/>
              <w:rPr>
                <w:color w:val="000000"/>
                <w:szCs w:val="21"/>
              </w:rPr>
            </w:pPr>
            <w:r w:rsidRPr="00A77606">
              <w:rPr>
                <w:color w:val="000000"/>
                <w:szCs w:val="21"/>
              </w:rPr>
              <w:t>公司名称（英文）</w:t>
            </w:r>
          </w:p>
        </w:tc>
        <w:tc>
          <w:tcPr>
            <w:tcW w:w="2552" w:type="dxa"/>
            <w:tcMar>
              <w:top w:w="15" w:type="dxa"/>
              <w:left w:w="15" w:type="dxa"/>
              <w:bottom w:w="0" w:type="dxa"/>
              <w:right w:w="15" w:type="dxa"/>
            </w:tcMar>
            <w:vAlign w:val="center"/>
          </w:tcPr>
          <w:p w:rsidR="000D4783" w:rsidRPr="00A77606" w:rsidRDefault="000D4783" w:rsidP="00AA712C">
            <w:pPr>
              <w:spacing w:line="360" w:lineRule="auto"/>
              <w:jc w:val="center"/>
              <w:rPr>
                <w:color w:val="000000"/>
                <w:szCs w:val="21"/>
              </w:rPr>
            </w:pPr>
            <w:r w:rsidRPr="00A77606">
              <w:rPr>
                <w:color w:val="000000"/>
                <w:szCs w:val="21"/>
              </w:rPr>
              <w:t>证券代码</w:t>
            </w:r>
          </w:p>
        </w:tc>
        <w:tc>
          <w:tcPr>
            <w:tcW w:w="2130" w:type="dxa"/>
            <w:tcMar>
              <w:top w:w="15" w:type="dxa"/>
              <w:left w:w="15" w:type="dxa"/>
              <w:bottom w:w="0" w:type="dxa"/>
              <w:right w:w="15" w:type="dxa"/>
            </w:tcMar>
            <w:vAlign w:val="center"/>
          </w:tcPr>
          <w:p w:rsidR="000D4783" w:rsidRPr="00A77606" w:rsidRDefault="000D4783" w:rsidP="00AA712C">
            <w:pPr>
              <w:spacing w:line="360" w:lineRule="auto"/>
              <w:jc w:val="center"/>
              <w:rPr>
                <w:color w:val="000000"/>
                <w:szCs w:val="21"/>
              </w:rPr>
            </w:pPr>
            <w:r w:rsidRPr="00A77606">
              <w:rPr>
                <w:color w:val="000000"/>
                <w:szCs w:val="21"/>
              </w:rPr>
              <w:t>本期累计卖出金额</w:t>
            </w:r>
          </w:p>
        </w:tc>
        <w:tc>
          <w:tcPr>
            <w:tcW w:w="1650" w:type="dxa"/>
            <w:tcMar>
              <w:top w:w="15" w:type="dxa"/>
              <w:left w:w="15" w:type="dxa"/>
              <w:bottom w:w="0" w:type="dxa"/>
              <w:right w:w="15" w:type="dxa"/>
            </w:tcMar>
            <w:vAlign w:val="center"/>
          </w:tcPr>
          <w:p w:rsidR="000D4783" w:rsidRPr="00A77606" w:rsidRDefault="000D4783" w:rsidP="00AA712C">
            <w:pPr>
              <w:spacing w:line="360" w:lineRule="auto"/>
              <w:jc w:val="center"/>
              <w:rPr>
                <w:color w:val="000000"/>
                <w:szCs w:val="21"/>
              </w:rPr>
            </w:pPr>
            <w:r w:rsidRPr="00A77606">
              <w:rPr>
                <w:color w:val="000000"/>
                <w:szCs w:val="21"/>
              </w:rPr>
              <w:t>占</w:t>
            </w:r>
            <w:r w:rsidRPr="00A77606">
              <w:rPr>
                <w:color w:val="000000"/>
                <w:kern w:val="0"/>
                <w:szCs w:val="21"/>
              </w:rPr>
              <w:t>期初</w:t>
            </w:r>
            <w:r w:rsidRPr="00A77606">
              <w:rPr>
                <w:color w:val="000000"/>
                <w:szCs w:val="21"/>
              </w:rPr>
              <w:t>基金</w:t>
            </w:r>
          </w:p>
          <w:p w:rsidR="000D4783" w:rsidRPr="00A77606" w:rsidRDefault="000D4783" w:rsidP="00AA712C">
            <w:pPr>
              <w:spacing w:line="360" w:lineRule="auto"/>
              <w:jc w:val="center"/>
              <w:rPr>
                <w:color w:val="000000"/>
                <w:szCs w:val="21"/>
              </w:rPr>
            </w:pPr>
            <w:r w:rsidRPr="00A77606">
              <w:rPr>
                <w:color w:val="000000"/>
                <w:szCs w:val="21"/>
              </w:rPr>
              <w:t>资产净值比例（％）</w:t>
            </w:r>
          </w:p>
        </w:tc>
      </w:tr>
      <w:tr w:rsidR="00F14AEA">
        <w:trPr>
          <w:jc w:val="center"/>
        </w:trPr>
        <w:tc>
          <w:tcPr>
            <w:tcW w:w="555" w:type="dxa"/>
            <w:vAlign w:val="center"/>
          </w:tcPr>
          <w:p w:rsidR="00F14AEA" w:rsidRDefault="00EC6028">
            <w:pPr>
              <w:jc w:val="center"/>
            </w:pPr>
            <w:r>
              <w:rPr>
                <w:color w:val="000000"/>
                <w:szCs w:val="21"/>
              </w:rPr>
              <w:t>1</w:t>
            </w:r>
          </w:p>
        </w:tc>
        <w:tc>
          <w:tcPr>
            <w:tcW w:w="2378" w:type="dxa"/>
            <w:vAlign w:val="center"/>
          </w:tcPr>
          <w:p w:rsidR="00F14AEA" w:rsidRDefault="00EC6028">
            <w:pPr>
              <w:jc w:val="center"/>
            </w:pPr>
            <w:r>
              <w:rPr>
                <w:color w:val="000000"/>
                <w:szCs w:val="21"/>
              </w:rPr>
              <w:t>Northern Star Resources Ltd</w:t>
            </w:r>
          </w:p>
        </w:tc>
        <w:tc>
          <w:tcPr>
            <w:tcW w:w="2552" w:type="dxa"/>
            <w:vAlign w:val="center"/>
          </w:tcPr>
          <w:p w:rsidR="00F14AEA" w:rsidRDefault="00EC6028">
            <w:pPr>
              <w:jc w:val="center"/>
            </w:pPr>
            <w:r>
              <w:rPr>
                <w:color w:val="000000"/>
                <w:szCs w:val="21"/>
              </w:rPr>
              <w:t>NST AU</w:t>
            </w:r>
          </w:p>
        </w:tc>
        <w:tc>
          <w:tcPr>
            <w:tcW w:w="2130" w:type="dxa"/>
            <w:vAlign w:val="center"/>
          </w:tcPr>
          <w:p w:rsidR="00F14AEA" w:rsidRDefault="00EC6028">
            <w:pPr>
              <w:jc w:val="right"/>
            </w:pPr>
            <w:r>
              <w:rPr>
                <w:color w:val="000000"/>
                <w:szCs w:val="21"/>
              </w:rPr>
              <w:t>8,449,304.38</w:t>
            </w:r>
          </w:p>
        </w:tc>
        <w:tc>
          <w:tcPr>
            <w:tcW w:w="1650" w:type="dxa"/>
            <w:vAlign w:val="center"/>
          </w:tcPr>
          <w:p w:rsidR="00F14AEA" w:rsidRDefault="00EC6028">
            <w:pPr>
              <w:jc w:val="right"/>
            </w:pPr>
            <w:r>
              <w:rPr>
                <w:color w:val="000000"/>
                <w:szCs w:val="21"/>
              </w:rPr>
              <w:t>3.16</w:t>
            </w:r>
          </w:p>
        </w:tc>
      </w:tr>
      <w:tr w:rsidR="00F14AEA">
        <w:trPr>
          <w:jc w:val="center"/>
        </w:trPr>
        <w:tc>
          <w:tcPr>
            <w:tcW w:w="555" w:type="dxa"/>
            <w:vAlign w:val="center"/>
          </w:tcPr>
          <w:p w:rsidR="00F14AEA" w:rsidRDefault="00EC6028">
            <w:pPr>
              <w:jc w:val="center"/>
            </w:pPr>
            <w:r>
              <w:rPr>
                <w:color w:val="000000"/>
                <w:szCs w:val="21"/>
              </w:rPr>
              <w:t>2</w:t>
            </w:r>
          </w:p>
        </w:tc>
        <w:tc>
          <w:tcPr>
            <w:tcW w:w="2378" w:type="dxa"/>
            <w:vAlign w:val="center"/>
          </w:tcPr>
          <w:p w:rsidR="00F14AEA" w:rsidRDefault="00EC6028">
            <w:pPr>
              <w:jc w:val="center"/>
            </w:pPr>
            <w:r>
              <w:rPr>
                <w:color w:val="000000"/>
                <w:szCs w:val="21"/>
              </w:rPr>
              <w:t>Jiangxi Copper Company Limited</w:t>
            </w:r>
          </w:p>
        </w:tc>
        <w:tc>
          <w:tcPr>
            <w:tcW w:w="2552" w:type="dxa"/>
            <w:vAlign w:val="center"/>
          </w:tcPr>
          <w:p w:rsidR="00F14AEA" w:rsidRDefault="00EC6028">
            <w:pPr>
              <w:jc w:val="center"/>
            </w:pPr>
            <w:r>
              <w:rPr>
                <w:color w:val="000000"/>
                <w:szCs w:val="21"/>
              </w:rPr>
              <w:t>358 HK</w:t>
            </w:r>
          </w:p>
        </w:tc>
        <w:tc>
          <w:tcPr>
            <w:tcW w:w="2130" w:type="dxa"/>
            <w:vAlign w:val="center"/>
          </w:tcPr>
          <w:p w:rsidR="00F14AEA" w:rsidRDefault="00EC6028">
            <w:pPr>
              <w:jc w:val="right"/>
            </w:pPr>
            <w:r>
              <w:rPr>
                <w:color w:val="000000"/>
                <w:szCs w:val="21"/>
              </w:rPr>
              <w:t>7,310,510.87</w:t>
            </w:r>
          </w:p>
        </w:tc>
        <w:tc>
          <w:tcPr>
            <w:tcW w:w="1650" w:type="dxa"/>
            <w:vAlign w:val="center"/>
          </w:tcPr>
          <w:p w:rsidR="00F14AEA" w:rsidRDefault="00EC6028">
            <w:pPr>
              <w:jc w:val="right"/>
            </w:pPr>
            <w:r>
              <w:rPr>
                <w:color w:val="000000"/>
                <w:szCs w:val="21"/>
              </w:rPr>
              <w:t>2.74</w:t>
            </w:r>
          </w:p>
        </w:tc>
      </w:tr>
      <w:tr w:rsidR="00F14AEA">
        <w:trPr>
          <w:jc w:val="center"/>
        </w:trPr>
        <w:tc>
          <w:tcPr>
            <w:tcW w:w="555" w:type="dxa"/>
            <w:vAlign w:val="center"/>
          </w:tcPr>
          <w:p w:rsidR="00F14AEA" w:rsidRDefault="00EC6028">
            <w:pPr>
              <w:jc w:val="center"/>
            </w:pPr>
            <w:r>
              <w:rPr>
                <w:color w:val="000000"/>
                <w:szCs w:val="21"/>
              </w:rPr>
              <w:t>3</w:t>
            </w:r>
          </w:p>
        </w:tc>
        <w:tc>
          <w:tcPr>
            <w:tcW w:w="2378" w:type="dxa"/>
            <w:vAlign w:val="center"/>
          </w:tcPr>
          <w:p w:rsidR="00F14AEA" w:rsidRDefault="00EC6028">
            <w:pPr>
              <w:jc w:val="center"/>
            </w:pPr>
            <w:r>
              <w:rPr>
                <w:color w:val="000000"/>
                <w:szCs w:val="21"/>
              </w:rPr>
              <w:t>Zijin Mining Group Company Limited</w:t>
            </w:r>
          </w:p>
        </w:tc>
        <w:tc>
          <w:tcPr>
            <w:tcW w:w="2552" w:type="dxa"/>
            <w:vAlign w:val="center"/>
          </w:tcPr>
          <w:p w:rsidR="00F14AEA" w:rsidRDefault="00EC6028">
            <w:pPr>
              <w:jc w:val="center"/>
            </w:pPr>
            <w:r>
              <w:rPr>
                <w:color w:val="000000"/>
                <w:szCs w:val="21"/>
              </w:rPr>
              <w:t>2899 HK</w:t>
            </w:r>
          </w:p>
        </w:tc>
        <w:tc>
          <w:tcPr>
            <w:tcW w:w="2130" w:type="dxa"/>
            <w:vAlign w:val="center"/>
          </w:tcPr>
          <w:p w:rsidR="00F14AEA" w:rsidRDefault="00EC6028">
            <w:pPr>
              <w:jc w:val="right"/>
            </w:pPr>
            <w:r>
              <w:rPr>
                <w:color w:val="000000"/>
                <w:szCs w:val="21"/>
              </w:rPr>
              <w:t>7,206,245.88</w:t>
            </w:r>
          </w:p>
        </w:tc>
        <w:tc>
          <w:tcPr>
            <w:tcW w:w="1650" w:type="dxa"/>
            <w:vAlign w:val="center"/>
          </w:tcPr>
          <w:p w:rsidR="00F14AEA" w:rsidRDefault="00EC6028">
            <w:pPr>
              <w:jc w:val="right"/>
            </w:pPr>
            <w:r>
              <w:rPr>
                <w:color w:val="000000"/>
                <w:szCs w:val="21"/>
              </w:rPr>
              <w:t>2.70</w:t>
            </w:r>
          </w:p>
        </w:tc>
      </w:tr>
      <w:tr w:rsidR="00F14AEA">
        <w:trPr>
          <w:jc w:val="center"/>
        </w:trPr>
        <w:tc>
          <w:tcPr>
            <w:tcW w:w="555" w:type="dxa"/>
            <w:vAlign w:val="center"/>
          </w:tcPr>
          <w:p w:rsidR="00F14AEA" w:rsidRDefault="00EC6028">
            <w:pPr>
              <w:jc w:val="center"/>
            </w:pPr>
            <w:r>
              <w:rPr>
                <w:color w:val="000000"/>
                <w:szCs w:val="21"/>
              </w:rPr>
              <w:t>4</w:t>
            </w:r>
          </w:p>
        </w:tc>
        <w:tc>
          <w:tcPr>
            <w:tcW w:w="2378" w:type="dxa"/>
            <w:vAlign w:val="center"/>
          </w:tcPr>
          <w:p w:rsidR="00F14AEA" w:rsidRDefault="00EC6028">
            <w:pPr>
              <w:jc w:val="center"/>
            </w:pPr>
            <w:r>
              <w:rPr>
                <w:color w:val="000000"/>
                <w:szCs w:val="21"/>
              </w:rPr>
              <w:t>Agnico Eagle Mines Ltd</w:t>
            </w:r>
          </w:p>
        </w:tc>
        <w:tc>
          <w:tcPr>
            <w:tcW w:w="2552" w:type="dxa"/>
            <w:vAlign w:val="center"/>
          </w:tcPr>
          <w:p w:rsidR="00F14AEA" w:rsidRDefault="00EC6028">
            <w:pPr>
              <w:jc w:val="center"/>
            </w:pPr>
            <w:r>
              <w:rPr>
                <w:color w:val="000000"/>
                <w:szCs w:val="21"/>
              </w:rPr>
              <w:t>AEM US</w:t>
            </w:r>
          </w:p>
        </w:tc>
        <w:tc>
          <w:tcPr>
            <w:tcW w:w="2130" w:type="dxa"/>
            <w:vAlign w:val="center"/>
          </w:tcPr>
          <w:p w:rsidR="00F14AEA" w:rsidRDefault="00EC6028">
            <w:pPr>
              <w:jc w:val="right"/>
            </w:pPr>
            <w:r>
              <w:rPr>
                <w:color w:val="000000"/>
                <w:szCs w:val="21"/>
              </w:rPr>
              <w:t>5,068,773.06</w:t>
            </w:r>
          </w:p>
        </w:tc>
        <w:tc>
          <w:tcPr>
            <w:tcW w:w="1650" w:type="dxa"/>
            <w:vAlign w:val="center"/>
          </w:tcPr>
          <w:p w:rsidR="00F14AEA" w:rsidRDefault="00EC6028">
            <w:pPr>
              <w:jc w:val="right"/>
            </w:pPr>
            <w:r>
              <w:rPr>
                <w:color w:val="000000"/>
                <w:szCs w:val="21"/>
              </w:rPr>
              <w:t>1.90</w:t>
            </w:r>
          </w:p>
        </w:tc>
      </w:tr>
      <w:tr w:rsidR="00F14AEA">
        <w:trPr>
          <w:jc w:val="center"/>
        </w:trPr>
        <w:tc>
          <w:tcPr>
            <w:tcW w:w="555" w:type="dxa"/>
            <w:vAlign w:val="center"/>
          </w:tcPr>
          <w:p w:rsidR="00F14AEA" w:rsidRDefault="00EC6028">
            <w:pPr>
              <w:jc w:val="center"/>
            </w:pPr>
            <w:r>
              <w:rPr>
                <w:color w:val="000000"/>
                <w:szCs w:val="21"/>
              </w:rPr>
              <w:t>5</w:t>
            </w:r>
          </w:p>
        </w:tc>
        <w:tc>
          <w:tcPr>
            <w:tcW w:w="2378" w:type="dxa"/>
            <w:vAlign w:val="center"/>
          </w:tcPr>
          <w:p w:rsidR="00F14AEA" w:rsidRDefault="00EC6028">
            <w:pPr>
              <w:jc w:val="center"/>
            </w:pPr>
            <w:r>
              <w:rPr>
                <w:color w:val="000000"/>
                <w:szCs w:val="21"/>
              </w:rPr>
              <w:t>Barrick Gold Corp</w:t>
            </w:r>
          </w:p>
        </w:tc>
        <w:tc>
          <w:tcPr>
            <w:tcW w:w="2552" w:type="dxa"/>
            <w:vAlign w:val="center"/>
          </w:tcPr>
          <w:p w:rsidR="00F14AEA" w:rsidRDefault="00EC6028">
            <w:pPr>
              <w:jc w:val="center"/>
            </w:pPr>
            <w:r>
              <w:rPr>
                <w:color w:val="000000"/>
                <w:szCs w:val="21"/>
              </w:rPr>
              <w:t>GOLD US</w:t>
            </w:r>
          </w:p>
        </w:tc>
        <w:tc>
          <w:tcPr>
            <w:tcW w:w="2130" w:type="dxa"/>
            <w:vAlign w:val="center"/>
          </w:tcPr>
          <w:p w:rsidR="00F14AEA" w:rsidRDefault="00EC6028">
            <w:pPr>
              <w:jc w:val="right"/>
            </w:pPr>
            <w:r>
              <w:rPr>
                <w:color w:val="000000"/>
                <w:szCs w:val="21"/>
              </w:rPr>
              <w:t>4,526,500.12</w:t>
            </w:r>
          </w:p>
        </w:tc>
        <w:tc>
          <w:tcPr>
            <w:tcW w:w="1650" w:type="dxa"/>
            <w:vAlign w:val="center"/>
          </w:tcPr>
          <w:p w:rsidR="00F14AEA" w:rsidRDefault="00EC6028">
            <w:pPr>
              <w:jc w:val="right"/>
            </w:pPr>
            <w:r>
              <w:rPr>
                <w:color w:val="000000"/>
                <w:szCs w:val="21"/>
              </w:rPr>
              <w:t>1.69</w:t>
            </w:r>
          </w:p>
        </w:tc>
      </w:tr>
      <w:tr w:rsidR="00F14AEA">
        <w:trPr>
          <w:jc w:val="center"/>
        </w:trPr>
        <w:tc>
          <w:tcPr>
            <w:tcW w:w="555" w:type="dxa"/>
            <w:vAlign w:val="center"/>
          </w:tcPr>
          <w:p w:rsidR="00F14AEA" w:rsidRDefault="00EC6028">
            <w:pPr>
              <w:jc w:val="center"/>
            </w:pPr>
            <w:r>
              <w:rPr>
                <w:color w:val="000000"/>
                <w:szCs w:val="21"/>
              </w:rPr>
              <w:t>6</w:t>
            </w:r>
          </w:p>
        </w:tc>
        <w:tc>
          <w:tcPr>
            <w:tcW w:w="2378" w:type="dxa"/>
            <w:vAlign w:val="center"/>
          </w:tcPr>
          <w:p w:rsidR="00F14AEA" w:rsidRDefault="00EC6028">
            <w:pPr>
              <w:jc w:val="center"/>
            </w:pPr>
            <w:r>
              <w:rPr>
                <w:color w:val="000000"/>
                <w:szCs w:val="21"/>
              </w:rPr>
              <w:t>Centerra Gold Inc</w:t>
            </w:r>
          </w:p>
        </w:tc>
        <w:tc>
          <w:tcPr>
            <w:tcW w:w="2552" w:type="dxa"/>
            <w:vAlign w:val="center"/>
          </w:tcPr>
          <w:p w:rsidR="00F14AEA" w:rsidRDefault="00EC6028">
            <w:pPr>
              <w:jc w:val="center"/>
            </w:pPr>
            <w:r>
              <w:rPr>
                <w:color w:val="000000"/>
                <w:szCs w:val="21"/>
              </w:rPr>
              <w:t>CG CN</w:t>
            </w:r>
          </w:p>
        </w:tc>
        <w:tc>
          <w:tcPr>
            <w:tcW w:w="2130" w:type="dxa"/>
            <w:vAlign w:val="center"/>
          </w:tcPr>
          <w:p w:rsidR="00F14AEA" w:rsidRDefault="00EC6028">
            <w:pPr>
              <w:jc w:val="right"/>
            </w:pPr>
            <w:r>
              <w:rPr>
                <w:color w:val="000000"/>
                <w:szCs w:val="21"/>
              </w:rPr>
              <w:t>4,459,700.01</w:t>
            </w:r>
          </w:p>
        </w:tc>
        <w:tc>
          <w:tcPr>
            <w:tcW w:w="1650" w:type="dxa"/>
            <w:vAlign w:val="center"/>
          </w:tcPr>
          <w:p w:rsidR="00F14AEA" w:rsidRDefault="00EC6028">
            <w:pPr>
              <w:jc w:val="right"/>
            </w:pPr>
            <w:r>
              <w:rPr>
                <w:color w:val="000000"/>
                <w:szCs w:val="21"/>
              </w:rPr>
              <w:t>1.67</w:t>
            </w:r>
          </w:p>
        </w:tc>
      </w:tr>
      <w:tr w:rsidR="00F14AEA">
        <w:trPr>
          <w:jc w:val="center"/>
        </w:trPr>
        <w:tc>
          <w:tcPr>
            <w:tcW w:w="555" w:type="dxa"/>
            <w:vAlign w:val="center"/>
          </w:tcPr>
          <w:p w:rsidR="00F14AEA" w:rsidRDefault="00EC6028">
            <w:pPr>
              <w:jc w:val="center"/>
            </w:pPr>
            <w:r>
              <w:rPr>
                <w:color w:val="000000"/>
                <w:szCs w:val="21"/>
              </w:rPr>
              <w:t>7</w:t>
            </w:r>
          </w:p>
        </w:tc>
        <w:tc>
          <w:tcPr>
            <w:tcW w:w="2378" w:type="dxa"/>
            <w:vAlign w:val="center"/>
          </w:tcPr>
          <w:p w:rsidR="00F14AEA" w:rsidRDefault="00EC6028">
            <w:pPr>
              <w:jc w:val="center"/>
            </w:pPr>
            <w:r>
              <w:rPr>
                <w:color w:val="000000"/>
                <w:szCs w:val="21"/>
              </w:rPr>
              <w:t>Newcrest Mining Ltd</w:t>
            </w:r>
          </w:p>
        </w:tc>
        <w:tc>
          <w:tcPr>
            <w:tcW w:w="2552" w:type="dxa"/>
            <w:vAlign w:val="center"/>
          </w:tcPr>
          <w:p w:rsidR="00F14AEA" w:rsidRDefault="00EC6028">
            <w:pPr>
              <w:jc w:val="center"/>
            </w:pPr>
            <w:r>
              <w:rPr>
                <w:color w:val="000000"/>
                <w:szCs w:val="21"/>
              </w:rPr>
              <w:t>NCM AU</w:t>
            </w:r>
          </w:p>
        </w:tc>
        <w:tc>
          <w:tcPr>
            <w:tcW w:w="2130" w:type="dxa"/>
            <w:vAlign w:val="center"/>
          </w:tcPr>
          <w:p w:rsidR="00F14AEA" w:rsidRDefault="00EC6028">
            <w:pPr>
              <w:jc w:val="right"/>
            </w:pPr>
            <w:r>
              <w:rPr>
                <w:color w:val="000000"/>
                <w:szCs w:val="21"/>
              </w:rPr>
              <w:t>4,361,795.77</w:t>
            </w:r>
          </w:p>
        </w:tc>
        <w:tc>
          <w:tcPr>
            <w:tcW w:w="1650" w:type="dxa"/>
            <w:vAlign w:val="center"/>
          </w:tcPr>
          <w:p w:rsidR="00F14AEA" w:rsidRDefault="00EC6028">
            <w:pPr>
              <w:jc w:val="right"/>
            </w:pPr>
            <w:r>
              <w:rPr>
                <w:color w:val="000000"/>
                <w:szCs w:val="21"/>
              </w:rPr>
              <w:t>1.63</w:t>
            </w:r>
          </w:p>
        </w:tc>
      </w:tr>
      <w:tr w:rsidR="00F14AEA">
        <w:trPr>
          <w:jc w:val="center"/>
        </w:trPr>
        <w:tc>
          <w:tcPr>
            <w:tcW w:w="555" w:type="dxa"/>
            <w:vAlign w:val="center"/>
          </w:tcPr>
          <w:p w:rsidR="00F14AEA" w:rsidRDefault="00EC6028">
            <w:pPr>
              <w:jc w:val="center"/>
            </w:pPr>
            <w:r>
              <w:rPr>
                <w:color w:val="000000"/>
                <w:szCs w:val="21"/>
              </w:rPr>
              <w:t>8</w:t>
            </w:r>
          </w:p>
        </w:tc>
        <w:tc>
          <w:tcPr>
            <w:tcW w:w="2378" w:type="dxa"/>
            <w:vAlign w:val="center"/>
          </w:tcPr>
          <w:p w:rsidR="00F14AEA" w:rsidRDefault="00EC6028">
            <w:pPr>
              <w:jc w:val="center"/>
            </w:pPr>
            <w:r>
              <w:rPr>
                <w:color w:val="000000"/>
                <w:szCs w:val="21"/>
              </w:rPr>
              <w:t>Kirkland Lake Gold Ltd</w:t>
            </w:r>
          </w:p>
        </w:tc>
        <w:tc>
          <w:tcPr>
            <w:tcW w:w="2552" w:type="dxa"/>
            <w:vAlign w:val="center"/>
          </w:tcPr>
          <w:p w:rsidR="00F14AEA" w:rsidRDefault="00EC6028">
            <w:pPr>
              <w:jc w:val="center"/>
            </w:pPr>
            <w:r>
              <w:rPr>
                <w:color w:val="000000"/>
                <w:szCs w:val="21"/>
              </w:rPr>
              <w:t>KL US</w:t>
            </w:r>
          </w:p>
        </w:tc>
        <w:tc>
          <w:tcPr>
            <w:tcW w:w="2130" w:type="dxa"/>
            <w:vAlign w:val="center"/>
          </w:tcPr>
          <w:p w:rsidR="00F14AEA" w:rsidRDefault="00EC6028">
            <w:pPr>
              <w:jc w:val="right"/>
            </w:pPr>
            <w:r>
              <w:rPr>
                <w:color w:val="000000"/>
                <w:szCs w:val="21"/>
              </w:rPr>
              <w:t>4,172,093.55</w:t>
            </w:r>
          </w:p>
        </w:tc>
        <w:tc>
          <w:tcPr>
            <w:tcW w:w="1650" w:type="dxa"/>
            <w:vAlign w:val="center"/>
          </w:tcPr>
          <w:p w:rsidR="00F14AEA" w:rsidRDefault="00EC6028">
            <w:pPr>
              <w:jc w:val="right"/>
            </w:pPr>
            <w:r>
              <w:rPr>
                <w:color w:val="000000"/>
                <w:szCs w:val="21"/>
              </w:rPr>
              <w:t>1.56</w:t>
            </w:r>
          </w:p>
        </w:tc>
      </w:tr>
      <w:tr w:rsidR="00F14AEA">
        <w:trPr>
          <w:jc w:val="center"/>
        </w:trPr>
        <w:tc>
          <w:tcPr>
            <w:tcW w:w="555" w:type="dxa"/>
            <w:vAlign w:val="center"/>
          </w:tcPr>
          <w:p w:rsidR="00F14AEA" w:rsidRDefault="00EC6028">
            <w:pPr>
              <w:jc w:val="center"/>
            </w:pPr>
            <w:r>
              <w:rPr>
                <w:color w:val="000000"/>
                <w:szCs w:val="21"/>
              </w:rPr>
              <w:t>9</w:t>
            </w:r>
          </w:p>
        </w:tc>
        <w:tc>
          <w:tcPr>
            <w:tcW w:w="2378" w:type="dxa"/>
            <w:vAlign w:val="center"/>
          </w:tcPr>
          <w:p w:rsidR="00F14AEA" w:rsidRDefault="00EC6028">
            <w:pPr>
              <w:jc w:val="center"/>
            </w:pPr>
            <w:r>
              <w:rPr>
                <w:color w:val="000000"/>
                <w:szCs w:val="21"/>
              </w:rPr>
              <w:t>Glencore plc</w:t>
            </w:r>
          </w:p>
        </w:tc>
        <w:tc>
          <w:tcPr>
            <w:tcW w:w="2552" w:type="dxa"/>
            <w:vAlign w:val="center"/>
          </w:tcPr>
          <w:p w:rsidR="00F14AEA" w:rsidRDefault="00EC6028">
            <w:pPr>
              <w:jc w:val="center"/>
            </w:pPr>
            <w:r>
              <w:rPr>
                <w:color w:val="000000"/>
                <w:szCs w:val="21"/>
              </w:rPr>
              <w:t>GLEN LN</w:t>
            </w:r>
          </w:p>
        </w:tc>
        <w:tc>
          <w:tcPr>
            <w:tcW w:w="2130" w:type="dxa"/>
            <w:vAlign w:val="center"/>
          </w:tcPr>
          <w:p w:rsidR="00F14AEA" w:rsidRDefault="00EC6028">
            <w:pPr>
              <w:jc w:val="right"/>
            </w:pPr>
            <w:r>
              <w:rPr>
                <w:color w:val="000000"/>
                <w:szCs w:val="21"/>
              </w:rPr>
              <w:t>3,963,324.75</w:t>
            </w:r>
          </w:p>
        </w:tc>
        <w:tc>
          <w:tcPr>
            <w:tcW w:w="1650" w:type="dxa"/>
            <w:vAlign w:val="center"/>
          </w:tcPr>
          <w:p w:rsidR="00F14AEA" w:rsidRDefault="00EC6028">
            <w:pPr>
              <w:jc w:val="right"/>
            </w:pPr>
            <w:r>
              <w:rPr>
                <w:color w:val="000000"/>
                <w:szCs w:val="21"/>
              </w:rPr>
              <w:t>1.48</w:t>
            </w:r>
          </w:p>
        </w:tc>
      </w:tr>
      <w:tr w:rsidR="00F14AEA">
        <w:trPr>
          <w:jc w:val="center"/>
        </w:trPr>
        <w:tc>
          <w:tcPr>
            <w:tcW w:w="555" w:type="dxa"/>
            <w:vAlign w:val="center"/>
          </w:tcPr>
          <w:p w:rsidR="00F14AEA" w:rsidRDefault="00EC6028">
            <w:pPr>
              <w:jc w:val="center"/>
            </w:pPr>
            <w:r>
              <w:rPr>
                <w:color w:val="000000"/>
                <w:szCs w:val="21"/>
              </w:rPr>
              <w:t>10</w:t>
            </w:r>
          </w:p>
        </w:tc>
        <w:tc>
          <w:tcPr>
            <w:tcW w:w="2378" w:type="dxa"/>
            <w:vAlign w:val="center"/>
          </w:tcPr>
          <w:p w:rsidR="00F14AEA" w:rsidRDefault="00EC6028">
            <w:pPr>
              <w:jc w:val="center"/>
            </w:pPr>
            <w:r>
              <w:rPr>
                <w:color w:val="000000"/>
                <w:szCs w:val="21"/>
              </w:rPr>
              <w:t>Freeport-McMoRan Inc</w:t>
            </w:r>
          </w:p>
        </w:tc>
        <w:tc>
          <w:tcPr>
            <w:tcW w:w="2552" w:type="dxa"/>
            <w:vAlign w:val="center"/>
          </w:tcPr>
          <w:p w:rsidR="00F14AEA" w:rsidRDefault="00EC6028">
            <w:pPr>
              <w:jc w:val="center"/>
            </w:pPr>
            <w:r>
              <w:rPr>
                <w:color w:val="000000"/>
                <w:szCs w:val="21"/>
              </w:rPr>
              <w:t>FCX US</w:t>
            </w:r>
          </w:p>
        </w:tc>
        <w:tc>
          <w:tcPr>
            <w:tcW w:w="2130" w:type="dxa"/>
            <w:vAlign w:val="center"/>
          </w:tcPr>
          <w:p w:rsidR="00F14AEA" w:rsidRDefault="00EC6028">
            <w:pPr>
              <w:jc w:val="right"/>
            </w:pPr>
            <w:r>
              <w:rPr>
                <w:color w:val="000000"/>
                <w:szCs w:val="21"/>
              </w:rPr>
              <w:t>3,933,523.50</w:t>
            </w:r>
          </w:p>
        </w:tc>
        <w:tc>
          <w:tcPr>
            <w:tcW w:w="1650" w:type="dxa"/>
            <w:vAlign w:val="center"/>
          </w:tcPr>
          <w:p w:rsidR="00F14AEA" w:rsidRDefault="00EC6028">
            <w:pPr>
              <w:jc w:val="right"/>
            </w:pPr>
            <w:r>
              <w:rPr>
                <w:color w:val="000000"/>
                <w:szCs w:val="21"/>
              </w:rPr>
              <w:t>1.47</w:t>
            </w:r>
          </w:p>
        </w:tc>
      </w:tr>
      <w:tr w:rsidR="00F14AEA">
        <w:trPr>
          <w:jc w:val="center"/>
        </w:trPr>
        <w:tc>
          <w:tcPr>
            <w:tcW w:w="555" w:type="dxa"/>
            <w:vAlign w:val="center"/>
          </w:tcPr>
          <w:p w:rsidR="00F14AEA" w:rsidRDefault="00EC6028">
            <w:pPr>
              <w:jc w:val="center"/>
            </w:pPr>
            <w:r>
              <w:rPr>
                <w:color w:val="000000"/>
                <w:szCs w:val="21"/>
              </w:rPr>
              <w:t>11</w:t>
            </w:r>
          </w:p>
        </w:tc>
        <w:tc>
          <w:tcPr>
            <w:tcW w:w="2378" w:type="dxa"/>
            <w:vAlign w:val="center"/>
          </w:tcPr>
          <w:p w:rsidR="00F14AEA" w:rsidRDefault="00EC6028">
            <w:pPr>
              <w:jc w:val="center"/>
            </w:pPr>
            <w:r>
              <w:rPr>
                <w:color w:val="000000"/>
                <w:szCs w:val="21"/>
              </w:rPr>
              <w:t>Saracen Mineral Holdings Ltd.</w:t>
            </w:r>
          </w:p>
        </w:tc>
        <w:tc>
          <w:tcPr>
            <w:tcW w:w="2552" w:type="dxa"/>
            <w:vAlign w:val="center"/>
          </w:tcPr>
          <w:p w:rsidR="00F14AEA" w:rsidRDefault="00EC6028">
            <w:pPr>
              <w:jc w:val="center"/>
            </w:pPr>
            <w:r>
              <w:rPr>
                <w:color w:val="000000"/>
                <w:szCs w:val="21"/>
              </w:rPr>
              <w:t>SAR AU</w:t>
            </w:r>
          </w:p>
        </w:tc>
        <w:tc>
          <w:tcPr>
            <w:tcW w:w="2130" w:type="dxa"/>
            <w:vAlign w:val="center"/>
          </w:tcPr>
          <w:p w:rsidR="00F14AEA" w:rsidRDefault="00EC6028">
            <w:pPr>
              <w:jc w:val="right"/>
            </w:pPr>
            <w:r>
              <w:rPr>
                <w:color w:val="000000"/>
                <w:szCs w:val="21"/>
              </w:rPr>
              <w:t>3,889,024.36</w:t>
            </w:r>
          </w:p>
        </w:tc>
        <w:tc>
          <w:tcPr>
            <w:tcW w:w="1650" w:type="dxa"/>
            <w:vAlign w:val="center"/>
          </w:tcPr>
          <w:p w:rsidR="00F14AEA" w:rsidRDefault="00EC6028">
            <w:pPr>
              <w:jc w:val="right"/>
            </w:pPr>
            <w:r>
              <w:rPr>
                <w:color w:val="000000"/>
                <w:szCs w:val="21"/>
              </w:rPr>
              <w:t>1.46</w:t>
            </w:r>
          </w:p>
        </w:tc>
      </w:tr>
      <w:tr w:rsidR="00F14AEA">
        <w:trPr>
          <w:jc w:val="center"/>
        </w:trPr>
        <w:tc>
          <w:tcPr>
            <w:tcW w:w="555" w:type="dxa"/>
            <w:vAlign w:val="center"/>
          </w:tcPr>
          <w:p w:rsidR="00F14AEA" w:rsidRDefault="00EC6028">
            <w:pPr>
              <w:jc w:val="center"/>
            </w:pPr>
            <w:r>
              <w:rPr>
                <w:color w:val="000000"/>
                <w:szCs w:val="21"/>
              </w:rPr>
              <w:t>12</w:t>
            </w:r>
          </w:p>
        </w:tc>
        <w:tc>
          <w:tcPr>
            <w:tcW w:w="2378" w:type="dxa"/>
            <w:vAlign w:val="center"/>
          </w:tcPr>
          <w:p w:rsidR="00F14AEA" w:rsidRDefault="00EC6028">
            <w:pPr>
              <w:jc w:val="center"/>
            </w:pPr>
            <w:r>
              <w:rPr>
                <w:color w:val="000000"/>
                <w:szCs w:val="21"/>
              </w:rPr>
              <w:t>Evolution Mining Ltd</w:t>
            </w:r>
          </w:p>
        </w:tc>
        <w:tc>
          <w:tcPr>
            <w:tcW w:w="2552" w:type="dxa"/>
            <w:vAlign w:val="center"/>
          </w:tcPr>
          <w:p w:rsidR="00F14AEA" w:rsidRDefault="00EC6028">
            <w:pPr>
              <w:jc w:val="center"/>
            </w:pPr>
            <w:r>
              <w:rPr>
                <w:color w:val="000000"/>
                <w:szCs w:val="21"/>
              </w:rPr>
              <w:t>EVN AU</w:t>
            </w:r>
          </w:p>
        </w:tc>
        <w:tc>
          <w:tcPr>
            <w:tcW w:w="2130" w:type="dxa"/>
            <w:vAlign w:val="center"/>
          </w:tcPr>
          <w:p w:rsidR="00F14AEA" w:rsidRDefault="00EC6028">
            <w:pPr>
              <w:jc w:val="right"/>
            </w:pPr>
            <w:r>
              <w:rPr>
                <w:color w:val="000000"/>
                <w:szCs w:val="21"/>
              </w:rPr>
              <w:t>3,800,487.59</w:t>
            </w:r>
          </w:p>
        </w:tc>
        <w:tc>
          <w:tcPr>
            <w:tcW w:w="1650" w:type="dxa"/>
            <w:vAlign w:val="center"/>
          </w:tcPr>
          <w:p w:rsidR="00F14AEA" w:rsidRDefault="00EC6028">
            <w:pPr>
              <w:jc w:val="right"/>
            </w:pPr>
            <w:r>
              <w:rPr>
                <w:color w:val="000000"/>
                <w:szCs w:val="21"/>
              </w:rPr>
              <w:t>1.42</w:t>
            </w:r>
          </w:p>
        </w:tc>
      </w:tr>
      <w:tr w:rsidR="00F14AEA">
        <w:trPr>
          <w:jc w:val="center"/>
        </w:trPr>
        <w:tc>
          <w:tcPr>
            <w:tcW w:w="555" w:type="dxa"/>
            <w:vAlign w:val="center"/>
          </w:tcPr>
          <w:p w:rsidR="00F14AEA" w:rsidRDefault="00EC6028">
            <w:pPr>
              <w:jc w:val="center"/>
            </w:pPr>
            <w:r>
              <w:rPr>
                <w:color w:val="000000"/>
                <w:szCs w:val="21"/>
              </w:rPr>
              <w:t>13</w:t>
            </w:r>
          </w:p>
        </w:tc>
        <w:tc>
          <w:tcPr>
            <w:tcW w:w="2378" w:type="dxa"/>
            <w:vAlign w:val="center"/>
          </w:tcPr>
          <w:p w:rsidR="00F14AEA" w:rsidRDefault="00EC6028">
            <w:pPr>
              <w:jc w:val="center"/>
            </w:pPr>
            <w:r>
              <w:rPr>
                <w:color w:val="000000"/>
                <w:szCs w:val="21"/>
              </w:rPr>
              <w:t>SEMAFO Inc</w:t>
            </w:r>
          </w:p>
        </w:tc>
        <w:tc>
          <w:tcPr>
            <w:tcW w:w="2552" w:type="dxa"/>
            <w:vAlign w:val="center"/>
          </w:tcPr>
          <w:p w:rsidR="00F14AEA" w:rsidRDefault="00EC6028">
            <w:pPr>
              <w:jc w:val="center"/>
            </w:pPr>
            <w:r>
              <w:rPr>
                <w:color w:val="000000"/>
                <w:szCs w:val="21"/>
              </w:rPr>
              <w:t>SMF CN</w:t>
            </w:r>
          </w:p>
        </w:tc>
        <w:tc>
          <w:tcPr>
            <w:tcW w:w="2130" w:type="dxa"/>
            <w:vAlign w:val="center"/>
          </w:tcPr>
          <w:p w:rsidR="00F14AEA" w:rsidRDefault="00EC6028">
            <w:pPr>
              <w:jc w:val="right"/>
            </w:pPr>
            <w:r>
              <w:rPr>
                <w:color w:val="000000"/>
                <w:szCs w:val="21"/>
              </w:rPr>
              <w:t>3,722,080.27</w:t>
            </w:r>
          </w:p>
        </w:tc>
        <w:tc>
          <w:tcPr>
            <w:tcW w:w="1650" w:type="dxa"/>
            <w:vAlign w:val="center"/>
          </w:tcPr>
          <w:p w:rsidR="00F14AEA" w:rsidRDefault="00EC6028">
            <w:pPr>
              <w:jc w:val="right"/>
            </w:pPr>
            <w:r>
              <w:rPr>
                <w:color w:val="000000"/>
                <w:szCs w:val="21"/>
              </w:rPr>
              <w:t>1.39</w:t>
            </w:r>
          </w:p>
        </w:tc>
      </w:tr>
      <w:tr w:rsidR="00F14AEA">
        <w:trPr>
          <w:jc w:val="center"/>
        </w:trPr>
        <w:tc>
          <w:tcPr>
            <w:tcW w:w="555" w:type="dxa"/>
            <w:vAlign w:val="center"/>
          </w:tcPr>
          <w:p w:rsidR="00F14AEA" w:rsidRDefault="00EC6028">
            <w:pPr>
              <w:jc w:val="center"/>
            </w:pPr>
            <w:r>
              <w:rPr>
                <w:color w:val="000000"/>
                <w:szCs w:val="21"/>
              </w:rPr>
              <w:t>14</w:t>
            </w:r>
          </w:p>
        </w:tc>
        <w:tc>
          <w:tcPr>
            <w:tcW w:w="2378" w:type="dxa"/>
            <w:vAlign w:val="center"/>
          </w:tcPr>
          <w:p w:rsidR="00F14AEA" w:rsidRDefault="00EC6028">
            <w:pPr>
              <w:jc w:val="center"/>
            </w:pPr>
            <w:r>
              <w:rPr>
                <w:color w:val="000000"/>
                <w:szCs w:val="21"/>
              </w:rPr>
              <w:t>Pretium Resources Inc</w:t>
            </w:r>
          </w:p>
        </w:tc>
        <w:tc>
          <w:tcPr>
            <w:tcW w:w="2552" w:type="dxa"/>
            <w:vAlign w:val="center"/>
          </w:tcPr>
          <w:p w:rsidR="00F14AEA" w:rsidRDefault="00EC6028">
            <w:pPr>
              <w:jc w:val="center"/>
            </w:pPr>
            <w:r>
              <w:rPr>
                <w:color w:val="000000"/>
                <w:szCs w:val="21"/>
              </w:rPr>
              <w:t>PVG CN</w:t>
            </w:r>
          </w:p>
        </w:tc>
        <w:tc>
          <w:tcPr>
            <w:tcW w:w="2130" w:type="dxa"/>
            <w:vAlign w:val="center"/>
          </w:tcPr>
          <w:p w:rsidR="00F14AEA" w:rsidRDefault="00EC6028">
            <w:pPr>
              <w:jc w:val="right"/>
            </w:pPr>
            <w:r>
              <w:rPr>
                <w:color w:val="000000"/>
                <w:szCs w:val="21"/>
              </w:rPr>
              <w:t>3,442,017.59</w:t>
            </w:r>
          </w:p>
        </w:tc>
        <w:tc>
          <w:tcPr>
            <w:tcW w:w="1650" w:type="dxa"/>
            <w:vAlign w:val="center"/>
          </w:tcPr>
          <w:p w:rsidR="00F14AEA" w:rsidRDefault="00EC6028">
            <w:pPr>
              <w:jc w:val="right"/>
            </w:pPr>
            <w:r>
              <w:rPr>
                <w:color w:val="000000"/>
                <w:szCs w:val="21"/>
              </w:rPr>
              <w:t>1.29</w:t>
            </w:r>
          </w:p>
        </w:tc>
      </w:tr>
      <w:tr w:rsidR="00F14AEA">
        <w:trPr>
          <w:jc w:val="center"/>
        </w:trPr>
        <w:tc>
          <w:tcPr>
            <w:tcW w:w="555" w:type="dxa"/>
            <w:vAlign w:val="center"/>
          </w:tcPr>
          <w:p w:rsidR="00F14AEA" w:rsidRDefault="00EC6028">
            <w:pPr>
              <w:jc w:val="center"/>
            </w:pPr>
            <w:r>
              <w:rPr>
                <w:color w:val="000000"/>
                <w:szCs w:val="21"/>
              </w:rPr>
              <w:t>15</w:t>
            </w:r>
          </w:p>
        </w:tc>
        <w:tc>
          <w:tcPr>
            <w:tcW w:w="2378" w:type="dxa"/>
            <w:vAlign w:val="center"/>
          </w:tcPr>
          <w:p w:rsidR="00F14AEA" w:rsidRDefault="00EC6028">
            <w:pPr>
              <w:jc w:val="center"/>
            </w:pPr>
            <w:r>
              <w:rPr>
                <w:color w:val="000000"/>
                <w:szCs w:val="21"/>
              </w:rPr>
              <w:t>Franco-Nevada Corp</w:t>
            </w:r>
          </w:p>
        </w:tc>
        <w:tc>
          <w:tcPr>
            <w:tcW w:w="2552" w:type="dxa"/>
            <w:vAlign w:val="center"/>
          </w:tcPr>
          <w:p w:rsidR="00F14AEA" w:rsidRDefault="00EC6028">
            <w:pPr>
              <w:jc w:val="center"/>
            </w:pPr>
            <w:r>
              <w:rPr>
                <w:color w:val="000000"/>
                <w:szCs w:val="21"/>
              </w:rPr>
              <w:t>FNV CN</w:t>
            </w:r>
          </w:p>
        </w:tc>
        <w:tc>
          <w:tcPr>
            <w:tcW w:w="2130" w:type="dxa"/>
            <w:vAlign w:val="center"/>
          </w:tcPr>
          <w:p w:rsidR="00F14AEA" w:rsidRDefault="00EC6028">
            <w:pPr>
              <w:jc w:val="right"/>
            </w:pPr>
            <w:r>
              <w:rPr>
                <w:color w:val="000000"/>
                <w:szCs w:val="21"/>
              </w:rPr>
              <w:t>3,107,071.53</w:t>
            </w:r>
          </w:p>
        </w:tc>
        <w:tc>
          <w:tcPr>
            <w:tcW w:w="1650" w:type="dxa"/>
            <w:vAlign w:val="center"/>
          </w:tcPr>
          <w:p w:rsidR="00F14AEA" w:rsidRDefault="00EC6028">
            <w:pPr>
              <w:jc w:val="right"/>
            </w:pPr>
            <w:r>
              <w:rPr>
                <w:color w:val="000000"/>
                <w:szCs w:val="21"/>
              </w:rPr>
              <w:t>1.16</w:t>
            </w:r>
          </w:p>
        </w:tc>
      </w:tr>
      <w:tr w:rsidR="00F14AEA">
        <w:trPr>
          <w:jc w:val="center"/>
        </w:trPr>
        <w:tc>
          <w:tcPr>
            <w:tcW w:w="555" w:type="dxa"/>
            <w:vAlign w:val="center"/>
          </w:tcPr>
          <w:p w:rsidR="00F14AEA" w:rsidRDefault="00EC6028">
            <w:pPr>
              <w:jc w:val="center"/>
            </w:pPr>
            <w:r>
              <w:rPr>
                <w:color w:val="000000"/>
                <w:szCs w:val="21"/>
              </w:rPr>
              <w:t>16</w:t>
            </w:r>
          </w:p>
        </w:tc>
        <w:tc>
          <w:tcPr>
            <w:tcW w:w="2378" w:type="dxa"/>
            <w:vAlign w:val="center"/>
          </w:tcPr>
          <w:p w:rsidR="00F14AEA" w:rsidRDefault="00EC6028">
            <w:pPr>
              <w:jc w:val="center"/>
            </w:pPr>
            <w:r>
              <w:rPr>
                <w:color w:val="000000"/>
                <w:szCs w:val="21"/>
              </w:rPr>
              <w:t>Newmont Goldcorp Corp</w:t>
            </w:r>
          </w:p>
        </w:tc>
        <w:tc>
          <w:tcPr>
            <w:tcW w:w="2552" w:type="dxa"/>
            <w:vAlign w:val="center"/>
          </w:tcPr>
          <w:p w:rsidR="00F14AEA" w:rsidRDefault="00EC6028">
            <w:pPr>
              <w:jc w:val="center"/>
            </w:pPr>
            <w:r>
              <w:rPr>
                <w:color w:val="000000"/>
                <w:szCs w:val="21"/>
              </w:rPr>
              <w:t>NEM US</w:t>
            </w:r>
          </w:p>
        </w:tc>
        <w:tc>
          <w:tcPr>
            <w:tcW w:w="2130" w:type="dxa"/>
            <w:vAlign w:val="center"/>
          </w:tcPr>
          <w:p w:rsidR="00F14AEA" w:rsidRDefault="00EC6028">
            <w:pPr>
              <w:jc w:val="right"/>
            </w:pPr>
            <w:r>
              <w:rPr>
                <w:color w:val="000000"/>
                <w:szCs w:val="21"/>
              </w:rPr>
              <w:t>2,401,467.29</w:t>
            </w:r>
          </w:p>
        </w:tc>
        <w:tc>
          <w:tcPr>
            <w:tcW w:w="1650" w:type="dxa"/>
            <w:vAlign w:val="center"/>
          </w:tcPr>
          <w:p w:rsidR="00F14AEA" w:rsidRDefault="00EC6028">
            <w:pPr>
              <w:jc w:val="right"/>
            </w:pPr>
            <w:r>
              <w:rPr>
                <w:color w:val="000000"/>
                <w:szCs w:val="21"/>
              </w:rPr>
              <w:t>0.90</w:t>
            </w:r>
          </w:p>
        </w:tc>
      </w:tr>
      <w:tr w:rsidR="00F14AEA">
        <w:trPr>
          <w:jc w:val="center"/>
        </w:trPr>
        <w:tc>
          <w:tcPr>
            <w:tcW w:w="555" w:type="dxa"/>
            <w:vAlign w:val="center"/>
          </w:tcPr>
          <w:p w:rsidR="00F14AEA" w:rsidRDefault="00EC6028">
            <w:pPr>
              <w:jc w:val="center"/>
            </w:pPr>
            <w:r>
              <w:rPr>
                <w:color w:val="000000"/>
                <w:szCs w:val="21"/>
              </w:rPr>
              <w:t>17</w:t>
            </w:r>
          </w:p>
        </w:tc>
        <w:tc>
          <w:tcPr>
            <w:tcW w:w="2378" w:type="dxa"/>
            <w:vAlign w:val="center"/>
          </w:tcPr>
          <w:p w:rsidR="00F14AEA" w:rsidRDefault="00EC6028">
            <w:pPr>
              <w:jc w:val="center"/>
            </w:pPr>
            <w:r>
              <w:rPr>
                <w:color w:val="000000"/>
                <w:szCs w:val="21"/>
              </w:rPr>
              <w:t>OceanaGold Corp</w:t>
            </w:r>
          </w:p>
        </w:tc>
        <w:tc>
          <w:tcPr>
            <w:tcW w:w="2552" w:type="dxa"/>
            <w:vAlign w:val="center"/>
          </w:tcPr>
          <w:p w:rsidR="00F14AEA" w:rsidRDefault="00EC6028">
            <w:pPr>
              <w:jc w:val="center"/>
            </w:pPr>
            <w:r>
              <w:rPr>
                <w:color w:val="000000"/>
                <w:szCs w:val="21"/>
              </w:rPr>
              <w:t>OGC CN</w:t>
            </w:r>
          </w:p>
        </w:tc>
        <w:tc>
          <w:tcPr>
            <w:tcW w:w="2130" w:type="dxa"/>
            <w:vAlign w:val="center"/>
          </w:tcPr>
          <w:p w:rsidR="00F14AEA" w:rsidRDefault="00EC6028">
            <w:pPr>
              <w:jc w:val="right"/>
            </w:pPr>
            <w:r>
              <w:rPr>
                <w:color w:val="000000"/>
                <w:szCs w:val="21"/>
              </w:rPr>
              <w:t>2,397,993.53</w:t>
            </w:r>
          </w:p>
        </w:tc>
        <w:tc>
          <w:tcPr>
            <w:tcW w:w="1650" w:type="dxa"/>
            <w:vAlign w:val="center"/>
          </w:tcPr>
          <w:p w:rsidR="00F14AEA" w:rsidRDefault="00EC6028">
            <w:pPr>
              <w:jc w:val="right"/>
            </w:pPr>
            <w:r>
              <w:rPr>
                <w:color w:val="000000"/>
                <w:szCs w:val="21"/>
              </w:rPr>
              <w:t>0.90</w:t>
            </w:r>
          </w:p>
        </w:tc>
      </w:tr>
      <w:tr w:rsidR="00F14AEA">
        <w:trPr>
          <w:jc w:val="center"/>
        </w:trPr>
        <w:tc>
          <w:tcPr>
            <w:tcW w:w="555" w:type="dxa"/>
            <w:vAlign w:val="center"/>
          </w:tcPr>
          <w:p w:rsidR="00F14AEA" w:rsidRDefault="00EC6028">
            <w:pPr>
              <w:jc w:val="center"/>
            </w:pPr>
            <w:r>
              <w:rPr>
                <w:color w:val="000000"/>
                <w:szCs w:val="21"/>
              </w:rPr>
              <w:t>18</w:t>
            </w:r>
          </w:p>
        </w:tc>
        <w:tc>
          <w:tcPr>
            <w:tcW w:w="2378" w:type="dxa"/>
            <w:vAlign w:val="center"/>
          </w:tcPr>
          <w:p w:rsidR="00F14AEA" w:rsidRDefault="00EC6028">
            <w:pPr>
              <w:jc w:val="center"/>
            </w:pPr>
            <w:r>
              <w:rPr>
                <w:color w:val="000000"/>
                <w:szCs w:val="21"/>
              </w:rPr>
              <w:t>Pan American Silver Corp</w:t>
            </w:r>
          </w:p>
        </w:tc>
        <w:tc>
          <w:tcPr>
            <w:tcW w:w="2552" w:type="dxa"/>
            <w:vAlign w:val="center"/>
          </w:tcPr>
          <w:p w:rsidR="00F14AEA" w:rsidRDefault="00EC6028">
            <w:pPr>
              <w:jc w:val="center"/>
            </w:pPr>
            <w:r>
              <w:rPr>
                <w:color w:val="000000"/>
                <w:szCs w:val="21"/>
              </w:rPr>
              <w:t>PAAS US</w:t>
            </w:r>
          </w:p>
        </w:tc>
        <w:tc>
          <w:tcPr>
            <w:tcW w:w="2130" w:type="dxa"/>
            <w:vAlign w:val="center"/>
          </w:tcPr>
          <w:p w:rsidR="00F14AEA" w:rsidRDefault="00EC6028">
            <w:pPr>
              <w:jc w:val="right"/>
            </w:pPr>
            <w:r>
              <w:rPr>
                <w:color w:val="000000"/>
                <w:szCs w:val="21"/>
              </w:rPr>
              <w:t>2,369,509.61</w:t>
            </w:r>
          </w:p>
        </w:tc>
        <w:tc>
          <w:tcPr>
            <w:tcW w:w="1650" w:type="dxa"/>
            <w:vAlign w:val="center"/>
          </w:tcPr>
          <w:p w:rsidR="00F14AEA" w:rsidRDefault="00EC6028">
            <w:pPr>
              <w:jc w:val="right"/>
            </w:pPr>
            <w:r>
              <w:rPr>
                <w:color w:val="000000"/>
                <w:szCs w:val="21"/>
              </w:rPr>
              <w:t>0.89</w:t>
            </w:r>
          </w:p>
        </w:tc>
      </w:tr>
      <w:tr w:rsidR="00F14AEA">
        <w:trPr>
          <w:jc w:val="center"/>
        </w:trPr>
        <w:tc>
          <w:tcPr>
            <w:tcW w:w="555" w:type="dxa"/>
            <w:vAlign w:val="center"/>
          </w:tcPr>
          <w:p w:rsidR="00F14AEA" w:rsidRDefault="00EC6028">
            <w:pPr>
              <w:jc w:val="center"/>
            </w:pPr>
            <w:r>
              <w:rPr>
                <w:color w:val="000000"/>
                <w:szCs w:val="21"/>
              </w:rPr>
              <w:t>19</w:t>
            </w:r>
          </w:p>
        </w:tc>
        <w:tc>
          <w:tcPr>
            <w:tcW w:w="2378" w:type="dxa"/>
            <w:vAlign w:val="center"/>
          </w:tcPr>
          <w:p w:rsidR="00F14AEA" w:rsidRDefault="00EC6028">
            <w:pPr>
              <w:jc w:val="center"/>
            </w:pPr>
            <w:r>
              <w:rPr>
                <w:color w:val="000000"/>
                <w:szCs w:val="21"/>
              </w:rPr>
              <w:t>SSR Mining Inc</w:t>
            </w:r>
          </w:p>
        </w:tc>
        <w:tc>
          <w:tcPr>
            <w:tcW w:w="2552" w:type="dxa"/>
            <w:vAlign w:val="center"/>
          </w:tcPr>
          <w:p w:rsidR="00F14AEA" w:rsidRDefault="00EC6028">
            <w:pPr>
              <w:jc w:val="center"/>
            </w:pPr>
            <w:r>
              <w:rPr>
                <w:color w:val="000000"/>
                <w:szCs w:val="21"/>
              </w:rPr>
              <w:t>SSRM US</w:t>
            </w:r>
          </w:p>
        </w:tc>
        <w:tc>
          <w:tcPr>
            <w:tcW w:w="2130" w:type="dxa"/>
            <w:vAlign w:val="center"/>
          </w:tcPr>
          <w:p w:rsidR="00F14AEA" w:rsidRDefault="00EC6028">
            <w:pPr>
              <w:jc w:val="right"/>
            </w:pPr>
            <w:r>
              <w:rPr>
                <w:color w:val="000000"/>
                <w:szCs w:val="21"/>
              </w:rPr>
              <w:t>1,314,351.66</w:t>
            </w:r>
          </w:p>
        </w:tc>
        <w:tc>
          <w:tcPr>
            <w:tcW w:w="1650" w:type="dxa"/>
            <w:vAlign w:val="center"/>
          </w:tcPr>
          <w:p w:rsidR="00F14AEA" w:rsidRDefault="00EC6028">
            <w:pPr>
              <w:jc w:val="right"/>
            </w:pPr>
            <w:r>
              <w:rPr>
                <w:color w:val="000000"/>
                <w:szCs w:val="21"/>
              </w:rPr>
              <w:t>0.49</w:t>
            </w:r>
          </w:p>
        </w:tc>
      </w:tr>
      <w:tr w:rsidR="00F14AEA">
        <w:trPr>
          <w:jc w:val="center"/>
        </w:trPr>
        <w:tc>
          <w:tcPr>
            <w:tcW w:w="555" w:type="dxa"/>
            <w:vAlign w:val="center"/>
          </w:tcPr>
          <w:p w:rsidR="00F14AEA" w:rsidRDefault="00EC6028">
            <w:pPr>
              <w:jc w:val="center"/>
            </w:pPr>
            <w:r>
              <w:rPr>
                <w:color w:val="000000"/>
                <w:szCs w:val="21"/>
              </w:rPr>
              <w:t>20</w:t>
            </w:r>
          </w:p>
        </w:tc>
        <w:tc>
          <w:tcPr>
            <w:tcW w:w="2378" w:type="dxa"/>
            <w:vAlign w:val="center"/>
          </w:tcPr>
          <w:p w:rsidR="00F14AEA" w:rsidRDefault="00EC6028">
            <w:pPr>
              <w:jc w:val="center"/>
            </w:pPr>
            <w:r>
              <w:rPr>
                <w:color w:val="000000"/>
                <w:szCs w:val="21"/>
              </w:rPr>
              <w:t>Aurelia Metals Ltd</w:t>
            </w:r>
          </w:p>
        </w:tc>
        <w:tc>
          <w:tcPr>
            <w:tcW w:w="2552" w:type="dxa"/>
            <w:vAlign w:val="center"/>
          </w:tcPr>
          <w:p w:rsidR="00F14AEA" w:rsidRDefault="00EC6028">
            <w:pPr>
              <w:jc w:val="center"/>
            </w:pPr>
            <w:r>
              <w:rPr>
                <w:color w:val="000000"/>
                <w:szCs w:val="21"/>
              </w:rPr>
              <w:t>AMI AU</w:t>
            </w:r>
          </w:p>
        </w:tc>
        <w:tc>
          <w:tcPr>
            <w:tcW w:w="2130" w:type="dxa"/>
            <w:vAlign w:val="center"/>
          </w:tcPr>
          <w:p w:rsidR="00F14AEA" w:rsidRDefault="00EC6028">
            <w:pPr>
              <w:jc w:val="right"/>
            </w:pPr>
            <w:r>
              <w:rPr>
                <w:color w:val="000000"/>
                <w:szCs w:val="21"/>
              </w:rPr>
              <w:t>970,603.23</w:t>
            </w:r>
          </w:p>
        </w:tc>
        <w:tc>
          <w:tcPr>
            <w:tcW w:w="1650" w:type="dxa"/>
            <w:vAlign w:val="center"/>
          </w:tcPr>
          <w:p w:rsidR="00F14AEA" w:rsidRDefault="00EC6028">
            <w:pPr>
              <w:jc w:val="right"/>
            </w:pPr>
            <w:r>
              <w:rPr>
                <w:color w:val="000000"/>
                <w:szCs w:val="21"/>
              </w:rPr>
              <w:t>0.36</w:t>
            </w:r>
          </w:p>
        </w:tc>
      </w:tr>
    </w:tbl>
    <w:p w:rsidR="00F14AEA" w:rsidRDefault="00EC6028">
      <w:pPr>
        <w:spacing w:line="360" w:lineRule="auto"/>
        <w:ind w:firstLineChars="200" w:firstLine="420"/>
        <w:jc w:val="left"/>
        <w:rPr>
          <w:color w:val="000000"/>
          <w:szCs w:val="21"/>
        </w:rPr>
      </w:pPr>
      <w:r>
        <w:rPr>
          <w:color w:val="000000"/>
          <w:szCs w:val="21"/>
        </w:rPr>
        <w:t>注：</w:t>
      </w:r>
      <w:r>
        <w:rPr>
          <w:color w:val="000000"/>
          <w:szCs w:val="21"/>
        </w:rPr>
        <w:t>1.</w:t>
      </w:r>
      <w:r>
        <w:rPr>
          <w:color w:val="000000"/>
          <w:szCs w:val="21"/>
        </w:rPr>
        <w:t>卖出金额按买卖成交金额（成交单价乘以成交数量）填列，不考虑相关交易费用。</w:t>
      </w:r>
    </w:p>
    <w:p w:rsidR="000D4783" w:rsidRPr="00A77606" w:rsidRDefault="000D4783" w:rsidP="000D4783">
      <w:pPr>
        <w:spacing w:line="360" w:lineRule="auto"/>
        <w:ind w:firstLineChars="200" w:firstLine="420"/>
        <w:jc w:val="left"/>
        <w:rPr>
          <w:color w:val="000000"/>
          <w:szCs w:val="21"/>
        </w:rPr>
      </w:pPr>
      <w:r w:rsidRPr="003671D5">
        <w:rPr>
          <w:color w:val="000000"/>
          <w:szCs w:val="21"/>
        </w:rPr>
        <w:t>2.</w:t>
      </w:r>
      <w:r w:rsidRPr="003671D5">
        <w:rPr>
          <w:color w:val="000000"/>
          <w:szCs w:val="21"/>
        </w:rPr>
        <w:t>此处所用证券代码的类别是当地市场代码。</w:t>
      </w:r>
    </w:p>
    <w:p w:rsidR="000D4783" w:rsidRPr="00D0372D" w:rsidRDefault="000D4783" w:rsidP="000D4783">
      <w:pPr>
        <w:autoSpaceDE w:val="0"/>
        <w:autoSpaceDN w:val="0"/>
        <w:adjustRightInd w:val="0"/>
        <w:snapToGrid w:val="0"/>
        <w:spacing w:line="360" w:lineRule="auto"/>
        <w:jc w:val="left"/>
        <w:rPr>
          <w:rFonts w:ascii="宋体" w:hAnsi="宋体"/>
          <w:b/>
          <w:color w:val="000000"/>
          <w:kern w:val="0"/>
          <w:szCs w:val="21"/>
        </w:rPr>
      </w:pPr>
      <w:r w:rsidRPr="00D0372D">
        <w:rPr>
          <w:rFonts w:ascii="宋体" w:hAnsi="宋体"/>
          <w:b/>
          <w:kern w:val="0"/>
          <w:szCs w:val="21"/>
        </w:rPr>
        <w:t>8.5.3</w:t>
      </w:r>
      <w:r w:rsidRPr="00D0372D">
        <w:rPr>
          <w:rFonts w:ascii="宋体" w:hAnsi="宋体" w:hint="eastAsia"/>
          <w:b/>
          <w:kern w:val="0"/>
          <w:szCs w:val="21"/>
        </w:rPr>
        <w:t xml:space="preserve"> </w:t>
      </w:r>
      <w:r w:rsidRPr="00D0372D">
        <w:rPr>
          <w:rFonts w:ascii="宋体" w:hAnsi="宋体" w:hint="eastAsia"/>
          <w:b/>
          <w:color w:val="000000"/>
          <w:kern w:val="0"/>
          <w:szCs w:val="21"/>
        </w:rPr>
        <w:t>权益投资的买入成本总额及卖出收入总额</w:t>
      </w:r>
    </w:p>
    <w:p w:rsidR="000D4783" w:rsidRPr="00A77606" w:rsidRDefault="000D4783" w:rsidP="000D4783">
      <w:pPr>
        <w:autoSpaceDE w:val="0"/>
        <w:autoSpaceDN w:val="0"/>
        <w:adjustRightInd w:val="0"/>
        <w:spacing w:before="29" w:line="360" w:lineRule="auto"/>
        <w:ind w:left="15"/>
        <w:jc w:val="right"/>
        <w:rPr>
          <w:color w:val="000000"/>
          <w:szCs w:val="21"/>
        </w:rPr>
      </w:pPr>
      <w:r w:rsidRPr="00A77606">
        <w:rPr>
          <w:color w:val="000000"/>
          <w:szCs w:val="21"/>
        </w:rPr>
        <w:t>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0D4783" w:rsidRPr="00A77606" w:rsidTr="00AA712C">
        <w:trPr>
          <w:trHeight w:val="285"/>
          <w:jc w:val="center"/>
        </w:trPr>
        <w:tc>
          <w:tcPr>
            <w:tcW w:w="3727" w:type="dxa"/>
            <w:vAlign w:val="center"/>
          </w:tcPr>
          <w:p w:rsidR="000D4783" w:rsidRPr="00A77606" w:rsidRDefault="000D4783" w:rsidP="00AA712C">
            <w:pPr>
              <w:spacing w:line="360" w:lineRule="auto"/>
              <w:rPr>
                <w:color w:val="000000"/>
                <w:szCs w:val="21"/>
              </w:rPr>
            </w:pPr>
            <w:r w:rsidRPr="00A77606">
              <w:rPr>
                <w:color w:val="000000"/>
                <w:szCs w:val="21"/>
              </w:rPr>
              <w:t>买入成本（成交）总额</w:t>
            </w:r>
          </w:p>
        </w:tc>
        <w:tc>
          <w:tcPr>
            <w:tcW w:w="5629" w:type="dxa"/>
            <w:vAlign w:val="center"/>
          </w:tcPr>
          <w:p w:rsidR="000D4783" w:rsidRPr="00A77606" w:rsidRDefault="000D4783" w:rsidP="00AA712C">
            <w:pPr>
              <w:spacing w:line="360" w:lineRule="auto"/>
              <w:jc w:val="right"/>
              <w:rPr>
                <w:szCs w:val="21"/>
              </w:rPr>
            </w:pPr>
            <w:r w:rsidRPr="00A77606">
              <w:rPr>
                <w:szCs w:val="21"/>
              </w:rPr>
              <w:t>85,043,661.84</w:t>
            </w:r>
          </w:p>
        </w:tc>
      </w:tr>
      <w:tr w:rsidR="000D4783" w:rsidRPr="00A77606" w:rsidTr="00AA712C">
        <w:trPr>
          <w:trHeight w:val="285"/>
          <w:jc w:val="center"/>
        </w:trPr>
        <w:tc>
          <w:tcPr>
            <w:tcW w:w="3727" w:type="dxa"/>
            <w:vAlign w:val="center"/>
          </w:tcPr>
          <w:p w:rsidR="000D4783" w:rsidRPr="00A77606" w:rsidRDefault="000D4783" w:rsidP="00AA712C">
            <w:pPr>
              <w:spacing w:line="360" w:lineRule="auto"/>
              <w:rPr>
                <w:color w:val="000000"/>
                <w:szCs w:val="21"/>
              </w:rPr>
            </w:pPr>
            <w:r w:rsidRPr="00A77606">
              <w:rPr>
                <w:color w:val="000000"/>
                <w:szCs w:val="21"/>
              </w:rPr>
              <w:t>卖出收入（成交）总额</w:t>
            </w:r>
          </w:p>
        </w:tc>
        <w:tc>
          <w:tcPr>
            <w:tcW w:w="5629" w:type="dxa"/>
            <w:vAlign w:val="center"/>
          </w:tcPr>
          <w:p w:rsidR="000D4783" w:rsidRPr="00A77606" w:rsidRDefault="000D4783" w:rsidP="00AA712C">
            <w:pPr>
              <w:spacing w:line="360" w:lineRule="auto"/>
              <w:jc w:val="right"/>
              <w:rPr>
                <w:szCs w:val="21"/>
              </w:rPr>
            </w:pPr>
            <w:r w:rsidRPr="00A77606">
              <w:rPr>
                <w:szCs w:val="21"/>
              </w:rPr>
              <w:t>84,831,792.70</w:t>
            </w:r>
          </w:p>
        </w:tc>
      </w:tr>
    </w:tbl>
    <w:p w:rsidR="000D4783" w:rsidRPr="00A77606" w:rsidRDefault="000D4783" w:rsidP="000D4783">
      <w:pPr>
        <w:spacing w:line="360" w:lineRule="auto"/>
        <w:ind w:firstLineChars="200" w:firstLine="420"/>
        <w:jc w:val="left"/>
        <w:rPr>
          <w:color w:val="000000"/>
          <w:szCs w:val="21"/>
        </w:rPr>
      </w:pPr>
      <w:r w:rsidRPr="003671D5">
        <w:rPr>
          <w:color w:val="000000"/>
          <w:szCs w:val="21"/>
        </w:rPr>
        <w:t>注：</w:t>
      </w:r>
      <w:r w:rsidRPr="003671D5">
        <w:rPr>
          <w:color w:val="000000"/>
          <w:szCs w:val="21"/>
        </w:rPr>
        <w:t>“</w:t>
      </w:r>
      <w:r w:rsidRPr="003671D5">
        <w:rPr>
          <w:color w:val="000000"/>
          <w:szCs w:val="21"/>
        </w:rPr>
        <w:t>买入成本</w:t>
      </w:r>
      <w:r w:rsidRPr="003671D5">
        <w:rPr>
          <w:color w:val="000000"/>
          <w:szCs w:val="21"/>
        </w:rPr>
        <w:t>”</w:t>
      </w:r>
      <w:r w:rsidRPr="003671D5">
        <w:rPr>
          <w:color w:val="000000"/>
          <w:szCs w:val="21"/>
        </w:rPr>
        <w:t>或</w:t>
      </w:r>
      <w:r w:rsidRPr="003671D5">
        <w:rPr>
          <w:color w:val="000000"/>
          <w:szCs w:val="21"/>
        </w:rPr>
        <w:t>“</w:t>
      </w:r>
      <w:r w:rsidRPr="003671D5">
        <w:rPr>
          <w:color w:val="000000"/>
          <w:szCs w:val="21"/>
        </w:rPr>
        <w:t>卖出收入</w:t>
      </w:r>
      <w:r w:rsidRPr="003671D5">
        <w:rPr>
          <w:color w:val="000000"/>
          <w:szCs w:val="21"/>
        </w:rPr>
        <w:t>”</w:t>
      </w:r>
      <w:r w:rsidRPr="003671D5">
        <w:rPr>
          <w:color w:val="000000"/>
          <w:szCs w:val="21"/>
        </w:rPr>
        <w:t>均按买卖成交金额（成交单价乘以成交数量）填列，不考虑相关交易费用。</w:t>
      </w:r>
    </w:p>
    <w:p w:rsidR="000D4783" w:rsidRPr="00D0372D" w:rsidRDefault="000D4783" w:rsidP="000D4783">
      <w:pPr>
        <w:pStyle w:val="20"/>
        <w:spacing w:before="0" w:after="0"/>
        <w:rPr>
          <w:rFonts w:ascii="宋体" w:hAnsi="宋体"/>
          <w:kern w:val="0"/>
          <w:sz w:val="21"/>
          <w:szCs w:val="21"/>
        </w:rPr>
      </w:pPr>
      <w:bookmarkStart w:id="260" w:name="_Toc224618381"/>
      <w:bookmarkStart w:id="261" w:name="_Toc248233028"/>
      <w:bookmarkStart w:id="262" w:name="_Toc249790560"/>
      <w:bookmarkStart w:id="263" w:name="_Toc286929761"/>
      <w:bookmarkStart w:id="264" w:name="_Toc352256000"/>
      <w:bookmarkStart w:id="265" w:name="_Toc352256068"/>
      <w:bookmarkStart w:id="266" w:name="_Toc352331246"/>
      <w:bookmarkStart w:id="267" w:name="_Toc362424024"/>
      <w:bookmarkStart w:id="268" w:name="_Toc35533835"/>
      <w:r w:rsidRPr="00D0372D">
        <w:rPr>
          <w:rFonts w:ascii="宋体" w:hAnsi="宋体"/>
          <w:kern w:val="0"/>
          <w:sz w:val="21"/>
          <w:szCs w:val="21"/>
        </w:rPr>
        <w:t>8.6</w:t>
      </w:r>
      <w:r w:rsidR="00F73F35" w:rsidRPr="00940842">
        <w:rPr>
          <w:rFonts w:asciiTheme="majorEastAsia" w:eastAsiaTheme="majorEastAsia" w:hAnsiTheme="majorEastAsia"/>
          <w:color w:val="000000" w:themeColor="text1"/>
          <w:kern w:val="0"/>
          <w:sz w:val="21"/>
          <w:szCs w:val="21"/>
        </w:rPr>
        <w:t xml:space="preserve">    </w:t>
      </w:r>
      <w:r w:rsidRPr="00D0372D">
        <w:rPr>
          <w:rFonts w:ascii="宋体" w:hAnsi="宋体" w:hint="eastAsia"/>
          <w:kern w:val="0"/>
          <w:sz w:val="21"/>
          <w:szCs w:val="21"/>
        </w:rPr>
        <w:t>期末按债券信用等级分类的债券投资组合</w:t>
      </w:r>
      <w:bookmarkEnd w:id="260"/>
      <w:bookmarkEnd w:id="261"/>
      <w:bookmarkEnd w:id="262"/>
      <w:bookmarkEnd w:id="263"/>
      <w:bookmarkEnd w:id="264"/>
      <w:bookmarkEnd w:id="265"/>
      <w:bookmarkEnd w:id="266"/>
      <w:bookmarkEnd w:id="267"/>
      <w:bookmarkEnd w:id="268"/>
    </w:p>
    <w:p w:rsidR="000D4783" w:rsidRPr="00A77606" w:rsidRDefault="000D4783" w:rsidP="000D4783">
      <w:pPr>
        <w:spacing w:line="360" w:lineRule="auto"/>
        <w:ind w:firstLineChars="200" w:firstLine="420"/>
        <w:jc w:val="left"/>
        <w:rPr>
          <w:color w:val="000000"/>
          <w:szCs w:val="21"/>
        </w:rPr>
      </w:pPr>
      <w:r w:rsidRPr="003671D5">
        <w:rPr>
          <w:color w:val="000000"/>
          <w:szCs w:val="21"/>
        </w:rPr>
        <w:t>本基金本报告期末未持有债券。</w:t>
      </w:r>
    </w:p>
    <w:p w:rsidR="000D4783" w:rsidRPr="00D0372D" w:rsidRDefault="000D4783" w:rsidP="000D4783">
      <w:pPr>
        <w:pStyle w:val="20"/>
        <w:spacing w:before="0" w:after="0"/>
        <w:rPr>
          <w:rFonts w:ascii="宋体" w:hAnsi="宋体"/>
          <w:kern w:val="0"/>
          <w:sz w:val="21"/>
          <w:szCs w:val="21"/>
        </w:rPr>
      </w:pPr>
      <w:bookmarkStart w:id="269" w:name="_Toc224618382"/>
      <w:bookmarkStart w:id="270" w:name="_Toc248233029"/>
      <w:bookmarkStart w:id="271" w:name="_Toc249790561"/>
      <w:bookmarkStart w:id="272" w:name="_Toc286929762"/>
      <w:bookmarkStart w:id="273" w:name="_Toc352256001"/>
      <w:bookmarkStart w:id="274" w:name="_Toc352256069"/>
      <w:bookmarkStart w:id="275" w:name="_Toc352331247"/>
      <w:bookmarkStart w:id="276" w:name="_Toc362424025"/>
      <w:bookmarkStart w:id="277" w:name="_Toc35533836"/>
      <w:r w:rsidRPr="00D0372D">
        <w:rPr>
          <w:rFonts w:ascii="宋体" w:hAnsi="宋体"/>
          <w:kern w:val="0"/>
          <w:sz w:val="21"/>
          <w:szCs w:val="21"/>
        </w:rPr>
        <w:t>8.7</w:t>
      </w:r>
      <w:r w:rsidR="00F73F35" w:rsidRPr="00940842">
        <w:rPr>
          <w:rFonts w:asciiTheme="majorEastAsia" w:eastAsiaTheme="majorEastAsia" w:hAnsiTheme="majorEastAsia"/>
          <w:color w:val="000000" w:themeColor="text1"/>
          <w:kern w:val="0"/>
          <w:sz w:val="21"/>
          <w:szCs w:val="21"/>
        </w:rPr>
        <w:t xml:space="preserve">    </w:t>
      </w:r>
      <w:r>
        <w:rPr>
          <w:rFonts w:ascii="宋体" w:hAnsi="宋体" w:hint="eastAsia"/>
          <w:kern w:val="0"/>
          <w:sz w:val="21"/>
          <w:szCs w:val="21"/>
        </w:rPr>
        <w:t>期末按公允价值占基金资产净值比例大小排</w:t>
      </w:r>
      <w:r w:rsidR="00072D5C" w:rsidRPr="00072D5C">
        <w:rPr>
          <w:rFonts w:ascii="宋体" w:hAnsi="宋体" w:hint="eastAsia"/>
          <w:kern w:val="0"/>
          <w:sz w:val="21"/>
          <w:szCs w:val="21"/>
        </w:rPr>
        <w:t>名</w:t>
      </w:r>
      <w:r w:rsidRPr="00D0372D">
        <w:rPr>
          <w:rFonts w:ascii="宋体" w:hAnsi="宋体" w:hint="eastAsia"/>
          <w:kern w:val="0"/>
          <w:sz w:val="21"/>
          <w:szCs w:val="21"/>
        </w:rPr>
        <w:t>的前五名债券投资明细</w:t>
      </w:r>
      <w:bookmarkEnd w:id="269"/>
      <w:bookmarkEnd w:id="270"/>
      <w:bookmarkEnd w:id="271"/>
      <w:bookmarkEnd w:id="272"/>
      <w:bookmarkEnd w:id="273"/>
      <w:bookmarkEnd w:id="274"/>
      <w:bookmarkEnd w:id="275"/>
      <w:bookmarkEnd w:id="276"/>
      <w:bookmarkEnd w:id="277"/>
    </w:p>
    <w:p w:rsidR="000D4783" w:rsidRPr="00A77606" w:rsidRDefault="000D4783" w:rsidP="000D4783">
      <w:pPr>
        <w:spacing w:line="360" w:lineRule="auto"/>
        <w:ind w:firstLineChars="200" w:firstLine="420"/>
        <w:jc w:val="left"/>
        <w:rPr>
          <w:color w:val="000000"/>
          <w:szCs w:val="21"/>
        </w:rPr>
      </w:pPr>
      <w:r w:rsidRPr="003671D5">
        <w:rPr>
          <w:color w:val="000000"/>
          <w:szCs w:val="21"/>
        </w:rPr>
        <w:t>本基金本报告期末未持有债券。</w:t>
      </w:r>
    </w:p>
    <w:p w:rsidR="000D4783" w:rsidRPr="00D0372D" w:rsidRDefault="000D4783" w:rsidP="000D4783">
      <w:pPr>
        <w:pStyle w:val="20"/>
        <w:spacing w:before="0" w:after="0"/>
        <w:rPr>
          <w:rFonts w:ascii="宋体" w:hAnsi="宋体"/>
          <w:kern w:val="0"/>
          <w:sz w:val="21"/>
          <w:szCs w:val="21"/>
        </w:rPr>
      </w:pPr>
      <w:bookmarkStart w:id="278" w:name="_Toc224618383"/>
      <w:bookmarkStart w:id="279" w:name="_Toc248233030"/>
      <w:bookmarkStart w:id="280" w:name="_Toc249790562"/>
      <w:bookmarkStart w:id="281" w:name="_Toc286929763"/>
      <w:bookmarkStart w:id="282" w:name="_Toc352256002"/>
      <w:bookmarkStart w:id="283" w:name="_Toc352256070"/>
      <w:bookmarkStart w:id="284" w:name="_Toc352331248"/>
      <w:bookmarkStart w:id="285" w:name="_Toc362424026"/>
      <w:bookmarkStart w:id="286" w:name="_Toc35533837"/>
      <w:r w:rsidRPr="00D0372D">
        <w:rPr>
          <w:rFonts w:ascii="宋体" w:hAnsi="宋体"/>
          <w:kern w:val="0"/>
          <w:sz w:val="21"/>
          <w:szCs w:val="21"/>
        </w:rPr>
        <w:t>8.8</w:t>
      </w:r>
      <w:r w:rsidR="00F73F35" w:rsidRPr="00940842">
        <w:rPr>
          <w:rFonts w:asciiTheme="majorEastAsia" w:eastAsiaTheme="majorEastAsia" w:hAnsiTheme="majorEastAsia"/>
          <w:color w:val="000000" w:themeColor="text1"/>
          <w:kern w:val="0"/>
          <w:sz w:val="21"/>
          <w:szCs w:val="21"/>
        </w:rPr>
        <w:t xml:space="preserve">    </w:t>
      </w:r>
      <w:r w:rsidRPr="00D0372D">
        <w:rPr>
          <w:rFonts w:ascii="宋体" w:hAnsi="宋体" w:hint="eastAsia"/>
          <w:kern w:val="0"/>
          <w:sz w:val="21"/>
          <w:szCs w:val="21"/>
        </w:rPr>
        <w:t>期末按公允价值占基金资产净值比</w:t>
      </w:r>
      <w:r>
        <w:rPr>
          <w:rFonts w:ascii="宋体" w:hAnsi="宋体" w:hint="eastAsia"/>
          <w:kern w:val="0"/>
          <w:sz w:val="21"/>
          <w:szCs w:val="21"/>
        </w:rPr>
        <w:t>例大小排</w:t>
      </w:r>
      <w:r w:rsidR="00654528" w:rsidRPr="00072D5C">
        <w:rPr>
          <w:rFonts w:ascii="宋体" w:hAnsi="宋体" w:hint="eastAsia"/>
          <w:kern w:val="0"/>
          <w:sz w:val="21"/>
          <w:szCs w:val="21"/>
        </w:rPr>
        <w:t>名</w:t>
      </w:r>
      <w:r w:rsidRPr="00D0372D">
        <w:rPr>
          <w:rFonts w:ascii="宋体" w:hAnsi="宋体" w:hint="eastAsia"/>
          <w:kern w:val="0"/>
          <w:sz w:val="21"/>
          <w:szCs w:val="21"/>
        </w:rPr>
        <w:t>的所有资产支持证券投资明细</w:t>
      </w:r>
      <w:bookmarkEnd w:id="278"/>
      <w:bookmarkEnd w:id="279"/>
      <w:bookmarkEnd w:id="280"/>
      <w:bookmarkEnd w:id="281"/>
      <w:bookmarkEnd w:id="282"/>
      <w:bookmarkEnd w:id="283"/>
      <w:bookmarkEnd w:id="284"/>
      <w:bookmarkEnd w:id="285"/>
      <w:bookmarkEnd w:id="286"/>
    </w:p>
    <w:p w:rsidR="000D4783" w:rsidRPr="00A77606" w:rsidRDefault="000D4783" w:rsidP="000D4783">
      <w:pPr>
        <w:spacing w:line="360" w:lineRule="auto"/>
        <w:ind w:firstLineChars="200" w:firstLine="420"/>
        <w:jc w:val="left"/>
        <w:rPr>
          <w:color w:val="000000"/>
          <w:szCs w:val="21"/>
        </w:rPr>
      </w:pPr>
      <w:r w:rsidRPr="003671D5">
        <w:rPr>
          <w:color w:val="000000"/>
          <w:szCs w:val="21"/>
        </w:rPr>
        <w:t>本基金本报告期末未持有资产支持证券。</w:t>
      </w:r>
    </w:p>
    <w:p w:rsidR="000D4783" w:rsidRPr="00D0372D" w:rsidRDefault="000D4783" w:rsidP="000D4783">
      <w:pPr>
        <w:pStyle w:val="20"/>
        <w:spacing w:before="0" w:after="0"/>
        <w:rPr>
          <w:rFonts w:ascii="宋体" w:hAnsi="宋体"/>
          <w:kern w:val="0"/>
          <w:sz w:val="21"/>
          <w:szCs w:val="21"/>
        </w:rPr>
      </w:pPr>
      <w:bookmarkStart w:id="287" w:name="_Toc224618384"/>
      <w:bookmarkStart w:id="288" w:name="_Toc248233031"/>
      <w:bookmarkStart w:id="289" w:name="_Toc249790563"/>
      <w:bookmarkStart w:id="290" w:name="_Toc286929764"/>
      <w:bookmarkStart w:id="291" w:name="_Toc352256003"/>
      <w:bookmarkStart w:id="292" w:name="_Toc352256071"/>
      <w:bookmarkStart w:id="293" w:name="_Toc352331249"/>
      <w:bookmarkStart w:id="294" w:name="_Toc362424027"/>
      <w:bookmarkStart w:id="295" w:name="_Toc35533838"/>
      <w:r w:rsidRPr="00D0372D">
        <w:rPr>
          <w:rFonts w:ascii="宋体" w:hAnsi="宋体"/>
          <w:kern w:val="0"/>
          <w:sz w:val="21"/>
          <w:szCs w:val="21"/>
        </w:rPr>
        <w:t>8.9</w:t>
      </w:r>
      <w:r w:rsidR="00F73F35" w:rsidRPr="00940842">
        <w:rPr>
          <w:rFonts w:asciiTheme="majorEastAsia" w:eastAsiaTheme="majorEastAsia" w:hAnsiTheme="majorEastAsia"/>
          <w:color w:val="000000" w:themeColor="text1"/>
          <w:kern w:val="0"/>
          <w:sz w:val="21"/>
          <w:szCs w:val="21"/>
        </w:rPr>
        <w:t xml:space="preserve">    </w:t>
      </w:r>
      <w:r>
        <w:rPr>
          <w:rFonts w:ascii="宋体" w:hAnsi="宋体" w:hint="eastAsia"/>
          <w:kern w:val="0"/>
          <w:sz w:val="21"/>
          <w:szCs w:val="21"/>
        </w:rPr>
        <w:t>期末按公允价值占基金资产净值比例大小排</w:t>
      </w:r>
      <w:r w:rsidR="00654528" w:rsidRPr="00072D5C">
        <w:rPr>
          <w:rFonts w:ascii="宋体" w:hAnsi="宋体" w:hint="eastAsia"/>
          <w:kern w:val="0"/>
          <w:sz w:val="21"/>
          <w:szCs w:val="21"/>
        </w:rPr>
        <w:t>名</w:t>
      </w:r>
      <w:r w:rsidRPr="00D0372D">
        <w:rPr>
          <w:rFonts w:ascii="宋体" w:hAnsi="宋体" w:hint="eastAsia"/>
          <w:kern w:val="0"/>
          <w:sz w:val="21"/>
          <w:szCs w:val="21"/>
        </w:rPr>
        <w:t>的前五名金融衍生品投资明细</w:t>
      </w:r>
      <w:bookmarkEnd w:id="287"/>
      <w:bookmarkEnd w:id="288"/>
      <w:bookmarkEnd w:id="289"/>
      <w:bookmarkEnd w:id="290"/>
      <w:bookmarkEnd w:id="291"/>
      <w:bookmarkEnd w:id="292"/>
      <w:bookmarkEnd w:id="293"/>
      <w:bookmarkEnd w:id="294"/>
      <w:bookmarkEnd w:id="295"/>
    </w:p>
    <w:p w:rsidR="000D4783" w:rsidRPr="00A77606" w:rsidRDefault="000D4783" w:rsidP="000D4783">
      <w:pPr>
        <w:spacing w:line="360" w:lineRule="auto"/>
        <w:ind w:firstLineChars="200" w:firstLine="420"/>
        <w:jc w:val="left"/>
        <w:rPr>
          <w:color w:val="000000"/>
          <w:szCs w:val="21"/>
        </w:rPr>
      </w:pPr>
      <w:r w:rsidRPr="003671D5">
        <w:rPr>
          <w:color w:val="000000"/>
          <w:szCs w:val="21"/>
        </w:rPr>
        <w:t>本基金本报告期末未持有金融衍生品。</w:t>
      </w:r>
    </w:p>
    <w:p w:rsidR="000D4783" w:rsidRPr="00D0372D" w:rsidRDefault="000D4783" w:rsidP="000D4783">
      <w:pPr>
        <w:pStyle w:val="20"/>
        <w:spacing w:before="0" w:after="0"/>
        <w:rPr>
          <w:rFonts w:ascii="宋体" w:hAnsi="宋体"/>
          <w:kern w:val="0"/>
          <w:sz w:val="21"/>
          <w:szCs w:val="21"/>
        </w:rPr>
      </w:pPr>
      <w:bookmarkStart w:id="296" w:name="_Toc248233032"/>
      <w:bookmarkStart w:id="297" w:name="_Toc249790564"/>
      <w:bookmarkStart w:id="298" w:name="_Toc286929765"/>
      <w:bookmarkStart w:id="299" w:name="_Toc352256004"/>
      <w:bookmarkStart w:id="300" w:name="_Toc352256072"/>
      <w:bookmarkStart w:id="301" w:name="_Toc352331250"/>
      <w:bookmarkStart w:id="302" w:name="_Toc362424028"/>
      <w:bookmarkStart w:id="303" w:name="_Toc35533839"/>
      <w:r w:rsidRPr="00D0372D">
        <w:rPr>
          <w:rFonts w:ascii="宋体" w:hAnsi="宋体"/>
          <w:kern w:val="0"/>
          <w:sz w:val="21"/>
          <w:szCs w:val="21"/>
        </w:rPr>
        <w:t>8.10</w:t>
      </w:r>
      <w:bookmarkStart w:id="304" w:name="_Toc224618385"/>
      <w:r w:rsidR="00F73F35" w:rsidRPr="00940842">
        <w:rPr>
          <w:rFonts w:asciiTheme="majorEastAsia" w:eastAsiaTheme="majorEastAsia" w:hAnsiTheme="majorEastAsia"/>
          <w:color w:val="000000" w:themeColor="text1"/>
          <w:kern w:val="0"/>
          <w:sz w:val="21"/>
          <w:szCs w:val="21"/>
        </w:rPr>
        <w:t xml:space="preserve">    </w:t>
      </w:r>
      <w:r w:rsidRPr="00D0372D">
        <w:rPr>
          <w:rFonts w:ascii="宋体" w:hAnsi="宋体" w:hint="eastAsia"/>
          <w:kern w:val="0"/>
          <w:sz w:val="21"/>
          <w:szCs w:val="21"/>
        </w:rPr>
        <w:t>期末按公允价值占基金资产净值比例大小排序的前十名基金投资明细</w:t>
      </w:r>
      <w:bookmarkEnd w:id="296"/>
      <w:bookmarkEnd w:id="297"/>
      <w:bookmarkEnd w:id="298"/>
      <w:bookmarkEnd w:id="299"/>
      <w:bookmarkEnd w:id="300"/>
      <w:bookmarkEnd w:id="301"/>
      <w:bookmarkEnd w:id="302"/>
      <w:bookmarkEnd w:id="304"/>
      <w:bookmarkEnd w:id="303"/>
    </w:p>
    <w:p w:rsidR="000D4783" w:rsidRPr="00A77606" w:rsidRDefault="000D4783" w:rsidP="000D4783">
      <w:pPr>
        <w:autoSpaceDE w:val="0"/>
        <w:autoSpaceDN w:val="0"/>
        <w:adjustRightInd w:val="0"/>
        <w:spacing w:before="29" w:line="360" w:lineRule="auto"/>
        <w:ind w:left="15"/>
        <w:jc w:val="right"/>
        <w:rPr>
          <w:color w:val="000000"/>
          <w:szCs w:val="21"/>
        </w:rPr>
      </w:pPr>
      <w:r w:rsidRPr="00A77606">
        <w:rPr>
          <w:color w:val="000000"/>
          <w:szCs w:val="21"/>
        </w:rPr>
        <w:t>金额单位：人民币元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433"/>
        <w:gridCol w:w="1250"/>
        <w:gridCol w:w="870"/>
        <w:gridCol w:w="1428"/>
        <w:gridCol w:w="2249"/>
        <w:gridCol w:w="1416"/>
      </w:tblGrid>
      <w:tr w:rsidR="000D4783" w:rsidRPr="00A77606" w:rsidTr="00AA712C">
        <w:trPr>
          <w:jc w:val="center"/>
        </w:trPr>
        <w:tc>
          <w:tcPr>
            <w:tcW w:w="710" w:type="dxa"/>
            <w:vAlign w:val="center"/>
          </w:tcPr>
          <w:p w:rsidR="000D4783" w:rsidRPr="00A77606" w:rsidRDefault="000D4783" w:rsidP="00AA712C">
            <w:pPr>
              <w:spacing w:line="360" w:lineRule="auto"/>
              <w:jc w:val="center"/>
              <w:rPr>
                <w:color w:val="000000"/>
                <w:szCs w:val="21"/>
              </w:rPr>
            </w:pPr>
            <w:r w:rsidRPr="00A77606">
              <w:rPr>
                <w:color w:val="000000"/>
                <w:szCs w:val="21"/>
              </w:rPr>
              <w:t>序号</w:t>
            </w:r>
          </w:p>
        </w:tc>
        <w:tc>
          <w:tcPr>
            <w:tcW w:w="1433" w:type="dxa"/>
            <w:vAlign w:val="center"/>
          </w:tcPr>
          <w:p w:rsidR="000D4783" w:rsidRPr="00A77606" w:rsidRDefault="000D4783" w:rsidP="00AA712C">
            <w:pPr>
              <w:spacing w:line="360" w:lineRule="auto"/>
              <w:jc w:val="center"/>
              <w:rPr>
                <w:color w:val="000000"/>
                <w:szCs w:val="21"/>
              </w:rPr>
            </w:pPr>
            <w:r w:rsidRPr="00A77606">
              <w:rPr>
                <w:color w:val="000000"/>
                <w:szCs w:val="21"/>
              </w:rPr>
              <w:t>基金</w:t>
            </w:r>
          </w:p>
          <w:p w:rsidR="000D4783" w:rsidRPr="00A77606" w:rsidRDefault="000D4783" w:rsidP="00AA712C">
            <w:pPr>
              <w:spacing w:line="360" w:lineRule="auto"/>
              <w:jc w:val="center"/>
              <w:rPr>
                <w:color w:val="000000"/>
                <w:szCs w:val="21"/>
              </w:rPr>
            </w:pPr>
            <w:r w:rsidRPr="00A77606">
              <w:rPr>
                <w:color w:val="000000"/>
                <w:szCs w:val="21"/>
              </w:rPr>
              <w:t>名称</w:t>
            </w:r>
          </w:p>
        </w:tc>
        <w:tc>
          <w:tcPr>
            <w:tcW w:w="1250" w:type="dxa"/>
            <w:vAlign w:val="center"/>
          </w:tcPr>
          <w:p w:rsidR="000D4783" w:rsidRPr="00A77606" w:rsidRDefault="000D4783" w:rsidP="00AA712C">
            <w:pPr>
              <w:spacing w:line="360" w:lineRule="auto"/>
              <w:jc w:val="center"/>
              <w:rPr>
                <w:color w:val="000000"/>
                <w:szCs w:val="21"/>
              </w:rPr>
            </w:pPr>
            <w:r w:rsidRPr="00A77606">
              <w:rPr>
                <w:color w:val="000000"/>
                <w:szCs w:val="21"/>
              </w:rPr>
              <w:t>基金</w:t>
            </w:r>
          </w:p>
          <w:p w:rsidR="000D4783" w:rsidRPr="00A77606" w:rsidRDefault="000D4783" w:rsidP="00AA712C">
            <w:pPr>
              <w:spacing w:line="360" w:lineRule="auto"/>
              <w:jc w:val="center"/>
              <w:rPr>
                <w:color w:val="000000"/>
                <w:szCs w:val="21"/>
              </w:rPr>
            </w:pPr>
            <w:r w:rsidRPr="00A77606">
              <w:rPr>
                <w:color w:val="000000"/>
                <w:szCs w:val="21"/>
              </w:rPr>
              <w:t>类型</w:t>
            </w:r>
          </w:p>
        </w:tc>
        <w:tc>
          <w:tcPr>
            <w:tcW w:w="870" w:type="dxa"/>
            <w:vAlign w:val="center"/>
          </w:tcPr>
          <w:p w:rsidR="000D4783" w:rsidRPr="00A77606" w:rsidRDefault="000D4783" w:rsidP="00AA712C">
            <w:pPr>
              <w:spacing w:line="360" w:lineRule="auto"/>
              <w:jc w:val="center"/>
              <w:rPr>
                <w:color w:val="000000"/>
                <w:szCs w:val="21"/>
              </w:rPr>
            </w:pPr>
            <w:r w:rsidRPr="00A77606">
              <w:rPr>
                <w:color w:val="000000"/>
                <w:szCs w:val="21"/>
              </w:rPr>
              <w:t>运作</w:t>
            </w:r>
          </w:p>
          <w:p w:rsidR="000D4783" w:rsidRPr="00A77606" w:rsidRDefault="000D4783" w:rsidP="00AA712C">
            <w:pPr>
              <w:spacing w:line="360" w:lineRule="auto"/>
              <w:jc w:val="center"/>
              <w:rPr>
                <w:color w:val="000000"/>
                <w:szCs w:val="21"/>
              </w:rPr>
            </w:pPr>
            <w:r w:rsidRPr="00A77606">
              <w:rPr>
                <w:color w:val="000000"/>
                <w:szCs w:val="21"/>
              </w:rPr>
              <w:t>方式</w:t>
            </w:r>
          </w:p>
        </w:tc>
        <w:tc>
          <w:tcPr>
            <w:tcW w:w="1428" w:type="dxa"/>
            <w:vAlign w:val="center"/>
          </w:tcPr>
          <w:p w:rsidR="000D4783" w:rsidRPr="00A77606" w:rsidRDefault="000D4783" w:rsidP="00AA712C">
            <w:pPr>
              <w:spacing w:line="360" w:lineRule="auto"/>
              <w:jc w:val="center"/>
              <w:rPr>
                <w:color w:val="000000"/>
                <w:szCs w:val="21"/>
              </w:rPr>
            </w:pPr>
            <w:r w:rsidRPr="00A77606">
              <w:rPr>
                <w:color w:val="000000"/>
                <w:szCs w:val="21"/>
              </w:rPr>
              <w:t>管理人</w:t>
            </w:r>
          </w:p>
        </w:tc>
        <w:tc>
          <w:tcPr>
            <w:tcW w:w="2249" w:type="dxa"/>
            <w:vAlign w:val="center"/>
          </w:tcPr>
          <w:p w:rsidR="000D4783" w:rsidRPr="00A77606" w:rsidRDefault="000D4783" w:rsidP="00AA712C">
            <w:pPr>
              <w:spacing w:line="360" w:lineRule="auto"/>
              <w:jc w:val="center"/>
              <w:rPr>
                <w:color w:val="000000"/>
                <w:szCs w:val="21"/>
              </w:rPr>
            </w:pPr>
            <w:r w:rsidRPr="00A77606">
              <w:rPr>
                <w:color w:val="000000"/>
                <w:szCs w:val="21"/>
              </w:rPr>
              <w:t>公允价值</w:t>
            </w:r>
          </w:p>
        </w:tc>
        <w:tc>
          <w:tcPr>
            <w:tcW w:w="1416" w:type="dxa"/>
            <w:vAlign w:val="center"/>
          </w:tcPr>
          <w:p w:rsidR="000D4783" w:rsidRPr="00A77606" w:rsidRDefault="000D4783" w:rsidP="00AA712C">
            <w:pPr>
              <w:spacing w:line="360" w:lineRule="auto"/>
              <w:jc w:val="center"/>
              <w:rPr>
                <w:color w:val="000000"/>
                <w:szCs w:val="21"/>
              </w:rPr>
            </w:pPr>
            <w:r w:rsidRPr="00A77606">
              <w:rPr>
                <w:color w:val="000000"/>
                <w:szCs w:val="21"/>
              </w:rPr>
              <w:t>占基金资产净值比例</w:t>
            </w:r>
            <w:r w:rsidRPr="00A77606">
              <w:rPr>
                <w:color w:val="000000"/>
                <w:szCs w:val="21"/>
              </w:rPr>
              <w:t>(%)</w:t>
            </w:r>
          </w:p>
        </w:tc>
      </w:tr>
      <w:tr w:rsidR="00F14AEA">
        <w:trPr>
          <w:jc w:val="center"/>
        </w:trPr>
        <w:tc>
          <w:tcPr>
            <w:tcW w:w="710" w:type="dxa"/>
            <w:vAlign w:val="center"/>
          </w:tcPr>
          <w:p w:rsidR="00F14AEA" w:rsidRDefault="00EC6028">
            <w:pPr>
              <w:jc w:val="center"/>
            </w:pPr>
            <w:r>
              <w:rPr>
                <w:color w:val="000000"/>
                <w:szCs w:val="21"/>
              </w:rPr>
              <w:t>1</w:t>
            </w:r>
          </w:p>
        </w:tc>
        <w:tc>
          <w:tcPr>
            <w:tcW w:w="1433" w:type="dxa"/>
            <w:vAlign w:val="center"/>
          </w:tcPr>
          <w:p w:rsidR="00F14AEA" w:rsidRDefault="00EC6028">
            <w:pPr>
              <w:jc w:val="center"/>
            </w:pPr>
            <w:r>
              <w:rPr>
                <w:color w:val="000000"/>
                <w:szCs w:val="21"/>
              </w:rPr>
              <w:t>iShares MSCI Global Gold Miners ETF</w:t>
            </w:r>
          </w:p>
        </w:tc>
        <w:tc>
          <w:tcPr>
            <w:tcW w:w="1250" w:type="dxa"/>
            <w:vAlign w:val="center"/>
          </w:tcPr>
          <w:p w:rsidR="00F14AEA" w:rsidRDefault="00EC6028">
            <w:pPr>
              <w:jc w:val="center"/>
            </w:pPr>
            <w:r>
              <w:rPr>
                <w:color w:val="000000"/>
                <w:szCs w:val="21"/>
              </w:rPr>
              <w:t>ETF</w:t>
            </w:r>
          </w:p>
        </w:tc>
        <w:tc>
          <w:tcPr>
            <w:tcW w:w="870" w:type="dxa"/>
            <w:vAlign w:val="center"/>
          </w:tcPr>
          <w:p w:rsidR="00F14AEA" w:rsidRDefault="00EC6028">
            <w:pPr>
              <w:jc w:val="center"/>
            </w:pPr>
            <w:r>
              <w:rPr>
                <w:color w:val="000000"/>
                <w:szCs w:val="21"/>
              </w:rPr>
              <w:t>开放式</w:t>
            </w:r>
          </w:p>
        </w:tc>
        <w:tc>
          <w:tcPr>
            <w:tcW w:w="1428" w:type="dxa"/>
            <w:vAlign w:val="center"/>
          </w:tcPr>
          <w:p w:rsidR="00F14AEA" w:rsidRDefault="00EC6028">
            <w:pPr>
              <w:jc w:val="center"/>
            </w:pPr>
            <w:r>
              <w:rPr>
                <w:color w:val="000000"/>
                <w:szCs w:val="21"/>
              </w:rPr>
              <w:t>BlackRock Fund Advisors</w:t>
            </w:r>
          </w:p>
        </w:tc>
        <w:tc>
          <w:tcPr>
            <w:tcW w:w="2249" w:type="dxa"/>
            <w:vAlign w:val="center"/>
          </w:tcPr>
          <w:p w:rsidR="00F14AEA" w:rsidRDefault="00EC6028">
            <w:pPr>
              <w:jc w:val="right"/>
            </w:pPr>
            <w:r>
              <w:rPr>
                <w:color w:val="000000"/>
                <w:szCs w:val="21"/>
              </w:rPr>
              <w:t>66,949,809.72</w:t>
            </w:r>
          </w:p>
        </w:tc>
        <w:tc>
          <w:tcPr>
            <w:tcW w:w="1416" w:type="dxa"/>
            <w:vAlign w:val="center"/>
          </w:tcPr>
          <w:p w:rsidR="00F14AEA" w:rsidRDefault="00EC6028">
            <w:pPr>
              <w:jc w:val="right"/>
            </w:pPr>
            <w:r>
              <w:rPr>
                <w:color w:val="000000"/>
                <w:szCs w:val="21"/>
              </w:rPr>
              <w:t>18.25</w:t>
            </w:r>
          </w:p>
        </w:tc>
      </w:tr>
      <w:tr w:rsidR="00F14AEA">
        <w:trPr>
          <w:jc w:val="center"/>
        </w:trPr>
        <w:tc>
          <w:tcPr>
            <w:tcW w:w="710" w:type="dxa"/>
            <w:vAlign w:val="center"/>
          </w:tcPr>
          <w:p w:rsidR="00F14AEA" w:rsidRDefault="00EC6028">
            <w:pPr>
              <w:jc w:val="center"/>
            </w:pPr>
            <w:r>
              <w:rPr>
                <w:color w:val="000000"/>
                <w:szCs w:val="21"/>
              </w:rPr>
              <w:t>2</w:t>
            </w:r>
          </w:p>
        </w:tc>
        <w:tc>
          <w:tcPr>
            <w:tcW w:w="1433" w:type="dxa"/>
            <w:vAlign w:val="center"/>
          </w:tcPr>
          <w:p w:rsidR="00F14AEA" w:rsidRDefault="00EC6028">
            <w:pPr>
              <w:jc w:val="center"/>
            </w:pPr>
            <w:r>
              <w:rPr>
                <w:color w:val="000000"/>
                <w:szCs w:val="21"/>
              </w:rPr>
              <w:t>VanEck Vectors Gold Miners ETF</w:t>
            </w:r>
          </w:p>
        </w:tc>
        <w:tc>
          <w:tcPr>
            <w:tcW w:w="1250" w:type="dxa"/>
            <w:vAlign w:val="center"/>
          </w:tcPr>
          <w:p w:rsidR="00F14AEA" w:rsidRDefault="00EC6028">
            <w:pPr>
              <w:jc w:val="center"/>
            </w:pPr>
            <w:r>
              <w:rPr>
                <w:color w:val="000000"/>
                <w:szCs w:val="21"/>
              </w:rPr>
              <w:t>ETF</w:t>
            </w:r>
          </w:p>
        </w:tc>
        <w:tc>
          <w:tcPr>
            <w:tcW w:w="870" w:type="dxa"/>
            <w:vAlign w:val="center"/>
          </w:tcPr>
          <w:p w:rsidR="00F14AEA" w:rsidRDefault="00EC6028">
            <w:pPr>
              <w:jc w:val="center"/>
            </w:pPr>
            <w:r>
              <w:rPr>
                <w:color w:val="000000"/>
                <w:szCs w:val="21"/>
              </w:rPr>
              <w:t>开放式</w:t>
            </w:r>
          </w:p>
        </w:tc>
        <w:tc>
          <w:tcPr>
            <w:tcW w:w="1428" w:type="dxa"/>
            <w:vAlign w:val="center"/>
          </w:tcPr>
          <w:p w:rsidR="00F14AEA" w:rsidRDefault="00EC6028">
            <w:pPr>
              <w:jc w:val="center"/>
            </w:pPr>
            <w:r>
              <w:rPr>
                <w:color w:val="000000"/>
                <w:szCs w:val="21"/>
              </w:rPr>
              <w:t>Van Eck Associates Corp</w:t>
            </w:r>
          </w:p>
        </w:tc>
        <w:tc>
          <w:tcPr>
            <w:tcW w:w="2249" w:type="dxa"/>
            <w:vAlign w:val="center"/>
          </w:tcPr>
          <w:p w:rsidR="00F14AEA" w:rsidRDefault="00EC6028">
            <w:pPr>
              <w:jc w:val="right"/>
            </w:pPr>
            <w:r>
              <w:rPr>
                <w:color w:val="000000"/>
                <w:szCs w:val="21"/>
              </w:rPr>
              <w:t>61,731,792.17</w:t>
            </w:r>
          </w:p>
        </w:tc>
        <w:tc>
          <w:tcPr>
            <w:tcW w:w="1416" w:type="dxa"/>
            <w:vAlign w:val="center"/>
          </w:tcPr>
          <w:p w:rsidR="00F14AEA" w:rsidRDefault="00EC6028">
            <w:pPr>
              <w:jc w:val="right"/>
            </w:pPr>
            <w:r>
              <w:rPr>
                <w:color w:val="000000"/>
                <w:szCs w:val="21"/>
              </w:rPr>
              <w:t>16.83</w:t>
            </w:r>
          </w:p>
        </w:tc>
      </w:tr>
      <w:tr w:rsidR="00F14AEA">
        <w:trPr>
          <w:jc w:val="center"/>
        </w:trPr>
        <w:tc>
          <w:tcPr>
            <w:tcW w:w="710" w:type="dxa"/>
            <w:vAlign w:val="center"/>
          </w:tcPr>
          <w:p w:rsidR="00F14AEA" w:rsidRDefault="00EC6028">
            <w:pPr>
              <w:jc w:val="center"/>
            </w:pPr>
            <w:r>
              <w:rPr>
                <w:color w:val="000000"/>
                <w:szCs w:val="21"/>
              </w:rPr>
              <w:t>3</w:t>
            </w:r>
          </w:p>
        </w:tc>
        <w:tc>
          <w:tcPr>
            <w:tcW w:w="1433" w:type="dxa"/>
            <w:vAlign w:val="center"/>
          </w:tcPr>
          <w:p w:rsidR="00F14AEA" w:rsidRDefault="00EC6028">
            <w:pPr>
              <w:jc w:val="center"/>
            </w:pPr>
            <w:r>
              <w:rPr>
                <w:color w:val="000000"/>
                <w:szCs w:val="21"/>
              </w:rPr>
              <w:t>SPDR Gold MiniShares Trust</w:t>
            </w:r>
          </w:p>
        </w:tc>
        <w:tc>
          <w:tcPr>
            <w:tcW w:w="1250" w:type="dxa"/>
            <w:vAlign w:val="center"/>
          </w:tcPr>
          <w:p w:rsidR="00F14AEA" w:rsidRDefault="00EC6028">
            <w:pPr>
              <w:jc w:val="center"/>
            </w:pPr>
            <w:r>
              <w:rPr>
                <w:color w:val="000000"/>
                <w:szCs w:val="21"/>
              </w:rPr>
              <w:t>ETF</w:t>
            </w:r>
          </w:p>
        </w:tc>
        <w:tc>
          <w:tcPr>
            <w:tcW w:w="870" w:type="dxa"/>
            <w:vAlign w:val="center"/>
          </w:tcPr>
          <w:p w:rsidR="00F14AEA" w:rsidRDefault="00EC6028">
            <w:pPr>
              <w:jc w:val="center"/>
            </w:pPr>
            <w:r>
              <w:rPr>
                <w:color w:val="000000"/>
                <w:szCs w:val="21"/>
              </w:rPr>
              <w:t>开放式</w:t>
            </w:r>
          </w:p>
        </w:tc>
        <w:tc>
          <w:tcPr>
            <w:tcW w:w="1428" w:type="dxa"/>
            <w:vAlign w:val="center"/>
          </w:tcPr>
          <w:p w:rsidR="00F14AEA" w:rsidRDefault="00EC6028">
            <w:pPr>
              <w:jc w:val="center"/>
            </w:pPr>
            <w:r>
              <w:rPr>
                <w:color w:val="000000"/>
                <w:szCs w:val="21"/>
              </w:rPr>
              <w:t>World Gold Trust Services LLC</w:t>
            </w:r>
          </w:p>
        </w:tc>
        <w:tc>
          <w:tcPr>
            <w:tcW w:w="2249" w:type="dxa"/>
            <w:vAlign w:val="center"/>
          </w:tcPr>
          <w:p w:rsidR="00F14AEA" w:rsidRDefault="00EC6028">
            <w:pPr>
              <w:jc w:val="right"/>
            </w:pPr>
            <w:r>
              <w:rPr>
                <w:color w:val="000000"/>
                <w:szCs w:val="21"/>
              </w:rPr>
              <w:t>56,829,929.80</w:t>
            </w:r>
          </w:p>
        </w:tc>
        <w:tc>
          <w:tcPr>
            <w:tcW w:w="1416" w:type="dxa"/>
            <w:vAlign w:val="center"/>
          </w:tcPr>
          <w:p w:rsidR="00F14AEA" w:rsidRDefault="00EC6028">
            <w:pPr>
              <w:jc w:val="right"/>
            </w:pPr>
            <w:r>
              <w:rPr>
                <w:color w:val="000000"/>
                <w:szCs w:val="21"/>
              </w:rPr>
              <w:t>15.49</w:t>
            </w:r>
          </w:p>
        </w:tc>
      </w:tr>
      <w:tr w:rsidR="00F14AEA">
        <w:trPr>
          <w:jc w:val="center"/>
        </w:trPr>
        <w:tc>
          <w:tcPr>
            <w:tcW w:w="710" w:type="dxa"/>
            <w:vAlign w:val="center"/>
          </w:tcPr>
          <w:p w:rsidR="00F14AEA" w:rsidRDefault="00EC6028">
            <w:pPr>
              <w:jc w:val="center"/>
            </w:pPr>
            <w:r>
              <w:rPr>
                <w:color w:val="000000"/>
                <w:szCs w:val="21"/>
              </w:rPr>
              <w:t>4</w:t>
            </w:r>
          </w:p>
        </w:tc>
        <w:tc>
          <w:tcPr>
            <w:tcW w:w="1433" w:type="dxa"/>
            <w:vAlign w:val="center"/>
          </w:tcPr>
          <w:p w:rsidR="00F14AEA" w:rsidRDefault="00EC6028">
            <w:pPr>
              <w:jc w:val="center"/>
            </w:pPr>
            <w:r>
              <w:rPr>
                <w:color w:val="000000"/>
                <w:szCs w:val="21"/>
              </w:rPr>
              <w:t>SPDR Gold Shares</w:t>
            </w:r>
          </w:p>
        </w:tc>
        <w:tc>
          <w:tcPr>
            <w:tcW w:w="1250" w:type="dxa"/>
            <w:vAlign w:val="center"/>
          </w:tcPr>
          <w:p w:rsidR="00F14AEA" w:rsidRDefault="00EC6028">
            <w:pPr>
              <w:jc w:val="center"/>
            </w:pPr>
            <w:r>
              <w:rPr>
                <w:color w:val="000000"/>
                <w:szCs w:val="21"/>
              </w:rPr>
              <w:t>ETF</w:t>
            </w:r>
          </w:p>
        </w:tc>
        <w:tc>
          <w:tcPr>
            <w:tcW w:w="870" w:type="dxa"/>
            <w:vAlign w:val="center"/>
          </w:tcPr>
          <w:p w:rsidR="00F14AEA" w:rsidRDefault="00EC6028">
            <w:pPr>
              <w:jc w:val="center"/>
            </w:pPr>
            <w:r>
              <w:rPr>
                <w:color w:val="000000"/>
                <w:szCs w:val="21"/>
              </w:rPr>
              <w:t>开放式</w:t>
            </w:r>
          </w:p>
        </w:tc>
        <w:tc>
          <w:tcPr>
            <w:tcW w:w="1428" w:type="dxa"/>
            <w:vAlign w:val="center"/>
          </w:tcPr>
          <w:p w:rsidR="00F14AEA" w:rsidRDefault="00EC6028">
            <w:pPr>
              <w:jc w:val="center"/>
            </w:pPr>
            <w:r>
              <w:rPr>
                <w:color w:val="000000"/>
                <w:szCs w:val="21"/>
              </w:rPr>
              <w:t>World Gold Trust Services LLC</w:t>
            </w:r>
          </w:p>
        </w:tc>
        <w:tc>
          <w:tcPr>
            <w:tcW w:w="2249" w:type="dxa"/>
            <w:vAlign w:val="center"/>
          </w:tcPr>
          <w:p w:rsidR="00F14AEA" w:rsidRDefault="00EC6028">
            <w:pPr>
              <w:jc w:val="right"/>
            </w:pPr>
            <w:r>
              <w:rPr>
                <w:color w:val="000000"/>
                <w:szCs w:val="21"/>
              </w:rPr>
              <w:t>41,161,958.88</w:t>
            </w:r>
          </w:p>
        </w:tc>
        <w:tc>
          <w:tcPr>
            <w:tcW w:w="1416" w:type="dxa"/>
            <w:vAlign w:val="center"/>
          </w:tcPr>
          <w:p w:rsidR="00F14AEA" w:rsidRDefault="00EC6028">
            <w:pPr>
              <w:jc w:val="right"/>
            </w:pPr>
            <w:r>
              <w:rPr>
                <w:color w:val="000000"/>
                <w:szCs w:val="21"/>
              </w:rPr>
              <w:t>11.22</w:t>
            </w:r>
          </w:p>
        </w:tc>
      </w:tr>
      <w:tr w:rsidR="00F14AEA">
        <w:trPr>
          <w:jc w:val="center"/>
        </w:trPr>
        <w:tc>
          <w:tcPr>
            <w:tcW w:w="710" w:type="dxa"/>
            <w:vAlign w:val="center"/>
          </w:tcPr>
          <w:p w:rsidR="00F14AEA" w:rsidRDefault="00EC6028">
            <w:pPr>
              <w:jc w:val="center"/>
            </w:pPr>
            <w:r>
              <w:rPr>
                <w:color w:val="000000"/>
                <w:szCs w:val="21"/>
              </w:rPr>
              <w:t>5</w:t>
            </w:r>
          </w:p>
        </w:tc>
        <w:tc>
          <w:tcPr>
            <w:tcW w:w="1433" w:type="dxa"/>
            <w:vAlign w:val="center"/>
          </w:tcPr>
          <w:p w:rsidR="00F14AEA" w:rsidRDefault="00EC6028">
            <w:pPr>
              <w:jc w:val="center"/>
            </w:pPr>
            <w:r>
              <w:rPr>
                <w:color w:val="000000"/>
                <w:szCs w:val="21"/>
              </w:rPr>
              <w:t>iShares Gold Trust</w:t>
            </w:r>
          </w:p>
        </w:tc>
        <w:tc>
          <w:tcPr>
            <w:tcW w:w="1250" w:type="dxa"/>
            <w:vAlign w:val="center"/>
          </w:tcPr>
          <w:p w:rsidR="00F14AEA" w:rsidRDefault="00EC6028">
            <w:pPr>
              <w:jc w:val="center"/>
            </w:pPr>
            <w:r>
              <w:rPr>
                <w:color w:val="000000"/>
                <w:szCs w:val="21"/>
              </w:rPr>
              <w:t>ETF</w:t>
            </w:r>
          </w:p>
        </w:tc>
        <w:tc>
          <w:tcPr>
            <w:tcW w:w="870" w:type="dxa"/>
            <w:vAlign w:val="center"/>
          </w:tcPr>
          <w:p w:rsidR="00F14AEA" w:rsidRDefault="00EC6028">
            <w:pPr>
              <w:jc w:val="center"/>
            </w:pPr>
            <w:r>
              <w:rPr>
                <w:color w:val="000000"/>
                <w:szCs w:val="21"/>
              </w:rPr>
              <w:t>开放式</w:t>
            </w:r>
          </w:p>
        </w:tc>
        <w:tc>
          <w:tcPr>
            <w:tcW w:w="1428" w:type="dxa"/>
            <w:vAlign w:val="center"/>
          </w:tcPr>
          <w:p w:rsidR="00F14AEA" w:rsidRDefault="00EC6028">
            <w:pPr>
              <w:jc w:val="center"/>
            </w:pPr>
            <w:r>
              <w:rPr>
                <w:color w:val="000000"/>
                <w:szCs w:val="21"/>
              </w:rPr>
              <w:t>BlackRock Fund Advisors</w:t>
            </w:r>
          </w:p>
        </w:tc>
        <w:tc>
          <w:tcPr>
            <w:tcW w:w="2249" w:type="dxa"/>
            <w:vAlign w:val="center"/>
          </w:tcPr>
          <w:p w:rsidR="00F14AEA" w:rsidRDefault="00EC6028">
            <w:pPr>
              <w:jc w:val="right"/>
            </w:pPr>
            <w:r>
              <w:rPr>
                <w:color w:val="000000"/>
                <w:szCs w:val="21"/>
              </w:rPr>
              <w:t>41,112,284.85</w:t>
            </w:r>
          </w:p>
        </w:tc>
        <w:tc>
          <w:tcPr>
            <w:tcW w:w="1416" w:type="dxa"/>
            <w:vAlign w:val="center"/>
          </w:tcPr>
          <w:p w:rsidR="00F14AEA" w:rsidRDefault="00EC6028">
            <w:pPr>
              <w:jc w:val="right"/>
            </w:pPr>
            <w:r>
              <w:rPr>
                <w:color w:val="000000"/>
                <w:szCs w:val="21"/>
              </w:rPr>
              <w:t>11.21</w:t>
            </w:r>
          </w:p>
        </w:tc>
      </w:tr>
      <w:tr w:rsidR="00F14AEA">
        <w:trPr>
          <w:jc w:val="center"/>
        </w:trPr>
        <w:tc>
          <w:tcPr>
            <w:tcW w:w="710" w:type="dxa"/>
            <w:vAlign w:val="center"/>
          </w:tcPr>
          <w:p w:rsidR="00F14AEA" w:rsidRDefault="00EC6028">
            <w:pPr>
              <w:jc w:val="center"/>
            </w:pPr>
            <w:r>
              <w:rPr>
                <w:color w:val="000000"/>
                <w:szCs w:val="21"/>
              </w:rPr>
              <w:t>6</w:t>
            </w:r>
          </w:p>
        </w:tc>
        <w:tc>
          <w:tcPr>
            <w:tcW w:w="1433" w:type="dxa"/>
            <w:vAlign w:val="center"/>
          </w:tcPr>
          <w:p w:rsidR="00F14AEA" w:rsidRDefault="00EC6028">
            <w:pPr>
              <w:jc w:val="center"/>
            </w:pPr>
            <w:r>
              <w:rPr>
                <w:color w:val="000000"/>
                <w:szCs w:val="21"/>
              </w:rPr>
              <w:t>Sprott Gold Miners ETF</w:t>
            </w:r>
          </w:p>
        </w:tc>
        <w:tc>
          <w:tcPr>
            <w:tcW w:w="1250" w:type="dxa"/>
            <w:vAlign w:val="center"/>
          </w:tcPr>
          <w:p w:rsidR="00F14AEA" w:rsidRDefault="00EC6028">
            <w:pPr>
              <w:jc w:val="center"/>
            </w:pPr>
            <w:r>
              <w:rPr>
                <w:color w:val="000000"/>
                <w:szCs w:val="21"/>
              </w:rPr>
              <w:t>ETF</w:t>
            </w:r>
          </w:p>
        </w:tc>
        <w:tc>
          <w:tcPr>
            <w:tcW w:w="870" w:type="dxa"/>
            <w:vAlign w:val="center"/>
          </w:tcPr>
          <w:p w:rsidR="00F14AEA" w:rsidRDefault="00EC6028">
            <w:pPr>
              <w:jc w:val="center"/>
            </w:pPr>
            <w:r>
              <w:rPr>
                <w:color w:val="000000"/>
                <w:szCs w:val="21"/>
              </w:rPr>
              <w:t>开放式</w:t>
            </w:r>
          </w:p>
        </w:tc>
        <w:tc>
          <w:tcPr>
            <w:tcW w:w="1428" w:type="dxa"/>
            <w:vAlign w:val="center"/>
          </w:tcPr>
          <w:p w:rsidR="00F14AEA" w:rsidRDefault="00EC6028">
            <w:pPr>
              <w:jc w:val="center"/>
            </w:pPr>
            <w:r>
              <w:rPr>
                <w:color w:val="000000"/>
                <w:szCs w:val="21"/>
              </w:rPr>
              <w:t>ALPS Advisors Inc</w:t>
            </w:r>
          </w:p>
        </w:tc>
        <w:tc>
          <w:tcPr>
            <w:tcW w:w="2249" w:type="dxa"/>
            <w:vAlign w:val="center"/>
          </w:tcPr>
          <w:p w:rsidR="00F14AEA" w:rsidRDefault="00EC6028">
            <w:pPr>
              <w:jc w:val="right"/>
            </w:pPr>
            <w:r>
              <w:rPr>
                <w:color w:val="000000"/>
                <w:szCs w:val="21"/>
              </w:rPr>
              <w:t>28,094,686.58</w:t>
            </w:r>
          </w:p>
        </w:tc>
        <w:tc>
          <w:tcPr>
            <w:tcW w:w="1416" w:type="dxa"/>
            <w:vAlign w:val="center"/>
          </w:tcPr>
          <w:p w:rsidR="00F14AEA" w:rsidRDefault="00EC6028">
            <w:pPr>
              <w:jc w:val="right"/>
            </w:pPr>
            <w:r>
              <w:rPr>
                <w:color w:val="000000"/>
                <w:szCs w:val="21"/>
              </w:rPr>
              <w:t>7.66</w:t>
            </w:r>
          </w:p>
        </w:tc>
      </w:tr>
      <w:tr w:rsidR="00F14AEA">
        <w:trPr>
          <w:jc w:val="center"/>
        </w:trPr>
        <w:tc>
          <w:tcPr>
            <w:tcW w:w="710" w:type="dxa"/>
            <w:vAlign w:val="center"/>
          </w:tcPr>
          <w:p w:rsidR="00F14AEA" w:rsidRDefault="00EC6028">
            <w:pPr>
              <w:jc w:val="center"/>
            </w:pPr>
            <w:r>
              <w:rPr>
                <w:color w:val="000000"/>
                <w:szCs w:val="21"/>
              </w:rPr>
              <w:t>7</w:t>
            </w:r>
          </w:p>
        </w:tc>
        <w:tc>
          <w:tcPr>
            <w:tcW w:w="1433" w:type="dxa"/>
            <w:vAlign w:val="center"/>
          </w:tcPr>
          <w:p w:rsidR="00F14AEA" w:rsidRDefault="00EC6028">
            <w:pPr>
              <w:jc w:val="center"/>
            </w:pPr>
            <w:r>
              <w:rPr>
                <w:color w:val="000000"/>
                <w:szCs w:val="21"/>
              </w:rPr>
              <w:t>INVESTEC GS GLOBAL GOLD-I</w:t>
            </w:r>
          </w:p>
        </w:tc>
        <w:tc>
          <w:tcPr>
            <w:tcW w:w="1250" w:type="dxa"/>
            <w:vAlign w:val="center"/>
          </w:tcPr>
          <w:p w:rsidR="00F14AEA" w:rsidRDefault="00EC6028">
            <w:pPr>
              <w:jc w:val="center"/>
            </w:pPr>
            <w:r>
              <w:rPr>
                <w:color w:val="000000"/>
                <w:szCs w:val="21"/>
              </w:rPr>
              <w:t>SICAV</w:t>
            </w:r>
          </w:p>
        </w:tc>
        <w:tc>
          <w:tcPr>
            <w:tcW w:w="870" w:type="dxa"/>
            <w:vAlign w:val="center"/>
          </w:tcPr>
          <w:p w:rsidR="00F14AEA" w:rsidRDefault="00EC6028">
            <w:pPr>
              <w:jc w:val="center"/>
            </w:pPr>
            <w:r>
              <w:rPr>
                <w:color w:val="000000"/>
                <w:szCs w:val="21"/>
              </w:rPr>
              <w:t>开放式</w:t>
            </w:r>
          </w:p>
        </w:tc>
        <w:tc>
          <w:tcPr>
            <w:tcW w:w="1428" w:type="dxa"/>
            <w:vAlign w:val="center"/>
          </w:tcPr>
          <w:p w:rsidR="00F14AEA" w:rsidRDefault="00EC6028">
            <w:pPr>
              <w:jc w:val="center"/>
            </w:pPr>
            <w:r>
              <w:rPr>
                <w:color w:val="000000"/>
                <w:szCs w:val="21"/>
              </w:rPr>
              <w:t>Investec Asset Management Luxembourg SA</w:t>
            </w:r>
          </w:p>
        </w:tc>
        <w:tc>
          <w:tcPr>
            <w:tcW w:w="2249" w:type="dxa"/>
            <w:vAlign w:val="center"/>
          </w:tcPr>
          <w:p w:rsidR="00F14AEA" w:rsidRDefault="00EC6028">
            <w:pPr>
              <w:jc w:val="right"/>
            </w:pPr>
            <w:r>
              <w:rPr>
                <w:color w:val="000000"/>
                <w:szCs w:val="21"/>
              </w:rPr>
              <w:t>14,716,577.34</w:t>
            </w:r>
          </w:p>
        </w:tc>
        <w:tc>
          <w:tcPr>
            <w:tcW w:w="1416" w:type="dxa"/>
            <w:vAlign w:val="center"/>
          </w:tcPr>
          <w:p w:rsidR="00F14AEA" w:rsidRDefault="00EC6028">
            <w:pPr>
              <w:jc w:val="right"/>
            </w:pPr>
            <w:r>
              <w:rPr>
                <w:color w:val="000000"/>
                <w:szCs w:val="21"/>
              </w:rPr>
              <w:t>4.01</w:t>
            </w:r>
          </w:p>
        </w:tc>
      </w:tr>
      <w:tr w:rsidR="00F14AEA">
        <w:trPr>
          <w:jc w:val="center"/>
        </w:trPr>
        <w:tc>
          <w:tcPr>
            <w:tcW w:w="710" w:type="dxa"/>
            <w:vAlign w:val="center"/>
          </w:tcPr>
          <w:p w:rsidR="00F14AEA" w:rsidRDefault="00EC6028">
            <w:pPr>
              <w:jc w:val="center"/>
            </w:pPr>
            <w:r>
              <w:rPr>
                <w:color w:val="000000"/>
                <w:szCs w:val="21"/>
              </w:rPr>
              <w:t>8</w:t>
            </w:r>
          </w:p>
        </w:tc>
        <w:tc>
          <w:tcPr>
            <w:tcW w:w="1433" w:type="dxa"/>
            <w:vAlign w:val="center"/>
          </w:tcPr>
          <w:p w:rsidR="00F14AEA" w:rsidRDefault="00EC6028">
            <w:pPr>
              <w:jc w:val="center"/>
            </w:pPr>
            <w:r>
              <w:rPr>
                <w:color w:val="000000"/>
                <w:szCs w:val="21"/>
              </w:rPr>
              <w:t>Sprott Junior Gold Miners ETF</w:t>
            </w:r>
          </w:p>
        </w:tc>
        <w:tc>
          <w:tcPr>
            <w:tcW w:w="1250" w:type="dxa"/>
            <w:vAlign w:val="center"/>
          </w:tcPr>
          <w:p w:rsidR="00F14AEA" w:rsidRDefault="00EC6028">
            <w:pPr>
              <w:jc w:val="center"/>
            </w:pPr>
            <w:r>
              <w:rPr>
                <w:color w:val="000000"/>
                <w:szCs w:val="21"/>
              </w:rPr>
              <w:t>ETF</w:t>
            </w:r>
          </w:p>
        </w:tc>
        <w:tc>
          <w:tcPr>
            <w:tcW w:w="870" w:type="dxa"/>
            <w:vAlign w:val="center"/>
          </w:tcPr>
          <w:p w:rsidR="00F14AEA" w:rsidRDefault="00EC6028">
            <w:pPr>
              <w:jc w:val="center"/>
            </w:pPr>
            <w:r>
              <w:rPr>
                <w:color w:val="000000"/>
                <w:szCs w:val="21"/>
              </w:rPr>
              <w:t>开放式</w:t>
            </w:r>
          </w:p>
        </w:tc>
        <w:tc>
          <w:tcPr>
            <w:tcW w:w="1428" w:type="dxa"/>
            <w:vAlign w:val="center"/>
          </w:tcPr>
          <w:p w:rsidR="00F14AEA" w:rsidRDefault="00EC6028">
            <w:pPr>
              <w:jc w:val="center"/>
            </w:pPr>
            <w:r>
              <w:rPr>
                <w:color w:val="000000"/>
                <w:szCs w:val="21"/>
              </w:rPr>
              <w:t>ALPS Advisors Inc</w:t>
            </w:r>
          </w:p>
        </w:tc>
        <w:tc>
          <w:tcPr>
            <w:tcW w:w="2249" w:type="dxa"/>
            <w:vAlign w:val="center"/>
          </w:tcPr>
          <w:p w:rsidR="00F14AEA" w:rsidRDefault="00EC6028">
            <w:pPr>
              <w:jc w:val="right"/>
            </w:pPr>
            <w:r>
              <w:rPr>
                <w:color w:val="000000"/>
                <w:szCs w:val="21"/>
              </w:rPr>
              <w:t>12,817,814.83</w:t>
            </w:r>
          </w:p>
        </w:tc>
        <w:tc>
          <w:tcPr>
            <w:tcW w:w="1416" w:type="dxa"/>
            <w:vAlign w:val="center"/>
          </w:tcPr>
          <w:p w:rsidR="00F14AEA" w:rsidRDefault="00EC6028">
            <w:pPr>
              <w:jc w:val="right"/>
            </w:pPr>
            <w:r>
              <w:rPr>
                <w:color w:val="000000"/>
                <w:szCs w:val="21"/>
              </w:rPr>
              <w:t>3.49</w:t>
            </w:r>
          </w:p>
        </w:tc>
      </w:tr>
      <w:tr w:rsidR="00F14AEA">
        <w:trPr>
          <w:jc w:val="center"/>
        </w:trPr>
        <w:tc>
          <w:tcPr>
            <w:tcW w:w="710" w:type="dxa"/>
            <w:vAlign w:val="center"/>
          </w:tcPr>
          <w:p w:rsidR="00F14AEA" w:rsidRDefault="00EC6028">
            <w:pPr>
              <w:jc w:val="center"/>
            </w:pPr>
            <w:r>
              <w:rPr>
                <w:color w:val="000000"/>
                <w:szCs w:val="21"/>
              </w:rPr>
              <w:t>9</w:t>
            </w:r>
          </w:p>
        </w:tc>
        <w:tc>
          <w:tcPr>
            <w:tcW w:w="1433" w:type="dxa"/>
            <w:vAlign w:val="center"/>
          </w:tcPr>
          <w:p w:rsidR="00F14AEA" w:rsidRDefault="00EC6028">
            <w:pPr>
              <w:jc w:val="center"/>
            </w:pPr>
            <w:r>
              <w:rPr>
                <w:color w:val="000000"/>
                <w:szCs w:val="21"/>
              </w:rPr>
              <w:t>VanEck Vectors Junior Gold Miners ETF</w:t>
            </w:r>
          </w:p>
        </w:tc>
        <w:tc>
          <w:tcPr>
            <w:tcW w:w="1250" w:type="dxa"/>
            <w:vAlign w:val="center"/>
          </w:tcPr>
          <w:p w:rsidR="00F14AEA" w:rsidRDefault="00EC6028">
            <w:pPr>
              <w:jc w:val="center"/>
            </w:pPr>
            <w:r>
              <w:rPr>
                <w:color w:val="000000"/>
                <w:szCs w:val="21"/>
              </w:rPr>
              <w:t>ETF</w:t>
            </w:r>
          </w:p>
        </w:tc>
        <w:tc>
          <w:tcPr>
            <w:tcW w:w="870" w:type="dxa"/>
            <w:vAlign w:val="center"/>
          </w:tcPr>
          <w:p w:rsidR="00F14AEA" w:rsidRDefault="00EC6028">
            <w:pPr>
              <w:jc w:val="center"/>
            </w:pPr>
            <w:r>
              <w:rPr>
                <w:color w:val="000000"/>
                <w:szCs w:val="21"/>
              </w:rPr>
              <w:t>开放式</w:t>
            </w:r>
          </w:p>
        </w:tc>
        <w:tc>
          <w:tcPr>
            <w:tcW w:w="1428" w:type="dxa"/>
            <w:vAlign w:val="center"/>
          </w:tcPr>
          <w:p w:rsidR="00F14AEA" w:rsidRDefault="00EC6028">
            <w:pPr>
              <w:jc w:val="center"/>
            </w:pPr>
            <w:r>
              <w:rPr>
                <w:color w:val="000000"/>
                <w:szCs w:val="21"/>
              </w:rPr>
              <w:t>Van Eck Associates Corp</w:t>
            </w:r>
          </w:p>
        </w:tc>
        <w:tc>
          <w:tcPr>
            <w:tcW w:w="2249" w:type="dxa"/>
            <w:vAlign w:val="center"/>
          </w:tcPr>
          <w:p w:rsidR="00F14AEA" w:rsidRDefault="00EC6028">
            <w:pPr>
              <w:jc w:val="right"/>
            </w:pPr>
            <w:r>
              <w:rPr>
                <w:color w:val="000000"/>
                <w:szCs w:val="21"/>
              </w:rPr>
              <w:t>11,714,147.90</w:t>
            </w:r>
          </w:p>
        </w:tc>
        <w:tc>
          <w:tcPr>
            <w:tcW w:w="1416" w:type="dxa"/>
            <w:vAlign w:val="center"/>
          </w:tcPr>
          <w:p w:rsidR="00F14AEA" w:rsidRDefault="00EC6028">
            <w:pPr>
              <w:jc w:val="right"/>
            </w:pPr>
            <w:r>
              <w:rPr>
                <w:color w:val="000000"/>
                <w:szCs w:val="21"/>
              </w:rPr>
              <w:t>3.19</w:t>
            </w:r>
          </w:p>
        </w:tc>
      </w:tr>
      <w:tr w:rsidR="00F14AEA">
        <w:trPr>
          <w:jc w:val="center"/>
        </w:trPr>
        <w:tc>
          <w:tcPr>
            <w:tcW w:w="710" w:type="dxa"/>
            <w:vAlign w:val="center"/>
          </w:tcPr>
          <w:p w:rsidR="00F14AEA" w:rsidRDefault="00EC6028">
            <w:pPr>
              <w:jc w:val="center"/>
            </w:pPr>
            <w:r>
              <w:rPr>
                <w:color w:val="000000"/>
                <w:szCs w:val="21"/>
              </w:rPr>
              <w:t>10</w:t>
            </w:r>
          </w:p>
        </w:tc>
        <w:tc>
          <w:tcPr>
            <w:tcW w:w="1433" w:type="dxa"/>
            <w:vAlign w:val="center"/>
          </w:tcPr>
          <w:p w:rsidR="00F14AEA" w:rsidRDefault="00EC6028">
            <w:pPr>
              <w:jc w:val="center"/>
            </w:pPr>
            <w:r>
              <w:rPr>
                <w:color w:val="000000"/>
                <w:szCs w:val="21"/>
              </w:rPr>
              <w:t>Direxion Daily Junior Gold Miners Index Bull 3x Shares</w:t>
            </w:r>
          </w:p>
        </w:tc>
        <w:tc>
          <w:tcPr>
            <w:tcW w:w="1250" w:type="dxa"/>
            <w:vAlign w:val="center"/>
          </w:tcPr>
          <w:p w:rsidR="00F14AEA" w:rsidRDefault="00EC6028">
            <w:pPr>
              <w:jc w:val="center"/>
            </w:pPr>
            <w:r>
              <w:rPr>
                <w:color w:val="000000"/>
                <w:szCs w:val="21"/>
              </w:rPr>
              <w:t>ETF</w:t>
            </w:r>
          </w:p>
        </w:tc>
        <w:tc>
          <w:tcPr>
            <w:tcW w:w="870" w:type="dxa"/>
            <w:vAlign w:val="center"/>
          </w:tcPr>
          <w:p w:rsidR="00F14AEA" w:rsidRDefault="00EC6028">
            <w:pPr>
              <w:jc w:val="center"/>
            </w:pPr>
            <w:r>
              <w:rPr>
                <w:color w:val="000000"/>
                <w:szCs w:val="21"/>
              </w:rPr>
              <w:t>开放式</w:t>
            </w:r>
          </w:p>
        </w:tc>
        <w:tc>
          <w:tcPr>
            <w:tcW w:w="1428" w:type="dxa"/>
            <w:vAlign w:val="center"/>
          </w:tcPr>
          <w:p w:rsidR="00F14AEA" w:rsidRDefault="00EC6028">
            <w:pPr>
              <w:jc w:val="center"/>
            </w:pPr>
            <w:r>
              <w:rPr>
                <w:color w:val="000000"/>
                <w:szCs w:val="21"/>
              </w:rPr>
              <w:t>Rafferty Asset Management LLC</w:t>
            </w:r>
          </w:p>
        </w:tc>
        <w:tc>
          <w:tcPr>
            <w:tcW w:w="2249" w:type="dxa"/>
            <w:vAlign w:val="center"/>
          </w:tcPr>
          <w:p w:rsidR="00F14AEA" w:rsidRDefault="00EC6028">
            <w:pPr>
              <w:jc w:val="right"/>
            </w:pPr>
            <w:r>
              <w:rPr>
                <w:color w:val="000000"/>
                <w:szCs w:val="21"/>
              </w:rPr>
              <w:t>5,577,884.40</w:t>
            </w:r>
          </w:p>
        </w:tc>
        <w:tc>
          <w:tcPr>
            <w:tcW w:w="1416" w:type="dxa"/>
            <w:vAlign w:val="center"/>
          </w:tcPr>
          <w:p w:rsidR="00F14AEA" w:rsidRDefault="00EC6028">
            <w:pPr>
              <w:jc w:val="right"/>
            </w:pPr>
            <w:r>
              <w:rPr>
                <w:color w:val="000000"/>
                <w:szCs w:val="21"/>
              </w:rPr>
              <w:t>1.52</w:t>
            </w:r>
          </w:p>
        </w:tc>
      </w:tr>
    </w:tbl>
    <w:p w:rsidR="007B62FA" w:rsidRPr="000D4783" w:rsidRDefault="007B62FA" w:rsidP="000D4783">
      <w:pPr>
        <w:pStyle w:val="20"/>
        <w:spacing w:before="0" w:after="0"/>
        <w:rPr>
          <w:rFonts w:ascii="宋体" w:hAnsi="宋体"/>
          <w:kern w:val="0"/>
          <w:sz w:val="21"/>
          <w:szCs w:val="21"/>
        </w:rPr>
      </w:pPr>
      <w:bookmarkStart w:id="305" w:name="_Toc35533840"/>
      <w:r w:rsidRPr="000D4783">
        <w:rPr>
          <w:rFonts w:ascii="宋体" w:hAnsi="宋体"/>
          <w:kern w:val="0"/>
          <w:sz w:val="21"/>
          <w:szCs w:val="21"/>
        </w:rPr>
        <w:t>8.11</w:t>
      </w:r>
      <w:r w:rsidR="00F73F35" w:rsidRPr="00940842">
        <w:rPr>
          <w:rFonts w:asciiTheme="majorEastAsia" w:eastAsiaTheme="majorEastAsia" w:hAnsiTheme="majorEastAsia"/>
          <w:color w:val="000000" w:themeColor="text1"/>
          <w:kern w:val="0"/>
          <w:sz w:val="21"/>
          <w:szCs w:val="21"/>
        </w:rPr>
        <w:t xml:space="preserve">    </w:t>
      </w:r>
      <w:r w:rsidRPr="000D4783">
        <w:rPr>
          <w:rFonts w:ascii="宋体" w:hAnsi="宋体"/>
          <w:kern w:val="0"/>
          <w:sz w:val="21"/>
          <w:szCs w:val="21"/>
        </w:rPr>
        <w:t>投资组合报告附注</w:t>
      </w:r>
      <w:bookmarkEnd w:id="229"/>
      <w:bookmarkEnd w:id="230"/>
      <w:bookmarkEnd w:id="231"/>
      <w:bookmarkEnd w:id="232"/>
      <w:bookmarkEnd w:id="233"/>
      <w:bookmarkEnd w:id="234"/>
      <w:bookmarkEnd w:id="235"/>
      <w:bookmarkEnd w:id="236"/>
      <w:bookmarkEnd w:id="305"/>
    </w:p>
    <w:p w:rsidR="007B62FA" w:rsidRPr="00896265" w:rsidRDefault="007B62FA" w:rsidP="00602A38">
      <w:pPr>
        <w:spacing w:line="360" w:lineRule="auto"/>
        <w:rPr>
          <w:rFonts w:eastAsiaTheme="minorEastAsia"/>
          <w:color w:val="000000" w:themeColor="text1"/>
          <w:kern w:val="0"/>
          <w:szCs w:val="21"/>
        </w:rPr>
      </w:pPr>
      <w:r w:rsidRPr="00896265">
        <w:rPr>
          <w:rFonts w:eastAsiaTheme="minorEastAsia"/>
          <w:color w:val="000000" w:themeColor="text1"/>
          <w:szCs w:val="21"/>
        </w:rPr>
        <w:t>8.11.1</w:t>
      </w:r>
      <w:r w:rsidR="00495DDB">
        <w:rPr>
          <w:rFonts w:eastAsiaTheme="minorEastAsia" w:hint="eastAsia"/>
          <w:color w:val="000000" w:themeColor="text1"/>
          <w:szCs w:val="21"/>
        </w:rPr>
        <w:t xml:space="preserve"> </w:t>
      </w:r>
      <w:r w:rsidRPr="00896265">
        <w:rPr>
          <w:rFonts w:eastAsiaTheme="minorEastAsia"/>
          <w:color w:val="000000" w:themeColor="text1"/>
          <w:kern w:val="0"/>
          <w:szCs w:val="21"/>
        </w:rPr>
        <w:t>本基金投资的前十名证券的发行主体本期没有出现被监管部门立案调查，或在报告编制日前一年内受到公开谴责、处罚的情形。</w:t>
      </w:r>
    </w:p>
    <w:p w:rsidR="007B62FA" w:rsidRPr="00896265" w:rsidRDefault="007B62FA" w:rsidP="007E24F2">
      <w:pPr>
        <w:spacing w:beforeLines="100" w:before="312" w:line="360" w:lineRule="auto"/>
        <w:rPr>
          <w:rFonts w:eastAsiaTheme="minorEastAsia"/>
          <w:color w:val="000000" w:themeColor="text1"/>
          <w:kern w:val="0"/>
          <w:szCs w:val="21"/>
        </w:rPr>
      </w:pPr>
      <w:r w:rsidRPr="00896265">
        <w:rPr>
          <w:rFonts w:eastAsiaTheme="minorEastAsia"/>
          <w:color w:val="000000" w:themeColor="text1"/>
          <w:szCs w:val="21"/>
        </w:rPr>
        <w:t>8.11.2</w:t>
      </w:r>
      <w:r w:rsidR="00495DDB">
        <w:rPr>
          <w:rFonts w:eastAsiaTheme="minorEastAsia" w:hint="eastAsia"/>
          <w:color w:val="000000" w:themeColor="text1"/>
          <w:szCs w:val="21"/>
        </w:rPr>
        <w:t xml:space="preserve"> </w:t>
      </w:r>
      <w:r w:rsidRPr="00896265">
        <w:rPr>
          <w:rFonts w:eastAsiaTheme="minorEastAsia"/>
          <w:color w:val="000000" w:themeColor="text1"/>
          <w:kern w:val="0"/>
          <w:szCs w:val="21"/>
        </w:rPr>
        <w:t>本基金投资的前十名股票没有超出基金合同规定的备选股票库。</w:t>
      </w:r>
    </w:p>
    <w:p w:rsidR="007B62FA" w:rsidRPr="00896265" w:rsidRDefault="007B62FA" w:rsidP="007E24F2">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896265">
        <w:rPr>
          <w:rFonts w:eastAsiaTheme="minorEastAsia"/>
          <w:b/>
          <w:color w:val="000000" w:themeColor="text1"/>
          <w:szCs w:val="21"/>
        </w:rPr>
        <w:t>8.11.3</w:t>
      </w:r>
      <w:r w:rsidR="00430272" w:rsidRPr="00896265">
        <w:rPr>
          <w:rFonts w:eastAsiaTheme="minorEastAsia"/>
          <w:b/>
          <w:color w:val="000000" w:themeColor="text1"/>
          <w:szCs w:val="21"/>
        </w:rPr>
        <w:t xml:space="preserve"> </w:t>
      </w:r>
      <w:r w:rsidR="004F76F0" w:rsidRPr="00896265">
        <w:rPr>
          <w:rFonts w:eastAsiaTheme="minorEastAsia"/>
          <w:b/>
          <w:color w:val="000000" w:themeColor="text1"/>
          <w:szCs w:val="21"/>
        </w:rPr>
        <w:t>期末</w:t>
      </w:r>
      <w:r w:rsidRPr="00896265">
        <w:rPr>
          <w:rFonts w:eastAsiaTheme="minorEastAsia"/>
          <w:b/>
          <w:color w:val="000000" w:themeColor="text1"/>
          <w:kern w:val="0"/>
          <w:szCs w:val="21"/>
        </w:rPr>
        <w:t>其他各项资产构成</w:t>
      </w:r>
    </w:p>
    <w:p w:rsidR="007B62FA" w:rsidRPr="00896265"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896265">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E60957" w:rsidRPr="00896265" w:rsidTr="00EB69F4">
        <w:trPr>
          <w:trHeight w:val="285"/>
        </w:trPr>
        <w:tc>
          <w:tcPr>
            <w:tcW w:w="8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序号</w:t>
            </w:r>
          </w:p>
        </w:tc>
        <w:tc>
          <w:tcPr>
            <w:tcW w:w="4431"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名称</w:t>
            </w:r>
          </w:p>
        </w:tc>
        <w:tc>
          <w:tcPr>
            <w:tcW w:w="4105" w:type="dxa"/>
            <w:tcMar>
              <w:top w:w="15" w:type="dxa"/>
              <w:left w:w="15" w:type="dxa"/>
              <w:bottom w:w="0" w:type="dxa"/>
              <w:right w:w="15" w:type="dxa"/>
            </w:tcMar>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金额</w:t>
            </w:r>
          </w:p>
        </w:tc>
      </w:tr>
      <w:tr w:rsidR="00E60957" w:rsidRPr="00896265" w:rsidTr="00EB69F4">
        <w:trPr>
          <w:trHeight w:val="312"/>
        </w:trPr>
        <w:tc>
          <w:tcPr>
            <w:tcW w:w="8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1</w:t>
            </w:r>
          </w:p>
        </w:tc>
        <w:tc>
          <w:tcPr>
            <w:tcW w:w="4431" w:type="dxa"/>
            <w:vAlign w:val="center"/>
          </w:tcPr>
          <w:p w:rsidR="007B62FA" w:rsidRPr="00896265" w:rsidRDefault="007B62FA"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存出保证金</w:t>
            </w:r>
          </w:p>
        </w:tc>
        <w:tc>
          <w:tcPr>
            <w:tcW w:w="4105" w:type="dxa"/>
            <w:tcMar>
              <w:top w:w="15" w:type="dxa"/>
              <w:left w:w="15" w:type="dxa"/>
              <w:bottom w:w="0" w:type="dxa"/>
              <w:right w:w="15" w:type="dxa"/>
            </w:tcMar>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EB69F4">
        <w:trPr>
          <w:trHeight w:val="312"/>
        </w:trPr>
        <w:tc>
          <w:tcPr>
            <w:tcW w:w="8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2</w:t>
            </w:r>
          </w:p>
        </w:tc>
        <w:tc>
          <w:tcPr>
            <w:tcW w:w="4431" w:type="dxa"/>
            <w:vAlign w:val="center"/>
          </w:tcPr>
          <w:p w:rsidR="007B62FA" w:rsidRPr="00896265" w:rsidRDefault="007B62FA"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应收证券清算款</w:t>
            </w:r>
          </w:p>
        </w:tc>
        <w:tc>
          <w:tcPr>
            <w:tcW w:w="4105"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EB69F4">
        <w:trPr>
          <w:trHeight w:val="312"/>
        </w:trPr>
        <w:tc>
          <w:tcPr>
            <w:tcW w:w="8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3</w:t>
            </w:r>
          </w:p>
        </w:tc>
        <w:tc>
          <w:tcPr>
            <w:tcW w:w="4431" w:type="dxa"/>
            <w:vAlign w:val="center"/>
          </w:tcPr>
          <w:p w:rsidR="007B62FA" w:rsidRPr="00896265" w:rsidRDefault="007B62FA"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应收股利</w:t>
            </w:r>
          </w:p>
        </w:tc>
        <w:tc>
          <w:tcPr>
            <w:tcW w:w="4105"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EB69F4">
        <w:trPr>
          <w:trHeight w:val="312"/>
        </w:trPr>
        <w:tc>
          <w:tcPr>
            <w:tcW w:w="8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4</w:t>
            </w:r>
          </w:p>
        </w:tc>
        <w:tc>
          <w:tcPr>
            <w:tcW w:w="4431" w:type="dxa"/>
            <w:vAlign w:val="center"/>
          </w:tcPr>
          <w:p w:rsidR="007B62FA" w:rsidRPr="00896265" w:rsidRDefault="007B62FA"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应收利息</w:t>
            </w:r>
          </w:p>
        </w:tc>
        <w:tc>
          <w:tcPr>
            <w:tcW w:w="4105"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6,939.82</w:t>
            </w:r>
          </w:p>
        </w:tc>
      </w:tr>
      <w:tr w:rsidR="00E60957" w:rsidRPr="00896265" w:rsidTr="00EB69F4">
        <w:trPr>
          <w:trHeight w:val="312"/>
        </w:trPr>
        <w:tc>
          <w:tcPr>
            <w:tcW w:w="8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5</w:t>
            </w:r>
          </w:p>
        </w:tc>
        <w:tc>
          <w:tcPr>
            <w:tcW w:w="4431" w:type="dxa"/>
            <w:vAlign w:val="center"/>
          </w:tcPr>
          <w:p w:rsidR="007B62FA" w:rsidRPr="00896265" w:rsidRDefault="007B62FA"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应收申购款</w:t>
            </w:r>
          </w:p>
        </w:tc>
        <w:tc>
          <w:tcPr>
            <w:tcW w:w="4105"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2,246,312.89</w:t>
            </w:r>
          </w:p>
        </w:tc>
      </w:tr>
      <w:tr w:rsidR="00E60957" w:rsidRPr="00896265" w:rsidTr="00EB69F4">
        <w:trPr>
          <w:trHeight w:val="312"/>
        </w:trPr>
        <w:tc>
          <w:tcPr>
            <w:tcW w:w="8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6</w:t>
            </w:r>
          </w:p>
        </w:tc>
        <w:tc>
          <w:tcPr>
            <w:tcW w:w="4431" w:type="dxa"/>
            <w:vAlign w:val="center"/>
          </w:tcPr>
          <w:p w:rsidR="007B62FA" w:rsidRPr="00896265" w:rsidRDefault="007B62FA"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其他应收款</w:t>
            </w:r>
          </w:p>
        </w:tc>
        <w:tc>
          <w:tcPr>
            <w:tcW w:w="4105"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EB69F4">
        <w:trPr>
          <w:trHeight w:val="312"/>
        </w:trPr>
        <w:tc>
          <w:tcPr>
            <w:tcW w:w="8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7</w:t>
            </w:r>
          </w:p>
        </w:tc>
        <w:tc>
          <w:tcPr>
            <w:tcW w:w="4431" w:type="dxa"/>
            <w:vAlign w:val="center"/>
          </w:tcPr>
          <w:p w:rsidR="007B62FA" w:rsidRPr="00896265" w:rsidRDefault="007B62FA"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待摊费用</w:t>
            </w:r>
          </w:p>
        </w:tc>
        <w:tc>
          <w:tcPr>
            <w:tcW w:w="4105"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EB69F4">
        <w:trPr>
          <w:trHeight w:val="312"/>
        </w:trPr>
        <w:tc>
          <w:tcPr>
            <w:tcW w:w="8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8</w:t>
            </w:r>
          </w:p>
        </w:tc>
        <w:tc>
          <w:tcPr>
            <w:tcW w:w="4431" w:type="dxa"/>
            <w:vAlign w:val="center"/>
          </w:tcPr>
          <w:p w:rsidR="007B62FA" w:rsidRPr="00896265" w:rsidRDefault="007B62FA"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其他</w:t>
            </w:r>
          </w:p>
        </w:tc>
        <w:tc>
          <w:tcPr>
            <w:tcW w:w="4105"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E60957" w:rsidRPr="00896265" w:rsidTr="00EB69F4">
        <w:trPr>
          <w:trHeight w:val="312"/>
        </w:trPr>
        <w:tc>
          <w:tcPr>
            <w:tcW w:w="8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9</w:t>
            </w:r>
          </w:p>
        </w:tc>
        <w:tc>
          <w:tcPr>
            <w:tcW w:w="4431" w:type="dxa"/>
            <w:vAlign w:val="center"/>
          </w:tcPr>
          <w:p w:rsidR="007B62FA" w:rsidRPr="00896265" w:rsidRDefault="007B62FA" w:rsidP="00417F87">
            <w:pPr>
              <w:spacing w:line="360" w:lineRule="auto"/>
              <w:ind w:leftChars="50" w:left="105"/>
              <w:rPr>
                <w:rFonts w:eastAsiaTheme="minorEastAsia"/>
                <w:color w:val="000000" w:themeColor="text1"/>
                <w:szCs w:val="21"/>
              </w:rPr>
            </w:pPr>
            <w:r w:rsidRPr="00896265">
              <w:rPr>
                <w:rFonts w:eastAsiaTheme="minorEastAsia"/>
                <w:color w:val="000000" w:themeColor="text1"/>
                <w:szCs w:val="21"/>
              </w:rPr>
              <w:t>合计</w:t>
            </w:r>
          </w:p>
        </w:tc>
        <w:tc>
          <w:tcPr>
            <w:tcW w:w="4105" w:type="dxa"/>
            <w:vAlign w:val="center"/>
          </w:tcPr>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2,253,252.71</w:t>
            </w:r>
          </w:p>
        </w:tc>
      </w:tr>
    </w:tbl>
    <w:p w:rsidR="007B62FA" w:rsidRPr="00896265" w:rsidRDefault="007B62FA" w:rsidP="007E24F2">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896265">
        <w:rPr>
          <w:rFonts w:eastAsiaTheme="minorEastAsia"/>
          <w:b/>
          <w:color w:val="000000" w:themeColor="text1"/>
          <w:szCs w:val="21"/>
        </w:rPr>
        <w:t>8.11.4</w:t>
      </w:r>
      <w:r w:rsidR="000F515E" w:rsidRPr="00896265">
        <w:rPr>
          <w:rFonts w:eastAsiaTheme="minorEastAsia"/>
          <w:b/>
          <w:color w:val="000000" w:themeColor="text1"/>
          <w:szCs w:val="21"/>
        </w:rPr>
        <w:t xml:space="preserve"> </w:t>
      </w:r>
      <w:r w:rsidRPr="00896265">
        <w:rPr>
          <w:rFonts w:eastAsiaTheme="minorEastAsia"/>
          <w:b/>
          <w:color w:val="000000" w:themeColor="text1"/>
          <w:kern w:val="0"/>
          <w:szCs w:val="21"/>
        </w:rPr>
        <w:t>期末持有的处于转股期的可转换债券明细</w:t>
      </w:r>
    </w:p>
    <w:p w:rsidR="007B62FA" w:rsidRPr="00896265" w:rsidRDefault="007B62FA" w:rsidP="00EB69F4">
      <w:pPr>
        <w:spacing w:line="360" w:lineRule="auto"/>
        <w:ind w:firstLineChars="200" w:firstLine="420"/>
        <w:jc w:val="left"/>
        <w:rPr>
          <w:rFonts w:eastAsiaTheme="minorEastAsia"/>
          <w:color w:val="000000" w:themeColor="text1"/>
          <w:szCs w:val="21"/>
        </w:rPr>
      </w:pPr>
      <w:r w:rsidRPr="00896265">
        <w:rPr>
          <w:rFonts w:eastAsiaTheme="minorEastAsia"/>
          <w:color w:val="000000" w:themeColor="text1"/>
          <w:szCs w:val="21"/>
        </w:rPr>
        <w:t>本基金本报告期末未持有处于转股期的可转换债券。</w:t>
      </w:r>
    </w:p>
    <w:p w:rsidR="007B62FA" w:rsidRPr="00896265" w:rsidRDefault="007B62FA" w:rsidP="007E24F2">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896265">
        <w:rPr>
          <w:rFonts w:eastAsiaTheme="minorEastAsia"/>
          <w:b/>
          <w:color w:val="000000" w:themeColor="text1"/>
          <w:szCs w:val="21"/>
        </w:rPr>
        <w:t>8.11.5</w:t>
      </w:r>
      <w:r w:rsidR="000F515E" w:rsidRPr="00896265">
        <w:rPr>
          <w:rFonts w:eastAsiaTheme="minorEastAsia"/>
          <w:b/>
          <w:color w:val="000000" w:themeColor="text1"/>
          <w:szCs w:val="21"/>
        </w:rPr>
        <w:t xml:space="preserve"> </w:t>
      </w:r>
      <w:r w:rsidRPr="00896265">
        <w:rPr>
          <w:rFonts w:eastAsiaTheme="minorEastAsia"/>
          <w:b/>
          <w:color w:val="000000" w:themeColor="text1"/>
          <w:kern w:val="0"/>
          <w:szCs w:val="21"/>
        </w:rPr>
        <w:t>期末前十名股票中存在流通受限情况的说明</w:t>
      </w:r>
    </w:p>
    <w:p w:rsidR="00273083" w:rsidRPr="00896265" w:rsidRDefault="007B62FA" w:rsidP="00EB69F4">
      <w:pPr>
        <w:spacing w:line="360" w:lineRule="auto"/>
        <w:ind w:firstLineChars="200" w:firstLine="420"/>
        <w:jc w:val="left"/>
        <w:rPr>
          <w:rFonts w:eastAsiaTheme="minorEastAsia"/>
          <w:color w:val="000000" w:themeColor="text1"/>
          <w:szCs w:val="21"/>
        </w:rPr>
      </w:pPr>
      <w:r w:rsidRPr="00896265">
        <w:rPr>
          <w:rFonts w:eastAsiaTheme="minorEastAsia"/>
          <w:color w:val="000000" w:themeColor="text1"/>
          <w:szCs w:val="21"/>
        </w:rPr>
        <w:t>本基金本报告期末未持有股票。</w:t>
      </w:r>
    </w:p>
    <w:p w:rsidR="007B62FA" w:rsidRPr="00AB6698" w:rsidRDefault="007B62FA" w:rsidP="007E24F2">
      <w:pPr>
        <w:pStyle w:val="20"/>
        <w:tabs>
          <w:tab w:val="num" w:pos="425"/>
        </w:tabs>
        <w:spacing w:beforeLines="100" w:before="312" w:afterLines="100" w:after="312"/>
        <w:ind w:left="425" w:hanging="425"/>
        <w:jc w:val="center"/>
        <w:rPr>
          <w:rFonts w:ascii="宋体" w:hAnsi="宋体" w:cs="Arial"/>
          <w:color w:val="000000"/>
          <w:sz w:val="21"/>
          <w:szCs w:val="21"/>
        </w:rPr>
      </w:pPr>
      <w:bookmarkStart w:id="306" w:name="_Toc225500050"/>
      <w:bookmarkStart w:id="307" w:name="_Toc352256006"/>
      <w:bookmarkStart w:id="308" w:name="_Toc352256074"/>
      <w:bookmarkStart w:id="309" w:name="_Toc352331252"/>
      <w:bookmarkStart w:id="310" w:name="_Toc362424030"/>
      <w:bookmarkStart w:id="311" w:name="_Toc35533841"/>
      <w:r w:rsidRPr="00AB6698">
        <w:rPr>
          <w:rFonts w:ascii="宋体" w:hAnsi="宋体" w:cs="Arial"/>
          <w:color w:val="000000"/>
          <w:sz w:val="21"/>
          <w:szCs w:val="21"/>
        </w:rPr>
        <w:t>§9</w:t>
      </w:r>
      <w:r w:rsidR="00632A28" w:rsidRPr="00AB6698">
        <w:rPr>
          <w:rFonts w:ascii="宋体" w:hAnsi="宋体" w:cs="Arial"/>
          <w:color w:val="000000"/>
          <w:sz w:val="21"/>
          <w:szCs w:val="21"/>
        </w:rPr>
        <w:t xml:space="preserve">    </w:t>
      </w:r>
      <w:r w:rsidRPr="00AB6698">
        <w:rPr>
          <w:rFonts w:ascii="宋体" w:hAnsi="宋体" w:cs="Arial"/>
          <w:color w:val="000000"/>
          <w:sz w:val="21"/>
          <w:szCs w:val="21"/>
        </w:rPr>
        <w:t>基金份额持有人信息</w:t>
      </w:r>
      <w:bookmarkEnd w:id="306"/>
      <w:bookmarkEnd w:id="307"/>
      <w:bookmarkEnd w:id="308"/>
      <w:bookmarkEnd w:id="309"/>
      <w:bookmarkEnd w:id="310"/>
      <w:bookmarkEnd w:id="311"/>
    </w:p>
    <w:p w:rsidR="007B62FA" w:rsidRPr="00940842" w:rsidRDefault="007B62FA" w:rsidP="00602A38">
      <w:pPr>
        <w:pStyle w:val="20"/>
        <w:spacing w:before="0" w:after="0"/>
        <w:rPr>
          <w:rFonts w:asciiTheme="majorEastAsia" w:eastAsiaTheme="majorEastAsia" w:hAnsiTheme="majorEastAsia"/>
          <w:color w:val="000000" w:themeColor="text1"/>
          <w:kern w:val="0"/>
          <w:sz w:val="21"/>
          <w:szCs w:val="21"/>
        </w:rPr>
      </w:pPr>
      <w:bookmarkStart w:id="312" w:name="_Toc225500051"/>
      <w:bookmarkStart w:id="313" w:name="_Toc352256007"/>
      <w:bookmarkStart w:id="314" w:name="_Toc352256075"/>
      <w:bookmarkStart w:id="315" w:name="_Toc352331253"/>
      <w:bookmarkStart w:id="316" w:name="_Toc362424031"/>
      <w:bookmarkStart w:id="317" w:name="_Toc35533842"/>
      <w:r w:rsidRPr="00940842">
        <w:rPr>
          <w:rFonts w:asciiTheme="majorEastAsia" w:eastAsiaTheme="majorEastAsia" w:hAnsiTheme="majorEastAsia"/>
          <w:color w:val="000000" w:themeColor="text1"/>
          <w:kern w:val="0"/>
          <w:sz w:val="21"/>
          <w:szCs w:val="21"/>
        </w:rPr>
        <w:t>9.1</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期末基金份额持有人户数及持有人结构</w:t>
      </w:r>
      <w:bookmarkEnd w:id="312"/>
      <w:bookmarkEnd w:id="313"/>
      <w:bookmarkEnd w:id="314"/>
      <w:bookmarkEnd w:id="315"/>
      <w:bookmarkEnd w:id="316"/>
      <w:bookmarkEnd w:id="317"/>
    </w:p>
    <w:p w:rsidR="00BA33A5" w:rsidRPr="00896265" w:rsidRDefault="00BA33A5" w:rsidP="00BA33A5">
      <w:pPr>
        <w:autoSpaceDE w:val="0"/>
        <w:autoSpaceDN w:val="0"/>
        <w:adjustRightInd w:val="0"/>
        <w:spacing w:before="29" w:line="360" w:lineRule="auto"/>
        <w:ind w:left="15"/>
        <w:jc w:val="right"/>
        <w:rPr>
          <w:rFonts w:eastAsiaTheme="minorEastAsia"/>
          <w:color w:val="000000" w:themeColor="text1"/>
          <w:szCs w:val="21"/>
        </w:rPr>
      </w:pPr>
      <w:r w:rsidRPr="00896265">
        <w:rPr>
          <w:rFonts w:eastAsiaTheme="minorEastAsia"/>
          <w:color w:val="000000" w:themeColor="text1"/>
          <w:szCs w:val="21"/>
        </w:rPr>
        <w:t>份额单位：份</w:t>
      </w:r>
    </w:p>
    <w:p w:rsidR="00BA33A5" w:rsidRPr="00896265" w:rsidRDefault="00BA33A5" w:rsidP="00BA33A5">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E60957" w:rsidRPr="00896265" w:rsidTr="00EB69F4">
        <w:tc>
          <w:tcPr>
            <w:tcW w:w="964" w:type="pct"/>
            <w:vMerge w:val="restart"/>
            <w:tcBorders>
              <w:top w:val="single" w:sz="8" w:space="0" w:color="000000"/>
              <w:left w:val="single" w:sz="8" w:space="0" w:color="000000"/>
              <w:right w:val="single" w:sz="8" w:space="0" w:color="000000"/>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持有人户数</w:t>
            </w:r>
            <w:r w:rsidRPr="00896265">
              <w:rPr>
                <w:rFonts w:eastAsiaTheme="minorEastAsia"/>
                <w:bCs/>
                <w:color w:val="000000" w:themeColor="text1"/>
                <w:szCs w:val="21"/>
              </w:rPr>
              <w:t>(</w:t>
            </w:r>
            <w:r w:rsidRPr="00896265">
              <w:rPr>
                <w:rFonts w:eastAsiaTheme="minorEastAsia"/>
                <w:bCs/>
                <w:color w:val="000000" w:themeColor="text1"/>
                <w:szCs w:val="21"/>
              </w:rPr>
              <w:t>户</w:t>
            </w:r>
            <w:r w:rsidRPr="00896265">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持有人结构</w:t>
            </w:r>
          </w:p>
        </w:tc>
      </w:tr>
      <w:tr w:rsidR="00E60957" w:rsidRPr="00896265" w:rsidTr="00EB69F4">
        <w:tc>
          <w:tcPr>
            <w:tcW w:w="964" w:type="pct"/>
            <w:vMerge/>
            <w:tcBorders>
              <w:left w:val="single" w:sz="8" w:space="0" w:color="000000"/>
              <w:right w:val="single" w:sz="8" w:space="0" w:color="000000"/>
            </w:tcBorders>
          </w:tcPr>
          <w:p w:rsidR="00BA33A5" w:rsidRPr="00896265" w:rsidRDefault="00BA33A5" w:rsidP="001A74A1">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个人投资者</w:t>
            </w:r>
          </w:p>
        </w:tc>
      </w:tr>
      <w:tr w:rsidR="00E60957" w:rsidRPr="00896265" w:rsidTr="00EB69F4">
        <w:tc>
          <w:tcPr>
            <w:tcW w:w="964" w:type="pct"/>
            <w:vMerge/>
            <w:tcBorders>
              <w:left w:val="single" w:sz="8" w:space="0" w:color="000000"/>
              <w:bottom w:val="single" w:sz="8" w:space="0" w:color="000000"/>
              <w:right w:val="single" w:sz="8" w:space="0" w:color="000000"/>
            </w:tcBorders>
          </w:tcPr>
          <w:p w:rsidR="00BA33A5" w:rsidRPr="00896265" w:rsidRDefault="00BA33A5" w:rsidP="001A74A1">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占总份额比例</w:t>
            </w:r>
          </w:p>
        </w:tc>
      </w:tr>
      <w:tr w:rsidR="00E60957" w:rsidRPr="00896265" w:rsidTr="00EB69F4">
        <w:tc>
          <w:tcPr>
            <w:tcW w:w="964" w:type="pct"/>
            <w:tcBorders>
              <w:left w:val="single" w:sz="8" w:space="0" w:color="000000"/>
              <w:bottom w:val="single" w:sz="8" w:space="0" w:color="000000"/>
              <w:right w:val="single" w:sz="8" w:space="0" w:color="000000"/>
            </w:tcBorders>
          </w:tcPr>
          <w:p w:rsidR="00BA33A5" w:rsidRPr="00896265" w:rsidRDefault="00BA33A5" w:rsidP="001A74A1">
            <w:pPr>
              <w:widowControl/>
              <w:spacing w:line="360" w:lineRule="auto"/>
              <w:jc w:val="center"/>
              <w:rPr>
                <w:rFonts w:eastAsiaTheme="minorEastAsia"/>
                <w:bCs/>
                <w:color w:val="000000" w:themeColor="text1"/>
                <w:szCs w:val="21"/>
              </w:rPr>
            </w:pPr>
            <w:r w:rsidRPr="00896265">
              <w:rPr>
                <w:rFonts w:eastAsiaTheme="minorEastAsia"/>
                <w:bCs/>
                <w:color w:val="000000" w:themeColor="text1"/>
                <w:szCs w:val="21"/>
              </w:rPr>
              <w:t>易方达黄金主题（</w:t>
            </w:r>
            <w:r w:rsidRPr="00896265">
              <w:rPr>
                <w:rFonts w:eastAsiaTheme="minorEastAsia"/>
                <w:bCs/>
                <w:color w:val="000000" w:themeColor="text1"/>
                <w:szCs w:val="21"/>
              </w:rPr>
              <w:t>QDII-LOF-FOF</w:t>
            </w:r>
            <w:r w:rsidRPr="00896265">
              <w:rPr>
                <w:rFonts w:eastAsiaTheme="minorEastAsia"/>
                <w:bCs/>
                <w:color w:val="000000" w:themeColor="text1"/>
                <w:szCs w:val="21"/>
              </w:rPr>
              <w:t>）</w:t>
            </w:r>
            <w:r w:rsidRPr="00896265">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26,383</w:t>
            </w:r>
          </w:p>
        </w:tc>
        <w:tc>
          <w:tcPr>
            <w:tcW w:w="688"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16,249.23</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13,922,264.97</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3.25%</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414,781,122.29</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96.75%</w:t>
            </w:r>
          </w:p>
        </w:tc>
      </w:tr>
      <w:tr w:rsidR="00E60957" w:rsidRPr="00896265" w:rsidTr="00EB69F4">
        <w:tc>
          <w:tcPr>
            <w:tcW w:w="964" w:type="pct"/>
            <w:tcBorders>
              <w:left w:val="single" w:sz="8" w:space="0" w:color="000000"/>
              <w:bottom w:val="single" w:sz="8" w:space="0" w:color="000000"/>
              <w:right w:val="single" w:sz="8" w:space="0" w:color="000000"/>
            </w:tcBorders>
          </w:tcPr>
          <w:p w:rsidR="00BA33A5" w:rsidRPr="00896265" w:rsidRDefault="00BA33A5" w:rsidP="001A74A1">
            <w:pPr>
              <w:widowControl/>
              <w:spacing w:line="360" w:lineRule="auto"/>
              <w:jc w:val="center"/>
              <w:rPr>
                <w:rFonts w:eastAsiaTheme="minorEastAsia"/>
                <w:bCs/>
                <w:color w:val="000000" w:themeColor="text1"/>
                <w:szCs w:val="21"/>
              </w:rPr>
            </w:pPr>
            <w:r w:rsidRPr="00896265">
              <w:rPr>
                <w:rFonts w:eastAsiaTheme="minorEastAsia"/>
                <w:bCs/>
                <w:color w:val="000000" w:themeColor="text1"/>
                <w:szCs w:val="21"/>
              </w:rPr>
              <w:t>易方达黄金主题（</w:t>
            </w:r>
            <w:r w:rsidRPr="00896265">
              <w:rPr>
                <w:rFonts w:eastAsiaTheme="minorEastAsia"/>
                <w:bCs/>
                <w:color w:val="000000" w:themeColor="text1"/>
                <w:szCs w:val="21"/>
              </w:rPr>
              <w:t>QDII-LOF-FOF</w:t>
            </w:r>
            <w:r w:rsidRPr="00896265">
              <w:rPr>
                <w:rFonts w:eastAsiaTheme="minorEastAsia"/>
                <w:bCs/>
                <w:color w:val="000000" w:themeColor="text1"/>
                <w:szCs w:val="21"/>
              </w:rPr>
              <w:t>）</w:t>
            </w:r>
            <w:r w:rsidRPr="00896265">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92</w:t>
            </w:r>
          </w:p>
        </w:tc>
        <w:tc>
          <w:tcPr>
            <w:tcW w:w="688"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4,932.81</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0.00</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453,818.87</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100.00%</w:t>
            </w:r>
          </w:p>
        </w:tc>
      </w:tr>
      <w:tr w:rsidR="00E60957" w:rsidRPr="00896265" w:rsidTr="00EB69F4">
        <w:tc>
          <w:tcPr>
            <w:tcW w:w="964" w:type="pct"/>
            <w:tcBorders>
              <w:top w:val="single" w:sz="8" w:space="0" w:color="000000"/>
              <w:left w:val="single" w:sz="8" w:space="0" w:color="000000"/>
              <w:bottom w:val="single" w:sz="8" w:space="0" w:color="000000"/>
              <w:right w:val="single" w:sz="8" w:space="0" w:color="000000"/>
            </w:tcBorders>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center"/>
              <w:rPr>
                <w:rFonts w:eastAsiaTheme="minorEastAsia"/>
                <w:bCs/>
                <w:color w:val="000000" w:themeColor="text1"/>
                <w:szCs w:val="21"/>
              </w:rPr>
            </w:pPr>
            <w:r w:rsidRPr="00896265">
              <w:rPr>
                <w:rFonts w:eastAsiaTheme="minorEastAsia"/>
                <w:bCs/>
                <w:color w:val="000000" w:themeColor="text1"/>
                <w:szCs w:val="21"/>
              </w:rPr>
              <w:t>26,475</w:t>
            </w:r>
          </w:p>
        </w:tc>
        <w:tc>
          <w:tcPr>
            <w:tcW w:w="688"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16,209.90</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13,922,264.97</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3.24%</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415,234,941.16</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896265" w:rsidRDefault="00BA33A5" w:rsidP="001A74A1">
            <w:pPr>
              <w:spacing w:line="360" w:lineRule="auto"/>
              <w:jc w:val="right"/>
              <w:rPr>
                <w:rFonts w:eastAsiaTheme="minorEastAsia"/>
                <w:bCs/>
                <w:color w:val="000000" w:themeColor="text1"/>
                <w:szCs w:val="21"/>
              </w:rPr>
            </w:pPr>
            <w:r w:rsidRPr="00896265">
              <w:rPr>
                <w:rFonts w:eastAsiaTheme="minorEastAsia"/>
                <w:bCs/>
                <w:color w:val="000000" w:themeColor="text1"/>
                <w:szCs w:val="21"/>
              </w:rPr>
              <w:t>96.76%</w:t>
            </w:r>
          </w:p>
        </w:tc>
      </w:tr>
    </w:tbl>
    <w:p w:rsidR="00202457" w:rsidRPr="00896265" w:rsidRDefault="00BA33A5" w:rsidP="00EB69F4">
      <w:pPr>
        <w:autoSpaceDE w:val="0"/>
        <w:autoSpaceDN w:val="0"/>
        <w:adjustRightInd w:val="0"/>
        <w:spacing w:line="360" w:lineRule="auto"/>
        <w:ind w:firstLineChars="200" w:firstLine="420"/>
        <w:jc w:val="left"/>
        <w:rPr>
          <w:rFonts w:eastAsiaTheme="minorEastAsia"/>
          <w:color w:val="000000" w:themeColor="text1"/>
          <w:szCs w:val="21"/>
        </w:rPr>
      </w:pPr>
      <w:r w:rsidRPr="00896265">
        <w:rPr>
          <w:rFonts w:eastAsiaTheme="minorEastAsia"/>
          <w:color w:val="000000" w:themeColor="text1"/>
          <w:szCs w:val="21"/>
        </w:rPr>
        <w:t>注：易方达黄金主题（</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A</w:t>
      </w:r>
      <w:r w:rsidRPr="00896265">
        <w:rPr>
          <w:rFonts w:eastAsiaTheme="minorEastAsia"/>
          <w:color w:val="000000" w:themeColor="text1"/>
          <w:szCs w:val="21"/>
        </w:rPr>
        <w:t>的持有人户数及结构包含</w:t>
      </w:r>
      <w:r w:rsidRPr="00896265">
        <w:rPr>
          <w:rFonts w:eastAsiaTheme="minorEastAsia"/>
          <w:color w:val="000000" w:themeColor="text1"/>
          <w:szCs w:val="21"/>
        </w:rPr>
        <w:t>A</w:t>
      </w:r>
      <w:r w:rsidRPr="00896265">
        <w:rPr>
          <w:rFonts w:eastAsiaTheme="minorEastAsia"/>
          <w:color w:val="000000" w:themeColor="text1"/>
          <w:szCs w:val="21"/>
        </w:rPr>
        <w:t>类人民币份额及</w:t>
      </w:r>
      <w:r w:rsidRPr="00896265">
        <w:rPr>
          <w:rFonts w:eastAsiaTheme="minorEastAsia"/>
          <w:color w:val="000000" w:themeColor="text1"/>
          <w:szCs w:val="21"/>
        </w:rPr>
        <w:t>A</w:t>
      </w:r>
      <w:r w:rsidRPr="00896265">
        <w:rPr>
          <w:rFonts w:eastAsiaTheme="minorEastAsia"/>
          <w:color w:val="000000" w:themeColor="text1"/>
          <w:szCs w:val="21"/>
        </w:rPr>
        <w:t>类美元份额；易方达黄金主题（</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C</w:t>
      </w:r>
      <w:r w:rsidRPr="00896265">
        <w:rPr>
          <w:rFonts w:eastAsiaTheme="minorEastAsia"/>
          <w:color w:val="000000" w:themeColor="text1"/>
          <w:szCs w:val="21"/>
        </w:rPr>
        <w:t>的持有人户数及结构包含</w:t>
      </w:r>
      <w:r w:rsidRPr="00896265">
        <w:rPr>
          <w:rFonts w:eastAsiaTheme="minorEastAsia"/>
          <w:color w:val="000000" w:themeColor="text1"/>
          <w:szCs w:val="21"/>
        </w:rPr>
        <w:t>C</w:t>
      </w:r>
      <w:r w:rsidRPr="00896265">
        <w:rPr>
          <w:rFonts w:eastAsiaTheme="minorEastAsia"/>
          <w:color w:val="000000" w:themeColor="text1"/>
          <w:szCs w:val="21"/>
        </w:rPr>
        <w:t>类人民币份额及</w:t>
      </w:r>
      <w:r w:rsidRPr="00896265">
        <w:rPr>
          <w:rFonts w:eastAsiaTheme="minorEastAsia"/>
          <w:color w:val="000000" w:themeColor="text1"/>
          <w:szCs w:val="21"/>
        </w:rPr>
        <w:t>C</w:t>
      </w:r>
      <w:r w:rsidRPr="00896265">
        <w:rPr>
          <w:rFonts w:eastAsiaTheme="minorEastAsia"/>
          <w:color w:val="000000" w:themeColor="text1"/>
          <w:szCs w:val="21"/>
        </w:rPr>
        <w:t>类美元份额。</w:t>
      </w:r>
    </w:p>
    <w:p w:rsidR="00202457" w:rsidRPr="00940842" w:rsidRDefault="00202457" w:rsidP="00940842">
      <w:pPr>
        <w:pStyle w:val="20"/>
        <w:spacing w:before="0" w:after="0"/>
        <w:rPr>
          <w:rFonts w:asciiTheme="majorEastAsia" w:eastAsiaTheme="majorEastAsia" w:hAnsiTheme="majorEastAsia"/>
          <w:color w:val="000000" w:themeColor="text1"/>
          <w:kern w:val="0"/>
          <w:sz w:val="21"/>
          <w:szCs w:val="21"/>
        </w:rPr>
      </w:pPr>
      <w:bookmarkStart w:id="318" w:name="_Toc362424032"/>
      <w:bookmarkStart w:id="319" w:name="_Toc35533843"/>
      <w:r w:rsidRPr="00940842">
        <w:rPr>
          <w:rFonts w:asciiTheme="majorEastAsia" w:eastAsiaTheme="majorEastAsia" w:hAnsiTheme="majorEastAsia"/>
          <w:color w:val="000000" w:themeColor="text1"/>
          <w:kern w:val="0"/>
          <w:sz w:val="21"/>
          <w:szCs w:val="21"/>
        </w:rPr>
        <w:t>9.2</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期末上市基金前十名持有人</w:t>
      </w:r>
      <w:bookmarkEnd w:id="318"/>
      <w:bookmarkEnd w:id="3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6"/>
        <w:gridCol w:w="3860"/>
        <w:gridCol w:w="2610"/>
        <w:gridCol w:w="2378"/>
      </w:tblGrid>
      <w:tr w:rsidR="00E60957" w:rsidRPr="00896265" w:rsidTr="00EB69F4">
        <w:trPr>
          <w:trHeight w:val="2333"/>
        </w:trPr>
        <w:tc>
          <w:tcPr>
            <w:tcW w:w="736" w:type="dxa"/>
          </w:tcPr>
          <w:p w:rsidR="00202457" w:rsidRPr="00896265" w:rsidRDefault="00202457"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序号</w:t>
            </w:r>
          </w:p>
        </w:tc>
        <w:tc>
          <w:tcPr>
            <w:tcW w:w="3860" w:type="dxa"/>
          </w:tcPr>
          <w:p w:rsidR="00202457" w:rsidRPr="00896265" w:rsidRDefault="00202457"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持有人名称</w:t>
            </w:r>
          </w:p>
        </w:tc>
        <w:tc>
          <w:tcPr>
            <w:tcW w:w="2610" w:type="dxa"/>
          </w:tcPr>
          <w:p w:rsidR="00202457" w:rsidRPr="00896265" w:rsidRDefault="00202457"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持有份额（份）</w:t>
            </w:r>
          </w:p>
        </w:tc>
        <w:tc>
          <w:tcPr>
            <w:tcW w:w="2378" w:type="dxa"/>
          </w:tcPr>
          <w:p w:rsidR="00202457" w:rsidRPr="00896265" w:rsidRDefault="00202457"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占上市总份额比例</w:t>
            </w:r>
          </w:p>
        </w:tc>
      </w:tr>
      <w:tr w:rsidR="00F14AEA">
        <w:tc>
          <w:tcPr>
            <w:tcW w:w="736" w:type="dxa"/>
            <w:vAlign w:val="center"/>
          </w:tcPr>
          <w:p w:rsidR="00F14AEA" w:rsidRDefault="00EC6028">
            <w:pPr>
              <w:jc w:val="center"/>
            </w:pPr>
            <w:r>
              <w:rPr>
                <w:rFonts w:eastAsiaTheme="minorEastAsia"/>
                <w:color w:val="000000" w:themeColor="text1"/>
                <w:szCs w:val="21"/>
              </w:rPr>
              <w:t>1</w:t>
            </w:r>
          </w:p>
        </w:tc>
        <w:tc>
          <w:tcPr>
            <w:tcW w:w="3860" w:type="dxa"/>
            <w:vAlign w:val="center"/>
          </w:tcPr>
          <w:p w:rsidR="00F14AEA" w:rsidRDefault="00EC6028">
            <w:pPr>
              <w:jc w:val="left"/>
            </w:pPr>
            <w:r>
              <w:rPr>
                <w:rFonts w:eastAsiaTheme="minorEastAsia"/>
                <w:color w:val="000000" w:themeColor="text1"/>
                <w:szCs w:val="21"/>
              </w:rPr>
              <w:t>刘晓武</w:t>
            </w:r>
          </w:p>
        </w:tc>
        <w:tc>
          <w:tcPr>
            <w:tcW w:w="2610" w:type="dxa"/>
            <w:vAlign w:val="center"/>
          </w:tcPr>
          <w:p w:rsidR="00F14AEA" w:rsidRDefault="00EC6028">
            <w:pPr>
              <w:jc w:val="right"/>
            </w:pPr>
            <w:r>
              <w:rPr>
                <w:rFonts w:eastAsiaTheme="minorEastAsia"/>
                <w:color w:val="000000" w:themeColor="text1"/>
                <w:szCs w:val="21"/>
              </w:rPr>
              <w:t>4,400,000.00</w:t>
            </w:r>
          </w:p>
        </w:tc>
        <w:tc>
          <w:tcPr>
            <w:tcW w:w="2378" w:type="dxa"/>
            <w:vAlign w:val="center"/>
          </w:tcPr>
          <w:p w:rsidR="00F14AEA" w:rsidRDefault="00EC6028">
            <w:pPr>
              <w:jc w:val="right"/>
            </w:pPr>
            <w:r>
              <w:rPr>
                <w:rFonts w:eastAsiaTheme="minorEastAsia"/>
                <w:color w:val="000000" w:themeColor="text1"/>
                <w:szCs w:val="21"/>
              </w:rPr>
              <w:t>14.94%</w:t>
            </w:r>
          </w:p>
        </w:tc>
      </w:tr>
      <w:tr w:rsidR="00F14AEA">
        <w:tc>
          <w:tcPr>
            <w:tcW w:w="736" w:type="dxa"/>
            <w:vAlign w:val="center"/>
          </w:tcPr>
          <w:p w:rsidR="00F14AEA" w:rsidRDefault="00EC6028">
            <w:pPr>
              <w:jc w:val="center"/>
            </w:pPr>
            <w:r>
              <w:rPr>
                <w:rFonts w:eastAsiaTheme="minorEastAsia"/>
                <w:color w:val="000000" w:themeColor="text1"/>
                <w:szCs w:val="21"/>
              </w:rPr>
              <w:t>2</w:t>
            </w:r>
          </w:p>
        </w:tc>
        <w:tc>
          <w:tcPr>
            <w:tcW w:w="3860" w:type="dxa"/>
            <w:vAlign w:val="center"/>
          </w:tcPr>
          <w:p w:rsidR="00F14AEA" w:rsidRDefault="00EC6028">
            <w:pPr>
              <w:jc w:val="left"/>
            </w:pPr>
            <w:r>
              <w:rPr>
                <w:rFonts w:eastAsiaTheme="minorEastAsia"/>
                <w:color w:val="000000" w:themeColor="text1"/>
                <w:szCs w:val="21"/>
              </w:rPr>
              <w:t>中信信托有限责任公司－企业年金资金信托</w:t>
            </w:r>
            <w:r>
              <w:rPr>
                <w:rFonts w:eastAsiaTheme="minorEastAsia"/>
                <w:color w:val="000000" w:themeColor="text1"/>
                <w:szCs w:val="21"/>
              </w:rPr>
              <w:t>12</w:t>
            </w:r>
          </w:p>
        </w:tc>
        <w:tc>
          <w:tcPr>
            <w:tcW w:w="2610" w:type="dxa"/>
            <w:vAlign w:val="center"/>
          </w:tcPr>
          <w:p w:rsidR="00F14AEA" w:rsidRDefault="00EC6028">
            <w:pPr>
              <w:jc w:val="right"/>
            </w:pPr>
            <w:r>
              <w:rPr>
                <w:rFonts w:eastAsiaTheme="minorEastAsia"/>
                <w:color w:val="000000" w:themeColor="text1"/>
                <w:szCs w:val="21"/>
              </w:rPr>
              <w:t>3,300,000.00</w:t>
            </w:r>
          </w:p>
        </w:tc>
        <w:tc>
          <w:tcPr>
            <w:tcW w:w="2378" w:type="dxa"/>
            <w:vAlign w:val="center"/>
          </w:tcPr>
          <w:p w:rsidR="00F14AEA" w:rsidRDefault="00EC6028">
            <w:pPr>
              <w:jc w:val="right"/>
            </w:pPr>
            <w:r>
              <w:rPr>
                <w:rFonts w:eastAsiaTheme="minorEastAsia"/>
                <w:color w:val="000000" w:themeColor="text1"/>
                <w:szCs w:val="21"/>
              </w:rPr>
              <w:t>11.21%</w:t>
            </w:r>
          </w:p>
        </w:tc>
      </w:tr>
      <w:tr w:rsidR="00F14AEA">
        <w:tc>
          <w:tcPr>
            <w:tcW w:w="736" w:type="dxa"/>
            <w:vAlign w:val="center"/>
          </w:tcPr>
          <w:p w:rsidR="00F14AEA" w:rsidRDefault="00EC6028">
            <w:pPr>
              <w:jc w:val="center"/>
            </w:pPr>
            <w:r>
              <w:rPr>
                <w:rFonts w:eastAsiaTheme="minorEastAsia"/>
                <w:color w:val="000000" w:themeColor="text1"/>
                <w:szCs w:val="21"/>
              </w:rPr>
              <w:t>3</w:t>
            </w:r>
          </w:p>
        </w:tc>
        <w:tc>
          <w:tcPr>
            <w:tcW w:w="3860" w:type="dxa"/>
            <w:vAlign w:val="center"/>
          </w:tcPr>
          <w:p w:rsidR="00F14AEA" w:rsidRDefault="00EC6028">
            <w:pPr>
              <w:jc w:val="left"/>
            </w:pPr>
            <w:r>
              <w:rPr>
                <w:rFonts w:eastAsiaTheme="minorEastAsia"/>
                <w:color w:val="000000" w:themeColor="text1"/>
                <w:szCs w:val="21"/>
              </w:rPr>
              <w:t>邵常红</w:t>
            </w:r>
          </w:p>
        </w:tc>
        <w:tc>
          <w:tcPr>
            <w:tcW w:w="2610" w:type="dxa"/>
            <w:vAlign w:val="center"/>
          </w:tcPr>
          <w:p w:rsidR="00F14AEA" w:rsidRDefault="00EC6028">
            <w:pPr>
              <w:jc w:val="right"/>
            </w:pPr>
            <w:r>
              <w:rPr>
                <w:rFonts w:eastAsiaTheme="minorEastAsia"/>
                <w:color w:val="000000" w:themeColor="text1"/>
                <w:szCs w:val="21"/>
              </w:rPr>
              <w:t>1,452,263.00</w:t>
            </w:r>
          </w:p>
        </w:tc>
        <w:tc>
          <w:tcPr>
            <w:tcW w:w="2378" w:type="dxa"/>
            <w:vAlign w:val="center"/>
          </w:tcPr>
          <w:p w:rsidR="00F14AEA" w:rsidRDefault="00EC6028">
            <w:pPr>
              <w:jc w:val="right"/>
            </w:pPr>
            <w:r>
              <w:rPr>
                <w:rFonts w:eastAsiaTheme="minorEastAsia"/>
                <w:color w:val="000000" w:themeColor="text1"/>
                <w:szCs w:val="21"/>
              </w:rPr>
              <w:t>4.93%</w:t>
            </w:r>
          </w:p>
        </w:tc>
      </w:tr>
      <w:tr w:rsidR="00F14AEA">
        <w:tc>
          <w:tcPr>
            <w:tcW w:w="736" w:type="dxa"/>
            <w:vAlign w:val="center"/>
          </w:tcPr>
          <w:p w:rsidR="00F14AEA" w:rsidRDefault="00EC6028">
            <w:pPr>
              <w:jc w:val="center"/>
            </w:pPr>
            <w:r>
              <w:rPr>
                <w:rFonts w:eastAsiaTheme="minorEastAsia"/>
                <w:color w:val="000000" w:themeColor="text1"/>
                <w:szCs w:val="21"/>
              </w:rPr>
              <w:t>4</w:t>
            </w:r>
          </w:p>
        </w:tc>
        <w:tc>
          <w:tcPr>
            <w:tcW w:w="3860" w:type="dxa"/>
            <w:vAlign w:val="center"/>
          </w:tcPr>
          <w:p w:rsidR="00F14AEA" w:rsidRDefault="00EC6028">
            <w:pPr>
              <w:jc w:val="left"/>
            </w:pPr>
            <w:r>
              <w:rPr>
                <w:rFonts w:eastAsiaTheme="minorEastAsia"/>
                <w:color w:val="000000" w:themeColor="text1"/>
                <w:szCs w:val="21"/>
              </w:rPr>
              <w:t>刘俊容</w:t>
            </w:r>
          </w:p>
        </w:tc>
        <w:tc>
          <w:tcPr>
            <w:tcW w:w="2610" w:type="dxa"/>
            <w:vAlign w:val="center"/>
          </w:tcPr>
          <w:p w:rsidR="00F14AEA" w:rsidRDefault="00EC6028">
            <w:pPr>
              <w:jc w:val="right"/>
            </w:pPr>
            <w:r>
              <w:rPr>
                <w:rFonts w:eastAsiaTheme="minorEastAsia"/>
                <w:color w:val="000000" w:themeColor="text1"/>
                <w:szCs w:val="21"/>
              </w:rPr>
              <w:t>531,100.00</w:t>
            </w:r>
          </w:p>
        </w:tc>
        <w:tc>
          <w:tcPr>
            <w:tcW w:w="2378" w:type="dxa"/>
            <w:vAlign w:val="center"/>
          </w:tcPr>
          <w:p w:rsidR="00F14AEA" w:rsidRDefault="00EC6028">
            <w:pPr>
              <w:jc w:val="right"/>
            </w:pPr>
            <w:r>
              <w:rPr>
                <w:rFonts w:eastAsiaTheme="minorEastAsia"/>
                <w:color w:val="000000" w:themeColor="text1"/>
                <w:szCs w:val="21"/>
              </w:rPr>
              <w:t>1.80%</w:t>
            </w:r>
          </w:p>
        </w:tc>
      </w:tr>
      <w:tr w:rsidR="00F14AEA">
        <w:tc>
          <w:tcPr>
            <w:tcW w:w="736" w:type="dxa"/>
            <w:vAlign w:val="center"/>
          </w:tcPr>
          <w:p w:rsidR="00F14AEA" w:rsidRDefault="00EC6028">
            <w:pPr>
              <w:jc w:val="center"/>
            </w:pPr>
            <w:r>
              <w:rPr>
                <w:rFonts w:eastAsiaTheme="minorEastAsia"/>
                <w:color w:val="000000" w:themeColor="text1"/>
                <w:szCs w:val="21"/>
              </w:rPr>
              <w:t>5</w:t>
            </w:r>
          </w:p>
        </w:tc>
        <w:tc>
          <w:tcPr>
            <w:tcW w:w="3860" w:type="dxa"/>
            <w:vAlign w:val="center"/>
          </w:tcPr>
          <w:p w:rsidR="00F14AEA" w:rsidRDefault="00EC6028">
            <w:pPr>
              <w:jc w:val="left"/>
            </w:pPr>
            <w:r>
              <w:rPr>
                <w:rFonts w:eastAsiaTheme="minorEastAsia"/>
                <w:color w:val="000000" w:themeColor="text1"/>
                <w:szCs w:val="21"/>
              </w:rPr>
              <w:t>汤清泉</w:t>
            </w:r>
          </w:p>
        </w:tc>
        <w:tc>
          <w:tcPr>
            <w:tcW w:w="2610" w:type="dxa"/>
            <w:vAlign w:val="center"/>
          </w:tcPr>
          <w:p w:rsidR="00F14AEA" w:rsidRDefault="00EC6028">
            <w:pPr>
              <w:jc w:val="right"/>
            </w:pPr>
            <w:r>
              <w:rPr>
                <w:rFonts w:eastAsiaTheme="minorEastAsia"/>
                <w:color w:val="000000" w:themeColor="text1"/>
                <w:szCs w:val="21"/>
              </w:rPr>
              <w:t>515,700.00</w:t>
            </w:r>
          </w:p>
        </w:tc>
        <w:tc>
          <w:tcPr>
            <w:tcW w:w="2378" w:type="dxa"/>
            <w:vAlign w:val="center"/>
          </w:tcPr>
          <w:p w:rsidR="00F14AEA" w:rsidRDefault="00EC6028">
            <w:pPr>
              <w:jc w:val="right"/>
            </w:pPr>
            <w:r>
              <w:rPr>
                <w:rFonts w:eastAsiaTheme="minorEastAsia"/>
                <w:color w:val="000000" w:themeColor="text1"/>
                <w:szCs w:val="21"/>
              </w:rPr>
              <w:t>1.75%</w:t>
            </w:r>
          </w:p>
        </w:tc>
      </w:tr>
      <w:tr w:rsidR="00F14AEA">
        <w:tc>
          <w:tcPr>
            <w:tcW w:w="736" w:type="dxa"/>
            <w:vAlign w:val="center"/>
          </w:tcPr>
          <w:p w:rsidR="00F14AEA" w:rsidRDefault="00EC6028">
            <w:pPr>
              <w:jc w:val="center"/>
            </w:pPr>
            <w:r>
              <w:rPr>
                <w:rFonts w:eastAsiaTheme="minorEastAsia"/>
                <w:color w:val="000000" w:themeColor="text1"/>
                <w:szCs w:val="21"/>
              </w:rPr>
              <w:t>6</w:t>
            </w:r>
          </w:p>
        </w:tc>
        <w:tc>
          <w:tcPr>
            <w:tcW w:w="3860" w:type="dxa"/>
            <w:vAlign w:val="center"/>
          </w:tcPr>
          <w:p w:rsidR="00F14AEA" w:rsidRDefault="00EC6028">
            <w:pPr>
              <w:jc w:val="left"/>
            </w:pPr>
            <w:r>
              <w:rPr>
                <w:rFonts w:eastAsiaTheme="minorEastAsia"/>
                <w:color w:val="000000" w:themeColor="text1"/>
                <w:szCs w:val="21"/>
              </w:rPr>
              <w:t>王爱红</w:t>
            </w:r>
          </w:p>
        </w:tc>
        <w:tc>
          <w:tcPr>
            <w:tcW w:w="2610" w:type="dxa"/>
            <w:vAlign w:val="center"/>
          </w:tcPr>
          <w:p w:rsidR="00F14AEA" w:rsidRDefault="00EC6028">
            <w:pPr>
              <w:jc w:val="right"/>
            </w:pPr>
            <w:r>
              <w:rPr>
                <w:rFonts w:eastAsiaTheme="minorEastAsia"/>
                <w:color w:val="000000" w:themeColor="text1"/>
                <w:szCs w:val="21"/>
              </w:rPr>
              <w:t>500,964.00</w:t>
            </w:r>
          </w:p>
        </w:tc>
        <w:tc>
          <w:tcPr>
            <w:tcW w:w="2378" w:type="dxa"/>
            <w:vAlign w:val="center"/>
          </w:tcPr>
          <w:p w:rsidR="00F14AEA" w:rsidRDefault="00EC6028">
            <w:pPr>
              <w:jc w:val="right"/>
            </w:pPr>
            <w:r>
              <w:rPr>
                <w:rFonts w:eastAsiaTheme="minorEastAsia"/>
                <w:color w:val="000000" w:themeColor="text1"/>
                <w:szCs w:val="21"/>
              </w:rPr>
              <w:t>1.70%</w:t>
            </w:r>
          </w:p>
        </w:tc>
      </w:tr>
      <w:tr w:rsidR="00F14AEA">
        <w:tc>
          <w:tcPr>
            <w:tcW w:w="736" w:type="dxa"/>
            <w:vAlign w:val="center"/>
          </w:tcPr>
          <w:p w:rsidR="00F14AEA" w:rsidRDefault="00EC6028">
            <w:pPr>
              <w:jc w:val="center"/>
            </w:pPr>
            <w:r>
              <w:rPr>
                <w:rFonts w:eastAsiaTheme="minorEastAsia"/>
                <w:color w:val="000000" w:themeColor="text1"/>
                <w:szCs w:val="21"/>
              </w:rPr>
              <w:t>7</w:t>
            </w:r>
          </w:p>
        </w:tc>
        <w:tc>
          <w:tcPr>
            <w:tcW w:w="3860" w:type="dxa"/>
            <w:vAlign w:val="center"/>
          </w:tcPr>
          <w:p w:rsidR="00F14AEA" w:rsidRDefault="00EC6028">
            <w:pPr>
              <w:jc w:val="left"/>
            </w:pPr>
            <w:r>
              <w:rPr>
                <w:rFonts w:eastAsiaTheme="minorEastAsia"/>
                <w:color w:val="000000" w:themeColor="text1"/>
                <w:szCs w:val="21"/>
              </w:rPr>
              <w:t>周怡</w:t>
            </w:r>
          </w:p>
        </w:tc>
        <w:tc>
          <w:tcPr>
            <w:tcW w:w="2610" w:type="dxa"/>
            <w:vAlign w:val="center"/>
          </w:tcPr>
          <w:p w:rsidR="00F14AEA" w:rsidRDefault="00EC6028">
            <w:pPr>
              <w:jc w:val="right"/>
            </w:pPr>
            <w:r>
              <w:rPr>
                <w:rFonts w:eastAsiaTheme="minorEastAsia"/>
                <w:color w:val="000000" w:themeColor="text1"/>
                <w:szCs w:val="21"/>
              </w:rPr>
              <w:t>380,999.00</w:t>
            </w:r>
          </w:p>
        </w:tc>
        <w:tc>
          <w:tcPr>
            <w:tcW w:w="2378" w:type="dxa"/>
            <w:vAlign w:val="center"/>
          </w:tcPr>
          <w:p w:rsidR="00F14AEA" w:rsidRDefault="00EC6028">
            <w:pPr>
              <w:jc w:val="right"/>
            </w:pPr>
            <w:r>
              <w:rPr>
                <w:rFonts w:eastAsiaTheme="minorEastAsia"/>
                <w:color w:val="000000" w:themeColor="text1"/>
                <w:szCs w:val="21"/>
              </w:rPr>
              <w:t>1.29%</w:t>
            </w:r>
          </w:p>
        </w:tc>
      </w:tr>
      <w:tr w:rsidR="00F14AEA">
        <w:tc>
          <w:tcPr>
            <w:tcW w:w="736" w:type="dxa"/>
            <w:vAlign w:val="center"/>
          </w:tcPr>
          <w:p w:rsidR="00F14AEA" w:rsidRDefault="00EC6028">
            <w:pPr>
              <w:jc w:val="center"/>
            </w:pPr>
            <w:r>
              <w:rPr>
                <w:rFonts w:eastAsiaTheme="minorEastAsia"/>
                <w:color w:val="000000" w:themeColor="text1"/>
                <w:szCs w:val="21"/>
              </w:rPr>
              <w:t>8</w:t>
            </w:r>
          </w:p>
        </w:tc>
        <w:tc>
          <w:tcPr>
            <w:tcW w:w="3860" w:type="dxa"/>
            <w:vAlign w:val="center"/>
          </w:tcPr>
          <w:p w:rsidR="00F14AEA" w:rsidRDefault="00EC6028">
            <w:pPr>
              <w:jc w:val="left"/>
            </w:pPr>
            <w:r>
              <w:rPr>
                <w:rFonts w:eastAsiaTheme="minorEastAsia"/>
                <w:color w:val="000000" w:themeColor="text1"/>
                <w:szCs w:val="21"/>
              </w:rPr>
              <w:t>戚艳妮</w:t>
            </w:r>
          </w:p>
        </w:tc>
        <w:tc>
          <w:tcPr>
            <w:tcW w:w="2610" w:type="dxa"/>
            <w:vAlign w:val="center"/>
          </w:tcPr>
          <w:p w:rsidR="00F14AEA" w:rsidRDefault="00EC6028">
            <w:pPr>
              <w:jc w:val="right"/>
            </w:pPr>
            <w:r>
              <w:rPr>
                <w:rFonts w:eastAsiaTheme="minorEastAsia"/>
                <w:color w:val="000000" w:themeColor="text1"/>
                <w:szCs w:val="21"/>
              </w:rPr>
              <w:t>376,965.00</w:t>
            </w:r>
          </w:p>
        </w:tc>
        <w:tc>
          <w:tcPr>
            <w:tcW w:w="2378" w:type="dxa"/>
            <w:vAlign w:val="center"/>
          </w:tcPr>
          <w:p w:rsidR="00F14AEA" w:rsidRDefault="00EC6028">
            <w:pPr>
              <w:jc w:val="right"/>
            </w:pPr>
            <w:r>
              <w:rPr>
                <w:rFonts w:eastAsiaTheme="minorEastAsia"/>
                <w:color w:val="000000" w:themeColor="text1"/>
                <w:szCs w:val="21"/>
              </w:rPr>
              <w:t>1.28%</w:t>
            </w:r>
          </w:p>
        </w:tc>
      </w:tr>
      <w:tr w:rsidR="00F14AEA">
        <w:tc>
          <w:tcPr>
            <w:tcW w:w="736" w:type="dxa"/>
            <w:vAlign w:val="center"/>
          </w:tcPr>
          <w:p w:rsidR="00F14AEA" w:rsidRDefault="00EC6028">
            <w:pPr>
              <w:jc w:val="center"/>
            </w:pPr>
            <w:r>
              <w:rPr>
                <w:rFonts w:eastAsiaTheme="minorEastAsia"/>
                <w:color w:val="000000" w:themeColor="text1"/>
                <w:szCs w:val="21"/>
              </w:rPr>
              <w:t>9</w:t>
            </w:r>
          </w:p>
        </w:tc>
        <w:tc>
          <w:tcPr>
            <w:tcW w:w="3860" w:type="dxa"/>
            <w:vAlign w:val="center"/>
          </w:tcPr>
          <w:p w:rsidR="00F14AEA" w:rsidRDefault="00EC6028">
            <w:pPr>
              <w:jc w:val="left"/>
            </w:pPr>
            <w:r>
              <w:rPr>
                <w:rFonts w:eastAsiaTheme="minorEastAsia"/>
                <w:color w:val="000000" w:themeColor="text1"/>
                <w:szCs w:val="21"/>
              </w:rPr>
              <w:t>刘文珍</w:t>
            </w:r>
          </w:p>
        </w:tc>
        <w:tc>
          <w:tcPr>
            <w:tcW w:w="2610" w:type="dxa"/>
            <w:vAlign w:val="center"/>
          </w:tcPr>
          <w:p w:rsidR="00F14AEA" w:rsidRDefault="00EC6028">
            <w:pPr>
              <w:jc w:val="right"/>
            </w:pPr>
            <w:r>
              <w:rPr>
                <w:rFonts w:eastAsiaTheme="minorEastAsia"/>
                <w:color w:val="000000" w:themeColor="text1"/>
                <w:szCs w:val="21"/>
              </w:rPr>
              <w:t>361,600.00</w:t>
            </w:r>
          </w:p>
        </w:tc>
        <w:tc>
          <w:tcPr>
            <w:tcW w:w="2378" w:type="dxa"/>
            <w:vAlign w:val="center"/>
          </w:tcPr>
          <w:p w:rsidR="00F14AEA" w:rsidRDefault="00EC6028">
            <w:pPr>
              <w:jc w:val="right"/>
            </w:pPr>
            <w:r>
              <w:rPr>
                <w:rFonts w:eastAsiaTheme="minorEastAsia"/>
                <w:color w:val="000000" w:themeColor="text1"/>
                <w:szCs w:val="21"/>
              </w:rPr>
              <w:t>1.23%</w:t>
            </w:r>
          </w:p>
        </w:tc>
      </w:tr>
      <w:tr w:rsidR="00F14AEA">
        <w:tc>
          <w:tcPr>
            <w:tcW w:w="736" w:type="dxa"/>
            <w:vAlign w:val="center"/>
          </w:tcPr>
          <w:p w:rsidR="00F14AEA" w:rsidRDefault="00EC6028">
            <w:pPr>
              <w:jc w:val="center"/>
            </w:pPr>
            <w:r>
              <w:rPr>
                <w:rFonts w:eastAsiaTheme="minorEastAsia"/>
                <w:color w:val="000000" w:themeColor="text1"/>
                <w:szCs w:val="21"/>
              </w:rPr>
              <w:t>10</w:t>
            </w:r>
          </w:p>
        </w:tc>
        <w:tc>
          <w:tcPr>
            <w:tcW w:w="3860" w:type="dxa"/>
            <w:vAlign w:val="center"/>
          </w:tcPr>
          <w:p w:rsidR="00F14AEA" w:rsidRDefault="00EC6028">
            <w:pPr>
              <w:jc w:val="left"/>
            </w:pPr>
            <w:r>
              <w:rPr>
                <w:rFonts w:eastAsiaTheme="minorEastAsia"/>
                <w:color w:val="000000" w:themeColor="text1"/>
                <w:szCs w:val="21"/>
              </w:rPr>
              <w:t>王新南</w:t>
            </w:r>
          </w:p>
        </w:tc>
        <w:tc>
          <w:tcPr>
            <w:tcW w:w="2610" w:type="dxa"/>
            <w:vAlign w:val="center"/>
          </w:tcPr>
          <w:p w:rsidR="00F14AEA" w:rsidRDefault="00EC6028">
            <w:pPr>
              <w:jc w:val="right"/>
            </w:pPr>
            <w:r>
              <w:rPr>
                <w:rFonts w:eastAsiaTheme="minorEastAsia"/>
                <w:color w:val="000000" w:themeColor="text1"/>
                <w:szCs w:val="21"/>
              </w:rPr>
              <w:t>333,609.00</w:t>
            </w:r>
          </w:p>
        </w:tc>
        <w:tc>
          <w:tcPr>
            <w:tcW w:w="2378" w:type="dxa"/>
            <w:vAlign w:val="center"/>
          </w:tcPr>
          <w:p w:rsidR="00F14AEA" w:rsidRDefault="00EC6028">
            <w:pPr>
              <w:jc w:val="right"/>
            </w:pPr>
            <w:r>
              <w:rPr>
                <w:rFonts w:eastAsiaTheme="minorEastAsia"/>
                <w:color w:val="000000" w:themeColor="text1"/>
                <w:szCs w:val="21"/>
              </w:rPr>
              <w:t>1.13%</w:t>
            </w:r>
          </w:p>
        </w:tc>
      </w:tr>
    </w:tbl>
    <w:p w:rsidR="00202457" w:rsidRPr="00896265" w:rsidRDefault="00202457" w:rsidP="00EB69F4">
      <w:pPr>
        <w:spacing w:line="360" w:lineRule="auto"/>
        <w:ind w:firstLineChars="200" w:firstLine="420"/>
        <w:jc w:val="left"/>
        <w:rPr>
          <w:rFonts w:eastAsiaTheme="minorEastAsia"/>
          <w:color w:val="000000" w:themeColor="text1"/>
          <w:szCs w:val="21"/>
        </w:rPr>
      </w:pPr>
      <w:r w:rsidRPr="00896265">
        <w:rPr>
          <w:rFonts w:eastAsiaTheme="minorEastAsia"/>
          <w:color w:val="000000" w:themeColor="text1"/>
          <w:szCs w:val="21"/>
        </w:rPr>
        <w:t>注：本表统计的上市基金前十名持有人均为场内持有人。</w:t>
      </w:r>
    </w:p>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320" w:name="_Toc352256008"/>
      <w:bookmarkStart w:id="321" w:name="_Toc352256076"/>
      <w:bookmarkStart w:id="322" w:name="_Toc352331254"/>
      <w:bookmarkStart w:id="323" w:name="_Toc362424033"/>
      <w:bookmarkStart w:id="324" w:name="_Toc35533844"/>
      <w:r w:rsidRPr="00940842">
        <w:rPr>
          <w:rFonts w:asciiTheme="majorEastAsia" w:eastAsiaTheme="majorEastAsia" w:hAnsiTheme="majorEastAsia"/>
          <w:color w:val="000000" w:themeColor="text1"/>
          <w:kern w:val="0"/>
          <w:sz w:val="21"/>
          <w:szCs w:val="21"/>
        </w:rPr>
        <w:t>9.3</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期末基金管理人的从业人员持有本基金的情况</w:t>
      </w:r>
      <w:bookmarkEnd w:id="320"/>
      <w:bookmarkEnd w:id="321"/>
      <w:bookmarkEnd w:id="322"/>
      <w:bookmarkEnd w:id="323"/>
      <w:bookmarkEnd w:id="324"/>
    </w:p>
    <w:tbl>
      <w:tblPr>
        <w:tblStyle w:val="af7"/>
        <w:tblW w:w="0" w:type="auto"/>
        <w:tblInd w:w="108" w:type="dxa"/>
        <w:tblLayout w:type="fixed"/>
        <w:tblLook w:val="04A0" w:firstRow="1" w:lastRow="0" w:firstColumn="1" w:lastColumn="0" w:noHBand="0" w:noVBand="1"/>
      </w:tblPr>
      <w:tblGrid>
        <w:gridCol w:w="2321"/>
        <w:gridCol w:w="2321"/>
        <w:gridCol w:w="2322"/>
        <w:gridCol w:w="2322"/>
      </w:tblGrid>
      <w:tr w:rsidR="00325929" w:rsidRPr="00896265" w:rsidTr="00070156">
        <w:tc>
          <w:tcPr>
            <w:tcW w:w="2321" w:type="dxa"/>
            <w:vAlign w:val="center"/>
          </w:tcPr>
          <w:p w:rsidR="00325929" w:rsidRPr="00896265" w:rsidRDefault="00325929" w:rsidP="00070156">
            <w:pPr>
              <w:pStyle w:val="a0"/>
              <w:ind w:firstLineChars="0" w:firstLine="0"/>
              <w:jc w:val="center"/>
              <w:rPr>
                <w:rFonts w:eastAsiaTheme="minorEastAsia"/>
                <w:szCs w:val="21"/>
              </w:rPr>
            </w:pPr>
            <w:bookmarkStart w:id="325" w:name="_Toc286911325"/>
            <w:bookmarkStart w:id="326" w:name="_Toc247957892"/>
            <w:r w:rsidRPr="00896265">
              <w:rPr>
                <w:rFonts w:eastAsiaTheme="minorEastAsia"/>
                <w:szCs w:val="21"/>
              </w:rPr>
              <w:t>项目</w:t>
            </w:r>
          </w:p>
        </w:tc>
        <w:tc>
          <w:tcPr>
            <w:tcW w:w="2321" w:type="dxa"/>
            <w:vAlign w:val="center"/>
          </w:tcPr>
          <w:p w:rsidR="00325929" w:rsidRPr="00896265" w:rsidRDefault="00325929" w:rsidP="00070156">
            <w:pPr>
              <w:pStyle w:val="a0"/>
              <w:ind w:firstLineChars="0" w:firstLine="0"/>
              <w:jc w:val="center"/>
              <w:rPr>
                <w:rFonts w:eastAsiaTheme="minorEastAsia"/>
                <w:szCs w:val="21"/>
              </w:rPr>
            </w:pPr>
            <w:r w:rsidRPr="00896265">
              <w:rPr>
                <w:rFonts w:eastAsiaTheme="minorEastAsia"/>
                <w:szCs w:val="21"/>
              </w:rPr>
              <w:t>份额级别</w:t>
            </w:r>
          </w:p>
        </w:tc>
        <w:tc>
          <w:tcPr>
            <w:tcW w:w="2322" w:type="dxa"/>
            <w:vAlign w:val="center"/>
          </w:tcPr>
          <w:p w:rsidR="00325929" w:rsidRPr="00896265" w:rsidRDefault="00325929" w:rsidP="00070156">
            <w:pPr>
              <w:pStyle w:val="a0"/>
              <w:ind w:firstLineChars="0" w:firstLine="0"/>
              <w:jc w:val="center"/>
              <w:rPr>
                <w:rFonts w:eastAsiaTheme="minorEastAsia"/>
                <w:szCs w:val="21"/>
              </w:rPr>
            </w:pPr>
            <w:r w:rsidRPr="00896265">
              <w:rPr>
                <w:rFonts w:eastAsiaTheme="minorEastAsia"/>
                <w:szCs w:val="21"/>
              </w:rPr>
              <w:t>持有份额总数（份）</w:t>
            </w:r>
          </w:p>
        </w:tc>
        <w:tc>
          <w:tcPr>
            <w:tcW w:w="2322" w:type="dxa"/>
            <w:vAlign w:val="center"/>
          </w:tcPr>
          <w:p w:rsidR="00325929" w:rsidRPr="00896265" w:rsidRDefault="00325929" w:rsidP="00070156">
            <w:pPr>
              <w:pStyle w:val="a0"/>
              <w:ind w:firstLineChars="0" w:firstLine="0"/>
              <w:jc w:val="center"/>
              <w:rPr>
                <w:rFonts w:eastAsiaTheme="minorEastAsia"/>
                <w:szCs w:val="21"/>
              </w:rPr>
            </w:pPr>
            <w:r w:rsidRPr="00896265">
              <w:rPr>
                <w:rFonts w:eastAsiaTheme="minorEastAsia"/>
                <w:szCs w:val="21"/>
              </w:rPr>
              <w:t>占基金总份额比例</w:t>
            </w:r>
          </w:p>
        </w:tc>
      </w:tr>
      <w:tr w:rsidR="00325929" w:rsidRPr="00896265" w:rsidTr="00070156">
        <w:tc>
          <w:tcPr>
            <w:tcW w:w="2321" w:type="dxa"/>
            <w:vMerge w:val="restart"/>
            <w:vAlign w:val="center"/>
          </w:tcPr>
          <w:p w:rsidR="00325929" w:rsidRPr="00896265" w:rsidRDefault="00325929" w:rsidP="00070156">
            <w:pPr>
              <w:pStyle w:val="a0"/>
              <w:ind w:firstLineChars="0" w:firstLine="0"/>
              <w:jc w:val="center"/>
              <w:rPr>
                <w:rFonts w:eastAsiaTheme="minorEastAsia"/>
                <w:szCs w:val="21"/>
              </w:rPr>
            </w:pPr>
            <w:r w:rsidRPr="00896265">
              <w:rPr>
                <w:rFonts w:eastAsiaTheme="minorEastAsia"/>
                <w:color w:val="000000"/>
                <w:szCs w:val="21"/>
              </w:rPr>
              <w:t>基金管理人所有从业人员持有本基金</w:t>
            </w:r>
          </w:p>
        </w:tc>
        <w:tc>
          <w:tcPr>
            <w:tcW w:w="2321" w:type="dxa"/>
            <w:vAlign w:val="center"/>
          </w:tcPr>
          <w:p w:rsidR="00325929" w:rsidRPr="00896265" w:rsidRDefault="00325929" w:rsidP="00070156">
            <w:pPr>
              <w:jc w:val="right"/>
              <w:rPr>
                <w:rFonts w:eastAsiaTheme="minorEastAsia"/>
                <w:color w:val="000000"/>
                <w:kern w:val="0"/>
                <w:szCs w:val="21"/>
              </w:rPr>
            </w:pPr>
            <w:r w:rsidRPr="00896265">
              <w:rPr>
                <w:rFonts w:eastAsiaTheme="minorEastAsia"/>
                <w:szCs w:val="21"/>
              </w:rPr>
              <w:t>易方达黄金主题（</w:t>
            </w:r>
            <w:r w:rsidRPr="00896265">
              <w:rPr>
                <w:rFonts w:eastAsiaTheme="minorEastAsia"/>
                <w:szCs w:val="21"/>
              </w:rPr>
              <w:t>QDII-LOF-FOF</w:t>
            </w:r>
            <w:r w:rsidRPr="00896265">
              <w:rPr>
                <w:rFonts w:eastAsiaTheme="minorEastAsia"/>
                <w:szCs w:val="21"/>
              </w:rPr>
              <w:t>）</w:t>
            </w:r>
            <w:r w:rsidRPr="00896265">
              <w:rPr>
                <w:rFonts w:eastAsiaTheme="minorEastAsia"/>
                <w:szCs w:val="21"/>
              </w:rPr>
              <w:t>A</w:t>
            </w:r>
          </w:p>
        </w:tc>
        <w:tc>
          <w:tcPr>
            <w:tcW w:w="2322" w:type="dxa"/>
            <w:vAlign w:val="center"/>
          </w:tcPr>
          <w:p w:rsidR="00325929" w:rsidRPr="00896265" w:rsidRDefault="00325929" w:rsidP="00070156">
            <w:pPr>
              <w:widowControl/>
              <w:jc w:val="right"/>
              <w:rPr>
                <w:rFonts w:eastAsiaTheme="minorEastAsia"/>
                <w:color w:val="000000"/>
                <w:kern w:val="0"/>
                <w:szCs w:val="21"/>
              </w:rPr>
            </w:pPr>
            <w:r w:rsidRPr="00896265">
              <w:rPr>
                <w:rFonts w:eastAsiaTheme="minorEastAsia"/>
                <w:color w:val="000000"/>
                <w:kern w:val="0"/>
                <w:szCs w:val="21"/>
              </w:rPr>
              <w:t>1,549,154.10</w:t>
            </w:r>
          </w:p>
        </w:tc>
        <w:tc>
          <w:tcPr>
            <w:tcW w:w="2322" w:type="dxa"/>
            <w:vAlign w:val="center"/>
          </w:tcPr>
          <w:p w:rsidR="00325929" w:rsidRPr="00896265" w:rsidRDefault="00325929" w:rsidP="00070156">
            <w:pPr>
              <w:widowControl/>
              <w:jc w:val="right"/>
              <w:rPr>
                <w:rFonts w:eastAsiaTheme="minorEastAsia"/>
                <w:color w:val="000000"/>
                <w:kern w:val="0"/>
                <w:szCs w:val="21"/>
              </w:rPr>
            </w:pPr>
            <w:r w:rsidRPr="00896265">
              <w:rPr>
                <w:rFonts w:eastAsiaTheme="minorEastAsia"/>
                <w:color w:val="000000"/>
                <w:kern w:val="0"/>
                <w:szCs w:val="21"/>
              </w:rPr>
              <w:t>0.3614%</w:t>
            </w:r>
          </w:p>
        </w:tc>
      </w:tr>
      <w:tr w:rsidR="00325929" w:rsidRPr="00896265" w:rsidTr="00070156">
        <w:tc>
          <w:tcPr>
            <w:tcW w:w="2321" w:type="dxa"/>
            <w:vMerge/>
          </w:tcPr>
          <w:p w:rsidR="00325929" w:rsidRPr="00896265" w:rsidRDefault="00325929" w:rsidP="00070156">
            <w:pPr>
              <w:pStyle w:val="a0"/>
              <w:ind w:firstLineChars="0" w:firstLine="0"/>
              <w:rPr>
                <w:rFonts w:eastAsiaTheme="minorEastAsia"/>
                <w:szCs w:val="21"/>
              </w:rPr>
            </w:pPr>
          </w:p>
        </w:tc>
        <w:tc>
          <w:tcPr>
            <w:tcW w:w="2321" w:type="dxa"/>
            <w:vAlign w:val="center"/>
          </w:tcPr>
          <w:p w:rsidR="00325929" w:rsidRPr="00896265" w:rsidRDefault="00325929" w:rsidP="00070156">
            <w:pPr>
              <w:jc w:val="right"/>
              <w:rPr>
                <w:rFonts w:eastAsiaTheme="minorEastAsia"/>
                <w:color w:val="000000"/>
                <w:kern w:val="0"/>
                <w:szCs w:val="21"/>
              </w:rPr>
            </w:pPr>
            <w:r w:rsidRPr="00896265">
              <w:rPr>
                <w:rFonts w:eastAsiaTheme="minorEastAsia"/>
                <w:szCs w:val="21"/>
              </w:rPr>
              <w:t>易方达黄金主题（</w:t>
            </w:r>
            <w:r w:rsidRPr="00896265">
              <w:rPr>
                <w:rFonts w:eastAsiaTheme="minorEastAsia"/>
                <w:szCs w:val="21"/>
              </w:rPr>
              <w:t>QDII-LOF-FOF</w:t>
            </w:r>
            <w:r w:rsidRPr="00896265">
              <w:rPr>
                <w:rFonts w:eastAsiaTheme="minorEastAsia"/>
                <w:szCs w:val="21"/>
              </w:rPr>
              <w:t>）</w:t>
            </w:r>
            <w:r w:rsidRPr="00896265">
              <w:rPr>
                <w:rFonts w:eastAsiaTheme="minorEastAsia"/>
                <w:szCs w:val="21"/>
              </w:rPr>
              <w:t>C</w:t>
            </w:r>
          </w:p>
        </w:tc>
        <w:tc>
          <w:tcPr>
            <w:tcW w:w="2322" w:type="dxa"/>
            <w:vAlign w:val="center"/>
          </w:tcPr>
          <w:p w:rsidR="00325929" w:rsidRPr="00896265" w:rsidRDefault="00325929" w:rsidP="00070156">
            <w:pPr>
              <w:widowControl/>
              <w:jc w:val="right"/>
              <w:rPr>
                <w:rFonts w:eastAsiaTheme="minorEastAsia"/>
                <w:color w:val="000000"/>
                <w:kern w:val="0"/>
                <w:szCs w:val="21"/>
              </w:rPr>
            </w:pPr>
            <w:r w:rsidRPr="00896265">
              <w:rPr>
                <w:rFonts w:eastAsiaTheme="minorEastAsia"/>
                <w:color w:val="000000"/>
                <w:kern w:val="0"/>
                <w:szCs w:val="21"/>
              </w:rPr>
              <w:t>4,855.15</w:t>
            </w:r>
          </w:p>
        </w:tc>
        <w:tc>
          <w:tcPr>
            <w:tcW w:w="2322" w:type="dxa"/>
            <w:vAlign w:val="center"/>
          </w:tcPr>
          <w:p w:rsidR="00325929" w:rsidRPr="00896265" w:rsidRDefault="00325929" w:rsidP="00070156">
            <w:pPr>
              <w:widowControl/>
              <w:jc w:val="right"/>
              <w:rPr>
                <w:rFonts w:eastAsiaTheme="minorEastAsia"/>
                <w:color w:val="000000"/>
                <w:kern w:val="0"/>
                <w:szCs w:val="21"/>
              </w:rPr>
            </w:pPr>
            <w:r w:rsidRPr="00896265">
              <w:rPr>
                <w:rFonts w:eastAsiaTheme="minorEastAsia"/>
                <w:color w:val="000000"/>
                <w:kern w:val="0"/>
                <w:szCs w:val="21"/>
              </w:rPr>
              <w:t>1.0698%</w:t>
            </w:r>
          </w:p>
        </w:tc>
      </w:tr>
      <w:tr w:rsidR="00325929" w:rsidRPr="00896265" w:rsidTr="00070156">
        <w:tc>
          <w:tcPr>
            <w:tcW w:w="2321" w:type="dxa"/>
            <w:vMerge/>
          </w:tcPr>
          <w:p w:rsidR="00325929" w:rsidRPr="00896265" w:rsidRDefault="00325929" w:rsidP="00070156">
            <w:pPr>
              <w:pStyle w:val="a0"/>
              <w:ind w:firstLineChars="0" w:firstLine="0"/>
              <w:rPr>
                <w:rFonts w:eastAsiaTheme="minorEastAsia"/>
                <w:szCs w:val="21"/>
              </w:rPr>
            </w:pPr>
          </w:p>
        </w:tc>
        <w:tc>
          <w:tcPr>
            <w:tcW w:w="2321" w:type="dxa"/>
            <w:vAlign w:val="center"/>
          </w:tcPr>
          <w:p w:rsidR="00325929" w:rsidRPr="00896265" w:rsidRDefault="00325929" w:rsidP="00070156">
            <w:pPr>
              <w:widowControl/>
              <w:jc w:val="center"/>
              <w:rPr>
                <w:rFonts w:eastAsiaTheme="minorEastAsia"/>
                <w:color w:val="000000"/>
                <w:kern w:val="0"/>
                <w:szCs w:val="21"/>
              </w:rPr>
            </w:pPr>
            <w:r w:rsidRPr="00896265">
              <w:rPr>
                <w:rFonts w:eastAsiaTheme="minorEastAsia"/>
                <w:color w:val="000000"/>
                <w:kern w:val="0"/>
                <w:szCs w:val="21"/>
              </w:rPr>
              <w:t>合计</w:t>
            </w:r>
          </w:p>
        </w:tc>
        <w:tc>
          <w:tcPr>
            <w:tcW w:w="2322" w:type="dxa"/>
            <w:vAlign w:val="center"/>
          </w:tcPr>
          <w:p w:rsidR="00325929" w:rsidRPr="00896265" w:rsidRDefault="00325929" w:rsidP="00070156">
            <w:pPr>
              <w:widowControl/>
              <w:jc w:val="right"/>
              <w:rPr>
                <w:rFonts w:eastAsiaTheme="minorEastAsia"/>
                <w:color w:val="000000"/>
                <w:kern w:val="0"/>
                <w:szCs w:val="21"/>
              </w:rPr>
            </w:pPr>
            <w:r w:rsidRPr="00896265">
              <w:rPr>
                <w:rFonts w:eastAsiaTheme="minorEastAsia"/>
                <w:color w:val="000000"/>
                <w:kern w:val="0"/>
                <w:szCs w:val="21"/>
              </w:rPr>
              <w:t>1,554,009.25</w:t>
            </w:r>
          </w:p>
        </w:tc>
        <w:tc>
          <w:tcPr>
            <w:tcW w:w="2322" w:type="dxa"/>
            <w:vAlign w:val="center"/>
          </w:tcPr>
          <w:p w:rsidR="00325929" w:rsidRPr="00896265" w:rsidRDefault="00325929" w:rsidP="00070156">
            <w:pPr>
              <w:widowControl/>
              <w:jc w:val="right"/>
              <w:rPr>
                <w:rFonts w:eastAsiaTheme="minorEastAsia"/>
                <w:color w:val="000000"/>
                <w:kern w:val="0"/>
                <w:szCs w:val="21"/>
              </w:rPr>
            </w:pPr>
            <w:r w:rsidRPr="00896265">
              <w:rPr>
                <w:rFonts w:eastAsiaTheme="minorEastAsia"/>
                <w:color w:val="000000"/>
                <w:kern w:val="0"/>
                <w:szCs w:val="21"/>
              </w:rPr>
              <w:t>0.3621%</w:t>
            </w:r>
          </w:p>
        </w:tc>
      </w:tr>
    </w:tbl>
    <w:p w:rsidR="00331770" w:rsidRPr="00896265" w:rsidRDefault="007B62FA" w:rsidP="00B5782F">
      <w:pPr>
        <w:spacing w:line="360" w:lineRule="auto"/>
        <w:ind w:firstLineChars="200" w:firstLine="420"/>
        <w:jc w:val="left"/>
        <w:rPr>
          <w:rFonts w:eastAsiaTheme="minorEastAsia"/>
          <w:color w:val="000000" w:themeColor="text1"/>
          <w:szCs w:val="21"/>
        </w:rPr>
      </w:pPr>
      <w:r w:rsidRPr="00896265">
        <w:rPr>
          <w:rFonts w:eastAsiaTheme="minorEastAsia"/>
          <w:color w:val="000000" w:themeColor="text1"/>
          <w:szCs w:val="21"/>
        </w:rPr>
        <w:t>注：基金管理人的从业人员持有的易方达黄金主题（</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A</w:t>
      </w:r>
      <w:r w:rsidRPr="00896265">
        <w:rPr>
          <w:rFonts w:eastAsiaTheme="minorEastAsia"/>
          <w:color w:val="000000" w:themeColor="text1"/>
          <w:szCs w:val="21"/>
        </w:rPr>
        <w:t>类份额含</w:t>
      </w:r>
      <w:r w:rsidRPr="00896265">
        <w:rPr>
          <w:rFonts w:eastAsiaTheme="minorEastAsia"/>
          <w:color w:val="000000" w:themeColor="text1"/>
          <w:szCs w:val="21"/>
        </w:rPr>
        <w:t>A</w:t>
      </w:r>
      <w:r w:rsidRPr="00896265">
        <w:rPr>
          <w:rFonts w:eastAsiaTheme="minorEastAsia"/>
          <w:color w:val="000000" w:themeColor="text1"/>
          <w:szCs w:val="21"/>
        </w:rPr>
        <w:t>类人民币份额、</w:t>
      </w:r>
      <w:r w:rsidRPr="00896265">
        <w:rPr>
          <w:rFonts w:eastAsiaTheme="minorEastAsia"/>
          <w:color w:val="000000" w:themeColor="text1"/>
          <w:szCs w:val="21"/>
        </w:rPr>
        <w:t>A</w:t>
      </w:r>
      <w:r w:rsidRPr="00896265">
        <w:rPr>
          <w:rFonts w:eastAsiaTheme="minorEastAsia"/>
          <w:color w:val="000000" w:themeColor="text1"/>
          <w:szCs w:val="21"/>
        </w:rPr>
        <w:t>类美元份额；易方达黄金主题（</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C</w:t>
      </w:r>
      <w:r w:rsidRPr="00896265">
        <w:rPr>
          <w:rFonts w:eastAsiaTheme="minorEastAsia"/>
          <w:color w:val="000000" w:themeColor="text1"/>
          <w:szCs w:val="21"/>
        </w:rPr>
        <w:t>类份额含</w:t>
      </w:r>
      <w:r w:rsidRPr="00896265">
        <w:rPr>
          <w:rFonts w:eastAsiaTheme="minorEastAsia"/>
          <w:color w:val="000000" w:themeColor="text1"/>
          <w:szCs w:val="21"/>
        </w:rPr>
        <w:t>C</w:t>
      </w:r>
      <w:r w:rsidRPr="00896265">
        <w:rPr>
          <w:rFonts w:eastAsiaTheme="minorEastAsia"/>
          <w:color w:val="000000" w:themeColor="text1"/>
          <w:szCs w:val="21"/>
        </w:rPr>
        <w:t>类人民币份额及</w:t>
      </w:r>
      <w:r w:rsidRPr="00896265">
        <w:rPr>
          <w:rFonts w:eastAsiaTheme="minorEastAsia"/>
          <w:color w:val="000000" w:themeColor="text1"/>
          <w:szCs w:val="21"/>
        </w:rPr>
        <w:t>C</w:t>
      </w:r>
      <w:r w:rsidRPr="00896265">
        <w:rPr>
          <w:rFonts w:eastAsiaTheme="minorEastAsia"/>
          <w:color w:val="000000" w:themeColor="text1"/>
          <w:szCs w:val="21"/>
        </w:rPr>
        <w:t>类美元份额。</w:t>
      </w:r>
      <w:bookmarkEnd w:id="325"/>
      <w:bookmarkEnd w:id="326"/>
    </w:p>
    <w:p w:rsidR="00331770" w:rsidRPr="00940842" w:rsidRDefault="00331770" w:rsidP="00940842">
      <w:pPr>
        <w:pStyle w:val="20"/>
        <w:spacing w:before="0" w:after="0"/>
        <w:rPr>
          <w:rFonts w:asciiTheme="majorEastAsia" w:eastAsiaTheme="majorEastAsia" w:hAnsiTheme="majorEastAsia"/>
          <w:color w:val="000000" w:themeColor="text1"/>
          <w:kern w:val="0"/>
          <w:sz w:val="21"/>
          <w:szCs w:val="21"/>
        </w:rPr>
      </w:pPr>
      <w:bookmarkStart w:id="327" w:name="_Toc35533845"/>
      <w:r w:rsidRPr="00940842">
        <w:rPr>
          <w:rFonts w:asciiTheme="majorEastAsia" w:eastAsiaTheme="majorEastAsia" w:hAnsiTheme="majorEastAsia"/>
          <w:color w:val="000000" w:themeColor="text1"/>
          <w:kern w:val="0"/>
          <w:sz w:val="21"/>
          <w:szCs w:val="21"/>
        </w:rPr>
        <w:t>9.4</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期末基金管理人的从业人员持有本开放式基金份额总量区间的情况</w:t>
      </w:r>
      <w:bookmarkEnd w:id="327"/>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325929" w:rsidRPr="00896265" w:rsidTr="00070156">
        <w:trPr>
          <w:trHeight w:val="285"/>
        </w:trPr>
        <w:tc>
          <w:tcPr>
            <w:tcW w:w="2548"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持有基金份额总量的数量区间（万份）</w:t>
            </w:r>
          </w:p>
        </w:tc>
      </w:tr>
      <w:tr w:rsidR="00325929" w:rsidRPr="00896265" w:rsidTr="00070156">
        <w:trPr>
          <w:trHeight w:val="285"/>
        </w:trPr>
        <w:tc>
          <w:tcPr>
            <w:tcW w:w="2548" w:type="dxa"/>
            <w:vMerge w:val="restart"/>
            <w:shd w:val="clear" w:color="auto" w:fill="auto"/>
            <w:tcMar>
              <w:top w:w="0" w:type="dxa"/>
              <w:left w:w="108" w:type="dxa"/>
              <w:bottom w:w="0" w:type="dxa"/>
              <w:right w:w="108" w:type="dxa"/>
            </w:tcMar>
            <w:vAlign w:val="center"/>
            <w:hideMark/>
          </w:tcPr>
          <w:p w:rsidR="00325929" w:rsidRPr="00896265" w:rsidRDefault="00325929" w:rsidP="00070156">
            <w:pPr>
              <w:widowControl/>
              <w:jc w:val="left"/>
              <w:rPr>
                <w:rFonts w:eastAsiaTheme="minorEastAsia"/>
                <w:color w:val="000000" w:themeColor="text1"/>
                <w:kern w:val="0"/>
                <w:szCs w:val="21"/>
              </w:rPr>
            </w:pPr>
            <w:r w:rsidRPr="00896265">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易方达黄金主题（</w:t>
            </w:r>
            <w:r w:rsidRPr="00896265">
              <w:rPr>
                <w:rFonts w:eastAsiaTheme="minorEastAsia"/>
                <w:color w:val="000000" w:themeColor="text1"/>
                <w:kern w:val="0"/>
                <w:szCs w:val="21"/>
              </w:rPr>
              <w:t>QDII-LOF-FOF</w:t>
            </w:r>
            <w:r w:rsidRPr="00896265">
              <w:rPr>
                <w:rFonts w:eastAsiaTheme="minorEastAsia"/>
                <w:color w:val="000000" w:themeColor="text1"/>
                <w:kern w:val="0"/>
                <w:szCs w:val="21"/>
              </w:rPr>
              <w:t>）</w:t>
            </w:r>
            <w:r w:rsidRPr="00896265">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0</w:t>
            </w:r>
          </w:p>
        </w:tc>
      </w:tr>
      <w:tr w:rsidR="00325929" w:rsidRPr="00896265" w:rsidTr="00070156">
        <w:trPr>
          <w:trHeight w:val="285"/>
        </w:trPr>
        <w:tc>
          <w:tcPr>
            <w:tcW w:w="2548" w:type="dxa"/>
            <w:vMerge/>
            <w:shd w:val="clear" w:color="auto" w:fill="auto"/>
            <w:vAlign w:val="center"/>
            <w:hideMark/>
          </w:tcPr>
          <w:p w:rsidR="00325929" w:rsidRPr="00896265" w:rsidRDefault="00325929" w:rsidP="0007015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易方达黄金主题（</w:t>
            </w:r>
            <w:r w:rsidRPr="00896265">
              <w:rPr>
                <w:rFonts w:eastAsiaTheme="minorEastAsia"/>
                <w:color w:val="000000" w:themeColor="text1"/>
                <w:kern w:val="0"/>
                <w:szCs w:val="21"/>
              </w:rPr>
              <w:t>QDII-LOF-FOF</w:t>
            </w:r>
            <w:r w:rsidRPr="00896265">
              <w:rPr>
                <w:rFonts w:eastAsiaTheme="minorEastAsia"/>
                <w:color w:val="000000" w:themeColor="text1"/>
                <w:kern w:val="0"/>
                <w:szCs w:val="21"/>
              </w:rPr>
              <w:t>）</w:t>
            </w:r>
            <w:r w:rsidRPr="00896265">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0</w:t>
            </w:r>
          </w:p>
        </w:tc>
      </w:tr>
      <w:tr w:rsidR="00325929" w:rsidRPr="00896265" w:rsidTr="00070156">
        <w:trPr>
          <w:trHeight w:val="285"/>
        </w:trPr>
        <w:tc>
          <w:tcPr>
            <w:tcW w:w="2548" w:type="dxa"/>
            <w:vMerge/>
            <w:shd w:val="clear" w:color="auto" w:fill="auto"/>
            <w:vAlign w:val="center"/>
            <w:hideMark/>
          </w:tcPr>
          <w:p w:rsidR="00325929" w:rsidRPr="00896265" w:rsidRDefault="00325929" w:rsidP="0007015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0</w:t>
            </w:r>
          </w:p>
        </w:tc>
      </w:tr>
      <w:tr w:rsidR="00325929" w:rsidRPr="00896265" w:rsidTr="00070156">
        <w:trPr>
          <w:trHeight w:val="285"/>
        </w:trPr>
        <w:tc>
          <w:tcPr>
            <w:tcW w:w="2548" w:type="dxa"/>
            <w:vMerge w:val="restart"/>
            <w:shd w:val="clear" w:color="auto" w:fill="auto"/>
            <w:tcMar>
              <w:top w:w="0" w:type="dxa"/>
              <w:left w:w="108" w:type="dxa"/>
              <w:bottom w:w="0" w:type="dxa"/>
              <w:right w:w="108" w:type="dxa"/>
            </w:tcMar>
            <w:vAlign w:val="center"/>
            <w:hideMark/>
          </w:tcPr>
          <w:p w:rsidR="00325929" w:rsidRPr="00896265" w:rsidRDefault="00325929" w:rsidP="00070156">
            <w:pPr>
              <w:widowControl/>
              <w:jc w:val="left"/>
              <w:rPr>
                <w:rFonts w:eastAsiaTheme="minorEastAsia"/>
                <w:color w:val="000000" w:themeColor="text1"/>
                <w:kern w:val="0"/>
                <w:szCs w:val="21"/>
              </w:rPr>
            </w:pPr>
            <w:r w:rsidRPr="00896265">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易方达黄金主题（</w:t>
            </w:r>
            <w:r w:rsidRPr="00896265">
              <w:rPr>
                <w:rFonts w:eastAsiaTheme="minorEastAsia"/>
                <w:color w:val="000000" w:themeColor="text1"/>
                <w:kern w:val="0"/>
                <w:szCs w:val="21"/>
              </w:rPr>
              <w:t>QDII-LOF-FOF</w:t>
            </w:r>
            <w:r w:rsidRPr="00896265">
              <w:rPr>
                <w:rFonts w:eastAsiaTheme="minorEastAsia"/>
                <w:color w:val="000000" w:themeColor="text1"/>
                <w:kern w:val="0"/>
                <w:szCs w:val="21"/>
              </w:rPr>
              <w:t>）</w:t>
            </w:r>
            <w:r w:rsidRPr="00896265">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0</w:t>
            </w:r>
          </w:p>
        </w:tc>
      </w:tr>
      <w:tr w:rsidR="00325929" w:rsidRPr="00896265" w:rsidTr="00070156">
        <w:trPr>
          <w:trHeight w:val="525"/>
        </w:trPr>
        <w:tc>
          <w:tcPr>
            <w:tcW w:w="2548" w:type="dxa"/>
            <w:vMerge/>
            <w:shd w:val="clear" w:color="auto" w:fill="auto"/>
            <w:vAlign w:val="center"/>
            <w:hideMark/>
          </w:tcPr>
          <w:p w:rsidR="00325929" w:rsidRPr="00896265" w:rsidRDefault="00325929" w:rsidP="0007015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易方达黄金主题（</w:t>
            </w:r>
            <w:r w:rsidRPr="00896265">
              <w:rPr>
                <w:rFonts w:eastAsiaTheme="minorEastAsia"/>
                <w:color w:val="000000" w:themeColor="text1"/>
                <w:kern w:val="0"/>
                <w:szCs w:val="21"/>
              </w:rPr>
              <w:t>QDII-LOF-FOF</w:t>
            </w:r>
            <w:r w:rsidRPr="00896265">
              <w:rPr>
                <w:rFonts w:eastAsiaTheme="minorEastAsia"/>
                <w:color w:val="000000" w:themeColor="text1"/>
                <w:kern w:val="0"/>
                <w:szCs w:val="21"/>
              </w:rPr>
              <w:t>）</w:t>
            </w:r>
            <w:r w:rsidRPr="00896265">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0</w:t>
            </w:r>
          </w:p>
        </w:tc>
      </w:tr>
      <w:tr w:rsidR="00325929" w:rsidRPr="00896265" w:rsidTr="00070156">
        <w:trPr>
          <w:trHeight w:val="653"/>
        </w:trPr>
        <w:tc>
          <w:tcPr>
            <w:tcW w:w="2548" w:type="dxa"/>
            <w:vMerge/>
            <w:shd w:val="clear" w:color="auto" w:fill="auto"/>
            <w:vAlign w:val="center"/>
            <w:hideMark/>
          </w:tcPr>
          <w:p w:rsidR="00325929" w:rsidRPr="00896265" w:rsidRDefault="00325929" w:rsidP="0007015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325929" w:rsidRPr="00896265" w:rsidRDefault="00325929" w:rsidP="00070156">
            <w:pPr>
              <w:widowControl/>
              <w:jc w:val="center"/>
              <w:rPr>
                <w:rFonts w:eastAsiaTheme="minorEastAsia"/>
                <w:color w:val="000000" w:themeColor="text1"/>
                <w:kern w:val="0"/>
                <w:szCs w:val="21"/>
              </w:rPr>
            </w:pPr>
            <w:r w:rsidRPr="00896265">
              <w:rPr>
                <w:rFonts w:eastAsiaTheme="minorEastAsia"/>
                <w:color w:val="000000" w:themeColor="text1"/>
                <w:kern w:val="0"/>
                <w:szCs w:val="21"/>
              </w:rPr>
              <w:t>0</w:t>
            </w:r>
          </w:p>
        </w:tc>
      </w:tr>
    </w:tbl>
    <w:p w:rsidR="007B62FA" w:rsidRPr="00AB6698" w:rsidRDefault="007B62FA" w:rsidP="007E24F2">
      <w:pPr>
        <w:pStyle w:val="20"/>
        <w:tabs>
          <w:tab w:val="num" w:pos="425"/>
        </w:tabs>
        <w:spacing w:beforeLines="100" w:before="312" w:afterLines="100" w:after="312"/>
        <w:ind w:left="425" w:hanging="425"/>
        <w:jc w:val="center"/>
        <w:rPr>
          <w:rFonts w:ascii="宋体" w:hAnsi="宋体" w:cs="Arial"/>
          <w:color w:val="000000"/>
          <w:sz w:val="21"/>
          <w:szCs w:val="21"/>
        </w:rPr>
      </w:pPr>
      <w:bookmarkStart w:id="328" w:name="_Toc225500053"/>
      <w:bookmarkStart w:id="329" w:name="_Toc352256009"/>
      <w:bookmarkStart w:id="330" w:name="_Toc352256077"/>
      <w:bookmarkStart w:id="331" w:name="_Toc352331255"/>
      <w:bookmarkStart w:id="332" w:name="_Toc362424034"/>
      <w:bookmarkStart w:id="333" w:name="_Toc35533846"/>
      <w:r w:rsidRPr="00AB6698">
        <w:rPr>
          <w:rFonts w:ascii="宋体" w:hAnsi="宋体" w:cs="Arial"/>
          <w:color w:val="000000"/>
          <w:sz w:val="21"/>
          <w:szCs w:val="21"/>
        </w:rPr>
        <w:t>§</w:t>
      </w:r>
      <w:r w:rsidR="00001C10" w:rsidRPr="00AB6698">
        <w:rPr>
          <w:rFonts w:ascii="宋体" w:hAnsi="宋体" w:cs="Arial"/>
          <w:color w:val="000000"/>
          <w:sz w:val="21"/>
          <w:szCs w:val="21"/>
        </w:rPr>
        <w:t>10</w:t>
      </w:r>
      <w:r w:rsidR="00EF09FE" w:rsidRPr="00EF09FE">
        <w:rPr>
          <w:rFonts w:ascii="宋体" w:hAnsi="宋体" w:cs="Arial"/>
          <w:color w:val="000000"/>
          <w:sz w:val="21"/>
          <w:szCs w:val="21"/>
        </w:rPr>
        <w:t xml:space="preserve">   </w:t>
      </w:r>
      <w:r w:rsidRPr="00AB6698">
        <w:rPr>
          <w:rFonts w:ascii="宋体" w:hAnsi="宋体" w:cs="Arial"/>
          <w:color w:val="000000"/>
          <w:sz w:val="21"/>
          <w:szCs w:val="21"/>
        </w:rPr>
        <w:t>开放式基金份额变动</w:t>
      </w:r>
      <w:bookmarkEnd w:id="328"/>
      <w:bookmarkEnd w:id="329"/>
      <w:bookmarkEnd w:id="330"/>
      <w:bookmarkEnd w:id="331"/>
      <w:bookmarkEnd w:id="332"/>
      <w:bookmarkEnd w:id="333"/>
    </w:p>
    <w:p w:rsidR="007B62FA" w:rsidRPr="00896265" w:rsidRDefault="007B62FA" w:rsidP="00417F87">
      <w:pPr>
        <w:spacing w:line="360" w:lineRule="auto"/>
        <w:jc w:val="right"/>
        <w:rPr>
          <w:rFonts w:eastAsiaTheme="minorEastAsia"/>
          <w:color w:val="000000" w:themeColor="text1"/>
          <w:szCs w:val="21"/>
        </w:rPr>
      </w:pPr>
      <w:r w:rsidRPr="00896265">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325929" w:rsidRPr="00896265" w:rsidTr="00070156">
        <w:tc>
          <w:tcPr>
            <w:tcW w:w="1771" w:type="pct"/>
          </w:tcPr>
          <w:p w:rsidR="00325929" w:rsidRPr="00896265" w:rsidRDefault="00325929"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项目</w:t>
            </w:r>
          </w:p>
        </w:tc>
        <w:tc>
          <w:tcPr>
            <w:tcW w:w="1614" w:type="pct"/>
            <w:vAlign w:val="center"/>
          </w:tcPr>
          <w:p w:rsidR="00325929" w:rsidRPr="00896265" w:rsidRDefault="00325929"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易方达黄金主题（</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A</w:t>
            </w:r>
          </w:p>
        </w:tc>
        <w:tc>
          <w:tcPr>
            <w:tcW w:w="1615" w:type="pct"/>
            <w:vAlign w:val="center"/>
          </w:tcPr>
          <w:p w:rsidR="00325929" w:rsidRPr="00896265" w:rsidRDefault="00325929" w:rsidP="00070156">
            <w:pPr>
              <w:spacing w:line="360" w:lineRule="auto"/>
              <w:jc w:val="center"/>
              <w:rPr>
                <w:rFonts w:eastAsiaTheme="minorEastAsia"/>
                <w:color w:val="000000" w:themeColor="text1"/>
                <w:szCs w:val="21"/>
              </w:rPr>
            </w:pPr>
            <w:r w:rsidRPr="00896265">
              <w:rPr>
                <w:rFonts w:eastAsiaTheme="minorEastAsia"/>
                <w:color w:val="000000" w:themeColor="text1"/>
                <w:szCs w:val="21"/>
              </w:rPr>
              <w:t>易方达黄金主题（</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C</w:t>
            </w:r>
          </w:p>
        </w:tc>
      </w:tr>
      <w:tr w:rsidR="00325929" w:rsidRPr="00896265" w:rsidTr="00070156">
        <w:tc>
          <w:tcPr>
            <w:tcW w:w="1771" w:type="pct"/>
          </w:tcPr>
          <w:p w:rsidR="00325929" w:rsidRPr="00896265" w:rsidRDefault="00325929" w:rsidP="00070156">
            <w:pPr>
              <w:spacing w:line="360" w:lineRule="auto"/>
              <w:rPr>
                <w:rFonts w:eastAsiaTheme="minorEastAsia"/>
                <w:color w:val="000000" w:themeColor="text1"/>
                <w:szCs w:val="21"/>
              </w:rPr>
            </w:pPr>
            <w:r w:rsidRPr="00896265">
              <w:rPr>
                <w:rFonts w:eastAsiaTheme="minorEastAsia"/>
                <w:color w:val="000000" w:themeColor="text1"/>
                <w:szCs w:val="21"/>
              </w:rPr>
              <w:t>基金合同生效日（</w:t>
            </w:r>
            <w:r w:rsidRPr="00896265">
              <w:rPr>
                <w:rFonts w:eastAsiaTheme="minorEastAsia"/>
                <w:color w:val="000000" w:themeColor="text1"/>
                <w:szCs w:val="21"/>
              </w:rPr>
              <w:t>2011</w:t>
            </w:r>
            <w:r w:rsidRPr="00896265">
              <w:rPr>
                <w:rFonts w:eastAsiaTheme="minorEastAsia"/>
                <w:color w:val="000000" w:themeColor="text1"/>
                <w:szCs w:val="21"/>
              </w:rPr>
              <w:t>年</w:t>
            </w:r>
            <w:r w:rsidRPr="00896265">
              <w:rPr>
                <w:rFonts w:eastAsiaTheme="minorEastAsia"/>
                <w:color w:val="000000" w:themeColor="text1"/>
                <w:szCs w:val="21"/>
              </w:rPr>
              <w:t>5</w:t>
            </w:r>
            <w:r w:rsidRPr="00896265">
              <w:rPr>
                <w:rFonts w:eastAsiaTheme="minorEastAsia"/>
                <w:color w:val="000000" w:themeColor="text1"/>
                <w:szCs w:val="21"/>
              </w:rPr>
              <w:t>月</w:t>
            </w:r>
            <w:r w:rsidRPr="00896265">
              <w:rPr>
                <w:rFonts w:eastAsiaTheme="minorEastAsia"/>
                <w:color w:val="000000" w:themeColor="text1"/>
                <w:szCs w:val="21"/>
              </w:rPr>
              <w:t>6</w:t>
            </w:r>
            <w:r w:rsidRPr="00896265">
              <w:rPr>
                <w:rFonts w:eastAsiaTheme="minorEastAsia"/>
                <w:color w:val="000000" w:themeColor="text1"/>
                <w:szCs w:val="21"/>
              </w:rPr>
              <w:t>日）基金份额总额</w:t>
            </w:r>
          </w:p>
        </w:tc>
        <w:tc>
          <w:tcPr>
            <w:tcW w:w="1614" w:type="pct"/>
            <w:vAlign w:val="center"/>
          </w:tcPr>
          <w:p w:rsidR="00325929" w:rsidRPr="00896265" w:rsidRDefault="00325929" w:rsidP="00070156">
            <w:pPr>
              <w:spacing w:line="360" w:lineRule="auto"/>
              <w:jc w:val="right"/>
              <w:rPr>
                <w:rFonts w:eastAsiaTheme="minorEastAsia"/>
                <w:color w:val="000000" w:themeColor="text1"/>
                <w:szCs w:val="21"/>
              </w:rPr>
            </w:pPr>
            <w:r w:rsidRPr="00896265">
              <w:rPr>
                <w:rFonts w:eastAsiaTheme="minorEastAsia"/>
                <w:color w:val="000000" w:themeColor="text1"/>
                <w:szCs w:val="21"/>
              </w:rPr>
              <w:t>2,657,035,909.18</w:t>
            </w:r>
          </w:p>
        </w:tc>
        <w:tc>
          <w:tcPr>
            <w:tcW w:w="1615" w:type="pct"/>
            <w:vAlign w:val="center"/>
          </w:tcPr>
          <w:p w:rsidR="00325929" w:rsidRPr="00896265" w:rsidRDefault="00325929" w:rsidP="00070156">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325929" w:rsidRPr="00896265" w:rsidTr="00070156">
        <w:tc>
          <w:tcPr>
            <w:tcW w:w="1771" w:type="pct"/>
          </w:tcPr>
          <w:p w:rsidR="00325929" w:rsidRPr="00896265" w:rsidRDefault="00325929" w:rsidP="00070156">
            <w:pPr>
              <w:spacing w:line="360" w:lineRule="auto"/>
              <w:rPr>
                <w:rFonts w:eastAsiaTheme="minorEastAsia"/>
                <w:color w:val="000000" w:themeColor="text1"/>
                <w:szCs w:val="21"/>
              </w:rPr>
            </w:pPr>
            <w:r w:rsidRPr="00896265">
              <w:rPr>
                <w:rFonts w:eastAsiaTheme="minorEastAsia"/>
                <w:color w:val="000000" w:themeColor="text1"/>
                <w:szCs w:val="21"/>
              </w:rPr>
              <w:t>本报告期期初基金份额总额</w:t>
            </w:r>
          </w:p>
        </w:tc>
        <w:tc>
          <w:tcPr>
            <w:tcW w:w="1614" w:type="pct"/>
            <w:vAlign w:val="bottom"/>
          </w:tcPr>
          <w:p w:rsidR="00325929" w:rsidRPr="00896265" w:rsidRDefault="00325929" w:rsidP="00070156">
            <w:pPr>
              <w:spacing w:line="360" w:lineRule="auto"/>
              <w:jc w:val="right"/>
              <w:rPr>
                <w:rFonts w:eastAsiaTheme="minorEastAsia"/>
                <w:color w:val="000000" w:themeColor="text1"/>
                <w:szCs w:val="21"/>
              </w:rPr>
            </w:pPr>
            <w:r w:rsidRPr="00896265">
              <w:rPr>
                <w:rFonts w:eastAsiaTheme="minorEastAsia"/>
                <w:color w:val="000000" w:themeColor="text1"/>
                <w:szCs w:val="21"/>
              </w:rPr>
              <w:t>375,538,714.53</w:t>
            </w:r>
          </w:p>
        </w:tc>
        <w:tc>
          <w:tcPr>
            <w:tcW w:w="1615" w:type="pct"/>
            <w:vAlign w:val="bottom"/>
          </w:tcPr>
          <w:p w:rsidR="00325929" w:rsidRPr="00896265" w:rsidRDefault="00325929" w:rsidP="00070156">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325929" w:rsidRPr="00896265" w:rsidTr="00070156">
        <w:tc>
          <w:tcPr>
            <w:tcW w:w="1771" w:type="pct"/>
          </w:tcPr>
          <w:p w:rsidR="00325929" w:rsidRPr="00896265" w:rsidRDefault="00325929" w:rsidP="00070156">
            <w:pPr>
              <w:spacing w:line="360" w:lineRule="auto"/>
              <w:rPr>
                <w:rFonts w:eastAsiaTheme="minorEastAsia"/>
                <w:color w:val="000000" w:themeColor="text1"/>
                <w:szCs w:val="21"/>
              </w:rPr>
            </w:pPr>
            <w:r w:rsidRPr="00896265">
              <w:rPr>
                <w:rFonts w:eastAsiaTheme="minorEastAsia"/>
                <w:color w:val="000000" w:themeColor="text1"/>
                <w:szCs w:val="21"/>
              </w:rPr>
              <w:t>本报告期基金总申购份额</w:t>
            </w:r>
          </w:p>
        </w:tc>
        <w:tc>
          <w:tcPr>
            <w:tcW w:w="1614" w:type="pct"/>
            <w:vAlign w:val="bottom"/>
          </w:tcPr>
          <w:p w:rsidR="00325929" w:rsidRPr="00896265" w:rsidRDefault="00325929" w:rsidP="00070156">
            <w:pPr>
              <w:spacing w:line="360" w:lineRule="auto"/>
              <w:jc w:val="right"/>
              <w:rPr>
                <w:rFonts w:eastAsiaTheme="minorEastAsia"/>
                <w:color w:val="000000" w:themeColor="text1"/>
                <w:szCs w:val="21"/>
              </w:rPr>
            </w:pPr>
            <w:r w:rsidRPr="00896265">
              <w:rPr>
                <w:rFonts w:eastAsiaTheme="minorEastAsia"/>
                <w:color w:val="000000" w:themeColor="text1"/>
                <w:szCs w:val="21"/>
              </w:rPr>
              <w:t>579,237,209.83</w:t>
            </w:r>
          </w:p>
        </w:tc>
        <w:tc>
          <w:tcPr>
            <w:tcW w:w="1615" w:type="pct"/>
            <w:vAlign w:val="bottom"/>
          </w:tcPr>
          <w:p w:rsidR="00325929" w:rsidRPr="00896265" w:rsidRDefault="00325929" w:rsidP="00070156">
            <w:pPr>
              <w:spacing w:line="360" w:lineRule="auto"/>
              <w:jc w:val="right"/>
              <w:rPr>
                <w:rFonts w:eastAsiaTheme="minorEastAsia"/>
                <w:color w:val="000000" w:themeColor="text1"/>
                <w:szCs w:val="21"/>
              </w:rPr>
            </w:pPr>
            <w:r w:rsidRPr="00896265">
              <w:rPr>
                <w:rFonts w:eastAsiaTheme="minorEastAsia"/>
                <w:color w:val="000000" w:themeColor="text1"/>
                <w:szCs w:val="21"/>
              </w:rPr>
              <w:t>610,006.59</w:t>
            </w:r>
          </w:p>
        </w:tc>
      </w:tr>
      <w:tr w:rsidR="00325929" w:rsidRPr="00896265" w:rsidTr="00070156">
        <w:tc>
          <w:tcPr>
            <w:tcW w:w="1771" w:type="pct"/>
          </w:tcPr>
          <w:p w:rsidR="00325929" w:rsidRPr="00896265" w:rsidRDefault="00325929" w:rsidP="00070156">
            <w:pPr>
              <w:spacing w:line="360" w:lineRule="auto"/>
              <w:rPr>
                <w:rFonts w:eastAsiaTheme="minorEastAsia"/>
                <w:color w:val="000000" w:themeColor="text1"/>
                <w:szCs w:val="21"/>
              </w:rPr>
            </w:pPr>
            <w:r w:rsidRPr="00896265">
              <w:rPr>
                <w:rFonts w:eastAsiaTheme="minorEastAsia"/>
                <w:color w:val="000000" w:themeColor="text1"/>
                <w:szCs w:val="21"/>
              </w:rPr>
              <w:t>减：本报告期基金总赎回份额</w:t>
            </w:r>
          </w:p>
        </w:tc>
        <w:tc>
          <w:tcPr>
            <w:tcW w:w="1614" w:type="pct"/>
            <w:vAlign w:val="bottom"/>
          </w:tcPr>
          <w:p w:rsidR="00325929" w:rsidRPr="00896265" w:rsidRDefault="00325929" w:rsidP="00070156">
            <w:pPr>
              <w:spacing w:line="360" w:lineRule="auto"/>
              <w:jc w:val="right"/>
              <w:rPr>
                <w:rFonts w:eastAsiaTheme="minorEastAsia"/>
                <w:color w:val="000000" w:themeColor="text1"/>
                <w:szCs w:val="21"/>
              </w:rPr>
            </w:pPr>
            <w:r w:rsidRPr="00896265">
              <w:rPr>
                <w:rFonts w:eastAsiaTheme="minorEastAsia"/>
                <w:color w:val="000000" w:themeColor="text1"/>
                <w:szCs w:val="21"/>
              </w:rPr>
              <w:t>526,072,537.10</w:t>
            </w:r>
          </w:p>
        </w:tc>
        <w:tc>
          <w:tcPr>
            <w:tcW w:w="1615" w:type="pct"/>
            <w:vAlign w:val="bottom"/>
          </w:tcPr>
          <w:p w:rsidR="00325929" w:rsidRPr="00896265" w:rsidRDefault="00325929" w:rsidP="00070156">
            <w:pPr>
              <w:spacing w:line="360" w:lineRule="auto"/>
              <w:jc w:val="right"/>
              <w:rPr>
                <w:rFonts w:eastAsiaTheme="minorEastAsia"/>
                <w:color w:val="000000" w:themeColor="text1"/>
                <w:szCs w:val="21"/>
              </w:rPr>
            </w:pPr>
            <w:r w:rsidRPr="00896265">
              <w:rPr>
                <w:rFonts w:eastAsiaTheme="minorEastAsia"/>
                <w:color w:val="000000" w:themeColor="text1"/>
                <w:szCs w:val="21"/>
              </w:rPr>
              <w:t>156,187.72</w:t>
            </w:r>
          </w:p>
        </w:tc>
      </w:tr>
      <w:tr w:rsidR="00325929" w:rsidRPr="00896265" w:rsidTr="00070156">
        <w:tc>
          <w:tcPr>
            <w:tcW w:w="1771" w:type="pct"/>
          </w:tcPr>
          <w:p w:rsidR="00325929" w:rsidRPr="00896265" w:rsidRDefault="00325929" w:rsidP="00070156">
            <w:pPr>
              <w:spacing w:line="360" w:lineRule="auto"/>
              <w:rPr>
                <w:rFonts w:eastAsiaTheme="minorEastAsia"/>
                <w:color w:val="000000" w:themeColor="text1"/>
                <w:szCs w:val="21"/>
              </w:rPr>
            </w:pPr>
            <w:r w:rsidRPr="00896265">
              <w:rPr>
                <w:rFonts w:eastAsiaTheme="minorEastAsia"/>
                <w:color w:val="000000" w:themeColor="text1"/>
                <w:szCs w:val="21"/>
              </w:rPr>
              <w:t>本报告期基金拆分变动份额</w:t>
            </w:r>
          </w:p>
        </w:tc>
        <w:tc>
          <w:tcPr>
            <w:tcW w:w="1614" w:type="pct"/>
            <w:vAlign w:val="bottom"/>
          </w:tcPr>
          <w:p w:rsidR="00325929" w:rsidRPr="00896265" w:rsidRDefault="00325929" w:rsidP="00070156">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c>
          <w:tcPr>
            <w:tcW w:w="1615" w:type="pct"/>
            <w:vAlign w:val="bottom"/>
          </w:tcPr>
          <w:p w:rsidR="00325929" w:rsidRPr="00896265" w:rsidRDefault="00325929" w:rsidP="00070156">
            <w:pPr>
              <w:spacing w:line="360" w:lineRule="auto"/>
              <w:jc w:val="right"/>
              <w:rPr>
                <w:rFonts w:eastAsiaTheme="minorEastAsia"/>
                <w:color w:val="000000" w:themeColor="text1"/>
                <w:szCs w:val="21"/>
              </w:rPr>
            </w:pPr>
            <w:r w:rsidRPr="00896265">
              <w:rPr>
                <w:rFonts w:eastAsiaTheme="minorEastAsia"/>
                <w:color w:val="000000" w:themeColor="text1"/>
                <w:szCs w:val="21"/>
              </w:rPr>
              <w:t>-</w:t>
            </w:r>
          </w:p>
        </w:tc>
      </w:tr>
      <w:tr w:rsidR="00325929" w:rsidRPr="00896265" w:rsidTr="00070156">
        <w:tc>
          <w:tcPr>
            <w:tcW w:w="1771" w:type="pct"/>
          </w:tcPr>
          <w:p w:rsidR="00325929" w:rsidRPr="00896265" w:rsidRDefault="00325929" w:rsidP="00070156">
            <w:pPr>
              <w:spacing w:line="360" w:lineRule="auto"/>
              <w:rPr>
                <w:rFonts w:eastAsiaTheme="minorEastAsia"/>
                <w:color w:val="000000" w:themeColor="text1"/>
                <w:szCs w:val="21"/>
              </w:rPr>
            </w:pPr>
            <w:r w:rsidRPr="00896265">
              <w:rPr>
                <w:rFonts w:eastAsiaTheme="minorEastAsia"/>
                <w:color w:val="000000" w:themeColor="text1"/>
                <w:szCs w:val="21"/>
              </w:rPr>
              <w:t>本报告期期末基金份额总额</w:t>
            </w:r>
          </w:p>
        </w:tc>
        <w:tc>
          <w:tcPr>
            <w:tcW w:w="1614" w:type="pct"/>
            <w:vAlign w:val="center"/>
          </w:tcPr>
          <w:p w:rsidR="00325929" w:rsidRPr="00896265" w:rsidRDefault="00325929" w:rsidP="00070156">
            <w:pPr>
              <w:spacing w:line="360" w:lineRule="auto"/>
              <w:jc w:val="right"/>
              <w:rPr>
                <w:rFonts w:eastAsiaTheme="minorEastAsia"/>
                <w:color w:val="000000" w:themeColor="text1"/>
                <w:szCs w:val="21"/>
              </w:rPr>
            </w:pPr>
            <w:r w:rsidRPr="00896265">
              <w:rPr>
                <w:rFonts w:eastAsiaTheme="minorEastAsia"/>
                <w:color w:val="000000" w:themeColor="text1"/>
                <w:szCs w:val="21"/>
              </w:rPr>
              <w:t>428,703,387.26</w:t>
            </w:r>
          </w:p>
        </w:tc>
        <w:tc>
          <w:tcPr>
            <w:tcW w:w="1615" w:type="pct"/>
            <w:vAlign w:val="center"/>
          </w:tcPr>
          <w:p w:rsidR="00325929" w:rsidRPr="00896265" w:rsidRDefault="00325929" w:rsidP="00070156">
            <w:pPr>
              <w:spacing w:line="360" w:lineRule="auto"/>
              <w:jc w:val="right"/>
              <w:rPr>
                <w:rFonts w:eastAsiaTheme="minorEastAsia"/>
                <w:color w:val="000000" w:themeColor="text1"/>
                <w:szCs w:val="21"/>
              </w:rPr>
            </w:pPr>
            <w:r w:rsidRPr="00896265">
              <w:rPr>
                <w:rFonts w:eastAsiaTheme="minorEastAsia"/>
                <w:color w:val="000000" w:themeColor="text1"/>
                <w:szCs w:val="21"/>
              </w:rPr>
              <w:t>453,818.87</w:t>
            </w:r>
          </w:p>
        </w:tc>
      </w:tr>
    </w:tbl>
    <w:p w:rsidR="007B62FA" w:rsidRPr="00896265" w:rsidRDefault="007B62FA" w:rsidP="00B5782F">
      <w:pPr>
        <w:spacing w:line="360" w:lineRule="auto"/>
        <w:ind w:firstLineChars="200" w:firstLine="420"/>
        <w:jc w:val="left"/>
        <w:rPr>
          <w:rFonts w:eastAsiaTheme="minorEastAsia"/>
          <w:color w:val="000000" w:themeColor="text1"/>
          <w:szCs w:val="21"/>
        </w:rPr>
      </w:pPr>
      <w:r w:rsidRPr="00896265">
        <w:rPr>
          <w:rFonts w:eastAsiaTheme="minorEastAsia"/>
          <w:color w:val="000000" w:themeColor="text1"/>
          <w:szCs w:val="21"/>
        </w:rPr>
        <w:t>注：本基金</w:t>
      </w:r>
      <w:r w:rsidRPr="00896265">
        <w:rPr>
          <w:rFonts w:eastAsiaTheme="minorEastAsia"/>
          <w:color w:val="000000" w:themeColor="text1"/>
          <w:szCs w:val="21"/>
        </w:rPr>
        <w:t>A</w:t>
      </w:r>
      <w:r w:rsidRPr="00896265">
        <w:rPr>
          <w:rFonts w:eastAsiaTheme="minorEastAsia"/>
          <w:color w:val="000000" w:themeColor="text1"/>
          <w:szCs w:val="21"/>
        </w:rPr>
        <w:t>类人民币份额由原易方达黄金主题（</w:t>
      </w:r>
      <w:r w:rsidRPr="00896265">
        <w:rPr>
          <w:rFonts w:eastAsiaTheme="minorEastAsia"/>
          <w:color w:val="000000" w:themeColor="text1"/>
          <w:szCs w:val="21"/>
        </w:rPr>
        <w:t>QDII-LOF-FOF</w:t>
      </w:r>
      <w:r w:rsidRPr="00896265">
        <w:rPr>
          <w:rFonts w:eastAsiaTheme="minorEastAsia"/>
          <w:color w:val="000000" w:themeColor="text1"/>
          <w:szCs w:val="21"/>
        </w:rPr>
        <w:t>）变更而来，并于</w:t>
      </w:r>
      <w:r w:rsidRPr="00896265">
        <w:rPr>
          <w:rFonts w:eastAsiaTheme="minorEastAsia"/>
          <w:color w:val="000000" w:themeColor="text1"/>
          <w:szCs w:val="21"/>
        </w:rPr>
        <w:t>2019</w:t>
      </w:r>
      <w:r w:rsidRPr="00896265">
        <w:rPr>
          <w:rFonts w:eastAsiaTheme="minorEastAsia"/>
          <w:color w:val="000000" w:themeColor="text1"/>
          <w:szCs w:val="21"/>
        </w:rPr>
        <w:t>年</w:t>
      </w:r>
      <w:r w:rsidRPr="00896265">
        <w:rPr>
          <w:rFonts w:eastAsiaTheme="minorEastAsia"/>
          <w:color w:val="000000" w:themeColor="text1"/>
          <w:szCs w:val="21"/>
        </w:rPr>
        <w:t>10</w:t>
      </w:r>
      <w:r w:rsidRPr="00896265">
        <w:rPr>
          <w:rFonts w:eastAsiaTheme="minorEastAsia"/>
          <w:color w:val="000000" w:themeColor="text1"/>
          <w:szCs w:val="21"/>
        </w:rPr>
        <w:t>月</w:t>
      </w:r>
      <w:r w:rsidRPr="00896265">
        <w:rPr>
          <w:rFonts w:eastAsiaTheme="minorEastAsia"/>
          <w:color w:val="000000" w:themeColor="text1"/>
          <w:szCs w:val="21"/>
        </w:rPr>
        <w:t>11</w:t>
      </w:r>
      <w:r w:rsidRPr="00896265">
        <w:rPr>
          <w:rFonts w:eastAsiaTheme="minorEastAsia"/>
          <w:color w:val="000000" w:themeColor="text1"/>
          <w:szCs w:val="21"/>
        </w:rPr>
        <w:t>日起增设</w:t>
      </w:r>
      <w:r w:rsidRPr="00896265">
        <w:rPr>
          <w:rFonts w:eastAsiaTheme="minorEastAsia"/>
          <w:color w:val="000000" w:themeColor="text1"/>
          <w:szCs w:val="21"/>
        </w:rPr>
        <w:t>A</w:t>
      </w:r>
      <w:r w:rsidRPr="00896265">
        <w:rPr>
          <w:rFonts w:eastAsiaTheme="minorEastAsia"/>
          <w:color w:val="000000" w:themeColor="text1"/>
          <w:szCs w:val="21"/>
        </w:rPr>
        <w:t>类美元份额、</w:t>
      </w:r>
      <w:r w:rsidRPr="00896265">
        <w:rPr>
          <w:rFonts w:eastAsiaTheme="minorEastAsia"/>
          <w:color w:val="000000" w:themeColor="text1"/>
          <w:szCs w:val="21"/>
        </w:rPr>
        <w:t>C</w:t>
      </w:r>
      <w:r w:rsidRPr="00896265">
        <w:rPr>
          <w:rFonts w:eastAsiaTheme="minorEastAsia"/>
          <w:color w:val="000000" w:themeColor="text1"/>
          <w:szCs w:val="21"/>
        </w:rPr>
        <w:t>类人民币份额及</w:t>
      </w:r>
      <w:r w:rsidRPr="00896265">
        <w:rPr>
          <w:rFonts w:eastAsiaTheme="minorEastAsia"/>
          <w:color w:val="000000" w:themeColor="text1"/>
          <w:szCs w:val="21"/>
        </w:rPr>
        <w:t>C</w:t>
      </w:r>
      <w:r w:rsidRPr="00896265">
        <w:rPr>
          <w:rFonts w:eastAsiaTheme="minorEastAsia"/>
          <w:color w:val="000000" w:themeColor="text1"/>
          <w:szCs w:val="21"/>
        </w:rPr>
        <w:t>类美元份额，本报告期的相关数据按实际存续期计算。易方达黄金主题（</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A</w:t>
      </w:r>
      <w:r w:rsidRPr="00896265">
        <w:rPr>
          <w:rFonts w:eastAsiaTheme="minorEastAsia"/>
          <w:color w:val="000000" w:themeColor="text1"/>
          <w:szCs w:val="21"/>
        </w:rPr>
        <w:t>份额变动含</w:t>
      </w:r>
      <w:r w:rsidRPr="00896265">
        <w:rPr>
          <w:rFonts w:eastAsiaTheme="minorEastAsia"/>
          <w:color w:val="000000" w:themeColor="text1"/>
          <w:szCs w:val="21"/>
        </w:rPr>
        <w:t>A</w:t>
      </w:r>
      <w:r w:rsidRPr="00896265">
        <w:rPr>
          <w:rFonts w:eastAsiaTheme="minorEastAsia"/>
          <w:color w:val="000000" w:themeColor="text1"/>
          <w:szCs w:val="21"/>
        </w:rPr>
        <w:t>类人民币份额及</w:t>
      </w:r>
      <w:r w:rsidRPr="00896265">
        <w:rPr>
          <w:rFonts w:eastAsiaTheme="minorEastAsia"/>
          <w:color w:val="000000" w:themeColor="text1"/>
          <w:szCs w:val="21"/>
        </w:rPr>
        <w:t>A</w:t>
      </w:r>
      <w:r w:rsidRPr="00896265">
        <w:rPr>
          <w:rFonts w:eastAsiaTheme="minorEastAsia"/>
          <w:color w:val="000000" w:themeColor="text1"/>
          <w:szCs w:val="21"/>
        </w:rPr>
        <w:t>类美元份额；易方达黄金主题（</w:t>
      </w:r>
      <w:r w:rsidRPr="00896265">
        <w:rPr>
          <w:rFonts w:eastAsiaTheme="minorEastAsia"/>
          <w:color w:val="000000" w:themeColor="text1"/>
          <w:szCs w:val="21"/>
        </w:rPr>
        <w:t>QDII-LOF-FOF</w:t>
      </w:r>
      <w:r w:rsidRPr="00896265">
        <w:rPr>
          <w:rFonts w:eastAsiaTheme="minorEastAsia"/>
          <w:color w:val="000000" w:themeColor="text1"/>
          <w:szCs w:val="21"/>
        </w:rPr>
        <w:t>）</w:t>
      </w:r>
      <w:r w:rsidRPr="00896265">
        <w:rPr>
          <w:rFonts w:eastAsiaTheme="minorEastAsia"/>
          <w:color w:val="000000" w:themeColor="text1"/>
          <w:szCs w:val="21"/>
        </w:rPr>
        <w:t>C</w:t>
      </w:r>
      <w:r w:rsidRPr="00896265">
        <w:rPr>
          <w:rFonts w:eastAsiaTheme="minorEastAsia"/>
          <w:color w:val="000000" w:themeColor="text1"/>
          <w:szCs w:val="21"/>
        </w:rPr>
        <w:t>份额变动含</w:t>
      </w:r>
      <w:r w:rsidRPr="00896265">
        <w:rPr>
          <w:rFonts w:eastAsiaTheme="minorEastAsia"/>
          <w:color w:val="000000" w:themeColor="text1"/>
          <w:szCs w:val="21"/>
        </w:rPr>
        <w:t>C</w:t>
      </w:r>
      <w:r w:rsidRPr="00896265">
        <w:rPr>
          <w:rFonts w:eastAsiaTheme="minorEastAsia"/>
          <w:color w:val="000000" w:themeColor="text1"/>
          <w:szCs w:val="21"/>
        </w:rPr>
        <w:t>类人民币份额及</w:t>
      </w:r>
      <w:r w:rsidRPr="00896265">
        <w:rPr>
          <w:rFonts w:eastAsiaTheme="minorEastAsia"/>
          <w:color w:val="000000" w:themeColor="text1"/>
          <w:szCs w:val="21"/>
        </w:rPr>
        <w:t>C</w:t>
      </w:r>
      <w:r w:rsidRPr="00896265">
        <w:rPr>
          <w:rFonts w:eastAsiaTheme="minorEastAsia"/>
          <w:color w:val="000000" w:themeColor="text1"/>
          <w:szCs w:val="21"/>
        </w:rPr>
        <w:t>类美元份额。</w:t>
      </w:r>
    </w:p>
    <w:p w:rsidR="007B62FA" w:rsidRPr="00AB6698" w:rsidRDefault="007B62FA" w:rsidP="007E24F2">
      <w:pPr>
        <w:pStyle w:val="20"/>
        <w:tabs>
          <w:tab w:val="num" w:pos="425"/>
        </w:tabs>
        <w:spacing w:beforeLines="100" w:before="312" w:afterLines="100" w:after="312"/>
        <w:ind w:left="425" w:hanging="425"/>
        <w:jc w:val="center"/>
        <w:rPr>
          <w:rFonts w:ascii="宋体" w:hAnsi="宋体" w:cs="Arial"/>
          <w:color w:val="000000"/>
          <w:sz w:val="21"/>
          <w:szCs w:val="21"/>
        </w:rPr>
      </w:pPr>
      <w:bookmarkStart w:id="334" w:name="_Toc225500054"/>
      <w:bookmarkStart w:id="335" w:name="_Toc352256010"/>
      <w:bookmarkStart w:id="336" w:name="_Toc352256078"/>
      <w:bookmarkStart w:id="337" w:name="_Toc352331256"/>
      <w:bookmarkStart w:id="338" w:name="_Toc362424035"/>
      <w:bookmarkStart w:id="339" w:name="_Toc35533847"/>
      <w:r w:rsidRPr="00AB6698">
        <w:rPr>
          <w:rFonts w:ascii="宋体" w:hAnsi="宋体" w:cs="Arial"/>
          <w:color w:val="000000"/>
          <w:sz w:val="21"/>
          <w:szCs w:val="21"/>
        </w:rPr>
        <w:t>§11</w:t>
      </w:r>
      <w:r w:rsidR="000F0CE9">
        <w:rPr>
          <w:rFonts w:ascii="宋体" w:hAnsi="宋体" w:cs="Arial"/>
          <w:color w:val="000000"/>
          <w:sz w:val="21"/>
          <w:szCs w:val="21"/>
        </w:rPr>
        <w:t xml:space="preserve">   </w:t>
      </w:r>
      <w:r w:rsidRPr="00AB6698">
        <w:rPr>
          <w:rFonts w:ascii="宋体" w:hAnsi="宋体" w:cs="Arial"/>
          <w:color w:val="000000"/>
          <w:sz w:val="21"/>
          <w:szCs w:val="21"/>
        </w:rPr>
        <w:t>重大事件揭示</w:t>
      </w:r>
      <w:bookmarkEnd w:id="334"/>
      <w:bookmarkEnd w:id="335"/>
      <w:bookmarkEnd w:id="336"/>
      <w:bookmarkEnd w:id="337"/>
      <w:bookmarkEnd w:id="338"/>
      <w:bookmarkEnd w:id="339"/>
    </w:p>
    <w:p w:rsidR="007B62FA" w:rsidRPr="00940842" w:rsidRDefault="00813174" w:rsidP="00602A38">
      <w:pPr>
        <w:pStyle w:val="20"/>
        <w:spacing w:before="0" w:after="0"/>
        <w:rPr>
          <w:rFonts w:asciiTheme="majorEastAsia" w:eastAsiaTheme="majorEastAsia" w:hAnsiTheme="majorEastAsia"/>
          <w:color w:val="000000" w:themeColor="text1"/>
          <w:kern w:val="0"/>
          <w:sz w:val="21"/>
          <w:szCs w:val="21"/>
        </w:rPr>
      </w:pPr>
      <w:bookmarkStart w:id="340" w:name="_Toc352256011"/>
      <w:bookmarkStart w:id="341" w:name="_Toc352256079"/>
      <w:bookmarkStart w:id="342" w:name="_Toc352331257"/>
      <w:bookmarkStart w:id="343" w:name="_Toc362424036"/>
      <w:bookmarkStart w:id="344" w:name="_Toc35533848"/>
      <w:r w:rsidRPr="008B2DD3">
        <w:rPr>
          <w:rFonts w:asciiTheme="majorEastAsia" w:eastAsiaTheme="majorEastAsia" w:hAnsiTheme="majorEastAsia"/>
          <w:color w:val="000000" w:themeColor="text1"/>
          <w:kern w:val="0"/>
          <w:sz w:val="21"/>
          <w:szCs w:val="21"/>
        </w:rPr>
        <w:t>11.1</w:t>
      </w:r>
      <w:r w:rsidR="00F73F35"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基金份额持有人大会决议</w:t>
      </w:r>
      <w:bookmarkEnd w:id="340"/>
      <w:bookmarkEnd w:id="341"/>
      <w:bookmarkEnd w:id="342"/>
      <w:bookmarkEnd w:id="343"/>
      <w:bookmarkEnd w:id="344"/>
    </w:p>
    <w:p w:rsidR="007B62FA" w:rsidRPr="00896265" w:rsidRDefault="007B62FA" w:rsidP="00602A3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本报告期内未召开基金份额持有人大会。</w:t>
      </w:r>
    </w:p>
    <w:p w:rsidR="007B62FA" w:rsidRPr="00940842" w:rsidRDefault="00813174" w:rsidP="00602A38">
      <w:pPr>
        <w:pStyle w:val="20"/>
        <w:spacing w:before="0" w:after="0"/>
        <w:rPr>
          <w:rFonts w:asciiTheme="majorEastAsia" w:eastAsiaTheme="majorEastAsia" w:hAnsiTheme="majorEastAsia"/>
          <w:color w:val="000000" w:themeColor="text1"/>
          <w:kern w:val="0"/>
          <w:sz w:val="21"/>
          <w:szCs w:val="21"/>
        </w:rPr>
      </w:pPr>
      <w:bookmarkStart w:id="345" w:name="_Toc352256012"/>
      <w:bookmarkStart w:id="346" w:name="_Toc352256080"/>
      <w:bookmarkStart w:id="347" w:name="_Toc352331258"/>
      <w:bookmarkStart w:id="348" w:name="_Toc362424037"/>
      <w:bookmarkStart w:id="349" w:name="_Toc35533849"/>
      <w:r w:rsidRPr="008B2DD3">
        <w:rPr>
          <w:rFonts w:asciiTheme="majorEastAsia" w:eastAsiaTheme="majorEastAsia" w:hAnsiTheme="majorEastAsia"/>
          <w:color w:val="000000" w:themeColor="text1"/>
          <w:kern w:val="0"/>
          <w:sz w:val="21"/>
          <w:szCs w:val="21"/>
        </w:rPr>
        <w:t>11.2</w:t>
      </w:r>
      <w:r w:rsidR="00F73F35"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基金管理人、基金托管人的专门基金托管部门的重大人事变动</w:t>
      </w:r>
      <w:bookmarkEnd w:id="345"/>
      <w:bookmarkEnd w:id="346"/>
      <w:bookmarkEnd w:id="347"/>
      <w:bookmarkEnd w:id="348"/>
      <w:bookmarkEnd w:id="349"/>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本报告期内本基金管理人未发生重大人事变动。</w:t>
      </w:r>
    </w:p>
    <w:p w:rsidR="007B62FA" w:rsidRPr="00896265" w:rsidRDefault="007B62FA" w:rsidP="00602A3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2019</w:t>
      </w:r>
      <w:r w:rsidRPr="00896265">
        <w:rPr>
          <w:rFonts w:eastAsiaTheme="minorEastAsia"/>
          <w:color w:val="000000" w:themeColor="text1"/>
          <w:szCs w:val="21"/>
        </w:rPr>
        <w:t>年</w:t>
      </w:r>
      <w:r w:rsidRPr="00896265">
        <w:rPr>
          <w:rFonts w:eastAsiaTheme="minorEastAsia"/>
          <w:color w:val="000000" w:themeColor="text1"/>
          <w:szCs w:val="21"/>
        </w:rPr>
        <w:t>1</w:t>
      </w:r>
      <w:r w:rsidRPr="00896265">
        <w:rPr>
          <w:rFonts w:eastAsiaTheme="minorEastAsia"/>
          <w:color w:val="000000" w:themeColor="text1"/>
          <w:szCs w:val="21"/>
        </w:rPr>
        <w:t>月，中国农业银行总行决定免去史静欣托管业务部副总裁职务。</w:t>
      </w:r>
      <w:r w:rsidRPr="00896265">
        <w:rPr>
          <w:rFonts w:eastAsiaTheme="minorEastAsia"/>
          <w:color w:val="000000" w:themeColor="text1"/>
          <w:szCs w:val="21"/>
        </w:rPr>
        <w:t>2019</w:t>
      </w:r>
      <w:r w:rsidRPr="00896265">
        <w:rPr>
          <w:rFonts w:eastAsiaTheme="minorEastAsia"/>
          <w:color w:val="000000" w:themeColor="text1"/>
          <w:szCs w:val="21"/>
        </w:rPr>
        <w:t>年</w:t>
      </w:r>
      <w:r w:rsidRPr="00896265">
        <w:rPr>
          <w:rFonts w:eastAsiaTheme="minorEastAsia"/>
          <w:color w:val="000000" w:themeColor="text1"/>
          <w:szCs w:val="21"/>
        </w:rPr>
        <w:t>4</w:t>
      </w:r>
      <w:r w:rsidRPr="00896265">
        <w:rPr>
          <w:rFonts w:eastAsiaTheme="minorEastAsia"/>
          <w:color w:val="000000" w:themeColor="text1"/>
          <w:szCs w:val="21"/>
        </w:rPr>
        <w:t>月，中国农业银行总行决定免去马曙光托管业务部总裁职务。</w:t>
      </w:r>
    </w:p>
    <w:p w:rsidR="007B62FA" w:rsidRPr="00940842" w:rsidRDefault="00813174" w:rsidP="00602A38">
      <w:pPr>
        <w:pStyle w:val="20"/>
        <w:spacing w:before="0" w:after="0"/>
        <w:rPr>
          <w:rFonts w:asciiTheme="majorEastAsia" w:eastAsiaTheme="majorEastAsia" w:hAnsiTheme="majorEastAsia"/>
          <w:color w:val="000000" w:themeColor="text1"/>
          <w:kern w:val="0"/>
          <w:sz w:val="21"/>
          <w:szCs w:val="21"/>
        </w:rPr>
      </w:pPr>
      <w:bookmarkStart w:id="350" w:name="_Toc352256013"/>
      <w:bookmarkStart w:id="351" w:name="_Toc352256081"/>
      <w:bookmarkStart w:id="352" w:name="_Toc352331259"/>
      <w:bookmarkStart w:id="353" w:name="_Toc362424038"/>
      <w:bookmarkStart w:id="354" w:name="_Toc35533850"/>
      <w:r w:rsidRPr="008B2DD3">
        <w:rPr>
          <w:rFonts w:asciiTheme="majorEastAsia" w:eastAsiaTheme="majorEastAsia" w:hAnsiTheme="majorEastAsia"/>
          <w:color w:val="000000" w:themeColor="text1"/>
          <w:kern w:val="0"/>
          <w:sz w:val="21"/>
          <w:szCs w:val="21"/>
        </w:rPr>
        <w:t>11.3</w:t>
      </w:r>
      <w:r w:rsidR="00E519A3"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涉及基金管理人、基金财产、基金托管业务的诉讼</w:t>
      </w:r>
      <w:bookmarkEnd w:id="350"/>
      <w:bookmarkEnd w:id="351"/>
      <w:bookmarkEnd w:id="352"/>
      <w:bookmarkEnd w:id="353"/>
      <w:bookmarkEnd w:id="354"/>
    </w:p>
    <w:p w:rsidR="007B62FA" w:rsidRPr="00896265" w:rsidRDefault="007B62FA" w:rsidP="00602A3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本报告期内无涉及本基金管理人、基金财产、基金托管业务的诉讼事项。</w:t>
      </w:r>
    </w:p>
    <w:p w:rsidR="007B62FA" w:rsidRPr="00940842" w:rsidRDefault="00813174" w:rsidP="00602A38">
      <w:pPr>
        <w:pStyle w:val="20"/>
        <w:spacing w:before="0" w:after="0"/>
        <w:rPr>
          <w:rFonts w:asciiTheme="majorEastAsia" w:eastAsiaTheme="majorEastAsia" w:hAnsiTheme="majorEastAsia"/>
          <w:color w:val="000000" w:themeColor="text1"/>
          <w:kern w:val="0"/>
          <w:sz w:val="21"/>
          <w:szCs w:val="21"/>
        </w:rPr>
      </w:pPr>
      <w:bookmarkStart w:id="355" w:name="_Toc352256014"/>
      <w:bookmarkStart w:id="356" w:name="_Toc352256082"/>
      <w:bookmarkStart w:id="357" w:name="_Toc352331260"/>
      <w:bookmarkStart w:id="358" w:name="_Toc362424039"/>
      <w:bookmarkStart w:id="359" w:name="_Toc35533851"/>
      <w:r w:rsidRPr="008B2DD3">
        <w:rPr>
          <w:rFonts w:asciiTheme="majorEastAsia" w:eastAsiaTheme="majorEastAsia" w:hAnsiTheme="majorEastAsia"/>
          <w:color w:val="000000" w:themeColor="text1"/>
          <w:kern w:val="0"/>
          <w:sz w:val="21"/>
          <w:szCs w:val="21"/>
        </w:rPr>
        <w:t>11.4</w:t>
      </w:r>
      <w:r w:rsidR="00F73F35"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基金投资策略的改变</w:t>
      </w:r>
      <w:bookmarkEnd w:id="355"/>
      <w:bookmarkEnd w:id="356"/>
      <w:bookmarkEnd w:id="357"/>
      <w:bookmarkEnd w:id="358"/>
      <w:bookmarkEnd w:id="359"/>
    </w:p>
    <w:p w:rsidR="003C79D1" w:rsidRDefault="007B62FA" w:rsidP="003C79D1">
      <w:pPr>
        <w:tabs>
          <w:tab w:val="left" w:pos="426"/>
        </w:tabs>
        <w:spacing w:line="360" w:lineRule="auto"/>
        <w:ind w:firstLineChars="200" w:firstLine="420"/>
        <w:jc w:val="left"/>
        <w:rPr>
          <w:rFonts w:eastAsiaTheme="minorEastAsia"/>
          <w:kern w:val="0"/>
          <w:szCs w:val="21"/>
        </w:rPr>
      </w:pPr>
      <w:r w:rsidRPr="00896265">
        <w:rPr>
          <w:rFonts w:eastAsiaTheme="minorEastAsia"/>
          <w:color w:val="000000" w:themeColor="text1"/>
          <w:szCs w:val="21"/>
        </w:rPr>
        <w:t>本报告期内本基金的投资策略未有重大变化。</w:t>
      </w:r>
    </w:p>
    <w:p w:rsidR="007B62FA" w:rsidRPr="00940842" w:rsidRDefault="00813174" w:rsidP="00602A38">
      <w:pPr>
        <w:pStyle w:val="20"/>
        <w:spacing w:before="0" w:after="0"/>
        <w:rPr>
          <w:rFonts w:asciiTheme="majorEastAsia" w:eastAsiaTheme="majorEastAsia" w:hAnsiTheme="majorEastAsia"/>
          <w:color w:val="000000" w:themeColor="text1"/>
          <w:kern w:val="0"/>
          <w:sz w:val="21"/>
          <w:szCs w:val="21"/>
        </w:rPr>
      </w:pPr>
      <w:bookmarkStart w:id="360" w:name="_Toc362424040"/>
      <w:bookmarkStart w:id="361" w:name="_Toc35533852"/>
      <w:r w:rsidRPr="008B2DD3">
        <w:rPr>
          <w:rFonts w:asciiTheme="majorEastAsia" w:eastAsiaTheme="majorEastAsia" w:hAnsiTheme="majorEastAsia"/>
          <w:color w:val="000000" w:themeColor="text1"/>
          <w:kern w:val="0"/>
          <w:sz w:val="21"/>
          <w:szCs w:val="21"/>
        </w:rPr>
        <w:t>11.5</w:t>
      </w:r>
      <w:r w:rsidR="00F73F35" w:rsidRPr="00940842">
        <w:rPr>
          <w:rFonts w:asciiTheme="majorEastAsia" w:eastAsiaTheme="majorEastAsia" w:hAnsiTheme="majorEastAsia"/>
          <w:color w:val="000000" w:themeColor="text1"/>
          <w:kern w:val="0"/>
          <w:sz w:val="21"/>
          <w:szCs w:val="21"/>
        </w:rPr>
        <w:t xml:space="preserve">    </w:t>
      </w:r>
      <w:r w:rsidR="00E235AE" w:rsidRPr="00940842">
        <w:rPr>
          <w:rFonts w:asciiTheme="majorEastAsia" w:eastAsiaTheme="majorEastAsia" w:hAnsiTheme="majorEastAsia"/>
          <w:color w:val="000000" w:themeColor="text1"/>
          <w:kern w:val="0"/>
          <w:sz w:val="21"/>
          <w:szCs w:val="21"/>
        </w:rPr>
        <w:t>为基金进行审计的会计师事务所情况</w:t>
      </w:r>
      <w:bookmarkEnd w:id="360"/>
      <w:bookmarkEnd w:id="361"/>
    </w:p>
    <w:p w:rsidR="007B62FA" w:rsidRPr="00896265" w:rsidRDefault="007B62FA" w:rsidP="00602A38">
      <w:pPr>
        <w:spacing w:line="360" w:lineRule="auto"/>
        <w:ind w:firstLineChars="200" w:firstLine="420"/>
        <w:rPr>
          <w:rFonts w:eastAsiaTheme="minorEastAsia"/>
          <w:color w:val="000000" w:themeColor="text1"/>
          <w:szCs w:val="21"/>
        </w:rPr>
      </w:pPr>
      <w:bookmarkStart w:id="362" w:name="OLE_LINK3"/>
      <w:r w:rsidRPr="00896265">
        <w:rPr>
          <w:rFonts w:eastAsiaTheme="minorEastAsia"/>
          <w:color w:val="000000" w:themeColor="text1"/>
          <w:szCs w:val="21"/>
        </w:rPr>
        <w:t>本基金自基金合同生效以来连续</w:t>
      </w:r>
      <w:r w:rsidRPr="00896265">
        <w:rPr>
          <w:rFonts w:eastAsiaTheme="minorEastAsia"/>
          <w:color w:val="000000" w:themeColor="text1"/>
          <w:szCs w:val="21"/>
        </w:rPr>
        <w:t>9</w:t>
      </w:r>
      <w:r w:rsidRPr="00896265">
        <w:rPr>
          <w:rFonts w:eastAsiaTheme="minorEastAsia"/>
          <w:color w:val="000000" w:themeColor="text1"/>
          <w:szCs w:val="21"/>
        </w:rPr>
        <w:t>年聘请普华永道中天会计师事务所（特殊普通合伙）提供审计服务，本报告年度的审计费用为</w:t>
      </w:r>
      <w:r w:rsidRPr="00896265">
        <w:rPr>
          <w:rFonts w:eastAsiaTheme="minorEastAsia"/>
          <w:color w:val="000000" w:themeColor="text1"/>
          <w:szCs w:val="21"/>
        </w:rPr>
        <w:t xml:space="preserve">72,000.00 </w:t>
      </w:r>
      <w:r w:rsidRPr="00896265">
        <w:rPr>
          <w:rFonts w:eastAsiaTheme="minorEastAsia"/>
          <w:color w:val="000000" w:themeColor="text1"/>
          <w:szCs w:val="21"/>
        </w:rPr>
        <w:t>元。</w:t>
      </w:r>
    </w:p>
    <w:p w:rsidR="007B62FA" w:rsidRPr="00940842" w:rsidRDefault="00813174" w:rsidP="00602A38">
      <w:pPr>
        <w:pStyle w:val="20"/>
        <w:spacing w:before="0" w:after="0"/>
        <w:rPr>
          <w:rFonts w:asciiTheme="majorEastAsia" w:eastAsiaTheme="majorEastAsia" w:hAnsiTheme="majorEastAsia"/>
          <w:color w:val="000000" w:themeColor="text1"/>
          <w:kern w:val="0"/>
          <w:sz w:val="21"/>
          <w:szCs w:val="21"/>
        </w:rPr>
      </w:pPr>
      <w:bookmarkStart w:id="363" w:name="_Toc352256016"/>
      <w:bookmarkStart w:id="364" w:name="_Toc352256084"/>
      <w:bookmarkStart w:id="365" w:name="_Toc352331262"/>
      <w:bookmarkStart w:id="366" w:name="_Toc362424041"/>
      <w:bookmarkStart w:id="367" w:name="_Toc35533853"/>
      <w:bookmarkEnd w:id="362"/>
      <w:r w:rsidRPr="008B2DD3">
        <w:rPr>
          <w:rFonts w:asciiTheme="majorEastAsia" w:eastAsiaTheme="majorEastAsia" w:hAnsiTheme="majorEastAsia"/>
          <w:color w:val="000000" w:themeColor="text1"/>
          <w:kern w:val="0"/>
          <w:sz w:val="21"/>
          <w:szCs w:val="21"/>
        </w:rPr>
        <w:t>11.6</w:t>
      </w:r>
      <w:r w:rsidR="00E519A3"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管理人、托管人及其高级管理人员受稽查或处罚等情况</w:t>
      </w:r>
      <w:bookmarkEnd w:id="363"/>
      <w:bookmarkEnd w:id="364"/>
      <w:bookmarkEnd w:id="365"/>
      <w:bookmarkEnd w:id="366"/>
      <w:bookmarkEnd w:id="367"/>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本报告期，基金管理人和托管人托管业务部门及其相关高级管理人员未受到稽查或处罚。</w:t>
      </w:r>
      <w:r>
        <w:rPr>
          <w:rFonts w:eastAsiaTheme="minorEastAsia"/>
          <w:color w:val="000000" w:themeColor="text1"/>
          <w:szCs w:val="21"/>
        </w:rPr>
        <w:t xml:space="preserve"> </w:t>
      </w:r>
    </w:p>
    <w:p w:rsidR="007B62FA" w:rsidRPr="00896265" w:rsidRDefault="007B62FA" w:rsidP="00602A3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报告期内，公司收到中国证券监督管理委员会广东监管局对我司采取责令改正措施的决定，对公司提出整改要求。公司已及时完成了整改。</w:t>
      </w:r>
    </w:p>
    <w:p w:rsidR="007B62FA" w:rsidRPr="008B2DD3" w:rsidRDefault="00813174" w:rsidP="00602A38">
      <w:pPr>
        <w:pStyle w:val="20"/>
        <w:spacing w:before="0" w:after="0"/>
        <w:rPr>
          <w:rFonts w:asciiTheme="majorEastAsia" w:eastAsiaTheme="majorEastAsia" w:hAnsiTheme="majorEastAsia"/>
          <w:color w:val="000000" w:themeColor="text1"/>
          <w:kern w:val="0"/>
          <w:sz w:val="21"/>
          <w:szCs w:val="21"/>
        </w:rPr>
      </w:pPr>
      <w:bookmarkStart w:id="368" w:name="_Toc352256017"/>
      <w:bookmarkStart w:id="369" w:name="_Toc352256085"/>
      <w:bookmarkStart w:id="370" w:name="_Toc352331263"/>
      <w:bookmarkStart w:id="371" w:name="_Toc362424042"/>
      <w:bookmarkStart w:id="372" w:name="_Toc35533854"/>
      <w:r w:rsidRPr="008B2DD3">
        <w:rPr>
          <w:rFonts w:asciiTheme="majorEastAsia" w:eastAsiaTheme="majorEastAsia" w:hAnsiTheme="majorEastAsia"/>
          <w:color w:val="000000" w:themeColor="text1"/>
          <w:kern w:val="0"/>
          <w:sz w:val="21"/>
          <w:szCs w:val="21"/>
        </w:rPr>
        <w:t>11.7</w:t>
      </w:r>
      <w:r w:rsidR="00F73F35" w:rsidRPr="00940842">
        <w:rPr>
          <w:rFonts w:asciiTheme="majorEastAsia" w:eastAsiaTheme="majorEastAsia" w:hAnsiTheme="majorEastAsia"/>
          <w:color w:val="000000" w:themeColor="text1"/>
          <w:kern w:val="0"/>
          <w:sz w:val="21"/>
          <w:szCs w:val="21"/>
        </w:rPr>
        <w:t xml:space="preserve">    </w:t>
      </w:r>
      <w:r w:rsidR="007B62FA" w:rsidRPr="00940842">
        <w:rPr>
          <w:rFonts w:asciiTheme="majorEastAsia" w:eastAsiaTheme="majorEastAsia" w:hAnsiTheme="majorEastAsia"/>
          <w:color w:val="000000" w:themeColor="text1"/>
          <w:kern w:val="0"/>
          <w:sz w:val="21"/>
          <w:szCs w:val="21"/>
        </w:rPr>
        <w:t>基金租用证券公司交易单元的有关情况</w:t>
      </w:r>
      <w:bookmarkEnd w:id="368"/>
      <w:bookmarkEnd w:id="369"/>
      <w:bookmarkEnd w:id="370"/>
      <w:bookmarkEnd w:id="371"/>
      <w:bookmarkEnd w:id="372"/>
    </w:p>
    <w:p w:rsidR="007B62FA" w:rsidRPr="00FB4041" w:rsidRDefault="000746F0"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bookmarkStart w:id="373" w:name="_Toc249760070"/>
      <w:r w:rsidRPr="00220B9D">
        <w:rPr>
          <w:b/>
          <w:color w:val="000000"/>
          <w:szCs w:val="21"/>
        </w:rPr>
        <w:t>11</w:t>
      </w:r>
      <w:r w:rsidRPr="00572A67">
        <w:rPr>
          <w:b/>
          <w:color w:val="000000"/>
          <w:szCs w:val="21"/>
        </w:rPr>
        <w:t>.7.1</w:t>
      </w:r>
      <w:r w:rsidR="000F515E" w:rsidRPr="00FB4041">
        <w:rPr>
          <w:rFonts w:asciiTheme="majorEastAsia" w:eastAsiaTheme="majorEastAsia" w:hAnsiTheme="majorEastAsia"/>
          <w:b/>
          <w:color w:val="000000" w:themeColor="text1"/>
          <w:kern w:val="0"/>
          <w:szCs w:val="21"/>
        </w:rPr>
        <w:t xml:space="preserve"> </w:t>
      </w:r>
      <w:r w:rsidR="007B62FA" w:rsidRPr="00FB4041">
        <w:rPr>
          <w:rFonts w:asciiTheme="majorEastAsia" w:eastAsiaTheme="majorEastAsia" w:hAnsiTheme="majorEastAsia"/>
          <w:b/>
          <w:color w:val="000000" w:themeColor="text1"/>
          <w:kern w:val="0"/>
          <w:szCs w:val="21"/>
        </w:rPr>
        <w:t>基金租用证券公司交易单元进行股票投资及佣金支付情况</w:t>
      </w:r>
      <w:bookmarkEnd w:id="373"/>
    </w:p>
    <w:p w:rsidR="007B62FA" w:rsidRPr="00896265" w:rsidRDefault="007B62FA" w:rsidP="00D0372D">
      <w:pPr>
        <w:pStyle w:val="a0"/>
        <w:spacing w:line="360" w:lineRule="auto"/>
        <w:ind w:firstLineChars="2600" w:firstLine="5460"/>
        <w:jc w:val="right"/>
        <w:rPr>
          <w:rFonts w:eastAsiaTheme="minorEastAsia"/>
          <w:color w:val="000000" w:themeColor="text1"/>
          <w:szCs w:val="21"/>
        </w:rPr>
      </w:pPr>
      <w:r w:rsidRPr="00896265">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E60957" w:rsidRPr="00896265" w:rsidTr="006D141C">
        <w:tc>
          <w:tcPr>
            <w:tcW w:w="1560" w:type="dxa"/>
            <w:vMerge w:val="restart"/>
            <w:vAlign w:val="center"/>
          </w:tcPr>
          <w:p w:rsidR="007B62FA" w:rsidRPr="00896265" w:rsidRDefault="007B62FA" w:rsidP="00417F87">
            <w:pPr>
              <w:spacing w:line="360" w:lineRule="auto"/>
              <w:jc w:val="center"/>
              <w:rPr>
                <w:rFonts w:eastAsiaTheme="minorEastAsia"/>
                <w:color w:val="000000" w:themeColor="text1"/>
                <w:szCs w:val="21"/>
              </w:rPr>
            </w:pPr>
            <w:bookmarkStart w:id="374" w:name="_Toc249760071"/>
            <w:r w:rsidRPr="00896265">
              <w:rPr>
                <w:rFonts w:eastAsiaTheme="minorEastAsia"/>
                <w:color w:val="000000" w:themeColor="text1"/>
                <w:szCs w:val="21"/>
              </w:rPr>
              <w:t>券商名称</w:t>
            </w:r>
          </w:p>
        </w:tc>
        <w:tc>
          <w:tcPr>
            <w:tcW w:w="780" w:type="dxa"/>
            <w:vMerge w:val="restart"/>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交易单元数量</w:t>
            </w:r>
          </w:p>
        </w:tc>
        <w:tc>
          <w:tcPr>
            <w:tcW w:w="2880" w:type="dxa"/>
            <w:gridSpan w:val="2"/>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股票交易</w:t>
            </w:r>
          </w:p>
        </w:tc>
        <w:tc>
          <w:tcPr>
            <w:tcW w:w="2700" w:type="dxa"/>
            <w:gridSpan w:val="2"/>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应支付该券商的佣金</w:t>
            </w:r>
          </w:p>
        </w:tc>
        <w:tc>
          <w:tcPr>
            <w:tcW w:w="1080" w:type="dxa"/>
            <w:vMerge w:val="restart"/>
            <w:vAlign w:val="center"/>
          </w:tcPr>
          <w:p w:rsidR="007B62FA" w:rsidRPr="00896265" w:rsidRDefault="007B62FA"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备注</w:t>
            </w:r>
          </w:p>
        </w:tc>
      </w:tr>
      <w:tr w:rsidR="007B62FA" w:rsidRPr="00896265" w:rsidTr="006D141C">
        <w:tc>
          <w:tcPr>
            <w:tcW w:w="9000" w:type="dxa"/>
            <w:vMerge/>
            <w:vAlign w:val="center"/>
          </w:tcPr>
          <w:p w:rsidR="007B62FA" w:rsidRPr="00896265" w:rsidRDefault="007B62FA" w:rsidP="00417F87">
            <w:pPr>
              <w:widowControl/>
              <w:spacing w:line="360" w:lineRule="auto"/>
              <w:jc w:val="left"/>
              <w:rPr>
                <w:rFonts w:eastAsiaTheme="minorEastAsia"/>
                <w:color w:val="000000" w:themeColor="text1"/>
                <w:szCs w:val="21"/>
              </w:rPr>
            </w:pPr>
          </w:p>
        </w:tc>
        <w:tc>
          <w:tcPr>
            <w:tcW w:w="780" w:type="dxa"/>
            <w:vMerge/>
            <w:vAlign w:val="center"/>
          </w:tcPr>
          <w:p w:rsidR="007B62FA" w:rsidRPr="00896265" w:rsidRDefault="007B62FA" w:rsidP="00417F87">
            <w:pPr>
              <w:widowControl/>
              <w:spacing w:line="360" w:lineRule="auto"/>
              <w:jc w:val="left"/>
              <w:rPr>
                <w:rFonts w:eastAsiaTheme="minorEastAsia"/>
                <w:color w:val="000000" w:themeColor="text1"/>
                <w:szCs w:val="21"/>
              </w:rPr>
            </w:pPr>
          </w:p>
        </w:tc>
        <w:tc>
          <w:tcPr>
            <w:tcW w:w="180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成交金额</w:t>
            </w:r>
          </w:p>
        </w:tc>
        <w:tc>
          <w:tcPr>
            <w:tcW w:w="108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占当期股票成交总额的比例</w:t>
            </w:r>
          </w:p>
        </w:tc>
        <w:tc>
          <w:tcPr>
            <w:tcW w:w="1620" w:type="dxa"/>
            <w:vAlign w:val="center"/>
          </w:tcPr>
          <w:p w:rsidR="007B62FA" w:rsidRPr="00896265" w:rsidRDefault="007B62FA" w:rsidP="00417F87">
            <w:pPr>
              <w:spacing w:line="360" w:lineRule="auto"/>
              <w:jc w:val="center"/>
              <w:rPr>
                <w:rFonts w:eastAsiaTheme="minorEastAsia"/>
                <w:color w:val="000000" w:themeColor="text1"/>
                <w:kern w:val="0"/>
                <w:szCs w:val="21"/>
              </w:rPr>
            </w:pPr>
            <w:r w:rsidRPr="00896265">
              <w:rPr>
                <w:rFonts w:eastAsiaTheme="minorEastAsia"/>
                <w:color w:val="000000" w:themeColor="text1"/>
                <w:kern w:val="0"/>
                <w:szCs w:val="21"/>
              </w:rPr>
              <w:t>佣金</w:t>
            </w:r>
          </w:p>
        </w:tc>
        <w:tc>
          <w:tcPr>
            <w:tcW w:w="108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占当期佣金总量的比例</w:t>
            </w:r>
          </w:p>
        </w:tc>
        <w:tc>
          <w:tcPr>
            <w:tcW w:w="1080" w:type="dxa"/>
            <w:vMerge/>
            <w:vAlign w:val="center"/>
          </w:tcPr>
          <w:p w:rsidR="007B62FA" w:rsidRPr="00896265" w:rsidRDefault="007B62FA" w:rsidP="00417F87">
            <w:pPr>
              <w:widowControl/>
              <w:spacing w:line="360" w:lineRule="auto"/>
              <w:jc w:val="left"/>
              <w:rPr>
                <w:rFonts w:eastAsiaTheme="minorEastAsia"/>
                <w:color w:val="000000" w:themeColor="text1"/>
                <w:kern w:val="0"/>
                <w:szCs w:val="21"/>
              </w:rPr>
            </w:pPr>
          </w:p>
        </w:tc>
      </w:tr>
      <w:tr w:rsidR="00F14AEA">
        <w:tc>
          <w:tcPr>
            <w:tcW w:w="1560" w:type="dxa"/>
            <w:vAlign w:val="center"/>
          </w:tcPr>
          <w:p w:rsidR="00F14AEA" w:rsidRDefault="00EC6028">
            <w:pPr>
              <w:jc w:val="left"/>
            </w:pPr>
            <w:r>
              <w:rPr>
                <w:rFonts w:eastAsiaTheme="minorEastAsia"/>
                <w:color w:val="000000" w:themeColor="text1"/>
                <w:szCs w:val="21"/>
              </w:rPr>
              <w:t>Morgan Stanley &amp; Co. International PLC</w:t>
            </w:r>
          </w:p>
        </w:tc>
        <w:tc>
          <w:tcPr>
            <w:tcW w:w="780" w:type="dxa"/>
            <w:vAlign w:val="center"/>
          </w:tcPr>
          <w:p w:rsidR="00F14AEA" w:rsidRDefault="00EC6028">
            <w:pPr>
              <w:jc w:val="right"/>
            </w:pPr>
            <w:r>
              <w:rPr>
                <w:rFonts w:eastAsiaTheme="minorEastAsia"/>
                <w:color w:val="000000" w:themeColor="text1"/>
                <w:szCs w:val="21"/>
              </w:rPr>
              <w:t>1</w:t>
            </w:r>
          </w:p>
        </w:tc>
        <w:tc>
          <w:tcPr>
            <w:tcW w:w="1800" w:type="dxa"/>
            <w:vAlign w:val="center"/>
          </w:tcPr>
          <w:p w:rsidR="00F14AEA" w:rsidRDefault="00EC6028">
            <w:pPr>
              <w:jc w:val="right"/>
            </w:pPr>
            <w:r>
              <w:rPr>
                <w:rFonts w:eastAsiaTheme="minorEastAsia"/>
                <w:color w:val="000000" w:themeColor="text1"/>
                <w:szCs w:val="21"/>
              </w:rPr>
              <w:t>41,690,523.81</w:t>
            </w:r>
          </w:p>
        </w:tc>
        <w:tc>
          <w:tcPr>
            <w:tcW w:w="1080" w:type="dxa"/>
            <w:vAlign w:val="center"/>
          </w:tcPr>
          <w:p w:rsidR="00F14AEA" w:rsidRDefault="00EC6028">
            <w:pPr>
              <w:jc w:val="right"/>
            </w:pPr>
            <w:r>
              <w:rPr>
                <w:rFonts w:eastAsiaTheme="minorEastAsia"/>
                <w:color w:val="000000" w:themeColor="text1"/>
                <w:szCs w:val="21"/>
              </w:rPr>
              <w:t>24.54%</w:t>
            </w:r>
          </w:p>
        </w:tc>
        <w:tc>
          <w:tcPr>
            <w:tcW w:w="1620" w:type="dxa"/>
            <w:vAlign w:val="center"/>
          </w:tcPr>
          <w:p w:rsidR="00F14AEA" w:rsidRDefault="00EC6028">
            <w:pPr>
              <w:jc w:val="right"/>
            </w:pPr>
            <w:r>
              <w:rPr>
                <w:rFonts w:eastAsiaTheme="minorEastAsia"/>
                <w:color w:val="000000" w:themeColor="text1"/>
                <w:szCs w:val="21"/>
              </w:rPr>
              <w:t>195,091.52</w:t>
            </w:r>
          </w:p>
        </w:tc>
        <w:tc>
          <w:tcPr>
            <w:tcW w:w="1080" w:type="dxa"/>
            <w:vAlign w:val="center"/>
          </w:tcPr>
          <w:p w:rsidR="00F14AEA" w:rsidRDefault="00EC6028">
            <w:pPr>
              <w:jc w:val="right"/>
            </w:pPr>
            <w:r>
              <w:rPr>
                <w:rFonts w:eastAsiaTheme="minorEastAsia"/>
                <w:color w:val="000000" w:themeColor="text1"/>
                <w:szCs w:val="21"/>
              </w:rPr>
              <w:t>21.81%</w:t>
            </w:r>
          </w:p>
        </w:tc>
        <w:tc>
          <w:tcPr>
            <w:tcW w:w="1080" w:type="dxa"/>
            <w:vAlign w:val="center"/>
          </w:tcPr>
          <w:p w:rsidR="00F14AEA" w:rsidRDefault="00EC6028">
            <w:pPr>
              <w:jc w:val="left"/>
            </w:pPr>
            <w:r>
              <w:rPr>
                <w:rFonts w:eastAsiaTheme="minorEastAsia"/>
                <w:color w:val="000000" w:themeColor="text1"/>
                <w:szCs w:val="21"/>
              </w:rPr>
              <w:t>-</w:t>
            </w:r>
          </w:p>
        </w:tc>
      </w:tr>
      <w:tr w:rsidR="00F14AEA">
        <w:tc>
          <w:tcPr>
            <w:tcW w:w="1560" w:type="dxa"/>
            <w:vAlign w:val="center"/>
          </w:tcPr>
          <w:p w:rsidR="00F14AEA" w:rsidRDefault="00EC6028">
            <w:pPr>
              <w:jc w:val="left"/>
            </w:pPr>
            <w:r>
              <w:rPr>
                <w:rFonts w:eastAsiaTheme="minorEastAsia"/>
                <w:color w:val="000000" w:themeColor="text1"/>
                <w:szCs w:val="21"/>
              </w:rPr>
              <w:t>China Merchants Securities (HK) Co Ltd</w:t>
            </w:r>
          </w:p>
        </w:tc>
        <w:tc>
          <w:tcPr>
            <w:tcW w:w="780" w:type="dxa"/>
            <w:vAlign w:val="center"/>
          </w:tcPr>
          <w:p w:rsidR="00F14AEA" w:rsidRDefault="00EC6028">
            <w:pPr>
              <w:jc w:val="right"/>
            </w:pPr>
            <w:r>
              <w:rPr>
                <w:rFonts w:eastAsiaTheme="minorEastAsia"/>
                <w:color w:val="000000" w:themeColor="text1"/>
                <w:szCs w:val="21"/>
              </w:rPr>
              <w:t>1</w:t>
            </w:r>
          </w:p>
        </w:tc>
        <w:tc>
          <w:tcPr>
            <w:tcW w:w="1800" w:type="dxa"/>
            <w:vAlign w:val="center"/>
          </w:tcPr>
          <w:p w:rsidR="00F14AEA" w:rsidRDefault="00EC6028">
            <w:pPr>
              <w:jc w:val="right"/>
            </w:pPr>
            <w:r>
              <w:rPr>
                <w:rFonts w:eastAsiaTheme="minorEastAsia"/>
                <w:color w:val="000000" w:themeColor="text1"/>
                <w:szCs w:val="21"/>
              </w:rPr>
              <w:t>7,448,473.59</w:t>
            </w:r>
          </w:p>
        </w:tc>
        <w:tc>
          <w:tcPr>
            <w:tcW w:w="1080" w:type="dxa"/>
            <w:vAlign w:val="center"/>
          </w:tcPr>
          <w:p w:rsidR="00F14AEA" w:rsidRDefault="00EC6028">
            <w:pPr>
              <w:jc w:val="right"/>
            </w:pPr>
            <w:r>
              <w:rPr>
                <w:rFonts w:eastAsiaTheme="minorEastAsia"/>
                <w:color w:val="000000" w:themeColor="text1"/>
                <w:szCs w:val="21"/>
              </w:rPr>
              <w:t>4.38%</w:t>
            </w:r>
          </w:p>
        </w:tc>
        <w:tc>
          <w:tcPr>
            <w:tcW w:w="1620" w:type="dxa"/>
            <w:vAlign w:val="center"/>
          </w:tcPr>
          <w:p w:rsidR="00F14AEA" w:rsidRDefault="00EC6028">
            <w:pPr>
              <w:jc w:val="right"/>
            </w:pPr>
            <w:r>
              <w:rPr>
                <w:rFonts w:eastAsiaTheme="minorEastAsia"/>
                <w:color w:val="000000" w:themeColor="text1"/>
                <w:szCs w:val="21"/>
              </w:rPr>
              <w:t>7,448.47</w:t>
            </w:r>
          </w:p>
        </w:tc>
        <w:tc>
          <w:tcPr>
            <w:tcW w:w="1080" w:type="dxa"/>
            <w:vAlign w:val="center"/>
          </w:tcPr>
          <w:p w:rsidR="00F14AEA" w:rsidRDefault="00EC6028">
            <w:pPr>
              <w:jc w:val="right"/>
            </w:pPr>
            <w:r>
              <w:rPr>
                <w:rFonts w:eastAsiaTheme="minorEastAsia"/>
                <w:color w:val="000000" w:themeColor="text1"/>
                <w:szCs w:val="21"/>
              </w:rPr>
              <w:t>0.83%</w:t>
            </w:r>
          </w:p>
        </w:tc>
        <w:tc>
          <w:tcPr>
            <w:tcW w:w="1080" w:type="dxa"/>
            <w:vAlign w:val="center"/>
          </w:tcPr>
          <w:p w:rsidR="00F14AEA" w:rsidRDefault="00EC6028">
            <w:pPr>
              <w:jc w:val="left"/>
            </w:pPr>
            <w:r>
              <w:rPr>
                <w:rFonts w:eastAsiaTheme="minorEastAsia"/>
                <w:color w:val="000000" w:themeColor="text1"/>
                <w:szCs w:val="21"/>
              </w:rPr>
              <w:t>-</w:t>
            </w:r>
          </w:p>
        </w:tc>
      </w:tr>
      <w:tr w:rsidR="00F14AEA">
        <w:tc>
          <w:tcPr>
            <w:tcW w:w="1560" w:type="dxa"/>
            <w:vAlign w:val="center"/>
          </w:tcPr>
          <w:p w:rsidR="00F14AEA" w:rsidRDefault="00EC6028">
            <w:pPr>
              <w:jc w:val="left"/>
            </w:pPr>
            <w:r>
              <w:rPr>
                <w:rFonts w:eastAsiaTheme="minorEastAsia"/>
                <w:color w:val="000000" w:themeColor="text1"/>
                <w:szCs w:val="21"/>
              </w:rPr>
              <w:t>Citigroup Global Markets Limited</w:t>
            </w:r>
          </w:p>
        </w:tc>
        <w:tc>
          <w:tcPr>
            <w:tcW w:w="780" w:type="dxa"/>
            <w:vAlign w:val="center"/>
          </w:tcPr>
          <w:p w:rsidR="00F14AEA" w:rsidRDefault="00EC6028">
            <w:pPr>
              <w:jc w:val="right"/>
            </w:pPr>
            <w:r>
              <w:rPr>
                <w:rFonts w:eastAsiaTheme="minorEastAsia"/>
                <w:color w:val="000000" w:themeColor="text1"/>
                <w:szCs w:val="21"/>
              </w:rPr>
              <w:t>1</w:t>
            </w:r>
          </w:p>
        </w:tc>
        <w:tc>
          <w:tcPr>
            <w:tcW w:w="1800" w:type="dxa"/>
            <w:vAlign w:val="center"/>
          </w:tcPr>
          <w:p w:rsidR="00F14AEA" w:rsidRDefault="00EC6028">
            <w:pPr>
              <w:jc w:val="right"/>
            </w:pPr>
            <w:r>
              <w:rPr>
                <w:rFonts w:eastAsiaTheme="minorEastAsia"/>
                <w:color w:val="000000" w:themeColor="text1"/>
                <w:szCs w:val="21"/>
              </w:rPr>
              <w:t>48,699,442.47</w:t>
            </w:r>
          </w:p>
        </w:tc>
        <w:tc>
          <w:tcPr>
            <w:tcW w:w="1080" w:type="dxa"/>
            <w:vAlign w:val="center"/>
          </w:tcPr>
          <w:p w:rsidR="00F14AEA" w:rsidRDefault="00EC6028">
            <w:pPr>
              <w:jc w:val="right"/>
            </w:pPr>
            <w:r>
              <w:rPr>
                <w:rFonts w:eastAsiaTheme="minorEastAsia"/>
                <w:color w:val="000000" w:themeColor="text1"/>
                <w:szCs w:val="21"/>
              </w:rPr>
              <w:t>28.67%</w:t>
            </w:r>
          </w:p>
        </w:tc>
        <w:tc>
          <w:tcPr>
            <w:tcW w:w="1620" w:type="dxa"/>
            <w:vAlign w:val="center"/>
          </w:tcPr>
          <w:p w:rsidR="00F14AEA" w:rsidRDefault="00EC6028">
            <w:pPr>
              <w:jc w:val="right"/>
            </w:pPr>
            <w:r>
              <w:rPr>
                <w:rFonts w:eastAsiaTheme="minorEastAsia"/>
                <w:color w:val="000000" w:themeColor="text1"/>
                <w:szCs w:val="21"/>
              </w:rPr>
              <w:t>340,409.50</w:t>
            </w:r>
          </w:p>
        </w:tc>
        <w:tc>
          <w:tcPr>
            <w:tcW w:w="1080" w:type="dxa"/>
            <w:vAlign w:val="center"/>
          </w:tcPr>
          <w:p w:rsidR="00F14AEA" w:rsidRDefault="00EC6028">
            <w:pPr>
              <w:jc w:val="right"/>
            </w:pPr>
            <w:r>
              <w:rPr>
                <w:rFonts w:eastAsiaTheme="minorEastAsia"/>
                <w:color w:val="000000" w:themeColor="text1"/>
                <w:szCs w:val="21"/>
              </w:rPr>
              <w:t>38.05%</w:t>
            </w:r>
          </w:p>
        </w:tc>
        <w:tc>
          <w:tcPr>
            <w:tcW w:w="1080" w:type="dxa"/>
            <w:vAlign w:val="center"/>
          </w:tcPr>
          <w:p w:rsidR="00F14AEA" w:rsidRDefault="00EC6028">
            <w:pPr>
              <w:jc w:val="left"/>
            </w:pPr>
            <w:r>
              <w:rPr>
                <w:rFonts w:eastAsiaTheme="minorEastAsia"/>
                <w:color w:val="000000" w:themeColor="text1"/>
                <w:szCs w:val="21"/>
              </w:rPr>
              <w:t>-</w:t>
            </w:r>
          </w:p>
        </w:tc>
      </w:tr>
      <w:tr w:rsidR="00F14AEA">
        <w:tc>
          <w:tcPr>
            <w:tcW w:w="1560" w:type="dxa"/>
            <w:vAlign w:val="center"/>
          </w:tcPr>
          <w:p w:rsidR="00F14AEA" w:rsidRDefault="00EC6028">
            <w:pPr>
              <w:jc w:val="left"/>
            </w:pPr>
            <w:r>
              <w:rPr>
                <w:rFonts w:eastAsiaTheme="minorEastAsia"/>
                <w:color w:val="000000" w:themeColor="text1"/>
                <w:szCs w:val="21"/>
              </w:rPr>
              <w:t>Credit Suisse (Hong Kong) Limited</w:t>
            </w:r>
          </w:p>
        </w:tc>
        <w:tc>
          <w:tcPr>
            <w:tcW w:w="780" w:type="dxa"/>
            <w:vAlign w:val="center"/>
          </w:tcPr>
          <w:p w:rsidR="00F14AEA" w:rsidRDefault="00EC6028">
            <w:pPr>
              <w:jc w:val="right"/>
            </w:pPr>
            <w:r>
              <w:rPr>
                <w:rFonts w:eastAsiaTheme="minorEastAsia"/>
                <w:color w:val="000000" w:themeColor="text1"/>
                <w:szCs w:val="21"/>
              </w:rPr>
              <w:t>1</w:t>
            </w:r>
          </w:p>
        </w:tc>
        <w:tc>
          <w:tcPr>
            <w:tcW w:w="1800" w:type="dxa"/>
            <w:vAlign w:val="center"/>
          </w:tcPr>
          <w:p w:rsidR="00F14AEA" w:rsidRDefault="00EC6028">
            <w:pPr>
              <w:jc w:val="right"/>
            </w:pPr>
            <w:r>
              <w:rPr>
                <w:rFonts w:eastAsiaTheme="minorEastAsia"/>
                <w:color w:val="000000" w:themeColor="text1"/>
                <w:szCs w:val="21"/>
              </w:rPr>
              <w:t>29,248,201.21</w:t>
            </w:r>
          </w:p>
        </w:tc>
        <w:tc>
          <w:tcPr>
            <w:tcW w:w="1080" w:type="dxa"/>
            <w:vAlign w:val="center"/>
          </w:tcPr>
          <w:p w:rsidR="00F14AEA" w:rsidRDefault="00EC6028">
            <w:pPr>
              <w:jc w:val="right"/>
            </w:pPr>
            <w:r>
              <w:rPr>
                <w:rFonts w:eastAsiaTheme="minorEastAsia"/>
                <w:color w:val="000000" w:themeColor="text1"/>
                <w:szCs w:val="21"/>
              </w:rPr>
              <w:t>17.22%</w:t>
            </w:r>
          </w:p>
        </w:tc>
        <w:tc>
          <w:tcPr>
            <w:tcW w:w="1620" w:type="dxa"/>
            <w:vAlign w:val="center"/>
          </w:tcPr>
          <w:p w:rsidR="00F14AEA" w:rsidRDefault="00EC6028">
            <w:pPr>
              <w:jc w:val="right"/>
            </w:pPr>
            <w:r>
              <w:rPr>
                <w:rFonts w:eastAsiaTheme="minorEastAsia"/>
                <w:color w:val="000000" w:themeColor="text1"/>
                <w:szCs w:val="21"/>
              </w:rPr>
              <w:t>183,393.88</w:t>
            </w:r>
          </w:p>
        </w:tc>
        <w:tc>
          <w:tcPr>
            <w:tcW w:w="1080" w:type="dxa"/>
            <w:vAlign w:val="center"/>
          </w:tcPr>
          <w:p w:rsidR="00F14AEA" w:rsidRDefault="00EC6028">
            <w:pPr>
              <w:jc w:val="right"/>
            </w:pPr>
            <w:r>
              <w:rPr>
                <w:rFonts w:eastAsiaTheme="minorEastAsia"/>
                <w:color w:val="000000" w:themeColor="text1"/>
                <w:szCs w:val="21"/>
              </w:rPr>
              <w:t>20.50%</w:t>
            </w:r>
          </w:p>
        </w:tc>
        <w:tc>
          <w:tcPr>
            <w:tcW w:w="1080" w:type="dxa"/>
            <w:vAlign w:val="center"/>
          </w:tcPr>
          <w:p w:rsidR="00F14AEA" w:rsidRDefault="00EC6028">
            <w:pPr>
              <w:jc w:val="left"/>
            </w:pPr>
            <w:r>
              <w:rPr>
                <w:rFonts w:eastAsiaTheme="minorEastAsia"/>
                <w:color w:val="000000" w:themeColor="text1"/>
                <w:szCs w:val="21"/>
              </w:rPr>
              <w:t>-</w:t>
            </w:r>
          </w:p>
        </w:tc>
      </w:tr>
      <w:tr w:rsidR="00F14AEA">
        <w:tc>
          <w:tcPr>
            <w:tcW w:w="1560" w:type="dxa"/>
            <w:vAlign w:val="center"/>
          </w:tcPr>
          <w:p w:rsidR="00F14AEA" w:rsidRDefault="00EC6028">
            <w:pPr>
              <w:jc w:val="left"/>
            </w:pPr>
            <w:r>
              <w:rPr>
                <w:rFonts w:eastAsiaTheme="minorEastAsia"/>
                <w:color w:val="000000" w:themeColor="text1"/>
                <w:szCs w:val="21"/>
              </w:rPr>
              <w:t>Goldman Sachs</w:t>
            </w:r>
          </w:p>
        </w:tc>
        <w:tc>
          <w:tcPr>
            <w:tcW w:w="780" w:type="dxa"/>
            <w:vAlign w:val="center"/>
          </w:tcPr>
          <w:p w:rsidR="00F14AEA" w:rsidRDefault="00EC6028">
            <w:pPr>
              <w:jc w:val="right"/>
            </w:pPr>
            <w:r>
              <w:rPr>
                <w:rFonts w:eastAsiaTheme="minorEastAsia"/>
                <w:color w:val="000000" w:themeColor="text1"/>
                <w:szCs w:val="21"/>
              </w:rPr>
              <w:t>1</w:t>
            </w:r>
          </w:p>
        </w:tc>
        <w:tc>
          <w:tcPr>
            <w:tcW w:w="1800" w:type="dxa"/>
            <w:vAlign w:val="center"/>
          </w:tcPr>
          <w:p w:rsidR="00F14AEA" w:rsidRDefault="00EC6028">
            <w:pPr>
              <w:jc w:val="right"/>
            </w:pPr>
            <w:r>
              <w:rPr>
                <w:rFonts w:eastAsiaTheme="minorEastAsia"/>
                <w:color w:val="000000" w:themeColor="text1"/>
                <w:szCs w:val="21"/>
              </w:rPr>
              <w:t>42,788,813.45</w:t>
            </w:r>
          </w:p>
        </w:tc>
        <w:tc>
          <w:tcPr>
            <w:tcW w:w="1080" w:type="dxa"/>
            <w:vAlign w:val="center"/>
          </w:tcPr>
          <w:p w:rsidR="00F14AEA" w:rsidRDefault="00EC6028">
            <w:pPr>
              <w:jc w:val="right"/>
            </w:pPr>
            <w:r>
              <w:rPr>
                <w:rFonts w:eastAsiaTheme="minorEastAsia"/>
                <w:color w:val="000000" w:themeColor="text1"/>
                <w:szCs w:val="21"/>
              </w:rPr>
              <w:t>25.19%</w:t>
            </w:r>
          </w:p>
        </w:tc>
        <w:tc>
          <w:tcPr>
            <w:tcW w:w="1620" w:type="dxa"/>
            <w:vAlign w:val="center"/>
          </w:tcPr>
          <w:p w:rsidR="00F14AEA" w:rsidRDefault="00EC6028">
            <w:pPr>
              <w:jc w:val="right"/>
            </w:pPr>
            <w:r>
              <w:rPr>
                <w:rFonts w:eastAsiaTheme="minorEastAsia"/>
                <w:color w:val="000000" w:themeColor="text1"/>
                <w:szCs w:val="21"/>
              </w:rPr>
              <w:t>168,199.44</w:t>
            </w:r>
          </w:p>
        </w:tc>
        <w:tc>
          <w:tcPr>
            <w:tcW w:w="1080" w:type="dxa"/>
            <w:vAlign w:val="center"/>
          </w:tcPr>
          <w:p w:rsidR="00F14AEA" w:rsidRDefault="00EC6028">
            <w:pPr>
              <w:jc w:val="right"/>
            </w:pPr>
            <w:r>
              <w:rPr>
                <w:rFonts w:eastAsiaTheme="minorEastAsia"/>
                <w:color w:val="000000" w:themeColor="text1"/>
                <w:szCs w:val="21"/>
              </w:rPr>
              <w:t>18.80%</w:t>
            </w:r>
          </w:p>
        </w:tc>
        <w:tc>
          <w:tcPr>
            <w:tcW w:w="1080" w:type="dxa"/>
            <w:vAlign w:val="center"/>
          </w:tcPr>
          <w:p w:rsidR="00F14AEA" w:rsidRDefault="00EC6028">
            <w:pPr>
              <w:jc w:val="left"/>
            </w:pPr>
            <w:r>
              <w:rPr>
                <w:rFonts w:eastAsiaTheme="minorEastAsia"/>
                <w:color w:val="000000" w:themeColor="text1"/>
                <w:szCs w:val="21"/>
              </w:rPr>
              <w:t>-</w:t>
            </w:r>
          </w:p>
        </w:tc>
      </w:tr>
      <w:tr w:rsidR="00F14AEA">
        <w:tc>
          <w:tcPr>
            <w:tcW w:w="1560" w:type="dxa"/>
            <w:vAlign w:val="center"/>
          </w:tcPr>
          <w:p w:rsidR="00F14AEA" w:rsidRDefault="00EC6028">
            <w:pPr>
              <w:jc w:val="left"/>
            </w:pPr>
            <w:r>
              <w:rPr>
                <w:rFonts w:eastAsiaTheme="minorEastAsia"/>
                <w:color w:val="000000" w:themeColor="text1"/>
                <w:szCs w:val="21"/>
              </w:rPr>
              <w:t>UBS Securities Asia Limited</w:t>
            </w:r>
          </w:p>
        </w:tc>
        <w:tc>
          <w:tcPr>
            <w:tcW w:w="780" w:type="dxa"/>
            <w:vAlign w:val="center"/>
          </w:tcPr>
          <w:p w:rsidR="00F14AEA" w:rsidRDefault="00EC6028">
            <w:pPr>
              <w:jc w:val="right"/>
            </w:pPr>
            <w:r>
              <w:rPr>
                <w:rFonts w:eastAsiaTheme="minorEastAsia"/>
                <w:color w:val="000000" w:themeColor="text1"/>
                <w:szCs w:val="21"/>
              </w:rPr>
              <w:t>1</w:t>
            </w:r>
          </w:p>
        </w:tc>
        <w:tc>
          <w:tcPr>
            <w:tcW w:w="1800" w:type="dxa"/>
            <w:vAlign w:val="center"/>
          </w:tcPr>
          <w:p w:rsidR="00F14AEA" w:rsidRDefault="00EC6028">
            <w:pPr>
              <w:jc w:val="right"/>
            </w:pPr>
            <w:r>
              <w:rPr>
                <w:rFonts w:eastAsiaTheme="minorEastAsia"/>
                <w:color w:val="000000" w:themeColor="text1"/>
                <w:szCs w:val="21"/>
              </w:rPr>
              <w:t>-</w:t>
            </w:r>
          </w:p>
        </w:tc>
        <w:tc>
          <w:tcPr>
            <w:tcW w:w="1080" w:type="dxa"/>
            <w:vAlign w:val="center"/>
          </w:tcPr>
          <w:p w:rsidR="00F14AEA" w:rsidRDefault="00EC6028">
            <w:pPr>
              <w:jc w:val="right"/>
            </w:pPr>
            <w:r>
              <w:rPr>
                <w:rFonts w:eastAsiaTheme="minorEastAsia"/>
                <w:color w:val="000000" w:themeColor="text1"/>
                <w:szCs w:val="21"/>
              </w:rPr>
              <w:t>-</w:t>
            </w:r>
          </w:p>
        </w:tc>
        <w:tc>
          <w:tcPr>
            <w:tcW w:w="1620" w:type="dxa"/>
            <w:vAlign w:val="center"/>
          </w:tcPr>
          <w:p w:rsidR="00F14AEA" w:rsidRDefault="00EC6028">
            <w:pPr>
              <w:jc w:val="right"/>
            </w:pPr>
            <w:r>
              <w:rPr>
                <w:rFonts w:eastAsiaTheme="minorEastAsia"/>
                <w:color w:val="000000" w:themeColor="text1"/>
                <w:szCs w:val="21"/>
              </w:rPr>
              <w:t>-</w:t>
            </w:r>
          </w:p>
        </w:tc>
        <w:tc>
          <w:tcPr>
            <w:tcW w:w="1080" w:type="dxa"/>
            <w:vAlign w:val="center"/>
          </w:tcPr>
          <w:p w:rsidR="00F14AEA" w:rsidRDefault="00EC6028">
            <w:pPr>
              <w:jc w:val="right"/>
            </w:pPr>
            <w:r>
              <w:rPr>
                <w:rFonts w:eastAsiaTheme="minorEastAsia"/>
                <w:color w:val="000000" w:themeColor="text1"/>
                <w:szCs w:val="21"/>
              </w:rPr>
              <w:t>-</w:t>
            </w:r>
          </w:p>
        </w:tc>
        <w:tc>
          <w:tcPr>
            <w:tcW w:w="1080" w:type="dxa"/>
            <w:vAlign w:val="center"/>
          </w:tcPr>
          <w:p w:rsidR="00F14AEA" w:rsidRDefault="00EC6028">
            <w:pPr>
              <w:jc w:val="left"/>
            </w:pPr>
            <w:r>
              <w:rPr>
                <w:rFonts w:eastAsiaTheme="minorEastAsia"/>
                <w:color w:val="000000" w:themeColor="text1"/>
                <w:szCs w:val="21"/>
              </w:rPr>
              <w:t>-</w:t>
            </w:r>
          </w:p>
        </w:tc>
      </w:tr>
      <w:tr w:rsidR="00F14AEA">
        <w:tc>
          <w:tcPr>
            <w:tcW w:w="1560" w:type="dxa"/>
            <w:vAlign w:val="center"/>
          </w:tcPr>
          <w:p w:rsidR="00F14AEA" w:rsidRDefault="00EC6028">
            <w:pPr>
              <w:jc w:val="left"/>
            </w:pPr>
            <w:r>
              <w:rPr>
                <w:rFonts w:eastAsiaTheme="minorEastAsia"/>
                <w:color w:val="000000" w:themeColor="text1"/>
                <w:szCs w:val="21"/>
              </w:rPr>
              <w:t>Deutsche Bank AG London</w:t>
            </w:r>
          </w:p>
        </w:tc>
        <w:tc>
          <w:tcPr>
            <w:tcW w:w="780" w:type="dxa"/>
            <w:vAlign w:val="center"/>
          </w:tcPr>
          <w:p w:rsidR="00F14AEA" w:rsidRDefault="00EC6028">
            <w:pPr>
              <w:jc w:val="right"/>
            </w:pPr>
            <w:r>
              <w:rPr>
                <w:rFonts w:eastAsiaTheme="minorEastAsia"/>
                <w:color w:val="000000" w:themeColor="text1"/>
                <w:szCs w:val="21"/>
              </w:rPr>
              <w:t>1</w:t>
            </w:r>
          </w:p>
        </w:tc>
        <w:tc>
          <w:tcPr>
            <w:tcW w:w="1800" w:type="dxa"/>
            <w:vAlign w:val="center"/>
          </w:tcPr>
          <w:p w:rsidR="00F14AEA" w:rsidRDefault="00EC6028">
            <w:pPr>
              <w:jc w:val="right"/>
            </w:pPr>
            <w:r>
              <w:rPr>
                <w:rFonts w:eastAsiaTheme="minorEastAsia"/>
                <w:color w:val="000000" w:themeColor="text1"/>
                <w:szCs w:val="21"/>
              </w:rPr>
              <w:t>-</w:t>
            </w:r>
          </w:p>
        </w:tc>
        <w:tc>
          <w:tcPr>
            <w:tcW w:w="1080" w:type="dxa"/>
            <w:vAlign w:val="center"/>
          </w:tcPr>
          <w:p w:rsidR="00F14AEA" w:rsidRDefault="00EC6028">
            <w:pPr>
              <w:jc w:val="right"/>
            </w:pPr>
            <w:r>
              <w:rPr>
                <w:rFonts w:eastAsiaTheme="minorEastAsia"/>
                <w:color w:val="000000" w:themeColor="text1"/>
                <w:szCs w:val="21"/>
              </w:rPr>
              <w:t>-</w:t>
            </w:r>
          </w:p>
        </w:tc>
        <w:tc>
          <w:tcPr>
            <w:tcW w:w="1620" w:type="dxa"/>
            <w:vAlign w:val="center"/>
          </w:tcPr>
          <w:p w:rsidR="00F14AEA" w:rsidRDefault="00EC6028">
            <w:pPr>
              <w:jc w:val="right"/>
            </w:pPr>
            <w:r>
              <w:rPr>
                <w:rFonts w:eastAsiaTheme="minorEastAsia"/>
                <w:color w:val="000000" w:themeColor="text1"/>
                <w:szCs w:val="21"/>
              </w:rPr>
              <w:t>-</w:t>
            </w:r>
          </w:p>
        </w:tc>
        <w:tc>
          <w:tcPr>
            <w:tcW w:w="1080" w:type="dxa"/>
            <w:vAlign w:val="center"/>
          </w:tcPr>
          <w:p w:rsidR="00F14AEA" w:rsidRDefault="00EC6028">
            <w:pPr>
              <w:jc w:val="right"/>
            </w:pPr>
            <w:r>
              <w:rPr>
                <w:rFonts w:eastAsiaTheme="minorEastAsia"/>
                <w:color w:val="000000" w:themeColor="text1"/>
                <w:szCs w:val="21"/>
              </w:rPr>
              <w:t>-</w:t>
            </w:r>
          </w:p>
        </w:tc>
        <w:tc>
          <w:tcPr>
            <w:tcW w:w="1080" w:type="dxa"/>
            <w:vAlign w:val="center"/>
          </w:tcPr>
          <w:p w:rsidR="00F14AEA" w:rsidRDefault="00EC6028">
            <w:pPr>
              <w:jc w:val="left"/>
            </w:pPr>
            <w:r>
              <w:rPr>
                <w:rFonts w:eastAsiaTheme="minorEastAsia"/>
                <w:color w:val="000000" w:themeColor="text1"/>
                <w:szCs w:val="21"/>
              </w:rPr>
              <w:t>-</w:t>
            </w:r>
          </w:p>
        </w:tc>
      </w:tr>
      <w:tr w:rsidR="00F14AEA">
        <w:tc>
          <w:tcPr>
            <w:tcW w:w="1560" w:type="dxa"/>
            <w:vAlign w:val="center"/>
          </w:tcPr>
          <w:p w:rsidR="00F14AEA" w:rsidRDefault="00EC6028">
            <w:pPr>
              <w:jc w:val="left"/>
            </w:pPr>
            <w:r>
              <w:rPr>
                <w:rFonts w:eastAsiaTheme="minorEastAsia"/>
                <w:color w:val="000000" w:themeColor="text1"/>
                <w:szCs w:val="21"/>
              </w:rPr>
              <w:t>CLSA Limited</w:t>
            </w:r>
          </w:p>
        </w:tc>
        <w:tc>
          <w:tcPr>
            <w:tcW w:w="780" w:type="dxa"/>
            <w:vAlign w:val="center"/>
          </w:tcPr>
          <w:p w:rsidR="00F14AEA" w:rsidRDefault="00EC6028">
            <w:pPr>
              <w:jc w:val="right"/>
            </w:pPr>
            <w:r>
              <w:rPr>
                <w:rFonts w:eastAsiaTheme="minorEastAsia"/>
                <w:color w:val="000000" w:themeColor="text1"/>
                <w:szCs w:val="21"/>
              </w:rPr>
              <w:t>1</w:t>
            </w:r>
          </w:p>
        </w:tc>
        <w:tc>
          <w:tcPr>
            <w:tcW w:w="1800" w:type="dxa"/>
            <w:vAlign w:val="center"/>
          </w:tcPr>
          <w:p w:rsidR="00F14AEA" w:rsidRDefault="00EC6028">
            <w:pPr>
              <w:jc w:val="right"/>
            </w:pPr>
            <w:r>
              <w:rPr>
                <w:rFonts w:eastAsiaTheme="minorEastAsia"/>
                <w:color w:val="000000" w:themeColor="text1"/>
                <w:szCs w:val="21"/>
              </w:rPr>
              <w:t>-</w:t>
            </w:r>
          </w:p>
        </w:tc>
        <w:tc>
          <w:tcPr>
            <w:tcW w:w="1080" w:type="dxa"/>
            <w:vAlign w:val="center"/>
          </w:tcPr>
          <w:p w:rsidR="00F14AEA" w:rsidRDefault="00EC6028">
            <w:pPr>
              <w:jc w:val="right"/>
            </w:pPr>
            <w:r>
              <w:rPr>
                <w:rFonts w:eastAsiaTheme="minorEastAsia"/>
                <w:color w:val="000000" w:themeColor="text1"/>
                <w:szCs w:val="21"/>
              </w:rPr>
              <w:t>-</w:t>
            </w:r>
          </w:p>
        </w:tc>
        <w:tc>
          <w:tcPr>
            <w:tcW w:w="1620" w:type="dxa"/>
            <w:vAlign w:val="center"/>
          </w:tcPr>
          <w:p w:rsidR="00F14AEA" w:rsidRDefault="00EC6028">
            <w:pPr>
              <w:jc w:val="right"/>
            </w:pPr>
            <w:r>
              <w:rPr>
                <w:rFonts w:eastAsiaTheme="minorEastAsia"/>
                <w:color w:val="000000" w:themeColor="text1"/>
                <w:szCs w:val="21"/>
              </w:rPr>
              <w:t>-</w:t>
            </w:r>
          </w:p>
        </w:tc>
        <w:tc>
          <w:tcPr>
            <w:tcW w:w="1080" w:type="dxa"/>
            <w:vAlign w:val="center"/>
          </w:tcPr>
          <w:p w:rsidR="00F14AEA" w:rsidRDefault="00EC6028">
            <w:pPr>
              <w:jc w:val="right"/>
            </w:pPr>
            <w:r>
              <w:rPr>
                <w:rFonts w:eastAsiaTheme="minorEastAsia"/>
                <w:color w:val="000000" w:themeColor="text1"/>
                <w:szCs w:val="21"/>
              </w:rPr>
              <w:t>-</w:t>
            </w:r>
          </w:p>
        </w:tc>
        <w:tc>
          <w:tcPr>
            <w:tcW w:w="1080" w:type="dxa"/>
            <w:vAlign w:val="center"/>
          </w:tcPr>
          <w:p w:rsidR="00F14AEA" w:rsidRDefault="00EC6028">
            <w:pPr>
              <w:jc w:val="left"/>
            </w:pPr>
            <w:r>
              <w:rPr>
                <w:rFonts w:eastAsiaTheme="minorEastAsia"/>
                <w:color w:val="000000" w:themeColor="text1"/>
                <w:szCs w:val="21"/>
              </w:rPr>
              <w:t>-</w:t>
            </w:r>
          </w:p>
        </w:tc>
      </w:tr>
      <w:tr w:rsidR="00F14AEA">
        <w:tc>
          <w:tcPr>
            <w:tcW w:w="1560" w:type="dxa"/>
            <w:vAlign w:val="center"/>
          </w:tcPr>
          <w:p w:rsidR="00F14AEA" w:rsidRDefault="00EC6028">
            <w:pPr>
              <w:jc w:val="left"/>
            </w:pPr>
            <w:r>
              <w:rPr>
                <w:rFonts w:eastAsiaTheme="minorEastAsia"/>
                <w:color w:val="000000" w:themeColor="text1"/>
                <w:szCs w:val="21"/>
              </w:rPr>
              <w:t>Nomura Asset Management HongKong Limited</w:t>
            </w:r>
          </w:p>
        </w:tc>
        <w:tc>
          <w:tcPr>
            <w:tcW w:w="780" w:type="dxa"/>
            <w:vAlign w:val="center"/>
          </w:tcPr>
          <w:p w:rsidR="00F14AEA" w:rsidRDefault="00EC6028">
            <w:pPr>
              <w:jc w:val="right"/>
            </w:pPr>
            <w:r>
              <w:rPr>
                <w:rFonts w:eastAsiaTheme="minorEastAsia"/>
                <w:color w:val="000000" w:themeColor="text1"/>
                <w:szCs w:val="21"/>
              </w:rPr>
              <w:t>1</w:t>
            </w:r>
          </w:p>
        </w:tc>
        <w:tc>
          <w:tcPr>
            <w:tcW w:w="1800" w:type="dxa"/>
            <w:vAlign w:val="center"/>
          </w:tcPr>
          <w:p w:rsidR="00F14AEA" w:rsidRDefault="00EC6028">
            <w:pPr>
              <w:jc w:val="right"/>
            </w:pPr>
            <w:r>
              <w:rPr>
                <w:rFonts w:eastAsiaTheme="minorEastAsia"/>
                <w:color w:val="000000" w:themeColor="text1"/>
                <w:szCs w:val="21"/>
              </w:rPr>
              <w:t>-</w:t>
            </w:r>
          </w:p>
        </w:tc>
        <w:tc>
          <w:tcPr>
            <w:tcW w:w="1080" w:type="dxa"/>
            <w:vAlign w:val="center"/>
          </w:tcPr>
          <w:p w:rsidR="00F14AEA" w:rsidRDefault="00EC6028">
            <w:pPr>
              <w:jc w:val="right"/>
            </w:pPr>
            <w:r>
              <w:rPr>
                <w:rFonts w:eastAsiaTheme="minorEastAsia"/>
                <w:color w:val="000000" w:themeColor="text1"/>
                <w:szCs w:val="21"/>
              </w:rPr>
              <w:t>-</w:t>
            </w:r>
          </w:p>
        </w:tc>
        <w:tc>
          <w:tcPr>
            <w:tcW w:w="1620" w:type="dxa"/>
            <w:vAlign w:val="center"/>
          </w:tcPr>
          <w:p w:rsidR="00F14AEA" w:rsidRDefault="00EC6028">
            <w:pPr>
              <w:jc w:val="right"/>
            </w:pPr>
            <w:r>
              <w:rPr>
                <w:rFonts w:eastAsiaTheme="minorEastAsia"/>
                <w:color w:val="000000" w:themeColor="text1"/>
                <w:szCs w:val="21"/>
              </w:rPr>
              <w:t>-</w:t>
            </w:r>
          </w:p>
        </w:tc>
        <w:tc>
          <w:tcPr>
            <w:tcW w:w="1080" w:type="dxa"/>
            <w:vAlign w:val="center"/>
          </w:tcPr>
          <w:p w:rsidR="00F14AEA" w:rsidRDefault="00EC6028">
            <w:pPr>
              <w:jc w:val="right"/>
            </w:pPr>
            <w:r>
              <w:rPr>
                <w:rFonts w:eastAsiaTheme="minorEastAsia"/>
                <w:color w:val="000000" w:themeColor="text1"/>
                <w:szCs w:val="21"/>
              </w:rPr>
              <w:t>-</w:t>
            </w:r>
          </w:p>
        </w:tc>
        <w:tc>
          <w:tcPr>
            <w:tcW w:w="1080" w:type="dxa"/>
            <w:vAlign w:val="center"/>
          </w:tcPr>
          <w:p w:rsidR="00F14AEA" w:rsidRDefault="00EC6028">
            <w:pPr>
              <w:jc w:val="left"/>
            </w:pPr>
            <w:r>
              <w:rPr>
                <w:rFonts w:eastAsiaTheme="minorEastAsia"/>
                <w:color w:val="000000" w:themeColor="text1"/>
                <w:szCs w:val="21"/>
              </w:rPr>
              <w:t>-</w:t>
            </w:r>
          </w:p>
        </w:tc>
      </w:tr>
      <w:tr w:rsidR="00F14AEA">
        <w:tc>
          <w:tcPr>
            <w:tcW w:w="1560" w:type="dxa"/>
            <w:vAlign w:val="center"/>
          </w:tcPr>
          <w:p w:rsidR="00F14AEA" w:rsidRDefault="00EC6028">
            <w:pPr>
              <w:jc w:val="left"/>
            </w:pPr>
            <w:r>
              <w:rPr>
                <w:rFonts w:eastAsiaTheme="minorEastAsia"/>
                <w:color w:val="000000" w:themeColor="text1"/>
                <w:szCs w:val="21"/>
              </w:rPr>
              <w:t>Knight Capital Europe Limited</w:t>
            </w:r>
          </w:p>
        </w:tc>
        <w:tc>
          <w:tcPr>
            <w:tcW w:w="780" w:type="dxa"/>
            <w:vAlign w:val="center"/>
          </w:tcPr>
          <w:p w:rsidR="00F14AEA" w:rsidRDefault="00EC6028">
            <w:pPr>
              <w:jc w:val="right"/>
            </w:pPr>
            <w:r>
              <w:rPr>
                <w:rFonts w:eastAsiaTheme="minorEastAsia"/>
                <w:color w:val="000000" w:themeColor="text1"/>
                <w:szCs w:val="21"/>
              </w:rPr>
              <w:t>1</w:t>
            </w:r>
          </w:p>
        </w:tc>
        <w:tc>
          <w:tcPr>
            <w:tcW w:w="1800" w:type="dxa"/>
            <w:vAlign w:val="center"/>
          </w:tcPr>
          <w:p w:rsidR="00F14AEA" w:rsidRDefault="00EC6028">
            <w:pPr>
              <w:jc w:val="right"/>
            </w:pPr>
            <w:r>
              <w:rPr>
                <w:rFonts w:eastAsiaTheme="minorEastAsia"/>
                <w:color w:val="000000" w:themeColor="text1"/>
                <w:szCs w:val="21"/>
              </w:rPr>
              <w:t>-</w:t>
            </w:r>
          </w:p>
        </w:tc>
        <w:tc>
          <w:tcPr>
            <w:tcW w:w="1080" w:type="dxa"/>
            <w:vAlign w:val="center"/>
          </w:tcPr>
          <w:p w:rsidR="00F14AEA" w:rsidRDefault="00EC6028">
            <w:pPr>
              <w:jc w:val="right"/>
            </w:pPr>
            <w:r>
              <w:rPr>
                <w:rFonts w:eastAsiaTheme="minorEastAsia"/>
                <w:color w:val="000000" w:themeColor="text1"/>
                <w:szCs w:val="21"/>
              </w:rPr>
              <w:t>-</w:t>
            </w:r>
          </w:p>
        </w:tc>
        <w:tc>
          <w:tcPr>
            <w:tcW w:w="1620" w:type="dxa"/>
            <w:vAlign w:val="center"/>
          </w:tcPr>
          <w:p w:rsidR="00F14AEA" w:rsidRDefault="00EC6028">
            <w:pPr>
              <w:jc w:val="right"/>
            </w:pPr>
            <w:r>
              <w:rPr>
                <w:rFonts w:eastAsiaTheme="minorEastAsia"/>
                <w:color w:val="000000" w:themeColor="text1"/>
                <w:szCs w:val="21"/>
              </w:rPr>
              <w:t>-</w:t>
            </w:r>
          </w:p>
        </w:tc>
        <w:tc>
          <w:tcPr>
            <w:tcW w:w="1080" w:type="dxa"/>
            <w:vAlign w:val="center"/>
          </w:tcPr>
          <w:p w:rsidR="00F14AEA" w:rsidRDefault="00EC6028">
            <w:pPr>
              <w:jc w:val="right"/>
            </w:pPr>
            <w:r>
              <w:rPr>
                <w:rFonts w:eastAsiaTheme="minorEastAsia"/>
                <w:color w:val="000000" w:themeColor="text1"/>
                <w:szCs w:val="21"/>
              </w:rPr>
              <w:t>-</w:t>
            </w:r>
          </w:p>
        </w:tc>
        <w:tc>
          <w:tcPr>
            <w:tcW w:w="1080" w:type="dxa"/>
            <w:vAlign w:val="center"/>
          </w:tcPr>
          <w:p w:rsidR="00F14AEA" w:rsidRDefault="00EC6028">
            <w:pPr>
              <w:jc w:val="left"/>
            </w:pPr>
            <w:r>
              <w:rPr>
                <w:rFonts w:eastAsiaTheme="minorEastAsia"/>
                <w:color w:val="000000" w:themeColor="text1"/>
                <w:szCs w:val="21"/>
              </w:rPr>
              <w:t>-</w:t>
            </w:r>
          </w:p>
        </w:tc>
      </w:tr>
      <w:tr w:rsidR="00F14AEA">
        <w:tc>
          <w:tcPr>
            <w:tcW w:w="1560" w:type="dxa"/>
            <w:vAlign w:val="center"/>
          </w:tcPr>
          <w:p w:rsidR="00F14AEA" w:rsidRDefault="00EC6028">
            <w:pPr>
              <w:jc w:val="left"/>
            </w:pPr>
            <w:r>
              <w:rPr>
                <w:rFonts w:eastAsiaTheme="minorEastAsia"/>
                <w:color w:val="000000" w:themeColor="text1"/>
                <w:szCs w:val="21"/>
              </w:rPr>
              <w:t>Shenyin Wanguo Securities HK Ltd</w:t>
            </w:r>
          </w:p>
        </w:tc>
        <w:tc>
          <w:tcPr>
            <w:tcW w:w="780" w:type="dxa"/>
            <w:vAlign w:val="center"/>
          </w:tcPr>
          <w:p w:rsidR="00F14AEA" w:rsidRDefault="00EC6028">
            <w:pPr>
              <w:jc w:val="right"/>
            </w:pPr>
            <w:r>
              <w:rPr>
                <w:rFonts w:eastAsiaTheme="minorEastAsia"/>
                <w:color w:val="000000" w:themeColor="text1"/>
                <w:szCs w:val="21"/>
              </w:rPr>
              <w:t>1</w:t>
            </w:r>
          </w:p>
        </w:tc>
        <w:tc>
          <w:tcPr>
            <w:tcW w:w="1800" w:type="dxa"/>
            <w:vAlign w:val="center"/>
          </w:tcPr>
          <w:p w:rsidR="00F14AEA" w:rsidRDefault="00EC6028">
            <w:pPr>
              <w:jc w:val="right"/>
            </w:pPr>
            <w:r>
              <w:rPr>
                <w:rFonts w:eastAsiaTheme="minorEastAsia"/>
                <w:color w:val="000000" w:themeColor="text1"/>
                <w:szCs w:val="21"/>
              </w:rPr>
              <w:t>-</w:t>
            </w:r>
          </w:p>
        </w:tc>
        <w:tc>
          <w:tcPr>
            <w:tcW w:w="1080" w:type="dxa"/>
            <w:vAlign w:val="center"/>
          </w:tcPr>
          <w:p w:rsidR="00F14AEA" w:rsidRDefault="00EC6028">
            <w:pPr>
              <w:jc w:val="right"/>
            </w:pPr>
            <w:r>
              <w:rPr>
                <w:rFonts w:eastAsiaTheme="minorEastAsia"/>
                <w:color w:val="000000" w:themeColor="text1"/>
                <w:szCs w:val="21"/>
              </w:rPr>
              <w:t>-</w:t>
            </w:r>
          </w:p>
        </w:tc>
        <w:tc>
          <w:tcPr>
            <w:tcW w:w="1620" w:type="dxa"/>
            <w:vAlign w:val="center"/>
          </w:tcPr>
          <w:p w:rsidR="00F14AEA" w:rsidRDefault="00EC6028">
            <w:pPr>
              <w:jc w:val="right"/>
            </w:pPr>
            <w:r>
              <w:rPr>
                <w:rFonts w:eastAsiaTheme="minorEastAsia"/>
                <w:color w:val="000000" w:themeColor="text1"/>
                <w:szCs w:val="21"/>
              </w:rPr>
              <w:t>-</w:t>
            </w:r>
          </w:p>
        </w:tc>
        <w:tc>
          <w:tcPr>
            <w:tcW w:w="1080" w:type="dxa"/>
            <w:vAlign w:val="center"/>
          </w:tcPr>
          <w:p w:rsidR="00F14AEA" w:rsidRDefault="00EC6028">
            <w:pPr>
              <w:jc w:val="right"/>
            </w:pPr>
            <w:r>
              <w:rPr>
                <w:rFonts w:eastAsiaTheme="minorEastAsia"/>
                <w:color w:val="000000" w:themeColor="text1"/>
                <w:szCs w:val="21"/>
              </w:rPr>
              <w:t>-</w:t>
            </w:r>
          </w:p>
        </w:tc>
        <w:tc>
          <w:tcPr>
            <w:tcW w:w="1080" w:type="dxa"/>
            <w:vAlign w:val="center"/>
          </w:tcPr>
          <w:p w:rsidR="00F14AEA" w:rsidRDefault="00EC6028">
            <w:pPr>
              <w:jc w:val="left"/>
            </w:pPr>
            <w:r>
              <w:rPr>
                <w:rFonts w:eastAsiaTheme="minorEastAsia"/>
                <w:color w:val="000000" w:themeColor="text1"/>
                <w:szCs w:val="21"/>
              </w:rPr>
              <w:t>-</w:t>
            </w:r>
          </w:p>
        </w:tc>
      </w:tr>
    </w:tbl>
    <w:p w:rsidR="00F14AEA" w:rsidRDefault="00EC6028">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a</w:t>
      </w:r>
      <w:r>
        <w:rPr>
          <w:rFonts w:eastAsiaTheme="minorEastAsia"/>
          <w:color w:val="000000" w:themeColor="text1"/>
          <w:szCs w:val="21"/>
        </w:rPr>
        <w:t>）本报告期内本基金无减少交易账户，无新增交易账户。</w:t>
      </w:r>
    </w:p>
    <w:p w:rsidR="00F14AEA" w:rsidRDefault="00EC6028">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b</w:t>
      </w:r>
      <w:r>
        <w:rPr>
          <w:rFonts w:eastAsiaTheme="minorEastAsia"/>
          <w:color w:val="000000" w:themeColor="text1"/>
          <w:szCs w:val="21"/>
        </w:rPr>
        <w:t>）本基金管理人负责选择证券经营机构，并在该机构开立交易账户。基金交易账户的开立标准如下：</w:t>
      </w:r>
    </w:p>
    <w:p w:rsidR="00F14AEA" w:rsidRDefault="00EC6028">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）交易执行能力。主要指证券经营机构能否对投资指令进行有效地执行，以及能否取得较高质量的成交结果；</w:t>
      </w:r>
    </w:p>
    <w:p w:rsidR="00F14AEA" w:rsidRDefault="00EC6028">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）研究报告质量。主要指证券经营机构能否提供高质量的宏观经济研究、行业研究及市场走向、个股分析报告和专题研究报告等；</w:t>
      </w:r>
    </w:p>
    <w:p w:rsidR="00F14AEA" w:rsidRDefault="00EC6028">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）提供研究服务的质量。主要包括协助安排上市公司调研、研究资料共享、路演服务、日常沟通交流、接受委托研究的服务质量等方面；</w:t>
      </w:r>
    </w:p>
    <w:p w:rsidR="00F14AEA" w:rsidRDefault="00EC6028">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）法规监管资讯服务。主要包括境外投资法律规定、交易监管规则、信息披露、个人利益冲突、税收等资讯的提供与培训；</w:t>
      </w:r>
    </w:p>
    <w:p w:rsidR="00F14AEA" w:rsidRDefault="00EC6028">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）价值贡献。主要是指证券经营机构对公司研究团队、投资团队在业务能力提升上所做的培训服务、对公司投资提升所作出的贡献；</w:t>
      </w:r>
    </w:p>
    <w:p w:rsidR="00F14AEA" w:rsidRDefault="00EC6028">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）其他因素。主要是证券经营机构的财务状况、经营行为规范、风险管理机制、近年内有无重大违规行为等。</w:t>
      </w:r>
    </w:p>
    <w:p w:rsidR="00F14AEA" w:rsidRDefault="00EC6028">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c</w:t>
      </w:r>
      <w:r>
        <w:rPr>
          <w:rFonts w:eastAsiaTheme="minorEastAsia"/>
          <w:color w:val="000000" w:themeColor="text1"/>
          <w:szCs w:val="21"/>
        </w:rPr>
        <w:t>）基金交易账户的选择程序如下：</w:t>
      </w:r>
    </w:p>
    <w:p w:rsidR="00F14AEA" w:rsidRDefault="00EC6028">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）本基金管理人根据上述标准考察后确定选用交易账户的证券经营机构。</w:t>
      </w:r>
    </w:p>
    <w:p w:rsidR="007B62FA" w:rsidRPr="00896265" w:rsidRDefault="007B62FA" w:rsidP="00B5782F">
      <w:pPr>
        <w:spacing w:line="360" w:lineRule="auto"/>
        <w:ind w:firstLineChars="200" w:firstLine="420"/>
        <w:jc w:val="left"/>
        <w:rPr>
          <w:rFonts w:eastAsiaTheme="minorEastAsia"/>
          <w:color w:val="000000" w:themeColor="text1"/>
          <w:szCs w:val="21"/>
        </w:rPr>
      </w:pPr>
      <w:r w:rsidRPr="00896265">
        <w:rPr>
          <w:rFonts w:eastAsiaTheme="minorEastAsia"/>
          <w:color w:val="000000" w:themeColor="text1"/>
          <w:szCs w:val="21"/>
        </w:rPr>
        <w:t>2</w:t>
      </w:r>
      <w:r w:rsidRPr="00896265">
        <w:rPr>
          <w:rFonts w:eastAsiaTheme="minorEastAsia"/>
          <w:color w:val="000000" w:themeColor="text1"/>
          <w:szCs w:val="21"/>
        </w:rPr>
        <w:t>）基金管理人与所选定的证券经营机构办理开立交易账户事宜。</w:t>
      </w:r>
    </w:p>
    <w:p w:rsidR="007B62FA" w:rsidRPr="00FB4041" w:rsidRDefault="00E86A39" w:rsidP="00FB4041">
      <w:pPr>
        <w:autoSpaceDE w:val="0"/>
        <w:autoSpaceDN w:val="0"/>
        <w:adjustRightInd w:val="0"/>
        <w:spacing w:line="360" w:lineRule="auto"/>
        <w:jc w:val="left"/>
        <w:rPr>
          <w:rFonts w:asciiTheme="majorEastAsia" w:eastAsiaTheme="majorEastAsia" w:hAnsiTheme="majorEastAsia"/>
          <w:b/>
          <w:color w:val="000000" w:themeColor="text1"/>
          <w:kern w:val="0"/>
          <w:szCs w:val="21"/>
        </w:rPr>
      </w:pPr>
      <w:r w:rsidRPr="00220B9D">
        <w:rPr>
          <w:b/>
          <w:color w:val="000000"/>
          <w:szCs w:val="21"/>
        </w:rPr>
        <w:t>11</w:t>
      </w:r>
      <w:r w:rsidRPr="00572A67">
        <w:rPr>
          <w:b/>
          <w:color w:val="000000"/>
          <w:szCs w:val="21"/>
        </w:rPr>
        <w:t>.7.2</w:t>
      </w:r>
      <w:r w:rsidR="000F515E" w:rsidRPr="00FB4041">
        <w:rPr>
          <w:rFonts w:asciiTheme="majorEastAsia" w:eastAsiaTheme="majorEastAsia" w:hAnsiTheme="majorEastAsia"/>
          <w:b/>
          <w:color w:val="000000" w:themeColor="text1"/>
          <w:kern w:val="0"/>
          <w:szCs w:val="21"/>
        </w:rPr>
        <w:t xml:space="preserve"> </w:t>
      </w:r>
      <w:r w:rsidR="007B62FA" w:rsidRPr="00FB4041">
        <w:rPr>
          <w:rFonts w:asciiTheme="majorEastAsia" w:eastAsiaTheme="majorEastAsia" w:hAnsiTheme="majorEastAsia"/>
          <w:b/>
          <w:color w:val="000000" w:themeColor="text1"/>
          <w:kern w:val="0"/>
          <w:szCs w:val="21"/>
        </w:rPr>
        <w:t>基金租用证券公司交易单元进行其他证券投资的情况</w:t>
      </w:r>
      <w:bookmarkEnd w:id="374"/>
    </w:p>
    <w:p w:rsidR="007B62FA" w:rsidRPr="00896265" w:rsidRDefault="007B62FA" w:rsidP="00417F87">
      <w:pPr>
        <w:spacing w:line="360" w:lineRule="auto"/>
        <w:ind w:firstLine="420"/>
        <w:jc w:val="right"/>
        <w:rPr>
          <w:rFonts w:eastAsiaTheme="minorEastAsia"/>
          <w:color w:val="000000" w:themeColor="text1"/>
          <w:szCs w:val="21"/>
        </w:rPr>
      </w:pPr>
      <w:r w:rsidRPr="00896265">
        <w:rPr>
          <w:rFonts w:eastAsiaTheme="minorEastAsia"/>
          <w:color w:val="000000" w:themeColor="text1"/>
          <w:szCs w:val="21"/>
        </w:rPr>
        <w:t>金额单位：人民币元</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9"/>
        <w:gridCol w:w="851"/>
        <w:gridCol w:w="1223"/>
        <w:gridCol w:w="903"/>
        <w:gridCol w:w="1171"/>
        <w:gridCol w:w="813"/>
        <w:gridCol w:w="1261"/>
        <w:gridCol w:w="866"/>
        <w:gridCol w:w="1209"/>
      </w:tblGrid>
      <w:tr w:rsidR="00615102" w:rsidRPr="00896265" w:rsidTr="00F754D4">
        <w:trPr>
          <w:jc w:val="center"/>
        </w:trPr>
        <w:tc>
          <w:tcPr>
            <w:tcW w:w="1779" w:type="dxa"/>
            <w:vMerge w:val="restart"/>
            <w:vAlign w:val="center"/>
          </w:tcPr>
          <w:p w:rsidR="001E3F7C" w:rsidRPr="00896265" w:rsidRDefault="001E3F7C" w:rsidP="00417F87">
            <w:pPr>
              <w:spacing w:line="360" w:lineRule="auto"/>
              <w:jc w:val="center"/>
              <w:rPr>
                <w:rFonts w:eastAsiaTheme="minorEastAsia"/>
                <w:color w:val="000000" w:themeColor="text1"/>
                <w:kern w:val="0"/>
                <w:szCs w:val="21"/>
              </w:rPr>
            </w:pPr>
            <w:r w:rsidRPr="00896265">
              <w:rPr>
                <w:rFonts w:eastAsiaTheme="minorEastAsia"/>
                <w:color w:val="000000" w:themeColor="text1"/>
                <w:szCs w:val="21"/>
              </w:rPr>
              <w:t>券商名称</w:t>
            </w:r>
          </w:p>
        </w:tc>
        <w:tc>
          <w:tcPr>
            <w:tcW w:w="2074" w:type="dxa"/>
            <w:gridSpan w:val="2"/>
            <w:vAlign w:val="center"/>
          </w:tcPr>
          <w:p w:rsidR="001E3F7C" w:rsidRPr="00896265" w:rsidRDefault="001E3F7C"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债券交易</w:t>
            </w:r>
          </w:p>
        </w:tc>
        <w:tc>
          <w:tcPr>
            <w:tcW w:w="2074" w:type="dxa"/>
            <w:gridSpan w:val="2"/>
            <w:vAlign w:val="center"/>
          </w:tcPr>
          <w:p w:rsidR="001E3F7C" w:rsidRPr="00896265" w:rsidRDefault="00E217A4" w:rsidP="00417F87">
            <w:pPr>
              <w:spacing w:line="360" w:lineRule="auto"/>
              <w:jc w:val="center"/>
              <w:rPr>
                <w:rFonts w:eastAsiaTheme="minorEastAsia"/>
                <w:color w:val="000000" w:themeColor="text1"/>
                <w:szCs w:val="21"/>
              </w:rPr>
            </w:pPr>
            <w:r w:rsidRPr="004352A8">
              <w:rPr>
                <w:color w:val="000000"/>
                <w:szCs w:val="21"/>
              </w:rPr>
              <w:t>债券</w:t>
            </w:r>
            <w:r w:rsidR="001E3F7C" w:rsidRPr="00896265">
              <w:rPr>
                <w:rFonts w:eastAsiaTheme="minorEastAsia"/>
                <w:color w:val="000000" w:themeColor="text1"/>
                <w:szCs w:val="21"/>
              </w:rPr>
              <w:t>回购交易</w:t>
            </w:r>
          </w:p>
        </w:tc>
        <w:tc>
          <w:tcPr>
            <w:tcW w:w="2074" w:type="dxa"/>
            <w:gridSpan w:val="2"/>
            <w:vAlign w:val="center"/>
          </w:tcPr>
          <w:p w:rsidR="001E3F7C" w:rsidRPr="00896265" w:rsidRDefault="001E3F7C"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权证交易</w:t>
            </w:r>
          </w:p>
        </w:tc>
        <w:tc>
          <w:tcPr>
            <w:tcW w:w="2075" w:type="dxa"/>
            <w:gridSpan w:val="2"/>
          </w:tcPr>
          <w:p w:rsidR="001E3F7C" w:rsidRPr="00896265" w:rsidRDefault="001E3F7C"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基金交易</w:t>
            </w:r>
          </w:p>
        </w:tc>
      </w:tr>
      <w:tr w:rsidR="00615102" w:rsidRPr="00896265" w:rsidTr="00F754D4">
        <w:trPr>
          <w:jc w:val="center"/>
        </w:trPr>
        <w:tc>
          <w:tcPr>
            <w:tcW w:w="1779" w:type="dxa"/>
            <w:vMerge/>
            <w:vAlign w:val="center"/>
          </w:tcPr>
          <w:p w:rsidR="001E3F7C" w:rsidRPr="00896265" w:rsidRDefault="001E3F7C" w:rsidP="00417F87">
            <w:pPr>
              <w:widowControl/>
              <w:spacing w:line="360" w:lineRule="auto"/>
              <w:jc w:val="left"/>
              <w:rPr>
                <w:rFonts w:eastAsiaTheme="minorEastAsia"/>
                <w:color w:val="000000" w:themeColor="text1"/>
                <w:kern w:val="0"/>
                <w:szCs w:val="21"/>
              </w:rPr>
            </w:pPr>
          </w:p>
        </w:tc>
        <w:tc>
          <w:tcPr>
            <w:tcW w:w="851" w:type="dxa"/>
            <w:vAlign w:val="center"/>
          </w:tcPr>
          <w:p w:rsidR="001E3F7C" w:rsidRPr="00896265" w:rsidRDefault="001E3F7C"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成交金额</w:t>
            </w:r>
          </w:p>
        </w:tc>
        <w:tc>
          <w:tcPr>
            <w:tcW w:w="1223" w:type="dxa"/>
            <w:vAlign w:val="center"/>
          </w:tcPr>
          <w:p w:rsidR="001E3F7C" w:rsidRPr="00896265" w:rsidRDefault="001E3F7C"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占当期债券成交总额的比例</w:t>
            </w:r>
          </w:p>
        </w:tc>
        <w:tc>
          <w:tcPr>
            <w:tcW w:w="903" w:type="dxa"/>
            <w:vAlign w:val="center"/>
          </w:tcPr>
          <w:p w:rsidR="001E3F7C" w:rsidRPr="00896265" w:rsidRDefault="001E3F7C"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成交金额</w:t>
            </w:r>
          </w:p>
        </w:tc>
        <w:tc>
          <w:tcPr>
            <w:tcW w:w="1171" w:type="dxa"/>
            <w:vAlign w:val="center"/>
          </w:tcPr>
          <w:p w:rsidR="001E3F7C" w:rsidRPr="00896265" w:rsidRDefault="001E3F7C"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占当期</w:t>
            </w:r>
            <w:r w:rsidR="00E217A4" w:rsidRPr="004352A8">
              <w:rPr>
                <w:color w:val="000000"/>
                <w:szCs w:val="21"/>
              </w:rPr>
              <w:t>债券</w:t>
            </w:r>
            <w:r w:rsidRPr="00896265">
              <w:rPr>
                <w:rFonts w:eastAsiaTheme="minorEastAsia"/>
                <w:color w:val="000000" w:themeColor="text1"/>
                <w:szCs w:val="21"/>
              </w:rPr>
              <w:t>回购成交总额的比例</w:t>
            </w:r>
          </w:p>
        </w:tc>
        <w:tc>
          <w:tcPr>
            <w:tcW w:w="813" w:type="dxa"/>
            <w:vAlign w:val="center"/>
          </w:tcPr>
          <w:p w:rsidR="001E3F7C" w:rsidRPr="00896265" w:rsidRDefault="001E3F7C"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成交金额</w:t>
            </w:r>
          </w:p>
        </w:tc>
        <w:tc>
          <w:tcPr>
            <w:tcW w:w="1261" w:type="dxa"/>
            <w:vAlign w:val="center"/>
          </w:tcPr>
          <w:p w:rsidR="001E3F7C" w:rsidRPr="00896265" w:rsidRDefault="001E3F7C"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占当期权证成交总额的比例</w:t>
            </w:r>
          </w:p>
        </w:tc>
        <w:tc>
          <w:tcPr>
            <w:tcW w:w="866" w:type="dxa"/>
            <w:vAlign w:val="center"/>
          </w:tcPr>
          <w:p w:rsidR="001E3F7C" w:rsidRPr="00896265" w:rsidRDefault="001E3F7C"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成交金额</w:t>
            </w:r>
          </w:p>
        </w:tc>
        <w:tc>
          <w:tcPr>
            <w:tcW w:w="1209" w:type="dxa"/>
            <w:vAlign w:val="center"/>
          </w:tcPr>
          <w:p w:rsidR="001E3F7C" w:rsidRPr="00896265" w:rsidRDefault="001E3F7C"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占当期</w:t>
            </w:r>
            <w:r w:rsidR="00EC421C" w:rsidRPr="00896265">
              <w:rPr>
                <w:rFonts w:eastAsiaTheme="minorEastAsia"/>
                <w:color w:val="000000" w:themeColor="text1"/>
                <w:szCs w:val="21"/>
              </w:rPr>
              <w:t>基金</w:t>
            </w:r>
            <w:r w:rsidRPr="00896265">
              <w:rPr>
                <w:rFonts w:eastAsiaTheme="minorEastAsia"/>
                <w:color w:val="000000" w:themeColor="text1"/>
                <w:szCs w:val="21"/>
              </w:rPr>
              <w:t>成交总额的比例</w:t>
            </w:r>
          </w:p>
        </w:tc>
      </w:tr>
      <w:tr w:rsidR="00F14AEA">
        <w:trPr>
          <w:jc w:val="center"/>
        </w:trPr>
        <w:tc>
          <w:tcPr>
            <w:tcW w:w="1779" w:type="dxa"/>
            <w:vAlign w:val="center"/>
          </w:tcPr>
          <w:p w:rsidR="00F14AEA" w:rsidRDefault="00EC6028">
            <w:pPr>
              <w:jc w:val="left"/>
            </w:pPr>
            <w:r>
              <w:rPr>
                <w:rFonts w:eastAsiaTheme="minorEastAsia"/>
                <w:color w:val="000000" w:themeColor="text1"/>
                <w:szCs w:val="21"/>
              </w:rPr>
              <w:t>Morgan Stanley &amp; Co. International PLC</w:t>
            </w:r>
          </w:p>
        </w:tc>
        <w:tc>
          <w:tcPr>
            <w:tcW w:w="851" w:type="dxa"/>
            <w:vAlign w:val="center"/>
          </w:tcPr>
          <w:p w:rsidR="00F14AEA" w:rsidRDefault="00EC6028">
            <w:pPr>
              <w:jc w:val="right"/>
            </w:pPr>
            <w:r>
              <w:rPr>
                <w:rFonts w:eastAsiaTheme="minorEastAsia"/>
                <w:color w:val="000000" w:themeColor="text1"/>
                <w:szCs w:val="21"/>
              </w:rPr>
              <w:t>-</w:t>
            </w:r>
          </w:p>
        </w:tc>
        <w:tc>
          <w:tcPr>
            <w:tcW w:w="1223" w:type="dxa"/>
            <w:vAlign w:val="center"/>
          </w:tcPr>
          <w:p w:rsidR="00F14AEA" w:rsidRDefault="00EC6028">
            <w:pPr>
              <w:jc w:val="right"/>
            </w:pPr>
            <w:r>
              <w:rPr>
                <w:rFonts w:eastAsiaTheme="minorEastAsia"/>
                <w:color w:val="000000" w:themeColor="text1"/>
                <w:szCs w:val="21"/>
              </w:rPr>
              <w:t>-</w:t>
            </w:r>
          </w:p>
        </w:tc>
        <w:tc>
          <w:tcPr>
            <w:tcW w:w="903" w:type="dxa"/>
            <w:vAlign w:val="center"/>
          </w:tcPr>
          <w:p w:rsidR="00F14AEA" w:rsidRDefault="00EC6028">
            <w:pPr>
              <w:jc w:val="right"/>
            </w:pPr>
            <w:r>
              <w:rPr>
                <w:rFonts w:eastAsiaTheme="minorEastAsia"/>
                <w:color w:val="000000" w:themeColor="text1"/>
                <w:szCs w:val="21"/>
              </w:rPr>
              <w:t>-</w:t>
            </w:r>
          </w:p>
        </w:tc>
        <w:tc>
          <w:tcPr>
            <w:tcW w:w="1171" w:type="dxa"/>
            <w:vAlign w:val="center"/>
          </w:tcPr>
          <w:p w:rsidR="00F14AEA" w:rsidRDefault="00EC6028">
            <w:pPr>
              <w:jc w:val="right"/>
            </w:pPr>
            <w:r>
              <w:rPr>
                <w:rFonts w:eastAsiaTheme="minorEastAsia"/>
                <w:color w:val="000000" w:themeColor="text1"/>
                <w:szCs w:val="21"/>
              </w:rPr>
              <w:t>-</w:t>
            </w:r>
          </w:p>
        </w:tc>
        <w:tc>
          <w:tcPr>
            <w:tcW w:w="813" w:type="dxa"/>
            <w:vAlign w:val="center"/>
          </w:tcPr>
          <w:p w:rsidR="00F14AEA" w:rsidRDefault="00EC6028">
            <w:pPr>
              <w:jc w:val="right"/>
            </w:pPr>
            <w:r>
              <w:rPr>
                <w:rFonts w:eastAsiaTheme="minorEastAsia"/>
                <w:color w:val="000000" w:themeColor="text1"/>
                <w:szCs w:val="21"/>
              </w:rPr>
              <w:t>-</w:t>
            </w:r>
          </w:p>
        </w:tc>
        <w:tc>
          <w:tcPr>
            <w:tcW w:w="1261" w:type="dxa"/>
            <w:vAlign w:val="center"/>
          </w:tcPr>
          <w:p w:rsidR="00F14AEA" w:rsidRDefault="00EC6028">
            <w:pPr>
              <w:jc w:val="right"/>
            </w:pPr>
            <w:r>
              <w:rPr>
                <w:rFonts w:eastAsiaTheme="minorEastAsia"/>
                <w:color w:val="000000" w:themeColor="text1"/>
                <w:szCs w:val="21"/>
              </w:rPr>
              <w:t>-</w:t>
            </w:r>
          </w:p>
        </w:tc>
        <w:tc>
          <w:tcPr>
            <w:tcW w:w="866" w:type="dxa"/>
            <w:vAlign w:val="center"/>
          </w:tcPr>
          <w:p w:rsidR="00F14AEA" w:rsidRDefault="00EC6028">
            <w:pPr>
              <w:jc w:val="right"/>
            </w:pPr>
            <w:r>
              <w:rPr>
                <w:rFonts w:eastAsiaTheme="minorEastAsia"/>
                <w:color w:val="000000" w:themeColor="text1"/>
                <w:szCs w:val="21"/>
              </w:rPr>
              <w:t>395,201,953.96</w:t>
            </w:r>
          </w:p>
        </w:tc>
        <w:tc>
          <w:tcPr>
            <w:tcW w:w="1209" w:type="dxa"/>
            <w:vAlign w:val="center"/>
          </w:tcPr>
          <w:p w:rsidR="00F14AEA" w:rsidRDefault="00EC6028">
            <w:pPr>
              <w:jc w:val="right"/>
            </w:pPr>
            <w:r>
              <w:rPr>
                <w:rFonts w:eastAsiaTheme="minorEastAsia"/>
                <w:color w:val="000000" w:themeColor="text1"/>
                <w:szCs w:val="21"/>
              </w:rPr>
              <w:t>24.38%</w:t>
            </w:r>
          </w:p>
        </w:tc>
      </w:tr>
      <w:tr w:rsidR="00F14AEA">
        <w:trPr>
          <w:jc w:val="center"/>
        </w:trPr>
        <w:tc>
          <w:tcPr>
            <w:tcW w:w="1779" w:type="dxa"/>
            <w:vAlign w:val="center"/>
          </w:tcPr>
          <w:p w:rsidR="00F14AEA" w:rsidRDefault="00EC6028">
            <w:pPr>
              <w:jc w:val="left"/>
            </w:pPr>
            <w:r>
              <w:rPr>
                <w:rFonts w:eastAsiaTheme="minorEastAsia"/>
                <w:color w:val="000000" w:themeColor="text1"/>
                <w:szCs w:val="21"/>
              </w:rPr>
              <w:t>China Merchants Securities (HK) Co Ltd</w:t>
            </w:r>
          </w:p>
        </w:tc>
        <w:tc>
          <w:tcPr>
            <w:tcW w:w="851" w:type="dxa"/>
            <w:vAlign w:val="center"/>
          </w:tcPr>
          <w:p w:rsidR="00F14AEA" w:rsidRDefault="00EC6028">
            <w:pPr>
              <w:jc w:val="right"/>
            </w:pPr>
            <w:r>
              <w:rPr>
                <w:rFonts w:eastAsiaTheme="minorEastAsia"/>
                <w:color w:val="000000" w:themeColor="text1"/>
                <w:szCs w:val="21"/>
              </w:rPr>
              <w:t>-</w:t>
            </w:r>
          </w:p>
        </w:tc>
        <w:tc>
          <w:tcPr>
            <w:tcW w:w="1223" w:type="dxa"/>
            <w:vAlign w:val="center"/>
          </w:tcPr>
          <w:p w:rsidR="00F14AEA" w:rsidRDefault="00EC6028">
            <w:pPr>
              <w:jc w:val="right"/>
            </w:pPr>
            <w:r>
              <w:rPr>
                <w:rFonts w:eastAsiaTheme="minorEastAsia"/>
                <w:color w:val="000000" w:themeColor="text1"/>
                <w:szCs w:val="21"/>
              </w:rPr>
              <w:t>-</w:t>
            </w:r>
          </w:p>
        </w:tc>
        <w:tc>
          <w:tcPr>
            <w:tcW w:w="903" w:type="dxa"/>
            <w:vAlign w:val="center"/>
          </w:tcPr>
          <w:p w:rsidR="00F14AEA" w:rsidRDefault="00EC6028">
            <w:pPr>
              <w:jc w:val="right"/>
            </w:pPr>
            <w:r>
              <w:rPr>
                <w:rFonts w:eastAsiaTheme="minorEastAsia"/>
                <w:color w:val="000000" w:themeColor="text1"/>
                <w:szCs w:val="21"/>
              </w:rPr>
              <w:t>-</w:t>
            </w:r>
          </w:p>
        </w:tc>
        <w:tc>
          <w:tcPr>
            <w:tcW w:w="1171" w:type="dxa"/>
            <w:vAlign w:val="center"/>
          </w:tcPr>
          <w:p w:rsidR="00F14AEA" w:rsidRDefault="00EC6028">
            <w:pPr>
              <w:jc w:val="right"/>
            </w:pPr>
            <w:r>
              <w:rPr>
                <w:rFonts w:eastAsiaTheme="minorEastAsia"/>
                <w:color w:val="000000" w:themeColor="text1"/>
                <w:szCs w:val="21"/>
              </w:rPr>
              <w:t>-</w:t>
            </w:r>
          </w:p>
        </w:tc>
        <w:tc>
          <w:tcPr>
            <w:tcW w:w="813" w:type="dxa"/>
            <w:vAlign w:val="center"/>
          </w:tcPr>
          <w:p w:rsidR="00F14AEA" w:rsidRDefault="00EC6028">
            <w:pPr>
              <w:jc w:val="right"/>
            </w:pPr>
            <w:r>
              <w:rPr>
                <w:rFonts w:eastAsiaTheme="minorEastAsia"/>
                <w:color w:val="000000" w:themeColor="text1"/>
                <w:szCs w:val="21"/>
              </w:rPr>
              <w:t>-</w:t>
            </w:r>
          </w:p>
        </w:tc>
        <w:tc>
          <w:tcPr>
            <w:tcW w:w="1261" w:type="dxa"/>
            <w:vAlign w:val="center"/>
          </w:tcPr>
          <w:p w:rsidR="00F14AEA" w:rsidRDefault="00EC6028">
            <w:pPr>
              <w:jc w:val="right"/>
            </w:pPr>
            <w:r>
              <w:rPr>
                <w:rFonts w:eastAsiaTheme="minorEastAsia"/>
                <w:color w:val="000000" w:themeColor="text1"/>
                <w:szCs w:val="21"/>
              </w:rPr>
              <w:t>-</w:t>
            </w:r>
          </w:p>
        </w:tc>
        <w:tc>
          <w:tcPr>
            <w:tcW w:w="866" w:type="dxa"/>
            <w:vAlign w:val="center"/>
          </w:tcPr>
          <w:p w:rsidR="00F14AEA" w:rsidRDefault="00EC6028">
            <w:pPr>
              <w:jc w:val="right"/>
            </w:pPr>
            <w:r>
              <w:rPr>
                <w:rFonts w:eastAsiaTheme="minorEastAsia"/>
                <w:color w:val="000000" w:themeColor="text1"/>
                <w:szCs w:val="21"/>
              </w:rPr>
              <w:t>-</w:t>
            </w:r>
          </w:p>
        </w:tc>
        <w:tc>
          <w:tcPr>
            <w:tcW w:w="1209" w:type="dxa"/>
            <w:vAlign w:val="center"/>
          </w:tcPr>
          <w:p w:rsidR="00F14AEA" w:rsidRDefault="00EC6028">
            <w:pPr>
              <w:jc w:val="right"/>
            </w:pPr>
            <w:r>
              <w:rPr>
                <w:rFonts w:eastAsiaTheme="minorEastAsia"/>
                <w:color w:val="000000" w:themeColor="text1"/>
                <w:szCs w:val="21"/>
              </w:rPr>
              <w:t>-</w:t>
            </w:r>
          </w:p>
        </w:tc>
      </w:tr>
      <w:tr w:rsidR="00F14AEA">
        <w:trPr>
          <w:jc w:val="center"/>
        </w:trPr>
        <w:tc>
          <w:tcPr>
            <w:tcW w:w="1779" w:type="dxa"/>
            <w:vAlign w:val="center"/>
          </w:tcPr>
          <w:p w:rsidR="00F14AEA" w:rsidRDefault="00EC6028">
            <w:pPr>
              <w:jc w:val="left"/>
            </w:pPr>
            <w:r>
              <w:rPr>
                <w:rFonts w:eastAsiaTheme="minorEastAsia"/>
                <w:color w:val="000000" w:themeColor="text1"/>
                <w:szCs w:val="21"/>
              </w:rPr>
              <w:t>Citigroup Global Markets Limited</w:t>
            </w:r>
          </w:p>
        </w:tc>
        <w:tc>
          <w:tcPr>
            <w:tcW w:w="851" w:type="dxa"/>
            <w:vAlign w:val="center"/>
          </w:tcPr>
          <w:p w:rsidR="00F14AEA" w:rsidRDefault="00EC6028">
            <w:pPr>
              <w:jc w:val="right"/>
            </w:pPr>
            <w:r>
              <w:rPr>
                <w:rFonts w:eastAsiaTheme="minorEastAsia"/>
                <w:color w:val="000000" w:themeColor="text1"/>
                <w:szCs w:val="21"/>
              </w:rPr>
              <w:t>-</w:t>
            </w:r>
          </w:p>
        </w:tc>
        <w:tc>
          <w:tcPr>
            <w:tcW w:w="1223" w:type="dxa"/>
            <w:vAlign w:val="center"/>
          </w:tcPr>
          <w:p w:rsidR="00F14AEA" w:rsidRDefault="00EC6028">
            <w:pPr>
              <w:jc w:val="right"/>
            </w:pPr>
            <w:r>
              <w:rPr>
                <w:rFonts w:eastAsiaTheme="minorEastAsia"/>
                <w:color w:val="000000" w:themeColor="text1"/>
                <w:szCs w:val="21"/>
              </w:rPr>
              <w:t>-</w:t>
            </w:r>
          </w:p>
        </w:tc>
        <w:tc>
          <w:tcPr>
            <w:tcW w:w="903" w:type="dxa"/>
            <w:vAlign w:val="center"/>
          </w:tcPr>
          <w:p w:rsidR="00F14AEA" w:rsidRDefault="00EC6028">
            <w:pPr>
              <w:jc w:val="right"/>
            </w:pPr>
            <w:r>
              <w:rPr>
                <w:rFonts w:eastAsiaTheme="minorEastAsia"/>
                <w:color w:val="000000" w:themeColor="text1"/>
                <w:szCs w:val="21"/>
              </w:rPr>
              <w:t>-</w:t>
            </w:r>
          </w:p>
        </w:tc>
        <w:tc>
          <w:tcPr>
            <w:tcW w:w="1171" w:type="dxa"/>
            <w:vAlign w:val="center"/>
          </w:tcPr>
          <w:p w:rsidR="00F14AEA" w:rsidRDefault="00EC6028">
            <w:pPr>
              <w:jc w:val="right"/>
            </w:pPr>
            <w:r>
              <w:rPr>
                <w:rFonts w:eastAsiaTheme="minorEastAsia"/>
                <w:color w:val="000000" w:themeColor="text1"/>
                <w:szCs w:val="21"/>
              </w:rPr>
              <w:t>-</w:t>
            </w:r>
          </w:p>
        </w:tc>
        <w:tc>
          <w:tcPr>
            <w:tcW w:w="813" w:type="dxa"/>
            <w:vAlign w:val="center"/>
          </w:tcPr>
          <w:p w:rsidR="00F14AEA" w:rsidRDefault="00EC6028">
            <w:pPr>
              <w:jc w:val="right"/>
            </w:pPr>
            <w:r>
              <w:rPr>
                <w:rFonts w:eastAsiaTheme="minorEastAsia"/>
                <w:color w:val="000000" w:themeColor="text1"/>
                <w:szCs w:val="21"/>
              </w:rPr>
              <w:t>-</w:t>
            </w:r>
          </w:p>
        </w:tc>
        <w:tc>
          <w:tcPr>
            <w:tcW w:w="1261" w:type="dxa"/>
            <w:vAlign w:val="center"/>
          </w:tcPr>
          <w:p w:rsidR="00F14AEA" w:rsidRDefault="00EC6028">
            <w:pPr>
              <w:jc w:val="right"/>
            </w:pPr>
            <w:r>
              <w:rPr>
                <w:rFonts w:eastAsiaTheme="minorEastAsia"/>
                <w:color w:val="000000" w:themeColor="text1"/>
                <w:szCs w:val="21"/>
              </w:rPr>
              <w:t>-</w:t>
            </w:r>
          </w:p>
        </w:tc>
        <w:tc>
          <w:tcPr>
            <w:tcW w:w="866" w:type="dxa"/>
            <w:vAlign w:val="center"/>
          </w:tcPr>
          <w:p w:rsidR="00F14AEA" w:rsidRDefault="00EC6028">
            <w:pPr>
              <w:jc w:val="right"/>
            </w:pPr>
            <w:r>
              <w:rPr>
                <w:rFonts w:eastAsiaTheme="minorEastAsia"/>
                <w:color w:val="000000" w:themeColor="text1"/>
                <w:szCs w:val="21"/>
              </w:rPr>
              <w:t>694,986,737.13</w:t>
            </w:r>
          </w:p>
        </w:tc>
        <w:tc>
          <w:tcPr>
            <w:tcW w:w="1209" w:type="dxa"/>
            <w:vAlign w:val="center"/>
          </w:tcPr>
          <w:p w:rsidR="00F14AEA" w:rsidRDefault="00EC6028">
            <w:pPr>
              <w:jc w:val="right"/>
            </w:pPr>
            <w:r>
              <w:rPr>
                <w:rFonts w:eastAsiaTheme="minorEastAsia"/>
                <w:color w:val="000000" w:themeColor="text1"/>
                <w:szCs w:val="21"/>
              </w:rPr>
              <w:t>42.87%</w:t>
            </w:r>
          </w:p>
        </w:tc>
      </w:tr>
      <w:tr w:rsidR="00F14AEA">
        <w:trPr>
          <w:jc w:val="center"/>
        </w:trPr>
        <w:tc>
          <w:tcPr>
            <w:tcW w:w="1779" w:type="dxa"/>
            <w:vAlign w:val="center"/>
          </w:tcPr>
          <w:p w:rsidR="00F14AEA" w:rsidRDefault="00EC6028">
            <w:pPr>
              <w:jc w:val="left"/>
            </w:pPr>
            <w:r>
              <w:rPr>
                <w:rFonts w:eastAsiaTheme="minorEastAsia"/>
                <w:color w:val="000000" w:themeColor="text1"/>
                <w:szCs w:val="21"/>
              </w:rPr>
              <w:t>Credit Suisse (Hong Kong) Limited</w:t>
            </w:r>
          </w:p>
        </w:tc>
        <w:tc>
          <w:tcPr>
            <w:tcW w:w="851" w:type="dxa"/>
            <w:vAlign w:val="center"/>
          </w:tcPr>
          <w:p w:rsidR="00F14AEA" w:rsidRDefault="00EC6028">
            <w:pPr>
              <w:jc w:val="right"/>
            </w:pPr>
            <w:r>
              <w:rPr>
                <w:rFonts w:eastAsiaTheme="minorEastAsia"/>
                <w:color w:val="000000" w:themeColor="text1"/>
                <w:szCs w:val="21"/>
              </w:rPr>
              <w:t>-</w:t>
            </w:r>
          </w:p>
        </w:tc>
        <w:tc>
          <w:tcPr>
            <w:tcW w:w="1223" w:type="dxa"/>
            <w:vAlign w:val="center"/>
          </w:tcPr>
          <w:p w:rsidR="00F14AEA" w:rsidRDefault="00EC6028">
            <w:pPr>
              <w:jc w:val="right"/>
            </w:pPr>
            <w:r>
              <w:rPr>
                <w:rFonts w:eastAsiaTheme="minorEastAsia"/>
                <w:color w:val="000000" w:themeColor="text1"/>
                <w:szCs w:val="21"/>
              </w:rPr>
              <w:t>-</w:t>
            </w:r>
          </w:p>
        </w:tc>
        <w:tc>
          <w:tcPr>
            <w:tcW w:w="903" w:type="dxa"/>
            <w:vAlign w:val="center"/>
          </w:tcPr>
          <w:p w:rsidR="00F14AEA" w:rsidRDefault="00EC6028">
            <w:pPr>
              <w:jc w:val="right"/>
            </w:pPr>
            <w:r>
              <w:rPr>
                <w:rFonts w:eastAsiaTheme="minorEastAsia"/>
                <w:color w:val="000000" w:themeColor="text1"/>
                <w:szCs w:val="21"/>
              </w:rPr>
              <w:t>-</w:t>
            </w:r>
          </w:p>
        </w:tc>
        <w:tc>
          <w:tcPr>
            <w:tcW w:w="1171" w:type="dxa"/>
            <w:vAlign w:val="center"/>
          </w:tcPr>
          <w:p w:rsidR="00F14AEA" w:rsidRDefault="00EC6028">
            <w:pPr>
              <w:jc w:val="right"/>
            </w:pPr>
            <w:r>
              <w:rPr>
                <w:rFonts w:eastAsiaTheme="minorEastAsia"/>
                <w:color w:val="000000" w:themeColor="text1"/>
                <w:szCs w:val="21"/>
              </w:rPr>
              <w:t>-</w:t>
            </w:r>
          </w:p>
        </w:tc>
        <w:tc>
          <w:tcPr>
            <w:tcW w:w="813" w:type="dxa"/>
            <w:vAlign w:val="center"/>
          </w:tcPr>
          <w:p w:rsidR="00F14AEA" w:rsidRDefault="00EC6028">
            <w:pPr>
              <w:jc w:val="right"/>
            </w:pPr>
            <w:r>
              <w:rPr>
                <w:rFonts w:eastAsiaTheme="minorEastAsia"/>
                <w:color w:val="000000" w:themeColor="text1"/>
                <w:szCs w:val="21"/>
              </w:rPr>
              <w:t>-</w:t>
            </w:r>
          </w:p>
        </w:tc>
        <w:tc>
          <w:tcPr>
            <w:tcW w:w="1261" w:type="dxa"/>
            <w:vAlign w:val="center"/>
          </w:tcPr>
          <w:p w:rsidR="00F14AEA" w:rsidRDefault="00EC6028">
            <w:pPr>
              <w:jc w:val="right"/>
            </w:pPr>
            <w:r>
              <w:rPr>
                <w:rFonts w:eastAsiaTheme="minorEastAsia"/>
                <w:color w:val="000000" w:themeColor="text1"/>
                <w:szCs w:val="21"/>
              </w:rPr>
              <w:t>-</w:t>
            </w:r>
          </w:p>
        </w:tc>
        <w:tc>
          <w:tcPr>
            <w:tcW w:w="866" w:type="dxa"/>
            <w:vAlign w:val="center"/>
          </w:tcPr>
          <w:p w:rsidR="00F14AEA" w:rsidRDefault="00EC6028">
            <w:pPr>
              <w:jc w:val="right"/>
            </w:pPr>
            <w:r>
              <w:rPr>
                <w:rFonts w:eastAsiaTheme="minorEastAsia"/>
                <w:color w:val="000000" w:themeColor="text1"/>
                <w:szCs w:val="21"/>
              </w:rPr>
              <w:t>363,574,889.50</w:t>
            </w:r>
          </w:p>
        </w:tc>
        <w:tc>
          <w:tcPr>
            <w:tcW w:w="1209" w:type="dxa"/>
            <w:vAlign w:val="center"/>
          </w:tcPr>
          <w:p w:rsidR="00F14AEA" w:rsidRDefault="00EC6028">
            <w:pPr>
              <w:jc w:val="right"/>
            </w:pPr>
            <w:r>
              <w:rPr>
                <w:rFonts w:eastAsiaTheme="minorEastAsia"/>
                <w:color w:val="000000" w:themeColor="text1"/>
                <w:szCs w:val="21"/>
              </w:rPr>
              <w:t>22.43%</w:t>
            </w:r>
          </w:p>
        </w:tc>
      </w:tr>
      <w:tr w:rsidR="00F14AEA">
        <w:trPr>
          <w:jc w:val="center"/>
        </w:trPr>
        <w:tc>
          <w:tcPr>
            <w:tcW w:w="1779" w:type="dxa"/>
            <w:vAlign w:val="center"/>
          </w:tcPr>
          <w:p w:rsidR="00F14AEA" w:rsidRDefault="00EC6028">
            <w:pPr>
              <w:jc w:val="left"/>
            </w:pPr>
            <w:r>
              <w:rPr>
                <w:rFonts w:eastAsiaTheme="minorEastAsia"/>
                <w:color w:val="000000" w:themeColor="text1"/>
                <w:szCs w:val="21"/>
              </w:rPr>
              <w:t>Goldman Sachs</w:t>
            </w:r>
          </w:p>
        </w:tc>
        <w:tc>
          <w:tcPr>
            <w:tcW w:w="851" w:type="dxa"/>
            <w:vAlign w:val="center"/>
          </w:tcPr>
          <w:p w:rsidR="00F14AEA" w:rsidRDefault="00EC6028">
            <w:pPr>
              <w:jc w:val="right"/>
            </w:pPr>
            <w:r>
              <w:rPr>
                <w:rFonts w:eastAsiaTheme="minorEastAsia"/>
                <w:color w:val="000000" w:themeColor="text1"/>
                <w:szCs w:val="21"/>
              </w:rPr>
              <w:t>-</w:t>
            </w:r>
          </w:p>
        </w:tc>
        <w:tc>
          <w:tcPr>
            <w:tcW w:w="1223" w:type="dxa"/>
            <w:vAlign w:val="center"/>
          </w:tcPr>
          <w:p w:rsidR="00F14AEA" w:rsidRDefault="00EC6028">
            <w:pPr>
              <w:jc w:val="right"/>
            </w:pPr>
            <w:r>
              <w:rPr>
                <w:rFonts w:eastAsiaTheme="minorEastAsia"/>
                <w:color w:val="000000" w:themeColor="text1"/>
                <w:szCs w:val="21"/>
              </w:rPr>
              <w:t>-</w:t>
            </w:r>
          </w:p>
        </w:tc>
        <w:tc>
          <w:tcPr>
            <w:tcW w:w="903" w:type="dxa"/>
            <w:vAlign w:val="center"/>
          </w:tcPr>
          <w:p w:rsidR="00F14AEA" w:rsidRDefault="00EC6028">
            <w:pPr>
              <w:jc w:val="right"/>
            </w:pPr>
            <w:r>
              <w:rPr>
                <w:rFonts w:eastAsiaTheme="minorEastAsia"/>
                <w:color w:val="000000" w:themeColor="text1"/>
                <w:szCs w:val="21"/>
              </w:rPr>
              <w:t>-</w:t>
            </w:r>
          </w:p>
        </w:tc>
        <w:tc>
          <w:tcPr>
            <w:tcW w:w="1171" w:type="dxa"/>
            <w:vAlign w:val="center"/>
          </w:tcPr>
          <w:p w:rsidR="00F14AEA" w:rsidRDefault="00EC6028">
            <w:pPr>
              <w:jc w:val="right"/>
            </w:pPr>
            <w:r>
              <w:rPr>
                <w:rFonts w:eastAsiaTheme="minorEastAsia"/>
                <w:color w:val="000000" w:themeColor="text1"/>
                <w:szCs w:val="21"/>
              </w:rPr>
              <w:t>-</w:t>
            </w:r>
          </w:p>
        </w:tc>
        <w:tc>
          <w:tcPr>
            <w:tcW w:w="813" w:type="dxa"/>
            <w:vAlign w:val="center"/>
          </w:tcPr>
          <w:p w:rsidR="00F14AEA" w:rsidRDefault="00EC6028">
            <w:pPr>
              <w:jc w:val="right"/>
            </w:pPr>
            <w:r>
              <w:rPr>
                <w:rFonts w:eastAsiaTheme="minorEastAsia"/>
                <w:color w:val="000000" w:themeColor="text1"/>
                <w:szCs w:val="21"/>
              </w:rPr>
              <w:t>-</w:t>
            </w:r>
          </w:p>
        </w:tc>
        <w:tc>
          <w:tcPr>
            <w:tcW w:w="1261" w:type="dxa"/>
            <w:vAlign w:val="center"/>
          </w:tcPr>
          <w:p w:rsidR="00F14AEA" w:rsidRDefault="00EC6028">
            <w:pPr>
              <w:jc w:val="right"/>
            </w:pPr>
            <w:r>
              <w:rPr>
                <w:rFonts w:eastAsiaTheme="minorEastAsia"/>
                <w:color w:val="000000" w:themeColor="text1"/>
                <w:szCs w:val="21"/>
              </w:rPr>
              <w:t>-</w:t>
            </w:r>
          </w:p>
        </w:tc>
        <w:tc>
          <w:tcPr>
            <w:tcW w:w="866" w:type="dxa"/>
            <w:vAlign w:val="center"/>
          </w:tcPr>
          <w:p w:rsidR="00F14AEA" w:rsidRDefault="00EC6028">
            <w:pPr>
              <w:jc w:val="right"/>
            </w:pPr>
            <w:r>
              <w:rPr>
                <w:rFonts w:eastAsiaTheme="minorEastAsia"/>
                <w:color w:val="000000" w:themeColor="text1"/>
                <w:szCs w:val="21"/>
              </w:rPr>
              <w:t>167,460,299.03</w:t>
            </w:r>
          </w:p>
        </w:tc>
        <w:tc>
          <w:tcPr>
            <w:tcW w:w="1209" w:type="dxa"/>
            <w:vAlign w:val="center"/>
          </w:tcPr>
          <w:p w:rsidR="00F14AEA" w:rsidRDefault="00EC6028">
            <w:pPr>
              <w:jc w:val="right"/>
            </w:pPr>
            <w:r>
              <w:rPr>
                <w:rFonts w:eastAsiaTheme="minorEastAsia"/>
                <w:color w:val="000000" w:themeColor="text1"/>
                <w:szCs w:val="21"/>
              </w:rPr>
              <w:t>10.33%</w:t>
            </w:r>
          </w:p>
        </w:tc>
      </w:tr>
      <w:tr w:rsidR="00F14AEA">
        <w:trPr>
          <w:jc w:val="center"/>
        </w:trPr>
        <w:tc>
          <w:tcPr>
            <w:tcW w:w="1779" w:type="dxa"/>
            <w:vAlign w:val="center"/>
          </w:tcPr>
          <w:p w:rsidR="00F14AEA" w:rsidRDefault="00EC6028">
            <w:pPr>
              <w:jc w:val="left"/>
            </w:pPr>
            <w:r>
              <w:rPr>
                <w:rFonts w:eastAsiaTheme="minorEastAsia"/>
                <w:color w:val="000000" w:themeColor="text1"/>
                <w:szCs w:val="21"/>
              </w:rPr>
              <w:t>UBS Securities Asia Limited</w:t>
            </w:r>
          </w:p>
        </w:tc>
        <w:tc>
          <w:tcPr>
            <w:tcW w:w="851" w:type="dxa"/>
            <w:vAlign w:val="center"/>
          </w:tcPr>
          <w:p w:rsidR="00F14AEA" w:rsidRDefault="00EC6028">
            <w:pPr>
              <w:jc w:val="right"/>
            </w:pPr>
            <w:r>
              <w:rPr>
                <w:rFonts w:eastAsiaTheme="minorEastAsia"/>
                <w:color w:val="000000" w:themeColor="text1"/>
                <w:szCs w:val="21"/>
              </w:rPr>
              <w:t>-</w:t>
            </w:r>
          </w:p>
        </w:tc>
        <w:tc>
          <w:tcPr>
            <w:tcW w:w="1223" w:type="dxa"/>
            <w:vAlign w:val="center"/>
          </w:tcPr>
          <w:p w:rsidR="00F14AEA" w:rsidRDefault="00EC6028">
            <w:pPr>
              <w:jc w:val="right"/>
            </w:pPr>
            <w:r>
              <w:rPr>
                <w:rFonts w:eastAsiaTheme="minorEastAsia"/>
                <w:color w:val="000000" w:themeColor="text1"/>
                <w:szCs w:val="21"/>
              </w:rPr>
              <w:t>-</w:t>
            </w:r>
          </w:p>
        </w:tc>
        <w:tc>
          <w:tcPr>
            <w:tcW w:w="903" w:type="dxa"/>
            <w:vAlign w:val="center"/>
          </w:tcPr>
          <w:p w:rsidR="00F14AEA" w:rsidRDefault="00EC6028">
            <w:pPr>
              <w:jc w:val="right"/>
            </w:pPr>
            <w:r>
              <w:rPr>
                <w:rFonts w:eastAsiaTheme="minorEastAsia"/>
                <w:color w:val="000000" w:themeColor="text1"/>
                <w:szCs w:val="21"/>
              </w:rPr>
              <w:t>-</w:t>
            </w:r>
          </w:p>
        </w:tc>
        <w:tc>
          <w:tcPr>
            <w:tcW w:w="1171" w:type="dxa"/>
            <w:vAlign w:val="center"/>
          </w:tcPr>
          <w:p w:rsidR="00F14AEA" w:rsidRDefault="00EC6028">
            <w:pPr>
              <w:jc w:val="right"/>
            </w:pPr>
            <w:r>
              <w:rPr>
                <w:rFonts w:eastAsiaTheme="minorEastAsia"/>
                <w:color w:val="000000" w:themeColor="text1"/>
                <w:szCs w:val="21"/>
              </w:rPr>
              <w:t>-</w:t>
            </w:r>
          </w:p>
        </w:tc>
        <w:tc>
          <w:tcPr>
            <w:tcW w:w="813" w:type="dxa"/>
            <w:vAlign w:val="center"/>
          </w:tcPr>
          <w:p w:rsidR="00F14AEA" w:rsidRDefault="00EC6028">
            <w:pPr>
              <w:jc w:val="right"/>
            </w:pPr>
            <w:r>
              <w:rPr>
                <w:rFonts w:eastAsiaTheme="minorEastAsia"/>
                <w:color w:val="000000" w:themeColor="text1"/>
                <w:szCs w:val="21"/>
              </w:rPr>
              <w:t>-</w:t>
            </w:r>
          </w:p>
        </w:tc>
        <w:tc>
          <w:tcPr>
            <w:tcW w:w="1261" w:type="dxa"/>
            <w:vAlign w:val="center"/>
          </w:tcPr>
          <w:p w:rsidR="00F14AEA" w:rsidRDefault="00EC6028">
            <w:pPr>
              <w:jc w:val="right"/>
            </w:pPr>
            <w:r>
              <w:rPr>
                <w:rFonts w:eastAsiaTheme="minorEastAsia"/>
                <w:color w:val="000000" w:themeColor="text1"/>
                <w:szCs w:val="21"/>
              </w:rPr>
              <w:t>-</w:t>
            </w:r>
          </w:p>
        </w:tc>
        <w:tc>
          <w:tcPr>
            <w:tcW w:w="866" w:type="dxa"/>
            <w:vAlign w:val="center"/>
          </w:tcPr>
          <w:p w:rsidR="00F14AEA" w:rsidRDefault="00EC6028">
            <w:pPr>
              <w:jc w:val="right"/>
            </w:pPr>
            <w:r>
              <w:rPr>
                <w:rFonts w:eastAsiaTheme="minorEastAsia"/>
                <w:color w:val="000000" w:themeColor="text1"/>
                <w:szCs w:val="21"/>
              </w:rPr>
              <w:t>-</w:t>
            </w:r>
          </w:p>
        </w:tc>
        <w:tc>
          <w:tcPr>
            <w:tcW w:w="1209" w:type="dxa"/>
            <w:vAlign w:val="center"/>
          </w:tcPr>
          <w:p w:rsidR="00F14AEA" w:rsidRDefault="00EC6028">
            <w:pPr>
              <w:jc w:val="right"/>
            </w:pPr>
            <w:r>
              <w:rPr>
                <w:rFonts w:eastAsiaTheme="minorEastAsia"/>
                <w:color w:val="000000" w:themeColor="text1"/>
                <w:szCs w:val="21"/>
              </w:rPr>
              <w:t>-</w:t>
            </w:r>
          </w:p>
        </w:tc>
      </w:tr>
      <w:tr w:rsidR="00F14AEA">
        <w:trPr>
          <w:jc w:val="center"/>
        </w:trPr>
        <w:tc>
          <w:tcPr>
            <w:tcW w:w="1779" w:type="dxa"/>
            <w:vAlign w:val="center"/>
          </w:tcPr>
          <w:p w:rsidR="00F14AEA" w:rsidRDefault="00EC6028">
            <w:pPr>
              <w:jc w:val="left"/>
            </w:pPr>
            <w:r>
              <w:rPr>
                <w:rFonts w:eastAsiaTheme="minorEastAsia"/>
                <w:color w:val="000000" w:themeColor="text1"/>
                <w:szCs w:val="21"/>
              </w:rPr>
              <w:t>Deutsche Bank AG London</w:t>
            </w:r>
          </w:p>
        </w:tc>
        <w:tc>
          <w:tcPr>
            <w:tcW w:w="851" w:type="dxa"/>
            <w:vAlign w:val="center"/>
          </w:tcPr>
          <w:p w:rsidR="00F14AEA" w:rsidRDefault="00EC6028">
            <w:pPr>
              <w:jc w:val="right"/>
            </w:pPr>
            <w:r>
              <w:rPr>
                <w:rFonts w:eastAsiaTheme="minorEastAsia"/>
                <w:color w:val="000000" w:themeColor="text1"/>
                <w:szCs w:val="21"/>
              </w:rPr>
              <w:t>-</w:t>
            </w:r>
          </w:p>
        </w:tc>
        <w:tc>
          <w:tcPr>
            <w:tcW w:w="1223" w:type="dxa"/>
            <w:vAlign w:val="center"/>
          </w:tcPr>
          <w:p w:rsidR="00F14AEA" w:rsidRDefault="00EC6028">
            <w:pPr>
              <w:jc w:val="right"/>
            </w:pPr>
            <w:r>
              <w:rPr>
                <w:rFonts w:eastAsiaTheme="minorEastAsia"/>
                <w:color w:val="000000" w:themeColor="text1"/>
                <w:szCs w:val="21"/>
              </w:rPr>
              <w:t>-</w:t>
            </w:r>
          </w:p>
        </w:tc>
        <w:tc>
          <w:tcPr>
            <w:tcW w:w="903" w:type="dxa"/>
            <w:vAlign w:val="center"/>
          </w:tcPr>
          <w:p w:rsidR="00F14AEA" w:rsidRDefault="00EC6028">
            <w:pPr>
              <w:jc w:val="right"/>
            </w:pPr>
            <w:r>
              <w:rPr>
                <w:rFonts w:eastAsiaTheme="minorEastAsia"/>
                <w:color w:val="000000" w:themeColor="text1"/>
                <w:szCs w:val="21"/>
              </w:rPr>
              <w:t>-</w:t>
            </w:r>
          </w:p>
        </w:tc>
        <w:tc>
          <w:tcPr>
            <w:tcW w:w="1171" w:type="dxa"/>
            <w:vAlign w:val="center"/>
          </w:tcPr>
          <w:p w:rsidR="00F14AEA" w:rsidRDefault="00EC6028">
            <w:pPr>
              <w:jc w:val="right"/>
            </w:pPr>
            <w:r>
              <w:rPr>
                <w:rFonts w:eastAsiaTheme="minorEastAsia"/>
                <w:color w:val="000000" w:themeColor="text1"/>
                <w:szCs w:val="21"/>
              </w:rPr>
              <w:t>-</w:t>
            </w:r>
          </w:p>
        </w:tc>
        <w:tc>
          <w:tcPr>
            <w:tcW w:w="813" w:type="dxa"/>
            <w:vAlign w:val="center"/>
          </w:tcPr>
          <w:p w:rsidR="00F14AEA" w:rsidRDefault="00EC6028">
            <w:pPr>
              <w:jc w:val="right"/>
            </w:pPr>
            <w:r>
              <w:rPr>
                <w:rFonts w:eastAsiaTheme="minorEastAsia"/>
                <w:color w:val="000000" w:themeColor="text1"/>
                <w:szCs w:val="21"/>
              </w:rPr>
              <w:t>-</w:t>
            </w:r>
          </w:p>
        </w:tc>
        <w:tc>
          <w:tcPr>
            <w:tcW w:w="1261" w:type="dxa"/>
            <w:vAlign w:val="center"/>
          </w:tcPr>
          <w:p w:rsidR="00F14AEA" w:rsidRDefault="00EC6028">
            <w:pPr>
              <w:jc w:val="right"/>
            </w:pPr>
            <w:r>
              <w:rPr>
                <w:rFonts w:eastAsiaTheme="minorEastAsia"/>
                <w:color w:val="000000" w:themeColor="text1"/>
                <w:szCs w:val="21"/>
              </w:rPr>
              <w:t>-</w:t>
            </w:r>
          </w:p>
        </w:tc>
        <w:tc>
          <w:tcPr>
            <w:tcW w:w="866" w:type="dxa"/>
            <w:vAlign w:val="center"/>
          </w:tcPr>
          <w:p w:rsidR="00F14AEA" w:rsidRDefault="00EC6028">
            <w:pPr>
              <w:jc w:val="right"/>
            </w:pPr>
            <w:r>
              <w:rPr>
                <w:rFonts w:eastAsiaTheme="minorEastAsia"/>
                <w:color w:val="000000" w:themeColor="text1"/>
                <w:szCs w:val="21"/>
              </w:rPr>
              <w:t>-</w:t>
            </w:r>
          </w:p>
        </w:tc>
        <w:tc>
          <w:tcPr>
            <w:tcW w:w="1209" w:type="dxa"/>
            <w:vAlign w:val="center"/>
          </w:tcPr>
          <w:p w:rsidR="00F14AEA" w:rsidRDefault="00EC6028">
            <w:pPr>
              <w:jc w:val="right"/>
            </w:pPr>
            <w:r>
              <w:rPr>
                <w:rFonts w:eastAsiaTheme="minorEastAsia"/>
                <w:color w:val="000000" w:themeColor="text1"/>
                <w:szCs w:val="21"/>
              </w:rPr>
              <w:t>-</w:t>
            </w:r>
          </w:p>
        </w:tc>
      </w:tr>
      <w:tr w:rsidR="00F14AEA">
        <w:trPr>
          <w:jc w:val="center"/>
        </w:trPr>
        <w:tc>
          <w:tcPr>
            <w:tcW w:w="1779" w:type="dxa"/>
            <w:vAlign w:val="center"/>
          </w:tcPr>
          <w:p w:rsidR="00F14AEA" w:rsidRDefault="00EC6028">
            <w:pPr>
              <w:jc w:val="left"/>
            </w:pPr>
            <w:r>
              <w:rPr>
                <w:rFonts w:eastAsiaTheme="minorEastAsia"/>
                <w:color w:val="000000" w:themeColor="text1"/>
                <w:szCs w:val="21"/>
              </w:rPr>
              <w:t>CLSA Limited</w:t>
            </w:r>
          </w:p>
        </w:tc>
        <w:tc>
          <w:tcPr>
            <w:tcW w:w="851" w:type="dxa"/>
            <w:vAlign w:val="center"/>
          </w:tcPr>
          <w:p w:rsidR="00F14AEA" w:rsidRDefault="00EC6028">
            <w:pPr>
              <w:jc w:val="right"/>
            </w:pPr>
            <w:r>
              <w:rPr>
                <w:rFonts w:eastAsiaTheme="minorEastAsia"/>
                <w:color w:val="000000" w:themeColor="text1"/>
                <w:szCs w:val="21"/>
              </w:rPr>
              <w:t>-</w:t>
            </w:r>
          </w:p>
        </w:tc>
        <w:tc>
          <w:tcPr>
            <w:tcW w:w="1223" w:type="dxa"/>
            <w:vAlign w:val="center"/>
          </w:tcPr>
          <w:p w:rsidR="00F14AEA" w:rsidRDefault="00EC6028">
            <w:pPr>
              <w:jc w:val="right"/>
            </w:pPr>
            <w:r>
              <w:rPr>
                <w:rFonts w:eastAsiaTheme="minorEastAsia"/>
                <w:color w:val="000000" w:themeColor="text1"/>
                <w:szCs w:val="21"/>
              </w:rPr>
              <w:t>-</w:t>
            </w:r>
          </w:p>
        </w:tc>
        <w:tc>
          <w:tcPr>
            <w:tcW w:w="903" w:type="dxa"/>
            <w:vAlign w:val="center"/>
          </w:tcPr>
          <w:p w:rsidR="00F14AEA" w:rsidRDefault="00EC6028">
            <w:pPr>
              <w:jc w:val="right"/>
            </w:pPr>
            <w:r>
              <w:rPr>
                <w:rFonts w:eastAsiaTheme="minorEastAsia"/>
                <w:color w:val="000000" w:themeColor="text1"/>
                <w:szCs w:val="21"/>
              </w:rPr>
              <w:t>-</w:t>
            </w:r>
          </w:p>
        </w:tc>
        <w:tc>
          <w:tcPr>
            <w:tcW w:w="1171" w:type="dxa"/>
            <w:vAlign w:val="center"/>
          </w:tcPr>
          <w:p w:rsidR="00F14AEA" w:rsidRDefault="00EC6028">
            <w:pPr>
              <w:jc w:val="right"/>
            </w:pPr>
            <w:r>
              <w:rPr>
                <w:rFonts w:eastAsiaTheme="minorEastAsia"/>
                <w:color w:val="000000" w:themeColor="text1"/>
                <w:szCs w:val="21"/>
              </w:rPr>
              <w:t>-</w:t>
            </w:r>
          </w:p>
        </w:tc>
        <w:tc>
          <w:tcPr>
            <w:tcW w:w="813" w:type="dxa"/>
            <w:vAlign w:val="center"/>
          </w:tcPr>
          <w:p w:rsidR="00F14AEA" w:rsidRDefault="00EC6028">
            <w:pPr>
              <w:jc w:val="right"/>
            </w:pPr>
            <w:r>
              <w:rPr>
                <w:rFonts w:eastAsiaTheme="minorEastAsia"/>
                <w:color w:val="000000" w:themeColor="text1"/>
                <w:szCs w:val="21"/>
              </w:rPr>
              <w:t>-</w:t>
            </w:r>
          </w:p>
        </w:tc>
        <w:tc>
          <w:tcPr>
            <w:tcW w:w="1261" w:type="dxa"/>
            <w:vAlign w:val="center"/>
          </w:tcPr>
          <w:p w:rsidR="00F14AEA" w:rsidRDefault="00EC6028">
            <w:pPr>
              <w:jc w:val="right"/>
            </w:pPr>
            <w:r>
              <w:rPr>
                <w:rFonts w:eastAsiaTheme="minorEastAsia"/>
                <w:color w:val="000000" w:themeColor="text1"/>
                <w:szCs w:val="21"/>
              </w:rPr>
              <w:t>-</w:t>
            </w:r>
          </w:p>
        </w:tc>
        <w:tc>
          <w:tcPr>
            <w:tcW w:w="866" w:type="dxa"/>
            <w:vAlign w:val="center"/>
          </w:tcPr>
          <w:p w:rsidR="00F14AEA" w:rsidRDefault="00EC6028">
            <w:pPr>
              <w:jc w:val="right"/>
            </w:pPr>
            <w:r>
              <w:rPr>
                <w:rFonts w:eastAsiaTheme="minorEastAsia"/>
                <w:color w:val="000000" w:themeColor="text1"/>
                <w:szCs w:val="21"/>
              </w:rPr>
              <w:t>-</w:t>
            </w:r>
          </w:p>
        </w:tc>
        <w:tc>
          <w:tcPr>
            <w:tcW w:w="1209" w:type="dxa"/>
            <w:vAlign w:val="center"/>
          </w:tcPr>
          <w:p w:rsidR="00F14AEA" w:rsidRDefault="00EC6028">
            <w:pPr>
              <w:jc w:val="right"/>
            </w:pPr>
            <w:r>
              <w:rPr>
                <w:rFonts w:eastAsiaTheme="minorEastAsia"/>
                <w:color w:val="000000" w:themeColor="text1"/>
                <w:szCs w:val="21"/>
              </w:rPr>
              <w:t>-</w:t>
            </w:r>
          </w:p>
        </w:tc>
      </w:tr>
      <w:tr w:rsidR="00F14AEA">
        <w:trPr>
          <w:jc w:val="center"/>
        </w:trPr>
        <w:tc>
          <w:tcPr>
            <w:tcW w:w="1779" w:type="dxa"/>
            <w:vAlign w:val="center"/>
          </w:tcPr>
          <w:p w:rsidR="00F14AEA" w:rsidRDefault="00EC6028">
            <w:pPr>
              <w:jc w:val="left"/>
            </w:pPr>
            <w:r>
              <w:rPr>
                <w:rFonts w:eastAsiaTheme="minorEastAsia"/>
                <w:color w:val="000000" w:themeColor="text1"/>
                <w:szCs w:val="21"/>
              </w:rPr>
              <w:t>Nomura Asset Management HongKong Limited</w:t>
            </w:r>
          </w:p>
        </w:tc>
        <w:tc>
          <w:tcPr>
            <w:tcW w:w="851" w:type="dxa"/>
            <w:vAlign w:val="center"/>
          </w:tcPr>
          <w:p w:rsidR="00F14AEA" w:rsidRDefault="00EC6028">
            <w:pPr>
              <w:jc w:val="right"/>
            </w:pPr>
            <w:r>
              <w:rPr>
                <w:rFonts w:eastAsiaTheme="minorEastAsia"/>
                <w:color w:val="000000" w:themeColor="text1"/>
                <w:szCs w:val="21"/>
              </w:rPr>
              <w:t>-</w:t>
            </w:r>
          </w:p>
        </w:tc>
        <w:tc>
          <w:tcPr>
            <w:tcW w:w="1223" w:type="dxa"/>
            <w:vAlign w:val="center"/>
          </w:tcPr>
          <w:p w:rsidR="00F14AEA" w:rsidRDefault="00EC6028">
            <w:pPr>
              <w:jc w:val="right"/>
            </w:pPr>
            <w:r>
              <w:rPr>
                <w:rFonts w:eastAsiaTheme="minorEastAsia"/>
                <w:color w:val="000000" w:themeColor="text1"/>
                <w:szCs w:val="21"/>
              </w:rPr>
              <w:t>-</w:t>
            </w:r>
          </w:p>
        </w:tc>
        <w:tc>
          <w:tcPr>
            <w:tcW w:w="903" w:type="dxa"/>
            <w:vAlign w:val="center"/>
          </w:tcPr>
          <w:p w:rsidR="00F14AEA" w:rsidRDefault="00EC6028">
            <w:pPr>
              <w:jc w:val="right"/>
            </w:pPr>
            <w:r>
              <w:rPr>
                <w:rFonts w:eastAsiaTheme="minorEastAsia"/>
                <w:color w:val="000000" w:themeColor="text1"/>
                <w:szCs w:val="21"/>
              </w:rPr>
              <w:t>-</w:t>
            </w:r>
          </w:p>
        </w:tc>
        <w:tc>
          <w:tcPr>
            <w:tcW w:w="1171" w:type="dxa"/>
            <w:vAlign w:val="center"/>
          </w:tcPr>
          <w:p w:rsidR="00F14AEA" w:rsidRDefault="00EC6028">
            <w:pPr>
              <w:jc w:val="right"/>
            </w:pPr>
            <w:r>
              <w:rPr>
                <w:rFonts w:eastAsiaTheme="minorEastAsia"/>
                <w:color w:val="000000" w:themeColor="text1"/>
                <w:szCs w:val="21"/>
              </w:rPr>
              <w:t>-</w:t>
            </w:r>
          </w:p>
        </w:tc>
        <w:tc>
          <w:tcPr>
            <w:tcW w:w="813" w:type="dxa"/>
            <w:vAlign w:val="center"/>
          </w:tcPr>
          <w:p w:rsidR="00F14AEA" w:rsidRDefault="00EC6028">
            <w:pPr>
              <w:jc w:val="right"/>
            </w:pPr>
            <w:r>
              <w:rPr>
                <w:rFonts w:eastAsiaTheme="minorEastAsia"/>
                <w:color w:val="000000" w:themeColor="text1"/>
                <w:szCs w:val="21"/>
              </w:rPr>
              <w:t>-</w:t>
            </w:r>
          </w:p>
        </w:tc>
        <w:tc>
          <w:tcPr>
            <w:tcW w:w="1261" w:type="dxa"/>
            <w:vAlign w:val="center"/>
          </w:tcPr>
          <w:p w:rsidR="00F14AEA" w:rsidRDefault="00EC6028">
            <w:pPr>
              <w:jc w:val="right"/>
            </w:pPr>
            <w:r>
              <w:rPr>
                <w:rFonts w:eastAsiaTheme="minorEastAsia"/>
                <w:color w:val="000000" w:themeColor="text1"/>
                <w:szCs w:val="21"/>
              </w:rPr>
              <w:t>-</w:t>
            </w:r>
          </w:p>
        </w:tc>
        <w:tc>
          <w:tcPr>
            <w:tcW w:w="866" w:type="dxa"/>
            <w:vAlign w:val="center"/>
          </w:tcPr>
          <w:p w:rsidR="00F14AEA" w:rsidRDefault="00EC6028">
            <w:pPr>
              <w:jc w:val="right"/>
            </w:pPr>
            <w:r>
              <w:rPr>
                <w:rFonts w:eastAsiaTheme="minorEastAsia"/>
                <w:color w:val="000000" w:themeColor="text1"/>
                <w:szCs w:val="21"/>
              </w:rPr>
              <w:t>-</w:t>
            </w:r>
          </w:p>
        </w:tc>
        <w:tc>
          <w:tcPr>
            <w:tcW w:w="1209" w:type="dxa"/>
            <w:vAlign w:val="center"/>
          </w:tcPr>
          <w:p w:rsidR="00F14AEA" w:rsidRDefault="00EC6028">
            <w:pPr>
              <w:jc w:val="right"/>
            </w:pPr>
            <w:r>
              <w:rPr>
                <w:rFonts w:eastAsiaTheme="minorEastAsia"/>
                <w:color w:val="000000" w:themeColor="text1"/>
                <w:szCs w:val="21"/>
              </w:rPr>
              <w:t>-</w:t>
            </w:r>
          </w:p>
        </w:tc>
      </w:tr>
      <w:tr w:rsidR="00F14AEA">
        <w:trPr>
          <w:jc w:val="center"/>
        </w:trPr>
        <w:tc>
          <w:tcPr>
            <w:tcW w:w="1779" w:type="dxa"/>
            <w:vAlign w:val="center"/>
          </w:tcPr>
          <w:p w:rsidR="00F14AEA" w:rsidRDefault="00EC6028">
            <w:pPr>
              <w:jc w:val="left"/>
            </w:pPr>
            <w:r>
              <w:rPr>
                <w:rFonts w:eastAsiaTheme="minorEastAsia"/>
                <w:color w:val="000000" w:themeColor="text1"/>
                <w:szCs w:val="21"/>
              </w:rPr>
              <w:t>Knight Capital Europe Limited</w:t>
            </w:r>
          </w:p>
        </w:tc>
        <w:tc>
          <w:tcPr>
            <w:tcW w:w="851" w:type="dxa"/>
            <w:vAlign w:val="center"/>
          </w:tcPr>
          <w:p w:rsidR="00F14AEA" w:rsidRDefault="00EC6028">
            <w:pPr>
              <w:jc w:val="right"/>
            </w:pPr>
            <w:r>
              <w:rPr>
                <w:rFonts w:eastAsiaTheme="minorEastAsia"/>
                <w:color w:val="000000" w:themeColor="text1"/>
                <w:szCs w:val="21"/>
              </w:rPr>
              <w:t>-</w:t>
            </w:r>
          </w:p>
        </w:tc>
        <w:tc>
          <w:tcPr>
            <w:tcW w:w="1223" w:type="dxa"/>
            <w:vAlign w:val="center"/>
          </w:tcPr>
          <w:p w:rsidR="00F14AEA" w:rsidRDefault="00EC6028">
            <w:pPr>
              <w:jc w:val="right"/>
            </w:pPr>
            <w:r>
              <w:rPr>
                <w:rFonts w:eastAsiaTheme="minorEastAsia"/>
                <w:color w:val="000000" w:themeColor="text1"/>
                <w:szCs w:val="21"/>
              </w:rPr>
              <w:t>-</w:t>
            </w:r>
          </w:p>
        </w:tc>
        <w:tc>
          <w:tcPr>
            <w:tcW w:w="903" w:type="dxa"/>
            <w:vAlign w:val="center"/>
          </w:tcPr>
          <w:p w:rsidR="00F14AEA" w:rsidRDefault="00EC6028">
            <w:pPr>
              <w:jc w:val="right"/>
            </w:pPr>
            <w:r>
              <w:rPr>
                <w:rFonts w:eastAsiaTheme="minorEastAsia"/>
                <w:color w:val="000000" w:themeColor="text1"/>
                <w:szCs w:val="21"/>
              </w:rPr>
              <w:t>-</w:t>
            </w:r>
          </w:p>
        </w:tc>
        <w:tc>
          <w:tcPr>
            <w:tcW w:w="1171" w:type="dxa"/>
            <w:vAlign w:val="center"/>
          </w:tcPr>
          <w:p w:rsidR="00F14AEA" w:rsidRDefault="00EC6028">
            <w:pPr>
              <w:jc w:val="right"/>
            </w:pPr>
            <w:r>
              <w:rPr>
                <w:rFonts w:eastAsiaTheme="minorEastAsia"/>
                <w:color w:val="000000" w:themeColor="text1"/>
                <w:szCs w:val="21"/>
              </w:rPr>
              <w:t>-</w:t>
            </w:r>
          </w:p>
        </w:tc>
        <w:tc>
          <w:tcPr>
            <w:tcW w:w="813" w:type="dxa"/>
            <w:vAlign w:val="center"/>
          </w:tcPr>
          <w:p w:rsidR="00F14AEA" w:rsidRDefault="00EC6028">
            <w:pPr>
              <w:jc w:val="right"/>
            </w:pPr>
            <w:r>
              <w:rPr>
                <w:rFonts w:eastAsiaTheme="minorEastAsia"/>
                <w:color w:val="000000" w:themeColor="text1"/>
                <w:szCs w:val="21"/>
              </w:rPr>
              <w:t>-</w:t>
            </w:r>
          </w:p>
        </w:tc>
        <w:tc>
          <w:tcPr>
            <w:tcW w:w="1261" w:type="dxa"/>
            <w:vAlign w:val="center"/>
          </w:tcPr>
          <w:p w:rsidR="00F14AEA" w:rsidRDefault="00EC6028">
            <w:pPr>
              <w:jc w:val="right"/>
            </w:pPr>
            <w:r>
              <w:rPr>
                <w:rFonts w:eastAsiaTheme="minorEastAsia"/>
                <w:color w:val="000000" w:themeColor="text1"/>
                <w:szCs w:val="21"/>
              </w:rPr>
              <w:t>-</w:t>
            </w:r>
          </w:p>
        </w:tc>
        <w:tc>
          <w:tcPr>
            <w:tcW w:w="866" w:type="dxa"/>
            <w:vAlign w:val="center"/>
          </w:tcPr>
          <w:p w:rsidR="00F14AEA" w:rsidRDefault="00EC6028">
            <w:pPr>
              <w:jc w:val="right"/>
            </w:pPr>
            <w:r>
              <w:rPr>
                <w:rFonts w:eastAsiaTheme="minorEastAsia"/>
                <w:color w:val="000000" w:themeColor="text1"/>
                <w:szCs w:val="21"/>
              </w:rPr>
              <w:t>-</w:t>
            </w:r>
          </w:p>
        </w:tc>
        <w:tc>
          <w:tcPr>
            <w:tcW w:w="1209" w:type="dxa"/>
            <w:vAlign w:val="center"/>
          </w:tcPr>
          <w:p w:rsidR="00F14AEA" w:rsidRDefault="00EC6028">
            <w:pPr>
              <w:jc w:val="right"/>
            </w:pPr>
            <w:r>
              <w:rPr>
                <w:rFonts w:eastAsiaTheme="minorEastAsia"/>
                <w:color w:val="000000" w:themeColor="text1"/>
                <w:szCs w:val="21"/>
              </w:rPr>
              <w:t>-</w:t>
            </w:r>
          </w:p>
        </w:tc>
      </w:tr>
      <w:tr w:rsidR="00F14AEA">
        <w:trPr>
          <w:jc w:val="center"/>
        </w:trPr>
        <w:tc>
          <w:tcPr>
            <w:tcW w:w="1779" w:type="dxa"/>
            <w:vAlign w:val="center"/>
          </w:tcPr>
          <w:p w:rsidR="00F14AEA" w:rsidRDefault="00EC6028">
            <w:pPr>
              <w:jc w:val="left"/>
            </w:pPr>
            <w:r>
              <w:rPr>
                <w:rFonts w:eastAsiaTheme="minorEastAsia"/>
                <w:color w:val="000000" w:themeColor="text1"/>
                <w:szCs w:val="21"/>
              </w:rPr>
              <w:t>Shenyin Wanguo Securities HK Ltd</w:t>
            </w:r>
          </w:p>
        </w:tc>
        <w:tc>
          <w:tcPr>
            <w:tcW w:w="851" w:type="dxa"/>
            <w:vAlign w:val="center"/>
          </w:tcPr>
          <w:p w:rsidR="00F14AEA" w:rsidRDefault="00EC6028">
            <w:pPr>
              <w:jc w:val="right"/>
            </w:pPr>
            <w:r>
              <w:rPr>
                <w:rFonts w:eastAsiaTheme="minorEastAsia"/>
                <w:color w:val="000000" w:themeColor="text1"/>
                <w:szCs w:val="21"/>
              </w:rPr>
              <w:t>-</w:t>
            </w:r>
          </w:p>
        </w:tc>
        <w:tc>
          <w:tcPr>
            <w:tcW w:w="1223" w:type="dxa"/>
            <w:vAlign w:val="center"/>
          </w:tcPr>
          <w:p w:rsidR="00F14AEA" w:rsidRDefault="00EC6028">
            <w:pPr>
              <w:jc w:val="right"/>
            </w:pPr>
            <w:r>
              <w:rPr>
                <w:rFonts w:eastAsiaTheme="minorEastAsia"/>
                <w:color w:val="000000" w:themeColor="text1"/>
                <w:szCs w:val="21"/>
              </w:rPr>
              <w:t>-</w:t>
            </w:r>
          </w:p>
        </w:tc>
        <w:tc>
          <w:tcPr>
            <w:tcW w:w="903" w:type="dxa"/>
            <w:vAlign w:val="center"/>
          </w:tcPr>
          <w:p w:rsidR="00F14AEA" w:rsidRDefault="00EC6028">
            <w:pPr>
              <w:jc w:val="right"/>
            </w:pPr>
            <w:r>
              <w:rPr>
                <w:rFonts w:eastAsiaTheme="minorEastAsia"/>
                <w:color w:val="000000" w:themeColor="text1"/>
                <w:szCs w:val="21"/>
              </w:rPr>
              <w:t>-</w:t>
            </w:r>
          </w:p>
        </w:tc>
        <w:tc>
          <w:tcPr>
            <w:tcW w:w="1171" w:type="dxa"/>
            <w:vAlign w:val="center"/>
          </w:tcPr>
          <w:p w:rsidR="00F14AEA" w:rsidRDefault="00EC6028">
            <w:pPr>
              <w:jc w:val="right"/>
            </w:pPr>
            <w:r>
              <w:rPr>
                <w:rFonts w:eastAsiaTheme="minorEastAsia"/>
                <w:color w:val="000000" w:themeColor="text1"/>
                <w:szCs w:val="21"/>
              </w:rPr>
              <w:t>-</w:t>
            </w:r>
          </w:p>
        </w:tc>
        <w:tc>
          <w:tcPr>
            <w:tcW w:w="813" w:type="dxa"/>
            <w:vAlign w:val="center"/>
          </w:tcPr>
          <w:p w:rsidR="00F14AEA" w:rsidRDefault="00EC6028">
            <w:pPr>
              <w:jc w:val="right"/>
            </w:pPr>
            <w:r>
              <w:rPr>
                <w:rFonts w:eastAsiaTheme="minorEastAsia"/>
                <w:color w:val="000000" w:themeColor="text1"/>
                <w:szCs w:val="21"/>
              </w:rPr>
              <w:t>-</w:t>
            </w:r>
          </w:p>
        </w:tc>
        <w:tc>
          <w:tcPr>
            <w:tcW w:w="1261" w:type="dxa"/>
            <w:vAlign w:val="center"/>
          </w:tcPr>
          <w:p w:rsidR="00F14AEA" w:rsidRDefault="00EC6028">
            <w:pPr>
              <w:jc w:val="right"/>
            </w:pPr>
            <w:r>
              <w:rPr>
                <w:rFonts w:eastAsiaTheme="minorEastAsia"/>
                <w:color w:val="000000" w:themeColor="text1"/>
                <w:szCs w:val="21"/>
              </w:rPr>
              <w:t>-</w:t>
            </w:r>
          </w:p>
        </w:tc>
        <w:tc>
          <w:tcPr>
            <w:tcW w:w="866" w:type="dxa"/>
            <w:vAlign w:val="center"/>
          </w:tcPr>
          <w:p w:rsidR="00F14AEA" w:rsidRDefault="00EC6028">
            <w:pPr>
              <w:jc w:val="right"/>
            </w:pPr>
            <w:r>
              <w:rPr>
                <w:rFonts w:eastAsiaTheme="minorEastAsia"/>
                <w:color w:val="000000" w:themeColor="text1"/>
                <w:szCs w:val="21"/>
              </w:rPr>
              <w:t>-</w:t>
            </w:r>
          </w:p>
        </w:tc>
        <w:tc>
          <w:tcPr>
            <w:tcW w:w="1209" w:type="dxa"/>
            <w:vAlign w:val="center"/>
          </w:tcPr>
          <w:p w:rsidR="00F14AEA" w:rsidRDefault="00EC6028">
            <w:pPr>
              <w:jc w:val="right"/>
            </w:pPr>
            <w:r>
              <w:rPr>
                <w:rFonts w:eastAsiaTheme="minorEastAsia"/>
                <w:color w:val="000000" w:themeColor="text1"/>
                <w:szCs w:val="21"/>
              </w:rPr>
              <w:t>-</w:t>
            </w:r>
          </w:p>
        </w:tc>
      </w:tr>
    </w:tbl>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375" w:name="_Toc352256018"/>
      <w:bookmarkStart w:id="376" w:name="_Toc352256086"/>
      <w:bookmarkStart w:id="377" w:name="_Toc352331264"/>
      <w:bookmarkStart w:id="378" w:name="_Toc362424043"/>
      <w:bookmarkStart w:id="379" w:name="_Toc35533855"/>
      <w:r w:rsidRPr="00940842">
        <w:rPr>
          <w:rFonts w:asciiTheme="majorEastAsia" w:eastAsiaTheme="majorEastAsia" w:hAnsiTheme="majorEastAsia"/>
          <w:color w:val="000000" w:themeColor="text1"/>
          <w:kern w:val="0"/>
          <w:sz w:val="21"/>
          <w:szCs w:val="21"/>
        </w:rPr>
        <w:t>11.8</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其他重大事件</w:t>
      </w:r>
      <w:bookmarkEnd w:id="375"/>
      <w:bookmarkEnd w:id="376"/>
      <w:bookmarkEnd w:id="377"/>
      <w:bookmarkEnd w:id="378"/>
      <w:bookmarkEnd w:id="37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615102" w:rsidRPr="00896265" w:rsidTr="006D141C">
        <w:tc>
          <w:tcPr>
            <w:tcW w:w="7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序号</w:t>
            </w:r>
          </w:p>
        </w:tc>
        <w:tc>
          <w:tcPr>
            <w:tcW w:w="43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公告事项</w:t>
            </w:r>
          </w:p>
        </w:tc>
        <w:tc>
          <w:tcPr>
            <w:tcW w:w="252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法定披露方式</w:t>
            </w:r>
          </w:p>
        </w:tc>
        <w:tc>
          <w:tcPr>
            <w:tcW w:w="1440" w:type="dxa"/>
            <w:vAlign w:val="center"/>
          </w:tcPr>
          <w:p w:rsidR="007B62FA" w:rsidRPr="00896265" w:rsidRDefault="007B62FA" w:rsidP="00417F87">
            <w:pPr>
              <w:spacing w:line="360" w:lineRule="auto"/>
              <w:jc w:val="center"/>
              <w:rPr>
                <w:rFonts w:eastAsiaTheme="minorEastAsia"/>
                <w:color w:val="000000" w:themeColor="text1"/>
                <w:szCs w:val="21"/>
              </w:rPr>
            </w:pPr>
            <w:r w:rsidRPr="00896265">
              <w:rPr>
                <w:rFonts w:eastAsiaTheme="minorEastAsia"/>
                <w:color w:val="000000" w:themeColor="text1"/>
                <w:szCs w:val="21"/>
              </w:rPr>
              <w:t>法定披露日期</w:t>
            </w:r>
          </w:p>
        </w:tc>
      </w:tr>
      <w:tr w:rsidR="00F14AEA">
        <w:tc>
          <w:tcPr>
            <w:tcW w:w="720" w:type="dxa"/>
            <w:vAlign w:val="center"/>
          </w:tcPr>
          <w:p w:rsidR="00F14AEA" w:rsidRDefault="00EC6028">
            <w:pPr>
              <w:jc w:val="center"/>
            </w:pPr>
            <w:r>
              <w:rPr>
                <w:rFonts w:eastAsiaTheme="minorEastAsia"/>
                <w:color w:val="000000" w:themeColor="text1"/>
                <w:szCs w:val="21"/>
              </w:rPr>
              <w:t>1</w:t>
            </w:r>
          </w:p>
        </w:tc>
        <w:tc>
          <w:tcPr>
            <w:tcW w:w="4320" w:type="dxa"/>
            <w:vAlign w:val="center"/>
          </w:tcPr>
          <w:p w:rsidR="00F14AEA" w:rsidRDefault="00EC6028">
            <w:pPr>
              <w:jc w:val="left"/>
            </w:pPr>
            <w:r>
              <w:rPr>
                <w:rFonts w:eastAsiaTheme="minorEastAsia"/>
                <w:color w:val="000000" w:themeColor="text1"/>
                <w:szCs w:val="21"/>
              </w:rPr>
              <w:t>易方达基金管理有限公司关于旗下部分开放式基金增加百度百盈为销售机构、参加百度百盈费率优惠活动的公告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中国证券报、上海证券报、证券时报及基金管理人网站</w:t>
            </w:r>
          </w:p>
        </w:tc>
        <w:tc>
          <w:tcPr>
            <w:tcW w:w="1440" w:type="dxa"/>
            <w:vAlign w:val="center"/>
          </w:tcPr>
          <w:p w:rsidR="00F14AEA" w:rsidRDefault="00EC6028">
            <w:pPr>
              <w:jc w:val="center"/>
            </w:pPr>
            <w:r>
              <w:rPr>
                <w:rFonts w:eastAsiaTheme="minorEastAsia"/>
                <w:color w:val="000000" w:themeColor="text1"/>
                <w:szCs w:val="21"/>
              </w:rPr>
              <w:t>2019-01-11</w:t>
            </w:r>
          </w:p>
        </w:tc>
      </w:tr>
      <w:tr w:rsidR="00F14AEA">
        <w:tc>
          <w:tcPr>
            <w:tcW w:w="720" w:type="dxa"/>
            <w:vAlign w:val="center"/>
          </w:tcPr>
          <w:p w:rsidR="00F14AEA" w:rsidRDefault="00EC6028">
            <w:pPr>
              <w:jc w:val="center"/>
            </w:pPr>
            <w:r>
              <w:rPr>
                <w:rFonts w:eastAsiaTheme="minorEastAsia"/>
                <w:color w:val="000000" w:themeColor="text1"/>
                <w:szCs w:val="21"/>
              </w:rPr>
              <w:t>2</w:t>
            </w:r>
          </w:p>
        </w:tc>
        <w:tc>
          <w:tcPr>
            <w:tcW w:w="4320" w:type="dxa"/>
            <w:vAlign w:val="center"/>
          </w:tcPr>
          <w:p w:rsidR="00F14AEA" w:rsidRDefault="00EC6028">
            <w:pPr>
              <w:jc w:val="left"/>
            </w:pPr>
            <w:r>
              <w:rPr>
                <w:rFonts w:eastAsiaTheme="minorEastAsia"/>
                <w:color w:val="000000" w:themeColor="text1"/>
                <w:szCs w:val="21"/>
              </w:rPr>
              <w:t>易方达黄金主题证券投资基金（</w:t>
            </w:r>
            <w:r>
              <w:rPr>
                <w:rFonts w:eastAsiaTheme="minorEastAsia"/>
                <w:color w:val="000000" w:themeColor="text1"/>
                <w:szCs w:val="21"/>
              </w:rPr>
              <w:t>LOF</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日暂停申购、赎回、定期定额投资业务的公告</w:t>
            </w:r>
          </w:p>
        </w:tc>
        <w:tc>
          <w:tcPr>
            <w:tcW w:w="2520" w:type="dxa"/>
            <w:vAlign w:val="center"/>
          </w:tcPr>
          <w:p w:rsidR="00F14AEA" w:rsidRDefault="00EC6028">
            <w:pPr>
              <w:jc w:val="left"/>
            </w:pPr>
            <w:r>
              <w:rPr>
                <w:rFonts w:eastAsiaTheme="minorEastAsia"/>
                <w:color w:val="000000" w:themeColor="text1"/>
                <w:szCs w:val="21"/>
              </w:rPr>
              <w:t>证券时报及基金管理人网站</w:t>
            </w:r>
          </w:p>
        </w:tc>
        <w:tc>
          <w:tcPr>
            <w:tcW w:w="1440" w:type="dxa"/>
            <w:vAlign w:val="center"/>
          </w:tcPr>
          <w:p w:rsidR="00F14AEA" w:rsidRDefault="00EC6028">
            <w:pPr>
              <w:jc w:val="center"/>
            </w:pPr>
            <w:r>
              <w:rPr>
                <w:rFonts w:eastAsiaTheme="minorEastAsia"/>
                <w:color w:val="000000" w:themeColor="text1"/>
                <w:szCs w:val="21"/>
              </w:rPr>
              <w:t>2019-01-16</w:t>
            </w:r>
          </w:p>
        </w:tc>
      </w:tr>
      <w:tr w:rsidR="00F14AEA">
        <w:tc>
          <w:tcPr>
            <w:tcW w:w="720" w:type="dxa"/>
            <w:vAlign w:val="center"/>
          </w:tcPr>
          <w:p w:rsidR="00F14AEA" w:rsidRDefault="00EC6028">
            <w:pPr>
              <w:jc w:val="center"/>
            </w:pPr>
            <w:r>
              <w:rPr>
                <w:rFonts w:eastAsiaTheme="minorEastAsia"/>
                <w:color w:val="000000" w:themeColor="text1"/>
                <w:szCs w:val="21"/>
              </w:rPr>
              <w:t>3</w:t>
            </w:r>
          </w:p>
        </w:tc>
        <w:tc>
          <w:tcPr>
            <w:tcW w:w="4320" w:type="dxa"/>
            <w:vAlign w:val="center"/>
          </w:tcPr>
          <w:p w:rsidR="00F14AEA" w:rsidRDefault="00EC6028">
            <w:pPr>
              <w:jc w:val="left"/>
            </w:pPr>
            <w:r>
              <w:rPr>
                <w:rFonts w:eastAsiaTheme="minorEastAsia"/>
                <w:color w:val="000000" w:themeColor="text1"/>
                <w:szCs w:val="21"/>
              </w:rPr>
              <w:t>易方达黄金主题证券投资基金（</w:t>
            </w:r>
            <w:r>
              <w:rPr>
                <w:rFonts w:eastAsiaTheme="minorEastAsia"/>
                <w:color w:val="000000" w:themeColor="text1"/>
                <w:szCs w:val="21"/>
              </w:rPr>
              <w:t>LOF</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日暂停申购、赎回、定期定额投资业务的公告</w:t>
            </w:r>
          </w:p>
        </w:tc>
        <w:tc>
          <w:tcPr>
            <w:tcW w:w="2520" w:type="dxa"/>
            <w:vAlign w:val="center"/>
          </w:tcPr>
          <w:p w:rsidR="00F14AEA" w:rsidRDefault="00EC6028">
            <w:pPr>
              <w:jc w:val="left"/>
            </w:pPr>
            <w:r>
              <w:rPr>
                <w:rFonts w:eastAsiaTheme="minorEastAsia"/>
                <w:color w:val="000000" w:themeColor="text1"/>
                <w:szCs w:val="21"/>
              </w:rPr>
              <w:t>证券时报及基金管理人网站</w:t>
            </w:r>
          </w:p>
        </w:tc>
        <w:tc>
          <w:tcPr>
            <w:tcW w:w="1440" w:type="dxa"/>
            <w:vAlign w:val="center"/>
          </w:tcPr>
          <w:p w:rsidR="00F14AEA" w:rsidRDefault="00EC6028">
            <w:pPr>
              <w:jc w:val="center"/>
            </w:pPr>
            <w:r>
              <w:rPr>
                <w:rFonts w:eastAsiaTheme="minorEastAsia"/>
                <w:color w:val="000000" w:themeColor="text1"/>
                <w:szCs w:val="21"/>
              </w:rPr>
              <w:t>2019-02-13</w:t>
            </w:r>
          </w:p>
        </w:tc>
      </w:tr>
      <w:tr w:rsidR="00F14AEA">
        <w:tc>
          <w:tcPr>
            <w:tcW w:w="720" w:type="dxa"/>
            <w:vAlign w:val="center"/>
          </w:tcPr>
          <w:p w:rsidR="00F14AEA" w:rsidRDefault="00EC6028">
            <w:pPr>
              <w:jc w:val="center"/>
            </w:pPr>
            <w:r>
              <w:rPr>
                <w:rFonts w:eastAsiaTheme="minorEastAsia"/>
                <w:color w:val="000000" w:themeColor="text1"/>
                <w:szCs w:val="21"/>
              </w:rPr>
              <w:t>4</w:t>
            </w:r>
          </w:p>
        </w:tc>
        <w:tc>
          <w:tcPr>
            <w:tcW w:w="4320" w:type="dxa"/>
            <w:vAlign w:val="center"/>
          </w:tcPr>
          <w:p w:rsidR="00F14AEA" w:rsidRDefault="00EC6028">
            <w:pPr>
              <w:jc w:val="left"/>
            </w:pPr>
            <w:r>
              <w:rPr>
                <w:rFonts w:eastAsiaTheme="minorEastAsia"/>
                <w:color w:val="000000" w:themeColor="text1"/>
                <w:szCs w:val="21"/>
              </w:rPr>
              <w:t>易方达基金管理有限公司关于旗下部分开放式基金增加华夏财富为销售机构、参加华夏财富费率优惠活动的公告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F14AEA" w:rsidRDefault="00EC6028">
            <w:pPr>
              <w:jc w:val="center"/>
            </w:pPr>
            <w:r>
              <w:rPr>
                <w:rFonts w:eastAsiaTheme="minorEastAsia"/>
                <w:color w:val="000000" w:themeColor="text1"/>
                <w:szCs w:val="21"/>
              </w:rPr>
              <w:t>2019-02-22</w:t>
            </w:r>
          </w:p>
        </w:tc>
      </w:tr>
      <w:tr w:rsidR="00F14AEA">
        <w:tc>
          <w:tcPr>
            <w:tcW w:w="720" w:type="dxa"/>
            <w:vAlign w:val="center"/>
          </w:tcPr>
          <w:p w:rsidR="00F14AEA" w:rsidRDefault="00EC6028">
            <w:pPr>
              <w:jc w:val="center"/>
            </w:pPr>
            <w:r>
              <w:rPr>
                <w:rFonts w:eastAsiaTheme="minorEastAsia"/>
                <w:color w:val="000000" w:themeColor="text1"/>
                <w:szCs w:val="21"/>
              </w:rPr>
              <w:t>5</w:t>
            </w:r>
          </w:p>
        </w:tc>
        <w:tc>
          <w:tcPr>
            <w:tcW w:w="4320" w:type="dxa"/>
            <w:vAlign w:val="center"/>
          </w:tcPr>
          <w:p w:rsidR="00F14AEA" w:rsidRDefault="00EC6028">
            <w:pPr>
              <w:jc w:val="left"/>
            </w:pPr>
            <w:r>
              <w:rPr>
                <w:rFonts w:eastAsiaTheme="minorEastAsia"/>
                <w:color w:val="000000" w:themeColor="text1"/>
                <w:szCs w:val="21"/>
              </w:rPr>
              <w:t>易方达基金管理有限公司关于旗下部分开放式基金参加国信证券费率优惠活动的公告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F14AEA" w:rsidRDefault="00EC6028">
            <w:pPr>
              <w:jc w:val="center"/>
            </w:pPr>
            <w:r>
              <w:rPr>
                <w:rFonts w:eastAsiaTheme="minorEastAsia"/>
                <w:color w:val="000000" w:themeColor="text1"/>
                <w:szCs w:val="21"/>
              </w:rPr>
              <w:t>2019-03-05</w:t>
            </w:r>
          </w:p>
        </w:tc>
      </w:tr>
      <w:tr w:rsidR="00F14AEA">
        <w:tc>
          <w:tcPr>
            <w:tcW w:w="720" w:type="dxa"/>
            <w:vAlign w:val="center"/>
          </w:tcPr>
          <w:p w:rsidR="00F14AEA" w:rsidRDefault="00EC6028">
            <w:pPr>
              <w:jc w:val="center"/>
            </w:pPr>
            <w:r>
              <w:rPr>
                <w:rFonts w:eastAsiaTheme="minorEastAsia"/>
                <w:color w:val="000000" w:themeColor="text1"/>
                <w:szCs w:val="21"/>
              </w:rPr>
              <w:t>6</w:t>
            </w:r>
          </w:p>
        </w:tc>
        <w:tc>
          <w:tcPr>
            <w:tcW w:w="4320" w:type="dxa"/>
            <w:vAlign w:val="center"/>
          </w:tcPr>
          <w:p w:rsidR="00F14AEA" w:rsidRDefault="00EC6028">
            <w:pPr>
              <w:jc w:val="left"/>
            </w:pPr>
            <w:r>
              <w:rPr>
                <w:rFonts w:eastAsiaTheme="minorEastAsia"/>
                <w:color w:val="000000" w:themeColor="text1"/>
                <w:szCs w:val="21"/>
              </w:rPr>
              <w:t>易方达基金管理有限公司关于成都分公司营业场所变更的公告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F14AEA" w:rsidRDefault="00EC6028">
            <w:pPr>
              <w:jc w:val="center"/>
            </w:pPr>
            <w:r>
              <w:rPr>
                <w:rFonts w:eastAsiaTheme="minorEastAsia"/>
                <w:color w:val="000000" w:themeColor="text1"/>
                <w:szCs w:val="21"/>
              </w:rPr>
              <w:t>2019-03-13</w:t>
            </w:r>
          </w:p>
        </w:tc>
      </w:tr>
      <w:tr w:rsidR="00F14AEA">
        <w:tc>
          <w:tcPr>
            <w:tcW w:w="720" w:type="dxa"/>
            <w:vAlign w:val="center"/>
          </w:tcPr>
          <w:p w:rsidR="00F14AEA" w:rsidRDefault="00EC6028">
            <w:pPr>
              <w:jc w:val="center"/>
            </w:pPr>
            <w:r>
              <w:rPr>
                <w:rFonts w:eastAsiaTheme="minorEastAsia"/>
                <w:color w:val="000000" w:themeColor="text1"/>
                <w:szCs w:val="21"/>
              </w:rPr>
              <w:t>7</w:t>
            </w:r>
          </w:p>
        </w:tc>
        <w:tc>
          <w:tcPr>
            <w:tcW w:w="4320" w:type="dxa"/>
            <w:vAlign w:val="center"/>
          </w:tcPr>
          <w:p w:rsidR="00F14AEA" w:rsidRDefault="00EC6028">
            <w:pPr>
              <w:jc w:val="left"/>
            </w:pPr>
            <w:r>
              <w:rPr>
                <w:rFonts w:eastAsiaTheme="minorEastAsia"/>
                <w:color w:val="000000" w:themeColor="text1"/>
                <w:szCs w:val="21"/>
              </w:rPr>
              <w:t>易方达基金管理有限公司关于旗下部分开放式基金参加利得基金费率优惠活动的公告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F14AEA" w:rsidRDefault="00EC6028">
            <w:pPr>
              <w:jc w:val="center"/>
            </w:pPr>
            <w:r>
              <w:rPr>
                <w:rFonts w:eastAsiaTheme="minorEastAsia"/>
                <w:color w:val="000000" w:themeColor="text1"/>
                <w:szCs w:val="21"/>
              </w:rPr>
              <w:t>2019-03-13</w:t>
            </w:r>
          </w:p>
        </w:tc>
      </w:tr>
      <w:tr w:rsidR="00F14AEA">
        <w:tc>
          <w:tcPr>
            <w:tcW w:w="720" w:type="dxa"/>
            <w:vAlign w:val="center"/>
          </w:tcPr>
          <w:p w:rsidR="00F14AEA" w:rsidRDefault="00EC6028">
            <w:pPr>
              <w:jc w:val="center"/>
            </w:pPr>
            <w:r>
              <w:rPr>
                <w:rFonts w:eastAsiaTheme="minorEastAsia"/>
                <w:color w:val="000000" w:themeColor="text1"/>
                <w:szCs w:val="21"/>
              </w:rPr>
              <w:t>8</w:t>
            </w:r>
          </w:p>
        </w:tc>
        <w:tc>
          <w:tcPr>
            <w:tcW w:w="4320" w:type="dxa"/>
            <w:vAlign w:val="center"/>
          </w:tcPr>
          <w:p w:rsidR="00F14AEA" w:rsidRDefault="00EC6028">
            <w:pPr>
              <w:jc w:val="left"/>
            </w:pPr>
            <w:r>
              <w:rPr>
                <w:rFonts w:eastAsiaTheme="minorEastAsia"/>
                <w:color w:val="000000" w:themeColor="text1"/>
                <w:szCs w:val="21"/>
              </w:rPr>
              <w:t>易方达基金管理有限公司关于提醒投资者及时提供或更新身份信息资料的公告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F14AEA" w:rsidRDefault="00EC6028">
            <w:pPr>
              <w:jc w:val="center"/>
            </w:pPr>
            <w:r>
              <w:rPr>
                <w:rFonts w:eastAsiaTheme="minorEastAsia"/>
                <w:color w:val="000000" w:themeColor="text1"/>
                <w:szCs w:val="21"/>
              </w:rPr>
              <w:t>2019-03-19</w:t>
            </w:r>
          </w:p>
        </w:tc>
      </w:tr>
      <w:tr w:rsidR="00F14AEA">
        <w:tc>
          <w:tcPr>
            <w:tcW w:w="720" w:type="dxa"/>
            <w:vAlign w:val="center"/>
          </w:tcPr>
          <w:p w:rsidR="00F14AEA" w:rsidRDefault="00EC6028">
            <w:pPr>
              <w:jc w:val="center"/>
            </w:pPr>
            <w:r>
              <w:rPr>
                <w:rFonts w:eastAsiaTheme="minorEastAsia"/>
                <w:color w:val="000000" w:themeColor="text1"/>
                <w:szCs w:val="21"/>
              </w:rPr>
              <w:t>9</w:t>
            </w:r>
          </w:p>
        </w:tc>
        <w:tc>
          <w:tcPr>
            <w:tcW w:w="4320" w:type="dxa"/>
            <w:vAlign w:val="center"/>
          </w:tcPr>
          <w:p w:rsidR="00F14AEA" w:rsidRDefault="00EC6028">
            <w:pPr>
              <w:jc w:val="left"/>
            </w:pPr>
            <w:r>
              <w:rPr>
                <w:rFonts w:eastAsiaTheme="minorEastAsia"/>
                <w:color w:val="000000" w:themeColor="text1"/>
                <w:szCs w:val="21"/>
              </w:rPr>
              <w:t>易方达基金管理有限公司关于旗下部分开放式基金增加肯特瑞基金为销售机构的公告</w:t>
            </w:r>
          </w:p>
        </w:tc>
        <w:tc>
          <w:tcPr>
            <w:tcW w:w="2520" w:type="dxa"/>
            <w:vAlign w:val="center"/>
          </w:tcPr>
          <w:p w:rsidR="00F14AEA" w:rsidRDefault="00EC6028">
            <w:pPr>
              <w:jc w:val="left"/>
            </w:pPr>
            <w:r>
              <w:rPr>
                <w:rFonts w:eastAsiaTheme="minorEastAsia"/>
                <w:color w:val="000000" w:themeColor="text1"/>
                <w:szCs w:val="21"/>
              </w:rPr>
              <w:t>中国证券报、证券时报及基金管理人网站</w:t>
            </w:r>
          </w:p>
        </w:tc>
        <w:tc>
          <w:tcPr>
            <w:tcW w:w="1440" w:type="dxa"/>
            <w:vAlign w:val="center"/>
          </w:tcPr>
          <w:p w:rsidR="00F14AEA" w:rsidRDefault="00EC6028">
            <w:pPr>
              <w:jc w:val="center"/>
            </w:pPr>
            <w:r>
              <w:rPr>
                <w:rFonts w:eastAsiaTheme="minorEastAsia"/>
                <w:color w:val="000000" w:themeColor="text1"/>
                <w:szCs w:val="21"/>
              </w:rPr>
              <w:t>2019-03-20</w:t>
            </w:r>
          </w:p>
        </w:tc>
      </w:tr>
      <w:tr w:rsidR="00F14AEA">
        <w:tc>
          <w:tcPr>
            <w:tcW w:w="720" w:type="dxa"/>
            <w:vAlign w:val="center"/>
          </w:tcPr>
          <w:p w:rsidR="00F14AEA" w:rsidRDefault="00EC6028">
            <w:pPr>
              <w:jc w:val="center"/>
            </w:pPr>
            <w:r>
              <w:rPr>
                <w:rFonts w:eastAsiaTheme="minorEastAsia"/>
                <w:color w:val="000000" w:themeColor="text1"/>
                <w:szCs w:val="21"/>
              </w:rPr>
              <w:t>10</w:t>
            </w:r>
          </w:p>
        </w:tc>
        <w:tc>
          <w:tcPr>
            <w:tcW w:w="4320" w:type="dxa"/>
            <w:vAlign w:val="center"/>
          </w:tcPr>
          <w:p w:rsidR="00F14AEA" w:rsidRDefault="00EC6028">
            <w:pPr>
              <w:jc w:val="left"/>
            </w:pPr>
            <w:r>
              <w:rPr>
                <w:rFonts w:eastAsiaTheme="minorEastAsia"/>
                <w:color w:val="000000" w:themeColor="text1"/>
                <w:szCs w:val="21"/>
              </w:rPr>
              <w:t>易方达基金管理有限公司关于旗下部分开放式基金参加交通银行手机银行申购及定期定额投资费率优惠活动的公告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F14AEA" w:rsidRDefault="00EC6028">
            <w:pPr>
              <w:jc w:val="center"/>
            </w:pPr>
            <w:r>
              <w:rPr>
                <w:rFonts w:eastAsiaTheme="minorEastAsia"/>
                <w:color w:val="000000" w:themeColor="text1"/>
                <w:szCs w:val="21"/>
              </w:rPr>
              <w:t>2019-03-30</w:t>
            </w:r>
          </w:p>
        </w:tc>
      </w:tr>
      <w:tr w:rsidR="00F14AEA">
        <w:tc>
          <w:tcPr>
            <w:tcW w:w="720" w:type="dxa"/>
            <w:vAlign w:val="center"/>
          </w:tcPr>
          <w:p w:rsidR="00F14AEA" w:rsidRDefault="00EC6028">
            <w:pPr>
              <w:jc w:val="center"/>
            </w:pPr>
            <w:r>
              <w:rPr>
                <w:rFonts w:eastAsiaTheme="minorEastAsia"/>
                <w:color w:val="000000" w:themeColor="text1"/>
                <w:szCs w:val="21"/>
              </w:rPr>
              <w:t>11</w:t>
            </w:r>
          </w:p>
        </w:tc>
        <w:tc>
          <w:tcPr>
            <w:tcW w:w="4320" w:type="dxa"/>
            <w:vAlign w:val="center"/>
          </w:tcPr>
          <w:p w:rsidR="00F14AEA" w:rsidRDefault="00EC6028">
            <w:pPr>
              <w:jc w:val="left"/>
            </w:pPr>
            <w:r>
              <w:rPr>
                <w:rFonts w:eastAsiaTheme="minorEastAsia"/>
                <w:color w:val="000000" w:themeColor="text1"/>
                <w:szCs w:val="21"/>
              </w:rPr>
              <w:t>易方达基金管理有限公司关于旗下部分开放式基金参加泉州银行费率优惠活动的公告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F14AEA" w:rsidRDefault="00EC6028">
            <w:pPr>
              <w:jc w:val="center"/>
            </w:pPr>
            <w:r>
              <w:rPr>
                <w:rFonts w:eastAsiaTheme="minorEastAsia"/>
                <w:color w:val="000000" w:themeColor="text1"/>
                <w:szCs w:val="21"/>
              </w:rPr>
              <w:t>2019-04-01</w:t>
            </w:r>
          </w:p>
        </w:tc>
      </w:tr>
      <w:tr w:rsidR="00F14AEA">
        <w:tc>
          <w:tcPr>
            <w:tcW w:w="720" w:type="dxa"/>
            <w:vAlign w:val="center"/>
          </w:tcPr>
          <w:p w:rsidR="00F14AEA" w:rsidRDefault="00EC6028">
            <w:pPr>
              <w:jc w:val="center"/>
            </w:pPr>
            <w:r>
              <w:rPr>
                <w:rFonts w:eastAsiaTheme="minorEastAsia"/>
                <w:color w:val="000000" w:themeColor="text1"/>
                <w:szCs w:val="21"/>
              </w:rPr>
              <w:t>12</w:t>
            </w:r>
          </w:p>
        </w:tc>
        <w:tc>
          <w:tcPr>
            <w:tcW w:w="4320" w:type="dxa"/>
            <w:vAlign w:val="center"/>
          </w:tcPr>
          <w:p w:rsidR="00F14AEA" w:rsidRDefault="00EC6028">
            <w:pPr>
              <w:jc w:val="left"/>
            </w:pPr>
            <w:r>
              <w:rPr>
                <w:rFonts w:eastAsiaTheme="minorEastAsia"/>
                <w:color w:val="000000" w:themeColor="text1"/>
                <w:szCs w:val="21"/>
              </w:rPr>
              <w:t>易方达基金管理有限公司关于旗下部分开放式基金参加中国工商银行申购费率优惠活动的公告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F14AEA" w:rsidRDefault="00EC6028">
            <w:pPr>
              <w:jc w:val="center"/>
            </w:pPr>
            <w:r>
              <w:rPr>
                <w:rFonts w:eastAsiaTheme="minorEastAsia"/>
                <w:color w:val="000000" w:themeColor="text1"/>
                <w:szCs w:val="21"/>
              </w:rPr>
              <w:t>2019-04-01</w:t>
            </w:r>
          </w:p>
        </w:tc>
      </w:tr>
      <w:tr w:rsidR="00F14AEA">
        <w:tc>
          <w:tcPr>
            <w:tcW w:w="720" w:type="dxa"/>
            <w:vAlign w:val="center"/>
          </w:tcPr>
          <w:p w:rsidR="00F14AEA" w:rsidRDefault="00EC6028">
            <w:pPr>
              <w:jc w:val="center"/>
            </w:pPr>
            <w:r>
              <w:rPr>
                <w:rFonts w:eastAsiaTheme="minorEastAsia"/>
                <w:color w:val="000000" w:themeColor="text1"/>
                <w:szCs w:val="21"/>
              </w:rPr>
              <w:t>13</w:t>
            </w:r>
          </w:p>
        </w:tc>
        <w:tc>
          <w:tcPr>
            <w:tcW w:w="4320" w:type="dxa"/>
            <w:vAlign w:val="center"/>
          </w:tcPr>
          <w:p w:rsidR="00F14AEA" w:rsidRDefault="00EC6028">
            <w:pPr>
              <w:jc w:val="left"/>
            </w:pPr>
            <w:r>
              <w:rPr>
                <w:rFonts w:eastAsiaTheme="minorEastAsia"/>
                <w:color w:val="000000" w:themeColor="text1"/>
                <w:szCs w:val="21"/>
              </w:rPr>
              <w:t>易方达基金管理有限公司关于旗下部分开放式基金参加国盛证券费率优惠活动的公告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F14AEA" w:rsidRDefault="00EC6028">
            <w:pPr>
              <w:jc w:val="center"/>
            </w:pPr>
            <w:r>
              <w:rPr>
                <w:rFonts w:eastAsiaTheme="minorEastAsia"/>
                <w:color w:val="000000" w:themeColor="text1"/>
                <w:szCs w:val="21"/>
              </w:rPr>
              <w:t>2019-04-12</w:t>
            </w:r>
          </w:p>
        </w:tc>
      </w:tr>
      <w:tr w:rsidR="00F14AEA">
        <w:tc>
          <w:tcPr>
            <w:tcW w:w="720" w:type="dxa"/>
            <w:vAlign w:val="center"/>
          </w:tcPr>
          <w:p w:rsidR="00F14AEA" w:rsidRDefault="00EC6028">
            <w:pPr>
              <w:jc w:val="center"/>
            </w:pPr>
            <w:r>
              <w:rPr>
                <w:rFonts w:eastAsiaTheme="minorEastAsia"/>
                <w:color w:val="000000" w:themeColor="text1"/>
                <w:szCs w:val="21"/>
              </w:rPr>
              <w:t>14</w:t>
            </w:r>
          </w:p>
        </w:tc>
        <w:tc>
          <w:tcPr>
            <w:tcW w:w="4320" w:type="dxa"/>
            <w:vAlign w:val="center"/>
          </w:tcPr>
          <w:p w:rsidR="00F14AEA" w:rsidRDefault="00EC6028">
            <w:pPr>
              <w:jc w:val="left"/>
            </w:pPr>
            <w:r>
              <w:rPr>
                <w:rFonts w:eastAsiaTheme="minorEastAsia"/>
                <w:color w:val="000000" w:themeColor="text1"/>
                <w:szCs w:val="21"/>
              </w:rPr>
              <w:t>易方达黄金主题证券投资基金（</w:t>
            </w:r>
            <w:r>
              <w:rPr>
                <w:rFonts w:eastAsiaTheme="minorEastAsia"/>
                <w:color w:val="000000" w:themeColor="text1"/>
                <w:szCs w:val="21"/>
              </w:rPr>
              <w:t>LOF</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日暂停申购、赎回、定期定额投资业务的公告</w:t>
            </w:r>
          </w:p>
        </w:tc>
        <w:tc>
          <w:tcPr>
            <w:tcW w:w="2520" w:type="dxa"/>
            <w:vAlign w:val="center"/>
          </w:tcPr>
          <w:p w:rsidR="00F14AEA" w:rsidRDefault="00EC6028">
            <w:pPr>
              <w:jc w:val="left"/>
            </w:pPr>
            <w:r>
              <w:rPr>
                <w:rFonts w:eastAsiaTheme="minorEastAsia"/>
                <w:color w:val="000000" w:themeColor="text1"/>
                <w:szCs w:val="21"/>
              </w:rPr>
              <w:t>证券时报及基金管理人网站</w:t>
            </w:r>
          </w:p>
        </w:tc>
        <w:tc>
          <w:tcPr>
            <w:tcW w:w="1440" w:type="dxa"/>
            <w:vAlign w:val="center"/>
          </w:tcPr>
          <w:p w:rsidR="00F14AEA" w:rsidRDefault="00EC6028">
            <w:pPr>
              <w:jc w:val="center"/>
            </w:pPr>
            <w:r>
              <w:rPr>
                <w:rFonts w:eastAsiaTheme="minorEastAsia"/>
                <w:color w:val="000000" w:themeColor="text1"/>
                <w:szCs w:val="21"/>
              </w:rPr>
              <w:t>2019-04-16</w:t>
            </w:r>
          </w:p>
        </w:tc>
      </w:tr>
      <w:tr w:rsidR="00F14AEA">
        <w:tc>
          <w:tcPr>
            <w:tcW w:w="720" w:type="dxa"/>
            <w:vAlign w:val="center"/>
          </w:tcPr>
          <w:p w:rsidR="00F14AEA" w:rsidRDefault="00EC6028">
            <w:pPr>
              <w:jc w:val="center"/>
            </w:pPr>
            <w:r>
              <w:rPr>
                <w:rFonts w:eastAsiaTheme="minorEastAsia"/>
                <w:color w:val="000000" w:themeColor="text1"/>
                <w:szCs w:val="21"/>
              </w:rPr>
              <w:t>15</w:t>
            </w:r>
          </w:p>
        </w:tc>
        <w:tc>
          <w:tcPr>
            <w:tcW w:w="4320" w:type="dxa"/>
            <w:vAlign w:val="center"/>
          </w:tcPr>
          <w:p w:rsidR="00F14AEA" w:rsidRDefault="00EC6028">
            <w:pPr>
              <w:jc w:val="left"/>
            </w:pPr>
            <w:r>
              <w:rPr>
                <w:rFonts w:eastAsiaTheme="minorEastAsia"/>
                <w:color w:val="000000" w:themeColor="text1"/>
                <w:szCs w:val="21"/>
              </w:rPr>
              <w:t>易方达基金管理有限公司关于旗下部分开放式基金参加中国民生银行费率优惠活动的公告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F14AEA" w:rsidRDefault="00EC6028">
            <w:pPr>
              <w:jc w:val="center"/>
            </w:pPr>
            <w:r>
              <w:rPr>
                <w:rFonts w:eastAsiaTheme="minorEastAsia"/>
                <w:color w:val="000000" w:themeColor="text1"/>
                <w:szCs w:val="21"/>
              </w:rPr>
              <w:t>2019-05-16</w:t>
            </w:r>
          </w:p>
        </w:tc>
      </w:tr>
      <w:tr w:rsidR="00F14AEA">
        <w:tc>
          <w:tcPr>
            <w:tcW w:w="720" w:type="dxa"/>
            <w:vAlign w:val="center"/>
          </w:tcPr>
          <w:p w:rsidR="00F14AEA" w:rsidRDefault="00EC6028">
            <w:pPr>
              <w:jc w:val="center"/>
            </w:pPr>
            <w:r>
              <w:rPr>
                <w:rFonts w:eastAsiaTheme="minorEastAsia"/>
                <w:color w:val="000000" w:themeColor="text1"/>
                <w:szCs w:val="21"/>
              </w:rPr>
              <w:t>16</w:t>
            </w:r>
          </w:p>
        </w:tc>
        <w:tc>
          <w:tcPr>
            <w:tcW w:w="4320" w:type="dxa"/>
            <w:vAlign w:val="center"/>
          </w:tcPr>
          <w:p w:rsidR="00F14AEA" w:rsidRDefault="00EC6028">
            <w:pPr>
              <w:jc w:val="left"/>
            </w:pPr>
            <w:r>
              <w:rPr>
                <w:rFonts w:eastAsiaTheme="minorEastAsia"/>
                <w:color w:val="000000" w:themeColor="text1"/>
                <w:szCs w:val="21"/>
              </w:rPr>
              <w:t>易方达基金管理有限公司关于旗下部分开放式基金增加青岛银行为销售机构的公告</w:t>
            </w:r>
          </w:p>
        </w:tc>
        <w:tc>
          <w:tcPr>
            <w:tcW w:w="2520" w:type="dxa"/>
            <w:vAlign w:val="center"/>
          </w:tcPr>
          <w:p w:rsidR="00F14AEA" w:rsidRDefault="00EC6028">
            <w:pPr>
              <w:jc w:val="left"/>
            </w:pPr>
            <w:r>
              <w:rPr>
                <w:rFonts w:eastAsiaTheme="minorEastAsia"/>
                <w:color w:val="000000" w:themeColor="text1"/>
                <w:szCs w:val="21"/>
              </w:rPr>
              <w:t>上海证券报、证券时报、证券日报及基金管理人网站</w:t>
            </w:r>
          </w:p>
        </w:tc>
        <w:tc>
          <w:tcPr>
            <w:tcW w:w="1440" w:type="dxa"/>
            <w:vAlign w:val="center"/>
          </w:tcPr>
          <w:p w:rsidR="00F14AEA" w:rsidRDefault="00EC6028">
            <w:pPr>
              <w:jc w:val="center"/>
            </w:pPr>
            <w:r>
              <w:rPr>
                <w:rFonts w:eastAsiaTheme="minorEastAsia"/>
                <w:color w:val="000000" w:themeColor="text1"/>
                <w:szCs w:val="21"/>
              </w:rPr>
              <w:t>2019-05-20</w:t>
            </w:r>
          </w:p>
        </w:tc>
      </w:tr>
      <w:tr w:rsidR="00F14AEA">
        <w:tc>
          <w:tcPr>
            <w:tcW w:w="720" w:type="dxa"/>
            <w:vAlign w:val="center"/>
          </w:tcPr>
          <w:p w:rsidR="00F14AEA" w:rsidRDefault="00EC6028">
            <w:pPr>
              <w:jc w:val="center"/>
            </w:pPr>
            <w:r>
              <w:rPr>
                <w:rFonts w:eastAsiaTheme="minorEastAsia"/>
                <w:color w:val="000000" w:themeColor="text1"/>
                <w:szCs w:val="21"/>
              </w:rPr>
              <w:t>17</w:t>
            </w:r>
          </w:p>
        </w:tc>
        <w:tc>
          <w:tcPr>
            <w:tcW w:w="4320" w:type="dxa"/>
            <w:vAlign w:val="center"/>
          </w:tcPr>
          <w:p w:rsidR="00F14AEA" w:rsidRDefault="00EC6028">
            <w:pPr>
              <w:jc w:val="left"/>
            </w:pPr>
            <w:r>
              <w:rPr>
                <w:rFonts w:eastAsiaTheme="minorEastAsia"/>
                <w:color w:val="000000" w:themeColor="text1"/>
                <w:szCs w:val="21"/>
              </w:rPr>
              <w:t>易方达黄金主题证券投资基金（</w:t>
            </w:r>
            <w:r>
              <w:rPr>
                <w:rFonts w:eastAsiaTheme="minorEastAsia"/>
                <w:color w:val="000000" w:themeColor="text1"/>
                <w:szCs w:val="21"/>
              </w:rPr>
              <w:t>LOF</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日暂停申购、赎回、定期定额投资业务的公告</w:t>
            </w:r>
          </w:p>
        </w:tc>
        <w:tc>
          <w:tcPr>
            <w:tcW w:w="2520" w:type="dxa"/>
            <w:vAlign w:val="center"/>
          </w:tcPr>
          <w:p w:rsidR="00F14AEA" w:rsidRDefault="00EC6028">
            <w:pPr>
              <w:jc w:val="left"/>
            </w:pPr>
            <w:r>
              <w:rPr>
                <w:rFonts w:eastAsiaTheme="minorEastAsia"/>
                <w:color w:val="000000" w:themeColor="text1"/>
                <w:szCs w:val="21"/>
              </w:rPr>
              <w:t>证券时报及基金管理人网站</w:t>
            </w:r>
          </w:p>
        </w:tc>
        <w:tc>
          <w:tcPr>
            <w:tcW w:w="1440" w:type="dxa"/>
            <w:vAlign w:val="center"/>
          </w:tcPr>
          <w:p w:rsidR="00F14AEA" w:rsidRDefault="00EC6028">
            <w:pPr>
              <w:jc w:val="center"/>
            </w:pPr>
            <w:r>
              <w:rPr>
                <w:rFonts w:eastAsiaTheme="minorEastAsia"/>
                <w:color w:val="000000" w:themeColor="text1"/>
                <w:szCs w:val="21"/>
              </w:rPr>
              <w:t>2019-05-22</w:t>
            </w:r>
          </w:p>
        </w:tc>
      </w:tr>
      <w:tr w:rsidR="00F14AEA">
        <w:tc>
          <w:tcPr>
            <w:tcW w:w="720" w:type="dxa"/>
            <w:vAlign w:val="center"/>
          </w:tcPr>
          <w:p w:rsidR="00F14AEA" w:rsidRDefault="00EC6028">
            <w:pPr>
              <w:jc w:val="center"/>
            </w:pPr>
            <w:r>
              <w:rPr>
                <w:rFonts w:eastAsiaTheme="minorEastAsia"/>
                <w:color w:val="000000" w:themeColor="text1"/>
                <w:szCs w:val="21"/>
              </w:rPr>
              <w:t>18</w:t>
            </w:r>
          </w:p>
        </w:tc>
        <w:tc>
          <w:tcPr>
            <w:tcW w:w="4320" w:type="dxa"/>
            <w:vAlign w:val="center"/>
          </w:tcPr>
          <w:p w:rsidR="00F14AEA" w:rsidRDefault="00EC6028">
            <w:pPr>
              <w:jc w:val="left"/>
            </w:pPr>
            <w:r>
              <w:rPr>
                <w:rFonts w:eastAsiaTheme="minorEastAsia"/>
                <w:color w:val="000000" w:themeColor="text1"/>
                <w:szCs w:val="21"/>
              </w:rPr>
              <w:t>易方达基金管理有限公司关于提醒网上直销个人投资者及时上传身份证件照片并完善、更新身份信息以免影响日常交易的公告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F14AEA" w:rsidRDefault="00EC6028">
            <w:pPr>
              <w:jc w:val="center"/>
            </w:pPr>
            <w:r>
              <w:rPr>
                <w:rFonts w:eastAsiaTheme="minorEastAsia"/>
                <w:color w:val="000000" w:themeColor="text1"/>
                <w:szCs w:val="21"/>
              </w:rPr>
              <w:t>2019-05-28</w:t>
            </w:r>
          </w:p>
        </w:tc>
      </w:tr>
      <w:tr w:rsidR="00F14AEA">
        <w:tc>
          <w:tcPr>
            <w:tcW w:w="720" w:type="dxa"/>
            <w:vAlign w:val="center"/>
          </w:tcPr>
          <w:p w:rsidR="00F14AEA" w:rsidRDefault="00EC6028">
            <w:pPr>
              <w:jc w:val="center"/>
            </w:pPr>
            <w:r>
              <w:rPr>
                <w:rFonts w:eastAsiaTheme="minorEastAsia"/>
                <w:color w:val="000000" w:themeColor="text1"/>
                <w:szCs w:val="21"/>
              </w:rPr>
              <w:t>19</w:t>
            </w:r>
          </w:p>
        </w:tc>
        <w:tc>
          <w:tcPr>
            <w:tcW w:w="4320" w:type="dxa"/>
            <w:vAlign w:val="center"/>
          </w:tcPr>
          <w:p w:rsidR="00F14AEA" w:rsidRDefault="00EC6028">
            <w:pPr>
              <w:jc w:val="left"/>
            </w:pPr>
            <w:r>
              <w:rPr>
                <w:rFonts w:eastAsiaTheme="minorEastAsia"/>
                <w:color w:val="000000" w:themeColor="text1"/>
                <w:szCs w:val="21"/>
              </w:rPr>
              <w:t>易方达基金管理有限公司关于旗下部分开放式基金参加德邦证券费率优惠活动的公告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F14AEA" w:rsidRDefault="00EC6028">
            <w:pPr>
              <w:jc w:val="center"/>
            </w:pPr>
            <w:r>
              <w:rPr>
                <w:rFonts w:eastAsiaTheme="minorEastAsia"/>
                <w:color w:val="000000" w:themeColor="text1"/>
                <w:szCs w:val="21"/>
              </w:rPr>
              <w:t>2019-06-24</w:t>
            </w:r>
          </w:p>
        </w:tc>
      </w:tr>
      <w:tr w:rsidR="00F14AEA">
        <w:tc>
          <w:tcPr>
            <w:tcW w:w="720" w:type="dxa"/>
            <w:vAlign w:val="center"/>
          </w:tcPr>
          <w:p w:rsidR="00F14AEA" w:rsidRDefault="00EC6028">
            <w:pPr>
              <w:jc w:val="center"/>
            </w:pPr>
            <w:r>
              <w:rPr>
                <w:rFonts w:eastAsiaTheme="minorEastAsia"/>
                <w:color w:val="000000" w:themeColor="text1"/>
                <w:szCs w:val="21"/>
              </w:rPr>
              <w:t>20</w:t>
            </w:r>
          </w:p>
        </w:tc>
        <w:tc>
          <w:tcPr>
            <w:tcW w:w="4320" w:type="dxa"/>
            <w:vAlign w:val="center"/>
          </w:tcPr>
          <w:p w:rsidR="00F14AEA" w:rsidRDefault="00EC6028">
            <w:pPr>
              <w:jc w:val="left"/>
            </w:pPr>
            <w:r>
              <w:rPr>
                <w:rFonts w:eastAsiaTheme="minorEastAsia"/>
                <w:color w:val="000000" w:themeColor="text1"/>
                <w:szCs w:val="21"/>
              </w:rPr>
              <w:t>易方达基金管理有限公司关于旗下部分开放式基金参加长城国瑞证券费率优惠活动的公告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F14AEA" w:rsidRDefault="00EC6028">
            <w:pPr>
              <w:jc w:val="center"/>
            </w:pPr>
            <w:r>
              <w:rPr>
                <w:rFonts w:eastAsiaTheme="minorEastAsia"/>
                <w:color w:val="000000" w:themeColor="text1"/>
                <w:szCs w:val="21"/>
              </w:rPr>
              <w:t>2019-06-28</w:t>
            </w:r>
          </w:p>
        </w:tc>
      </w:tr>
      <w:tr w:rsidR="00F14AEA">
        <w:tc>
          <w:tcPr>
            <w:tcW w:w="720" w:type="dxa"/>
            <w:vAlign w:val="center"/>
          </w:tcPr>
          <w:p w:rsidR="00F14AEA" w:rsidRDefault="00EC6028">
            <w:pPr>
              <w:jc w:val="center"/>
            </w:pPr>
            <w:r>
              <w:rPr>
                <w:rFonts w:eastAsiaTheme="minorEastAsia"/>
                <w:color w:val="000000" w:themeColor="text1"/>
                <w:szCs w:val="21"/>
              </w:rPr>
              <w:t>21</w:t>
            </w:r>
          </w:p>
        </w:tc>
        <w:tc>
          <w:tcPr>
            <w:tcW w:w="4320" w:type="dxa"/>
            <w:vAlign w:val="center"/>
          </w:tcPr>
          <w:p w:rsidR="00F14AEA" w:rsidRDefault="00EC6028">
            <w:pPr>
              <w:jc w:val="left"/>
            </w:pPr>
            <w:r>
              <w:rPr>
                <w:rFonts w:eastAsiaTheme="minorEastAsia"/>
                <w:color w:val="000000" w:themeColor="text1"/>
                <w:szCs w:val="21"/>
              </w:rPr>
              <w:t>易方达黄金主题证券投资基金（</w:t>
            </w:r>
            <w:r>
              <w:rPr>
                <w:rFonts w:eastAsiaTheme="minorEastAsia"/>
                <w:color w:val="000000" w:themeColor="text1"/>
                <w:szCs w:val="21"/>
              </w:rPr>
              <w:t>LOF</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4</w:t>
            </w:r>
            <w:r>
              <w:rPr>
                <w:rFonts w:eastAsiaTheme="minorEastAsia"/>
                <w:color w:val="000000" w:themeColor="text1"/>
                <w:szCs w:val="21"/>
              </w:rPr>
              <w:t>日暂停申购、赎回、定期定额投资业务的公告</w:t>
            </w:r>
          </w:p>
        </w:tc>
        <w:tc>
          <w:tcPr>
            <w:tcW w:w="2520" w:type="dxa"/>
            <w:vAlign w:val="center"/>
          </w:tcPr>
          <w:p w:rsidR="00F14AEA" w:rsidRDefault="00EC6028">
            <w:pPr>
              <w:jc w:val="left"/>
            </w:pPr>
            <w:r>
              <w:rPr>
                <w:rFonts w:eastAsiaTheme="minorEastAsia"/>
                <w:color w:val="000000" w:themeColor="text1"/>
                <w:szCs w:val="21"/>
              </w:rPr>
              <w:t>证券时报及基金管理人网站</w:t>
            </w:r>
          </w:p>
        </w:tc>
        <w:tc>
          <w:tcPr>
            <w:tcW w:w="1440" w:type="dxa"/>
            <w:vAlign w:val="center"/>
          </w:tcPr>
          <w:p w:rsidR="00F14AEA" w:rsidRDefault="00EC6028">
            <w:pPr>
              <w:jc w:val="center"/>
            </w:pPr>
            <w:r>
              <w:rPr>
                <w:rFonts w:eastAsiaTheme="minorEastAsia"/>
                <w:color w:val="000000" w:themeColor="text1"/>
                <w:szCs w:val="21"/>
              </w:rPr>
              <w:t>2019-07-01</w:t>
            </w:r>
          </w:p>
        </w:tc>
      </w:tr>
      <w:tr w:rsidR="00F14AEA">
        <w:tc>
          <w:tcPr>
            <w:tcW w:w="720" w:type="dxa"/>
            <w:vAlign w:val="center"/>
          </w:tcPr>
          <w:p w:rsidR="00F14AEA" w:rsidRDefault="00EC6028">
            <w:pPr>
              <w:jc w:val="center"/>
            </w:pPr>
            <w:r>
              <w:rPr>
                <w:rFonts w:eastAsiaTheme="minorEastAsia"/>
                <w:color w:val="000000" w:themeColor="text1"/>
                <w:szCs w:val="21"/>
              </w:rPr>
              <w:t>22</w:t>
            </w:r>
          </w:p>
        </w:tc>
        <w:tc>
          <w:tcPr>
            <w:tcW w:w="4320" w:type="dxa"/>
            <w:vAlign w:val="center"/>
          </w:tcPr>
          <w:p w:rsidR="00F14AEA" w:rsidRDefault="00EC6028">
            <w:pPr>
              <w:jc w:val="left"/>
            </w:pPr>
            <w:r>
              <w:rPr>
                <w:rFonts w:eastAsiaTheme="minorEastAsia"/>
                <w:color w:val="000000" w:themeColor="text1"/>
                <w:szCs w:val="21"/>
              </w:rPr>
              <w:t>易方达基金管理有限公司关于旗下部分开放式基金参加安信证券定期定额投资费率优惠活动的公告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F14AEA" w:rsidRDefault="00EC6028">
            <w:pPr>
              <w:jc w:val="center"/>
            </w:pPr>
            <w:r>
              <w:rPr>
                <w:rFonts w:eastAsiaTheme="minorEastAsia"/>
                <w:color w:val="000000" w:themeColor="text1"/>
                <w:szCs w:val="21"/>
              </w:rPr>
              <w:t>2019-07-15</w:t>
            </w:r>
          </w:p>
        </w:tc>
      </w:tr>
      <w:tr w:rsidR="00F14AEA">
        <w:tc>
          <w:tcPr>
            <w:tcW w:w="720" w:type="dxa"/>
            <w:vAlign w:val="center"/>
          </w:tcPr>
          <w:p w:rsidR="00F14AEA" w:rsidRDefault="00EC6028">
            <w:pPr>
              <w:jc w:val="center"/>
            </w:pPr>
            <w:r>
              <w:rPr>
                <w:rFonts w:eastAsiaTheme="minorEastAsia"/>
                <w:color w:val="000000" w:themeColor="text1"/>
                <w:szCs w:val="21"/>
              </w:rPr>
              <w:t>23</w:t>
            </w:r>
          </w:p>
        </w:tc>
        <w:tc>
          <w:tcPr>
            <w:tcW w:w="4320" w:type="dxa"/>
            <w:vAlign w:val="center"/>
          </w:tcPr>
          <w:p w:rsidR="00F14AEA" w:rsidRDefault="00EC6028">
            <w:pPr>
              <w:jc w:val="left"/>
            </w:pPr>
            <w:r>
              <w:rPr>
                <w:rFonts w:eastAsiaTheme="minorEastAsia"/>
                <w:color w:val="000000" w:themeColor="text1"/>
                <w:szCs w:val="21"/>
              </w:rPr>
              <w:t>易方达基金管理有限公司关于旗下部分开放式基金参加海通证券费率优惠活动的公告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F14AEA" w:rsidRDefault="00EC6028">
            <w:pPr>
              <w:jc w:val="center"/>
            </w:pPr>
            <w:r>
              <w:rPr>
                <w:rFonts w:eastAsiaTheme="minorEastAsia"/>
                <w:color w:val="000000" w:themeColor="text1"/>
                <w:szCs w:val="21"/>
              </w:rPr>
              <w:t>2019-08-12</w:t>
            </w:r>
          </w:p>
        </w:tc>
      </w:tr>
      <w:tr w:rsidR="00F14AEA">
        <w:tc>
          <w:tcPr>
            <w:tcW w:w="720" w:type="dxa"/>
            <w:vAlign w:val="center"/>
          </w:tcPr>
          <w:p w:rsidR="00F14AEA" w:rsidRDefault="00EC6028">
            <w:pPr>
              <w:jc w:val="center"/>
            </w:pPr>
            <w:r>
              <w:rPr>
                <w:rFonts w:eastAsiaTheme="minorEastAsia"/>
                <w:color w:val="000000" w:themeColor="text1"/>
                <w:szCs w:val="21"/>
              </w:rPr>
              <w:t>24</w:t>
            </w:r>
          </w:p>
        </w:tc>
        <w:tc>
          <w:tcPr>
            <w:tcW w:w="4320" w:type="dxa"/>
            <w:vAlign w:val="center"/>
          </w:tcPr>
          <w:p w:rsidR="00F14AEA" w:rsidRDefault="00EC6028">
            <w:pPr>
              <w:jc w:val="left"/>
            </w:pPr>
            <w:r>
              <w:rPr>
                <w:rFonts w:eastAsiaTheme="minorEastAsia"/>
                <w:color w:val="000000" w:themeColor="text1"/>
                <w:szCs w:val="21"/>
              </w:rPr>
              <w:t>易方达基金管理有限公司关于旗下部分开放式基金参加销售机构申购费率优惠活动的公告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F14AEA" w:rsidRDefault="00EC6028">
            <w:pPr>
              <w:jc w:val="center"/>
            </w:pPr>
            <w:r>
              <w:rPr>
                <w:rFonts w:eastAsiaTheme="minorEastAsia"/>
                <w:color w:val="000000" w:themeColor="text1"/>
                <w:szCs w:val="21"/>
              </w:rPr>
              <w:t>2019-08-13</w:t>
            </w:r>
          </w:p>
        </w:tc>
      </w:tr>
      <w:tr w:rsidR="00F14AEA">
        <w:tc>
          <w:tcPr>
            <w:tcW w:w="720" w:type="dxa"/>
            <w:vAlign w:val="center"/>
          </w:tcPr>
          <w:p w:rsidR="00F14AEA" w:rsidRDefault="00EC6028">
            <w:pPr>
              <w:jc w:val="center"/>
            </w:pPr>
            <w:r>
              <w:rPr>
                <w:rFonts w:eastAsiaTheme="minorEastAsia"/>
                <w:color w:val="000000" w:themeColor="text1"/>
                <w:szCs w:val="21"/>
              </w:rPr>
              <w:t>25</w:t>
            </w:r>
          </w:p>
        </w:tc>
        <w:tc>
          <w:tcPr>
            <w:tcW w:w="4320" w:type="dxa"/>
            <w:vAlign w:val="center"/>
          </w:tcPr>
          <w:p w:rsidR="00F14AEA" w:rsidRDefault="00EC6028">
            <w:pPr>
              <w:jc w:val="left"/>
            </w:pPr>
            <w:r>
              <w:rPr>
                <w:rFonts w:eastAsiaTheme="minorEastAsia"/>
                <w:color w:val="000000" w:themeColor="text1"/>
                <w:szCs w:val="21"/>
              </w:rPr>
              <w:t>易方达基金管理有限公司关于暂停上海凯石财富基金销售有限公司办理旗下基金相关销售业务的公告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F14AEA" w:rsidRDefault="00EC6028">
            <w:pPr>
              <w:jc w:val="center"/>
            </w:pPr>
            <w:r>
              <w:rPr>
                <w:rFonts w:eastAsiaTheme="minorEastAsia"/>
                <w:color w:val="000000" w:themeColor="text1"/>
                <w:szCs w:val="21"/>
              </w:rPr>
              <w:t>2019-08-14</w:t>
            </w:r>
          </w:p>
        </w:tc>
      </w:tr>
      <w:tr w:rsidR="00F14AEA">
        <w:tc>
          <w:tcPr>
            <w:tcW w:w="720" w:type="dxa"/>
            <w:vAlign w:val="center"/>
          </w:tcPr>
          <w:p w:rsidR="00F14AEA" w:rsidRDefault="00EC6028">
            <w:pPr>
              <w:jc w:val="center"/>
            </w:pPr>
            <w:r>
              <w:rPr>
                <w:rFonts w:eastAsiaTheme="minorEastAsia"/>
                <w:color w:val="000000" w:themeColor="text1"/>
                <w:szCs w:val="21"/>
              </w:rPr>
              <w:t>26</w:t>
            </w:r>
          </w:p>
        </w:tc>
        <w:tc>
          <w:tcPr>
            <w:tcW w:w="4320" w:type="dxa"/>
            <w:vAlign w:val="center"/>
          </w:tcPr>
          <w:p w:rsidR="00F14AEA" w:rsidRDefault="00EC6028">
            <w:pPr>
              <w:jc w:val="left"/>
            </w:pPr>
            <w:r>
              <w:rPr>
                <w:rFonts w:eastAsiaTheme="minorEastAsia"/>
                <w:color w:val="000000" w:themeColor="text1"/>
                <w:szCs w:val="21"/>
              </w:rPr>
              <w:t>易方达基金管理有限公司关于暂停深圳宜投基金销售有限公司办理旗下基金相关销售业务的公告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F14AEA" w:rsidRDefault="00EC6028">
            <w:pPr>
              <w:jc w:val="center"/>
            </w:pPr>
            <w:r>
              <w:rPr>
                <w:rFonts w:eastAsiaTheme="minorEastAsia"/>
                <w:color w:val="000000" w:themeColor="text1"/>
                <w:szCs w:val="21"/>
              </w:rPr>
              <w:t>2019-08-14</w:t>
            </w:r>
          </w:p>
        </w:tc>
      </w:tr>
      <w:tr w:rsidR="00F14AEA">
        <w:tc>
          <w:tcPr>
            <w:tcW w:w="720" w:type="dxa"/>
            <w:vAlign w:val="center"/>
          </w:tcPr>
          <w:p w:rsidR="00F14AEA" w:rsidRDefault="00EC6028">
            <w:pPr>
              <w:jc w:val="center"/>
            </w:pPr>
            <w:r>
              <w:rPr>
                <w:rFonts w:eastAsiaTheme="minorEastAsia"/>
                <w:color w:val="000000" w:themeColor="text1"/>
                <w:szCs w:val="21"/>
              </w:rPr>
              <w:t>27</w:t>
            </w:r>
          </w:p>
        </w:tc>
        <w:tc>
          <w:tcPr>
            <w:tcW w:w="4320" w:type="dxa"/>
            <w:vAlign w:val="center"/>
          </w:tcPr>
          <w:p w:rsidR="00F14AEA" w:rsidRDefault="00EC6028">
            <w:pPr>
              <w:jc w:val="left"/>
            </w:pPr>
            <w:r>
              <w:rPr>
                <w:rFonts w:eastAsiaTheme="minorEastAsia"/>
                <w:color w:val="000000" w:themeColor="text1"/>
                <w:szCs w:val="21"/>
              </w:rPr>
              <w:t>易方达基金管理有限公司关于暂停厦门市鑫鼎盛控股有限公司办理旗下基金相关销售业务的公告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中国证券报、上海证券报、证券时报、证券日报及基金管理人网站</w:t>
            </w:r>
          </w:p>
        </w:tc>
        <w:tc>
          <w:tcPr>
            <w:tcW w:w="1440" w:type="dxa"/>
            <w:vAlign w:val="center"/>
          </w:tcPr>
          <w:p w:rsidR="00F14AEA" w:rsidRDefault="00EC6028">
            <w:pPr>
              <w:jc w:val="center"/>
            </w:pPr>
            <w:r>
              <w:rPr>
                <w:rFonts w:eastAsiaTheme="minorEastAsia"/>
                <w:color w:val="000000" w:themeColor="text1"/>
                <w:szCs w:val="21"/>
              </w:rPr>
              <w:t>2019-08-14</w:t>
            </w:r>
          </w:p>
        </w:tc>
      </w:tr>
      <w:tr w:rsidR="00F14AEA">
        <w:tc>
          <w:tcPr>
            <w:tcW w:w="720" w:type="dxa"/>
            <w:vAlign w:val="center"/>
          </w:tcPr>
          <w:p w:rsidR="00F14AEA" w:rsidRDefault="00EC6028">
            <w:pPr>
              <w:jc w:val="center"/>
            </w:pPr>
            <w:r>
              <w:rPr>
                <w:rFonts w:eastAsiaTheme="minorEastAsia"/>
                <w:color w:val="000000" w:themeColor="text1"/>
                <w:szCs w:val="21"/>
              </w:rPr>
              <w:t>28</w:t>
            </w:r>
          </w:p>
        </w:tc>
        <w:tc>
          <w:tcPr>
            <w:tcW w:w="4320" w:type="dxa"/>
            <w:vAlign w:val="center"/>
          </w:tcPr>
          <w:p w:rsidR="00F14AEA" w:rsidRDefault="00EC6028">
            <w:pPr>
              <w:jc w:val="left"/>
            </w:pPr>
            <w:r>
              <w:rPr>
                <w:rFonts w:eastAsiaTheme="minorEastAsia"/>
                <w:color w:val="000000" w:themeColor="text1"/>
                <w:szCs w:val="21"/>
              </w:rPr>
              <w:t>易方达黄金主题证券投资基金（</w:t>
            </w:r>
            <w:r>
              <w:rPr>
                <w:rFonts w:eastAsiaTheme="minorEastAsia"/>
                <w:color w:val="000000" w:themeColor="text1"/>
                <w:szCs w:val="21"/>
              </w:rPr>
              <w:t>LOF</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日暂停申购、赎回、定期定额投资业务的公告</w:t>
            </w:r>
          </w:p>
        </w:tc>
        <w:tc>
          <w:tcPr>
            <w:tcW w:w="2520" w:type="dxa"/>
            <w:vAlign w:val="center"/>
          </w:tcPr>
          <w:p w:rsidR="00F14AEA" w:rsidRDefault="00EC6028">
            <w:pPr>
              <w:jc w:val="left"/>
            </w:pPr>
            <w:r>
              <w:rPr>
                <w:rFonts w:eastAsiaTheme="minorEastAsia"/>
                <w:color w:val="000000" w:themeColor="text1"/>
                <w:szCs w:val="21"/>
              </w:rPr>
              <w:t>证券时报及基金管理人网站</w:t>
            </w:r>
          </w:p>
        </w:tc>
        <w:tc>
          <w:tcPr>
            <w:tcW w:w="1440" w:type="dxa"/>
            <w:vAlign w:val="center"/>
          </w:tcPr>
          <w:p w:rsidR="00F14AEA" w:rsidRDefault="00EC6028">
            <w:pPr>
              <w:jc w:val="center"/>
            </w:pPr>
            <w:r>
              <w:rPr>
                <w:rFonts w:eastAsiaTheme="minorEastAsia"/>
                <w:color w:val="000000" w:themeColor="text1"/>
                <w:szCs w:val="21"/>
              </w:rPr>
              <w:t>2019-08-28</w:t>
            </w:r>
          </w:p>
        </w:tc>
      </w:tr>
      <w:tr w:rsidR="00F14AEA">
        <w:tc>
          <w:tcPr>
            <w:tcW w:w="720" w:type="dxa"/>
            <w:vAlign w:val="center"/>
          </w:tcPr>
          <w:p w:rsidR="00F14AEA" w:rsidRDefault="00EC6028">
            <w:pPr>
              <w:jc w:val="center"/>
            </w:pPr>
            <w:r>
              <w:rPr>
                <w:rFonts w:eastAsiaTheme="minorEastAsia"/>
                <w:color w:val="000000" w:themeColor="text1"/>
                <w:szCs w:val="21"/>
              </w:rPr>
              <w:t>29</w:t>
            </w:r>
          </w:p>
        </w:tc>
        <w:tc>
          <w:tcPr>
            <w:tcW w:w="4320" w:type="dxa"/>
            <w:vAlign w:val="center"/>
          </w:tcPr>
          <w:p w:rsidR="00F14AEA" w:rsidRDefault="00EC6028">
            <w:pPr>
              <w:jc w:val="left"/>
            </w:pPr>
            <w:r>
              <w:rPr>
                <w:rFonts w:eastAsiaTheme="minorEastAsia"/>
                <w:color w:val="000000" w:themeColor="text1"/>
                <w:szCs w:val="21"/>
              </w:rPr>
              <w:t>易方达基金管理有限公司旗下部分开放式基金增加微众银行为销售机构、参加微众银行费率优惠活动的公告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中国证券报、上海证券报、证券时报、证券日报、基金管理人网站及中国证监会基金电子披露网站</w:t>
            </w:r>
          </w:p>
        </w:tc>
        <w:tc>
          <w:tcPr>
            <w:tcW w:w="1440" w:type="dxa"/>
            <w:vAlign w:val="center"/>
          </w:tcPr>
          <w:p w:rsidR="00F14AEA" w:rsidRDefault="00EC6028">
            <w:pPr>
              <w:jc w:val="center"/>
            </w:pPr>
            <w:r>
              <w:rPr>
                <w:rFonts w:eastAsiaTheme="minorEastAsia"/>
                <w:color w:val="000000" w:themeColor="text1"/>
                <w:szCs w:val="21"/>
              </w:rPr>
              <w:t>2019-09-11</w:t>
            </w:r>
          </w:p>
        </w:tc>
      </w:tr>
      <w:tr w:rsidR="00F14AEA">
        <w:tc>
          <w:tcPr>
            <w:tcW w:w="720" w:type="dxa"/>
            <w:vAlign w:val="center"/>
          </w:tcPr>
          <w:p w:rsidR="00F14AEA" w:rsidRDefault="00EC6028">
            <w:pPr>
              <w:jc w:val="center"/>
            </w:pPr>
            <w:r>
              <w:rPr>
                <w:rFonts w:eastAsiaTheme="minorEastAsia"/>
                <w:color w:val="000000" w:themeColor="text1"/>
                <w:szCs w:val="21"/>
              </w:rPr>
              <w:t>30</w:t>
            </w:r>
          </w:p>
        </w:tc>
        <w:tc>
          <w:tcPr>
            <w:tcW w:w="4320" w:type="dxa"/>
            <w:vAlign w:val="center"/>
          </w:tcPr>
          <w:p w:rsidR="00F14AEA" w:rsidRDefault="00EC6028">
            <w:pPr>
              <w:jc w:val="left"/>
            </w:pPr>
            <w:r>
              <w:rPr>
                <w:rFonts w:eastAsiaTheme="minorEastAsia"/>
                <w:color w:val="000000" w:themeColor="text1"/>
                <w:szCs w:val="21"/>
              </w:rPr>
              <w:t>易方达黄金主题证券投资基金（</w:t>
            </w:r>
            <w:r>
              <w:rPr>
                <w:rFonts w:eastAsiaTheme="minorEastAsia"/>
                <w:color w:val="000000" w:themeColor="text1"/>
                <w:szCs w:val="21"/>
              </w:rPr>
              <w:t>LOF</w:t>
            </w:r>
            <w:r>
              <w:rPr>
                <w:rFonts w:eastAsiaTheme="minorEastAsia"/>
                <w:color w:val="000000" w:themeColor="text1"/>
                <w:szCs w:val="21"/>
              </w:rPr>
              <w:t>）之</w:t>
            </w:r>
            <w:r>
              <w:rPr>
                <w:rFonts w:eastAsiaTheme="minorEastAsia"/>
                <w:color w:val="000000" w:themeColor="text1"/>
                <w:szCs w:val="21"/>
              </w:rPr>
              <w:t>C</w:t>
            </w:r>
            <w:r>
              <w:rPr>
                <w:rFonts w:eastAsiaTheme="minorEastAsia"/>
                <w:color w:val="000000" w:themeColor="text1"/>
                <w:szCs w:val="21"/>
              </w:rPr>
              <w:t>类人民币份额、</w:t>
            </w:r>
            <w:r>
              <w:rPr>
                <w:rFonts w:eastAsiaTheme="minorEastAsia"/>
                <w:color w:val="000000" w:themeColor="text1"/>
                <w:szCs w:val="21"/>
              </w:rPr>
              <w:t>A</w:t>
            </w:r>
            <w:r>
              <w:rPr>
                <w:rFonts w:eastAsiaTheme="minorEastAsia"/>
                <w:color w:val="000000" w:themeColor="text1"/>
                <w:szCs w:val="21"/>
              </w:rPr>
              <w:t>类美元份额、</w:t>
            </w:r>
            <w:r>
              <w:rPr>
                <w:rFonts w:eastAsiaTheme="minorEastAsia"/>
                <w:color w:val="000000" w:themeColor="text1"/>
                <w:szCs w:val="21"/>
              </w:rPr>
              <w:t>C</w:t>
            </w:r>
            <w:r>
              <w:rPr>
                <w:rFonts w:eastAsiaTheme="minorEastAsia"/>
                <w:color w:val="000000" w:themeColor="text1"/>
                <w:szCs w:val="21"/>
              </w:rPr>
              <w:t>类美元份额开放日常申购、赎回和定期定额投资业务的公告</w:t>
            </w:r>
          </w:p>
        </w:tc>
        <w:tc>
          <w:tcPr>
            <w:tcW w:w="2520" w:type="dxa"/>
            <w:vAlign w:val="center"/>
          </w:tcPr>
          <w:p w:rsidR="00F14AEA" w:rsidRDefault="00EC6028">
            <w:pPr>
              <w:jc w:val="left"/>
            </w:pPr>
            <w:r>
              <w:rPr>
                <w:rFonts w:eastAsiaTheme="minorEastAsia"/>
                <w:color w:val="000000" w:themeColor="text1"/>
                <w:szCs w:val="21"/>
              </w:rPr>
              <w:t>证券时报、基金管理人网站及中国证监会基金电子披露网站</w:t>
            </w:r>
          </w:p>
        </w:tc>
        <w:tc>
          <w:tcPr>
            <w:tcW w:w="1440" w:type="dxa"/>
            <w:vAlign w:val="center"/>
          </w:tcPr>
          <w:p w:rsidR="00F14AEA" w:rsidRDefault="00EC6028">
            <w:pPr>
              <w:jc w:val="center"/>
            </w:pPr>
            <w:r>
              <w:rPr>
                <w:rFonts w:eastAsiaTheme="minorEastAsia"/>
                <w:color w:val="000000" w:themeColor="text1"/>
                <w:szCs w:val="21"/>
              </w:rPr>
              <w:t>2019-10-10</w:t>
            </w:r>
          </w:p>
        </w:tc>
      </w:tr>
      <w:tr w:rsidR="00F14AEA">
        <w:tc>
          <w:tcPr>
            <w:tcW w:w="720" w:type="dxa"/>
            <w:vAlign w:val="center"/>
          </w:tcPr>
          <w:p w:rsidR="00F14AEA" w:rsidRDefault="00EC6028">
            <w:pPr>
              <w:jc w:val="center"/>
            </w:pPr>
            <w:r>
              <w:rPr>
                <w:rFonts w:eastAsiaTheme="minorEastAsia"/>
                <w:color w:val="000000" w:themeColor="text1"/>
                <w:szCs w:val="21"/>
              </w:rPr>
              <w:t>31</w:t>
            </w:r>
          </w:p>
        </w:tc>
        <w:tc>
          <w:tcPr>
            <w:tcW w:w="4320" w:type="dxa"/>
            <w:vAlign w:val="center"/>
          </w:tcPr>
          <w:p w:rsidR="00F14AEA" w:rsidRDefault="00EC6028">
            <w:pPr>
              <w:jc w:val="left"/>
            </w:pPr>
            <w:r>
              <w:rPr>
                <w:rFonts w:eastAsiaTheme="minorEastAsia"/>
                <w:color w:val="000000" w:themeColor="text1"/>
                <w:szCs w:val="21"/>
              </w:rPr>
              <w:t>易方达基金管理有限公司关于易方达黄金主题证券投资基金（</w:t>
            </w:r>
            <w:r>
              <w:rPr>
                <w:rFonts w:eastAsiaTheme="minorEastAsia"/>
                <w:color w:val="000000" w:themeColor="text1"/>
                <w:szCs w:val="21"/>
              </w:rPr>
              <w:t>LOF</w:t>
            </w:r>
            <w:r>
              <w:rPr>
                <w:rFonts w:eastAsiaTheme="minorEastAsia"/>
                <w:color w:val="000000" w:themeColor="text1"/>
                <w:szCs w:val="21"/>
              </w:rPr>
              <w:t>）增设基金份额、修改业绩比较基准并修订基金合同、托管协议部分条款的公告</w:t>
            </w:r>
          </w:p>
        </w:tc>
        <w:tc>
          <w:tcPr>
            <w:tcW w:w="2520" w:type="dxa"/>
            <w:vAlign w:val="center"/>
          </w:tcPr>
          <w:p w:rsidR="00F14AEA" w:rsidRDefault="00EC6028">
            <w:pPr>
              <w:jc w:val="left"/>
            </w:pPr>
            <w:r>
              <w:rPr>
                <w:rFonts w:eastAsiaTheme="minorEastAsia"/>
                <w:color w:val="000000" w:themeColor="text1"/>
                <w:szCs w:val="21"/>
              </w:rPr>
              <w:t>证券时报、基金管理人网站及中国证监会基金电子披露网站</w:t>
            </w:r>
          </w:p>
        </w:tc>
        <w:tc>
          <w:tcPr>
            <w:tcW w:w="1440" w:type="dxa"/>
            <w:vAlign w:val="center"/>
          </w:tcPr>
          <w:p w:rsidR="00F14AEA" w:rsidRDefault="00EC6028">
            <w:pPr>
              <w:jc w:val="center"/>
            </w:pPr>
            <w:r>
              <w:rPr>
                <w:rFonts w:eastAsiaTheme="minorEastAsia"/>
                <w:color w:val="000000" w:themeColor="text1"/>
                <w:szCs w:val="21"/>
              </w:rPr>
              <w:t>2019-10-10</w:t>
            </w:r>
          </w:p>
        </w:tc>
      </w:tr>
      <w:tr w:rsidR="00F14AEA">
        <w:tc>
          <w:tcPr>
            <w:tcW w:w="720" w:type="dxa"/>
            <w:vAlign w:val="center"/>
          </w:tcPr>
          <w:p w:rsidR="00F14AEA" w:rsidRDefault="00EC6028">
            <w:pPr>
              <w:jc w:val="center"/>
            </w:pPr>
            <w:r>
              <w:rPr>
                <w:rFonts w:eastAsiaTheme="minorEastAsia"/>
                <w:color w:val="000000" w:themeColor="text1"/>
                <w:szCs w:val="21"/>
              </w:rPr>
              <w:t>32</w:t>
            </w:r>
          </w:p>
        </w:tc>
        <w:tc>
          <w:tcPr>
            <w:tcW w:w="4320" w:type="dxa"/>
            <w:vAlign w:val="center"/>
          </w:tcPr>
          <w:p w:rsidR="00F14AEA" w:rsidRDefault="00EC6028">
            <w:pPr>
              <w:jc w:val="left"/>
            </w:pPr>
            <w:r>
              <w:rPr>
                <w:rFonts w:eastAsiaTheme="minorEastAsia"/>
                <w:color w:val="000000" w:themeColor="text1"/>
                <w:szCs w:val="21"/>
              </w:rPr>
              <w:t>易方达基金管理有限公司关于调低易方达黄金主题证券投资基金（</w:t>
            </w:r>
            <w:r>
              <w:rPr>
                <w:rFonts w:eastAsiaTheme="minorEastAsia"/>
                <w:color w:val="000000" w:themeColor="text1"/>
                <w:szCs w:val="21"/>
              </w:rPr>
              <w:t>LOF</w:t>
            </w:r>
            <w:r>
              <w:rPr>
                <w:rFonts w:eastAsiaTheme="minorEastAsia"/>
                <w:color w:val="000000" w:themeColor="text1"/>
                <w:szCs w:val="21"/>
              </w:rPr>
              <w:t>）管理费、托管费并修订基金合同及托管协议的公告</w:t>
            </w:r>
          </w:p>
        </w:tc>
        <w:tc>
          <w:tcPr>
            <w:tcW w:w="2520" w:type="dxa"/>
            <w:vAlign w:val="center"/>
          </w:tcPr>
          <w:p w:rsidR="00F14AEA" w:rsidRDefault="00EC6028">
            <w:pPr>
              <w:jc w:val="left"/>
            </w:pPr>
            <w:r>
              <w:rPr>
                <w:rFonts w:eastAsiaTheme="minorEastAsia"/>
                <w:color w:val="000000" w:themeColor="text1"/>
                <w:szCs w:val="21"/>
              </w:rPr>
              <w:t>证券时报、基金管理人网站及中国证监会基金电子披露网站</w:t>
            </w:r>
          </w:p>
        </w:tc>
        <w:tc>
          <w:tcPr>
            <w:tcW w:w="1440" w:type="dxa"/>
            <w:vAlign w:val="center"/>
          </w:tcPr>
          <w:p w:rsidR="00F14AEA" w:rsidRDefault="00EC6028">
            <w:pPr>
              <w:jc w:val="center"/>
            </w:pPr>
            <w:r>
              <w:rPr>
                <w:rFonts w:eastAsiaTheme="minorEastAsia"/>
                <w:color w:val="000000" w:themeColor="text1"/>
                <w:szCs w:val="21"/>
              </w:rPr>
              <w:t>2019-10-17</w:t>
            </w:r>
          </w:p>
        </w:tc>
      </w:tr>
      <w:tr w:rsidR="00F14AEA">
        <w:tc>
          <w:tcPr>
            <w:tcW w:w="720" w:type="dxa"/>
            <w:vAlign w:val="center"/>
          </w:tcPr>
          <w:p w:rsidR="00F14AEA" w:rsidRDefault="00EC6028">
            <w:pPr>
              <w:jc w:val="center"/>
            </w:pPr>
            <w:r>
              <w:rPr>
                <w:rFonts w:eastAsiaTheme="minorEastAsia"/>
                <w:color w:val="000000" w:themeColor="text1"/>
                <w:szCs w:val="21"/>
              </w:rPr>
              <w:t>33</w:t>
            </w:r>
          </w:p>
        </w:tc>
        <w:tc>
          <w:tcPr>
            <w:tcW w:w="4320" w:type="dxa"/>
            <w:vAlign w:val="center"/>
          </w:tcPr>
          <w:p w:rsidR="00F14AEA" w:rsidRDefault="00EC6028">
            <w:pPr>
              <w:jc w:val="left"/>
            </w:pPr>
            <w:r>
              <w:rPr>
                <w:rFonts w:eastAsiaTheme="minorEastAsia"/>
                <w:color w:val="000000" w:themeColor="text1"/>
                <w:szCs w:val="21"/>
              </w:rPr>
              <w:t>易方达基金管理有限公司旗下基金季度报告提示性公告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w:t>
            </w:r>
          </w:p>
        </w:tc>
        <w:tc>
          <w:tcPr>
            <w:tcW w:w="1440" w:type="dxa"/>
            <w:vAlign w:val="center"/>
          </w:tcPr>
          <w:p w:rsidR="00F14AEA" w:rsidRDefault="00EC6028">
            <w:pPr>
              <w:jc w:val="center"/>
            </w:pPr>
            <w:r>
              <w:rPr>
                <w:rFonts w:eastAsiaTheme="minorEastAsia"/>
                <w:color w:val="000000" w:themeColor="text1"/>
                <w:szCs w:val="21"/>
              </w:rPr>
              <w:t>2019-10-24</w:t>
            </w:r>
          </w:p>
        </w:tc>
      </w:tr>
      <w:tr w:rsidR="00F14AEA">
        <w:tc>
          <w:tcPr>
            <w:tcW w:w="720" w:type="dxa"/>
            <w:vAlign w:val="center"/>
          </w:tcPr>
          <w:p w:rsidR="00F14AEA" w:rsidRDefault="00EC6028">
            <w:pPr>
              <w:jc w:val="center"/>
            </w:pPr>
            <w:r>
              <w:rPr>
                <w:rFonts w:eastAsiaTheme="minorEastAsia"/>
                <w:color w:val="000000" w:themeColor="text1"/>
                <w:szCs w:val="21"/>
              </w:rPr>
              <w:t>34</w:t>
            </w:r>
          </w:p>
        </w:tc>
        <w:tc>
          <w:tcPr>
            <w:tcW w:w="4320" w:type="dxa"/>
            <w:vAlign w:val="center"/>
          </w:tcPr>
          <w:p w:rsidR="00F14AEA" w:rsidRDefault="00EC6028">
            <w:pPr>
              <w:jc w:val="left"/>
            </w:pPr>
            <w:r>
              <w:rPr>
                <w:rFonts w:eastAsiaTheme="minorEastAsia"/>
                <w:color w:val="000000" w:themeColor="text1"/>
                <w:szCs w:val="21"/>
              </w:rPr>
              <w:t>易方达黄金主题证券投资基金（</w:t>
            </w:r>
            <w:r>
              <w:rPr>
                <w:rFonts w:eastAsiaTheme="minorEastAsia"/>
                <w:color w:val="000000" w:themeColor="text1"/>
                <w:szCs w:val="21"/>
              </w:rPr>
              <w:t>LOF</w:t>
            </w:r>
            <w:r>
              <w:rPr>
                <w:rFonts w:eastAsiaTheme="minorEastAsia"/>
                <w:color w:val="000000" w:themeColor="text1"/>
                <w:szCs w:val="21"/>
              </w:rPr>
              <w:t>）</w:t>
            </w:r>
            <w:r>
              <w:rPr>
                <w:rFonts w:eastAsiaTheme="minorEastAsia"/>
                <w:color w:val="000000" w:themeColor="text1"/>
                <w:szCs w:val="21"/>
              </w:rPr>
              <w:t>C</w:t>
            </w:r>
            <w:r>
              <w:rPr>
                <w:rFonts w:eastAsiaTheme="minorEastAsia"/>
                <w:color w:val="000000" w:themeColor="text1"/>
                <w:szCs w:val="21"/>
              </w:rPr>
              <w:t>类人民币份额增加百度百盈为销售机构的公告</w:t>
            </w:r>
          </w:p>
        </w:tc>
        <w:tc>
          <w:tcPr>
            <w:tcW w:w="2520" w:type="dxa"/>
            <w:vAlign w:val="center"/>
          </w:tcPr>
          <w:p w:rsidR="00F14AEA" w:rsidRDefault="00EC6028">
            <w:pPr>
              <w:jc w:val="left"/>
            </w:pPr>
            <w:r>
              <w:rPr>
                <w:rFonts w:eastAsiaTheme="minorEastAsia"/>
                <w:color w:val="000000" w:themeColor="text1"/>
                <w:szCs w:val="21"/>
              </w:rPr>
              <w:t>证券时报、基金管理人网站及中国证监会基金电子披露网站</w:t>
            </w:r>
          </w:p>
        </w:tc>
        <w:tc>
          <w:tcPr>
            <w:tcW w:w="1440" w:type="dxa"/>
            <w:vAlign w:val="center"/>
          </w:tcPr>
          <w:p w:rsidR="00F14AEA" w:rsidRDefault="00EC6028">
            <w:pPr>
              <w:jc w:val="center"/>
            </w:pPr>
            <w:r>
              <w:rPr>
                <w:rFonts w:eastAsiaTheme="minorEastAsia"/>
                <w:color w:val="000000" w:themeColor="text1"/>
                <w:szCs w:val="21"/>
              </w:rPr>
              <w:t>2019-10-29</w:t>
            </w:r>
          </w:p>
        </w:tc>
      </w:tr>
      <w:tr w:rsidR="00F14AEA">
        <w:tc>
          <w:tcPr>
            <w:tcW w:w="720" w:type="dxa"/>
            <w:vAlign w:val="center"/>
          </w:tcPr>
          <w:p w:rsidR="00F14AEA" w:rsidRDefault="00EC6028">
            <w:pPr>
              <w:jc w:val="center"/>
            </w:pPr>
            <w:r>
              <w:rPr>
                <w:rFonts w:eastAsiaTheme="minorEastAsia"/>
                <w:color w:val="000000" w:themeColor="text1"/>
                <w:szCs w:val="21"/>
              </w:rPr>
              <w:t>35</w:t>
            </w:r>
          </w:p>
        </w:tc>
        <w:tc>
          <w:tcPr>
            <w:tcW w:w="4320" w:type="dxa"/>
            <w:vAlign w:val="center"/>
          </w:tcPr>
          <w:p w:rsidR="00F14AEA" w:rsidRDefault="00EC6028">
            <w:pPr>
              <w:jc w:val="left"/>
            </w:pPr>
            <w:r>
              <w:rPr>
                <w:rFonts w:eastAsiaTheme="minorEastAsia"/>
                <w:color w:val="000000" w:themeColor="text1"/>
                <w:szCs w:val="21"/>
              </w:rPr>
              <w:t>易方达黄金主题证券投资基金（</w:t>
            </w:r>
            <w:r>
              <w:rPr>
                <w:rFonts w:eastAsiaTheme="minorEastAsia"/>
                <w:color w:val="000000" w:themeColor="text1"/>
                <w:szCs w:val="21"/>
              </w:rPr>
              <w:t>LOF</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日暂停申购、赎回、定期定额投资业务的公告</w:t>
            </w:r>
          </w:p>
        </w:tc>
        <w:tc>
          <w:tcPr>
            <w:tcW w:w="2520" w:type="dxa"/>
            <w:vAlign w:val="center"/>
          </w:tcPr>
          <w:p w:rsidR="00F14AEA" w:rsidRDefault="00EC6028">
            <w:pPr>
              <w:jc w:val="left"/>
            </w:pPr>
            <w:r>
              <w:rPr>
                <w:rFonts w:eastAsiaTheme="minorEastAsia"/>
                <w:color w:val="000000" w:themeColor="text1"/>
                <w:szCs w:val="21"/>
              </w:rPr>
              <w:t>证券时报、基金管理人网站及中国证监会基金电子披露网站</w:t>
            </w:r>
          </w:p>
        </w:tc>
        <w:tc>
          <w:tcPr>
            <w:tcW w:w="1440" w:type="dxa"/>
            <w:vAlign w:val="center"/>
          </w:tcPr>
          <w:p w:rsidR="00F14AEA" w:rsidRDefault="00EC6028">
            <w:pPr>
              <w:jc w:val="center"/>
            </w:pPr>
            <w:r>
              <w:rPr>
                <w:rFonts w:eastAsiaTheme="minorEastAsia"/>
                <w:color w:val="000000" w:themeColor="text1"/>
                <w:szCs w:val="21"/>
              </w:rPr>
              <w:t>2019-11-25</w:t>
            </w:r>
          </w:p>
        </w:tc>
      </w:tr>
      <w:tr w:rsidR="00F14AEA">
        <w:tc>
          <w:tcPr>
            <w:tcW w:w="720" w:type="dxa"/>
            <w:vAlign w:val="center"/>
          </w:tcPr>
          <w:p w:rsidR="00F14AEA" w:rsidRDefault="00EC6028">
            <w:pPr>
              <w:jc w:val="center"/>
            </w:pPr>
            <w:r>
              <w:rPr>
                <w:rFonts w:eastAsiaTheme="minorEastAsia"/>
                <w:color w:val="000000" w:themeColor="text1"/>
                <w:szCs w:val="21"/>
              </w:rPr>
              <w:t>36</w:t>
            </w:r>
          </w:p>
        </w:tc>
        <w:tc>
          <w:tcPr>
            <w:tcW w:w="4320" w:type="dxa"/>
            <w:vAlign w:val="center"/>
          </w:tcPr>
          <w:p w:rsidR="00F14AEA" w:rsidRDefault="00EC6028">
            <w:pPr>
              <w:jc w:val="left"/>
            </w:pPr>
            <w:r>
              <w:rPr>
                <w:rFonts w:eastAsiaTheme="minorEastAsia"/>
                <w:color w:val="000000" w:themeColor="text1"/>
                <w:szCs w:val="21"/>
              </w:rPr>
              <w:t>易方达黄金主题证券投资基金（</w:t>
            </w:r>
            <w:r>
              <w:rPr>
                <w:rFonts w:eastAsiaTheme="minorEastAsia"/>
                <w:color w:val="000000" w:themeColor="text1"/>
                <w:szCs w:val="21"/>
              </w:rPr>
              <w:t>LOF</w:t>
            </w:r>
            <w:r>
              <w:rPr>
                <w:rFonts w:eastAsiaTheme="minorEastAsia"/>
                <w:color w:val="000000" w:themeColor="text1"/>
                <w:szCs w:val="21"/>
              </w:rPr>
              <w:t>）</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日暂停申购、赎回、定期定额投资业务的公告</w:t>
            </w:r>
          </w:p>
        </w:tc>
        <w:tc>
          <w:tcPr>
            <w:tcW w:w="2520" w:type="dxa"/>
            <w:vAlign w:val="center"/>
          </w:tcPr>
          <w:p w:rsidR="00F14AEA" w:rsidRDefault="00EC6028">
            <w:pPr>
              <w:jc w:val="left"/>
            </w:pPr>
            <w:r>
              <w:rPr>
                <w:rFonts w:eastAsiaTheme="minorEastAsia"/>
                <w:color w:val="000000" w:themeColor="text1"/>
                <w:szCs w:val="21"/>
              </w:rPr>
              <w:t>证券时报、基金管理人网站及中国证监会基金电子披露网站</w:t>
            </w:r>
          </w:p>
        </w:tc>
        <w:tc>
          <w:tcPr>
            <w:tcW w:w="1440" w:type="dxa"/>
            <w:vAlign w:val="center"/>
          </w:tcPr>
          <w:p w:rsidR="00F14AEA" w:rsidRDefault="00EC6028">
            <w:pPr>
              <w:jc w:val="center"/>
            </w:pPr>
            <w:r>
              <w:rPr>
                <w:rFonts w:eastAsiaTheme="minorEastAsia"/>
                <w:color w:val="000000" w:themeColor="text1"/>
                <w:szCs w:val="21"/>
              </w:rPr>
              <w:t>2019-12-20</w:t>
            </w:r>
          </w:p>
        </w:tc>
      </w:tr>
      <w:tr w:rsidR="00F14AEA">
        <w:tc>
          <w:tcPr>
            <w:tcW w:w="720" w:type="dxa"/>
            <w:vAlign w:val="center"/>
          </w:tcPr>
          <w:p w:rsidR="00F14AEA" w:rsidRDefault="00EC6028">
            <w:pPr>
              <w:jc w:val="center"/>
            </w:pPr>
            <w:r>
              <w:rPr>
                <w:rFonts w:eastAsiaTheme="minorEastAsia"/>
                <w:color w:val="000000" w:themeColor="text1"/>
                <w:szCs w:val="21"/>
              </w:rPr>
              <w:t>37</w:t>
            </w:r>
          </w:p>
        </w:tc>
        <w:tc>
          <w:tcPr>
            <w:tcW w:w="4320" w:type="dxa"/>
            <w:vAlign w:val="center"/>
          </w:tcPr>
          <w:p w:rsidR="00F14AEA" w:rsidRDefault="00EC6028">
            <w:pPr>
              <w:jc w:val="left"/>
            </w:pPr>
            <w:r>
              <w:rPr>
                <w:rFonts w:eastAsiaTheme="minorEastAsia"/>
                <w:color w:val="000000" w:themeColor="text1"/>
                <w:szCs w:val="21"/>
              </w:rPr>
              <w:t>易方达基金管理有限公司旗下部分开放式基金参加中国邮政储蓄银行个人网上银行和手机银行申购费率优惠活动的公告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中国证券报、上海证券报、证券时报、证券日报、基金管理人网站及中国证监会基金电子披露网站</w:t>
            </w:r>
          </w:p>
        </w:tc>
        <w:tc>
          <w:tcPr>
            <w:tcW w:w="1440" w:type="dxa"/>
            <w:vAlign w:val="center"/>
          </w:tcPr>
          <w:p w:rsidR="00F14AEA" w:rsidRDefault="00EC6028">
            <w:pPr>
              <w:jc w:val="center"/>
            </w:pPr>
            <w:r>
              <w:rPr>
                <w:rFonts w:eastAsiaTheme="minorEastAsia"/>
                <w:color w:val="000000" w:themeColor="text1"/>
                <w:szCs w:val="21"/>
              </w:rPr>
              <w:t>2019-12-30</w:t>
            </w:r>
          </w:p>
        </w:tc>
      </w:tr>
      <w:tr w:rsidR="00F14AEA">
        <w:tc>
          <w:tcPr>
            <w:tcW w:w="720" w:type="dxa"/>
            <w:vAlign w:val="center"/>
          </w:tcPr>
          <w:p w:rsidR="00F14AEA" w:rsidRDefault="00EC6028">
            <w:pPr>
              <w:jc w:val="center"/>
            </w:pPr>
            <w:r>
              <w:rPr>
                <w:rFonts w:eastAsiaTheme="minorEastAsia"/>
                <w:color w:val="000000" w:themeColor="text1"/>
                <w:szCs w:val="21"/>
              </w:rPr>
              <w:t>38</w:t>
            </w:r>
          </w:p>
        </w:tc>
        <w:tc>
          <w:tcPr>
            <w:tcW w:w="4320" w:type="dxa"/>
            <w:vAlign w:val="center"/>
          </w:tcPr>
          <w:p w:rsidR="00F14AEA" w:rsidRDefault="00EC6028">
            <w:pPr>
              <w:jc w:val="left"/>
            </w:pPr>
            <w:r>
              <w:rPr>
                <w:rFonts w:eastAsiaTheme="minorEastAsia"/>
                <w:color w:val="000000" w:themeColor="text1"/>
                <w:szCs w:val="21"/>
              </w:rPr>
              <w:t>易方达基金管理有限公司关于公司股权变更的公告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中国证券报、上海证券报、证券时报、证券日报、基金管理人网站及中国证监会基金电子披露网站</w:t>
            </w:r>
          </w:p>
        </w:tc>
        <w:tc>
          <w:tcPr>
            <w:tcW w:w="1440" w:type="dxa"/>
            <w:vAlign w:val="center"/>
          </w:tcPr>
          <w:p w:rsidR="00F14AEA" w:rsidRDefault="00EC6028">
            <w:pPr>
              <w:jc w:val="center"/>
            </w:pPr>
            <w:r>
              <w:rPr>
                <w:rFonts w:eastAsiaTheme="minorEastAsia"/>
                <w:color w:val="000000" w:themeColor="text1"/>
                <w:szCs w:val="21"/>
              </w:rPr>
              <w:t>2019-12-31</w:t>
            </w:r>
          </w:p>
        </w:tc>
      </w:tr>
      <w:tr w:rsidR="00F14AEA">
        <w:tc>
          <w:tcPr>
            <w:tcW w:w="720" w:type="dxa"/>
            <w:vAlign w:val="center"/>
          </w:tcPr>
          <w:p w:rsidR="00F14AEA" w:rsidRDefault="00EC6028">
            <w:pPr>
              <w:jc w:val="center"/>
            </w:pPr>
            <w:r>
              <w:rPr>
                <w:rFonts w:eastAsiaTheme="minorEastAsia"/>
                <w:color w:val="000000" w:themeColor="text1"/>
                <w:szCs w:val="21"/>
              </w:rPr>
              <w:t>39</w:t>
            </w:r>
          </w:p>
        </w:tc>
        <w:tc>
          <w:tcPr>
            <w:tcW w:w="4320" w:type="dxa"/>
            <w:vAlign w:val="center"/>
          </w:tcPr>
          <w:p w:rsidR="00F14AEA" w:rsidRDefault="00EC6028">
            <w:pPr>
              <w:jc w:val="left"/>
            </w:pPr>
            <w:r>
              <w:rPr>
                <w:rFonts w:eastAsiaTheme="minorEastAsia"/>
                <w:color w:val="000000" w:themeColor="text1"/>
                <w:szCs w:val="21"/>
              </w:rPr>
              <w:t>易方达基金管理有限公司关于易方达黄金主题证券投资基金（</w:t>
            </w:r>
            <w:r>
              <w:rPr>
                <w:rFonts w:eastAsiaTheme="minorEastAsia"/>
                <w:color w:val="000000" w:themeColor="text1"/>
                <w:szCs w:val="21"/>
              </w:rPr>
              <w:t>LOF</w:t>
            </w:r>
            <w:r>
              <w:rPr>
                <w:rFonts w:eastAsiaTheme="minorEastAsia"/>
                <w:color w:val="000000" w:themeColor="text1"/>
                <w:szCs w:val="21"/>
              </w:rPr>
              <w:t>）根据《公开募集证券投资基金信息披露管理办法》修订基金合同、托管协议部分条款的公告</w:t>
            </w:r>
          </w:p>
        </w:tc>
        <w:tc>
          <w:tcPr>
            <w:tcW w:w="2520" w:type="dxa"/>
            <w:vAlign w:val="center"/>
          </w:tcPr>
          <w:p w:rsidR="00F14AEA" w:rsidRDefault="00EC6028">
            <w:pPr>
              <w:jc w:val="left"/>
            </w:pPr>
            <w:r>
              <w:rPr>
                <w:rFonts w:eastAsiaTheme="minorEastAsia"/>
                <w:color w:val="000000" w:themeColor="text1"/>
                <w:szCs w:val="21"/>
              </w:rPr>
              <w:t>证券时报、基金管理人网站及中国证监会基金电子披露网站</w:t>
            </w:r>
          </w:p>
        </w:tc>
        <w:tc>
          <w:tcPr>
            <w:tcW w:w="1440" w:type="dxa"/>
            <w:vAlign w:val="center"/>
          </w:tcPr>
          <w:p w:rsidR="00F14AEA" w:rsidRDefault="00EC6028">
            <w:pPr>
              <w:jc w:val="center"/>
            </w:pPr>
            <w:r>
              <w:rPr>
                <w:rFonts w:eastAsiaTheme="minorEastAsia"/>
                <w:color w:val="000000" w:themeColor="text1"/>
                <w:szCs w:val="21"/>
              </w:rPr>
              <w:t>2019-12-31</w:t>
            </w:r>
          </w:p>
        </w:tc>
      </w:tr>
      <w:tr w:rsidR="00F14AEA">
        <w:tc>
          <w:tcPr>
            <w:tcW w:w="720" w:type="dxa"/>
            <w:vAlign w:val="center"/>
          </w:tcPr>
          <w:p w:rsidR="00F14AEA" w:rsidRDefault="00EC6028">
            <w:pPr>
              <w:jc w:val="center"/>
            </w:pPr>
            <w:r>
              <w:rPr>
                <w:rFonts w:eastAsiaTheme="minorEastAsia"/>
                <w:color w:val="000000" w:themeColor="text1"/>
                <w:szCs w:val="21"/>
              </w:rPr>
              <w:t>40</w:t>
            </w:r>
          </w:p>
        </w:tc>
        <w:tc>
          <w:tcPr>
            <w:tcW w:w="4320" w:type="dxa"/>
            <w:vAlign w:val="center"/>
          </w:tcPr>
          <w:p w:rsidR="00F14AEA" w:rsidRDefault="00EC6028">
            <w:pPr>
              <w:jc w:val="left"/>
            </w:pPr>
            <w:r>
              <w:rPr>
                <w:rFonts w:eastAsiaTheme="minorEastAsia"/>
                <w:color w:val="000000" w:themeColor="text1"/>
                <w:szCs w:val="21"/>
              </w:rPr>
              <w:t>易方达基金管理有限公司旗下部分开放式基金参加交通银行手机银行费率优惠活动的公告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中国证券报、上海证券报、证券时报、证券日报、基金管理人网站及中国证监会基金电子披露网站</w:t>
            </w:r>
          </w:p>
        </w:tc>
        <w:tc>
          <w:tcPr>
            <w:tcW w:w="1440" w:type="dxa"/>
            <w:vAlign w:val="center"/>
          </w:tcPr>
          <w:p w:rsidR="00F14AEA" w:rsidRDefault="00EC6028">
            <w:pPr>
              <w:jc w:val="center"/>
            </w:pPr>
            <w:r>
              <w:rPr>
                <w:rFonts w:eastAsiaTheme="minorEastAsia"/>
                <w:color w:val="000000" w:themeColor="text1"/>
                <w:szCs w:val="21"/>
              </w:rPr>
              <w:t>2019-12-31</w:t>
            </w:r>
          </w:p>
        </w:tc>
      </w:tr>
      <w:tr w:rsidR="00F14AEA">
        <w:tc>
          <w:tcPr>
            <w:tcW w:w="720" w:type="dxa"/>
            <w:vAlign w:val="center"/>
          </w:tcPr>
          <w:p w:rsidR="00F14AEA" w:rsidRDefault="00EC6028">
            <w:pPr>
              <w:jc w:val="center"/>
            </w:pPr>
            <w:r>
              <w:rPr>
                <w:rFonts w:eastAsiaTheme="minorEastAsia"/>
                <w:color w:val="000000" w:themeColor="text1"/>
                <w:szCs w:val="21"/>
              </w:rPr>
              <w:t>41</w:t>
            </w:r>
          </w:p>
        </w:tc>
        <w:tc>
          <w:tcPr>
            <w:tcW w:w="4320" w:type="dxa"/>
            <w:vAlign w:val="center"/>
          </w:tcPr>
          <w:p w:rsidR="00F14AEA" w:rsidRDefault="00EC6028">
            <w:pPr>
              <w:jc w:val="left"/>
            </w:pPr>
            <w:r>
              <w:rPr>
                <w:rFonts w:eastAsiaTheme="minorEastAsia"/>
                <w:color w:val="000000" w:themeColor="text1"/>
                <w:szCs w:val="21"/>
              </w:rPr>
              <w:t>易方达基金管理有限公司旗下部分开放式基金参加中国工商银行</w:t>
            </w:r>
            <w:r>
              <w:rPr>
                <w:rFonts w:eastAsiaTheme="minorEastAsia"/>
                <w:color w:val="000000" w:themeColor="text1"/>
                <w:szCs w:val="21"/>
              </w:rPr>
              <w:t>“2020</w:t>
            </w:r>
            <w:r>
              <w:rPr>
                <w:rFonts w:eastAsiaTheme="minorEastAsia"/>
                <w:color w:val="000000" w:themeColor="text1"/>
                <w:szCs w:val="21"/>
              </w:rPr>
              <w:t>倾心回馈</w:t>
            </w:r>
            <w:r>
              <w:rPr>
                <w:rFonts w:eastAsiaTheme="minorEastAsia"/>
                <w:color w:val="000000" w:themeColor="text1"/>
                <w:szCs w:val="21"/>
              </w:rPr>
              <w:t>”</w:t>
            </w:r>
            <w:r>
              <w:rPr>
                <w:rFonts w:eastAsiaTheme="minorEastAsia"/>
                <w:color w:val="000000" w:themeColor="text1"/>
                <w:szCs w:val="21"/>
              </w:rPr>
              <w:t>基金定期定额投资费率优惠活动的公告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中国证券报、上海证券报、证券时报、证券日报、基金管理人网站及中国证监会基金电子披露网站</w:t>
            </w:r>
          </w:p>
        </w:tc>
        <w:tc>
          <w:tcPr>
            <w:tcW w:w="1440" w:type="dxa"/>
            <w:vAlign w:val="center"/>
          </w:tcPr>
          <w:p w:rsidR="00F14AEA" w:rsidRDefault="00EC6028">
            <w:pPr>
              <w:jc w:val="center"/>
            </w:pPr>
            <w:r>
              <w:rPr>
                <w:rFonts w:eastAsiaTheme="minorEastAsia"/>
                <w:color w:val="000000" w:themeColor="text1"/>
                <w:szCs w:val="21"/>
              </w:rPr>
              <w:t>2019-12-31</w:t>
            </w:r>
          </w:p>
        </w:tc>
      </w:tr>
      <w:tr w:rsidR="00F14AEA">
        <w:tc>
          <w:tcPr>
            <w:tcW w:w="720" w:type="dxa"/>
            <w:vAlign w:val="center"/>
          </w:tcPr>
          <w:p w:rsidR="00F14AEA" w:rsidRDefault="00EC6028">
            <w:pPr>
              <w:jc w:val="center"/>
            </w:pPr>
            <w:r>
              <w:rPr>
                <w:rFonts w:eastAsiaTheme="minorEastAsia"/>
                <w:color w:val="000000" w:themeColor="text1"/>
                <w:szCs w:val="21"/>
              </w:rPr>
              <w:t>42</w:t>
            </w:r>
          </w:p>
        </w:tc>
        <w:tc>
          <w:tcPr>
            <w:tcW w:w="4320" w:type="dxa"/>
            <w:vAlign w:val="center"/>
          </w:tcPr>
          <w:p w:rsidR="00F14AEA" w:rsidRDefault="00EC6028">
            <w:pPr>
              <w:jc w:val="left"/>
            </w:pPr>
            <w:r>
              <w:rPr>
                <w:rFonts w:eastAsiaTheme="minorEastAsia"/>
                <w:color w:val="000000" w:themeColor="text1"/>
                <w:szCs w:val="21"/>
              </w:rPr>
              <w:t>易方达基金管理有限公司旗下部分开放式基金参加中国工商银行个人电子银行渠道申购费率优惠活动的公告</w:t>
            </w:r>
          </w:p>
        </w:tc>
        <w:tc>
          <w:tcPr>
            <w:tcW w:w="2520" w:type="dxa"/>
            <w:vAlign w:val="center"/>
          </w:tcPr>
          <w:p w:rsidR="00F14AEA" w:rsidRDefault="00EC6028">
            <w:pPr>
              <w:jc w:val="left"/>
            </w:pPr>
            <w:r>
              <w:rPr>
                <w:rFonts w:eastAsiaTheme="minorEastAsia"/>
                <w:color w:val="000000" w:themeColor="text1"/>
                <w:szCs w:val="21"/>
              </w:rPr>
              <w:t>中国证券报、上海证券报、证券时报、证券日报、基金管理人网站及中国证监会基金电子披露网站</w:t>
            </w:r>
          </w:p>
        </w:tc>
        <w:tc>
          <w:tcPr>
            <w:tcW w:w="1440" w:type="dxa"/>
            <w:vAlign w:val="center"/>
          </w:tcPr>
          <w:p w:rsidR="00F14AEA" w:rsidRDefault="00EC6028">
            <w:pPr>
              <w:jc w:val="center"/>
            </w:pPr>
            <w:r>
              <w:rPr>
                <w:rFonts w:eastAsiaTheme="minorEastAsia"/>
                <w:color w:val="000000" w:themeColor="text1"/>
                <w:szCs w:val="21"/>
              </w:rPr>
              <w:t>2019-12-31</w:t>
            </w:r>
          </w:p>
        </w:tc>
      </w:tr>
    </w:tbl>
    <w:p w:rsidR="007B62FA" w:rsidRPr="00AB6698" w:rsidRDefault="007B62FA" w:rsidP="007E24F2">
      <w:pPr>
        <w:pStyle w:val="20"/>
        <w:tabs>
          <w:tab w:val="num" w:pos="425"/>
        </w:tabs>
        <w:spacing w:beforeLines="100" w:before="312" w:afterLines="100" w:after="312"/>
        <w:ind w:left="425" w:hanging="425"/>
        <w:jc w:val="center"/>
        <w:rPr>
          <w:rFonts w:ascii="宋体" w:hAnsi="宋体" w:cs="Arial"/>
          <w:color w:val="000000"/>
          <w:sz w:val="21"/>
          <w:szCs w:val="21"/>
        </w:rPr>
      </w:pPr>
      <w:bookmarkStart w:id="380" w:name="_Toc225500055"/>
      <w:bookmarkStart w:id="381" w:name="_Toc352256020"/>
      <w:bookmarkStart w:id="382" w:name="_Toc352256088"/>
      <w:bookmarkStart w:id="383" w:name="_Toc352331266"/>
      <w:bookmarkStart w:id="384" w:name="_Toc362424045"/>
      <w:bookmarkStart w:id="385" w:name="_Toc35533856"/>
      <w:r w:rsidRPr="00AB6698">
        <w:rPr>
          <w:rFonts w:ascii="宋体" w:hAnsi="宋体" w:cs="Arial"/>
          <w:color w:val="000000"/>
          <w:sz w:val="21"/>
          <w:szCs w:val="21"/>
        </w:rPr>
        <w:t>§12</w:t>
      </w:r>
      <w:r w:rsidR="00ED3D4C" w:rsidRPr="00ED3D4C">
        <w:rPr>
          <w:rFonts w:ascii="宋体" w:hAnsi="宋体" w:cs="Arial"/>
          <w:color w:val="000000"/>
          <w:sz w:val="21"/>
          <w:szCs w:val="21"/>
        </w:rPr>
        <w:t xml:space="preserve">   </w:t>
      </w:r>
      <w:r w:rsidRPr="00AB6698">
        <w:rPr>
          <w:rFonts w:ascii="宋体" w:hAnsi="宋体" w:cs="Arial"/>
          <w:color w:val="000000"/>
          <w:sz w:val="21"/>
          <w:szCs w:val="21"/>
        </w:rPr>
        <w:t>备查文件目录</w:t>
      </w:r>
      <w:bookmarkEnd w:id="380"/>
      <w:bookmarkEnd w:id="381"/>
      <w:bookmarkEnd w:id="382"/>
      <w:bookmarkEnd w:id="383"/>
      <w:bookmarkEnd w:id="384"/>
      <w:bookmarkEnd w:id="385"/>
    </w:p>
    <w:p w:rsidR="007B62FA" w:rsidRPr="00940842" w:rsidRDefault="007B62FA" w:rsidP="00602A38">
      <w:pPr>
        <w:pStyle w:val="20"/>
        <w:spacing w:before="0" w:after="0"/>
        <w:rPr>
          <w:rFonts w:asciiTheme="majorEastAsia" w:eastAsiaTheme="majorEastAsia" w:hAnsiTheme="majorEastAsia"/>
          <w:color w:val="000000" w:themeColor="text1"/>
          <w:kern w:val="0"/>
          <w:sz w:val="21"/>
          <w:szCs w:val="21"/>
        </w:rPr>
      </w:pPr>
      <w:bookmarkStart w:id="386" w:name="_Toc352256021"/>
      <w:bookmarkStart w:id="387" w:name="_Toc352256089"/>
      <w:bookmarkStart w:id="388" w:name="_Toc352331267"/>
      <w:bookmarkStart w:id="389" w:name="_Toc362424046"/>
      <w:bookmarkStart w:id="390" w:name="_Toc35533857"/>
      <w:r w:rsidRPr="00940842">
        <w:rPr>
          <w:rFonts w:asciiTheme="majorEastAsia" w:eastAsiaTheme="majorEastAsia" w:hAnsiTheme="majorEastAsia"/>
          <w:color w:val="000000" w:themeColor="text1"/>
          <w:kern w:val="0"/>
          <w:sz w:val="21"/>
          <w:szCs w:val="21"/>
        </w:rPr>
        <w:t>12.1</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备查文件目录</w:t>
      </w:r>
      <w:bookmarkEnd w:id="386"/>
      <w:bookmarkEnd w:id="387"/>
      <w:bookmarkEnd w:id="388"/>
      <w:bookmarkEnd w:id="389"/>
      <w:bookmarkEnd w:id="390"/>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中国证监会核准易方达黄金主题证券投资基金（</w:t>
      </w:r>
      <w:r>
        <w:rPr>
          <w:rFonts w:eastAsiaTheme="minorEastAsia"/>
          <w:color w:val="000000" w:themeColor="text1"/>
          <w:szCs w:val="21"/>
        </w:rPr>
        <w:t>LOF</w:t>
      </w:r>
      <w:r>
        <w:rPr>
          <w:rFonts w:eastAsiaTheme="minorEastAsia"/>
          <w:color w:val="000000" w:themeColor="text1"/>
          <w:szCs w:val="21"/>
        </w:rPr>
        <w:t>）募集的文件；</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《易方达黄金主题证券投资基金（</w:t>
      </w:r>
      <w:r>
        <w:rPr>
          <w:rFonts w:eastAsiaTheme="minorEastAsia"/>
          <w:color w:val="000000" w:themeColor="text1"/>
          <w:szCs w:val="21"/>
        </w:rPr>
        <w:t>LOF</w:t>
      </w:r>
      <w:r>
        <w:rPr>
          <w:rFonts w:eastAsiaTheme="minorEastAsia"/>
          <w:color w:val="000000" w:themeColor="text1"/>
          <w:szCs w:val="21"/>
        </w:rPr>
        <w:t>）基金合同》；</w:t>
      </w:r>
    </w:p>
    <w:p w:rsidR="00F14AEA" w:rsidRDefault="00EC6028">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《易方达黄金主题证券投资基金（</w:t>
      </w:r>
      <w:r>
        <w:rPr>
          <w:rFonts w:eastAsiaTheme="minorEastAsia"/>
          <w:color w:val="000000" w:themeColor="text1"/>
          <w:szCs w:val="21"/>
        </w:rPr>
        <w:t>LOF</w:t>
      </w:r>
      <w:r>
        <w:rPr>
          <w:rFonts w:eastAsiaTheme="minorEastAsia"/>
          <w:color w:val="000000" w:themeColor="text1"/>
          <w:szCs w:val="21"/>
        </w:rPr>
        <w:t>）托管协议》；</w:t>
      </w:r>
    </w:p>
    <w:p w:rsidR="007B62FA" w:rsidRPr="00896265" w:rsidRDefault="007B62FA" w:rsidP="00B5782F">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 xml:space="preserve">4. </w:t>
      </w:r>
      <w:r w:rsidRPr="00896265">
        <w:rPr>
          <w:rFonts w:eastAsiaTheme="minorEastAsia"/>
          <w:color w:val="000000" w:themeColor="text1"/>
          <w:szCs w:val="21"/>
        </w:rPr>
        <w:t>基金管理人业务资格批件和营业执照。</w:t>
      </w:r>
    </w:p>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391" w:name="_Toc352256022"/>
      <w:bookmarkStart w:id="392" w:name="_Toc352256090"/>
      <w:bookmarkStart w:id="393" w:name="_Toc352331268"/>
      <w:bookmarkStart w:id="394" w:name="_Toc362424047"/>
      <w:bookmarkStart w:id="395" w:name="_Toc35533858"/>
      <w:r w:rsidRPr="00940842">
        <w:rPr>
          <w:rFonts w:asciiTheme="majorEastAsia" w:eastAsiaTheme="majorEastAsia" w:hAnsiTheme="majorEastAsia"/>
          <w:color w:val="000000" w:themeColor="text1"/>
          <w:kern w:val="0"/>
          <w:sz w:val="21"/>
          <w:szCs w:val="21"/>
        </w:rPr>
        <w:t>12.2</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存放地点</w:t>
      </w:r>
      <w:bookmarkEnd w:id="391"/>
      <w:bookmarkEnd w:id="392"/>
      <w:bookmarkEnd w:id="393"/>
      <w:bookmarkEnd w:id="394"/>
      <w:bookmarkEnd w:id="395"/>
    </w:p>
    <w:p w:rsidR="007B62FA" w:rsidRPr="00896265" w:rsidRDefault="007B62FA" w:rsidP="00B5782F">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广州市天河区珠江新城珠江东路</w:t>
      </w:r>
      <w:r w:rsidRPr="00896265">
        <w:rPr>
          <w:rFonts w:eastAsiaTheme="minorEastAsia"/>
          <w:color w:val="000000" w:themeColor="text1"/>
          <w:szCs w:val="21"/>
        </w:rPr>
        <w:t>30</w:t>
      </w:r>
      <w:r w:rsidRPr="00896265">
        <w:rPr>
          <w:rFonts w:eastAsiaTheme="minorEastAsia"/>
          <w:color w:val="000000" w:themeColor="text1"/>
          <w:szCs w:val="21"/>
        </w:rPr>
        <w:t>号广州银行大厦</w:t>
      </w:r>
      <w:r w:rsidRPr="00896265">
        <w:rPr>
          <w:rFonts w:eastAsiaTheme="minorEastAsia"/>
          <w:color w:val="000000" w:themeColor="text1"/>
          <w:szCs w:val="21"/>
        </w:rPr>
        <w:t>40-43</w:t>
      </w:r>
      <w:r w:rsidRPr="00896265">
        <w:rPr>
          <w:rFonts w:eastAsiaTheme="minorEastAsia"/>
          <w:color w:val="000000" w:themeColor="text1"/>
          <w:szCs w:val="21"/>
        </w:rPr>
        <w:t>楼。</w:t>
      </w:r>
    </w:p>
    <w:p w:rsidR="007B62FA" w:rsidRPr="00940842" w:rsidRDefault="007B62FA" w:rsidP="00940842">
      <w:pPr>
        <w:pStyle w:val="20"/>
        <w:spacing w:before="0" w:after="0"/>
        <w:rPr>
          <w:rFonts w:asciiTheme="majorEastAsia" w:eastAsiaTheme="majorEastAsia" w:hAnsiTheme="majorEastAsia"/>
          <w:color w:val="000000" w:themeColor="text1"/>
          <w:kern w:val="0"/>
          <w:sz w:val="21"/>
          <w:szCs w:val="21"/>
        </w:rPr>
      </w:pPr>
      <w:bookmarkStart w:id="396" w:name="_Toc352256023"/>
      <w:bookmarkStart w:id="397" w:name="_Toc352256091"/>
      <w:bookmarkStart w:id="398" w:name="_Toc352331269"/>
      <w:bookmarkStart w:id="399" w:name="_Toc362424048"/>
      <w:bookmarkStart w:id="400" w:name="_Toc35533859"/>
      <w:r w:rsidRPr="00940842">
        <w:rPr>
          <w:rFonts w:asciiTheme="majorEastAsia" w:eastAsiaTheme="majorEastAsia" w:hAnsiTheme="majorEastAsia"/>
          <w:color w:val="000000" w:themeColor="text1"/>
          <w:kern w:val="0"/>
          <w:sz w:val="21"/>
          <w:szCs w:val="21"/>
        </w:rPr>
        <w:t>12.3</w:t>
      </w:r>
      <w:r w:rsidR="00F73F35" w:rsidRPr="00940842">
        <w:rPr>
          <w:rFonts w:asciiTheme="majorEastAsia" w:eastAsiaTheme="majorEastAsia" w:hAnsiTheme="majorEastAsia"/>
          <w:color w:val="000000" w:themeColor="text1"/>
          <w:kern w:val="0"/>
          <w:sz w:val="21"/>
          <w:szCs w:val="21"/>
        </w:rPr>
        <w:t xml:space="preserve">    </w:t>
      </w:r>
      <w:r w:rsidRPr="00940842">
        <w:rPr>
          <w:rFonts w:asciiTheme="majorEastAsia" w:eastAsiaTheme="majorEastAsia" w:hAnsiTheme="majorEastAsia"/>
          <w:color w:val="000000" w:themeColor="text1"/>
          <w:kern w:val="0"/>
          <w:sz w:val="21"/>
          <w:szCs w:val="21"/>
        </w:rPr>
        <w:t>查阅方式</w:t>
      </w:r>
      <w:bookmarkEnd w:id="396"/>
      <w:bookmarkEnd w:id="397"/>
      <w:bookmarkEnd w:id="398"/>
      <w:bookmarkEnd w:id="399"/>
      <w:bookmarkEnd w:id="400"/>
    </w:p>
    <w:p w:rsidR="007B62FA" w:rsidRPr="00896265" w:rsidRDefault="007B62FA" w:rsidP="00602A38">
      <w:pPr>
        <w:spacing w:line="360" w:lineRule="auto"/>
        <w:ind w:firstLineChars="200" w:firstLine="420"/>
        <w:rPr>
          <w:rFonts w:eastAsiaTheme="minorEastAsia"/>
          <w:color w:val="000000" w:themeColor="text1"/>
          <w:szCs w:val="21"/>
        </w:rPr>
      </w:pPr>
      <w:r w:rsidRPr="00896265">
        <w:rPr>
          <w:rFonts w:eastAsiaTheme="minorEastAsia"/>
          <w:color w:val="000000" w:themeColor="text1"/>
          <w:szCs w:val="21"/>
        </w:rPr>
        <w:t>投资者可在营业时间免费查阅，也可按工本费购买复印件。</w:t>
      </w:r>
    </w:p>
    <w:p w:rsidR="007B62FA" w:rsidRPr="00896265" w:rsidRDefault="007B62FA" w:rsidP="00D0372D">
      <w:pPr>
        <w:spacing w:line="360" w:lineRule="auto"/>
        <w:ind w:firstLineChars="150" w:firstLine="315"/>
        <w:rPr>
          <w:rFonts w:eastAsiaTheme="minorEastAsia"/>
          <w:bCs/>
          <w:color w:val="000000" w:themeColor="text1"/>
          <w:szCs w:val="21"/>
        </w:rPr>
      </w:pPr>
    </w:p>
    <w:p w:rsidR="007B62FA" w:rsidRPr="00896265" w:rsidRDefault="007B62FA" w:rsidP="00D0372D">
      <w:pPr>
        <w:spacing w:line="360" w:lineRule="auto"/>
        <w:ind w:firstLineChars="150" w:firstLine="315"/>
        <w:rPr>
          <w:rFonts w:eastAsiaTheme="minorEastAsia"/>
          <w:bCs/>
          <w:color w:val="000000" w:themeColor="text1"/>
          <w:szCs w:val="21"/>
        </w:rPr>
      </w:pPr>
    </w:p>
    <w:p w:rsidR="007B62FA" w:rsidRPr="00896265" w:rsidRDefault="007B62FA" w:rsidP="00D0372D">
      <w:pPr>
        <w:spacing w:line="360" w:lineRule="auto"/>
        <w:ind w:firstLineChars="150" w:firstLine="315"/>
        <w:rPr>
          <w:rFonts w:eastAsiaTheme="minorEastAsia"/>
          <w:bCs/>
          <w:color w:val="000000" w:themeColor="text1"/>
          <w:szCs w:val="21"/>
        </w:rPr>
      </w:pPr>
    </w:p>
    <w:p w:rsidR="007B62FA" w:rsidRPr="00896265" w:rsidRDefault="007B62FA" w:rsidP="00D0372D">
      <w:pPr>
        <w:spacing w:line="360" w:lineRule="auto"/>
        <w:ind w:firstLineChars="150" w:firstLine="315"/>
        <w:rPr>
          <w:rFonts w:eastAsiaTheme="minorEastAsia"/>
          <w:bCs/>
          <w:color w:val="000000" w:themeColor="text1"/>
          <w:szCs w:val="21"/>
        </w:rPr>
      </w:pPr>
    </w:p>
    <w:p w:rsidR="007B62FA" w:rsidRPr="00896265" w:rsidRDefault="007B62FA" w:rsidP="00D0372D">
      <w:pPr>
        <w:spacing w:line="360" w:lineRule="auto"/>
        <w:ind w:firstLineChars="150" w:firstLine="315"/>
        <w:rPr>
          <w:rFonts w:eastAsiaTheme="minorEastAsia"/>
          <w:bCs/>
          <w:color w:val="000000" w:themeColor="text1"/>
          <w:szCs w:val="21"/>
        </w:rPr>
      </w:pPr>
    </w:p>
    <w:p w:rsidR="007B62FA" w:rsidRPr="00896265" w:rsidRDefault="007B62FA" w:rsidP="00417F87">
      <w:pPr>
        <w:spacing w:line="360" w:lineRule="auto"/>
        <w:ind w:left="840"/>
        <w:jc w:val="right"/>
        <w:rPr>
          <w:rFonts w:eastAsiaTheme="minorEastAsia"/>
          <w:b/>
          <w:bCs/>
          <w:color w:val="000000" w:themeColor="text1"/>
          <w:szCs w:val="21"/>
        </w:rPr>
      </w:pPr>
      <w:r w:rsidRPr="00896265">
        <w:rPr>
          <w:rFonts w:eastAsiaTheme="minorEastAsia"/>
          <w:b/>
          <w:bCs/>
          <w:color w:val="000000" w:themeColor="text1"/>
          <w:szCs w:val="21"/>
        </w:rPr>
        <w:t>易方达基金管理有限公司</w:t>
      </w:r>
    </w:p>
    <w:p w:rsidR="007B62FA" w:rsidRPr="00896265" w:rsidRDefault="00B50B04" w:rsidP="00436556">
      <w:pPr>
        <w:spacing w:line="360" w:lineRule="auto"/>
        <w:ind w:left="840"/>
        <w:jc w:val="right"/>
        <w:rPr>
          <w:rFonts w:eastAsiaTheme="minorEastAsia"/>
          <w:b/>
          <w:bCs/>
          <w:color w:val="000000" w:themeColor="text1"/>
          <w:szCs w:val="21"/>
        </w:rPr>
      </w:pPr>
      <w:r w:rsidRPr="00896265">
        <w:rPr>
          <w:rFonts w:eastAsiaTheme="minorEastAsia"/>
          <w:b/>
          <w:bCs/>
          <w:color w:val="000000" w:themeColor="text1"/>
          <w:szCs w:val="21"/>
        </w:rPr>
        <w:t>二〇二〇年三月三十一日</w:t>
      </w:r>
    </w:p>
    <w:sectPr w:rsidR="007B62FA" w:rsidRPr="00896265"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796" w:rsidRDefault="00323796">
      <w:r>
        <w:separator/>
      </w:r>
    </w:p>
  </w:endnote>
  <w:endnote w:type="continuationSeparator" w:id="0">
    <w:p w:rsidR="00323796" w:rsidRDefault="0032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2C" w:rsidRDefault="00AA712C"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A712C" w:rsidRDefault="00AA712C"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2C" w:rsidRDefault="00AA712C"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22EDF">
      <w:rPr>
        <w:noProof/>
        <w:kern w:val="0"/>
        <w:szCs w:val="21"/>
      </w:rPr>
      <w:t>32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22EDF">
      <w:rPr>
        <w:noProof/>
        <w:kern w:val="0"/>
        <w:szCs w:val="21"/>
      </w:rPr>
      <w:t>40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796" w:rsidRDefault="00323796">
      <w:r>
        <w:separator/>
      </w:r>
    </w:p>
  </w:footnote>
  <w:footnote w:type="continuationSeparator" w:id="0">
    <w:p w:rsidR="00323796" w:rsidRDefault="00323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2C" w:rsidRPr="00350014" w:rsidRDefault="00AA712C" w:rsidP="00350014">
    <w:pPr>
      <w:pStyle w:val="aa"/>
      <w:pBdr>
        <w:bottom w:val="single" w:sz="6" w:space="0" w:color="auto"/>
      </w:pBdr>
      <w:jc w:val="right"/>
      <w:rPr>
        <w:sz w:val="21"/>
        <w:szCs w:val="21"/>
      </w:rPr>
    </w:pPr>
    <w:r w:rsidRPr="0098122D">
      <w:rPr>
        <w:sz w:val="21"/>
        <w:szCs w:val="21"/>
      </w:rPr>
      <w:t>易方达黄金主题证券投资基金（</w:t>
    </w:r>
    <w:r w:rsidRPr="0098122D">
      <w:rPr>
        <w:sz w:val="21"/>
        <w:szCs w:val="21"/>
      </w:rPr>
      <w:t>LOF</w:t>
    </w:r>
    <w:r w:rsidRPr="0098122D">
      <w:rPr>
        <w:sz w:val="21"/>
        <w:szCs w:val="21"/>
      </w:rPr>
      <w:t>）</w:t>
    </w:r>
    <w:r w:rsidRPr="0098122D">
      <w:rPr>
        <w:sz w:val="21"/>
        <w:szCs w:val="21"/>
      </w:rPr>
      <w:t>2019</w:t>
    </w:r>
    <w:r w:rsidRPr="0098122D">
      <w:rPr>
        <w:sz w:val="21"/>
        <w:szCs w:val="21"/>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337"/>
    <w:rsid w:val="00004645"/>
    <w:rsid w:val="00005172"/>
    <w:rsid w:val="0000551D"/>
    <w:rsid w:val="00005911"/>
    <w:rsid w:val="00006513"/>
    <w:rsid w:val="0000686E"/>
    <w:rsid w:val="00007D96"/>
    <w:rsid w:val="000102A7"/>
    <w:rsid w:val="00010918"/>
    <w:rsid w:val="00010A83"/>
    <w:rsid w:val="00010A8E"/>
    <w:rsid w:val="00010AC3"/>
    <w:rsid w:val="00010C1F"/>
    <w:rsid w:val="00010F11"/>
    <w:rsid w:val="00011081"/>
    <w:rsid w:val="00011EB5"/>
    <w:rsid w:val="0001280C"/>
    <w:rsid w:val="00012A03"/>
    <w:rsid w:val="000131C1"/>
    <w:rsid w:val="00013569"/>
    <w:rsid w:val="00013CAE"/>
    <w:rsid w:val="00015236"/>
    <w:rsid w:val="00015E54"/>
    <w:rsid w:val="000162AF"/>
    <w:rsid w:val="0001748B"/>
    <w:rsid w:val="00017581"/>
    <w:rsid w:val="0001767C"/>
    <w:rsid w:val="00020583"/>
    <w:rsid w:val="00021813"/>
    <w:rsid w:val="00021DD4"/>
    <w:rsid w:val="000221FE"/>
    <w:rsid w:val="00022642"/>
    <w:rsid w:val="00023BE7"/>
    <w:rsid w:val="0002453B"/>
    <w:rsid w:val="00024C15"/>
    <w:rsid w:val="00024C62"/>
    <w:rsid w:val="00024CA0"/>
    <w:rsid w:val="0002531B"/>
    <w:rsid w:val="0002609F"/>
    <w:rsid w:val="00026A7D"/>
    <w:rsid w:val="000274FE"/>
    <w:rsid w:val="000276C9"/>
    <w:rsid w:val="00027CFC"/>
    <w:rsid w:val="00031492"/>
    <w:rsid w:val="0003228A"/>
    <w:rsid w:val="000322D4"/>
    <w:rsid w:val="000322D5"/>
    <w:rsid w:val="0003271C"/>
    <w:rsid w:val="00032ADD"/>
    <w:rsid w:val="00032FE1"/>
    <w:rsid w:val="000331EA"/>
    <w:rsid w:val="00033EC1"/>
    <w:rsid w:val="00034BA5"/>
    <w:rsid w:val="00034C00"/>
    <w:rsid w:val="000358FE"/>
    <w:rsid w:val="00036013"/>
    <w:rsid w:val="000364C4"/>
    <w:rsid w:val="000369F5"/>
    <w:rsid w:val="00037267"/>
    <w:rsid w:val="000378BC"/>
    <w:rsid w:val="00037A1C"/>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4A87"/>
    <w:rsid w:val="0004501A"/>
    <w:rsid w:val="00045671"/>
    <w:rsid w:val="000471B4"/>
    <w:rsid w:val="00050260"/>
    <w:rsid w:val="000506E5"/>
    <w:rsid w:val="000509E4"/>
    <w:rsid w:val="000510AB"/>
    <w:rsid w:val="00051326"/>
    <w:rsid w:val="000514E0"/>
    <w:rsid w:val="00052448"/>
    <w:rsid w:val="00052EE8"/>
    <w:rsid w:val="00053091"/>
    <w:rsid w:val="0005346A"/>
    <w:rsid w:val="000534CD"/>
    <w:rsid w:val="00053EED"/>
    <w:rsid w:val="0005448A"/>
    <w:rsid w:val="000546BD"/>
    <w:rsid w:val="00055AF1"/>
    <w:rsid w:val="000561FC"/>
    <w:rsid w:val="00056982"/>
    <w:rsid w:val="00057360"/>
    <w:rsid w:val="000573B5"/>
    <w:rsid w:val="00060597"/>
    <w:rsid w:val="00060A2C"/>
    <w:rsid w:val="00060CB4"/>
    <w:rsid w:val="00061167"/>
    <w:rsid w:val="00061E04"/>
    <w:rsid w:val="00062997"/>
    <w:rsid w:val="00063C17"/>
    <w:rsid w:val="00063D34"/>
    <w:rsid w:val="0006475F"/>
    <w:rsid w:val="00064AE3"/>
    <w:rsid w:val="00064FC8"/>
    <w:rsid w:val="00066524"/>
    <w:rsid w:val="000671A3"/>
    <w:rsid w:val="00067A7A"/>
    <w:rsid w:val="00067CC5"/>
    <w:rsid w:val="00070156"/>
    <w:rsid w:val="00070CD1"/>
    <w:rsid w:val="00070E1F"/>
    <w:rsid w:val="00071022"/>
    <w:rsid w:val="0007171B"/>
    <w:rsid w:val="000717A1"/>
    <w:rsid w:val="00071E3E"/>
    <w:rsid w:val="000727BC"/>
    <w:rsid w:val="00072D5C"/>
    <w:rsid w:val="00072DE0"/>
    <w:rsid w:val="000734C5"/>
    <w:rsid w:val="00073C72"/>
    <w:rsid w:val="00073DB1"/>
    <w:rsid w:val="00073F87"/>
    <w:rsid w:val="000746F0"/>
    <w:rsid w:val="00076397"/>
    <w:rsid w:val="000764CB"/>
    <w:rsid w:val="00076CC5"/>
    <w:rsid w:val="000801F4"/>
    <w:rsid w:val="00080423"/>
    <w:rsid w:val="0008141B"/>
    <w:rsid w:val="00081A3D"/>
    <w:rsid w:val="00081D05"/>
    <w:rsid w:val="0008226A"/>
    <w:rsid w:val="000828A4"/>
    <w:rsid w:val="00083BAF"/>
    <w:rsid w:val="000845B3"/>
    <w:rsid w:val="00084ADE"/>
    <w:rsid w:val="0008506D"/>
    <w:rsid w:val="000852F3"/>
    <w:rsid w:val="00085E0F"/>
    <w:rsid w:val="00085F3E"/>
    <w:rsid w:val="000861D6"/>
    <w:rsid w:val="0008624A"/>
    <w:rsid w:val="000863CA"/>
    <w:rsid w:val="00086622"/>
    <w:rsid w:val="000866EC"/>
    <w:rsid w:val="00086F96"/>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197"/>
    <w:rsid w:val="000A457E"/>
    <w:rsid w:val="000A4672"/>
    <w:rsid w:val="000A4C65"/>
    <w:rsid w:val="000A4FEF"/>
    <w:rsid w:val="000A53FD"/>
    <w:rsid w:val="000A549A"/>
    <w:rsid w:val="000A578A"/>
    <w:rsid w:val="000A5C94"/>
    <w:rsid w:val="000A5CFC"/>
    <w:rsid w:val="000A72F2"/>
    <w:rsid w:val="000B0175"/>
    <w:rsid w:val="000B0A49"/>
    <w:rsid w:val="000B0C56"/>
    <w:rsid w:val="000B15FE"/>
    <w:rsid w:val="000B2B57"/>
    <w:rsid w:val="000B2C8D"/>
    <w:rsid w:val="000B36CC"/>
    <w:rsid w:val="000B3E43"/>
    <w:rsid w:val="000B40E5"/>
    <w:rsid w:val="000B417C"/>
    <w:rsid w:val="000B4365"/>
    <w:rsid w:val="000B548A"/>
    <w:rsid w:val="000B5CC0"/>
    <w:rsid w:val="000B5D45"/>
    <w:rsid w:val="000B6049"/>
    <w:rsid w:val="000B682A"/>
    <w:rsid w:val="000B6D23"/>
    <w:rsid w:val="000C01F9"/>
    <w:rsid w:val="000C05AB"/>
    <w:rsid w:val="000C0871"/>
    <w:rsid w:val="000C0CA5"/>
    <w:rsid w:val="000C0F55"/>
    <w:rsid w:val="000C127D"/>
    <w:rsid w:val="000C15BE"/>
    <w:rsid w:val="000C1723"/>
    <w:rsid w:val="000C1B20"/>
    <w:rsid w:val="000C224F"/>
    <w:rsid w:val="000C33AB"/>
    <w:rsid w:val="000C3FD9"/>
    <w:rsid w:val="000C4107"/>
    <w:rsid w:val="000C45E7"/>
    <w:rsid w:val="000C45F5"/>
    <w:rsid w:val="000C462E"/>
    <w:rsid w:val="000C5555"/>
    <w:rsid w:val="000C5C31"/>
    <w:rsid w:val="000C5E98"/>
    <w:rsid w:val="000C698D"/>
    <w:rsid w:val="000C705C"/>
    <w:rsid w:val="000C7197"/>
    <w:rsid w:val="000C7AE4"/>
    <w:rsid w:val="000D01F4"/>
    <w:rsid w:val="000D064E"/>
    <w:rsid w:val="000D0B89"/>
    <w:rsid w:val="000D1519"/>
    <w:rsid w:val="000D2869"/>
    <w:rsid w:val="000D3145"/>
    <w:rsid w:val="000D36D1"/>
    <w:rsid w:val="000D4783"/>
    <w:rsid w:val="000D4AAD"/>
    <w:rsid w:val="000D5155"/>
    <w:rsid w:val="000D52DC"/>
    <w:rsid w:val="000D6054"/>
    <w:rsid w:val="000D619B"/>
    <w:rsid w:val="000D6779"/>
    <w:rsid w:val="000D788B"/>
    <w:rsid w:val="000D7C4C"/>
    <w:rsid w:val="000E26C1"/>
    <w:rsid w:val="000E2F32"/>
    <w:rsid w:val="000E2FC4"/>
    <w:rsid w:val="000E3487"/>
    <w:rsid w:val="000E34ED"/>
    <w:rsid w:val="000E4456"/>
    <w:rsid w:val="000E53A8"/>
    <w:rsid w:val="000E6184"/>
    <w:rsid w:val="000E67FE"/>
    <w:rsid w:val="000E7385"/>
    <w:rsid w:val="000F0477"/>
    <w:rsid w:val="000F0C0A"/>
    <w:rsid w:val="000F0CE9"/>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100C12"/>
    <w:rsid w:val="00100D83"/>
    <w:rsid w:val="00100F34"/>
    <w:rsid w:val="001013A8"/>
    <w:rsid w:val="001016E1"/>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10599"/>
    <w:rsid w:val="00110B82"/>
    <w:rsid w:val="001116BA"/>
    <w:rsid w:val="0011177A"/>
    <w:rsid w:val="0011179E"/>
    <w:rsid w:val="00111C71"/>
    <w:rsid w:val="00112484"/>
    <w:rsid w:val="0011289F"/>
    <w:rsid w:val="00113B73"/>
    <w:rsid w:val="00113F47"/>
    <w:rsid w:val="001141C0"/>
    <w:rsid w:val="00116E31"/>
    <w:rsid w:val="001172AE"/>
    <w:rsid w:val="00117CC3"/>
    <w:rsid w:val="00120169"/>
    <w:rsid w:val="00120EED"/>
    <w:rsid w:val="001212B4"/>
    <w:rsid w:val="0012304E"/>
    <w:rsid w:val="001239C8"/>
    <w:rsid w:val="00123A56"/>
    <w:rsid w:val="00123D1A"/>
    <w:rsid w:val="00124247"/>
    <w:rsid w:val="001248EF"/>
    <w:rsid w:val="001257C7"/>
    <w:rsid w:val="00126502"/>
    <w:rsid w:val="00126AF2"/>
    <w:rsid w:val="00126DDF"/>
    <w:rsid w:val="001270BF"/>
    <w:rsid w:val="0012764F"/>
    <w:rsid w:val="00127BAC"/>
    <w:rsid w:val="00127FF5"/>
    <w:rsid w:val="001308A9"/>
    <w:rsid w:val="00130CF8"/>
    <w:rsid w:val="00131EC2"/>
    <w:rsid w:val="0013226C"/>
    <w:rsid w:val="00132E82"/>
    <w:rsid w:val="0013374F"/>
    <w:rsid w:val="00135467"/>
    <w:rsid w:val="00135C6B"/>
    <w:rsid w:val="001364D3"/>
    <w:rsid w:val="001366C4"/>
    <w:rsid w:val="0013686A"/>
    <w:rsid w:val="00136BE0"/>
    <w:rsid w:val="0013718B"/>
    <w:rsid w:val="00137B97"/>
    <w:rsid w:val="00137BB5"/>
    <w:rsid w:val="00137BB9"/>
    <w:rsid w:val="00137C74"/>
    <w:rsid w:val="00137D50"/>
    <w:rsid w:val="00140038"/>
    <w:rsid w:val="00141563"/>
    <w:rsid w:val="001417D1"/>
    <w:rsid w:val="001419CA"/>
    <w:rsid w:val="00141A2D"/>
    <w:rsid w:val="00142280"/>
    <w:rsid w:val="0014241E"/>
    <w:rsid w:val="001424C6"/>
    <w:rsid w:val="00142A56"/>
    <w:rsid w:val="001432A7"/>
    <w:rsid w:val="00143BE5"/>
    <w:rsid w:val="00144280"/>
    <w:rsid w:val="00144AAD"/>
    <w:rsid w:val="00144DF5"/>
    <w:rsid w:val="001455AF"/>
    <w:rsid w:val="001455C7"/>
    <w:rsid w:val="00145A97"/>
    <w:rsid w:val="00146485"/>
    <w:rsid w:val="00146A28"/>
    <w:rsid w:val="00146B77"/>
    <w:rsid w:val="00147492"/>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B5A"/>
    <w:rsid w:val="0016050B"/>
    <w:rsid w:val="00161798"/>
    <w:rsid w:val="0016380C"/>
    <w:rsid w:val="00163816"/>
    <w:rsid w:val="00163B27"/>
    <w:rsid w:val="0016425E"/>
    <w:rsid w:val="00164BC0"/>
    <w:rsid w:val="00164BF7"/>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44B4"/>
    <w:rsid w:val="001751EF"/>
    <w:rsid w:val="001756A1"/>
    <w:rsid w:val="001761EE"/>
    <w:rsid w:val="00176EAA"/>
    <w:rsid w:val="00177030"/>
    <w:rsid w:val="0017725A"/>
    <w:rsid w:val="0017747A"/>
    <w:rsid w:val="00177C4B"/>
    <w:rsid w:val="00177F6A"/>
    <w:rsid w:val="001816C3"/>
    <w:rsid w:val="0018187C"/>
    <w:rsid w:val="00182137"/>
    <w:rsid w:val="001822F7"/>
    <w:rsid w:val="00182A38"/>
    <w:rsid w:val="0018325A"/>
    <w:rsid w:val="00183339"/>
    <w:rsid w:val="001839A3"/>
    <w:rsid w:val="00183D7A"/>
    <w:rsid w:val="00184794"/>
    <w:rsid w:val="00184CAE"/>
    <w:rsid w:val="00186199"/>
    <w:rsid w:val="00186D33"/>
    <w:rsid w:val="00186F7A"/>
    <w:rsid w:val="00190AE2"/>
    <w:rsid w:val="00190E27"/>
    <w:rsid w:val="001928F7"/>
    <w:rsid w:val="00192AD3"/>
    <w:rsid w:val="00192ECC"/>
    <w:rsid w:val="00193182"/>
    <w:rsid w:val="00193575"/>
    <w:rsid w:val="0019389D"/>
    <w:rsid w:val="00193B62"/>
    <w:rsid w:val="00194522"/>
    <w:rsid w:val="00194537"/>
    <w:rsid w:val="0019501B"/>
    <w:rsid w:val="0019563C"/>
    <w:rsid w:val="001956CA"/>
    <w:rsid w:val="00195B79"/>
    <w:rsid w:val="001A088E"/>
    <w:rsid w:val="001A0F4A"/>
    <w:rsid w:val="001A16AE"/>
    <w:rsid w:val="001A1A70"/>
    <w:rsid w:val="001A1B13"/>
    <w:rsid w:val="001A1D38"/>
    <w:rsid w:val="001A21A9"/>
    <w:rsid w:val="001A21B7"/>
    <w:rsid w:val="001A2A97"/>
    <w:rsid w:val="001A3339"/>
    <w:rsid w:val="001A364F"/>
    <w:rsid w:val="001A3803"/>
    <w:rsid w:val="001A39B7"/>
    <w:rsid w:val="001A42FA"/>
    <w:rsid w:val="001A4AEC"/>
    <w:rsid w:val="001A4AFC"/>
    <w:rsid w:val="001A5547"/>
    <w:rsid w:val="001A59D8"/>
    <w:rsid w:val="001A5FA6"/>
    <w:rsid w:val="001A668F"/>
    <w:rsid w:val="001A6905"/>
    <w:rsid w:val="001A71CC"/>
    <w:rsid w:val="001A74A1"/>
    <w:rsid w:val="001A7F30"/>
    <w:rsid w:val="001B2F0C"/>
    <w:rsid w:val="001B30CA"/>
    <w:rsid w:val="001B3513"/>
    <w:rsid w:val="001B353A"/>
    <w:rsid w:val="001B3D3E"/>
    <w:rsid w:val="001B50CD"/>
    <w:rsid w:val="001B52FE"/>
    <w:rsid w:val="001B5BCC"/>
    <w:rsid w:val="001B69CB"/>
    <w:rsid w:val="001B7890"/>
    <w:rsid w:val="001B7C43"/>
    <w:rsid w:val="001C005A"/>
    <w:rsid w:val="001C00CF"/>
    <w:rsid w:val="001C0806"/>
    <w:rsid w:val="001C2F9C"/>
    <w:rsid w:val="001C2FA5"/>
    <w:rsid w:val="001C3399"/>
    <w:rsid w:val="001C37F6"/>
    <w:rsid w:val="001C4928"/>
    <w:rsid w:val="001C4D9F"/>
    <w:rsid w:val="001C5289"/>
    <w:rsid w:val="001C6288"/>
    <w:rsid w:val="001C67A1"/>
    <w:rsid w:val="001C6E2B"/>
    <w:rsid w:val="001C7C6D"/>
    <w:rsid w:val="001D0538"/>
    <w:rsid w:val="001D0634"/>
    <w:rsid w:val="001D0F6A"/>
    <w:rsid w:val="001D1BB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221F"/>
    <w:rsid w:val="001F3CC6"/>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2E0B"/>
    <w:rsid w:val="00203973"/>
    <w:rsid w:val="00203AEF"/>
    <w:rsid w:val="002057EF"/>
    <w:rsid w:val="00207DB1"/>
    <w:rsid w:val="00207E26"/>
    <w:rsid w:val="00211A26"/>
    <w:rsid w:val="00212249"/>
    <w:rsid w:val="0021243C"/>
    <w:rsid w:val="002125F7"/>
    <w:rsid w:val="00212901"/>
    <w:rsid w:val="0021397C"/>
    <w:rsid w:val="00214463"/>
    <w:rsid w:val="00214756"/>
    <w:rsid w:val="00215394"/>
    <w:rsid w:val="00215918"/>
    <w:rsid w:val="00215CF2"/>
    <w:rsid w:val="00215D9F"/>
    <w:rsid w:val="00216310"/>
    <w:rsid w:val="00216632"/>
    <w:rsid w:val="00216BCE"/>
    <w:rsid w:val="00217867"/>
    <w:rsid w:val="00220542"/>
    <w:rsid w:val="00220D7F"/>
    <w:rsid w:val="002210EB"/>
    <w:rsid w:val="00221174"/>
    <w:rsid w:val="00221AC7"/>
    <w:rsid w:val="00221DD9"/>
    <w:rsid w:val="002229B6"/>
    <w:rsid w:val="00222DE3"/>
    <w:rsid w:val="002233F0"/>
    <w:rsid w:val="0022498A"/>
    <w:rsid w:val="00225756"/>
    <w:rsid w:val="00225ADC"/>
    <w:rsid w:val="00225CEB"/>
    <w:rsid w:val="0022692D"/>
    <w:rsid w:val="00226C59"/>
    <w:rsid w:val="002309A7"/>
    <w:rsid w:val="00231196"/>
    <w:rsid w:val="002318F3"/>
    <w:rsid w:val="0023323F"/>
    <w:rsid w:val="00234202"/>
    <w:rsid w:val="00235842"/>
    <w:rsid w:val="002359EB"/>
    <w:rsid w:val="002363AB"/>
    <w:rsid w:val="00236933"/>
    <w:rsid w:val="00236E9A"/>
    <w:rsid w:val="0023727B"/>
    <w:rsid w:val="00237579"/>
    <w:rsid w:val="00237675"/>
    <w:rsid w:val="00237C6D"/>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51F"/>
    <w:rsid w:val="00247729"/>
    <w:rsid w:val="0025158D"/>
    <w:rsid w:val="00251C7E"/>
    <w:rsid w:val="00252697"/>
    <w:rsid w:val="0025281A"/>
    <w:rsid w:val="00253D3C"/>
    <w:rsid w:val="002544D7"/>
    <w:rsid w:val="00255292"/>
    <w:rsid w:val="00257578"/>
    <w:rsid w:val="00260200"/>
    <w:rsid w:val="00260B06"/>
    <w:rsid w:val="00260BFB"/>
    <w:rsid w:val="00260FC4"/>
    <w:rsid w:val="0026196C"/>
    <w:rsid w:val="00261D93"/>
    <w:rsid w:val="00262029"/>
    <w:rsid w:val="00262553"/>
    <w:rsid w:val="00263BBD"/>
    <w:rsid w:val="00264252"/>
    <w:rsid w:val="002648D8"/>
    <w:rsid w:val="002655BD"/>
    <w:rsid w:val="00265AFB"/>
    <w:rsid w:val="00267C30"/>
    <w:rsid w:val="00267EE3"/>
    <w:rsid w:val="00267F59"/>
    <w:rsid w:val="002700E9"/>
    <w:rsid w:val="00270CE9"/>
    <w:rsid w:val="00270F44"/>
    <w:rsid w:val="0027235A"/>
    <w:rsid w:val="00272EFC"/>
    <w:rsid w:val="00273083"/>
    <w:rsid w:val="00273F86"/>
    <w:rsid w:val="002741BE"/>
    <w:rsid w:val="002752EA"/>
    <w:rsid w:val="0027534A"/>
    <w:rsid w:val="00275D56"/>
    <w:rsid w:val="00275EAD"/>
    <w:rsid w:val="00276B03"/>
    <w:rsid w:val="00277247"/>
    <w:rsid w:val="0027730C"/>
    <w:rsid w:val="002773FB"/>
    <w:rsid w:val="002774F0"/>
    <w:rsid w:val="00277722"/>
    <w:rsid w:val="002813C5"/>
    <w:rsid w:val="00281BB3"/>
    <w:rsid w:val="0028284A"/>
    <w:rsid w:val="00282C23"/>
    <w:rsid w:val="0028315D"/>
    <w:rsid w:val="00283885"/>
    <w:rsid w:val="002839A4"/>
    <w:rsid w:val="0028430E"/>
    <w:rsid w:val="0028459B"/>
    <w:rsid w:val="00284B43"/>
    <w:rsid w:val="00284C5F"/>
    <w:rsid w:val="0028507E"/>
    <w:rsid w:val="00286183"/>
    <w:rsid w:val="00286F19"/>
    <w:rsid w:val="002873F0"/>
    <w:rsid w:val="00287762"/>
    <w:rsid w:val="00290793"/>
    <w:rsid w:val="002916E3"/>
    <w:rsid w:val="00291A70"/>
    <w:rsid w:val="00291A85"/>
    <w:rsid w:val="00291C84"/>
    <w:rsid w:val="00291F6F"/>
    <w:rsid w:val="002925F4"/>
    <w:rsid w:val="002932C4"/>
    <w:rsid w:val="0029379A"/>
    <w:rsid w:val="00293C97"/>
    <w:rsid w:val="002942CB"/>
    <w:rsid w:val="00294D8F"/>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741"/>
    <w:rsid w:val="002B1851"/>
    <w:rsid w:val="002B240B"/>
    <w:rsid w:val="002B26EA"/>
    <w:rsid w:val="002B27FF"/>
    <w:rsid w:val="002B2F4E"/>
    <w:rsid w:val="002B32F2"/>
    <w:rsid w:val="002B5462"/>
    <w:rsid w:val="002B5C8E"/>
    <w:rsid w:val="002B6793"/>
    <w:rsid w:val="002B6A7A"/>
    <w:rsid w:val="002B780B"/>
    <w:rsid w:val="002B7D41"/>
    <w:rsid w:val="002C0D22"/>
    <w:rsid w:val="002C1260"/>
    <w:rsid w:val="002C1726"/>
    <w:rsid w:val="002C21A6"/>
    <w:rsid w:val="002C26D5"/>
    <w:rsid w:val="002C5777"/>
    <w:rsid w:val="002C5889"/>
    <w:rsid w:val="002C65FA"/>
    <w:rsid w:val="002C661D"/>
    <w:rsid w:val="002C6862"/>
    <w:rsid w:val="002C7C89"/>
    <w:rsid w:val="002D0B5F"/>
    <w:rsid w:val="002D1A0F"/>
    <w:rsid w:val="002D22BF"/>
    <w:rsid w:val="002D237C"/>
    <w:rsid w:val="002D29CB"/>
    <w:rsid w:val="002D32E3"/>
    <w:rsid w:val="002D33F1"/>
    <w:rsid w:val="002D353D"/>
    <w:rsid w:val="002D3A71"/>
    <w:rsid w:val="002D52AD"/>
    <w:rsid w:val="002D58D8"/>
    <w:rsid w:val="002D5EB1"/>
    <w:rsid w:val="002D6E81"/>
    <w:rsid w:val="002E0394"/>
    <w:rsid w:val="002E0644"/>
    <w:rsid w:val="002E0FEB"/>
    <w:rsid w:val="002E171B"/>
    <w:rsid w:val="002E1BCA"/>
    <w:rsid w:val="002E319D"/>
    <w:rsid w:val="002E4AD5"/>
    <w:rsid w:val="002E4C2D"/>
    <w:rsid w:val="002E6461"/>
    <w:rsid w:val="002E726A"/>
    <w:rsid w:val="002E72F6"/>
    <w:rsid w:val="002F05CD"/>
    <w:rsid w:val="002F0F79"/>
    <w:rsid w:val="002F100F"/>
    <w:rsid w:val="002F145D"/>
    <w:rsid w:val="002F1C9E"/>
    <w:rsid w:val="002F1EB2"/>
    <w:rsid w:val="002F280E"/>
    <w:rsid w:val="002F2CBB"/>
    <w:rsid w:val="002F3470"/>
    <w:rsid w:val="002F3709"/>
    <w:rsid w:val="002F3773"/>
    <w:rsid w:val="002F3A6C"/>
    <w:rsid w:val="002F4296"/>
    <w:rsid w:val="002F5777"/>
    <w:rsid w:val="002F5836"/>
    <w:rsid w:val="002F60EA"/>
    <w:rsid w:val="002F680E"/>
    <w:rsid w:val="00300951"/>
    <w:rsid w:val="00300E8A"/>
    <w:rsid w:val="003023C9"/>
    <w:rsid w:val="003029E6"/>
    <w:rsid w:val="00302CA8"/>
    <w:rsid w:val="00302DE9"/>
    <w:rsid w:val="00304860"/>
    <w:rsid w:val="00304E23"/>
    <w:rsid w:val="00305084"/>
    <w:rsid w:val="00305871"/>
    <w:rsid w:val="00305EA2"/>
    <w:rsid w:val="003060BC"/>
    <w:rsid w:val="003060C1"/>
    <w:rsid w:val="00306408"/>
    <w:rsid w:val="003066D0"/>
    <w:rsid w:val="00306B13"/>
    <w:rsid w:val="00307249"/>
    <w:rsid w:val="0031165C"/>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B80"/>
    <w:rsid w:val="00317C8E"/>
    <w:rsid w:val="003201F9"/>
    <w:rsid w:val="003204E9"/>
    <w:rsid w:val="0032050A"/>
    <w:rsid w:val="00320AF3"/>
    <w:rsid w:val="00320B7B"/>
    <w:rsid w:val="0032160D"/>
    <w:rsid w:val="00321618"/>
    <w:rsid w:val="00321E8C"/>
    <w:rsid w:val="00321FDA"/>
    <w:rsid w:val="00322318"/>
    <w:rsid w:val="00322A86"/>
    <w:rsid w:val="00322EDF"/>
    <w:rsid w:val="00323041"/>
    <w:rsid w:val="00323796"/>
    <w:rsid w:val="003237EC"/>
    <w:rsid w:val="00323A7B"/>
    <w:rsid w:val="00323AE8"/>
    <w:rsid w:val="00323B32"/>
    <w:rsid w:val="00323E80"/>
    <w:rsid w:val="00324548"/>
    <w:rsid w:val="003251F4"/>
    <w:rsid w:val="00325408"/>
    <w:rsid w:val="00325929"/>
    <w:rsid w:val="00326927"/>
    <w:rsid w:val="00326934"/>
    <w:rsid w:val="003279B5"/>
    <w:rsid w:val="003303E3"/>
    <w:rsid w:val="00330651"/>
    <w:rsid w:val="00331770"/>
    <w:rsid w:val="00331A88"/>
    <w:rsid w:val="003323A7"/>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1A7A"/>
    <w:rsid w:val="003424CB"/>
    <w:rsid w:val="00342821"/>
    <w:rsid w:val="003439DB"/>
    <w:rsid w:val="00344FBE"/>
    <w:rsid w:val="00345E37"/>
    <w:rsid w:val="00346759"/>
    <w:rsid w:val="0034695C"/>
    <w:rsid w:val="00350014"/>
    <w:rsid w:val="00350238"/>
    <w:rsid w:val="0035109C"/>
    <w:rsid w:val="00351752"/>
    <w:rsid w:val="00351F0A"/>
    <w:rsid w:val="0035233B"/>
    <w:rsid w:val="00352648"/>
    <w:rsid w:val="003530BA"/>
    <w:rsid w:val="00353106"/>
    <w:rsid w:val="003532D4"/>
    <w:rsid w:val="00353AC6"/>
    <w:rsid w:val="003542B7"/>
    <w:rsid w:val="0035432B"/>
    <w:rsid w:val="00354765"/>
    <w:rsid w:val="00354B71"/>
    <w:rsid w:val="00354E10"/>
    <w:rsid w:val="00357B15"/>
    <w:rsid w:val="00357BB3"/>
    <w:rsid w:val="003602EA"/>
    <w:rsid w:val="00360F81"/>
    <w:rsid w:val="003617C8"/>
    <w:rsid w:val="00361E7E"/>
    <w:rsid w:val="00361EF8"/>
    <w:rsid w:val="00363564"/>
    <w:rsid w:val="003648F2"/>
    <w:rsid w:val="00364C72"/>
    <w:rsid w:val="00364FA1"/>
    <w:rsid w:val="0036560F"/>
    <w:rsid w:val="00365EEE"/>
    <w:rsid w:val="00366B02"/>
    <w:rsid w:val="003670F7"/>
    <w:rsid w:val="003671F5"/>
    <w:rsid w:val="00367D77"/>
    <w:rsid w:val="00370AA4"/>
    <w:rsid w:val="00370DD3"/>
    <w:rsid w:val="003711F2"/>
    <w:rsid w:val="0037130D"/>
    <w:rsid w:val="003717FC"/>
    <w:rsid w:val="00371FF4"/>
    <w:rsid w:val="003723C2"/>
    <w:rsid w:val="0037275D"/>
    <w:rsid w:val="00372797"/>
    <w:rsid w:val="003733AD"/>
    <w:rsid w:val="00373E14"/>
    <w:rsid w:val="0037470E"/>
    <w:rsid w:val="00374C9E"/>
    <w:rsid w:val="00375CC4"/>
    <w:rsid w:val="00376103"/>
    <w:rsid w:val="0037636B"/>
    <w:rsid w:val="003767B3"/>
    <w:rsid w:val="00376B49"/>
    <w:rsid w:val="00376D16"/>
    <w:rsid w:val="00376FC5"/>
    <w:rsid w:val="00377520"/>
    <w:rsid w:val="00380D36"/>
    <w:rsid w:val="00380F49"/>
    <w:rsid w:val="00381181"/>
    <w:rsid w:val="003819B5"/>
    <w:rsid w:val="003822D3"/>
    <w:rsid w:val="00382850"/>
    <w:rsid w:val="00382D2D"/>
    <w:rsid w:val="00382E49"/>
    <w:rsid w:val="0038480C"/>
    <w:rsid w:val="00384DC9"/>
    <w:rsid w:val="0038566E"/>
    <w:rsid w:val="00385C66"/>
    <w:rsid w:val="003865FB"/>
    <w:rsid w:val="00386630"/>
    <w:rsid w:val="003869D5"/>
    <w:rsid w:val="00386A6C"/>
    <w:rsid w:val="00390379"/>
    <w:rsid w:val="00390741"/>
    <w:rsid w:val="003909FB"/>
    <w:rsid w:val="00390B25"/>
    <w:rsid w:val="00390DD9"/>
    <w:rsid w:val="00390F34"/>
    <w:rsid w:val="0039108D"/>
    <w:rsid w:val="00392AE5"/>
    <w:rsid w:val="00393A83"/>
    <w:rsid w:val="00395CAA"/>
    <w:rsid w:val="00396588"/>
    <w:rsid w:val="00396863"/>
    <w:rsid w:val="003970C2"/>
    <w:rsid w:val="00397156"/>
    <w:rsid w:val="0039742F"/>
    <w:rsid w:val="00397960"/>
    <w:rsid w:val="00397B84"/>
    <w:rsid w:val="003A0663"/>
    <w:rsid w:val="003A0BDE"/>
    <w:rsid w:val="003A0DB9"/>
    <w:rsid w:val="003A1FE0"/>
    <w:rsid w:val="003A2C23"/>
    <w:rsid w:val="003A31D6"/>
    <w:rsid w:val="003A3BC4"/>
    <w:rsid w:val="003A458A"/>
    <w:rsid w:val="003A49C1"/>
    <w:rsid w:val="003A551D"/>
    <w:rsid w:val="003A7E6F"/>
    <w:rsid w:val="003B05F2"/>
    <w:rsid w:val="003B2F13"/>
    <w:rsid w:val="003B3353"/>
    <w:rsid w:val="003B3552"/>
    <w:rsid w:val="003B405E"/>
    <w:rsid w:val="003B4712"/>
    <w:rsid w:val="003B47EB"/>
    <w:rsid w:val="003B48BA"/>
    <w:rsid w:val="003B4A15"/>
    <w:rsid w:val="003B52CC"/>
    <w:rsid w:val="003B57D3"/>
    <w:rsid w:val="003B59CA"/>
    <w:rsid w:val="003B6067"/>
    <w:rsid w:val="003B6EC6"/>
    <w:rsid w:val="003C08E3"/>
    <w:rsid w:val="003C09B5"/>
    <w:rsid w:val="003C0F62"/>
    <w:rsid w:val="003C1176"/>
    <w:rsid w:val="003C1D9A"/>
    <w:rsid w:val="003C1F58"/>
    <w:rsid w:val="003C3232"/>
    <w:rsid w:val="003C3B00"/>
    <w:rsid w:val="003C48B1"/>
    <w:rsid w:val="003C57A7"/>
    <w:rsid w:val="003C5C2B"/>
    <w:rsid w:val="003C618D"/>
    <w:rsid w:val="003C6943"/>
    <w:rsid w:val="003C6BD2"/>
    <w:rsid w:val="003C7294"/>
    <w:rsid w:val="003C7703"/>
    <w:rsid w:val="003C792F"/>
    <w:rsid w:val="003C79D1"/>
    <w:rsid w:val="003C7ABD"/>
    <w:rsid w:val="003C7C3D"/>
    <w:rsid w:val="003D08F8"/>
    <w:rsid w:val="003D124B"/>
    <w:rsid w:val="003D18F3"/>
    <w:rsid w:val="003D2CC1"/>
    <w:rsid w:val="003D47E0"/>
    <w:rsid w:val="003D4FF1"/>
    <w:rsid w:val="003D4FFC"/>
    <w:rsid w:val="003D51ED"/>
    <w:rsid w:val="003D569B"/>
    <w:rsid w:val="003D5D50"/>
    <w:rsid w:val="003D78B5"/>
    <w:rsid w:val="003D7FC6"/>
    <w:rsid w:val="003E0670"/>
    <w:rsid w:val="003E099F"/>
    <w:rsid w:val="003E0AF9"/>
    <w:rsid w:val="003E14A8"/>
    <w:rsid w:val="003E1EDC"/>
    <w:rsid w:val="003E244F"/>
    <w:rsid w:val="003E37AE"/>
    <w:rsid w:val="003E4BC4"/>
    <w:rsid w:val="003E5165"/>
    <w:rsid w:val="003E5E48"/>
    <w:rsid w:val="003E5F1F"/>
    <w:rsid w:val="003E62A6"/>
    <w:rsid w:val="003E695F"/>
    <w:rsid w:val="003E6C9B"/>
    <w:rsid w:val="003E6D39"/>
    <w:rsid w:val="003E709C"/>
    <w:rsid w:val="003E712E"/>
    <w:rsid w:val="003E726D"/>
    <w:rsid w:val="003E7B89"/>
    <w:rsid w:val="003F0B30"/>
    <w:rsid w:val="003F0FA3"/>
    <w:rsid w:val="003F266F"/>
    <w:rsid w:val="003F276B"/>
    <w:rsid w:val="003F2EA5"/>
    <w:rsid w:val="003F38E4"/>
    <w:rsid w:val="003F4241"/>
    <w:rsid w:val="003F4B8A"/>
    <w:rsid w:val="003F62BB"/>
    <w:rsid w:val="003F6FEC"/>
    <w:rsid w:val="003F7C45"/>
    <w:rsid w:val="003F7DFC"/>
    <w:rsid w:val="00400241"/>
    <w:rsid w:val="0040132C"/>
    <w:rsid w:val="0040230E"/>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53B3"/>
    <w:rsid w:val="00415772"/>
    <w:rsid w:val="004161F8"/>
    <w:rsid w:val="004163FD"/>
    <w:rsid w:val="0041683D"/>
    <w:rsid w:val="00416C10"/>
    <w:rsid w:val="00417976"/>
    <w:rsid w:val="00417A0E"/>
    <w:rsid w:val="00417F87"/>
    <w:rsid w:val="0042002A"/>
    <w:rsid w:val="0042053A"/>
    <w:rsid w:val="004213D6"/>
    <w:rsid w:val="00422440"/>
    <w:rsid w:val="00422916"/>
    <w:rsid w:val="00422C6C"/>
    <w:rsid w:val="0042363C"/>
    <w:rsid w:val="00423BA3"/>
    <w:rsid w:val="00424213"/>
    <w:rsid w:val="00424EF3"/>
    <w:rsid w:val="00426384"/>
    <w:rsid w:val="004267DB"/>
    <w:rsid w:val="004268BB"/>
    <w:rsid w:val="00426A4B"/>
    <w:rsid w:val="00430272"/>
    <w:rsid w:val="00430724"/>
    <w:rsid w:val="0043097C"/>
    <w:rsid w:val="00431047"/>
    <w:rsid w:val="00431B86"/>
    <w:rsid w:val="004324E8"/>
    <w:rsid w:val="00433EED"/>
    <w:rsid w:val="00436556"/>
    <w:rsid w:val="00437C96"/>
    <w:rsid w:val="004408EC"/>
    <w:rsid w:val="004416A4"/>
    <w:rsid w:val="00441E6A"/>
    <w:rsid w:val="00442AEE"/>
    <w:rsid w:val="00443C8F"/>
    <w:rsid w:val="00444C60"/>
    <w:rsid w:val="00444E35"/>
    <w:rsid w:val="0044502D"/>
    <w:rsid w:val="00445F6B"/>
    <w:rsid w:val="00446D33"/>
    <w:rsid w:val="00446FCC"/>
    <w:rsid w:val="0044755D"/>
    <w:rsid w:val="00447C32"/>
    <w:rsid w:val="00447CEF"/>
    <w:rsid w:val="00447E28"/>
    <w:rsid w:val="00450BA9"/>
    <w:rsid w:val="00450C98"/>
    <w:rsid w:val="00450F23"/>
    <w:rsid w:val="00452481"/>
    <w:rsid w:val="004528FA"/>
    <w:rsid w:val="00452A2E"/>
    <w:rsid w:val="00452C1A"/>
    <w:rsid w:val="0045321B"/>
    <w:rsid w:val="00453DC8"/>
    <w:rsid w:val="00455165"/>
    <w:rsid w:val="00457804"/>
    <w:rsid w:val="00460AEF"/>
    <w:rsid w:val="00460B74"/>
    <w:rsid w:val="00460C52"/>
    <w:rsid w:val="00461131"/>
    <w:rsid w:val="00462279"/>
    <w:rsid w:val="0046299F"/>
    <w:rsid w:val="00463C4A"/>
    <w:rsid w:val="00463E5E"/>
    <w:rsid w:val="004646BF"/>
    <w:rsid w:val="00464744"/>
    <w:rsid w:val="00466104"/>
    <w:rsid w:val="004665A8"/>
    <w:rsid w:val="004665E3"/>
    <w:rsid w:val="0046760F"/>
    <w:rsid w:val="004718E4"/>
    <w:rsid w:val="004720D4"/>
    <w:rsid w:val="0047237D"/>
    <w:rsid w:val="00472561"/>
    <w:rsid w:val="004731F1"/>
    <w:rsid w:val="00473704"/>
    <w:rsid w:val="00473887"/>
    <w:rsid w:val="00473AE0"/>
    <w:rsid w:val="00473EB5"/>
    <w:rsid w:val="0047456B"/>
    <w:rsid w:val="00474A69"/>
    <w:rsid w:val="0047509C"/>
    <w:rsid w:val="00475251"/>
    <w:rsid w:val="00477400"/>
    <w:rsid w:val="00477662"/>
    <w:rsid w:val="00480478"/>
    <w:rsid w:val="004807D6"/>
    <w:rsid w:val="00480BC8"/>
    <w:rsid w:val="00481265"/>
    <w:rsid w:val="004814BF"/>
    <w:rsid w:val="00482456"/>
    <w:rsid w:val="00482649"/>
    <w:rsid w:val="00483630"/>
    <w:rsid w:val="004836EA"/>
    <w:rsid w:val="00483F72"/>
    <w:rsid w:val="00485215"/>
    <w:rsid w:val="00485340"/>
    <w:rsid w:val="0048587E"/>
    <w:rsid w:val="00486200"/>
    <w:rsid w:val="0048679F"/>
    <w:rsid w:val="00486C9C"/>
    <w:rsid w:val="00486D6A"/>
    <w:rsid w:val="00487815"/>
    <w:rsid w:val="00487C2B"/>
    <w:rsid w:val="00487F25"/>
    <w:rsid w:val="004900FF"/>
    <w:rsid w:val="00490262"/>
    <w:rsid w:val="0049045D"/>
    <w:rsid w:val="0049125B"/>
    <w:rsid w:val="004914B6"/>
    <w:rsid w:val="00491C58"/>
    <w:rsid w:val="00491FAB"/>
    <w:rsid w:val="00492081"/>
    <w:rsid w:val="0049227D"/>
    <w:rsid w:val="0049297D"/>
    <w:rsid w:val="004929F2"/>
    <w:rsid w:val="00492F5E"/>
    <w:rsid w:val="004933B7"/>
    <w:rsid w:val="004934F8"/>
    <w:rsid w:val="00493AAC"/>
    <w:rsid w:val="0049419A"/>
    <w:rsid w:val="00495A03"/>
    <w:rsid w:val="00495DDB"/>
    <w:rsid w:val="00495E28"/>
    <w:rsid w:val="00496695"/>
    <w:rsid w:val="00497079"/>
    <w:rsid w:val="00497450"/>
    <w:rsid w:val="00497F49"/>
    <w:rsid w:val="004A017F"/>
    <w:rsid w:val="004A091D"/>
    <w:rsid w:val="004A1BBA"/>
    <w:rsid w:val="004A23C2"/>
    <w:rsid w:val="004A2861"/>
    <w:rsid w:val="004A3336"/>
    <w:rsid w:val="004A3E3C"/>
    <w:rsid w:val="004A4069"/>
    <w:rsid w:val="004A484E"/>
    <w:rsid w:val="004A4AFC"/>
    <w:rsid w:val="004A54D5"/>
    <w:rsid w:val="004A63E1"/>
    <w:rsid w:val="004A6513"/>
    <w:rsid w:val="004A7CCE"/>
    <w:rsid w:val="004B0623"/>
    <w:rsid w:val="004B0D11"/>
    <w:rsid w:val="004B0E6D"/>
    <w:rsid w:val="004B15C3"/>
    <w:rsid w:val="004B16E8"/>
    <w:rsid w:val="004B2CA5"/>
    <w:rsid w:val="004B2CC2"/>
    <w:rsid w:val="004B412E"/>
    <w:rsid w:val="004B5B92"/>
    <w:rsid w:val="004B6190"/>
    <w:rsid w:val="004B6250"/>
    <w:rsid w:val="004B66F3"/>
    <w:rsid w:val="004B6775"/>
    <w:rsid w:val="004B68D2"/>
    <w:rsid w:val="004B68EC"/>
    <w:rsid w:val="004B76B1"/>
    <w:rsid w:val="004C0057"/>
    <w:rsid w:val="004C0541"/>
    <w:rsid w:val="004C0983"/>
    <w:rsid w:val="004C0BBF"/>
    <w:rsid w:val="004C1BF4"/>
    <w:rsid w:val="004C1D08"/>
    <w:rsid w:val="004C1D55"/>
    <w:rsid w:val="004C2533"/>
    <w:rsid w:val="004C2836"/>
    <w:rsid w:val="004C2C46"/>
    <w:rsid w:val="004C2C85"/>
    <w:rsid w:val="004C405B"/>
    <w:rsid w:val="004C54CA"/>
    <w:rsid w:val="004C7214"/>
    <w:rsid w:val="004C7235"/>
    <w:rsid w:val="004C7955"/>
    <w:rsid w:val="004D0140"/>
    <w:rsid w:val="004D0213"/>
    <w:rsid w:val="004D047F"/>
    <w:rsid w:val="004D1529"/>
    <w:rsid w:val="004D29F1"/>
    <w:rsid w:val="004D29F3"/>
    <w:rsid w:val="004D31B5"/>
    <w:rsid w:val="004D3D96"/>
    <w:rsid w:val="004D40BB"/>
    <w:rsid w:val="004D5316"/>
    <w:rsid w:val="004D575C"/>
    <w:rsid w:val="004D650F"/>
    <w:rsid w:val="004D7269"/>
    <w:rsid w:val="004D74EE"/>
    <w:rsid w:val="004D7F01"/>
    <w:rsid w:val="004E08FC"/>
    <w:rsid w:val="004E0B6E"/>
    <w:rsid w:val="004E2133"/>
    <w:rsid w:val="004E2B92"/>
    <w:rsid w:val="004E2BD2"/>
    <w:rsid w:val="004E34DA"/>
    <w:rsid w:val="004E394A"/>
    <w:rsid w:val="004E395B"/>
    <w:rsid w:val="004E3C7D"/>
    <w:rsid w:val="004E4B86"/>
    <w:rsid w:val="004E4CD7"/>
    <w:rsid w:val="004E4F38"/>
    <w:rsid w:val="004E5EDB"/>
    <w:rsid w:val="004E60FB"/>
    <w:rsid w:val="004E7366"/>
    <w:rsid w:val="004E73A5"/>
    <w:rsid w:val="004E758A"/>
    <w:rsid w:val="004F0126"/>
    <w:rsid w:val="004F0D41"/>
    <w:rsid w:val="004F1C42"/>
    <w:rsid w:val="004F23CE"/>
    <w:rsid w:val="004F2C5A"/>
    <w:rsid w:val="004F2CB1"/>
    <w:rsid w:val="004F345B"/>
    <w:rsid w:val="004F4601"/>
    <w:rsid w:val="004F5BEF"/>
    <w:rsid w:val="004F76F0"/>
    <w:rsid w:val="004F779C"/>
    <w:rsid w:val="004F7846"/>
    <w:rsid w:val="004F7E95"/>
    <w:rsid w:val="005000A6"/>
    <w:rsid w:val="005000D4"/>
    <w:rsid w:val="00500234"/>
    <w:rsid w:val="005004EE"/>
    <w:rsid w:val="005007AB"/>
    <w:rsid w:val="00500B1E"/>
    <w:rsid w:val="00500B24"/>
    <w:rsid w:val="00500C17"/>
    <w:rsid w:val="005027F4"/>
    <w:rsid w:val="005036C2"/>
    <w:rsid w:val="00503AE3"/>
    <w:rsid w:val="00503C28"/>
    <w:rsid w:val="0050492E"/>
    <w:rsid w:val="005051C9"/>
    <w:rsid w:val="00506389"/>
    <w:rsid w:val="00506EDA"/>
    <w:rsid w:val="00506F9D"/>
    <w:rsid w:val="00510A69"/>
    <w:rsid w:val="00510CAF"/>
    <w:rsid w:val="0051114C"/>
    <w:rsid w:val="0051137D"/>
    <w:rsid w:val="00511597"/>
    <w:rsid w:val="005116B7"/>
    <w:rsid w:val="00511915"/>
    <w:rsid w:val="00511B90"/>
    <w:rsid w:val="005128C5"/>
    <w:rsid w:val="00512905"/>
    <w:rsid w:val="00512D8B"/>
    <w:rsid w:val="00512DF1"/>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4434"/>
    <w:rsid w:val="00525732"/>
    <w:rsid w:val="00525740"/>
    <w:rsid w:val="00525E59"/>
    <w:rsid w:val="005278EE"/>
    <w:rsid w:val="00530A21"/>
    <w:rsid w:val="005310DD"/>
    <w:rsid w:val="005312BC"/>
    <w:rsid w:val="00531851"/>
    <w:rsid w:val="005318CC"/>
    <w:rsid w:val="0053199E"/>
    <w:rsid w:val="00531D65"/>
    <w:rsid w:val="005321E1"/>
    <w:rsid w:val="005328CD"/>
    <w:rsid w:val="005334E4"/>
    <w:rsid w:val="005349B1"/>
    <w:rsid w:val="00535AA4"/>
    <w:rsid w:val="00535DA3"/>
    <w:rsid w:val="005364A6"/>
    <w:rsid w:val="005364AE"/>
    <w:rsid w:val="0053652C"/>
    <w:rsid w:val="0053659B"/>
    <w:rsid w:val="005368A0"/>
    <w:rsid w:val="00536C39"/>
    <w:rsid w:val="005374BC"/>
    <w:rsid w:val="005400EE"/>
    <w:rsid w:val="005427DC"/>
    <w:rsid w:val="00543177"/>
    <w:rsid w:val="00543188"/>
    <w:rsid w:val="005432F0"/>
    <w:rsid w:val="00543367"/>
    <w:rsid w:val="0054384E"/>
    <w:rsid w:val="00543BFA"/>
    <w:rsid w:val="0054516E"/>
    <w:rsid w:val="005453FA"/>
    <w:rsid w:val="0054655E"/>
    <w:rsid w:val="00546601"/>
    <w:rsid w:val="00547D9C"/>
    <w:rsid w:val="00547DA1"/>
    <w:rsid w:val="005501BC"/>
    <w:rsid w:val="00550498"/>
    <w:rsid w:val="0055068D"/>
    <w:rsid w:val="00551BA5"/>
    <w:rsid w:val="00551BAB"/>
    <w:rsid w:val="00551C53"/>
    <w:rsid w:val="0055216D"/>
    <w:rsid w:val="0055221B"/>
    <w:rsid w:val="005526DC"/>
    <w:rsid w:val="005535B7"/>
    <w:rsid w:val="00554BFC"/>
    <w:rsid w:val="00554CAC"/>
    <w:rsid w:val="0055513C"/>
    <w:rsid w:val="005553C4"/>
    <w:rsid w:val="0055637C"/>
    <w:rsid w:val="00556532"/>
    <w:rsid w:val="00556B00"/>
    <w:rsid w:val="0055753F"/>
    <w:rsid w:val="00557618"/>
    <w:rsid w:val="0055763C"/>
    <w:rsid w:val="00557782"/>
    <w:rsid w:val="00560C94"/>
    <w:rsid w:val="00560FD5"/>
    <w:rsid w:val="00561094"/>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4103"/>
    <w:rsid w:val="00574350"/>
    <w:rsid w:val="00575B68"/>
    <w:rsid w:val="00575DA6"/>
    <w:rsid w:val="005771DC"/>
    <w:rsid w:val="0057737F"/>
    <w:rsid w:val="005800A9"/>
    <w:rsid w:val="00580488"/>
    <w:rsid w:val="0058051F"/>
    <w:rsid w:val="0058074D"/>
    <w:rsid w:val="00580FD1"/>
    <w:rsid w:val="0058162B"/>
    <w:rsid w:val="00582FAD"/>
    <w:rsid w:val="00583489"/>
    <w:rsid w:val="0058391F"/>
    <w:rsid w:val="00583A80"/>
    <w:rsid w:val="00583C27"/>
    <w:rsid w:val="00583EED"/>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31C9"/>
    <w:rsid w:val="005A3295"/>
    <w:rsid w:val="005A46FF"/>
    <w:rsid w:val="005A4AFF"/>
    <w:rsid w:val="005A65F0"/>
    <w:rsid w:val="005A67F3"/>
    <w:rsid w:val="005A6A07"/>
    <w:rsid w:val="005A7655"/>
    <w:rsid w:val="005A7758"/>
    <w:rsid w:val="005A7D56"/>
    <w:rsid w:val="005B011E"/>
    <w:rsid w:val="005B028B"/>
    <w:rsid w:val="005B2E84"/>
    <w:rsid w:val="005B352F"/>
    <w:rsid w:val="005B385E"/>
    <w:rsid w:val="005B3E66"/>
    <w:rsid w:val="005B3FE8"/>
    <w:rsid w:val="005B436C"/>
    <w:rsid w:val="005B4F97"/>
    <w:rsid w:val="005B52A4"/>
    <w:rsid w:val="005B5CA4"/>
    <w:rsid w:val="005B6E01"/>
    <w:rsid w:val="005B7476"/>
    <w:rsid w:val="005B7688"/>
    <w:rsid w:val="005B7849"/>
    <w:rsid w:val="005B7B0E"/>
    <w:rsid w:val="005C0DFA"/>
    <w:rsid w:val="005C0FF0"/>
    <w:rsid w:val="005C219B"/>
    <w:rsid w:val="005C45F9"/>
    <w:rsid w:val="005C491A"/>
    <w:rsid w:val="005C492F"/>
    <w:rsid w:val="005C4B4C"/>
    <w:rsid w:val="005C5409"/>
    <w:rsid w:val="005C55EF"/>
    <w:rsid w:val="005C5626"/>
    <w:rsid w:val="005C5D9A"/>
    <w:rsid w:val="005C628C"/>
    <w:rsid w:val="005C6765"/>
    <w:rsid w:val="005C69AC"/>
    <w:rsid w:val="005C6F1F"/>
    <w:rsid w:val="005C722E"/>
    <w:rsid w:val="005C7576"/>
    <w:rsid w:val="005C7759"/>
    <w:rsid w:val="005D01A4"/>
    <w:rsid w:val="005D1026"/>
    <w:rsid w:val="005D1543"/>
    <w:rsid w:val="005D15AE"/>
    <w:rsid w:val="005D1A7B"/>
    <w:rsid w:val="005D1EDD"/>
    <w:rsid w:val="005D2F83"/>
    <w:rsid w:val="005D36E9"/>
    <w:rsid w:val="005D456F"/>
    <w:rsid w:val="005D45B3"/>
    <w:rsid w:val="005D4AB3"/>
    <w:rsid w:val="005D4CEB"/>
    <w:rsid w:val="005D5344"/>
    <w:rsid w:val="005D5DA8"/>
    <w:rsid w:val="005D61EB"/>
    <w:rsid w:val="005E0AE0"/>
    <w:rsid w:val="005E21AB"/>
    <w:rsid w:val="005E5330"/>
    <w:rsid w:val="005E61FE"/>
    <w:rsid w:val="005E6628"/>
    <w:rsid w:val="005F04E6"/>
    <w:rsid w:val="005F07D4"/>
    <w:rsid w:val="005F17EC"/>
    <w:rsid w:val="005F1C2F"/>
    <w:rsid w:val="005F1F3F"/>
    <w:rsid w:val="005F2204"/>
    <w:rsid w:val="005F2F3F"/>
    <w:rsid w:val="005F39D5"/>
    <w:rsid w:val="005F3AB5"/>
    <w:rsid w:val="005F3E05"/>
    <w:rsid w:val="005F43B9"/>
    <w:rsid w:val="005F4B2F"/>
    <w:rsid w:val="005F4BBF"/>
    <w:rsid w:val="005F55D6"/>
    <w:rsid w:val="005F5CA9"/>
    <w:rsid w:val="005F68CB"/>
    <w:rsid w:val="005F6BDE"/>
    <w:rsid w:val="00600242"/>
    <w:rsid w:val="00602949"/>
    <w:rsid w:val="00602A38"/>
    <w:rsid w:val="00602B89"/>
    <w:rsid w:val="006033E3"/>
    <w:rsid w:val="00605FC7"/>
    <w:rsid w:val="00606218"/>
    <w:rsid w:val="00606CA3"/>
    <w:rsid w:val="00606E91"/>
    <w:rsid w:val="00607018"/>
    <w:rsid w:val="006077ED"/>
    <w:rsid w:val="00607C5F"/>
    <w:rsid w:val="0061009B"/>
    <w:rsid w:val="00610954"/>
    <w:rsid w:val="00610CBE"/>
    <w:rsid w:val="00610E1F"/>
    <w:rsid w:val="00611BFF"/>
    <w:rsid w:val="0061321C"/>
    <w:rsid w:val="00614CA1"/>
    <w:rsid w:val="00614E53"/>
    <w:rsid w:val="00615102"/>
    <w:rsid w:val="00615C2C"/>
    <w:rsid w:val="0061774F"/>
    <w:rsid w:val="0062038A"/>
    <w:rsid w:val="006203A8"/>
    <w:rsid w:val="00620CF6"/>
    <w:rsid w:val="00620E59"/>
    <w:rsid w:val="00621132"/>
    <w:rsid w:val="00622656"/>
    <w:rsid w:val="00622C05"/>
    <w:rsid w:val="006237B0"/>
    <w:rsid w:val="0062386E"/>
    <w:rsid w:val="00623C78"/>
    <w:rsid w:val="00623D9A"/>
    <w:rsid w:val="00623F01"/>
    <w:rsid w:val="006242FB"/>
    <w:rsid w:val="00624738"/>
    <w:rsid w:val="0062670B"/>
    <w:rsid w:val="0062691B"/>
    <w:rsid w:val="00626BE7"/>
    <w:rsid w:val="00626E2D"/>
    <w:rsid w:val="00626E98"/>
    <w:rsid w:val="006272DE"/>
    <w:rsid w:val="00627D94"/>
    <w:rsid w:val="006304D3"/>
    <w:rsid w:val="00630AB9"/>
    <w:rsid w:val="00630B42"/>
    <w:rsid w:val="006310FC"/>
    <w:rsid w:val="00631688"/>
    <w:rsid w:val="006320D8"/>
    <w:rsid w:val="00632540"/>
    <w:rsid w:val="00632A28"/>
    <w:rsid w:val="00632A5D"/>
    <w:rsid w:val="00632E88"/>
    <w:rsid w:val="00633782"/>
    <w:rsid w:val="00633B6F"/>
    <w:rsid w:val="0063454C"/>
    <w:rsid w:val="00634DBB"/>
    <w:rsid w:val="00635744"/>
    <w:rsid w:val="006357FF"/>
    <w:rsid w:val="00635E1C"/>
    <w:rsid w:val="00636088"/>
    <w:rsid w:val="0063723E"/>
    <w:rsid w:val="00637C26"/>
    <w:rsid w:val="00640732"/>
    <w:rsid w:val="006412FA"/>
    <w:rsid w:val="00642072"/>
    <w:rsid w:val="00642496"/>
    <w:rsid w:val="00642B8E"/>
    <w:rsid w:val="006440ED"/>
    <w:rsid w:val="0064467C"/>
    <w:rsid w:val="00645213"/>
    <w:rsid w:val="00645293"/>
    <w:rsid w:val="006453AF"/>
    <w:rsid w:val="006468CB"/>
    <w:rsid w:val="006469D9"/>
    <w:rsid w:val="00647093"/>
    <w:rsid w:val="00650C60"/>
    <w:rsid w:val="00651B78"/>
    <w:rsid w:val="00652263"/>
    <w:rsid w:val="0065238F"/>
    <w:rsid w:val="00652750"/>
    <w:rsid w:val="00652881"/>
    <w:rsid w:val="00652985"/>
    <w:rsid w:val="006533AE"/>
    <w:rsid w:val="00653F72"/>
    <w:rsid w:val="00654528"/>
    <w:rsid w:val="00654C98"/>
    <w:rsid w:val="00654F26"/>
    <w:rsid w:val="006551AE"/>
    <w:rsid w:val="0065568C"/>
    <w:rsid w:val="00661974"/>
    <w:rsid w:val="006623E2"/>
    <w:rsid w:val="006624E3"/>
    <w:rsid w:val="006640F9"/>
    <w:rsid w:val="00664551"/>
    <w:rsid w:val="00664685"/>
    <w:rsid w:val="00664B95"/>
    <w:rsid w:val="0066545B"/>
    <w:rsid w:val="00665D5F"/>
    <w:rsid w:val="00665FB2"/>
    <w:rsid w:val="00666FDE"/>
    <w:rsid w:val="006673BD"/>
    <w:rsid w:val="006676A0"/>
    <w:rsid w:val="006704F3"/>
    <w:rsid w:val="00670857"/>
    <w:rsid w:val="00671124"/>
    <w:rsid w:val="006727B0"/>
    <w:rsid w:val="0067307E"/>
    <w:rsid w:val="006739C0"/>
    <w:rsid w:val="00673F6D"/>
    <w:rsid w:val="00674850"/>
    <w:rsid w:val="00675116"/>
    <w:rsid w:val="00675D03"/>
    <w:rsid w:val="00676016"/>
    <w:rsid w:val="00676481"/>
    <w:rsid w:val="006767D7"/>
    <w:rsid w:val="00676EA7"/>
    <w:rsid w:val="006805DF"/>
    <w:rsid w:val="0068083B"/>
    <w:rsid w:val="006808B4"/>
    <w:rsid w:val="00682EC2"/>
    <w:rsid w:val="00683134"/>
    <w:rsid w:val="00683F61"/>
    <w:rsid w:val="00686A36"/>
    <w:rsid w:val="00686E84"/>
    <w:rsid w:val="00687AD5"/>
    <w:rsid w:val="0069211A"/>
    <w:rsid w:val="00692972"/>
    <w:rsid w:val="00692B81"/>
    <w:rsid w:val="00692C4F"/>
    <w:rsid w:val="00692C9B"/>
    <w:rsid w:val="00694384"/>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36E"/>
    <w:rsid w:val="006A0A25"/>
    <w:rsid w:val="006A2EA3"/>
    <w:rsid w:val="006A3CC1"/>
    <w:rsid w:val="006A4899"/>
    <w:rsid w:val="006A4AB1"/>
    <w:rsid w:val="006A62E1"/>
    <w:rsid w:val="006A6566"/>
    <w:rsid w:val="006A6C3A"/>
    <w:rsid w:val="006A72C6"/>
    <w:rsid w:val="006A7310"/>
    <w:rsid w:val="006B02DA"/>
    <w:rsid w:val="006B08FB"/>
    <w:rsid w:val="006B0AE8"/>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2A0"/>
    <w:rsid w:val="006C09B6"/>
    <w:rsid w:val="006C13F6"/>
    <w:rsid w:val="006C168D"/>
    <w:rsid w:val="006C196A"/>
    <w:rsid w:val="006C1D8F"/>
    <w:rsid w:val="006C1EDE"/>
    <w:rsid w:val="006C2BF5"/>
    <w:rsid w:val="006C30B7"/>
    <w:rsid w:val="006C3E6C"/>
    <w:rsid w:val="006C4A40"/>
    <w:rsid w:val="006C4E56"/>
    <w:rsid w:val="006C5CE0"/>
    <w:rsid w:val="006C61CD"/>
    <w:rsid w:val="006C642C"/>
    <w:rsid w:val="006C6FC6"/>
    <w:rsid w:val="006C7462"/>
    <w:rsid w:val="006C7BB9"/>
    <w:rsid w:val="006C7D50"/>
    <w:rsid w:val="006C7F32"/>
    <w:rsid w:val="006D141C"/>
    <w:rsid w:val="006D2425"/>
    <w:rsid w:val="006D2CF3"/>
    <w:rsid w:val="006D2D08"/>
    <w:rsid w:val="006D2F35"/>
    <w:rsid w:val="006D3228"/>
    <w:rsid w:val="006D349E"/>
    <w:rsid w:val="006D41EF"/>
    <w:rsid w:val="006D53AA"/>
    <w:rsid w:val="006D6561"/>
    <w:rsid w:val="006D6993"/>
    <w:rsid w:val="006D78AA"/>
    <w:rsid w:val="006E0D09"/>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86C"/>
    <w:rsid w:val="006E6A14"/>
    <w:rsid w:val="006E6B16"/>
    <w:rsid w:val="006E6DE8"/>
    <w:rsid w:val="006E780C"/>
    <w:rsid w:val="006F07A5"/>
    <w:rsid w:val="006F0BA7"/>
    <w:rsid w:val="006F0F01"/>
    <w:rsid w:val="006F174D"/>
    <w:rsid w:val="006F1F41"/>
    <w:rsid w:val="006F265A"/>
    <w:rsid w:val="006F2A88"/>
    <w:rsid w:val="006F32EF"/>
    <w:rsid w:val="006F3615"/>
    <w:rsid w:val="006F3BD2"/>
    <w:rsid w:val="006F3C54"/>
    <w:rsid w:val="006F4895"/>
    <w:rsid w:val="006F4CD8"/>
    <w:rsid w:val="006F53D9"/>
    <w:rsid w:val="006F5812"/>
    <w:rsid w:val="006F609A"/>
    <w:rsid w:val="006F7278"/>
    <w:rsid w:val="007004DC"/>
    <w:rsid w:val="00700E76"/>
    <w:rsid w:val="00701093"/>
    <w:rsid w:val="00701468"/>
    <w:rsid w:val="007022C4"/>
    <w:rsid w:val="00702371"/>
    <w:rsid w:val="007026E9"/>
    <w:rsid w:val="0070297D"/>
    <w:rsid w:val="00703357"/>
    <w:rsid w:val="007033A8"/>
    <w:rsid w:val="00703C8B"/>
    <w:rsid w:val="00703E8A"/>
    <w:rsid w:val="00704C2B"/>
    <w:rsid w:val="00704F60"/>
    <w:rsid w:val="00705B26"/>
    <w:rsid w:val="00706EA3"/>
    <w:rsid w:val="007078BE"/>
    <w:rsid w:val="00710BF6"/>
    <w:rsid w:val="00711522"/>
    <w:rsid w:val="007118A6"/>
    <w:rsid w:val="007124FE"/>
    <w:rsid w:val="00712533"/>
    <w:rsid w:val="00713186"/>
    <w:rsid w:val="00713757"/>
    <w:rsid w:val="00713758"/>
    <w:rsid w:val="007137D8"/>
    <w:rsid w:val="00713FB1"/>
    <w:rsid w:val="00714064"/>
    <w:rsid w:val="00714EE5"/>
    <w:rsid w:val="00715517"/>
    <w:rsid w:val="00716A38"/>
    <w:rsid w:val="00717772"/>
    <w:rsid w:val="007200E5"/>
    <w:rsid w:val="00720C17"/>
    <w:rsid w:val="00721AF1"/>
    <w:rsid w:val="00721E6C"/>
    <w:rsid w:val="00722322"/>
    <w:rsid w:val="0072280F"/>
    <w:rsid w:val="00722B5E"/>
    <w:rsid w:val="007235F5"/>
    <w:rsid w:val="00723B2C"/>
    <w:rsid w:val="00723E0A"/>
    <w:rsid w:val="007253CC"/>
    <w:rsid w:val="00726F5A"/>
    <w:rsid w:val="0072708F"/>
    <w:rsid w:val="00730E81"/>
    <w:rsid w:val="00731000"/>
    <w:rsid w:val="00731204"/>
    <w:rsid w:val="007319BC"/>
    <w:rsid w:val="0073222B"/>
    <w:rsid w:val="0073251A"/>
    <w:rsid w:val="00732582"/>
    <w:rsid w:val="00732D1D"/>
    <w:rsid w:val="00733100"/>
    <w:rsid w:val="007332C4"/>
    <w:rsid w:val="0073375D"/>
    <w:rsid w:val="00734381"/>
    <w:rsid w:val="00736034"/>
    <w:rsid w:val="0073681C"/>
    <w:rsid w:val="00737252"/>
    <w:rsid w:val="0073725B"/>
    <w:rsid w:val="00737C35"/>
    <w:rsid w:val="0074033C"/>
    <w:rsid w:val="0074050E"/>
    <w:rsid w:val="00740B66"/>
    <w:rsid w:val="00741AF8"/>
    <w:rsid w:val="00741EBE"/>
    <w:rsid w:val="00742181"/>
    <w:rsid w:val="007424EC"/>
    <w:rsid w:val="00742728"/>
    <w:rsid w:val="00742E39"/>
    <w:rsid w:val="00742EDA"/>
    <w:rsid w:val="00743DDD"/>
    <w:rsid w:val="007440FA"/>
    <w:rsid w:val="00744201"/>
    <w:rsid w:val="00745FCE"/>
    <w:rsid w:val="00746130"/>
    <w:rsid w:val="00746A40"/>
    <w:rsid w:val="00746E6A"/>
    <w:rsid w:val="00747598"/>
    <w:rsid w:val="00750358"/>
    <w:rsid w:val="00750BFE"/>
    <w:rsid w:val="00751A58"/>
    <w:rsid w:val="007520A3"/>
    <w:rsid w:val="007526F5"/>
    <w:rsid w:val="007536B4"/>
    <w:rsid w:val="00754717"/>
    <w:rsid w:val="00754836"/>
    <w:rsid w:val="00754FB9"/>
    <w:rsid w:val="00755CDF"/>
    <w:rsid w:val="0075605E"/>
    <w:rsid w:val="007566CD"/>
    <w:rsid w:val="00756868"/>
    <w:rsid w:val="00757042"/>
    <w:rsid w:val="007573AF"/>
    <w:rsid w:val="00757588"/>
    <w:rsid w:val="007578C3"/>
    <w:rsid w:val="00757A4C"/>
    <w:rsid w:val="00760895"/>
    <w:rsid w:val="00761FB5"/>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B59"/>
    <w:rsid w:val="00767B5F"/>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1053"/>
    <w:rsid w:val="00791261"/>
    <w:rsid w:val="007918FE"/>
    <w:rsid w:val="00791A3A"/>
    <w:rsid w:val="00791D48"/>
    <w:rsid w:val="0079262D"/>
    <w:rsid w:val="00792A53"/>
    <w:rsid w:val="00793B92"/>
    <w:rsid w:val="00793BD2"/>
    <w:rsid w:val="00793DAA"/>
    <w:rsid w:val="00794196"/>
    <w:rsid w:val="00794C47"/>
    <w:rsid w:val="00794FFF"/>
    <w:rsid w:val="007957C3"/>
    <w:rsid w:val="00795DCA"/>
    <w:rsid w:val="00795F07"/>
    <w:rsid w:val="00796D4D"/>
    <w:rsid w:val="007971B8"/>
    <w:rsid w:val="00797637"/>
    <w:rsid w:val="00797982"/>
    <w:rsid w:val="007A0018"/>
    <w:rsid w:val="007A08AA"/>
    <w:rsid w:val="007A0ADE"/>
    <w:rsid w:val="007A1780"/>
    <w:rsid w:val="007A1B35"/>
    <w:rsid w:val="007A1EA9"/>
    <w:rsid w:val="007A3680"/>
    <w:rsid w:val="007A3BCD"/>
    <w:rsid w:val="007A3DFB"/>
    <w:rsid w:val="007A5214"/>
    <w:rsid w:val="007A5357"/>
    <w:rsid w:val="007A59B8"/>
    <w:rsid w:val="007A620B"/>
    <w:rsid w:val="007A65AF"/>
    <w:rsid w:val="007A7177"/>
    <w:rsid w:val="007A7682"/>
    <w:rsid w:val="007A7962"/>
    <w:rsid w:val="007A7F42"/>
    <w:rsid w:val="007B1111"/>
    <w:rsid w:val="007B2777"/>
    <w:rsid w:val="007B2862"/>
    <w:rsid w:val="007B2FD8"/>
    <w:rsid w:val="007B3074"/>
    <w:rsid w:val="007B349F"/>
    <w:rsid w:val="007B3968"/>
    <w:rsid w:val="007B3B2A"/>
    <w:rsid w:val="007B45AF"/>
    <w:rsid w:val="007B4DD0"/>
    <w:rsid w:val="007B611E"/>
    <w:rsid w:val="007B62FA"/>
    <w:rsid w:val="007B662A"/>
    <w:rsid w:val="007B705D"/>
    <w:rsid w:val="007B70EE"/>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7B84"/>
    <w:rsid w:val="007D0286"/>
    <w:rsid w:val="007D0CF8"/>
    <w:rsid w:val="007D122D"/>
    <w:rsid w:val="007D1D0D"/>
    <w:rsid w:val="007D1FE9"/>
    <w:rsid w:val="007D28C9"/>
    <w:rsid w:val="007D3054"/>
    <w:rsid w:val="007D326B"/>
    <w:rsid w:val="007D36EC"/>
    <w:rsid w:val="007D38F0"/>
    <w:rsid w:val="007D3B2F"/>
    <w:rsid w:val="007D3CC8"/>
    <w:rsid w:val="007D430A"/>
    <w:rsid w:val="007D47FB"/>
    <w:rsid w:val="007D4DD3"/>
    <w:rsid w:val="007D576A"/>
    <w:rsid w:val="007D59D0"/>
    <w:rsid w:val="007D62F9"/>
    <w:rsid w:val="007D63A4"/>
    <w:rsid w:val="007D6542"/>
    <w:rsid w:val="007E030F"/>
    <w:rsid w:val="007E08DE"/>
    <w:rsid w:val="007E1697"/>
    <w:rsid w:val="007E1AA2"/>
    <w:rsid w:val="007E1F2C"/>
    <w:rsid w:val="007E2306"/>
    <w:rsid w:val="007E24F2"/>
    <w:rsid w:val="007E279D"/>
    <w:rsid w:val="007E2D69"/>
    <w:rsid w:val="007E3B9A"/>
    <w:rsid w:val="007E46E8"/>
    <w:rsid w:val="007E470F"/>
    <w:rsid w:val="007E4C1F"/>
    <w:rsid w:val="007E5527"/>
    <w:rsid w:val="007E6DF3"/>
    <w:rsid w:val="007F01DE"/>
    <w:rsid w:val="007F0759"/>
    <w:rsid w:val="007F0BCC"/>
    <w:rsid w:val="007F0D5B"/>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FDB"/>
    <w:rsid w:val="008019AE"/>
    <w:rsid w:val="00802081"/>
    <w:rsid w:val="008020F6"/>
    <w:rsid w:val="008023A0"/>
    <w:rsid w:val="0080298E"/>
    <w:rsid w:val="0080304E"/>
    <w:rsid w:val="00803833"/>
    <w:rsid w:val="00804316"/>
    <w:rsid w:val="008044F8"/>
    <w:rsid w:val="00804B55"/>
    <w:rsid w:val="00806461"/>
    <w:rsid w:val="008064C1"/>
    <w:rsid w:val="008101CB"/>
    <w:rsid w:val="0081096D"/>
    <w:rsid w:val="00810EAD"/>
    <w:rsid w:val="00811833"/>
    <w:rsid w:val="00813174"/>
    <w:rsid w:val="008147C8"/>
    <w:rsid w:val="00814BDE"/>
    <w:rsid w:val="00814DBC"/>
    <w:rsid w:val="00814EC2"/>
    <w:rsid w:val="008174D4"/>
    <w:rsid w:val="0082002E"/>
    <w:rsid w:val="0082083C"/>
    <w:rsid w:val="00820C54"/>
    <w:rsid w:val="00820F37"/>
    <w:rsid w:val="00820FE6"/>
    <w:rsid w:val="00821A66"/>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8EE"/>
    <w:rsid w:val="00830E92"/>
    <w:rsid w:val="00831151"/>
    <w:rsid w:val="00831232"/>
    <w:rsid w:val="008314B8"/>
    <w:rsid w:val="00831543"/>
    <w:rsid w:val="008316B5"/>
    <w:rsid w:val="008320ED"/>
    <w:rsid w:val="00832A0F"/>
    <w:rsid w:val="008348CA"/>
    <w:rsid w:val="008353D5"/>
    <w:rsid w:val="00835408"/>
    <w:rsid w:val="008358A2"/>
    <w:rsid w:val="008359DA"/>
    <w:rsid w:val="00837CEF"/>
    <w:rsid w:val="00837E2F"/>
    <w:rsid w:val="00840035"/>
    <w:rsid w:val="00842120"/>
    <w:rsid w:val="00842661"/>
    <w:rsid w:val="008428A9"/>
    <w:rsid w:val="00843355"/>
    <w:rsid w:val="00843EA1"/>
    <w:rsid w:val="00844112"/>
    <w:rsid w:val="008456C9"/>
    <w:rsid w:val="00845BD3"/>
    <w:rsid w:val="0084611D"/>
    <w:rsid w:val="00846177"/>
    <w:rsid w:val="0084654D"/>
    <w:rsid w:val="00846C9F"/>
    <w:rsid w:val="00847BD6"/>
    <w:rsid w:val="00850137"/>
    <w:rsid w:val="008502CD"/>
    <w:rsid w:val="00850C62"/>
    <w:rsid w:val="008524A5"/>
    <w:rsid w:val="008527DB"/>
    <w:rsid w:val="00852B48"/>
    <w:rsid w:val="0085474D"/>
    <w:rsid w:val="00856481"/>
    <w:rsid w:val="00856753"/>
    <w:rsid w:val="008567A2"/>
    <w:rsid w:val="00856E6C"/>
    <w:rsid w:val="00857DE1"/>
    <w:rsid w:val="00857F2C"/>
    <w:rsid w:val="00860793"/>
    <w:rsid w:val="00863011"/>
    <w:rsid w:val="0086331A"/>
    <w:rsid w:val="00863C5B"/>
    <w:rsid w:val="00863D2E"/>
    <w:rsid w:val="00864E32"/>
    <w:rsid w:val="00865075"/>
    <w:rsid w:val="0086555C"/>
    <w:rsid w:val="0086615F"/>
    <w:rsid w:val="0086748F"/>
    <w:rsid w:val="00870770"/>
    <w:rsid w:val="00872757"/>
    <w:rsid w:val="00872CE4"/>
    <w:rsid w:val="00873AA4"/>
    <w:rsid w:val="00873CA8"/>
    <w:rsid w:val="00873F5D"/>
    <w:rsid w:val="0087570C"/>
    <w:rsid w:val="008773BA"/>
    <w:rsid w:val="00877B62"/>
    <w:rsid w:val="00880587"/>
    <w:rsid w:val="00881015"/>
    <w:rsid w:val="008810B0"/>
    <w:rsid w:val="00881665"/>
    <w:rsid w:val="008819B6"/>
    <w:rsid w:val="00881AAC"/>
    <w:rsid w:val="00882648"/>
    <w:rsid w:val="00882C04"/>
    <w:rsid w:val="0088356E"/>
    <w:rsid w:val="008836B7"/>
    <w:rsid w:val="00883F7C"/>
    <w:rsid w:val="008841D3"/>
    <w:rsid w:val="008843CB"/>
    <w:rsid w:val="00884987"/>
    <w:rsid w:val="00884BE0"/>
    <w:rsid w:val="00885827"/>
    <w:rsid w:val="0088684C"/>
    <w:rsid w:val="00887AB9"/>
    <w:rsid w:val="00887BF9"/>
    <w:rsid w:val="00887DE6"/>
    <w:rsid w:val="0089214A"/>
    <w:rsid w:val="00892226"/>
    <w:rsid w:val="008922FA"/>
    <w:rsid w:val="00892D3E"/>
    <w:rsid w:val="00892F45"/>
    <w:rsid w:val="00892FC6"/>
    <w:rsid w:val="008936DC"/>
    <w:rsid w:val="00893784"/>
    <w:rsid w:val="00893E53"/>
    <w:rsid w:val="00894479"/>
    <w:rsid w:val="008945EB"/>
    <w:rsid w:val="00894C2A"/>
    <w:rsid w:val="008952B4"/>
    <w:rsid w:val="008960DD"/>
    <w:rsid w:val="00896265"/>
    <w:rsid w:val="008968A7"/>
    <w:rsid w:val="0089690B"/>
    <w:rsid w:val="00896A5F"/>
    <w:rsid w:val="0089728F"/>
    <w:rsid w:val="008976C0"/>
    <w:rsid w:val="00897708"/>
    <w:rsid w:val="00897BB7"/>
    <w:rsid w:val="00897D88"/>
    <w:rsid w:val="008A085F"/>
    <w:rsid w:val="008A17AF"/>
    <w:rsid w:val="008A2C65"/>
    <w:rsid w:val="008A2F16"/>
    <w:rsid w:val="008A36AE"/>
    <w:rsid w:val="008A3814"/>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2DD3"/>
    <w:rsid w:val="008B4198"/>
    <w:rsid w:val="008B586A"/>
    <w:rsid w:val="008B6651"/>
    <w:rsid w:val="008B6E16"/>
    <w:rsid w:val="008B70AD"/>
    <w:rsid w:val="008B7110"/>
    <w:rsid w:val="008B7A20"/>
    <w:rsid w:val="008C0DF9"/>
    <w:rsid w:val="008C2029"/>
    <w:rsid w:val="008C267C"/>
    <w:rsid w:val="008C2C90"/>
    <w:rsid w:val="008C2E44"/>
    <w:rsid w:val="008C3427"/>
    <w:rsid w:val="008C3BC2"/>
    <w:rsid w:val="008C4F76"/>
    <w:rsid w:val="008C504A"/>
    <w:rsid w:val="008C55AD"/>
    <w:rsid w:val="008C61D6"/>
    <w:rsid w:val="008C649D"/>
    <w:rsid w:val="008C64F1"/>
    <w:rsid w:val="008C7C1A"/>
    <w:rsid w:val="008D0DC1"/>
    <w:rsid w:val="008D1BB0"/>
    <w:rsid w:val="008D20FF"/>
    <w:rsid w:val="008D2B9A"/>
    <w:rsid w:val="008D3656"/>
    <w:rsid w:val="008D3DE6"/>
    <w:rsid w:val="008D4223"/>
    <w:rsid w:val="008D44CC"/>
    <w:rsid w:val="008D46E3"/>
    <w:rsid w:val="008D4CED"/>
    <w:rsid w:val="008D50F9"/>
    <w:rsid w:val="008D55B2"/>
    <w:rsid w:val="008D5843"/>
    <w:rsid w:val="008D5CAF"/>
    <w:rsid w:val="008D6709"/>
    <w:rsid w:val="008D6B78"/>
    <w:rsid w:val="008E083A"/>
    <w:rsid w:val="008E0C63"/>
    <w:rsid w:val="008E1045"/>
    <w:rsid w:val="008E12AD"/>
    <w:rsid w:val="008E22FF"/>
    <w:rsid w:val="008E2450"/>
    <w:rsid w:val="008E2AFC"/>
    <w:rsid w:val="008E3453"/>
    <w:rsid w:val="008E3F27"/>
    <w:rsid w:val="008E47EF"/>
    <w:rsid w:val="008E4E6E"/>
    <w:rsid w:val="008E588C"/>
    <w:rsid w:val="008E5DB7"/>
    <w:rsid w:val="008E61EB"/>
    <w:rsid w:val="008E6DAA"/>
    <w:rsid w:val="008E7896"/>
    <w:rsid w:val="008E79C7"/>
    <w:rsid w:val="008E7B6F"/>
    <w:rsid w:val="008E7C05"/>
    <w:rsid w:val="008E7C9D"/>
    <w:rsid w:val="008E7D8A"/>
    <w:rsid w:val="008F14C7"/>
    <w:rsid w:val="008F1E9E"/>
    <w:rsid w:val="008F2165"/>
    <w:rsid w:val="008F2477"/>
    <w:rsid w:val="008F3810"/>
    <w:rsid w:val="008F3879"/>
    <w:rsid w:val="008F3B3C"/>
    <w:rsid w:val="008F3D0D"/>
    <w:rsid w:val="008F48E1"/>
    <w:rsid w:val="008F5442"/>
    <w:rsid w:val="008F653E"/>
    <w:rsid w:val="008F7769"/>
    <w:rsid w:val="008F7ACC"/>
    <w:rsid w:val="009004FE"/>
    <w:rsid w:val="009010F0"/>
    <w:rsid w:val="00901162"/>
    <w:rsid w:val="00901B53"/>
    <w:rsid w:val="00902044"/>
    <w:rsid w:val="0090223A"/>
    <w:rsid w:val="009028E2"/>
    <w:rsid w:val="00902AAB"/>
    <w:rsid w:val="00902EDD"/>
    <w:rsid w:val="009039FE"/>
    <w:rsid w:val="00903C0C"/>
    <w:rsid w:val="00903E9A"/>
    <w:rsid w:val="00905404"/>
    <w:rsid w:val="00906478"/>
    <w:rsid w:val="00906753"/>
    <w:rsid w:val="00906F29"/>
    <w:rsid w:val="00907264"/>
    <w:rsid w:val="0090765F"/>
    <w:rsid w:val="00911305"/>
    <w:rsid w:val="00912590"/>
    <w:rsid w:val="00913200"/>
    <w:rsid w:val="009138EB"/>
    <w:rsid w:val="00914EAB"/>
    <w:rsid w:val="009152D8"/>
    <w:rsid w:val="00915A1D"/>
    <w:rsid w:val="0091600C"/>
    <w:rsid w:val="00916830"/>
    <w:rsid w:val="00916977"/>
    <w:rsid w:val="00917FC5"/>
    <w:rsid w:val="0092071F"/>
    <w:rsid w:val="00922567"/>
    <w:rsid w:val="009228DB"/>
    <w:rsid w:val="00922D49"/>
    <w:rsid w:val="00923353"/>
    <w:rsid w:val="009236B9"/>
    <w:rsid w:val="00923DE6"/>
    <w:rsid w:val="00925E37"/>
    <w:rsid w:val="00925EDD"/>
    <w:rsid w:val="00925F20"/>
    <w:rsid w:val="009272B5"/>
    <w:rsid w:val="00927899"/>
    <w:rsid w:val="00927D0E"/>
    <w:rsid w:val="00930067"/>
    <w:rsid w:val="009309DA"/>
    <w:rsid w:val="00931040"/>
    <w:rsid w:val="00931663"/>
    <w:rsid w:val="00931AEE"/>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0842"/>
    <w:rsid w:val="00941434"/>
    <w:rsid w:val="009419AE"/>
    <w:rsid w:val="00942286"/>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A1"/>
    <w:rsid w:val="009502BC"/>
    <w:rsid w:val="0095037E"/>
    <w:rsid w:val="00950563"/>
    <w:rsid w:val="00950BD7"/>
    <w:rsid w:val="00951D97"/>
    <w:rsid w:val="00952230"/>
    <w:rsid w:val="00952AAD"/>
    <w:rsid w:val="00953237"/>
    <w:rsid w:val="00953B2B"/>
    <w:rsid w:val="00954567"/>
    <w:rsid w:val="009547B3"/>
    <w:rsid w:val="00954A89"/>
    <w:rsid w:val="009562EE"/>
    <w:rsid w:val="00956671"/>
    <w:rsid w:val="009569B4"/>
    <w:rsid w:val="00957466"/>
    <w:rsid w:val="00957505"/>
    <w:rsid w:val="009576F7"/>
    <w:rsid w:val="00957EAF"/>
    <w:rsid w:val="009604A0"/>
    <w:rsid w:val="00960722"/>
    <w:rsid w:val="009611A4"/>
    <w:rsid w:val="00961356"/>
    <w:rsid w:val="00961BEC"/>
    <w:rsid w:val="009621D2"/>
    <w:rsid w:val="00962401"/>
    <w:rsid w:val="00962510"/>
    <w:rsid w:val="0096260B"/>
    <w:rsid w:val="0096275C"/>
    <w:rsid w:val="009627FF"/>
    <w:rsid w:val="00962A27"/>
    <w:rsid w:val="00962B9D"/>
    <w:rsid w:val="00962EDC"/>
    <w:rsid w:val="00964E3D"/>
    <w:rsid w:val="009664D5"/>
    <w:rsid w:val="009668A9"/>
    <w:rsid w:val="009669DC"/>
    <w:rsid w:val="009670C1"/>
    <w:rsid w:val="00970C69"/>
    <w:rsid w:val="00971262"/>
    <w:rsid w:val="0097168F"/>
    <w:rsid w:val="00971F1C"/>
    <w:rsid w:val="0097211A"/>
    <w:rsid w:val="0097211D"/>
    <w:rsid w:val="009724F9"/>
    <w:rsid w:val="0097263C"/>
    <w:rsid w:val="00972DF9"/>
    <w:rsid w:val="00972E10"/>
    <w:rsid w:val="009738AD"/>
    <w:rsid w:val="00974694"/>
    <w:rsid w:val="009746CA"/>
    <w:rsid w:val="00974E7C"/>
    <w:rsid w:val="00977134"/>
    <w:rsid w:val="00980013"/>
    <w:rsid w:val="00980630"/>
    <w:rsid w:val="00980E65"/>
    <w:rsid w:val="0098122D"/>
    <w:rsid w:val="00981963"/>
    <w:rsid w:val="009822E0"/>
    <w:rsid w:val="009831B9"/>
    <w:rsid w:val="00983A16"/>
    <w:rsid w:val="00983C82"/>
    <w:rsid w:val="00983F2A"/>
    <w:rsid w:val="009844D6"/>
    <w:rsid w:val="00984520"/>
    <w:rsid w:val="0098537C"/>
    <w:rsid w:val="0098545C"/>
    <w:rsid w:val="009862F1"/>
    <w:rsid w:val="009871EA"/>
    <w:rsid w:val="00990B13"/>
    <w:rsid w:val="00991675"/>
    <w:rsid w:val="00991E72"/>
    <w:rsid w:val="00992BA2"/>
    <w:rsid w:val="00992F83"/>
    <w:rsid w:val="0099344F"/>
    <w:rsid w:val="00993A3C"/>
    <w:rsid w:val="009943EE"/>
    <w:rsid w:val="0099508A"/>
    <w:rsid w:val="0099554A"/>
    <w:rsid w:val="009974EB"/>
    <w:rsid w:val="00997A12"/>
    <w:rsid w:val="009A0C49"/>
    <w:rsid w:val="009A1126"/>
    <w:rsid w:val="009A232E"/>
    <w:rsid w:val="009A2393"/>
    <w:rsid w:val="009A2C8B"/>
    <w:rsid w:val="009A5564"/>
    <w:rsid w:val="009A5A85"/>
    <w:rsid w:val="009A6ECD"/>
    <w:rsid w:val="009A71B7"/>
    <w:rsid w:val="009A7469"/>
    <w:rsid w:val="009B07EE"/>
    <w:rsid w:val="009B1584"/>
    <w:rsid w:val="009B16C4"/>
    <w:rsid w:val="009B1B32"/>
    <w:rsid w:val="009B21CA"/>
    <w:rsid w:val="009B238C"/>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949"/>
    <w:rsid w:val="009C3AAC"/>
    <w:rsid w:val="009C433A"/>
    <w:rsid w:val="009C4D19"/>
    <w:rsid w:val="009C5F6C"/>
    <w:rsid w:val="009C5FDB"/>
    <w:rsid w:val="009C693E"/>
    <w:rsid w:val="009C6B2C"/>
    <w:rsid w:val="009C6ED6"/>
    <w:rsid w:val="009C702E"/>
    <w:rsid w:val="009C70CB"/>
    <w:rsid w:val="009C7623"/>
    <w:rsid w:val="009D0D7E"/>
    <w:rsid w:val="009D1492"/>
    <w:rsid w:val="009D14EB"/>
    <w:rsid w:val="009D160A"/>
    <w:rsid w:val="009D1B18"/>
    <w:rsid w:val="009D1E70"/>
    <w:rsid w:val="009D1EA4"/>
    <w:rsid w:val="009D203B"/>
    <w:rsid w:val="009D27AA"/>
    <w:rsid w:val="009D2B7A"/>
    <w:rsid w:val="009D2BFD"/>
    <w:rsid w:val="009D2FF8"/>
    <w:rsid w:val="009D3F20"/>
    <w:rsid w:val="009D428F"/>
    <w:rsid w:val="009D4991"/>
    <w:rsid w:val="009D597B"/>
    <w:rsid w:val="009D5BB5"/>
    <w:rsid w:val="009D696D"/>
    <w:rsid w:val="009D6993"/>
    <w:rsid w:val="009D6ED2"/>
    <w:rsid w:val="009D7DB4"/>
    <w:rsid w:val="009E08B3"/>
    <w:rsid w:val="009E0F1A"/>
    <w:rsid w:val="009E140D"/>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A1A"/>
    <w:rsid w:val="009F4C7D"/>
    <w:rsid w:val="009F5235"/>
    <w:rsid w:val="009F531A"/>
    <w:rsid w:val="009F6344"/>
    <w:rsid w:val="009F6550"/>
    <w:rsid w:val="009F6B65"/>
    <w:rsid w:val="009F786E"/>
    <w:rsid w:val="009F7B30"/>
    <w:rsid w:val="00A00817"/>
    <w:rsid w:val="00A00902"/>
    <w:rsid w:val="00A0098B"/>
    <w:rsid w:val="00A011CA"/>
    <w:rsid w:val="00A021AA"/>
    <w:rsid w:val="00A0294E"/>
    <w:rsid w:val="00A02C8E"/>
    <w:rsid w:val="00A039FF"/>
    <w:rsid w:val="00A04524"/>
    <w:rsid w:val="00A046B6"/>
    <w:rsid w:val="00A05ACE"/>
    <w:rsid w:val="00A05CD8"/>
    <w:rsid w:val="00A10251"/>
    <w:rsid w:val="00A10BC2"/>
    <w:rsid w:val="00A114B9"/>
    <w:rsid w:val="00A1211A"/>
    <w:rsid w:val="00A13A65"/>
    <w:rsid w:val="00A14589"/>
    <w:rsid w:val="00A14AE3"/>
    <w:rsid w:val="00A15059"/>
    <w:rsid w:val="00A153F1"/>
    <w:rsid w:val="00A159B1"/>
    <w:rsid w:val="00A16675"/>
    <w:rsid w:val="00A179F6"/>
    <w:rsid w:val="00A20CBF"/>
    <w:rsid w:val="00A20FDF"/>
    <w:rsid w:val="00A21955"/>
    <w:rsid w:val="00A22CD6"/>
    <w:rsid w:val="00A2300D"/>
    <w:rsid w:val="00A234EC"/>
    <w:rsid w:val="00A24128"/>
    <w:rsid w:val="00A2417A"/>
    <w:rsid w:val="00A24E54"/>
    <w:rsid w:val="00A25642"/>
    <w:rsid w:val="00A26668"/>
    <w:rsid w:val="00A2681F"/>
    <w:rsid w:val="00A26BFD"/>
    <w:rsid w:val="00A27804"/>
    <w:rsid w:val="00A3276D"/>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44FF"/>
    <w:rsid w:val="00A4526F"/>
    <w:rsid w:val="00A45753"/>
    <w:rsid w:val="00A457B8"/>
    <w:rsid w:val="00A46E47"/>
    <w:rsid w:val="00A473E8"/>
    <w:rsid w:val="00A47B15"/>
    <w:rsid w:val="00A5094A"/>
    <w:rsid w:val="00A51286"/>
    <w:rsid w:val="00A51708"/>
    <w:rsid w:val="00A52F84"/>
    <w:rsid w:val="00A533CC"/>
    <w:rsid w:val="00A53AB0"/>
    <w:rsid w:val="00A54284"/>
    <w:rsid w:val="00A5465A"/>
    <w:rsid w:val="00A54FB5"/>
    <w:rsid w:val="00A56B05"/>
    <w:rsid w:val="00A56C06"/>
    <w:rsid w:val="00A56C94"/>
    <w:rsid w:val="00A56E50"/>
    <w:rsid w:val="00A57523"/>
    <w:rsid w:val="00A57678"/>
    <w:rsid w:val="00A57972"/>
    <w:rsid w:val="00A579F5"/>
    <w:rsid w:val="00A57F83"/>
    <w:rsid w:val="00A6076E"/>
    <w:rsid w:val="00A60E2F"/>
    <w:rsid w:val="00A6121D"/>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3112"/>
    <w:rsid w:val="00A73617"/>
    <w:rsid w:val="00A7369D"/>
    <w:rsid w:val="00A747D2"/>
    <w:rsid w:val="00A74FD1"/>
    <w:rsid w:val="00A75123"/>
    <w:rsid w:val="00A75705"/>
    <w:rsid w:val="00A75F35"/>
    <w:rsid w:val="00A765A9"/>
    <w:rsid w:val="00A7672E"/>
    <w:rsid w:val="00A77BF3"/>
    <w:rsid w:val="00A77C69"/>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1EDB"/>
    <w:rsid w:val="00A92570"/>
    <w:rsid w:val="00A92579"/>
    <w:rsid w:val="00A936F9"/>
    <w:rsid w:val="00A947AA"/>
    <w:rsid w:val="00A94888"/>
    <w:rsid w:val="00A94990"/>
    <w:rsid w:val="00A9681C"/>
    <w:rsid w:val="00A96867"/>
    <w:rsid w:val="00A96B3D"/>
    <w:rsid w:val="00A97141"/>
    <w:rsid w:val="00A97820"/>
    <w:rsid w:val="00AA1733"/>
    <w:rsid w:val="00AA1B53"/>
    <w:rsid w:val="00AA1DEA"/>
    <w:rsid w:val="00AA256D"/>
    <w:rsid w:val="00AA311D"/>
    <w:rsid w:val="00AA33BA"/>
    <w:rsid w:val="00AA3556"/>
    <w:rsid w:val="00AA35FD"/>
    <w:rsid w:val="00AA364F"/>
    <w:rsid w:val="00AA3DB7"/>
    <w:rsid w:val="00AA41D3"/>
    <w:rsid w:val="00AA5F8B"/>
    <w:rsid w:val="00AA712C"/>
    <w:rsid w:val="00AB0039"/>
    <w:rsid w:val="00AB0D96"/>
    <w:rsid w:val="00AB15A3"/>
    <w:rsid w:val="00AB177A"/>
    <w:rsid w:val="00AB216D"/>
    <w:rsid w:val="00AB2678"/>
    <w:rsid w:val="00AB3012"/>
    <w:rsid w:val="00AB321C"/>
    <w:rsid w:val="00AB473F"/>
    <w:rsid w:val="00AB4C91"/>
    <w:rsid w:val="00AB4E3B"/>
    <w:rsid w:val="00AB5381"/>
    <w:rsid w:val="00AB6698"/>
    <w:rsid w:val="00AB688F"/>
    <w:rsid w:val="00AB75EA"/>
    <w:rsid w:val="00AB7AA2"/>
    <w:rsid w:val="00AC0A22"/>
    <w:rsid w:val="00AC1515"/>
    <w:rsid w:val="00AC1F41"/>
    <w:rsid w:val="00AC2234"/>
    <w:rsid w:val="00AC26AA"/>
    <w:rsid w:val="00AC29B8"/>
    <w:rsid w:val="00AC3FF3"/>
    <w:rsid w:val="00AC4BC1"/>
    <w:rsid w:val="00AC544A"/>
    <w:rsid w:val="00AC5715"/>
    <w:rsid w:val="00AC7120"/>
    <w:rsid w:val="00AC7D8D"/>
    <w:rsid w:val="00AD04BD"/>
    <w:rsid w:val="00AD0765"/>
    <w:rsid w:val="00AD0F00"/>
    <w:rsid w:val="00AD33DD"/>
    <w:rsid w:val="00AD55A8"/>
    <w:rsid w:val="00AD5625"/>
    <w:rsid w:val="00AD5A2E"/>
    <w:rsid w:val="00AD5CA4"/>
    <w:rsid w:val="00AD6A91"/>
    <w:rsid w:val="00AD6C2C"/>
    <w:rsid w:val="00AD7214"/>
    <w:rsid w:val="00AE04DB"/>
    <w:rsid w:val="00AE0DA2"/>
    <w:rsid w:val="00AE0E09"/>
    <w:rsid w:val="00AE1066"/>
    <w:rsid w:val="00AE14DD"/>
    <w:rsid w:val="00AE2CB7"/>
    <w:rsid w:val="00AE2FA5"/>
    <w:rsid w:val="00AE30D0"/>
    <w:rsid w:val="00AE346F"/>
    <w:rsid w:val="00AE3A4F"/>
    <w:rsid w:val="00AE4518"/>
    <w:rsid w:val="00AE487A"/>
    <w:rsid w:val="00AE4C42"/>
    <w:rsid w:val="00AE5D7F"/>
    <w:rsid w:val="00AE79EE"/>
    <w:rsid w:val="00AE79F0"/>
    <w:rsid w:val="00AF0386"/>
    <w:rsid w:val="00AF07B0"/>
    <w:rsid w:val="00AF0E5A"/>
    <w:rsid w:val="00AF109C"/>
    <w:rsid w:val="00AF1752"/>
    <w:rsid w:val="00AF42FC"/>
    <w:rsid w:val="00AF483E"/>
    <w:rsid w:val="00AF4AC5"/>
    <w:rsid w:val="00AF4C2C"/>
    <w:rsid w:val="00AF4E3B"/>
    <w:rsid w:val="00AF597D"/>
    <w:rsid w:val="00AF6EC1"/>
    <w:rsid w:val="00AF7174"/>
    <w:rsid w:val="00AF784D"/>
    <w:rsid w:val="00AF7CE9"/>
    <w:rsid w:val="00AF7D1D"/>
    <w:rsid w:val="00B00331"/>
    <w:rsid w:val="00B00AAB"/>
    <w:rsid w:val="00B00C41"/>
    <w:rsid w:val="00B014A1"/>
    <w:rsid w:val="00B01A80"/>
    <w:rsid w:val="00B025B3"/>
    <w:rsid w:val="00B046AF"/>
    <w:rsid w:val="00B046B3"/>
    <w:rsid w:val="00B0509C"/>
    <w:rsid w:val="00B05D23"/>
    <w:rsid w:val="00B06036"/>
    <w:rsid w:val="00B06B2D"/>
    <w:rsid w:val="00B07C27"/>
    <w:rsid w:val="00B07FB2"/>
    <w:rsid w:val="00B10017"/>
    <w:rsid w:val="00B1004A"/>
    <w:rsid w:val="00B101CE"/>
    <w:rsid w:val="00B1057D"/>
    <w:rsid w:val="00B10DE1"/>
    <w:rsid w:val="00B10FF8"/>
    <w:rsid w:val="00B11E02"/>
    <w:rsid w:val="00B12D3F"/>
    <w:rsid w:val="00B12F0D"/>
    <w:rsid w:val="00B12F25"/>
    <w:rsid w:val="00B137BC"/>
    <w:rsid w:val="00B13A85"/>
    <w:rsid w:val="00B13BC7"/>
    <w:rsid w:val="00B13CD4"/>
    <w:rsid w:val="00B14D91"/>
    <w:rsid w:val="00B153D8"/>
    <w:rsid w:val="00B154DE"/>
    <w:rsid w:val="00B15814"/>
    <w:rsid w:val="00B16B91"/>
    <w:rsid w:val="00B17B14"/>
    <w:rsid w:val="00B203C4"/>
    <w:rsid w:val="00B20863"/>
    <w:rsid w:val="00B20CDD"/>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278DB"/>
    <w:rsid w:val="00B30F7D"/>
    <w:rsid w:val="00B31884"/>
    <w:rsid w:val="00B31D19"/>
    <w:rsid w:val="00B32396"/>
    <w:rsid w:val="00B32AB3"/>
    <w:rsid w:val="00B32DAE"/>
    <w:rsid w:val="00B331CA"/>
    <w:rsid w:val="00B3341F"/>
    <w:rsid w:val="00B33825"/>
    <w:rsid w:val="00B33A34"/>
    <w:rsid w:val="00B34BB2"/>
    <w:rsid w:val="00B34E7C"/>
    <w:rsid w:val="00B35AF6"/>
    <w:rsid w:val="00B36228"/>
    <w:rsid w:val="00B366A3"/>
    <w:rsid w:val="00B368EA"/>
    <w:rsid w:val="00B37EEF"/>
    <w:rsid w:val="00B418AD"/>
    <w:rsid w:val="00B4229C"/>
    <w:rsid w:val="00B42F1A"/>
    <w:rsid w:val="00B43790"/>
    <w:rsid w:val="00B4430B"/>
    <w:rsid w:val="00B443D9"/>
    <w:rsid w:val="00B44531"/>
    <w:rsid w:val="00B44BBB"/>
    <w:rsid w:val="00B45478"/>
    <w:rsid w:val="00B45D41"/>
    <w:rsid w:val="00B46587"/>
    <w:rsid w:val="00B467BC"/>
    <w:rsid w:val="00B46CDD"/>
    <w:rsid w:val="00B47AD2"/>
    <w:rsid w:val="00B47CF7"/>
    <w:rsid w:val="00B50686"/>
    <w:rsid w:val="00B50B04"/>
    <w:rsid w:val="00B50C50"/>
    <w:rsid w:val="00B513C0"/>
    <w:rsid w:val="00B53708"/>
    <w:rsid w:val="00B53DCB"/>
    <w:rsid w:val="00B5428F"/>
    <w:rsid w:val="00B54370"/>
    <w:rsid w:val="00B54A05"/>
    <w:rsid w:val="00B54DEA"/>
    <w:rsid w:val="00B55185"/>
    <w:rsid w:val="00B55653"/>
    <w:rsid w:val="00B55C03"/>
    <w:rsid w:val="00B55F0B"/>
    <w:rsid w:val="00B567BA"/>
    <w:rsid w:val="00B5695D"/>
    <w:rsid w:val="00B56976"/>
    <w:rsid w:val="00B56A70"/>
    <w:rsid w:val="00B57762"/>
    <w:rsid w:val="00B5782F"/>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412"/>
    <w:rsid w:val="00B841AC"/>
    <w:rsid w:val="00B85873"/>
    <w:rsid w:val="00B85E95"/>
    <w:rsid w:val="00B865B0"/>
    <w:rsid w:val="00B865DC"/>
    <w:rsid w:val="00B870E8"/>
    <w:rsid w:val="00B875E3"/>
    <w:rsid w:val="00B8778A"/>
    <w:rsid w:val="00B87C29"/>
    <w:rsid w:val="00B90780"/>
    <w:rsid w:val="00B90968"/>
    <w:rsid w:val="00B91BC2"/>
    <w:rsid w:val="00B9240D"/>
    <w:rsid w:val="00B943EF"/>
    <w:rsid w:val="00B94960"/>
    <w:rsid w:val="00B9543E"/>
    <w:rsid w:val="00B96F6E"/>
    <w:rsid w:val="00B979D4"/>
    <w:rsid w:val="00BA0FE8"/>
    <w:rsid w:val="00BA22A8"/>
    <w:rsid w:val="00BA309F"/>
    <w:rsid w:val="00BA33A5"/>
    <w:rsid w:val="00BA3B8F"/>
    <w:rsid w:val="00BA3E48"/>
    <w:rsid w:val="00BA434F"/>
    <w:rsid w:val="00BA4905"/>
    <w:rsid w:val="00BA4BD3"/>
    <w:rsid w:val="00BA5C24"/>
    <w:rsid w:val="00BA6E49"/>
    <w:rsid w:val="00BA7866"/>
    <w:rsid w:val="00BB0187"/>
    <w:rsid w:val="00BB0E56"/>
    <w:rsid w:val="00BB1E94"/>
    <w:rsid w:val="00BB1EB3"/>
    <w:rsid w:val="00BB2678"/>
    <w:rsid w:val="00BB3077"/>
    <w:rsid w:val="00BB33A8"/>
    <w:rsid w:val="00BB3927"/>
    <w:rsid w:val="00BB3D8C"/>
    <w:rsid w:val="00BB4B39"/>
    <w:rsid w:val="00BB53AF"/>
    <w:rsid w:val="00BB5C26"/>
    <w:rsid w:val="00BB6591"/>
    <w:rsid w:val="00BB6A40"/>
    <w:rsid w:val="00BB734D"/>
    <w:rsid w:val="00BB7AF4"/>
    <w:rsid w:val="00BB7D1B"/>
    <w:rsid w:val="00BC013A"/>
    <w:rsid w:val="00BC162A"/>
    <w:rsid w:val="00BC2343"/>
    <w:rsid w:val="00BC2E1B"/>
    <w:rsid w:val="00BC33C8"/>
    <w:rsid w:val="00BC407B"/>
    <w:rsid w:val="00BC5824"/>
    <w:rsid w:val="00BC6CC0"/>
    <w:rsid w:val="00BC702F"/>
    <w:rsid w:val="00BC7377"/>
    <w:rsid w:val="00BC75B8"/>
    <w:rsid w:val="00BD0ECF"/>
    <w:rsid w:val="00BD30C8"/>
    <w:rsid w:val="00BD38F4"/>
    <w:rsid w:val="00BD3EB4"/>
    <w:rsid w:val="00BD4C5B"/>
    <w:rsid w:val="00BD5359"/>
    <w:rsid w:val="00BD556E"/>
    <w:rsid w:val="00BD5C65"/>
    <w:rsid w:val="00BD7BCC"/>
    <w:rsid w:val="00BE0037"/>
    <w:rsid w:val="00BE158C"/>
    <w:rsid w:val="00BE16E9"/>
    <w:rsid w:val="00BE219C"/>
    <w:rsid w:val="00BE2730"/>
    <w:rsid w:val="00BE2A17"/>
    <w:rsid w:val="00BE2B11"/>
    <w:rsid w:val="00BE31BE"/>
    <w:rsid w:val="00BE3A1D"/>
    <w:rsid w:val="00BE3B92"/>
    <w:rsid w:val="00BE487E"/>
    <w:rsid w:val="00BE528E"/>
    <w:rsid w:val="00BE52C8"/>
    <w:rsid w:val="00BE6018"/>
    <w:rsid w:val="00BE7086"/>
    <w:rsid w:val="00BE7142"/>
    <w:rsid w:val="00BE7278"/>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194D"/>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10086"/>
    <w:rsid w:val="00C104CC"/>
    <w:rsid w:val="00C10EE9"/>
    <w:rsid w:val="00C11233"/>
    <w:rsid w:val="00C11521"/>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4F"/>
    <w:rsid w:val="00C23BA2"/>
    <w:rsid w:val="00C2405D"/>
    <w:rsid w:val="00C2485F"/>
    <w:rsid w:val="00C248B1"/>
    <w:rsid w:val="00C24B63"/>
    <w:rsid w:val="00C262A0"/>
    <w:rsid w:val="00C26A4E"/>
    <w:rsid w:val="00C270CA"/>
    <w:rsid w:val="00C276EF"/>
    <w:rsid w:val="00C31190"/>
    <w:rsid w:val="00C31195"/>
    <w:rsid w:val="00C31774"/>
    <w:rsid w:val="00C3180E"/>
    <w:rsid w:val="00C31A2C"/>
    <w:rsid w:val="00C3214E"/>
    <w:rsid w:val="00C32AF2"/>
    <w:rsid w:val="00C33051"/>
    <w:rsid w:val="00C33204"/>
    <w:rsid w:val="00C338EB"/>
    <w:rsid w:val="00C33AD3"/>
    <w:rsid w:val="00C3401B"/>
    <w:rsid w:val="00C34389"/>
    <w:rsid w:val="00C3465D"/>
    <w:rsid w:val="00C347D5"/>
    <w:rsid w:val="00C34A42"/>
    <w:rsid w:val="00C35C57"/>
    <w:rsid w:val="00C36D89"/>
    <w:rsid w:val="00C379E9"/>
    <w:rsid w:val="00C403CD"/>
    <w:rsid w:val="00C40BE2"/>
    <w:rsid w:val="00C40ECA"/>
    <w:rsid w:val="00C42041"/>
    <w:rsid w:val="00C42BD9"/>
    <w:rsid w:val="00C431BB"/>
    <w:rsid w:val="00C43934"/>
    <w:rsid w:val="00C439FB"/>
    <w:rsid w:val="00C43AA8"/>
    <w:rsid w:val="00C43F23"/>
    <w:rsid w:val="00C441A4"/>
    <w:rsid w:val="00C452E1"/>
    <w:rsid w:val="00C45523"/>
    <w:rsid w:val="00C45585"/>
    <w:rsid w:val="00C463C9"/>
    <w:rsid w:val="00C47648"/>
    <w:rsid w:val="00C47852"/>
    <w:rsid w:val="00C47F0C"/>
    <w:rsid w:val="00C50011"/>
    <w:rsid w:val="00C5254B"/>
    <w:rsid w:val="00C53104"/>
    <w:rsid w:val="00C53751"/>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3F81"/>
    <w:rsid w:val="00C645E6"/>
    <w:rsid w:val="00C64813"/>
    <w:rsid w:val="00C64D82"/>
    <w:rsid w:val="00C64FBC"/>
    <w:rsid w:val="00C6524D"/>
    <w:rsid w:val="00C65A83"/>
    <w:rsid w:val="00C66A00"/>
    <w:rsid w:val="00C66CBE"/>
    <w:rsid w:val="00C670FB"/>
    <w:rsid w:val="00C67118"/>
    <w:rsid w:val="00C67276"/>
    <w:rsid w:val="00C67DDD"/>
    <w:rsid w:val="00C70139"/>
    <w:rsid w:val="00C7191D"/>
    <w:rsid w:val="00C71D18"/>
    <w:rsid w:val="00C72C6F"/>
    <w:rsid w:val="00C74171"/>
    <w:rsid w:val="00C74453"/>
    <w:rsid w:val="00C7473A"/>
    <w:rsid w:val="00C74996"/>
    <w:rsid w:val="00C75AB0"/>
    <w:rsid w:val="00C76166"/>
    <w:rsid w:val="00C76B7B"/>
    <w:rsid w:val="00C76BBD"/>
    <w:rsid w:val="00C76DE2"/>
    <w:rsid w:val="00C772BA"/>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4E91"/>
    <w:rsid w:val="00C850A3"/>
    <w:rsid w:val="00C85C32"/>
    <w:rsid w:val="00C85D4F"/>
    <w:rsid w:val="00C85F45"/>
    <w:rsid w:val="00C86C8C"/>
    <w:rsid w:val="00C87568"/>
    <w:rsid w:val="00C87FD0"/>
    <w:rsid w:val="00C90AD7"/>
    <w:rsid w:val="00C90DB6"/>
    <w:rsid w:val="00C92603"/>
    <w:rsid w:val="00C93177"/>
    <w:rsid w:val="00C93649"/>
    <w:rsid w:val="00C9394F"/>
    <w:rsid w:val="00C93B1A"/>
    <w:rsid w:val="00C95874"/>
    <w:rsid w:val="00C9611F"/>
    <w:rsid w:val="00C96495"/>
    <w:rsid w:val="00C96D24"/>
    <w:rsid w:val="00C96F5F"/>
    <w:rsid w:val="00C97055"/>
    <w:rsid w:val="00CA2B4F"/>
    <w:rsid w:val="00CA30C3"/>
    <w:rsid w:val="00CA4EF4"/>
    <w:rsid w:val="00CA5927"/>
    <w:rsid w:val="00CA635E"/>
    <w:rsid w:val="00CA6BB0"/>
    <w:rsid w:val="00CA70CE"/>
    <w:rsid w:val="00CA79EC"/>
    <w:rsid w:val="00CB002C"/>
    <w:rsid w:val="00CB18D6"/>
    <w:rsid w:val="00CB1E4B"/>
    <w:rsid w:val="00CB259F"/>
    <w:rsid w:val="00CB2DE9"/>
    <w:rsid w:val="00CB39C2"/>
    <w:rsid w:val="00CB45FC"/>
    <w:rsid w:val="00CB4C82"/>
    <w:rsid w:val="00CB4C8C"/>
    <w:rsid w:val="00CB4E90"/>
    <w:rsid w:val="00CB5850"/>
    <w:rsid w:val="00CB5C99"/>
    <w:rsid w:val="00CB633B"/>
    <w:rsid w:val="00CB6782"/>
    <w:rsid w:val="00CB6E3E"/>
    <w:rsid w:val="00CB785A"/>
    <w:rsid w:val="00CC080A"/>
    <w:rsid w:val="00CC0A2E"/>
    <w:rsid w:val="00CC0D0F"/>
    <w:rsid w:val="00CC1275"/>
    <w:rsid w:val="00CC12EE"/>
    <w:rsid w:val="00CC156B"/>
    <w:rsid w:val="00CC170E"/>
    <w:rsid w:val="00CC5767"/>
    <w:rsid w:val="00CC5D2F"/>
    <w:rsid w:val="00CC667C"/>
    <w:rsid w:val="00CC68CC"/>
    <w:rsid w:val="00CC6B3E"/>
    <w:rsid w:val="00CC701E"/>
    <w:rsid w:val="00CC7735"/>
    <w:rsid w:val="00CD0310"/>
    <w:rsid w:val="00CD1499"/>
    <w:rsid w:val="00CD158F"/>
    <w:rsid w:val="00CD268B"/>
    <w:rsid w:val="00CD2E48"/>
    <w:rsid w:val="00CD4826"/>
    <w:rsid w:val="00CD4E19"/>
    <w:rsid w:val="00CD6219"/>
    <w:rsid w:val="00CD700F"/>
    <w:rsid w:val="00CD70EB"/>
    <w:rsid w:val="00CD7319"/>
    <w:rsid w:val="00CD7E19"/>
    <w:rsid w:val="00CE0331"/>
    <w:rsid w:val="00CE148E"/>
    <w:rsid w:val="00CE208D"/>
    <w:rsid w:val="00CE2453"/>
    <w:rsid w:val="00CE326A"/>
    <w:rsid w:val="00CE356D"/>
    <w:rsid w:val="00CE3811"/>
    <w:rsid w:val="00CE3FA4"/>
    <w:rsid w:val="00CE44F8"/>
    <w:rsid w:val="00CE5277"/>
    <w:rsid w:val="00CE54F6"/>
    <w:rsid w:val="00CE5B4D"/>
    <w:rsid w:val="00CE6358"/>
    <w:rsid w:val="00CE6490"/>
    <w:rsid w:val="00CE6686"/>
    <w:rsid w:val="00CE6E97"/>
    <w:rsid w:val="00CE77DA"/>
    <w:rsid w:val="00CE7868"/>
    <w:rsid w:val="00CE7968"/>
    <w:rsid w:val="00CE796C"/>
    <w:rsid w:val="00CF0CE2"/>
    <w:rsid w:val="00CF0DB0"/>
    <w:rsid w:val="00CF11E6"/>
    <w:rsid w:val="00CF1B70"/>
    <w:rsid w:val="00CF1DD1"/>
    <w:rsid w:val="00CF2161"/>
    <w:rsid w:val="00CF2307"/>
    <w:rsid w:val="00CF26AE"/>
    <w:rsid w:val="00CF2A8B"/>
    <w:rsid w:val="00CF2D54"/>
    <w:rsid w:val="00CF311F"/>
    <w:rsid w:val="00CF5047"/>
    <w:rsid w:val="00D00188"/>
    <w:rsid w:val="00D01344"/>
    <w:rsid w:val="00D01B90"/>
    <w:rsid w:val="00D01C0E"/>
    <w:rsid w:val="00D024CD"/>
    <w:rsid w:val="00D034DA"/>
    <w:rsid w:val="00D03538"/>
    <w:rsid w:val="00D0372D"/>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293B"/>
    <w:rsid w:val="00D129A8"/>
    <w:rsid w:val="00D12FB9"/>
    <w:rsid w:val="00D13431"/>
    <w:rsid w:val="00D135F2"/>
    <w:rsid w:val="00D13C61"/>
    <w:rsid w:val="00D13D00"/>
    <w:rsid w:val="00D14764"/>
    <w:rsid w:val="00D147C0"/>
    <w:rsid w:val="00D14CF5"/>
    <w:rsid w:val="00D15696"/>
    <w:rsid w:val="00D15C51"/>
    <w:rsid w:val="00D15F8C"/>
    <w:rsid w:val="00D16436"/>
    <w:rsid w:val="00D16C68"/>
    <w:rsid w:val="00D16DEC"/>
    <w:rsid w:val="00D17720"/>
    <w:rsid w:val="00D200BD"/>
    <w:rsid w:val="00D201AA"/>
    <w:rsid w:val="00D204A7"/>
    <w:rsid w:val="00D20AA5"/>
    <w:rsid w:val="00D21507"/>
    <w:rsid w:val="00D21D39"/>
    <w:rsid w:val="00D22399"/>
    <w:rsid w:val="00D235B5"/>
    <w:rsid w:val="00D24F39"/>
    <w:rsid w:val="00D25C89"/>
    <w:rsid w:val="00D2662C"/>
    <w:rsid w:val="00D26F2F"/>
    <w:rsid w:val="00D27125"/>
    <w:rsid w:val="00D27BD3"/>
    <w:rsid w:val="00D27FA3"/>
    <w:rsid w:val="00D30711"/>
    <w:rsid w:val="00D3176C"/>
    <w:rsid w:val="00D31B3F"/>
    <w:rsid w:val="00D32392"/>
    <w:rsid w:val="00D33742"/>
    <w:rsid w:val="00D33751"/>
    <w:rsid w:val="00D35D4A"/>
    <w:rsid w:val="00D35E07"/>
    <w:rsid w:val="00D36F6E"/>
    <w:rsid w:val="00D372B0"/>
    <w:rsid w:val="00D37343"/>
    <w:rsid w:val="00D40229"/>
    <w:rsid w:val="00D40B53"/>
    <w:rsid w:val="00D4188E"/>
    <w:rsid w:val="00D42034"/>
    <w:rsid w:val="00D4205E"/>
    <w:rsid w:val="00D4417B"/>
    <w:rsid w:val="00D44AAA"/>
    <w:rsid w:val="00D44EB8"/>
    <w:rsid w:val="00D45CFB"/>
    <w:rsid w:val="00D47399"/>
    <w:rsid w:val="00D47BB2"/>
    <w:rsid w:val="00D47D04"/>
    <w:rsid w:val="00D5056A"/>
    <w:rsid w:val="00D50597"/>
    <w:rsid w:val="00D510A0"/>
    <w:rsid w:val="00D522CB"/>
    <w:rsid w:val="00D527EE"/>
    <w:rsid w:val="00D529C4"/>
    <w:rsid w:val="00D53929"/>
    <w:rsid w:val="00D539D0"/>
    <w:rsid w:val="00D53F2B"/>
    <w:rsid w:val="00D540DC"/>
    <w:rsid w:val="00D54E8B"/>
    <w:rsid w:val="00D55616"/>
    <w:rsid w:val="00D5574C"/>
    <w:rsid w:val="00D55AD2"/>
    <w:rsid w:val="00D55DAC"/>
    <w:rsid w:val="00D56ADA"/>
    <w:rsid w:val="00D56F09"/>
    <w:rsid w:val="00D57BDB"/>
    <w:rsid w:val="00D6153F"/>
    <w:rsid w:val="00D61982"/>
    <w:rsid w:val="00D61EA9"/>
    <w:rsid w:val="00D61EFF"/>
    <w:rsid w:val="00D622DF"/>
    <w:rsid w:val="00D62655"/>
    <w:rsid w:val="00D6267A"/>
    <w:rsid w:val="00D62998"/>
    <w:rsid w:val="00D647DE"/>
    <w:rsid w:val="00D64C54"/>
    <w:rsid w:val="00D6501F"/>
    <w:rsid w:val="00D6531B"/>
    <w:rsid w:val="00D65347"/>
    <w:rsid w:val="00D66751"/>
    <w:rsid w:val="00D67D12"/>
    <w:rsid w:val="00D705FF"/>
    <w:rsid w:val="00D70B0C"/>
    <w:rsid w:val="00D7145C"/>
    <w:rsid w:val="00D73146"/>
    <w:rsid w:val="00D735B5"/>
    <w:rsid w:val="00D744BC"/>
    <w:rsid w:val="00D7585A"/>
    <w:rsid w:val="00D77C53"/>
    <w:rsid w:val="00D77E96"/>
    <w:rsid w:val="00D80618"/>
    <w:rsid w:val="00D8068C"/>
    <w:rsid w:val="00D807DF"/>
    <w:rsid w:val="00D81B75"/>
    <w:rsid w:val="00D821D9"/>
    <w:rsid w:val="00D82339"/>
    <w:rsid w:val="00D82494"/>
    <w:rsid w:val="00D82FF2"/>
    <w:rsid w:val="00D83774"/>
    <w:rsid w:val="00D843EC"/>
    <w:rsid w:val="00D84A4B"/>
    <w:rsid w:val="00D856EA"/>
    <w:rsid w:val="00D86DE3"/>
    <w:rsid w:val="00D90A81"/>
    <w:rsid w:val="00D90B7D"/>
    <w:rsid w:val="00D90CC7"/>
    <w:rsid w:val="00D90DCE"/>
    <w:rsid w:val="00D913ED"/>
    <w:rsid w:val="00D92168"/>
    <w:rsid w:val="00D9231C"/>
    <w:rsid w:val="00D92356"/>
    <w:rsid w:val="00D928CC"/>
    <w:rsid w:val="00D92A5E"/>
    <w:rsid w:val="00D931F2"/>
    <w:rsid w:val="00D935BD"/>
    <w:rsid w:val="00D940B5"/>
    <w:rsid w:val="00D9582D"/>
    <w:rsid w:val="00D95CB0"/>
    <w:rsid w:val="00D96326"/>
    <w:rsid w:val="00D9654F"/>
    <w:rsid w:val="00D966FE"/>
    <w:rsid w:val="00D9777E"/>
    <w:rsid w:val="00D977C0"/>
    <w:rsid w:val="00D97E14"/>
    <w:rsid w:val="00DA00A3"/>
    <w:rsid w:val="00DA0BAC"/>
    <w:rsid w:val="00DA111A"/>
    <w:rsid w:val="00DA13F3"/>
    <w:rsid w:val="00DA222E"/>
    <w:rsid w:val="00DA2DE3"/>
    <w:rsid w:val="00DA3633"/>
    <w:rsid w:val="00DA3A6E"/>
    <w:rsid w:val="00DA400B"/>
    <w:rsid w:val="00DA6443"/>
    <w:rsid w:val="00DA6B5E"/>
    <w:rsid w:val="00DA7146"/>
    <w:rsid w:val="00DA716A"/>
    <w:rsid w:val="00DA7B82"/>
    <w:rsid w:val="00DA7BDC"/>
    <w:rsid w:val="00DB0640"/>
    <w:rsid w:val="00DB1169"/>
    <w:rsid w:val="00DB1F4F"/>
    <w:rsid w:val="00DB2CD0"/>
    <w:rsid w:val="00DB37EE"/>
    <w:rsid w:val="00DB3EEC"/>
    <w:rsid w:val="00DB401F"/>
    <w:rsid w:val="00DB4450"/>
    <w:rsid w:val="00DB48C2"/>
    <w:rsid w:val="00DB4EE7"/>
    <w:rsid w:val="00DB51BC"/>
    <w:rsid w:val="00DB521D"/>
    <w:rsid w:val="00DB5574"/>
    <w:rsid w:val="00DB5803"/>
    <w:rsid w:val="00DB5971"/>
    <w:rsid w:val="00DB5D51"/>
    <w:rsid w:val="00DB5F53"/>
    <w:rsid w:val="00DB76E4"/>
    <w:rsid w:val="00DB7B69"/>
    <w:rsid w:val="00DC0288"/>
    <w:rsid w:val="00DC0A2F"/>
    <w:rsid w:val="00DC0DBE"/>
    <w:rsid w:val="00DC1A73"/>
    <w:rsid w:val="00DC223C"/>
    <w:rsid w:val="00DC234A"/>
    <w:rsid w:val="00DC3DA2"/>
    <w:rsid w:val="00DC41E4"/>
    <w:rsid w:val="00DC496E"/>
    <w:rsid w:val="00DC4AEC"/>
    <w:rsid w:val="00DC5116"/>
    <w:rsid w:val="00DC6544"/>
    <w:rsid w:val="00DC6B41"/>
    <w:rsid w:val="00DC791F"/>
    <w:rsid w:val="00DC7C77"/>
    <w:rsid w:val="00DC7FD5"/>
    <w:rsid w:val="00DD02FF"/>
    <w:rsid w:val="00DD1366"/>
    <w:rsid w:val="00DD15A1"/>
    <w:rsid w:val="00DD1C09"/>
    <w:rsid w:val="00DD24F9"/>
    <w:rsid w:val="00DD26EC"/>
    <w:rsid w:val="00DD2A01"/>
    <w:rsid w:val="00DD2D41"/>
    <w:rsid w:val="00DD2DFB"/>
    <w:rsid w:val="00DD3604"/>
    <w:rsid w:val="00DD3E4F"/>
    <w:rsid w:val="00DD3F4D"/>
    <w:rsid w:val="00DD6A41"/>
    <w:rsid w:val="00DD6F2E"/>
    <w:rsid w:val="00DD72E1"/>
    <w:rsid w:val="00DD7A1F"/>
    <w:rsid w:val="00DD7B16"/>
    <w:rsid w:val="00DD7EA2"/>
    <w:rsid w:val="00DE00F2"/>
    <w:rsid w:val="00DE117F"/>
    <w:rsid w:val="00DE29AF"/>
    <w:rsid w:val="00DE2D17"/>
    <w:rsid w:val="00DE353C"/>
    <w:rsid w:val="00DE38D2"/>
    <w:rsid w:val="00DE39E2"/>
    <w:rsid w:val="00DE401C"/>
    <w:rsid w:val="00DE5954"/>
    <w:rsid w:val="00DE6E2F"/>
    <w:rsid w:val="00DE6F47"/>
    <w:rsid w:val="00DE7917"/>
    <w:rsid w:val="00DE7D13"/>
    <w:rsid w:val="00DF030C"/>
    <w:rsid w:val="00DF1EAE"/>
    <w:rsid w:val="00DF22B4"/>
    <w:rsid w:val="00DF274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70"/>
    <w:rsid w:val="00E03999"/>
    <w:rsid w:val="00E0399E"/>
    <w:rsid w:val="00E042A1"/>
    <w:rsid w:val="00E05CA4"/>
    <w:rsid w:val="00E05E82"/>
    <w:rsid w:val="00E063F7"/>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17ECA"/>
    <w:rsid w:val="00E201C0"/>
    <w:rsid w:val="00E20560"/>
    <w:rsid w:val="00E217A4"/>
    <w:rsid w:val="00E21ABD"/>
    <w:rsid w:val="00E22775"/>
    <w:rsid w:val="00E22D28"/>
    <w:rsid w:val="00E22F81"/>
    <w:rsid w:val="00E22F87"/>
    <w:rsid w:val="00E230E3"/>
    <w:rsid w:val="00E235AE"/>
    <w:rsid w:val="00E23C97"/>
    <w:rsid w:val="00E23FF3"/>
    <w:rsid w:val="00E24727"/>
    <w:rsid w:val="00E24D5F"/>
    <w:rsid w:val="00E265A7"/>
    <w:rsid w:val="00E26FC5"/>
    <w:rsid w:val="00E27B80"/>
    <w:rsid w:val="00E3015D"/>
    <w:rsid w:val="00E30EDF"/>
    <w:rsid w:val="00E31B43"/>
    <w:rsid w:val="00E31FBA"/>
    <w:rsid w:val="00E3245D"/>
    <w:rsid w:val="00E33513"/>
    <w:rsid w:val="00E33A4F"/>
    <w:rsid w:val="00E33A8F"/>
    <w:rsid w:val="00E33F3E"/>
    <w:rsid w:val="00E341E5"/>
    <w:rsid w:val="00E34315"/>
    <w:rsid w:val="00E350D6"/>
    <w:rsid w:val="00E35A77"/>
    <w:rsid w:val="00E35D52"/>
    <w:rsid w:val="00E35FBC"/>
    <w:rsid w:val="00E3612E"/>
    <w:rsid w:val="00E36AAE"/>
    <w:rsid w:val="00E37198"/>
    <w:rsid w:val="00E3774C"/>
    <w:rsid w:val="00E41313"/>
    <w:rsid w:val="00E41773"/>
    <w:rsid w:val="00E41ACD"/>
    <w:rsid w:val="00E423D7"/>
    <w:rsid w:val="00E42FE6"/>
    <w:rsid w:val="00E43BB4"/>
    <w:rsid w:val="00E44171"/>
    <w:rsid w:val="00E44D25"/>
    <w:rsid w:val="00E44E78"/>
    <w:rsid w:val="00E460B6"/>
    <w:rsid w:val="00E46BD2"/>
    <w:rsid w:val="00E46BE2"/>
    <w:rsid w:val="00E473D4"/>
    <w:rsid w:val="00E474CF"/>
    <w:rsid w:val="00E47639"/>
    <w:rsid w:val="00E513F6"/>
    <w:rsid w:val="00E518C5"/>
    <w:rsid w:val="00E519A3"/>
    <w:rsid w:val="00E51EC6"/>
    <w:rsid w:val="00E52F3B"/>
    <w:rsid w:val="00E52F80"/>
    <w:rsid w:val="00E53D94"/>
    <w:rsid w:val="00E53DEA"/>
    <w:rsid w:val="00E53E25"/>
    <w:rsid w:val="00E53FF5"/>
    <w:rsid w:val="00E5424B"/>
    <w:rsid w:val="00E54417"/>
    <w:rsid w:val="00E544BA"/>
    <w:rsid w:val="00E55AE0"/>
    <w:rsid w:val="00E55B64"/>
    <w:rsid w:val="00E60700"/>
    <w:rsid w:val="00E60957"/>
    <w:rsid w:val="00E616DB"/>
    <w:rsid w:val="00E61C71"/>
    <w:rsid w:val="00E62442"/>
    <w:rsid w:val="00E627A4"/>
    <w:rsid w:val="00E630ED"/>
    <w:rsid w:val="00E6437C"/>
    <w:rsid w:val="00E65237"/>
    <w:rsid w:val="00E67862"/>
    <w:rsid w:val="00E70468"/>
    <w:rsid w:val="00E70ACF"/>
    <w:rsid w:val="00E70C81"/>
    <w:rsid w:val="00E70D46"/>
    <w:rsid w:val="00E712A9"/>
    <w:rsid w:val="00E712C7"/>
    <w:rsid w:val="00E713BC"/>
    <w:rsid w:val="00E71D51"/>
    <w:rsid w:val="00E72444"/>
    <w:rsid w:val="00E72515"/>
    <w:rsid w:val="00E72CFA"/>
    <w:rsid w:val="00E7410F"/>
    <w:rsid w:val="00E74CA7"/>
    <w:rsid w:val="00E74EC5"/>
    <w:rsid w:val="00E75161"/>
    <w:rsid w:val="00E764D5"/>
    <w:rsid w:val="00E76B86"/>
    <w:rsid w:val="00E773F4"/>
    <w:rsid w:val="00E8000D"/>
    <w:rsid w:val="00E809F3"/>
    <w:rsid w:val="00E80C21"/>
    <w:rsid w:val="00E820BD"/>
    <w:rsid w:val="00E8227B"/>
    <w:rsid w:val="00E82FC7"/>
    <w:rsid w:val="00E8342F"/>
    <w:rsid w:val="00E836F6"/>
    <w:rsid w:val="00E84210"/>
    <w:rsid w:val="00E844CD"/>
    <w:rsid w:val="00E84503"/>
    <w:rsid w:val="00E847A7"/>
    <w:rsid w:val="00E84FE5"/>
    <w:rsid w:val="00E85249"/>
    <w:rsid w:val="00E85F5A"/>
    <w:rsid w:val="00E86682"/>
    <w:rsid w:val="00E86A39"/>
    <w:rsid w:val="00E86E79"/>
    <w:rsid w:val="00E906B4"/>
    <w:rsid w:val="00E9095B"/>
    <w:rsid w:val="00E90D65"/>
    <w:rsid w:val="00E9145E"/>
    <w:rsid w:val="00E91B24"/>
    <w:rsid w:val="00E91B2B"/>
    <w:rsid w:val="00E926B8"/>
    <w:rsid w:val="00E927BF"/>
    <w:rsid w:val="00E93513"/>
    <w:rsid w:val="00E936DA"/>
    <w:rsid w:val="00E9399B"/>
    <w:rsid w:val="00E939A7"/>
    <w:rsid w:val="00E94008"/>
    <w:rsid w:val="00E94762"/>
    <w:rsid w:val="00E9490D"/>
    <w:rsid w:val="00E94BDB"/>
    <w:rsid w:val="00E95208"/>
    <w:rsid w:val="00E956BA"/>
    <w:rsid w:val="00E96B52"/>
    <w:rsid w:val="00E97216"/>
    <w:rsid w:val="00E97523"/>
    <w:rsid w:val="00EA0018"/>
    <w:rsid w:val="00EA05BD"/>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290"/>
    <w:rsid w:val="00EB5BC5"/>
    <w:rsid w:val="00EB5E43"/>
    <w:rsid w:val="00EB5E9E"/>
    <w:rsid w:val="00EB6212"/>
    <w:rsid w:val="00EB69F4"/>
    <w:rsid w:val="00EB6BB5"/>
    <w:rsid w:val="00EB6E30"/>
    <w:rsid w:val="00EB7371"/>
    <w:rsid w:val="00EB73BC"/>
    <w:rsid w:val="00EB7618"/>
    <w:rsid w:val="00EB7B51"/>
    <w:rsid w:val="00EB7F93"/>
    <w:rsid w:val="00EC086C"/>
    <w:rsid w:val="00EC1720"/>
    <w:rsid w:val="00EC2B34"/>
    <w:rsid w:val="00EC2DB7"/>
    <w:rsid w:val="00EC337D"/>
    <w:rsid w:val="00EC3ED1"/>
    <w:rsid w:val="00EC421C"/>
    <w:rsid w:val="00EC42D0"/>
    <w:rsid w:val="00EC481D"/>
    <w:rsid w:val="00EC590A"/>
    <w:rsid w:val="00EC6028"/>
    <w:rsid w:val="00EC638F"/>
    <w:rsid w:val="00EC68D5"/>
    <w:rsid w:val="00EC7927"/>
    <w:rsid w:val="00ED00F7"/>
    <w:rsid w:val="00ED095E"/>
    <w:rsid w:val="00ED1A0B"/>
    <w:rsid w:val="00ED27DD"/>
    <w:rsid w:val="00ED2997"/>
    <w:rsid w:val="00ED2F4D"/>
    <w:rsid w:val="00ED2F5B"/>
    <w:rsid w:val="00ED38CB"/>
    <w:rsid w:val="00ED3D4C"/>
    <w:rsid w:val="00ED4440"/>
    <w:rsid w:val="00ED5162"/>
    <w:rsid w:val="00ED629A"/>
    <w:rsid w:val="00ED697C"/>
    <w:rsid w:val="00ED7C27"/>
    <w:rsid w:val="00EE06CA"/>
    <w:rsid w:val="00EE1C79"/>
    <w:rsid w:val="00EE1E0C"/>
    <w:rsid w:val="00EE3C7B"/>
    <w:rsid w:val="00EE43AD"/>
    <w:rsid w:val="00EE4874"/>
    <w:rsid w:val="00EE48D6"/>
    <w:rsid w:val="00EE4A6E"/>
    <w:rsid w:val="00EE4BAB"/>
    <w:rsid w:val="00EE4D3B"/>
    <w:rsid w:val="00EE5909"/>
    <w:rsid w:val="00EE7922"/>
    <w:rsid w:val="00EE79A6"/>
    <w:rsid w:val="00EF09FE"/>
    <w:rsid w:val="00EF11DF"/>
    <w:rsid w:val="00EF130D"/>
    <w:rsid w:val="00EF1356"/>
    <w:rsid w:val="00EF30E0"/>
    <w:rsid w:val="00EF3D05"/>
    <w:rsid w:val="00EF42CF"/>
    <w:rsid w:val="00EF5403"/>
    <w:rsid w:val="00EF567D"/>
    <w:rsid w:val="00EF5F11"/>
    <w:rsid w:val="00EF6111"/>
    <w:rsid w:val="00F005A0"/>
    <w:rsid w:val="00F01835"/>
    <w:rsid w:val="00F01DE9"/>
    <w:rsid w:val="00F0229D"/>
    <w:rsid w:val="00F02B1B"/>
    <w:rsid w:val="00F032BB"/>
    <w:rsid w:val="00F032C8"/>
    <w:rsid w:val="00F03567"/>
    <w:rsid w:val="00F03D29"/>
    <w:rsid w:val="00F03DD3"/>
    <w:rsid w:val="00F04BBE"/>
    <w:rsid w:val="00F06616"/>
    <w:rsid w:val="00F068BF"/>
    <w:rsid w:val="00F07002"/>
    <w:rsid w:val="00F07485"/>
    <w:rsid w:val="00F07869"/>
    <w:rsid w:val="00F10BC6"/>
    <w:rsid w:val="00F11352"/>
    <w:rsid w:val="00F11AD0"/>
    <w:rsid w:val="00F12313"/>
    <w:rsid w:val="00F1279E"/>
    <w:rsid w:val="00F12D32"/>
    <w:rsid w:val="00F12E67"/>
    <w:rsid w:val="00F13D34"/>
    <w:rsid w:val="00F14308"/>
    <w:rsid w:val="00F14602"/>
    <w:rsid w:val="00F1498D"/>
    <w:rsid w:val="00F14AEA"/>
    <w:rsid w:val="00F14DDF"/>
    <w:rsid w:val="00F152AD"/>
    <w:rsid w:val="00F15BA3"/>
    <w:rsid w:val="00F15D52"/>
    <w:rsid w:val="00F165B7"/>
    <w:rsid w:val="00F16F88"/>
    <w:rsid w:val="00F17B8D"/>
    <w:rsid w:val="00F20C9C"/>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A57"/>
    <w:rsid w:val="00F27D3B"/>
    <w:rsid w:val="00F31261"/>
    <w:rsid w:val="00F31BB3"/>
    <w:rsid w:val="00F31C67"/>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4032F"/>
    <w:rsid w:val="00F40360"/>
    <w:rsid w:val="00F40444"/>
    <w:rsid w:val="00F40CE6"/>
    <w:rsid w:val="00F413F2"/>
    <w:rsid w:val="00F41B59"/>
    <w:rsid w:val="00F42099"/>
    <w:rsid w:val="00F423BD"/>
    <w:rsid w:val="00F425DE"/>
    <w:rsid w:val="00F431C5"/>
    <w:rsid w:val="00F432FF"/>
    <w:rsid w:val="00F456D2"/>
    <w:rsid w:val="00F45B08"/>
    <w:rsid w:val="00F46163"/>
    <w:rsid w:val="00F46431"/>
    <w:rsid w:val="00F469AD"/>
    <w:rsid w:val="00F4715C"/>
    <w:rsid w:val="00F47C9F"/>
    <w:rsid w:val="00F50CE8"/>
    <w:rsid w:val="00F51361"/>
    <w:rsid w:val="00F52330"/>
    <w:rsid w:val="00F525CE"/>
    <w:rsid w:val="00F5408E"/>
    <w:rsid w:val="00F54603"/>
    <w:rsid w:val="00F54772"/>
    <w:rsid w:val="00F54869"/>
    <w:rsid w:val="00F556B2"/>
    <w:rsid w:val="00F55ABD"/>
    <w:rsid w:val="00F565E8"/>
    <w:rsid w:val="00F56CB4"/>
    <w:rsid w:val="00F573C7"/>
    <w:rsid w:val="00F5754B"/>
    <w:rsid w:val="00F576DE"/>
    <w:rsid w:val="00F57747"/>
    <w:rsid w:val="00F578BC"/>
    <w:rsid w:val="00F60702"/>
    <w:rsid w:val="00F61266"/>
    <w:rsid w:val="00F633AC"/>
    <w:rsid w:val="00F633F1"/>
    <w:rsid w:val="00F63BF7"/>
    <w:rsid w:val="00F6453E"/>
    <w:rsid w:val="00F65215"/>
    <w:rsid w:val="00F65617"/>
    <w:rsid w:val="00F6572B"/>
    <w:rsid w:val="00F65844"/>
    <w:rsid w:val="00F65A88"/>
    <w:rsid w:val="00F66494"/>
    <w:rsid w:val="00F66ECF"/>
    <w:rsid w:val="00F700B9"/>
    <w:rsid w:val="00F7011F"/>
    <w:rsid w:val="00F710BE"/>
    <w:rsid w:val="00F712C1"/>
    <w:rsid w:val="00F72016"/>
    <w:rsid w:val="00F72DAD"/>
    <w:rsid w:val="00F736D2"/>
    <w:rsid w:val="00F73F35"/>
    <w:rsid w:val="00F754D4"/>
    <w:rsid w:val="00F75519"/>
    <w:rsid w:val="00F7564C"/>
    <w:rsid w:val="00F76220"/>
    <w:rsid w:val="00F76651"/>
    <w:rsid w:val="00F769BE"/>
    <w:rsid w:val="00F7735C"/>
    <w:rsid w:val="00F77BD5"/>
    <w:rsid w:val="00F77EDF"/>
    <w:rsid w:val="00F82E6B"/>
    <w:rsid w:val="00F83644"/>
    <w:rsid w:val="00F83662"/>
    <w:rsid w:val="00F838C0"/>
    <w:rsid w:val="00F85F83"/>
    <w:rsid w:val="00F86AD2"/>
    <w:rsid w:val="00F90852"/>
    <w:rsid w:val="00F90FC8"/>
    <w:rsid w:val="00F91049"/>
    <w:rsid w:val="00F9109B"/>
    <w:rsid w:val="00F912FD"/>
    <w:rsid w:val="00F91D43"/>
    <w:rsid w:val="00F9367F"/>
    <w:rsid w:val="00F93AF6"/>
    <w:rsid w:val="00F94AAF"/>
    <w:rsid w:val="00F95411"/>
    <w:rsid w:val="00F9619C"/>
    <w:rsid w:val="00F96339"/>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7699"/>
    <w:rsid w:val="00FB1E25"/>
    <w:rsid w:val="00FB2D17"/>
    <w:rsid w:val="00FB2F69"/>
    <w:rsid w:val="00FB368B"/>
    <w:rsid w:val="00FB3742"/>
    <w:rsid w:val="00FB3A3A"/>
    <w:rsid w:val="00FB4041"/>
    <w:rsid w:val="00FB4217"/>
    <w:rsid w:val="00FB433B"/>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2F24"/>
    <w:rsid w:val="00FC3F0B"/>
    <w:rsid w:val="00FC5041"/>
    <w:rsid w:val="00FC619F"/>
    <w:rsid w:val="00FC6CDA"/>
    <w:rsid w:val="00FC6D6C"/>
    <w:rsid w:val="00FC7610"/>
    <w:rsid w:val="00FD108C"/>
    <w:rsid w:val="00FD1176"/>
    <w:rsid w:val="00FD137B"/>
    <w:rsid w:val="00FD1BEF"/>
    <w:rsid w:val="00FD1C3C"/>
    <w:rsid w:val="00FD24F6"/>
    <w:rsid w:val="00FD2A48"/>
    <w:rsid w:val="00FD2DB1"/>
    <w:rsid w:val="00FD38A8"/>
    <w:rsid w:val="00FD5348"/>
    <w:rsid w:val="00FD5AF7"/>
    <w:rsid w:val="00FD6AC8"/>
    <w:rsid w:val="00FE06DF"/>
    <w:rsid w:val="00FE0A6C"/>
    <w:rsid w:val="00FE1385"/>
    <w:rsid w:val="00FE1727"/>
    <w:rsid w:val="00FE1738"/>
    <w:rsid w:val="00FE20CA"/>
    <w:rsid w:val="00FE2BA4"/>
    <w:rsid w:val="00FE3638"/>
    <w:rsid w:val="00FE3720"/>
    <w:rsid w:val="00FE39E1"/>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CFB"/>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EB16CCA-74A9-4E37-92C7-A8518AAE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B70132"/>
    <w:pPr>
      <w:tabs>
        <w:tab w:val="right" w:leader="dot" w:pos="9072"/>
      </w:tabs>
    </w:pPr>
  </w:style>
  <w:style w:type="paragraph" w:styleId="32">
    <w:name w:val="toc 3"/>
    <w:basedOn w:val="a"/>
    <w:next w:val="a"/>
    <w:autoRedefine/>
    <w:uiPriority w:val="99"/>
    <w:semiHidden/>
    <w:qFormat/>
    <w:rsid w:val="00B70132"/>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8">
    <w:name w:val="Strong"/>
    <w:basedOn w:val="a1"/>
    <w:uiPriority w:val="22"/>
    <w:qFormat/>
    <w:locked/>
    <w:rsid w:val="001A55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163666296">
      <w:bodyDiv w:val="1"/>
      <w:marLeft w:val="0"/>
      <w:marRight w:val="0"/>
      <w:marTop w:val="0"/>
      <w:marBottom w:val="0"/>
      <w:divBdr>
        <w:top w:val="none" w:sz="0" w:space="0" w:color="auto"/>
        <w:left w:val="none" w:sz="0" w:space="0" w:color="auto"/>
        <w:bottom w:val="none" w:sz="0" w:space="0" w:color="auto"/>
        <w:right w:val="none" w:sz="0" w:space="0" w:color="auto"/>
      </w:divBdr>
    </w:div>
    <w:div w:id="219437359">
      <w:bodyDiv w:val="1"/>
      <w:marLeft w:val="0"/>
      <w:marRight w:val="0"/>
      <w:marTop w:val="0"/>
      <w:marBottom w:val="0"/>
      <w:divBdr>
        <w:top w:val="none" w:sz="0" w:space="0" w:color="auto"/>
        <w:left w:val="none" w:sz="0" w:space="0" w:color="auto"/>
        <w:bottom w:val="none" w:sz="0" w:space="0" w:color="auto"/>
        <w:right w:val="none" w:sz="0" w:space="0" w:color="auto"/>
      </w:divBdr>
    </w:div>
    <w:div w:id="764889165">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895437124">
      <w:bodyDiv w:val="1"/>
      <w:marLeft w:val="0"/>
      <w:marRight w:val="0"/>
      <w:marTop w:val="0"/>
      <w:marBottom w:val="0"/>
      <w:divBdr>
        <w:top w:val="none" w:sz="0" w:space="0" w:color="auto"/>
        <w:left w:val="none" w:sz="0" w:space="0" w:color="auto"/>
        <w:bottom w:val="none" w:sz="0" w:space="0" w:color="auto"/>
        <w:right w:val="none" w:sz="0" w:space="0" w:color="auto"/>
      </w:divBdr>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589921886">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211852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02D25-DF10-476A-B34B-DAD538B5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8760</Words>
  <Characters>49932</Characters>
  <Application>Microsoft Office Word</Application>
  <DocSecurity>0</DocSecurity>
  <Lines>416</Lines>
  <Paragraphs>117</Paragraphs>
  <ScaleCrop>false</ScaleCrop>
  <Company/>
  <LinksUpToDate>false</LinksUpToDate>
  <CharactersWithSpaces>58575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简海立</cp:lastModifiedBy>
  <cp:revision>3</cp:revision>
  <cp:lastPrinted>2007-07-19T00:46:00Z</cp:lastPrinted>
  <dcterms:created xsi:type="dcterms:W3CDTF">2020-03-19T10:09:00Z</dcterms:created>
  <dcterms:modified xsi:type="dcterms:W3CDTF">2020-03-19T12:15:00Z</dcterms:modified>
</cp:coreProperties>
</file>