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易方达大健康主题灵活配置混合型证券投资基金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中国建设银行股份有限公司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924"/>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925"/>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926"/>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553E61"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924" w:history="1">
        <w:r w:rsidR="00553E61" w:rsidRPr="00272110">
          <w:rPr>
            <w:rStyle w:val="a9"/>
            <w:rFonts w:ascii="宋体" w:hAnsi="宋体" w:cs="Arial"/>
          </w:rPr>
          <w:t>§1</w:t>
        </w:r>
        <w:r w:rsidR="00553E61">
          <w:rPr>
            <w:rFonts w:asciiTheme="minorHAnsi" w:eastAsiaTheme="minorEastAsia" w:hAnsiTheme="minorHAnsi" w:cstheme="minorBidi"/>
            <w:noProof/>
            <w:kern w:val="2"/>
            <w:szCs w:val="22"/>
          </w:rPr>
          <w:tab/>
        </w:r>
        <w:r w:rsidR="00553E61" w:rsidRPr="00272110">
          <w:rPr>
            <w:rStyle w:val="a9"/>
            <w:rFonts w:ascii="宋体" w:hAnsi="宋体" w:cs="Arial" w:hint="eastAsia"/>
          </w:rPr>
          <w:t>重要提示及目录</w:t>
        </w:r>
        <w:r w:rsidR="00553E61">
          <w:rPr>
            <w:noProof/>
            <w:webHidden/>
          </w:rPr>
          <w:tab/>
        </w:r>
        <w:r w:rsidR="00553E61">
          <w:rPr>
            <w:noProof/>
            <w:webHidden/>
          </w:rPr>
          <w:fldChar w:fldCharType="begin"/>
        </w:r>
        <w:r w:rsidR="00553E61">
          <w:rPr>
            <w:noProof/>
            <w:webHidden/>
          </w:rPr>
          <w:instrText xml:space="preserve"> PAGEREF _Toc35533924 \h </w:instrText>
        </w:r>
        <w:r w:rsidR="00553E61">
          <w:rPr>
            <w:noProof/>
            <w:webHidden/>
          </w:rPr>
        </w:r>
        <w:r w:rsidR="00553E61">
          <w:rPr>
            <w:noProof/>
            <w:webHidden/>
          </w:rPr>
          <w:fldChar w:fldCharType="separate"/>
        </w:r>
        <w:r w:rsidR="00553E61">
          <w:rPr>
            <w:noProof/>
            <w:webHidden/>
          </w:rPr>
          <w:t>2</w:t>
        </w:r>
        <w:r w:rsidR="00553E61">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25" w:history="1">
        <w:r w:rsidRPr="00272110">
          <w:rPr>
            <w:rStyle w:val="a9"/>
          </w:rPr>
          <w:t>1.1</w:t>
        </w:r>
        <w:r>
          <w:rPr>
            <w:rFonts w:asciiTheme="minorHAnsi" w:eastAsiaTheme="minorEastAsia" w:hAnsiTheme="minorHAnsi" w:cstheme="minorBidi"/>
            <w:noProof/>
            <w:kern w:val="2"/>
            <w:szCs w:val="22"/>
          </w:rPr>
          <w:tab/>
        </w:r>
        <w:r w:rsidRPr="00272110">
          <w:rPr>
            <w:rStyle w:val="a9"/>
            <w:rFonts w:hint="eastAsia"/>
          </w:rPr>
          <w:t>重要提示</w:t>
        </w:r>
        <w:r>
          <w:rPr>
            <w:noProof/>
            <w:webHidden/>
          </w:rPr>
          <w:tab/>
        </w:r>
        <w:r>
          <w:rPr>
            <w:noProof/>
            <w:webHidden/>
          </w:rPr>
          <w:fldChar w:fldCharType="begin"/>
        </w:r>
        <w:r>
          <w:rPr>
            <w:noProof/>
            <w:webHidden/>
          </w:rPr>
          <w:instrText xml:space="preserve"> PAGEREF _Toc35533925 \h </w:instrText>
        </w:r>
        <w:r>
          <w:rPr>
            <w:noProof/>
            <w:webHidden/>
          </w:rPr>
        </w:r>
        <w:r>
          <w:rPr>
            <w:noProof/>
            <w:webHidden/>
          </w:rPr>
          <w:fldChar w:fldCharType="separate"/>
        </w:r>
        <w:r>
          <w:rPr>
            <w:noProof/>
            <w:webHidden/>
          </w:rPr>
          <w:t>2</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26" w:history="1">
        <w:r w:rsidRPr="00272110">
          <w:rPr>
            <w:rStyle w:val="a9"/>
          </w:rPr>
          <w:t>1.2</w:t>
        </w:r>
        <w:r>
          <w:rPr>
            <w:rFonts w:asciiTheme="minorHAnsi" w:eastAsiaTheme="minorEastAsia" w:hAnsiTheme="minorHAnsi" w:cstheme="minorBidi"/>
            <w:noProof/>
            <w:kern w:val="2"/>
            <w:szCs w:val="22"/>
          </w:rPr>
          <w:tab/>
        </w:r>
        <w:r w:rsidRPr="00272110">
          <w:rPr>
            <w:rStyle w:val="a9"/>
            <w:rFonts w:hint="eastAsia"/>
          </w:rPr>
          <w:t>目录</w:t>
        </w:r>
        <w:r>
          <w:rPr>
            <w:noProof/>
            <w:webHidden/>
          </w:rPr>
          <w:tab/>
        </w:r>
        <w:r>
          <w:rPr>
            <w:noProof/>
            <w:webHidden/>
          </w:rPr>
          <w:fldChar w:fldCharType="begin"/>
        </w:r>
        <w:r>
          <w:rPr>
            <w:noProof/>
            <w:webHidden/>
          </w:rPr>
          <w:instrText xml:space="preserve"> PAGEREF _Toc35533926 \h </w:instrText>
        </w:r>
        <w:r>
          <w:rPr>
            <w:noProof/>
            <w:webHidden/>
          </w:rPr>
        </w:r>
        <w:r>
          <w:rPr>
            <w:noProof/>
            <w:webHidden/>
          </w:rPr>
          <w:fldChar w:fldCharType="separate"/>
        </w:r>
        <w:r>
          <w:rPr>
            <w:noProof/>
            <w:webHidden/>
          </w:rPr>
          <w:t>3</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27" w:history="1">
        <w:r w:rsidRPr="00272110">
          <w:rPr>
            <w:rStyle w:val="a9"/>
            <w:rFonts w:ascii="宋体" w:hAnsi="宋体" w:cs="Arial"/>
          </w:rPr>
          <w:t>§2</w:t>
        </w:r>
        <w:r>
          <w:rPr>
            <w:rFonts w:asciiTheme="minorHAnsi" w:eastAsiaTheme="minorEastAsia" w:hAnsiTheme="minorHAnsi" w:cstheme="minorBidi"/>
            <w:noProof/>
            <w:kern w:val="2"/>
            <w:szCs w:val="22"/>
          </w:rPr>
          <w:tab/>
        </w:r>
        <w:r w:rsidRPr="00272110">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_Toc35533927 \h </w:instrText>
        </w:r>
        <w:r>
          <w:rPr>
            <w:noProof/>
            <w:webHidden/>
          </w:rPr>
        </w:r>
        <w:r>
          <w:rPr>
            <w:noProof/>
            <w:webHidden/>
          </w:rPr>
          <w:fldChar w:fldCharType="separate"/>
        </w:r>
        <w:r>
          <w:rPr>
            <w:noProof/>
            <w:webHidden/>
          </w:rPr>
          <w:t>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28" w:history="1">
        <w:r w:rsidRPr="00272110">
          <w:rPr>
            <w:rStyle w:val="a9"/>
          </w:rPr>
          <w:t>2.1</w:t>
        </w:r>
        <w:r>
          <w:rPr>
            <w:rFonts w:asciiTheme="minorHAnsi" w:eastAsiaTheme="minorEastAsia" w:hAnsiTheme="minorHAnsi" w:cstheme="minorBidi"/>
            <w:noProof/>
            <w:kern w:val="2"/>
            <w:szCs w:val="22"/>
          </w:rPr>
          <w:tab/>
        </w:r>
        <w:r w:rsidRPr="00272110">
          <w:rPr>
            <w:rStyle w:val="a9"/>
            <w:rFonts w:hint="eastAsia"/>
          </w:rPr>
          <w:t>基金基本情况</w:t>
        </w:r>
        <w:r>
          <w:rPr>
            <w:noProof/>
            <w:webHidden/>
          </w:rPr>
          <w:tab/>
        </w:r>
        <w:r>
          <w:rPr>
            <w:noProof/>
            <w:webHidden/>
          </w:rPr>
          <w:fldChar w:fldCharType="begin"/>
        </w:r>
        <w:r>
          <w:rPr>
            <w:noProof/>
            <w:webHidden/>
          </w:rPr>
          <w:instrText xml:space="preserve"> PAGEREF _Toc35533928 \h </w:instrText>
        </w:r>
        <w:r>
          <w:rPr>
            <w:noProof/>
            <w:webHidden/>
          </w:rPr>
        </w:r>
        <w:r>
          <w:rPr>
            <w:noProof/>
            <w:webHidden/>
          </w:rPr>
          <w:fldChar w:fldCharType="separate"/>
        </w:r>
        <w:r>
          <w:rPr>
            <w:noProof/>
            <w:webHidden/>
          </w:rPr>
          <w:t>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29" w:history="1">
        <w:r w:rsidRPr="00272110">
          <w:rPr>
            <w:rStyle w:val="a9"/>
          </w:rPr>
          <w:t>2.2</w:t>
        </w:r>
        <w:r>
          <w:rPr>
            <w:rFonts w:asciiTheme="minorHAnsi" w:eastAsiaTheme="minorEastAsia" w:hAnsiTheme="minorHAnsi" w:cstheme="minorBidi"/>
            <w:noProof/>
            <w:kern w:val="2"/>
            <w:szCs w:val="22"/>
          </w:rPr>
          <w:tab/>
        </w:r>
        <w:r w:rsidRPr="00272110">
          <w:rPr>
            <w:rStyle w:val="a9"/>
            <w:rFonts w:hint="eastAsia"/>
          </w:rPr>
          <w:t>基金产品说明</w:t>
        </w:r>
        <w:r>
          <w:rPr>
            <w:noProof/>
            <w:webHidden/>
          </w:rPr>
          <w:tab/>
        </w:r>
        <w:r>
          <w:rPr>
            <w:noProof/>
            <w:webHidden/>
          </w:rPr>
          <w:fldChar w:fldCharType="begin"/>
        </w:r>
        <w:r>
          <w:rPr>
            <w:noProof/>
            <w:webHidden/>
          </w:rPr>
          <w:instrText xml:space="preserve"> PAGEREF _Toc35533929 \h </w:instrText>
        </w:r>
        <w:r>
          <w:rPr>
            <w:noProof/>
            <w:webHidden/>
          </w:rPr>
        </w:r>
        <w:r>
          <w:rPr>
            <w:noProof/>
            <w:webHidden/>
          </w:rPr>
          <w:fldChar w:fldCharType="separate"/>
        </w:r>
        <w:r>
          <w:rPr>
            <w:noProof/>
            <w:webHidden/>
          </w:rPr>
          <w:t>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0" w:history="1">
        <w:r w:rsidRPr="00272110">
          <w:rPr>
            <w:rStyle w:val="a9"/>
          </w:rPr>
          <w:t>2.3</w:t>
        </w:r>
        <w:r>
          <w:rPr>
            <w:rFonts w:asciiTheme="minorHAnsi" w:eastAsiaTheme="minorEastAsia" w:hAnsiTheme="minorHAnsi" w:cstheme="minorBidi"/>
            <w:noProof/>
            <w:kern w:val="2"/>
            <w:szCs w:val="22"/>
          </w:rPr>
          <w:tab/>
        </w:r>
        <w:r w:rsidRPr="00272110">
          <w:rPr>
            <w:rStyle w:val="a9"/>
            <w:rFonts w:hint="eastAsia"/>
          </w:rPr>
          <w:t>基金管理人和基金托管人</w:t>
        </w:r>
        <w:r>
          <w:rPr>
            <w:noProof/>
            <w:webHidden/>
          </w:rPr>
          <w:tab/>
        </w:r>
        <w:r>
          <w:rPr>
            <w:noProof/>
            <w:webHidden/>
          </w:rPr>
          <w:fldChar w:fldCharType="begin"/>
        </w:r>
        <w:r>
          <w:rPr>
            <w:noProof/>
            <w:webHidden/>
          </w:rPr>
          <w:instrText xml:space="preserve"> PAGEREF _Toc35533930 \h </w:instrText>
        </w:r>
        <w:r>
          <w:rPr>
            <w:noProof/>
            <w:webHidden/>
          </w:rPr>
        </w:r>
        <w:r>
          <w:rPr>
            <w:noProof/>
            <w:webHidden/>
          </w:rPr>
          <w:fldChar w:fldCharType="separate"/>
        </w:r>
        <w:r>
          <w:rPr>
            <w:noProof/>
            <w:webHidden/>
          </w:rPr>
          <w:t>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1" w:history="1">
        <w:r w:rsidRPr="00272110">
          <w:rPr>
            <w:rStyle w:val="a9"/>
          </w:rPr>
          <w:t>2.4</w:t>
        </w:r>
        <w:r>
          <w:rPr>
            <w:rFonts w:asciiTheme="minorHAnsi" w:eastAsiaTheme="minorEastAsia" w:hAnsiTheme="minorHAnsi" w:cstheme="minorBidi"/>
            <w:noProof/>
            <w:kern w:val="2"/>
            <w:szCs w:val="22"/>
          </w:rPr>
          <w:tab/>
        </w:r>
        <w:r w:rsidRPr="00272110">
          <w:rPr>
            <w:rStyle w:val="a9"/>
            <w:rFonts w:hint="eastAsia"/>
          </w:rPr>
          <w:t>信息披露方式</w:t>
        </w:r>
        <w:r>
          <w:rPr>
            <w:noProof/>
            <w:webHidden/>
          </w:rPr>
          <w:tab/>
        </w:r>
        <w:r>
          <w:rPr>
            <w:noProof/>
            <w:webHidden/>
          </w:rPr>
          <w:fldChar w:fldCharType="begin"/>
        </w:r>
        <w:r>
          <w:rPr>
            <w:noProof/>
            <w:webHidden/>
          </w:rPr>
          <w:instrText xml:space="preserve"> PAGEREF _Toc35533931 \h </w:instrText>
        </w:r>
        <w:r>
          <w:rPr>
            <w:noProof/>
            <w:webHidden/>
          </w:rPr>
        </w:r>
        <w:r>
          <w:rPr>
            <w:noProof/>
            <w:webHidden/>
          </w:rPr>
          <w:fldChar w:fldCharType="separate"/>
        </w:r>
        <w:r>
          <w:rPr>
            <w:noProof/>
            <w:webHidden/>
          </w:rPr>
          <w:t>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2" w:history="1">
        <w:r w:rsidRPr="00272110">
          <w:rPr>
            <w:rStyle w:val="a9"/>
          </w:rPr>
          <w:t>2.5</w:t>
        </w:r>
        <w:r>
          <w:rPr>
            <w:rFonts w:asciiTheme="minorHAnsi" w:eastAsiaTheme="minorEastAsia" w:hAnsiTheme="minorHAnsi" w:cstheme="minorBidi"/>
            <w:noProof/>
            <w:kern w:val="2"/>
            <w:szCs w:val="22"/>
          </w:rPr>
          <w:tab/>
        </w:r>
        <w:r w:rsidRPr="00272110">
          <w:rPr>
            <w:rStyle w:val="a9"/>
            <w:rFonts w:hint="eastAsia"/>
          </w:rPr>
          <w:t>其他相关资料</w:t>
        </w:r>
        <w:r>
          <w:rPr>
            <w:noProof/>
            <w:webHidden/>
          </w:rPr>
          <w:tab/>
        </w:r>
        <w:r>
          <w:rPr>
            <w:noProof/>
            <w:webHidden/>
          </w:rPr>
          <w:fldChar w:fldCharType="begin"/>
        </w:r>
        <w:r>
          <w:rPr>
            <w:noProof/>
            <w:webHidden/>
          </w:rPr>
          <w:instrText xml:space="preserve"> PAGEREF _Toc35533932 \h </w:instrText>
        </w:r>
        <w:r>
          <w:rPr>
            <w:noProof/>
            <w:webHidden/>
          </w:rPr>
        </w:r>
        <w:r>
          <w:rPr>
            <w:noProof/>
            <w:webHidden/>
          </w:rPr>
          <w:fldChar w:fldCharType="separate"/>
        </w:r>
        <w:r>
          <w:rPr>
            <w:noProof/>
            <w:webHidden/>
          </w:rPr>
          <w:t>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3" w:history="1">
        <w:r w:rsidRPr="00272110">
          <w:rPr>
            <w:rStyle w:val="a9"/>
            <w:rFonts w:ascii="宋体" w:hAnsi="宋体" w:cs="Arial"/>
          </w:rPr>
          <w:t>§3</w:t>
        </w:r>
        <w:r>
          <w:rPr>
            <w:rFonts w:asciiTheme="minorHAnsi" w:eastAsiaTheme="minorEastAsia" w:hAnsiTheme="minorHAnsi" w:cstheme="minorBidi"/>
            <w:noProof/>
            <w:kern w:val="2"/>
            <w:szCs w:val="22"/>
          </w:rPr>
          <w:tab/>
        </w:r>
        <w:r w:rsidRPr="00272110">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_Toc35533933 \h </w:instrText>
        </w:r>
        <w:r>
          <w:rPr>
            <w:noProof/>
            <w:webHidden/>
          </w:rPr>
        </w:r>
        <w:r>
          <w:rPr>
            <w:noProof/>
            <w:webHidden/>
          </w:rPr>
          <w:fldChar w:fldCharType="separate"/>
        </w:r>
        <w:r>
          <w:rPr>
            <w:noProof/>
            <w:webHidden/>
          </w:rPr>
          <w:t>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4" w:history="1">
        <w:r w:rsidRPr="00272110">
          <w:rPr>
            <w:rStyle w:val="a9"/>
          </w:rPr>
          <w:t>3.1</w:t>
        </w:r>
        <w:r>
          <w:rPr>
            <w:rFonts w:asciiTheme="minorHAnsi" w:eastAsiaTheme="minorEastAsia" w:hAnsiTheme="minorHAnsi" w:cstheme="minorBidi"/>
            <w:noProof/>
            <w:kern w:val="2"/>
            <w:szCs w:val="22"/>
          </w:rPr>
          <w:tab/>
        </w:r>
        <w:r w:rsidRPr="00272110">
          <w:rPr>
            <w:rStyle w:val="a9"/>
            <w:rFonts w:hint="eastAsia"/>
          </w:rPr>
          <w:t>主要会计数据和财务指标</w:t>
        </w:r>
        <w:r>
          <w:rPr>
            <w:noProof/>
            <w:webHidden/>
          </w:rPr>
          <w:tab/>
        </w:r>
        <w:r>
          <w:rPr>
            <w:noProof/>
            <w:webHidden/>
          </w:rPr>
          <w:fldChar w:fldCharType="begin"/>
        </w:r>
        <w:r>
          <w:rPr>
            <w:noProof/>
            <w:webHidden/>
          </w:rPr>
          <w:instrText xml:space="preserve"> PAGEREF _Toc35533934 \h </w:instrText>
        </w:r>
        <w:r>
          <w:rPr>
            <w:noProof/>
            <w:webHidden/>
          </w:rPr>
        </w:r>
        <w:r>
          <w:rPr>
            <w:noProof/>
            <w:webHidden/>
          </w:rPr>
          <w:fldChar w:fldCharType="separate"/>
        </w:r>
        <w:r>
          <w:rPr>
            <w:noProof/>
            <w:webHidden/>
          </w:rPr>
          <w:t>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5" w:history="1">
        <w:r w:rsidRPr="00272110">
          <w:rPr>
            <w:rStyle w:val="a9"/>
          </w:rPr>
          <w:t>3.2</w:t>
        </w:r>
        <w:r>
          <w:rPr>
            <w:rFonts w:asciiTheme="minorHAnsi" w:eastAsiaTheme="minorEastAsia" w:hAnsiTheme="minorHAnsi" w:cstheme="minorBidi"/>
            <w:noProof/>
            <w:kern w:val="2"/>
            <w:szCs w:val="22"/>
          </w:rPr>
          <w:tab/>
        </w:r>
        <w:r w:rsidRPr="00272110">
          <w:rPr>
            <w:rStyle w:val="a9"/>
            <w:rFonts w:hint="eastAsia"/>
          </w:rPr>
          <w:t>基金净值表现</w:t>
        </w:r>
        <w:r>
          <w:rPr>
            <w:noProof/>
            <w:webHidden/>
          </w:rPr>
          <w:tab/>
        </w:r>
        <w:r>
          <w:rPr>
            <w:noProof/>
            <w:webHidden/>
          </w:rPr>
          <w:fldChar w:fldCharType="begin"/>
        </w:r>
        <w:r>
          <w:rPr>
            <w:noProof/>
            <w:webHidden/>
          </w:rPr>
          <w:instrText xml:space="preserve"> PAGEREF _Toc35533935 \h </w:instrText>
        </w:r>
        <w:r>
          <w:rPr>
            <w:noProof/>
            <w:webHidden/>
          </w:rPr>
        </w:r>
        <w:r>
          <w:rPr>
            <w:noProof/>
            <w:webHidden/>
          </w:rPr>
          <w:fldChar w:fldCharType="separate"/>
        </w:r>
        <w:r>
          <w:rPr>
            <w:noProof/>
            <w:webHidden/>
          </w:rPr>
          <w:t>7</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6" w:history="1">
        <w:r w:rsidRPr="00272110">
          <w:rPr>
            <w:rStyle w:val="a9"/>
          </w:rPr>
          <w:t>3.3</w:t>
        </w:r>
        <w:r>
          <w:rPr>
            <w:rFonts w:asciiTheme="minorHAnsi" w:eastAsiaTheme="minorEastAsia" w:hAnsiTheme="minorHAnsi" w:cstheme="minorBidi"/>
            <w:noProof/>
            <w:kern w:val="2"/>
            <w:szCs w:val="22"/>
          </w:rPr>
          <w:tab/>
        </w:r>
        <w:r w:rsidRPr="00272110">
          <w:rPr>
            <w:rStyle w:val="a9"/>
            <w:rFonts w:hint="eastAsia"/>
          </w:rPr>
          <w:t>过去三年基金的利润分配情况</w:t>
        </w:r>
        <w:r>
          <w:rPr>
            <w:noProof/>
            <w:webHidden/>
          </w:rPr>
          <w:tab/>
        </w:r>
        <w:r>
          <w:rPr>
            <w:noProof/>
            <w:webHidden/>
          </w:rPr>
          <w:fldChar w:fldCharType="begin"/>
        </w:r>
        <w:r>
          <w:rPr>
            <w:noProof/>
            <w:webHidden/>
          </w:rPr>
          <w:instrText xml:space="preserve"> PAGEREF _Toc35533936 \h </w:instrText>
        </w:r>
        <w:r>
          <w:rPr>
            <w:noProof/>
            <w:webHidden/>
          </w:rPr>
        </w:r>
        <w:r>
          <w:rPr>
            <w:noProof/>
            <w:webHidden/>
          </w:rPr>
          <w:fldChar w:fldCharType="separate"/>
        </w:r>
        <w:r>
          <w:rPr>
            <w:noProof/>
            <w:webHidden/>
          </w:rPr>
          <w:t>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7" w:history="1">
        <w:r w:rsidRPr="00272110">
          <w:rPr>
            <w:rStyle w:val="a9"/>
            <w:rFonts w:ascii="宋体" w:hAnsi="宋体" w:cs="Arial"/>
          </w:rPr>
          <w:t>§4</w:t>
        </w:r>
        <w:r>
          <w:rPr>
            <w:rFonts w:asciiTheme="minorHAnsi" w:eastAsiaTheme="minorEastAsia" w:hAnsiTheme="minorHAnsi" w:cstheme="minorBidi"/>
            <w:noProof/>
            <w:kern w:val="2"/>
            <w:szCs w:val="22"/>
          </w:rPr>
          <w:tab/>
        </w:r>
        <w:r w:rsidRPr="00272110">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_Toc35533937 \h </w:instrText>
        </w:r>
        <w:r>
          <w:rPr>
            <w:noProof/>
            <w:webHidden/>
          </w:rPr>
        </w:r>
        <w:r>
          <w:rPr>
            <w:noProof/>
            <w:webHidden/>
          </w:rPr>
          <w:fldChar w:fldCharType="separate"/>
        </w:r>
        <w:r>
          <w:rPr>
            <w:noProof/>
            <w:webHidden/>
          </w:rPr>
          <w:t>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8" w:history="1">
        <w:r w:rsidRPr="00272110">
          <w:rPr>
            <w:rStyle w:val="a9"/>
          </w:rPr>
          <w:t>4.1</w:t>
        </w:r>
        <w:r>
          <w:rPr>
            <w:rFonts w:asciiTheme="minorHAnsi" w:eastAsiaTheme="minorEastAsia" w:hAnsiTheme="minorHAnsi" w:cstheme="minorBidi"/>
            <w:noProof/>
            <w:kern w:val="2"/>
            <w:szCs w:val="22"/>
          </w:rPr>
          <w:tab/>
        </w:r>
        <w:r w:rsidRPr="00272110">
          <w:rPr>
            <w:rStyle w:val="a9"/>
            <w:rFonts w:hint="eastAsia"/>
          </w:rPr>
          <w:t>基金管理人及基金经理情况</w:t>
        </w:r>
        <w:r>
          <w:rPr>
            <w:noProof/>
            <w:webHidden/>
          </w:rPr>
          <w:tab/>
        </w:r>
        <w:r>
          <w:rPr>
            <w:noProof/>
            <w:webHidden/>
          </w:rPr>
          <w:fldChar w:fldCharType="begin"/>
        </w:r>
        <w:r>
          <w:rPr>
            <w:noProof/>
            <w:webHidden/>
          </w:rPr>
          <w:instrText xml:space="preserve"> PAGEREF _Toc35533938 \h </w:instrText>
        </w:r>
        <w:r>
          <w:rPr>
            <w:noProof/>
            <w:webHidden/>
          </w:rPr>
        </w:r>
        <w:r>
          <w:rPr>
            <w:noProof/>
            <w:webHidden/>
          </w:rPr>
          <w:fldChar w:fldCharType="separate"/>
        </w:r>
        <w:r>
          <w:rPr>
            <w:noProof/>
            <w:webHidden/>
          </w:rPr>
          <w:t>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39" w:history="1">
        <w:r w:rsidRPr="00272110">
          <w:rPr>
            <w:rStyle w:val="a9"/>
          </w:rPr>
          <w:t>4.2</w:t>
        </w:r>
        <w:r>
          <w:rPr>
            <w:rFonts w:asciiTheme="minorHAnsi" w:eastAsiaTheme="minorEastAsia" w:hAnsiTheme="minorHAnsi" w:cstheme="minorBidi"/>
            <w:noProof/>
            <w:kern w:val="2"/>
            <w:szCs w:val="22"/>
          </w:rPr>
          <w:tab/>
        </w:r>
        <w:r w:rsidRPr="00272110">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_Toc35533939 \h </w:instrText>
        </w:r>
        <w:r>
          <w:rPr>
            <w:noProof/>
            <w:webHidden/>
          </w:rPr>
        </w:r>
        <w:r>
          <w:rPr>
            <w:noProof/>
            <w:webHidden/>
          </w:rPr>
          <w:fldChar w:fldCharType="separate"/>
        </w:r>
        <w:r>
          <w:rPr>
            <w:noProof/>
            <w:webHidden/>
          </w:rPr>
          <w:t>10</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0" w:history="1">
        <w:r w:rsidRPr="00272110">
          <w:rPr>
            <w:rStyle w:val="a9"/>
          </w:rPr>
          <w:t>4.3</w:t>
        </w:r>
        <w:r>
          <w:rPr>
            <w:rFonts w:asciiTheme="minorHAnsi" w:eastAsiaTheme="minorEastAsia" w:hAnsiTheme="minorHAnsi" w:cstheme="minorBidi"/>
            <w:noProof/>
            <w:kern w:val="2"/>
            <w:szCs w:val="22"/>
          </w:rPr>
          <w:tab/>
        </w:r>
        <w:r w:rsidRPr="00272110">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_Toc35533940 \h </w:instrText>
        </w:r>
        <w:r>
          <w:rPr>
            <w:noProof/>
            <w:webHidden/>
          </w:rPr>
        </w:r>
        <w:r>
          <w:rPr>
            <w:noProof/>
            <w:webHidden/>
          </w:rPr>
          <w:fldChar w:fldCharType="separate"/>
        </w:r>
        <w:r>
          <w:rPr>
            <w:noProof/>
            <w:webHidden/>
          </w:rPr>
          <w:t>10</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1" w:history="1">
        <w:r w:rsidRPr="00272110">
          <w:rPr>
            <w:rStyle w:val="a9"/>
          </w:rPr>
          <w:t>4.4</w:t>
        </w:r>
        <w:r>
          <w:rPr>
            <w:rFonts w:asciiTheme="minorHAnsi" w:eastAsiaTheme="minorEastAsia" w:hAnsiTheme="minorHAnsi" w:cstheme="minorBidi"/>
            <w:noProof/>
            <w:kern w:val="2"/>
            <w:szCs w:val="22"/>
          </w:rPr>
          <w:tab/>
        </w:r>
        <w:r w:rsidRPr="00272110">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_Toc35533941 \h </w:instrText>
        </w:r>
        <w:r>
          <w:rPr>
            <w:noProof/>
            <w:webHidden/>
          </w:rPr>
        </w:r>
        <w:r>
          <w:rPr>
            <w:noProof/>
            <w:webHidden/>
          </w:rPr>
          <w:fldChar w:fldCharType="separate"/>
        </w:r>
        <w:r>
          <w:rPr>
            <w:noProof/>
            <w:webHidden/>
          </w:rPr>
          <w:t>11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2" w:history="1">
        <w:r w:rsidRPr="00272110">
          <w:rPr>
            <w:rStyle w:val="a9"/>
          </w:rPr>
          <w:t>4.5</w:t>
        </w:r>
        <w:r>
          <w:rPr>
            <w:rFonts w:asciiTheme="minorHAnsi" w:eastAsiaTheme="minorEastAsia" w:hAnsiTheme="minorHAnsi" w:cstheme="minorBidi"/>
            <w:noProof/>
            <w:kern w:val="2"/>
            <w:szCs w:val="22"/>
          </w:rPr>
          <w:tab/>
        </w:r>
        <w:r w:rsidRPr="00272110">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_Toc35533942 \h </w:instrText>
        </w:r>
        <w:r>
          <w:rPr>
            <w:noProof/>
            <w:webHidden/>
          </w:rPr>
        </w:r>
        <w:r>
          <w:rPr>
            <w:noProof/>
            <w:webHidden/>
          </w:rPr>
          <w:fldChar w:fldCharType="separate"/>
        </w:r>
        <w:r>
          <w:rPr>
            <w:noProof/>
            <w:webHidden/>
          </w:rPr>
          <w:t>11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3" w:history="1">
        <w:r w:rsidRPr="00272110">
          <w:rPr>
            <w:rStyle w:val="a9"/>
          </w:rPr>
          <w:t>4.6</w:t>
        </w:r>
        <w:r>
          <w:rPr>
            <w:rFonts w:asciiTheme="minorHAnsi" w:eastAsiaTheme="minorEastAsia" w:hAnsiTheme="minorHAnsi" w:cstheme="minorBidi"/>
            <w:noProof/>
            <w:kern w:val="2"/>
            <w:szCs w:val="22"/>
          </w:rPr>
          <w:tab/>
        </w:r>
        <w:r w:rsidRPr="00272110">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_Toc35533943 \h </w:instrText>
        </w:r>
        <w:r>
          <w:rPr>
            <w:noProof/>
            <w:webHidden/>
          </w:rPr>
        </w:r>
        <w:r>
          <w:rPr>
            <w:noProof/>
            <w:webHidden/>
          </w:rPr>
          <w:fldChar w:fldCharType="separate"/>
        </w:r>
        <w:r>
          <w:rPr>
            <w:noProof/>
            <w:webHidden/>
          </w:rPr>
          <w:t>12</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4" w:history="1">
        <w:r w:rsidRPr="00272110">
          <w:rPr>
            <w:rStyle w:val="a9"/>
          </w:rPr>
          <w:t>4.7</w:t>
        </w:r>
        <w:r>
          <w:rPr>
            <w:rFonts w:asciiTheme="minorHAnsi" w:eastAsiaTheme="minorEastAsia" w:hAnsiTheme="minorHAnsi" w:cstheme="minorBidi"/>
            <w:noProof/>
            <w:kern w:val="2"/>
            <w:szCs w:val="22"/>
          </w:rPr>
          <w:tab/>
        </w:r>
        <w:r w:rsidRPr="00272110">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_Toc35533944 \h </w:instrText>
        </w:r>
        <w:r>
          <w:rPr>
            <w:noProof/>
            <w:webHidden/>
          </w:rPr>
        </w:r>
        <w:r>
          <w:rPr>
            <w:noProof/>
            <w:webHidden/>
          </w:rPr>
          <w:fldChar w:fldCharType="separate"/>
        </w:r>
        <w:r>
          <w:rPr>
            <w:noProof/>
            <w:webHidden/>
          </w:rPr>
          <w:t>13</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5" w:history="1">
        <w:r w:rsidRPr="00272110">
          <w:rPr>
            <w:rStyle w:val="a9"/>
          </w:rPr>
          <w:t>4.8</w:t>
        </w:r>
        <w:r>
          <w:rPr>
            <w:rFonts w:asciiTheme="minorHAnsi" w:eastAsiaTheme="minorEastAsia" w:hAnsiTheme="minorHAnsi" w:cstheme="minorBidi"/>
            <w:noProof/>
            <w:kern w:val="2"/>
            <w:szCs w:val="22"/>
          </w:rPr>
          <w:tab/>
        </w:r>
        <w:r w:rsidRPr="00272110">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_Toc35533945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6" w:history="1">
        <w:r w:rsidRPr="00272110">
          <w:rPr>
            <w:rStyle w:val="a9"/>
            <w:rFonts w:ascii="宋体" w:hAnsi="宋体" w:cs="Arial"/>
          </w:rPr>
          <w:t>§5</w:t>
        </w:r>
        <w:r>
          <w:rPr>
            <w:rFonts w:asciiTheme="minorHAnsi" w:eastAsiaTheme="minorEastAsia" w:hAnsiTheme="minorHAnsi" w:cstheme="minorBidi"/>
            <w:noProof/>
            <w:kern w:val="2"/>
            <w:szCs w:val="22"/>
          </w:rPr>
          <w:tab/>
        </w:r>
        <w:r w:rsidRPr="00272110">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_Toc35533946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7" w:history="1">
        <w:r w:rsidRPr="00272110">
          <w:rPr>
            <w:rStyle w:val="a9"/>
          </w:rPr>
          <w:t>5.1</w:t>
        </w:r>
        <w:r>
          <w:rPr>
            <w:rFonts w:asciiTheme="minorHAnsi" w:eastAsiaTheme="minorEastAsia" w:hAnsiTheme="minorHAnsi" w:cstheme="minorBidi"/>
            <w:noProof/>
            <w:kern w:val="2"/>
            <w:szCs w:val="22"/>
          </w:rPr>
          <w:tab/>
        </w:r>
        <w:r w:rsidRPr="00272110">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_Toc35533947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8" w:history="1">
        <w:r w:rsidRPr="00272110">
          <w:rPr>
            <w:rStyle w:val="a9"/>
          </w:rPr>
          <w:t>5.2</w:t>
        </w:r>
        <w:r>
          <w:rPr>
            <w:rFonts w:asciiTheme="minorHAnsi" w:eastAsiaTheme="minorEastAsia" w:hAnsiTheme="minorHAnsi" w:cstheme="minorBidi"/>
            <w:noProof/>
            <w:kern w:val="2"/>
            <w:szCs w:val="22"/>
          </w:rPr>
          <w:tab/>
        </w:r>
        <w:r w:rsidRPr="00272110">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_Toc35533948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49" w:history="1">
        <w:r w:rsidRPr="00272110">
          <w:rPr>
            <w:rStyle w:val="a9"/>
          </w:rPr>
          <w:t>5.3</w:t>
        </w:r>
        <w:r>
          <w:rPr>
            <w:rFonts w:asciiTheme="minorHAnsi" w:eastAsiaTheme="minorEastAsia" w:hAnsiTheme="minorHAnsi" w:cstheme="minorBidi"/>
            <w:noProof/>
            <w:kern w:val="2"/>
            <w:szCs w:val="22"/>
          </w:rPr>
          <w:tab/>
        </w:r>
        <w:r w:rsidRPr="00272110">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_Toc35533949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0" w:history="1">
        <w:r w:rsidRPr="00272110">
          <w:rPr>
            <w:rStyle w:val="a9"/>
            <w:rFonts w:ascii="宋体" w:hAnsi="宋体" w:cs="Arial"/>
          </w:rPr>
          <w:t>§6</w:t>
        </w:r>
        <w:r>
          <w:rPr>
            <w:rFonts w:asciiTheme="minorHAnsi" w:eastAsiaTheme="minorEastAsia" w:hAnsiTheme="minorHAnsi" w:cstheme="minorBidi"/>
            <w:noProof/>
            <w:kern w:val="2"/>
            <w:szCs w:val="22"/>
          </w:rPr>
          <w:tab/>
        </w:r>
        <w:r w:rsidRPr="00272110">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_Toc35533950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1" w:history="1">
        <w:r w:rsidRPr="00272110">
          <w:rPr>
            <w:rStyle w:val="a9"/>
          </w:rPr>
          <w:t>6.1</w:t>
        </w:r>
        <w:r>
          <w:rPr>
            <w:rFonts w:asciiTheme="minorHAnsi" w:eastAsiaTheme="minorEastAsia" w:hAnsiTheme="minorHAnsi" w:cstheme="minorBidi"/>
            <w:noProof/>
            <w:kern w:val="2"/>
            <w:szCs w:val="22"/>
          </w:rPr>
          <w:tab/>
        </w:r>
        <w:r w:rsidRPr="00272110">
          <w:rPr>
            <w:rStyle w:val="a9"/>
            <w:rFonts w:hint="eastAsia"/>
          </w:rPr>
          <w:t>审计意见</w:t>
        </w:r>
        <w:r>
          <w:rPr>
            <w:noProof/>
            <w:webHidden/>
          </w:rPr>
          <w:tab/>
        </w:r>
        <w:r>
          <w:rPr>
            <w:noProof/>
            <w:webHidden/>
          </w:rPr>
          <w:fldChar w:fldCharType="begin"/>
        </w:r>
        <w:r>
          <w:rPr>
            <w:noProof/>
            <w:webHidden/>
          </w:rPr>
          <w:instrText xml:space="preserve"> PAGEREF _Toc35533951 \h </w:instrText>
        </w:r>
        <w:r>
          <w:rPr>
            <w:noProof/>
            <w:webHidden/>
          </w:rPr>
        </w:r>
        <w:r>
          <w:rPr>
            <w:noProof/>
            <w:webHidden/>
          </w:rPr>
          <w:fldChar w:fldCharType="separate"/>
        </w:r>
        <w:r>
          <w:rPr>
            <w:noProof/>
            <w:webHidden/>
          </w:rPr>
          <w:t>14</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2" w:history="1">
        <w:r w:rsidRPr="00272110">
          <w:rPr>
            <w:rStyle w:val="a9"/>
          </w:rPr>
          <w:t>6.2</w:t>
        </w:r>
        <w:r>
          <w:rPr>
            <w:rFonts w:asciiTheme="minorHAnsi" w:eastAsiaTheme="minorEastAsia" w:hAnsiTheme="minorHAnsi" w:cstheme="minorBidi"/>
            <w:noProof/>
            <w:kern w:val="2"/>
            <w:szCs w:val="22"/>
          </w:rPr>
          <w:tab/>
        </w:r>
        <w:r w:rsidRPr="00272110">
          <w:rPr>
            <w:rStyle w:val="a9"/>
            <w:rFonts w:hint="eastAsia"/>
          </w:rPr>
          <w:t>形成审计意见的基础</w:t>
        </w:r>
        <w:r>
          <w:rPr>
            <w:noProof/>
            <w:webHidden/>
          </w:rPr>
          <w:tab/>
        </w:r>
        <w:r>
          <w:rPr>
            <w:noProof/>
            <w:webHidden/>
          </w:rPr>
          <w:fldChar w:fldCharType="begin"/>
        </w:r>
        <w:r>
          <w:rPr>
            <w:noProof/>
            <w:webHidden/>
          </w:rPr>
          <w:instrText xml:space="preserve"> PAGEREF _Toc35533952 \h </w:instrText>
        </w:r>
        <w:r>
          <w:rPr>
            <w:noProof/>
            <w:webHidden/>
          </w:rPr>
        </w:r>
        <w:r>
          <w:rPr>
            <w:noProof/>
            <w:webHidden/>
          </w:rPr>
          <w:fldChar w:fldCharType="separate"/>
        </w:r>
        <w:r>
          <w:rPr>
            <w:noProof/>
            <w:webHidden/>
          </w:rPr>
          <w:t>15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3" w:history="1">
        <w:r w:rsidRPr="00272110">
          <w:rPr>
            <w:rStyle w:val="a9"/>
          </w:rPr>
          <w:t>6.3</w:t>
        </w:r>
        <w:r>
          <w:rPr>
            <w:rFonts w:asciiTheme="minorHAnsi" w:eastAsiaTheme="minorEastAsia" w:hAnsiTheme="minorHAnsi" w:cstheme="minorBidi"/>
            <w:noProof/>
            <w:kern w:val="2"/>
            <w:szCs w:val="22"/>
          </w:rPr>
          <w:tab/>
        </w:r>
        <w:r w:rsidRPr="00272110">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_Toc35533953 \h </w:instrText>
        </w:r>
        <w:r>
          <w:rPr>
            <w:noProof/>
            <w:webHidden/>
          </w:rPr>
        </w:r>
        <w:r>
          <w:rPr>
            <w:noProof/>
            <w:webHidden/>
          </w:rPr>
          <w:fldChar w:fldCharType="separate"/>
        </w:r>
        <w:r>
          <w:rPr>
            <w:noProof/>
            <w:webHidden/>
          </w:rPr>
          <w:t>15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4" w:history="1">
        <w:r w:rsidRPr="00272110">
          <w:rPr>
            <w:rStyle w:val="a9"/>
          </w:rPr>
          <w:t>6.4</w:t>
        </w:r>
        <w:r>
          <w:rPr>
            <w:rFonts w:asciiTheme="minorHAnsi" w:eastAsiaTheme="minorEastAsia" w:hAnsiTheme="minorHAnsi" w:cstheme="minorBidi"/>
            <w:noProof/>
            <w:kern w:val="2"/>
            <w:szCs w:val="22"/>
          </w:rPr>
          <w:tab/>
        </w:r>
        <w:r w:rsidRPr="00272110">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_Toc35533954 \h </w:instrText>
        </w:r>
        <w:r>
          <w:rPr>
            <w:noProof/>
            <w:webHidden/>
          </w:rPr>
        </w:r>
        <w:r>
          <w:rPr>
            <w:noProof/>
            <w:webHidden/>
          </w:rPr>
          <w:fldChar w:fldCharType="separate"/>
        </w:r>
        <w:r>
          <w:rPr>
            <w:noProof/>
            <w:webHidden/>
          </w:rPr>
          <w:t>15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5" w:history="1">
        <w:r w:rsidRPr="00272110">
          <w:rPr>
            <w:rStyle w:val="a9"/>
            <w:rFonts w:ascii="宋体" w:hAnsi="宋体" w:cs="Arial"/>
          </w:rPr>
          <w:t>§7</w:t>
        </w:r>
        <w:r>
          <w:rPr>
            <w:rFonts w:asciiTheme="minorHAnsi" w:eastAsiaTheme="minorEastAsia" w:hAnsiTheme="minorHAnsi" w:cstheme="minorBidi"/>
            <w:noProof/>
            <w:kern w:val="2"/>
            <w:szCs w:val="22"/>
          </w:rPr>
          <w:tab/>
        </w:r>
        <w:r w:rsidRPr="00272110">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_Toc35533955 \h </w:instrText>
        </w:r>
        <w:r>
          <w:rPr>
            <w:noProof/>
            <w:webHidden/>
          </w:rPr>
        </w:r>
        <w:r>
          <w:rPr>
            <w:noProof/>
            <w:webHidden/>
          </w:rPr>
          <w:fldChar w:fldCharType="separate"/>
        </w:r>
        <w:r>
          <w:rPr>
            <w:noProof/>
            <w:webHidden/>
          </w:rPr>
          <w:t>16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6" w:history="1">
        <w:r w:rsidRPr="00272110">
          <w:rPr>
            <w:rStyle w:val="a9"/>
          </w:rPr>
          <w:t>7.1</w:t>
        </w:r>
        <w:r>
          <w:rPr>
            <w:rFonts w:asciiTheme="minorHAnsi" w:eastAsiaTheme="minorEastAsia" w:hAnsiTheme="minorHAnsi" w:cstheme="minorBidi"/>
            <w:noProof/>
            <w:kern w:val="2"/>
            <w:szCs w:val="22"/>
          </w:rPr>
          <w:tab/>
        </w:r>
        <w:r w:rsidRPr="00272110">
          <w:rPr>
            <w:rStyle w:val="a9"/>
            <w:rFonts w:hint="eastAsia"/>
          </w:rPr>
          <w:t>资产负债表</w:t>
        </w:r>
        <w:r>
          <w:rPr>
            <w:noProof/>
            <w:webHidden/>
          </w:rPr>
          <w:tab/>
        </w:r>
        <w:r>
          <w:rPr>
            <w:noProof/>
            <w:webHidden/>
          </w:rPr>
          <w:fldChar w:fldCharType="begin"/>
        </w:r>
        <w:r>
          <w:rPr>
            <w:noProof/>
            <w:webHidden/>
          </w:rPr>
          <w:instrText xml:space="preserve"> PAGEREF _Toc35533956 \h </w:instrText>
        </w:r>
        <w:r>
          <w:rPr>
            <w:noProof/>
            <w:webHidden/>
          </w:rPr>
        </w:r>
        <w:r>
          <w:rPr>
            <w:noProof/>
            <w:webHidden/>
          </w:rPr>
          <w:fldChar w:fldCharType="separate"/>
        </w:r>
        <w:r>
          <w:rPr>
            <w:noProof/>
            <w:webHidden/>
          </w:rPr>
          <w:t>16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7" w:history="1">
        <w:r w:rsidRPr="00272110">
          <w:rPr>
            <w:rStyle w:val="a9"/>
          </w:rPr>
          <w:t>7.2</w:t>
        </w:r>
        <w:r>
          <w:rPr>
            <w:rFonts w:asciiTheme="minorHAnsi" w:eastAsiaTheme="minorEastAsia" w:hAnsiTheme="minorHAnsi" w:cstheme="minorBidi"/>
            <w:noProof/>
            <w:kern w:val="2"/>
            <w:szCs w:val="22"/>
          </w:rPr>
          <w:tab/>
        </w:r>
        <w:r w:rsidRPr="00272110">
          <w:rPr>
            <w:rStyle w:val="a9"/>
            <w:rFonts w:hint="eastAsia"/>
          </w:rPr>
          <w:t>利润表</w:t>
        </w:r>
        <w:r>
          <w:rPr>
            <w:noProof/>
            <w:webHidden/>
          </w:rPr>
          <w:tab/>
        </w:r>
        <w:r>
          <w:rPr>
            <w:noProof/>
            <w:webHidden/>
          </w:rPr>
          <w:fldChar w:fldCharType="begin"/>
        </w:r>
        <w:r>
          <w:rPr>
            <w:noProof/>
            <w:webHidden/>
          </w:rPr>
          <w:instrText xml:space="preserve"> PAGEREF _Toc35533957 \h </w:instrText>
        </w:r>
        <w:r>
          <w:rPr>
            <w:noProof/>
            <w:webHidden/>
          </w:rPr>
        </w:r>
        <w:r>
          <w:rPr>
            <w:noProof/>
            <w:webHidden/>
          </w:rPr>
          <w:fldChar w:fldCharType="separate"/>
        </w:r>
        <w:r>
          <w:rPr>
            <w:noProof/>
            <w:webHidden/>
          </w:rPr>
          <w:t>18</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8" w:history="1">
        <w:r w:rsidRPr="00272110">
          <w:rPr>
            <w:rStyle w:val="a9"/>
          </w:rPr>
          <w:t>7.3</w:t>
        </w:r>
        <w:r>
          <w:rPr>
            <w:rFonts w:asciiTheme="minorHAnsi" w:eastAsiaTheme="minorEastAsia" w:hAnsiTheme="minorHAnsi" w:cstheme="minorBidi"/>
            <w:noProof/>
            <w:kern w:val="2"/>
            <w:szCs w:val="22"/>
          </w:rPr>
          <w:tab/>
        </w:r>
        <w:r w:rsidRPr="00272110">
          <w:rPr>
            <w:rStyle w:val="a9"/>
            <w:rFonts w:hint="eastAsia"/>
          </w:rPr>
          <w:t>所有者权益（基金净值）变动表</w:t>
        </w:r>
        <w:r>
          <w:rPr>
            <w:noProof/>
            <w:webHidden/>
          </w:rPr>
          <w:tab/>
        </w:r>
        <w:r>
          <w:rPr>
            <w:noProof/>
            <w:webHidden/>
          </w:rPr>
          <w:fldChar w:fldCharType="begin"/>
        </w:r>
        <w:r>
          <w:rPr>
            <w:noProof/>
            <w:webHidden/>
          </w:rPr>
          <w:instrText xml:space="preserve"> PAGEREF _Toc35533958 \h </w:instrText>
        </w:r>
        <w:r>
          <w:rPr>
            <w:noProof/>
            <w:webHidden/>
          </w:rPr>
        </w:r>
        <w:r>
          <w:rPr>
            <w:noProof/>
            <w:webHidden/>
          </w:rPr>
          <w:fldChar w:fldCharType="separate"/>
        </w:r>
        <w:r>
          <w:rPr>
            <w:noProof/>
            <w:webHidden/>
          </w:rPr>
          <w:t>19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59" w:history="1">
        <w:r w:rsidRPr="00272110">
          <w:rPr>
            <w:rStyle w:val="a9"/>
          </w:rPr>
          <w:t>7.4</w:t>
        </w:r>
        <w:r>
          <w:rPr>
            <w:rFonts w:asciiTheme="minorHAnsi" w:eastAsiaTheme="minorEastAsia" w:hAnsiTheme="minorHAnsi" w:cstheme="minorBidi"/>
            <w:noProof/>
            <w:kern w:val="2"/>
            <w:szCs w:val="22"/>
          </w:rPr>
          <w:tab/>
        </w:r>
        <w:r w:rsidRPr="00272110">
          <w:rPr>
            <w:rStyle w:val="a9"/>
            <w:rFonts w:hint="eastAsia"/>
          </w:rPr>
          <w:t>报表附注</w:t>
        </w:r>
        <w:r>
          <w:rPr>
            <w:noProof/>
            <w:webHidden/>
          </w:rPr>
          <w:tab/>
        </w:r>
        <w:r>
          <w:rPr>
            <w:noProof/>
            <w:webHidden/>
          </w:rPr>
          <w:fldChar w:fldCharType="begin"/>
        </w:r>
        <w:r>
          <w:rPr>
            <w:noProof/>
            <w:webHidden/>
          </w:rPr>
          <w:instrText xml:space="preserve"> PAGEREF _Toc35533959 \h </w:instrText>
        </w:r>
        <w:r>
          <w:rPr>
            <w:noProof/>
            <w:webHidden/>
          </w:rPr>
        </w:r>
        <w:r>
          <w:rPr>
            <w:noProof/>
            <w:webHidden/>
          </w:rPr>
          <w:fldChar w:fldCharType="separate"/>
        </w:r>
        <w:r>
          <w:rPr>
            <w:noProof/>
            <w:webHidden/>
          </w:rPr>
          <w:t>21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0" w:history="1">
        <w:r w:rsidRPr="00272110">
          <w:rPr>
            <w:rStyle w:val="a9"/>
            <w:rFonts w:ascii="宋体" w:hAnsi="宋体" w:cs="Arial"/>
          </w:rPr>
          <w:t>§8</w:t>
        </w:r>
        <w:r>
          <w:rPr>
            <w:rFonts w:asciiTheme="minorHAnsi" w:eastAsiaTheme="minorEastAsia" w:hAnsiTheme="minorHAnsi" w:cstheme="minorBidi"/>
            <w:noProof/>
            <w:kern w:val="2"/>
            <w:szCs w:val="22"/>
          </w:rPr>
          <w:tab/>
        </w:r>
        <w:r w:rsidRPr="00272110">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_Toc35533960 \h </w:instrText>
        </w:r>
        <w:r>
          <w:rPr>
            <w:noProof/>
            <w:webHidden/>
          </w:rPr>
        </w:r>
        <w:r>
          <w:rPr>
            <w:noProof/>
            <w:webHidden/>
          </w:rPr>
          <w:fldChar w:fldCharType="separate"/>
        </w:r>
        <w:r>
          <w:rPr>
            <w:noProof/>
            <w:webHidden/>
          </w:rPr>
          <w:t>45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1" w:history="1">
        <w:r w:rsidRPr="00272110">
          <w:rPr>
            <w:rStyle w:val="a9"/>
          </w:rPr>
          <w:t>8.1</w:t>
        </w:r>
        <w:r>
          <w:rPr>
            <w:rFonts w:asciiTheme="minorHAnsi" w:eastAsiaTheme="minorEastAsia" w:hAnsiTheme="minorHAnsi" w:cstheme="minorBidi"/>
            <w:noProof/>
            <w:kern w:val="2"/>
            <w:szCs w:val="22"/>
          </w:rPr>
          <w:tab/>
        </w:r>
        <w:r w:rsidRPr="00272110">
          <w:rPr>
            <w:rStyle w:val="a9"/>
            <w:rFonts w:hint="eastAsia"/>
          </w:rPr>
          <w:t>期末基金资产组合情况</w:t>
        </w:r>
        <w:r>
          <w:rPr>
            <w:noProof/>
            <w:webHidden/>
          </w:rPr>
          <w:tab/>
        </w:r>
        <w:r>
          <w:rPr>
            <w:noProof/>
            <w:webHidden/>
          </w:rPr>
          <w:fldChar w:fldCharType="begin"/>
        </w:r>
        <w:r>
          <w:rPr>
            <w:noProof/>
            <w:webHidden/>
          </w:rPr>
          <w:instrText xml:space="preserve"> PAGEREF _Toc35533961 \h </w:instrText>
        </w:r>
        <w:r>
          <w:rPr>
            <w:noProof/>
            <w:webHidden/>
          </w:rPr>
        </w:r>
        <w:r>
          <w:rPr>
            <w:noProof/>
            <w:webHidden/>
          </w:rPr>
          <w:fldChar w:fldCharType="separate"/>
        </w:r>
        <w:r>
          <w:rPr>
            <w:noProof/>
            <w:webHidden/>
          </w:rPr>
          <w:t>45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2" w:history="1">
        <w:r w:rsidRPr="00272110">
          <w:rPr>
            <w:rStyle w:val="a9"/>
          </w:rPr>
          <w:t>8.2</w:t>
        </w:r>
        <w:r>
          <w:rPr>
            <w:rFonts w:asciiTheme="minorHAnsi" w:eastAsiaTheme="minorEastAsia" w:hAnsiTheme="minorHAnsi" w:cstheme="minorBidi"/>
            <w:noProof/>
            <w:kern w:val="2"/>
            <w:szCs w:val="22"/>
          </w:rPr>
          <w:tab/>
        </w:r>
        <w:r w:rsidRPr="00272110">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_Toc35533962 \h </w:instrText>
        </w:r>
        <w:r>
          <w:rPr>
            <w:noProof/>
            <w:webHidden/>
          </w:rPr>
        </w:r>
        <w:r>
          <w:rPr>
            <w:noProof/>
            <w:webHidden/>
          </w:rPr>
          <w:fldChar w:fldCharType="separate"/>
        </w:r>
        <w:r>
          <w:rPr>
            <w:noProof/>
            <w:webHidden/>
          </w:rPr>
          <w:t>45</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3" w:history="1">
        <w:r w:rsidRPr="00272110">
          <w:rPr>
            <w:rStyle w:val="a9"/>
          </w:rPr>
          <w:t>8.3</w:t>
        </w:r>
        <w:r>
          <w:rPr>
            <w:rFonts w:asciiTheme="minorHAnsi" w:eastAsiaTheme="minorEastAsia" w:hAnsiTheme="minorHAnsi" w:cstheme="minorBidi"/>
            <w:noProof/>
            <w:kern w:val="2"/>
            <w:szCs w:val="22"/>
          </w:rPr>
          <w:tab/>
        </w:r>
        <w:r w:rsidRPr="00272110">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_Toc35533963 \h </w:instrText>
        </w:r>
        <w:r>
          <w:rPr>
            <w:noProof/>
            <w:webHidden/>
          </w:rPr>
        </w:r>
        <w:r>
          <w:rPr>
            <w:noProof/>
            <w:webHidden/>
          </w:rPr>
          <w:fldChar w:fldCharType="separate"/>
        </w:r>
        <w:r>
          <w:rPr>
            <w:noProof/>
            <w:webHidden/>
          </w:rPr>
          <w:t>46</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4" w:history="1">
        <w:r w:rsidRPr="00272110">
          <w:rPr>
            <w:rStyle w:val="a9"/>
          </w:rPr>
          <w:t>8.4</w:t>
        </w:r>
        <w:r>
          <w:rPr>
            <w:rFonts w:asciiTheme="minorHAnsi" w:eastAsiaTheme="minorEastAsia" w:hAnsiTheme="minorHAnsi" w:cstheme="minorBidi"/>
            <w:noProof/>
            <w:kern w:val="2"/>
            <w:szCs w:val="22"/>
          </w:rPr>
          <w:tab/>
        </w:r>
        <w:r w:rsidRPr="00272110">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_Toc35533964 \h </w:instrText>
        </w:r>
        <w:r>
          <w:rPr>
            <w:noProof/>
            <w:webHidden/>
          </w:rPr>
        </w:r>
        <w:r>
          <w:rPr>
            <w:noProof/>
            <w:webHidden/>
          </w:rPr>
          <w:fldChar w:fldCharType="separate"/>
        </w:r>
        <w:r>
          <w:rPr>
            <w:noProof/>
            <w:webHidden/>
          </w:rPr>
          <w:t>47</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5" w:history="1">
        <w:r w:rsidRPr="00272110">
          <w:rPr>
            <w:rStyle w:val="a9"/>
          </w:rPr>
          <w:t>8.5</w:t>
        </w:r>
        <w:r>
          <w:rPr>
            <w:rFonts w:asciiTheme="minorHAnsi" w:eastAsiaTheme="minorEastAsia" w:hAnsiTheme="minorHAnsi" w:cstheme="minorBidi"/>
            <w:noProof/>
            <w:kern w:val="2"/>
            <w:szCs w:val="22"/>
          </w:rPr>
          <w:tab/>
        </w:r>
        <w:r w:rsidRPr="00272110">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_Toc35533965 \h </w:instrText>
        </w:r>
        <w:r>
          <w:rPr>
            <w:noProof/>
            <w:webHidden/>
          </w:rPr>
        </w:r>
        <w:r>
          <w:rPr>
            <w:noProof/>
            <w:webHidden/>
          </w:rPr>
          <w:fldChar w:fldCharType="separate"/>
        </w:r>
        <w:r>
          <w:rPr>
            <w:noProof/>
            <w:webHidden/>
          </w:rPr>
          <w:t>49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6" w:history="1">
        <w:r w:rsidRPr="00272110">
          <w:rPr>
            <w:rStyle w:val="a9"/>
          </w:rPr>
          <w:t>8.6</w:t>
        </w:r>
        <w:r>
          <w:rPr>
            <w:rFonts w:asciiTheme="minorHAnsi" w:eastAsiaTheme="minorEastAsia" w:hAnsiTheme="minorHAnsi" w:cstheme="minorBidi"/>
            <w:noProof/>
            <w:kern w:val="2"/>
            <w:szCs w:val="22"/>
          </w:rPr>
          <w:tab/>
        </w:r>
        <w:r w:rsidRPr="00272110">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_Toc35533966 \h </w:instrText>
        </w:r>
        <w:r>
          <w:rPr>
            <w:noProof/>
            <w:webHidden/>
          </w:rPr>
        </w:r>
        <w:r>
          <w:rPr>
            <w:noProof/>
            <w:webHidden/>
          </w:rPr>
          <w:fldChar w:fldCharType="separate"/>
        </w:r>
        <w:r>
          <w:rPr>
            <w:noProof/>
            <w:webHidden/>
          </w:rPr>
          <w:t>49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7" w:history="1">
        <w:r w:rsidRPr="00272110">
          <w:rPr>
            <w:rStyle w:val="a9"/>
          </w:rPr>
          <w:t>8.7</w:t>
        </w:r>
        <w:r>
          <w:rPr>
            <w:rFonts w:asciiTheme="minorHAnsi" w:eastAsiaTheme="minorEastAsia" w:hAnsiTheme="minorHAnsi" w:cstheme="minorBidi"/>
            <w:noProof/>
            <w:kern w:val="2"/>
            <w:szCs w:val="22"/>
          </w:rPr>
          <w:tab/>
        </w:r>
        <w:r w:rsidRPr="00272110">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_Toc35533967 \h </w:instrText>
        </w:r>
        <w:r>
          <w:rPr>
            <w:noProof/>
            <w:webHidden/>
          </w:rPr>
        </w:r>
        <w:r>
          <w:rPr>
            <w:noProof/>
            <w:webHidden/>
          </w:rPr>
          <w:fldChar w:fldCharType="separate"/>
        </w:r>
        <w:r>
          <w:rPr>
            <w:noProof/>
            <w:webHidden/>
          </w:rPr>
          <w:t>49</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8" w:history="1">
        <w:r w:rsidRPr="00272110">
          <w:rPr>
            <w:rStyle w:val="a9"/>
          </w:rPr>
          <w:t>8.8</w:t>
        </w:r>
        <w:r>
          <w:rPr>
            <w:rFonts w:asciiTheme="minorHAnsi" w:eastAsiaTheme="minorEastAsia" w:hAnsiTheme="minorHAnsi" w:cstheme="minorBidi"/>
            <w:noProof/>
            <w:kern w:val="2"/>
            <w:szCs w:val="22"/>
          </w:rPr>
          <w:tab/>
        </w:r>
        <w:r w:rsidRPr="00272110">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_Toc35533968 \h </w:instrText>
        </w:r>
        <w:r>
          <w:rPr>
            <w:noProof/>
            <w:webHidden/>
          </w:rPr>
        </w:r>
        <w:r>
          <w:rPr>
            <w:noProof/>
            <w:webHidden/>
          </w:rPr>
          <w:fldChar w:fldCharType="separate"/>
        </w:r>
        <w:r>
          <w:rPr>
            <w:noProof/>
            <w:webHidden/>
          </w:rPr>
          <w:t>50</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69" w:history="1">
        <w:r w:rsidRPr="00272110">
          <w:rPr>
            <w:rStyle w:val="a9"/>
          </w:rPr>
          <w:t>8.9</w:t>
        </w:r>
        <w:r>
          <w:rPr>
            <w:rFonts w:asciiTheme="minorHAnsi" w:eastAsiaTheme="minorEastAsia" w:hAnsiTheme="minorHAnsi" w:cstheme="minorBidi"/>
            <w:noProof/>
            <w:kern w:val="2"/>
            <w:szCs w:val="22"/>
          </w:rPr>
          <w:tab/>
        </w:r>
        <w:r w:rsidRPr="00272110">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_Toc35533969 \h </w:instrText>
        </w:r>
        <w:r>
          <w:rPr>
            <w:noProof/>
            <w:webHidden/>
          </w:rPr>
        </w:r>
        <w:r>
          <w:rPr>
            <w:noProof/>
            <w:webHidden/>
          </w:rPr>
          <w:fldChar w:fldCharType="separate"/>
        </w:r>
        <w:r>
          <w:rPr>
            <w:noProof/>
            <w:webHidden/>
          </w:rPr>
          <w:t>50</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0" w:history="1">
        <w:r w:rsidRPr="00272110">
          <w:rPr>
            <w:rStyle w:val="a9"/>
          </w:rPr>
          <w:t>8.10</w:t>
        </w:r>
        <w:r>
          <w:rPr>
            <w:rFonts w:asciiTheme="minorHAnsi" w:eastAsiaTheme="minorEastAsia" w:hAnsiTheme="minorHAnsi" w:cstheme="minorBidi"/>
            <w:noProof/>
            <w:kern w:val="2"/>
            <w:szCs w:val="22"/>
          </w:rPr>
          <w:tab/>
        </w:r>
        <w:r w:rsidRPr="00272110">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_Toc35533970 \h </w:instrText>
        </w:r>
        <w:r>
          <w:rPr>
            <w:noProof/>
            <w:webHidden/>
          </w:rPr>
        </w:r>
        <w:r>
          <w:rPr>
            <w:noProof/>
            <w:webHidden/>
          </w:rPr>
          <w:fldChar w:fldCharType="separate"/>
        </w:r>
        <w:r>
          <w:rPr>
            <w:noProof/>
            <w:webHidden/>
          </w:rPr>
          <w:t>50</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1" w:history="1">
        <w:r w:rsidRPr="00272110">
          <w:rPr>
            <w:rStyle w:val="a9"/>
          </w:rPr>
          <w:t>8.11</w:t>
        </w:r>
        <w:r>
          <w:rPr>
            <w:rFonts w:asciiTheme="minorHAnsi" w:eastAsiaTheme="minorEastAsia" w:hAnsiTheme="minorHAnsi" w:cstheme="minorBidi"/>
            <w:noProof/>
            <w:kern w:val="2"/>
            <w:szCs w:val="22"/>
          </w:rPr>
          <w:tab/>
        </w:r>
        <w:r w:rsidRPr="00272110">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_Toc35533971 \h </w:instrText>
        </w:r>
        <w:r>
          <w:rPr>
            <w:noProof/>
            <w:webHidden/>
          </w:rPr>
        </w:r>
        <w:r>
          <w:rPr>
            <w:noProof/>
            <w:webHidden/>
          </w:rPr>
          <w:fldChar w:fldCharType="separate"/>
        </w:r>
        <w:r>
          <w:rPr>
            <w:noProof/>
            <w:webHidden/>
          </w:rPr>
          <w:t>50</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2" w:history="1">
        <w:r w:rsidRPr="00272110">
          <w:rPr>
            <w:rStyle w:val="a9"/>
          </w:rPr>
          <w:t>8.12</w:t>
        </w:r>
        <w:r>
          <w:rPr>
            <w:rFonts w:asciiTheme="minorHAnsi" w:eastAsiaTheme="minorEastAsia" w:hAnsiTheme="minorHAnsi" w:cstheme="minorBidi"/>
            <w:noProof/>
            <w:kern w:val="2"/>
            <w:szCs w:val="22"/>
          </w:rPr>
          <w:tab/>
        </w:r>
        <w:r w:rsidRPr="00272110">
          <w:rPr>
            <w:rStyle w:val="a9"/>
            <w:rFonts w:hint="eastAsia"/>
          </w:rPr>
          <w:t>投资组合报告附注</w:t>
        </w:r>
        <w:r>
          <w:rPr>
            <w:noProof/>
            <w:webHidden/>
          </w:rPr>
          <w:tab/>
        </w:r>
        <w:r>
          <w:rPr>
            <w:noProof/>
            <w:webHidden/>
          </w:rPr>
          <w:fldChar w:fldCharType="begin"/>
        </w:r>
        <w:r>
          <w:rPr>
            <w:noProof/>
            <w:webHidden/>
          </w:rPr>
          <w:instrText xml:space="preserve"> PAGEREF _Toc35533972 \h </w:instrText>
        </w:r>
        <w:r>
          <w:rPr>
            <w:noProof/>
            <w:webHidden/>
          </w:rPr>
        </w:r>
        <w:r>
          <w:rPr>
            <w:noProof/>
            <w:webHidden/>
          </w:rPr>
          <w:fldChar w:fldCharType="separate"/>
        </w:r>
        <w:r>
          <w:rPr>
            <w:noProof/>
            <w:webHidden/>
          </w:rPr>
          <w:t>50</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73" w:history="1">
        <w:r w:rsidRPr="00272110">
          <w:rPr>
            <w:rStyle w:val="a9"/>
            <w:rFonts w:ascii="宋体" w:hAnsi="宋体" w:cs="Arial"/>
          </w:rPr>
          <w:t>§9</w:t>
        </w:r>
        <w:r>
          <w:rPr>
            <w:rFonts w:asciiTheme="minorHAnsi" w:eastAsiaTheme="minorEastAsia" w:hAnsiTheme="minorHAnsi" w:cstheme="minorBidi"/>
            <w:noProof/>
            <w:kern w:val="2"/>
            <w:szCs w:val="22"/>
          </w:rPr>
          <w:tab/>
        </w:r>
        <w:r w:rsidRPr="00272110">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_Toc35533973 \h </w:instrText>
        </w:r>
        <w:r>
          <w:rPr>
            <w:noProof/>
            <w:webHidden/>
          </w:rPr>
        </w:r>
        <w:r>
          <w:rPr>
            <w:noProof/>
            <w:webHidden/>
          </w:rPr>
          <w:fldChar w:fldCharType="separate"/>
        </w:r>
        <w:r>
          <w:rPr>
            <w:noProof/>
            <w:webHidden/>
          </w:rPr>
          <w:t>51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74" w:history="1">
        <w:r w:rsidRPr="00272110">
          <w:rPr>
            <w:rStyle w:val="a9"/>
          </w:rPr>
          <w:t>9.1</w:t>
        </w:r>
        <w:r>
          <w:rPr>
            <w:rFonts w:asciiTheme="minorHAnsi" w:eastAsiaTheme="minorEastAsia" w:hAnsiTheme="minorHAnsi" w:cstheme="minorBidi"/>
            <w:noProof/>
            <w:kern w:val="2"/>
            <w:szCs w:val="22"/>
          </w:rPr>
          <w:tab/>
        </w:r>
        <w:r w:rsidRPr="00272110">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_Toc35533974 \h </w:instrText>
        </w:r>
        <w:r>
          <w:rPr>
            <w:noProof/>
            <w:webHidden/>
          </w:rPr>
        </w:r>
        <w:r>
          <w:rPr>
            <w:noProof/>
            <w:webHidden/>
          </w:rPr>
          <w:fldChar w:fldCharType="separate"/>
        </w:r>
        <w:r>
          <w:rPr>
            <w:noProof/>
            <w:webHidden/>
          </w:rPr>
          <w:t>51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75" w:history="1">
        <w:r w:rsidRPr="00272110">
          <w:rPr>
            <w:rStyle w:val="a9"/>
          </w:rPr>
          <w:t>9.2</w:t>
        </w:r>
        <w:r>
          <w:rPr>
            <w:rFonts w:asciiTheme="minorHAnsi" w:eastAsiaTheme="minorEastAsia" w:hAnsiTheme="minorHAnsi" w:cstheme="minorBidi"/>
            <w:noProof/>
            <w:kern w:val="2"/>
            <w:szCs w:val="22"/>
          </w:rPr>
          <w:tab/>
        </w:r>
        <w:r w:rsidRPr="00272110">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_Toc35533975 \h </w:instrText>
        </w:r>
        <w:r>
          <w:rPr>
            <w:noProof/>
            <w:webHidden/>
          </w:rPr>
        </w:r>
        <w:r>
          <w:rPr>
            <w:noProof/>
            <w:webHidden/>
          </w:rPr>
          <w:fldChar w:fldCharType="separate"/>
        </w:r>
        <w:r>
          <w:rPr>
            <w:noProof/>
            <w:webHidden/>
          </w:rPr>
          <w:t>51</w:t>
        </w:r>
        <w:r>
          <w:rPr>
            <w:noProof/>
            <w:webHidden/>
          </w:rPr>
          <w:fldChar w:fldCharType="end"/>
        </w:r>
      </w:hyperlink>
    </w:p>
    <w:p w:rsidR="00553E61" w:rsidRDefault="00553E61">
      <w:pPr>
        <w:pStyle w:val="22"/>
        <w:tabs>
          <w:tab w:val="left" w:pos="1050"/>
        </w:tabs>
        <w:rPr>
          <w:rFonts w:asciiTheme="minorHAnsi" w:eastAsiaTheme="minorEastAsia" w:hAnsiTheme="minorHAnsi" w:cstheme="minorBidi"/>
          <w:noProof/>
          <w:kern w:val="2"/>
          <w:szCs w:val="22"/>
        </w:rPr>
      </w:pPr>
      <w:hyperlink w:anchor="_Toc35533976" w:history="1">
        <w:r w:rsidRPr="00272110">
          <w:rPr>
            <w:rStyle w:val="a9"/>
          </w:rPr>
          <w:t>9.3</w:t>
        </w:r>
        <w:r>
          <w:rPr>
            <w:rFonts w:asciiTheme="minorHAnsi" w:eastAsiaTheme="minorEastAsia" w:hAnsiTheme="minorHAnsi" w:cstheme="minorBidi"/>
            <w:noProof/>
            <w:kern w:val="2"/>
            <w:szCs w:val="22"/>
          </w:rPr>
          <w:tab/>
        </w:r>
        <w:r w:rsidRPr="00272110">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_Toc35533976 \h </w:instrText>
        </w:r>
        <w:r>
          <w:rPr>
            <w:noProof/>
            <w:webHidden/>
          </w:rPr>
        </w:r>
        <w:r>
          <w:rPr>
            <w:noProof/>
            <w:webHidden/>
          </w:rPr>
          <w:fldChar w:fldCharType="separate"/>
        </w:r>
        <w:r>
          <w:rPr>
            <w:noProof/>
            <w:webHidden/>
          </w:rPr>
          <w:t>51</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7" w:history="1">
        <w:r w:rsidRPr="00272110">
          <w:rPr>
            <w:rStyle w:val="a9"/>
            <w:rFonts w:ascii="宋体" w:hAnsi="宋体" w:cs="Arial"/>
          </w:rPr>
          <w:t>§10</w:t>
        </w:r>
        <w:r>
          <w:rPr>
            <w:rFonts w:asciiTheme="minorHAnsi" w:eastAsiaTheme="minorEastAsia" w:hAnsiTheme="minorHAnsi" w:cstheme="minorBidi"/>
            <w:noProof/>
            <w:kern w:val="2"/>
            <w:szCs w:val="22"/>
          </w:rPr>
          <w:tab/>
        </w:r>
        <w:r w:rsidRPr="00272110">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_Toc35533977 \h </w:instrText>
        </w:r>
        <w:r>
          <w:rPr>
            <w:noProof/>
            <w:webHidden/>
          </w:rPr>
        </w:r>
        <w:r>
          <w:rPr>
            <w:noProof/>
            <w:webHidden/>
          </w:rPr>
          <w:fldChar w:fldCharType="separate"/>
        </w:r>
        <w:r>
          <w:rPr>
            <w:noProof/>
            <w:webHidden/>
          </w:rPr>
          <w:t>51</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8" w:history="1">
        <w:r w:rsidRPr="00272110">
          <w:rPr>
            <w:rStyle w:val="a9"/>
            <w:rFonts w:ascii="宋体" w:hAnsi="宋体" w:cs="Arial"/>
          </w:rPr>
          <w:t>§11</w:t>
        </w:r>
        <w:r>
          <w:rPr>
            <w:rFonts w:asciiTheme="minorHAnsi" w:eastAsiaTheme="minorEastAsia" w:hAnsiTheme="minorHAnsi" w:cstheme="minorBidi"/>
            <w:noProof/>
            <w:kern w:val="2"/>
            <w:szCs w:val="22"/>
          </w:rPr>
          <w:tab/>
        </w:r>
        <w:r w:rsidRPr="00272110">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_Toc35533978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79" w:history="1">
        <w:r w:rsidRPr="00272110">
          <w:rPr>
            <w:rStyle w:val="a9"/>
          </w:rPr>
          <w:t>11.1</w:t>
        </w:r>
        <w:r>
          <w:rPr>
            <w:rFonts w:asciiTheme="minorHAnsi" w:eastAsiaTheme="minorEastAsia" w:hAnsiTheme="minorHAnsi" w:cstheme="minorBidi"/>
            <w:noProof/>
            <w:kern w:val="2"/>
            <w:szCs w:val="22"/>
          </w:rPr>
          <w:tab/>
        </w:r>
        <w:r w:rsidRPr="00272110">
          <w:rPr>
            <w:rStyle w:val="a9"/>
            <w:rFonts w:hint="eastAsia"/>
          </w:rPr>
          <w:t>基金份额持有人大会决议</w:t>
        </w:r>
        <w:r>
          <w:rPr>
            <w:noProof/>
            <w:webHidden/>
          </w:rPr>
          <w:tab/>
        </w:r>
        <w:r>
          <w:rPr>
            <w:noProof/>
            <w:webHidden/>
          </w:rPr>
          <w:fldChar w:fldCharType="begin"/>
        </w:r>
        <w:r>
          <w:rPr>
            <w:noProof/>
            <w:webHidden/>
          </w:rPr>
          <w:instrText xml:space="preserve"> PAGEREF _Toc35533979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0" w:history="1">
        <w:r w:rsidRPr="00272110">
          <w:rPr>
            <w:rStyle w:val="a9"/>
          </w:rPr>
          <w:t>11.2</w:t>
        </w:r>
        <w:r>
          <w:rPr>
            <w:rFonts w:asciiTheme="minorHAnsi" w:eastAsiaTheme="minorEastAsia" w:hAnsiTheme="minorHAnsi" w:cstheme="minorBidi"/>
            <w:noProof/>
            <w:kern w:val="2"/>
            <w:szCs w:val="22"/>
          </w:rPr>
          <w:tab/>
        </w:r>
        <w:r w:rsidRPr="00272110">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_Toc35533980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1" w:history="1">
        <w:r w:rsidRPr="00272110">
          <w:rPr>
            <w:rStyle w:val="a9"/>
          </w:rPr>
          <w:t>11.3</w:t>
        </w:r>
        <w:r>
          <w:rPr>
            <w:rFonts w:asciiTheme="minorHAnsi" w:eastAsiaTheme="minorEastAsia" w:hAnsiTheme="minorHAnsi" w:cstheme="minorBidi"/>
            <w:noProof/>
            <w:kern w:val="2"/>
            <w:szCs w:val="22"/>
          </w:rPr>
          <w:tab/>
        </w:r>
        <w:r w:rsidRPr="00272110">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_Toc35533981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2" w:history="1">
        <w:r w:rsidRPr="00272110">
          <w:rPr>
            <w:rStyle w:val="a9"/>
          </w:rPr>
          <w:t>11.4</w:t>
        </w:r>
        <w:r>
          <w:rPr>
            <w:rFonts w:asciiTheme="minorHAnsi" w:eastAsiaTheme="minorEastAsia" w:hAnsiTheme="minorHAnsi" w:cstheme="minorBidi"/>
            <w:noProof/>
            <w:kern w:val="2"/>
            <w:szCs w:val="22"/>
          </w:rPr>
          <w:tab/>
        </w:r>
        <w:r w:rsidRPr="00272110">
          <w:rPr>
            <w:rStyle w:val="a9"/>
            <w:rFonts w:hint="eastAsia"/>
          </w:rPr>
          <w:t>基金投资策略的改变</w:t>
        </w:r>
        <w:r>
          <w:rPr>
            <w:noProof/>
            <w:webHidden/>
          </w:rPr>
          <w:tab/>
        </w:r>
        <w:r>
          <w:rPr>
            <w:noProof/>
            <w:webHidden/>
          </w:rPr>
          <w:fldChar w:fldCharType="begin"/>
        </w:r>
        <w:r>
          <w:rPr>
            <w:noProof/>
            <w:webHidden/>
          </w:rPr>
          <w:instrText xml:space="preserve"> PAGEREF _Toc35533982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3" w:history="1">
        <w:r w:rsidRPr="00272110">
          <w:rPr>
            <w:rStyle w:val="a9"/>
          </w:rPr>
          <w:t>11.5</w:t>
        </w:r>
        <w:r>
          <w:rPr>
            <w:rFonts w:asciiTheme="minorHAnsi" w:eastAsiaTheme="minorEastAsia" w:hAnsiTheme="minorHAnsi" w:cstheme="minorBidi"/>
            <w:noProof/>
            <w:kern w:val="2"/>
            <w:szCs w:val="22"/>
          </w:rPr>
          <w:tab/>
        </w:r>
        <w:r w:rsidRPr="00272110">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_Toc35533983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4" w:history="1">
        <w:r w:rsidRPr="00272110">
          <w:rPr>
            <w:rStyle w:val="a9"/>
          </w:rPr>
          <w:t>11.6</w:t>
        </w:r>
        <w:r>
          <w:rPr>
            <w:rFonts w:asciiTheme="minorHAnsi" w:eastAsiaTheme="minorEastAsia" w:hAnsiTheme="minorHAnsi" w:cstheme="minorBidi"/>
            <w:noProof/>
            <w:kern w:val="2"/>
            <w:szCs w:val="22"/>
          </w:rPr>
          <w:tab/>
        </w:r>
        <w:r w:rsidRPr="00272110">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_Toc35533984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5" w:history="1">
        <w:r w:rsidRPr="00272110">
          <w:rPr>
            <w:rStyle w:val="a9"/>
          </w:rPr>
          <w:t>11.7</w:t>
        </w:r>
        <w:r>
          <w:rPr>
            <w:rFonts w:asciiTheme="minorHAnsi" w:eastAsiaTheme="minorEastAsia" w:hAnsiTheme="minorHAnsi" w:cstheme="minorBidi"/>
            <w:noProof/>
            <w:kern w:val="2"/>
            <w:szCs w:val="22"/>
          </w:rPr>
          <w:tab/>
        </w:r>
        <w:r w:rsidRPr="00272110">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_Toc35533985 \h </w:instrText>
        </w:r>
        <w:r>
          <w:rPr>
            <w:noProof/>
            <w:webHidden/>
          </w:rPr>
        </w:r>
        <w:r>
          <w:rPr>
            <w:noProof/>
            <w:webHidden/>
          </w:rPr>
          <w:fldChar w:fldCharType="separate"/>
        </w:r>
        <w:r>
          <w:rPr>
            <w:noProof/>
            <w:webHidden/>
          </w:rPr>
          <w:t>52</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6" w:history="1">
        <w:r w:rsidRPr="00272110">
          <w:rPr>
            <w:rStyle w:val="a9"/>
          </w:rPr>
          <w:t>11.8</w:t>
        </w:r>
        <w:r>
          <w:rPr>
            <w:rFonts w:asciiTheme="minorHAnsi" w:eastAsiaTheme="minorEastAsia" w:hAnsiTheme="minorHAnsi" w:cstheme="minorBidi"/>
            <w:noProof/>
            <w:kern w:val="2"/>
            <w:szCs w:val="22"/>
          </w:rPr>
          <w:tab/>
        </w:r>
        <w:r w:rsidRPr="00272110">
          <w:rPr>
            <w:rStyle w:val="a9"/>
            <w:rFonts w:hint="eastAsia"/>
          </w:rPr>
          <w:t>其他重大事件</w:t>
        </w:r>
        <w:r>
          <w:rPr>
            <w:noProof/>
            <w:webHidden/>
          </w:rPr>
          <w:tab/>
        </w:r>
        <w:r>
          <w:rPr>
            <w:noProof/>
            <w:webHidden/>
          </w:rPr>
          <w:fldChar w:fldCharType="begin"/>
        </w:r>
        <w:r>
          <w:rPr>
            <w:noProof/>
            <w:webHidden/>
          </w:rPr>
          <w:instrText xml:space="preserve"> PAGEREF _Toc35533986 \h </w:instrText>
        </w:r>
        <w:r>
          <w:rPr>
            <w:noProof/>
            <w:webHidden/>
          </w:rPr>
        </w:r>
        <w:r>
          <w:rPr>
            <w:noProof/>
            <w:webHidden/>
          </w:rPr>
          <w:fldChar w:fldCharType="separate"/>
        </w:r>
        <w:r>
          <w:rPr>
            <w:noProof/>
            <w:webHidden/>
          </w:rPr>
          <w:t>55</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7" w:history="1">
        <w:r w:rsidRPr="00272110">
          <w:rPr>
            <w:rStyle w:val="a9"/>
            <w:rFonts w:ascii="宋体" w:hAnsi="宋体" w:cs="Arial"/>
          </w:rPr>
          <w:t>§12</w:t>
        </w:r>
        <w:r>
          <w:rPr>
            <w:rFonts w:asciiTheme="minorHAnsi" w:eastAsiaTheme="minorEastAsia" w:hAnsiTheme="minorHAnsi" w:cstheme="minorBidi"/>
            <w:noProof/>
            <w:kern w:val="2"/>
            <w:szCs w:val="22"/>
          </w:rPr>
          <w:tab/>
        </w:r>
        <w:r w:rsidRPr="00272110">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_Toc35533987 \h </w:instrText>
        </w:r>
        <w:r>
          <w:rPr>
            <w:noProof/>
            <w:webHidden/>
          </w:rPr>
        </w:r>
        <w:r>
          <w:rPr>
            <w:noProof/>
            <w:webHidden/>
          </w:rPr>
          <w:fldChar w:fldCharType="separate"/>
        </w:r>
        <w:r>
          <w:rPr>
            <w:noProof/>
            <w:webHidden/>
          </w:rPr>
          <w:t>58</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8" w:history="1">
        <w:r w:rsidRPr="00272110">
          <w:rPr>
            <w:rStyle w:val="a9"/>
          </w:rPr>
          <w:t>12.1</w:t>
        </w:r>
        <w:r>
          <w:rPr>
            <w:rFonts w:asciiTheme="minorHAnsi" w:eastAsiaTheme="minorEastAsia" w:hAnsiTheme="minorHAnsi" w:cstheme="minorBidi"/>
            <w:noProof/>
            <w:kern w:val="2"/>
            <w:szCs w:val="22"/>
          </w:rPr>
          <w:tab/>
        </w:r>
        <w:r w:rsidRPr="00272110">
          <w:rPr>
            <w:rStyle w:val="a9"/>
            <w:rFonts w:hint="eastAsia"/>
          </w:rPr>
          <w:t>备查文件目录</w:t>
        </w:r>
        <w:r>
          <w:rPr>
            <w:noProof/>
            <w:webHidden/>
          </w:rPr>
          <w:tab/>
        </w:r>
        <w:r>
          <w:rPr>
            <w:noProof/>
            <w:webHidden/>
          </w:rPr>
          <w:fldChar w:fldCharType="begin"/>
        </w:r>
        <w:r>
          <w:rPr>
            <w:noProof/>
            <w:webHidden/>
          </w:rPr>
          <w:instrText xml:space="preserve"> PAGEREF _Toc35533988 \h </w:instrText>
        </w:r>
        <w:r>
          <w:rPr>
            <w:noProof/>
            <w:webHidden/>
          </w:rPr>
        </w:r>
        <w:r>
          <w:rPr>
            <w:noProof/>
            <w:webHidden/>
          </w:rPr>
          <w:fldChar w:fldCharType="separate"/>
        </w:r>
        <w:r>
          <w:rPr>
            <w:noProof/>
            <w:webHidden/>
          </w:rPr>
          <w:t>58</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89" w:history="1">
        <w:r w:rsidRPr="00272110">
          <w:rPr>
            <w:rStyle w:val="a9"/>
          </w:rPr>
          <w:t>12.2</w:t>
        </w:r>
        <w:r>
          <w:rPr>
            <w:rFonts w:asciiTheme="minorHAnsi" w:eastAsiaTheme="minorEastAsia" w:hAnsiTheme="minorHAnsi" w:cstheme="minorBidi"/>
            <w:noProof/>
            <w:kern w:val="2"/>
            <w:szCs w:val="22"/>
          </w:rPr>
          <w:tab/>
        </w:r>
        <w:r w:rsidRPr="00272110">
          <w:rPr>
            <w:rStyle w:val="a9"/>
            <w:rFonts w:hint="eastAsia"/>
          </w:rPr>
          <w:t>存放地点</w:t>
        </w:r>
        <w:r>
          <w:rPr>
            <w:noProof/>
            <w:webHidden/>
          </w:rPr>
          <w:tab/>
        </w:r>
        <w:r>
          <w:rPr>
            <w:noProof/>
            <w:webHidden/>
          </w:rPr>
          <w:fldChar w:fldCharType="begin"/>
        </w:r>
        <w:r>
          <w:rPr>
            <w:noProof/>
            <w:webHidden/>
          </w:rPr>
          <w:instrText xml:space="preserve"> PAGEREF _Toc35533989 \h </w:instrText>
        </w:r>
        <w:r>
          <w:rPr>
            <w:noProof/>
            <w:webHidden/>
          </w:rPr>
        </w:r>
        <w:r>
          <w:rPr>
            <w:noProof/>
            <w:webHidden/>
          </w:rPr>
          <w:fldChar w:fldCharType="separate"/>
        </w:r>
        <w:r>
          <w:rPr>
            <w:noProof/>
            <w:webHidden/>
          </w:rPr>
          <w:t>58</w:t>
        </w:r>
        <w:r>
          <w:rPr>
            <w:noProof/>
            <w:webHidden/>
          </w:rPr>
          <w:fldChar w:fldCharType="end"/>
        </w:r>
      </w:hyperlink>
    </w:p>
    <w:p w:rsidR="00553E61" w:rsidRDefault="00553E61">
      <w:pPr>
        <w:pStyle w:val="22"/>
        <w:tabs>
          <w:tab w:val="left" w:pos="1260"/>
        </w:tabs>
        <w:rPr>
          <w:rFonts w:asciiTheme="minorHAnsi" w:eastAsiaTheme="minorEastAsia" w:hAnsiTheme="minorHAnsi" w:cstheme="minorBidi"/>
          <w:noProof/>
          <w:kern w:val="2"/>
          <w:szCs w:val="22"/>
        </w:rPr>
      </w:pPr>
      <w:hyperlink w:anchor="_Toc35533990" w:history="1">
        <w:r w:rsidRPr="00272110">
          <w:rPr>
            <w:rStyle w:val="a9"/>
          </w:rPr>
          <w:t>12.3</w:t>
        </w:r>
        <w:r>
          <w:rPr>
            <w:rFonts w:asciiTheme="minorHAnsi" w:eastAsiaTheme="minorEastAsia" w:hAnsiTheme="minorHAnsi" w:cstheme="minorBidi"/>
            <w:noProof/>
            <w:kern w:val="2"/>
            <w:szCs w:val="22"/>
          </w:rPr>
          <w:tab/>
        </w:r>
        <w:r w:rsidRPr="00272110">
          <w:rPr>
            <w:rStyle w:val="a9"/>
            <w:rFonts w:hint="eastAsia"/>
          </w:rPr>
          <w:t>查阅方式</w:t>
        </w:r>
        <w:r>
          <w:rPr>
            <w:noProof/>
            <w:webHidden/>
          </w:rPr>
          <w:tab/>
        </w:r>
        <w:r>
          <w:rPr>
            <w:noProof/>
            <w:webHidden/>
          </w:rPr>
          <w:fldChar w:fldCharType="begin"/>
        </w:r>
        <w:r>
          <w:rPr>
            <w:noProof/>
            <w:webHidden/>
          </w:rPr>
          <w:instrText xml:space="preserve"> PAGEREF _Toc35533990 \h </w:instrText>
        </w:r>
        <w:r>
          <w:rPr>
            <w:noProof/>
            <w:webHidden/>
          </w:rPr>
        </w:r>
        <w:r>
          <w:rPr>
            <w:noProof/>
            <w:webHidden/>
          </w:rPr>
          <w:fldChar w:fldCharType="separate"/>
        </w:r>
        <w:r>
          <w:rPr>
            <w:noProof/>
            <w:webHidden/>
          </w:rPr>
          <w:t>58</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927"/>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928"/>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易方达大健康主题灵活配置混合型证券投资基金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易方达大健康主题混合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001898</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001898</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2017</w:t>
            </w:r>
            <w:r w:rsidRPr="008735B8">
              <w:rPr>
                <w:rFonts w:eastAsiaTheme="minorEastAsia"/>
                <w:szCs w:val="21"/>
              </w:rPr>
              <w:t>年</w:t>
            </w:r>
            <w:r w:rsidRPr="008735B8">
              <w:rPr>
                <w:rFonts w:eastAsiaTheme="minorEastAsia"/>
                <w:szCs w:val="21"/>
              </w:rPr>
              <w:t>9</w:t>
            </w:r>
            <w:r w:rsidRPr="008735B8">
              <w:rPr>
                <w:rFonts w:eastAsiaTheme="minorEastAsia"/>
                <w:szCs w:val="21"/>
              </w:rPr>
              <w:t>月</w:t>
            </w:r>
            <w:r w:rsidRPr="008735B8">
              <w:rPr>
                <w:rFonts w:eastAsiaTheme="minorEastAsia"/>
                <w:szCs w:val="21"/>
              </w:rPr>
              <w:t>27</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中国建设银行股份有限公司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480,432,235.04</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929"/>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本基金主要投资于与大健康主题相关的资产，在严格控制风险的前提下，追求超越业绩比较基准的投资回报。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本基金基于定量与定性相结合的宏观及市场分析，考虑宏观经济走势和市场估值与流动性进行资产配置。股票投资方面，本基金界定的</w:t>
            </w:r>
            <w:r w:rsidRPr="008735B8">
              <w:rPr>
                <w:rFonts w:eastAsiaTheme="minorEastAsia"/>
                <w:szCs w:val="21"/>
              </w:rPr>
              <w:t>“</w:t>
            </w:r>
            <w:r w:rsidRPr="008735B8">
              <w:rPr>
                <w:rFonts w:eastAsiaTheme="minorEastAsia"/>
                <w:szCs w:val="21"/>
              </w:rPr>
              <w:t>大健康</w:t>
            </w:r>
            <w:r w:rsidRPr="008735B8">
              <w:rPr>
                <w:rFonts w:eastAsiaTheme="minorEastAsia"/>
                <w:szCs w:val="21"/>
              </w:rPr>
              <w:t>”</w:t>
            </w:r>
            <w:r w:rsidRPr="008735B8">
              <w:rPr>
                <w:rFonts w:eastAsiaTheme="minorEastAsia"/>
                <w:szCs w:val="21"/>
              </w:rPr>
              <w:t>范畴涉及各类与大健康相关的信息、产品和服务，本基金将综合考虑行业景气度及可持续性、行业竞争格局、政策变化等因素，注重公司基本面评价及估值水平分析，对股票组合适时进行调整。在债券投资方面，本基金将主要通过类属配置与券种选择两个层次进行投资管理。</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65%×</w:t>
            </w:r>
            <w:r w:rsidRPr="008735B8">
              <w:rPr>
                <w:rFonts w:eastAsiaTheme="minorEastAsia"/>
                <w:szCs w:val="21"/>
              </w:rPr>
              <w:t>中证</w:t>
            </w:r>
            <w:r w:rsidRPr="008735B8">
              <w:rPr>
                <w:rFonts w:eastAsiaTheme="minorEastAsia"/>
                <w:szCs w:val="21"/>
              </w:rPr>
              <w:t>800</w:t>
            </w:r>
            <w:r w:rsidRPr="008735B8">
              <w:rPr>
                <w:rFonts w:eastAsiaTheme="minorEastAsia"/>
                <w:szCs w:val="21"/>
              </w:rPr>
              <w:t>指数收益率＋</w:t>
            </w:r>
            <w:r w:rsidRPr="008735B8">
              <w:rPr>
                <w:rFonts w:eastAsiaTheme="minorEastAsia"/>
                <w:szCs w:val="21"/>
              </w:rPr>
              <w:t>35%×</w:t>
            </w:r>
            <w:r w:rsidRPr="008735B8">
              <w:rPr>
                <w:rFonts w:eastAsiaTheme="minorEastAsia"/>
                <w:szCs w:val="21"/>
              </w:rPr>
              <w:t>一年期人民币定期存款利率（税后）</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本基金为混合型基金，理论上其预期风险与预期收益水平低于股票型基金，高于债券型基金和货币市场基金。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930"/>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中国建设银行股份有限公司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田青</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tianqing1.zh@ccb.com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010-66275853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25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北京市西城区闹市口大街</w:t>
            </w:r>
            <w:r w:rsidRPr="008735B8">
              <w:rPr>
                <w:rFonts w:eastAsiaTheme="minorEastAsia"/>
                <w:color w:val="000000"/>
                <w:kern w:val="0"/>
                <w:szCs w:val="21"/>
              </w:rPr>
              <w:t>1</w:t>
            </w:r>
            <w:r w:rsidRPr="008735B8">
              <w:rPr>
                <w:rFonts w:eastAsiaTheme="minorEastAsia"/>
                <w:color w:val="000000"/>
                <w:kern w:val="0"/>
                <w:szCs w:val="21"/>
              </w:rPr>
              <w:t>号院</w:t>
            </w:r>
            <w:r w:rsidRPr="008735B8">
              <w:rPr>
                <w:rFonts w:eastAsiaTheme="minorEastAsia"/>
                <w:color w:val="000000"/>
                <w:kern w:val="0"/>
                <w:szCs w:val="21"/>
              </w:rPr>
              <w:t>1</w:t>
            </w:r>
            <w:r w:rsidRPr="008735B8">
              <w:rPr>
                <w:rFonts w:eastAsiaTheme="minorEastAsia"/>
                <w:color w:val="000000"/>
                <w:kern w:val="0"/>
                <w:szCs w:val="21"/>
              </w:rPr>
              <w:t>号楼</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100033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田国立</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931"/>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932"/>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933"/>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934"/>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2017年9月27日（基金合同生效日）至2017年12月31日</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36,121,972.94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38,535,747.25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674,181.26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315,096,100.84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-97,234,139.58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59,166,192.42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0.5881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-0.1225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0.0367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50.66%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-12.12%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3.62%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66.11%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3.70%</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56,665,335.08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-105,472,217.74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547,651.87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0.1179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-0.1593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0.0004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671,182,731.32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556,741,636.74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1,501,973,396.32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0.841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1.037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39.70%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3.70%</w:t>
            </w:r>
          </w:p>
        </w:tc>
      </w:tr>
    </w:tbl>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本基金合同于</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9</w:t>
      </w:r>
      <w:r w:rsidRPr="00AD22E5">
        <w:rPr>
          <w:rFonts w:eastAsiaTheme="minorEastAsia"/>
          <w:kern w:val="0"/>
          <w:szCs w:val="21"/>
        </w:rPr>
        <w:t>月</w:t>
      </w:r>
      <w:r w:rsidRPr="00AD22E5">
        <w:rPr>
          <w:rFonts w:eastAsiaTheme="minorEastAsia"/>
          <w:kern w:val="0"/>
          <w:szCs w:val="21"/>
        </w:rPr>
        <w:t>27</w:t>
      </w:r>
      <w:r w:rsidRPr="00AD22E5">
        <w:rPr>
          <w:rFonts w:eastAsiaTheme="minorEastAsia"/>
          <w:kern w:val="0"/>
          <w:szCs w:val="21"/>
        </w:rPr>
        <w:t>日生效，合同生效当期的相关数据和指标按实际存续期计算。</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935"/>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256A81">
        <w:tc>
          <w:tcPr>
            <w:tcW w:w="1620" w:type="dxa"/>
            <w:vAlign w:val="center"/>
          </w:tcPr>
          <w:p w:rsidR="00256A81" w:rsidRDefault="00553E61">
            <w:pPr>
              <w:jc w:val="left"/>
            </w:pPr>
            <w:r>
              <w:rPr>
                <w:rFonts w:eastAsiaTheme="minorEastAsia"/>
                <w:color w:val="000000"/>
                <w:szCs w:val="21"/>
              </w:rPr>
              <w:t>过去三个月</w:t>
            </w:r>
          </w:p>
        </w:tc>
        <w:tc>
          <w:tcPr>
            <w:tcW w:w="1350" w:type="dxa"/>
            <w:vAlign w:val="center"/>
          </w:tcPr>
          <w:p w:rsidR="00256A81" w:rsidRDefault="00553E61">
            <w:pPr>
              <w:jc w:val="center"/>
            </w:pPr>
            <w:r>
              <w:rPr>
                <w:rFonts w:eastAsiaTheme="minorEastAsia"/>
                <w:color w:val="000000"/>
                <w:szCs w:val="21"/>
              </w:rPr>
              <w:t>6.48%</w:t>
            </w:r>
          </w:p>
        </w:tc>
        <w:tc>
          <w:tcPr>
            <w:tcW w:w="1350" w:type="dxa"/>
            <w:vAlign w:val="center"/>
          </w:tcPr>
          <w:p w:rsidR="00256A81" w:rsidRDefault="00553E61">
            <w:pPr>
              <w:jc w:val="center"/>
            </w:pPr>
            <w:r>
              <w:rPr>
                <w:rFonts w:eastAsiaTheme="minorEastAsia"/>
                <w:color w:val="000000"/>
                <w:szCs w:val="21"/>
              </w:rPr>
              <w:t>0.97%</w:t>
            </w:r>
          </w:p>
        </w:tc>
        <w:tc>
          <w:tcPr>
            <w:tcW w:w="1350" w:type="dxa"/>
            <w:vAlign w:val="center"/>
          </w:tcPr>
          <w:p w:rsidR="00256A81" w:rsidRDefault="00553E61">
            <w:pPr>
              <w:jc w:val="center"/>
            </w:pPr>
            <w:r>
              <w:rPr>
                <w:rFonts w:eastAsiaTheme="minorEastAsia"/>
                <w:color w:val="000000"/>
                <w:szCs w:val="21"/>
              </w:rPr>
              <w:t>4.81%</w:t>
            </w:r>
          </w:p>
        </w:tc>
        <w:tc>
          <w:tcPr>
            <w:tcW w:w="1350" w:type="dxa"/>
            <w:vAlign w:val="center"/>
          </w:tcPr>
          <w:p w:rsidR="00256A81" w:rsidRDefault="00553E61">
            <w:pPr>
              <w:jc w:val="center"/>
            </w:pPr>
            <w:r>
              <w:rPr>
                <w:rFonts w:eastAsiaTheme="minorEastAsia"/>
                <w:color w:val="000000"/>
                <w:szCs w:val="21"/>
              </w:rPr>
              <w:t>0.49%</w:t>
            </w:r>
          </w:p>
        </w:tc>
        <w:tc>
          <w:tcPr>
            <w:tcW w:w="1350" w:type="dxa"/>
            <w:vAlign w:val="center"/>
          </w:tcPr>
          <w:p w:rsidR="00256A81" w:rsidRDefault="00553E61">
            <w:pPr>
              <w:jc w:val="center"/>
            </w:pPr>
            <w:r>
              <w:rPr>
                <w:rFonts w:eastAsiaTheme="minorEastAsia"/>
                <w:color w:val="000000"/>
                <w:szCs w:val="21"/>
              </w:rPr>
              <w:t>1.67%</w:t>
            </w:r>
          </w:p>
        </w:tc>
        <w:tc>
          <w:tcPr>
            <w:tcW w:w="1350" w:type="dxa"/>
            <w:vAlign w:val="center"/>
          </w:tcPr>
          <w:p w:rsidR="00256A81" w:rsidRDefault="00553E61">
            <w:pPr>
              <w:jc w:val="center"/>
            </w:pPr>
            <w:r>
              <w:rPr>
                <w:rFonts w:eastAsiaTheme="minorEastAsia"/>
                <w:color w:val="000000"/>
                <w:szCs w:val="21"/>
              </w:rPr>
              <w:t>0.48%</w:t>
            </w:r>
          </w:p>
        </w:tc>
      </w:tr>
      <w:tr w:rsidR="00256A81">
        <w:tc>
          <w:tcPr>
            <w:tcW w:w="1620" w:type="dxa"/>
            <w:vAlign w:val="center"/>
          </w:tcPr>
          <w:p w:rsidR="00256A81" w:rsidRDefault="00553E61">
            <w:pPr>
              <w:jc w:val="left"/>
            </w:pPr>
            <w:r>
              <w:rPr>
                <w:rFonts w:eastAsiaTheme="minorEastAsia"/>
                <w:color w:val="000000"/>
                <w:szCs w:val="21"/>
              </w:rPr>
              <w:t>过去六个月</w:t>
            </w:r>
          </w:p>
        </w:tc>
        <w:tc>
          <w:tcPr>
            <w:tcW w:w="1350" w:type="dxa"/>
            <w:vAlign w:val="center"/>
          </w:tcPr>
          <w:p w:rsidR="00256A81" w:rsidRDefault="00553E61">
            <w:pPr>
              <w:jc w:val="center"/>
            </w:pPr>
            <w:r>
              <w:rPr>
                <w:rFonts w:eastAsiaTheme="minorEastAsia"/>
                <w:color w:val="000000"/>
                <w:szCs w:val="21"/>
              </w:rPr>
              <w:t>16.90%</w:t>
            </w:r>
          </w:p>
        </w:tc>
        <w:tc>
          <w:tcPr>
            <w:tcW w:w="1350" w:type="dxa"/>
            <w:vAlign w:val="center"/>
          </w:tcPr>
          <w:p w:rsidR="00256A81" w:rsidRDefault="00553E61">
            <w:pPr>
              <w:jc w:val="center"/>
            </w:pPr>
            <w:r>
              <w:rPr>
                <w:rFonts w:eastAsiaTheme="minorEastAsia"/>
                <w:color w:val="000000"/>
                <w:szCs w:val="21"/>
              </w:rPr>
              <w:t>1.00%</w:t>
            </w:r>
          </w:p>
        </w:tc>
        <w:tc>
          <w:tcPr>
            <w:tcW w:w="1350" w:type="dxa"/>
            <w:vAlign w:val="center"/>
          </w:tcPr>
          <w:p w:rsidR="00256A81" w:rsidRDefault="00553E61">
            <w:pPr>
              <w:jc w:val="center"/>
            </w:pPr>
            <w:r>
              <w:rPr>
                <w:rFonts w:eastAsiaTheme="minorEastAsia"/>
                <w:color w:val="000000"/>
                <w:szCs w:val="21"/>
              </w:rPr>
              <w:t>4.85%</w:t>
            </w:r>
          </w:p>
        </w:tc>
        <w:tc>
          <w:tcPr>
            <w:tcW w:w="1350" w:type="dxa"/>
            <w:vAlign w:val="center"/>
          </w:tcPr>
          <w:p w:rsidR="00256A81" w:rsidRDefault="00553E61">
            <w:pPr>
              <w:jc w:val="center"/>
            </w:pPr>
            <w:r>
              <w:rPr>
                <w:rFonts w:eastAsiaTheme="minorEastAsia"/>
                <w:color w:val="000000"/>
                <w:szCs w:val="21"/>
              </w:rPr>
              <w:t>0.57%</w:t>
            </w:r>
          </w:p>
        </w:tc>
        <w:tc>
          <w:tcPr>
            <w:tcW w:w="1350" w:type="dxa"/>
            <w:vAlign w:val="center"/>
          </w:tcPr>
          <w:p w:rsidR="00256A81" w:rsidRDefault="00553E61">
            <w:pPr>
              <w:jc w:val="center"/>
            </w:pPr>
            <w:r>
              <w:rPr>
                <w:rFonts w:eastAsiaTheme="minorEastAsia"/>
                <w:color w:val="000000"/>
                <w:szCs w:val="21"/>
              </w:rPr>
              <w:t>12.05%</w:t>
            </w:r>
          </w:p>
        </w:tc>
        <w:tc>
          <w:tcPr>
            <w:tcW w:w="1350" w:type="dxa"/>
            <w:vAlign w:val="center"/>
          </w:tcPr>
          <w:p w:rsidR="00256A81" w:rsidRDefault="00553E61">
            <w:pPr>
              <w:jc w:val="center"/>
            </w:pPr>
            <w:r>
              <w:rPr>
                <w:rFonts w:eastAsiaTheme="minorEastAsia"/>
                <w:color w:val="000000"/>
                <w:szCs w:val="21"/>
              </w:rPr>
              <w:t>0.43%</w:t>
            </w:r>
          </w:p>
        </w:tc>
      </w:tr>
      <w:tr w:rsidR="00256A81">
        <w:tc>
          <w:tcPr>
            <w:tcW w:w="1620" w:type="dxa"/>
            <w:vAlign w:val="center"/>
          </w:tcPr>
          <w:p w:rsidR="00256A81" w:rsidRDefault="00553E61">
            <w:pPr>
              <w:jc w:val="left"/>
            </w:pPr>
            <w:r>
              <w:rPr>
                <w:rFonts w:eastAsiaTheme="minorEastAsia"/>
                <w:color w:val="000000"/>
                <w:szCs w:val="21"/>
              </w:rPr>
              <w:t>过去一年</w:t>
            </w:r>
          </w:p>
        </w:tc>
        <w:tc>
          <w:tcPr>
            <w:tcW w:w="1350" w:type="dxa"/>
            <w:vAlign w:val="center"/>
          </w:tcPr>
          <w:p w:rsidR="00256A81" w:rsidRDefault="00553E61">
            <w:pPr>
              <w:jc w:val="center"/>
            </w:pPr>
            <w:r>
              <w:rPr>
                <w:rFonts w:eastAsiaTheme="minorEastAsia"/>
                <w:color w:val="000000"/>
                <w:szCs w:val="21"/>
              </w:rPr>
              <w:t>66.11%</w:t>
            </w:r>
          </w:p>
        </w:tc>
        <w:tc>
          <w:tcPr>
            <w:tcW w:w="1350" w:type="dxa"/>
            <w:vAlign w:val="center"/>
          </w:tcPr>
          <w:p w:rsidR="00256A81" w:rsidRDefault="00553E61">
            <w:pPr>
              <w:jc w:val="center"/>
            </w:pPr>
            <w:r>
              <w:rPr>
                <w:rFonts w:eastAsiaTheme="minorEastAsia"/>
                <w:color w:val="000000"/>
                <w:szCs w:val="21"/>
              </w:rPr>
              <w:t>1.27%</w:t>
            </w:r>
          </w:p>
        </w:tc>
        <w:tc>
          <w:tcPr>
            <w:tcW w:w="1350" w:type="dxa"/>
            <w:vAlign w:val="center"/>
          </w:tcPr>
          <w:p w:rsidR="00256A81" w:rsidRDefault="00553E61">
            <w:pPr>
              <w:jc w:val="center"/>
            </w:pPr>
            <w:r>
              <w:rPr>
                <w:rFonts w:eastAsiaTheme="minorEastAsia"/>
                <w:color w:val="000000"/>
                <w:szCs w:val="21"/>
              </w:rPr>
              <w:t>21.97%</w:t>
            </w:r>
          </w:p>
        </w:tc>
        <w:tc>
          <w:tcPr>
            <w:tcW w:w="1350" w:type="dxa"/>
            <w:vAlign w:val="center"/>
          </w:tcPr>
          <w:p w:rsidR="00256A81" w:rsidRDefault="00553E61">
            <w:pPr>
              <w:jc w:val="center"/>
            </w:pPr>
            <w:r>
              <w:rPr>
                <w:rFonts w:eastAsiaTheme="minorEastAsia"/>
                <w:color w:val="000000"/>
                <w:szCs w:val="21"/>
              </w:rPr>
              <w:t>0.82%</w:t>
            </w:r>
          </w:p>
        </w:tc>
        <w:tc>
          <w:tcPr>
            <w:tcW w:w="1350" w:type="dxa"/>
            <w:vAlign w:val="center"/>
          </w:tcPr>
          <w:p w:rsidR="00256A81" w:rsidRDefault="00553E61">
            <w:pPr>
              <w:jc w:val="center"/>
            </w:pPr>
            <w:r>
              <w:rPr>
                <w:rFonts w:eastAsiaTheme="minorEastAsia"/>
                <w:color w:val="000000"/>
                <w:szCs w:val="21"/>
              </w:rPr>
              <w:t>44.14%</w:t>
            </w:r>
          </w:p>
        </w:tc>
        <w:tc>
          <w:tcPr>
            <w:tcW w:w="1350" w:type="dxa"/>
            <w:vAlign w:val="center"/>
          </w:tcPr>
          <w:p w:rsidR="00256A81" w:rsidRDefault="00553E61">
            <w:pPr>
              <w:jc w:val="center"/>
            </w:pPr>
            <w:r>
              <w:rPr>
                <w:rFonts w:eastAsiaTheme="minorEastAsia"/>
                <w:color w:val="000000"/>
                <w:szCs w:val="21"/>
              </w:rPr>
              <w:t>0.45%</w:t>
            </w:r>
          </w:p>
        </w:tc>
      </w:tr>
      <w:tr w:rsidR="00256A81">
        <w:tc>
          <w:tcPr>
            <w:tcW w:w="1620" w:type="dxa"/>
            <w:vAlign w:val="center"/>
          </w:tcPr>
          <w:p w:rsidR="00256A81" w:rsidRDefault="00553E61">
            <w:pPr>
              <w:jc w:val="left"/>
            </w:pPr>
            <w:r>
              <w:rPr>
                <w:rFonts w:eastAsiaTheme="minorEastAsia"/>
                <w:color w:val="000000"/>
                <w:szCs w:val="21"/>
              </w:rPr>
              <w:t>过去三年</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r>
      <w:tr w:rsidR="00256A81">
        <w:tc>
          <w:tcPr>
            <w:tcW w:w="1620" w:type="dxa"/>
            <w:vAlign w:val="center"/>
          </w:tcPr>
          <w:p w:rsidR="00256A81" w:rsidRDefault="00553E61">
            <w:pPr>
              <w:jc w:val="left"/>
            </w:pPr>
            <w:r>
              <w:rPr>
                <w:rFonts w:eastAsiaTheme="minorEastAsia"/>
                <w:color w:val="000000"/>
                <w:szCs w:val="21"/>
              </w:rPr>
              <w:t>过去五年</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c>
          <w:tcPr>
            <w:tcW w:w="1350" w:type="dxa"/>
            <w:vAlign w:val="center"/>
          </w:tcPr>
          <w:p w:rsidR="00256A81" w:rsidRDefault="00553E61">
            <w:pPr>
              <w:jc w:val="center"/>
            </w:pPr>
            <w:r>
              <w:rPr>
                <w:rFonts w:eastAsiaTheme="minorEastAsia"/>
                <w:color w:val="000000"/>
                <w:szCs w:val="21"/>
              </w:rPr>
              <w:t>-</w:t>
            </w:r>
          </w:p>
        </w:tc>
      </w:tr>
      <w:tr w:rsidR="00256A81">
        <w:tc>
          <w:tcPr>
            <w:tcW w:w="1620" w:type="dxa"/>
            <w:vAlign w:val="center"/>
          </w:tcPr>
          <w:p w:rsidR="00256A81" w:rsidRDefault="00553E61">
            <w:pPr>
              <w:jc w:val="left"/>
            </w:pPr>
            <w:r>
              <w:rPr>
                <w:rFonts w:eastAsiaTheme="minorEastAsia"/>
                <w:color w:val="000000"/>
                <w:szCs w:val="21"/>
              </w:rPr>
              <w:t>自基金合同生效起至今</w:t>
            </w:r>
          </w:p>
        </w:tc>
        <w:tc>
          <w:tcPr>
            <w:tcW w:w="1350" w:type="dxa"/>
            <w:vAlign w:val="center"/>
          </w:tcPr>
          <w:p w:rsidR="00256A81" w:rsidRDefault="00553E61">
            <w:pPr>
              <w:jc w:val="center"/>
            </w:pPr>
            <w:r>
              <w:rPr>
                <w:rFonts w:eastAsiaTheme="minorEastAsia"/>
                <w:color w:val="000000"/>
                <w:szCs w:val="21"/>
              </w:rPr>
              <w:t>39.70%</w:t>
            </w:r>
          </w:p>
        </w:tc>
        <w:tc>
          <w:tcPr>
            <w:tcW w:w="1350" w:type="dxa"/>
            <w:vAlign w:val="center"/>
          </w:tcPr>
          <w:p w:rsidR="00256A81" w:rsidRDefault="00553E61">
            <w:pPr>
              <w:jc w:val="center"/>
            </w:pPr>
            <w:r>
              <w:rPr>
                <w:rFonts w:eastAsiaTheme="minorEastAsia"/>
                <w:color w:val="000000"/>
                <w:szCs w:val="21"/>
              </w:rPr>
              <w:t>1.37%</w:t>
            </w:r>
          </w:p>
        </w:tc>
        <w:tc>
          <w:tcPr>
            <w:tcW w:w="1350" w:type="dxa"/>
            <w:vAlign w:val="center"/>
          </w:tcPr>
          <w:p w:rsidR="00256A81" w:rsidRDefault="00553E61">
            <w:pPr>
              <w:jc w:val="center"/>
            </w:pPr>
            <w:r>
              <w:rPr>
                <w:rFonts w:eastAsiaTheme="minorEastAsia"/>
                <w:color w:val="000000"/>
                <w:szCs w:val="21"/>
              </w:rPr>
              <w:t>2.09%</w:t>
            </w:r>
          </w:p>
        </w:tc>
        <w:tc>
          <w:tcPr>
            <w:tcW w:w="1350" w:type="dxa"/>
            <w:vAlign w:val="center"/>
          </w:tcPr>
          <w:p w:rsidR="00256A81" w:rsidRDefault="00553E61">
            <w:pPr>
              <w:jc w:val="center"/>
            </w:pPr>
            <w:r>
              <w:rPr>
                <w:rFonts w:eastAsiaTheme="minorEastAsia"/>
                <w:color w:val="000000"/>
                <w:szCs w:val="21"/>
              </w:rPr>
              <w:t>0.82%</w:t>
            </w:r>
          </w:p>
        </w:tc>
        <w:tc>
          <w:tcPr>
            <w:tcW w:w="1350" w:type="dxa"/>
            <w:vAlign w:val="center"/>
          </w:tcPr>
          <w:p w:rsidR="00256A81" w:rsidRDefault="00553E61">
            <w:pPr>
              <w:jc w:val="center"/>
            </w:pPr>
            <w:r>
              <w:rPr>
                <w:rFonts w:eastAsiaTheme="minorEastAsia"/>
                <w:color w:val="000000"/>
                <w:szCs w:val="21"/>
              </w:rPr>
              <w:t>37.61%</w:t>
            </w:r>
          </w:p>
        </w:tc>
        <w:tc>
          <w:tcPr>
            <w:tcW w:w="1350" w:type="dxa"/>
            <w:vAlign w:val="center"/>
          </w:tcPr>
          <w:p w:rsidR="00256A81" w:rsidRDefault="00553E61">
            <w:pPr>
              <w:jc w:val="center"/>
            </w:pPr>
            <w:r>
              <w:rPr>
                <w:rFonts w:eastAsiaTheme="minorEastAsia"/>
                <w:color w:val="000000"/>
                <w:szCs w:val="21"/>
              </w:rPr>
              <w:t>0.55%</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易方达大健康主题灵活配置混合型证券投资基金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2017年9月27日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39.70%</w:t>
      </w:r>
      <w:r w:rsidRPr="00AD22E5">
        <w:rPr>
          <w:rFonts w:eastAsiaTheme="minorEastAsia"/>
          <w:kern w:val="0"/>
          <w:szCs w:val="21"/>
        </w:rPr>
        <w:t>，同期业绩比较基准收益率为</w:t>
      </w:r>
      <w:r w:rsidRPr="00AD22E5">
        <w:rPr>
          <w:rFonts w:eastAsiaTheme="minorEastAsia"/>
          <w:kern w:val="0"/>
          <w:szCs w:val="21"/>
        </w:rPr>
        <w:t>2.09%</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易方达大健康主题灵活配置混合型证券投资基金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9</w:t>
      </w:r>
      <w:r w:rsidRPr="00AD22E5">
        <w:rPr>
          <w:rFonts w:eastAsiaTheme="minorEastAsia"/>
          <w:kern w:val="0"/>
          <w:szCs w:val="21"/>
        </w:rPr>
        <w:t>月</w:t>
      </w:r>
      <w:r w:rsidRPr="00AD22E5">
        <w:rPr>
          <w:rFonts w:eastAsiaTheme="minorEastAsia"/>
          <w:kern w:val="0"/>
          <w:szCs w:val="21"/>
        </w:rPr>
        <w:t>27</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936"/>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本基金自基金合同生效日（</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9</w:t>
      </w:r>
      <w:r w:rsidRPr="00AD22E5">
        <w:rPr>
          <w:rFonts w:eastAsiaTheme="minorEastAsia"/>
          <w:kern w:val="0"/>
          <w:szCs w:val="21"/>
        </w:rPr>
        <w:t>月</w:t>
      </w:r>
      <w:r w:rsidRPr="00AD22E5">
        <w:rPr>
          <w:rFonts w:eastAsiaTheme="minorEastAsia"/>
          <w:kern w:val="0"/>
          <w:szCs w:val="21"/>
        </w:rPr>
        <w:t>27</w:t>
      </w:r>
      <w:r w:rsidRPr="00AD22E5">
        <w:rPr>
          <w:rFonts w:eastAsiaTheme="minorEastAsia"/>
          <w:kern w:val="0"/>
          <w:szCs w:val="21"/>
        </w:rPr>
        <w:t>日）至本报告期末未发生利润分配。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937"/>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938"/>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256A81">
        <w:tc>
          <w:tcPr>
            <w:tcW w:w="464" w:type="dxa"/>
            <w:vAlign w:val="center"/>
          </w:tcPr>
          <w:p w:rsidR="00256A81" w:rsidRDefault="00553E61">
            <w:pPr>
              <w:jc w:val="center"/>
            </w:pPr>
            <w:r>
              <w:rPr>
                <w:rFonts w:eastAsiaTheme="minorEastAsia"/>
                <w:color w:val="000000"/>
                <w:szCs w:val="21"/>
              </w:rPr>
              <w:t>杨桢霄</w:t>
            </w:r>
          </w:p>
        </w:tc>
        <w:tc>
          <w:tcPr>
            <w:tcW w:w="3402" w:type="dxa"/>
            <w:vAlign w:val="center"/>
          </w:tcPr>
          <w:p w:rsidR="00256A81" w:rsidRDefault="00553E61">
            <w:pPr>
              <w:jc w:val="left"/>
            </w:pPr>
            <w:r>
              <w:rPr>
                <w:rFonts w:eastAsiaTheme="minorEastAsia"/>
                <w:color w:val="000000"/>
                <w:szCs w:val="21"/>
              </w:rPr>
              <w:t>本基金的基金经理、易方达医疗保健行业混合型证券投资基金的基金经理</w:t>
            </w:r>
          </w:p>
        </w:tc>
        <w:tc>
          <w:tcPr>
            <w:tcW w:w="709" w:type="dxa"/>
            <w:vAlign w:val="center"/>
          </w:tcPr>
          <w:p w:rsidR="00256A81" w:rsidRDefault="00553E61">
            <w:pPr>
              <w:jc w:val="center"/>
            </w:pPr>
            <w:r>
              <w:rPr>
                <w:rFonts w:eastAsiaTheme="minorEastAsia"/>
                <w:color w:val="000000"/>
                <w:szCs w:val="21"/>
              </w:rPr>
              <w:t>2017-09-27</w:t>
            </w:r>
          </w:p>
        </w:tc>
        <w:tc>
          <w:tcPr>
            <w:tcW w:w="708" w:type="dxa"/>
            <w:vAlign w:val="center"/>
          </w:tcPr>
          <w:p w:rsidR="00256A81" w:rsidRDefault="00553E61">
            <w:pPr>
              <w:jc w:val="center"/>
            </w:pPr>
            <w:r>
              <w:rPr>
                <w:rFonts w:eastAsiaTheme="minorEastAsia"/>
                <w:color w:val="000000"/>
                <w:szCs w:val="21"/>
              </w:rPr>
              <w:t>-</w:t>
            </w:r>
          </w:p>
        </w:tc>
        <w:tc>
          <w:tcPr>
            <w:tcW w:w="709" w:type="dxa"/>
            <w:vAlign w:val="center"/>
          </w:tcPr>
          <w:p w:rsidR="00256A81" w:rsidRDefault="00553E61">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256A81" w:rsidRDefault="00553E61">
            <w:r>
              <w:rPr>
                <w:rFonts w:eastAsiaTheme="minorEastAsia"/>
                <w:color w:val="000000"/>
                <w:szCs w:val="21"/>
              </w:rPr>
              <w:t>博士研究生，具有基金从业资格。曾任易方达基金管理有限公司行业研究员、投资经理、易方达新兴成长灵活配置混合型证券投资基金基金经理助理、易方达科讯混合型证券投资基金基金经理助理。</w:t>
            </w:r>
          </w:p>
        </w:tc>
      </w:tr>
      <w:tr w:rsidR="00256A81">
        <w:tc>
          <w:tcPr>
            <w:tcW w:w="464" w:type="dxa"/>
            <w:vAlign w:val="center"/>
          </w:tcPr>
          <w:p w:rsidR="00256A81" w:rsidRDefault="00553E61">
            <w:pPr>
              <w:jc w:val="center"/>
            </w:pPr>
            <w:r>
              <w:rPr>
                <w:rFonts w:eastAsiaTheme="minorEastAsia"/>
                <w:color w:val="000000"/>
                <w:szCs w:val="21"/>
              </w:rPr>
              <w:t>萧楠</w:t>
            </w:r>
          </w:p>
        </w:tc>
        <w:tc>
          <w:tcPr>
            <w:tcW w:w="3402" w:type="dxa"/>
            <w:vAlign w:val="center"/>
          </w:tcPr>
          <w:p w:rsidR="00256A81" w:rsidRDefault="00553E61">
            <w:pPr>
              <w:jc w:val="left"/>
            </w:pPr>
            <w:r>
              <w:rPr>
                <w:rFonts w:eastAsiaTheme="minorEastAsia"/>
                <w:color w:val="000000"/>
                <w:szCs w:val="21"/>
              </w:rPr>
              <w:t>本基金的基金经理、易方达消费行业股票型证券投资基金的基金经理、易方达现代服务业灵活配置混合型证券投资基金的基金经理、易方达瑞恒灵活配置混合型证券投资基金的基金经理、易方达瑞和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22</w:t>
            </w:r>
            <w:r>
              <w:rPr>
                <w:rFonts w:eastAsiaTheme="minorEastAsia"/>
                <w:color w:val="000000"/>
                <w:szCs w:val="21"/>
              </w:rPr>
              <w:t>日）、易方达科顺定期开放灵活配置混合型证券投资基金的基金经理、投资三部总经理、研究部副总经理</w:t>
            </w:r>
          </w:p>
        </w:tc>
        <w:tc>
          <w:tcPr>
            <w:tcW w:w="709" w:type="dxa"/>
            <w:vAlign w:val="center"/>
          </w:tcPr>
          <w:p w:rsidR="00256A81" w:rsidRDefault="00553E61">
            <w:pPr>
              <w:jc w:val="center"/>
            </w:pPr>
            <w:r>
              <w:rPr>
                <w:rFonts w:eastAsiaTheme="minorEastAsia"/>
                <w:color w:val="000000"/>
                <w:szCs w:val="21"/>
              </w:rPr>
              <w:t>2017-09-27</w:t>
            </w:r>
          </w:p>
        </w:tc>
        <w:tc>
          <w:tcPr>
            <w:tcW w:w="708" w:type="dxa"/>
            <w:vAlign w:val="center"/>
          </w:tcPr>
          <w:p w:rsidR="00256A81" w:rsidRDefault="00553E61">
            <w:pPr>
              <w:jc w:val="center"/>
            </w:pPr>
            <w:r>
              <w:rPr>
                <w:rFonts w:eastAsiaTheme="minorEastAsia"/>
                <w:color w:val="000000"/>
                <w:szCs w:val="21"/>
              </w:rPr>
              <w:t>-</w:t>
            </w:r>
          </w:p>
        </w:tc>
        <w:tc>
          <w:tcPr>
            <w:tcW w:w="709" w:type="dxa"/>
            <w:vAlign w:val="center"/>
          </w:tcPr>
          <w:p w:rsidR="00256A81" w:rsidRDefault="00553E61">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256A81" w:rsidRDefault="00553E61">
            <w:r>
              <w:rPr>
                <w:rFonts w:eastAsiaTheme="minorEastAsia"/>
                <w:color w:val="000000"/>
                <w:szCs w:val="21"/>
              </w:rPr>
              <w:t>硕士研究生，具有基金从业资格。曾任易方达基金管理有限公司行业研究员、基金经理助理、投资经理、易方达裕如灵活配置混合型证券投资基</w:t>
            </w:r>
            <w:r>
              <w:rPr>
                <w:rFonts w:eastAsiaTheme="minorEastAsia"/>
                <w:color w:val="000000"/>
                <w:szCs w:val="21"/>
              </w:rPr>
              <w:t>金基金经理、易方达新享灵活配置混合型证券投资基金基金经理、易方达价值成长混合型证券投资基金基金经理助理。</w:t>
            </w:r>
          </w:p>
        </w:tc>
      </w:tr>
    </w:tbl>
    <w:p w:rsidR="00256A81" w:rsidRDefault="00553E61">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939"/>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940"/>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w:t>
      </w:r>
      <w:r>
        <w:rPr>
          <w:rFonts w:eastAsiaTheme="minorEastAsia"/>
          <w:kern w:val="0"/>
          <w:szCs w:val="21"/>
        </w:rPr>
        <w:t>围、公平交易的原则和内容、公平交易的实现措施和交易执行程序、反向交易控制、公平交易效果评估及报告等。</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w:t>
      </w:r>
      <w:r>
        <w:rPr>
          <w:rFonts w:eastAsiaTheme="minorEastAsia"/>
          <w:kern w:val="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w:t>
      </w:r>
      <w:r>
        <w:rPr>
          <w:rFonts w:eastAsiaTheme="minorEastAsia"/>
          <w:kern w:val="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941"/>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股市场表现较好，年初以来，市场风险偏好不断提升，估值水平不断增高。全年上证综指上涨</w:t>
      </w:r>
      <w:r>
        <w:rPr>
          <w:rFonts w:eastAsiaTheme="minorEastAsia"/>
          <w:kern w:val="0"/>
          <w:szCs w:val="21"/>
        </w:rPr>
        <w:t>22.30%</w:t>
      </w:r>
      <w:r>
        <w:rPr>
          <w:rFonts w:eastAsiaTheme="minorEastAsia"/>
          <w:kern w:val="0"/>
          <w:szCs w:val="21"/>
        </w:rPr>
        <w:t>，上证</w:t>
      </w:r>
      <w:r>
        <w:rPr>
          <w:rFonts w:eastAsiaTheme="minorEastAsia"/>
          <w:kern w:val="0"/>
          <w:szCs w:val="21"/>
        </w:rPr>
        <w:t>50</w:t>
      </w:r>
      <w:r>
        <w:rPr>
          <w:rFonts w:eastAsiaTheme="minorEastAsia"/>
          <w:kern w:val="0"/>
          <w:szCs w:val="21"/>
        </w:rPr>
        <w:t>上涨</w:t>
      </w:r>
      <w:r>
        <w:rPr>
          <w:rFonts w:eastAsiaTheme="minorEastAsia"/>
          <w:kern w:val="0"/>
          <w:szCs w:val="21"/>
        </w:rPr>
        <w:t>33.58%</w:t>
      </w:r>
      <w:r>
        <w:rPr>
          <w:rFonts w:eastAsiaTheme="minorEastAsia"/>
          <w:kern w:val="0"/>
          <w:szCs w:val="21"/>
        </w:rPr>
        <w:t>，创业板指上涨</w:t>
      </w:r>
      <w:r>
        <w:rPr>
          <w:rFonts w:eastAsiaTheme="minorEastAsia"/>
          <w:kern w:val="0"/>
          <w:szCs w:val="21"/>
        </w:rPr>
        <w:t>43.79%</w:t>
      </w:r>
      <w:r>
        <w:rPr>
          <w:rFonts w:eastAsiaTheme="minorEastAsia"/>
          <w:kern w:val="0"/>
          <w:szCs w:val="21"/>
        </w:rPr>
        <w:t>，中证内地消费指数涨</w:t>
      </w:r>
      <w:r>
        <w:rPr>
          <w:rFonts w:eastAsiaTheme="minorEastAsia"/>
          <w:kern w:val="0"/>
          <w:szCs w:val="21"/>
        </w:rPr>
        <w:t>55.75%</w:t>
      </w:r>
      <w:r>
        <w:rPr>
          <w:rFonts w:eastAsiaTheme="minorEastAsia"/>
          <w:kern w:val="0"/>
          <w:szCs w:val="21"/>
        </w:rPr>
        <w:t>，申万医药生物指数涨</w:t>
      </w:r>
      <w:r>
        <w:rPr>
          <w:rFonts w:eastAsiaTheme="minorEastAsia"/>
          <w:kern w:val="0"/>
          <w:szCs w:val="21"/>
        </w:rPr>
        <w:t>36.85%</w:t>
      </w:r>
      <w:r>
        <w:rPr>
          <w:rFonts w:eastAsiaTheme="minorEastAsia"/>
          <w:kern w:val="0"/>
          <w:szCs w:val="21"/>
        </w:rPr>
        <w:t>。</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今年在消费板块加强了对食品饮料的配置力度，依照产品周期调整了结构，新买入了一些经营层面出现阶段性困难、价值被严重低估但长期逻辑未改变的公司，降低了一些受制于低利率环境的品种和一些高估值品种，以减少组合的波动。医药板块方面，</w:t>
      </w:r>
      <w:r w:rsidRPr="00AD22E5">
        <w:rPr>
          <w:rFonts w:eastAsiaTheme="minorEastAsia"/>
          <w:kern w:val="0"/>
          <w:szCs w:val="21"/>
        </w:rPr>
        <w:t>2019</w:t>
      </w:r>
      <w:r w:rsidRPr="00AD22E5">
        <w:rPr>
          <w:rFonts w:eastAsiaTheme="minorEastAsia"/>
          <w:kern w:val="0"/>
          <w:szCs w:val="21"/>
        </w:rPr>
        <w:t>年全年行业表现较好，板块开始逐渐摆脱政策的扰动，在新常态下运行，组合坚持自下而上选择行业内赛道好、具有核心竞争力、商业模式清晰、治理结构优秀的个股进行投资。</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1.397</w:t>
      </w:r>
      <w:r w:rsidRPr="00AD22E5">
        <w:rPr>
          <w:rFonts w:eastAsiaTheme="minorEastAsia"/>
          <w:kern w:val="0"/>
          <w:szCs w:val="21"/>
        </w:rPr>
        <w:t>元，本报告期份额净值增长率为</w:t>
      </w:r>
      <w:r w:rsidRPr="00AD22E5">
        <w:rPr>
          <w:rFonts w:eastAsiaTheme="minorEastAsia"/>
          <w:kern w:val="0"/>
          <w:szCs w:val="21"/>
        </w:rPr>
        <w:t>66.11%</w:t>
      </w:r>
      <w:r w:rsidRPr="00AD22E5">
        <w:rPr>
          <w:rFonts w:eastAsiaTheme="minorEastAsia"/>
          <w:kern w:val="0"/>
          <w:szCs w:val="21"/>
        </w:rPr>
        <w:t>，同期业绩比较基准收益率为</w:t>
      </w:r>
      <w:r w:rsidRPr="00AD22E5">
        <w:rPr>
          <w:rFonts w:eastAsiaTheme="minorEastAsia"/>
          <w:kern w:val="0"/>
          <w:szCs w:val="21"/>
        </w:rPr>
        <w:t>21.97%</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942"/>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我们认为</w:t>
      </w:r>
      <w:r w:rsidRPr="00AD22E5">
        <w:rPr>
          <w:rFonts w:eastAsiaTheme="minorEastAsia"/>
          <w:kern w:val="0"/>
          <w:szCs w:val="21"/>
        </w:rPr>
        <w:t>2020</w:t>
      </w:r>
      <w:r w:rsidRPr="00AD22E5">
        <w:rPr>
          <w:rFonts w:eastAsiaTheme="minorEastAsia"/>
          <w:kern w:val="0"/>
          <w:szCs w:val="21"/>
        </w:rPr>
        <w:t>年的宏观环境相对</w:t>
      </w:r>
      <w:r w:rsidRPr="00AD22E5">
        <w:rPr>
          <w:rFonts w:eastAsiaTheme="minorEastAsia"/>
          <w:kern w:val="0"/>
          <w:szCs w:val="21"/>
        </w:rPr>
        <w:t>2019</w:t>
      </w:r>
      <w:r w:rsidRPr="00AD22E5">
        <w:rPr>
          <w:rFonts w:eastAsiaTheme="minorEastAsia"/>
          <w:kern w:val="0"/>
          <w:szCs w:val="21"/>
        </w:rPr>
        <w:t>年边际上会更加改善，资本市场流动性也会更加充裕，但目前我们对市场整体上担忧多于乐观。</w:t>
      </w:r>
      <w:r w:rsidRPr="00AD22E5">
        <w:rPr>
          <w:rFonts w:eastAsiaTheme="minorEastAsia"/>
          <w:kern w:val="0"/>
          <w:szCs w:val="21"/>
        </w:rPr>
        <w:t>A</w:t>
      </w:r>
      <w:r w:rsidRPr="00AD22E5">
        <w:rPr>
          <w:rFonts w:eastAsiaTheme="minorEastAsia"/>
          <w:kern w:val="0"/>
          <w:szCs w:val="21"/>
        </w:rPr>
        <w:t>股市场特有的投资者结构和交易环境会使得流动性宽裕的市场迅速累积泡沫，在这种环境下我们更加注重组合整体的估值控制。我们预期医药行业依然面临政策压力，行业处于秩序重构的过程。由于医药行业需求刚性，这样的重构会催生出很多需求旺盛的细分领域，创造社会价值的同时带来新的投资机会。后续，我们会在持仓上坚持自下而上精选这些领域的优质个股。</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943"/>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w:t>
      </w:r>
      <w:r>
        <w:rPr>
          <w:rFonts w:eastAsiaTheme="minorEastAsia"/>
          <w:kern w:val="0"/>
          <w:szCs w:val="21"/>
        </w:rPr>
        <w:t>，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w:t>
      </w:r>
      <w:r>
        <w:rPr>
          <w:rFonts w:eastAsiaTheme="minorEastAsia"/>
          <w:kern w:val="0"/>
          <w:szCs w:val="21"/>
        </w:rPr>
        <w:t>措施的落实执行，适应公司产品与业务发展的需要，保持公司良好的内控环境。</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w:t>
      </w:r>
      <w:r>
        <w:rPr>
          <w:rFonts w:eastAsiaTheme="minorEastAsia"/>
          <w:kern w:val="0"/>
          <w:szCs w:val="21"/>
        </w:rPr>
        <w:t>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w:t>
      </w:r>
      <w:r>
        <w:rPr>
          <w:rFonts w:eastAsiaTheme="minorEastAsia"/>
          <w:kern w:val="0"/>
          <w:szCs w:val="21"/>
        </w:rPr>
        <w:t>与新产品设计、新业务拓展工作，就相关问题提供合规咨询建议，严格进行合规审查。</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w:t>
      </w:r>
      <w:r>
        <w:rPr>
          <w:rFonts w:eastAsiaTheme="minorEastAsia"/>
          <w:kern w:val="0"/>
          <w:szCs w:val="21"/>
        </w:rPr>
        <w:t>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w:t>
      </w:r>
      <w:r>
        <w:rPr>
          <w:rFonts w:eastAsiaTheme="minorEastAsia"/>
          <w:kern w:val="0"/>
          <w:szCs w:val="21"/>
        </w:rPr>
        <w:t>独立性、规范性、针对性与有效性。</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944"/>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945"/>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946"/>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947"/>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948"/>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报告期内，本基金未实施利润分配。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949"/>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950"/>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21270</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易方达大健康主题灵活配置混合型证券投资基金全体基金份额持有人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951"/>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256A81" w:rsidRDefault="00553E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256A81" w:rsidRDefault="00553E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我们审计了易方达大健康主题灵活配置混合型证券投资基金的财务报表，包括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256A81" w:rsidRDefault="00553E6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发布的有关规定及允许的基金行业实务操作编制，公允反映了易方达大健康主题灵活配置混合型证券投资基金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952"/>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256A81" w:rsidRDefault="00553E6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按照中国注册会计师职业道德守则，我们独立于易方达大健康主题灵活配置混合型证券投资基金，并履行了职业道德方面的其他责任。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953"/>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易方达大健康主题灵活配置混合型证券投资基金的基金管理人易方达基金管理有限公司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在编制财务报表时，基金管理人管理层负责评估易方达大健康主题灵活配置混合型证券投资基金的持续经营能力，披露与持续经营相关的事项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，并运用持续经营假设，除非基金管理人管理层计划清算易方达大健康主题灵活配置混合型证券投资基金、终止运营或别无其他现实的选择。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基金管理人治理层负责监督易方达大健康主题灵活配置混合型证券投资基金的财务报告过程。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954"/>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w:t>
      </w:r>
      <w:r>
        <w:rPr>
          <w:rFonts w:eastAsiaTheme="minorEastAsia"/>
          <w:color w:val="000000" w:themeColor="text1"/>
          <w:szCs w:val="21"/>
        </w:rPr>
        <w:t>理层选用会计政策的恰当性和作出会计估计及相关披露的合理性。</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大健康主题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大健康主题灵活配置混</w:t>
      </w:r>
      <w:r>
        <w:rPr>
          <w:rFonts w:eastAsiaTheme="minorEastAsia"/>
          <w:color w:val="000000" w:themeColor="text1"/>
          <w:szCs w:val="21"/>
        </w:rPr>
        <w:t>合型证券投资基金不能持续经营。</w:t>
      </w:r>
    </w:p>
    <w:p w:rsidR="00256A81" w:rsidRDefault="00553E6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955"/>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956"/>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易方达大健康主题灵活配置混合型证券投资基金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86,996,258.50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95,367,341.39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32,447.22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57,565.65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35,142.78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81,853.49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587,509,328.68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463,098,091.34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585,368,296.18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462,114,016.84</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2,141,032.50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984,074.50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59,295.37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20,324.63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19,482.83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1,105,531.19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193,772.85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675,699,033.00</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558,877,402.92</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3,191,244.61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896,432.60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855,830.65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740,594.89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142,638.44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123,432.49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41,167.20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86,240.50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15.27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3.52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285,405.51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289,062.18</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4,516,301.68</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2,135,766.18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480,432,235.04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662,213,854.48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190,750,496.28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-105,472,217.74</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671,182,731.32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556,741,636.74</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675,699,033.00</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558,877,402.92</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1.397</w:t>
      </w:r>
      <w:r w:rsidRPr="00AD22E5">
        <w:rPr>
          <w:rFonts w:eastAsiaTheme="minorEastAsia"/>
          <w:kern w:val="0"/>
          <w:szCs w:val="21"/>
        </w:rPr>
        <w:t>元，基金份额总额</w:t>
      </w:r>
      <w:r w:rsidRPr="00AD22E5">
        <w:rPr>
          <w:rFonts w:eastAsiaTheme="minorEastAsia"/>
          <w:kern w:val="0"/>
          <w:szCs w:val="21"/>
        </w:rPr>
        <w:t>480,432,235.04</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957"/>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易方达大健康主题灵活配置混合型证券投资基金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326,849,895.88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-81,202,939.96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602,586.50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2,181,773.30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598,671.80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712,199.14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3,914.70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1,348,469.97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121,104.19</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46,148,222.43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48,478,848.36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37,493,145.12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40,130,395.72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150,430.33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297,000.00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8,504,646.98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8,051,452.64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278,974,127.90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-135,769,886.83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1,124,959.05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3,906,325.21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11,753,795.04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16,031,199.62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9,314,002.45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12,046,659.99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1,552,333.70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2,007,776.75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658,472.29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1,537,266.21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11.77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1.39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228,974.83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439,495.28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315,096,100.84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-97,234,139.58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315,096,100.84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-97,234,139.58</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958"/>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易方达大健康主题灵活配置混合型证券投资基金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662,213,854.48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-105,472,217.74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556,741,636.74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315,096,100.84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315,096,100.84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-181,781,619.44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-18,873,386.82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-200,655,006.26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307,296,975.20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76,898,677.75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384,195,652.95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-489,078,594.64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-95,772,064.57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-584,850,659.21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480,432,235.04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190,750,496.28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671,182,731.32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1,448,983,923.96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52,989,472.36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1,501,973,396.32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-97,234,139.58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-97,234,139.58</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-786,770,069.48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-61,227,550.52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-847,997,620.00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580,863,191.07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20,266,085.75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601,129,276.82</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-1,367,633,260.55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-81,493,636.27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-1,449,126,896.82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662,213,854.48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-105,472,217.74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556,741,636.74</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959"/>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易方达大健康主题灵活配置混合型证券投资基金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[2015]2159</w:t>
      </w:r>
      <w:r w:rsidRPr="00AD22E5">
        <w:rPr>
          <w:rFonts w:eastAsiaTheme="minorEastAsia"/>
          <w:kern w:val="0"/>
          <w:szCs w:val="21"/>
        </w:rPr>
        <w:t>号《关于准予易方达大健康主题灵活配置混合型证券投资基金注册的批复》和证券基金机构监管部函</w:t>
      </w:r>
      <w:r w:rsidRPr="00AD22E5">
        <w:rPr>
          <w:rFonts w:eastAsiaTheme="minorEastAsia"/>
          <w:kern w:val="0"/>
          <w:szCs w:val="21"/>
        </w:rPr>
        <w:t>[2017]873</w:t>
      </w:r>
      <w:r w:rsidRPr="00AD22E5">
        <w:rPr>
          <w:rFonts w:eastAsiaTheme="minorEastAsia"/>
          <w:kern w:val="0"/>
          <w:szCs w:val="21"/>
        </w:rPr>
        <w:t>号《关于对易方达大健康主题灵活配置混合型证券投资基金延期募集备案的回函》进行募集，由易方达基金管理有限公司依照《中华人民共和国证券投资基金法》和《易方达大健康主题灵活配置混合型证券投资基金基金合同》公开募集。经向中国证监会备案，《易方达大健康主题灵活配置混合型证券投资基金基金合同》于</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9</w:t>
      </w:r>
      <w:r w:rsidRPr="00AD22E5">
        <w:rPr>
          <w:rFonts w:eastAsiaTheme="minorEastAsia"/>
          <w:kern w:val="0"/>
          <w:szCs w:val="21"/>
        </w:rPr>
        <w:t>月</w:t>
      </w:r>
      <w:r w:rsidRPr="00AD22E5">
        <w:rPr>
          <w:rFonts w:eastAsiaTheme="minorEastAsia"/>
          <w:kern w:val="0"/>
          <w:szCs w:val="21"/>
        </w:rPr>
        <w:t>27</w:t>
      </w:r>
      <w:r w:rsidRPr="00AD22E5">
        <w:rPr>
          <w:rFonts w:eastAsiaTheme="minorEastAsia"/>
          <w:kern w:val="0"/>
          <w:szCs w:val="21"/>
        </w:rPr>
        <w:t>日正式生效，基金合同生效日的基金份额总额为</w:t>
      </w:r>
      <w:r w:rsidRPr="00AD22E5">
        <w:rPr>
          <w:rFonts w:eastAsiaTheme="minorEastAsia"/>
          <w:kern w:val="0"/>
          <w:szCs w:val="21"/>
        </w:rPr>
        <w:t>1,683,406,066.23</w:t>
      </w:r>
      <w:r w:rsidRPr="00AD22E5">
        <w:rPr>
          <w:rFonts w:eastAsiaTheme="minorEastAsia"/>
          <w:kern w:val="0"/>
          <w:szCs w:val="21"/>
        </w:rPr>
        <w:t>份基金份额，其中认购资金利息折合</w:t>
      </w:r>
      <w:r w:rsidRPr="00AD22E5">
        <w:rPr>
          <w:rFonts w:eastAsiaTheme="minorEastAsia"/>
          <w:kern w:val="0"/>
          <w:szCs w:val="21"/>
        </w:rPr>
        <w:t>570,199.01</w:t>
      </w:r>
      <w:r w:rsidRPr="00AD22E5">
        <w:rPr>
          <w:rFonts w:eastAsiaTheme="minorEastAsia"/>
          <w:kern w:val="0"/>
          <w:szCs w:val="21"/>
        </w:rPr>
        <w:t>份基金份额。本基金为契约型开放式基金，存续期限不定。本基金的基金管理人为易方达基金管理有限公司，基金托管人为中国建设银行股份有限公司。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w:t>
      </w:r>
      <w:r>
        <w:rPr>
          <w:rFonts w:eastAsiaTheme="minorEastAsia"/>
          <w:kern w:val="0"/>
          <w:szCs w:val="21"/>
        </w:rPr>
        <w:t>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颁布的《证券投资基金会计核算业务指引》、《易方达大健康主题灵活配置混合型证券投资基金基金合同》和财务报表附注所列示的中国证监会、中国基金业协会发布的有关规定及允许的基金行业实务操作编制。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w:t>
      </w:r>
      <w:r>
        <w:rPr>
          <w:rFonts w:eastAsiaTheme="minorEastAsia"/>
          <w:kern w:val="0"/>
          <w:szCs w:val="21"/>
        </w:rPr>
        <w:t>产的持有意图和持有能力。本基金目前暂无金融资产分类为可供出售金融资产及持有至到期投资。</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w:t>
      </w:r>
      <w:r>
        <w:rPr>
          <w:rFonts w:eastAsiaTheme="minorEastAsia"/>
          <w:kern w:val="0"/>
          <w:szCs w:val="21"/>
        </w:rPr>
        <w:t>生金融资产。</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w:t>
      </w:r>
      <w:r>
        <w:rPr>
          <w:rFonts w:eastAsiaTheme="minorEastAsia"/>
          <w:kern w:val="0"/>
          <w:szCs w:val="21"/>
        </w:rPr>
        <w:t>价款中包含的债券或资产支持证券起息日或上次除息日至购买日止的利息，单独确认为应收项目。应收款项和其他金融负债的相关交易费用计入初始确认金额。</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w:t>
      </w:r>
      <w:r>
        <w:rPr>
          <w:rFonts w:eastAsiaTheme="minorEastAsia"/>
          <w:kern w:val="0"/>
          <w:szCs w:val="21"/>
        </w:rPr>
        <w:t>的限制等，如果该限制是针对资产持有者的，那么在估值技术中不将该限制作为特征考虑。基金管理人不考虑因大量持有相关资产或负债所产生的溢价或折价；</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w:t>
      </w:r>
      <w:r>
        <w:rPr>
          <w:rFonts w:eastAsiaTheme="minorEastAsia"/>
          <w:kern w:val="0"/>
          <w:szCs w:val="21"/>
        </w:rPr>
        <w:t>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w:t>
      </w:r>
      <w:r>
        <w:rPr>
          <w:rFonts w:eastAsiaTheme="minorEastAsia"/>
          <w:kern w:val="0"/>
          <w:szCs w:val="21"/>
        </w:rPr>
        <w:t>价格与初始确认金额之间的差额扣除在适用情况下由基金管理人缴纳的增值税后的净额确认为投资收益，其中包括从公允价值变动损益结转的公允价值累计变动额。</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w:t>
      </w:r>
      <w:r>
        <w:rPr>
          <w:rFonts w:eastAsiaTheme="minorEastAsia"/>
          <w:kern w:val="0"/>
          <w:szCs w:val="21"/>
        </w:rPr>
        <w:t>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256A81" w:rsidRDefault="00553E61">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若《基金合同》生效不满</w:t>
      </w:r>
      <w:r>
        <w:rPr>
          <w:rFonts w:eastAsiaTheme="minorEastAsia"/>
          <w:kern w:val="0"/>
          <w:szCs w:val="21"/>
        </w:rPr>
        <w:t xml:space="preserve">3 </w:t>
      </w:r>
      <w:r>
        <w:rPr>
          <w:rFonts w:eastAsiaTheme="minorEastAsia"/>
          <w:kern w:val="0"/>
          <w:szCs w:val="21"/>
        </w:rPr>
        <w:t>个月可不进行收益分配；</w:t>
      </w:r>
    </w:p>
    <w:p w:rsidR="00256A81" w:rsidRDefault="00553E61">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256A81" w:rsidRDefault="00553E61">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p>
    <w:p w:rsidR="00256A81" w:rsidRDefault="00553E61">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同一类别的每一基金份额享有同等分配权；</w:t>
      </w:r>
    </w:p>
    <w:p w:rsidR="00256A81" w:rsidRDefault="00553E61">
      <w:pPr>
        <w:widowControl/>
        <w:spacing w:line="360" w:lineRule="auto"/>
        <w:ind w:firstLineChars="200" w:firstLine="420"/>
        <w:rPr>
          <w:kern w:val="0"/>
          <w:szCs w:val="21"/>
        </w:rPr>
      </w:pPr>
      <w:r>
        <w:rPr>
          <w:rFonts w:eastAsiaTheme="minorEastAsia"/>
          <w:kern w:val="0"/>
          <w:szCs w:val="21"/>
        </w:rPr>
        <w:t>(5)</w:t>
      </w:r>
      <w:r>
        <w:rPr>
          <w:rFonts w:eastAsiaTheme="minorEastAsia"/>
          <w:kern w:val="0"/>
          <w:szCs w:val="21"/>
        </w:rPr>
        <w:t>在对基金份额持有人利益无实质不利影响的前提下，基金管理人可调整基金收益的分配原则和支付方式，不需召开基金份额</w:t>
      </w:r>
      <w:r>
        <w:rPr>
          <w:rFonts w:eastAsiaTheme="minorEastAsia"/>
          <w:kern w:val="0"/>
          <w:szCs w:val="21"/>
        </w:rPr>
        <w:t>持有人大会审议；</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(6)</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w:t>
      </w:r>
      <w:r>
        <w:rPr>
          <w:rFonts w:eastAsiaTheme="minorEastAsia"/>
          <w:kern w:val="0"/>
          <w:szCs w:val="21"/>
        </w:rPr>
        <w:t>值指数的通知》提供的指数收益法、市盈率法等估值技术进行估值。</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86,996,258.50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95,367,341.39</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86,996,258.50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95,367,341.39</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383,998,103.31</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585,368,296.18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201,370,192.87</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1,814,973.14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2,141,032.50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326,059.36</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1,814,973.14</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2,141,032.50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326,059.36</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385,813,076.45</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587,509,328.68</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201,696,252.23</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539,430,975.30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462,114,016.84</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-77,316,958.46</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944,991.71</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984,074.50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39,082.79</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944,991.71</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984,074.50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39,082.79</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540,375,967.01</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463,098,091.34</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-77,277,875.67</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17,789.63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19,006.98</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14.60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25.90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2,504.60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413.15</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15.80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36.80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20,324.63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19,482.83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41,167.20</w:t>
            </w:r>
          </w:p>
        </w:tc>
        <w:tc>
          <w:tcPr>
            <w:tcW w:w="3150" w:type="dxa"/>
            <w:vAlign w:val="center"/>
          </w:tcPr>
          <w:p w:rsidR="00645980" w:rsidRPr="008735B8" w:rsidRDefault="00645980" w:rsidP="00EA645F">
            <w:pPr>
              <w:spacing w:line="360" w:lineRule="auto"/>
              <w:jc w:val="right"/>
              <w:rPr>
                <w:szCs w:val="21"/>
              </w:rPr>
            </w:pPr>
            <w:r w:rsidRPr="008735B8">
              <w:rPr>
                <w:szCs w:val="21"/>
              </w:rPr>
              <w:t>86,240.50</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41,167.20</w:t>
            </w:r>
          </w:p>
        </w:tc>
        <w:tc>
          <w:tcPr>
            <w:tcW w:w="3150" w:type="dxa"/>
            <w:vAlign w:val="center"/>
          </w:tcPr>
          <w:p w:rsidR="00645980" w:rsidRPr="008735B8" w:rsidRDefault="00645980" w:rsidP="00EA645F">
            <w:pPr>
              <w:spacing w:line="360" w:lineRule="auto"/>
              <w:jc w:val="right"/>
              <w:rPr>
                <w:szCs w:val="21"/>
              </w:rPr>
            </w:pPr>
            <w:r w:rsidRPr="008735B8">
              <w:rPr>
                <w:szCs w:val="21"/>
              </w:rPr>
              <w:t>86,240.50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4,405.51</w:t>
            </w:r>
          </w:p>
        </w:tc>
        <w:tc>
          <w:tcPr>
            <w:tcW w:w="3150" w:type="dxa"/>
            <w:vAlign w:val="center"/>
          </w:tcPr>
          <w:p w:rsidR="00645980" w:rsidRPr="008735B8" w:rsidRDefault="00645980" w:rsidP="00EA645F">
            <w:pPr>
              <w:spacing w:line="360" w:lineRule="auto"/>
              <w:jc w:val="right"/>
              <w:rPr>
                <w:szCs w:val="21"/>
              </w:rPr>
            </w:pPr>
            <w:r w:rsidRPr="008735B8">
              <w:rPr>
                <w:szCs w:val="21"/>
              </w:rPr>
              <w:t>3,062.18</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256A81">
        <w:tc>
          <w:tcPr>
            <w:tcW w:w="2715" w:type="dxa"/>
            <w:vAlign w:val="center"/>
          </w:tcPr>
          <w:p w:rsidR="00256A81" w:rsidRDefault="00553E61">
            <w:pPr>
              <w:jc w:val="left"/>
            </w:pPr>
            <w:r>
              <w:rPr>
                <w:szCs w:val="21"/>
              </w:rPr>
              <w:t>预提费用</w:t>
            </w:r>
          </w:p>
        </w:tc>
        <w:tc>
          <w:tcPr>
            <w:tcW w:w="3150" w:type="dxa"/>
            <w:vAlign w:val="center"/>
          </w:tcPr>
          <w:p w:rsidR="00256A81" w:rsidRDefault="00553E61">
            <w:pPr>
              <w:jc w:val="right"/>
            </w:pPr>
            <w:r>
              <w:rPr>
                <w:szCs w:val="21"/>
              </w:rPr>
              <w:t>281,000.00</w:t>
            </w:r>
          </w:p>
        </w:tc>
        <w:tc>
          <w:tcPr>
            <w:tcW w:w="3150" w:type="dxa"/>
            <w:vAlign w:val="center"/>
          </w:tcPr>
          <w:p w:rsidR="00256A81" w:rsidRDefault="00553E61">
            <w:pPr>
              <w:jc w:val="right"/>
            </w:pPr>
            <w:r>
              <w:rPr>
                <w:szCs w:val="21"/>
              </w:rPr>
              <w:t>286,000.00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285,405.51</w:t>
            </w:r>
          </w:p>
        </w:tc>
        <w:tc>
          <w:tcPr>
            <w:tcW w:w="3150" w:type="dxa"/>
            <w:vAlign w:val="bottom"/>
          </w:tcPr>
          <w:p w:rsidR="00645980" w:rsidRPr="008735B8" w:rsidRDefault="00645980" w:rsidP="00EA645F">
            <w:pPr>
              <w:spacing w:line="360" w:lineRule="auto"/>
              <w:jc w:val="right"/>
              <w:rPr>
                <w:szCs w:val="21"/>
              </w:rPr>
            </w:pPr>
            <w:r w:rsidRPr="008735B8">
              <w:rPr>
                <w:szCs w:val="21"/>
              </w:rPr>
              <w:t>289,062.18</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662,213,854.48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662,213,854.48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307,296,975.20</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307,296,975.20</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-489,078,594.64</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-489,078,594.64</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480,432,235.04</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480,432,235.04</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26,685,711.53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-132,157,929.27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-105,472,217.74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36,121,972.94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278,974,127.90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315,096,100.84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-6,142,349.39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-12,731,037.43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-18,873,386.82</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25,442,723.76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51,455,953.99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76,898,677.75</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-31,585,073.15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-64,186,991.42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-95,772,064.57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56,665,335.08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134,085,161.20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190,750,496.28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596,932.66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700,444.15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951.89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9,036.04</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787.25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2,718.95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598,671.80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712,199.14</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305,337,899.03</w:t>
            </w:r>
          </w:p>
        </w:tc>
        <w:tc>
          <w:tcPr>
            <w:tcW w:w="2726" w:type="dxa"/>
            <w:vAlign w:val="bottom"/>
          </w:tcPr>
          <w:p w:rsidR="00342619" w:rsidRPr="008735B8" w:rsidRDefault="00342619" w:rsidP="009F4E54">
            <w:pPr>
              <w:jc w:val="right"/>
              <w:rPr>
                <w:szCs w:val="21"/>
              </w:rPr>
            </w:pPr>
            <w:r w:rsidRPr="008735B8">
              <w:rPr>
                <w:szCs w:val="21"/>
              </w:rPr>
              <w:t>624,228,415.67</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267,844,753.91</w:t>
            </w:r>
          </w:p>
        </w:tc>
        <w:tc>
          <w:tcPr>
            <w:tcW w:w="2726" w:type="dxa"/>
            <w:vAlign w:val="bottom"/>
          </w:tcPr>
          <w:p w:rsidR="00342619" w:rsidRPr="008735B8" w:rsidRDefault="00342619" w:rsidP="009F4E54">
            <w:pPr>
              <w:jc w:val="right"/>
              <w:rPr>
                <w:szCs w:val="21"/>
              </w:rPr>
            </w:pPr>
            <w:r w:rsidRPr="008735B8">
              <w:rPr>
                <w:szCs w:val="21"/>
              </w:rPr>
              <w:t>584,098,019.95</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37,493,145.12</w:t>
            </w:r>
          </w:p>
        </w:tc>
        <w:tc>
          <w:tcPr>
            <w:tcW w:w="2726" w:type="dxa"/>
            <w:vAlign w:val="bottom"/>
          </w:tcPr>
          <w:p w:rsidR="00342619" w:rsidRPr="008735B8" w:rsidRDefault="00342619" w:rsidP="009F4E54">
            <w:pPr>
              <w:jc w:val="right"/>
              <w:rPr>
                <w:szCs w:val="21"/>
              </w:rPr>
            </w:pPr>
            <w:r w:rsidRPr="008735B8">
              <w:rPr>
                <w:szCs w:val="21"/>
              </w:rPr>
              <w:t>40,130,395.72</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839,936.16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81,744,946.58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688,993.96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79,641,700.00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511.87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1,806,246.58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150,430.33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297,000.00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8,504,646.98</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8,051,452.64</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8,504,646.98</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8,051,452.64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278,974,127.90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-135,769,886.83</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278,687,151.33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-135,930,669.62</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286,976.57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160,782.79</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278,974,127.90</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-135,769,886.83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1,124,959.05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3,906,325.21</w:t>
            </w:r>
          </w:p>
        </w:tc>
      </w:tr>
      <w:tr w:rsidR="00256A81">
        <w:tc>
          <w:tcPr>
            <w:tcW w:w="1984" w:type="dxa"/>
            <w:vAlign w:val="center"/>
          </w:tcPr>
          <w:p w:rsidR="00256A81" w:rsidRDefault="00553E61">
            <w:pPr>
              <w:jc w:val="left"/>
            </w:pPr>
            <w:r>
              <w:rPr>
                <w:rFonts w:eastAsiaTheme="minorEastAsia"/>
                <w:szCs w:val="21"/>
              </w:rPr>
              <w:t>其他</w:t>
            </w:r>
          </w:p>
        </w:tc>
        <w:tc>
          <w:tcPr>
            <w:tcW w:w="3598" w:type="dxa"/>
            <w:vAlign w:val="center"/>
          </w:tcPr>
          <w:p w:rsidR="00256A81" w:rsidRDefault="00553E61">
            <w:pPr>
              <w:jc w:val="right"/>
            </w:pPr>
            <w:r>
              <w:rPr>
                <w:rFonts w:eastAsiaTheme="minorEastAsia"/>
                <w:szCs w:val="21"/>
              </w:rPr>
              <w:t>-</w:t>
            </w:r>
          </w:p>
        </w:tc>
        <w:tc>
          <w:tcPr>
            <w:tcW w:w="3598" w:type="dxa"/>
            <w:vAlign w:val="center"/>
          </w:tcPr>
          <w:p w:rsidR="00256A81" w:rsidRDefault="00553E61">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1,124,959.05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3,906,325.21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658,472.29</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1,536,991.21</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275.00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658,472.29</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1,537,266.21</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61,000.00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86,000.00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256A81">
        <w:trPr>
          <w:jc w:val="center"/>
        </w:trPr>
        <w:tc>
          <w:tcPr>
            <w:tcW w:w="2855" w:type="dxa"/>
            <w:vAlign w:val="center"/>
          </w:tcPr>
          <w:p w:rsidR="00256A81" w:rsidRDefault="00553E61">
            <w:pPr>
              <w:jc w:val="left"/>
            </w:pPr>
            <w:r>
              <w:rPr>
                <w:rFonts w:eastAsiaTheme="minorEastAsia"/>
                <w:szCs w:val="21"/>
              </w:rPr>
              <w:t>银行汇划费</w:t>
            </w:r>
          </w:p>
        </w:tc>
        <w:tc>
          <w:tcPr>
            <w:tcW w:w="2893" w:type="dxa"/>
            <w:vAlign w:val="center"/>
          </w:tcPr>
          <w:p w:rsidR="00256A81" w:rsidRDefault="00553E61">
            <w:pPr>
              <w:jc w:val="right"/>
            </w:pPr>
            <w:r>
              <w:rPr>
                <w:rFonts w:eastAsiaTheme="minorEastAsia"/>
                <w:szCs w:val="21"/>
              </w:rPr>
              <w:t>10,774.83</w:t>
            </w:r>
          </w:p>
        </w:tc>
        <w:tc>
          <w:tcPr>
            <w:tcW w:w="3367" w:type="dxa"/>
            <w:vAlign w:val="center"/>
          </w:tcPr>
          <w:p w:rsidR="00256A81" w:rsidRDefault="00553E61">
            <w:pPr>
              <w:jc w:val="right"/>
            </w:pPr>
            <w:r>
              <w:rPr>
                <w:rFonts w:eastAsiaTheme="minorEastAsia"/>
                <w:szCs w:val="21"/>
              </w:rPr>
              <w:t>19,395.28</w:t>
            </w:r>
          </w:p>
        </w:tc>
      </w:tr>
      <w:tr w:rsidR="00256A81">
        <w:trPr>
          <w:jc w:val="center"/>
        </w:trPr>
        <w:tc>
          <w:tcPr>
            <w:tcW w:w="2855" w:type="dxa"/>
            <w:vAlign w:val="center"/>
          </w:tcPr>
          <w:p w:rsidR="00256A81" w:rsidRDefault="00553E61">
            <w:pPr>
              <w:jc w:val="left"/>
            </w:pPr>
            <w:r>
              <w:rPr>
                <w:rFonts w:eastAsiaTheme="minorEastAsia"/>
                <w:szCs w:val="21"/>
              </w:rPr>
              <w:t>银行间账户维护费</w:t>
            </w:r>
          </w:p>
        </w:tc>
        <w:tc>
          <w:tcPr>
            <w:tcW w:w="2893" w:type="dxa"/>
            <w:vAlign w:val="center"/>
          </w:tcPr>
          <w:p w:rsidR="00256A81" w:rsidRDefault="00553E61">
            <w:pPr>
              <w:jc w:val="right"/>
            </w:pPr>
            <w:r>
              <w:rPr>
                <w:rFonts w:eastAsiaTheme="minorEastAsia"/>
                <w:szCs w:val="21"/>
              </w:rPr>
              <w:t>36,000.00</w:t>
            </w:r>
          </w:p>
        </w:tc>
        <w:tc>
          <w:tcPr>
            <w:tcW w:w="3367" w:type="dxa"/>
            <w:vAlign w:val="center"/>
          </w:tcPr>
          <w:p w:rsidR="00256A81" w:rsidRDefault="00553E61">
            <w:pPr>
              <w:jc w:val="right"/>
            </w:pPr>
            <w:r>
              <w:rPr>
                <w:rFonts w:eastAsiaTheme="minorEastAsia"/>
                <w:szCs w:val="21"/>
              </w:rPr>
              <w:t>33,000.00</w:t>
            </w:r>
          </w:p>
        </w:tc>
      </w:tr>
      <w:tr w:rsidR="00256A81">
        <w:trPr>
          <w:jc w:val="center"/>
        </w:trPr>
        <w:tc>
          <w:tcPr>
            <w:tcW w:w="2855" w:type="dxa"/>
            <w:vAlign w:val="center"/>
          </w:tcPr>
          <w:p w:rsidR="00256A81" w:rsidRDefault="00553E61">
            <w:pPr>
              <w:jc w:val="left"/>
            </w:pPr>
            <w:r>
              <w:rPr>
                <w:rFonts w:eastAsiaTheme="minorEastAsia"/>
                <w:szCs w:val="21"/>
              </w:rPr>
              <w:t>其他</w:t>
            </w:r>
          </w:p>
        </w:tc>
        <w:tc>
          <w:tcPr>
            <w:tcW w:w="2893" w:type="dxa"/>
            <w:vAlign w:val="center"/>
          </w:tcPr>
          <w:p w:rsidR="00256A81" w:rsidRDefault="00553E61">
            <w:pPr>
              <w:jc w:val="right"/>
            </w:pPr>
            <w:r>
              <w:rPr>
                <w:rFonts w:eastAsiaTheme="minorEastAsia"/>
                <w:szCs w:val="21"/>
              </w:rPr>
              <w:t>1,200.00</w:t>
            </w:r>
          </w:p>
        </w:tc>
        <w:tc>
          <w:tcPr>
            <w:tcW w:w="3367" w:type="dxa"/>
            <w:vAlign w:val="center"/>
          </w:tcPr>
          <w:p w:rsidR="00256A81" w:rsidRDefault="00553E61">
            <w:pPr>
              <w:jc w:val="right"/>
            </w:pPr>
            <w:r>
              <w:rPr>
                <w:rFonts w:eastAsiaTheme="minorEastAsia"/>
                <w:szCs w:val="21"/>
              </w:rPr>
              <w:t>1,100.00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228,974.83</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439,495.28</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256A81">
        <w:tc>
          <w:tcPr>
            <w:tcW w:w="5220" w:type="dxa"/>
            <w:vAlign w:val="center"/>
          </w:tcPr>
          <w:p w:rsidR="00256A81" w:rsidRDefault="00553E61">
            <w:pPr>
              <w:jc w:val="left"/>
            </w:pPr>
            <w:r>
              <w:rPr>
                <w:rFonts w:eastAsiaTheme="minorEastAsia"/>
                <w:color w:val="000000"/>
                <w:szCs w:val="21"/>
              </w:rPr>
              <w:t>易方达基金管理有限公司</w:t>
            </w:r>
          </w:p>
        </w:tc>
        <w:tc>
          <w:tcPr>
            <w:tcW w:w="3780" w:type="dxa"/>
            <w:vAlign w:val="center"/>
          </w:tcPr>
          <w:p w:rsidR="00256A81" w:rsidRDefault="00553E61">
            <w:pPr>
              <w:jc w:val="center"/>
            </w:pPr>
            <w:r>
              <w:rPr>
                <w:rFonts w:eastAsiaTheme="minorEastAsia"/>
                <w:color w:val="000000"/>
                <w:szCs w:val="21"/>
              </w:rPr>
              <w:t>基金管理人、注册登记机构、基金销售机构</w:t>
            </w:r>
          </w:p>
        </w:tc>
      </w:tr>
      <w:tr w:rsidR="00256A81">
        <w:tc>
          <w:tcPr>
            <w:tcW w:w="5220" w:type="dxa"/>
            <w:vAlign w:val="center"/>
          </w:tcPr>
          <w:p w:rsidR="00256A81" w:rsidRDefault="00553E61">
            <w:pPr>
              <w:jc w:val="left"/>
            </w:pPr>
            <w:r>
              <w:rPr>
                <w:rFonts w:eastAsiaTheme="minorEastAsia"/>
                <w:color w:val="000000"/>
                <w:szCs w:val="21"/>
              </w:rPr>
              <w:t>中国建设银行股份有限公司（以下简称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r>
              <w:rPr>
                <w:rFonts w:eastAsiaTheme="minorEastAsia"/>
                <w:color w:val="000000"/>
                <w:szCs w:val="21"/>
              </w:rPr>
              <w:t>）</w:t>
            </w:r>
          </w:p>
        </w:tc>
        <w:tc>
          <w:tcPr>
            <w:tcW w:w="3780" w:type="dxa"/>
            <w:vAlign w:val="center"/>
          </w:tcPr>
          <w:p w:rsidR="00256A81" w:rsidRDefault="00553E61">
            <w:pPr>
              <w:jc w:val="center"/>
            </w:pPr>
            <w:r>
              <w:rPr>
                <w:rFonts w:eastAsiaTheme="minorEastAsia"/>
                <w:color w:val="000000"/>
                <w:szCs w:val="21"/>
              </w:rPr>
              <w:t>基金托管人、基金销售机构</w:t>
            </w:r>
          </w:p>
        </w:tc>
      </w:tr>
      <w:tr w:rsidR="00256A81">
        <w:tc>
          <w:tcPr>
            <w:tcW w:w="5220" w:type="dxa"/>
            <w:vAlign w:val="center"/>
          </w:tcPr>
          <w:p w:rsidR="00256A81" w:rsidRDefault="00553E61">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256A81" w:rsidRDefault="00553E61">
            <w:pPr>
              <w:jc w:val="center"/>
            </w:pPr>
            <w:r>
              <w:rPr>
                <w:rFonts w:eastAsiaTheme="minorEastAsia"/>
                <w:color w:val="000000"/>
                <w:szCs w:val="21"/>
              </w:rPr>
              <w:t>基金管理人股东、基金销售机构</w:t>
            </w:r>
          </w:p>
        </w:tc>
      </w:tr>
      <w:tr w:rsidR="00256A81">
        <w:tc>
          <w:tcPr>
            <w:tcW w:w="5220" w:type="dxa"/>
            <w:vAlign w:val="center"/>
          </w:tcPr>
          <w:p w:rsidR="00256A81" w:rsidRDefault="00553E61">
            <w:pPr>
              <w:jc w:val="left"/>
            </w:pPr>
            <w:r>
              <w:rPr>
                <w:rFonts w:eastAsiaTheme="minorEastAsia"/>
                <w:color w:val="000000"/>
                <w:szCs w:val="21"/>
              </w:rPr>
              <w:t>广东粤财信托有限公司</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盈峰控股集团有限公司</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广东省广晟资产经营有限公司</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广州市广永国有资产经营有限公司</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珠海祺荣宝股权投资合伙企业（有限合伙）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珠海祺泰宝股权投资合伙企业（有限合伙）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珠海祺丰宝股权投资合伙企业（有限合伙）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珠海聚莱康股权投资合伙企业（有限合伙）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珠海聚宁康股权投资合伙企业（有限合伙）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珠海聚弘康股权投资合伙企业（有限合伙）</w:t>
            </w:r>
          </w:p>
        </w:tc>
        <w:tc>
          <w:tcPr>
            <w:tcW w:w="3780" w:type="dxa"/>
            <w:vAlign w:val="center"/>
          </w:tcPr>
          <w:p w:rsidR="00256A81" w:rsidRDefault="00553E61">
            <w:pPr>
              <w:jc w:val="center"/>
            </w:pPr>
            <w:r>
              <w:rPr>
                <w:rFonts w:eastAsiaTheme="minorEastAsia"/>
                <w:color w:val="000000"/>
                <w:szCs w:val="21"/>
              </w:rPr>
              <w:t>基金管理人股东</w:t>
            </w:r>
          </w:p>
        </w:tc>
      </w:tr>
      <w:tr w:rsidR="00256A81">
        <w:tc>
          <w:tcPr>
            <w:tcW w:w="5220" w:type="dxa"/>
            <w:vAlign w:val="center"/>
          </w:tcPr>
          <w:p w:rsidR="00256A81" w:rsidRDefault="00553E61">
            <w:pPr>
              <w:jc w:val="left"/>
            </w:pPr>
            <w:r>
              <w:rPr>
                <w:rFonts w:eastAsiaTheme="minorEastAsia"/>
                <w:color w:val="000000"/>
                <w:szCs w:val="21"/>
              </w:rPr>
              <w:t>易方达资产管理有限公司</w:t>
            </w:r>
          </w:p>
        </w:tc>
        <w:tc>
          <w:tcPr>
            <w:tcW w:w="3780" w:type="dxa"/>
            <w:vAlign w:val="center"/>
          </w:tcPr>
          <w:p w:rsidR="00256A81" w:rsidRDefault="00553E61">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256A81">
        <w:tc>
          <w:tcPr>
            <w:tcW w:w="1980" w:type="dxa"/>
            <w:vAlign w:val="center"/>
          </w:tcPr>
          <w:p w:rsidR="00256A81" w:rsidRDefault="00553E61">
            <w:pPr>
              <w:jc w:val="left"/>
            </w:pPr>
            <w:r>
              <w:rPr>
                <w:bCs/>
                <w:color w:val="000000"/>
                <w:szCs w:val="21"/>
              </w:rPr>
              <w:t>广发证券</w:t>
            </w:r>
          </w:p>
        </w:tc>
        <w:tc>
          <w:tcPr>
            <w:tcW w:w="2340" w:type="dxa"/>
            <w:vAlign w:val="center"/>
          </w:tcPr>
          <w:p w:rsidR="00256A81" w:rsidRDefault="00553E61">
            <w:pPr>
              <w:jc w:val="right"/>
            </w:pPr>
            <w:r>
              <w:rPr>
                <w:bCs/>
                <w:color w:val="000000"/>
                <w:szCs w:val="21"/>
              </w:rPr>
              <w:t>35,295,555.91</w:t>
            </w:r>
          </w:p>
        </w:tc>
        <w:tc>
          <w:tcPr>
            <w:tcW w:w="1260" w:type="dxa"/>
            <w:vAlign w:val="center"/>
          </w:tcPr>
          <w:p w:rsidR="00256A81" w:rsidRDefault="00553E61">
            <w:pPr>
              <w:jc w:val="right"/>
            </w:pPr>
            <w:r>
              <w:rPr>
                <w:bCs/>
                <w:color w:val="000000"/>
                <w:szCs w:val="21"/>
              </w:rPr>
              <w:t>9.38%</w:t>
            </w:r>
          </w:p>
        </w:tc>
        <w:tc>
          <w:tcPr>
            <w:tcW w:w="2160" w:type="dxa"/>
            <w:vAlign w:val="center"/>
          </w:tcPr>
          <w:p w:rsidR="00256A81" w:rsidRDefault="00553E61">
            <w:pPr>
              <w:jc w:val="right"/>
            </w:pPr>
            <w:r>
              <w:rPr>
                <w:bCs/>
                <w:color w:val="000000"/>
                <w:szCs w:val="21"/>
              </w:rPr>
              <w:t>6,872,348.99</w:t>
            </w:r>
          </w:p>
        </w:tc>
        <w:tc>
          <w:tcPr>
            <w:tcW w:w="1260" w:type="dxa"/>
            <w:vAlign w:val="center"/>
          </w:tcPr>
          <w:p w:rsidR="00256A81" w:rsidRDefault="00553E61">
            <w:pPr>
              <w:jc w:val="right"/>
            </w:pPr>
            <w:r>
              <w:rPr>
                <w:bCs/>
                <w:color w:val="000000"/>
                <w:szCs w:val="21"/>
              </w:rPr>
              <w:t>0.69%</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256A81">
        <w:tc>
          <w:tcPr>
            <w:tcW w:w="2106" w:type="dxa"/>
            <w:vAlign w:val="center"/>
          </w:tcPr>
          <w:p w:rsidR="00256A81" w:rsidRDefault="00553E61">
            <w:r>
              <w:rPr>
                <w:szCs w:val="21"/>
              </w:rPr>
              <w:t>广发证券</w:t>
            </w:r>
          </w:p>
        </w:tc>
        <w:tc>
          <w:tcPr>
            <w:tcW w:w="1854" w:type="dxa"/>
            <w:vAlign w:val="center"/>
          </w:tcPr>
          <w:p w:rsidR="00256A81" w:rsidRDefault="00553E61">
            <w:pPr>
              <w:jc w:val="right"/>
            </w:pPr>
            <w:r>
              <w:rPr>
                <w:szCs w:val="21"/>
              </w:rPr>
              <w:t>28,236.44</w:t>
            </w:r>
          </w:p>
        </w:tc>
        <w:tc>
          <w:tcPr>
            <w:tcW w:w="1300" w:type="dxa"/>
            <w:vAlign w:val="center"/>
          </w:tcPr>
          <w:p w:rsidR="00256A81" w:rsidRDefault="00553E61">
            <w:pPr>
              <w:jc w:val="right"/>
            </w:pPr>
            <w:r>
              <w:rPr>
                <w:szCs w:val="21"/>
              </w:rPr>
              <w:t>9.35%</w:t>
            </w:r>
          </w:p>
        </w:tc>
        <w:tc>
          <w:tcPr>
            <w:tcW w:w="2120" w:type="dxa"/>
            <w:vAlign w:val="center"/>
          </w:tcPr>
          <w:p w:rsidR="00256A81" w:rsidRDefault="00553E61">
            <w:pPr>
              <w:jc w:val="right"/>
            </w:pPr>
            <w:r>
              <w:rPr>
                <w:szCs w:val="21"/>
              </w:rPr>
              <w:t>-</w:t>
            </w:r>
          </w:p>
        </w:tc>
        <w:tc>
          <w:tcPr>
            <w:tcW w:w="1620" w:type="dxa"/>
            <w:vAlign w:val="center"/>
          </w:tcPr>
          <w:p w:rsidR="00256A81" w:rsidRDefault="00553E61">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256A81">
        <w:tc>
          <w:tcPr>
            <w:tcW w:w="2106" w:type="dxa"/>
            <w:vAlign w:val="center"/>
          </w:tcPr>
          <w:p w:rsidR="00256A81" w:rsidRDefault="00553E61">
            <w:r>
              <w:rPr>
                <w:szCs w:val="21"/>
              </w:rPr>
              <w:t>广发证券</w:t>
            </w:r>
          </w:p>
        </w:tc>
        <w:tc>
          <w:tcPr>
            <w:tcW w:w="1854" w:type="dxa"/>
            <w:vAlign w:val="center"/>
          </w:tcPr>
          <w:p w:rsidR="00256A81" w:rsidRDefault="00553E61">
            <w:pPr>
              <w:jc w:val="right"/>
            </w:pPr>
            <w:r>
              <w:rPr>
                <w:szCs w:val="21"/>
              </w:rPr>
              <w:t>5,547.25</w:t>
            </w:r>
          </w:p>
        </w:tc>
        <w:tc>
          <w:tcPr>
            <w:tcW w:w="1300" w:type="dxa"/>
            <w:vAlign w:val="center"/>
          </w:tcPr>
          <w:p w:rsidR="00256A81" w:rsidRDefault="00553E61">
            <w:pPr>
              <w:jc w:val="right"/>
            </w:pPr>
            <w:r>
              <w:rPr>
                <w:szCs w:val="21"/>
              </w:rPr>
              <w:t>0.67%</w:t>
            </w:r>
          </w:p>
        </w:tc>
        <w:tc>
          <w:tcPr>
            <w:tcW w:w="2120" w:type="dxa"/>
            <w:vAlign w:val="center"/>
          </w:tcPr>
          <w:p w:rsidR="00256A81" w:rsidRDefault="00553E61">
            <w:pPr>
              <w:jc w:val="right"/>
            </w:pPr>
            <w:r>
              <w:rPr>
                <w:szCs w:val="21"/>
              </w:rPr>
              <w:t>4,495.62</w:t>
            </w:r>
          </w:p>
        </w:tc>
        <w:tc>
          <w:tcPr>
            <w:tcW w:w="1620" w:type="dxa"/>
            <w:vAlign w:val="center"/>
          </w:tcPr>
          <w:p w:rsidR="00256A81" w:rsidRDefault="00553E61">
            <w:pPr>
              <w:jc w:val="right"/>
            </w:pPr>
            <w:r>
              <w:rPr>
                <w:szCs w:val="21"/>
              </w:rPr>
              <w:t>5.21%</w:t>
            </w:r>
          </w:p>
        </w:tc>
      </w:tr>
    </w:tbl>
    <w:p w:rsidR="00256A81" w:rsidRDefault="00553E61">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9,314,002.45</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12,046,659.99</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2,942,366.39</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5,109,002.35</w:t>
            </w:r>
          </w:p>
        </w:tc>
      </w:tr>
    </w:tbl>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基金管理费每日计提，按月支付。由托管人根据与管理人核对一致的财务数据，自动在月初</w:t>
      </w:r>
      <w:r w:rsidRPr="000B045A">
        <w:rPr>
          <w:rFonts w:eastAsiaTheme="minorEastAsia"/>
          <w:kern w:val="0"/>
          <w:szCs w:val="21"/>
        </w:rPr>
        <w:t xml:space="preserve">5 </w:t>
      </w:r>
      <w:r w:rsidRPr="000B045A">
        <w:rPr>
          <w:rFonts w:eastAsiaTheme="minorEastAsia"/>
          <w:kern w:val="0"/>
          <w:szCs w:val="21"/>
        </w:rPr>
        <w:t>个工作日内、按照指定的账户路径进行资金支付，管理人无需再出具资金划拨指令。若遇法定节假日、休息日等，支付日期顺延。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1,552,333.70</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2,007,776.75</w:t>
            </w:r>
          </w:p>
        </w:tc>
      </w:tr>
    </w:tbl>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基金托管费每日计提，按月支付。由托管人根据与管理人核对一致的财务数据，自动在月初</w:t>
      </w:r>
      <w:r w:rsidRPr="000B045A">
        <w:rPr>
          <w:rFonts w:eastAsiaTheme="minorEastAsia"/>
          <w:kern w:val="0"/>
          <w:szCs w:val="21"/>
        </w:rPr>
        <w:t xml:space="preserve">5 </w:t>
      </w:r>
      <w:r w:rsidRPr="000B045A">
        <w:rPr>
          <w:rFonts w:eastAsiaTheme="minorEastAsia"/>
          <w:kern w:val="0"/>
          <w:szCs w:val="21"/>
        </w:rPr>
        <w:t>个工作日内、按照指定的账户路径进行资金支付，管理人无需再出具资金划拨指令。若遇法定节假日、休息日等，支付日期顺延。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r>
        <w:rPr>
          <w:rFonts w:eastAsiaTheme="minorEastAsia"/>
          <w:color w:val="000000" w:themeColor="text1"/>
          <w:kern w:val="0"/>
          <w:szCs w:val="21"/>
        </w:rPr>
        <w:t xml:space="preserve"> </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256A81">
        <w:tc>
          <w:tcPr>
            <w:tcW w:w="2268" w:type="dxa"/>
            <w:vAlign w:val="center"/>
          </w:tcPr>
          <w:p w:rsidR="00256A81" w:rsidRDefault="00553E61">
            <w:pPr>
              <w:jc w:val="left"/>
            </w:pPr>
            <w:r>
              <w:rPr>
                <w:szCs w:val="21"/>
              </w:rPr>
              <w:t>中国建设银行</w:t>
            </w:r>
            <w:r>
              <w:rPr>
                <w:szCs w:val="21"/>
              </w:rPr>
              <w:t>-</w:t>
            </w:r>
            <w:r>
              <w:rPr>
                <w:szCs w:val="21"/>
              </w:rPr>
              <w:t>活期存款</w:t>
            </w:r>
          </w:p>
        </w:tc>
        <w:tc>
          <w:tcPr>
            <w:tcW w:w="1683" w:type="dxa"/>
            <w:vAlign w:val="center"/>
          </w:tcPr>
          <w:p w:rsidR="00256A81" w:rsidRDefault="00553E61">
            <w:pPr>
              <w:jc w:val="right"/>
            </w:pPr>
            <w:r>
              <w:rPr>
                <w:szCs w:val="21"/>
              </w:rPr>
              <w:t>86,996,258.50</w:t>
            </w:r>
          </w:p>
        </w:tc>
        <w:tc>
          <w:tcPr>
            <w:tcW w:w="1683" w:type="dxa"/>
            <w:vAlign w:val="center"/>
          </w:tcPr>
          <w:p w:rsidR="00256A81" w:rsidRDefault="00553E61">
            <w:pPr>
              <w:jc w:val="right"/>
            </w:pPr>
            <w:r>
              <w:rPr>
                <w:szCs w:val="21"/>
              </w:rPr>
              <w:t>596,932.66</w:t>
            </w:r>
          </w:p>
        </w:tc>
        <w:tc>
          <w:tcPr>
            <w:tcW w:w="1683" w:type="dxa"/>
            <w:vAlign w:val="center"/>
          </w:tcPr>
          <w:p w:rsidR="00256A81" w:rsidRDefault="00553E61">
            <w:pPr>
              <w:jc w:val="right"/>
            </w:pPr>
            <w:r>
              <w:rPr>
                <w:szCs w:val="21"/>
              </w:rPr>
              <w:t>95,367,341.39</w:t>
            </w:r>
          </w:p>
        </w:tc>
        <w:tc>
          <w:tcPr>
            <w:tcW w:w="1683" w:type="dxa"/>
            <w:vAlign w:val="center"/>
          </w:tcPr>
          <w:p w:rsidR="00256A81" w:rsidRDefault="00553E61">
            <w:pPr>
              <w:jc w:val="right"/>
            </w:pPr>
            <w:r>
              <w:rPr>
                <w:szCs w:val="21"/>
              </w:rPr>
              <w:t>700,444.15</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注：本基金的上述银行存款由基金托管人中国建设银行股份有限公司保管，按银行同业利率或约定利率计息。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256A81">
        <w:tc>
          <w:tcPr>
            <w:tcW w:w="1458" w:type="dxa"/>
            <w:vAlign w:val="center"/>
          </w:tcPr>
          <w:p w:rsidR="00256A81" w:rsidRDefault="00553E61">
            <w:pPr>
              <w:jc w:val="center"/>
            </w:pPr>
            <w:r>
              <w:rPr>
                <w:rFonts w:eastAsiaTheme="minorEastAsia"/>
                <w:color w:val="000000" w:themeColor="text1"/>
                <w:szCs w:val="21"/>
              </w:rPr>
              <w:t>-</w:t>
            </w:r>
          </w:p>
        </w:tc>
        <w:tc>
          <w:tcPr>
            <w:tcW w:w="1440" w:type="dxa"/>
            <w:vAlign w:val="center"/>
          </w:tcPr>
          <w:p w:rsidR="00256A81" w:rsidRDefault="00553E61">
            <w:pPr>
              <w:jc w:val="center"/>
            </w:pPr>
            <w:r>
              <w:rPr>
                <w:rFonts w:eastAsiaTheme="minorEastAsia"/>
                <w:color w:val="000000" w:themeColor="text1"/>
                <w:szCs w:val="21"/>
              </w:rPr>
              <w:t>-</w:t>
            </w:r>
          </w:p>
        </w:tc>
        <w:tc>
          <w:tcPr>
            <w:tcW w:w="1440" w:type="dxa"/>
            <w:vAlign w:val="center"/>
          </w:tcPr>
          <w:p w:rsidR="00256A81" w:rsidRDefault="00553E61">
            <w:pPr>
              <w:jc w:val="center"/>
            </w:pPr>
            <w:r>
              <w:rPr>
                <w:rFonts w:eastAsiaTheme="minorEastAsia"/>
                <w:color w:val="000000" w:themeColor="text1"/>
                <w:szCs w:val="21"/>
              </w:rPr>
              <w:t>-</w:t>
            </w:r>
          </w:p>
        </w:tc>
        <w:tc>
          <w:tcPr>
            <w:tcW w:w="1242" w:type="dxa"/>
            <w:vAlign w:val="center"/>
          </w:tcPr>
          <w:p w:rsidR="00256A81" w:rsidRDefault="00553E61">
            <w:pPr>
              <w:jc w:val="center"/>
            </w:pPr>
            <w:r>
              <w:rPr>
                <w:rFonts w:eastAsiaTheme="minorEastAsia"/>
                <w:color w:val="000000" w:themeColor="text1"/>
                <w:szCs w:val="21"/>
              </w:rPr>
              <w:t>-</w:t>
            </w:r>
          </w:p>
        </w:tc>
        <w:tc>
          <w:tcPr>
            <w:tcW w:w="1440" w:type="dxa"/>
            <w:vAlign w:val="center"/>
          </w:tcPr>
          <w:p w:rsidR="00256A81" w:rsidRDefault="00553E61">
            <w:pPr>
              <w:jc w:val="center"/>
            </w:pPr>
            <w:r>
              <w:rPr>
                <w:rFonts w:eastAsiaTheme="minorEastAsia"/>
                <w:color w:val="000000" w:themeColor="text1"/>
                <w:szCs w:val="21"/>
              </w:rPr>
              <w:t>-</w:t>
            </w:r>
          </w:p>
        </w:tc>
        <w:tc>
          <w:tcPr>
            <w:tcW w:w="1980" w:type="dxa"/>
            <w:vAlign w:val="center"/>
          </w:tcPr>
          <w:p w:rsidR="00256A81" w:rsidRDefault="00553E61">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256A81">
        <w:tc>
          <w:tcPr>
            <w:tcW w:w="1458" w:type="dxa"/>
            <w:vAlign w:val="center"/>
          </w:tcPr>
          <w:p w:rsidR="00256A81" w:rsidRDefault="00553E61">
            <w:pPr>
              <w:jc w:val="center"/>
            </w:pPr>
            <w:r>
              <w:rPr>
                <w:rFonts w:eastAsiaTheme="minorEastAsia"/>
                <w:color w:val="000000" w:themeColor="text1"/>
                <w:szCs w:val="21"/>
              </w:rPr>
              <w:t>广发证券</w:t>
            </w:r>
          </w:p>
        </w:tc>
        <w:tc>
          <w:tcPr>
            <w:tcW w:w="1440" w:type="dxa"/>
            <w:vAlign w:val="center"/>
          </w:tcPr>
          <w:p w:rsidR="00256A81" w:rsidRDefault="00553E61">
            <w:pPr>
              <w:jc w:val="center"/>
            </w:pPr>
            <w:r>
              <w:rPr>
                <w:rFonts w:eastAsiaTheme="minorEastAsia"/>
                <w:color w:val="000000" w:themeColor="text1"/>
                <w:szCs w:val="21"/>
              </w:rPr>
              <w:t>002927</w:t>
            </w:r>
          </w:p>
        </w:tc>
        <w:tc>
          <w:tcPr>
            <w:tcW w:w="1440" w:type="dxa"/>
            <w:vAlign w:val="center"/>
          </w:tcPr>
          <w:p w:rsidR="00256A81" w:rsidRDefault="00553E61">
            <w:pPr>
              <w:jc w:val="center"/>
            </w:pPr>
            <w:r>
              <w:rPr>
                <w:rFonts w:eastAsiaTheme="minorEastAsia"/>
                <w:color w:val="000000" w:themeColor="text1"/>
                <w:szCs w:val="21"/>
              </w:rPr>
              <w:t>泰永长征</w:t>
            </w:r>
          </w:p>
        </w:tc>
        <w:tc>
          <w:tcPr>
            <w:tcW w:w="1242" w:type="dxa"/>
            <w:vAlign w:val="center"/>
          </w:tcPr>
          <w:p w:rsidR="00256A81" w:rsidRDefault="00553E61">
            <w:pPr>
              <w:jc w:val="center"/>
            </w:pPr>
            <w:r>
              <w:rPr>
                <w:rFonts w:eastAsiaTheme="minorEastAsia"/>
                <w:color w:val="000000" w:themeColor="text1"/>
                <w:szCs w:val="21"/>
              </w:rPr>
              <w:t>新股网下发行</w:t>
            </w:r>
          </w:p>
        </w:tc>
        <w:tc>
          <w:tcPr>
            <w:tcW w:w="1440" w:type="dxa"/>
            <w:vAlign w:val="center"/>
          </w:tcPr>
          <w:p w:rsidR="00256A81" w:rsidRDefault="00553E61">
            <w:pPr>
              <w:jc w:val="right"/>
            </w:pPr>
            <w:r>
              <w:rPr>
                <w:rFonts w:eastAsiaTheme="minorEastAsia"/>
                <w:color w:val="000000" w:themeColor="text1"/>
                <w:szCs w:val="21"/>
              </w:rPr>
              <w:t>961</w:t>
            </w:r>
          </w:p>
        </w:tc>
        <w:tc>
          <w:tcPr>
            <w:tcW w:w="1980" w:type="dxa"/>
            <w:vAlign w:val="center"/>
          </w:tcPr>
          <w:p w:rsidR="00256A81" w:rsidRDefault="00553E61">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256A81">
        <w:tc>
          <w:tcPr>
            <w:tcW w:w="851" w:type="dxa"/>
            <w:vAlign w:val="center"/>
          </w:tcPr>
          <w:p w:rsidR="00256A81" w:rsidRDefault="00553E61">
            <w:pPr>
              <w:jc w:val="center"/>
            </w:pPr>
            <w:r>
              <w:rPr>
                <w:rFonts w:eastAsiaTheme="minorEastAsia"/>
                <w:szCs w:val="21"/>
              </w:rPr>
              <w:t>002973</w:t>
            </w:r>
          </w:p>
        </w:tc>
        <w:tc>
          <w:tcPr>
            <w:tcW w:w="709" w:type="dxa"/>
            <w:vAlign w:val="center"/>
          </w:tcPr>
          <w:p w:rsidR="00256A81" w:rsidRDefault="00553E61">
            <w:pPr>
              <w:jc w:val="center"/>
            </w:pPr>
            <w:r>
              <w:rPr>
                <w:rFonts w:eastAsiaTheme="minorEastAsia"/>
                <w:szCs w:val="21"/>
              </w:rPr>
              <w:t>侨银环保</w:t>
            </w:r>
          </w:p>
        </w:tc>
        <w:tc>
          <w:tcPr>
            <w:tcW w:w="1276" w:type="dxa"/>
            <w:vAlign w:val="center"/>
          </w:tcPr>
          <w:p w:rsidR="00256A81" w:rsidRDefault="00553E61">
            <w:pPr>
              <w:jc w:val="center"/>
            </w:pPr>
            <w:r>
              <w:rPr>
                <w:rFonts w:eastAsiaTheme="minorEastAsia"/>
                <w:szCs w:val="21"/>
              </w:rPr>
              <w:t>2019-12-27</w:t>
            </w:r>
          </w:p>
        </w:tc>
        <w:tc>
          <w:tcPr>
            <w:tcW w:w="1245" w:type="dxa"/>
            <w:vAlign w:val="center"/>
          </w:tcPr>
          <w:p w:rsidR="00256A81" w:rsidRDefault="00553E61">
            <w:pPr>
              <w:jc w:val="center"/>
            </w:pPr>
            <w:r>
              <w:rPr>
                <w:rFonts w:eastAsiaTheme="minorEastAsia"/>
                <w:szCs w:val="21"/>
              </w:rPr>
              <w:t>2020-01-06</w:t>
            </w:r>
          </w:p>
        </w:tc>
        <w:tc>
          <w:tcPr>
            <w:tcW w:w="834" w:type="dxa"/>
            <w:vAlign w:val="center"/>
          </w:tcPr>
          <w:p w:rsidR="00256A81" w:rsidRDefault="00553E61">
            <w:pPr>
              <w:jc w:val="center"/>
            </w:pPr>
            <w:r>
              <w:rPr>
                <w:rFonts w:eastAsiaTheme="minorEastAsia"/>
                <w:szCs w:val="21"/>
              </w:rPr>
              <w:t>新股流通受限</w:t>
            </w:r>
          </w:p>
        </w:tc>
        <w:tc>
          <w:tcPr>
            <w:tcW w:w="835" w:type="dxa"/>
            <w:vAlign w:val="center"/>
          </w:tcPr>
          <w:p w:rsidR="00256A81" w:rsidRDefault="00553E61">
            <w:pPr>
              <w:jc w:val="right"/>
            </w:pPr>
            <w:r>
              <w:rPr>
                <w:rFonts w:eastAsiaTheme="minorEastAsia"/>
                <w:szCs w:val="21"/>
              </w:rPr>
              <w:t>5.74</w:t>
            </w:r>
          </w:p>
        </w:tc>
        <w:tc>
          <w:tcPr>
            <w:tcW w:w="771" w:type="dxa"/>
            <w:vAlign w:val="center"/>
          </w:tcPr>
          <w:p w:rsidR="00256A81" w:rsidRDefault="00553E61">
            <w:pPr>
              <w:jc w:val="right"/>
            </w:pPr>
            <w:r>
              <w:rPr>
                <w:rFonts w:eastAsiaTheme="minorEastAsia"/>
                <w:szCs w:val="21"/>
              </w:rPr>
              <w:t>5.74</w:t>
            </w:r>
          </w:p>
        </w:tc>
        <w:tc>
          <w:tcPr>
            <w:tcW w:w="1134" w:type="dxa"/>
            <w:vAlign w:val="center"/>
          </w:tcPr>
          <w:p w:rsidR="00256A81" w:rsidRDefault="00553E61">
            <w:pPr>
              <w:jc w:val="right"/>
            </w:pPr>
            <w:r>
              <w:rPr>
                <w:rFonts w:eastAsiaTheme="minorEastAsia"/>
                <w:szCs w:val="21"/>
              </w:rPr>
              <w:t>1,146</w:t>
            </w:r>
          </w:p>
        </w:tc>
        <w:tc>
          <w:tcPr>
            <w:tcW w:w="1418" w:type="dxa"/>
            <w:vAlign w:val="center"/>
          </w:tcPr>
          <w:p w:rsidR="00256A81" w:rsidRDefault="00553E61">
            <w:pPr>
              <w:jc w:val="right"/>
            </w:pPr>
            <w:r>
              <w:rPr>
                <w:rFonts w:eastAsiaTheme="minorEastAsia"/>
                <w:szCs w:val="21"/>
              </w:rPr>
              <w:t>6,578.04</w:t>
            </w:r>
          </w:p>
        </w:tc>
        <w:tc>
          <w:tcPr>
            <w:tcW w:w="1228" w:type="dxa"/>
            <w:vAlign w:val="center"/>
          </w:tcPr>
          <w:p w:rsidR="00256A81" w:rsidRDefault="00553E61">
            <w:pPr>
              <w:jc w:val="right"/>
            </w:pPr>
            <w:r>
              <w:rPr>
                <w:rFonts w:eastAsiaTheme="minorEastAsia"/>
                <w:szCs w:val="21"/>
              </w:rPr>
              <w:t>6,578.04</w:t>
            </w:r>
          </w:p>
        </w:tc>
        <w:tc>
          <w:tcPr>
            <w:tcW w:w="425" w:type="dxa"/>
            <w:vAlign w:val="center"/>
          </w:tcPr>
          <w:p w:rsidR="00256A81" w:rsidRDefault="00553E61">
            <w:pPr>
              <w:jc w:val="center"/>
            </w:pPr>
            <w:r>
              <w:rPr>
                <w:rFonts w:eastAsiaTheme="minorEastAsia"/>
                <w:szCs w:val="21"/>
              </w:rPr>
              <w:t>-</w:t>
            </w:r>
          </w:p>
        </w:tc>
      </w:tr>
      <w:tr w:rsidR="00256A81">
        <w:tc>
          <w:tcPr>
            <w:tcW w:w="851" w:type="dxa"/>
            <w:vAlign w:val="center"/>
          </w:tcPr>
          <w:p w:rsidR="00256A81" w:rsidRDefault="00553E61">
            <w:pPr>
              <w:jc w:val="center"/>
            </w:pPr>
            <w:r>
              <w:rPr>
                <w:rFonts w:eastAsiaTheme="minorEastAsia"/>
                <w:szCs w:val="21"/>
              </w:rPr>
              <w:t>688021</w:t>
            </w:r>
          </w:p>
        </w:tc>
        <w:tc>
          <w:tcPr>
            <w:tcW w:w="709" w:type="dxa"/>
            <w:vAlign w:val="center"/>
          </w:tcPr>
          <w:p w:rsidR="00256A81" w:rsidRDefault="00553E61">
            <w:pPr>
              <w:jc w:val="center"/>
            </w:pPr>
            <w:r>
              <w:rPr>
                <w:rFonts w:eastAsiaTheme="minorEastAsia"/>
                <w:szCs w:val="21"/>
              </w:rPr>
              <w:t>奥福环保</w:t>
            </w:r>
          </w:p>
        </w:tc>
        <w:tc>
          <w:tcPr>
            <w:tcW w:w="1276" w:type="dxa"/>
            <w:vAlign w:val="center"/>
          </w:tcPr>
          <w:p w:rsidR="00256A81" w:rsidRDefault="00553E61">
            <w:pPr>
              <w:jc w:val="center"/>
            </w:pPr>
            <w:r>
              <w:rPr>
                <w:rFonts w:eastAsiaTheme="minorEastAsia"/>
                <w:szCs w:val="21"/>
              </w:rPr>
              <w:t>2019-10-29</w:t>
            </w:r>
          </w:p>
        </w:tc>
        <w:tc>
          <w:tcPr>
            <w:tcW w:w="1245" w:type="dxa"/>
            <w:vAlign w:val="center"/>
          </w:tcPr>
          <w:p w:rsidR="00256A81" w:rsidRDefault="00553E61">
            <w:pPr>
              <w:jc w:val="center"/>
            </w:pPr>
            <w:r>
              <w:rPr>
                <w:rFonts w:eastAsiaTheme="minorEastAsia"/>
                <w:szCs w:val="21"/>
              </w:rPr>
              <w:t>2020-05-06</w:t>
            </w:r>
          </w:p>
        </w:tc>
        <w:tc>
          <w:tcPr>
            <w:tcW w:w="834" w:type="dxa"/>
            <w:vAlign w:val="center"/>
          </w:tcPr>
          <w:p w:rsidR="00256A81" w:rsidRDefault="00553E61">
            <w:pPr>
              <w:jc w:val="center"/>
            </w:pPr>
            <w:r>
              <w:rPr>
                <w:rFonts w:eastAsiaTheme="minorEastAsia"/>
                <w:szCs w:val="21"/>
              </w:rPr>
              <w:t>新股流通受限</w:t>
            </w:r>
          </w:p>
        </w:tc>
        <w:tc>
          <w:tcPr>
            <w:tcW w:w="835" w:type="dxa"/>
            <w:vAlign w:val="center"/>
          </w:tcPr>
          <w:p w:rsidR="00256A81" w:rsidRDefault="00553E61">
            <w:pPr>
              <w:jc w:val="right"/>
            </w:pPr>
            <w:r>
              <w:rPr>
                <w:rFonts w:eastAsiaTheme="minorEastAsia"/>
                <w:szCs w:val="21"/>
              </w:rPr>
              <w:t>26.17</w:t>
            </w:r>
          </w:p>
        </w:tc>
        <w:tc>
          <w:tcPr>
            <w:tcW w:w="771" w:type="dxa"/>
            <w:vAlign w:val="center"/>
          </w:tcPr>
          <w:p w:rsidR="00256A81" w:rsidRDefault="00553E61">
            <w:pPr>
              <w:jc w:val="right"/>
            </w:pPr>
            <w:r>
              <w:rPr>
                <w:rFonts w:eastAsiaTheme="minorEastAsia"/>
                <w:szCs w:val="21"/>
              </w:rPr>
              <w:t>33.32</w:t>
            </w:r>
          </w:p>
        </w:tc>
        <w:tc>
          <w:tcPr>
            <w:tcW w:w="1134" w:type="dxa"/>
            <w:vAlign w:val="center"/>
          </w:tcPr>
          <w:p w:rsidR="00256A81" w:rsidRDefault="00553E61">
            <w:pPr>
              <w:jc w:val="right"/>
            </w:pPr>
            <w:r>
              <w:rPr>
                <w:rFonts w:eastAsiaTheme="minorEastAsia"/>
                <w:szCs w:val="21"/>
              </w:rPr>
              <w:t>2,940</w:t>
            </w:r>
          </w:p>
        </w:tc>
        <w:tc>
          <w:tcPr>
            <w:tcW w:w="1418" w:type="dxa"/>
            <w:vAlign w:val="center"/>
          </w:tcPr>
          <w:p w:rsidR="00256A81" w:rsidRDefault="00553E61">
            <w:pPr>
              <w:jc w:val="right"/>
            </w:pPr>
            <w:r>
              <w:rPr>
                <w:rFonts w:eastAsiaTheme="minorEastAsia"/>
                <w:szCs w:val="21"/>
              </w:rPr>
              <w:t>76,939.80</w:t>
            </w:r>
          </w:p>
        </w:tc>
        <w:tc>
          <w:tcPr>
            <w:tcW w:w="1228" w:type="dxa"/>
            <w:vAlign w:val="center"/>
          </w:tcPr>
          <w:p w:rsidR="00256A81" w:rsidRDefault="00553E61">
            <w:pPr>
              <w:jc w:val="right"/>
            </w:pPr>
            <w:r>
              <w:rPr>
                <w:rFonts w:eastAsiaTheme="minorEastAsia"/>
                <w:szCs w:val="21"/>
              </w:rPr>
              <w:t>97,960.80</w:t>
            </w:r>
          </w:p>
        </w:tc>
        <w:tc>
          <w:tcPr>
            <w:tcW w:w="425" w:type="dxa"/>
            <w:vAlign w:val="center"/>
          </w:tcPr>
          <w:p w:rsidR="00256A81" w:rsidRDefault="00553E61">
            <w:pPr>
              <w:jc w:val="center"/>
            </w:pPr>
            <w:r>
              <w:rPr>
                <w:rFonts w:eastAsiaTheme="minorEastAsia"/>
                <w:szCs w:val="21"/>
              </w:rPr>
              <w:t>-</w:t>
            </w:r>
          </w:p>
        </w:tc>
      </w:tr>
      <w:tr w:rsidR="00256A81">
        <w:tc>
          <w:tcPr>
            <w:tcW w:w="851" w:type="dxa"/>
            <w:vAlign w:val="center"/>
          </w:tcPr>
          <w:p w:rsidR="00256A81" w:rsidRDefault="00553E61">
            <w:pPr>
              <w:jc w:val="center"/>
            </w:pPr>
            <w:r>
              <w:rPr>
                <w:rFonts w:eastAsiaTheme="minorEastAsia"/>
                <w:szCs w:val="21"/>
              </w:rPr>
              <w:t>688058</w:t>
            </w:r>
          </w:p>
        </w:tc>
        <w:tc>
          <w:tcPr>
            <w:tcW w:w="709" w:type="dxa"/>
            <w:vAlign w:val="center"/>
          </w:tcPr>
          <w:p w:rsidR="00256A81" w:rsidRDefault="00553E61">
            <w:pPr>
              <w:jc w:val="center"/>
            </w:pPr>
            <w:r>
              <w:rPr>
                <w:rFonts w:eastAsiaTheme="minorEastAsia"/>
                <w:szCs w:val="21"/>
              </w:rPr>
              <w:t>宝兰德</w:t>
            </w:r>
          </w:p>
        </w:tc>
        <w:tc>
          <w:tcPr>
            <w:tcW w:w="1276" w:type="dxa"/>
            <w:vAlign w:val="center"/>
          </w:tcPr>
          <w:p w:rsidR="00256A81" w:rsidRDefault="00553E61">
            <w:pPr>
              <w:jc w:val="center"/>
            </w:pPr>
            <w:r>
              <w:rPr>
                <w:rFonts w:eastAsiaTheme="minorEastAsia"/>
                <w:szCs w:val="21"/>
              </w:rPr>
              <w:t>2019-10-25</w:t>
            </w:r>
          </w:p>
        </w:tc>
        <w:tc>
          <w:tcPr>
            <w:tcW w:w="1245" w:type="dxa"/>
            <w:vAlign w:val="center"/>
          </w:tcPr>
          <w:p w:rsidR="00256A81" w:rsidRDefault="00553E61">
            <w:pPr>
              <w:jc w:val="center"/>
            </w:pPr>
            <w:r>
              <w:rPr>
                <w:rFonts w:eastAsiaTheme="minorEastAsia"/>
                <w:szCs w:val="21"/>
              </w:rPr>
              <w:t>2020-05-06</w:t>
            </w:r>
          </w:p>
        </w:tc>
        <w:tc>
          <w:tcPr>
            <w:tcW w:w="834" w:type="dxa"/>
            <w:vAlign w:val="center"/>
          </w:tcPr>
          <w:p w:rsidR="00256A81" w:rsidRDefault="00553E61">
            <w:pPr>
              <w:jc w:val="center"/>
            </w:pPr>
            <w:r>
              <w:rPr>
                <w:rFonts w:eastAsiaTheme="minorEastAsia"/>
                <w:szCs w:val="21"/>
              </w:rPr>
              <w:t>新股流通受限</w:t>
            </w:r>
          </w:p>
        </w:tc>
        <w:tc>
          <w:tcPr>
            <w:tcW w:w="835" w:type="dxa"/>
            <w:vAlign w:val="center"/>
          </w:tcPr>
          <w:p w:rsidR="00256A81" w:rsidRDefault="00553E61">
            <w:pPr>
              <w:jc w:val="right"/>
            </w:pPr>
            <w:r>
              <w:rPr>
                <w:rFonts w:eastAsiaTheme="minorEastAsia"/>
                <w:szCs w:val="21"/>
              </w:rPr>
              <w:t>79.30</w:t>
            </w:r>
          </w:p>
        </w:tc>
        <w:tc>
          <w:tcPr>
            <w:tcW w:w="771" w:type="dxa"/>
            <w:vAlign w:val="center"/>
          </w:tcPr>
          <w:p w:rsidR="00256A81" w:rsidRDefault="00553E61">
            <w:pPr>
              <w:jc w:val="right"/>
            </w:pPr>
            <w:r>
              <w:rPr>
                <w:rFonts w:eastAsiaTheme="minorEastAsia"/>
                <w:szCs w:val="21"/>
              </w:rPr>
              <w:t>90.65</w:t>
            </w:r>
          </w:p>
        </w:tc>
        <w:tc>
          <w:tcPr>
            <w:tcW w:w="1134" w:type="dxa"/>
            <w:vAlign w:val="center"/>
          </w:tcPr>
          <w:p w:rsidR="00256A81" w:rsidRDefault="00553E61">
            <w:pPr>
              <w:jc w:val="right"/>
            </w:pPr>
            <w:r>
              <w:rPr>
                <w:rFonts w:eastAsiaTheme="minorEastAsia"/>
                <w:szCs w:val="21"/>
              </w:rPr>
              <w:t>1,450</w:t>
            </w:r>
          </w:p>
        </w:tc>
        <w:tc>
          <w:tcPr>
            <w:tcW w:w="1418" w:type="dxa"/>
            <w:vAlign w:val="center"/>
          </w:tcPr>
          <w:p w:rsidR="00256A81" w:rsidRDefault="00553E61">
            <w:pPr>
              <w:jc w:val="right"/>
            </w:pPr>
            <w:r>
              <w:rPr>
                <w:rFonts w:eastAsiaTheme="minorEastAsia"/>
                <w:szCs w:val="21"/>
              </w:rPr>
              <w:t>114,985.00</w:t>
            </w:r>
          </w:p>
        </w:tc>
        <w:tc>
          <w:tcPr>
            <w:tcW w:w="1228" w:type="dxa"/>
            <w:vAlign w:val="center"/>
          </w:tcPr>
          <w:p w:rsidR="00256A81" w:rsidRDefault="00553E61">
            <w:pPr>
              <w:jc w:val="right"/>
            </w:pPr>
            <w:r>
              <w:rPr>
                <w:rFonts w:eastAsiaTheme="minorEastAsia"/>
                <w:szCs w:val="21"/>
              </w:rPr>
              <w:t>131,442.50</w:t>
            </w:r>
          </w:p>
        </w:tc>
        <w:tc>
          <w:tcPr>
            <w:tcW w:w="425" w:type="dxa"/>
            <w:vAlign w:val="center"/>
          </w:tcPr>
          <w:p w:rsidR="00256A81" w:rsidRDefault="00553E61">
            <w:pPr>
              <w:jc w:val="center"/>
            </w:pPr>
            <w:r>
              <w:rPr>
                <w:rFonts w:eastAsiaTheme="minorEastAsia"/>
                <w:szCs w:val="21"/>
              </w:rPr>
              <w:t>-</w:t>
            </w:r>
          </w:p>
        </w:tc>
      </w:tr>
      <w:tr w:rsidR="00256A81">
        <w:tc>
          <w:tcPr>
            <w:tcW w:w="851" w:type="dxa"/>
            <w:vAlign w:val="center"/>
          </w:tcPr>
          <w:p w:rsidR="00256A81" w:rsidRDefault="00553E61">
            <w:pPr>
              <w:jc w:val="center"/>
            </w:pPr>
            <w:r>
              <w:rPr>
                <w:rFonts w:eastAsiaTheme="minorEastAsia"/>
                <w:szCs w:val="21"/>
              </w:rPr>
              <w:t>688299</w:t>
            </w:r>
          </w:p>
        </w:tc>
        <w:tc>
          <w:tcPr>
            <w:tcW w:w="709" w:type="dxa"/>
            <w:vAlign w:val="center"/>
          </w:tcPr>
          <w:p w:rsidR="00256A81" w:rsidRDefault="00553E61">
            <w:pPr>
              <w:jc w:val="center"/>
            </w:pPr>
            <w:r>
              <w:rPr>
                <w:rFonts w:eastAsiaTheme="minorEastAsia"/>
                <w:szCs w:val="21"/>
              </w:rPr>
              <w:t>长阳科技</w:t>
            </w:r>
          </w:p>
        </w:tc>
        <w:tc>
          <w:tcPr>
            <w:tcW w:w="1276" w:type="dxa"/>
            <w:vAlign w:val="center"/>
          </w:tcPr>
          <w:p w:rsidR="00256A81" w:rsidRDefault="00553E61">
            <w:pPr>
              <w:jc w:val="center"/>
            </w:pPr>
            <w:r>
              <w:rPr>
                <w:rFonts w:eastAsiaTheme="minorEastAsia"/>
                <w:szCs w:val="21"/>
              </w:rPr>
              <w:t>2019-10-28</w:t>
            </w:r>
          </w:p>
        </w:tc>
        <w:tc>
          <w:tcPr>
            <w:tcW w:w="1245" w:type="dxa"/>
            <w:vAlign w:val="center"/>
          </w:tcPr>
          <w:p w:rsidR="00256A81" w:rsidRDefault="00553E61">
            <w:pPr>
              <w:jc w:val="center"/>
            </w:pPr>
            <w:r>
              <w:rPr>
                <w:rFonts w:eastAsiaTheme="minorEastAsia"/>
                <w:szCs w:val="21"/>
              </w:rPr>
              <w:t>2020-05-06</w:t>
            </w:r>
          </w:p>
        </w:tc>
        <w:tc>
          <w:tcPr>
            <w:tcW w:w="834" w:type="dxa"/>
            <w:vAlign w:val="center"/>
          </w:tcPr>
          <w:p w:rsidR="00256A81" w:rsidRDefault="00553E61">
            <w:pPr>
              <w:jc w:val="center"/>
            </w:pPr>
            <w:r>
              <w:rPr>
                <w:rFonts w:eastAsiaTheme="minorEastAsia"/>
                <w:szCs w:val="21"/>
              </w:rPr>
              <w:t>新股流通受限</w:t>
            </w:r>
          </w:p>
        </w:tc>
        <w:tc>
          <w:tcPr>
            <w:tcW w:w="835" w:type="dxa"/>
            <w:vAlign w:val="center"/>
          </w:tcPr>
          <w:p w:rsidR="00256A81" w:rsidRDefault="00553E61">
            <w:pPr>
              <w:jc w:val="right"/>
            </w:pPr>
            <w:r>
              <w:rPr>
                <w:rFonts w:eastAsiaTheme="minorEastAsia"/>
                <w:szCs w:val="21"/>
              </w:rPr>
              <w:t>13.71</w:t>
            </w:r>
          </w:p>
        </w:tc>
        <w:tc>
          <w:tcPr>
            <w:tcW w:w="771" w:type="dxa"/>
            <w:vAlign w:val="center"/>
          </w:tcPr>
          <w:p w:rsidR="00256A81" w:rsidRDefault="00553E61">
            <w:pPr>
              <w:jc w:val="right"/>
            </w:pPr>
            <w:r>
              <w:rPr>
                <w:rFonts w:eastAsiaTheme="minorEastAsia"/>
                <w:szCs w:val="21"/>
              </w:rPr>
              <w:t>15.74</w:t>
            </w:r>
          </w:p>
        </w:tc>
        <w:tc>
          <w:tcPr>
            <w:tcW w:w="1134" w:type="dxa"/>
            <w:vAlign w:val="center"/>
          </w:tcPr>
          <w:p w:rsidR="00256A81" w:rsidRDefault="00553E61">
            <w:pPr>
              <w:jc w:val="right"/>
            </w:pPr>
            <w:r>
              <w:rPr>
                <w:rFonts w:eastAsiaTheme="minorEastAsia"/>
                <w:szCs w:val="21"/>
              </w:rPr>
              <w:t>11,341</w:t>
            </w:r>
          </w:p>
        </w:tc>
        <w:tc>
          <w:tcPr>
            <w:tcW w:w="1418" w:type="dxa"/>
            <w:vAlign w:val="center"/>
          </w:tcPr>
          <w:p w:rsidR="00256A81" w:rsidRDefault="00553E61">
            <w:pPr>
              <w:jc w:val="right"/>
            </w:pPr>
            <w:r>
              <w:rPr>
                <w:rFonts w:eastAsiaTheme="minorEastAsia"/>
                <w:szCs w:val="21"/>
              </w:rPr>
              <w:t>155,485.11</w:t>
            </w:r>
          </w:p>
        </w:tc>
        <w:tc>
          <w:tcPr>
            <w:tcW w:w="1228" w:type="dxa"/>
            <w:vAlign w:val="center"/>
          </w:tcPr>
          <w:p w:rsidR="00256A81" w:rsidRDefault="00553E61">
            <w:pPr>
              <w:jc w:val="right"/>
            </w:pPr>
            <w:r>
              <w:rPr>
                <w:rFonts w:eastAsiaTheme="minorEastAsia"/>
                <w:szCs w:val="21"/>
              </w:rPr>
              <w:t>178,507.34</w:t>
            </w:r>
          </w:p>
        </w:tc>
        <w:tc>
          <w:tcPr>
            <w:tcW w:w="425" w:type="dxa"/>
            <w:vAlign w:val="center"/>
          </w:tcPr>
          <w:p w:rsidR="00256A81" w:rsidRDefault="00553E61">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w:t>
      </w:r>
      <w:r>
        <w:rPr>
          <w:rFonts w:eastAsiaTheme="minorEastAsia"/>
          <w:kern w:val="0"/>
          <w:szCs w:val="21"/>
        </w:rPr>
        <w:t>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0.32%(2018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0.18%)</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256A81" w:rsidRDefault="00553E6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256A81" w:rsidRDefault="00553E6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1,345,218.79</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984,487.65</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798,318.31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2,143,537.10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984,487.65</w:t>
            </w:r>
          </w:p>
        </w:tc>
      </w:tr>
    </w:tbl>
    <w:p w:rsidR="00256A81" w:rsidRDefault="00553E6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256A81" w:rsidRDefault="00553E6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256A81" w:rsidRDefault="00553E61">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256A81">
        <w:trPr>
          <w:jc w:val="center"/>
        </w:trPr>
        <w:tc>
          <w:tcPr>
            <w:tcW w:w="1588" w:type="dxa"/>
            <w:vAlign w:val="center"/>
          </w:tcPr>
          <w:p w:rsidR="00256A81" w:rsidRDefault="00553E61">
            <w:pPr>
              <w:jc w:val="center"/>
            </w:pPr>
            <w:r>
              <w:rPr>
                <w:color w:val="000000"/>
                <w:szCs w:val="21"/>
              </w:rPr>
              <w:t>银行存款</w:t>
            </w:r>
          </w:p>
        </w:tc>
        <w:tc>
          <w:tcPr>
            <w:tcW w:w="1701" w:type="dxa"/>
            <w:vAlign w:val="center"/>
          </w:tcPr>
          <w:p w:rsidR="00256A81" w:rsidRDefault="00553E61">
            <w:pPr>
              <w:jc w:val="right"/>
            </w:pPr>
            <w:r>
              <w:rPr>
                <w:color w:val="000000"/>
                <w:szCs w:val="21"/>
              </w:rPr>
              <w:t>86,996,258.50</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86,996,258.50</w:t>
            </w:r>
          </w:p>
        </w:tc>
      </w:tr>
      <w:tr w:rsidR="00256A81">
        <w:trPr>
          <w:jc w:val="center"/>
        </w:trPr>
        <w:tc>
          <w:tcPr>
            <w:tcW w:w="1588" w:type="dxa"/>
            <w:vAlign w:val="center"/>
          </w:tcPr>
          <w:p w:rsidR="00256A81" w:rsidRDefault="00553E61">
            <w:pPr>
              <w:jc w:val="center"/>
            </w:pPr>
            <w:r>
              <w:rPr>
                <w:color w:val="000000"/>
                <w:szCs w:val="21"/>
              </w:rPr>
              <w:t>结算备付金</w:t>
            </w:r>
          </w:p>
        </w:tc>
        <w:tc>
          <w:tcPr>
            <w:tcW w:w="1701" w:type="dxa"/>
            <w:vAlign w:val="center"/>
          </w:tcPr>
          <w:p w:rsidR="00256A81" w:rsidRDefault="00553E61">
            <w:pPr>
              <w:jc w:val="right"/>
            </w:pPr>
            <w:r>
              <w:rPr>
                <w:color w:val="000000"/>
                <w:szCs w:val="21"/>
              </w:rPr>
              <w:t>32,447.22</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32,447.22</w:t>
            </w:r>
          </w:p>
        </w:tc>
      </w:tr>
      <w:tr w:rsidR="00256A81">
        <w:trPr>
          <w:jc w:val="center"/>
        </w:trPr>
        <w:tc>
          <w:tcPr>
            <w:tcW w:w="1588" w:type="dxa"/>
            <w:vAlign w:val="center"/>
          </w:tcPr>
          <w:p w:rsidR="00256A81" w:rsidRDefault="00553E61">
            <w:pPr>
              <w:jc w:val="center"/>
            </w:pPr>
            <w:r>
              <w:rPr>
                <w:color w:val="000000"/>
                <w:szCs w:val="21"/>
              </w:rPr>
              <w:t>存出保证金</w:t>
            </w:r>
          </w:p>
        </w:tc>
        <w:tc>
          <w:tcPr>
            <w:tcW w:w="1701" w:type="dxa"/>
            <w:vAlign w:val="center"/>
          </w:tcPr>
          <w:p w:rsidR="00256A81" w:rsidRDefault="00553E61">
            <w:pPr>
              <w:jc w:val="right"/>
            </w:pPr>
            <w:r>
              <w:rPr>
                <w:color w:val="000000"/>
                <w:szCs w:val="21"/>
              </w:rPr>
              <w:t>35,142.78</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35,142.78</w:t>
            </w:r>
          </w:p>
        </w:tc>
      </w:tr>
      <w:tr w:rsidR="00256A81">
        <w:trPr>
          <w:jc w:val="center"/>
        </w:trPr>
        <w:tc>
          <w:tcPr>
            <w:tcW w:w="1588" w:type="dxa"/>
            <w:vAlign w:val="center"/>
          </w:tcPr>
          <w:p w:rsidR="00256A81" w:rsidRDefault="00553E61">
            <w:pPr>
              <w:jc w:val="center"/>
            </w:pPr>
            <w:r>
              <w:rPr>
                <w:color w:val="000000"/>
                <w:szCs w:val="21"/>
              </w:rPr>
              <w:t>交易性金融资产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848,928.00</w:t>
            </w:r>
          </w:p>
        </w:tc>
        <w:tc>
          <w:tcPr>
            <w:tcW w:w="1559" w:type="dxa"/>
            <w:vAlign w:val="center"/>
          </w:tcPr>
          <w:p w:rsidR="00256A81" w:rsidRDefault="00553E61">
            <w:pPr>
              <w:jc w:val="right"/>
            </w:pPr>
            <w:r>
              <w:rPr>
                <w:color w:val="000000"/>
                <w:szCs w:val="21"/>
              </w:rPr>
              <w:t>1,292,104.50</w:t>
            </w:r>
          </w:p>
        </w:tc>
        <w:tc>
          <w:tcPr>
            <w:tcW w:w="1559" w:type="dxa"/>
            <w:vAlign w:val="center"/>
          </w:tcPr>
          <w:p w:rsidR="00256A81" w:rsidRDefault="00553E61">
            <w:pPr>
              <w:jc w:val="right"/>
            </w:pPr>
            <w:r>
              <w:rPr>
                <w:color w:val="000000"/>
                <w:szCs w:val="21"/>
              </w:rPr>
              <w:t>585,368,296.18</w:t>
            </w:r>
          </w:p>
        </w:tc>
        <w:tc>
          <w:tcPr>
            <w:tcW w:w="1301" w:type="dxa"/>
            <w:vAlign w:val="center"/>
          </w:tcPr>
          <w:p w:rsidR="00256A81" w:rsidRDefault="00553E61">
            <w:pPr>
              <w:jc w:val="right"/>
            </w:pPr>
            <w:r>
              <w:rPr>
                <w:color w:val="000000"/>
                <w:szCs w:val="21"/>
              </w:rPr>
              <w:t>587,509,328.68</w:t>
            </w:r>
          </w:p>
        </w:tc>
      </w:tr>
      <w:tr w:rsidR="00256A81">
        <w:trPr>
          <w:jc w:val="center"/>
        </w:trPr>
        <w:tc>
          <w:tcPr>
            <w:tcW w:w="1588" w:type="dxa"/>
            <w:vAlign w:val="center"/>
          </w:tcPr>
          <w:p w:rsidR="00256A81" w:rsidRDefault="00553E61">
            <w:pPr>
              <w:jc w:val="center"/>
            </w:pPr>
            <w:r>
              <w:rPr>
                <w:color w:val="000000"/>
                <w:szCs w:val="21"/>
              </w:rPr>
              <w:t>衍生金融资产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买入返售金融资产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应收证券清算款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应收利息</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20,324.63</w:t>
            </w:r>
          </w:p>
        </w:tc>
        <w:tc>
          <w:tcPr>
            <w:tcW w:w="1301" w:type="dxa"/>
            <w:vAlign w:val="center"/>
          </w:tcPr>
          <w:p w:rsidR="00256A81" w:rsidRDefault="00553E61">
            <w:pPr>
              <w:jc w:val="right"/>
            </w:pPr>
            <w:r>
              <w:rPr>
                <w:color w:val="000000"/>
                <w:szCs w:val="21"/>
              </w:rPr>
              <w:t>20,324.63</w:t>
            </w:r>
          </w:p>
        </w:tc>
      </w:tr>
      <w:tr w:rsidR="00256A81">
        <w:trPr>
          <w:jc w:val="center"/>
        </w:trPr>
        <w:tc>
          <w:tcPr>
            <w:tcW w:w="1588" w:type="dxa"/>
            <w:vAlign w:val="center"/>
          </w:tcPr>
          <w:p w:rsidR="00256A81" w:rsidRDefault="00553E61">
            <w:pPr>
              <w:jc w:val="center"/>
            </w:pPr>
            <w:r>
              <w:rPr>
                <w:color w:val="000000"/>
                <w:szCs w:val="21"/>
              </w:rPr>
              <w:t>应收股利</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应收申购款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1,105,531.19</w:t>
            </w:r>
          </w:p>
        </w:tc>
        <w:tc>
          <w:tcPr>
            <w:tcW w:w="1301" w:type="dxa"/>
            <w:vAlign w:val="center"/>
          </w:tcPr>
          <w:p w:rsidR="00256A81" w:rsidRDefault="00553E61">
            <w:pPr>
              <w:jc w:val="right"/>
            </w:pPr>
            <w:r>
              <w:rPr>
                <w:color w:val="000000"/>
                <w:szCs w:val="21"/>
              </w:rPr>
              <w:t>1,105,531.19</w:t>
            </w:r>
          </w:p>
        </w:tc>
      </w:tr>
      <w:tr w:rsidR="00256A81">
        <w:trPr>
          <w:jc w:val="center"/>
        </w:trPr>
        <w:tc>
          <w:tcPr>
            <w:tcW w:w="1588" w:type="dxa"/>
            <w:vAlign w:val="center"/>
          </w:tcPr>
          <w:p w:rsidR="00256A81" w:rsidRDefault="00553E61">
            <w:pPr>
              <w:jc w:val="center"/>
            </w:pPr>
            <w:r>
              <w:rPr>
                <w:color w:val="000000"/>
                <w:szCs w:val="21"/>
              </w:rPr>
              <w:t>递延所得税资产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其他资产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87,063,848.50</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848,928.00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1,292,104.50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586,494,152.00</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675,699,033.00</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256A81">
        <w:trPr>
          <w:jc w:val="center"/>
        </w:trPr>
        <w:tc>
          <w:tcPr>
            <w:tcW w:w="1588" w:type="dxa"/>
            <w:vAlign w:val="center"/>
          </w:tcPr>
          <w:p w:rsidR="00256A81" w:rsidRDefault="00553E61">
            <w:pPr>
              <w:jc w:val="center"/>
            </w:pPr>
            <w:r>
              <w:rPr>
                <w:color w:val="000000"/>
                <w:szCs w:val="21"/>
              </w:rPr>
              <w:t>短期借款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交易性金融负债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衍生金融负债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卖出回购金融资产款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应付证券清算款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应付赎回款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3,191,244.61</w:t>
            </w:r>
          </w:p>
        </w:tc>
        <w:tc>
          <w:tcPr>
            <w:tcW w:w="1301" w:type="dxa"/>
            <w:vAlign w:val="center"/>
          </w:tcPr>
          <w:p w:rsidR="00256A81" w:rsidRDefault="00553E61">
            <w:pPr>
              <w:jc w:val="right"/>
            </w:pPr>
            <w:r>
              <w:rPr>
                <w:color w:val="000000"/>
                <w:szCs w:val="21"/>
              </w:rPr>
              <w:t>3,191,244.61</w:t>
            </w:r>
          </w:p>
        </w:tc>
      </w:tr>
      <w:tr w:rsidR="00256A81">
        <w:trPr>
          <w:jc w:val="center"/>
        </w:trPr>
        <w:tc>
          <w:tcPr>
            <w:tcW w:w="1588" w:type="dxa"/>
            <w:vAlign w:val="center"/>
          </w:tcPr>
          <w:p w:rsidR="00256A81" w:rsidRDefault="00553E61">
            <w:pPr>
              <w:jc w:val="center"/>
            </w:pPr>
            <w:r>
              <w:rPr>
                <w:color w:val="000000"/>
                <w:szCs w:val="21"/>
              </w:rPr>
              <w:t>应付管理人报酬</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855,830.65</w:t>
            </w:r>
          </w:p>
        </w:tc>
        <w:tc>
          <w:tcPr>
            <w:tcW w:w="1301" w:type="dxa"/>
            <w:vAlign w:val="center"/>
          </w:tcPr>
          <w:p w:rsidR="00256A81" w:rsidRDefault="00553E61">
            <w:pPr>
              <w:jc w:val="right"/>
            </w:pPr>
            <w:r>
              <w:rPr>
                <w:color w:val="000000"/>
                <w:szCs w:val="21"/>
              </w:rPr>
              <w:t>855,830.65</w:t>
            </w:r>
          </w:p>
        </w:tc>
      </w:tr>
      <w:tr w:rsidR="00256A81">
        <w:trPr>
          <w:jc w:val="center"/>
        </w:trPr>
        <w:tc>
          <w:tcPr>
            <w:tcW w:w="1588" w:type="dxa"/>
            <w:vAlign w:val="center"/>
          </w:tcPr>
          <w:p w:rsidR="00256A81" w:rsidRDefault="00553E61">
            <w:pPr>
              <w:jc w:val="center"/>
            </w:pPr>
            <w:r>
              <w:rPr>
                <w:color w:val="000000"/>
                <w:szCs w:val="21"/>
              </w:rPr>
              <w:t>应付托管费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142,638.44</w:t>
            </w:r>
          </w:p>
        </w:tc>
        <w:tc>
          <w:tcPr>
            <w:tcW w:w="1301" w:type="dxa"/>
            <w:vAlign w:val="center"/>
          </w:tcPr>
          <w:p w:rsidR="00256A81" w:rsidRDefault="00553E61">
            <w:pPr>
              <w:jc w:val="right"/>
            </w:pPr>
            <w:r>
              <w:rPr>
                <w:color w:val="000000"/>
                <w:szCs w:val="21"/>
              </w:rPr>
              <w:t>142,638.44</w:t>
            </w:r>
          </w:p>
        </w:tc>
      </w:tr>
      <w:tr w:rsidR="00256A81">
        <w:trPr>
          <w:jc w:val="center"/>
        </w:trPr>
        <w:tc>
          <w:tcPr>
            <w:tcW w:w="1588" w:type="dxa"/>
            <w:vAlign w:val="center"/>
          </w:tcPr>
          <w:p w:rsidR="00256A81" w:rsidRDefault="00553E61">
            <w:pPr>
              <w:jc w:val="center"/>
            </w:pPr>
            <w:r>
              <w:rPr>
                <w:color w:val="000000"/>
                <w:szCs w:val="21"/>
              </w:rPr>
              <w:t>应付销售服务费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应付交易费用</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41,167.20</w:t>
            </w:r>
          </w:p>
        </w:tc>
        <w:tc>
          <w:tcPr>
            <w:tcW w:w="1301" w:type="dxa"/>
            <w:vAlign w:val="center"/>
          </w:tcPr>
          <w:p w:rsidR="00256A81" w:rsidRDefault="00553E61">
            <w:pPr>
              <w:jc w:val="right"/>
            </w:pPr>
            <w:r>
              <w:rPr>
                <w:color w:val="000000"/>
                <w:szCs w:val="21"/>
              </w:rPr>
              <w:t>41,167.20</w:t>
            </w:r>
          </w:p>
        </w:tc>
      </w:tr>
      <w:tr w:rsidR="00256A81">
        <w:trPr>
          <w:jc w:val="center"/>
        </w:trPr>
        <w:tc>
          <w:tcPr>
            <w:tcW w:w="1588" w:type="dxa"/>
            <w:vAlign w:val="center"/>
          </w:tcPr>
          <w:p w:rsidR="00256A81" w:rsidRDefault="00553E61">
            <w:pPr>
              <w:jc w:val="center"/>
            </w:pPr>
            <w:r>
              <w:rPr>
                <w:color w:val="000000"/>
                <w:szCs w:val="21"/>
              </w:rPr>
              <w:t>应交税费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15.27</w:t>
            </w:r>
          </w:p>
        </w:tc>
        <w:tc>
          <w:tcPr>
            <w:tcW w:w="1301" w:type="dxa"/>
            <w:vAlign w:val="center"/>
          </w:tcPr>
          <w:p w:rsidR="00256A81" w:rsidRDefault="00553E61">
            <w:pPr>
              <w:jc w:val="right"/>
            </w:pPr>
            <w:r>
              <w:rPr>
                <w:color w:val="000000"/>
                <w:szCs w:val="21"/>
              </w:rPr>
              <w:t>15.27</w:t>
            </w:r>
          </w:p>
        </w:tc>
      </w:tr>
      <w:tr w:rsidR="00256A81">
        <w:trPr>
          <w:jc w:val="center"/>
        </w:trPr>
        <w:tc>
          <w:tcPr>
            <w:tcW w:w="1588" w:type="dxa"/>
            <w:vAlign w:val="center"/>
          </w:tcPr>
          <w:p w:rsidR="00256A81" w:rsidRDefault="00553E61">
            <w:pPr>
              <w:jc w:val="center"/>
            </w:pPr>
            <w:r>
              <w:rPr>
                <w:color w:val="000000"/>
                <w:szCs w:val="21"/>
              </w:rPr>
              <w:t>应付利息</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应付利润</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递延所得税负债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其他负债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285,405.51</w:t>
            </w:r>
          </w:p>
        </w:tc>
        <w:tc>
          <w:tcPr>
            <w:tcW w:w="1301" w:type="dxa"/>
            <w:vAlign w:val="center"/>
          </w:tcPr>
          <w:p w:rsidR="00256A81" w:rsidRDefault="00553E61">
            <w:pPr>
              <w:jc w:val="right"/>
            </w:pPr>
            <w:r>
              <w:rPr>
                <w:color w:val="000000"/>
                <w:szCs w:val="21"/>
              </w:rPr>
              <w:t>285,405.51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4,516,301.68</w:t>
            </w:r>
          </w:p>
        </w:tc>
        <w:tc>
          <w:tcPr>
            <w:tcW w:w="1301" w:type="dxa"/>
          </w:tcPr>
          <w:p w:rsidR="009D361C" w:rsidRPr="000B045A" w:rsidRDefault="009D361C" w:rsidP="00A12805">
            <w:pPr>
              <w:spacing w:line="360" w:lineRule="auto"/>
              <w:ind w:right="210"/>
              <w:jc w:val="right"/>
              <w:rPr>
                <w:szCs w:val="21"/>
              </w:rPr>
            </w:pPr>
            <w:r w:rsidRPr="000B045A">
              <w:rPr>
                <w:szCs w:val="21"/>
              </w:rPr>
              <w:t>4,516,301.68</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87,063,848.50</w:t>
            </w:r>
          </w:p>
        </w:tc>
        <w:tc>
          <w:tcPr>
            <w:tcW w:w="1701" w:type="dxa"/>
          </w:tcPr>
          <w:p w:rsidR="009D361C" w:rsidRPr="000B045A" w:rsidRDefault="009D361C" w:rsidP="00A12805">
            <w:pPr>
              <w:spacing w:line="360" w:lineRule="auto"/>
              <w:jc w:val="right"/>
              <w:rPr>
                <w:szCs w:val="21"/>
              </w:rPr>
            </w:pPr>
            <w:r w:rsidRPr="000B045A">
              <w:rPr>
                <w:szCs w:val="21"/>
              </w:rPr>
              <w:t>848,928.00</w:t>
            </w:r>
          </w:p>
        </w:tc>
        <w:tc>
          <w:tcPr>
            <w:tcW w:w="1559" w:type="dxa"/>
          </w:tcPr>
          <w:p w:rsidR="009D361C" w:rsidRPr="000B045A" w:rsidRDefault="009D361C" w:rsidP="00A12805">
            <w:pPr>
              <w:spacing w:line="360" w:lineRule="auto"/>
              <w:jc w:val="right"/>
              <w:rPr>
                <w:szCs w:val="21"/>
              </w:rPr>
            </w:pPr>
            <w:r w:rsidRPr="000B045A">
              <w:rPr>
                <w:szCs w:val="21"/>
              </w:rPr>
              <w:t>1,292,104.50</w:t>
            </w:r>
          </w:p>
        </w:tc>
        <w:tc>
          <w:tcPr>
            <w:tcW w:w="1559" w:type="dxa"/>
          </w:tcPr>
          <w:p w:rsidR="009D361C" w:rsidRPr="000B045A" w:rsidRDefault="009D361C" w:rsidP="00A12805">
            <w:pPr>
              <w:spacing w:line="360" w:lineRule="auto"/>
              <w:jc w:val="right"/>
              <w:rPr>
                <w:szCs w:val="21"/>
              </w:rPr>
            </w:pPr>
            <w:r w:rsidRPr="000B045A">
              <w:rPr>
                <w:szCs w:val="21"/>
              </w:rPr>
              <w:t>581,977,850.32</w:t>
            </w:r>
          </w:p>
        </w:tc>
        <w:tc>
          <w:tcPr>
            <w:tcW w:w="1301" w:type="dxa"/>
          </w:tcPr>
          <w:p w:rsidR="009D361C" w:rsidRPr="000B045A" w:rsidRDefault="009D361C" w:rsidP="00A12805">
            <w:pPr>
              <w:spacing w:line="360" w:lineRule="auto"/>
              <w:jc w:val="right"/>
              <w:rPr>
                <w:szCs w:val="21"/>
              </w:rPr>
            </w:pPr>
            <w:r w:rsidRPr="000B045A">
              <w:rPr>
                <w:szCs w:val="21"/>
              </w:rPr>
              <w:t>671,182,731.32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256A81">
        <w:trPr>
          <w:jc w:val="center"/>
        </w:trPr>
        <w:tc>
          <w:tcPr>
            <w:tcW w:w="1588" w:type="dxa"/>
            <w:vAlign w:val="center"/>
          </w:tcPr>
          <w:p w:rsidR="00256A81" w:rsidRDefault="00553E61">
            <w:pPr>
              <w:jc w:val="center"/>
            </w:pPr>
            <w:r>
              <w:rPr>
                <w:color w:val="000000"/>
                <w:szCs w:val="21"/>
              </w:rPr>
              <w:t>银行存款</w:t>
            </w:r>
          </w:p>
        </w:tc>
        <w:tc>
          <w:tcPr>
            <w:tcW w:w="1701" w:type="dxa"/>
            <w:vAlign w:val="center"/>
          </w:tcPr>
          <w:p w:rsidR="00256A81" w:rsidRDefault="00553E61">
            <w:pPr>
              <w:jc w:val="right"/>
            </w:pPr>
            <w:r>
              <w:rPr>
                <w:color w:val="000000"/>
                <w:szCs w:val="21"/>
              </w:rPr>
              <w:t>95,367,341.39</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95,367,341.39</w:t>
            </w:r>
          </w:p>
        </w:tc>
      </w:tr>
      <w:tr w:rsidR="00256A81">
        <w:trPr>
          <w:jc w:val="center"/>
        </w:trPr>
        <w:tc>
          <w:tcPr>
            <w:tcW w:w="1588" w:type="dxa"/>
            <w:vAlign w:val="center"/>
          </w:tcPr>
          <w:p w:rsidR="00256A81" w:rsidRDefault="00553E61">
            <w:pPr>
              <w:jc w:val="center"/>
            </w:pPr>
            <w:r>
              <w:rPr>
                <w:color w:val="000000"/>
                <w:szCs w:val="21"/>
              </w:rPr>
              <w:t>结算备付金</w:t>
            </w:r>
          </w:p>
        </w:tc>
        <w:tc>
          <w:tcPr>
            <w:tcW w:w="1701" w:type="dxa"/>
            <w:vAlign w:val="center"/>
          </w:tcPr>
          <w:p w:rsidR="00256A81" w:rsidRDefault="00553E61">
            <w:pPr>
              <w:jc w:val="right"/>
            </w:pPr>
            <w:r>
              <w:rPr>
                <w:color w:val="000000"/>
                <w:szCs w:val="21"/>
              </w:rPr>
              <w:t>57,565.65</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57,565.65</w:t>
            </w:r>
          </w:p>
        </w:tc>
      </w:tr>
      <w:tr w:rsidR="00256A81">
        <w:trPr>
          <w:jc w:val="center"/>
        </w:trPr>
        <w:tc>
          <w:tcPr>
            <w:tcW w:w="1588" w:type="dxa"/>
            <w:vAlign w:val="center"/>
          </w:tcPr>
          <w:p w:rsidR="00256A81" w:rsidRDefault="00553E61">
            <w:pPr>
              <w:jc w:val="center"/>
            </w:pPr>
            <w:r>
              <w:rPr>
                <w:color w:val="000000"/>
                <w:szCs w:val="21"/>
              </w:rPr>
              <w:t>存出保证金</w:t>
            </w:r>
          </w:p>
        </w:tc>
        <w:tc>
          <w:tcPr>
            <w:tcW w:w="1701" w:type="dxa"/>
            <w:vAlign w:val="center"/>
          </w:tcPr>
          <w:p w:rsidR="00256A81" w:rsidRDefault="00553E61">
            <w:pPr>
              <w:jc w:val="right"/>
            </w:pPr>
            <w:r>
              <w:rPr>
                <w:color w:val="000000"/>
                <w:szCs w:val="21"/>
              </w:rPr>
              <w:t>81,853.49</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81,853.49</w:t>
            </w:r>
          </w:p>
        </w:tc>
      </w:tr>
      <w:tr w:rsidR="00256A81">
        <w:trPr>
          <w:jc w:val="center"/>
        </w:trPr>
        <w:tc>
          <w:tcPr>
            <w:tcW w:w="1588" w:type="dxa"/>
            <w:vAlign w:val="center"/>
          </w:tcPr>
          <w:p w:rsidR="00256A81" w:rsidRDefault="00553E61">
            <w:pPr>
              <w:jc w:val="center"/>
            </w:pPr>
            <w:r>
              <w:rPr>
                <w:color w:val="000000"/>
                <w:szCs w:val="21"/>
              </w:rPr>
              <w:t>交易性金融资产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984,074.50</w:t>
            </w:r>
          </w:p>
        </w:tc>
        <w:tc>
          <w:tcPr>
            <w:tcW w:w="1559" w:type="dxa"/>
            <w:vAlign w:val="center"/>
          </w:tcPr>
          <w:p w:rsidR="00256A81" w:rsidRDefault="00553E61">
            <w:pPr>
              <w:jc w:val="right"/>
            </w:pPr>
            <w:r>
              <w:rPr>
                <w:color w:val="000000"/>
                <w:szCs w:val="21"/>
              </w:rPr>
              <w:t>462,114,016.84</w:t>
            </w:r>
          </w:p>
        </w:tc>
        <w:tc>
          <w:tcPr>
            <w:tcW w:w="1301" w:type="dxa"/>
            <w:vAlign w:val="center"/>
          </w:tcPr>
          <w:p w:rsidR="00256A81" w:rsidRDefault="00553E61">
            <w:pPr>
              <w:jc w:val="right"/>
            </w:pPr>
            <w:r>
              <w:rPr>
                <w:color w:val="000000"/>
                <w:szCs w:val="21"/>
              </w:rPr>
              <w:t>463,098,091.34</w:t>
            </w:r>
          </w:p>
        </w:tc>
      </w:tr>
      <w:tr w:rsidR="00256A81">
        <w:trPr>
          <w:jc w:val="center"/>
        </w:trPr>
        <w:tc>
          <w:tcPr>
            <w:tcW w:w="1588" w:type="dxa"/>
            <w:vAlign w:val="center"/>
          </w:tcPr>
          <w:p w:rsidR="00256A81" w:rsidRDefault="00553E61">
            <w:pPr>
              <w:jc w:val="center"/>
            </w:pPr>
            <w:r>
              <w:rPr>
                <w:color w:val="000000"/>
                <w:szCs w:val="21"/>
              </w:rPr>
              <w:t>衍生金融资产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买入返售金融资产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应收证券清算款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59,295.37</w:t>
            </w:r>
          </w:p>
        </w:tc>
        <w:tc>
          <w:tcPr>
            <w:tcW w:w="1301" w:type="dxa"/>
            <w:vAlign w:val="center"/>
          </w:tcPr>
          <w:p w:rsidR="00256A81" w:rsidRDefault="00553E61">
            <w:pPr>
              <w:jc w:val="right"/>
            </w:pPr>
            <w:r>
              <w:rPr>
                <w:color w:val="000000"/>
                <w:szCs w:val="21"/>
              </w:rPr>
              <w:t>59,295.37</w:t>
            </w:r>
          </w:p>
        </w:tc>
      </w:tr>
      <w:tr w:rsidR="00256A81">
        <w:trPr>
          <w:jc w:val="center"/>
        </w:trPr>
        <w:tc>
          <w:tcPr>
            <w:tcW w:w="1588" w:type="dxa"/>
            <w:vAlign w:val="center"/>
          </w:tcPr>
          <w:p w:rsidR="00256A81" w:rsidRDefault="00553E61">
            <w:pPr>
              <w:jc w:val="center"/>
            </w:pPr>
            <w:r>
              <w:rPr>
                <w:color w:val="000000"/>
                <w:szCs w:val="21"/>
              </w:rPr>
              <w:t>应收利息</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19,482.83</w:t>
            </w:r>
          </w:p>
        </w:tc>
        <w:tc>
          <w:tcPr>
            <w:tcW w:w="1301" w:type="dxa"/>
            <w:vAlign w:val="center"/>
          </w:tcPr>
          <w:p w:rsidR="00256A81" w:rsidRDefault="00553E61">
            <w:pPr>
              <w:jc w:val="right"/>
            </w:pPr>
            <w:r>
              <w:rPr>
                <w:color w:val="000000"/>
                <w:szCs w:val="21"/>
              </w:rPr>
              <w:t>19,482.83</w:t>
            </w:r>
          </w:p>
        </w:tc>
      </w:tr>
      <w:tr w:rsidR="00256A81">
        <w:trPr>
          <w:jc w:val="center"/>
        </w:trPr>
        <w:tc>
          <w:tcPr>
            <w:tcW w:w="1588" w:type="dxa"/>
            <w:vAlign w:val="center"/>
          </w:tcPr>
          <w:p w:rsidR="00256A81" w:rsidRDefault="00553E61">
            <w:pPr>
              <w:jc w:val="center"/>
            </w:pPr>
            <w:r>
              <w:rPr>
                <w:color w:val="000000"/>
                <w:szCs w:val="21"/>
              </w:rPr>
              <w:t>应收股利</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应收申购款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193,772.85</w:t>
            </w:r>
          </w:p>
        </w:tc>
        <w:tc>
          <w:tcPr>
            <w:tcW w:w="1301" w:type="dxa"/>
            <w:vAlign w:val="center"/>
          </w:tcPr>
          <w:p w:rsidR="00256A81" w:rsidRDefault="00553E61">
            <w:pPr>
              <w:jc w:val="right"/>
            </w:pPr>
            <w:r>
              <w:rPr>
                <w:color w:val="000000"/>
                <w:szCs w:val="21"/>
              </w:rPr>
              <w:t>193,772.85</w:t>
            </w:r>
          </w:p>
        </w:tc>
      </w:tr>
      <w:tr w:rsidR="00256A81">
        <w:trPr>
          <w:jc w:val="center"/>
        </w:trPr>
        <w:tc>
          <w:tcPr>
            <w:tcW w:w="1588" w:type="dxa"/>
            <w:vAlign w:val="center"/>
          </w:tcPr>
          <w:p w:rsidR="00256A81" w:rsidRDefault="00553E61">
            <w:pPr>
              <w:jc w:val="center"/>
            </w:pPr>
            <w:r>
              <w:rPr>
                <w:color w:val="000000"/>
                <w:szCs w:val="21"/>
              </w:rPr>
              <w:t>递延所得税资产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其他资产</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301" w:type="dxa"/>
            <w:vAlign w:val="center"/>
          </w:tcPr>
          <w:p w:rsidR="00256A81" w:rsidRDefault="00553E61">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95,506,760.53</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984,074.50</w:t>
            </w:r>
          </w:p>
        </w:tc>
        <w:tc>
          <w:tcPr>
            <w:tcW w:w="1559" w:type="dxa"/>
          </w:tcPr>
          <w:p w:rsidR="00E64BF2" w:rsidRPr="000B045A" w:rsidRDefault="00E64BF2" w:rsidP="00A12805">
            <w:pPr>
              <w:spacing w:line="360" w:lineRule="auto"/>
              <w:jc w:val="right"/>
              <w:rPr>
                <w:szCs w:val="21"/>
              </w:rPr>
            </w:pPr>
            <w:r w:rsidRPr="000B045A">
              <w:rPr>
                <w:szCs w:val="21"/>
              </w:rPr>
              <w:t>462,386,567.89</w:t>
            </w:r>
          </w:p>
        </w:tc>
        <w:tc>
          <w:tcPr>
            <w:tcW w:w="1301" w:type="dxa"/>
          </w:tcPr>
          <w:p w:rsidR="00E64BF2" w:rsidRPr="000B045A" w:rsidRDefault="00E64BF2" w:rsidP="00A12805">
            <w:pPr>
              <w:spacing w:line="360" w:lineRule="auto"/>
              <w:jc w:val="right"/>
              <w:rPr>
                <w:szCs w:val="21"/>
              </w:rPr>
            </w:pPr>
            <w:r w:rsidRPr="000B045A">
              <w:rPr>
                <w:szCs w:val="21"/>
              </w:rPr>
              <w:t>558,877,402.92</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256A81">
        <w:trPr>
          <w:jc w:val="center"/>
        </w:trPr>
        <w:tc>
          <w:tcPr>
            <w:tcW w:w="1588" w:type="dxa"/>
            <w:vAlign w:val="center"/>
          </w:tcPr>
          <w:p w:rsidR="00256A81" w:rsidRDefault="00553E61">
            <w:pPr>
              <w:jc w:val="center"/>
            </w:pPr>
            <w:r>
              <w:rPr>
                <w:color w:val="000000"/>
                <w:szCs w:val="21"/>
              </w:rPr>
              <w:t>短期借款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交易性金融负债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衍生金融负债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卖出回购金融资产款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应付证券清算款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应付赎回款</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896,432.60</w:t>
            </w:r>
          </w:p>
        </w:tc>
        <w:tc>
          <w:tcPr>
            <w:tcW w:w="1301" w:type="dxa"/>
            <w:vAlign w:val="center"/>
          </w:tcPr>
          <w:p w:rsidR="00256A81" w:rsidRDefault="00553E61">
            <w:pPr>
              <w:jc w:val="right"/>
            </w:pPr>
            <w:r>
              <w:rPr>
                <w:color w:val="000000"/>
                <w:szCs w:val="21"/>
              </w:rPr>
              <w:t>896,432.60</w:t>
            </w:r>
          </w:p>
        </w:tc>
      </w:tr>
      <w:tr w:rsidR="00256A81">
        <w:trPr>
          <w:jc w:val="center"/>
        </w:trPr>
        <w:tc>
          <w:tcPr>
            <w:tcW w:w="1588" w:type="dxa"/>
            <w:vAlign w:val="center"/>
          </w:tcPr>
          <w:p w:rsidR="00256A81" w:rsidRDefault="00553E61">
            <w:pPr>
              <w:jc w:val="center"/>
            </w:pPr>
            <w:r>
              <w:rPr>
                <w:color w:val="000000"/>
                <w:szCs w:val="21"/>
              </w:rPr>
              <w:t>应付管理人报酬</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740,594.89</w:t>
            </w:r>
          </w:p>
        </w:tc>
        <w:tc>
          <w:tcPr>
            <w:tcW w:w="1301" w:type="dxa"/>
            <w:vAlign w:val="center"/>
          </w:tcPr>
          <w:p w:rsidR="00256A81" w:rsidRDefault="00553E61">
            <w:pPr>
              <w:jc w:val="right"/>
            </w:pPr>
            <w:r>
              <w:rPr>
                <w:color w:val="000000"/>
                <w:szCs w:val="21"/>
              </w:rPr>
              <w:t>740,594.89</w:t>
            </w:r>
          </w:p>
        </w:tc>
      </w:tr>
      <w:tr w:rsidR="00256A81">
        <w:trPr>
          <w:jc w:val="center"/>
        </w:trPr>
        <w:tc>
          <w:tcPr>
            <w:tcW w:w="1588" w:type="dxa"/>
            <w:vAlign w:val="center"/>
          </w:tcPr>
          <w:p w:rsidR="00256A81" w:rsidRDefault="00553E61">
            <w:pPr>
              <w:jc w:val="center"/>
            </w:pPr>
            <w:r>
              <w:rPr>
                <w:color w:val="000000"/>
                <w:szCs w:val="21"/>
              </w:rPr>
              <w:t>应付托管费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123,432.49</w:t>
            </w:r>
          </w:p>
        </w:tc>
        <w:tc>
          <w:tcPr>
            <w:tcW w:w="1301" w:type="dxa"/>
            <w:vAlign w:val="center"/>
          </w:tcPr>
          <w:p w:rsidR="00256A81" w:rsidRDefault="00553E61">
            <w:pPr>
              <w:jc w:val="right"/>
            </w:pPr>
            <w:r>
              <w:rPr>
                <w:color w:val="000000"/>
                <w:szCs w:val="21"/>
              </w:rPr>
              <w:t>123,432.49</w:t>
            </w:r>
          </w:p>
        </w:tc>
      </w:tr>
      <w:tr w:rsidR="00256A81">
        <w:trPr>
          <w:jc w:val="center"/>
        </w:trPr>
        <w:tc>
          <w:tcPr>
            <w:tcW w:w="1588" w:type="dxa"/>
            <w:vAlign w:val="center"/>
          </w:tcPr>
          <w:p w:rsidR="00256A81" w:rsidRDefault="00553E61">
            <w:pPr>
              <w:jc w:val="center"/>
            </w:pPr>
            <w:r>
              <w:rPr>
                <w:color w:val="000000"/>
                <w:szCs w:val="21"/>
              </w:rPr>
              <w:t>应付销售服务费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应付交易费用</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86,240.50</w:t>
            </w:r>
          </w:p>
        </w:tc>
        <w:tc>
          <w:tcPr>
            <w:tcW w:w="1301" w:type="dxa"/>
            <w:vAlign w:val="center"/>
          </w:tcPr>
          <w:p w:rsidR="00256A81" w:rsidRDefault="00553E61">
            <w:pPr>
              <w:jc w:val="right"/>
            </w:pPr>
            <w:r>
              <w:rPr>
                <w:color w:val="000000"/>
                <w:szCs w:val="21"/>
              </w:rPr>
              <w:t>86,240.50</w:t>
            </w:r>
          </w:p>
        </w:tc>
      </w:tr>
      <w:tr w:rsidR="00256A81">
        <w:trPr>
          <w:jc w:val="center"/>
        </w:trPr>
        <w:tc>
          <w:tcPr>
            <w:tcW w:w="1588" w:type="dxa"/>
            <w:vAlign w:val="center"/>
          </w:tcPr>
          <w:p w:rsidR="00256A81" w:rsidRDefault="00553E61">
            <w:pPr>
              <w:jc w:val="center"/>
            </w:pPr>
            <w:r>
              <w:rPr>
                <w:color w:val="000000"/>
                <w:szCs w:val="21"/>
              </w:rPr>
              <w:t>应交税费</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3.52</w:t>
            </w:r>
          </w:p>
        </w:tc>
        <w:tc>
          <w:tcPr>
            <w:tcW w:w="1301" w:type="dxa"/>
            <w:vAlign w:val="center"/>
          </w:tcPr>
          <w:p w:rsidR="00256A81" w:rsidRDefault="00553E61">
            <w:pPr>
              <w:jc w:val="right"/>
            </w:pPr>
            <w:r>
              <w:rPr>
                <w:color w:val="000000"/>
                <w:szCs w:val="21"/>
              </w:rPr>
              <w:t>3.52</w:t>
            </w:r>
          </w:p>
        </w:tc>
      </w:tr>
      <w:tr w:rsidR="00256A81">
        <w:trPr>
          <w:jc w:val="center"/>
        </w:trPr>
        <w:tc>
          <w:tcPr>
            <w:tcW w:w="1588" w:type="dxa"/>
            <w:vAlign w:val="center"/>
          </w:tcPr>
          <w:p w:rsidR="00256A81" w:rsidRDefault="00553E61">
            <w:pPr>
              <w:jc w:val="center"/>
            </w:pPr>
            <w:r>
              <w:rPr>
                <w:color w:val="000000"/>
                <w:szCs w:val="21"/>
              </w:rPr>
              <w:t>应付利息</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应付利润</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递延所得税负债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w:t>
            </w:r>
          </w:p>
        </w:tc>
        <w:tc>
          <w:tcPr>
            <w:tcW w:w="1301" w:type="dxa"/>
            <w:vAlign w:val="center"/>
          </w:tcPr>
          <w:p w:rsidR="00256A81" w:rsidRDefault="00553E61">
            <w:pPr>
              <w:jc w:val="right"/>
            </w:pPr>
            <w:r>
              <w:rPr>
                <w:color w:val="000000"/>
                <w:szCs w:val="21"/>
              </w:rPr>
              <w:t>-</w:t>
            </w:r>
          </w:p>
        </w:tc>
      </w:tr>
      <w:tr w:rsidR="00256A81">
        <w:trPr>
          <w:jc w:val="center"/>
        </w:trPr>
        <w:tc>
          <w:tcPr>
            <w:tcW w:w="1588" w:type="dxa"/>
            <w:vAlign w:val="center"/>
          </w:tcPr>
          <w:p w:rsidR="00256A81" w:rsidRDefault="00553E61">
            <w:pPr>
              <w:jc w:val="center"/>
            </w:pPr>
            <w:r>
              <w:rPr>
                <w:color w:val="000000"/>
                <w:szCs w:val="21"/>
              </w:rPr>
              <w:t>其他负债</w:t>
            </w:r>
          </w:p>
        </w:tc>
        <w:tc>
          <w:tcPr>
            <w:tcW w:w="1701" w:type="dxa"/>
            <w:vAlign w:val="center"/>
          </w:tcPr>
          <w:p w:rsidR="00256A81" w:rsidRDefault="00553E61">
            <w:pPr>
              <w:jc w:val="right"/>
            </w:pPr>
            <w:r>
              <w:rPr>
                <w:color w:val="000000"/>
                <w:szCs w:val="21"/>
              </w:rPr>
              <w:t>-</w:t>
            </w:r>
          </w:p>
        </w:tc>
        <w:tc>
          <w:tcPr>
            <w:tcW w:w="1701" w:type="dxa"/>
            <w:vAlign w:val="center"/>
          </w:tcPr>
          <w:p w:rsidR="00256A81" w:rsidRDefault="00553E61">
            <w:pPr>
              <w:jc w:val="right"/>
            </w:pPr>
            <w:r>
              <w:rPr>
                <w:color w:val="000000"/>
                <w:szCs w:val="21"/>
              </w:rPr>
              <w:t>-</w:t>
            </w:r>
          </w:p>
        </w:tc>
        <w:tc>
          <w:tcPr>
            <w:tcW w:w="1559" w:type="dxa"/>
            <w:vAlign w:val="center"/>
          </w:tcPr>
          <w:p w:rsidR="00256A81" w:rsidRDefault="00553E61">
            <w:pPr>
              <w:jc w:val="right"/>
            </w:pPr>
            <w:r>
              <w:rPr>
                <w:color w:val="000000"/>
                <w:szCs w:val="21"/>
              </w:rPr>
              <w:t>-</w:t>
            </w:r>
          </w:p>
        </w:tc>
        <w:tc>
          <w:tcPr>
            <w:tcW w:w="1559" w:type="dxa"/>
            <w:vAlign w:val="center"/>
          </w:tcPr>
          <w:p w:rsidR="00256A81" w:rsidRDefault="00553E61">
            <w:pPr>
              <w:jc w:val="center"/>
            </w:pPr>
            <w:r>
              <w:rPr>
                <w:color w:val="000000"/>
                <w:szCs w:val="21"/>
              </w:rPr>
              <w:t>289,062.18</w:t>
            </w:r>
          </w:p>
        </w:tc>
        <w:tc>
          <w:tcPr>
            <w:tcW w:w="1301" w:type="dxa"/>
            <w:vAlign w:val="center"/>
          </w:tcPr>
          <w:p w:rsidR="00256A81" w:rsidRDefault="00553E61">
            <w:pPr>
              <w:jc w:val="right"/>
            </w:pPr>
            <w:r>
              <w:rPr>
                <w:color w:val="000000"/>
                <w:szCs w:val="21"/>
              </w:rPr>
              <w:t>289,062.18</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2,135,766.18</w:t>
            </w:r>
          </w:p>
        </w:tc>
        <w:tc>
          <w:tcPr>
            <w:tcW w:w="1301" w:type="dxa"/>
          </w:tcPr>
          <w:p w:rsidR="00B544A7" w:rsidRPr="000B045A" w:rsidRDefault="003225CF" w:rsidP="00A12805">
            <w:pPr>
              <w:spacing w:line="360" w:lineRule="auto"/>
              <w:jc w:val="right"/>
              <w:rPr>
                <w:szCs w:val="21"/>
              </w:rPr>
            </w:pPr>
            <w:r w:rsidRPr="000B045A">
              <w:rPr>
                <w:szCs w:val="21"/>
              </w:rPr>
              <w:t>2,135,766.18</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95,506,760.53</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984,074.50</w:t>
            </w:r>
          </w:p>
        </w:tc>
        <w:tc>
          <w:tcPr>
            <w:tcW w:w="1559" w:type="dxa"/>
            <w:vAlign w:val="center"/>
          </w:tcPr>
          <w:p w:rsidR="00B544A7" w:rsidRPr="000B045A" w:rsidRDefault="00B544A7" w:rsidP="003225CF">
            <w:pPr>
              <w:spacing w:line="360" w:lineRule="auto"/>
              <w:jc w:val="right"/>
              <w:rPr>
                <w:szCs w:val="21"/>
              </w:rPr>
            </w:pPr>
            <w:r w:rsidRPr="000B045A">
              <w:rPr>
                <w:szCs w:val="21"/>
              </w:rPr>
              <w:t>460,250,801.71</w:t>
            </w:r>
          </w:p>
        </w:tc>
        <w:tc>
          <w:tcPr>
            <w:tcW w:w="1301" w:type="dxa"/>
            <w:vAlign w:val="center"/>
          </w:tcPr>
          <w:p w:rsidR="00B544A7" w:rsidRPr="000B045A" w:rsidRDefault="00B544A7" w:rsidP="003225CF">
            <w:pPr>
              <w:spacing w:line="360" w:lineRule="auto"/>
              <w:jc w:val="right"/>
              <w:rPr>
                <w:szCs w:val="21"/>
              </w:rPr>
            </w:pPr>
            <w:r w:rsidRPr="000B045A">
              <w:rPr>
                <w:szCs w:val="21"/>
              </w:rPr>
              <w:t>556,741,636.74</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p w:rsidR="001A59F9" w:rsidRPr="000B045A" w:rsidRDefault="00806195" w:rsidP="00806195">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256A81" w:rsidRDefault="00553E61">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585,368,296.18</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87.21</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462,114,016.84</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83.00</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585,368,296.18</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87.21</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462,114,016.84</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83.00</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256A81">
        <w:tc>
          <w:tcPr>
            <w:tcW w:w="993" w:type="dxa"/>
            <w:vAlign w:val="center"/>
          </w:tcPr>
          <w:p w:rsidR="00256A81" w:rsidRDefault="00553E61">
            <w:pPr>
              <w:jc w:val="left"/>
            </w:pPr>
            <w:r>
              <w:rPr>
                <w:color w:val="000000"/>
                <w:szCs w:val="21"/>
              </w:rPr>
              <w:t>假设</w:t>
            </w:r>
          </w:p>
        </w:tc>
        <w:tc>
          <w:tcPr>
            <w:tcW w:w="8082" w:type="dxa"/>
            <w:gridSpan w:val="3"/>
            <w:vAlign w:val="center"/>
          </w:tcPr>
          <w:p w:rsidR="00256A81" w:rsidRDefault="00553E61">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256A81">
        <w:tc>
          <w:tcPr>
            <w:tcW w:w="993" w:type="dxa"/>
            <w:vMerge/>
          </w:tcPr>
          <w:p w:rsidR="00256A81" w:rsidRDefault="00256A81"/>
        </w:tc>
        <w:tc>
          <w:tcPr>
            <w:tcW w:w="2448" w:type="dxa"/>
            <w:vAlign w:val="center"/>
          </w:tcPr>
          <w:p w:rsidR="00256A81" w:rsidRDefault="00553E61">
            <w:r>
              <w:rPr>
                <w:color w:val="000000"/>
                <w:szCs w:val="21"/>
              </w:rPr>
              <w:t>1.</w:t>
            </w:r>
            <w:r>
              <w:rPr>
                <w:color w:val="000000"/>
                <w:szCs w:val="21"/>
              </w:rPr>
              <w:t>业绩比较基准上升</w:t>
            </w:r>
            <w:r>
              <w:rPr>
                <w:color w:val="000000"/>
                <w:szCs w:val="21"/>
              </w:rPr>
              <w:t>5%</w:t>
            </w:r>
          </w:p>
        </w:tc>
        <w:tc>
          <w:tcPr>
            <w:tcW w:w="2880" w:type="dxa"/>
            <w:vAlign w:val="center"/>
          </w:tcPr>
          <w:p w:rsidR="00256A81" w:rsidRDefault="00553E61">
            <w:pPr>
              <w:jc w:val="right"/>
            </w:pPr>
            <w:r>
              <w:rPr>
                <w:color w:val="000000"/>
                <w:szCs w:val="21"/>
              </w:rPr>
              <w:t>41,514,315.49</w:t>
            </w:r>
          </w:p>
        </w:tc>
        <w:tc>
          <w:tcPr>
            <w:tcW w:w="2751" w:type="dxa"/>
            <w:vAlign w:val="center"/>
          </w:tcPr>
          <w:p w:rsidR="00256A81" w:rsidRDefault="00553E61">
            <w:pPr>
              <w:jc w:val="right"/>
            </w:pPr>
            <w:r>
              <w:rPr>
                <w:color w:val="000000"/>
                <w:szCs w:val="21"/>
              </w:rPr>
              <w:t>39,497,490.25</w:t>
            </w:r>
          </w:p>
        </w:tc>
      </w:tr>
      <w:tr w:rsidR="00256A81">
        <w:tc>
          <w:tcPr>
            <w:tcW w:w="993" w:type="dxa"/>
            <w:vMerge/>
          </w:tcPr>
          <w:p w:rsidR="00256A81" w:rsidRDefault="00256A81"/>
        </w:tc>
        <w:tc>
          <w:tcPr>
            <w:tcW w:w="2448" w:type="dxa"/>
            <w:vAlign w:val="center"/>
          </w:tcPr>
          <w:p w:rsidR="00256A81" w:rsidRDefault="00553E61">
            <w:r>
              <w:rPr>
                <w:color w:val="000000"/>
                <w:szCs w:val="21"/>
              </w:rPr>
              <w:t>2.</w:t>
            </w:r>
            <w:r>
              <w:rPr>
                <w:color w:val="000000"/>
                <w:szCs w:val="21"/>
              </w:rPr>
              <w:t>业绩比较基准下降</w:t>
            </w:r>
            <w:r>
              <w:rPr>
                <w:color w:val="000000"/>
                <w:szCs w:val="21"/>
              </w:rPr>
              <w:t>5%</w:t>
            </w:r>
          </w:p>
        </w:tc>
        <w:tc>
          <w:tcPr>
            <w:tcW w:w="2880" w:type="dxa"/>
            <w:vAlign w:val="center"/>
          </w:tcPr>
          <w:p w:rsidR="00256A81" w:rsidRDefault="00553E61">
            <w:pPr>
              <w:jc w:val="right"/>
            </w:pPr>
            <w:r>
              <w:rPr>
                <w:color w:val="000000"/>
                <w:szCs w:val="21"/>
              </w:rPr>
              <w:t>-41,514,315.49</w:t>
            </w:r>
          </w:p>
        </w:tc>
        <w:tc>
          <w:tcPr>
            <w:tcW w:w="2751" w:type="dxa"/>
            <w:vAlign w:val="center"/>
          </w:tcPr>
          <w:p w:rsidR="00256A81" w:rsidRDefault="00553E61">
            <w:pPr>
              <w:jc w:val="right"/>
            </w:pPr>
            <w:r>
              <w:rPr>
                <w:color w:val="000000"/>
                <w:szCs w:val="21"/>
              </w:rPr>
              <w:t>-39,497,490.25</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587,094,840.00</w:t>
      </w:r>
      <w:r>
        <w:rPr>
          <w:rFonts w:eastAsiaTheme="minorEastAsia"/>
          <w:kern w:val="0"/>
          <w:szCs w:val="21"/>
        </w:rPr>
        <w:t>元，属于第二层次的余额为</w:t>
      </w:r>
      <w:r>
        <w:rPr>
          <w:rFonts w:eastAsiaTheme="minorEastAsia"/>
          <w:kern w:val="0"/>
          <w:szCs w:val="21"/>
        </w:rPr>
        <w:t>414,488.68</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463,098,091.34</w:t>
      </w:r>
      <w:r>
        <w:rPr>
          <w:rFonts w:eastAsiaTheme="minorEastAsia"/>
          <w:kern w:val="0"/>
          <w:szCs w:val="21"/>
        </w:rPr>
        <w:t>元，无属于第二层次的余额，无属于第三层次的余额</w:t>
      </w:r>
      <w:r>
        <w:rPr>
          <w:rFonts w:eastAsiaTheme="minorEastAsia"/>
          <w:kern w:val="0"/>
          <w:szCs w:val="21"/>
        </w:rPr>
        <w:t>)</w:t>
      </w:r>
      <w:r>
        <w:rPr>
          <w:rFonts w:eastAsiaTheme="minorEastAsia"/>
          <w:kern w:val="0"/>
          <w:szCs w:val="21"/>
        </w:rPr>
        <w:t>。</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w:t>
      </w:r>
      <w:r>
        <w:rPr>
          <w:rFonts w:eastAsiaTheme="minorEastAsia"/>
          <w:kern w:val="0"/>
          <w:szCs w:val="21"/>
        </w:rPr>
        <w:t>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同</w:t>
      </w:r>
      <w:r>
        <w:rPr>
          <w:rFonts w:eastAsiaTheme="minorEastAsia"/>
          <w:kern w:val="0"/>
          <w:szCs w:val="21"/>
        </w:rPr>
        <w:t>)</w:t>
      </w:r>
      <w:r>
        <w:rPr>
          <w:rFonts w:eastAsiaTheme="minorEastAsia"/>
          <w:kern w:val="0"/>
          <w:szCs w:val="21"/>
        </w:rPr>
        <w:t>。</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w:t>
      </w:r>
      <w:r>
        <w:rPr>
          <w:rFonts w:eastAsiaTheme="minorEastAsia"/>
          <w:kern w:val="0"/>
          <w:szCs w:val="21"/>
        </w:rPr>
        <w:t>,</w:t>
      </w:r>
      <w:r>
        <w:rPr>
          <w:rFonts w:eastAsiaTheme="minorEastAsia"/>
          <w:kern w:val="0"/>
          <w:szCs w:val="21"/>
        </w:rPr>
        <w:t>其账面价值与公允价值相差很小。</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w:t>
      </w:r>
      <w:r w:rsidRPr="00AD22E5">
        <w:rPr>
          <w:rFonts w:eastAsiaTheme="minorEastAsia"/>
          <w:kern w:val="0"/>
          <w:szCs w:val="21"/>
        </w:rPr>
        <w:t>,</w:t>
      </w:r>
      <w:r w:rsidRPr="00AD22E5">
        <w:rPr>
          <w:rFonts w:eastAsiaTheme="minorEastAsia"/>
          <w:kern w:val="0"/>
          <w:szCs w:val="21"/>
        </w:rPr>
        <w:t>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960"/>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961"/>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585,368,296.18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86.63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585,368,296.18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86.63</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2,141,032.50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2,141,032.50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87,028,705.72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12.88</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1,160,998.60</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0.17</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675,699,033.00</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962"/>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430,599,756.29</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64.16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22,681,182.93</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3.38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131,442.50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37,441,478.82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5.58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30,943,108.00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4.61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63,564,749.60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9.47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585,368,296.18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87.21</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963"/>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256A81">
        <w:trPr>
          <w:jc w:val="center"/>
        </w:trPr>
        <w:tc>
          <w:tcPr>
            <w:tcW w:w="817" w:type="dxa"/>
            <w:vAlign w:val="center"/>
          </w:tcPr>
          <w:p w:rsidR="00256A81" w:rsidRDefault="00553E61">
            <w:pPr>
              <w:jc w:val="center"/>
            </w:pPr>
            <w:r>
              <w:rPr>
                <w:rFonts w:eastAsiaTheme="minorEastAsia"/>
                <w:color w:val="000000"/>
                <w:szCs w:val="21"/>
              </w:rPr>
              <w:t>1</w:t>
            </w:r>
          </w:p>
        </w:tc>
        <w:tc>
          <w:tcPr>
            <w:tcW w:w="1276" w:type="dxa"/>
            <w:vAlign w:val="center"/>
          </w:tcPr>
          <w:p w:rsidR="00256A81" w:rsidRDefault="00553E61">
            <w:pPr>
              <w:jc w:val="center"/>
            </w:pPr>
            <w:r>
              <w:rPr>
                <w:rFonts w:eastAsiaTheme="minorEastAsia"/>
                <w:color w:val="000000"/>
                <w:szCs w:val="21"/>
              </w:rPr>
              <w:t>600276</w:t>
            </w:r>
          </w:p>
        </w:tc>
        <w:tc>
          <w:tcPr>
            <w:tcW w:w="1701" w:type="dxa"/>
            <w:vAlign w:val="center"/>
          </w:tcPr>
          <w:p w:rsidR="00256A81" w:rsidRDefault="00553E61">
            <w:pPr>
              <w:jc w:val="center"/>
            </w:pPr>
            <w:r>
              <w:rPr>
                <w:rFonts w:eastAsiaTheme="minorEastAsia"/>
                <w:color w:val="000000"/>
                <w:szCs w:val="21"/>
              </w:rPr>
              <w:t>恒瑞医药</w:t>
            </w:r>
          </w:p>
        </w:tc>
        <w:tc>
          <w:tcPr>
            <w:tcW w:w="1559" w:type="dxa"/>
            <w:vAlign w:val="center"/>
          </w:tcPr>
          <w:p w:rsidR="00256A81" w:rsidRDefault="00553E61">
            <w:pPr>
              <w:jc w:val="right"/>
            </w:pPr>
            <w:r>
              <w:rPr>
                <w:rFonts w:eastAsiaTheme="minorEastAsia"/>
                <w:color w:val="000000"/>
                <w:szCs w:val="21"/>
              </w:rPr>
              <w:t>706,800</w:t>
            </w:r>
          </w:p>
        </w:tc>
        <w:tc>
          <w:tcPr>
            <w:tcW w:w="1932" w:type="dxa"/>
            <w:vAlign w:val="center"/>
          </w:tcPr>
          <w:p w:rsidR="00256A81" w:rsidRDefault="00553E61">
            <w:pPr>
              <w:jc w:val="right"/>
            </w:pPr>
            <w:r>
              <w:rPr>
                <w:rFonts w:eastAsiaTheme="minorEastAsia"/>
                <w:color w:val="000000"/>
                <w:szCs w:val="21"/>
              </w:rPr>
              <w:t>61,859,136.00</w:t>
            </w:r>
          </w:p>
        </w:tc>
        <w:tc>
          <w:tcPr>
            <w:tcW w:w="1612" w:type="dxa"/>
            <w:vAlign w:val="center"/>
          </w:tcPr>
          <w:p w:rsidR="00256A81" w:rsidRDefault="00553E61">
            <w:pPr>
              <w:jc w:val="right"/>
            </w:pPr>
            <w:r>
              <w:rPr>
                <w:rFonts w:eastAsiaTheme="minorEastAsia"/>
                <w:color w:val="000000"/>
                <w:szCs w:val="21"/>
              </w:rPr>
              <w:t>9.22</w:t>
            </w:r>
          </w:p>
        </w:tc>
      </w:tr>
      <w:tr w:rsidR="00256A81">
        <w:trPr>
          <w:jc w:val="center"/>
        </w:trPr>
        <w:tc>
          <w:tcPr>
            <w:tcW w:w="817" w:type="dxa"/>
            <w:vAlign w:val="center"/>
          </w:tcPr>
          <w:p w:rsidR="00256A81" w:rsidRDefault="00553E61">
            <w:pPr>
              <w:jc w:val="center"/>
            </w:pPr>
            <w:r>
              <w:rPr>
                <w:rFonts w:eastAsiaTheme="minorEastAsia"/>
                <w:color w:val="000000"/>
                <w:szCs w:val="21"/>
              </w:rPr>
              <w:t>2</w:t>
            </w:r>
          </w:p>
        </w:tc>
        <w:tc>
          <w:tcPr>
            <w:tcW w:w="1276" w:type="dxa"/>
            <w:vAlign w:val="center"/>
          </w:tcPr>
          <w:p w:rsidR="00256A81" w:rsidRDefault="00553E61">
            <w:pPr>
              <w:jc w:val="center"/>
            </w:pPr>
            <w:r>
              <w:rPr>
                <w:rFonts w:eastAsiaTheme="minorEastAsia"/>
                <w:color w:val="000000"/>
                <w:szCs w:val="21"/>
              </w:rPr>
              <w:t>600519</w:t>
            </w:r>
          </w:p>
        </w:tc>
        <w:tc>
          <w:tcPr>
            <w:tcW w:w="1701" w:type="dxa"/>
            <w:vAlign w:val="center"/>
          </w:tcPr>
          <w:p w:rsidR="00256A81" w:rsidRDefault="00553E61">
            <w:pPr>
              <w:jc w:val="center"/>
            </w:pPr>
            <w:r>
              <w:rPr>
                <w:rFonts w:eastAsiaTheme="minorEastAsia"/>
                <w:color w:val="000000"/>
                <w:szCs w:val="21"/>
              </w:rPr>
              <w:t>贵州茅台</w:t>
            </w:r>
          </w:p>
        </w:tc>
        <w:tc>
          <w:tcPr>
            <w:tcW w:w="1559" w:type="dxa"/>
            <w:vAlign w:val="center"/>
          </w:tcPr>
          <w:p w:rsidR="00256A81" w:rsidRDefault="00553E61">
            <w:pPr>
              <w:jc w:val="right"/>
            </w:pPr>
            <w:r>
              <w:rPr>
                <w:rFonts w:eastAsiaTheme="minorEastAsia"/>
                <w:color w:val="000000"/>
                <w:szCs w:val="21"/>
              </w:rPr>
              <w:t>51,135</w:t>
            </w:r>
          </w:p>
        </w:tc>
        <w:tc>
          <w:tcPr>
            <w:tcW w:w="1932" w:type="dxa"/>
            <w:vAlign w:val="center"/>
          </w:tcPr>
          <w:p w:rsidR="00256A81" w:rsidRDefault="00553E61">
            <w:pPr>
              <w:jc w:val="right"/>
            </w:pPr>
            <w:r>
              <w:rPr>
                <w:rFonts w:eastAsiaTheme="minorEastAsia"/>
                <w:color w:val="000000"/>
                <w:szCs w:val="21"/>
              </w:rPr>
              <w:t>60,492,705.00</w:t>
            </w:r>
          </w:p>
        </w:tc>
        <w:tc>
          <w:tcPr>
            <w:tcW w:w="1612" w:type="dxa"/>
            <w:vAlign w:val="center"/>
          </w:tcPr>
          <w:p w:rsidR="00256A81" w:rsidRDefault="00553E61">
            <w:pPr>
              <w:jc w:val="right"/>
            </w:pPr>
            <w:r>
              <w:rPr>
                <w:rFonts w:eastAsiaTheme="minorEastAsia"/>
                <w:color w:val="000000"/>
                <w:szCs w:val="21"/>
              </w:rPr>
              <w:t>9.01</w:t>
            </w:r>
          </w:p>
        </w:tc>
      </w:tr>
      <w:tr w:rsidR="00256A81">
        <w:trPr>
          <w:jc w:val="center"/>
        </w:trPr>
        <w:tc>
          <w:tcPr>
            <w:tcW w:w="817" w:type="dxa"/>
            <w:vAlign w:val="center"/>
          </w:tcPr>
          <w:p w:rsidR="00256A81" w:rsidRDefault="00553E61">
            <w:pPr>
              <w:jc w:val="center"/>
            </w:pPr>
            <w:r>
              <w:rPr>
                <w:rFonts w:eastAsiaTheme="minorEastAsia"/>
                <w:color w:val="000000"/>
                <w:szCs w:val="21"/>
              </w:rPr>
              <w:t>3</w:t>
            </w:r>
          </w:p>
        </w:tc>
        <w:tc>
          <w:tcPr>
            <w:tcW w:w="1276" w:type="dxa"/>
            <w:vAlign w:val="center"/>
          </w:tcPr>
          <w:p w:rsidR="00256A81" w:rsidRDefault="00553E61">
            <w:pPr>
              <w:jc w:val="center"/>
            </w:pPr>
            <w:r>
              <w:rPr>
                <w:rFonts w:eastAsiaTheme="minorEastAsia"/>
                <w:color w:val="000000"/>
                <w:szCs w:val="21"/>
              </w:rPr>
              <w:t>000333</w:t>
            </w:r>
          </w:p>
        </w:tc>
        <w:tc>
          <w:tcPr>
            <w:tcW w:w="1701" w:type="dxa"/>
            <w:vAlign w:val="center"/>
          </w:tcPr>
          <w:p w:rsidR="00256A81" w:rsidRDefault="00553E61">
            <w:pPr>
              <w:jc w:val="center"/>
            </w:pPr>
            <w:r>
              <w:rPr>
                <w:rFonts w:eastAsiaTheme="minorEastAsia"/>
                <w:color w:val="000000"/>
                <w:szCs w:val="21"/>
              </w:rPr>
              <w:t>美的集团</w:t>
            </w:r>
          </w:p>
        </w:tc>
        <w:tc>
          <w:tcPr>
            <w:tcW w:w="1559" w:type="dxa"/>
            <w:vAlign w:val="center"/>
          </w:tcPr>
          <w:p w:rsidR="00256A81" w:rsidRDefault="00553E61">
            <w:pPr>
              <w:jc w:val="right"/>
            </w:pPr>
            <w:r>
              <w:rPr>
                <w:rFonts w:eastAsiaTheme="minorEastAsia"/>
                <w:color w:val="000000"/>
                <w:szCs w:val="21"/>
              </w:rPr>
              <w:t>949,785</w:t>
            </w:r>
          </w:p>
        </w:tc>
        <w:tc>
          <w:tcPr>
            <w:tcW w:w="1932" w:type="dxa"/>
            <w:vAlign w:val="center"/>
          </w:tcPr>
          <w:p w:rsidR="00256A81" w:rsidRDefault="00553E61">
            <w:pPr>
              <w:jc w:val="right"/>
            </w:pPr>
            <w:r>
              <w:rPr>
                <w:rFonts w:eastAsiaTheme="minorEastAsia"/>
                <w:color w:val="000000"/>
                <w:szCs w:val="21"/>
              </w:rPr>
              <w:t>55,324,976.25</w:t>
            </w:r>
          </w:p>
        </w:tc>
        <w:tc>
          <w:tcPr>
            <w:tcW w:w="1612" w:type="dxa"/>
            <w:vAlign w:val="center"/>
          </w:tcPr>
          <w:p w:rsidR="00256A81" w:rsidRDefault="00553E61">
            <w:pPr>
              <w:jc w:val="right"/>
            </w:pPr>
            <w:r>
              <w:rPr>
                <w:rFonts w:eastAsiaTheme="minorEastAsia"/>
                <w:color w:val="000000"/>
                <w:szCs w:val="21"/>
              </w:rPr>
              <w:t>8.24</w:t>
            </w:r>
          </w:p>
        </w:tc>
      </w:tr>
      <w:tr w:rsidR="00256A81">
        <w:trPr>
          <w:jc w:val="center"/>
        </w:trPr>
        <w:tc>
          <w:tcPr>
            <w:tcW w:w="817" w:type="dxa"/>
            <w:vAlign w:val="center"/>
          </w:tcPr>
          <w:p w:rsidR="00256A81" w:rsidRDefault="00553E61">
            <w:pPr>
              <w:jc w:val="center"/>
            </w:pPr>
            <w:r>
              <w:rPr>
                <w:rFonts w:eastAsiaTheme="minorEastAsia"/>
                <w:color w:val="000000"/>
                <w:szCs w:val="21"/>
              </w:rPr>
              <w:t>4</w:t>
            </w:r>
          </w:p>
        </w:tc>
        <w:tc>
          <w:tcPr>
            <w:tcW w:w="1276" w:type="dxa"/>
            <w:vAlign w:val="center"/>
          </w:tcPr>
          <w:p w:rsidR="00256A81" w:rsidRDefault="00553E61">
            <w:pPr>
              <w:jc w:val="center"/>
            </w:pPr>
            <w:r>
              <w:rPr>
                <w:rFonts w:eastAsiaTheme="minorEastAsia"/>
                <w:color w:val="000000"/>
                <w:szCs w:val="21"/>
              </w:rPr>
              <w:t>000661</w:t>
            </w:r>
          </w:p>
        </w:tc>
        <w:tc>
          <w:tcPr>
            <w:tcW w:w="1701" w:type="dxa"/>
            <w:vAlign w:val="center"/>
          </w:tcPr>
          <w:p w:rsidR="00256A81" w:rsidRDefault="00553E61">
            <w:pPr>
              <w:jc w:val="center"/>
            </w:pPr>
            <w:r>
              <w:rPr>
                <w:rFonts w:eastAsiaTheme="minorEastAsia"/>
                <w:color w:val="000000"/>
                <w:szCs w:val="21"/>
              </w:rPr>
              <w:t>长春高新</w:t>
            </w:r>
          </w:p>
        </w:tc>
        <w:tc>
          <w:tcPr>
            <w:tcW w:w="1559" w:type="dxa"/>
            <w:vAlign w:val="center"/>
          </w:tcPr>
          <w:p w:rsidR="00256A81" w:rsidRDefault="00553E61">
            <w:pPr>
              <w:jc w:val="right"/>
            </w:pPr>
            <w:r>
              <w:rPr>
                <w:rFonts w:eastAsiaTheme="minorEastAsia"/>
                <w:color w:val="000000"/>
                <w:szCs w:val="21"/>
              </w:rPr>
              <w:t>115,012</w:t>
            </w:r>
          </w:p>
        </w:tc>
        <w:tc>
          <w:tcPr>
            <w:tcW w:w="1932" w:type="dxa"/>
            <w:vAlign w:val="center"/>
          </w:tcPr>
          <w:p w:rsidR="00256A81" w:rsidRDefault="00553E61">
            <w:pPr>
              <w:jc w:val="right"/>
            </w:pPr>
            <w:r>
              <w:rPr>
                <w:rFonts w:eastAsiaTheme="minorEastAsia"/>
                <w:color w:val="000000"/>
                <w:szCs w:val="21"/>
              </w:rPr>
              <w:t>51,410,364.00</w:t>
            </w:r>
          </w:p>
        </w:tc>
        <w:tc>
          <w:tcPr>
            <w:tcW w:w="1612" w:type="dxa"/>
            <w:vAlign w:val="center"/>
          </w:tcPr>
          <w:p w:rsidR="00256A81" w:rsidRDefault="00553E61">
            <w:pPr>
              <w:jc w:val="right"/>
            </w:pPr>
            <w:r>
              <w:rPr>
                <w:rFonts w:eastAsiaTheme="minorEastAsia"/>
                <w:color w:val="000000"/>
                <w:szCs w:val="21"/>
              </w:rPr>
              <w:t>7.66</w:t>
            </w:r>
          </w:p>
        </w:tc>
      </w:tr>
      <w:tr w:rsidR="00256A81">
        <w:trPr>
          <w:jc w:val="center"/>
        </w:trPr>
        <w:tc>
          <w:tcPr>
            <w:tcW w:w="817" w:type="dxa"/>
            <w:vAlign w:val="center"/>
          </w:tcPr>
          <w:p w:rsidR="00256A81" w:rsidRDefault="00553E61">
            <w:pPr>
              <w:jc w:val="center"/>
            </w:pPr>
            <w:r>
              <w:rPr>
                <w:rFonts w:eastAsiaTheme="minorEastAsia"/>
                <w:color w:val="000000"/>
                <w:szCs w:val="21"/>
              </w:rPr>
              <w:t>5</w:t>
            </w:r>
          </w:p>
        </w:tc>
        <w:tc>
          <w:tcPr>
            <w:tcW w:w="1276" w:type="dxa"/>
            <w:vAlign w:val="center"/>
          </w:tcPr>
          <w:p w:rsidR="00256A81" w:rsidRDefault="00553E61">
            <w:pPr>
              <w:jc w:val="center"/>
            </w:pPr>
            <w:r>
              <w:rPr>
                <w:rFonts w:eastAsiaTheme="minorEastAsia"/>
                <w:color w:val="000000"/>
                <w:szCs w:val="21"/>
              </w:rPr>
              <w:t>300015</w:t>
            </w:r>
          </w:p>
        </w:tc>
        <w:tc>
          <w:tcPr>
            <w:tcW w:w="1701" w:type="dxa"/>
            <w:vAlign w:val="center"/>
          </w:tcPr>
          <w:p w:rsidR="00256A81" w:rsidRDefault="00553E61">
            <w:pPr>
              <w:jc w:val="center"/>
            </w:pPr>
            <w:r>
              <w:rPr>
                <w:rFonts w:eastAsiaTheme="minorEastAsia"/>
                <w:color w:val="000000"/>
                <w:szCs w:val="21"/>
              </w:rPr>
              <w:t>爱尔眼科</w:t>
            </w:r>
          </w:p>
        </w:tc>
        <w:tc>
          <w:tcPr>
            <w:tcW w:w="1559" w:type="dxa"/>
            <w:vAlign w:val="center"/>
          </w:tcPr>
          <w:p w:rsidR="00256A81" w:rsidRDefault="00553E61">
            <w:pPr>
              <w:jc w:val="right"/>
            </w:pPr>
            <w:r>
              <w:rPr>
                <w:rFonts w:eastAsiaTheme="minorEastAsia"/>
                <w:color w:val="000000"/>
                <w:szCs w:val="21"/>
              </w:rPr>
              <w:t>1,275,210</w:t>
            </w:r>
          </w:p>
        </w:tc>
        <w:tc>
          <w:tcPr>
            <w:tcW w:w="1932" w:type="dxa"/>
            <w:vAlign w:val="center"/>
          </w:tcPr>
          <w:p w:rsidR="00256A81" w:rsidRDefault="00553E61">
            <w:pPr>
              <w:jc w:val="right"/>
            </w:pPr>
            <w:r>
              <w:rPr>
                <w:rFonts w:eastAsiaTheme="minorEastAsia"/>
                <w:color w:val="000000"/>
                <w:szCs w:val="21"/>
              </w:rPr>
              <w:t>50,447,307.60</w:t>
            </w:r>
          </w:p>
        </w:tc>
        <w:tc>
          <w:tcPr>
            <w:tcW w:w="1612" w:type="dxa"/>
            <w:vAlign w:val="center"/>
          </w:tcPr>
          <w:p w:rsidR="00256A81" w:rsidRDefault="00553E61">
            <w:pPr>
              <w:jc w:val="right"/>
            </w:pPr>
            <w:r>
              <w:rPr>
                <w:rFonts w:eastAsiaTheme="minorEastAsia"/>
                <w:color w:val="000000"/>
                <w:szCs w:val="21"/>
              </w:rPr>
              <w:t>7.52</w:t>
            </w:r>
          </w:p>
        </w:tc>
      </w:tr>
      <w:tr w:rsidR="00256A81">
        <w:trPr>
          <w:jc w:val="center"/>
        </w:trPr>
        <w:tc>
          <w:tcPr>
            <w:tcW w:w="817" w:type="dxa"/>
            <w:vAlign w:val="center"/>
          </w:tcPr>
          <w:p w:rsidR="00256A81" w:rsidRDefault="00553E61">
            <w:pPr>
              <w:jc w:val="center"/>
            </w:pPr>
            <w:r>
              <w:rPr>
                <w:rFonts w:eastAsiaTheme="minorEastAsia"/>
                <w:color w:val="000000"/>
                <w:szCs w:val="21"/>
              </w:rPr>
              <w:t>6</w:t>
            </w:r>
          </w:p>
        </w:tc>
        <w:tc>
          <w:tcPr>
            <w:tcW w:w="1276" w:type="dxa"/>
            <w:vAlign w:val="center"/>
          </w:tcPr>
          <w:p w:rsidR="00256A81" w:rsidRDefault="00553E61">
            <w:pPr>
              <w:jc w:val="center"/>
            </w:pPr>
            <w:r>
              <w:rPr>
                <w:rFonts w:eastAsiaTheme="minorEastAsia"/>
                <w:color w:val="000000"/>
                <w:szCs w:val="21"/>
              </w:rPr>
              <w:t>601318</w:t>
            </w:r>
          </w:p>
        </w:tc>
        <w:tc>
          <w:tcPr>
            <w:tcW w:w="1701" w:type="dxa"/>
            <w:vAlign w:val="center"/>
          </w:tcPr>
          <w:p w:rsidR="00256A81" w:rsidRDefault="00553E61">
            <w:pPr>
              <w:jc w:val="center"/>
            </w:pPr>
            <w:r>
              <w:rPr>
                <w:rFonts w:eastAsiaTheme="minorEastAsia"/>
                <w:color w:val="000000"/>
                <w:szCs w:val="21"/>
              </w:rPr>
              <w:t>中国平安</w:t>
            </w:r>
          </w:p>
        </w:tc>
        <w:tc>
          <w:tcPr>
            <w:tcW w:w="1559" w:type="dxa"/>
            <w:vAlign w:val="center"/>
          </w:tcPr>
          <w:p w:rsidR="00256A81" w:rsidRDefault="00553E61">
            <w:pPr>
              <w:jc w:val="right"/>
            </w:pPr>
            <w:r>
              <w:rPr>
                <w:rFonts w:eastAsiaTheme="minorEastAsia"/>
                <w:color w:val="000000"/>
                <w:szCs w:val="21"/>
              </w:rPr>
              <w:t>438,117</w:t>
            </w:r>
          </w:p>
        </w:tc>
        <w:tc>
          <w:tcPr>
            <w:tcW w:w="1932" w:type="dxa"/>
            <w:vAlign w:val="center"/>
          </w:tcPr>
          <w:p w:rsidR="00256A81" w:rsidRDefault="00553E61">
            <w:pPr>
              <w:jc w:val="right"/>
            </w:pPr>
            <w:r>
              <w:rPr>
                <w:rFonts w:eastAsiaTheme="minorEastAsia"/>
                <w:color w:val="000000"/>
                <w:szCs w:val="21"/>
              </w:rPr>
              <w:t>37,441,478.82</w:t>
            </w:r>
          </w:p>
        </w:tc>
        <w:tc>
          <w:tcPr>
            <w:tcW w:w="1612" w:type="dxa"/>
            <w:vAlign w:val="center"/>
          </w:tcPr>
          <w:p w:rsidR="00256A81" w:rsidRDefault="00553E61">
            <w:pPr>
              <w:jc w:val="right"/>
            </w:pPr>
            <w:r>
              <w:rPr>
                <w:rFonts w:eastAsiaTheme="minorEastAsia"/>
                <w:color w:val="000000"/>
                <w:szCs w:val="21"/>
              </w:rPr>
              <w:t>5.58</w:t>
            </w:r>
          </w:p>
        </w:tc>
      </w:tr>
      <w:tr w:rsidR="00256A81">
        <w:trPr>
          <w:jc w:val="center"/>
        </w:trPr>
        <w:tc>
          <w:tcPr>
            <w:tcW w:w="817" w:type="dxa"/>
            <w:vAlign w:val="center"/>
          </w:tcPr>
          <w:p w:rsidR="00256A81" w:rsidRDefault="00553E61">
            <w:pPr>
              <w:jc w:val="center"/>
            </w:pPr>
            <w:r>
              <w:rPr>
                <w:rFonts w:eastAsiaTheme="minorEastAsia"/>
                <w:color w:val="000000"/>
                <w:szCs w:val="21"/>
              </w:rPr>
              <w:t>7</w:t>
            </w:r>
          </w:p>
        </w:tc>
        <w:tc>
          <w:tcPr>
            <w:tcW w:w="1276" w:type="dxa"/>
            <w:vAlign w:val="center"/>
          </w:tcPr>
          <w:p w:rsidR="00256A81" w:rsidRDefault="00553E61">
            <w:pPr>
              <w:jc w:val="center"/>
            </w:pPr>
            <w:r>
              <w:rPr>
                <w:rFonts w:eastAsiaTheme="minorEastAsia"/>
                <w:color w:val="000000"/>
                <w:szCs w:val="21"/>
              </w:rPr>
              <w:t>000651</w:t>
            </w:r>
          </w:p>
        </w:tc>
        <w:tc>
          <w:tcPr>
            <w:tcW w:w="1701" w:type="dxa"/>
            <w:vAlign w:val="center"/>
          </w:tcPr>
          <w:p w:rsidR="00256A81" w:rsidRDefault="00553E61">
            <w:pPr>
              <w:jc w:val="center"/>
            </w:pPr>
            <w:r>
              <w:rPr>
                <w:rFonts w:eastAsiaTheme="minorEastAsia"/>
                <w:color w:val="000000"/>
                <w:szCs w:val="21"/>
              </w:rPr>
              <w:t>格力电器</w:t>
            </w:r>
          </w:p>
        </w:tc>
        <w:tc>
          <w:tcPr>
            <w:tcW w:w="1559" w:type="dxa"/>
            <w:vAlign w:val="center"/>
          </w:tcPr>
          <w:p w:rsidR="00256A81" w:rsidRDefault="00553E61">
            <w:pPr>
              <w:jc w:val="right"/>
            </w:pPr>
            <w:r>
              <w:rPr>
                <w:rFonts w:eastAsiaTheme="minorEastAsia"/>
                <w:color w:val="000000"/>
                <w:szCs w:val="21"/>
              </w:rPr>
              <w:t>502,800</w:t>
            </w:r>
          </w:p>
        </w:tc>
        <w:tc>
          <w:tcPr>
            <w:tcW w:w="1932" w:type="dxa"/>
            <w:vAlign w:val="center"/>
          </w:tcPr>
          <w:p w:rsidR="00256A81" w:rsidRDefault="00553E61">
            <w:pPr>
              <w:jc w:val="right"/>
            </w:pPr>
            <w:r>
              <w:rPr>
                <w:rFonts w:eastAsiaTheme="minorEastAsia"/>
                <w:color w:val="000000"/>
                <w:szCs w:val="21"/>
              </w:rPr>
              <w:t>32,973,624.00</w:t>
            </w:r>
          </w:p>
        </w:tc>
        <w:tc>
          <w:tcPr>
            <w:tcW w:w="1612" w:type="dxa"/>
            <w:vAlign w:val="center"/>
          </w:tcPr>
          <w:p w:rsidR="00256A81" w:rsidRDefault="00553E61">
            <w:pPr>
              <w:jc w:val="right"/>
            </w:pPr>
            <w:r>
              <w:rPr>
                <w:rFonts w:eastAsiaTheme="minorEastAsia"/>
                <w:color w:val="000000"/>
                <w:szCs w:val="21"/>
              </w:rPr>
              <w:t>4.91</w:t>
            </w:r>
          </w:p>
        </w:tc>
      </w:tr>
      <w:tr w:rsidR="00256A81">
        <w:trPr>
          <w:jc w:val="center"/>
        </w:trPr>
        <w:tc>
          <w:tcPr>
            <w:tcW w:w="817" w:type="dxa"/>
            <w:vAlign w:val="center"/>
          </w:tcPr>
          <w:p w:rsidR="00256A81" w:rsidRDefault="00553E61">
            <w:pPr>
              <w:jc w:val="center"/>
            </w:pPr>
            <w:r>
              <w:rPr>
                <w:rFonts w:eastAsiaTheme="minorEastAsia"/>
                <w:color w:val="000000"/>
                <w:szCs w:val="21"/>
              </w:rPr>
              <w:t>8</w:t>
            </w:r>
          </w:p>
        </w:tc>
        <w:tc>
          <w:tcPr>
            <w:tcW w:w="1276" w:type="dxa"/>
            <w:vAlign w:val="center"/>
          </w:tcPr>
          <w:p w:rsidR="00256A81" w:rsidRDefault="00553E61">
            <w:pPr>
              <w:jc w:val="center"/>
            </w:pPr>
            <w:r>
              <w:rPr>
                <w:rFonts w:eastAsiaTheme="minorEastAsia"/>
                <w:color w:val="000000"/>
                <w:szCs w:val="21"/>
              </w:rPr>
              <w:t>603259</w:t>
            </w:r>
          </w:p>
        </w:tc>
        <w:tc>
          <w:tcPr>
            <w:tcW w:w="1701" w:type="dxa"/>
            <w:vAlign w:val="center"/>
          </w:tcPr>
          <w:p w:rsidR="00256A81" w:rsidRDefault="00553E61">
            <w:pPr>
              <w:jc w:val="center"/>
            </w:pPr>
            <w:r>
              <w:rPr>
                <w:rFonts w:eastAsiaTheme="minorEastAsia"/>
                <w:color w:val="000000"/>
                <w:szCs w:val="21"/>
              </w:rPr>
              <w:t>药明康德</w:t>
            </w:r>
          </w:p>
        </w:tc>
        <w:tc>
          <w:tcPr>
            <w:tcW w:w="1559" w:type="dxa"/>
            <w:vAlign w:val="center"/>
          </w:tcPr>
          <w:p w:rsidR="00256A81" w:rsidRDefault="00553E61">
            <w:pPr>
              <w:jc w:val="right"/>
            </w:pPr>
            <w:r>
              <w:rPr>
                <w:rFonts w:eastAsiaTheme="minorEastAsia"/>
                <w:color w:val="000000"/>
                <w:szCs w:val="21"/>
              </w:rPr>
              <w:t>335,900</w:t>
            </w:r>
          </w:p>
        </w:tc>
        <w:tc>
          <w:tcPr>
            <w:tcW w:w="1932" w:type="dxa"/>
            <w:vAlign w:val="center"/>
          </w:tcPr>
          <w:p w:rsidR="00256A81" w:rsidRDefault="00553E61">
            <w:pPr>
              <w:jc w:val="right"/>
            </w:pPr>
            <w:r>
              <w:rPr>
                <w:rFonts w:eastAsiaTheme="minorEastAsia"/>
                <w:color w:val="000000"/>
                <w:szCs w:val="21"/>
              </w:rPr>
              <w:t>30,943,108.00</w:t>
            </w:r>
          </w:p>
        </w:tc>
        <w:tc>
          <w:tcPr>
            <w:tcW w:w="1612" w:type="dxa"/>
            <w:vAlign w:val="center"/>
          </w:tcPr>
          <w:p w:rsidR="00256A81" w:rsidRDefault="00553E61">
            <w:pPr>
              <w:jc w:val="right"/>
            </w:pPr>
            <w:r>
              <w:rPr>
                <w:rFonts w:eastAsiaTheme="minorEastAsia"/>
                <w:color w:val="000000"/>
                <w:szCs w:val="21"/>
              </w:rPr>
              <w:t>4.61</w:t>
            </w:r>
          </w:p>
        </w:tc>
      </w:tr>
      <w:tr w:rsidR="00256A81">
        <w:trPr>
          <w:jc w:val="center"/>
        </w:trPr>
        <w:tc>
          <w:tcPr>
            <w:tcW w:w="817" w:type="dxa"/>
            <w:vAlign w:val="center"/>
          </w:tcPr>
          <w:p w:rsidR="00256A81" w:rsidRDefault="00553E61">
            <w:pPr>
              <w:jc w:val="center"/>
            </w:pPr>
            <w:r>
              <w:rPr>
                <w:rFonts w:eastAsiaTheme="minorEastAsia"/>
                <w:color w:val="000000"/>
                <w:szCs w:val="21"/>
              </w:rPr>
              <w:t>9</w:t>
            </w:r>
          </w:p>
        </w:tc>
        <w:tc>
          <w:tcPr>
            <w:tcW w:w="1276" w:type="dxa"/>
            <w:vAlign w:val="center"/>
          </w:tcPr>
          <w:p w:rsidR="00256A81" w:rsidRDefault="00553E61">
            <w:pPr>
              <w:jc w:val="center"/>
            </w:pPr>
            <w:r>
              <w:rPr>
                <w:rFonts w:eastAsiaTheme="minorEastAsia"/>
                <w:color w:val="000000"/>
                <w:szCs w:val="21"/>
              </w:rPr>
              <w:t>000596</w:t>
            </w:r>
          </w:p>
        </w:tc>
        <w:tc>
          <w:tcPr>
            <w:tcW w:w="1701" w:type="dxa"/>
            <w:vAlign w:val="center"/>
          </w:tcPr>
          <w:p w:rsidR="00256A81" w:rsidRDefault="00553E61">
            <w:pPr>
              <w:jc w:val="center"/>
            </w:pPr>
            <w:r>
              <w:rPr>
                <w:rFonts w:eastAsiaTheme="minorEastAsia"/>
                <w:color w:val="000000"/>
                <w:szCs w:val="21"/>
              </w:rPr>
              <w:t>古井贡酒</w:t>
            </w:r>
          </w:p>
        </w:tc>
        <w:tc>
          <w:tcPr>
            <w:tcW w:w="1559" w:type="dxa"/>
            <w:vAlign w:val="center"/>
          </w:tcPr>
          <w:p w:rsidR="00256A81" w:rsidRDefault="00553E61">
            <w:pPr>
              <w:jc w:val="right"/>
            </w:pPr>
            <w:r>
              <w:rPr>
                <w:rFonts w:eastAsiaTheme="minorEastAsia"/>
                <w:color w:val="000000"/>
                <w:szCs w:val="21"/>
              </w:rPr>
              <w:t>184,563</w:t>
            </w:r>
          </w:p>
        </w:tc>
        <w:tc>
          <w:tcPr>
            <w:tcW w:w="1932" w:type="dxa"/>
            <w:vAlign w:val="center"/>
          </w:tcPr>
          <w:p w:rsidR="00256A81" w:rsidRDefault="00553E61">
            <w:pPr>
              <w:jc w:val="right"/>
            </w:pPr>
            <w:r>
              <w:rPr>
                <w:rFonts w:eastAsiaTheme="minorEastAsia"/>
                <w:color w:val="000000"/>
                <w:szCs w:val="21"/>
              </w:rPr>
              <w:t>25,085,802.96</w:t>
            </w:r>
          </w:p>
        </w:tc>
        <w:tc>
          <w:tcPr>
            <w:tcW w:w="1612" w:type="dxa"/>
            <w:vAlign w:val="center"/>
          </w:tcPr>
          <w:p w:rsidR="00256A81" w:rsidRDefault="00553E61">
            <w:pPr>
              <w:jc w:val="right"/>
            </w:pPr>
            <w:r>
              <w:rPr>
                <w:rFonts w:eastAsiaTheme="minorEastAsia"/>
                <w:color w:val="000000"/>
                <w:szCs w:val="21"/>
              </w:rPr>
              <w:t>3.74</w:t>
            </w:r>
          </w:p>
        </w:tc>
      </w:tr>
      <w:tr w:rsidR="00256A81">
        <w:trPr>
          <w:jc w:val="center"/>
        </w:trPr>
        <w:tc>
          <w:tcPr>
            <w:tcW w:w="817" w:type="dxa"/>
            <w:vAlign w:val="center"/>
          </w:tcPr>
          <w:p w:rsidR="00256A81" w:rsidRDefault="00553E61">
            <w:pPr>
              <w:jc w:val="center"/>
            </w:pPr>
            <w:r>
              <w:rPr>
                <w:rFonts w:eastAsiaTheme="minorEastAsia"/>
                <w:color w:val="000000"/>
                <w:szCs w:val="21"/>
              </w:rPr>
              <w:t>10</w:t>
            </w:r>
          </w:p>
        </w:tc>
        <w:tc>
          <w:tcPr>
            <w:tcW w:w="1276" w:type="dxa"/>
            <w:vAlign w:val="center"/>
          </w:tcPr>
          <w:p w:rsidR="00256A81" w:rsidRDefault="00553E61">
            <w:pPr>
              <w:jc w:val="center"/>
            </w:pPr>
            <w:r>
              <w:rPr>
                <w:rFonts w:eastAsiaTheme="minorEastAsia"/>
                <w:color w:val="000000"/>
                <w:szCs w:val="21"/>
              </w:rPr>
              <w:t>000858</w:t>
            </w:r>
          </w:p>
        </w:tc>
        <w:tc>
          <w:tcPr>
            <w:tcW w:w="1701" w:type="dxa"/>
            <w:vAlign w:val="center"/>
          </w:tcPr>
          <w:p w:rsidR="00256A81" w:rsidRDefault="00553E61">
            <w:pPr>
              <w:jc w:val="center"/>
            </w:pPr>
            <w:r>
              <w:rPr>
                <w:rFonts w:eastAsiaTheme="minorEastAsia"/>
                <w:color w:val="000000"/>
                <w:szCs w:val="21"/>
              </w:rPr>
              <w:t>五粮液</w:t>
            </w:r>
          </w:p>
        </w:tc>
        <w:tc>
          <w:tcPr>
            <w:tcW w:w="1559" w:type="dxa"/>
            <w:vAlign w:val="center"/>
          </w:tcPr>
          <w:p w:rsidR="00256A81" w:rsidRDefault="00553E61">
            <w:pPr>
              <w:jc w:val="right"/>
            </w:pPr>
            <w:r>
              <w:rPr>
                <w:rFonts w:eastAsiaTheme="minorEastAsia"/>
                <w:color w:val="000000"/>
                <w:szCs w:val="21"/>
              </w:rPr>
              <w:t>174,710</w:t>
            </w:r>
          </w:p>
        </w:tc>
        <w:tc>
          <w:tcPr>
            <w:tcW w:w="1932" w:type="dxa"/>
            <w:vAlign w:val="center"/>
          </w:tcPr>
          <w:p w:rsidR="00256A81" w:rsidRDefault="00553E61">
            <w:pPr>
              <w:jc w:val="right"/>
            </w:pPr>
            <w:r>
              <w:rPr>
                <w:rFonts w:eastAsiaTheme="minorEastAsia"/>
                <w:color w:val="000000"/>
                <w:szCs w:val="21"/>
              </w:rPr>
              <w:t>23,238,177.10</w:t>
            </w:r>
          </w:p>
        </w:tc>
        <w:tc>
          <w:tcPr>
            <w:tcW w:w="1612" w:type="dxa"/>
            <w:vAlign w:val="center"/>
          </w:tcPr>
          <w:p w:rsidR="00256A81" w:rsidRDefault="00553E61">
            <w:pPr>
              <w:jc w:val="right"/>
            </w:pPr>
            <w:r>
              <w:rPr>
                <w:rFonts w:eastAsiaTheme="minorEastAsia"/>
                <w:color w:val="000000"/>
                <w:szCs w:val="21"/>
              </w:rPr>
              <w:t>3.46</w:t>
            </w:r>
          </w:p>
        </w:tc>
      </w:tr>
      <w:tr w:rsidR="00256A81">
        <w:trPr>
          <w:jc w:val="center"/>
        </w:trPr>
        <w:tc>
          <w:tcPr>
            <w:tcW w:w="817" w:type="dxa"/>
            <w:vAlign w:val="center"/>
          </w:tcPr>
          <w:p w:rsidR="00256A81" w:rsidRDefault="00553E61">
            <w:pPr>
              <w:jc w:val="center"/>
            </w:pPr>
            <w:r>
              <w:rPr>
                <w:rFonts w:eastAsiaTheme="minorEastAsia"/>
                <w:color w:val="000000"/>
                <w:szCs w:val="21"/>
              </w:rPr>
              <w:t>11</w:t>
            </w:r>
          </w:p>
        </w:tc>
        <w:tc>
          <w:tcPr>
            <w:tcW w:w="1276" w:type="dxa"/>
            <w:vAlign w:val="center"/>
          </w:tcPr>
          <w:p w:rsidR="00256A81" w:rsidRDefault="00553E61">
            <w:pPr>
              <w:jc w:val="center"/>
            </w:pPr>
            <w:r>
              <w:rPr>
                <w:rFonts w:eastAsiaTheme="minorEastAsia"/>
                <w:color w:val="000000"/>
                <w:szCs w:val="21"/>
              </w:rPr>
              <w:t>600511</w:t>
            </w:r>
          </w:p>
        </w:tc>
        <w:tc>
          <w:tcPr>
            <w:tcW w:w="1701" w:type="dxa"/>
            <w:vAlign w:val="center"/>
          </w:tcPr>
          <w:p w:rsidR="00256A81" w:rsidRDefault="00553E61">
            <w:pPr>
              <w:jc w:val="center"/>
            </w:pPr>
            <w:r>
              <w:rPr>
                <w:rFonts w:eastAsiaTheme="minorEastAsia"/>
                <w:color w:val="000000"/>
                <w:szCs w:val="21"/>
              </w:rPr>
              <w:t>国药股份</w:t>
            </w:r>
          </w:p>
        </w:tc>
        <w:tc>
          <w:tcPr>
            <w:tcW w:w="1559" w:type="dxa"/>
            <w:vAlign w:val="center"/>
          </w:tcPr>
          <w:p w:rsidR="00256A81" w:rsidRDefault="00553E61">
            <w:pPr>
              <w:jc w:val="right"/>
            </w:pPr>
            <w:r>
              <w:rPr>
                <w:rFonts w:eastAsiaTheme="minorEastAsia"/>
                <w:color w:val="000000"/>
                <w:szCs w:val="21"/>
              </w:rPr>
              <w:t>831,117</w:t>
            </w:r>
          </w:p>
        </w:tc>
        <w:tc>
          <w:tcPr>
            <w:tcW w:w="1932" w:type="dxa"/>
            <w:vAlign w:val="center"/>
          </w:tcPr>
          <w:p w:rsidR="00256A81" w:rsidRDefault="00553E61">
            <w:pPr>
              <w:jc w:val="right"/>
            </w:pPr>
            <w:r>
              <w:rPr>
                <w:rFonts w:eastAsiaTheme="minorEastAsia"/>
                <w:color w:val="000000"/>
                <w:szCs w:val="21"/>
              </w:rPr>
              <w:t>22,681,182.93</w:t>
            </w:r>
          </w:p>
        </w:tc>
        <w:tc>
          <w:tcPr>
            <w:tcW w:w="1612" w:type="dxa"/>
            <w:vAlign w:val="center"/>
          </w:tcPr>
          <w:p w:rsidR="00256A81" w:rsidRDefault="00553E61">
            <w:pPr>
              <w:jc w:val="right"/>
            </w:pPr>
            <w:r>
              <w:rPr>
                <w:rFonts w:eastAsiaTheme="minorEastAsia"/>
                <w:color w:val="000000"/>
                <w:szCs w:val="21"/>
              </w:rPr>
              <w:t>3.38</w:t>
            </w:r>
          </w:p>
        </w:tc>
      </w:tr>
      <w:tr w:rsidR="00256A81">
        <w:trPr>
          <w:jc w:val="center"/>
        </w:trPr>
        <w:tc>
          <w:tcPr>
            <w:tcW w:w="817" w:type="dxa"/>
            <w:vAlign w:val="center"/>
          </w:tcPr>
          <w:p w:rsidR="00256A81" w:rsidRDefault="00553E61">
            <w:pPr>
              <w:jc w:val="center"/>
            </w:pPr>
            <w:r>
              <w:rPr>
                <w:rFonts w:eastAsiaTheme="minorEastAsia"/>
                <w:color w:val="000000"/>
                <w:szCs w:val="21"/>
              </w:rPr>
              <w:t>12</w:t>
            </w:r>
          </w:p>
        </w:tc>
        <w:tc>
          <w:tcPr>
            <w:tcW w:w="1276" w:type="dxa"/>
            <w:vAlign w:val="center"/>
          </w:tcPr>
          <w:p w:rsidR="00256A81" w:rsidRDefault="00553E61">
            <w:pPr>
              <w:jc w:val="center"/>
            </w:pPr>
            <w:r>
              <w:rPr>
                <w:rFonts w:eastAsiaTheme="minorEastAsia"/>
                <w:color w:val="000000"/>
                <w:szCs w:val="21"/>
              </w:rPr>
              <w:t>000568</w:t>
            </w:r>
          </w:p>
        </w:tc>
        <w:tc>
          <w:tcPr>
            <w:tcW w:w="1701" w:type="dxa"/>
            <w:vAlign w:val="center"/>
          </w:tcPr>
          <w:p w:rsidR="00256A81" w:rsidRDefault="00553E61">
            <w:pPr>
              <w:jc w:val="center"/>
            </w:pPr>
            <w:r>
              <w:rPr>
                <w:rFonts w:eastAsiaTheme="minorEastAsia"/>
                <w:color w:val="000000"/>
                <w:szCs w:val="21"/>
              </w:rPr>
              <w:t>泸州老窖</w:t>
            </w:r>
          </w:p>
        </w:tc>
        <w:tc>
          <w:tcPr>
            <w:tcW w:w="1559" w:type="dxa"/>
            <w:vAlign w:val="center"/>
          </w:tcPr>
          <w:p w:rsidR="00256A81" w:rsidRDefault="00553E61">
            <w:pPr>
              <w:jc w:val="right"/>
            </w:pPr>
            <w:r>
              <w:rPr>
                <w:rFonts w:eastAsiaTheme="minorEastAsia"/>
                <w:color w:val="000000"/>
                <w:szCs w:val="21"/>
              </w:rPr>
              <w:t>246,523</w:t>
            </w:r>
          </w:p>
        </w:tc>
        <w:tc>
          <w:tcPr>
            <w:tcW w:w="1932" w:type="dxa"/>
            <w:vAlign w:val="center"/>
          </w:tcPr>
          <w:p w:rsidR="00256A81" w:rsidRDefault="00553E61">
            <w:pPr>
              <w:jc w:val="right"/>
            </w:pPr>
            <w:r>
              <w:rPr>
                <w:rFonts w:eastAsiaTheme="minorEastAsia"/>
                <w:color w:val="000000"/>
                <w:szCs w:val="21"/>
              </w:rPr>
              <w:t>21,368,613.64</w:t>
            </w:r>
          </w:p>
        </w:tc>
        <w:tc>
          <w:tcPr>
            <w:tcW w:w="1612" w:type="dxa"/>
            <w:vAlign w:val="center"/>
          </w:tcPr>
          <w:p w:rsidR="00256A81" w:rsidRDefault="00553E61">
            <w:pPr>
              <w:jc w:val="right"/>
            </w:pPr>
            <w:r>
              <w:rPr>
                <w:rFonts w:eastAsiaTheme="minorEastAsia"/>
                <w:color w:val="000000"/>
                <w:szCs w:val="21"/>
              </w:rPr>
              <w:t>3.18</w:t>
            </w:r>
          </w:p>
        </w:tc>
      </w:tr>
      <w:tr w:rsidR="00256A81">
        <w:trPr>
          <w:jc w:val="center"/>
        </w:trPr>
        <w:tc>
          <w:tcPr>
            <w:tcW w:w="817" w:type="dxa"/>
            <w:vAlign w:val="center"/>
          </w:tcPr>
          <w:p w:rsidR="00256A81" w:rsidRDefault="00553E61">
            <w:pPr>
              <w:jc w:val="center"/>
            </w:pPr>
            <w:r>
              <w:rPr>
                <w:rFonts w:eastAsiaTheme="minorEastAsia"/>
                <w:color w:val="000000"/>
                <w:szCs w:val="21"/>
              </w:rPr>
              <w:t>13</w:t>
            </w:r>
          </w:p>
        </w:tc>
        <w:tc>
          <w:tcPr>
            <w:tcW w:w="1276" w:type="dxa"/>
            <w:vAlign w:val="center"/>
          </w:tcPr>
          <w:p w:rsidR="00256A81" w:rsidRDefault="00553E61">
            <w:pPr>
              <w:jc w:val="center"/>
            </w:pPr>
            <w:r>
              <w:rPr>
                <w:rFonts w:eastAsiaTheme="minorEastAsia"/>
                <w:color w:val="000000"/>
                <w:szCs w:val="21"/>
              </w:rPr>
              <w:t>000423</w:t>
            </w:r>
          </w:p>
        </w:tc>
        <w:tc>
          <w:tcPr>
            <w:tcW w:w="1701" w:type="dxa"/>
            <w:vAlign w:val="center"/>
          </w:tcPr>
          <w:p w:rsidR="00256A81" w:rsidRDefault="00553E61">
            <w:pPr>
              <w:jc w:val="center"/>
            </w:pPr>
            <w:r>
              <w:rPr>
                <w:rFonts w:eastAsiaTheme="minorEastAsia"/>
                <w:color w:val="000000"/>
                <w:szCs w:val="21"/>
              </w:rPr>
              <w:t>东阿阿胶</w:t>
            </w:r>
          </w:p>
        </w:tc>
        <w:tc>
          <w:tcPr>
            <w:tcW w:w="1559" w:type="dxa"/>
            <w:vAlign w:val="center"/>
          </w:tcPr>
          <w:p w:rsidR="00256A81" w:rsidRDefault="00553E61">
            <w:pPr>
              <w:jc w:val="right"/>
            </w:pPr>
            <w:r>
              <w:rPr>
                <w:rFonts w:eastAsiaTheme="minorEastAsia"/>
                <w:color w:val="000000"/>
                <w:szCs w:val="21"/>
              </w:rPr>
              <w:t>464,400</w:t>
            </w:r>
          </w:p>
        </w:tc>
        <w:tc>
          <w:tcPr>
            <w:tcW w:w="1932" w:type="dxa"/>
            <w:vAlign w:val="center"/>
          </w:tcPr>
          <w:p w:rsidR="00256A81" w:rsidRDefault="00553E61">
            <w:pPr>
              <w:jc w:val="right"/>
            </w:pPr>
            <w:r>
              <w:rPr>
                <w:rFonts w:eastAsiaTheme="minorEastAsia"/>
                <w:color w:val="000000"/>
                <w:szCs w:val="21"/>
              </w:rPr>
              <w:t>16,425,828.00</w:t>
            </w:r>
          </w:p>
        </w:tc>
        <w:tc>
          <w:tcPr>
            <w:tcW w:w="1612" w:type="dxa"/>
            <w:vAlign w:val="center"/>
          </w:tcPr>
          <w:p w:rsidR="00256A81" w:rsidRDefault="00553E61">
            <w:pPr>
              <w:jc w:val="right"/>
            </w:pPr>
            <w:r>
              <w:rPr>
                <w:rFonts w:eastAsiaTheme="minorEastAsia"/>
                <w:color w:val="000000"/>
                <w:szCs w:val="21"/>
              </w:rPr>
              <w:t>2.45</w:t>
            </w:r>
          </w:p>
        </w:tc>
      </w:tr>
      <w:tr w:rsidR="00256A81">
        <w:trPr>
          <w:jc w:val="center"/>
        </w:trPr>
        <w:tc>
          <w:tcPr>
            <w:tcW w:w="817" w:type="dxa"/>
            <w:vAlign w:val="center"/>
          </w:tcPr>
          <w:p w:rsidR="00256A81" w:rsidRDefault="00553E61">
            <w:pPr>
              <w:jc w:val="center"/>
            </w:pPr>
            <w:r>
              <w:rPr>
                <w:rFonts w:eastAsiaTheme="minorEastAsia"/>
                <w:color w:val="000000"/>
                <w:szCs w:val="21"/>
              </w:rPr>
              <w:t>14</w:t>
            </w:r>
          </w:p>
        </w:tc>
        <w:tc>
          <w:tcPr>
            <w:tcW w:w="1276" w:type="dxa"/>
            <w:vAlign w:val="center"/>
          </w:tcPr>
          <w:p w:rsidR="00256A81" w:rsidRDefault="00553E61">
            <w:pPr>
              <w:jc w:val="center"/>
            </w:pPr>
            <w:r>
              <w:rPr>
                <w:rFonts w:eastAsiaTheme="minorEastAsia"/>
                <w:color w:val="000000"/>
                <w:szCs w:val="21"/>
              </w:rPr>
              <w:t>688029</w:t>
            </w:r>
          </w:p>
        </w:tc>
        <w:tc>
          <w:tcPr>
            <w:tcW w:w="1701" w:type="dxa"/>
            <w:vAlign w:val="center"/>
          </w:tcPr>
          <w:p w:rsidR="00256A81" w:rsidRDefault="00553E61">
            <w:pPr>
              <w:jc w:val="center"/>
            </w:pPr>
            <w:r>
              <w:rPr>
                <w:rFonts w:eastAsiaTheme="minorEastAsia"/>
                <w:color w:val="000000"/>
                <w:szCs w:val="21"/>
              </w:rPr>
              <w:t>南微医学</w:t>
            </w:r>
          </w:p>
        </w:tc>
        <w:tc>
          <w:tcPr>
            <w:tcW w:w="1559" w:type="dxa"/>
            <w:vAlign w:val="center"/>
          </w:tcPr>
          <w:p w:rsidR="00256A81" w:rsidRDefault="00553E61">
            <w:pPr>
              <w:jc w:val="right"/>
            </w:pPr>
            <w:r>
              <w:rPr>
                <w:rFonts w:eastAsiaTheme="minorEastAsia"/>
                <w:color w:val="000000"/>
                <w:szCs w:val="21"/>
              </w:rPr>
              <w:t>86,602</w:t>
            </w:r>
          </w:p>
        </w:tc>
        <w:tc>
          <w:tcPr>
            <w:tcW w:w="1932" w:type="dxa"/>
            <w:vAlign w:val="center"/>
          </w:tcPr>
          <w:p w:rsidR="00256A81" w:rsidRDefault="00553E61">
            <w:pPr>
              <w:jc w:val="right"/>
            </w:pPr>
            <w:r>
              <w:rPr>
                <w:rFonts w:eastAsiaTheme="minorEastAsia"/>
                <w:color w:val="000000"/>
                <w:szCs w:val="21"/>
              </w:rPr>
              <w:t>13,908,281.20</w:t>
            </w:r>
          </w:p>
        </w:tc>
        <w:tc>
          <w:tcPr>
            <w:tcW w:w="1612" w:type="dxa"/>
            <w:vAlign w:val="center"/>
          </w:tcPr>
          <w:p w:rsidR="00256A81" w:rsidRDefault="00553E61">
            <w:pPr>
              <w:jc w:val="right"/>
            </w:pPr>
            <w:r>
              <w:rPr>
                <w:rFonts w:eastAsiaTheme="minorEastAsia"/>
                <w:color w:val="000000"/>
                <w:szCs w:val="21"/>
              </w:rPr>
              <w:t>2.07</w:t>
            </w:r>
          </w:p>
        </w:tc>
      </w:tr>
      <w:tr w:rsidR="00256A81">
        <w:trPr>
          <w:jc w:val="center"/>
        </w:trPr>
        <w:tc>
          <w:tcPr>
            <w:tcW w:w="817" w:type="dxa"/>
            <w:vAlign w:val="center"/>
          </w:tcPr>
          <w:p w:rsidR="00256A81" w:rsidRDefault="00553E61">
            <w:pPr>
              <w:jc w:val="center"/>
            </w:pPr>
            <w:r>
              <w:rPr>
                <w:rFonts w:eastAsiaTheme="minorEastAsia"/>
                <w:color w:val="000000"/>
                <w:szCs w:val="21"/>
              </w:rPr>
              <w:t>15</w:t>
            </w:r>
          </w:p>
        </w:tc>
        <w:tc>
          <w:tcPr>
            <w:tcW w:w="1276" w:type="dxa"/>
            <w:vAlign w:val="center"/>
          </w:tcPr>
          <w:p w:rsidR="00256A81" w:rsidRDefault="00553E61">
            <w:pPr>
              <w:jc w:val="center"/>
            </w:pPr>
            <w:r>
              <w:rPr>
                <w:rFonts w:eastAsiaTheme="minorEastAsia"/>
                <w:color w:val="000000"/>
                <w:szCs w:val="21"/>
              </w:rPr>
              <w:t>600161</w:t>
            </w:r>
          </w:p>
        </w:tc>
        <w:tc>
          <w:tcPr>
            <w:tcW w:w="1701" w:type="dxa"/>
            <w:vAlign w:val="center"/>
          </w:tcPr>
          <w:p w:rsidR="00256A81" w:rsidRDefault="00553E61">
            <w:pPr>
              <w:jc w:val="center"/>
            </w:pPr>
            <w:r>
              <w:rPr>
                <w:rFonts w:eastAsiaTheme="minorEastAsia"/>
                <w:color w:val="000000"/>
                <w:szCs w:val="21"/>
              </w:rPr>
              <w:t>天坛生物</w:t>
            </w:r>
          </w:p>
        </w:tc>
        <w:tc>
          <w:tcPr>
            <w:tcW w:w="1559" w:type="dxa"/>
            <w:vAlign w:val="center"/>
          </w:tcPr>
          <w:p w:rsidR="00256A81" w:rsidRDefault="00553E61">
            <w:pPr>
              <w:jc w:val="right"/>
            </w:pPr>
            <w:r>
              <w:rPr>
                <w:rFonts w:eastAsiaTheme="minorEastAsia"/>
                <w:color w:val="000000"/>
                <w:szCs w:val="21"/>
              </w:rPr>
              <w:t>478,320</w:t>
            </w:r>
          </w:p>
        </w:tc>
        <w:tc>
          <w:tcPr>
            <w:tcW w:w="1932" w:type="dxa"/>
            <w:vAlign w:val="center"/>
          </w:tcPr>
          <w:p w:rsidR="00256A81" w:rsidRDefault="00553E61">
            <w:pPr>
              <w:jc w:val="right"/>
            </w:pPr>
            <w:r>
              <w:rPr>
                <w:rFonts w:eastAsiaTheme="minorEastAsia"/>
                <w:color w:val="000000"/>
                <w:szCs w:val="21"/>
              </w:rPr>
              <w:t>13,364,260.80</w:t>
            </w:r>
          </w:p>
        </w:tc>
        <w:tc>
          <w:tcPr>
            <w:tcW w:w="1612" w:type="dxa"/>
            <w:vAlign w:val="center"/>
          </w:tcPr>
          <w:p w:rsidR="00256A81" w:rsidRDefault="00553E61">
            <w:pPr>
              <w:jc w:val="right"/>
            </w:pPr>
            <w:r>
              <w:rPr>
                <w:rFonts w:eastAsiaTheme="minorEastAsia"/>
                <w:color w:val="000000"/>
                <w:szCs w:val="21"/>
              </w:rPr>
              <w:t>1.99</w:t>
            </w:r>
          </w:p>
        </w:tc>
      </w:tr>
      <w:tr w:rsidR="00256A81">
        <w:trPr>
          <w:jc w:val="center"/>
        </w:trPr>
        <w:tc>
          <w:tcPr>
            <w:tcW w:w="817" w:type="dxa"/>
            <w:vAlign w:val="center"/>
          </w:tcPr>
          <w:p w:rsidR="00256A81" w:rsidRDefault="00553E61">
            <w:pPr>
              <w:jc w:val="center"/>
            </w:pPr>
            <w:r>
              <w:rPr>
                <w:rFonts w:eastAsiaTheme="minorEastAsia"/>
                <w:color w:val="000000"/>
                <w:szCs w:val="21"/>
              </w:rPr>
              <w:t>16</w:t>
            </w:r>
          </w:p>
        </w:tc>
        <w:tc>
          <w:tcPr>
            <w:tcW w:w="1276" w:type="dxa"/>
            <w:vAlign w:val="center"/>
          </w:tcPr>
          <w:p w:rsidR="00256A81" w:rsidRDefault="00553E61">
            <w:pPr>
              <w:jc w:val="center"/>
            </w:pPr>
            <w:r>
              <w:rPr>
                <w:rFonts w:eastAsiaTheme="minorEastAsia"/>
                <w:color w:val="000000"/>
                <w:szCs w:val="21"/>
              </w:rPr>
              <w:t>000538</w:t>
            </w:r>
          </w:p>
        </w:tc>
        <w:tc>
          <w:tcPr>
            <w:tcW w:w="1701" w:type="dxa"/>
            <w:vAlign w:val="center"/>
          </w:tcPr>
          <w:p w:rsidR="00256A81" w:rsidRDefault="00553E61">
            <w:pPr>
              <w:jc w:val="center"/>
            </w:pPr>
            <w:r>
              <w:rPr>
                <w:rFonts w:eastAsiaTheme="minorEastAsia"/>
                <w:color w:val="000000"/>
                <w:szCs w:val="21"/>
              </w:rPr>
              <w:t>云南白药</w:t>
            </w:r>
          </w:p>
        </w:tc>
        <w:tc>
          <w:tcPr>
            <w:tcW w:w="1559" w:type="dxa"/>
            <w:vAlign w:val="center"/>
          </w:tcPr>
          <w:p w:rsidR="00256A81" w:rsidRDefault="00553E61">
            <w:pPr>
              <w:jc w:val="right"/>
            </w:pPr>
            <w:r>
              <w:rPr>
                <w:rFonts w:eastAsiaTheme="minorEastAsia"/>
                <w:color w:val="000000"/>
                <w:szCs w:val="21"/>
              </w:rPr>
              <w:t>146,809</w:t>
            </w:r>
          </w:p>
        </w:tc>
        <w:tc>
          <w:tcPr>
            <w:tcW w:w="1932" w:type="dxa"/>
            <w:vAlign w:val="center"/>
          </w:tcPr>
          <w:p w:rsidR="00256A81" w:rsidRDefault="00553E61">
            <w:pPr>
              <w:jc w:val="right"/>
            </w:pPr>
            <w:r>
              <w:rPr>
                <w:rFonts w:eastAsiaTheme="minorEastAsia"/>
                <w:color w:val="000000"/>
                <w:szCs w:val="21"/>
              </w:rPr>
              <w:t>13,129,128.87</w:t>
            </w:r>
          </w:p>
        </w:tc>
        <w:tc>
          <w:tcPr>
            <w:tcW w:w="1612" w:type="dxa"/>
            <w:vAlign w:val="center"/>
          </w:tcPr>
          <w:p w:rsidR="00256A81" w:rsidRDefault="00553E61">
            <w:pPr>
              <w:jc w:val="right"/>
            </w:pPr>
            <w:r>
              <w:rPr>
                <w:rFonts w:eastAsiaTheme="minorEastAsia"/>
                <w:color w:val="000000"/>
                <w:szCs w:val="21"/>
              </w:rPr>
              <w:t>1.96</w:t>
            </w:r>
          </w:p>
        </w:tc>
      </w:tr>
      <w:tr w:rsidR="00256A81">
        <w:trPr>
          <w:jc w:val="center"/>
        </w:trPr>
        <w:tc>
          <w:tcPr>
            <w:tcW w:w="817" w:type="dxa"/>
            <w:vAlign w:val="center"/>
          </w:tcPr>
          <w:p w:rsidR="00256A81" w:rsidRDefault="00553E61">
            <w:pPr>
              <w:jc w:val="center"/>
            </w:pPr>
            <w:r>
              <w:rPr>
                <w:rFonts w:eastAsiaTheme="minorEastAsia"/>
                <w:color w:val="000000"/>
                <w:szCs w:val="21"/>
              </w:rPr>
              <w:t>17</w:t>
            </w:r>
          </w:p>
        </w:tc>
        <w:tc>
          <w:tcPr>
            <w:tcW w:w="1276" w:type="dxa"/>
            <w:vAlign w:val="center"/>
          </w:tcPr>
          <w:p w:rsidR="00256A81" w:rsidRDefault="00553E61">
            <w:pPr>
              <w:jc w:val="center"/>
            </w:pPr>
            <w:r>
              <w:rPr>
                <w:rFonts w:eastAsiaTheme="minorEastAsia"/>
                <w:color w:val="000000"/>
                <w:szCs w:val="21"/>
              </w:rPr>
              <w:t>603882</w:t>
            </w:r>
          </w:p>
        </w:tc>
        <w:tc>
          <w:tcPr>
            <w:tcW w:w="1701" w:type="dxa"/>
            <w:vAlign w:val="center"/>
          </w:tcPr>
          <w:p w:rsidR="00256A81" w:rsidRDefault="00553E61">
            <w:pPr>
              <w:jc w:val="center"/>
            </w:pPr>
            <w:r>
              <w:rPr>
                <w:rFonts w:eastAsiaTheme="minorEastAsia"/>
                <w:color w:val="000000"/>
                <w:szCs w:val="21"/>
              </w:rPr>
              <w:t>金域医学</w:t>
            </w:r>
          </w:p>
        </w:tc>
        <w:tc>
          <w:tcPr>
            <w:tcW w:w="1559" w:type="dxa"/>
            <w:vAlign w:val="center"/>
          </w:tcPr>
          <w:p w:rsidR="00256A81" w:rsidRDefault="00553E61">
            <w:pPr>
              <w:jc w:val="right"/>
            </w:pPr>
            <w:r>
              <w:rPr>
                <w:rFonts w:eastAsiaTheme="minorEastAsia"/>
                <w:color w:val="000000"/>
                <w:szCs w:val="21"/>
              </w:rPr>
              <w:t>256,100</w:t>
            </w:r>
          </w:p>
        </w:tc>
        <w:tc>
          <w:tcPr>
            <w:tcW w:w="1932" w:type="dxa"/>
            <w:vAlign w:val="center"/>
          </w:tcPr>
          <w:p w:rsidR="00256A81" w:rsidRDefault="00553E61">
            <w:pPr>
              <w:jc w:val="right"/>
            </w:pPr>
            <w:r>
              <w:rPr>
                <w:rFonts w:eastAsiaTheme="minorEastAsia"/>
                <w:color w:val="000000"/>
                <w:szCs w:val="21"/>
              </w:rPr>
              <w:t>13,117,442.00</w:t>
            </w:r>
          </w:p>
        </w:tc>
        <w:tc>
          <w:tcPr>
            <w:tcW w:w="1612" w:type="dxa"/>
            <w:vAlign w:val="center"/>
          </w:tcPr>
          <w:p w:rsidR="00256A81" w:rsidRDefault="00553E61">
            <w:pPr>
              <w:jc w:val="right"/>
            </w:pPr>
            <w:r>
              <w:rPr>
                <w:rFonts w:eastAsiaTheme="minorEastAsia"/>
                <w:color w:val="000000"/>
                <w:szCs w:val="21"/>
              </w:rPr>
              <w:t>1.95</w:t>
            </w:r>
          </w:p>
        </w:tc>
      </w:tr>
      <w:tr w:rsidR="00256A81">
        <w:trPr>
          <w:jc w:val="center"/>
        </w:trPr>
        <w:tc>
          <w:tcPr>
            <w:tcW w:w="817" w:type="dxa"/>
            <w:vAlign w:val="center"/>
          </w:tcPr>
          <w:p w:rsidR="00256A81" w:rsidRDefault="00553E61">
            <w:pPr>
              <w:jc w:val="center"/>
            </w:pPr>
            <w:r>
              <w:rPr>
                <w:rFonts w:eastAsiaTheme="minorEastAsia"/>
                <w:color w:val="000000"/>
                <w:szCs w:val="21"/>
              </w:rPr>
              <w:t>18</w:t>
            </w:r>
          </w:p>
        </w:tc>
        <w:tc>
          <w:tcPr>
            <w:tcW w:w="1276" w:type="dxa"/>
            <w:vAlign w:val="center"/>
          </w:tcPr>
          <w:p w:rsidR="00256A81" w:rsidRDefault="00553E61">
            <w:pPr>
              <w:jc w:val="center"/>
            </w:pPr>
            <w:r>
              <w:rPr>
                <w:rFonts w:eastAsiaTheme="minorEastAsia"/>
                <w:color w:val="000000"/>
                <w:szCs w:val="21"/>
              </w:rPr>
              <w:t>002007</w:t>
            </w:r>
          </w:p>
        </w:tc>
        <w:tc>
          <w:tcPr>
            <w:tcW w:w="1701" w:type="dxa"/>
            <w:vAlign w:val="center"/>
          </w:tcPr>
          <w:p w:rsidR="00256A81" w:rsidRDefault="00553E61">
            <w:pPr>
              <w:jc w:val="center"/>
            </w:pPr>
            <w:r>
              <w:rPr>
                <w:rFonts w:eastAsiaTheme="minorEastAsia"/>
                <w:color w:val="000000"/>
                <w:szCs w:val="21"/>
              </w:rPr>
              <w:t>华兰生物</w:t>
            </w:r>
          </w:p>
        </w:tc>
        <w:tc>
          <w:tcPr>
            <w:tcW w:w="1559" w:type="dxa"/>
            <w:vAlign w:val="center"/>
          </w:tcPr>
          <w:p w:rsidR="00256A81" w:rsidRDefault="00553E61">
            <w:pPr>
              <w:jc w:val="right"/>
            </w:pPr>
            <w:r>
              <w:rPr>
                <w:rFonts w:eastAsiaTheme="minorEastAsia"/>
                <w:color w:val="000000"/>
                <w:szCs w:val="21"/>
              </w:rPr>
              <w:t>351,000</w:t>
            </w:r>
          </w:p>
        </w:tc>
        <w:tc>
          <w:tcPr>
            <w:tcW w:w="1932" w:type="dxa"/>
            <w:vAlign w:val="center"/>
          </w:tcPr>
          <w:p w:rsidR="00256A81" w:rsidRDefault="00553E61">
            <w:pPr>
              <w:jc w:val="right"/>
            </w:pPr>
            <w:r>
              <w:rPr>
                <w:rFonts w:eastAsiaTheme="minorEastAsia"/>
                <w:color w:val="000000"/>
                <w:szCs w:val="21"/>
              </w:rPr>
              <w:t>12,337,650.00</w:t>
            </w:r>
          </w:p>
        </w:tc>
        <w:tc>
          <w:tcPr>
            <w:tcW w:w="1612" w:type="dxa"/>
            <w:vAlign w:val="center"/>
          </w:tcPr>
          <w:p w:rsidR="00256A81" w:rsidRDefault="00553E61">
            <w:pPr>
              <w:jc w:val="right"/>
            </w:pPr>
            <w:r>
              <w:rPr>
                <w:rFonts w:eastAsiaTheme="minorEastAsia"/>
                <w:color w:val="000000"/>
                <w:szCs w:val="21"/>
              </w:rPr>
              <w:t>1.84</w:t>
            </w:r>
          </w:p>
        </w:tc>
      </w:tr>
      <w:tr w:rsidR="00256A81">
        <w:trPr>
          <w:jc w:val="center"/>
        </w:trPr>
        <w:tc>
          <w:tcPr>
            <w:tcW w:w="817" w:type="dxa"/>
            <w:vAlign w:val="center"/>
          </w:tcPr>
          <w:p w:rsidR="00256A81" w:rsidRDefault="00553E61">
            <w:pPr>
              <w:jc w:val="center"/>
            </w:pPr>
            <w:r>
              <w:rPr>
                <w:rFonts w:eastAsiaTheme="minorEastAsia"/>
                <w:color w:val="000000"/>
                <w:szCs w:val="21"/>
              </w:rPr>
              <w:t>19</w:t>
            </w:r>
          </w:p>
        </w:tc>
        <w:tc>
          <w:tcPr>
            <w:tcW w:w="1276" w:type="dxa"/>
            <w:vAlign w:val="center"/>
          </w:tcPr>
          <w:p w:rsidR="00256A81" w:rsidRDefault="00553E61">
            <w:pPr>
              <w:jc w:val="center"/>
            </w:pPr>
            <w:r>
              <w:rPr>
                <w:rFonts w:eastAsiaTheme="minorEastAsia"/>
                <w:color w:val="000000"/>
                <w:szCs w:val="21"/>
              </w:rPr>
              <w:t>603833</w:t>
            </w:r>
          </w:p>
        </w:tc>
        <w:tc>
          <w:tcPr>
            <w:tcW w:w="1701" w:type="dxa"/>
            <w:vAlign w:val="center"/>
          </w:tcPr>
          <w:p w:rsidR="00256A81" w:rsidRDefault="00553E61">
            <w:pPr>
              <w:jc w:val="center"/>
            </w:pPr>
            <w:r>
              <w:rPr>
                <w:rFonts w:eastAsiaTheme="minorEastAsia"/>
                <w:color w:val="000000"/>
                <w:szCs w:val="21"/>
              </w:rPr>
              <w:t>欧派家居</w:t>
            </w:r>
          </w:p>
        </w:tc>
        <w:tc>
          <w:tcPr>
            <w:tcW w:w="1559" w:type="dxa"/>
            <w:vAlign w:val="center"/>
          </w:tcPr>
          <w:p w:rsidR="00256A81" w:rsidRDefault="00553E61">
            <w:pPr>
              <w:jc w:val="right"/>
            </w:pPr>
            <w:r>
              <w:rPr>
                <w:rFonts w:eastAsiaTheme="minorEastAsia"/>
                <w:color w:val="000000"/>
                <w:szCs w:val="21"/>
              </w:rPr>
              <w:t>91,632</w:t>
            </w:r>
          </w:p>
        </w:tc>
        <w:tc>
          <w:tcPr>
            <w:tcW w:w="1932" w:type="dxa"/>
            <w:vAlign w:val="center"/>
          </w:tcPr>
          <w:p w:rsidR="00256A81" w:rsidRDefault="00553E61">
            <w:pPr>
              <w:jc w:val="right"/>
            </w:pPr>
            <w:r>
              <w:rPr>
                <w:rFonts w:eastAsiaTheme="minorEastAsia"/>
                <w:color w:val="000000"/>
                <w:szCs w:val="21"/>
              </w:rPr>
              <w:t>10,720,944.00</w:t>
            </w:r>
          </w:p>
        </w:tc>
        <w:tc>
          <w:tcPr>
            <w:tcW w:w="1612" w:type="dxa"/>
            <w:vAlign w:val="center"/>
          </w:tcPr>
          <w:p w:rsidR="00256A81" w:rsidRDefault="00553E61">
            <w:pPr>
              <w:jc w:val="right"/>
            </w:pPr>
            <w:r>
              <w:rPr>
                <w:rFonts w:eastAsiaTheme="minorEastAsia"/>
                <w:color w:val="000000"/>
                <w:szCs w:val="21"/>
              </w:rPr>
              <w:t>1.60</w:t>
            </w:r>
          </w:p>
        </w:tc>
      </w:tr>
      <w:tr w:rsidR="00256A81">
        <w:trPr>
          <w:jc w:val="center"/>
        </w:trPr>
        <w:tc>
          <w:tcPr>
            <w:tcW w:w="817" w:type="dxa"/>
            <w:vAlign w:val="center"/>
          </w:tcPr>
          <w:p w:rsidR="00256A81" w:rsidRDefault="00553E61">
            <w:pPr>
              <w:jc w:val="center"/>
            </w:pPr>
            <w:r>
              <w:rPr>
                <w:rFonts w:eastAsiaTheme="minorEastAsia"/>
                <w:color w:val="000000"/>
                <w:szCs w:val="21"/>
              </w:rPr>
              <w:t>20</w:t>
            </w:r>
          </w:p>
        </w:tc>
        <w:tc>
          <w:tcPr>
            <w:tcW w:w="1276" w:type="dxa"/>
            <w:vAlign w:val="center"/>
          </w:tcPr>
          <w:p w:rsidR="00256A81" w:rsidRDefault="00553E61">
            <w:pPr>
              <w:jc w:val="center"/>
            </w:pPr>
            <w:r>
              <w:rPr>
                <w:rFonts w:eastAsiaTheme="minorEastAsia"/>
                <w:color w:val="000000"/>
                <w:szCs w:val="21"/>
              </w:rPr>
              <w:t>600887</w:t>
            </w:r>
          </w:p>
        </w:tc>
        <w:tc>
          <w:tcPr>
            <w:tcW w:w="1701" w:type="dxa"/>
            <w:vAlign w:val="center"/>
          </w:tcPr>
          <w:p w:rsidR="00256A81" w:rsidRDefault="00553E61">
            <w:pPr>
              <w:jc w:val="center"/>
            </w:pPr>
            <w:r>
              <w:rPr>
                <w:rFonts w:eastAsiaTheme="minorEastAsia"/>
                <w:color w:val="000000"/>
                <w:szCs w:val="21"/>
              </w:rPr>
              <w:t>伊利股份</w:t>
            </w:r>
          </w:p>
        </w:tc>
        <w:tc>
          <w:tcPr>
            <w:tcW w:w="1559" w:type="dxa"/>
            <w:vAlign w:val="center"/>
          </w:tcPr>
          <w:p w:rsidR="00256A81" w:rsidRDefault="00553E61">
            <w:pPr>
              <w:jc w:val="right"/>
            </w:pPr>
            <w:r>
              <w:rPr>
                <w:rFonts w:eastAsiaTheme="minorEastAsia"/>
                <w:color w:val="000000"/>
                <w:szCs w:val="21"/>
              </w:rPr>
              <w:t>346,087</w:t>
            </w:r>
          </w:p>
        </w:tc>
        <w:tc>
          <w:tcPr>
            <w:tcW w:w="1932" w:type="dxa"/>
            <w:vAlign w:val="center"/>
          </w:tcPr>
          <w:p w:rsidR="00256A81" w:rsidRDefault="00553E61">
            <w:pPr>
              <w:jc w:val="right"/>
            </w:pPr>
            <w:r>
              <w:rPr>
                <w:rFonts w:eastAsiaTheme="minorEastAsia"/>
                <w:color w:val="000000"/>
                <w:szCs w:val="21"/>
              </w:rPr>
              <w:t>10,707,931.78</w:t>
            </w:r>
          </w:p>
        </w:tc>
        <w:tc>
          <w:tcPr>
            <w:tcW w:w="1612" w:type="dxa"/>
            <w:vAlign w:val="center"/>
          </w:tcPr>
          <w:p w:rsidR="00256A81" w:rsidRDefault="00553E61">
            <w:pPr>
              <w:jc w:val="right"/>
            </w:pPr>
            <w:r>
              <w:rPr>
                <w:rFonts w:eastAsiaTheme="minorEastAsia"/>
                <w:color w:val="000000"/>
                <w:szCs w:val="21"/>
              </w:rPr>
              <w:t>1.60</w:t>
            </w:r>
          </w:p>
        </w:tc>
      </w:tr>
      <w:tr w:rsidR="00256A81">
        <w:trPr>
          <w:jc w:val="center"/>
        </w:trPr>
        <w:tc>
          <w:tcPr>
            <w:tcW w:w="817" w:type="dxa"/>
            <w:vAlign w:val="center"/>
          </w:tcPr>
          <w:p w:rsidR="00256A81" w:rsidRDefault="00553E61">
            <w:pPr>
              <w:jc w:val="center"/>
            </w:pPr>
            <w:r>
              <w:rPr>
                <w:rFonts w:eastAsiaTheme="minorEastAsia"/>
                <w:color w:val="000000"/>
                <w:szCs w:val="21"/>
              </w:rPr>
              <w:t>21</w:t>
            </w:r>
          </w:p>
        </w:tc>
        <w:tc>
          <w:tcPr>
            <w:tcW w:w="1276" w:type="dxa"/>
            <w:vAlign w:val="center"/>
          </w:tcPr>
          <w:p w:rsidR="00256A81" w:rsidRDefault="00553E61">
            <w:pPr>
              <w:jc w:val="center"/>
            </w:pPr>
            <w:r>
              <w:rPr>
                <w:rFonts w:eastAsiaTheme="minorEastAsia"/>
                <w:color w:val="000000"/>
                <w:szCs w:val="21"/>
              </w:rPr>
              <w:t>600085</w:t>
            </w:r>
          </w:p>
        </w:tc>
        <w:tc>
          <w:tcPr>
            <w:tcW w:w="1701" w:type="dxa"/>
            <w:vAlign w:val="center"/>
          </w:tcPr>
          <w:p w:rsidR="00256A81" w:rsidRDefault="00553E61">
            <w:pPr>
              <w:jc w:val="center"/>
            </w:pPr>
            <w:r>
              <w:rPr>
                <w:rFonts w:eastAsiaTheme="minorEastAsia"/>
                <w:color w:val="000000"/>
                <w:szCs w:val="21"/>
              </w:rPr>
              <w:t>同仁堂</w:t>
            </w:r>
          </w:p>
        </w:tc>
        <w:tc>
          <w:tcPr>
            <w:tcW w:w="1559" w:type="dxa"/>
            <w:vAlign w:val="center"/>
          </w:tcPr>
          <w:p w:rsidR="00256A81" w:rsidRDefault="00553E61">
            <w:pPr>
              <w:jc w:val="right"/>
            </w:pPr>
            <w:r>
              <w:rPr>
                <w:rFonts w:eastAsiaTheme="minorEastAsia"/>
                <w:color w:val="000000"/>
                <w:szCs w:val="21"/>
              </w:rPr>
              <w:t>247,767</w:t>
            </w:r>
          </w:p>
        </w:tc>
        <w:tc>
          <w:tcPr>
            <w:tcW w:w="1932" w:type="dxa"/>
            <w:vAlign w:val="center"/>
          </w:tcPr>
          <w:p w:rsidR="00256A81" w:rsidRDefault="00553E61">
            <w:pPr>
              <w:jc w:val="right"/>
            </w:pPr>
            <w:r>
              <w:rPr>
                <w:rFonts w:eastAsiaTheme="minorEastAsia"/>
                <w:color w:val="000000"/>
                <w:szCs w:val="21"/>
              </w:rPr>
              <w:t>6,982,074.06</w:t>
            </w:r>
          </w:p>
        </w:tc>
        <w:tc>
          <w:tcPr>
            <w:tcW w:w="1612" w:type="dxa"/>
            <w:vAlign w:val="center"/>
          </w:tcPr>
          <w:p w:rsidR="00256A81" w:rsidRDefault="00553E61">
            <w:pPr>
              <w:jc w:val="right"/>
            </w:pPr>
            <w:r>
              <w:rPr>
                <w:rFonts w:eastAsiaTheme="minorEastAsia"/>
                <w:color w:val="000000"/>
                <w:szCs w:val="21"/>
              </w:rPr>
              <w:t>1.04</w:t>
            </w:r>
          </w:p>
        </w:tc>
      </w:tr>
      <w:tr w:rsidR="00256A81">
        <w:trPr>
          <w:jc w:val="center"/>
        </w:trPr>
        <w:tc>
          <w:tcPr>
            <w:tcW w:w="817" w:type="dxa"/>
            <w:vAlign w:val="center"/>
          </w:tcPr>
          <w:p w:rsidR="00256A81" w:rsidRDefault="00553E61">
            <w:pPr>
              <w:jc w:val="center"/>
            </w:pPr>
            <w:r>
              <w:rPr>
                <w:rFonts w:eastAsiaTheme="minorEastAsia"/>
                <w:color w:val="000000"/>
                <w:szCs w:val="21"/>
              </w:rPr>
              <w:t>22</w:t>
            </w:r>
          </w:p>
        </w:tc>
        <w:tc>
          <w:tcPr>
            <w:tcW w:w="1276" w:type="dxa"/>
            <w:vAlign w:val="center"/>
          </w:tcPr>
          <w:p w:rsidR="00256A81" w:rsidRDefault="00553E61">
            <w:pPr>
              <w:jc w:val="center"/>
            </w:pPr>
            <w:r>
              <w:rPr>
                <w:rFonts w:eastAsiaTheme="minorEastAsia"/>
                <w:color w:val="000000"/>
                <w:szCs w:val="21"/>
              </w:rPr>
              <w:t>688363</w:t>
            </w:r>
          </w:p>
        </w:tc>
        <w:tc>
          <w:tcPr>
            <w:tcW w:w="1701" w:type="dxa"/>
            <w:vAlign w:val="center"/>
          </w:tcPr>
          <w:p w:rsidR="00256A81" w:rsidRDefault="00553E61">
            <w:pPr>
              <w:jc w:val="center"/>
            </w:pPr>
            <w:r>
              <w:rPr>
                <w:rFonts w:eastAsiaTheme="minorEastAsia"/>
                <w:color w:val="000000"/>
                <w:szCs w:val="21"/>
              </w:rPr>
              <w:t>华熙生物</w:t>
            </w:r>
          </w:p>
        </w:tc>
        <w:tc>
          <w:tcPr>
            <w:tcW w:w="1559" w:type="dxa"/>
            <w:vAlign w:val="center"/>
          </w:tcPr>
          <w:p w:rsidR="00256A81" w:rsidRDefault="00553E61">
            <w:pPr>
              <w:jc w:val="right"/>
            </w:pPr>
            <w:r>
              <w:rPr>
                <w:rFonts w:eastAsiaTheme="minorEastAsia"/>
                <w:color w:val="000000"/>
                <w:szCs w:val="21"/>
              </w:rPr>
              <w:t>9,800</w:t>
            </w:r>
          </w:p>
        </w:tc>
        <w:tc>
          <w:tcPr>
            <w:tcW w:w="1932" w:type="dxa"/>
            <w:vAlign w:val="center"/>
          </w:tcPr>
          <w:p w:rsidR="00256A81" w:rsidRDefault="00553E61">
            <w:pPr>
              <w:jc w:val="right"/>
            </w:pPr>
            <w:r>
              <w:rPr>
                <w:rFonts w:eastAsiaTheme="minorEastAsia"/>
                <w:color w:val="000000"/>
                <w:szCs w:val="21"/>
              </w:rPr>
              <w:t>817,320.00</w:t>
            </w:r>
          </w:p>
        </w:tc>
        <w:tc>
          <w:tcPr>
            <w:tcW w:w="1612" w:type="dxa"/>
            <w:vAlign w:val="center"/>
          </w:tcPr>
          <w:p w:rsidR="00256A81" w:rsidRDefault="00553E61">
            <w:pPr>
              <w:jc w:val="right"/>
            </w:pPr>
            <w:r>
              <w:rPr>
                <w:rFonts w:eastAsiaTheme="minorEastAsia"/>
                <w:color w:val="000000"/>
                <w:szCs w:val="21"/>
              </w:rPr>
              <w:t>0.12</w:t>
            </w:r>
          </w:p>
        </w:tc>
      </w:tr>
      <w:tr w:rsidR="00256A81">
        <w:trPr>
          <w:jc w:val="center"/>
        </w:trPr>
        <w:tc>
          <w:tcPr>
            <w:tcW w:w="817" w:type="dxa"/>
            <w:vAlign w:val="center"/>
          </w:tcPr>
          <w:p w:rsidR="00256A81" w:rsidRDefault="00553E61">
            <w:pPr>
              <w:jc w:val="center"/>
            </w:pPr>
            <w:r>
              <w:rPr>
                <w:rFonts w:eastAsiaTheme="minorEastAsia"/>
                <w:color w:val="000000"/>
                <w:szCs w:val="21"/>
              </w:rPr>
              <w:t>23</w:t>
            </w:r>
          </w:p>
        </w:tc>
        <w:tc>
          <w:tcPr>
            <w:tcW w:w="1276" w:type="dxa"/>
            <w:vAlign w:val="center"/>
          </w:tcPr>
          <w:p w:rsidR="00256A81" w:rsidRDefault="00553E61">
            <w:pPr>
              <w:jc w:val="center"/>
            </w:pPr>
            <w:r>
              <w:rPr>
                <w:rFonts w:eastAsiaTheme="minorEastAsia"/>
                <w:color w:val="000000"/>
                <w:szCs w:val="21"/>
              </w:rPr>
              <w:t>688299</w:t>
            </w:r>
          </w:p>
        </w:tc>
        <w:tc>
          <w:tcPr>
            <w:tcW w:w="1701" w:type="dxa"/>
            <w:vAlign w:val="center"/>
          </w:tcPr>
          <w:p w:rsidR="00256A81" w:rsidRDefault="00553E61">
            <w:pPr>
              <w:jc w:val="center"/>
            </w:pPr>
            <w:r>
              <w:rPr>
                <w:rFonts w:eastAsiaTheme="minorEastAsia"/>
                <w:color w:val="000000"/>
                <w:szCs w:val="21"/>
              </w:rPr>
              <w:t>长阳科技</w:t>
            </w:r>
          </w:p>
        </w:tc>
        <w:tc>
          <w:tcPr>
            <w:tcW w:w="1559" w:type="dxa"/>
            <w:vAlign w:val="center"/>
          </w:tcPr>
          <w:p w:rsidR="00256A81" w:rsidRDefault="00553E61">
            <w:pPr>
              <w:jc w:val="right"/>
            </w:pPr>
            <w:r>
              <w:rPr>
                <w:rFonts w:eastAsiaTheme="minorEastAsia"/>
                <w:color w:val="000000"/>
                <w:szCs w:val="21"/>
              </w:rPr>
              <w:t>11,341</w:t>
            </w:r>
          </w:p>
        </w:tc>
        <w:tc>
          <w:tcPr>
            <w:tcW w:w="1932" w:type="dxa"/>
            <w:vAlign w:val="center"/>
          </w:tcPr>
          <w:p w:rsidR="00256A81" w:rsidRDefault="00553E61">
            <w:pPr>
              <w:jc w:val="right"/>
            </w:pPr>
            <w:r>
              <w:rPr>
                <w:rFonts w:eastAsiaTheme="minorEastAsia"/>
                <w:color w:val="000000"/>
                <w:szCs w:val="21"/>
              </w:rPr>
              <w:t>178,507.34</w:t>
            </w:r>
          </w:p>
        </w:tc>
        <w:tc>
          <w:tcPr>
            <w:tcW w:w="1612" w:type="dxa"/>
            <w:vAlign w:val="center"/>
          </w:tcPr>
          <w:p w:rsidR="00256A81" w:rsidRDefault="00553E61">
            <w:pPr>
              <w:jc w:val="right"/>
            </w:pPr>
            <w:r>
              <w:rPr>
                <w:rFonts w:eastAsiaTheme="minorEastAsia"/>
                <w:color w:val="000000"/>
                <w:szCs w:val="21"/>
              </w:rPr>
              <w:t>0.03</w:t>
            </w:r>
          </w:p>
        </w:tc>
      </w:tr>
      <w:tr w:rsidR="00256A81">
        <w:trPr>
          <w:jc w:val="center"/>
        </w:trPr>
        <w:tc>
          <w:tcPr>
            <w:tcW w:w="817" w:type="dxa"/>
            <w:vAlign w:val="center"/>
          </w:tcPr>
          <w:p w:rsidR="00256A81" w:rsidRDefault="00553E61">
            <w:pPr>
              <w:jc w:val="center"/>
            </w:pPr>
            <w:r>
              <w:rPr>
                <w:rFonts w:eastAsiaTheme="minorEastAsia"/>
                <w:color w:val="000000"/>
                <w:szCs w:val="21"/>
              </w:rPr>
              <w:t>24</w:t>
            </w:r>
          </w:p>
        </w:tc>
        <w:tc>
          <w:tcPr>
            <w:tcW w:w="1276" w:type="dxa"/>
            <w:vAlign w:val="center"/>
          </w:tcPr>
          <w:p w:rsidR="00256A81" w:rsidRDefault="00553E61">
            <w:pPr>
              <w:jc w:val="center"/>
            </w:pPr>
            <w:r>
              <w:rPr>
                <w:rFonts w:eastAsiaTheme="minorEastAsia"/>
                <w:color w:val="000000"/>
                <w:szCs w:val="21"/>
              </w:rPr>
              <w:t>688058</w:t>
            </w:r>
          </w:p>
        </w:tc>
        <w:tc>
          <w:tcPr>
            <w:tcW w:w="1701" w:type="dxa"/>
            <w:vAlign w:val="center"/>
          </w:tcPr>
          <w:p w:rsidR="00256A81" w:rsidRDefault="00553E61">
            <w:pPr>
              <w:jc w:val="center"/>
            </w:pPr>
            <w:r>
              <w:rPr>
                <w:rFonts w:eastAsiaTheme="minorEastAsia"/>
                <w:color w:val="000000"/>
                <w:szCs w:val="21"/>
              </w:rPr>
              <w:t>宝兰德</w:t>
            </w:r>
          </w:p>
        </w:tc>
        <w:tc>
          <w:tcPr>
            <w:tcW w:w="1559" w:type="dxa"/>
            <w:vAlign w:val="center"/>
          </w:tcPr>
          <w:p w:rsidR="00256A81" w:rsidRDefault="00553E61">
            <w:pPr>
              <w:jc w:val="right"/>
            </w:pPr>
            <w:r>
              <w:rPr>
                <w:rFonts w:eastAsiaTheme="minorEastAsia"/>
                <w:color w:val="000000"/>
                <w:szCs w:val="21"/>
              </w:rPr>
              <w:t>1,450</w:t>
            </w:r>
          </w:p>
        </w:tc>
        <w:tc>
          <w:tcPr>
            <w:tcW w:w="1932" w:type="dxa"/>
            <w:vAlign w:val="center"/>
          </w:tcPr>
          <w:p w:rsidR="00256A81" w:rsidRDefault="00553E61">
            <w:pPr>
              <w:jc w:val="right"/>
            </w:pPr>
            <w:r>
              <w:rPr>
                <w:rFonts w:eastAsiaTheme="minorEastAsia"/>
                <w:color w:val="000000"/>
                <w:szCs w:val="21"/>
              </w:rPr>
              <w:t>131,442.50</w:t>
            </w:r>
          </w:p>
        </w:tc>
        <w:tc>
          <w:tcPr>
            <w:tcW w:w="1612" w:type="dxa"/>
            <w:vAlign w:val="center"/>
          </w:tcPr>
          <w:p w:rsidR="00256A81" w:rsidRDefault="00553E61">
            <w:pPr>
              <w:jc w:val="right"/>
            </w:pPr>
            <w:r>
              <w:rPr>
                <w:rFonts w:eastAsiaTheme="minorEastAsia"/>
                <w:color w:val="000000"/>
                <w:szCs w:val="21"/>
              </w:rPr>
              <w:t>0.02</w:t>
            </w:r>
          </w:p>
        </w:tc>
      </w:tr>
      <w:tr w:rsidR="00256A81">
        <w:trPr>
          <w:jc w:val="center"/>
        </w:trPr>
        <w:tc>
          <w:tcPr>
            <w:tcW w:w="817" w:type="dxa"/>
            <w:vAlign w:val="center"/>
          </w:tcPr>
          <w:p w:rsidR="00256A81" w:rsidRDefault="00553E61">
            <w:pPr>
              <w:jc w:val="center"/>
            </w:pPr>
            <w:r>
              <w:rPr>
                <w:rFonts w:eastAsiaTheme="minorEastAsia"/>
                <w:color w:val="000000"/>
                <w:szCs w:val="21"/>
              </w:rPr>
              <w:t>25</w:t>
            </w:r>
          </w:p>
        </w:tc>
        <w:tc>
          <w:tcPr>
            <w:tcW w:w="1276" w:type="dxa"/>
            <w:vAlign w:val="center"/>
          </w:tcPr>
          <w:p w:rsidR="00256A81" w:rsidRDefault="00553E61">
            <w:pPr>
              <w:jc w:val="center"/>
            </w:pPr>
            <w:r>
              <w:rPr>
                <w:rFonts w:eastAsiaTheme="minorEastAsia"/>
                <w:color w:val="000000"/>
                <w:szCs w:val="21"/>
              </w:rPr>
              <w:t>688288</w:t>
            </w:r>
          </w:p>
        </w:tc>
        <w:tc>
          <w:tcPr>
            <w:tcW w:w="1701" w:type="dxa"/>
            <w:vAlign w:val="center"/>
          </w:tcPr>
          <w:p w:rsidR="00256A81" w:rsidRDefault="00553E61">
            <w:pPr>
              <w:jc w:val="center"/>
            </w:pPr>
            <w:r>
              <w:rPr>
                <w:rFonts w:eastAsiaTheme="minorEastAsia"/>
                <w:color w:val="000000"/>
                <w:szCs w:val="21"/>
              </w:rPr>
              <w:t>鸿泉物联</w:t>
            </w:r>
          </w:p>
        </w:tc>
        <w:tc>
          <w:tcPr>
            <w:tcW w:w="1559" w:type="dxa"/>
            <w:vAlign w:val="center"/>
          </w:tcPr>
          <w:p w:rsidR="00256A81" w:rsidRDefault="00553E61">
            <w:pPr>
              <w:jc w:val="right"/>
            </w:pPr>
            <w:r>
              <w:rPr>
                <w:rFonts w:eastAsiaTheme="minorEastAsia"/>
                <w:color w:val="000000"/>
                <w:szCs w:val="21"/>
              </w:rPr>
              <w:t>3,429</w:t>
            </w:r>
          </w:p>
        </w:tc>
        <w:tc>
          <w:tcPr>
            <w:tcW w:w="1932" w:type="dxa"/>
            <w:vAlign w:val="center"/>
          </w:tcPr>
          <w:p w:rsidR="00256A81" w:rsidRDefault="00553E61">
            <w:pPr>
              <w:jc w:val="right"/>
            </w:pPr>
            <w:r>
              <w:rPr>
                <w:rFonts w:eastAsiaTheme="minorEastAsia"/>
                <w:color w:val="000000"/>
                <w:szCs w:val="21"/>
              </w:rPr>
              <w:t>110,139.48</w:t>
            </w:r>
          </w:p>
        </w:tc>
        <w:tc>
          <w:tcPr>
            <w:tcW w:w="1612" w:type="dxa"/>
            <w:vAlign w:val="center"/>
          </w:tcPr>
          <w:p w:rsidR="00256A81" w:rsidRDefault="00553E61">
            <w:pPr>
              <w:jc w:val="right"/>
            </w:pPr>
            <w:r>
              <w:rPr>
                <w:rFonts w:eastAsiaTheme="minorEastAsia"/>
                <w:color w:val="000000"/>
                <w:szCs w:val="21"/>
              </w:rPr>
              <w:t>0.02</w:t>
            </w:r>
          </w:p>
        </w:tc>
      </w:tr>
      <w:tr w:rsidR="00256A81">
        <w:trPr>
          <w:jc w:val="center"/>
        </w:trPr>
        <w:tc>
          <w:tcPr>
            <w:tcW w:w="817" w:type="dxa"/>
            <w:vAlign w:val="center"/>
          </w:tcPr>
          <w:p w:rsidR="00256A81" w:rsidRDefault="00553E61">
            <w:pPr>
              <w:jc w:val="center"/>
            </w:pPr>
            <w:r>
              <w:rPr>
                <w:rFonts w:eastAsiaTheme="minorEastAsia"/>
                <w:color w:val="000000"/>
                <w:szCs w:val="21"/>
              </w:rPr>
              <w:t>26</w:t>
            </w:r>
          </w:p>
        </w:tc>
        <w:tc>
          <w:tcPr>
            <w:tcW w:w="1276" w:type="dxa"/>
            <w:vAlign w:val="center"/>
          </w:tcPr>
          <w:p w:rsidR="00256A81" w:rsidRDefault="00553E61">
            <w:pPr>
              <w:jc w:val="center"/>
            </w:pPr>
            <w:r>
              <w:rPr>
                <w:rFonts w:eastAsiaTheme="minorEastAsia"/>
                <w:color w:val="000000"/>
                <w:szCs w:val="21"/>
              </w:rPr>
              <w:t>688021</w:t>
            </w:r>
          </w:p>
        </w:tc>
        <w:tc>
          <w:tcPr>
            <w:tcW w:w="1701" w:type="dxa"/>
            <w:vAlign w:val="center"/>
          </w:tcPr>
          <w:p w:rsidR="00256A81" w:rsidRDefault="00553E61">
            <w:pPr>
              <w:jc w:val="center"/>
            </w:pPr>
            <w:r>
              <w:rPr>
                <w:rFonts w:eastAsiaTheme="minorEastAsia"/>
                <w:color w:val="000000"/>
                <w:szCs w:val="21"/>
              </w:rPr>
              <w:t>奥福环保</w:t>
            </w:r>
          </w:p>
        </w:tc>
        <w:tc>
          <w:tcPr>
            <w:tcW w:w="1559" w:type="dxa"/>
            <w:vAlign w:val="center"/>
          </w:tcPr>
          <w:p w:rsidR="00256A81" w:rsidRDefault="00553E61">
            <w:pPr>
              <w:jc w:val="right"/>
            </w:pPr>
            <w:r>
              <w:rPr>
                <w:rFonts w:eastAsiaTheme="minorEastAsia"/>
                <w:color w:val="000000"/>
                <w:szCs w:val="21"/>
              </w:rPr>
              <w:t>2,940</w:t>
            </w:r>
          </w:p>
        </w:tc>
        <w:tc>
          <w:tcPr>
            <w:tcW w:w="1932" w:type="dxa"/>
            <w:vAlign w:val="center"/>
          </w:tcPr>
          <w:p w:rsidR="00256A81" w:rsidRDefault="00553E61">
            <w:pPr>
              <w:jc w:val="right"/>
            </w:pPr>
            <w:r>
              <w:rPr>
                <w:rFonts w:eastAsiaTheme="minorEastAsia"/>
                <w:color w:val="000000"/>
                <w:szCs w:val="21"/>
              </w:rPr>
              <w:t>97,960.80</w:t>
            </w:r>
          </w:p>
        </w:tc>
        <w:tc>
          <w:tcPr>
            <w:tcW w:w="1612" w:type="dxa"/>
            <w:vAlign w:val="center"/>
          </w:tcPr>
          <w:p w:rsidR="00256A81" w:rsidRDefault="00553E61">
            <w:pPr>
              <w:jc w:val="right"/>
            </w:pPr>
            <w:r>
              <w:rPr>
                <w:rFonts w:eastAsiaTheme="minorEastAsia"/>
                <w:color w:val="000000"/>
                <w:szCs w:val="21"/>
              </w:rPr>
              <w:t>0.01</w:t>
            </w:r>
          </w:p>
        </w:tc>
      </w:tr>
      <w:tr w:rsidR="00256A81">
        <w:trPr>
          <w:jc w:val="center"/>
        </w:trPr>
        <w:tc>
          <w:tcPr>
            <w:tcW w:w="817" w:type="dxa"/>
            <w:vAlign w:val="center"/>
          </w:tcPr>
          <w:p w:rsidR="00256A81" w:rsidRDefault="00553E61">
            <w:pPr>
              <w:jc w:val="center"/>
            </w:pPr>
            <w:r>
              <w:rPr>
                <w:rFonts w:eastAsiaTheme="minorEastAsia"/>
                <w:color w:val="000000"/>
                <w:szCs w:val="21"/>
              </w:rPr>
              <w:t>27</w:t>
            </w:r>
          </w:p>
        </w:tc>
        <w:tc>
          <w:tcPr>
            <w:tcW w:w="1276" w:type="dxa"/>
            <w:vAlign w:val="center"/>
          </w:tcPr>
          <w:p w:rsidR="00256A81" w:rsidRDefault="00553E61">
            <w:pPr>
              <w:jc w:val="center"/>
            </w:pPr>
            <w:r>
              <w:rPr>
                <w:rFonts w:eastAsiaTheme="minorEastAsia"/>
                <w:color w:val="000000"/>
                <w:szCs w:val="21"/>
              </w:rPr>
              <w:t>300806</w:t>
            </w:r>
          </w:p>
        </w:tc>
        <w:tc>
          <w:tcPr>
            <w:tcW w:w="1701" w:type="dxa"/>
            <w:vAlign w:val="center"/>
          </w:tcPr>
          <w:p w:rsidR="00256A81" w:rsidRDefault="00553E61">
            <w:pPr>
              <w:jc w:val="center"/>
            </w:pPr>
            <w:r>
              <w:rPr>
                <w:rFonts w:eastAsiaTheme="minorEastAsia"/>
                <w:color w:val="000000"/>
                <w:szCs w:val="21"/>
              </w:rPr>
              <w:t>斯迪克</w:t>
            </w:r>
          </w:p>
        </w:tc>
        <w:tc>
          <w:tcPr>
            <w:tcW w:w="1559" w:type="dxa"/>
            <w:vAlign w:val="center"/>
          </w:tcPr>
          <w:p w:rsidR="00256A81" w:rsidRDefault="00553E61">
            <w:pPr>
              <w:jc w:val="right"/>
            </w:pPr>
            <w:r>
              <w:rPr>
                <w:rFonts w:eastAsiaTheme="minorEastAsia"/>
                <w:color w:val="000000"/>
                <w:szCs w:val="21"/>
              </w:rPr>
              <w:t>666</w:t>
            </w:r>
          </w:p>
        </w:tc>
        <w:tc>
          <w:tcPr>
            <w:tcW w:w="1932" w:type="dxa"/>
            <w:vAlign w:val="center"/>
          </w:tcPr>
          <w:p w:rsidR="00256A81" w:rsidRDefault="00553E61">
            <w:pPr>
              <w:jc w:val="right"/>
            </w:pPr>
            <w:r>
              <w:rPr>
                <w:rFonts w:eastAsiaTheme="minorEastAsia"/>
                <w:color w:val="000000"/>
                <w:szCs w:val="21"/>
              </w:rPr>
              <w:t>26,693.28</w:t>
            </w:r>
          </w:p>
        </w:tc>
        <w:tc>
          <w:tcPr>
            <w:tcW w:w="1612" w:type="dxa"/>
            <w:vAlign w:val="center"/>
          </w:tcPr>
          <w:p w:rsidR="00256A81" w:rsidRDefault="00553E61">
            <w:pPr>
              <w:jc w:val="right"/>
            </w:pPr>
            <w:r>
              <w:rPr>
                <w:rFonts w:eastAsiaTheme="minorEastAsia"/>
                <w:color w:val="000000"/>
                <w:szCs w:val="21"/>
              </w:rPr>
              <w:t>0.00</w:t>
            </w:r>
          </w:p>
        </w:tc>
      </w:tr>
      <w:tr w:rsidR="00256A81">
        <w:trPr>
          <w:jc w:val="center"/>
        </w:trPr>
        <w:tc>
          <w:tcPr>
            <w:tcW w:w="817" w:type="dxa"/>
            <w:vAlign w:val="center"/>
          </w:tcPr>
          <w:p w:rsidR="00256A81" w:rsidRDefault="00553E61">
            <w:pPr>
              <w:jc w:val="center"/>
            </w:pPr>
            <w:r>
              <w:rPr>
                <w:rFonts w:eastAsiaTheme="minorEastAsia"/>
                <w:color w:val="000000"/>
                <w:szCs w:val="21"/>
              </w:rPr>
              <w:t>28</w:t>
            </w:r>
          </w:p>
        </w:tc>
        <w:tc>
          <w:tcPr>
            <w:tcW w:w="1276" w:type="dxa"/>
            <w:vAlign w:val="center"/>
          </w:tcPr>
          <w:p w:rsidR="00256A81" w:rsidRDefault="00553E61">
            <w:pPr>
              <w:jc w:val="center"/>
            </w:pPr>
            <w:r>
              <w:rPr>
                <w:rFonts w:eastAsiaTheme="minorEastAsia"/>
                <w:color w:val="000000"/>
                <w:szCs w:val="21"/>
              </w:rPr>
              <w:t>002972</w:t>
            </w:r>
          </w:p>
        </w:tc>
        <w:tc>
          <w:tcPr>
            <w:tcW w:w="1701" w:type="dxa"/>
            <w:vAlign w:val="center"/>
          </w:tcPr>
          <w:p w:rsidR="00256A81" w:rsidRDefault="00553E61">
            <w:pPr>
              <w:jc w:val="center"/>
            </w:pPr>
            <w:r>
              <w:rPr>
                <w:rFonts w:eastAsiaTheme="minorEastAsia"/>
                <w:color w:val="000000"/>
                <w:szCs w:val="21"/>
              </w:rPr>
              <w:t>科安达</w:t>
            </w:r>
          </w:p>
        </w:tc>
        <w:tc>
          <w:tcPr>
            <w:tcW w:w="1559" w:type="dxa"/>
            <w:vAlign w:val="center"/>
          </w:tcPr>
          <w:p w:rsidR="00256A81" w:rsidRDefault="00553E61">
            <w:pPr>
              <w:jc w:val="right"/>
            </w:pPr>
            <w:r>
              <w:rPr>
                <w:rFonts w:eastAsiaTheme="minorEastAsia"/>
                <w:color w:val="000000"/>
                <w:szCs w:val="21"/>
              </w:rPr>
              <w:t>1,075</w:t>
            </w:r>
          </w:p>
        </w:tc>
        <w:tc>
          <w:tcPr>
            <w:tcW w:w="1932" w:type="dxa"/>
            <w:vAlign w:val="center"/>
          </w:tcPr>
          <w:p w:rsidR="00256A81" w:rsidRDefault="00553E61">
            <w:pPr>
              <w:jc w:val="right"/>
            </w:pPr>
            <w:r>
              <w:rPr>
                <w:rFonts w:eastAsiaTheme="minorEastAsia"/>
                <w:color w:val="000000"/>
                <w:szCs w:val="21"/>
              </w:rPr>
              <w:t>21,532.25</w:t>
            </w:r>
          </w:p>
        </w:tc>
        <w:tc>
          <w:tcPr>
            <w:tcW w:w="1612" w:type="dxa"/>
            <w:vAlign w:val="center"/>
          </w:tcPr>
          <w:p w:rsidR="00256A81" w:rsidRDefault="00553E61">
            <w:pPr>
              <w:jc w:val="right"/>
            </w:pPr>
            <w:r>
              <w:rPr>
                <w:rFonts w:eastAsiaTheme="minorEastAsia"/>
                <w:color w:val="000000"/>
                <w:szCs w:val="21"/>
              </w:rPr>
              <w:t>0.00</w:t>
            </w:r>
          </w:p>
        </w:tc>
      </w:tr>
      <w:tr w:rsidR="00256A81">
        <w:trPr>
          <w:jc w:val="center"/>
        </w:trPr>
        <w:tc>
          <w:tcPr>
            <w:tcW w:w="817" w:type="dxa"/>
            <w:vAlign w:val="center"/>
          </w:tcPr>
          <w:p w:rsidR="00256A81" w:rsidRDefault="00553E61">
            <w:pPr>
              <w:jc w:val="center"/>
            </w:pPr>
            <w:r>
              <w:rPr>
                <w:rFonts w:eastAsiaTheme="minorEastAsia"/>
                <w:color w:val="000000"/>
                <w:szCs w:val="21"/>
              </w:rPr>
              <w:t>29</w:t>
            </w:r>
          </w:p>
        </w:tc>
        <w:tc>
          <w:tcPr>
            <w:tcW w:w="1276" w:type="dxa"/>
            <w:vAlign w:val="center"/>
          </w:tcPr>
          <w:p w:rsidR="00256A81" w:rsidRDefault="00553E61">
            <w:pPr>
              <w:jc w:val="center"/>
            </w:pPr>
            <w:r>
              <w:rPr>
                <w:rFonts w:eastAsiaTheme="minorEastAsia"/>
                <w:color w:val="000000"/>
                <w:szCs w:val="21"/>
              </w:rPr>
              <w:t>603109</w:t>
            </w:r>
          </w:p>
        </w:tc>
        <w:tc>
          <w:tcPr>
            <w:tcW w:w="1701" w:type="dxa"/>
            <w:vAlign w:val="center"/>
          </w:tcPr>
          <w:p w:rsidR="00256A81" w:rsidRDefault="00553E61">
            <w:pPr>
              <w:jc w:val="center"/>
            </w:pPr>
            <w:r>
              <w:rPr>
                <w:rFonts w:eastAsiaTheme="minorEastAsia"/>
                <w:color w:val="000000"/>
                <w:szCs w:val="21"/>
              </w:rPr>
              <w:t>神驰机电</w:t>
            </w:r>
          </w:p>
        </w:tc>
        <w:tc>
          <w:tcPr>
            <w:tcW w:w="1559" w:type="dxa"/>
            <w:vAlign w:val="center"/>
          </w:tcPr>
          <w:p w:rsidR="00256A81" w:rsidRDefault="00553E61">
            <w:pPr>
              <w:jc w:val="right"/>
            </w:pPr>
            <w:r>
              <w:rPr>
                <w:rFonts w:eastAsiaTheme="minorEastAsia"/>
                <w:color w:val="000000"/>
                <w:szCs w:val="21"/>
              </w:rPr>
              <w:t>684</w:t>
            </w:r>
          </w:p>
        </w:tc>
        <w:tc>
          <w:tcPr>
            <w:tcW w:w="1932" w:type="dxa"/>
            <w:vAlign w:val="center"/>
          </w:tcPr>
          <w:p w:rsidR="00256A81" w:rsidRDefault="00553E61">
            <w:pPr>
              <w:jc w:val="right"/>
            </w:pPr>
            <w:r>
              <w:rPr>
                <w:rFonts w:eastAsiaTheme="minorEastAsia"/>
                <w:color w:val="000000"/>
                <w:szCs w:val="21"/>
              </w:rPr>
              <w:t>18,105.48</w:t>
            </w:r>
          </w:p>
        </w:tc>
        <w:tc>
          <w:tcPr>
            <w:tcW w:w="1612" w:type="dxa"/>
            <w:vAlign w:val="center"/>
          </w:tcPr>
          <w:p w:rsidR="00256A81" w:rsidRDefault="00553E61">
            <w:pPr>
              <w:jc w:val="right"/>
            </w:pPr>
            <w:r>
              <w:rPr>
                <w:rFonts w:eastAsiaTheme="minorEastAsia"/>
                <w:color w:val="000000"/>
                <w:szCs w:val="21"/>
              </w:rPr>
              <w:t>0.00</w:t>
            </w:r>
          </w:p>
        </w:tc>
      </w:tr>
      <w:tr w:rsidR="00256A81">
        <w:trPr>
          <w:jc w:val="center"/>
        </w:trPr>
        <w:tc>
          <w:tcPr>
            <w:tcW w:w="817" w:type="dxa"/>
            <w:vAlign w:val="center"/>
          </w:tcPr>
          <w:p w:rsidR="00256A81" w:rsidRDefault="00553E61">
            <w:pPr>
              <w:jc w:val="center"/>
            </w:pPr>
            <w:r>
              <w:rPr>
                <w:rFonts w:eastAsiaTheme="minorEastAsia"/>
                <w:color w:val="000000"/>
                <w:szCs w:val="21"/>
              </w:rPr>
              <w:t>30</w:t>
            </w:r>
          </w:p>
        </w:tc>
        <w:tc>
          <w:tcPr>
            <w:tcW w:w="1276" w:type="dxa"/>
            <w:vAlign w:val="center"/>
          </w:tcPr>
          <w:p w:rsidR="00256A81" w:rsidRDefault="00553E61">
            <w:pPr>
              <w:jc w:val="center"/>
            </w:pPr>
            <w:r>
              <w:rPr>
                <w:rFonts w:eastAsiaTheme="minorEastAsia"/>
                <w:color w:val="000000"/>
                <w:szCs w:val="21"/>
              </w:rPr>
              <w:t>002973</w:t>
            </w:r>
          </w:p>
        </w:tc>
        <w:tc>
          <w:tcPr>
            <w:tcW w:w="1701" w:type="dxa"/>
            <w:vAlign w:val="center"/>
          </w:tcPr>
          <w:p w:rsidR="00256A81" w:rsidRDefault="00553E61">
            <w:pPr>
              <w:jc w:val="center"/>
            </w:pPr>
            <w:r>
              <w:rPr>
                <w:rFonts w:eastAsiaTheme="minorEastAsia"/>
                <w:color w:val="000000"/>
                <w:szCs w:val="21"/>
              </w:rPr>
              <w:t>侨银环保</w:t>
            </w:r>
          </w:p>
        </w:tc>
        <w:tc>
          <w:tcPr>
            <w:tcW w:w="1559" w:type="dxa"/>
            <w:vAlign w:val="center"/>
          </w:tcPr>
          <w:p w:rsidR="00256A81" w:rsidRDefault="00553E61">
            <w:pPr>
              <w:jc w:val="right"/>
            </w:pPr>
            <w:r>
              <w:rPr>
                <w:rFonts w:eastAsiaTheme="minorEastAsia"/>
                <w:color w:val="000000"/>
                <w:szCs w:val="21"/>
              </w:rPr>
              <w:t>1,146</w:t>
            </w:r>
          </w:p>
        </w:tc>
        <w:tc>
          <w:tcPr>
            <w:tcW w:w="1932" w:type="dxa"/>
            <w:vAlign w:val="center"/>
          </w:tcPr>
          <w:p w:rsidR="00256A81" w:rsidRDefault="00553E61">
            <w:pPr>
              <w:jc w:val="right"/>
            </w:pPr>
            <w:r>
              <w:rPr>
                <w:rFonts w:eastAsiaTheme="minorEastAsia"/>
                <w:color w:val="000000"/>
                <w:szCs w:val="21"/>
              </w:rPr>
              <w:t>6,578.04</w:t>
            </w:r>
          </w:p>
        </w:tc>
        <w:tc>
          <w:tcPr>
            <w:tcW w:w="1612" w:type="dxa"/>
            <w:vAlign w:val="center"/>
          </w:tcPr>
          <w:p w:rsidR="00256A81" w:rsidRDefault="00553E61">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964"/>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256A81">
        <w:tc>
          <w:tcPr>
            <w:tcW w:w="870" w:type="dxa"/>
            <w:vAlign w:val="center"/>
          </w:tcPr>
          <w:p w:rsidR="00256A81" w:rsidRDefault="00553E61">
            <w:pPr>
              <w:jc w:val="center"/>
            </w:pPr>
            <w:r>
              <w:rPr>
                <w:rFonts w:eastAsiaTheme="minorEastAsia"/>
                <w:szCs w:val="21"/>
              </w:rPr>
              <w:t>1</w:t>
            </w:r>
          </w:p>
        </w:tc>
        <w:tc>
          <w:tcPr>
            <w:tcW w:w="1650" w:type="dxa"/>
            <w:vAlign w:val="center"/>
          </w:tcPr>
          <w:p w:rsidR="00256A81" w:rsidRDefault="00553E61">
            <w:pPr>
              <w:jc w:val="center"/>
            </w:pPr>
            <w:r>
              <w:rPr>
                <w:rFonts w:eastAsiaTheme="minorEastAsia"/>
                <w:szCs w:val="21"/>
              </w:rPr>
              <w:t>603259</w:t>
            </w:r>
          </w:p>
        </w:tc>
        <w:tc>
          <w:tcPr>
            <w:tcW w:w="1980" w:type="dxa"/>
            <w:vAlign w:val="center"/>
          </w:tcPr>
          <w:p w:rsidR="00256A81" w:rsidRDefault="00553E61">
            <w:pPr>
              <w:jc w:val="center"/>
            </w:pPr>
            <w:r>
              <w:rPr>
                <w:rFonts w:eastAsiaTheme="minorEastAsia"/>
                <w:szCs w:val="21"/>
              </w:rPr>
              <w:t>药明康德</w:t>
            </w:r>
          </w:p>
        </w:tc>
        <w:tc>
          <w:tcPr>
            <w:tcW w:w="2880" w:type="dxa"/>
            <w:vAlign w:val="center"/>
          </w:tcPr>
          <w:p w:rsidR="00256A81" w:rsidRDefault="00553E61">
            <w:pPr>
              <w:jc w:val="right"/>
            </w:pPr>
            <w:r>
              <w:rPr>
                <w:rFonts w:eastAsiaTheme="minorEastAsia"/>
                <w:szCs w:val="21"/>
              </w:rPr>
              <w:t>23,989,696.40</w:t>
            </w:r>
          </w:p>
        </w:tc>
        <w:tc>
          <w:tcPr>
            <w:tcW w:w="1620" w:type="dxa"/>
            <w:vAlign w:val="center"/>
          </w:tcPr>
          <w:p w:rsidR="00256A81" w:rsidRDefault="00553E61">
            <w:pPr>
              <w:jc w:val="right"/>
            </w:pPr>
            <w:r>
              <w:rPr>
                <w:rFonts w:eastAsiaTheme="minorEastAsia"/>
                <w:szCs w:val="21"/>
              </w:rPr>
              <w:t>4.31</w:t>
            </w:r>
          </w:p>
        </w:tc>
      </w:tr>
      <w:tr w:rsidR="00256A81">
        <w:tc>
          <w:tcPr>
            <w:tcW w:w="870" w:type="dxa"/>
            <w:vAlign w:val="center"/>
          </w:tcPr>
          <w:p w:rsidR="00256A81" w:rsidRDefault="00553E61">
            <w:pPr>
              <w:jc w:val="center"/>
            </w:pPr>
            <w:r>
              <w:rPr>
                <w:rFonts w:eastAsiaTheme="minorEastAsia"/>
                <w:szCs w:val="21"/>
              </w:rPr>
              <w:t>2</w:t>
            </w:r>
          </w:p>
        </w:tc>
        <w:tc>
          <w:tcPr>
            <w:tcW w:w="1650" w:type="dxa"/>
            <w:vAlign w:val="center"/>
          </w:tcPr>
          <w:p w:rsidR="00256A81" w:rsidRDefault="00553E61">
            <w:pPr>
              <w:jc w:val="center"/>
            </w:pPr>
            <w:r>
              <w:rPr>
                <w:rFonts w:eastAsiaTheme="minorEastAsia"/>
                <w:szCs w:val="21"/>
              </w:rPr>
              <w:t>000423</w:t>
            </w:r>
          </w:p>
        </w:tc>
        <w:tc>
          <w:tcPr>
            <w:tcW w:w="1980" w:type="dxa"/>
            <w:vAlign w:val="center"/>
          </w:tcPr>
          <w:p w:rsidR="00256A81" w:rsidRDefault="00553E61">
            <w:pPr>
              <w:jc w:val="center"/>
            </w:pPr>
            <w:r>
              <w:rPr>
                <w:rFonts w:eastAsiaTheme="minorEastAsia"/>
                <w:szCs w:val="21"/>
              </w:rPr>
              <w:t>东阿阿胶</w:t>
            </w:r>
          </w:p>
        </w:tc>
        <w:tc>
          <w:tcPr>
            <w:tcW w:w="2880" w:type="dxa"/>
            <w:vAlign w:val="center"/>
          </w:tcPr>
          <w:p w:rsidR="00256A81" w:rsidRDefault="00553E61">
            <w:pPr>
              <w:jc w:val="right"/>
            </w:pPr>
            <w:r>
              <w:rPr>
                <w:rFonts w:eastAsiaTheme="minorEastAsia"/>
                <w:szCs w:val="21"/>
              </w:rPr>
              <w:t>15,820,001.20</w:t>
            </w:r>
          </w:p>
        </w:tc>
        <w:tc>
          <w:tcPr>
            <w:tcW w:w="1620" w:type="dxa"/>
            <w:vAlign w:val="center"/>
          </w:tcPr>
          <w:p w:rsidR="00256A81" w:rsidRDefault="00553E61">
            <w:pPr>
              <w:jc w:val="right"/>
            </w:pPr>
            <w:r>
              <w:rPr>
                <w:rFonts w:eastAsiaTheme="minorEastAsia"/>
                <w:szCs w:val="21"/>
              </w:rPr>
              <w:t>2.84</w:t>
            </w:r>
          </w:p>
        </w:tc>
      </w:tr>
      <w:tr w:rsidR="00256A81">
        <w:tc>
          <w:tcPr>
            <w:tcW w:w="870" w:type="dxa"/>
            <w:vAlign w:val="center"/>
          </w:tcPr>
          <w:p w:rsidR="00256A81" w:rsidRDefault="00553E61">
            <w:pPr>
              <w:jc w:val="center"/>
            </w:pPr>
            <w:r>
              <w:rPr>
                <w:rFonts w:eastAsiaTheme="minorEastAsia"/>
                <w:szCs w:val="21"/>
              </w:rPr>
              <w:t>3</w:t>
            </w:r>
          </w:p>
        </w:tc>
        <w:tc>
          <w:tcPr>
            <w:tcW w:w="1650" w:type="dxa"/>
            <w:vAlign w:val="center"/>
          </w:tcPr>
          <w:p w:rsidR="00256A81" w:rsidRDefault="00553E61">
            <w:pPr>
              <w:jc w:val="center"/>
            </w:pPr>
            <w:r>
              <w:rPr>
                <w:rFonts w:eastAsiaTheme="minorEastAsia"/>
                <w:szCs w:val="21"/>
              </w:rPr>
              <w:t>000333</w:t>
            </w:r>
          </w:p>
        </w:tc>
        <w:tc>
          <w:tcPr>
            <w:tcW w:w="1980" w:type="dxa"/>
            <w:vAlign w:val="center"/>
          </w:tcPr>
          <w:p w:rsidR="00256A81" w:rsidRDefault="00553E61">
            <w:pPr>
              <w:jc w:val="center"/>
            </w:pPr>
            <w:r>
              <w:rPr>
                <w:rFonts w:eastAsiaTheme="minorEastAsia"/>
                <w:szCs w:val="21"/>
              </w:rPr>
              <w:t>美的集团</w:t>
            </w:r>
          </w:p>
        </w:tc>
        <w:tc>
          <w:tcPr>
            <w:tcW w:w="2880" w:type="dxa"/>
            <w:vAlign w:val="center"/>
          </w:tcPr>
          <w:p w:rsidR="00256A81" w:rsidRDefault="00553E61">
            <w:pPr>
              <w:jc w:val="right"/>
            </w:pPr>
            <w:r>
              <w:rPr>
                <w:rFonts w:eastAsiaTheme="minorEastAsia"/>
                <w:szCs w:val="21"/>
              </w:rPr>
              <w:t>15,640,828.16</w:t>
            </w:r>
          </w:p>
        </w:tc>
        <w:tc>
          <w:tcPr>
            <w:tcW w:w="1620" w:type="dxa"/>
            <w:vAlign w:val="center"/>
          </w:tcPr>
          <w:p w:rsidR="00256A81" w:rsidRDefault="00553E61">
            <w:pPr>
              <w:jc w:val="right"/>
            </w:pPr>
            <w:r>
              <w:rPr>
                <w:rFonts w:eastAsiaTheme="minorEastAsia"/>
                <w:szCs w:val="21"/>
              </w:rPr>
              <w:t>2.81</w:t>
            </w:r>
          </w:p>
        </w:tc>
      </w:tr>
      <w:tr w:rsidR="00256A81">
        <w:tc>
          <w:tcPr>
            <w:tcW w:w="870" w:type="dxa"/>
            <w:vAlign w:val="center"/>
          </w:tcPr>
          <w:p w:rsidR="00256A81" w:rsidRDefault="00553E61">
            <w:pPr>
              <w:jc w:val="center"/>
            </w:pPr>
            <w:r>
              <w:rPr>
                <w:rFonts w:eastAsiaTheme="minorEastAsia"/>
                <w:szCs w:val="21"/>
              </w:rPr>
              <w:t>4</w:t>
            </w:r>
          </w:p>
        </w:tc>
        <w:tc>
          <w:tcPr>
            <w:tcW w:w="1650" w:type="dxa"/>
            <w:vAlign w:val="center"/>
          </w:tcPr>
          <w:p w:rsidR="00256A81" w:rsidRDefault="00553E61">
            <w:pPr>
              <w:jc w:val="center"/>
            </w:pPr>
            <w:r>
              <w:rPr>
                <w:rFonts w:eastAsiaTheme="minorEastAsia"/>
                <w:szCs w:val="21"/>
              </w:rPr>
              <w:t>000963</w:t>
            </w:r>
          </w:p>
        </w:tc>
        <w:tc>
          <w:tcPr>
            <w:tcW w:w="1980" w:type="dxa"/>
            <w:vAlign w:val="center"/>
          </w:tcPr>
          <w:p w:rsidR="00256A81" w:rsidRDefault="00553E61">
            <w:pPr>
              <w:jc w:val="center"/>
            </w:pPr>
            <w:r>
              <w:rPr>
                <w:rFonts w:eastAsiaTheme="minorEastAsia"/>
                <w:szCs w:val="21"/>
              </w:rPr>
              <w:t>华东医药</w:t>
            </w:r>
          </w:p>
        </w:tc>
        <w:tc>
          <w:tcPr>
            <w:tcW w:w="2880" w:type="dxa"/>
            <w:vAlign w:val="center"/>
          </w:tcPr>
          <w:p w:rsidR="00256A81" w:rsidRDefault="00553E61">
            <w:pPr>
              <w:jc w:val="right"/>
            </w:pPr>
            <w:r>
              <w:rPr>
                <w:rFonts w:eastAsiaTheme="minorEastAsia"/>
                <w:szCs w:val="21"/>
              </w:rPr>
              <w:t>13,743,622.50</w:t>
            </w:r>
          </w:p>
        </w:tc>
        <w:tc>
          <w:tcPr>
            <w:tcW w:w="1620" w:type="dxa"/>
            <w:vAlign w:val="center"/>
          </w:tcPr>
          <w:p w:rsidR="00256A81" w:rsidRDefault="00553E61">
            <w:pPr>
              <w:jc w:val="right"/>
            </w:pPr>
            <w:r>
              <w:rPr>
                <w:rFonts w:eastAsiaTheme="minorEastAsia"/>
                <w:szCs w:val="21"/>
              </w:rPr>
              <w:t>2.47</w:t>
            </w:r>
          </w:p>
        </w:tc>
      </w:tr>
      <w:tr w:rsidR="00256A81">
        <w:tc>
          <w:tcPr>
            <w:tcW w:w="870" w:type="dxa"/>
            <w:vAlign w:val="center"/>
          </w:tcPr>
          <w:p w:rsidR="00256A81" w:rsidRDefault="00553E61">
            <w:pPr>
              <w:jc w:val="center"/>
            </w:pPr>
            <w:r>
              <w:rPr>
                <w:rFonts w:eastAsiaTheme="minorEastAsia"/>
                <w:szCs w:val="21"/>
              </w:rPr>
              <w:t>5</w:t>
            </w:r>
          </w:p>
        </w:tc>
        <w:tc>
          <w:tcPr>
            <w:tcW w:w="1650" w:type="dxa"/>
            <w:vAlign w:val="center"/>
          </w:tcPr>
          <w:p w:rsidR="00256A81" w:rsidRDefault="00553E61">
            <w:pPr>
              <w:jc w:val="center"/>
            </w:pPr>
            <w:r>
              <w:rPr>
                <w:rFonts w:eastAsiaTheme="minorEastAsia"/>
                <w:szCs w:val="21"/>
              </w:rPr>
              <w:t>688029</w:t>
            </w:r>
          </w:p>
        </w:tc>
        <w:tc>
          <w:tcPr>
            <w:tcW w:w="1980" w:type="dxa"/>
            <w:vAlign w:val="center"/>
          </w:tcPr>
          <w:p w:rsidR="00256A81" w:rsidRDefault="00553E61">
            <w:pPr>
              <w:jc w:val="center"/>
            </w:pPr>
            <w:r>
              <w:rPr>
                <w:rFonts w:eastAsiaTheme="minorEastAsia"/>
                <w:szCs w:val="21"/>
              </w:rPr>
              <w:t>南微医学</w:t>
            </w:r>
          </w:p>
        </w:tc>
        <w:tc>
          <w:tcPr>
            <w:tcW w:w="2880" w:type="dxa"/>
            <w:vAlign w:val="center"/>
          </w:tcPr>
          <w:p w:rsidR="00256A81" w:rsidRDefault="00553E61">
            <w:pPr>
              <w:jc w:val="right"/>
            </w:pPr>
            <w:r>
              <w:rPr>
                <w:rFonts w:eastAsiaTheme="minorEastAsia"/>
                <w:szCs w:val="21"/>
              </w:rPr>
              <w:t>13,321,424.28</w:t>
            </w:r>
          </w:p>
        </w:tc>
        <w:tc>
          <w:tcPr>
            <w:tcW w:w="1620" w:type="dxa"/>
            <w:vAlign w:val="center"/>
          </w:tcPr>
          <w:p w:rsidR="00256A81" w:rsidRDefault="00553E61">
            <w:pPr>
              <w:jc w:val="right"/>
            </w:pPr>
            <w:r>
              <w:rPr>
                <w:rFonts w:eastAsiaTheme="minorEastAsia"/>
                <w:szCs w:val="21"/>
              </w:rPr>
              <w:t>2.39</w:t>
            </w:r>
          </w:p>
        </w:tc>
      </w:tr>
      <w:tr w:rsidR="00256A81">
        <w:tc>
          <w:tcPr>
            <w:tcW w:w="870" w:type="dxa"/>
            <w:vAlign w:val="center"/>
          </w:tcPr>
          <w:p w:rsidR="00256A81" w:rsidRDefault="00553E61">
            <w:pPr>
              <w:jc w:val="center"/>
            </w:pPr>
            <w:r>
              <w:rPr>
                <w:rFonts w:eastAsiaTheme="minorEastAsia"/>
                <w:szCs w:val="21"/>
              </w:rPr>
              <w:t>6</w:t>
            </w:r>
          </w:p>
        </w:tc>
        <w:tc>
          <w:tcPr>
            <w:tcW w:w="1650" w:type="dxa"/>
            <w:vAlign w:val="center"/>
          </w:tcPr>
          <w:p w:rsidR="00256A81" w:rsidRDefault="00553E61">
            <w:pPr>
              <w:jc w:val="center"/>
            </w:pPr>
            <w:r>
              <w:rPr>
                <w:rFonts w:eastAsiaTheme="minorEastAsia"/>
                <w:szCs w:val="21"/>
              </w:rPr>
              <w:t>000538</w:t>
            </w:r>
          </w:p>
        </w:tc>
        <w:tc>
          <w:tcPr>
            <w:tcW w:w="1980" w:type="dxa"/>
            <w:vAlign w:val="center"/>
          </w:tcPr>
          <w:p w:rsidR="00256A81" w:rsidRDefault="00553E61">
            <w:pPr>
              <w:jc w:val="center"/>
            </w:pPr>
            <w:r>
              <w:rPr>
                <w:rFonts w:eastAsiaTheme="minorEastAsia"/>
                <w:szCs w:val="21"/>
              </w:rPr>
              <w:t>云南白药</w:t>
            </w:r>
          </w:p>
        </w:tc>
        <w:tc>
          <w:tcPr>
            <w:tcW w:w="2880" w:type="dxa"/>
            <w:vAlign w:val="center"/>
          </w:tcPr>
          <w:p w:rsidR="00256A81" w:rsidRDefault="00553E61">
            <w:pPr>
              <w:jc w:val="right"/>
            </w:pPr>
            <w:r>
              <w:rPr>
                <w:rFonts w:eastAsiaTheme="minorEastAsia"/>
                <w:szCs w:val="21"/>
              </w:rPr>
              <w:t>8,845,094.30</w:t>
            </w:r>
          </w:p>
        </w:tc>
        <w:tc>
          <w:tcPr>
            <w:tcW w:w="1620" w:type="dxa"/>
            <w:vAlign w:val="center"/>
          </w:tcPr>
          <w:p w:rsidR="00256A81" w:rsidRDefault="00553E61">
            <w:pPr>
              <w:jc w:val="right"/>
            </w:pPr>
            <w:r>
              <w:rPr>
                <w:rFonts w:eastAsiaTheme="minorEastAsia"/>
                <w:szCs w:val="21"/>
              </w:rPr>
              <w:t>1.59</w:t>
            </w:r>
          </w:p>
        </w:tc>
      </w:tr>
      <w:tr w:rsidR="00256A81">
        <w:tc>
          <w:tcPr>
            <w:tcW w:w="870" w:type="dxa"/>
            <w:vAlign w:val="center"/>
          </w:tcPr>
          <w:p w:rsidR="00256A81" w:rsidRDefault="00553E61">
            <w:pPr>
              <w:jc w:val="center"/>
            </w:pPr>
            <w:r>
              <w:rPr>
                <w:rFonts w:eastAsiaTheme="minorEastAsia"/>
                <w:szCs w:val="21"/>
              </w:rPr>
              <w:t>7</w:t>
            </w:r>
          </w:p>
        </w:tc>
        <w:tc>
          <w:tcPr>
            <w:tcW w:w="1650" w:type="dxa"/>
            <w:vAlign w:val="center"/>
          </w:tcPr>
          <w:p w:rsidR="00256A81" w:rsidRDefault="00553E61">
            <w:pPr>
              <w:jc w:val="center"/>
            </w:pPr>
            <w:r>
              <w:rPr>
                <w:rFonts w:eastAsiaTheme="minorEastAsia"/>
                <w:szCs w:val="21"/>
              </w:rPr>
              <w:t>002007</w:t>
            </w:r>
          </w:p>
        </w:tc>
        <w:tc>
          <w:tcPr>
            <w:tcW w:w="1980" w:type="dxa"/>
            <w:vAlign w:val="center"/>
          </w:tcPr>
          <w:p w:rsidR="00256A81" w:rsidRDefault="00553E61">
            <w:pPr>
              <w:jc w:val="center"/>
            </w:pPr>
            <w:r>
              <w:rPr>
                <w:rFonts w:eastAsiaTheme="minorEastAsia"/>
                <w:szCs w:val="21"/>
              </w:rPr>
              <w:t>华兰生物</w:t>
            </w:r>
          </w:p>
        </w:tc>
        <w:tc>
          <w:tcPr>
            <w:tcW w:w="2880" w:type="dxa"/>
            <w:vAlign w:val="center"/>
          </w:tcPr>
          <w:p w:rsidR="00256A81" w:rsidRDefault="00553E61">
            <w:pPr>
              <w:jc w:val="right"/>
            </w:pPr>
            <w:r>
              <w:rPr>
                <w:rFonts w:eastAsiaTheme="minorEastAsia"/>
                <w:szCs w:val="21"/>
              </w:rPr>
              <w:t>5,479,128.00</w:t>
            </w:r>
          </w:p>
        </w:tc>
        <w:tc>
          <w:tcPr>
            <w:tcW w:w="1620" w:type="dxa"/>
            <w:vAlign w:val="center"/>
          </w:tcPr>
          <w:p w:rsidR="00256A81" w:rsidRDefault="00553E61">
            <w:pPr>
              <w:jc w:val="right"/>
            </w:pPr>
            <w:r>
              <w:rPr>
                <w:rFonts w:eastAsiaTheme="minorEastAsia"/>
                <w:szCs w:val="21"/>
              </w:rPr>
              <w:t>0.98</w:t>
            </w:r>
          </w:p>
        </w:tc>
      </w:tr>
      <w:tr w:rsidR="00256A81">
        <w:tc>
          <w:tcPr>
            <w:tcW w:w="870" w:type="dxa"/>
            <w:vAlign w:val="center"/>
          </w:tcPr>
          <w:p w:rsidR="00256A81" w:rsidRDefault="00553E61">
            <w:pPr>
              <w:jc w:val="center"/>
            </w:pPr>
            <w:r>
              <w:rPr>
                <w:rFonts w:eastAsiaTheme="minorEastAsia"/>
                <w:szCs w:val="21"/>
              </w:rPr>
              <w:t>8</w:t>
            </w:r>
          </w:p>
        </w:tc>
        <w:tc>
          <w:tcPr>
            <w:tcW w:w="1650" w:type="dxa"/>
            <w:vAlign w:val="center"/>
          </w:tcPr>
          <w:p w:rsidR="00256A81" w:rsidRDefault="00553E61">
            <w:pPr>
              <w:jc w:val="center"/>
            </w:pPr>
            <w:r>
              <w:rPr>
                <w:rFonts w:eastAsiaTheme="minorEastAsia"/>
                <w:szCs w:val="21"/>
              </w:rPr>
              <w:t>002223</w:t>
            </w:r>
          </w:p>
        </w:tc>
        <w:tc>
          <w:tcPr>
            <w:tcW w:w="1980" w:type="dxa"/>
            <w:vAlign w:val="center"/>
          </w:tcPr>
          <w:p w:rsidR="00256A81" w:rsidRDefault="00553E61">
            <w:pPr>
              <w:jc w:val="center"/>
            </w:pPr>
            <w:r>
              <w:rPr>
                <w:rFonts w:eastAsiaTheme="minorEastAsia"/>
                <w:szCs w:val="21"/>
              </w:rPr>
              <w:t>鱼跃医疗</w:t>
            </w:r>
          </w:p>
        </w:tc>
        <w:tc>
          <w:tcPr>
            <w:tcW w:w="2880" w:type="dxa"/>
            <w:vAlign w:val="center"/>
          </w:tcPr>
          <w:p w:rsidR="00256A81" w:rsidRDefault="00553E61">
            <w:pPr>
              <w:jc w:val="right"/>
            </w:pPr>
            <w:r>
              <w:rPr>
                <w:rFonts w:eastAsiaTheme="minorEastAsia"/>
                <w:szCs w:val="21"/>
              </w:rPr>
              <w:t>2,921,456.00</w:t>
            </w:r>
          </w:p>
        </w:tc>
        <w:tc>
          <w:tcPr>
            <w:tcW w:w="1620" w:type="dxa"/>
            <w:vAlign w:val="center"/>
          </w:tcPr>
          <w:p w:rsidR="00256A81" w:rsidRDefault="00553E61">
            <w:pPr>
              <w:jc w:val="right"/>
            </w:pPr>
            <w:r>
              <w:rPr>
                <w:rFonts w:eastAsiaTheme="minorEastAsia"/>
                <w:szCs w:val="21"/>
              </w:rPr>
              <w:t>0.52</w:t>
            </w:r>
          </w:p>
        </w:tc>
      </w:tr>
      <w:tr w:rsidR="00256A81">
        <w:tc>
          <w:tcPr>
            <w:tcW w:w="870" w:type="dxa"/>
            <w:vAlign w:val="center"/>
          </w:tcPr>
          <w:p w:rsidR="00256A81" w:rsidRDefault="00553E61">
            <w:pPr>
              <w:jc w:val="center"/>
            </w:pPr>
            <w:r>
              <w:rPr>
                <w:rFonts w:eastAsiaTheme="minorEastAsia"/>
                <w:szCs w:val="21"/>
              </w:rPr>
              <w:t>9</w:t>
            </w:r>
          </w:p>
        </w:tc>
        <w:tc>
          <w:tcPr>
            <w:tcW w:w="1650" w:type="dxa"/>
            <w:vAlign w:val="center"/>
          </w:tcPr>
          <w:p w:rsidR="00256A81" w:rsidRDefault="00553E61">
            <w:pPr>
              <w:jc w:val="center"/>
            </w:pPr>
            <w:r>
              <w:rPr>
                <w:rFonts w:eastAsiaTheme="minorEastAsia"/>
                <w:szCs w:val="21"/>
              </w:rPr>
              <w:t>600161</w:t>
            </w:r>
          </w:p>
        </w:tc>
        <w:tc>
          <w:tcPr>
            <w:tcW w:w="1980" w:type="dxa"/>
            <w:vAlign w:val="center"/>
          </w:tcPr>
          <w:p w:rsidR="00256A81" w:rsidRDefault="00553E61">
            <w:pPr>
              <w:jc w:val="center"/>
            </w:pPr>
            <w:r>
              <w:rPr>
                <w:rFonts w:eastAsiaTheme="minorEastAsia"/>
                <w:szCs w:val="21"/>
              </w:rPr>
              <w:t>天坛生物</w:t>
            </w:r>
          </w:p>
        </w:tc>
        <w:tc>
          <w:tcPr>
            <w:tcW w:w="2880" w:type="dxa"/>
            <w:vAlign w:val="center"/>
          </w:tcPr>
          <w:p w:rsidR="00256A81" w:rsidRDefault="00553E61">
            <w:pPr>
              <w:jc w:val="right"/>
            </w:pPr>
            <w:r>
              <w:rPr>
                <w:rFonts w:eastAsiaTheme="minorEastAsia"/>
                <w:szCs w:val="21"/>
              </w:rPr>
              <w:t>2,895,554.00</w:t>
            </w:r>
          </w:p>
        </w:tc>
        <w:tc>
          <w:tcPr>
            <w:tcW w:w="1620" w:type="dxa"/>
            <w:vAlign w:val="center"/>
          </w:tcPr>
          <w:p w:rsidR="00256A81" w:rsidRDefault="00553E61">
            <w:pPr>
              <w:jc w:val="right"/>
            </w:pPr>
            <w:r>
              <w:rPr>
                <w:rFonts w:eastAsiaTheme="minorEastAsia"/>
                <w:szCs w:val="21"/>
              </w:rPr>
              <w:t>0.52</w:t>
            </w:r>
          </w:p>
        </w:tc>
      </w:tr>
      <w:tr w:rsidR="00256A81">
        <w:tc>
          <w:tcPr>
            <w:tcW w:w="870" w:type="dxa"/>
            <w:vAlign w:val="center"/>
          </w:tcPr>
          <w:p w:rsidR="00256A81" w:rsidRDefault="00553E61">
            <w:pPr>
              <w:jc w:val="center"/>
            </w:pPr>
            <w:r>
              <w:rPr>
                <w:rFonts w:eastAsiaTheme="minorEastAsia"/>
                <w:szCs w:val="21"/>
              </w:rPr>
              <w:t>10</w:t>
            </w:r>
          </w:p>
        </w:tc>
        <w:tc>
          <w:tcPr>
            <w:tcW w:w="1650" w:type="dxa"/>
            <w:vAlign w:val="center"/>
          </w:tcPr>
          <w:p w:rsidR="00256A81" w:rsidRDefault="00553E61">
            <w:pPr>
              <w:jc w:val="center"/>
            </w:pPr>
            <w:r>
              <w:rPr>
                <w:rFonts w:eastAsiaTheme="minorEastAsia"/>
                <w:szCs w:val="21"/>
              </w:rPr>
              <w:t>688008</w:t>
            </w:r>
          </w:p>
        </w:tc>
        <w:tc>
          <w:tcPr>
            <w:tcW w:w="1980" w:type="dxa"/>
            <w:vAlign w:val="center"/>
          </w:tcPr>
          <w:p w:rsidR="00256A81" w:rsidRDefault="00553E61">
            <w:pPr>
              <w:jc w:val="center"/>
            </w:pPr>
            <w:r>
              <w:rPr>
                <w:rFonts w:eastAsiaTheme="minorEastAsia"/>
                <w:szCs w:val="21"/>
              </w:rPr>
              <w:t>澜起科技</w:t>
            </w:r>
          </w:p>
        </w:tc>
        <w:tc>
          <w:tcPr>
            <w:tcW w:w="2880" w:type="dxa"/>
            <w:vAlign w:val="center"/>
          </w:tcPr>
          <w:p w:rsidR="00256A81" w:rsidRDefault="00553E61">
            <w:pPr>
              <w:jc w:val="right"/>
            </w:pPr>
            <w:r>
              <w:rPr>
                <w:rFonts w:eastAsiaTheme="minorEastAsia"/>
                <w:szCs w:val="21"/>
              </w:rPr>
              <w:t>890,047.20</w:t>
            </w:r>
          </w:p>
        </w:tc>
        <w:tc>
          <w:tcPr>
            <w:tcW w:w="1620" w:type="dxa"/>
            <w:vAlign w:val="center"/>
          </w:tcPr>
          <w:p w:rsidR="00256A81" w:rsidRDefault="00553E61">
            <w:pPr>
              <w:jc w:val="right"/>
            </w:pPr>
            <w:r>
              <w:rPr>
                <w:rFonts w:eastAsiaTheme="minorEastAsia"/>
                <w:szCs w:val="21"/>
              </w:rPr>
              <w:t>0.16</w:t>
            </w:r>
          </w:p>
        </w:tc>
      </w:tr>
      <w:tr w:rsidR="00256A81">
        <w:tc>
          <w:tcPr>
            <w:tcW w:w="870" w:type="dxa"/>
            <w:vAlign w:val="center"/>
          </w:tcPr>
          <w:p w:rsidR="00256A81" w:rsidRDefault="00553E61">
            <w:pPr>
              <w:jc w:val="center"/>
            </w:pPr>
            <w:r>
              <w:rPr>
                <w:rFonts w:eastAsiaTheme="minorEastAsia"/>
                <w:szCs w:val="21"/>
              </w:rPr>
              <w:t>11</w:t>
            </w:r>
          </w:p>
        </w:tc>
        <w:tc>
          <w:tcPr>
            <w:tcW w:w="1650" w:type="dxa"/>
            <w:vAlign w:val="center"/>
          </w:tcPr>
          <w:p w:rsidR="00256A81" w:rsidRDefault="00553E61">
            <w:pPr>
              <w:jc w:val="center"/>
            </w:pPr>
            <w:r>
              <w:rPr>
                <w:rFonts w:eastAsiaTheme="minorEastAsia"/>
                <w:szCs w:val="21"/>
              </w:rPr>
              <w:t>688036</w:t>
            </w:r>
          </w:p>
        </w:tc>
        <w:tc>
          <w:tcPr>
            <w:tcW w:w="1980" w:type="dxa"/>
            <w:vAlign w:val="center"/>
          </w:tcPr>
          <w:p w:rsidR="00256A81" w:rsidRDefault="00553E61">
            <w:pPr>
              <w:jc w:val="center"/>
            </w:pPr>
            <w:r>
              <w:rPr>
                <w:rFonts w:eastAsiaTheme="minorEastAsia"/>
                <w:szCs w:val="21"/>
              </w:rPr>
              <w:t>传音控股</w:t>
            </w:r>
          </w:p>
        </w:tc>
        <w:tc>
          <w:tcPr>
            <w:tcW w:w="2880" w:type="dxa"/>
            <w:vAlign w:val="center"/>
          </w:tcPr>
          <w:p w:rsidR="00256A81" w:rsidRDefault="00553E61">
            <w:pPr>
              <w:jc w:val="right"/>
            </w:pPr>
            <w:r>
              <w:rPr>
                <w:rFonts w:eastAsiaTheme="minorEastAsia"/>
                <w:szCs w:val="21"/>
              </w:rPr>
              <w:t>810,769.90</w:t>
            </w:r>
          </w:p>
        </w:tc>
        <w:tc>
          <w:tcPr>
            <w:tcW w:w="1620" w:type="dxa"/>
            <w:vAlign w:val="center"/>
          </w:tcPr>
          <w:p w:rsidR="00256A81" w:rsidRDefault="00553E61">
            <w:pPr>
              <w:jc w:val="right"/>
            </w:pPr>
            <w:r>
              <w:rPr>
                <w:rFonts w:eastAsiaTheme="minorEastAsia"/>
                <w:szCs w:val="21"/>
              </w:rPr>
              <w:t>0.15</w:t>
            </w:r>
          </w:p>
        </w:tc>
      </w:tr>
      <w:tr w:rsidR="00256A81">
        <w:tc>
          <w:tcPr>
            <w:tcW w:w="870" w:type="dxa"/>
            <w:vAlign w:val="center"/>
          </w:tcPr>
          <w:p w:rsidR="00256A81" w:rsidRDefault="00553E61">
            <w:pPr>
              <w:jc w:val="center"/>
            </w:pPr>
            <w:r>
              <w:rPr>
                <w:rFonts w:eastAsiaTheme="minorEastAsia"/>
                <w:szCs w:val="21"/>
              </w:rPr>
              <w:t>12</w:t>
            </w:r>
          </w:p>
        </w:tc>
        <w:tc>
          <w:tcPr>
            <w:tcW w:w="1650" w:type="dxa"/>
            <w:vAlign w:val="center"/>
          </w:tcPr>
          <w:p w:rsidR="00256A81" w:rsidRDefault="00553E61">
            <w:pPr>
              <w:jc w:val="center"/>
            </w:pPr>
            <w:r>
              <w:rPr>
                <w:rFonts w:eastAsiaTheme="minorEastAsia"/>
                <w:szCs w:val="21"/>
              </w:rPr>
              <w:t>688111</w:t>
            </w:r>
          </w:p>
        </w:tc>
        <w:tc>
          <w:tcPr>
            <w:tcW w:w="1980" w:type="dxa"/>
            <w:vAlign w:val="center"/>
          </w:tcPr>
          <w:p w:rsidR="00256A81" w:rsidRDefault="00553E61">
            <w:pPr>
              <w:jc w:val="center"/>
            </w:pPr>
            <w:r>
              <w:rPr>
                <w:rFonts w:eastAsiaTheme="minorEastAsia"/>
                <w:szCs w:val="21"/>
              </w:rPr>
              <w:t>金山办公</w:t>
            </w:r>
          </w:p>
        </w:tc>
        <w:tc>
          <w:tcPr>
            <w:tcW w:w="2880" w:type="dxa"/>
            <w:vAlign w:val="center"/>
          </w:tcPr>
          <w:p w:rsidR="00256A81" w:rsidRDefault="00553E61">
            <w:pPr>
              <w:jc w:val="right"/>
            </w:pPr>
            <w:r>
              <w:rPr>
                <w:rFonts w:eastAsiaTheme="minorEastAsia"/>
                <w:szCs w:val="21"/>
              </w:rPr>
              <w:t>672,261.74</w:t>
            </w:r>
          </w:p>
        </w:tc>
        <w:tc>
          <w:tcPr>
            <w:tcW w:w="1620" w:type="dxa"/>
            <w:vAlign w:val="center"/>
          </w:tcPr>
          <w:p w:rsidR="00256A81" w:rsidRDefault="00553E61">
            <w:pPr>
              <w:jc w:val="right"/>
            </w:pPr>
            <w:r>
              <w:rPr>
                <w:rFonts w:eastAsiaTheme="minorEastAsia"/>
                <w:szCs w:val="21"/>
              </w:rPr>
              <w:t>0.12</w:t>
            </w:r>
          </w:p>
        </w:tc>
      </w:tr>
      <w:tr w:rsidR="00256A81">
        <w:tc>
          <w:tcPr>
            <w:tcW w:w="870" w:type="dxa"/>
            <w:vAlign w:val="center"/>
          </w:tcPr>
          <w:p w:rsidR="00256A81" w:rsidRDefault="00553E61">
            <w:pPr>
              <w:jc w:val="center"/>
            </w:pPr>
            <w:r>
              <w:rPr>
                <w:rFonts w:eastAsiaTheme="minorEastAsia"/>
                <w:szCs w:val="21"/>
              </w:rPr>
              <w:t>13</w:t>
            </w:r>
          </w:p>
        </w:tc>
        <w:tc>
          <w:tcPr>
            <w:tcW w:w="1650" w:type="dxa"/>
            <w:vAlign w:val="center"/>
          </w:tcPr>
          <w:p w:rsidR="00256A81" w:rsidRDefault="00553E61">
            <w:pPr>
              <w:jc w:val="center"/>
            </w:pPr>
            <w:r>
              <w:rPr>
                <w:rFonts w:eastAsiaTheme="minorEastAsia"/>
                <w:szCs w:val="21"/>
              </w:rPr>
              <w:t>688188</w:t>
            </w:r>
          </w:p>
        </w:tc>
        <w:tc>
          <w:tcPr>
            <w:tcW w:w="1980" w:type="dxa"/>
            <w:vAlign w:val="center"/>
          </w:tcPr>
          <w:p w:rsidR="00256A81" w:rsidRDefault="00553E61">
            <w:pPr>
              <w:jc w:val="center"/>
            </w:pPr>
            <w:r>
              <w:rPr>
                <w:rFonts w:eastAsiaTheme="minorEastAsia"/>
                <w:szCs w:val="21"/>
              </w:rPr>
              <w:t>柏楚电子</w:t>
            </w:r>
          </w:p>
        </w:tc>
        <w:tc>
          <w:tcPr>
            <w:tcW w:w="2880" w:type="dxa"/>
            <w:vAlign w:val="center"/>
          </w:tcPr>
          <w:p w:rsidR="00256A81" w:rsidRDefault="00553E61">
            <w:pPr>
              <w:jc w:val="right"/>
            </w:pPr>
            <w:r>
              <w:rPr>
                <w:rFonts w:eastAsiaTheme="minorEastAsia"/>
                <w:szCs w:val="21"/>
              </w:rPr>
              <w:t>538,147.26</w:t>
            </w:r>
          </w:p>
        </w:tc>
        <w:tc>
          <w:tcPr>
            <w:tcW w:w="1620" w:type="dxa"/>
            <w:vAlign w:val="center"/>
          </w:tcPr>
          <w:p w:rsidR="00256A81" w:rsidRDefault="00553E61">
            <w:pPr>
              <w:jc w:val="right"/>
            </w:pPr>
            <w:r>
              <w:rPr>
                <w:rFonts w:eastAsiaTheme="minorEastAsia"/>
                <w:szCs w:val="21"/>
              </w:rPr>
              <w:t>0.10</w:t>
            </w:r>
          </w:p>
        </w:tc>
      </w:tr>
      <w:tr w:rsidR="00256A81">
        <w:tc>
          <w:tcPr>
            <w:tcW w:w="870" w:type="dxa"/>
            <w:vAlign w:val="center"/>
          </w:tcPr>
          <w:p w:rsidR="00256A81" w:rsidRDefault="00553E61">
            <w:pPr>
              <w:jc w:val="center"/>
            </w:pPr>
            <w:r>
              <w:rPr>
                <w:rFonts w:eastAsiaTheme="minorEastAsia"/>
                <w:szCs w:val="21"/>
              </w:rPr>
              <w:t>14</w:t>
            </w:r>
          </w:p>
        </w:tc>
        <w:tc>
          <w:tcPr>
            <w:tcW w:w="1650" w:type="dxa"/>
            <w:vAlign w:val="center"/>
          </w:tcPr>
          <w:p w:rsidR="00256A81" w:rsidRDefault="00553E61">
            <w:pPr>
              <w:jc w:val="center"/>
            </w:pPr>
            <w:r>
              <w:rPr>
                <w:rFonts w:eastAsiaTheme="minorEastAsia"/>
                <w:szCs w:val="21"/>
              </w:rPr>
              <w:t>688363</w:t>
            </w:r>
          </w:p>
        </w:tc>
        <w:tc>
          <w:tcPr>
            <w:tcW w:w="1980" w:type="dxa"/>
            <w:vAlign w:val="center"/>
          </w:tcPr>
          <w:p w:rsidR="00256A81" w:rsidRDefault="00553E61">
            <w:pPr>
              <w:jc w:val="center"/>
            </w:pPr>
            <w:r>
              <w:rPr>
                <w:rFonts w:eastAsiaTheme="minorEastAsia"/>
                <w:szCs w:val="21"/>
              </w:rPr>
              <w:t>华熙生物</w:t>
            </w:r>
          </w:p>
        </w:tc>
        <w:tc>
          <w:tcPr>
            <w:tcW w:w="2880" w:type="dxa"/>
            <w:vAlign w:val="center"/>
          </w:tcPr>
          <w:p w:rsidR="00256A81" w:rsidRDefault="00553E61">
            <w:pPr>
              <w:jc w:val="right"/>
            </w:pPr>
            <w:r>
              <w:rPr>
                <w:rFonts w:eastAsiaTheme="minorEastAsia"/>
                <w:szCs w:val="21"/>
              </w:rPr>
              <w:t>468,342.00</w:t>
            </w:r>
          </w:p>
        </w:tc>
        <w:tc>
          <w:tcPr>
            <w:tcW w:w="1620" w:type="dxa"/>
            <w:vAlign w:val="center"/>
          </w:tcPr>
          <w:p w:rsidR="00256A81" w:rsidRDefault="00553E61">
            <w:pPr>
              <w:jc w:val="right"/>
            </w:pPr>
            <w:r>
              <w:rPr>
                <w:rFonts w:eastAsiaTheme="minorEastAsia"/>
                <w:szCs w:val="21"/>
              </w:rPr>
              <w:t>0.08</w:t>
            </w:r>
          </w:p>
        </w:tc>
      </w:tr>
      <w:tr w:rsidR="00256A81">
        <w:tc>
          <w:tcPr>
            <w:tcW w:w="870" w:type="dxa"/>
            <w:vAlign w:val="center"/>
          </w:tcPr>
          <w:p w:rsidR="00256A81" w:rsidRDefault="00553E61">
            <w:pPr>
              <w:jc w:val="center"/>
            </w:pPr>
            <w:r>
              <w:rPr>
                <w:rFonts w:eastAsiaTheme="minorEastAsia"/>
                <w:szCs w:val="21"/>
              </w:rPr>
              <w:t>15</w:t>
            </w:r>
          </w:p>
        </w:tc>
        <w:tc>
          <w:tcPr>
            <w:tcW w:w="1650" w:type="dxa"/>
            <w:vAlign w:val="center"/>
          </w:tcPr>
          <w:p w:rsidR="00256A81" w:rsidRDefault="00553E61">
            <w:pPr>
              <w:jc w:val="center"/>
            </w:pPr>
            <w:r>
              <w:rPr>
                <w:rFonts w:eastAsiaTheme="minorEastAsia"/>
                <w:szCs w:val="21"/>
              </w:rPr>
              <w:t>688033</w:t>
            </w:r>
          </w:p>
        </w:tc>
        <w:tc>
          <w:tcPr>
            <w:tcW w:w="1980" w:type="dxa"/>
            <w:vAlign w:val="center"/>
          </w:tcPr>
          <w:p w:rsidR="00256A81" w:rsidRDefault="00553E61">
            <w:pPr>
              <w:jc w:val="center"/>
            </w:pPr>
            <w:r>
              <w:rPr>
                <w:rFonts w:eastAsiaTheme="minorEastAsia"/>
                <w:szCs w:val="21"/>
              </w:rPr>
              <w:t>天宜上佳</w:t>
            </w:r>
          </w:p>
        </w:tc>
        <w:tc>
          <w:tcPr>
            <w:tcW w:w="2880" w:type="dxa"/>
            <w:vAlign w:val="center"/>
          </w:tcPr>
          <w:p w:rsidR="00256A81" w:rsidRDefault="00553E61">
            <w:pPr>
              <w:jc w:val="right"/>
            </w:pPr>
            <w:r>
              <w:rPr>
                <w:rFonts w:eastAsiaTheme="minorEastAsia"/>
                <w:szCs w:val="21"/>
              </w:rPr>
              <w:t>436,040.22</w:t>
            </w:r>
          </w:p>
        </w:tc>
        <w:tc>
          <w:tcPr>
            <w:tcW w:w="1620" w:type="dxa"/>
            <w:vAlign w:val="center"/>
          </w:tcPr>
          <w:p w:rsidR="00256A81" w:rsidRDefault="00553E61">
            <w:pPr>
              <w:jc w:val="right"/>
            </w:pPr>
            <w:r>
              <w:rPr>
                <w:rFonts w:eastAsiaTheme="minorEastAsia"/>
                <w:szCs w:val="21"/>
              </w:rPr>
              <w:t>0.08</w:t>
            </w:r>
          </w:p>
        </w:tc>
      </w:tr>
      <w:tr w:rsidR="00256A81">
        <w:tc>
          <w:tcPr>
            <w:tcW w:w="870" w:type="dxa"/>
            <w:vAlign w:val="center"/>
          </w:tcPr>
          <w:p w:rsidR="00256A81" w:rsidRDefault="00553E61">
            <w:pPr>
              <w:jc w:val="center"/>
            </w:pPr>
            <w:r>
              <w:rPr>
                <w:rFonts w:eastAsiaTheme="minorEastAsia"/>
                <w:szCs w:val="21"/>
              </w:rPr>
              <w:t>16</w:t>
            </w:r>
          </w:p>
        </w:tc>
        <w:tc>
          <w:tcPr>
            <w:tcW w:w="1650" w:type="dxa"/>
            <w:vAlign w:val="center"/>
          </w:tcPr>
          <w:p w:rsidR="00256A81" w:rsidRDefault="00553E61">
            <w:pPr>
              <w:jc w:val="center"/>
            </w:pPr>
            <w:r>
              <w:rPr>
                <w:rFonts w:eastAsiaTheme="minorEastAsia"/>
                <w:szCs w:val="21"/>
              </w:rPr>
              <w:t>688321</w:t>
            </w:r>
          </w:p>
        </w:tc>
        <w:tc>
          <w:tcPr>
            <w:tcW w:w="1980" w:type="dxa"/>
            <w:vAlign w:val="center"/>
          </w:tcPr>
          <w:p w:rsidR="00256A81" w:rsidRDefault="00553E61">
            <w:pPr>
              <w:jc w:val="center"/>
            </w:pPr>
            <w:r>
              <w:rPr>
                <w:rFonts w:eastAsiaTheme="minorEastAsia"/>
                <w:szCs w:val="21"/>
              </w:rPr>
              <w:t>微芯生物</w:t>
            </w:r>
          </w:p>
        </w:tc>
        <w:tc>
          <w:tcPr>
            <w:tcW w:w="2880" w:type="dxa"/>
            <w:vAlign w:val="center"/>
          </w:tcPr>
          <w:p w:rsidR="00256A81" w:rsidRDefault="00553E61">
            <w:pPr>
              <w:jc w:val="right"/>
            </w:pPr>
            <w:r>
              <w:rPr>
                <w:rFonts w:eastAsiaTheme="minorEastAsia"/>
                <w:szCs w:val="21"/>
              </w:rPr>
              <w:t>272,291.04</w:t>
            </w:r>
          </w:p>
        </w:tc>
        <w:tc>
          <w:tcPr>
            <w:tcW w:w="1620" w:type="dxa"/>
            <w:vAlign w:val="center"/>
          </w:tcPr>
          <w:p w:rsidR="00256A81" w:rsidRDefault="00553E61">
            <w:pPr>
              <w:jc w:val="right"/>
            </w:pPr>
            <w:r>
              <w:rPr>
                <w:rFonts w:eastAsiaTheme="minorEastAsia"/>
                <w:szCs w:val="21"/>
              </w:rPr>
              <w:t>0.05</w:t>
            </w:r>
          </w:p>
        </w:tc>
      </w:tr>
      <w:tr w:rsidR="00256A81">
        <w:tc>
          <w:tcPr>
            <w:tcW w:w="870" w:type="dxa"/>
            <w:vAlign w:val="center"/>
          </w:tcPr>
          <w:p w:rsidR="00256A81" w:rsidRDefault="00553E61">
            <w:pPr>
              <w:jc w:val="center"/>
            </w:pPr>
            <w:r>
              <w:rPr>
                <w:rFonts w:eastAsiaTheme="minorEastAsia"/>
                <w:szCs w:val="21"/>
              </w:rPr>
              <w:t>17</w:t>
            </w:r>
          </w:p>
        </w:tc>
        <w:tc>
          <w:tcPr>
            <w:tcW w:w="1650" w:type="dxa"/>
            <w:vAlign w:val="center"/>
          </w:tcPr>
          <w:p w:rsidR="00256A81" w:rsidRDefault="00553E61">
            <w:pPr>
              <w:jc w:val="center"/>
            </w:pPr>
            <w:r>
              <w:rPr>
                <w:rFonts w:eastAsiaTheme="minorEastAsia"/>
                <w:szCs w:val="21"/>
              </w:rPr>
              <w:t>600989</w:t>
            </w:r>
          </w:p>
        </w:tc>
        <w:tc>
          <w:tcPr>
            <w:tcW w:w="1980" w:type="dxa"/>
            <w:vAlign w:val="center"/>
          </w:tcPr>
          <w:p w:rsidR="00256A81" w:rsidRDefault="00553E61">
            <w:pPr>
              <w:jc w:val="center"/>
            </w:pPr>
            <w:r>
              <w:rPr>
                <w:rFonts w:eastAsiaTheme="minorEastAsia"/>
                <w:szCs w:val="21"/>
              </w:rPr>
              <w:t>宝丰能源</w:t>
            </w:r>
          </w:p>
        </w:tc>
        <w:tc>
          <w:tcPr>
            <w:tcW w:w="2880" w:type="dxa"/>
            <w:vAlign w:val="center"/>
          </w:tcPr>
          <w:p w:rsidR="00256A81" w:rsidRDefault="00553E61">
            <w:pPr>
              <w:jc w:val="right"/>
            </w:pPr>
            <w:r>
              <w:rPr>
                <w:rFonts w:eastAsiaTheme="minorEastAsia"/>
                <w:szCs w:val="21"/>
              </w:rPr>
              <w:t>270,838.72</w:t>
            </w:r>
          </w:p>
        </w:tc>
        <w:tc>
          <w:tcPr>
            <w:tcW w:w="1620" w:type="dxa"/>
            <w:vAlign w:val="center"/>
          </w:tcPr>
          <w:p w:rsidR="00256A81" w:rsidRDefault="00553E61">
            <w:pPr>
              <w:jc w:val="right"/>
            </w:pPr>
            <w:r>
              <w:rPr>
                <w:rFonts w:eastAsiaTheme="minorEastAsia"/>
                <w:szCs w:val="21"/>
              </w:rPr>
              <w:t>0.05</w:t>
            </w:r>
          </w:p>
        </w:tc>
      </w:tr>
      <w:tr w:rsidR="00256A81">
        <w:tc>
          <w:tcPr>
            <w:tcW w:w="870" w:type="dxa"/>
            <w:vAlign w:val="center"/>
          </w:tcPr>
          <w:p w:rsidR="00256A81" w:rsidRDefault="00553E61">
            <w:pPr>
              <w:jc w:val="center"/>
            </w:pPr>
            <w:r>
              <w:rPr>
                <w:rFonts w:eastAsiaTheme="minorEastAsia"/>
                <w:szCs w:val="21"/>
              </w:rPr>
              <w:t>18</w:t>
            </w:r>
          </w:p>
        </w:tc>
        <w:tc>
          <w:tcPr>
            <w:tcW w:w="1650" w:type="dxa"/>
            <w:vAlign w:val="center"/>
          </w:tcPr>
          <w:p w:rsidR="00256A81" w:rsidRDefault="00553E61">
            <w:pPr>
              <w:jc w:val="center"/>
            </w:pPr>
            <w:r>
              <w:rPr>
                <w:rFonts w:eastAsiaTheme="minorEastAsia"/>
                <w:szCs w:val="21"/>
              </w:rPr>
              <w:t>688101</w:t>
            </w:r>
          </w:p>
        </w:tc>
        <w:tc>
          <w:tcPr>
            <w:tcW w:w="1980" w:type="dxa"/>
            <w:vAlign w:val="center"/>
          </w:tcPr>
          <w:p w:rsidR="00256A81" w:rsidRDefault="00553E61">
            <w:pPr>
              <w:jc w:val="center"/>
            </w:pPr>
            <w:r>
              <w:rPr>
                <w:rFonts w:eastAsiaTheme="minorEastAsia"/>
                <w:szCs w:val="21"/>
              </w:rPr>
              <w:t>三达膜</w:t>
            </w:r>
          </w:p>
        </w:tc>
        <w:tc>
          <w:tcPr>
            <w:tcW w:w="2880" w:type="dxa"/>
            <w:vAlign w:val="center"/>
          </w:tcPr>
          <w:p w:rsidR="00256A81" w:rsidRDefault="00553E61">
            <w:pPr>
              <w:jc w:val="right"/>
            </w:pPr>
            <w:r>
              <w:rPr>
                <w:rFonts w:eastAsiaTheme="minorEastAsia"/>
                <w:szCs w:val="21"/>
              </w:rPr>
              <w:t>246,199.58</w:t>
            </w:r>
          </w:p>
        </w:tc>
        <w:tc>
          <w:tcPr>
            <w:tcW w:w="1620" w:type="dxa"/>
            <w:vAlign w:val="center"/>
          </w:tcPr>
          <w:p w:rsidR="00256A81" w:rsidRDefault="00553E61">
            <w:pPr>
              <w:jc w:val="right"/>
            </w:pPr>
            <w:r>
              <w:rPr>
                <w:rFonts w:eastAsiaTheme="minorEastAsia"/>
                <w:szCs w:val="21"/>
              </w:rPr>
              <w:t>0.04</w:t>
            </w:r>
          </w:p>
        </w:tc>
      </w:tr>
      <w:tr w:rsidR="00256A81">
        <w:tc>
          <w:tcPr>
            <w:tcW w:w="870" w:type="dxa"/>
            <w:vAlign w:val="center"/>
          </w:tcPr>
          <w:p w:rsidR="00256A81" w:rsidRDefault="00553E61">
            <w:pPr>
              <w:jc w:val="center"/>
            </w:pPr>
            <w:r>
              <w:rPr>
                <w:rFonts w:eastAsiaTheme="minorEastAsia"/>
                <w:szCs w:val="21"/>
              </w:rPr>
              <w:t>19</w:t>
            </w:r>
          </w:p>
        </w:tc>
        <w:tc>
          <w:tcPr>
            <w:tcW w:w="1650" w:type="dxa"/>
            <w:vAlign w:val="center"/>
          </w:tcPr>
          <w:p w:rsidR="00256A81" w:rsidRDefault="00553E61">
            <w:pPr>
              <w:jc w:val="center"/>
            </w:pPr>
            <w:r>
              <w:rPr>
                <w:rFonts w:eastAsiaTheme="minorEastAsia"/>
                <w:szCs w:val="21"/>
              </w:rPr>
              <w:t>688366</w:t>
            </w:r>
          </w:p>
        </w:tc>
        <w:tc>
          <w:tcPr>
            <w:tcW w:w="1980" w:type="dxa"/>
            <w:vAlign w:val="center"/>
          </w:tcPr>
          <w:p w:rsidR="00256A81" w:rsidRDefault="00553E61">
            <w:pPr>
              <w:jc w:val="center"/>
            </w:pPr>
            <w:r>
              <w:rPr>
                <w:rFonts w:eastAsiaTheme="minorEastAsia"/>
                <w:szCs w:val="21"/>
              </w:rPr>
              <w:t>昊海生科</w:t>
            </w:r>
          </w:p>
        </w:tc>
        <w:tc>
          <w:tcPr>
            <w:tcW w:w="2880" w:type="dxa"/>
            <w:vAlign w:val="center"/>
          </w:tcPr>
          <w:p w:rsidR="00256A81" w:rsidRDefault="00553E61">
            <w:pPr>
              <w:jc w:val="right"/>
            </w:pPr>
            <w:r>
              <w:rPr>
                <w:rFonts w:eastAsiaTheme="minorEastAsia"/>
                <w:szCs w:val="21"/>
              </w:rPr>
              <w:t>241,902.53</w:t>
            </w:r>
          </w:p>
        </w:tc>
        <w:tc>
          <w:tcPr>
            <w:tcW w:w="1620" w:type="dxa"/>
            <w:vAlign w:val="center"/>
          </w:tcPr>
          <w:p w:rsidR="00256A81" w:rsidRDefault="00553E61">
            <w:pPr>
              <w:jc w:val="right"/>
            </w:pPr>
            <w:r>
              <w:rPr>
                <w:rFonts w:eastAsiaTheme="minorEastAsia"/>
                <w:szCs w:val="21"/>
              </w:rPr>
              <w:t>0.04</w:t>
            </w:r>
          </w:p>
        </w:tc>
      </w:tr>
      <w:tr w:rsidR="00256A81">
        <w:tc>
          <w:tcPr>
            <w:tcW w:w="870" w:type="dxa"/>
            <w:vAlign w:val="center"/>
          </w:tcPr>
          <w:p w:rsidR="00256A81" w:rsidRDefault="00553E61">
            <w:pPr>
              <w:jc w:val="center"/>
            </w:pPr>
            <w:r>
              <w:rPr>
                <w:rFonts w:eastAsiaTheme="minorEastAsia"/>
                <w:szCs w:val="21"/>
              </w:rPr>
              <w:t>20</w:t>
            </w:r>
          </w:p>
        </w:tc>
        <w:tc>
          <w:tcPr>
            <w:tcW w:w="1650" w:type="dxa"/>
            <w:vAlign w:val="center"/>
          </w:tcPr>
          <w:p w:rsidR="00256A81" w:rsidRDefault="00553E61">
            <w:pPr>
              <w:jc w:val="center"/>
            </w:pPr>
            <w:r>
              <w:rPr>
                <w:rFonts w:eastAsiaTheme="minorEastAsia"/>
                <w:szCs w:val="21"/>
              </w:rPr>
              <w:t>688116</w:t>
            </w:r>
          </w:p>
        </w:tc>
        <w:tc>
          <w:tcPr>
            <w:tcW w:w="1980" w:type="dxa"/>
            <w:vAlign w:val="center"/>
          </w:tcPr>
          <w:p w:rsidR="00256A81" w:rsidRDefault="00553E61">
            <w:pPr>
              <w:jc w:val="center"/>
            </w:pPr>
            <w:r>
              <w:rPr>
                <w:rFonts w:eastAsiaTheme="minorEastAsia"/>
                <w:szCs w:val="21"/>
              </w:rPr>
              <w:t>天奈科技</w:t>
            </w:r>
          </w:p>
        </w:tc>
        <w:tc>
          <w:tcPr>
            <w:tcW w:w="2880" w:type="dxa"/>
            <w:vAlign w:val="center"/>
          </w:tcPr>
          <w:p w:rsidR="00256A81" w:rsidRDefault="00553E61">
            <w:pPr>
              <w:jc w:val="right"/>
            </w:pPr>
            <w:r>
              <w:rPr>
                <w:rFonts w:eastAsiaTheme="minorEastAsia"/>
                <w:szCs w:val="21"/>
              </w:rPr>
              <w:t>241,808.00</w:t>
            </w:r>
          </w:p>
        </w:tc>
        <w:tc>
          <w:tcPr>
            <w:tcW w:w="1620" w:type="dxa"/>
            <w:vAlign w:val="center"/>
          </w:tcPr>
          <w:p w:rsidR="00256A81" w:rsidRDefault="00553E61">
            <w:pPr>
              <w:jc w:val="right"/>
            </w:pPr>
            <w:r>
              <w:rPr>
                <w:rFonts w:eastAsiaTheme="minorEastAsia"/>
                <w:szCs w:val="21"/>
              </w:rPr>
              <w:t>0.04</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256A81">
        <w:tc>
          <w:tcPr>
            <w:tcW w:w="870" w:type="dxa"/>
            <w:vAlign w:val="center"/>
          </w:tcPr>
          <w:p w:rsidR="00256A81" w:rsidRDefault="00553E61">
            <w:pPr>
              <w:jc w:val="center"/>
            </w:pPr>
            <w:r>
              <w:rPr>
                <w:rFonts w:eastAsiaTheme="minorEastAsia"/>
                <w:szCs w:val="21"/>
              </w:rPr>
              <w:t>1</w:t>
            </w:r>
          </w:p>
        </w:tc>
        <w:tc>
          <w:tcPr>
            <w:tcW w:w="1650" w:type="dxa"/>
            <w:vAlign w:val="center"/>
          </w:tcPr>
          <w:p w:rsidR="00256A81" w:rsidRDefault="00553E61">
            <w:pPr>
              <w:jc w:val="center"/>
            </w:pPr>
            <w:r>
              <w:rPr>
                <w:rFonts w:eastAsiaTheme="minorEastAsia"/>
                <w:szCs w:val="21"/>
              </w:rPr>
              <w:t>000661</w:t>
            </w:r>
          </w:p>
        </w:tc>
        <w:tc>
          <w:tcPr>
            <w:tcW w:w="1980" w:type="dxa"/>
            <w:vAlign w:val="center"/>
          </w:tcPr>
          <w:p w:rsidR="00256A81" w:rsidRDefault="00553E61">
            <w:pPr>
              <w:jc w:val="center"/>
            </w:pPr>
            <w:r>
              <w:rPr>
                <w:rFonts w:eastAsiaTheme="minorEastAsia"/>
                <w:szCs w:val="21"/>
              </w:rPr>
              <w:t>长春高新</w:t>
            </w:r>
          </w:p>
        </w:tc>
        <w:tc>
          <w:tcPr>
            <w:tcW w:w="2880" w:type="dxa"/>
            <w:vAlign w:val="center"/>
          </w:tcPr>
          <w:p w:rsidR="00256A81" w:rsidRDefault="00553E61">
            <w:pPr>
              <w:jc w:val="right"/>
            </w:pPr>
            <w:r>
              <w:rPr>
                <w:rFonts w:eastAsiaTheme="minorEastAsia"/>
                <w:szCs w:val="21"/>
              </w:rPr>
              <w:t>42,212,543.84</w:t>
            </w:r>
          </w:p>
        </w:tc>
        <w:tc>
          <w:tcPr>
            <w:tcW w:w="1620" w:type="dxa"/>
            <w:vAlign w:val="center"/>
          </w:tcPr>
          <w:p w:rsidR="00256A81" w:rsidRDefault="00553E61">
            <w:pPr>
              <w:jc w:val="right"/>
            </w:pPr>
            <w:r>
              <w:rPr>
                <w:rFonts w:eastAsiaTheme="minorEastAsia"/>
                <w:szCs w:val="21"/>
              </w:rPr>
              <w:t>7.58</w:t>
            </w:r>
          </w:p>
        </w:tc>
      </w:tr>
      <w:tr w:rsidR="00256A81">
        <w:tc>
          <w:tcPr>
            <w:tcW w:w="870" w:type="dxa"/>
            <w:vAlign w:val="center"/>
          </w:tcPr>
          <w:p w:rsidR="00256A81" w:rsidRDefault="00553E61">
            <w:pPr>
              <w:jc w:val="center"/>
            </w:pPr>
            <w:r>
              <w:rPr>
                <w:rFonts w:eastAsiaTheme="minorEastAsia"/>
                <w:szCs w:val="21"/>
              </w:rPr>
              <w:t>2</w:t>
            </w:r>
          </w:p>
        </w:tc>
        <w:tc>
          <w:tcPr>
            <w:tcW w:w="1650" w:type="dxa"/>
            <w:vAlign w:val="center"/>
          </w:tcPr>
          <w:p w:rsidR="00256A81" w:rsidRDefault="00553E61">
            <w:pPr>
              <w:jc w:val="center"/>
            </w:pPr>
            <w:r>
              <w:rPr>
                <w:rFonts w:eastAsiaTheme="minorEastAsia"/>
                <w:szCs w:val="21"/>
              </w:rPr>
              <w:t>601318</w:t>
            </w:r>
          </w:p>
        </w:tc>
        <w:tc>
          <w:tcPr>
            <w:tcW w:w="1980" w:type="dxa"/>
            <w:vAlign w:val="center"/>
          </w:tcPr>
          <w:p w:rsidR="00256A81" w:rsidRDefault="00553E61">
            <w:pPr>
              <w:jc w:val="center"/>
            </w:pPr>
            <w:r>
              <w:rPr>
                <w:rFonts w:eastAsiaTheme="minorEastAsia"/>
                <w:szCs w:val="21"/>
              </w:rPr>
              <w:t>中国平安</w:t>
            </w:r>
          </w:p>
        </w:tc>
        <w:tc>
          <w:tcPr>
            <w:tcW w:w="2880" w:type="dxa"/>
            <w:vAlign w:val="center"/>
          </w:tcPr>
          <w:p w:rsidR="00256A81" w:rsidRDefault="00553E61">
            <w:pPr>
              <w:jc w:val="right"/>
            </w:pPr>
            <w:r>
              <w:rPr>
                <w:rFonts w:eastAsiaTheme="minorEastAsia"/>
                <w:szCs w:val="21"/>
              </w:rPr>
              <w:t>29,485,470.20</w:t>
            </w:r>
          </w:p>
        </w:tc>
        <w:tc>
          <w:tcPr>
            <w:tcW w:w="1620" w:type="dxa"/>
            <w:vAlign w:val="center"/>
          </w:tcPr>
          <w:p w:rsidR="00256A81" w:rsidRDefault="00553E61">
            <w:pPr>
              <w:jc w:val="right"/>
            </w:pPr>
            <w:r>
              <w:rPr>
                <w:rFonts w:eastAsiaTheme="minorEastAsia"/>
                <w:szCs w:val="21"/>
              </w:rPr>
              <w:t>5.30</w:t>
            </w:r>
          </w:p>
        </w:tc>
      </w:tr>
      <w:tr w:rsidR="00256A81">
        <w:tc>
          <w:tcPr>
            <w:tcW w:w="870" w:type="dxa"/>
            <w:vAlign w:val="center"/>
          </w:tcPr>
          <w:p w:rsidR="00256A81" w:rsidRDefault="00553E61">
            <w:pPr>
              <w:jc w:val="center"/>
            </w:pPr>
            <w:r>
              <w:rPr>
                <w:rFonts w:eastAsiaTheme="minorEastAsia"/>
                <w:szCs w:val="21"/>
              </w:rPr>
              <w:t>3</w:t>
            </w:r>
          </w:p>
        </w:tc>
        <w:tc>
          <w:tcPr>
            <w:tcW w:w="1650" w:type="dxa"/>
            <w:vAlign w:val="center"/>
          </w:tcPr>
          <w:p w:rsidR="00256A81" w:rsidRDefault="00553E61">
            <w:pPr>
              <w:jc w:val="center"/>
            </w:pPr>
            <w:r>
              <w:rPr>
                <w:rFonts w:eastAsiaTheme="minorEastAsia"/>
                <w:szCs w:val="21"/>
              </w:rPr>
              <w:t>000963</w:t>
            </w:r>
          </w:p>
        </w:tc>
        <w:tc>
          <w:tcPr>
            <w:tcW w:w="1980" w:type="dxa"/>
            <w:vAlign w:val="center"/>
          </w:tcPr>
          <w:p w:rsidR="00256A81" w:rsidRDefault="00553E61">
            <w:pPr>
              <w:jc w:val="center"/>
            </w:pPr>
            <w:r>
              <w:rPr>
                <w:rFonts w:eastAsiaTheme="minorEastAsia"/>
                <w:szCs w:val="21"/>
              </w:rPr>
              <w:t>华东医药</w:t>
            </w:r>
          </w:p>
        </w:tc>
        <w:tc>
          <w:tcPr>
            <w:tcW w:w="2880" w:type="dxa"/>
            <w:vAlign w:val="center"/>
          </w:tcPr>
          <w:p w:rsidR="00256A81" w:rsidRDefault="00553E61">
            <w:pPr>
              <w:jc w:val="right"/>
            </w:pPr>
            <w:r>
              <w:rPr>
                <w:rFonts w:eastAsiaTheme="minorEastAsia"/>
                <w:szCs w:val="21"/>
              </w:rPr>
              <w:t>25,972,956.00</w:t>
            </w:r>
          </w:p>
        </w:tc>
        <w:tc>
          <w:tcPr>
            <w:tcW w:w="1620" w:type="dxa"/>
            <w:vAlign w:val="center"/>
          </w:tcPr>
          <w:p w:rsidR="00256A81" w:rsidRDefault="00553E61">
            <w:pPr>
              <w:jc w:val="right"/>
            </w:pPr>
            <w:r>
              <w:rPr>
                <w:rFonts w:eastAsiaTheme="minorEastAsia"/>
                <w:szCs w:val="21"/>
              </w:rPr>
              <w:t>4.67</w:t>
            </w:r>
          </w:p>
        </w:tc>
      </w:tr>
      <w:tr w:rsidR="00256A81">
        <w:tc>
          <w:tcPr>
            <w:tcW w:w="870" w:type="dxa"/>
            <w:vAlign w:val="center"/>
          </w:tcPr>
          <w:p w:rsidR="00256A81" w:rsidRDefault="00553E61">
            <w:pPr>
              <w:jc w:val="center"/>
            </w:pPr>
            <w:r>
              <w:rPr>
                <w:rFonts w:eastAsiaTheme="minorEastAsia"/>
                <w:szCs w:val="21"/>
              </w:rPr>
              <w:t>4</w:t>
            </w:r>
          </w:p>
        </w:tc>
        <w:tc>
          <w:tcPr>
            <w:tcW w:w="1650" w:type="dxa"/>
            <w:vAlign w:val="center"/>
          </w:tcPr>
          <w:p w:rsidR="00256A81" w:rsidRDefault="00553E61">
            <w:pPr>
              <w:jc w:val="center"/>
            </w:pPr>
            <w:r>
              <w:rPr>
                <w:rFonts w:eastAsiaTheme="minorEastAsia"/>
                <w:szCs w:val="21"/>
              </w:rPr>
              <w:t>300015</w:t>
            </w:r>
          </w:p>
        </w:tc>
        <w:tc>
          <w:tcPr>
            <w:tcW w:w="1980" w:type="dxa"/>
            <w:vAlign w:val="center"/>
          </w:tcPr>
          <w:p w:rsidR="00256A81" w:rsidRDefault="00553E61">
            <w:pPr>
              <w:jc w:val="center"/>
            </w:pPr>
            <w:r>
              <w:rPr>
                <w:rFonts w:eastAsiaTheme="minorEastAsia"/>
                <w:szCs w:val="21"/>
              </w:rPr>
              <w:t>爱尔眼科</w:t>
            </w:r>
          </w:p>
        </w:tc>
        <w:tc>
          <w:tcPr>
            <w:tcW w:w="2880" w:type="dxa"/>
            <w:vAlign w:val="center"/>
          </w:tcPr>
          <w:p w:rsidR="00256A81" w:rsidRDefault="00553E61">
            <w:pPr>
              <w:jc w:val="right"/>
            </w:pPr>
            <w:r>
              <w:rPr>
                <w:rFonts w:eastAsiaTheme="minorEastAsia"/>
                <w:szCs w:val="21"/>
              </w:rPr>
              <w:t>21,832,040.86</w:t>
            </w:r>
          </w:p>
        </w:tc>
        <w:tc>
          <w:tcPr>
            <w:tcW w:w="1620" w:type="dxa"/>
            <w:vAlign w:val="center"/>
          </w:tcPr>
          <w:p w:rsidR="00256A81" w:rsidRDefault="00553E61">
            <w:pPr>
              <w:jc w:val="right"/>
            </w:pPr>
            <w:r>
              <w:rPr>
                <w:rFonts w:eastAsiaTheme="minorEastAsia"/>
                <w:szCs w:val="21"/>
              </w:rPr>
              <w:t>3.92</w:t>
            </w:r>
          </w:p>
        </w:tc>
      </w:tr>
      <w:tr w:rsidR="00256A81">
        <w:tc>
          <w:tcPr>
            <w:tcW w:w="870" w:type="dxa"/>
            <w:vAlign w:val="center"/>
          </w:tcPr>
          <w:p w:rsidR="00256A81" w:rsidRDefault="00553E61">
            <w:pPr>
              <w:jc w:val="center"/>
            </w:pPr>
            <w:r>
              <w:rPr>
                <w:rFonts w:eastAsiaTheme="minorEastAsia"/>
                <w:szCs w:val="21"/>
              </w:rPr>
              <w:t>5</w:t>
            </w:r>
          </w:p>
        </w:tc>
        <w:tc>
          <w:tcPr>
            <w:tcW w:w="1650" w:type="dxa"/>
            <w:vAlign w:val="center"/>
          </w:tcPr>
          <w:p w:rsidR="00256A81" w:rsidRDefault="00553E61">
            <w:pPr>
              <w:jc w:val="center"/>
            </w:pPr>
            <w:r>
              <w:rPr>
                <w:rFonts w:eastAsiaTheme="minorEastAsia"/>
                <w:szCs w:val="21"/>
              </w:rPr>
              <w:t>600519</w:t>
            </w:r>
          </w:p>
        </w:tc>
        <w:tc>
          <w:tcPr>
            <w:tcW w:w="1980" w:type="dxa"/>
            <w:vAlign w:val="center"/>
          </w:tcPr>
          <w:p w:rsidR="00256A81" w:rsidRDefault="00553E61">
            <w:pPr>
              <w:jc w:val="center"/>
            </w:pPr>
            <w:r>
              <w:rPr>
                <w:rFonts w:eastAsiaTheme="minorEastAsia"/>
                <w:szCs w:val="21"/>
              </w:rPr>
              <w:t>贵州茅台</w:t>
            </w:r>
          </w:p>
        </w:tc>
        <w:tc>
          <w:tcPr>
            <w:tcW w:w="2880" w:type="dxa"/>
            <w:vAlign w:val="center"/>
          </w:tcPr>
          <w:p w:rsidR="00256A81" w:rsidRDefault="00553E61">
            <w:pPr>
              <w:jc w:val="right"/>
            </w:pPr>
            <w:r>
              <w:rPr>
                <w:rFonts w:eastAsiaTheme="minorEastAsia"/>
                <w:szCs w:val="21"/>
              </w:rPr>
              <w:t>20,601,357.89</w:t>
            </w:r>
          </w:p>
        </w:tc>
        <w:tc>
          <w:tcPr>
            <w:tcW w:w="1620" w:type="dxa"/>
            <w:vAlign w:val="center"/>
          </w:tcPr>
          <w:p w:rsidR="00256A81" w:rsidRDefault="00553E61">
            <w:pPr>
              <w:jc w:val="right"/>
            </w:pPr>
            <w:r>
              <w:rPr>
                <w:rFonts w:eastAsiaTheme="minorEastAsia"/>
                <w:szCs w:val="21"/>
              </w:rPr>
              <w:t>3.70</w:t>
            </w:r>
          </w:p>
        </w:tc>
      </w:tr>
      <w:tr w:rsidR="00256A81">
        <w:tc>
          <w:tcPr>
            <w:tcW w:w="870" w:type="dxa"/>
            <w:vAlign w:val="center"/>
          </w:tcPr>
          <w:p w:rsidR="00256A81" w:rsidRDefault="00553E61">
            <w:pPr>
              <w:jc w:val="center"/>
            </w:pPr>
            <w:r>
              <w:rPr>
                <w:rFonts w:eastAsiaTheme="minorEastAsia"/>
                <w:szCs w:val="21"/>
              </w:rPr>
              <w:t>6</w:t>
            </w:r>
          </w:p>
        </w:tc>
        <w:tc>
          <w:tcPr>
            <w:tcW w:w="1650" w:type="dxa"/>
            <w:vAlign w:val="center"/>
          </w:tcPr>
          <w:p w:rsidR="00256A81" w:rsidRDefault="00553E61">
            <w:pPr>
              <w:jc w:val="center"/>
            </w:pPr>
            <w:r>
              <w:rPr>
                <w:rFonts w:eastAsiaTheme="minorEastAsia"/>
                <w:szCs w:val="21"/>
              </w:rPr>
              <w:t>600511</w:t>
            </w:r>
          </w:p>
        </w:tc>
        <w:tc>
          <w:tcPr>
            <w:tcW w:w="1980" w:type="dxa"/>
            <w:vAlign w:val="center"/>
          </w:tcPr>
          <w:p w:rsidR="00256A81" w:rsidRDefault="00553E61">
            <w:pPr>
              <w:jc w:val="center"/>
            </w:pPr>
            <w:r>
              <w:rPr>
                <w:rFonts w:eastAsiaTheme="minorEastAsia"/>
                <w:szCs w:val="21"/>
              </w:rPr>
              <w:t>国药股份</w:t>
            </w:r>
          </w:p>
        </w:tc>
        <w:tc>
          <w:tcPr>
            <w:tcW w:w="2880" w:type="dxa"/>
            <w:vAlign w:val="center"/>
          </w:tcPr>
          <w:p w:rsidR="00256A81" w:rsidRDefault="00553E61">
            <w:pPr>
              <w:jc w:val="right"/>
            </w:pPr>
            <w:r>
              <w:rPr>
                <w:rFonts w:eastAsiaTheme="minorEastAsia"/>
                <w:szCs w:val="21"/>
              </w:rPr>
              <w:t>20,150,651.22</w:t>
            </w:r>
          </w:p>
        </w:tc>
        <w:tc>
          <w:tcPr>
            <w:tcW w:w="1620" w:type="dxa"/>
            <w:vAlign w:val="center"/>
          </w:tcPr>
          <w:p w:rsidR="00256A81" w:rsidRDefault="00553E61">
            <w:pPr>
              <w:jc w:val="right"/>
            </w:pPr>
            <w:r>
              <w:rPr>
                <w:rFonts w:eastAsiaTheme="minorEastAsia"/>
                <w:szCs w:val="21"/>
              </w:rPr>
              <w:t>3.62</w:t>
            </w:r>
          </w:p>
        </w:tc>
      </w:tr>
      <w:tr w:rsidR="00256A81">
        <w:tc>
          <w:tcPr>
            <w:tcW w:w="870" w:type="dxa"/>
            <w:vAlign w:val="center"/>
          </w:tcPr>
          <w:p w:rsidR="00256A81" w:rsidRDefault="00553E61">
            <w:pPr>
              <w:jc w:val="center"/>
            </w:pPr>
            <w:r>
              <w:rPr>
                <w:rFonts w:eastAsiaTheme="minorEastAsia"/>
                <w:szCs w:val="21"/>
              </w:rPr>
              <w:t>7</w:t>
            </w:r>
          </w:p>
        </w:tc>
        <w:tc>
          <w:tcPr>
            <w:tcW w:w="1650" w:type="dxa"/>
            <w:vAlign w:val="center"/>
          </w:tcPr>
          <w:p w:rsidR="00256A81" w:rsidRDefault="00553E61">
            <w:pPr>
              <w:jc w:val="center"/>
            </w:pPr>
            <w:r>
              <w:rPr>
                <w:rFonts w:eastAsiaTheme="minorEastAsia"/>
                <w:szCs w:val="21"/>
              </w:rPr>
              <w:t>000333</w:t>
            </w:r>
          </w:p>
        </w:tc>
        <w:tc>
          <w:tcPr>
            <w:tcW w:w="1980" w:type="dxa"/>
            <w:vAlign w:val="center"/>
          </w:tcPr>
          <w:p w:rsidR="00256A81" w:rsidRDefault="00553E61">
            <w:pPr>
              <w:jc w:val="center"/>
            </w:pPr>
            <w:r>
              <w:rPr>
                <w:rFonts w:eastAsiaTheme="minorEastAsia"/>
                <w:szCs w:val="21"/>
              </w:rPr>
              <w:t>美的集团</w:t>
            </w:r>
          </w:p>
        </w:tc>
        <w:tc>
          <w:tcPr>
            <w:tcW w:w="2880" w:type="dxa"/>
            <w:vAlign w:val="center"/>
          </w:tcPr>
          <w:p w:rsidR="00256A81" w:rsidRDefault="00553E61">
            <w:pPr>
              <w:jc w:val="right"/>
            </w:pPr>
            <w:r>
              <w:rPr>
                <w:rFonts w:eastAsiaTheme="minorEastAsia"/>
                <w:szCs w:val="21"/>
              </w:rPr>
              <w:t>19,924,773.60</w:t>
            </w:r>
          </w:p>
        </w:tc>
        <w:tc>
          <w:tcPr>
            <w:tcW w:w="1620" w:type="dxa"/>
            <w:vAlign w:val="center"/>
          </w:tcPr>
          <w:p w:rsidR="00256A81" w:rsidRDefault="00553E61">
            <w:pPr>
              <w:jc w:val="right"/>
            </w:pPr>
            <w:r>
              <w:rPr>
                <w:rFonts w:eastAsiaTheme="minorEastAsia"/>
                <w:szCs w:val="21"/>
              </w:rPr>
              <w:t>3.58</w:t>
            </w:r>
          </w:p>
        </w:tc>
      </w:tr>
      <w:tr w:rsidR="00256A81">
        <w:tc>
          <w:tcPr>
            <w:tcW w:w="870" w:type="dxa"/>
            <w:vAlign w:val="center"/>
          </w:tcPr>
          <w:p w:rsidR="00256A81" w:rsidRDefault="00553E61">
            <w:pPr>
              <w:jc w:val="center"/>
            </w:pPr>
            <w:r>
              <w:rPr>
                <w:rFonts w:eastAsiaTheme="minorEastAsia"/>
                <w:szCs w:val="21"/>
              </w:rPr>
              <w:t>8</w:t>
            </w:r>
          </w:p>
        </w:tc>
        <w:tc>
          <w:tcPr>
            <w:tcW w:w="1650" w:type="dxa"/>
            <w:vAlign w:val="center"/>
          </w:tcPr>
          <w:p w:rsidR="00256A81" w:rsidRDefault="00553E61">
            <w:pPr>
              <w:jc w:val="center"/>
            </w:pPr>
            <w:r>
              <w:rPr>
                <w:rFonts w:eastAsiaTheme="minorEastAsia"/>
                <w:szCs w:val="21"/>
              </w:rPr>
              <w:t>600196</w:t>
            </w:r>
          </w:p>
        </w:tc>
        <w:tc>
          <w:tcPr>
            <w:tcW w:w="1980" w:type="dxa"/>
            <w:vAlign w:val="center"/>
          </w:tcPr>
          <w:p w:rsidR="00256A81" w:rsidRDefault="00553E61">
            <w:pPr>
              <w:jc w:val="center"/>
            </w:pPr>
            <w:r>
              <w:rPr>
                <w:rFonts w:eastAsiaTheme="minorEastAsia"/>
                <w:szCs w:val="21"/>
              </w:rPr>
              <w:t>复星医药</w:t>
            </w:r>
          </w:p>
        </w:tc>
        <w:tc>
          <w:tcPr>
            <w:tcW w:w="2880" w:type="dxa"/>
            <w:vAlign w:val="center"/>
          </w:tcPr>
          <w:p w:rsidR="00256A81" w:rsidRDefault="00553E61">
            <w:pPr>
              <w:jc w:val="right"/>
            </w:pPr>
            <w:r>
              <w:rPr>
                <w:rFonts w:eastAsiaTheme="minorEastAsia"/>
                <w:szCs w:val="21"/>
              </w:rPr>
              <w:t>19,306,978.11</w:t>
            </w:r>
          </w:p>
        </w:tc>
        <w:tc>
          <w:tcPr>
            <w:tcW w:w="1620" w:type="dxa"/>
            <w:vAlign w:val="center"/>
          </w:tcPr>
          <w:p w:rsidR="00256A81" w:rsidRDefault="00553E61">
            <w:pPr>
              <w:jc w:val="right"/>
            </w:pPr>
            <w:r>
              <w:rPr>
                <w:rFonts w:eastAsiaTheme="minorEastAsia"/>
                <w:szCs w:val="21"/>
              </w:rPr>
              <w:t>3.47</w:t>
            </w:r>
          </w:p>
        </w:tc>
      </w:tr>
      <w:tr w:rsidR="00256A81">
        <w:tc>
          <w:tcPr>
            <w:tcW w:w="870" w:type="dxa"/>
            <w:vAlign w:val="center"/>
          </w:tcPr>
          <w:p w:rsidR="00256A81" w:rsidRDefault="00553E61">
            <w:pPr>
              <w:jc w:val="center"/>
            </w:pPr>
            <w:r>
              <w:rPr>
                <w:rFonts w:eastAsiaTheme="minorEastAsia"/>
                <w:szCs w:val="21"/>
              </w:rPr>
              <w:t>9</w:t>
            </w:r>
          </w:p>
        </w:tc>
        <w:tc>
          <w:tcPr>
            <w:tcW w:w="1650" w:type="dxa"/>
            <w:vAlign w:val="center"/>
          </w:tcPr>
          <w:p w:rsidR="00256A81" w:rsidRDefault="00553E61">
            <w:pPr>
              <w:jc w:val="center"/>
            </w:pPr>
            <w:r>
              <w:rPr>
                <w:rFonts w:eastAsiaTheme="minorEastAsia"/>
                <w:szCs w:val="21"/>
              </w:rPr>
              <w:t>603866</w:t>
            </w:r>
          </w:p>
        </w:tc>
        <w:tc>
          <w:tcPr>
            <w:tcW w:w="1980" w:type="dxa"/>
            <w:vAlign w:val="center"/>
          </w:tcPr>
          <w:p w:rsidR="00256A81" w:rsidRDefault="00553E61">
            <w:pPr>
              <w:jc w:val="center"/>
            </w:pPr>
            <w:r>
              <w:rPr>
                <w:rFonts w:eastAsiaTheme="minorEastAsia"/>
                <w:szCs w:val="21"/>
              </w:rPr>
              <w:t>桃李面包</w:t>
            </w:r>
          </w:p>
        </w:tc>
        <w:tc>
          <w:tcPr>
            <w:tcW w:w="2880" w:type="dxa"/>
            <w:vAlign w:val="center"/>
          </w:tcPr>
          <w:p w:rsidR="00256A81" w:rsidRDefault="00553E61">
            <w:pPr>
              <w:jc w:val="right"/>
            </w:pPr>
            <w:r>
              <w:rPr>
                <w:rFonts w:eastAsiaTheme="minorEastAsia"/>
                <w:szCs w:val="21"/>
              </w:rPr>
              <w:t>19,089,234.21</w:t>
            </w:r>
          </w:p>
        </w:tc>
        <w:tc>
          <w:tcPr>
            <w:tcW w:w="1620" w:type="dxa"/>
            <w:vAlign w:val="center"/>
          </w:tcPr>
          <w:p w:rsidR="00256A81" w:rsidRDefault="00553E61">
            <w:pPr>
              <w:jc w:val="right"/>
            </w:pPr>
            <w:r>
              <w:rPr>
                <w:rFonts w:eastAsiaTheme="minorEastAsia"/>
                <w:szCs w:val="21"/>
              </w:rPr>
              <w:t>3.43</w:t>
            </w:r>
          </w:p>
        </w:tc>
      </w:tr>
      <w:tr w:rsidR="00256A81">
        <w:tc>
          <w:tcPr>
            <w:tcW w:w="870" w:type="dxa"/>
            <w:vAlign w:val="center"/>
          </w:tcPr>
          <w:p w:rsidR="00256A81" w:rsidRDefault="00553E61">
            <w:pPr>
              <w:jc w:val="center"/>
            </w:pPr>
            <w:r>
              <w:rPr>
                <w:rFonts w:eastAsiaTheme="minorEastAsia"/>
                <w:szCs w:val="21"/>
              </w:rPr>
              <w:t>10</w:t>
            </w:r>
          </w:p>
        </w:tc>
        <w:tc>
          <w:tcPr>
            <w:tcW w:w="1650" w:type="dxa"/>
            <w:vAlign w:val="center"/>
          </w:tcPr>
          <w:p w:rsidR="00256A81" w:rsidRDefault="00553E61">
            <w:pPr>
              <w:jc w:val="center"/>
            </w:pPr>
            <w:r>
              <w:rPr>
                <w:rFonts w:eastAsiaTheme="minorEastAsia"/>
                <w:szCs w:val="21"/>
              </w:rPr>
              <w:t>000418</w:t>
            </w:r>
          </w:p>
        </w:tc>
        <w:tc>
          <w:tcPr>
            <w:tcW w:w="1980" w:type="dxa"/>
            <w:vAlign w:val="center"/>
          </w:tcPr>
          <w:p w:rsidR="00256A81" w:rsidRDefault="00553E61">
            <w:pPr>
              <w:jc w:val="center"/>
            </w:pPr>
            <w:r>
              <w:rPr>
                <w:rFonts w:eastAsiaTheme="minorEastAsia"/>
                <w:szCs w:val="21"/>
              </w:rPr>
              <w:t>小天鹅</w:t>
            </w:r>
            <w:r>
              <w:rPr>
                <w:rFonts w:eastAsiaTheme="minorEastAsia"/>
                <w:szCs w:val="21"/>
              </w:rPr>
              <w:t>A</w:t>
            </w:r>
          </w:p>
        </w:tc>
        <w:tc>
          <w:tcPr>
            <w:tcW w:w="2880" w:type="dxa"/>
            <w:vAlign w:val="center"/>
          </w:tcPr>
          <w:p w:rsidR="00256A81" w:rsidRDefault="00553E61">
            <w:pPr>
              <w:jc w:val="right"/>
            </w:pPr>
            <w:r>
              <w:rPr>
                <w:rFonts w:eastAsiaTheme="minorEastAsia"/>
                <w:szCs w:val="21"/>
              </w:rPr>
              <w:t>15,640,828.16</w:t>
            </w:r>
          </w:p>
        </w:tc>
        <w:tc>
          <w:tcPr>
            <w:tcW w:w="1620" w:type="dxa"/>
            <w:vAlign w:val="center"/>
          </w:tcPr>
          <w:p w:rsidR="00256A81" w:rsidRDefault="00553E61">
            <w:pPr>
              <w:jc w:val="right"/>
            </w:pPr>
            <w:r>
              <w:rPr>
                <w:rFonts w:eastAsiaTheme="minorEastAsia"/>
                <w:szCs w:val="21"/>
              </w:rPr>
              <w:t>2.81</w:t>
            </w:r>
          </w:p>
        </w:tc>
      </w:tr>
      <w:tr w:rsidR="00256A81">
        <w:tc>
          <w:tcPr>
            <w:tcW w:w="870" w:type="dxa"/>
            <w:vAlign w:val="center"/>
          </w:tcPr>
          <w:p w:rsidR="00256A81" w:rsidRDefault="00553E61">
            <w:pPr>
              <w:jc w:val="center"/>
            </w:pPr>
            <w:r>
              <w:rPr>
                <w:rFonts w:eastAsiaTheme="minorEastAsia"/>
                <w:szCs w:val="21"/>
              </w:rPr>
              <w:t>11</w:t>
            </w:r>
          </w:p>
        </w:tc>
        <w:tc>
          <w:tcPr>
            <w:tcW w:w="1650" w:type="dxa"/>
            <w:vAlign w:val="center"/>
          </w:tcPr>
          <w:p w:rsidR="00256A81" w:rsidRDefault="00553E61">
            <w:pPr>
              <w:jc w:val="center"/>
            </w:pPr>
            <w:r>
              <w:rPr>
                <w:rFonts w:eastAsiaTheme="minorEastAsia"/>
                <w:szCs w:val="21"/>
              </w:rPr>
              <w:t>600085</w:t>
            </w:r>
          </w:p>
        </w:tc>
        <w:tc>
          <w:tcPr>
            <w:tcW w:w="1980" w:type="dxa"/>
            <w:vAlign w:val="center"/>
          </w:tcPr>
          <w:p w:rsidR="00256A81" w:rsidRDefault="00553E61">
            <w:pPr>
              <w:jc w:val="center"/>
            </w:pPr>
            <w:r>
              <w:rPr>
                <w:rFonts w:eastAsiaTheme="minorEastAsia"/>
                <w:szCs w:val="21"/>
              </w:rPr>
              <w:t>同仁堂</w:t>
            </w:r>
          </w:p>
        </w:tc>
        <w:tc>
          <w:tcPr>
            <w:tcW w:w="2880" w:type="dxa"/>
            <w:vAlign w:val="center"/>
          </w:tcPr>
          <w:p w:rsidR="00256A81" w:rsidRDefault="00553E61">
            <w:pPr>
              <w:jc w:val="right"/>
            </w:pPr>
            <w:r>
              <w:rPr>
                <w:rFonts w:eastAsiaTheme="minorEastAsia"/>
                <w:szCs w:val="21"/>
              </w:rPr>
              <w:t>11,580,474.41</w:t>
            </w:r>
          </w:p>
        </w:tc>
        <w:tc>
          <w:tcPr>
            <w:tcW w:w="1620" w:type="dxa"/>
            <w:vAlign w:val="center"/>
          </w:tcPr>
          <w:p w:rsidR="00256A81" w:rsidRDefault="00553E61">
            <w:pPr>
              <w:jc w:val="right"/>
            </w:pPr>
            <w:r>
              <w:rPr>
                <w:rFonts w:eastAsiaTheme="minorEastAsia"/>
                <w:szCs w:val="21"/>
              </w:rPr>
              <w:t>2.08</w:t>
            </w:r>
          </w:p>
        </w:tc>
      </w:tr>
      <w:tr w:rsidR="00256A81">
        <w:tc>
          <w:tcPr>
            <w:tcW w:w="870" w:type="dxa"/>
            <w:vAlign w:val="center"/>
          </w:tcPr>
          <w:p w:rsidR="00256A81" w:rsidRDefault="00553E61">
            <w:pPr>
              <w:jc w:val="center"/>
            </w:pPr>
            <w:r>
              <w:rPr>
                <w:rFonts w:eastAsiaTheme="minorEastAsia"/>
                <w:szCs w:val="21"/>
              </w:rPr>
              <w:t>12</w:t>
            </w:r>
          </w:p>
        </w:tc>
        <w:tc>
          <w:tcPr>
            <w:tcW w:w="1650" w:type="dxa"/>
            <w:vAlign w:val="center"/>
          </w:tcPr>
          <w:p w:rsidR="00256A81" w:rsidRDefault="00553E61">
            <w:pPr>
              <w:jc w:val="center"/>
            </w:pPr>
            <w:r>
              <w:rPr>
                <w:rFonts w:eastAsiaTheme="minorEastAsia"/>
                <w:szCs w:val="21"/>
              </w:rPr>
              <w:t>300142</w:t>
            </w:r>
          </w:p>
        </w:tc>
        <w:tc>
          <w:tcPr>
            <w:tcW w:w="1980" w:type="dxa"/>
            <w:vAlign w:val="center"/>
          </w:tcPr>
          <w:p w:rsidR="00256A81" w:rsidRDefault="00553E61">
            <w:pPr>
              <w:jc w:val="center"/>
            </w:pPr>
            <w:r>
              <w:rPr>
                <w:rFonts w:eastAsiaTheme="minorEastAsia"/>
                <w:szCs w:val="21"/>
              </w:rPr>
              <w:t>沃森生物</w:t>
            </w:r>
          </w:p>
        </w:tc>
        <w:tc>
          <w:tcPr>
            <w:tcW w:w="2880" w:type="dxa"/>
            <w:vAlign w:val="center"/>
          </w:tcPr>
          <w:p w:rsidR="00256A81" w:rsidRDefault="00553E61">
            <w:pPr>
              <w:jc w:val="right"/>
            </w:pPr>
            <w:r>
              <w:rPr>
                <w:rFonts w:eastAsiaTheme="minorEastAsia"/>
                <w:szCs w:val="21"/>
              </w:rPr>
              <w:t>7,168,055.45</w:t>
            </w:r>
          </w:p>
        </w:tc>
        <w:tc>
          <w:tcPr>
            <w:tcW w:w="1620" w:type="dxa"/>
            <w:vAlign w:val="center"/>
          </w:tcPr>
          <w:p w:rsidR="00256A81" w:rsidRDefault="00553E61">
            <w:pPr>
              <w:jc w:val="right"/>
            </w:pPr>
            <w:r>
              <w:rPr>
                <w:rFonts w:eastAsiaTheme="minorEastAsia"/>
                <w:szCs w:val="21"/>
              </w:rPr>
              <w:t>1.29</w:t>
            </w:r>
          </w:p>
        </w:tc>
      </w:tr>
      <w:tr w:rsidR="00256A81">
        <w:tc>
          <w:tcPr>
            <w:tcW w:w="870" w:type="dxa"/>
            <w:vAlign w:val="center"/>
          </w:tcPr>
          <w:p w:rsidR="00256A81" w:rsidRDefault="00553E61">
            <w:pPr>
              <w:jc w:val="center"/>
            </w:pPr>
            <w:r>
              <w:rPr>
                <w:rFonts w:eastAsiaTheme="minorEastAsia"/>
                <w:szCs w:val="21"/>
              </w:rPr>
              <w:t>13</w:t>
            </w:r>
          </w:p>
        </w:tc>
        <w:tc>
          <w:tcPr>
            <w:tcW w:w="1650" w:type="dxa"/>
            <w:vAlign w:val="center"/>
          </w:tcPr>
          <w:p w:rsidR="00256A81" w:rsidRDefault="00553E61">
            <w:pPr>
              <w:jc w:val="center"/>
            </w:pPr>
            <w:r>
              <w:rPr>
                <w:rFonts w:eastAsiaTheme="minorEastAsia"/>
                <w:szCs w:val="21"/>
              </w:rPr>
              <w:t>002007</w:t>
            </w:r>
          </w:p>
        </w:tc>
        <w:tc>
          <w:tcPr>
            <w:tcW w:w="1980" w:type="dxa"/>
            <w:vAlign w:val="center"/>
          </w:tcPr>
          <w:p w:rsidR="00256A81" w:rsidRDefault="00553E61">
            <w:pPr>
              <w:jc w:val="center"/>
            </w:pPr>
            <w:r>
              <w:rPr>
                <w:rFonts w:eastAsiaTheme="minorEastAsia"/>
                <w:szCs w:val="21"/>
              </w:rPr>
              <w:t>华兰生物</w:t>
            </w:r>
          </w:p>
        </w:tc>
        <w:tc>
          <w:tcPr>
            <w:tcW w:w="2880" w:type="dxa"/>
            <w:vAlign w:val="center"/>
          </w:tcPr>
          <w:p w:rsidR="00256A81" w:rsidRDefault="00553E61">
            <w:pPr>
              <w:jc w:val="right"/>
            </w:pPr>
            <w:r>
              <w:rPr>
                <w:rFonts w:eastAsiaTheme="minorEastAsia"/>
                <w:szCs w:val="21"/>
              </w:rPr>
              <w:t>6,476,431.23</w:t>
            </w:r>
          </w:p>
        </w:tc>
        <w:tc>
          <w:tcPr>
            <w:tcW w:w="1620" w:type="dxa"/>
            <w:vAlign w:val="center"/>
          </w:tcPr>
          <w:p w:rsidR="00256A81" w:rsidRDefault="00553E61">
            <w:pPr>
              <w:jc w:val="right"/>
            </w:pPr>
            <w:r>
              <w:rPr>
                <w:rFonts w:eastAsiaTheme="minorEastAsia"/>
                <w:szCs w:val="21"/>
              </w:rPr>
              <w:t>1.16</w:t>
            </w:r>
          </w:p>
        </w:tc>
      </w:tr>
      <w:tr w:rsidR="00256A81">
        <w:tc>
          <w:tcPr>
            <w:tcW w:w="870" w:type="dxa"/>
            <w:vAlign w:val="center"/>
          </w:tcPr>
          <w:p w:rsidR="00256A81" w:rsidRDefault="00553E61">
            <w:pPr>
              <w:jc w:val="center"/>
            </w:pPr>
            <w:r>
              <w:rPr>
                <w:rFonts w:eastAsiaTheme="minorEastAsia"/>
                <w:szCs w:val="21"/>
              </w:rPr>
              <w:t>14</w:t>
            </w:r>
          </w:p>
        </w:tc>
        <w:tc>
          <w:tcPr>
            <w:tcW w:w="1650" w:type="dxa"/>
            <w:vAlign w:val="center"/>
          </w:tcPr>
          <w:p w:rsidR="00256A81" w:rsidRDefault="00553E61">
            <w:pPr>
              <w:jc w:val="center"/>
            </w:pPr>
            <w:r>
              <w:rPr>
                <w:rFonts w:eastAsiaTheme="minorEastAsia"/>
                <w:szCs w:val="21"/>
              </w:rPr>
              <w:t>600887</w:t>
            </w:r>
          </w:p>
        </w:tc>
        <w:tc>
          <w:tcPr>
            <w:tcW w:w="1980" w:type="dxa"/>
            <w:vAlign w:val="center"/>
          </w:tcPr>
          <w:p w:rsidR="00256A81" w:rsidRDefault="00553E61">
            <w:pPr>
              <w:jc w:val="center"/>
            </w:pPr>
            <w:r>
              <w:rPr>
                <w:rFonts w:eastAsiaTheme="minorEastAsia"/>
                <w:szCs w:val="21"/>
              </w:rPr>
              <w:t>伊利股份</w:t>
            </w:r>
          </w:p>
        </w:tc>
        <w:tc>
          <w:tcPr>
            <w:tcW w:w="2880" w:type="dxa"/>
            <w:vAlign w:val="center"/>
          </w:tcPr>
          <w:p w:rsidR="00256A81" w:rsidRDefault="00553E61">
            <w:pPr>
              <w:jc w:val="right"/>
            </w:pPr>
            <w:r>
              <w:rPr>
                <w:rFonts w:eastAsiaTheme="minorEastAsia"/>
                <w:szCs w:val="21"/>
              </w:rPr>
              <w:t>6,433,188.00</w:t>
            </w:r>
          </w:p>
        </w:tc>
        <w:tc>
          <w:tcPr>
            <w:tcW w:w="1620" w:type="dxa"/>
            <w:vAlign w:val="center"/>
          </w:tcPr>
          <w:p w:rsidR="00256A81" w:rsidRDefault="00553E61">
            <w:pPr>
              <w:jc w:val="right"/>
            </w:pPr>
            <w:r>
              <w:rPr>
                <w:rFonts w:eastAsiaTheme="minorEastAsia"/>
                <w:szCs w:val="21"/>
              </w:rPr>
              <w:t>1.16</w:t>
            </w:r>
          </w:p>
        </w:tc>
      </w:tr>
      <w:tr w:rsidR="00256A81">
        <w:tc>
          <w:tcPr>
            <w:tcW w:w="870" w:type="dxa"/>
            <w:vAlign w:val="center"/>
          </w:tcPr>
          <w:p w:rsidR="00256A81" w:rsidRDefault="00553E61">
            <w:pPr>
              <w:jc w:val="center"/>
            </w:pPr>
            <w:r>
              <w:rPr>
                <w:rFonts w:eastAsiaTheme="minorEastAsia"/>
                <w:szCs w:val="21"/>
              </w:rPr>
              <w:t>15</w:t>
            </w:r>
          </w:p>
        </w:tc>
        <w:tc>
          <w:tcPr>
            <w:tcW w:w="1650" w:type="dxa"/>
            <w:vAlign w:val="center"/>
          </w:tcPr>
          <w:p w:rsidR="00256A81" w:rsidRDefault="00553E61">
            <w:pPr>
              <w:jc w:val="center"/>
            </w:pPr>
            <w:r>
              <w:rPr>
                <w:rFonts w:eastAsiaTheme="minorEastAsia"/>
                <w:szCs w:val="21"/>
              </w:rPr>
              <w:t>000538</w:t>
            </w:r>
          </w:p>
        </w:tc>
        <w:tc>
          <w:tcPr>
            <w:tcW w:w="1980" w:type="dxa"/>
            <w:vAlign w:val="center"/>
          </w:tcPr>
          <w:p w:rsidR="00256A81" w:rsidRDefault="00553E61">
            <w:pPr>
              <w:jc w:val="center"/>
            </w:pPr>
            <w:r>
              <w:rPr>
                <w:rFonts w:eastAsiaTheme="minorEastAsia"/>
                <w:szCs w:val="21"/>
              </w:rPr>
              <w:t>云南白药</w:t>
            </w:r>
          </w:p>
        </w:tc>
        <w:tc>
          <w:tcPr>
            <w:tcW w:w="2880" w:type="dxa"/>
            <w:vAlign w:val="center"/>
          </w:tcPr>
          <w:p w:rsidR="00256A81" w:rsidRDefault="00553E61">
            <w:pPr>
              <w:jc w:val="right"/>
            </w:pPr>
            <w:r>
              <w:rPr>
                <w:rFonts w:eastAsiaTheme="minorEastAsia"/>
                <w:szCs w:val="21"/>
              </w:rPr>
              <w:t>5,880,244.12</w:t>
            </w:r>
          </w:p>
        </w:tc>
        <w:tc>
          <w:tcPr>
            <w:tcW w:w="1620" w:type="dxa"/>
            <w:vAlign w:val="center"/>
          </w:tcPr>
          <w:p w:rsidR="00256A81" w:rsidRDefault="00553E61">
            <w:pPr>
              <w:jc w:val="right"/>
            </w:pPr>
            <w:r>
              <w:rPr>
                <w:rFonts w:eastAsiaTheme="minorEastAsia"/>
                <w:szCs w:val="21"/>
              </w:rPr>
              <w:t>1.06</w:t>
            </w:r>
          </w:p>
        </w:tc>
      </w:tr>
      <w:tr w:rsidR="00256A81">
        <w:tc>
          <w:tcPr>
            <w:tcW w:w="870" w:type="dxa"/>
            <w:vAlign w:val="center"/>
          </w:tcPr>
          <w:p w:rsidR="00256A81" w:rsidRDefault="00553E61">
            <w:pPr>
              <w:jc w:val="center"/>
            </w:pPr>
            <w:r>
              <w:rPr>
                <w:rFonts w:eastAsiaTheme="minorEastAsia"/>
                <w:szCs w:val="21"/>
              </w:rPr>
              <w:t>16</w:t>
            </w:r>
          </w:p>
        </w:tc>
        <w:tc>
          <w:tcPr>
            <w:tcW w:w="1650" w:type="dxa"/>
            <w:vAlign w:val="center"/>
          </w:tcPr>
          <w:p w:rsidR="00256A81" w:rsidRDefault="00553E61">
            <w:pPr>
              <w:jc w:val="center"/>
            </w:pPr>
            <w:r>
              <w:rPr>
                <w:rFonts w:eastAsiaTheme="minorEastAsia"/>
                <w:szCs w:val="21"/>
              </w:rPr>
              <w:t>603589</w:t>
            </w:r>
          </w:p>
        </w:tc>
        <w:tc>
          <w:tcPr>
            <w:tcW w:w="1980" w:type="dxa"/>
            <w:vAlign w:val="center"/>
          </w:tcPr>
          <w:p w:rsidR="00256A81" w:rsidRDefault="00553E61">
            <w:pPr>
              <w:jc w:val="center"/>
            </w:pPr>
            <w:r>
              <w:rPr>
                <w:rFonts w:eastAsiaTheme="minorEastAsia"/>
                <w:szCs w:val="21"/>
              </w:rPr>
              <w:t>口子窖</w:t>
            </w:r>
          </w:p>
        </w:tc>
        <w:tc>
          <w:tcPr>
            <w:tcW w:w="2880" w:type="dxa"/>
            <w:vAlign w:val="center"/>
          </w:tcPr>
          <w:p w:rsidR="00256A81" w:rsidRDefault="00553E61">
            <w:pPr>
              <w:jc w:val="right"/>
            </w:pPr>
            <w:r>
              <w:rPr>
                <w:rFonts w:eastAsiaTheme="minorEastAsia"/>
                <w:szCs w:val="21"/>
              </w:rPr>
              <w:t>5,785,981.15</w:t>
            </w:r>
          </w:p>
        </w:tc>
        <w:tc>
          <w:tcPr>
            <w:tcW w:w="1620" w:type="dxa"/>
            <w:vAlign w:val="center"/>
          </w:tcPr>
          <w:p w:rsidR="00256A81" w:rsidRDefault="00553E61">
            <w:pPr>
              <w:jc w:val="right"/>
            </w:pPr>
            <w:r>
              <w:rPr>
                <w:rFonts w:eastAsiaTheme="minorEastAsia"/>
                <w:szCs w:val="21"/>
              </w:rPr>
              <w:t>1.04</w:t>
            </w:r>
          </w:p>
        </w:tc>
      </w:tr>
      <w:tr w:rsidR="00256A81">
        <w:tc>
          <w:tcPr>
            <w:tcW w:w="870" w:type="dxa"/>
            <w:vAlign w:val="center"/>
          </w:tcPr>
          <w:p w:rsidR="00256A81" w:rsidRDefault="00553E61">
            <w:pPr>
              <w:jc w:val="center"/>
            </w:pPr>
            <w:r>
              <w:rPr>
                <w:rFonts w:eastAsiaTheme="minorEastAsia"/>
                <w:szCs w:val="21"/>
              </w:rPr>
              <w:t>17</w:t>
            </w:r>
          </w:p>
        </w:tc>
        <w:tc>
          <w:tcPr>
            <w:tcW w:w="1650" w:type="dxa"/>
            <w:vAlign w:val="center"/>
          </w:tcPr>
          <w:p w:rsidR="00256A81" w:rsidRDefault="00553E61">
            <w:pPr>
              <w:jc w:val="center"/>
            </w:pPr>
            <w:r>
              <w:rPr>
                <w:rFonts w:eastAsiaTheme="minorEastAsia"/>
                <w:szCs w:val="21"/>
              </w:rPr>
              <w:t>002223</w:t>
            </w:r>
          </w:p>
        </w:tc>
        <w:tc>
          <w:tcPr>
            <w:tcW w:w="1980" w:type="dxa"/>
            <w:vAlign w:val="center"/>
          </w:tcPr>
          <w:p w:rsidR="00256A81" w:rsidRDefault="00553E61">
            <w:pPr>
              <w:jc w:val="center"/>
            </w:pPr>
            <w:r>
              <w:rPr>
                <w:rFonts w:eastAsiaTheme="minorEastAsia"/>
                <w:szCs w:val="21"/>
              </w:rPr>
              <w:t>鱼跃医疗</w:t>
            </w:r>
          </w:p>
        </w:tc>
        <w:tc>
          <w:tcPr>
            <w:tcW w:w="2880" w:type="dxa"/>
            <w:vAlign w:val="center"/>
          </w:tcPr>
          <w:p w:rsidR="00256A81" w:rsidRDefault="00553E61">
            <w:pPr>
              <w:jc w:val="right"/>
            </w:pPr>
            <w:r>
              <w:rPr>
                <w:rFonts w:eastAsiaTheme="minorEastAsia"/>
                <w:szCs w:val="21"/>
              </w:rPr>
              <w:t>3,118,469.20</w:t>
            </w:r>
          </w:p>
        </w:tc>
        <w:tc>
          <w:tcPr>
            <w:tcW w:w="1620" w:type="dxa"/>
            <w:vAlign w:val="center"/>
          </w:tcPr>
          <w:p w:rsidR="00256A81" w:rsidRDefault="00553E61">
            <w:pPr>
              <w:jc w:val="right"/>
            </w:pPr>
            <w:r>
              <w:rPr>
                <w:rFonts w:eastAsiaTheme="minorEastAsia"/>
                <w:szCs w:val="21"/>
              </w:rPr>
              <w:t>0.56</w:t>
            </w:r>
          </w:p>
        </w:tc>
      </w:tr>
      <w:tr w:rsidR="00256A81">
        <w:tc>
          <w:tcPr>
            <w:tcW w:w="870" w:type="dxa"/>
            <w:vAlign w:val="center"/>
          </w:tcPr>
          <w:p w:rsidR="00256A81" w:rsidRDefault="00553E61">
            <w:pPr>
              <w:jc w:val="center"/>
            </w:pPr>
            <w:r>
              <w:rPr>
                <w:rFonts w:eastAsiaTheme="minorEastAsia"/>
                <w:szCs w:val="21"/>
              </w:rPr>
              <w:t>18</w:t>
            </w:r>
          </w:p>
        </w:tc>
        <w:tc>
          <w:tcPr>
            <w:tcW w:w="1650" w:type="dxa"/>
            <w:vAlign w:val="center"/>
          </w:tcPr>
          <w:p w:rsidR="00256A81" w:rsidRDefault="00553E61">
            <w:pPr>
              <w:jc w:val="center"/>
            </w:pPr>
            <w:r>
              <w:rPr>
                <w:rFonts w:eastAsiaTheme="minorEastAsia"/>
                <w:szCs w:val="21"/>
              </w:rPr>
              <w:t>688008</w:t>
            </w:r>
          </w:p>
        </w:tc>
        <w:tc>
          <w:tcPr>
            <w:tcW w:w="1980" w:type="dxa"/>
            <w:vAlign w:val="center"/>
          </w:tcPr>
          <w:p w:rsidR="00256A81" w:rsidRDefault="00553E61">
            <w:pPr>
              <w:jc w:val="center"/>
            </w:pPr>
            <w:r>
              <w:rPr>
                <w:rFonts w:eastAsiaTheme="minorEastAsia"/>
                <w:szCs w:val="21"/>
              </w:rPr>
              <w:t>澜起科技</w:t>
            </w:r>
          </w:p>
        </w:tc>
        <w:tc>
          <w:tcPr>
            <w:tcW w:w="2880" w:type="dxa"/>
            <w:vAlign w:val="center"/>
          </w:tcPr>
          <w:p w:rsidR="00256A81" w:rsidRDefault="00553E61">
            <w:pPr>
              <w:jc w:val="right"/>
            </w:pPr>
            <w:r>
              <w:rPr>
                <w:rFonts w:eastAsiaTheme="minorEastAsia"/>
                <w:szCs w:val="21"/>
              </w:rPr>
              <w:t>2,979,926.47</w:t>
            </w:r>
          </w:p>
        </w:tc>
        <w:tc>
          <w:tcPr>
            <w:tcW w:w="1620" w:type="dxa"/>
            <w:vAlign w:val="center"/>
          </w:tcPr>
          <w:p w:rsidR="00256A81" w:rsidRDefault="00553E61">
            <w:pPr>
              <w:jc w:val="right"/>
            </w:pPr>
            <w:r>
              <w:rPr>
                <w:rFonts w:eastAsiaTheme="minorEastAsia"/>
                <w:szCs w:val="21"/>
              </w:rPr>
              <w:t>0.54</w:t>
            </w:r>
          </w:p>
        </w:tc>
      </w:tr>
      <w:tr w:rsidR="00256A81">
        <w:tc>
          <w:tcPr>
            <w:tcW w:w="870" w:type="dxa"/>
            <w:vAlign w:val="center"/>
          </w:tcPr>
          <w:p w:rsidR="00256A81" w:rsidRDefault="00553E61">
            <w:pPr>
              <w:jc w:val="center"/>
            </w:pPr>
            <w:r>
              <w:rPr>
                <w:rFonts w:eastAsiaTheme="minorEastAsia"/>
                <w:szCs w:val="21"/>
              </w:rPr>
              <w:t>19</w:t>
            </w:r>
          </w:p>
        </w:tc>
        <w:tc>
          <w:tcPr>
            <w:tcW w:w="1650" w:type="dxa"/>
            <w:vAlign w:val="center"/>
          </w:tcPr>
          <w:p w:rsidR="00256A81" w:rsidRDefault="00553E61">
            <w:pPr>
              <w:jc w:val="center"/>
            </w:pPr>
            <w:r>
              <w:rPr>
                <w:rFonts w:eastAsiaTheme="minorEastAsia"/>
                <w:szCs w:val="21"/>
              </w:rPr>
              <w:t>603882</w:t>
            </w:r>
          </w:p>
        </w:tc>
        <w:tc>
          <w:tcPr>
            <w:tcW w:w="1980" w:type="dxa"/>
            <w:vAlign w:val="center"/>
          </w:tcPr>
          <w:p w:rsidR="00256A81" w:rsidRDefault="00553E61">
            <w:pPr>
              <w:jc w:val="center"/>
            </w:pPr>
            <w:r>
              <w:rPr>
                <w:rFonts w:eastAsiaTheme="minorEastAsia"/>
                <w:szCs w:val="21"/>
              </w:rPr>
              <w:t>金域医学</w:t>
            </w:r>
          </w:p>
        </w:tc>
        <w:tc>
          <w:tcPr>
            <w:tcW w:w="2880" w:type="dxa"/>
            <w:vAlign w:val="center"/>
          </w:tcPr>
          <w:p w:rsidR="00256A81" w:rsidRDefault="00553E61">
            <w:pPr>
              <w:jc w:val="right"/>
            </w:pPr>
            <w:r>
              <w:rPr>
                <w:rFonts w:eastAsiaTheme="minorEastAsia"/>
                <w:szCs w:val="21"/>
              </w:rPr>
              <w:t>2,118,484.00</w:t>
            </w:r>
          </w:p>
        </w:tc>
        <w:tc>
          <w:tcPr>
            <w:tcW w:w="1620" w:type="dxa"/>
            <w:vAlign w:val="center"/>
          </w:tcPr>
          <w:p w:rsidR="00256A81" w:rsidRDefault="00553E61">
            <w:pPr>
              <w:jc w:val="right"/>
            </w:pPr>
            <w:r>
              <w:rPr>
                <w:rFonts w:eastAsiaTheme="minorEastAsia"/>
                <w:szCs w:val="21"/>
              </w:rPr>
              <w:t>0.38</w:t>
            </w:r>
          </w:p>
        </w:tc>
      </w:tr>
      <w:tr w:rsidR="00256A81">
        <w:tc>
          <w:tcPr>
            <w:tcW w:w="870" w:type="dxa"/>
            <w:vAlign w:val="center"/>
          </w:tcPr>
          <w:p w:rsidR="00256A81" w:rsidRDefault="00553E61">
            <w:pPr>
              <w:jc w:val="center"/>
            </w:pPr>
            <w:r>
              <w:rPr>
                <w:rFonts w:eastAsiaTheme="minorEastAsia"/>
                <w:szCs w:val="21"/>
              </w:rPr>
              <w:t>20</w:t>
            </w:r>
          </w:p>
        </w:tc>
        <w:tc>
          <w:tcPr>
            <w:tcW w:w="1650" w:type="dxa"/>
            <w:vAlign w:val="center"/>
          </w:tcPr>
          <w:p w:rsidR="00256A81" w:rsidRDefault="00553E61">
            <w:pPr>
              <w:jc w:val="center"/>
            </w:pPr>
            <w:r>
              <w:rPr>
                <w:rFonts w:eastAsiaTheme="minorEastAsia"/>
                <w:szCs w:val="21"/>
              </w:rPr>
              <w:t>688111</w:t>
            </w:r>
          </w:p>
        </w:tc>
        <w:tc>
          <w:tcPr>
            <w:tcW w:w="1980" w:type="dxa"/>
            <w:vAlign w:val="center"/>
          </w:tcPr>
          <w:p w:rsidR="00256A81" w:rsidRDefault="00553E61">
            <w:pPr>
              <w:jc w:val="center"/>
            </w:pPr>
            <w:r>
              <w:rPr>
                <w:rFonts w:eastAsiaTheme="minorEastAsia"/>
                <w:szCs w:val="21"/>
              </w:rPr>
              <w:t>金山办公</w:t>
            </w:r>
          </w:p>
        </w:tc>
        <w:tc>
          <w:tcPr>
            <w:tcW w:w="2880" w:type="dxa"/>
            <w:vAlign w:val="center"/>
          </w:tcPr>
          <w:p w:rsidR="00256A81" w:rsidRDefault="00553E61">
            <w:pPr>
              <w:jc w:val="right"/>
            </w:pPr>
            <w:r>
              <w:rPr>
                <w:rFonts w:eastAsiaTheme="minorEastAsia"/>
                <w:szCs w:val="21"/>
              </w:rPr>
              <w:t>1,924,467.64</w:t>
            </w:r>
          </w:p>
        </w:tc>
        <w:tc>
          <w:tcPr>
            <w:tcW w:w="1620" w:type="dxa"/>
            <w:vAlign w:val="center"/>
          </w:tcPr>
          <w:p w:rsidR="00256A81" w:rsidRDefault="00553E61">
            <w:pPr>
              <w:jc w:val="right"/>
            </w:pPr>
            <w:r>
              <w:rPr>
                <w:rFonts w:eastAsiaTheme="minorEastAsia"/>
                <w:szCs w:val="21"/>
              </w:rPr>
              <w:t>0.35</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112,411,881.92</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305,337,899.03</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965"/>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2,141,032.50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0.32</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2,141,032.50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966"/>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256A81">
        <w:trPr>
          <w:jc w:val="center"/>
        </w:trPr>
        <w:tc>
          <w:tcPr>
            <w:tcW w:w="892" w:type="dxa"/>
            <w:vAlign w:val="center"/>
          </w:tcPr>
          <w:p w:rsidR="00256A81" w:rsidRDefault="00553E61">
            <w:pPr>
              <w:jc w:val="center"/>
            </w:pPr>
            <w:r>
              <w:rPr>
                <w:rFonts w:eastAsiaTheme="minorEastAsia"/>
                <w:color w:val="000000"/>
                <w:szCs w:val="21"/>
              </w:rPr>
              <w:t>1</w:t>
            </w:r>
          </w:p>
        </w:tc>
        <w:tc>
          <w:tcPr>
            <w:tcW w:w="1670" w:type="dxa"/>
            <w:vAlign w:val="center"/>
          </w:tcPr>
          <w:p w:rsidR="00256A81" w:rsidRDefault="00553E61">
            <w:pPr>
              <w:jc w:val="center"/>
            </w:pPr>
            <w:r>
              <w:rPr>
                <w:rFonts w:eastAsiaTheme="minorEastAsia"/>
                <w:color w:val="000000"/>
                <w:szCs w:val="21"/>
              </w:rPr>
              <w:t>128045</w:t>
            </w:r>
          </w:p>
        </w:tc>
        <w:tc>
          <w:tcPr>
            <w:tcW w:w="1282" w:type="dxa"/>
            <w:vAlign w:val="center"/>
          </w:tcPr>
          <w:p w:rsidR="00256A81" w:rsidRDefault="00553E61">
            <w:pPr>
              <w:jc w:val="center"/>
            </w:pPr>
            <w:r>
              <w:rPr>
                <w:rFonts w:eastAsiaTheme="minorEastAsia"/>
                <w:color w:val="000000"/>
                <w:szCs w:val="21"/>
              </w:rPr>
              <w:t>机电转债</w:t>
            </w:r>
          </w:p>
        </w:tc>
        <w:tc>
          <w:tcPr>
            <w:tcW w:w="1849" w:type="dxa"/>
            <w:vAlign w:val="center"/>
          </w:tcPr>
          <w:p w:rsidR="00256A81" w:rsidRDefault="00553E61">
            <w:pPr>
              <w:jc w:val="right"/>
            </w:pPr>
            <w:r>
              <w:rPr>
                <w:rFonts w:eastAsiaTheme="minorEastAsia"/>
                <w:color w:val="000000"/>
                <w:szCs w:val="21"/>
              </w:rPr>
              <w:t>7,170</w:t>
            </w:r>
          </w:p>
        </w:tc>
        <w:tc>
          <w:tcPr>
            <w:tcW w:w="2126" w:type="dxa"/>
            <w:vAlign w:val="center"/>
          </w:tcPr>
          <w:p w:rsidR="00256A81" w:rsidRDefault="00553E61">
            <w:pPr>
              <w:jc w:val="right"/>
            </w:pPr>
            <w:r>
              <w:rPr>
                <w:rFonts w:eastAsiaTheme="minorEastAsia"/>
                <w:color w:val="000000"/>
                <w:szCs w:val="21"/>
              </w:rPr>
              <w:t>848,928.00</w:t>
            </w:r>
          </w:p>
        </w:tc>
        <w:tc>
          <w:tcPr>
            <w:tcW w:w="1578" w:type="dxa"/>
            <w:vAlign w:val="center"/>
          </w:tcPr>
          <w:p w:rsidR="00256A81" w:rsidRDefault="00553E61">
            <w:pPr>
              <w:jc w:val="right"/>
            </w:pPr>
            <w:r>
              <w:rPr>
                <w:rFonts w:eastAsiaTheme="minorEastAsia"/>
                <w:color w:val="000000"/>
                <w:szCs w:val="21"/>
              </w:rPr>
              <w:t>0.13</w:t>
            </w:r>
          </w:p>
        </w:tc>
      </w:tr>
      <w:tr w:rsidR="00256A81">
        <w:trPr>
          <w:jc w:val="center"/>
        </w:trPr>
        <w:tc>
          <w:tcPr>
            <w:tcW w:w="892" w:type="dxa"/>
            <w:vAlign w:val="center"/>
          </w:tcPr>
          <w:p w:rsidR="00256A81" w:rsidRDefault="00553E61">
            <w:pPr>
              <w:jc w:val="center"/>
            </w:pPr>
            <w:r>
              <w:rPr>
                <w:rFonts w:eastAsiaTheme="minorEastAsia"/>
                <w:color w:val="000000"/>
                <w:szCs w:val="21"/>
              </w:rPr>
              <w:t>2</w:t>
            </w:r>
          </w:p>
        </w:tc>
        <w:tc>
          <w:tcPr>
            <w:tcW w:w="1670" w:type="dxa"/>
            <w:vAlign w:val="center"/>
          </w:tcPr>
          <w:p w:rsidR="00256A81" w:rsidRDefault="00553E61">
            <w:pPr>
              <w:jc w:val="center"/>
            </w:pPr>
            <w:r>
              <w:rPr>
                <w:rFonts w:eastAsiaTheme="minorEastAsia"/>
                <w:color w:val="000000"/>
                <w:szCs w:val="21"/>
              </w:rPr>
              <w:t>113543</w:t>
            </w:r>
          </w:p>
        </w:tc>
        <w:tc>
          <w:tcPr>
            <w:tcW w:w="1282" w:type="dxa"/>
            <w:vAlign w:val="center"/>
          </w:tcPr>
          <w:p w:rsidR="00256A81" w:rsidRDefault="00553E61">
            <w:pPr>
              <w:jc w:val="center"/>
            </w:pPr>
            <w:r>
              <w:rPr>
                <w:rFonts w:eastAsiaTheme="minorEastAsia"/>
                <w:color w:val="000000"/>
                <w:szCs w:val="21"/>
              </w:rPr>
              <w:t>欧派转债</w:t>
            </w:r>
          </w:p>
        </w:tc>
        <w:tc>
          <w:tcPr>
            <w:tcW w:w="1849" w:type="dxa"/>
            <w:vAlign w:val="center"/>
          </w:tcPr>
          <w:p w:rsidR="00256A81" w:rsidRDefault="00553E61">
            <w:pPr>
              <w:jc w:val="right"/>
            </w:pPr>
            <w:r>
              <w:rPr>
                <w:rFonts w:eastAsiaTheme="minorEastAsia"/>
                <w:color w:val="000000"/>
                <w:szCs w:val="21"/>
              </w:rPr>
              <w:t>3,260</w:t>
            </w:r>
          </w:p>
        </w:tc>
        <w:tc>
          <w:tcPr>
            <w:tcW w:w="2126" w:type="dxa"/>
            <w:vAlign w:val="center"/>
          </w:tcPr>
          <w:p w:rsidR="00256A81" w:rsidRDefault="00553E61">
            <w:pPr>
              <w:jc w:val="right"/>
            </w:pPr>
            <w:r>
              <w:rPr>
                <w:rFonts w:eastAsiaTheme="minorEastAsia"/>
                <w:color w:val="000000"/>
                <w:szCs w:val="21"/>
              </w:rPr>
              <w:t>413,596.20</w:t>
            </w:r>
          </w:p>
        </w:tc>
        <w:tc>
          <w:tcPr>
            <w:tcW w:w="1578" w:type="dxa"/>
            <w:vAlign w:val="center"/>
          </w:tcPr>
          <w:p w:rsidR="00256A81" w:rsidRDefault="00553E61">
            <w:pPr>
              <w:jc w:val="right"/>
            </w:pPr>
            <w:r>
              <w:rPr>
                <w:rFonts w:eastAsiaTheme="minorEastAsia"/>
                <w:color w:val="000000"/>
                <w:szCs w:val="21"/>
              </w:rPr>
              <w:t>0.06</w:t>
            </w:r>
          </w:p>
        </w:tc>
      </w:tr>
      <w:tr w:rsidR="00256A81">
        <w:trPr>
          <w:jc w:val="center"/>
        </w:trPr>
        <w:tc>
          <w:tcPr>
            <w:tcW w:w="892" w:type="dxa"/>
            <w:vAlign w:val="center"/>
          </w:tcPr>
          <w:p w:rsidR="00256A81" w:rsidRDefault="00553E61">
            <w:pPr>
              <w:jc w:val="center"/>
            </w:pPr>
            <w:r>
              <w:rPr>
                <w:rFonts w:eastAsiaTheme="minorEastAsia"/>
                <w:color w:val="000000"/>
                <w:szCs w:val="21"/>
              </w:rPr>
              <w:t>3</w:t>
            </w:r>
          </w:p>
        </w:tc>
        <w:tc>
          <w:tcPr>
            <w:tcW w:w="1670" w:type="dxa"/>
            <w:vAlign w:val="center"/>
          </w:tcPr>
          <w:p w:rsidR="00256A81" w:rsidRDefault="00553E61">
            <w:pPr>
              <w:jc w:val="center"/>
            </w:pPr>
            <w:r>
              <w:rPr>
                <w:rFonts w:eastAsiaTheme="minorEastAsia"/>
                <w:color w:val="000000"/>
                <w:szCs w:val="21"/>
              </w:rPr>
              <w:t>113544</w:t>
            </w:r>
          </w:p>
        </w:tc>
        <w:tc>
          <w:tcPr>
            <w:tcW w:w="1282" w:type="dxa"/>
            <w:vAlign w:val="center"/>
          </w:tcPr>
          <w:p w:rsidR="00256A81" w:rsidRDefault="00553E61">
            <w:pPr>
              <w:jc w:val="center"/>
            </w:pPr>
            <w:r>
              <w:rPr>
                <w:rFonts w:eastAsiaTheme="minorEastAsia"/>
                <w:color w:val="000000"/>
                <w:szCs w:val="21"/>
              </w:rPr>
              <w:t>桃李转债</w:t>
            </w:r>
          </w:p>
        </w:tc>
        <w:tc>
          <w:tcPr>
            <w:tcW w:w="1849" w:type="dxa"/>
            <w:vAlign w:val="center"/>
          </w:tcPr>
          <w:p w:rsidR="00256A81" w:rsidRDefault="00553E61">
            <w:pPr>
              <w:jc w:val="right"/>
            </w:pPr>
            <w:r>
              <w:rPr>
                <w:rFonts w:eastAsiaTheme="minorEastAsia"/>
                <w:color w:val="000000"/>
                <w:szCs w:val="21"/>
              </w:rPr>
              <w:t>2,140</w:t>
            </w:r>
          </w:p>
        </w:tc>
        <w:tc>
          <w:tcPr>
            <w:tcW w:w="2126" w:type="dxa"/>
            <w:vAlign w:val="center"/>
          </w:tcPr>
          <w:p w:rsidR="00256A81" w:rsidRDefault="00553E61">
            <w:pPr>
              <w:jc w:val="right"/>
            </w:pPr>
            <w:r>
              <w:rPr>
                <w:rFonts w:eastAsiaTheme="minorEastAsia"/>
                <w:color w:val="000000"/>
                <w:szCs w:val="21"/>
              </w:rPr>
              <w:t>253,012.20</w:t>
            </w:r>
          </w:p>
        </w:tc>
        <w:tc>
          <w:tcPr>
            <w:tcW w:w="1578" w:type="dxa"/>
            <w:vAlign w:val="center"/>
          </w:tcPr>
          <w:p w:rsidR="00256A81" w:rsidRDefault="00553E61">
            <w:pPr>
              <w:jc w:val="right"/>
            </w:pPr>
            <w:r>
              <w:rPr>
                <w:rFonts w:eastAsiaTheme="minorEastAsia"/>
                <w:color w:val="000000"/>
                <w:szCs w:val="21"/>
              </w:rPr>
              <w:t>0.04</w:t>
            </w:r>
          </w:p>
        </w:tc>
      </w:tr>
      <w:tr w:rsidR="00256A81">
        <w:trPr>
          <w:jc w:val="center"/>
        </w:trPr>
        <w:tc>
          <w:tcPr>
            <w:tcW w:w="892" w:type="dxa"/>
            <w:vAlign w:val="center"/>
          </w:tcPr>
          <w:p w:rsidR="00256A81" w:rsidRDefault="00553E61">
            <w:pPr>
              <w:jc w:val="center"/>
            </w:pPr>
            <w:r>
              <w:rPr>
                <w:rFonts w:eastAsiaTheme="minorEastAsia"/>
                <w:color w:val="000000"/>
                <w:szCs w:val="21"/>
              </w:rPr>
              <w:t>4</w:t>
            </w:r>
          </w:p>
        </w:tc>
        <w:tc>
          <w:tcPr>
            <w:tcW w:w="1670" w:type="dxa"/>
            <w:vAlign w:val="center"/>
          </w:tcPr>
          <w:p w:rsidR="00256A81" w:rsidRDefault="00553E61">
            <w:pPr>
              <w:jc w:val="center"/>
            </w:pPr>
            <w:r>
              <w:rPr>
                <w:rFonts w:eastAsiaTheme="minorEastAsia"/>
                <w:color w:val="000000"/>
                <w:szCs w:val="21"/>
              </w:rPr>
              <w:t>110057</w:t>
            </w:r>
          </w:p>
        </w:tc>
        <w:tc>
          <w:tcPr>
            <w:tcW w:w="1282" w:type="dxa"/>
            <w:vAlign w:val="center"/>
          </w:tcPr>
          <w:p w:rsidR="00256A81" w:rsidRDefault="00553E61">
            <w:pPr>
              <w:jc w:val="center"/>
            </w:pPr>
            <w:r>
              <w:rPr>
                <w:rFonts w:eastAsiaTheme="minorEastAsia"/>
                <w:color w:val="000000"/>
                <w:szCs w:val="21"/>
              </w:rPr>
              <w:t>现代转债</w:t>
            </w:r>
          </w:p>
        </w:tc>
        <w:tc>
          <w:tcPr>
            <w:tcW w:w="1849" w:type="dxa"/>
            <w:vAlign w:val="center"/>
          </w:tcPr>
          <w:p w:rsidR="00256A81" w:rsidRDefault="00553E61">
            <w:pPr>
              <w:jc w:val="right"/>
            </w:pPr>
            <w:r>
              <w:rPr>
                <w:rFonts w:eastAsiaTheme="minorEastAsia"/>
                <w:color w:val="000000"/>
                <w:szCs w:val="21"/>
              </w:rPr>
              <w:t>2,070</w:t>
            </w:r>
          </w:p>
        </w:tc>
        <w:tc>
          <w:tcPr>
            <w:tcW w:w="2126" w:type="dxa"/>
            <w:vAlign w:val="center"/>
          </w:tcPr>
          <w:p w:rsidR="00256A81" w:rsidRDefault="00553E61">
            <w:pPr>
              <w:jc w:val="right"/>
            </w:pPr>
            <w:r>
              <w:rPr>
                <w:rFonts w:eastAsiaTheme="minorEastAsia"/>
                <w:color w:val="000000"/>
                <w:szCs w:val="21"/>
              </w:rPr>
              <w:t>229,314.60</w:t>
            </w:r>
          </w:p>
        </w:tc>
        <w:tc>
          <w:tcPr>
            <w:tcW w:w="1578" w:type="dxa"/>
            <w:vAlign w:val="center"/>
          </w:tcPr>
          <w:p w:rsidR="00256A81" w:rsidRDefault="00553E61">
            <w:pPr>
              <w:jc w:val="right"/>
            </w:pPr>
            <w:r>
              <w:rPr>
                <w:rFonts w:eastAsiaTheme="minorEastAsia"/>
                <w:color w:val="000000"/>
                <w:szCs w:val="21"/>
              </w:rPr>
              <w:t>0.03</w:t>
            </w:r>
          </w:p>
        </w:tc>
      </w:tr>
      <w:tr w:rsidR="00256A81">
        <w:trPr>
          <w:jc w:val="center"/>
        </w:trPr>
        <w:tc>
          <w:tcPr>
            <w:tcW w:w="892" w:type="dxa"/>
            <w:vAlign w:val="center"/>
          </w:tcPr>
          <w:p w:rsidR="00256A81" w:rsidRDefault="00553E61">
            <w:pPr>
              <w:jc w:val="center"/>
            </w:pPr>
            <w:r>
              <w:rPr>
                <w:rFonts w:eastAsiaTheme="minorEastAsia"/>
                <w:color w:val="000000"/>
                <w:szCs w:val="21"/>
              </w:rPr>
              <w:t>5</w:t>
            </w:r>
          </w:p>
        </w:tc>
        <w:tc>
          <w:tcPr>
            <w:tcW w:w="1670" w:type="dxa"/>
            <w:vAlign w:val="center"/>
          </w:tcPr>
          <w:p w:rsidR="00256A81" w:rsidRDefault="00553E61">
            <w:pPr>
              <w:jc w:val="center"/>
            </w:pPr>
            <w:r>
              <w:rPr>
                <w:rFonts w:eastAsiaTheme="minorEastAsia"/>
                <w:color w:val="000000"/>
                <w:szCs w:val="21"/>
              </w:rPr>
              <w:t>113024</w:t>
            </w:r>
          </w:p>
        </w:tc>
        <w:tc>
          <w:tcPr>
            <w:tcW w:w="1282" w:type="dxa"/>
            <w:vAlign w:val="center"/>
          </w:tcPr>
          <w:p w:rsidR="00256A81" w:rsidRDefault="00553E61">
            <w:pPr>
              <w:jc w:val="center"/>
            </w:pPr>
            <w:r>
              <w:rPr>
                <w:rFonts w:eastAsiaTheme="minorEastAsia"/>
                <w:color w:val="000000"/>
                <w:szCs w:val="21"/>
              </w:rPr>
              <w:t>核建转债</w:t>
            </w:r>
          </w:p>
        </w:tc>
        <w:tc>
          <w:tcPr>
            <w:tcW w:w="1849" w:type="dxa"/>
            <w:vAlign w:val="center"/>
          </w:tcPr>
          <w:p w:rsidR="00256A81" w:rsidRDefault="00553E61">
            <w:pPr>
              <w:jc w:val="right"/>
            </w:pPr>
            <w:r>
              <w:rPr>
                <w:rFonts w:eastAsiaTheme="minorEastAsia"/>
                <w:color w:val="000000"/>
                <w:szCs w:val="21"/>
              </w:rPr>
              <w:t>1,250</w:t>
            </w:r>
          </w:p>
        </w:tc>
        <w:tc>
          <w:tcPr>
            <w:tcW w:w="2126" w:type="dxa"/>
            <w:vAlign w:val="center"/>
          </w:tcPr>
          <w:p w:rsidR="00256A81" w:rsidRDefault="00553E61">
            <w:pPr>
              <w:jc w:val="right"/>
            </w:pPr>
            <w:r>
              <w:rPr>
                <w:rFonts w:eastAsiaTheme="minorEastAsia"/>
                <w:color w:val="000000"/>
                <w:szCs w:val="21"/>
              </w:rPr>
              <w:t>132,975.00</w:t>
            </w:r>
          </w:p>
        </w:tc>
        <w:tc>
          <w:tcPr>
            <w:tcW w:w="1578" w:type="dxa"/>
            <w:vAlign w:val="center"/>
          </w:tcPr>
          <w:p w:rsidR="00256A81" w:rsidRDefault="00553E61">
            <w:pPr>
              <w:jc w:val="right"/>
            </w:pPr>
            <w:r>
              <w:rPr>
                <w:rFonts w:eastAsiaTheme="minorEastAsia"/>
                <w:color w:val="000000"/>
                <w:szCs w:val="21"/>
              </w:rPr>
              <w:t>0.02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967"/>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968"/>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969"/>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970"/>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971"/>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972"/>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35,142.78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20,324.63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1,105,531.19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1,160,998.60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256A81">
        <w:trPr>
          <w:jc w:val="center"/>
        </w:trPr>
        <w:tc>
          <w:tcPr>
            <w:tcW w:w="1808" w:type="dxa"/>
            <w:vAlign w:val="center"/>
          </w:tcPr>
          <w:p w:rsidR="00256A81" w:rsidRDefault="00553E61">
            <w:pPr>
              <w:jc w:val="center"/>
            </w:pPr>
            <w:r>
              <w:rPr>
                <w:rFonts w:eastAsiaTheme="minorEastAsia"/>
                <w:color w:val="000000"/>
                <w:szCs w:val="21"/>
              </w:rPr>
              <w:t>1</w:t>
            </w:r>
          </w:p>
        </w:tc>
        <w:tc>
          <w:tcPr>
            <w:tcW w:w="1729" w:type="dxa"/>
            <w:vAlign w:val="center"/>
          </w:tcPr>
          <w:p w:rsidR="00256A81" w:rsidRDefault="00553E61">
            <w:pPr>
              <w:jc w:val="center"/>
            </w:pPr>
            <w:r>
              <w:rPr>
                <w:rFonts w:eastAsiaTheme="minorEastAsia"/>
                <w:color w:val="000000"/>
                <w:szCs w:val="21"/>
              </w:rPr>
              <w:t>128045</w:t>
            </w:r>
          </w:p>
        </w:tc>
        <w:tc>
          <w:tcPr>
            <w:tcW w:w="1658" w:type="dxa"/>
            <w:vAlign w:val="center"/>
          </w:tcPr>
          <w:p w:rsidR="00256A81" w:rsidRDefault="00553E61">
            <w:pPr>
              <w:jc w:val="center"/>
            </w:pPr>
            <w:r>
              <w:rPr>
                <w:rFonts w:eastAsiaTheme="minorEastAsia"/>
                <w:color w:val="000000"/>
                <w:szCs w:val="21"/>
              </w:rPr>
              <w:t>机电转债</w:t>
            </w:r>
          </w:p>
        </w:tc>
        <w:tc>
          <w:tcPr>
            <w:tcW w:w="2508" w:type="dxa"/>
            <w:vAlign w:val="center"/>
          </w:tcPr>
          <w:p w:rsidR="00256A81" w:rsidRDefault="00553E61">
            <w:pPr>
              <w:jc w:val="right"/>
            </w:pPr>
            <w:r>
              <w:rPr>
                <w:rFonts w:eastAsiaTheme="minorEastAsia"/>
                <w:color w:val="000000"/>
                <w:szCs w:val="21"/>
              </w:rPr>
              <w:t>848,928.00</w:t>
            </w:r>
          </w:p>
        </w:tc>
        <w:tc>
          <w:tcPr>
            <w:tcW w:w="1462" w:type="dxa"/>
            <w:vAlign w:val="center"/>
          </w:tcPr>
          <w:p w:rsidR="00256A81" w:rsidRDefault="00553E61">
            <w:pPr>
              <w:jc w:val="right"/>
            </w:pPr>
            <w:r>
              <w:rPr>
                <w:rFonts w:eastAsiaTheme="minorEastAsia"/>
                <w:color w:val="000000"/>
                <w:szCs w:val="21"/>
              </w:rPr>
              <w:t>0.13</w:t>
            </w:r>
          </w:p>
        </w:tc>
      </w:tr>
      <w:tr w:rsidR="00256A81">
        <w:trPr>
          <w:jc w:val="center"/>
        </w:trPr>
        <w:tc>
          <w:tcPr>
            <w:tcW w:w="1808" w:type="dxa"/>
            <w:vAlign w:val="center"/>
          </w:tcPr>
          <w:p w:rsidR="00256A81" w:rsidRDefault="00553E61">
            <w:pPr>
              <w:jc w:val="center"/>
            </w:pPr>
            <w:r>
              <w:rPr>
                <w:rFonts w:eastAsiaTheme="minorEastAsia"/>
                <w:color w:val="000000"/>
                <w:szCs w:val="21"/>
              </w:rPr>
              <w:t>2</w:t>
            </w:r>
          </w:p>
        </w:tc>
        <w:tc>
          <w:tcPr>
            <w:tcW w:w="1729" w:type="dxa"/>
            <w:vAlign w:val="center"/>
          </w:tcPr>
          <w:p w:rsidR="00256A81" w:rsidRDefault="00553E61">
            <w:pPr>
              <w:jc w:val="center"/>
            </w:pPr>
            <w:r>
              <w:rPr>
                <w:rFonts w:eastAsiaTheme="minorEastAsia"/>
                <w:color w:val="000000"/>
                <w:szCs w:val="21"/>
              </w:rPr>
              <w:t>110057</w:t>
            </w:r>
          </w:p>
        </w:tc>
        <w:tc>
          <w:tcPr>
            <w:tcW w:w="1658" w:type="dxa"/>
            <w:vAlign w:val="center"/>
          </w:tcPr>
          <w:p w:rsidR="00256A81" w:rsidRDefault="00553E61">
            <w:pPr>
              <w:jc w:val="center"/>
            </w:pPr>
            <w:r>
              <w:rPr>
                <w:rFonts w:eastAsiaTheme="minorEastAsia"/>
                <w:color w:val="000000"/>
                <w:szCs w:val="21"/>
              </w:rPr>
              <w:t>现代转债</w:t>
            </w:r>
          </w:p>
        </w:tc>
        <w:tc>
          <w:tcPr>
            <w:tcW w:w="2508" w:type="dxa"/>
            <w:vAlign w:val="center"/>
          </w:tcPr>
          <w:p w:rsidR="00256A81" w:rsidRDefault="00553E61">
            <w:pPr>
              <w:jc w:val="right"/>
            </w:pPr>
            <w:r>
              <w:rPr>
                <w:rFonts w:eastAsiaTheme="minorEastAsia"/>
                <w:color w:val="000000"/>
                <w:szCs w:val="21"/>
              </w:rPr>
              <w:t>229,314.60</w:t>
            </w:r>
          </w:p>
        </w:tc>
        <w:tc>
          <w:tcPr>
            <w:tcW w:w="1462" w:type="dxa"/>
            <w:vAlign w:val="center"/>
          </w:tcPr>
          <w:p w:rsidR="00256A81" w:rsidRDefault="00553E61">
            <w:pPr>
              <w:jc w:val="right"/>
            </w:pPr>
            <w:r>
              <w:rPr>
                <w:rFonts w:eastAsiaTheme="minorEastAsia"/>
                <w:color w:val="000000"/>
                <w:szCs w:val="21"/>
              </w:rPr>
              <w:t>0.03</w:t>
            </w:r>
          </w:p>
        </w:tc>
      </w:tr>
      <w:tr w:rsidR="00256A81">
        <w:trPr>
          <w:jc w:val="center"/>
        </w:trPr>
        <w:tc>
          <w:tcPr>
            <w:tcW w:w="1808" w:type="dxa"/>
            <w:vAlign w:val="center"/>
          </w:tcPr>
          <w:p w:rsidR="00256A81" w:rsidRDefault="00553E61">
            <w:pPr>
              <w:jc w:val="center"/>
            </w:pPr>
            <w:r>
              <w:rPr>
                <w:rFonts w:eastAsiaTheme="minorEastAsia"/>
                <w:color w:val="000000"/>
                <w:szCs w:val="21"/>
              </w:rPr>
              <w:t>3</w:t>
            </w:r>
          </w:p>
        </w:tc>
        <w:tc>
          <w:tcPr>
            <w:tcW w:w="1729" w:type="dxa"/>
            <w:vAlign w:val="center"/>
          </w:tcPr>
          <w:p w:rsidR="00256A81" w:rsidRDefault="00553E61">
            <w:pPr>
              <w:jc w:val="center"/>
            </w:pPr>
            <w:r>
              <w:rPr>
                <w:rFonts w:eastAsiaTheme="minorEastAsia"/>
                <w:color w:val="000000"/>
                <w:szCs w:val="21"/>
              </w:rPr>
              <w:t>113024</w:t>
            </w:r>
          </w:p>
        </w:tc>
        <w:tc>
          <w:tcPr>
            <w:tcW w:w="1658" w:type="dxa"/>
            <w:vAlign w:val="center"/>
          </w:tcPr>
          <w:p w:rsidR="00256A81" w:rsidRDefault="00553E61">
            <w:pPr>
              <w:jc w:val="center"/>
            </w:pPr>
            <w:r>
              <w:rPr>
                <w:rFonts w:eastAsiaTheme="minorEastAsia"/>
                <w:color w:val="000000"/>
                <w:szCs w:val="21"/>
              </w:rPr>
              <w:t>核建转债</w:t>
            </w:r>
          </w:p>
        </w:tc>
        <w:tc>
          <w:tcPr>
            <w:tcW w:w="2508" w:type="dxa"/>
            <w:vAlign w:val="center"/>
          </w:tcPr>
          <w:p w:rsidR="00256A81" w:rsidRDefault="00553E61">
            <w:pPr>
              <w:jc w:val="right"/>
            </w:pPr>
            <w:r>
              <w:rPr>
                <w:rFonts w:eastAsiaTheme="minorEastAsia"/>
                <w:color w:val="000000"/>
                <w:szCs w:val="21"/>
              </w:rPr>
              <w:t>132,975.00</w:t>
            </w:r>
          </w:p>
        </w:tc>
        <w:tc>
          <w:tcPr>
            <w:tcW w:w="1462" w:type="dxa"/>
            <w:vAlign w:val="center"/>
          </w:tcPr>
          <w:p w:rsidR="00256A81" w:rsidRDefault="00553E61">
            <w:pPr>
              <w:jc w:val="right"/>
            </w:pPr>
            <w:r>
              <w:rPr>
                <w:rFonts w:eastAsiaTheme="minorEastAsia"/>
                <w:color w:val="000000"/>
                <w:szCs w:val="21"/>
              </w:rPr>
              <w:t>0.02</w:t>
            </w:r>
          </w:p>
        </w:tc>
      </w:tr>
      <w:tr w:rsidR="00256A81">
        <w:trPr>
          <w:jc w:val="center"/>
        </w:trPr>
        <w:tc>
          <w:tcPr>
            <w:tcW w:w="1808" w:type="dxa"/>
            <w:vAlign w:val="center"/>
          </w:tcPr>
          <w:p w:rsidR="00256A81" w:rsidRDefault="00553E61">
            <w:pPr>
              <w:jc w:val="center"/>
            </w:pPr>
            <w:r>
              <w:rPr>
                <w:rFonts w:eastAsiaTheme="minorEastAsia"/>
                <w:color w:val="000000"/>
                <w:szCs w:val="21"/>
              </w:rPr>
              <w:t>4</w:t>
            </w:r>
          </w:p>
        </w:tc>
        <w:tc>
          <w:tcPr>
            <w:tcW w:w="1729" w:type="dxa"/>
            <w:vAlign w:val="center"/>
          </w:tcPr>
          <w:p w:rsidR="00256A81" w:rsidRDefault="00553E61">
            <w:pPr>
              <w:jc w:val="center"/>
            </w:pPr>
            <w:r>
              <w:rPr>
                <w:rFonts w:eastAsiaTheme="minorEastAsia"/>
                <w:color w:val="000000"/>
                <w:szCs w:val="21"/>
              </w:rPr>
              <w:t>113021</w:t>
            </w:r>
          </w:p>
        </w:tc>
        <w:tc>
          <w:tcPr>
            <w:tcW w:w="1658" w:type="dxa"/>
            <w:vAlign w:val="center"/>
          </w:tcPr>
          <w:p w:rsidR="00256A81" w:rsidRDefault="00553E61">
            <w:pPr>
              <w:jc w:val="center"/>
            </w:pPr>
            <w:r>
              <w:rPr>
                <w:rFonts w:eastAsiaTheme="minorEastAsia"/>
                <w:color w:val="000000"/>
                <w:szCs w:val="21"/>
              </w:rPr>
              <w:t>中信转债</w:t>
            </w:r>
          </w:p>
        </w:tc>
        <w:tc>
          <w:tcPr>
            <w:tcW w:w="2508" w:type="dxa"/>
            <w:vAlign w:val="center"/>
          </w:tcPr>
          <w:p w:rsidR="00256A81" w:rsidRDefault="00553E61">
            <w:pPr>
              <w:jc w:val="right"/>
            </w:pPr>
            <w:r>
              <w:rPr>
                <w:rFonts w:eastAsiaTheme="minorEastAsia"/>
                <w:color w:val="000000"/>
                <w:szCs w:val="21"/>
              </w:rPr>
              <w:t>132,373.80</w:t>
            </w:r>
          </w:p>
        </w:tc>
        <w:tc>
          <w:tcPr>
            <w:tcW w:w="1462" w:type="dxa"/>
            <w:vAlign w:val="center"/>
          </w:tcPr>
          <w:p w:rsidR="00256A81" w:rsidRDefault="00553E61">
            <w:pPr>
              <w:jc w:val="right"/>
            </w:pPr>
            <w:r>
              <w:rPr>
                <w:rFonts w:eastAsiaTheme="minorEastAsia"/>
                <w:color w:val="000000"/>
                <w:szCs w:val="21"/>
              </w:rPr>
              <w:t>0.02</w:t>
            </w:r>
          </w:p>
        </w:tc>
      </w:tr>
      <w:tr w:rsidR="00256A81">
        <w:trPr>
          <w:jc w:val="center"/>
        </w:trPr>
        <w:tc>
          <w:tcPr>
            <w:tcW w:w="1808" w:type="dxa"/>
            <w:vAlign w:val="center"/>
          </w:tcPr>
          <w:p w:rsidR="00256A81" w:rsidRDefault="00553E61">
            <w:pPr>
              <w:jc w:val="center"/>
            </w:pPr>
            <w:r>
              <w:rPr>
                <w:rFonts w:eastAsiaTheme="minorEastAsia"/>
                <w:color w:val="000000"/>
                <w:szCs w:val="21"/>
              </w:rPr>
              <w:t>5</w:t>
            </w:r>
          </w:p>
        </w:tc>
        <w:tc>
          <w:tcPr>
            <w:tcW w:w="1729" w:type="dxa"/>
            <w:vAlign w:val="center"/>
          </w:tcPr>
          <w:p w:rsidR="00256A81" w:rsidRDefault="00553E61">
            <w:pPr>
              <w:jc w:val="center"/>
            </w:pPr>
            <w:r>
              <w:rPr>
                <w:rFonts w:eastAsiaTheme="minorEastAsia"/>
                <w:color w:val="000000"/>
                <w:szCs w:val="21"/>
              </w:rPr>
              <w:t>123021</w:t>
            </w:r>
          </w:p>
        </w:tc>
        <w:tc>
          <w:tcPr>
            <w:tcW w:w="1658" w:type="dxa"/>
            <w:vAlign w:val="center"/>
          </w:tcPr>
          <w:p w:rsidR="00256A81" w:rsidRDefault="00553E61">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256A81" w:rsidRDefault="00553E61">
            <w:pPr>
              <w:jc w:val="right"/>
            </w:pPr>
            <w:r>
              <w:rPr>
                <w:rFonts w:eastAsiaTheme="minorEastAsia"/>
                <w:color w:val="000000"/>
                <w:szCs w:val="21"/>
              </w:rPr>
              <w:t>130,832.70</w:t>
            </w:r>
          </w:p>
        </w:tc>
        <w:tc>
          <w:tcPr>
            <w:tcW w:w="1462" w:type="dxa"/>
            <w:vAlign w:val="center"/>
          </w:tcPr>
          <w:p w:rsidR="00256A81" w:rsidRDefault="00553E61">
            <w:pPr>
              <w:jc w:val="right"/>
            </w:pPr>
            <w:r>
              <w:rPr>
                <w:rFonts w:eastAsiaTheme="minorEastAsia"/>
                <w:color w:val="000000"/>
                <w:szCs w:val="21"/>
              </w:rPr>
              <w:t>0.02</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73"/>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974"/>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256A81" w:rsidRDefault="00553E61">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256A81" w:rsidRDefault="00256A8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256A81" w:rsidRDefault="00256A8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256A81" w:rsidRDefault="00553E61">
            <w:pPr>
              <w:jc w:val="center"/>
            </w:pPr>
            <w:r>
              <w:rPr>
                <w:rFonts w:eastAsiaTheme="minorEastAsia"/>
                <w:bCs/>
                <w:color w:val="000000"/>
                <w:szCs w:val="21"/>
              </w:rPr>
              <w:t>19,236</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19,236</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24,975.68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44,351,273.84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9.23%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436,080,961.20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90.77%</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975"/>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153,896.41</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0.0320%</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976"/>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977"/>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2017</w:t>
            </w:r>
            <w:r w:rsidR="00146153" w:rsidRPr="000B045A">
              <w:rPr>
                <w:rFonts w:eastAsiaTheme="minorEastAsia"/>
                <w:szCs w:val="21"/>
              </w:rPr>
              <w:t>年</w:t>
            </w:r>
            <w:r w:rsidR="00146153" w:rsidRPr="000B045A">
              <w:rPr>
                <w:rFonts w:eastAsiaTheme="minorEastAsia"/>
                <w:szCs w:val="21"/>
              </w:rPr>
              <w:t>9</w:t>
            </w:r>
            <w:r w:rsidR="00146153" w:rsidRPr="000B045A">
              <w:rPr>
                <w:rFonts w:eastAsiaTheme="minorEastAsia"/>
                <w:szCs w:val="21"/>
              </w:rPr>
              <w:t>月</w:t>
            </w:r>
            <w:r w:rsidR="00146153" w:rsidRPr="000B045A">
              <w:rPr>
                <w:rFonts w:eastAsiaTheme="minorEastAsia"/>
                <w:szCs w:val="21"/>
              </w:rPr>
              <w:t>27</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1,683,406,066.23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662,213,854.48</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307,296,975.20</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489,078,594.64</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480,432,235.04</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978"/>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979"/>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980"/>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托管人中国建设银行</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4</w:t>
      </w:r>
      <w:r w:rsidRPr="00AD22E5">
        <w:rPr>
          <w:rFonts w:eastAsiaTheme="minorEastAsia"/>
          <w:kern w:val="0"/>
          <w:szCs w:val="21"/>
        </w:rPr>
        <w:t>日发布公告，聘任蔡亚蓉为中国建设银行股份有限公司资产托管业务部总经理。</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981"/>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982"/>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983"/>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3</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61,000.00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984"/>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256A81" w:rsidRDefault="00553E6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985"/>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256A81">
        <w:tc>
          <w:tcPr>
            <w:tcW w:w="1560" w:type="dxa"/>
            <w:vAlign w:val="center"/>
          </w:tcPr>
          <w:p w:rsidR="00256A81" w:rsidRDefault="00553E61">
            <w:pPr>
              <w:jc w:val="left"/>
            </w:pPr>
            <w:r>
              <w:rPr>
                <w:rFonts w:eastAsiaTheme="minorEastAsia"/>
                <w:color w:val="000000"/>
                <w:szCs w:val="21"/>
              </w:rPr>
              <w:t>中金财富</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招商证券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华西证券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中信建投</w:t>
            </w:r>
          </w:p>
        </w:tc>
        <w:tc>
          <w:tcPr>
            <w:tcW w:w="780" w:type="dxa"/>
            <w:vAlign w:val="center"/>
          </w:tcPr>
          <w:p w:rsidR="00256A81" w:rsidRDefault="00553E61">
            <w:pPr>
              <w:jc w:val="right"/>
            </w:pPr>
            <w:r>
              <w:rPr>
                <w:rFonts w:eastAsiaTheme="minorEastAsia"/>
                <w:color w:val="000000"/>
                <w:szCs w:val="21"/>
              </w:rPr>
              <w:t>3</w:t>
            </w:r>
          </w:p>
        </w:tc>
        <w:tc>
          <w:tcPr>
            <w:tcW w:w="1800" w:type="dxa"/>
            <w:vAlign w:val="center"/>
          </w:tcPr>
          <w:p w:rsidR="00256A81" w:rsidRDefault="00553E61">
            <w:pPr>
              <w:jc w:val="right"/>
            </w:pPr>
            <w:r>
              <w:rPr>
                <w:rFonts w:eastAsiaTheme="minorEastAsia"/>
                <w:color w:val="000000"/>
                <w:szCs w:val="21"/>
              </w:rPr>
              <w:t>99,850,726.21</w:t>
            </w:r>
          </w:p>
        </w:tc>
        <w:tc>
          <w:tcPr>
            <w:tcW w:w="1080" w:type="dxa"/>
            <w:vAlign w:val="center"/>
          </w:tcPr>
          <w:p w:rsidR="00256A81" w:rsidRDefault="00553E61">
            <w:pPr>
              <w:jc w:val="right"/>
            </w:pPr>
            <w:r>
              <w:rPr>
                <w:rFonts w:eastAsiaTheme="minorEastAsia"/>
                <w:color w:val="000000"/>
                <w:szCs w:val="21"/>
              </w:rPr>
              <w:t>26.54%</w:t>
            </w:r>
          </w:p>
        </w:tc>
        <w:tc>
          <w:tcPr>
            <w:tcW w:w="1620" w:type="dxa"/>
            <w:vAlign w:val="center"/>
          </w:tcPr>
          <w:p w:rsidR="00256A81" w:rsidRDefault="00553E61">
            <w:pPr>
              <w:jc w:val="right"/>
            </w:pPr>
            <w:r>
              <w:rPr>
                <w:rFonts w:eastAsiaTheme="minorEastAsia"/>
                <w:color w:val="000000"/>
                <w:szCs w:val="21"/>
              </w:rPr>
              <w:t>85,595.37</w:t>
            </w:r>
          </w:p>
        </w:tc>
        <w:tc>
          <w:tcPr>
            <w:tcW w:w="1080" w:type="dxa"/>
            <w:vAlign w:val="center"/>
          </w:tcPr>
          <w:p w:rsidR="00256A81" w:rsidRDefault="00553E61">
            <w:pPr>
              <w:jc w:val="right"/>
            </w:pPr>
            <w:r>
              <w:rPr>
                <w:rFonts w:eastAsiaTheme="minorEastAsia"/>
                <w:color w:val="000000"/>
                <w:szCs w:val="21"/>
              </w:rPr>
              <w:t>28.34%</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中信证券</w:t>
            </w:r>
          </w:p>
        </w:tc>
        <w:tc>
          <w:tcPr>
            <w:tcW w:w="780" w:type="dxa"/>
            <w:vAlign w:val="center"/>
          </w:tcPr>
          <w:p w:rsidR="00256A81" w:rsidRDefault="00553E61">
            <w:pPr>
              <w:jc w:val="right"/>
            </w:pPr>
            <w:r>
              <w:rPr>
                <w:rFonts w:eastAsiaTheme="minorEastAsia"/>
                <w:color w:val="000000"/>
                <w:szCs w:val="21"/>
              </w:rPr>
              <w:t>3</w:t>
            </w:r>
          </w:p>
        </w:tc>
        <w:tc>
          <w:tcPr>
            <w:tcW w:w="1800" w:type="dxa"/>
            <w:vAlign w:val="center"/>
          </w:tcPr>
          <w:p w:rsidR="00256A81" w:rsidRDefault="00553E61">
            <w:pPr>
              <w:jc w:val="right"/>
            </w:pPr>
            <w:r>
              <w:rPr>
                <w:rFonts w:eastAsiaTheme="minorEastAsia"/>
                <w:color w:val="000000"/>
                <w:szCs w:val="21"/>
              </w:rPr>
              <w:t>21,051,896.49</w:t>
            </w:r>
          </w:p>
        </w:tc>
        <w:tc>
          <w:tcPr>
            <w:tcW w:w="1080" w:type="dxa"/>
            <w:vAlign w:val="center"/>
          </w:tcPr>
          <w:p w:rsidR="00256A81" w:rsidRDefault="00553E61">
            <w:pPr>
              <w:jc w:val="right"/>
            </w:pPr>
            <w:r>
              <w:rPr>
                <w:rFonts w:eastAsiaTheme="minorEastAsia"/>
                <w:color w:val="000000"/>
                <w:szCs w:val="21"/>
              </w:rPr>
              <w:t>5.60%</w:t>
            </w:r>
          </w:p>
        </w:tc>
        <w:tc>
          <w:tcPr>
            <w:tcW w:w="1620" w:type="dxa"/>
            <w:vAlign w:val="center"/>
          </w:tcPr>
          <w:p w:rsidR="00256A81" w:rsidRDefault="00553E61">
            <w:pPr>
              <w:jc w:val="right"/>
            </w:pPr>
            <w:r>
              <w:rPr>
                <w:rFonts w:eastAsiaTheme="minorEastAsia"/>
                <w:color w:val="000000"/>
                <w:szCs w:val="21"/>
              </w:rPr>
              <w:t>16,841.36</w:t>
            </w:r>
          </w:p>
        </w:tc>
        <w:tc>
          <w:tcPr>
            <w:tcW w:w="1080" w:type="dxa"/>
            <w:vAlign w:val="center"/>
          </w:tcPr>
          <w:p w:rsidR="00256A81" w:rsidRDefault="00553E61">
            <w:pPr>
              <w:jc w:val="right"/>
            </w:pPr>
            <w:r>
              <w:rPr>
                <w:rFonts w:eastAsiaTheme="minorEastAsia"/>
                <w:color w:val="000000"/>
                <w:szCs w:val="21"/>
              </w:rPr>
              <w:t>5.58%</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国信证券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6,919,821.78</w:t>
            </w:r>
          </w:p>
        </w:tc>
        <w:tc>
          <w:tcPr>
            <w:tcW w:w="1080" w:type="dxa"/>
            <w:vAlign w:val="center"/>
          </w:tcPr>
          <w:p w:rsidR="00256A81" w:rsidRDefault="00553E61">
            <w:pPr>
              <w:jc w:val="right"/>
            </w:pPr>
            <w:r>
              <w:rPr>
                <w:rFonts w:eastAsiaTheme="minorEastAsia"/>
                <w:color w:val="000000"/>
                <w:szCs w:val="21"/>
              </w:rPr>
              <w:t>1.84%</w:t>
            </w:r>
          </w:p>
        </w:tc>
        <w:tc>
          <w:tcPr>
            <w:tcW w:w="1620" w:type="dxa"/>
            <w:vAlign w:val="center"/>
          </w:tcPr>
          <w:p w:rsidR="00256A81" w:rsidRDefault="00553E61">
            <w:pPr>
              <w:jc w:val="right"/>
            </w:pPr>
            <w:r>
              <w:rPr>
                <w:rFonts w:eastAsiaTheme="minorEastAsia"/>
                <w:color w:val="000000"/>
                <w:szCs w:val="21"/>
              </w:rPr>
              <w:t>5,535.85</w:t>
            </w:r>
          </w:p>
        </w:tc>
        <w:tc>
          <w:tcPr>
            <w:tcW w:w="1080" w:type="dxa"/>
            <w:vAlign w:val="center"/>
          </w:tcPr>
          <w:p w:rsidR="00256A81" w:rsidRDefault="00553E61">
            <w:pPr>
              <w:jc w:val="right"/>
            </w:pPr>
            <w:r>
              <w:rPr>
                <w:rFonts w:eastAsiaTheme="minorEastAsia"/>
                <w:color w:val="000000"/>
                <w:szCs w:val="21"/>
              </w:rPr>
              <w:t>1.83%</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太平洋证券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天风证券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9,249,866.63</w:t>
            </w:r>
          </w:p>
        </w:tc>
        <w:tc>
          <w:tcPr>
            <w:tcW w:w="1080" w:type="dxa"/>
            <w:vAlign w:val="center"/>
          </w:tcPr>
          <w:p w:rsidR="00256A81" w:rsidRDefault="00553E61">
            <w:pPr>
              <w:jc w:val="right"/>
            </w:pPr>
            <w:r>
              <w:rPr>
                <w:rFonts w:eastAsiaTheme="minorEastAsia"/>
                <w:color w:val="000000"/>
                <w:szCs w:val="21"/>
              </w:rPr>
              <w:t>2.46%</w:t>
            </w:r>
          </w:p>
        </w:tc>
        <w:tc>
          <w:tcPr>
            <w:tcW w:w="1620" w:type="dxa"/>
            <w:vAlign w:val="center"/>
          </w:tcPr>
          <w:p w:rsidR="00256A81" w:rsidRDefault="00553E61">
            <w:pPr>
              <w:jc w:val="right"/>
            </w:pPr>
            <w:r>
              <w:rPr>
                <w:rFonts w:eastAsiaTheme="minorEastAsia"/>
                <w:color w:val="000000"/>
                <w:szCs w:val="21"/>
              </w:rPr>
              <w:t>7,399.90</w:t>
            </w:r>
          </w:p>
        </w:tc>
        <w:tc>
          <w:tcPr>
            <w:tcW w:w="1080" w:type="dxa"/>
            <w:vAlign w:val="center"/>
          </w:tcPr>
          <w:p w:rsidR="00256A81" w:rsidRDefault="00553E61">
            <w:pPr>
              <w:jc w:val="right"/>
            </w:pPr>
            <w:r>
              <w:rPr>
                <w:rFonts w:eastAsiaTheme="minorEastAsia"/>
                <w:color w:val="000000"/>
                <w:szCs w:val="21"/>
              </w:rPr>
              <w:t>2.45%</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东吴证券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3,617,462.64</w:t>
            </w:r>
          </w:p>
        </w:tc>
        <w:tc>
          <w:tcPr>
            <w:tcW w:w="1080" w:type="dxa"/>
            <w:vAlign w:val="center"/>
          </w:tcPr>
          <w:p w:rsidR="00256A81" w:rsidRDefault="00553E61">
            <w:pPr>
              <w:jc w:val="right"/>
            </w:pPr>
            <w:r>
              <w:rPr>
                <w:rFonts w:eastAsiaTheme="minorEastAsia"/>
                <w:color w:val="000000"/>
                <w:szCs w:val="21"/>
              </w:rPr>
              <w:t>0.96%</w:t>
            </w:r>
          </w:p>
        </w:tc>
        <w:tc>
          <w:tcPr>
            <w:tcW w:w="1620" w:type="dxa"/>
            <w:vAlign w:val="center"/>
          </w:tcPr>
          <w:p w:rsidR="00256A81" w:rsidRDefault="00553E61">
            <w:pPr>
              <w:jc w:val="right"/>
            </w:pPr>
            <w:r>
              <w:rPr>
                <w:rFonts w:eastAsiaTheme="minorEastAsia"/>
                <w:color w:val="000000"/>
                <w:szCs w:val="21"/>
              </w:rPr>
              <w:t>2,893.88</w:t>
            </w:r>
          </w:p>
        </w:tc>
        <w:tc>
          <w:tcPr>
            <w:tcW w:w="1080" w:type="dxa"/>
            <w:vAlign w:val="center"/>
          </w:tcPr>
          <w:p w:rsidR="00256A81" w:rsidRDefault="00553E61">
            <w:pPr>
              <w:jc w:val="right"/>
            </w:pPr>
            <w:r>
              <w:rPr>
                <w:rFonts w:eastAsiaTheme="minorEastAsia"/>
                <w:color w:val="000000"/>
                <w:szCs w:val="21"/>
              </w:rPr>
              <w:t>0.96%</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信达证券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安信证券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2,316,134.40</w:t>
            </w:r>
          </w:p>
        </w:tc>
        <w:tc>
          <w:tcPr>
            <w:tcW w:w="1080" w:type="dxa"/>
            <w:vAlign w:val="center"/>
          </w:tcPr>
          <w:p w:rsidR="00256A81" w:rsidRDefault="00553E61">
            <w:pPr>
              <w:jc w:val="right"/>
            </w:pPr>
            <w:r>
              <w:rPr>
                <w:rFonts w:eastAsiaTheme="minorEastAsia"/>
                <w:color w:val="000000"/>
                <w:szCs w:val="21"/>
              </w:rPr>
              <w:t>0.62%</w:t>
            </w:r>
          </w:p>
        </w:tc>
        <w:tc>
          <w:tcPr>
            <w:tcW w:w="1620" w:type="dxa"/>
            <w:vAlign w:val="center"/>
          </w:tcPr>
          <w:p w:rsidR="00256A81" w:rsidRDefault="00553E61">
            <w:pPr>
              <w:jc w:val="right"/>
            </w:pPr>
            <w:r>
              <w:rPr>
                <w:rFonts w:eastAsiaTheme="minorEastAsia"/>
                <w:color w:val="000000"/>
                <w:szCs w:val="21"/>
              </w:rPr>
              <w:t>2,129.83</w:t>
            </w:r>
          </w:p>
        </w:tc>
        <w:tc>
          <w:tcPr>
            <w:tcW w:w="1080" w:type="dxa"/>
            <w:vAlign w:val="center"/>
          </w:tcPr>
          <w:p w:rsidR="00256A81" w:rsidRDefault="00553E61">
            <w:pPr>
              <w:jc w:val="right"/>
            </w:pPr>
            <w:r>
              <w:rPr>
                <w:rFonts w:eastAsiaTheme="minorEastAsia"/>
                <w:color w:val="000000"/>
                <w:szCs w:val="21"/>
              </w:rPr>
              <w:t>0.71%</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西部证券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10,018,897.80</w:t>
            </w:r>
          </w:p>
        </w:tc>
        <w:tc>
          <w:tcPr>
            <w:tcW w:w="1080" w:type="dxa"/>
            <w:vAlign w:val="center"/>
          </w:tcPr>
          <w:p w:rsidR="00256A81" w:rsidRDefault="00553E61">
            <w:pPr>
              <w:jc w:val="right"/>
            </w:pPr>
            <w:r>
              <w:rPr>
                <w:rFonts w:eastAsiaTheme="minorEastAsia"/>
                <w:color w:val="000000"/>
                <w:szCs w:val="21"/>
              </w:rPr>
              <w:t>2.66%</w:t>
            </w:r>
          </w:p>
        </w:tc>
        <w:tc>
          <w:tcPr>
            <w:tcW w:w="1620" w:type="dxa"/>
            <w:vAlign w:val="center"/>
          </w:tcPr>
          <w:p w:rsidR="00256A81" w:rsidRDefault="00553E61">
            <w:pPr>
              <w:jc w:val="right"/>
            </w:pPr>
            <w:r>
              <w:rPr>
                <w:rFonts w:eastAsiaTheme="minorEastAsia"/>
                <w:color w:val="000000"/>
                <w:szCs w:val="21"/>
              </w:rPr>
              <w:t>8,015.12</w:t>
            </w:r>
          </w:p>
        </w:tc>
        <w:tc>
          <w:tcPr>
            <w:tcW w:w="1080" w:type="dxa"/>
            <w:vAlign w:val="center"/>
          </w:tcPr>
          <w:p w:rsidR="00256A81" w:rsidRDefault="00553E61">
            <w:pPr>
              <w:jc w:val="right"/>
            </w:pPr>
            <w:r>
              <w:rPr>
                <w:rFonts w:eastAsiaTheme="minorEastAsia"/>
                <w:color w:val="000000"/>
                <w:szCs w:val="21"/>
              </w:rPr>
              <w:t>2.65%</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长江证券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11,867,233.18</w:t>
            </w:r>
          </w:p>
        </w:tc>
        <w:tc>
          <w:tcPr>
            <w:tcW w:w="1080" w:type="dxa"/>
            <w:vAlign w:val="center"/>
          </w:tcPr>
          <w:p w:rsidR="00256A81" w:rsidRDefault="00553E61">
            <w:pPr>
              <w:jc w:val="right"/>
            </w:pPr>
            <w:r>
              <w:rPr>
                <w:rFonts w:eastAsiaTheme="minorEastAsia"/>
                <w:color w:val="000000"/>
                <w:szCs w:val="21"/>
              </w:rPr>
              <w:t>3.15%</w:t>
            </w:r>
          </w:p>
        </w:tc>
        <w:tc>
          <w:tcPr>
            <w:tcW w:w="1620" w:type="dxa"/>
            <w:vAlign w:val="center"/>
          </w:tcPr>
          <w:p w:rsidR="00256A81" w:rsidRDefault="00553E61">
            <w:pPr>
              <w:jc w:val="right"/>
            </w:pPr>
            <w:r>
              <w:rPr>
                <w:rFonts w:eastAsiaTheme="minorEastAsia"/>
                <w:color w:val="000000"/>
                <w:szCs w:val="21"/>
              </w:rPr>
              <w:t>9,493.64</w:t>
            </w:r>
          </w:p>
        </w:tc>
        <w:tc>
          <w:tcPr>
            <w:tcW w:w="1080" w:type="dxa"/>
            <w:vAlign w:val="center"/>
          </w:tcPr>
          <w:p w:rsidR="00256A81" w:rsidRDefault="00553E61">
            <w:pPr>
              <w:jc w:val="right"/>
            </w:pPr>
            <w:r>
              <w:rPr>
                <w:rFonts w:eastAsiaTheme="minorEastAsia"/>
                <w:color w:val="000000"/>
                <w:szCs w:val="21"/>
              </w:rPr>
              <w:t>3.14%</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东方证券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平安证券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兴业证券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119,982.16</w:t>
            </w:r>
          </w:p>
        </w:tc>
        <w:tc>
          <w:tcPr>
            <w:tcW w:w="1080" w:type="dxa"/>
            <w:vAlign w:val="center"/>
          </w:tcPr>
          <w:p w:rsidR="00256A81" w:rsidRDefault="00553E61">
            <w:pPr>
              <w:jc w:val="right"/>
            </w:pPr>
            <w:r>
              <w:rPr>
                <w:rFonts w:eastAsiaTheme="minorEastAsia"/>
                <w:color w:val="000000"/>
                <w:szCs w:val="21"/>
              </w:rPr>
              <w:t>0.03%</w:t>
            </w:r>
          </w:p>
        </w:tc>
        <w:tc>
          <w:tcPr>
            <w:tcW w:w="1620" w:type="dxa"/>
            <w:vAlign w:val="center"/>
          </w:tcPr>
          <w:p w:rsidR="00256A81" w:rsidRDefault="00553E61">
            <w:pPr>
              <w:jc w:val="right"/>
            </w:pPr>
            <w:r>
              <w:rPr>
                <w:rFonts w:eastAsiaTheme="minorEastAsia"/>
                <w:color w:val="000000"/>
                <w:szCs w:val="21"/>
              </w:rPr>
              <w:t>95.99</w:t>
            </w:r>
          </w:p>
        </w:tc>
        <w:tc>
          <w:tcPr>
            <w:tcW w:w="1080" w:type="dxa"/>
            <w:vAlign w:val="center"/>
          </w:tcPr>
          <w:p w:rsidR="00256A81" w:rsidRDefault="00553E61">
            <w:pPr>
              <w:jc w:val="right"/>
            </w:pPr>
            <w:r>
              <w:rPr>
                <w:rFonts w:eastAsiaTheme="minorEastAsia"/>
                <w:color w:val="000000"/>
                <w:szCs w:val="21"/>
              </w:rPr>
              <w:t>0.03%</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西藏东财</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406,393.75</w:t>
            </w:r>
          </w:p>
        </w:tc>
        <w:tc>
          <w:tcPr>
            <w:tcW w:w="1080" w:type="dxa"/>
            <w:vAlign w:val="center"/>
          </w:tcPr>
          <w:p w:rsidR="00256A81" w:rsidRDefault="00553E61">
            <w:pPr>
              <w:jc w:val="right"/>
            </w:pPr>
            <w:r>
              <w:rPr>
                <w:rFonts w:eastAsiaTheme="minorEastAsia"/>
                <w:color w:val="000000"/>
                <w:szCs w:val="21"/>
              </w:rPr>
              <w:t>0.11%</w:t>
            </w:r>
          </w:p>
        </w:tc>
        <w:tc>
          <w:tcPr>
            <w:tcW w:w="1620" w:type="dxa"/>
            <w:vAlign w:val="center"/>
          </w:tcPr>
          <w:p w:rsidR="00256A81" w:rsidRDefault="00553E61">
            <w:pPr>
              <w:jc w:val="right"/>
            </w:pPr>
            <w:r>
              <w:rPr>
                <w:rFonts w:eastAsiaTheme="minorEastAsia"/>
                <w:color w:val="000000"/>
                <w:szCs w:val="21"/>
              </w:rPr>
              <w:t>325.12</w:t>
            </w:r>
          </w:p>
        </w:tc>
        <w:tc>
          <w:tcPr>
            <w:tcW w:w="1080" w:type="dxa"/>
            <w:vAlign w:val="center"/>
          </w:tcPr>
          <w:p w:rsidR="00256A81" w:rsidRDefault="00553E61">
            <w:pPr>
              <w:jc w:val="right"/>
            </w:pPr>
            <w:r>
              <w:rPr>
                <w:rFonts w:eastAsiaTheme="minorEastAsia"/>
                <w:color w:val="000000"/>
                <w:szCs w:val="21"/>
              </w:rPr>
              <w:t>0.11%</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南京证券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华泰证券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16,176,649.35</w:t>
            </w:r>
          </w:p>
        </w:tc>
        <w:tc>
          <w:tcPr>
            <w:tcW w:w="1080" w:type="dxa"/>
            <w:vAlign w:val="center"/>
          </w:tcPr>
          <w:p w:rsidR="00256A81" w:rsidRDefault="00553E61">
            <w:pPr>
              <w:jc w:val="right"/>
            </w:pPr>
            <w:r>
              <w:rPr>
                <w:rFonts w:eastAsiaTheme="minorEastAsia"/>
                <w:color w:val="000000"/>
                <w:szCs w:val="21"/>
              </w:rPr>
              <w:t>4.30%</w:t>
            </w:r>
          </w:p>
        </w:tc>
        <w:tc>
          <w:tcPr>
            <w:tcW w:w="1620" w:type="dxa"/>
            <w:vAlign w:val="center"/>
          </w:tcPr>
          <w:p w:rsidR="00256A81" w:rsidRDefault="00553E61">
            <w:pPr>
              <w:jc w:val="right"/>
            </w:pPr>
            <w:r>
              <w:rPr>
                <w:rFonts w:eastAsiaTheme="minorEastAsia"/>
                <w:color w:val="000000"/>
                <w:szCs w:val="21"/>
              </w:rPr>
              <w:t>8,088.31</w:t>
            </w:r>
          </w:p>
        </w:tc>
        <w:tc>
          <w:tcPr>
            <w:tcW w:w="1080" w:type="dxa"/>
            <w:vAlign w:val="center"/>
          </w:tcPr>
          <w:p w:rsidR="00256A81" w:rsidRDefault="00553E61">
            <w:pPr>
              <w:jc w:val="right"/>
            </w:pPr>
            <w:r>
              <w:rPr>
                <w:rFonts w:eastAsiaTheme="minorEastAsia"/>
                <w:color w:val="000000"/>
                <w:szCs w:val="21"/>
              </w:rPr>
              <w:t>2.68%</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国金证券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92,000.30</w:t>
            </w:r>
          </w:p>
        </w:tc>
        <w:tc>
          <w:tcPr>
            <w:tcW w:w="1080" w:type="dxa"/>
            <w:vAlign w:val="center"/>
          </w:tcPr>
          <w:p w:rsidR="00256A81" w:rsidRDefault="00553E61">
            <w:pPr>
              <w:jc w:val="right"/>
            </w:pPr>
            <w:r>
              <w:rPr>
                <w:rFonts w:eastAsiaTheme="minorEastAsia"/>
                <w:color w:val="000000"/>
                <w:szCs w:val="21"/>
              </w:rPr>
              <w:t>0.02%</w:t>
            </w:r>
          </w:p>
        </w:tc>
        <w:tc>
          <w:tcPr>
            <w:tcW w:w="1620" w:type="dxa"/>
            <w:vAlign w:val="center"/>
          </w:tcPr>
          <w:p w:rsidR="00256A81" w:rsidRDefault="00553E61">
            <w:pPr>
              <w:jc w:val="right"/>
            </w:pPr>
            <w:r>
              <w:rPr>
                <w:rFonts w:eastAsiaTheme="minorEastAsia"/>
                <w:color w:val="000000"/>
                <w:szCs w:val="21"/>
              </w:rPr>
              <w:t>73.60</w:t>
            </w:r>
          </w:p>
        </w:tc>
        <w:tc>
          <w:tcPr>
            <w:tcW w:w="1080" w:type="dxa"/>
            <w:vAlign w:val="center"/>
          </w:tcPr>
          <w:p w:rsidR="00256A81" w:rsidRDefault="00553E61">
            <w:pPr>
              <w:jc w:val="right"/>
            </w:pPr>
            <w:r>
              <w:rPr>
                <w:rFonts w:eastAsiaTheme="minorEastAsia"/>
                <w:color w:val="000000"/>
                <w:szCs w:val="21"/>
              </w:rPr>
              <w:t>0.02%</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申万宏源</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国海证券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银河证券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中银国际</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广发证券</w:t>
            </w:r>
          </w:p>
        </w:tc>
        <w:tc>
          <w:tcPr>
            <w:tcW w:w="780" w:type="dxa"/>
            <w:vAlign w:val="center"/>
          </w:tcPr>
          <w:p w:rsidR="00256A81" w:rsidRDefault="00553E61">
            <w:pPr>
              <w:jc w:val="right"/>
            </w:pPr>
            <w:r>
              <w:rPr>
                <w:rFonts w:eastAsiaTheme="minorEastAsia"/>
                <w:color w:val="000000"/>
                <w:szCs w:val="21"/>
              </w:rPr>
              <w:t>4</w:t>
            </w:r>
          </w:p>
        </w:tc>
        <w:tc>
          <w:tcPr>
            <w:tcW w:w="1800" w:type="dxa"/>
            <w:vAlign w:val="center"/>
          </w:tcPr>
          <w:p w:rsidR="00256A81" w:rsidRDefault="00553E61">
            <w:pPr>
              <w:jc w:val="right"/>
            </w:pPr>
            <w:r>
              <w:rPr>
                <w:rFonts w:eastAsiaTheme="minorEastAsia"/>
                <w:color w:val="000000"/>
                <w:szCs w:val="21"/>
              </w:rPr>
              <w:t>35,295,555.91</w:t>
            </w:r>
          </w:p>
        </w:tc>
        <w:tc>
          <w:tcPr>
            <w:tcW w:w="1080" w:type="dxa"/>
            <w:vAlign w:val="center"/>
          </w:tcPr>
          <w:p w:rsidR="00256A81" w:rsidRDefault="00553E61">
            <w:pPr>
              <w:jc w:val="right"/>
            </w:pPr>
            <w:r>
              <w:rPr>
                <w:rFonts w:eastAsiaTheme="minorEastAsia"/>
                <w:color w:val="000000"/>
                <w:szCs w:val="21"/>
              </w:rPr>
              <w:t>9.38%</w:t>
            </w:r>
          </w:p>
        </w:tc>
        <w:tc>
          <w:tcPr>
            <w:tcW w:w="1620" w:type="dxa"/>
            <w:vAlign w:val="center"/>
          </w:tcPr>
          <w:p w:rsidR="00256A81" w:rsidRDefault="00553E61">
            <w:pPr>
              <w:jc w:val="right"/>
            </w:pPr>
            <w:r>
              <w:rPr>
                <w:rFonts w:eastAsiaTheme="minorEastAsia"/>
                <w:color w:val="000000"/>
                <w:szCs w:val="21"/>
              </w:rPr>
              <w:t>28,236.44</w:t>
            </w:r>
          </w:p>
        </w:tc>
        <w:tc>
          <w:tcPr>
            <w:tcW w:w="1080" w:type="dxa"/>
            <w:vAlign w:val="center"/>
          </w:tcPr>
          <w:p w:rsidR="00256A81" w:rsidRDefault="00553E61">
            <w:pPr>
              <w:jc w:val="right"/>
            </w:pPr>
            <w:r>
              <w:rPr>
                <w:rFonts w:eastAsiaTheme="minorEastAsia"/>
                <w:color w:val="000000"/>
                <w:szCs w:val="21"/>
              </w:rPr>
              <w:t>9.35%</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西南证券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长城证券</w:t>
            </w:r>
          </w:p>
        </w:tc>
        <w:tc>
          <w:tcPr>
            <w:tcW w:w="780" w:type="dxa"/>
            <w:vAlign w:val="center"/>
          </w:tcPr>
          <w:p w:rsidR="00256A81" w:rsidRDefault="00553E61">
            <w:pPr>
              <w:jc w:val="right"/>
            </w:pPr>
            <w:r>
              <w:rPr>
                <w:rFonts w:eastAsiaTheme="minorEastAsia"/>
                <w:color w:val="000000"/>
                <w:szCs w:val="21"/>
              </w:rPr>
              <w:t>3</w:t>
            </w:r>
          </w:p>
        </w:tc>
        <w:tc>
          <w:tcPr>
            <w:tcW w:w="1800" w:type="dxa"/>
            <w:vAlign w:val="center"/>
          </w:tcPr>
          <w:p w:rsidR="00256A81" w:rsidRDefault="00553E61">
            <w:pPr>
              <w:jc w:val="right"/>
            </w:pPr>
            <w:r>
              <w:rPr>
                <w:rFonts w:eastAsiaTheme="minorEastAsia"/>
                <w:color w:val="000000"/>
                <w:szCs w:val="21"/>
              </w:rPr>
              <w:t>4,048,880.00</w:t>
            </w:r>
          </w:p>
        </w:tc>
        <w:tc>
          <w:tcPr>
            <w:tcW w:w="1080" w:type="dxa"/>
            <w:vAlign w:val="center"/>
          </w:tcPr>
          <w:p w:rsidR="00256A81" w:rsidRDefault="00553E61">
            <w:pPr>
              <w:jc w:val="right"/>
            </w:pPr>
            <w:r>
              <w:rPr>
                <w:rFonts w:eastAsiaTheme="minorEastAsia"/>
                <w:color w:val="000000"/>
                <w:szCs w:val="21"/>
              </w:rPr>
              <w:t>1.08%</w:t>
            </w:r>
          </w:p>
        </w:tc>
        <w:tc>
          <w:tcPr>
            <w:tcW w:w="1620" w:type="dxa"/>
            <w:vAlign w:val="center"/>
          </w:tcPr>
          <w:p w:rsidR="00256A81" w:rsidRDefault="00553E61">
            <w:pPr>
              <w:jc w:val="right"/>
            </w:pPr>
            <w:r>
              <w:rPr>
                <w:rFonts w:eastAsiaTheme="minorEastAsia"/>
                <w:color w:val="000000"/>
                <w:szCs w:val="21"/>
              </w:rPr>
              <w:t>3,239.10</w:t>
            </w:r>
          </w:p>
        </w:tc>
        <w:tc>
          <w:tcPr>
            <w:tcW w:w="1080" w:type="dxa"/>
            <w:vAlign w:val="center"/>
          </w:tcPr>
          <w:p w:rsidR="00256A81" w:rsidRDefault="00553E61">
            <w:pPr>
              <w:jc w:val="right"/>
            </w:pPr>
            <w:r>
              <w:rPr>
                <w:rFonts w:eastAsiaTheme="minorEastAsia"/>
                <w:color w:val="000000"/>
                <w:szCs w:val="21"/>
              </w:rPr>
              <w:t>1.07%</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国元证券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国盛证券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16,055,290.18</w:t>
            </w:r>
          </w:p>
        </w:tc>
        <w:tc>
          <w:tcPr>
            <w:tcW w:w="1080" w:type="dxa"/>
            <w:vAlign w:val="center"/>
          </w:tcPr>
          <w:p w:rsidR="00256A81" w:rsidRDefault="00553E61">
            <w:pPr>
              <w:jc w:val="right"/>
            </w:pPr>
            <w:r>
              <w:rPr>
                <w:rFonts w:eastAsiaTheme="minorEastAsia"/>
                <w:color w:val="000000"/>
                <w:szCs w:val="21"/>
              </w:rPr>
              <w:t>4.27%</w:t>
            </w:r>
          </w:p>
        </w:tc>
        <w:tc>
          <w:tcPr>
            <w:tcW w:w="1620" w:type="dxa"/>
            <w:vAlign w:val="center"/>
          </w:tcPr>
          <w:p w:rsidR="00256A81" w:rsidRDefault="00553E61">
            <w:pPr>
              <w:jc w:val="right"/>
            </w:pPr>
            <w:r>
              <w:rPr>
                <w:rFonts w:eastAsiaTheme="minorEastAsia"/>
                <w:color w:val="000000"/>
                <w:szCs w:val="21"/>
              </w:rPr>
              <w:t>12,844.39</w:t>
            </w:r>
          </w:p>
        </w:tc>
        <w:tc>
          <w:tcPr>
            <w:tcW w:w="1080" w:type="dxa"/>
            <w:vAlign w:val="center"/>
          </w:tcPr>
          <w:p w:rsidR="00256A81" w:rsidRDefault="00553E61">
            <w:pPr>
              <w:jc w:val="right"/>
            </w:pPr>
            <w:r>
              <w:rPr>
                <w:rFonts w:eastAsiaTheme="minorEastAsia"/>
                <w:color w:val="000000"/>
                <w:szCs w:val="21"/>
              </w:rPr>
              <w:t>4.25%</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海通证券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19,222,750.50</w:t>
            </w:r>
          </w:p>
        </w:tc>
        <w:tc>
          <w:tcPr>
            <w:tcW w:w="1080" w:type="dxa"/>
            <w:vAlign w:val="center"/>
          </w:tcPr>
          <w:p w:rsidR="00256A81" w:rsidRDefault="00553E61">
            <w:pPr>
              <w:jc w:val="right"/>
            </w:pPr>
            <w:r>
              <w:rPr>
                <w:rFonts w:eastAsiaTheme="minorEastAsia"/>
                <w:color w:val="000000"/>
                <w:szCs w:val="21"/>
              </w:rPr>
              <w:t>5.11%</w:t>
            </w:r>
          </w:p>
        </w:tc>
        <w:tc>
          <w:tcPr>
            <w:tcW w:w="1620" w:type="dxa"/>
            <w:vAlign w:val="center"/>
          </w:tcPr>
          <w:p w:rsidR="00256A81" w:rsidRDefault="00553E61">
            <w:pPr>
              <w:jc w:val="right"/>
            </w:pPr>
            <w:r>
              <w:rPr>
                <w:rFonts w:eastAsiaTheme="minorEastAsia"/>
                <w:color w:val="000000"/>
                <w:szCs w:val="21"/>
              </w:rPr>
              <w:t>15,378.37</w:t>
            </w:r>
          </w:p>
        </w:tc>
        <w:tc>
          <w:tcPr>
            <w:tcW w:w="1080" w:type="dxa"/>
            <w:vAlign w:val="center"/>
          </w:tcPr>
          <w:p w:rsidR="00256A81" w:rsidRDefault="00553E61">
            <w:pPr>
              <w:jc w:val="right"/>
            </w:pPr>
            <w:r>
              <w:rPr>
                <w:rFonts w:eastAsiaTheme="minorEastAsia"/>
                <w:color w:val="000000"/>
                <w:szCs w:val="21"/>
              </w:rPr>
              <w:t>5.09%</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方正证券</w:t>
            </w:r>
          </w:p>
        </w:tc>
        <w:tc>
          <w:tcPr>
            <w:tcW w:w="780" w:type="dxa"/>
            <w:vAlign w:val="center"/>
          </w:tcPr>
          <w:p w:rsidR="00256A81" w:rsidRDefault="00553E61">
            <w:pPr>
              <w:jc w:val="right"/>
            </w:pPr>
            <w:r>
              <w:rPr>
                <w:rFonts w:eastAsiaTheme="minorEastAsia"/>
                <w:color w:val="000000"/>
                <w:szCs w:val="21"/>
              </w:rPr>
              <w:t>2</w:t>
            </w:r>
          </w:p>
        </w:tc>
        <w:tc>
          <w:tcPr>
            <w:tcW w:w="1800" w:type="dxa"/>
            <w:vAlign w:val="center"/>
          </w:tcPr>
          <w:p w:rsidR="00256A81" w:rsidRDefault="00553E61">
            <w:pPr>
              <w:jc w:val="right"/>
            </w:pPr>
            <w:r>
              <w:rPr>
                <w:rFonts w:eastAsiaTheme="minorEastAsia"/>
                <w:color w:val="000000"/>
                <w:szCs w:val="21"/>
              </w:rPr>
              <w:t>43,705,762.81</w:t>
            </w:r>
          </w:p>
        </w:tc>
        <w:tc>
          <w:tcPr>
            <w:tcW w:w="1080" w:type="dxa"/>
            <w:vAlign w:val="center"/>
          </w:tcPr>
          <w:p w:rsidR="00256A81" w:rsidRDefault="00553E61">
            <w:pPr>
              <w:jc w:val="right"/>
            </w:pPr>
            <w:r>
              <w:rPr>
                <w:rFonts w:eastAsiaTheme="minorEastAsia"/>
                <w:color w:val="000000"/>
                <w:szCs w:val="21"/>
              </w:rPr>
              <w:t>11.62%</w:t>
            </w:r>
          </w:p>
        </w:tc>
        <w:tc>
          <w:tcPr>
            <w:tcW w:w="1620" w:type="dxa"/>
            <w:vAlign w:val="center"/>
          </w:tcPr>
          <w:p w:rsidR="00256A81" w:rsidRDefault="00553E61">
            <w:pPr>
              <w:jc w:val="right"/>
            </w:pPr>
            <w:r>
              <w:rPr>
                <w:rFonts w:eastAsiaTheme="minorEastAsia"/>
                <w:color w:val="000000"/>
                <w:szCs w:val="21"/>
              </w:rPr>
              <w:t>34,964.28</w:t>
            </w:r>
          </w:p>
        </w:tc>
        <w:tc>
          <w:tcPr>
            <w:tcW w:w="1080" w:type="dxa"/>
            <w:vAlign w:val="center"/>
          </w:tcPr>
          <w:p w:rsidR="00256A81" w:rsidRDefault="00553E61">
            <w:pPr>
              <w:jc w:val="right"/>
            </w:pPr>
            <w:r>
              <w:rPr>
                <w:rFonts w:eastAsiaTheme="minorEastAsia"/>
                <w:color w:val="000000"/>
                <w:szCs w:val="21"/>
              </w:rPr>
              <w:t>11.58%</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华创证券</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6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lef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中信证券华南</w:t>
            </w:r>
          </w:p>
        </w:tc>
        <w:tc>
          <w:tcPr>
            <w:tcW w:w="780" w:type="dxa"/>
            <w:vAlign w:val="center"/>
          </w:tcPr>
          <w:p w:rsidR="00256A81" w:rsidRDefault="00553E61">
            <w:pPr>
              <w:jc w:val="right"/>
            </w:pPr>
            <w:r>
              <w:rPr>
                <w:rFonts w:eastAsiaTheme="minorEastAsia"/>
                <w:color w:val="000000"/>
                <w:szCs w:val="21"/>
              </w:rPr>
              <w:t>1</w:t>
            </w:r>
          </w:p>
        </w:tc>
        <w:tc>
          <w:tcPr>
            <w:tcW w:w="1800" w:type="dxa"/>
            <w:vAlign w:val="center"/>
          </w:tcPr>
          <w:p w:rsidR="00256A81" w:rsidRDefault="00553E61">
            <w:pPr>
              <w:jc w:val="right"/>
            </w:pPr>
            <w:r>
              <w:rPr>
                <w:rFonts w:eastAsiaTheme="minorEastAsia"/>
                <w:color w:val="000000"/>
                <w:szCs w:val="21"/>
              </w:rPr>
              <w:t>76,143,451.86</w:t>
            </w:r>
          </w:p>
        </w:tc>
        <w:tc>
          <w:tcPr>
            <w:tcW w:w="1080" w:type="dxa"/>
            <w:vAlign w:val="center"/>
          </w:tcPr>
          <w:p w:rsidR="00256A81" w:rsidRDefault="00553E61">
            <w:pPr>
              <w:jc w:val="right"/>
            </w:pPr>
            <w:r>
              <w:rPr>
                <w:rFonts w:eastAsiaTheme="minorEastAsia"/>
                <w:color w:val="000000"/>
                <w:szCs w:val="21"/>
              </w:rPr>
              <w:t>20.24%</w:t>
            </w:r>
          </w:p>
        </w:tc>
        <w:tc>
          <w:tcPr>
            <w:tcW w:w="1620" w:type="dxa"/>
            <w:vAlign w:val="center"/>
          </w:tcPr>
          <w:p w:rsidR="00256A81" w:rsidRDefault="00553E61">
            <w:pPr>
              <w:jc w:val="right"/>
            </w:pPr>
            <w:r>
              <w:rPr>
                <w:rFonts w:eastAsiaTheme="minorEastAsia"/>
                <w:color w:val="000000"/>
                <w:szCs w:val="21"/>
              </w:rPr>
              <w:t>60,914.81</w:t>
            </w:r>
          </w:p>
        </w:tc>
        <w:tc>
          <w:tcPr>
            <w:tcW w:w="1080" w:type="dxa"/>
            <w:vAlign w:val="center"/>
          </w:tcPr>
          <w:p w:rsidR="00256A81" w:rsidRDefault="00553E61">
            <w:pPr>
              <w:jc w:val="right"/>
            </w:pPr>
            <w:r>
              <w:rPr>
                <w:rFonts w:eastAsiaTheme="minorEastAsia"/>
                <w:color w:val="000000"/>
                <w:szCs w:val="21"/>
              </w:rPr>
              <w:t>20.17%</w:t>
            </w:r>
          </w:p>
        </w:tc>
        <w:tc>
          <w:tcPr>
            <w:tcW w:w="1080" w:type="dxa"/>
            <w:vAlign w:val="center"/>
          </w:tcPr>
          <w:p w:rsidR="00256A81" w:rsidRDefault="00553E61">
            <w:pPr>
              <w:jc w:val="left"/>
            </w:pPr>
            <w:r>
              <w:rPr>
                <w:rFonts w:eastAsiaTheme="minorEastAsia"/>
                <w:color w:val="000000"/>
                <w:szCs w:val="21"/>
              </w:rPr>
              <w:t>-</w:t>
            </w:r>
          </w:p>
        </w:tc>
      </w:tr>
    </w:tbl>
    <w:p w:rsidR="00256A81" w:rsidRDefault="00553E61">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本报告期内本基金减少国泰君安证券股份有限公司、中信建投证券股份有限公司各一个交易单元</w:t>
      </w:r>
      <w:r>
        <w:rPr>
          <w:color w:val="000000"/>
          <w:szCs w:val="21"/>
        </w:rPr>
        <w:t>,</w:t>
      </w:r>
      <w:r>
        <w:rPr>
          <w:color w:val="00000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256A81" w:rsidRDefault="00553E61">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256A81" w:rsidRDefault="00553E61">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r>
        <w:rPr>
          <w:color w:val="000000"/>
          <w:szCs w:val="21"/>
        </w:rPr>
        <w:t>；</w:t>
      </w:r>
    </w:p>
    <w:p w:rsidR="00256A81" w:rsidRDefault="00553E61">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256A81" w:rsidRDefault="00553E61">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256A81" w:rsidRDefault="00553E61">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256A81" w:rsidRDefault="00553E61">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w:t>
      </w:r>
      <w:r>
        <w:rPr>
          <w:color w:val="000000"/>
          <w:szCs w:val="21"/>
        </w:rPr>
        <w:t>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256A81">
        <w:tc>
          <w:tcPr>
            <w:tcW w:w="1560" w:type="dxa"/>
            <w:vAlign w:val="center"/>
          </w:tcPr>
          <w:p w:rsidR="00256A81" w:rsidRDefault="00553E61">
            <w:pPr>
              <w:jc w:val="left"/>
            </w:pPr>
            <w:r>
              <w:rPr>
                <w:rFonts w:eastAsiaTheme="minorEastAsia"/>
                <w:color w:val="000000"/>
                <w:szCs w:val="21"/>
              </w:rPr>
              <w:t>中金财富</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招商证券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华西证券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中信建投</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国信证券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太平洋证券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天风证券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东吴证券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信达证券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安信证券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西部证券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长江证券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东方证券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平安证券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兴业证券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西藏东财</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南京证券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华泰证券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国金证券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申万宏源</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国海证券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银河证券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中银国际</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广发证券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西南证券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长城证券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国元证券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国盛证券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海通证券</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方正证券</w:t>
            </w:r>
          </w:p>
        </w:tc>
        <w:tc>
          <w:tcPr>
            <w:tcW w:w="1320" w:type="dxa"/>
            <w:vAlign w:val="center"/>
          </w:tcPr>
          <w:p w:rsidR="00256A81" w:rsidRDefault="00553E61">
            <w:pPr>
              <w:jc w:val="right"/>
            </w:pPr>
            <w:r>
              <w:rPr>
                <w:rFonts w:eastAsiaTheme="minorEastAsia"/>
                <w:color w:val="000000"/>
                <w:szCs w:val="21"/>
              </w:rPr>
              <w:t>263,607.50</w:t>
            </w:r>
          </w:p>
        </w:tc>
        <w:tc>
          <w:tcPr>
            <w:tcW w:w="1080" w:type="dxa"/>
            <w:vAlign w:val="center"/>
          </w:tcPr>
          <w:p w:rsidR="00256A81" w:rsidRDefault="00553E61">
            <w:pPr>
              <w:jc w:val="right"/>
            </w:pPr>
            <w:r>
              <w:rPr>
                <w:rFonts w:eastAsiaTheme="minorEastAsia"/>
                <w:color w:val="000000"/>
                <w:szCs w:val="21"/>
              </w:rPr>
              <w:t>31.38%</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华创证券</w:t>
            </w:r>
          </w:p>
        </w:tc>
        <w:tc>
          <w:tcPr>
            <w:tcW w:w="1320" w:type="dxa"/>
            <w:vAlign w:val="center"/>
          </w:tcPr>
          <w:p w:rsidR="00256A81" w:rsidRDefault="00553E61">
            <w:pPr>
              <w:jc w:val="right"/>
            </w:pPr>
            <w:r>
              <w:rPr>
                <w:rFonts w:eastAsiaTheme="minorEastAsia"/>
                <w:color w:val="000000"/>
                <w:szCs w:val="21"/>
              </w:rPr>
              <w:t>576,328.66</w:t>
            </w:r>
          </w:p>
        </w:tc>
        <w:tc>
          <w:tcPr>
            <w:tcW w:w="1080" w:type="dxa"/>
            <w:vAlign w:val="center"/>
          </w:tcPr>
          <w:p w:rsidR="00256A81" w:rsidRDefault="00553E61">
            <w:pPr>
              <w:jc w:val="right"/>
            </w:pPr>
            <w:r>
              <w:rPr>
                <w:rFonts w:eastAsiaTheme="minorEastAsia"/>
                <w:color w:val="000000"/>
                <w:szCs w:val="21"/>
              </w:rPr>
              <w:t>68.62%</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r w:rsidR="00256A81">
        <w:tc>
          <w:tcPr>
            <w:tcW w:w="1560" w:type="dxa"/>
            <w:vAlign w:val="center"/>
          </w:tcPr>
          <w:p w:rsidR="00256A81" w:rsidRDefault="00553E61">
            <w:pPr>
              <w:jc w:val="left"/>
            </w:pPr>
            <w:r>
              <w:rPr>
                <w:rFonts w:eastAsiaTheme="minorEastAsia"/>
                <w:color w:val="000000"/>
                <w:szCs w:val="21"/>
              </w:rPr>
              <w:t>中信证券华南</w:t>
            </w:r>
          </w:p>
        </w:tc>
        <w:tc>
          <w:tcPr>
            <w:tcW w:w="1320" w:type="dxa"/>
            <w:vAlign w:val="center"/>
          </w:tcPr>
          <w:p w:rsidR="00256A81" w:rsidRDefault="00553E61">
            <w:pPr>
              <w:jc w:val="right"/>
            </w:pPr>
            <w:r>
              <w:rPr>
                <w:rFonts w:eastAsiaTheme="minorEastAsia"/>
                <w:color w:val="000000"/>
                <w:szCs w:val="21"/>
              </w:rPr>
              <w:t>-</w:t>
            </w:r>
          </w:p>
        </w:tc>
        <w:tc>
          <w:tcPr>
            <w:tcW w:w="1080" w:type="dxa"/>
            <w:vAlign w:val="center"/>
          </w:tcPr>
          <w:p w:rsidR="00256A81" w:rsidRDefault="00553E61">
            <w:pPr>
              <w:jc w:val="right"/>
            </w:pPr>
            <w:r>
              <w:rPr>
                <w:rFonts w:eastAsiaTheme="minorEastAsia"/>
                <w:color w:val="000000"/>
                <w:szCs w:val="21"/>
              </w:rPr>
              <w:t>-</w:t>
            </w:r>
          </w:p>
        </w:tc>
        <w:tc>
          <w:tcPr>
            <w:tcW w:w="1143" w:type="dxa"/>
            <w:vAlign w:val="center"/>
          </w:tcPr>
          <w:p w:rsidR="00256A81" w:rsidRDefault="00553E61">
            <w:pPr>
              <w:jc w:val="right"/>
            </w:pPr>
            <w:r>
              <w:rPr>
                <w:rFonts w:eastAsiaTheme="minorEastAsia"/>
                <w:color w:val="000000"/>
                <w:szCs w:val="21"/>
              </w:rPr>
              <w:t>-</w:t>
            </w:r>
          </w:p>
        </w:tc>
        <w:tc>
          <w:tcPr>
            <w:tcW w:w="1197" w:type="dxa"/>
            <w:vAlign w:val="center"/>
          </w:tcPr>
          <w:p w:rsidR="00256A81" w:rsidRDefault="00553E61">
            <w:pPr>
              <w:jc w:val="right"/>
            </w:pPr>
            <w:r>
              <w:rPr>
                <w:rFonts w:eastAsiaTheme="minorEastAsia"/>
                <w:color w:val="000000"/>
                <w:szCs w:val="21"/>
              </w:rPr>
              <w:t>-</w:t>
            </w:r>
          </w:p>
        </w:tc>
        <w:tc>
          <w:tcPr>
            <w:tcW w:w="1497" w:type="dxa"/>
            <w:vAlign w:val="center"/>
          </w:tcPr>
          <w:p w:rsidR="00256A81" w:rsidRDefault="00553E61">
            <w:pPr>
              <w:jc w:val="right"/>
            </w:pPr>
            <w:r>
              <w:rPr>
                <w:rFonts w:eastAsiaTheme="minorEastAsia"/>
                <w:color w:val="000000"/>
                <w:szCs w:val="21"/>
              </w:rPr>
              <w:t>-</w:t>
            </w:r>
          </w:p>
        </w:tc>
        <w:tc>
          <w:tcPr>
            <w:tcW w:w="1203" w:type="dxa"/>
            <w:vAlign w:val="center"/>
          </w:tcPr>
          <w:p w:rsidR="00256A81" w:rsidRDefault="00553E61">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986"/>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256A81">
        <w:tc>
          <w:tcPr>
            <w:tcW w:w="720" w:type="dxa"/>
            <w:vAlign w:val="center"/>
          </w:tcPr>
          <w:p w:rsidR="00256A81" w:rsidRDefault="00553E61">
            <w:pPr>
              <w:jc w:val="center"/>
            </w:pPr>
            <w:r>
              <w:rPr>
                <w:rFonts w:eastAsiaTheme="minorEastAsia"/>
                <w:color w:val="000000"/>
                <w:szCs w:val="21"/>
              </w:rPr>
              <w:t>1</w:t>
            </w:r>
          </w:p>
        </w:tc>
        <w:tc>
          <w:tcPr>
            <w:tcW w:w="4320" w:type="dxa"/>
            <w:vAlign w:val="center"/>
          </w:tcPr>
          <w:p w:rsidR="00256A81" w:rsidRDefault="00553E61">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2019-01-29</w:t>
            </w:r>
          </w:p>
        </w:tc>
      </w:tr>
      <w:tr w:rsidR="00256A81">
        <w:tc>
          <w:tcPr>
            <w:tcW w:w="720" w:type="dxa"/>
            <w:vAlign w:val="center"/>
          </w:tcPr>
          <w:p w:rsidR="00256A81" w:rsidRDefault="00553E61">
            <w:pPr>
              <w:jc w:val="center"/>
            </w:pPr>
            <w:r>
              <w:rPr>
                <w:rFonts w:eastAsiaTheme="minorEastAsia"/>
                <w:color w:val="000000"/>
                <w:szCs w:val="21"/>
              </w:rPr>
              <w:t>2</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2019-02-22</w:t>
            </w:r>
          </w:p>
        </w:tc>
      </w:tr>
      <w:tr w:rsidR="00256A81">
        <w:tc>
          <w:tcPr>
            <w:tcW w:w="720" w:type="dxa"/>
            <w:vAlign w:val="center"/>
          </w:tcPr>
          <w:p w:rsidR="00256A81" w:rsidRDefault="00553E61">
            <w:pPr>
              <w:jc w:val="center"/>
            </w:pPr>
            <w:r>
              <w:rPr>
                <w:rFonts w:eastAsiaTheme="minorEastAsia"/>
                <w:color w:val="000000"/>
                <w:szCs w:val="21"/>
              </w:rPr>
              <w:t>3</w:t>
            </w:r>
          </w:p>
        </w:tc>
        <w:tc>
          <w:tcPr>
            <w:tcW w:w="4320" w:type="dxa"/>
            <w:vAlign w:val="center"/>
          </w:tcPr>
          <w:p w:rsidR="00256A81" w:rsidRDefault="00553E61">
            <w:pPr>
              <w:jc w:val="left"/>
            </w:pPr>
            <w:r>
              <w:rPr>
                <w:rFonts w:eastAsiaTheme="minorEastAsia"/>
                <w:color w:val="000000"/>
                <w:szCs w:val="21"/>
              </w:rPr>
              <w:t>易方达基金管理有限公司关于公司旗下部分基金估值调整情况的公告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2019-02-26</w:t>
            </w:r>
          </w:p>
        </w:tc>
      </w:tr>
      <w:tr w:rsidR="00256A81">
        <w:tc>
          <w:tcPr>
            <w:tcW w:w="720" w:type="dxa"/>
            <w:vAlign w:val="center"/>
          </w:tcPr>
          <w:p w:rsidR="00256A81" w:rsidRDefault="00553E61">
            <w:pPr>
              <w:jc w:val="center"/>
            </w:pPr>
            <w:r>
              <w:rPr>
                <w:rFonts w:eastAsiaTheme="minorEastAsia"/>
                <w:color w:val="000000"/>
                <w:szCs w:val="21"/>
              </w:rPr>
              <w:t>4</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2019-03-01</w:t>
            </w:r>
          </w:p>
        </w:tc>
      </w:tr>
      <w:tr w:rsidR="00256A81">
        <w:tc>
          <w:tcPr>
            <w:tcW w:w="720" w:type="dxa"/>
            <w:vAlign w:val="center"/>
          </w:tcPr>
          <w:p w:rsidR="00256A81" w:rsidRDefault="00553E61">
            <w:pPr>
              <w:jc w:val="center"/>
            </w:pPr>
            <w:r>
              <w:rPr>
                <w:rFonts w:eastAsiaTheme="minorEastAsia"/>
                <w:color w:val="000000"/>
                <w:szCs w:val="21"/>
              </w:rPr>
              <w:t>5</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2019-03-05</w:t>
            </w:r>
          </w:p>
        </w:tc>
      </w:tr>
      <w:tr w:rsidR="00256A81">
        <w:tc>
          <w:tcPr>
            <w:tcW w:w="720" w:type="dxa"/>
            <w:vAlign w:val="center"/>
          </w:tcPr>
          <w:p w:rsidR="00256A81" w:rsidRDefault="00553E61">
            <w:pPr>
              <w:jc w:val="center"/>
            </w:pPr>
            <w:r>
              <w:rPr>
                <w:rFonts w:eastAsiaTheme="minorEastAsia"/>
                <w:color w:val="000000"/>
                <w:szCs w:val="21"/>
              </w:rPr>
              <w:t>6</w:t>
            </w:r>
          </w:p>
        </w:tc>
        <w:tc>
          <w:tcPr>
            <w:tcW w:w="4320" w:type="dxa"/>
            <w:vAlign w:val="center"/>
          </w:tcPr>
          <w:p w:rsidR="00256A81" w:rsidRDefault="00553E61">
            <w:pPr>
              <w:jc w:val="left"/>
            </w:pPr>
            <w:r>
              <w:rPr>
                <w:rFonts w:eastAsiaTheme="minorEastAsia"/>
                <w:color w:val="000000"/>
                <w:szCs w:val="21"/>
              </w:rPr>
              <w:t>易方达基金管理有限公司关于成都分公司营业场所变更的公告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2019-03-13</w:t>
            </w:r>
          </w:p>
        </w:tc>
      </w:tr>
      <w:tr w:rsidR="00256A81">
        <w:tc>
          <w:tcPr>
            <w:tcW w:w="720" w:type="dxa"/>
            <w:vAlign w:val="center"/>
          </w:tcPr>
          <w:p w:rsidR="00256A81" w:rsidRDefault="00553E61">
            <w:pPr>
              <w:jc w:val="center"/>
            </w:pPr>
            <w:r>
              <w:rPr>
                <w:rFonts w:eastAsiaTheme="minorEastAsia"/>
                <w:color w:val="000000"/>
                <w:szCs w:val="21"/>
              </w:rPr>
              <w:t>7</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2019-03-13</w:t>
            </w:r>
          </w:p>
        </w:tc>
      </w:tr>
      <w:tr w:rsidR="00256A81">
        <w:tc>
          <w:tcPr>
            <w:tcW w:w="720" w:type="dxa"/>
            <w:vAlign w:val="center"/>
          </w:tcPr>
          <w:p w:rsidR="00256A81" w:rsidRDefault="00553E61">
            <w:pPr>
              <w:jc w:val="center"/>
            </w:pPr>
            <w:r>
              <w:rPr>
                <w:rFonts w:eastAsiaTheme="minorEastAsia"/>
                <w:color w:val="000000"/>
                <w:szCs w:val="21"/>
              </w:rPr>
              <w:t>8</w:t>
            </w:r>
          </w:p>
        </w:tc>
        <w:tc>
          <w:tcPr>
            <w:tcW w:w="4320" w:type="dxa"/>
            <w:vAlign w:val="center"/>
          </w:tcPr>
          <w:p w:rsidR="00256A81" w:rsidRDefault="00553E61">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2019-03-19</w:t>
            </w:r>
          </w:p>
        </w:tc>
      </w:tr>
      <w:tr w:rsidR="00256A81">
        <w:tc>
          <w:tcPr>
            <w:tcW w:w="720" w:type="dxa"/>
            <w:vAlign w:val="center"/>
          </w:tcPr>
          <w:p w:rsidR="00256A81" w:rsidRDefault="00553E61">
            <w:pPr>
              <w:jc w:val="center"/>
            </w:pPr>
            <w:r>
              <w:rPr>
                <w:rFonts w:eastAsiaTheme="minorEastAsia"/>
                <w:color w:val="000000"/>
                <w:szCs w:val="21"/>
              </w:rPr>
              <w:t>9</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w:t>
            </w:r>
            <w:r>
              <w:rPr>
                <w:rFonts w:eastAsiaTheme="minorEastAsia"/>
                <w:color w:val="000000"/>
                <w:szCs w:val="21"/>
              </w:rPr>
              <w:t>加交通银行手机银行申购及定期定额投资费率优惠活动的公告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2019-03-30</w:t>
            </w:r>
          </w:p>
        </w:tc>
      </w:tr>
      <w:tr w:rsidR="00256A81">
        <w:tc>
          <w:tcPr>
            <w:tcW w:w="720" w:type="dxa"/>
            <w:vAlign w:val="center"/>
          </w:tcPr>
          <w:p w:rsidR="00256A81" w:rsidRDefault="00553E61">
            <w:pPr>
              <w:jc w:val="center"/>
            </w:pPr>
            <w:r>
              <w:rPr>
                <w:rFonts w:eastAsiaTheme="minorEastAsia"/>
                <w:color w:val="000000"/>
                <w:szCs w:val="21"/>
              </w:rPr>
              <w:t>10</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2019-04-01</w:t>
            </w:r>
          </w:p>
        </w:tc>
      </w:tr>
      <w:tr w:rsidR="00256A81">
        <w:tc>
          <w:tcPr>
            <w:tcW w:w="720" w:type="dxa"/>
            <w:vAlign w:val="center"/>
          </w:tcPr>
          <w:p w:rsidR="00256A81" w:rsidRDefault="00553E61">
            <w:pPr>
              <w:jc w:val="center"/>
            </w:pPr>
            <w:r>
              <w:rPr>
                <w:rFonts w:eastAsiaTheme="minorEastAsia"/>
                <w:color w:val="000000"/>
                <w:szCs w:val="21"/>
              </w:rPr>
              <w:t>11</w:t>
            </w:r>
          </w:p>
        </w:tc>
        <w:tc>
          <w:tcPr>
            <w:tcW w:w="4320" w:type="dxa"/>
            <w:vAlign w:val="center"/>
          </w:tcPr>
          <w:p w:rsidR="00256A81" w:rsidRDefault="00553E61">
            <w:pPr>
              <w:jc w:val="left"/>
            </w:pPr>
            <w:r>
              <w:rPr>
                <w:rFonts w:eastAsiaTheme="minorEastAsia"/>
                <w:color w:val="000000"/>
                <w:szCs w:val="21"/>
              </w:rPr>
              <w:t>易方达基金管理有限公司关于公司旗下部分基金估值调整情况的公告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2019-04-02</w:t>
            </w:r>
          </w:p>
        </w:tc>
      </w:tr>
      <w:tr w:rsidR="00256A81">
        <w:tc>
          <w:tcPr>
            <w:tcW w:w="720" w:type="dxa"/>
            <w:vAlign w:val="center"/>
          </w:tcPr>
          <w:p w:rsidR="00256A81" w:rsidRDefault="00553E61">
            <w:pPr>
              <w:jc w:val="center"/>
            </w:pPr>
            <w:r>
              <w:rPr>
                <w:rFonts w:eastAsiaTheme="minorEastAsia"/>
                <w:color w:val="000000"/>
                <w:szCs w:val="21"/>
              </w:rPr>
              <w:t>12</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中国证券报、上海证券报、证券时报及基金管理人网站</w:t>
            </w:r>
          </w:p>
        </w:tc>
        <w:tc>
          <w:tcPr>
            <w:tcW w:w="1629" w:type="dxa"/>
            <w:vAlign w:val="center"/>
          </w:tcPr>
          <w:p w:rsidR="00256A81" w:rsidRDefault="00553E61">
            <w:pPr>
              <w:jc w:val="center"/>
            </w:pPr>
            <w:r>
              <w:rPr>
                <w:rFonts w:eastAsiaTheme="minorEastAsia"/>
                <w:color w:val="000000"/>
                <w:szCs w:val="21"/>
              </w:rPr>
              <w:t>2019-04-18</w:t>
            </w:r>
          </w:p>
        </w:tc>
      </w:tr>
      <w:tr w:rsidR="00256A81">
        <w:tc>
          <w:tcPr>
            <w:tcW w:w="720" w:type="dxa"/>
            <w:vAlign w:val="center"/>
          </w:tcPr>
          <w:p w:rsidR="00256A81" w:rsidRDefault="00553E61">
            <w:pPr>
              <w:jc w:val="center"/>
            </w:pPr>
            <w:r>
              <w:rPr>
                <w:rFonts w:eastAsiaTheme="minorEastAsia"/>
                <w:color w:val="000000"/>
                <w:szCs w:val="21"/>
              </w:rPr>
              <w:t>13</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2019-04-30</w:t>
            </w:r>
          </w:p>
        </w:tc>
      </w:tr>
      <w:tr w:rsidR="00256A81">
        <w:tc>
          <w:tcPr>
            <w:tcW w:w="720" w:type="dxa"/>
            <w:vAlign w:val="center"/>
          </w:tcPr>
          <w:p w:rsidR="00256A81" w:rsidRDefault="00553E61">
            <w:pPr>
              <w:jc w:val="center"/>
            </w:pPr>
            <w:r>
              <w:rPr>
                <w:rFonts w:eastAsiaTheme="minorEastAsia"/>
                <w:color w:val="000000"/>
                <w:szCs w:val="21"/>
              </w:rPr>
              <w:t>14</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2019-05-16</w:t>
            </w:r>
          </w:p>
        </w:tc>
      </w:tr>
      <w:tr w:rsidR="00256A81">
        <w:tc>
          <w:tcPr>
            <w:tcW w:w="720" w:type="dxa"/>
            <w:vAlign w:val="center"/>
          </w:tcPr>
          <w:p w:rsidR="00256A81" w:rsidRDefault="00553E61">
            <w:pPr>
              <w:jc w:val="center"/>
            </w:pPr>
            <w:r>
              <w:rPr>
                <w:rFonts w:eastAsiaTheme="minorEastAsia"/>
                <w:color w:val="000000"/>
                <w:szCs w:val="21"/>
              </w:rPr>
              <w:t>15</w:t>
            </w:r>
          </w:p>
        </w:tc>
        <w:tc>
          <w:tcPr>
            <w:tcW w:w="4320" w:type="dxa"/>
            <w:vAlign w:val="center"/>
          </w:tcPr>
          <w:p w:rsidR="00256A81" w:rsidRDefault="00553E61">
            <w:pPr>
              <w:jc w:val="left"/>
            </w:pPr>
            <w:r>
              <w:rPr>
                <w:rFonts w:eastAsiaTheme="minorEastAsia"/>
                <w:color w:val="000000"/>
                <w:szCs w:val="21"/>
              </w:rPr>
              <w:t>易方达基金管理有限公司关于公司旗下部分基金估值调整情况的公告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2019-05-25</w:t>
            </w:r>
          </w:p>
        </w:tc>
      </w:tr>
      <w:tr w:rsidR="00256A81">
        <w:tc>
          <w:tcPr>
            <w:tcW w:w="720" w:type="dxa"/>
            <w:vAlign w:val="center"/>
          </w:tcPr>
          <w:p w:rsidR="00256A81" w:rsidRDefault="00553E61">
            <w:pPr>
              <w:jc w:val="center"/>
            </w:pPr>
            <w:r>
              <w:rPr>
                <w:rFonts w:eastAsiaTheme="minorEastAsia"/>
                <w:color w:val="000000"/>
                <w:szCs w:val="21"/>
              </w:rPr>
              <w:t>16</w:t>
            </w:r>
          </w:p>
        </w:tc>
        <w:tc>
          <w:tcPr>
            <w:tcW w:w="4320" w:type="dxa"/>
            <w:vAlign w:val="center"/>
          </w:tcPr>
          <w:p w:rsidR="00256A81" w:rsidRDefault="00553E61">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2019-05-28</w:t>
            </w:r>
          </w:p>
        </w:tc>
      </w:tr>
      <w:tr w:rsidR="00256A81">
        <w:tc>
          <w:tcPr>
            <w:tcW w:w="720" w:type="dxa"/>
            <w:vAlign w:val="center"/>
          </w:tcPr>
          <w:p w:rsidR="00256A81" w:rsidRDefault="00553E61">
            <w:pPr>
              <w:jc w:val="center"/>
            </w:pPr>
            <w:r>
              <w:rPr>
                <w:rFonts w:eastAsiaTheme="minorEastAsia"/>
                <w:color w:val="000000"/>
                <w:szCs w:val="21"/>
              </w:rPr>
              <w:t>17</w:t>
            </w:r>
          </w:p>
        </w:tc>
        <w:tc>
          <w:tcPr>
            <w:tcW w:w="4320" w:type="dxa"/>
            <w:vAlign w:val="center"/>
          </w:tcPr>
          <w:p w:rsidR="00256A81" w:rsidRDefault="00553E61">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2019-06-20</w:t>
            </w:r>
          </w:p>
        </w:tc>
      </w:tr>
      <w:tr w:rsidR="00256A81">
        <w:tc>
          <w:tcPr>
            <w:tcW w:w="720" w:type="dxa"/>
            <w:vAlign w:val="center"/>
          </w:tcPr>
          <w:p w:rsidR="00256A81" w:rsidRDefault="00553E61">
            <w:pPr>
              <w:jc w:val="center"/>
            </w:pPr>
            <w:r>
              <w:rPr>
                <w:rFonts w:eastAsiaTheme="minorEastAsia"/>
                <w:color w:val="000000"/>
                <w:szCs w:val="21"/>
              </w:rPr>
              <w:t>18</w:t>
            </w:r>
          </w:p>
        </w:tc>
        <w:tc>
          <w:tcPr>
            <w:tcW w:w="4320" w:type="dxa"/>
            <w:vAlign w:val="center"/>
          </w:tcPr>
          <w:p w:rsidR="00256A81" w:rsidRDefault="00553E61">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2019-06-22</w:t>
            </w:r>
          </w:p>
        </w:tc>
      </w:tr>
      <w:tr w:rsidR="00256A81">
        <w:tc>
          <w:tcPr>
            <w:tcW w:w="720" w:type="dxa"/>
            <w:vAlign w:val="center"/>
          </w:tcPr>
          <w:p w:rsidR="00256A81" w:rsidRDefault="00553E61">
            <w:pPr>
              <w:jc w:val="center"/>
            </w:pPr>
            <w:r>
              <w:rPr>
                <w:rFonts w:eastAsiaTheme="minorEastAsia"/>
                <w:color w:val="000000"/>
                <w:szCs w:val="21"/>
              </w:rPr>
              <w:t>19</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2019-06-24</w:t>
            </w:r>
          </w:p>
        </w:tc>
      </w:tr>
      <w:tr w:rsidR="00256A81">
        <w:tc>
          <w:tcPr>
            <w:tcW w:w="720" w:type="dxa"/>
            <w:vAlign w:val="center"/>
          </w:tcPr>
          <w:p w:rsidR="00256A81" w:rsidRDefault="00553E61">
            <w:pPr>
              <w:jc w:val="center"/>
            </w:pPr>
            <w:r>
              <w:rPr>
                <w:rFonts w:eastAsiaTheme="minorEastAsia"/>
                <w:color w:val="000000"/>
                <w:szCs w:val="21"/>
              </w:rPr>
              <w:t>20</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2019-06-28</w:t>
            </w:r>
          </w:p>
        </w:tc>
      </w:tr>
      <w:tr w:rsidR="00256A81">
        <w:tc>
          <w:tcPr>
            <w:tcW w:w="720" w:type="dxa"/>
            <w:vAlign w:val="center"/>
          </w:tcPr>
          <w:p w:rsidR="00256A81" w:rsidRDefault="00553E61">
            <w:pPr>
              <w:jc w:val="center"/>
            </w:pPr>
            <w:r>
              <w:rPr>
                <w:rFonts w:eastAsiaTheme="minorEastAsia"/>
                <w:color w:val="000000"/>
                <w:szCs w:val="21"/>
              </w:rPr>
              <w:t>21</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2019-07-10</w:t>
            </w:r>
          </w:p>
        </w:tc>
      </w:tr>
      <w:tr w:rsidR="00256A81">
        <w:tc>
          <w:tcPr>
            <w:tcW w:w="720" w:type="dxa"/>
            <w:vAlign w:val="center"/>
          </w:tcPr>
          <w:p w:rsidR="00256A81" w:rsidRDefault="00553E61">
            <w:pPr>
              <w:jc w:val="center"/>
            </w:pPr>
            <w:r>
              <w:rPr>
                <w:rFonts w:eastAsiaTheme="minorEastAsia"/>
                <w:color w:val="000000"/>
                <w:szCs w:val="21"/>
              </w:rPr>
              <w:t>22</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2019-07-15</w:t>
            </w:r>
          </w:p>
        </w:tc>
      </w:tr>
      <w:tr w:rsidR="00256A81">
        <w:tc>
          <w:tcPr>
            <w:tcW w:w="720" w:type="dxa"/>
            <w:vAlign w:val="center"/>
          </w:tcPr>
          <w:p w:rsidR="00256A81" w:rsidRDefault="00553E61">
            <w:pPr>
              <w:jc w:val="center"/>
            </w:pPr>
            <w:r>
              <w:rPr>
                <w:rFonts w:eastAsiaTheme="minorEastAsia"/>
                <w:color w:val="000000"/>
                <w:szCs w:val="21"/>
              </w:rPr>
              <w:t>23</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w:t>
            </w:r>
            <w:r>
              <w:rPr>
                <w:rFonts w:eastAsiaTheme="minorEastAsia"/>
                <w:color w:val="000000"/>
                <w:szCs w:val="21"/>
              </w:rPr>
              <w:t>19-08-12</w:t>
            </w:r>
          </w:p>
        </w:tc>
      </w:tr>
      <w:tr w:rsidR="00256A81">
        <w:tc>
          <w:tcPr>
            <w:tcW w:w="720" w:type="dxa"/>
            <w:vAlign w:val="center"/>
          </w:tcPr>
          <w:p w:rsidR="00256A81" w:rsidRDefault="00553E61">
            <w:pPr>
              <w:jc w:val="center"/>
            </w:pPr>
            <w:r>
              <w:rPr>
                <w:rFonts w:eastAsiaTheme="minorEastAsia"/>
                <w:color w:val="000000"/>
                <w:szCs w:val="21"/>
              </w:rPr>
              <w:t>24</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2019-08-13</w:t>
            </w:r>
          </w:p>
        </w:tc>
      </w:tr>
      <w:tr w:rsidR="00256A81">
        <w:tc>
          <w:tcPr>
            <w:tcW w:w="720" w:type="dxa"/>
            <w:vAlign w:val="center"/>
          </w:tcPr>
          <w:p w:rsidR="00256A81" w:rsidRDefault="00553E61">
            <w:pPr>
              <w:jc w:val="center"/>
            </w:pPr>
            <w:r>
              <w:rPr>
                <w:rFonts w:eastAsiaTheme="minorEastAsia"/>
                <w:color w:val="000000"/>
                <w:szCs w:val="21"/>
              </w:rPr>
              <w:t>25</w:t>
            </w:r>
          </w:p>
        </w:tc>
        <w:tc>
          <w:tcPr>
            <w:tcW w:w="4320" w:type="dxa"/>
            <w:vAlign w:val="center"/>
          </w:tcPr>
          <w:p w:rsidR="00256A81" w:rsidRDefault="00553E61">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2019-08-14</w:t>
            </w:r>
          </w:p>
        </w:tc>
      </w:tr>
      <w:tr w:rsidR="00256A81">
        <w:tc>
          <w:tcPr>
            <w:tcW w:w="720" w:type="dxa"/>
            <w:vAlign w:val="center"/>
          </w:tcPr>
          <w:p w:rsidR="00256A81" w:rsidRDefault="00553E61">
            <w:pPr>
              <w:jc w:val="center"/>
            </w:pPr>
            <w:r>
              <w:rPr>
                <w:rFonts w:eastAsiaTheme="minorEastAsia"/>
                <w:color w:val="000000"/>
                <w:szCs w:val="21"/>
              </w:rPr>
              <w:t>26</w:t>
            </w:r>
          </w:p>
        </w:tc>
        <w:tc>
          <w:tcPr>
            <w:tcW w:w="4320" w:type="dxa"/>
            <w:vAlign w:val="center"/>
          </w:tcPr>
          <w:p w:rsidR="00256A81" w:rsidRDefault="00553E61">
            <w:pPr>
              <w:jc w:val="left"/>
            </w:pPr>
            <w:r>
              <w:rPr>
                <w:rFonts w:eastAsiaTheme="minorEastAsia"/>
                <w:color w:val="000000"/>
                <w:szCs w:val="21"/>
              </w:rPr>
              <w:t>易方达基金管理有限公司关于旗下部分开放式基金增加宁波银行为销售机构的公告</w:t>
            </w:r>
          </w:p>
        </w:tc>
        <w:tc>
          <w:tcPr>
            <w:tcW w:w="2331" w:type="dxa"/>
            <w:vAlign w:val="center"/>
          </w:tcPr>
          <w:p w:rsidR="00256A81" w:rsidRDefault="00553E61">
            <w:pPr>
              <w:jc w:val="center"/>
            </w:pPr>
            <w:r>
              <w:rPr>
                <w:rFonts w:eastAsiaTheme="minorEastAsia"/>
                <w:color w:val="000000"/>
                <w:szCs w:val="21"/>
              </w:rPr>
              <w:t>上海证券报、证券时报、证券日报及基金管理人网站</w:t>
            </w:r>
          </w:p>
        </w:tc>
        <w:tc>
          <w:tcPr>
            <w:tcW w:w="1629" w:type="dxa"/>
            <w:vAlign w:val="center"/>
          </w:tcPr>
          <w:p w:rsidR="00256A81" w:rsidRDefault="00553E61">
            <w:pPr>
              <w:jc w:val="center"/>
            </w:pPr>
            <w:r>
              <w:rPr>
                <w:rFonts w:eastAsiaTheme="minorEastAsia"/>
                <w:color w:val="000000"/>
                <w:szCs w:val="21"/>
              </w:rPr>
              <w:t>2019-08-27</w:t>
            </w:r>
          </w:p>
        </w:tc>
      </w:tr>
      <w:tr w:rsidR="00256A81">
        <w:tc>
          <w:tcPr>
            <w:tcW w:w="720" w:type="dxa"/>
            <w:vAlign w:val="center"/>
          </w:tcPr>
          <w:p w:rsidR="00256A81" w:rsidRDefault="00553E61">
            <w:pPr>
              <w:jc w:val="center"/>
            </w:pPr>
            <w:r>
              <w:rPr>
                <w:rFonts w:eastAsiaTheme="minorEastAsia"/>
                <w:color w:val="000000"/>
                <w:szCs w:val="21"/>
              </w:rPr>
              <w:t>27</w:t>
            </w:r>
          </w:p>
        </w:tc>
        <w:tc>
          <w:tcPr>
            <w:tcW w:w="4320" w:type="dxa"/>
            <w:vAlign w:val="center"/>
          </w:tcPr>
          <w:p w:rsidR="00256A81" w:rsidRDefault="00553E61">
            <w:pPr>
              <w:jc w:val="left"/>
            </w:pPr>
            <w:r>
              <w:rPr>
                <w:rFonts w:eastAsiaTheme="minorEastAsia"/>
                <w:color w:val="000000"/>
                <w:szCs w:val="21"/>
              </w:rPr>
              <w:t>易方达基金管理有限公司旗下基金季度报告提示性公告</w:t>
            </w:r>
          </w:p>
        </w:tc>
        <w:tc>
          <w:tcPr>
            <w:tcW w:w="2331" w:type="dxa"/>
            <w:vAlign w:val="center"/>
          </w:tcPr>
          <w:p w:rsidR="00256A81" w:rsidRDefault="00553E61">
            <w:pPr>
              <w:jc w:val="center"/>
            </w:pPr>
            <w:r>
              <w:rPr>
                <w:rFonts w:eastAsiaTheme="minorEastAsia"/>
                <w:color w:val="000000"/>
                <w:szCs w:val="21"/>
              </w:rPr>
              <w:t>中国证券报、上海证券报、证券时报、证券日报</w:t>
            </w:r>
          </w:p>
        </w:tc>
        <w:tc>
          <w:tcPr>
            <w:tcW w:w="1629" w:type="dxa"/>
            <w:vAlign w:val="center"/>
          </w:tcPr>
          <w:p w:rsidR="00256A81" w:rsidRDefault="00553E61">
            <w:pPr>
              <w:jc w:val="center"/>
            </w:pPr>
            <w:r>
              <w:rPr>
                <w:rFonts w:eastAsiaTheme="minorEastAsia"/>
                <w:color w:val="000000"/>
                <w:szCs w:val="21"/>
              </w:rPr>
              <w:t>2019-10-24</w:t>
            </w:r>
          </w:p>
        </w:tc>
      </w:tr>
      <w:tr w:rsidR="00256A81">
        <w:tc>
          <w:tcPr>
            <w:tcW w:w="720" w:type="dxa"/>
            <w:vAlign w:val="center"/>
          </w:tcPr>
          <w:p w:rsidR="00256A81" w:rsidRDefault="00553E61">
            <w:pPr>
              <w:jc w:val="center"/>
            </w:pPr>
            <w:r>
              <w:rPr>
                <w:rFonts w:eastAsiaTheme="minorEastAsia"/>
                <w:color w:val="000000"/>
                <w:szCs w:val="21"/>
              </w:rPr>
              <w:t>28</w:t>
            </w:r>
          </w:p>
        </w:tc>
        <w:tc>
          <w:tcPr>
            <w:tcW w:w="4320" w:type="dxa"/>
            <w:vAlign w:val="center"/>
          </w:tcPr>
          <w:p w:rsidR="00256A81" w:rsidRDefault="00553E61">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256A81" w:rsidRDefault="00553E61">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2019-11-07</w:t>
            </w:r>
          </w:p>
        </w:tc>
      </w:tr>
      <w:tr w:rsidR="00256A81">
        <w:tc>
          <w:tcPr>
            <w:tcW w:w="720" w:type="dxa"/>
            <w:vAlign w:val="center"/>
          </w:tcPr>
          <w:p w:rsidR="00256A81" w:rsidRDefault="00553E61">
            <w:pPr>
              <w:jc w:val="center"/>
            </w:pPr>
            <w:r>
              <w:rPr>
                <w:rFonts w:eastAsiaTheme="minorEastAsia"/>
                <w:color w:val="000000"/>
                <w:szCs w:val="21"/>
              </w:rPr>
              <w:t>29</w:t>
            </w:r>
          </w:p>
        </w:tc>
        <w:tc>
          <w:tcPr>
            <w:tcW w:w="4320" w:type="dxa"/>
            <w:vAlign w:val="center"/>
          </w:tcPr>
          <w:p w:rsidR="00256A81" w:rsidRDefault="00553E61">
            <w:pPr>
              <w:jc w:val="left"/>
            </w:pPr>
            <w:r>
              <w:rPr>
                <w:rFonts w:eastAsiaTheme="minorEastAsia"/>
                <w:color w:val="000000"/>
                <w:szCs w:val="21"/>
              </w:rPr>
              <w:t>易方达基金管理有限公司关于公司股权变更的公告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r w:rsidR="00256A81">
        <w:tc>
          <w:tcPr>
            <w:tcW w:w="720" w:type="dxa"/>
            <w:vAlign w:val="center"/>
          </w:tcPr>
          <w:p w:rsidR="00256A81" w:rsidRDefault="00553E61">
            <w:pPr>
              <w:jc w:val="center"/>
            </w:pPr>
            <w:r>
              <w:rPr>
                <w:rFonts w:eastAsiaTheme="minorEastAsia"/>
                <w:color w:val="000000"/>
                <w:szCs w:val="21"/>
              </w:rPr>
              <w:t>30</w:t>
            </w:r>
          </w:p>
        </w:tc>
        <w:tc>
          <w:tcPr>
            <w:tcW w:w="4320" w:type="dxa"/>
            <w:vAlign w:val="center"/>
          </w:tcPr>
          <w:p w:rsidR="00256A81" w:rsidRDefault="00553E61">
            <w:pPr>
              <w:jc w:val="left"/>
            </w:pPr>
            <w:r>
              <w:rPr>
                <w:rFonts w:eastAsiaTheme="minorEastAsia"/>
                <w:color w:val="000000"/>
                <w:szCs w:val="21"/>
              </w:rPr>
              <w:t>易方达基金管理有限公司关于易方达大健康主题灵活配置混合型证券投资基金根据《公开募集证券投资基金信息披露管理办法》修订基金合同、托管协议部分条款的公告</w:t>
            </w:r>
          </w:p>
        </w:tc>
        <w:tc>
          <w:tcPr>
            <w:tcW w:w="2331" w:type="dxa"/>
            <w:vAlign w:val="center"/>
          </w:tcPr>
          <w:p w:rsidR="00256A81" w:rsidRDefault="00553E61">
            <w:pPr>
              <w:jc w:val="center"/>
            </w:pPr>
            <w:r>
              <w:rPr>
                <w:rFonts w:eastAsiaTheme="minorEastAsia"/>
                <w:color w:val="000000"/>
                <w:szCs w:val="21"/>
              </w:rPr>
              <w:t>证券时报、基金管理人网站及中国证监会基金电子披露网站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r w:rsidR="00256A81">
        <w:tc>
          <w:tcPr>
            <w:tcW w:w="720" w:type="dxa"/>
            <w:vAlign w:val="center"/>
          </w:tcPr>
          <w:p w:rsidR="00256A81" w:rsidRDefault="00553E61">
            <w:pPr>
              <w:jc w:val="center"/>
            </w:pPr>
            <w:r>
              <w:rPr>
                <w:rFonts w:eastAsiaTheme="minorEastAsia"/>
                <w:color w:val="000000"/>
                <w:szCs w:val="21"/>
              </w:rPr>
              <w:t>31</w:t>
            </w:r>
          </w:p>
        </w:tc>
        <w:tc>
          <w:tcPr>
            <w:tcW w:w="4320" w:type="dxa"/>
            <w:vAlign w:val="center"/>
          </w:tcPr>
          <w:p w:rsidR="00256A81" w:rsidRDefault="00553E61">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r w:rsidR="00256A81">
        <w:tc>
          <w:tcPr>
            <w:tcW w:w="720" w:type="dxa"/>
            <w:vAlign w:val="center"/>
          </w:tcPr>
          <w:p w:rsidR="00256A81" w:rsidRDefault="00553E61">
            <w:pPr>
              <w:jc w:val="center"/>
            </w:pPr>
            <w:r>
              <w:rPr>
                <w:rFonts w:eastAsiaTheme="minorEastAsia"/>
                <w:color w:val="000000"/>
                <w:szCs w:val="21"/>
              </w:rPr>
              <w:t>32</w:t>
            </w:r>
          </w:p>
        </w:tc>
        <w:tc>
          <w:tcPr>
            <w:tcW w:w="4320" w:type="dxa"/>
            <w:vAlign w:val="center"/>
          </w:tcPr>
          <w:p w:rsidR="00256A81" w:rsidRDefault="00553E61">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r w:rsidR="00256A81">
        <w:tc>
          <w:tcPr>
            <w:tcW w:w="720" w:type="dxa"/>
            <w:vAlign w:val="center"/>
          </w:tcPr>
          <w:p w:rsidR="00256A81" w:rsidRDefault="00553E61">
            <w:pPr>
              <w:jc w:val="center"/>
            </w:pPr>
            <w:r>
              <w:rPr>
                <w:rFonts w:eastAsiaTheme="minorEastAsia"/>
                <w:color w:val="000000"/>
                <w:szCs w:val="21"/>
              </w:rPr>
              <w:t>33</w:t>
            </w:r>
          </w:p>
        </w:tc>
        <w:tc>
          <w:tcPr>
            <w:tcW w:w="4320" w:type="dxa"/>
            <w:vAlign w:val="center"/>
          </w:tcPr>
          <w:p w:rsidR="00256A81" w:rsidRDefault="00553E61">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r w:rsidR="00256A81">
        <w:tc>
          <w:tcPr>
            <w:tcW w:w="720" w:type="dxa"/>
            <w:vAlign w:val="center"/>
          </w:tcPr>
          <w:p w:rsidR="00256A81" w:rsidRDefault="00553E61">
            <w:pPr>
              <w:jc w:val="center"/>
            </w:pPr>
            <w:r>
              <w:rPr>
                <w:rFonts w:eastAsiaTheme="minorEastAsia"/>
                <w:color w:val="000000"/>
                <w:szCs w:val="21"/>
              </w:rPr>
              <w:t>34</w:t>
            </w:r>
          </w:p>
        </w:tc>
        <w:tc>
          <w:tcPr>
            <w:tcW w:w="4320" w:type="dxa"/>
            <w:vAlign w:val="center"/>
          </w:tcPr>
          <w:p w:rsidR="00256A81" w:rsidRDefault="00553E61">
            <w:pPr>
              <w:jc w:val="left"/>
            </w:pPr>
            <w:r>
              <w:rPr>
                <w:rFonts w:eastAsiaTheme="minorEastAsia"/>
                <w:color w:val="000000"/>
                <w:szCs w:val="21"/>
              </w:rPr>
              <w:t>易方达基金管理有限公司旗下部分开放式基金参加中国工商银行个人电子银行渠道申购费率</w:t>
            </w:r>
            <w:r>
              <w:rPr>
                <w:rFonts w:eastAsiaTheme="minorEastAsia"/>
                <w:color w:val="000000"/>
                <w:szCs w:val="21"/>
              </w:rPr>
              <w:t>优惠活动的公告</w:t>
            </w:r>
          </w:p>
        </w:tc>
        <w:tc>
          <w:tcPr>
            <w:tcW w:w="2331" w:type="dxa"/>
            <w:vAlign w:val="center"/>
          </w:tcPr>
          <w:p w:rsidR="00256A81" w:rsidRDefault="00553E6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56A81" w:rsidRDefault="00553E61">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987"/>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988"/>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中国证监会准予易方达大健康主题灵活配置混合型证券投资基金注册的文件；</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《易方达大健康主题灵活配置混合型证券投资基金基金合同》；</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《易方达大健康主题灵活配置混合型证券投资基金托管协议》；</w:t>
      </w:r>
    </w:p>
    <w:p w:rsidR="00256A81" w:rsidRDefault="00553E61">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98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990"/>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3E61">
      <w:rPr>
        <w:noProof/>
        <w:kern w:val="0"/>
        <w:szCs w:val="21"/>
      </w:rPr>
      <w:t>58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3E61">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易方达大健康主题灵活配置混合型证券投资基金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6A81"/>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3E61"/>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8C15FD4-C509-420F-B299-E823C98D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6360-2003-4192-9C59-3414A7E7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7686</Words>
  <Characters>43814</Characters>
  <Application>Microsoft Office Word</Application>
  <DocSecurity>4</DocSecurity>
  <Lines>365</Lines>
  <Paragraphs>102</Paragraphs>
  <ScaleCrop>false</ScaleCrop>
  <Company/>
  <LinksUpToDate>false</LinksUpToDate>
  <CharactersWithSpaces>51398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2020-03-19T10:11:00Z</dcterms:created>
  <dcterms:modified xsi:type="dcterms:W3CDTF">2020-03-19T10:11:00Z</dcterms:modified>
</cp:coreProperties>
</file>