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6D8" w:rsidRPr="00272E0C" w:rsidRDefault="001C36D8" w:rsidP="00074E9F">
      <w:pPr>
        <w:autoSpaceDE w:val="0"/>
        <w:autoSpaceDN w:val="0"/>
        <w:adjustRightInd w:val="0"/>
        <w:spacing w:line="360" w:lineRule="auto"/>
        <w:jc w:val="left"/>
        <w:rPr>
          <w:rFonts w:ascii="宋体" w:cs="Arial"/>
          <w:color w:val="000000"/>
          <w:kern w:val="0"/>
          <w:sz w:val="24"/>
        </w:rPr>
      </w:pPr>
      <w:bookmarkStart w:id="0" w:name="_GoBack"/>
      <w:bookmarkEnd w:id="0"/>
    </w:p>
    <w:p w:rsidR="001C36D8" w:rsidRPr="00272E0C" w:rsidRDefault="001C36D8" w:rsidP="00074E9F">
      <w:pPr>
        <w:autoSpaceDE w:val="0"/>
        <w:autoSpaceDN w:val="0"/>
        <w:adjustRightInd w:val="0"/>
        <w:spacing w:line="360" w:lineRule="auto"/>
        <w:jc w:val="left"/>
        <w:rPr>
          <w:rFonts w:ascii="宋体" w:cs="Arial"/>
          <w:color w:val="000000"/>
          <w:kern w:val="0"/>
          <w:sz w:val="24"/>
        </w:rPr>
      </w:pPr>
    </w:p>
    <w:p w:rsidR="001C36D8" w:rsidRPr="00272E0C" w:rsidRDefault="001C36D8" w:rsidP="00074E9F">
      <w:pPr>
        <w:autoSpaceDE w:val="0"/>
        <w:autoSpaceDN w:val="0"/>
        <w:adjustRightInd w:val="0"/>
        <w:spacing w:line="360" w:lineRule="auto"/>
        <w:jc w:val="left"/>
        <w:rPr>
          <w:rFonts w:ascii="宋体" w:cs="Arial"/>
          <w:color w:val="000000"/>
          <w:kern w:val="0"/>
          <w:sz w:val="24"/>
        </w:rPr>
      </w:pPr>
    </w:p>
    <w:p w:rsidR="001C36D8" w:rsidRPr="00272E0C" w:rsidRDefault="001C36D8" w:rsidP="00074E9F">
      <w:pPr>
        <w:autoSpaceDE w:val="0"/>
        <w:autoSpaceDN w:val="0"/>
        <w:adjustRightInd w:val="0"/>
        <w:spacing w:line="360" w:lineRule="auto"/>
        <w:jc w:val="left"/>
        <w:rPr>
          <w:rFonts w:ascii="宋体" w:cs="Arial"/>
          <w:color w:val="000000"/>
          <w:kern w:val="0"/>
          <w:sz w:val="24"/>
        </w:rPr>
      </w:pPr>
    </w:p>
    <w:p w:rsidR="001C36D8" w:rsidRPr="00272E0C" w:rsidRDefault="001C36D8" w:rsidP="007951F3">
      <w:pPr>
        <w:spacing w:line="360" w:lineRule="auto"/>
        <w:jc w:val="center"/>
        <w:rPr>
          <w:rFonts w:ascii="宋体" w:hAnsi="宋体"/>
          <w:b/>
          <w:sz w:val="36"/>
          <w:szCs w:val="36"/>
        </w:rPr>
      </w:pPr>
      <w:r w:rsidRPr="00272E0C">
        <w:rPr>
          <w:rFonts w:ascii="宋体" w:hAnsi="宋体"/>
          <w:b/>
          <w:sz w:val="36"/>
          <w:szCs w:val="36"/>
        </w:rPr>
        <w:t>易方达证券公司指数分级证券投资基金</w:t>
      </w:r>
    </w:p>
    <w:p w:rsidR="001C36D8" w:rsidRPr="00272E0C" w:rsidRDefault="001C36D8" w:rsidP="007951F3">
      <w:pPr>
        <w:spacing w:line="360" w:lineRule="auto"/>
        <w:jc w:val="center"/>
        <w:rPr>
          <w:rFonts w:ascii="宋体" w:hAnsi="宋体"/>
          <w:b/>
          <w:sz w:val="36"/>
          <w:szCs w:val="36"/>
        </w:rPr>
      </w:pPr>
      <w:r w:rsidRPr="00272E0C">
        <w:rPr>
          <w:rFonts w:ascii="宋体" w:hAnsi="宋体"/>
          <w:b/>
          <w:sz w:val="36"/>
          <w:szCs w:val="36"/>
        </w:rPr>
        <w:t>2019年第4季度报告</w:t>
      </w:r>
    </w:p>
    <w:p w:rsidR="001C36D8" w:rsidRPr="00717C29" w:rsidRDefault="001C36D8" w:rsidP="007951F3">
      <w:pPr>
        <w:spacing w:line="360" w:lineRule="auto"/>
        <w:jc w:val="center"/>
        <w:rPr>
          <w:rFonts w:ascii="宋体" w:hAnsi="宋体"/>
          <w:b/>
          <w:sz w:val="24"/>
          <w:szCs w:val="36"/>
        </w:rPr>
      </w:pPr>
      <w:r w:rsidRPr="00717C29">
        <w:rPr>
          <w:rFonts w:ascii="宋体" w:hAnsi="宋体"/>
          <w:b/>
          <w:sz w:val="24"/>
          <w:szCs w:val="36"/>
        </w:rPr>
        <w:t>2019年12月31日</w:t>
      </w: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rPr>
          <w:rFonts w:ascii="宋体"/>
          <w:b/>
          <w:color w:val="000000"/>
          <w:sz w:val="24"/>
        </w:rPr>
      </w:pPr>
    </w:p>
    <w:p w:rsidR="001C36D8" w:rsidRPr="00272E0C" w:rsidRDefault="001C36D8" w:rsidP="0015779C">
      <w:pPr>
        <w:spacing w:line="360" w:lineRule="auto"/>
        <w:ind w:firstLineChars="900" w:firstLine="2168"/>
        <w:rPr>
          <w:rFonts w:ascii="宋体" w:hAnsi="宋体"/>
          <w:b/>
          <w:color w:val="000000"/>
          <w:sz w:val="24"/>
        </w:rPr>
      </w:pPr>
      <w:r w:rsidRPr="00272E0C">
        <w:rPr>
          <w:rFonts w:ascii="宋体" w:hAnsi="宋体" w:hint="eastAsia"/>
          <w:b/>
          <w:color w:val="000000"/>
          <w:sz w:val="24"/>
        </w:rPr>
        <w:t>基金管理人：</w:t>
      </w:r>
      <w:r w:rsidRPr="00272E0C">
        <w:rPr>
          <w:rFonts w:ascii="宋体" w:hAnsi="宋体"/>
          <w:b/>
          <w:color w:val="000000"/>
          <w:sz w:val="24"/>
        </w:rPr>
        <w:t>易方达基金管理有限公司</w:t>
      </w:r>
    </w:p>
    <w:p w:rsidR="001C36D8" w:rsidRPr="00272E0C" w:rsidRDefault="001C36D8" w:rsidP="0015779C">
      <w:pPr>
        <w:spacing w:line="360" w:lineRule="auto"/>
        <w:ind w:firstLineChars="900" w:firstLine="2168"/>
        <w:rPr>
          <w:rFonts w:ascii="宋体" w:hAnsi="宋体"/>
          <w:b/>
          <w:color w:val="000000"/>
          <w:sz w:val="24"/>
        </w:rPr>
      </w:pPr>
      <w:r w:rsidRPr="00272E0C">
        <w:rPr>
          <w:rFonts w:ascii="宋体" w:hAnsi="宋体" w:hint="eastAsia"/>
          <w:b/>
          <w:color w:val="000000"/>
          <w:sz w:val="24"/>
        </w:rPr>
        <w:t>基金托管人：</w:t>
      </w:r>
      <w:r w:rsidRPr="00272E0C">
        <w:rPr>
          <w:rFonts w:ascii="宋体" w:hAnsi="宋体"/>
          <w:b/>
          <w:color w:val="000000"/>
          <w:sz w:val="24"/>
        </w:rPr>
        <w:t>中国建设银行股份有限公司</w:t>
      </w:r>
    </w:p>
    <w:p w:rsidR="001C36D8" w:rsidRPr="00272E0C" w:rsidRDefault="001C36D8" w:rsidP="0015779C">
      <w:pPr>
        <w:spacing w:line="360" w:lineRule="auto"/>
        <w:ind w:firstLineChars="900" w:firstLine="2168"/>
        <w:rPr>
          <w:rFonts w:ascii="宋体" w:hAnsi="宋体"/>
          <w:b/>
          <w:color w:val="000000"/>
          <w:sz w:val="24"/>
        </w:rPr>
        <w:sectPr w:rsidR="001C36D8" w:rsidRPr="00272E0C" w:rsidSect="00230A66">
          <w:headerReference w:type="default" r:id="rId7"/>
          <w:footerReference w:type="default" r:id="rId8"/>
          <w:pgSz w:w="11926" w:h="15840"/>
          <w:pgMar w:top="1418" w:right="1418" w:bottom="851" w:left="1418" w:header="851" w:footer="992" w:gutter="0"/>
          <w:cols w:space="720"/>
          <w:noEndnote/>
        </w:sectPr>
      </w:pPr>
      <w:r w:rsidRPr="00272E0C">
        <w:rPr>
          <w:rFonts w:ascii="宋体" w:hAnsi="宋体" w:hint="eastAsia"/>
          <w:b/>
          <w:color w:val="000000"/>
          <w:sz w:val="24"/>
        </w:rPr>
        <w:t>报告送出日期：</w:t>
      </w:r>
      <w:r w:rsidRPr="00272E0C">
        <w:rPr>
          <w:rFonts w:ascii="宋体" w:hAnsi="宋体"/>
          <w:b/>
          <w:color w:val="000000"/>
          <w:sz w:val="24"/>
        </w:rPr>
        <w:t>二〇二〇年一月十八日</w:t>
      </w:r>
    </w:p>
    <w:p w:rsidR="001C36D8" w:rsidRPr="00272E0C" w:rsidRDefault="001C36D8" w:rsidP="005C6DF3">
      <w:pPr>
        <w:pStyle w:val="1"/>
        <w:spacing w:beforeLines="100" w:before="312" w:afterLines="100" w:after="312" w:line="360" w:lineRule="auto"/>
        <w:jc w:val="center"/>
        <w:rPr>
          <w:rFonts w:ascii="宋体" w:cs="Arial"/>
          <w:b w:val="0"/>
          <w:color w:val="000000"/>
          <w:kern w:val="0"/>
          <w:sz w:val="24"/>
          <w:szCs w:val="24"/>
        </w:rPr>
      </w:pPr>
      <w:r w:rsidRPr="00272E0C">
        <w:rPr>
          <w:rFonts w:ascii="宋体" w:hAnsi="宋体" w:cs="Arial" w:hint="eastAsia"/>
          <w:color w:val="000000"/>
          <w:kern w:val="0"/>
          <w:sz w:val="24"/>
          <w:szCs w:val="24"/>
        </w:rPr>
        <w:lastRenderedPageBreak/>
        <w:t>§</w:t>
      </w:r>
      <w:r w:rsidRPr="00272E0C">
        <w:rPr>
          <w:rFonts w:ascii="宋体" w:hAnsi="宋体" w:cs="Arial"/>
          <w:color w:val="000000"/>
          <w:kern w:val="0"/>
          <w:sz w:val="24"/>
          <w:szCs w:val="24"/>
        </w:rPr>
        <w:t xml:space="preserve">1  </w:t>
      </w:r>
      <w:r w:rsidRPr="00272E0C">
        <w:rPr>
          <w:rFonts w:ascii="宋体" w:hAnsi="宋体" w:cs="Arial" w:hint="eastAsia"/>
          <w:color w:val="000000"/>
          <w:kern w:val="0"/>
          <w:sz w:val="24"/>
          <w:szCs w:val="24"/>
        </w:rPr>
        <w:t>重要提示</w:t>
      </w:r>
    </w:p>
    <w:p w:rsidR="00F126DA" w:rsidRDefault="00650633">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F126DA" w:rsidRDefault="00650633">
      <w:pPr>
        <w:spacing w:line="360"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1</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F126DA" w:rsidRDefault="00650633">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126DA" w:rsidRDefault="00650633">
      <w:pPr>
        <w:spacing w:line="360" w:lineRule="auto"/>
        <w:ind w:firstLineChars="200" w:firstLine="480"/>
        <w:rPr>
          <w:color w:val="000000"/>
          <w:sz w:val="24"/>
        </w:rPr>
      </w:pPr>
      <w:r>
        <w:rPr>
          <w:color w:val="000000"/>
          <w:sz w:val="24"/>
        </w:rPr>
        <w:t>基金的过往业绩并不代表其未来表现。投资有风险，投资者在作出投</w:t>
      </w:r>
      <w:r>
        <w:rPr>
          <w:color w:val="000000"/>
          <w:sz w:val="24"/>
        </w:rPr>
        <w:t>资决策前应仔细阅读本基金的招募说明书。</w:t>
      </w:r>
      <w:r>
        <w:rPr>
          <w:color w:val="000000"/>
          <w:sz w:val="24"/>
        </w:rPr>
        <w:t xml:space="preserve"> </w:t>
      </w:r>
    </w:p>
    <w:p w:rsidR="00F126DA" w:rsidRDefault="00650633">
      <w:pPr>
        <w:spacing w:line="360" w:lineRule="auto"/>
        <w:ind w:firstLineChars="200" w:firstLine="480"/>
        <w:rPr>
          <w:color w:val="000000"/>
          <w:sz w:val="24"/>
        </w:rPr>
      </w:pPr>
      <w:r>
        <w:rPr>
          <w:color w:val="000000"/>
          <w:sz w:val="24"/>
        </w:rPr>
        <w:t>本报告中财务资料未经审计。</w:t>
      </w:r>
    </w:p>
    <w:p w:rsidR="001C36D8" w:rsidRPr="00CC0C03" w:rsidRDefault="001C36D8" w:rsidP="00CC0C03">
      <w:pPr>
        <w:spacing w:line="360" w:lineRule="auto"/>
        <w:ind w:firstLineChars="200" w:firstLine="480"/>
        <w:rPr>
          <w:color w:val="000000"/>
          <w:sz w:val="24"/>
        </w:rPr>
      </w:pPr>
      <w:r w:rsidRPr="00CC0C03">
        <w:rPr>
          <w:color w:val="000000"/>
          <w:sz w:val="24"/>
        </w:rPr>
        <w:t>本报告期自</w:t>
      </w:r>
      <w:r w:rsidRPr="00CC0C03">
        <w:rPr>
          <w:color w:val="000000"/>
          <w:sz w:val="24"/>
        </w:rPr>
        <w:t>2019</w:t>
      </w:r>
      <w:r w:rsidRPr="00CC0C03">
        <w:rPr>
          <w:color w:val="000000"/>
          <w:sz w:val="24"/>
        </w:rPr>
        <w:t>年</w:t>
      </w:r>
      <w:r w:rsidRPr="00CC0C03">
        <w:rPr>
          <w:color w:val="000000"/>
          <w:sz w:val="24"/>
        </w:rPr>
        <w:t>10</w:t>
      </w:r>
      <w:r w:rsidRPr="00CC0C03">
        <w:rPr>
          <w:color w:val="000000"/>
          <w:sz w:val="24"/>
        </w:rPr>
        <w:t>月</w:t>
      </w:r>
      <w:r w:rsidRPr="00CC0C03">
        <w:rPr>
          <w:color w:val="000000"/>
          <w:sz w:val="24"/>
        </w:rPr>
        <w:t>1</w:t>
      </w:r>
      <w:r w:rsidRPr="00CC0C03">
        <w:rPr>
          <w:color w:val="000000"/>
          <w:sz w:val="24"/>
        </w:rPr>
        <w:t>日起至</w:t>
      </w:r>
      <w:r w:rsidRPr="00CC0C03">
        <w:rPr>
          <w:color w:val="000000"/>
          <w:sz w:val="24"/>
        </w:rPr>
        <w:t>12</w:t>
      </w:r>
      <w:r w:rsidRPr="00CC0C03">
        <w:rPr>
          <w:color w:val="000000"/>
          <w:sz w:val="24"/>
        </w:rPr>
        <w:t>月</w:t>
      </w:r>
      <w:r w:rsidRPr="00CC0C03">
        <w:rPr>
          <w:color w:val="000000"/>
          <w:sz w:val="24"/>
        </w:rPr>
        <w:t>31</w:t>
      </w:r>
      <w:r w:rsidRPr="00CC0C03">
        <w:rPr>
          <w:color w:val="000000"/>
          <w:sz w:val="24"/>
        </w:rPr>
        <w:t>日止。</w:t>
      </w: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 xml:space="preserve">2  </w:t>
      </w:r>
      <w:r w:rsidRPr="00272E0C">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1C36D8" w:rsidRPr="00272E0C" w:rsidTr="007A6BEA">
        <w:tc>
          <w:tcPr>
            <w:tcW w:w="2835" w:type="dxa"/>
          </w:tcPr>
          <w:p w:rsidR="001C36D8" w:rsidRPr="004C6E88" w:rsidRDefault="001C36D8" w:rsidP="007A6BEA">
            <w:pPr>
              <w:adjustRightInd w:val="0"/>
              <w:spacing w:before="29" w:line="360" w:lineRule="auto"/>
              <w:ind w:left="17"/>
              <w:jc w:val="left"/>
              <w:rPr>
                <w:rFonts w:eastAsiaTheme="minorEastAsia"/>
                <w:kern w:val="0"/>
                <w:sz w:val="24"/>
              </w:rPr>
            </w:pPr>
            <w:r w:rsidRPr="004C6E88">
              <w:rPr>
                <w:rFonts w:eastAsiaTheme="minorEastAsia"/>
                <w:kern w:val="0"/>
                <w:sz w:val="24"/>
              </w:rPr>
              <w:t>基金简称</w:t>
            </w:r>
          </w:p>
        </w:tc>
        <w:tc>
          <w:tcPr>
            <w:tcW w:w="5479" w:type="dxa"/>
            <w:gridSpan w:val="3"/>
          </w:tcPr>
          <w:p w:rsidR="001C36D8" w:rsidRPr="004C6E88" w:rsidRDefault="001C36D8" w:rsidP="007A6BEA">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易方达证券公司分级</w:t>
            </w:r>
          </w:p>
        </w:tc>
      </w:tr>
      <w:tr w:rsidR="001C36D8" w:rsidRPr="00272E0C" w:rsidTr="002A44F9">
        <w:tc>
          <w:tcPr>
            <w:tcW w:w="2835" w:type="dxa"/>
          </w:tcPr>
          <w:p w:rsidR="001C36D8" w:rsidRPr="004C6E88" w:rsidRDefault="001C36D8">
            <w:pPr>
              <w:adjustRightInd w:val="0"/>
              <w:spacing w:before="29" w:line="360" w:lineRule="auto"/>
              <w:ind w:left="17"/>
              <w:jc w:val="left"/>
              <w:rPr>
                <w:rFonts w:eastAsiaTheme="minorEastAsia"/>
                <w:kern w:val="0"/>
                <w:sz w:val="24"/>
              </w:rPr>
            </w:pPr>
            <w:r w:rsidRPr="004C6E88">
              <w:rPr>
                <w:rFonts w:eastAsiaTheme="minorEastAsia"/>
                <w:kern w:val="0"/>
                <w:sz w:val="24"/>
              </w:rPr>
              <w:t>基金主代码</w:t>
            </w:r>
          </w:p>
        </w:tc>
        <w:tc>
          <w:tcPr>
            <w:tcW w:w="5479" w:type="dxa"/>
            <w:gridSpan w:val="3"/>
          </w:tcPr>
          <w:p w:rsidR="001C36D8" w:rsidRPr="004C6E88" w:rsidRDefault="001C36D8">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502010</w:t>
            </w:r>
          </w:p>
        </w:tc>
      </w:tr>
      <w:tr w:rsidR="003A768B" w:rsidRPr="00272E0C" w:rsidTr="002A44F9">
        <w:tc>
          <w:tcPr>
            <w:tcW w:w="2835" w:type="dxa"/>
          </w:tcPr>
          <w:p w:rsidR="003A768B" w:rsidRPr="004C6E88" w:rsidRDefault="003A768B" w:rsidP="00E43B0B">
            <w:pPr>
              <w:adjustRightInd w:val="0"/>
              <w:spacing w:before="29" w:line="360" w:lineRule="auto"/>
              <w:ind w:left="17"/>
              <w:jc w:val="left"/>
              <w:rPr>
                <w:rFonts w:eastAsiaTheme="minorEastAsia"/>
                <w:kern w:val="0"/>
                <w:sz w:val="24"/>
              </w:rPr>
            </w:pPr>
            <w:r w:rsidRPr="004C6E88">
              <w:rPr>
                <w:rFonts w:eastAsiaTheme="minorEastAsia"/>
                <w:kern w:val="0"/>
                <w:sz w:val="24"/>
              </w:rPr>
              <w:t>交易代码</w:t>
            </w:r>
          </w:p>
        </w:tc>
        <w:tc>
          <w:tcPr>
            <w:tcW w:w="5479" w:type="dxa"/>
            <w:gridSpan w:val="3"/>
          </w:tcPr>
          <w:p w:rsidR="003A768B" w:rsidRPr="004C6E88" w:rsidRDefault="003A768B" w:rsidP="00E43B0B">
            <w:pPr>
              <w:adjustRightInd w:val="0"/>
              <w:spacing w:before="29" w:line="360" w:lineRule="auto"/>
              <w:ind w:left="17"/>
              <w:jc w:val="left"/>
              <w:rPr>
                <w:rFonts w:eastAsiaTheme="minorEastAsia"/>
                <w:color w:val="000000"/>
                <w:kern w:val="0"/>
                <w:sz w:val="24"/>
              </w:rPr>
            </w:pPr>
            <w:r w:rsidRPr="004C6E88">
              <w:rPr>
                <w:rFonts w:eastAsiaTheme="minorEastAsia"/>
                <w:kern w:val="0"/>
                <w:sz w:val="24"/>
              </w:rPr>
              <w:t>502010</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基金运作方式</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契约型开放式、分级基金</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基金合同生效日</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2015</w:t>
            </w:r>
            <w:r w:rsidRPr="004C6E88">
              <w:rPr>
                <w:rFonts w:eastAsiaTheme="minorEastAsia"/>
                <w:color w:val="000000"/>
                <w:kern w:val="0"/>
                <w:sz w:val="24"/>
              </w:rPr>
              <w:t>年</w:t>
            </w:r>
            <w:r w:rsidRPr="004C6E88">
              <w:rPr>
                <w:rFonts w:eastAsiaTheme="minorEastAsia"/>
                <w:color w:val="000000"/>
                <w:kern w:val="0"/>
                <w:sz w:val="24"/>
              </w:rPr>
              <w:t>7</w:t>
            </w:r>
            <w:r w:rsidRPr="004C6E88">
              <w:rPr>
                <w:rFonts w:eastAsiaTheme="minorEastAsia"/>
                <w:color w:val="000000"/>
                <w:kern w:val="0"/>
                <w:sz w:val="24"/>
              </w:rPr>
              <w:t>月</w:t>
            </w:r>
            <w:r w:rsidRPr="004C6E88">
              <w:rPr>
                <w:rFonts w:eastAsiaTheme="minorEastAsia"/>
                <w:color w:val="000000"/>
                <w:kern w:val="0"/>
                <w:sz w:val="24"/>
              </w:rPr>
              <w:t>8</w:t>
            </w:r>
            <w:r w:rsidRPr="004C6E88">
              <w:rPr>
                <w:rFonts w:eastAsiaTheme="minorEastAsia"/>
                <w:color w:val="000000"/>
                <w:kern w:val="0"/>
                <w:sz w:val="24"/>
              </w:rPr>
              <w:t>日</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报告期末基金份额总额</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728,263,700.69</w:t>
            </w:r>
            <w:r w:rsidRPr="004C6E88">
              <w:rPr>
                <w:rFonts w:eastAsiaTheme="minorEastAsia"/>
                <w:color w:val="000000"/>
                <w:kern w:val="0"/>
                <w:sz w:val="24"/>
              </w:rPr>
              <w:t>份</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投资目标</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紧密追踪业绩比较基准，追求跟踪偏离度与跟踪误差的最小化。</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投资策略</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本基金主要采取完全复制法进行投资，即完全按照标的指数的成份股组成及权重构建基金投资组合，并根据标的指数成份股及其权重的变动进行相应调整，以达到紧密跟踪标的指数的目的。本基金力争将年化跟踪误差控制在</w:t>
            </w:r>
            <w:r w:rsidRPr="004C6E88">
              <w:rPr>
                <w:rFonts w:eastAsiaTheme="minorEastAsia"/>
                <w:color w:val="000000"/>
                <w:kern w:val="0"/>
                <w:sz w:val="24"/>
              </w:rPr>
              <w:t>4%</w:t>
            </w:r>
            <w:r w:rsidRPr="004C6E88">
              <w:rPr>
                <w:rFonts w:eastAsiaTheme="minorEastAsia"/>
                <w:color w:val="000000"/>
                <w:kern w:val="0"/>
                <w:sz w:val="24"/>
              </w:rPr>
              <w:t>以内，日跟踪偏离度</w:t>
            </w:r>
            <w:r w:rsidRPr="004C6E88">
              <w:rPr>
                <w:rFonts w:eastAsiaTheme="minorEastAsia"/>
                <w:color w:val="000000"/>
                <w:kern w:val="0"/>
                <w:sz w:val="24"/>
              </w:rPr>
              <w:lastRenderedPageBreak/>
              <w:t>绝对值的平均值控制在</w:t>
            </w:r>
            <w:r w:rsidRPr="004C6E88">
              <w:rPr>
                <w:rFonts w:eastAsiaTheme="minorEastAsia"/>
                <w:color w:val="000000"/>
                <w:kern w:val="0"/>
                <w:sz w:val="24"/>
              </w:rPr>
              <w:t>0.35%</w:t>
            </w:r>
            <w:r w:rsidRPr="004C6E88">
              <w:rPr>
                <w:rFonts w:eastAsiaTheme="minorEastAsia"/>
                <w:color w:val="000000"/>
                <w:kern w:val="0"/>
                <w:sz w:val="24"/>
              </w:rPr>
              <w:t>以内。</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lastRenderedPageBreak/>
              <w:t>业绩比较基准</w:t>
            </w:r>
          </w:p>
        </w:tc>
        <w:tc>
          <w:tcPr>
            <w:tcW w:w="5479" w:type="dxa"/>
            <w:gridSpan w:val="3"/>
          </w:tcPr>
          <w:p w:rsidR="003A768B" w:rsidRPr="004C6E88" w:rsidRDefault="003A768B" w:rsidP="00CD0AAD">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95%×</w:t>
            </w:r>
            <w:r w:rsidRPr="004C6E88">
              <w:rPr>
                <w:rFonts w:eastAsiaTheme="minorEastAsia"/>
                <w:color w:val="000000"/>
                <w:kern w:val="0"/>
                <w:sz w:val="24"/>
              </w:rPr>
              <w:t>中证全指证券公司指数收益率＋</w:t>
            </w:r>
            <w:r w:rsidRPr="004C6E88">
              <w:rPr>
                <w:rFonts w:eastAsiaTheme="minorEastAsia"/>
                <w:color w:val="000000"/>
                <w:kern w:val="0"/>
                <w:sz w:val="24"/>
              </w:rPr>
              <w:t>5%×</w:t>
            </w:r>
            <w:r w:rsidRPr="004C6E88">
              <w:rPr>
                <w:rFonts w:eastAsiaTheme="minorEastAsia"/>
                <w:color w:val="000000"/>
                <w:kern w:val="0"/>
                <w:sz w:val="24"/>
              </w:rPr>
              <w:t>同期银行活期存款利率（税后）</w:t>
            </w:r>
          </w:p>
        </w:tc>
      </w:tr>
      <w:tr w:rsidR="003A768B" w:rsidRPr="00272E0C" w:rsidTr="00A008DA">
        <w:tc>
          <w:tcPr>
            <w:tcW w:w="2835" w:type="dxa"/>
          </w:tcPr>
          <w:p w:rsidR="003A768B" w:rsidRPr="004C6E88" w:rsidRDefault="003A768B" w:rsidP="00A008DA">
            <w:pPr>
              <w:adjustRightInd w:val="0"/>
              <w:spacing w:before="29" w:line="360" w:lineRule="auto"/>
              <w:ind w:left="17"/>
              <w:jc w:val="left"/>
              <w:rPr>
                <w:rFonts w:eastAsiaTheme="minorEastAsia"/>
                <w:sz w:val="24"/>
              </w:rPr>
            </w:pPr>
            <w:r w:rsidRPr="004C6E88">
              <w:rPr>
                <w:rFonts w:eastAsiaTheme="minorEastAsia"/>
                <w:kern w:val="0"/>
                <w:sz w:val="24"/>
              </w:rPr>
              <w:t>风险收益特征</w:t>
            </w:r>
          </w:p>
        </w:tc>
        <w:tc>
          <w:tcPr>
            <w:tcW w:w="5479" w:type="dxa"/>
            <w:gridSpan w:val="3"/>
          </w:tcPr>
          <w:p w:rsidR="003A768B" w:rsidRPr="004C6E88" w:rsidRDefault="003A768B" w:rsidP="00A008D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本基金为股票型基金，主要采用完全复制策略跟踪标的指数的表现，其风险收益特征与标的指数相似。长期而言，其风险收益水平高于混合型基金、债券型基金和货币市场基金；</w:t>
            </w:r>
            <w:r w:rsidRPr="004C6E88">
              <w:rPr>
                <w:rFonts w:eastAsiaTheme="minorEastAsia"/>
                <w:color w:val="000000"/>
                <w:kern w:val="0"/>
                <w:sz w:val="24"/>
              </w:rPr>
              <w:t>A</w:t>
            </w:r>
            <w:r w:rsidRPr="004C6E88">
              <w:rPr>
                <w:rFonts w:eastAsiaTheme="minorEastAsia"/>
                <w:color w:val="000000"/>
                <w:kern w:val="0"/>
                <w:sz w:val="24"/>
              </w:rPr>
              <w:t>类份额具有预期风险、收益较低的特征；</w:t>
            </w:r>
            <w:r w:rsidRPr="004C6E88">
              <w:rPr>
                <w:rFonts w:eastAsiaTheme="minorEastAsia"/>
                <w:color w:val="000000"/>
                <w:kern w:val="0"/>
                <w:sz w:val="24"/>
              </w:rPr>
              <w:t>B</w:t>
            </w:r>
            <w:r w:rsidRPr="004C6E88">
              <w:rPr>
                <w:rFonts w:eastAsiaTheme="minorEastAsia"/>
                <w:color w:val="000000"/>
                <w:kern w:val="0"/>
                <w:sz w:val="24"/>
              </w:rPr>
              <w:t>类份额具有预期风险、收益较高的特征。</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基金管理人</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易方达基金管理有限公司</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基金托管人</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中国建设银行股份有限公司</w:t>
            </w:r>
          </w:p>
        </w:tc>
      </w:tr>
      <w:tr w:rsidR="003A768B" w:rsidRPr="00272E0C" w:rsidTr="00EB3E72">
        <w:tc>
          <w:tcPr>
            <w:tcW w:w="2835" w:type="dxa"/>
          </w:tcPr>
          <w:p w:rsidR="003A768B" w:rsidRPr="004C6E88" w:rsidRDefault="003A768B" w:rsidP="004C6E88">
            <w:pPr>
              <w:adjustRightInd w:val="0"/>
              <w:spacing w:before="29" w:line="360" w:lineRule="auto"/>
              <w:ind w:left="17"/>
              <w:jc w:val="left"/>
              <w:rPr>
                <w:rFonts w:eastAsiaTheme="minorEastAsia"/>
                <w:kern w:val="0"/>
                <w:sz w:val="24"/>
              </w:rPr>
            </w:pPr>
            <w:r w:rsidRPr="004C6E88">
              <w:rPr>
                <w:rFonts w:eastAsiaTheme="minorEastAsia"/>
                <w:color w:val="000000"/>
                <w:sz w:val="24"/>
              </w:rPr>
              <w:t>下属</w:t>
            </w:r>
            <w:r w:rsidR="004C6E88" w:rsidRPr="004C6E88">
              <w:rPr>
                <w:rFonts w:eastAsiaTheme="minorEastAsia"/>
                <w:color w:val="000000"/>
                <w:sz w:val="24"/>
              </w:rPr>
              <w:t>分</w:t>
            </w:r>
            <w:r w:rsidRPr="004C6E88">
              <w:rPr>
                <w:rFonts w:eastAsiaTheme="minorEastAsia"/>
                <w:color w:val="000000"/>
                <w:sz w:val="24"/>
              </w:rPr>
              <w:t>级基金的基金简称</w:t>
            </w:r>
          </w:p>
        </w:tc>
        <w:tc>
          <w:tcPr>
            <w:tcW w:w="1826" w:type="dxa"/>
            <w:vAlign w:val="center"/>
          </w:tcPr>
          <w:p w:rsidR="003A768B" w:rsidRPr="004C6E88" w:rsidRDefault="003A768B" w:rsidP="007A6BEA">
            <w:pPr>
              <w:jc w:val="left"/>
              <w:rPr>
                <w:rFonts w:eastAsiaTheme="minorEastAsia"/>
                <w:sz w:val="24"/>
              </w:rPr>
            </w:pPr>
            <w:r w:rsidRPr="004C6E88">
              <w:rPr>
                <w:rFonts w:eastAsiaTheme="minorEastAsia"/>
                <w:sz w:val="24"/>
              </w:rPr>
              <w:t>易方达证券公司分级</w:t>
            </w:r>
          </w:p>
        </w:tc>
        <w:tc>
          <w:tcPr>
            <w:tcW w:w="1826" w:type="dxa"/>
            <w:vAlign w:val="center"/>
          </w:tcPr>
          <w:p w:rsidR="003A768B" w:rsidRPr="004C6E88" w:rsidRDefault="003A768B" w:rsidP="007A6BEA">
            <w:pPr>
              <w:jc w:val="left"/>
              <w:rPr>
                <w:rFonts w:eastAsiaTheme="minorEastAsia"/>
                <w:sz w:val="24"/>
              </w:rPr>
            </w:pPr>
            <w:r w:rsidRPr="004C6E88">
              <w:rPr>
                <w:rFonts w:eastAsiaTheme="minorEastAsia"/>
                <w:sz w:val="24"/>
              </w:rPr>
              <w:t>易方达证券公司分级</w:t>
            </w:r>
            <w:r w:rsidRPr="004C6E88">
              <w:rPr>
                <w:rFonts w:eastAsiaTheme="minorEastAsia"/>
                <w:sz w:val="24"/>
              </w:rPr>
              <w:t>A</w:t>
            </w:r>
          </w:p>
        </w:tc>
        <w:tc>
          <w:tcPr>
            <w:tcW w:w="1827" w:type="dxa"/>
            <w:vAlign w:val="center"/>
          </w:tcPr>
          <w:p w:rsidR="003A768B" w:rsidRPr="004C6E88" w:rsidRDefault="003A768B" w:rsidP="007A6BEA">
            <w:pPr>
              <w:jc w:val="left"/>
              <w:rPr>
                <w:rFonts w:eastAsiaTheme="minorEastAsia"/>
                <w:sz w:val="24"/>
              </w:rPr>
            </w:pPr>
            <w:r w:rsidRPr="004C6E88">
              <w:rPr>
                <w:rFonts w:eastAsiaTheme="minorEastAsia"/>
                <w:sz w:val="24"/>
              </w:rPr>
              <w:t>易方达证券公司分级</w:t>
            </w:r>
            <w:r w:rsidRPr="004C6E88">
              <w:rPr>
                <w:rFonts w:eastAsiaTheme="minorEastAsia"/>
                <w:sz w:val="24"/>
              </w:rPr>
              <w:t>B</w:t>
            </w:r>
          </w:p>
        </w:tc>
      </w:tr>
      <w:tr w:rsidR="002C2DE0" w:rsidRPr="00272E0C" w:rsidTr="00EB3E72">
        <w:tc>
          <w:tcPr>
            <w:tcW w:w="2835" w:type="dxa"/>
          </w:tcPr>
          <w:p w:rsidR="002C2DE0" w:rsidRPr="004C6E88" w:rsidRDefault="002C2DE0" w:rsidP="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t>下属</w:t>
            </w:r>
            <w:r w:rsidR="004C6E88" w:rsidRPr="004C6E88">
              <w:rPr>
                <w:rFonts w:eastAsiaTheme="minorEastAsia"/>
                <w:color w:val="000000"/>
                <w:sz w:val="24"/>
              </w:rPr>
              <w:t>分</w:t>
            </w:r>
            <w:r w:rsidR="003168E2">
              <w:rPr>
                <w:rFonts w:eastAsiaTheme="minorEastAsia"/>
                <w:color w:val="000000"/>
                <w:sz w:val="24"/>
              </w:rPr>
              <w:t>级基金</w:t>
            </w:r>
            <w:r w:rsidRPr="004C6E88">
              <w:rPr>
                <w:rFonts w:eastAsiaTheme="minorEastAsia"/>
                <w:color w:val="000000"/>
                <w:sz w:val="24"/>
              </w:rPr>
              <w:t>场内简称</w:t>
            </w:r>
          </w:p>
        </w:tc>
        <w:tc>
          <w:tcPr>
            <w:tcW w:w="1826" w:type="dxa"/>
            <w:vAlign w:val="center"/>
          </w:tcPr>
          <w:p w:rsidR="002C2DE0" w:rsidRPr="004C6E88" w:rsidRDefault="002C2DE0" w:rsidP="00E43B0B">
            <w:pPr>
              <w:rPr>
                <w:rFonts w:eastAsiaTheme="minorEastAsia"/>
                <w:color w:val="000000"/>
                <w:kern w:val="0"/>
                <w:sz w:val="24"/>
              </w:rPr>
            </w:pPr>
            <w:r w:rsidRPr="004C6E88">
              <w:rPr>
                <w:rFonts w:eastAsiaTheme="minorEastAsia"/>
                <w:sz w:val="24"/>
              </w:rPr>
              <w:t>证券分级</w:t>
            </w:r>
          </w:p>
        </w:tc>
        <w:tc>
          <w:tcPr>
            <w:tcW w:w="1826" w:type="dxa"/>
            <w:vAlign w:val="center"/>
          </w:tcPr>
          <w:p w:rsidR="002C2DE0" w:rsidRPr="004C6E88" w:rsidRDefault="002C2DE0" w:rsidP="00E43B0B">
            <w:pPr>
              <w:rPr>
                <w:rFonts w:eastAsiaTheme="minorEastAsia"/>
                <w:color w:val="000000"/>
                <w:kern w:val="0"/>
                <w:sz w:val="24"/>
              </w:rPr>
            </w:pPr>
            <w:r w:rsidRPr="004C6E88">
              <w:rPr>
                <w:rFonts w:eastAsiaTheme="minorEastAsia"/>
                <w:sz w:val="24"/>
              </w:rPr>
              <w:t>证券</w:t>
            </w:r>
            <w:r w:rsidRPr="004C6E88">
              <w:rPr>
                <w:rFonts w:eastAsiaTheme="minorEastAsia"/>
                <w:sz w:val="24"/>
              </w:rPr>
              <w:t>A</w:t>
            </w:r>
          </w:p>
        </w:tc>
        <w:tc>
          <w:tcPr>
            <w:tcW w:w="1827" w:type="dxa"/>
            <w:vAlign w:val="center"/>
          </w:tcPr>
          <w:p w:rsidR="002C2DE0" w:rsidRPr="004C6E88" w:rsidRDefault="002C2DE0" w:rsidP="00E43B0B">
            <w:pPr>
              <w:rPr>
                <w:rFonts w:eastAsiaTheme="minorEastAsia"/>
                <w:color w:val="000000"/>
                <w:kern w:val="0"/>
                <w:sz w:val="24"/>
              </w:rPr>
            </w:pPr>
            <w:r w:rsidRPr="004C6E88">
              <w:rPr>
                <w:rFonts w:eastAsiaTheme="minorEastAsia"/>
                <w:sz w:val="24"/>
              </w:rPr>
              <w:t>证券</w:t>
            </w:r>
            <w:r w:rsidRPr="004C6E88">
              <w:rPr>
                <w:rFonts w:eastAsiaTheme="minorEastAsia"/>
                <w:sz w:val="24"/>
              </w:rPr>
              <w:t>B</w:t>
            </w:r>
          </w:p>
        </w:tc>
      </w:tr>
      <w:tr w:rsidR="003A768B" w:rsidRPr="00272E0C" w:rsidTr="00EB3E72">
        <w:tc>
          <w:tcPr>
            <w:tcW w:w="2835" w:type="dxa"/>
          </w:tcPr>
          <w:p w:rsidR="003A768B" w:rsidRPr="004C6E88" w:rsidRDefault="003A768B" w:rsidP="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t>下属</w:t>
            </w:r>
            <w:r w:rsidR="004C6E88" w:rsidRPr="004C6E88">
              <w:rPr>
                <w:rFonts w:eastAsiaTheme="minorEastAsia"/>
                <w:color w:val="000000"/>
                <w:sz w:val="24"/>
              </w:rPr>
              <w:t>分</w:t>
            </w:r>
            <w:r w:rsidRPr="004C6E88">
              <w:rPr>
                <w:rFonts w:eastAsiaTheme="minorEastAsia"/>
                <w:color w:val="000000"/>
                <w:sz w:val="24"/>
              </w:rPr>
              <w:t>级基金的交易代码</w:t>
            </w:r>
          </w:p>
        </w:tc>
        <w:tc>
          <w:tcPr>
            <w:tcW w:w="1826" w:type="dxa"/>
            <w:vAlign w:val="center"/>
          </w:tcPr>
          <w:p w:rsidR="003A768B" w:rsidRPr="004C6E88" w:rsidRDefault="003A768B" w:rsidP="007A6BEA">
            <w:pPr>
              <w:jc w:val="left"/>
              <w:rPr>
                <w:rFonts w:eastAsiaTheme="minorEastAsia"/>
                <w:sz w:val="24"/>
              </w:rPr>
            </w:pPr>
            <w:r w:rsidRPr="004C6E88">
              <w:rPr>
                <w:rFonts w:eastAsiaTheme="minorEastAsia"/>
                <w:sz w:val="24"/>
              </w:rPr>
              <w:t>502010</w:t>
            </w:r>
          </w:p>
        </w:tc>
        <w:tc>
          <w:tcPr>
            <w:tcW w:w="1826" w:type="dxa"/>
            <w:vAlign w:val="center"/>
          </w:tcPr>
          <w:p w:rsidR="003A768B" w:rsidRPr="004C6E88" w:rsidRDefault="003A768B" w:rsidP="007A6BEA">
            <w:pPr>
              <w:jc w:val="left"/>
              <w:rPr>
                <w:rFonts w:eastAsiaTheme="minorEastAsia"/>
                <w:sz w:val="24"/>
              </w:rPr>
            </w:pPr>
            <w:r w:rsidRPr="004C6E88">
              <w:rPr>
                <w:rFonts w:eastAsiaTheme="minorEastAsia"/>
                <w:sz w:val="24"/>
              </w:rPr>
              <w:t>502011</w:t>
            </w:r>
          </w:p>
        </w:tc>
        <w:tc>
          <w:tcPr>
            <w:tcW w:w="1827" w:type="dxa"/>
            <w:vAlign w:val="center"/>
          </w:tcPr>
          <w:p w:rsidR="003A768B" w:rsidRPr="004C6E88" w:rsidRDefault="003A768B" w:rsidP="007A6BEA">
            <w:pPr>
              <w:jc w:val="left"/>
              <w:rPr>
                <w:rFonts w:eastAsiaTheme="minorEastAsia"/>
                <w:sz w:val="24"/>
              </w:rPr>
            </w:pPr>
            <w:r w:rsidRPr="004C6E88">
              <w:rPr>
                <w:rFonts w:eastAsiaTheme="minorEastAsia"/>
                <w:sz w:val="24"/>
              </w:rPr>
              <w:t>502012</w:t>
            </w:r>
          </w:p>
        </w:tc>
      </w:tr>
      <w:tr w:rsidR="003A768B" w:rsidRPr="00272E0C" w:rsidTr="00EB3E72">
        <w:tc>
          <w:tcPr>
            <w:tcW w:w="2835" w:type="dxa"/>
          </w:tcPr>
          <w:p w:rsidR="003A768B" w:rsidRPr="004C6E88" w:rsidRDefault="003A768B" w:rsidP="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t>报告期末下属</w:t>
            </w:r>
            <w:r w:rsidR="004C6E88" w:rsidRPr="004C6E88">
              <w:rPr>
                <w:rFonts w:eastAsiaTheme="minorEastAsia"/>
                <w:color w:val="000000"/>
                <w:sz w:val="24"/>
              </w:rPr>
              <w:t>分</w:t>
            </w:r>
            <w:r w:rsidRPr="004C6E88">
              <w:rPr>
                <w:rFonts w:eastAsiaTheme="minorEastAsia"/>
                <w:color w:val="000000"/>
                <w:sz w:val="24"/>
              </w:rPr>
              <w:t>级基金的份额总额</w:t>
            </w:r>
          </w:p>
        </w:tc>
        <w:tc>
          <w:tcPr>
            <w:tcW w:w="1826" w:type="dxa"/>
            <w:vAlign w:val="center"/>
          </w:tcPr>
          <w:p w:rsidR="003A768B" w:rsidRPr="004C6E88" w:rsidRDefault="003A768B" w:rsidP="00057DD3">
            <w:pPr>
              <w:jc w:val="left"/>
              <w:rPr>
                <w:rFonts w:eastAsiaTheme="minorEastAsia"/>
                <w:sz w:val="24"/>
              </w:rPr>
            </w:pPr>
            <w:r w:rsidRPr="004C6E88">
              <w:rPr>
                <w:rFonts w:eastAsiaTheme="minorEastAsia"/>
                <w:sz w:val="24"/>
              </w:rPr>
              <w:t>482,022,966.69</w:t>
            </w:r>
            <w:r w:rsidRPr="004C6E88">
              <w:rPr>
                <w:rFonts w:eastAsiaTheme="minorEastAsia"/>
                <w:color w:val="000000"/>
                <w:kern w:val="0"/>
                <w:sz w:val="24"/>
              </w:rPr>
              <w:t>份</w:t>
            </w:r>
          </w:p>
        </w:tc>
        <w:tc>
          <w:tcPr>
            <w:tcW w:w="1826" w:type="dxa"/>
            <w:vAlign w:val="center"/>
          </w:tcPr>
          <w:p w:rsidR="003A768B" w:rsidRPr="004C6E88" w:rsidRDefault="003A768B" w:rsidP="00057DD3">
            <w:pPr>
              <w:jc w:val="left"/>
              <w:rPr>
                <w:rFonts w:eastAsiaTheme="minorEastAsia"/>
                <w:sz w:val="24"/>
              </w:rPr>
            </w:pPr>
            <w:r w:rsidRPr="004C6E88">
              <w:rPr>
                <w:rFonts w:eastAsiaTheme="minorEastAsia"/>
                <w:sz w:val="24"/>
              </w:rPr>
              <w:t>123,120,367.00</w:t>
            </w:r>
            <w:r w:rsidRPr="004C6E88">
              <w:rPr>
                <w:rFonts w:eastAsiaTheme="minorEastAsia"/>
                <w:color w:val="000000"/>
                <w:kern w:val="0"/>
                <w:sz w:val="24"/>
              </w:rPr>
              <w:t>份</w:t>
            </w:r>
          </w:p>
        </w:tc>
        <w:tc>
          <w:tcPr>
            <w:tcW w:w="1827" w:type="dxa"/>
            <w:vAlign w:val="center"/>
          </w:tcPr>
          <w:p w:rsidR="003A768B" w:rsidRPr="004C6E88" w:rsidRDefault="003A768B" w:rsidP="00057DD3">
            <w:pPr>
              <w:jc w:val="left"/>
              <w:rPr>
                <w:rFonts w:eastAsiaTheme="minorEastAsia"/>
                <w:sz w:val="24"/>
              </w:rPr>
            </w:pPr>
            <w:r w:rsidRPr="004C6E88">
              <w:rPr>
                <w:rFonts w:eastAsiaTheme="minorEastAsia"/>
                <w:sz w:val="24"/>
              </w:rPr>
              <w:t>123,120,367.00</w:t>
            </w:r>
            <w:r w:rsidRPr="004C6E88">
              <w:rPr>
                <w:rFonts w:eastAsiaTheme="minorEastAsia"/>
                <w:color w:val="000000"/>
                <w:kern w:val="0"/>
                <w:sz w:val="24"/>
              </w:rPr>
              <w:t>份</w:t>
            </w:r>
          </w:p>
        </w:tc>
      </w:tr>
      <w:tr w:rsidR="003A768B" w:rsidRPr="00272E0C" w:rsidTr="00EB3E72">
        <w:tc>
          <w:tcPr>
            <w:tcW w:w="2835" w:type="dxa"/>
          </w:tcPr>
          <w:p w:rsidR="003A768B" w:rsidRPr="004C6E88" w:rsidRDefault="003A768B" w:rsidP="004C6E88">
            <w:pPr>
              <w:adjustRightInd w:val="0"/>
              <w:spacing w:before="29" w:line="360" w:lineRule="auto"/>
              <w:ind w:left="17"/>
              <w:jc w:val="left"/>
              <w:rPr>
                <w:rFonts w:eastAsiaTheme="minorEastAsia"/>
                <w:sz w:val="24"/>
              </w:rPr>
            </w:pPr>
            <w:r w:rsidRPr="004C6E88">
              <w:rPr>
                <w:rFonts w:eastAsiaTheme="minorEastAsia"/>
                <w:color w:val="000000"/>
                <w:kern w:val="0"/>
                <w:sz w:val="24"/>
              </w:rPr>
              <w:t>下属</w:t>
            </w:r>
            <w:r w:rsidR="004C6E88" w:rsidRPr="004C6E88">
              <w:rPr>
                <w:rFonts w:eastAsiaTheme="minorEastAsia"/>
                <w:color w:val="000000"/>
                <w:kern w:val="0"/>
                <w:sz w:val="24"/>
              </w:rPr>
              <w:t>分</w:t>
            </w:r>
            <w:r w:rsidRPr="004C6E88">
              <w:rPr>
                <w:rFonts w:eastAsiaTheme="minorEastAsia"/>
                <w:color w:val="000000"/>
                <w:kern w:val="0"/>
                <w:sz w:val="24"/>
              </w:rPr>
              <w:t>级基金的</w:t>
            </w:r>
            <w:r w:rsidRPr="004C6E88">
              <w:rPr>
                <w:rFonts w:eastAsiaTheme="minorEastAsia"/>
                <w:kern w:val="0"/>
                <w:sz w:val="24"/>
              </w:rPr>
              <w:t>风险收益特征</w:t>
            </w:r>
          </w:p>
        </w:tc>
        <w:tc>
          <w:tcPr>
            <w:tcW w:w="1826" w:type="dxa"/>
          </w:tcPr>
          <w:p w:rsidR="003A768B" w:rsidRPr="004C6E88" w:rsidRDefault="003A768B" w:rsidP="00A008D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基础份额为股票型基金，其风险收益水平高于混合型基金、债券型基金和货币市场基金。</w:t>
            </w:r>
          </w:p>
        </w:tc>
        <w:tc>
          <w:tcPr>
            <w:tcW w:w="1826" w:type="dxa"/>
          </w:tcPr>
          <w:p w:rsidR="003A768B" w:rsidRPr="004C6E88" w:rsidRDefault="003A768B" w:rsidP="00A008D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与基础份额相比，</w:t>
            </w:r>
            <w:r w:rsidRPr="004C6E88">
              <w:rPr>
                <w:rFonts w:eastAsiaTheme="minorEastAsia"/>
                <w:color w:val="000000"/>
                <w:kern w:val="0"/>
                <w:sz w:val="24"/>
              </w:rPr>
              <w:t>A</w:t>
            </w:r>
            <w:r w:rsidRPr="004C6E88">
              <w:rPr>
                <w:rFonts w:eastAsiaTheme="minorEastAsia"/>
                <w:color w:val="000000"/>
                <w:kern w:val="0"/>
                <w:sz w:val="24"/>
              </w:rPr>
              <w:t>类份额的预期收益和预期风险低于基础份额。</w:t>
            </w:r>
          </w:p>
        </w:tc>
        <w:tc>
          <w:tcPr>
            <w:tcW w:w="1827" w:type="dxa"/>
          </w:tcPr>
          <w:p w:rsidR="003A768B" w:rsidRPr="004C6E88" w:rsidRDefault="003A768B" w:rsidP="00A008D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与基础份额相比，</w:t>
            </w:r>
            <w:r w:rsidRPr="004C6E88">
              <w:rPr>
                <w:rFonts w:eastAsiaTheme="minorEastAsia"/>
                <w:color w:val="000000"/>
                <w:kern w:val="0"/>
                <w:sz w:val="24"/>
              </w:rPr>
              <w:t>B</w:t>
            </w:r>
            <w:r w:rsidRPr="004C6E88">
              <w:rPr>
                <w:rFonts w:eastAsiaTheme="minorEastAsia"/>
                <w:color w:val="000000"/>
                <w:kern w:val="0"/>
                <w:sz w:val="24"/>
              </w:rPr>
              <w:t>类份额的预期收益和预期风险高于基础份额。</w:t>
            </w:r>
          </w:p>
        </w:tc>
      </w:tr>
    </w:tbl>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 xml:space="preserve">3  </w:t>
      </w:r>
      <w:r w:rsidRPr="00272E0C">
        <w:rPr>
          <w:rFonts w:ascii="宋体" w:hAnsi="宋体" w:cs="Arial" w:hint="eastAsia"/>
          <w:color w:val="000000"/>
          <w:kern w:val="0"/>
          <w:sz w:val="24"/>
          <w:szCs w:val="24"/>
        </w:rPr>
        <w:t>主要财务指标和基金净值表现</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3.1 </w:t>
      </w:r>
      <w:r w:rsidRPr="00272E0C">
        <w:rPr>
          <w:rFonts w:ascii="宋体" w:hAnsi="宋体" w:cs="Arial" w:hint="eastAsia"/>
          <w:b/>
          <w:color w:val="000000"/>
          <w:kern w:val="0"/>
          <w:sz w:val="24"/>
        </w:rPr>
        <w:t>主要财务指标</w:t>
      </w:r>
    </w:p>
    <w:p w:rsidR="0008378B" w:rsidRPr="006506EF" w:rsidRDefault="0008378B" w:rsidP="0008378B">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08378B" w:rsidRPr="006506EF" w:rsidTr="005D3A22">
        <w:tc>
          <w:tcPr>
            <w:tcW w:w="3402" w:type="dxa"/>
            <w:vAlign w:val="center"/>
          </w:tcPr>
          <w:p w:rsidR="0008378B" w:rsidRPr="006506EF" w:rsidRDefault="0008378B" w:rsidP="005D3A22">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08378B" w:rsidRPr="006506EF" w:rsidRDefault="0008378B" w:rsidP="005D3A22">
            <w:pPr>
              <w:adjustRightInd w:val="0"/>
              <w:spacing w:before="29" w:line="360" w:lineRule="auto"/>
              <w:ind w:left="17"/>
              <w:jc w:val="center"/>
              <w:rPr>
                <w:color w:val="000000"/>
                <w:sz w:val="24"/>
              </w:rPr>
            </w:pPr>
            <w:r w:rsidRPr="006506EF">
              <w:rPr>
                <w:color w:val="000000"/>
                <w:sz w:val="24"/>
              </w:rPr>
              <w:t>报告期</w:t>
            </w:r>
          </w:p>
          <w:p w:rsidR="0008378B" w:rsidRPr="006506EF" w:rsidRDefault="0008378B" w:rsidP="005D3A22">
            <w:pPr>
              <w:adjustRightInd w:val="0"/>
              <w:spacing w:before="29" w:line="360" w:lineRule="auto"/>
              <w:ind w:left="17"/>
              <w:jc w:val="center"/>
              <w:rPr>
                <w:color w:val="000000"/>
                <w:sz w:val="24"/>
              </w:rPr>
            </w:pPr>
            <w:r w:rsidRPr="006506EF">
              <w:rPr>
                <w:color w:val="000000"/>
                <w:sz w:val="24"/>
              </w:rPr>
              <w:t>(2019</w:t>
            </w:r>
            <w:r w:rsidRPr="006506EF">
              <w:rPr>
                <w:color w:val="000000"/>
                <w:sz w:val="24"/>
              </w:rPr>
              <w:t>年</w:t>
            </w:r>
            <w:r w:rsidRPr="006506EF">
              <w:rPr>
                <w:color w:val="000000"/>
                <w:sz w:val="24"/>
              </w:rPr>
              <w:t>10</w:t>
            </w:r>
            <w:r w:rsidRPr="006506EF">
              <w:rPr>
                <w:color w:val="000000"/>
                <w:sz w:val="24"/>
              </w:rPr>
              <w:t>月</w:t>
            </w:r>
            <w:r w:rsidRPr="006506EF">
              <w:rPr>
                <w:color w:val="000000"/>
                <w:sz w:val="24"/>
              </w:rPr>
              <w:t>1</w:t>
            </w:r>
            <w:r w:rsidRPr="006506EF">
              <w:rPr>
                <w:color w:val="000000"/>
                <w:sz w:val="24"/>
              </w:rPr>
              <w:t>日</w:t>
            </w:r>
            <w:r w:rsidRPr="006506EF">
              <w:rPr>
                <w:color w:val="000000"/>
                <w:sz w:val="24"/>
              </w:rPr>
              <w:t>-2019</w:t>
            </w:r>
            <w:r w:rsidRPr="006506EF">
              <w:rPr>
                <w:color w:val="000000"/>
                <w:sz w:val="24"/>
              </w:rPr>
              <w:t>年</w:t>
            </w:r>
            <w:r w:rsidRPr="006506EF">
              <w:rPr>
                <w:color w:val="000000"/>
                <w:sz w:val="24"/>
              </w:rPr>
              <w:t>12</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08378B" w:rsidRPr="006506EF" w:rsidRDefault="0008378B" w:rsidP="005D3A22">
            <w:pPr>
              <w:adjustRightInd w:val="0"/>
              <w:spacing w:before="29" w:line="360" w:lineRule="auto"/>
              <w:ind w:left="17"/>
              <w:jc w:val="center"/>
              <w:rPr>
                <w:color w:val="000000"/>
                <w:sz w:val="24"/>
              </w:rPr>
            </w:pPr>
            <w:r w:rsidRPr="006506EF">
              <w:rPr>
                <w:color w:val="000000"/>
                <w:sz w:val="24"/>
              </w:rPr>
              <w:t>上期金额</w:t>
            </w:r>
          </w:p>
        </w:tc>
      </w:tr>
      <w:tr w:rsidR="0008378B" w:rsidRPr="006506EF" w:rsidTr="005D3A22">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4,993,212.05</w:t>
            </w:r>
          </w:p>
        </w:tc>
        <w:tc>
          <w:tcPr>
            <w:tcW w:w="2410" w:type="dxa"/>
            <w:hMerge/>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78,428,390.65</w:t>
            </w:r>
          </w:p>
        </w:tc>
        <w:tc>
          <w:tcPr>
            <w:tcW w:w="2410" w:type="dxa"/>
            <w:hMerge/>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0.1039</w:t>
            </w:r>
          </w:p>
        </w:tc>
        <w:tc>
          <w:tcPr>
            <w:tcW w:w="2410" w:type="dxa"/>
            <w:hMerge/>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808,685,678.92</w:t>
            </w:r>
          </w:p>
        </w:tc>
        <w:tc>
          <w:tcPr>
            <w:tcW w:w="2410" w:type="dxa"/>
            <w:hMerge/>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r w:rsidR="0008378B" w:rsidRPr="006506EF" w:rsidTr="005D3A22">
        <w:trPr>
          <w:trHeight w:val="158"/>
        </w:trPr>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1.1104</w:t>
            </w:r>
          </w:p>
        </w:tc>
        <w:tc>
          <w:tcPr>
            <w:tcW w:w="2410" w:type="dxa"/>
            <w:hMerge/>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bl>
    <w:p w:rsidR="00F126DA" w:rsidRDefault="00650633">
      <w:pPr>
        <w:spacing w:line="360" w:lineRule="auto"/>
        <w:ind w:firstLineChars="200" w:firstLine="480"/>
        <w:rPr>
          <w:color w:val="000000"/>
          <w:sz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1C36D8" w:rsidRPr="00E43B0B" w:rsidRDefault="0008378B" w:rsidP="00E43B0B">
      <w:pPr>
        <w:spacing w:line="360" w:lineRule="auto"/>
        <w:ind w:firstLineChars="200" w:firstLine="480"/>
        <w:rPr>
          <w:color w:val="000000"/>
          <w:sz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3.2 </w:t>
      </w:r>
      <w:r w:rsidRPr="00272E0C">
        <w:rPr>
          <w:rFonts w:ascii="宋体" w:hAnsi="宋体" w:cs="Arial" w:hint="eastAsia"/>
          <w:b/>
          <w:color w:val="000000"/>
          <w:kern w:val="0"/>
          <w:sz w:val="24"/>
        </w:rPr>
        <w:t>基金净值表现</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cs="Arial"/>
            <w:b/>
            <w:color w:val="000000"/>
            <w:kern w:val="0"/>
            <w:sz w:val="24"/>
          </w:rPr>
          <w:t>3.2.1</w:t>
        </w:r>
      </w:smartTag>
      <w:r w:rsidRPr="00272E0C">
        <w:rPr>
          <w:rFonts w:ascii="宋体" w:hAnsi="宋体" w:cs="Arial" w:hint="eastAsia"/>
          <w:b/>
          <w:color w:val="000000"/>
          <w:kern w:val="0"/>
          <w:sz w:val="24"/>
        </w:rPr>
        <w:t>本报告期基金份额净值增长率及其与同期业绩比较基准收益率的比较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5"/>
        <w:gridCol w:w="1216"/>
        <w:gridCol w:w="1216"/>
        <w:gridCol w:w="1216"/>
        <w:gridCol w:w="1216"/>
        <w:gridCol w:w="1217"/>
        <w:gridCol w:w="1217"/>
      </w:tblGrid>
      <w:tr w:rsidR="001C36D8" w:rsidRPr="00272E0C" w:rsidTr="001A09F9">
        <w:tc>
          <w:tcPr>
            <w:tcW w:w="1215" w:type="dxa"/>
            <w:vAlign w:val="center"/>
          </w:tcPr>
          <w:p w:rsidR="001C36D8" w:rsidRPr="00E43B0B" w:rsidRDefault="001C36D8" w:rsidP="001A09F9">
            <w:pPr>
              <w:snapToGrid w:val="0"/>
              <w:spacing w:line="288" w:lineRule="auto"/>
              <w:jc w:val="center"/>
              <w:rPr>
                <w:color w:val="000000"/>
                <w:sz w:val="24"/>
              </w:rPr>
            </w:pPr>
            <w:r w:rsidRPr="00E43B0B">
              <w:rPr>
                <w:color w:val="000000"/>
                <w:sz w:val="24"/>
              </w:rPr>
              <w:t>阶段</w:t>
            </w:r>
          </w:p>
        </w:tc>
        <w:tc>
          <w:tcPr>
            <w:tcW w:w="1216" w:type="dxa"/>
            <w:vAlign w:val="center"/>
          </w:tcPr>
          <w:p w:rsidR="001C36D8" w:rsidRPr="00E43B0B" w:rsidRDefault="001C36D8" w:rsidP="001A09F9">
            <w:pPr>
              <w:snapToGrid w:val="0"/>
              <w:spacing w:line="288" w:lineRule="auto"/>
              <w:jc w:val="center"/>
              <w:rPr>
                <w:color w:val="000000"/>
                <w:sz w:val="24"/>
                <w:highlight w:val="green"/>
              </w:rPr>
            </w:pPr>
            <w:r w:rsidRPr="00E43B0B">
              <w:rPr>
                <w:color w:val="000000"/>
                <w:sz w:val="24"/>
              </w:rPr>
              <w:t>净值增长率</w:t>
            </w:r>
            <w:r w:rsidRPr="00E43B0B">
              <w:rPr>
                <w:rFonts w:ascii="宋体" w:hAnsi="宋体" w:cs="宋体" w:hint="eastAsia"/>
                <w:color w:val="000000"/>
                <w:sz w:val="24"/>
              </w:rPr>
              <w:t>①</w:t>
            </w:r>
          </w:p>
        </w:tc>
        <w:tc>
          <w:tcPr>
            <w:tcW w:w="1216" w:type="dxa"/>
            <w:vAlign w:val="center"/>
          </w:tcPr>
          <w:p w:rsidR="001C36D8" w:rsidRPr="00E43B0B" w:rsidRDefault="001C36D8" w:rsidP="001A09F9">
            <w:pPr>
              <w:snapToGrid w:val="0"/>
              <w:spacing w:line="288" w:lineRule="auto"/>
              <w:jc w:val="center"/>
              <w:rPr>
                <w:color w:val="000000"/>
                <w:sz w:val="24"/>
                <w:highlight w:val="green"/>
              </w:rPr>
            </w:pPr>
            <w:r w:rsidRPr="00E43B0B">
              <w:rPr>
                <w:color w:val="000000"/>
                <w:sz w:val="24"/>
              </w:rPr>
              <w:t>净值增长率标准差</w:t>
            </w:r>
            <w:r w:rsidRPr="00E43B0B">
              <w:rPr>
                <w:rFonts w:ascii="宋体" w:hAnsi="宋体" w:cs="宋体" w:hint="eastAsia"/>
                <w:color w:val="000000"/>
                <w:sz w:val="24"/>
              </w:rPr>
              <w:t>②</w:t>
            </w:r>
          </w:p>
        </w:tc>
        <w:tc>
          <w:tcPr>
            <w:tcW w:w="1216" w:type="dxa"/>
            <w:vAlign w:val="center"/>
          </w:tcPr>
          <w:p w:rsidR="001C36D8" w:rsidRPr="00E43B0B" w:rsidRDefault="001C36D8" w:rsidP="001A09F9">
            <w:pPr>
              <w:snapToGrid w:val="0"/>
              <w:spacing w:line="288" w:lineRule="auto"/>
              <w:jc w:val="center"/>
              <w:rPr>
                <w:color w:val="000000"/>
                <w:sz w:val="24"/>
              </w:rPr>
            </w:pPr>
            <w:r w:rsidRPr="00E43B0B">
              <w:rPr>
                <w:color w:val="000000"/>
                <w:sz w:val="24"/>
              </w:rPr>
              <w:t>业绩比较基准收益率</w:t>
            </w:r>
            <w:r w:rsidRPr="00E43B0B">
              <w:rPr>
                <w:rFonts w:ascii="宋体" w:hAnsi="宋体" w:cs="宋体" w:hint="eastAsia"/>
                <w:color w:val="000000"/>
                <w:sz w:val="24"/>
              </w:rPr>
              <w:t>③</w:t>
            </w:r>
          </w:p>
        </w:tc>
        <w:tc>
          <w:tcPr>
            <w:tcW w:w="1216" w:type="dxa"/>
            <w:vAlign w:val="center"/>
          </w:tcPr>
          <w:p w:rsidR="001C36D8" w:rsidRPr="00E43B0B" w:rsidRDefault="001C36D8" w:rsidP="001A09F9">
            <w:pPr>
              <w:snapToGrid w:val="0"/>
              <w:spacing w:line="288" w:lineRule="auto"/>
              <w:jc w:val="center"/>
              <w:rPr>
                <w:color w:val="000000"/>
                <w:sz w:val="24"/>
              </w:rPr>
            </w:pPr>
            <w:r w:rsidRPr="00E43B0B">
              <w:rPr>
                <w:color w:val="000000"/>
                <w:sz w:val="24"/>
              </w:rPr>
              <w:t>业绩比较基准收益率标准差</w:t>
            </w:r>
            <w:r w:rsidRPr="00E43B0B">
              <w:rPr>
                <w:rFonts w:ascii="宋体" w:hAnsi="宋体" w:cs="宋体" w:hint="eastAsia"/>
                <w:color w:val="000000"/>
                <w:sz w:val="24"/>
              </w:rPr>
              <w:t>④</w:t>
            </w:r>
          </w:p>
        </w:tc>
        <w:tc>
          <w:tcPr>
            <w:tcW w:w="1217" w:type="dxa"/>
            <w:vAlign w:val="center"/>
          </w:tcPr>
          <w:p w:rsidR="001C36D8" w:rsidRPr="00E43B0B" w:rsidRDefault="001C36D8" w:rsidP="001A09F9">
            <w:pPr>
              <w:snapToGrid w:val="0"/>
              <w:spacing w:line="288" w:lineRule="auto"/>
              <w:jc w:val="center"/>
              <w:rPr>
                <w:color w:val="000000"/>
                <w:sz w:val="24"/>
              </w:rPr>
            </w:pPr>
            <w:r w:rsidRPr="00E43B0B">
              <w:rPr>
                <w:rFonts w:ascii="宋体" w:hAnsi="宋体" w:cs="宋体" w:hint="eastAsia"/>
                <w:color w:val="000000"/>
                <w:sz w:val="24"/>
              </w:rPr>
              <w:t>①</w:t>
            </w:r>
            <w:r w:rsidRPr="00E43B0B">
              <w:rPr>
                <w:color w:val="000000"/>
                <w:sz w:val="24"/>
              </w:rPr>
              <w:t>－</w:t>
            </w:r>
            <w:r w:rsidRPr="00E43B0B">
              <w:rPr>
                <w:rFonts w:ascii="宋体" w:hAnsi="宋体" w:cs="宋体" w:hint="eastAsia"/>
                <w:color w:val="000000"/>
                <w:sz w:val="24"/>
              </w:rPr>
              <w:t>③</w:t>
            </w:r>
          </w:p>
        </w:tc>
        <w:tc>
          <w:tcPr>
            <w:tcW w:w="1217" w:type="dxa"/>
            <w:vAlign w:val="center"/>
          </w:tcPr>
          <w:p w:rsidR="001C36D8" w:rsidRPr="00E43B0B" w:rsidRDefault="001C36D8" w:rsidP="001A09F9">
            <w:pPr>
              <w:snapToGrid w:val="0"/>
              <w:spacing w:line="288" w:lineRule="auto"/>
              <w:jc w:val="center"/>
              <w:rPr>
                <w:color w:val="000000"/>
                <w:sz w:val="24"/>
              </w:rPr>
            </w:pPr>
            <w:r w:rsidRPr="00E43B0B">
              <w:rPr>
                <w:rFonts w:ascii="宋体" w:hAnsi="宋体" w:cs="宋体" w:hint="eastAsia"/>
                <w:color w:val="000000"/>
                <w:sz w:val="24"/>
              </w:rPr>
              <w:t>②</w:t>
            </w:r>
            <w:r w:rsidRPr="00E43B0B">
              <w:rPr>
                <w:color w:val="000000"/>
                <w:sz w:val="24"/>
              </w:rPr>
              <w:t>－</w:t>
            </w:r>
            <w:r w:rsidRPr="00E43B0B">
              <w:rPr>
                <w:rFonts w:ascii="宋体" w:hAnsi="宋体" w:cs="宋体" w:hint="eastAsia"/>
                <w:color w:val="000000"/>
                <w:sz w:val="24"/>
              </w:rPr>
              <w:t>④</w:t>
            </w:r>
          </w:p>
        </w:tc>
      </w:tr>
      <w:tr w:rsidR="00F126DA">
        <w:tc>
          <w:tcPr>
            <w:tcW w:w="0" w:type="auto"/>
            <w:vAlign w:val="center"/>
          </w:tcPr>
          <w:p w:rsidR="00F126DA" w:rsidRDefault="00650633">
            <w:pPr>
              <w:jc w:val="left"/>
            </w:pPr>
            <w:r>
              <w:rPr>
                <w:color w:val="000000"/>
                <w:sz w:val="24"/>
              </w:rPr>
              <w:t>过去三个月</w:t>
            </w:r>
          </w:p>
        </w:tc>
        <w:tc>
          <w:tcPr>
            <w:tcW w:w="0" w:type="auto"/>
            <w:vAlign w:val="center"/>
          </w:tcPr>
          <w:p w:rsidR="00F126DA" w:rsidRDefault="00650633">
            <w:pPr>
              <w:jc w:val="center"/>
            </w:pPr>
            <w:r>
              <w:rPr>
                <w:color w:val="000000"/>
                <w:sz w:val="24"/>
              </w:rPr>
              <w:t>10.41%</w:t>
            </w:r>
          </w:p>
        </w:tc>
        <w:tc>
          <w:tcPr>
            <w:tcW w:w="0" w:type="auto"/>
            <w:vAlign w:val="center"/>
          </w:tcPr>
          <w:p w:rsidR="00F126DA" w:rsidRDefault="00650633">
            <w:pPr>
              <w:jc w:val="center"/>
            </w:pPr>
            <w:r>
              <w:rPr>
                <w:color w:val="000000"/>
                <w:sz w:val="24"/>
              </w:rPr>
              <w:t>1.36%</w:t>
            </w:r>
          </w:p>
        </w:tc>
        <w:tc>
          <w:tcPr>
            <w:tcW w:w="0" w:type="auto"/>
            <w:vAlign w:val="center"/>
          </w:tcPr>
          <w:p w:rsidR="00F126DA" w:rsidRDefault="00650633">
            <w:pPr>
              <w:jc w:val="center"/>
            </w:pPr>
            <w:r>
              <w:rPr>
                <w:color w:val="000000"/>
                <w:sz w:val="24"/>
              </w:rPr>
              <w:t>10.29%</w:t>
            </w:r>
          </w:p>
        </w:tc>
        <w:tc>
          <w:tcPr>
            <w:tcW w:w="0" w:type="auto"/>
            <w:vAlign w:val="center"/>
          </w:tcPr>
          <w:p w:rsidR="00F126DA" w:rsidRDefault="00650633">
            <w:pPr>
              <w:jc w:val="center"/>
            </w:pPr>
            <w:r>
              <w:rPr>
                <w:color w:val="000000"/>
                <w:sz w:val="24"/>
              </w:rPr>
              <w:t>1.36%</w:t>
            </w:r>
          </w:p>
        </w:tc>
        <w:tc>
          <w:tcPr>
            <w:tcW w:w="0" w:type="auto"/>
            <w:vAlign w:val="center"/>
          </w:tcPr>
          <w:p w:rsidR="00F126DA" w:rsidRDefault="00650633">
            <w:pPr>
              <w:jc w:val="center"/>
            </w:pPr>
            <w:r>
              <w:rPr>
                <w:color w:val="000000"/>
                <w:sz w:val="24"/>
              </w:rPr>
              <w:t>0.12%</w:t>
            </w:r>
          </w:p>
        </w:tc>
        <w:tc>
          <w:tcPr>
            <w:tcW w:w="0" w:type="auto"/>
            <w:vAlign w:val="center"/>
          </w:tcPr>
          <w:p w:rsidR="00F126DA" w:rsidRDefault="00650633">
            <w:pPr>
              <w:jc w:val="center"/>
            </w:pPr>
            <w:r>
              <w:rPr>
                <w:color w:val="000000"/>
                <w:sz w:val="24"/>
              </w:rPr>
              <w:t>0.00%</w:t>
            </w:r>
          </w:p>
        </w:tc>
      </w:tr>
    </w:tbl>
    <w:p w:rsidR="001C36D8" w:rsidRPr="00272E0C" w:rsidRDefault="001C36D8" w:rsidP="003A4DA3">
      <w:pPr>
        <w:spacing w:line="360" w:lineRule="auto"/>
        <w:rPr>
          <w:rFonts w:ascii="宋体" w:cs="Arial"/>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cs="Arial"/>
            <w:b/>
            <w:color w:val="000000"/>
            <w:kern w:val="0"/>
            <w:sz w:val="24"/>
          </w:rPr>
          <w:t>3.2.2</w:t>
        </w:r>
        <w:r w:rsidR="00193F07" w:rsidRPr="00370BEA">
          <w:rPr>
            <w:rStyle w:val="af8"/>
            <w:rFonts w:hint="eastAsia"/>
            <w:color w:val="000000"/>
            <w:sz w:val="24"/>
            <w:shd w:val="clear" w:color="auto" w:fill="FFFFFF"/>
          </w:rPr>
          <w:t>自基金合同生效以来</w:t>
        </w:r>
      </w:smartTag>
      <w:r w:rsidRPr="00272E0C">
        <w:rPr>
          <w:rFonts w:ascii="宋体" w:hAnsi="宋体" w:hint="eastAsia"/>
          <w:b/>
          <w:bCs/>
          <w:color w:val="000000"/>
          <w:sz w:val="24"/>
        </w:rPr>
        <w:t>基金累计净值增长率变动及其与同期业绩比较基准收益率变动的比较</w:t>
      </w:r>
    </w:p>
    <w:p w:rsidR="001C36D8" w:rsidRPr="00E43B0B" w:rsidRDefault="001C36D8" w:rsidP="003A4DA3">
      <w:pPr>
        <w:spacing w:line="360" w:lineRule="auto"/>
        <w:jc w:val="center"/>
        <w:rPr>
          <w:sz w:val="24"/>
        </w:rPr>
      </w:pPr>
      <w:r w:rsidRPr="00E43B0B">
        <w:rPr>
          <w:sz w:val="24"/>
        </w:rPr>
        <w:t>易方达证券公司指数分级证券投资基金</w:t>
      </w:r>
    </w:p>
    <w:p w:rsidR="001C36D8" w:rsidRPr="00E43B0B" w:rsidRDefault="006F4C30" w:rsidP="003A4DA3">
      <w:pPr>
        <w:pStyle w:val="a5"/>
        <w:snapToGrid w:val="0"/>
        <w:spacing w:line="360" w:lineRule="auto"/>
        <w:jc w:val="center"/>
        <w:rPr>
          <w:rFonts w:ascii="Times New Roman" w:hAnsi="Times New Roman"/>
          <w:color w:val="000000"/>
          <w:sz w:val="24"/>
          <w:szCs w:val="24"/>
        </w:rPr>
      </w:pPr>
      <w:r w:rsidRPr="00E43B0B">
        <w:rPr>
          <w:rFonts w:ascii="Times New Roman" w:hAnsi="Times New Roman"/>
          <w:color w:val="000000"/>
          <w:sz w:val="24"/>
          <w:szCs w:val="24"/>
        </w:rPr>
        <w:t>累计</w:t>
      </w:r>
      <w:r w:rsidR="001C36D8" w:rsidRPr="00E43B0B">
        <w:rPr>
          <w:rFonts w:ascii="Times New Roman" w:hAnsi="Times New Roman"/>
          <w:color w:val="000000"/>
          <w:sz w:val="24"/>
          <w:szCs w:val="24"/>
        </w:rPr>
        <w:t>净值增长率与业绩比较基准收益率历史走势对比图</w:t>
      </w:r>
    </w:p>
    <w:p w:rsidR="001C36D8" w:rsidRPr="00E43B0B" w:rsidRDefault="001C36D8" w:rsidP="003A4DA3">
      <w:pPr>
        <w:spacing w:line="360" w:lineRule="auto"/>
        <w:jc w:val="center"/>
        <w:rPr>
          <w:sz w:val="24"/>
        </w:rPr>
      </w:pPr>
      <w:r w:rsidRPr="00E43B0B">
        <w:rPr>
          <w:color w:val="000000"/>
          <w:kern w:val="0"/>
          <w:sz w:val="24"/>
        </w:rPr>
        <w:t>（</w:t>
      </w:r>
      <w:r w:rsidRPr="00E43B0B">
        <w:rPr>
          <w:color w:val="000000"/>
          <w:kern w:val="0"/>
          <w:sz w:val="24"/>
        </w:rPr>
        <w:t>2015</w:t>
      </w:r>
      <w:r w:rsidRPr="00E43B0B">
        <w:rPr>
          <w:color w:val="000000"/>
          <w:kern w:val="0"/>
          <w:sz w:val="24"/>
        </w:rPr>
        <w:t>年</w:t>
      </w:r>
      <w:r w:rsidRPr="00E43B0B">
        <w:rPr>
          <w:color w:val="000000"/>
          <w:kern w:val="0"/>
          <w:sz w:val="24"/>
        </w:rPr>
        <w:t>7</w:t>
      </w:r>
      <w:r w:rsidRPr="00E43B0B">
        <w:rPr>
          <w:color w:val="000000"/>
          <w:kern w:val="0"/>
          <w:sz w:val="24"/>
        </w:rPr>
        <w:t>月</w:t>
      </w:r>
      <w:r w:rsidRPr="00E43B0B">
        <w:rPr>
          <w:color w:val="000000"/>
          <w:kern w:val="0"/>
          <w:sz w:val="24"/>
        </w:rPr>
        <w:t>8</w:t>
      </w:r>
      <w:r w:rsidRPr="00E43B0B">
        <w:rPr>
          <w:color w:val="000000"/>
          <w:kern w:val="0"/>
          <w:sz w:val="24"/>
        </w:rPr>
        <w:t>日至</w:t>
      </w:r>
      <w:r w:rsidRPr="00E43B0B">
        <w:rPr>
          <w:color w:val="000000"/>
          <w:kern w:val="0"/>
          <w:sz w:val="24"/>
        </w:rPr>
        <w:t>2019</w:t>
      </w:r>
      <w:r w:rsidRPr="00E43B0B">
        <w:rPr>
          <w:color w:val="000000"/>
          <w:kern w:val="0"/>
          <w:sz w:val="24"/>
        </w:rPr>
        <w:t>年</w:t>
      </w:r>
      <w:r w:rsidRPr="00E43B0B">
        <w:rPr>
          <w:color w:val="000000"/>
          <w:kern w:val="0"/>
          <w:sz w:val="24"/>
        </w:rPr>
        <w:t>12</w:t>
      </w:r>
      <w:r w:rsidRPr="00E43B0B">
        <w:rPr>
          <w:color w:val="000000"/>
          <w:kern w:val="0"/>
          <w:sz w:val="24"/>
        </w:rPr>
        <w:t>月</w:t>
      </w:r>
      <w:r w:rsidRPr="00E43B0B">
        <w:rPr>
          <w:color w:val="000000"/>
          <w:kern w:val="0"/>
          <w:sz w:val="24"/>
        </w:rPr>
        <w:t>31</w:t>
      </w:r>
      <w:r w:rsidRPr="00E43B0B">
        <w:rPr>
          <w:color w:val="000000"/>
          <w:kern w:val="0"/>
          <w:sz w:val="24"/>
        </w:rPr>
        <w:t>日）</w:t>
      </w:r>
    </w:p>
    <w:p w:rsidR="001C36D8" w:rsidRPr="00272E0C" w:rsidRDefault="00650633" w:rsidP="0042253F">
      <w:pPr>
        <w:tabs>
          <w:tab w:val="left" w:pos="1800"/>
        </w:tabs>
        <w:spacing w:line="360" w:lineRule="auto"/>
        <w:jc w:val="center"/>
        <w:rPr>
          <w:rFonts w:ascii="宋体"/>
          <w:color w:val="000000"/>
          <w:sz w:val="24"/>
        </w:rPr>
      </w:pPr>
      <w:r>
        <w:rPr>
          <w:rFonts w:ascii="宋体"/>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1.75pt;height:241.5pt;visibility:visible">
            <v:imagedata r:id="rId9" o:title=""/>
          </v:shape>
        </w:pict>
      </w:r>
    </w:p>
    <w:p w:rsidR="001C36D8" w:rsidRPr="00E43B0B" w:rsidRDefault="001C36D8" w:rsidP="00E43B0B">
      <w:pPr>
        <w:spacing w:line="360" w:lineRule="auto"/>
        <w:ind w:firstLineChars="200" w:firstLine="480"/>
        <w:rPr>
          <w:color w:val="000000"/>
          <w:sz w:val="24"/>
        </w:rPr>
      </w:pPr>
      <w:r w:rsidRPr="003D22BD">
        <w:rPr>
          <w:color w:val="000000"/>
          <w:sz w:val="24"/>
        </w:rPr>
        <w:t>注：自基金合同生效至报告期末，基金份额净值增长率为</w:t>
      </w:r>
      <w:r w:rsidRPr="003D22BD">
        <w:rPr>
          <w:color w:val="000000"/>
          <w:sz w:val="24"/>
        </w:rPr>
        <w:t>-25.31%</w:t>
      </w:r>
      <w:r w:rsidRPr="003D22BD">
        <w:rPr>
          <w:color w:val="000000"/>
          <w:sz w:val="24"/>
        </w:rPr>
        <w:t>，同期业绩比较基准收益率为</w:t>
      </w:r>
      <w:r w:rsidRPr="003D22BD">
        <w:rPr>
          <w:color w:val="000000"/>
          <w:sz w:val="24"/>
        </w:rPr>
        <w:t>-31.33%</w:t>
      </w:r>
      <w:r w:rsidRPr="003D22BD">
        <w:rPr>
          <w:color w:val="000000"/>
          <w:sz w:val="24"/>
        </w:rPr>
        <w:t>。</w:t>
      </w:r>
    </w:p>
    <w:p w:rsidR="001C36D8" w:rsidRPr="00E43B0B" w:rsidRDefault="001C36D8" w:rsidP="00D3705B">
      <w:pPr>
        <w:tabs>
          <w:tab w:val="left" w:pos="1800"/>
        </w:tabs>
        <w:spacing w:line="288" w:lineRule="auto"/>
        <w:rPr>
          <w:color w:val="000000"/>
          <w:sz w:val="24"/>
        </w:rPr>
      </w:pP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 xml:space="preserve">4  </w:t>
      </w:r>
      <w:r w:rsidRPr="00272E0C">
        <w:rPr>
          <w:rFonts w:ascii="宋体" w:hAnsi="宋体" w:cs="Arial" w:hint="eastAsia"/>
          <w:color w:val="000000"/>
          <w:kern w:val="0"/>
          <w:sz w:val="24"/>
          <w:szCs w:val="24"/>
        </w:rPr>
        <w:t>管理人报告</w:t>
      </w:r>
    </w:p>
    <w:p w:rsidR="005C6DF3" w:rsidRPr="0078105B" w:rsidRDefault="001C36D8" w:rsidP="005C6DF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4.1 </w:t>
      </w:r>
      <w:r w:rsidRPr="00272E0C">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5C6DF3" w:rsidRPr="0078105B" w:rsidTr="00B7074C">
        <w:trPr>
          <w:cantSplit/>
        </w:trPr>
        <w:tc>
          <w:tcPr>
            <w:tcW w:w="567" w:type="dxa"/>
            <w:vMerge w:val="restart"/>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5C6DF3" w:rsidRPr="0078105B" w:rsidTr="00B7074C">
        <w:trPr>
          <w:cantSplit/>
        </w:trPr>
        <w:tc>
          <w:tcPr>
            <w:tcW w:w="567" w:type="dxa"/>
            <w:vMerge/>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p>
        </w:tc>
        <w:tc>
          <w:tcPr>
            <w:tcW w:w="2835" w:type="dxa"/>
            <w:vMerge/>
          </w:tcPr>
          <w:p w:rsidR="005C6DF3" w:rsidRPr="00FA472B" w:rsidRDefault="005C6DF3" w:rsidP="00B7074C">
            <w:pPr>
              <w:autoSpaceDE w:val="0"/>
              <w:autoSpaceDN w:val="0"/>
              <w:adjustRightInd w:val="0"/>
              <w:spacing w:before="29" w:line="288" w:lineRule="auto"/>
              <w:ind w:left="15"/>
              <w:jc w:val="center"/>
              <w:rPr>
                <w:color w:val="000000"/>
                <w:kern w:val="0"/>
                <w:sz w:val="24"/>
              </w:rPr>
            </w:pPr>
          </w:p>
        </w:tc>
        <w:tc>
          <w:tcPr>
            <w:tcW w:w="851" w:type="dxa"/>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p>
        </w:tc>
        <w:tc>
          <w:tcPr>
            <w:tcW w:w="2977" w:type="dxa"/>
            <w:vMerge/>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p>
        </w:tc>
      </w:tr>
      <w:tr w:rsidR="00F126DA">
        <w:tc>
          <w:tcPr>
            <w:tcW w:w="0" w:type="auto"/>
            <w:vAlign w:val="center"/>
          </w:tcPr>
          <w:p w:rsidR="00F126DA" w:rsidRDefault="00650633">
            <w:pPr>
              <w:jc w:val="center"/>
            </w:pPr>
            <w:r>
              <w:rPr>
                <w:color w:val="000000"/>
                <w:sz w:val="24"/>
              </w:rPr>
              <w:t>余海燕</w:t>
            </w:r>
          </w:p>
        </w:tc>
        <w:tc>
          <w:tcPr>
            <w:tcW w:w="0" w:type="auto"/>
            <w:vAlign w:val="center"/>
          </w:tcPr>
          <w:p w:rsidR="00F126DA" w:rsidRDefault="00650633">
            <w:pPr>
              <w:jc w:val="center"/>
            </w:pPr>
            <w:r>
              <w:rPr>
                <w:color w:val="000000"/>
                <w:sz w:val="24"/>
              </w:rPr>
              <w:t>本基金的基金经理、易方达中证全指证券公司交易型开放式指数证券投资基金的基金经理、易方达中证军工交易型开放式指数证券投资基金的基金经理、易方达中证海外中国互联网</w:t>
            </w:r>
            <w:r>
              <w:rPr>
                <w:color w:val="000000"/>
                <w:sz w:val="24"/>
              </w:rPr>
              <w:t>50</w:t>
            </w:r>
            <w:r>
              <w:rPr>
                <w:color w:val="000000"/>
                <w:sz w:val="24"/>
              </w:rPr>
              <w:t>交易型开放式指数证券投资基金联接基金的基金经理、易方达中证海外中国互联网</w:t>
            </w:r>
            <w:r>
              <w:rPr>
                <w:color w:val="000000"/>
                <w:sz w:val="24"/>
              </w:rPr>
              <w:t>50</w:t>
            </w:r>
            <w:r>
              <w:rPr>
                <w:color w:val="000000"/>
                <w:sz w:val="24"/>
              </w:rPr>
              <w:t>交易型开放式指数证券投资基金的基金经理、易方达中证</w:t>
            </w:r>
            <w:r>
              <w:rPr>
                <w:color w:val="000000"/>
                <w:sz w:val="24"/>
              </w:rPr>
              <w:t>500</w:t>
            </w:r>
            <w:r>
              <w:rPr>
                <w:color w:val="000000"/>
                <w:sz w:val="24"/>
              </w:rPr>
              <w:t>交易型开放式指数证券投资基金发起式联接基金的基金经理、易方达中证</w:t>
            </w:r>
            <w:r>
              <w:rPr>
                <w:color w:val="000000"/>
                <w:sz w:val="24"/>
              </w:rPr>
              <w:t>500</w:t>
            </w:r>
            <w:r>
              <w:rPr>
                <w:color w:val="000000"/>
                <w:sz w:val="24"/>
              </w:rPr>
              <w:t>交易型开放式指数证券投资基金的基金经理、易方达上证</w:t>
            </w:r>
            <w:r>
              <w:rPr>
                <w:color w:val="000000"/>
                <w:sz w:val="24"/>
              </w:rPr>
              <w:t>50</w:t>
            </w:r>
            <w:r>
              <w:rPr>
                <w:color w:val="000000"/>
                <w:sz w:val="24"/>
              </w:rPr>
              <w:t>指数分级证券投资基金的基金经理、易方达上证</w:t>
            </w:r>
            <w:r>
              <w:rPr>
                <w:color w:val="000000"/>
                <w:sz w:val="24"/>
              </w:rPr>
              <w:t>50</w:t>
            </w:r>
            <w:r>
              <w:rPr>
                <w:color w:val="000000"/>
                <w:sz w:val="24"/>
              </w:rPr>
              <w:t>交易型开放式指数证券投资基金发起式联接基金的基金</w:t>
            </w:r>
            <w:r>
              <w:rPr>
                <w:color w:val="000000"/>
                <w:sz w:val="24"/>
              </w:rPr>
              <w:t>经理、易方达上证</w:t>
            </w:r>
            <w:r>
              <w:rPr>
                <w:color w:val="000000"/>
                <w:sz w:val="24"/>
              </w:rPr>
              <w:t>50</w:t>
            </w:r>
            <w:r>
              <w:rPr>
                <w:color w:val="000000"/>
                <w:sz w:val="24"/>
              </w:rPr>
              <w:t>交易型开放式指数证券投资基金的基金经理、易方达日兴资管日经</w:t>
            </w:r>
            <w:r>
              <w:rPr>
                <w:color w:val="000000"/>
                <w:sz w:val="24"/>
              </w:rPr>
              <w:t>225</w:t>
            </w:r>
            <w:r>
              <w:rPr>
                <w:color w:val="000000"/>
                <w:sz w:val="24"/>
              </w:rPr>
              <w:t>交易型开放式指数证券投资基金（</w:t>
            </w:r>
            <w:r>
              <w:rPr>
                <w:color w:val="000000"/>
                <w:sz w:val="24"/>
              </w:rPr>
              <w:t>QDII</w:t>
            </w:r>
            <w:r>
              <w:rPr>
                <w:color w:val="000000"/>
                <w:sz w:val="24"/>
              </w:rPr>
              <w:t>）的基金经理、易方达军工指数分级证券投资基金的基金经理、易方达黄金交易型开放式证券投资基金联接基金的基金经理、易方达黄金交易型开放式证券投资基金的基金经理、易方达沪深</w:t>
            </w:r>
            <w:r>
              <w:rPr>
                <w:color w:val="000000"/>
                <w:sz w:val="24"/>
              </w:rPr>
              <w:t>300</w:t>
            </w:r>
            <w:r>
              <w:rPr>
                <w:color w:val="000000"/>
                <w:sz w:val="24"/>
              </w:rPr>
              <w:t>医药卫生交易型开放式指数证券投资基金联接基金的基金经理、易方达沪深</w:t>
            </w:r>
            <w:r>
              <w:rPr>
                <w:color w:val="000000"/>
                <w:sz w:val="24"/>
              </w:rPr>
              <w:t>300</w:t>
            </w:r>
            <w:r>
              <w:rPr>
                <w:color w:val="000000"/>
                <w:sz w:val="24"/>
              </w:rPr>
              <w:t>医药卫生交易型开放式指数证券投资基金的基金经理、易方达沪深</w:t>
            </w:r>
            <w:r>
              <w:rPr>
                <w:color w:val="000000"/>
                <w:sz w:val="24"/>
              </w:rPr>
              <w:t>300</w:t>
            </w:r>
            <w:r>
              <w:rPr>
                <w:color w:val="000000"/>
                <w:sz w:val="24"/>
              </w:rPr>
              <w:t>交易型开放式指数发起式证券投资基金联接基金的基金经理、易方达沪深</w:t>
            </w:r>
            <w:r>
              <w:rPr>
                <w:color w:val="000000"/>
                <w:sz w:val="24"/>
              </w:rPr>
              <w:t>300</w:t>
            </w:r>
            <w:r>
              <w:rPr>
                <w:color w:val="000000"/>
                <w:sz w:val="24"/>
              </w:rPr>
              <w:t>交易型开放式</w:t>
            </w:r>
            <w:r>
              <w:rPr>
                <w:color w:val="000000"/>
                <w:sz w:val="24"/>
              </w:rPr>
              <w:t>指数发起式证券投资基金的基金经理、易方达沪深</w:t>
            </w:r>
            <w:r>
              <w:rPr>
                <w:color w:val="000000"/>
                <w:sz w:val="24"/>
              </w:rPr>
              <w:t>300</w:t>
            </w:r>
            <w:r>
              <w:rPr>
                <w:color w:val="000000"/>
                <w:sz w:val="24"/>
              </w:rPr>
              <w:t>非银行金融交易型开放式指数证券投资基金联接基金的基金经理、易方达沪深</w:t>
            </w:r>
            <w:r>
              <w:rPr>
                <w:color w:val="000000"/>
                <w:sz w:val="24"/>
              </w:rPr>
              <w:t>300</w:t>
            </w:r>
            <w:r>
              <w:rPr>
                <w:color w:val="000000"/>
                <w:sz w:val="24"/>
              </w:rPr>
              <w:t>非银行金融交易型开放式指数证券投资基金的基金经理、易方达恒生中国企业交易型开放式指数证券投资基金联接基金的基金经理、易方达恒生中国企业交易型开放式指数证券投资基金的基金经理、易方达国企改革指数分级证券投资基金的基金经理</w:t>
            </w:r>
          </w:p>
        </w:tc>
        <w:tc>
          <w:tcPr>
            <w:tcW w:w="0" w:type="auto"/>
            <w:vAlign w:val="center"/>
          </w:tcPr>
          <w:p w:rsidR="00F126DA" w:rsidRDefault="00650633">
            <w:pPr>
              <w:jc w:val="center"/>
            </w:pPr>
            <w:r>
              <w:rPr>
                <w:color w:val="000000"/>
                <w:sz w:val="24"/>
              </w:rPr>
              <w:t>2015-07-08</w:t>
            </w:r>
          </w:p>
        </w:tc>
        <w:tc>
          <w:tcPr>
            <w:tcW w:w="0" w:type="auto"/>
            <w:vAlign w:val="center"/>
          </w:tcPr>
          <w:p w:rsidR="00F126DA" w:rsidRDefault="00650633">
            <w:pPr>
              <w:jc w:val="center"/>
            </w:pPr>
            <w:r>
              <w:rPr>
                <w:color w:val="000000"/>
                <w:sz w:val="24"/>
              </w:rPr>
              <w:t>-</w:t>
            </w:r>
          </w:p>
        </w:tc>
        <w:tc>
          <w:tcPr>
            <w:tcW w:w="0" w:type="auto"/>
            <w:vAlign w:val="center"/>
          </w:tcPr>
          <w:p w:rsidR="00F126DA" w:rsidRDefault="00650633">
            <w:pPr>
              <w:jc w:val="center"/>
            </w:pPr>
            <w:r>
              <w:rPr>
                <w:color w:val="000000"/>
                <w:sz w:val="24"/>
              </w:rPr>
              <w:t>14</w:t>
            </w:r>
            <w:r>
              <w:rPr>
                <w:color w:val="000000"/>
                <w:sz w:val="24"/>
              </w:rPr>
              <w:t>年</w:t>
            </w:r>
          </w:p>
        </w:tc>
        <w:tc>
          <w:tcPr>
            <w:tcW w:w="0" w:type="auto"/>
            <w:vAlign w:val="center"/>
          </w:tcPr>
          <w:p w:rsidR="00F126DA" w:rsidRDefault="00650633">
            <w:r>
              <w:rPr>
                <w:color w:val="000000"/>
                <w:sz w:val="24"/>
              </w:rPr>
              <w:t>硕士研究生，具有基金从业资格。曾任汇丰银行</w:t>
            </w:r>
            <w:r>
              <w:rPr>
                <w:color w:val="000000"/>
                <w:sz w:val="24"/>
              </w:rPr>
              <w:t>Consumer Credit Risk</w:t>
            </w:r>
            <w:r>
              <w:rPr>
                <w:color w:val="000000"/>
                <w:sz w:val="24"/>
              </w:rPr>
              <w:t>信用风险分析师，华宝兴业基金管理有限公司分析师、基金</w:t>
            </w:r>
            <w:r>
              <w:rPr>
                <w:color w:val="000000"/>
                <w:sz w:val="24"/>
              </w:rPr>
              <w:t>经理助理、基金经理，易方达基金管理有限公司投资发展部产品经理。</w:t>
            </w:r>
          </w:p>
        </w:tc>
      </w:tr>
    </w:tbl>
    <w:p w:rsidR="00F126DA" w:rsidRDefault="00650633">
      <w:pPr>
        <w:autoSpaceDE w:val="0"/>
        <w:autoSpaceDN w:val="0"/>
        <w:adjustRightInd w:val="0"/>
        <w:spacing w:line="360" w:lineRule="auto"/>
        <w:ind w:firstLineChars="200" w:firstLine="480"/>
        <w:jc w:val="left"/>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CB041A" w:rsidRPr="00232B03" w:rsidRDefault="005C6DF3" w:rsidP="005C6DF3">
      <w:pPr>
        <w:autoSpaceDE w:val="0"/>
        <w:autoSpaceDN w:val="0"/>
        <w:adjustRightInd w:val="0"/>
        <w:spacing w:line="360" w:lineRule="auto"/>
        <w:ind w:firstLineChars="200" w:firstLine="480"/>
        <w:jc w:val="left"/>
        <w:rPr>
          <w:color w:val="000000"/>
          <w:sz w:val="24"/>
        </w:rPr>
      </w:pPr>
      <w:r w:rsidRPr="00DF18FE">
        <w:rPr>
          <w:color w:val="000000"/>
          <w:sz w:val="24"/>
        </w:rPr>
        <w:t>2.</w:t>
      </w:r>
      <w:r w:rsidRPr="00DF18FE">
        <w:rPr>
          <w:color w:val="000000"/>
          <w:sz w:val="24"/>
        </w:rPr>
        <w:t>证券从业的含义遵从《证券业从业人员资格管理办法》的相关规定。</w:t>
      </w:r>
    </w:p>
    <w:p w:rsidR="001C36D8" w:rsidRPr="00272E0C" w:rsidRDefault="001C36D8" w:rsidP="00CB041A">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4.2</w:t>
      </w:r>
      <w:r w:rsidRPr="00272E0C">
        <w:rPr>
          <w:rFonts w:ascii="宋体" w:hAnsi="宋体" w:hint="eastAsia"/>
          <w:b/>
          <w:bCs/>
          <w:color w:val="000000"/>
          <w:sz w:val="24"/>
        </w:rPr>
        <w:t>管理人对报告期内本基金运作遵规守信情况的说明</w:t>
      </w:r>
    </w:p>
    <w:p w:rsidR="001C36D8" w:rsidRPr="00E43B0B" w:rsidRDefault="001C36D8" w:rsidP="00E43B0B">
      <w:pPr>
        <w:spacing w:line="360" w:lineRule="auto"/>
        <w:ind w:firstLineChars="200" w:firstLine="480"/>
        <w:rPr>
          <w:color w:val="000000"/>
          <w:sz w:val="24"/>
        </w:rPr>
      </w:pPr>
      <w:r w:rsidRPr="003D22BD">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4.3 </w:t>
      </w:r>
      <w:r w:rsidRPr="00272E0C">
        <w:rPr>
          <w:rFonts w:ascii="宋体" w:hAnsi="宋体" w:cs="Arial" w:hint="eastAsia"/>
          <w:b/>
          <w:color w:val="000000"/>
          <w:kern w:val="0"/>
          <w:sz w:val="24"/>
        </w:rPr>
        <w:t>公平交易专项说明</w:t>
      </w:r>
    </w:p>
    <w:p w:rsidR="001C36D8" w:rsidRPr="00272E0C" w:rsidRDefault="001C36D8" w:rsidP="003A4DA3">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sz w:val="24"/>
          </w:rPr>
          <w:t>4.3.1</w:t>
        </w:r>
      </w:smartTag>
      <w:r w:rsidRPr="00272E0C">
        <w:rPr>
          <w:rFonts w:ascii="宋体" w:hAnsi="宋体" w:hint="eastAsia"/>
          <w:sz w:val="24"/>
        </w:rPr>
        <w:t>公平交易制度的执行情况</w:t>
      </w:r>
    </w:p>
    <w:p w:rsidR="001C36D8" w:rsidRPr="003D22BD" w:rsidRDefault="001C36D8" w:rsidP="0015779C">
      <w:pPr>
        <w:spacing w:line="360" w:lineRule="auto"/>
        <w:ind w:firstLineChars="200" w:firstLine="480"/>
        <w:rPr>
          <w:color w:val="000000"/>
          <w:sz w:val="24"/>
        </w:rPr>
      </w:pPr>
      <w:r w:rsidRPr="003D22BD">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3D22BD">
        <w:rPr>
          <w:color w:val="000000"/>
          <w:sz w:val="24"/>
        </w:rPr>
        <w:t>“</w:t>
      </w:r>
      <w:r w:rsidRPr="003D22BD">
        <w:rPr>
          <w:color w:val="000000"/>
          <w:sz w:val="24"/>
        </w:rPr>
        <w:t>时间优先、价格优先</w:t>
      </w:r>
      <w:r w:rsidRPr="003D22BD">
        <w:rPr>
          <w:color w:val="000000"/>
          <w:sz w:val="24"/>
        </w:rPr>
        <w:t>”</w:t>
      </w:r>
      <w:r w:rsidRPr="003D22BD">
        <w:rPr>
          <w:color w:val="000000"/>
          <w:sz w:val="24"/>
        </w:rPr>
        <w:t>作为执行指令的基本原则，通过投资交易系统中的公平交易模块，以尽可能确保公平对待各投资组合。本报告期内，公平交易制度总体执行情况良好。</w:t>
      </w:r>
    </w:p>
    <w:p w:rsidR="001C36D8" w:rsidRPr="00272E0C" w:rsidRDefault="001C36D8" w:rsidP="003A4DA3">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sz w:val="24"/>
          </w:rPr>
          <w:t>4.3.2</w:t>
        </w:r>
      </w:smartTag>
      <w:r w:rsidRPr="00272E0C">
        <w:rPr>
          <w:rFonts w:ascii="宋体" w:hAnsi="宋体" w:hint="eastAsia"/>
          <w:sz w:val="24"/>
        </w:rPr>
        <w:t>异常交易行为的专项说明</w:t>
      </w:r>
    </w:p>
    <w:p w:rsidR="00F126DA" w:rsidRDefault="00650633">
      <w:pPr>
        <w:spacing w:line="360" w:lineRule="auto"/>
        <w:ind w:firstLineChars="200" w:firstLine="480"/>
        <w:rPr>
          <w:color w:val="000000"/>
          <w:sz w:val="24"/>
        </w:rPr>
      </w:pPr>
      <w:r>
        <w:rPr>
          <w:color w:val="000000"/>
          <w:sz w:val="24"/>
        </w:rPr>
        <w:t>本报告期内，公司旗下所有投资组合参与的交易所公开竞价交易中，同日反向交易成交较少的单边交易量超过该证券当日成交量的</w:t>
      </w:r>
      <w:r>
        <w:rPr>
          <w:color w:val="000000"/>
          <w:sz w:val="24"/>
        </w:rPr>
        <w:t>5%</w:t>
      </w:r>
      <w:r>
        <w:rPr>
          <w:color w:val="000000"/>
          <w:sz w:val="24"/>
        </w:rPr>
        <w:t>的交易共</w:t>
      </w:r>
      <w:r>
        <w:rPr>
          <w:color w:val="000000"/>
          <w:sz w:val="24"/>
        </w:rPr>
        <w:t>28</w:t>
      </w:r>
      <w:r>
        <w:rPr>
          <w:color w:val="000000"/>
          <w:sz w:val="24"/>
        </w:rPr>
        <w:t>次，其中</w:t>
      </w:r>
      <w:r>
        <w:rPr>
          <w:color w:val="000000"/>
          <w:sz w:val="24"/>
        </w:rPr>
        <w:t>27</w:t>
      </w:r>
      <w:r>
        <w:rPr>
          <w:color w:val="000000"/>
          <w:sz w:val="24"/>
        </w:rPr>
        <w:t>次为指数量化投资组合因投资策略需要和其他组合发生的反向交易，</w:t>
      </w:r>
      <w:r>
        <w:rPr>
          <w:color w:val="000000"/>
          <w:sz w:val="24"/>
        </w:rPr>
        <w:t>1</w:t>
      </w:r>
      <w:r>
        <w:rPr>
          <w:color w:val="000000"/>
          <w:sz w:val="24"/>
        </w:rPr>
        <w:t>次为不同基金经理管理的基金因投资策略不同而发生的反向交易，有关基金经理按规定履行了审批程序。</w:t>
      </w:r>
    </w:p>
    <w:p w:rsidR="001C36D8" w:rsidRPr="00E43B0B" w:rsidRDefault="001C36D8" w:rsidP="00E43B0B">
      <w:pPr>
        <w:spacing w:line="360" w:lineRule="auto"/>
        <w:ind w:firstLineChars="200" w:firstLine="480"/>
        <w:rPr>
          <w:color w:val="000000"/>
          <w:sz w:val="24"/>
        </w:rPr>
      </w:pPr>
      <w:r w:rsidRPr="003D22BD">
        <w:rPr>
          <w:color w:val="000000"/>
          <w:sz w:val="24"/>
        </w:rPr>
        <w:t>本报告期内，未发现本基金有可能导致不公平交易和利益输送的异常交易。</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4.4 </w:t>
      </w:r>
      <w:r w:rsidRPr="00272E0C">
        <w:rPr>
          <w:rFonts w:ascii="宋体" w:hAnsi="宋体" w:cs="Arial" w:hint="eastAsia"/>
          <w:b/>
          <w:color w:val="000000"/>
          <w:kern w:val="0"/>
          <w:sz w:val="24"/>
        </w:rPr>
        <w:t>报告期内基金的投资策略和业绩表现说明</w:t>
      </w:r>
    </w:p>
    <w:p w:rsidR="001C36D8" w:rsidRPr="00272E0C" w:rsidRDefault="001C36D8" w:rsidP="003A4DA3">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sz w:val="24"/>
          </w:rPr>
          <w:t>4.4.1</w:t>
        </w:r>
      </w:smartTag>
      <w:r w:rsidRPr="00272E0C">
        <w:rPr>
          <w:rFonts w:ascii="宋体" w:hAnsi="宋体" w:hint="eastAsia"/>
          <w:sz w:val="24"/>
        </w:rPr>
        <w:t>报告期内基金投资策略和运作分析</w:t>
      </w:r>
    </w:p>
    <w:p w:rsidR="00F126DA" w:rsidRDefault="00650633">
      <w:pPr>
        <w:spacing w:line="360" w:lineRule="auto"/>
        <w:ind w:firstLineChars="200" w:firstLine="480"/>
        <w:rPr>
          <w:color w:val="000000"/>
          <w:sz w:val="24"/>
        </w:rPr>
      </w:pPr>
      <w:r>
        <w:rPr>
          <w:color w:val="000000"/>
          <w:sz w:val="24"/>
        </w:rPr>
        <w:t>2019</w:t>
      </w:r>
      <w:r>
        <w:rPr>
          <w:color w:val="000000"/>
          <w:sz w:val="24"/>
        </w:rPr>
        <w:t>年四季度以来国内宏观经济景气度较前期出现好转，企业</w:t>
      </w:r>
      <w:r>
        <w:rPr>
          <w:color w:val="000000"/>
          <w:sz w:val="24"/>
        </w:rPr>
        <w:t>库存继续回落，库存周期已由前期的主动去库存阶段进入到被动去库存阶段。最新公布的宏观经济数据呈现出改善迹象，</w:t>
      </w:r>
      <w:r>
        <w:rPr>
          <w:color w:val="000000"/>
          <w:sz w:val="24"/>
        </w:rPr>
        <w:t>11</w:t>
      </w:r>
      <w:r>
        <w:rPr>
          <w:color w:val="000000"/>
          <w:sz w:val="24"/>
        </w:rPr>
        <w:t>月份固定资产投资同比增加</w:t>
      </w:r>
      <w:r>
        <w:rPr>
          <w:color w:val="000000"/>
          <w:sz w:val="24"/>
        </w:rPr>
        <w:t>5.2%</w:t>
      </w:r>
      <w:r>
        <w:rPr>
          <w:color w:val="000000"/>
          <w:sz w:val="24"/>
        </w:rPr>
        <w:t>，与前值持平，社会消费品零售总额当月同比增加</w:t>
      </w:r>
      <w:r>
        <w:rPr>
          <w:color w:val="000000"/>
          <w:sz w:val="24"/>
        </w:rPr>
        <w:t>8.0%</w:t>
      </w:r>
      <w:r>
        <w:rPr>
          <w:color w:val="000000"/>
          <w:sz w:val="24"/>
        </w:rPr>
        <w:t>，前值</w:t>
      </w:r>
      <w:r>
        <w:rPr>
          <w:color w:val="000000"/>
          <w:sz w:val="24"/>
        </w:rPr>
        <w:t>7.2%</w:t>
      </w:r>
      <w:r>
        <w:rPr>
          <w:color w:val="000000"/>
          <w:sz w:val="24"/>
        </w:rPr>
        <w:t>；</w:t>
      </w:r>
      <w:r>
        <w:rPr>
          <w:color w:val="000000"/>
          <w:sz w:val="24"/>
        </w:rPr>
        <w:t>2019</w:t>
      </w:r>
      <w:r>
        <w:rPr>
          <w:color w:val="000000"/>
          <w:sz w:val="24"/>
        </w:rPr>
        <w:t>年</w:t>
      </w:r>
      <w:r>
        <w:rPr>
          <w:color w:val="000000"/>
          <w:sz w:val="24"/>
        </w:rPr>
        <w:t>1-11</w:t>
      </w:r>
      <w:r>
        <w:rPr>
          <w:color w:val="000000"/>
          <w:sz w:val="24"/>
        </w:rPr>
        <w:t>月规模以上工业企业利润总额累计同比增长</w:t>
      </w:r>
      <w:r>
        <w:rPr>
          <w:color w:val="000000"/>
          <w:sz w:val="24"/>
        </w:rPr>
        <w:t>-2.1%</w:t>
      </w:r>
      <w:r>
        <w:rPr>
          <w:color w:val="000000"/>
          <w:sz w:val="24"/>
        </w:rPr>
        <w:t>，前值为</w:t>
      </w:r>
      <w:r>
        <w:rPr>
          <w:color w:val="000000"/>
          <w:sz w:val="24"/>
        </w:rPr>
        <w:t>-2.9%</w:t>
      </w:r>
      <w:r>
        <w:rPr>
          <w:color w:val="000000"/>
          <w:sz w:val="24"/>
        </w:rPr>
        <w:t>，其中</w:t>
      </w:r>
      <w:r>
        <w:rPr>
          <w:color w:val="000000"/>
          <w:sz w:val="24"/>
        </w:rPr>
        <w:t>11</w:t>
      </w:r>
      <w:r>
        <w:rPr>
          <w:color w:val="000000"/>
          <w:sz w:val="24"/>
        </w:rPr>
        <w:t>月规模以上工业企业利润总额单月同比增速</w:t>
      </w:r>
      <w:r>
        <w:rPr>
          <w:color w:val="000000"/>
          <w:sz w:val="24"/>
        </w:rPr>
        <w:t>5.4%</w:t>
      </w:r>
      <w:r>
        <w:rPr>
          <w:color w:val="000000"/>
          <w:sz w:val="24"/>
        </w:rPr>
        <w:t>，大幅高于前值</w:t>
      </w:r>
      <w:r>
        <w:rPr>
          <w:color w:val="000000"/>
          <w:sz w:val="24"/>
        </w:rPr>
        <w:t>-9.9%</w:t>
      </w:r>
      <w:r>
        <w:rPr>
          <w:color w:val="000000"/>
          <w:sz w:val="24"/>
        </w:rPr>
        <w:t>；</w:t>
      </w:r>
      <w:r>
        <w:rPr>
          <w:color w:val="000000"/>
          <w:sz w:val="24"/>
        </w:rPr>
        <w:t>12</w:t>
      </w:r>
      <w:r>
        <w:rPr>
          <w:color w:val="000000"/>
          <w:sz w:val="24"/>
        </w:rPr>
        <w:t>月全国制造业</w:t>
      </w:r>
      <w:r>
        <w:rPr>
          <w:color w:val="000000"/>
          <w:sz w:val="24"/>
        </w:rPr>
        <w:t>PMI</w:t>
      </w:r>
      <w:r>
        <w:rPr>
          <w:color w:val="000000"/>
          <w:sz w:val="24"/>
        </w:rPr>
        <w:t>为</w:t>
      </w:r>
      <w:r>
        <w:rPr>
          <w:color w:val="000000"/>
          <w:sz w:val="24"/>
        </w:rPr>
        <w:t>50.2%</w:t>
      </w:r>
      <w:r>
        <w:rPr>
          <w:color w:val="000000"/>
          <w:sz w:val="24"/>
        </w:rPr>
        <w:t>，较</w:t>
      </w:r>
      <w:r>
        <w:rPr>
          <w:color w:val="000000"/>
          <w:sz w:val="24"/>
        </w:rPr>
        <w:t>11</w:t>
      </w:r>
      <w:r>
        <w:rPr>
          <w:color w:val="000000"/>
          <w:sz w:val="24"/>
        </w:rPr>
        <w:t>月持平，维持在年内次高点，且连续两个月处于扩张区间，指向制造业景气仍强。由于宏观经济整体下行压</w:t>
      </w:r>
      <w:r>
        <w:rPr>
          <w:color w:val="000000"/>
          <w:sz w:val="24"/>
        </w:rPr>
        <w:t>力犹存，四季度宏观经济政策延续了前期货币政策宽松和逆周期调节的力度，加速</w:t>
      </w:r>
      <w:r>
        <w:rPr>
          <w:color w:val="000000"/>
          <w:sz w:val="24"/>
        </w:rPr>
        <w:t>LPR</w:t>
      </w:r>
      <w:r>
        <w:rPr>
          <w:color w:val="000000"/>
          <w:sz w:val="24"/>
        </w:rPr>
        <w:t>作为存量贷款定价锚的改革以降低实体经济成本并推动信贷扩张。外围市场方面，在中美贸易摩擦阶段性缓和，美联储连续降息、重启回购和扩表等货币政策宽松之下，全球市场风险偏好提升，美股挑战历史新高。在中国宏观经济数据显示阶段性企稳的背景下，四季度人民币对美元即期汇率扭转前期贬值趋势，季末在岸和离岸美元对人民币即期汇率均回落至</w:t>
      </w:r>
      <w:r>
        <w:rPr>
          <w:color w:val="000000"/>
          <w:sz w:val="24"/>
        </w:rPr>
        <w:t>6.96</w:t>
      </w:r>
      <w:r>
        <w:rPr>
          <w:color w:val="000000"/>
          <w:sz w:val="24"/>
        </w:rPr>
        <w:t>附近。资本市场方面，随着经济数据回暖，央行连续调降政策利率、以及中美贸易摩擦阶段性缓和，</w:t>
      </w:r>
      <w:r>
        <w:rPr>
          <w:color w:val="000000"/>
          <w:sz w:val="24"/>
        </w:rPr>
        <w:t>A</w:t>
      </w:r>
      <w:r>
        <w:rPr>
          <w:color w:val="000000"/>
          <w:sz w:val="24"/>
        </w:rPr>
        <w:t>股市场对于后续经济企</w:t>
      </w:r>
      <w:r>
        <w:rPr>
          <w:color w:val="000000"/>
          <w:sz w:val="24"/>
        </w:rPr>
        <w:t>稳的预期升温，尤其</w:t>
      </w:r>
      <w:r>
        <w:rPr>
          <w:color w:val="000000"/>
          <w:sz w:val="24"/>
        </w:rPr>
        <w:t>12</w:t>
      </w:r>
      <w:r>
        <w:rPr>
          <w:color w:val="000000"/>
          <w:sz w:val="24"/>
        </w:rPr>
        <w:t>月份货币政策的边际放松超出市场预期，引发了股票市场反弹，四季度上证综指以上涨</w:t>
      </w:r>
      <w:r>
        <w:rPr>
          <w:color w:val="000000"/>
          <w:sz w:val="24"/>
        </w:rPr>
        <w:t>4.99%</w:t>
      </w:r>
      <w:r>
        <w:rPr>
          <w:color w:val="000000"/>
          <w:sz w:val="24"/>
        </w:rPr>
        <w:t>收官。风格方面，小盘股表现好于大盘股，上证</w:t>
      </w:r>
      <w:r>
        <w:rPr>
          <w:color w:val="000000"/>
          <w:sz w:val="24"/>
        </w:rPr>
        <w:t>50</w:t>
      </w:r>
      <w:r>
        <w:rPr>
          <w:color w:val="000000"/>
          <w:sz w:val="24"/>
        </w:rPr>
        <w:t>指数、沪深</w:t>
      </w:r>
      <w:r>
        <w:rPr>
          <w:color w:val="000000"/>
          <w:sz w:val="24"/>
        </w:rPr>
        <w:t>300</w:t>
      </w:r>
      <w:r>
        <w:rPr>
          <w:color w:val="000000"/>
          <w:sz w:val="24"/>
        </w:rPr>
        <w:t>指数、创业板指分别上涨</w:t>
      </w:r>
      <w:r>
        <w:rPr>
          <w:color w:val="000000"/>
          <w:sz w:val="24"/>
        </w:rPr>
        <w:t>5.71%</w:t>
      </w:r>
      <w:r>
        <w:rPr>
          <w:color w:val="000000"/>
          <w:sz w:val="24"/>
        </w:rPr>
        <w:t>、</w:t>
      </w:r>
      <w:r>
        <w:rPr>
          <w:color w:val="000000"/>
          <w:sz w:val="24"/>
        </w:rPr>
        <w:t>7.39%</w:t>
      </w:r>
      <w:r>
        <w:rPr>
          <w:color w:val="000000"/>
          <w:sz w:val="24"/>
        </w:rPr>
        <w:t>、</w:t>
      </w:r>
      <w:r>
        <w:rPr>
          <w:color w:val="000000"/>
          <w:sz w:val="24"/>
        </w:rPr>
        <w:t>10.48%</w:t>
      </w:r>
      <w:r>
        <w:rPr>
          <w:color w:val="000000"/>
          <w:sz w:val="24"/>
        </w:rPr>
        <w:t>；行业方面，建筑材料、电子、家用电器、传媒、房地产、证券公司、有色金属等板块涨幅居前，国防军工、商业贸易、保险等板块表现落后。报告期内中证全指证券公司指数上涨</w:t>
      </w:r>
      <w:r>
        <w:rPr>
          <w:color w:val="000000"/>
          <w:sz w:val="24"/>
        </w:rPr>
        <w:t>10.82%</w:t>
      </w:r>
      <w:r>
        <w:rPr>
          <w:color w:val="000000"/>
          <w:sz w:val="24"/>
        </w:rPr>
        <w:t>。</w:t>
      </w:r>
    </w:p>
    <w:p w:rsidR="001C36D8" w:rsidRPr="003D22BD" w:rsidRDefault="001C36D8" w:rsidP="0015779C">
      <w:pPr>
        <w:spacing w:line="360" w:lineRule="auto"/>
        <w:ind w:firstLineChars="200" w:firstLine="480"/>
        <w:rPr>
          <w:color w:val="000000"/>
          <w:sz w:val="24"/>
        </w:rPr>
      </w:pPr>
      <w:r w:rsidRPr="003D22BD">
        <w:rPr>
          <w:color w:val="000000"/>
          <w:sz w:val="24"/>
        </w:rPr>
        <w:t>报告期内本基金为正常运作期，在操作中，我们严格遵守基金合同，坚持既定的指数化投资策略，在指数权重调整和基金申赎变动时，应用指数复制和数量化技术降低冲击成本和减少跟踪误差。</w:t>
      </w:r>
    </w:p>
    <w:p w:rsidR="001C36D8" w:rsidRPr="00272E0C" w:rsidRDefault="001C36D8" w:rsidP="003A4DA3">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sz w:val="24"/>
          </w:rPr>
          <w:t>4.4.2</w:t>
        </w:r>
      </w:smartTag>
      <w:r w:rsidRPr="00272E0C">
        <w:rPr>
          <w:rFonts w:ascii="宋体" w:hAnsi="宋体" w:hint="eastAsia"/>
          <w:sz w:val="24"/>
        </w:rPr>
        <w:t>报告期内基金的业绩表现</w:t>
      </w:r>
    </w:p>
    <w:p w:rsidR="001C36D8" w:rsidRPr="00E43B0B" w:rsidRDefault="001C36D8" w:rsidP="00E43B0B">
      <w:pPr>
        <w:spacing w:line="360" w:lineRule="auto"/>
        <w:ind w:firstLineChars="200" w:firstLine="480"/>
        <w:rPr>
          <w:color w:val="000000"/>
          <w:sz w:val="24"/>
        </w:rPr>
      </w:pPr>
      <w:r w:rsidRPr="003D22BD">
        <w:rPr>
          <w:color w:val="000000"/>
          <w:sz w:val="24"/>
        </w:rPr>
        <w:t>截至报告期末，本基金份额净值为</w:t>
      </w:r>
      <w:r w:rsidRPr="003D22BD">
        <w:rPr>
          <w:color w:val="000000"/>
          <w:sz w:val="24"/>
        </w:rPr>
        <w:t>1.1104</w:t>
      </w:r>
      <w:r w:rsidRPr="003D22BD">
        <w:rPr>
          <w:color w:val="000000"/>
          <w:sz w:val="24"/>
        </w:rPr>
        <w:t>元，本报告期份额净值增长率为</w:t>
      </w:r>
      <w:r w:rsidRPr="003D22BD">
        <w:rPr>
          <w:color w:val="000000"/>
          <w:sz w:val="24"/>
        </w:rPr>
        <w:t>10.41%</w:t>
      </w:r>
      <w:r w:rsidRPr="003D22BD">
        <w:rPr>
          <w:color w:val="000000"/>
          <w:sz w:val="24"/>
        </w:rPr>
        <w:t>，同期业绩比较基准收益率为</w:t>
      </w:r>
      <w:r w:rsidRPr="003D22BD">
        <w:rPr>
          <w:color w:val="000000"/>
          <w:sz w:val="24"/>
        </w:rPr>
        <w:t>10.29%</w:t>
      </w:r>
      <w:r w:rsidRPr="003D22BD">
        <w:rPr>
          <w:color w:val="000000"/>
          <w:sz w:val="24"/>
        </w:rPr>
        <w:t>，日跟踪偏离度的均值为</w:t>
      </w:r>
      <w:r w:rsidRPr="003D22BD">
        <w:rPr>
          <w:color w:val="000000"/>
          <w:sz w:val="24"/>
        </w:rPr>
        <w:t>0.02%</w:t>
      </w:r>
      <w:r w:rsidRPr="003D22BD">
        <w:rPr>
          <w:color w:val="000000"/>
          <w:sz w:val="24"/>
        </w:rPr>
        <w:t>，年化跟踪误差为</w:t>
      </w:r>
      <w:r w:rsidRPr="003D22BD">
        <w:rPr>
          <w:color w:val="000000"/>
          <w:sz w:val="24"/>
        </w:rPr>
        <w:t>0.354%</w:t>
      </w:r>
      <w:r w:rsidRPr="003D22BD">
        <w:rPr>
          <w:color w:val="000000"/>
          <w:sz w:val="24"/>
        </w:rPr>
        <w:t>，各项指标均在合同规定的目标控制范围之内。</w:t>
      </w: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 xml:space="preserve">5  </w:t>
      </w:r>
      <w:r w:rsidRPr="00272E0C">
        <w:rPr>
          <w:rFonts w:ascii="宋体" w:hAnsi="宋体" w:cs="Arial" w:hint="eastAsia"/>
          <w:color w:val="000000"/>
          <w:kern w:val="0"/>
          <w:sz w:val="24"/>
          <w:szCs w:val="24"/>
        </w:rPr>
        <w:t>投资组合报告</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5.1 </w:t>
      </w:r>
      <w:r w:rsidRPr="00272E0C">
        <w:rPr>
          <w:rFonts w:ascii="宋体" w:hAnsi="宋体" w:cs="Arial" w:hint="eastAsia"/>
          <w:b/>
          <w:color w:val="000000"/>
          <w:kern w:val="0"/>
          <w:sz w:val="24"/>
        </w:rPr>
        <w:t>报告期末基金资产组合情况</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3"/>
        <w:gridCol w:w="3283"/>
        <w:gridCol w:w="2977"/>
        <w:gridCol w:w="1843"/>
      </w:tblGrid>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序号</w:t>
            </w:r>
          </w:p>
        </w:tc>
        <w:tc>
          <w:tcPr>
            <w:tcW w:w="328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项目</w:t>
            </w:r>
          </w:p>
        </w:tc>
        <w:tc>
          <w:tcPr>
            <w:tcW w:w="2977" w:type="dxa"/>
            <w:vAlign w:val="center"/>
          </w:tcPr>
          <w:p w:rsidR="001C36D8" w:rsidRPr="005B1E0B" w:rsidRDefault="001C36D8" w:rsidP="0015779C">
            <w:pPr>
              <w:spacing w:before="29" w:line="360" w:lineRule="auto"/>
              <w:ind w:left="17"/>
              <w:jc w:val="center"/>
              <w:rPr>
                <w:color w:val="000000"/>
                <w:sz w:val="24"/>
              </w:rPr>
            </w:pPr>
            <w:r w:rsidRPr="005B1E0B">
              <w:rPr>
                <w:color w:val="000000"/>
                <w:sz w:val="24"/>
              </w:rPr>
              <w:t>金额</w:t>
            </w:r>
            <w:r w:rsidR="0015779C" w:rsidRPr="005B1E0B">
              <w:rPr>
                <w:color w:val="000000"/>
                <w:sz w:val="24"/>
              </w:rPr>
              <w:t>（元）</w:t>
            </w:r>
          </w:p>
        </w:tc>
        <w:tc>
          <w:tcPr>
            <w:tcW w:w="1843" w:type="dxa"/>
            <w:vAlign w:val="center"/>
          </w:tcPr>
          <w:p w:rsidR="001C36D8" w:rsidRPr="005B1E0B" w:rsidRDefault="001C36D8" w:rsidP="0015779C">
            <w:pPr>
              <w:spacing w:before="29" w:line="360" w:lineRule="auto"/>
              <w:ind w:left="17"/>
              <w:jc w:val="center"/>
              <w:rPr>
                <w:color w:val="000000"/>
                <w:sz w:val="24"/>
              </w:rPr>
            </w:pPr>
            <w:r w:rsidRPr="005B1E0B">
              <w:rPr>
                <w:color w:val="000000"/>
                <w:sz w:val="24"/>
              </w:rPr>
              <w:t>占基金总资产的比例</w:t>
            </w:r>
            <w:r w:rsidR="0015779C" w:rsidRPr="005B1E0B">
              <w:rPr>
                <w:color w:val="000000"/>
                <w:sz w:val="24"/>
              </w:rPr>
              <w:t>（</w:t>
            </w:r>
            <w:r w:rsidR="0015779C" w:rsidRPr="005B1E0B">
              <w:rPr>
                <w:color w:val="000000"/>
                <w:sz w:val="24"/>
              </w:rPr>
              <w:t>%</w:t>
            </w:r>
            <w:r w:rsidR="0015779C"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1</w:t>
            </w: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权益投资</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765,476,912.73</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93.58</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其中：股票</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765,476,912.73</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93.58</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2</w:t>
            </w: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固定收益投资</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875,985.77</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0.11</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其中：债券</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875,985.77</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0.11</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p>
        </w:tc>
        <w:tc>
          <w:tcPr>
            <w:tcW w:w="3283" w:type="dxa"/>
            <w:vAlign w:val="center"/>
          </w:tcPr>
          <w:p w:rsidR="001C36D8" w:rsidRPr="005B1E0B" w:rsidRDefault="001C36D8" w:rsidP="001A09F9">
            <w:pPr>
              <w:autoSpaceDE w:val="0"/>
              <w:autoSpaceDN w:val="0"/>
              <w:adjustRightInd w:val="0"/>
              <w:spacing w:before="29" w:line="360" w:lineRule="auto"/>
              <w:ind w:left="17"/>
              <w:jc w:val="left"/>
              <w:rPr>
                <w:color w:val="000000"/>
                <w:sz w:val="24"/>
              </w:rPr>
            </w:pPr>
            <w:r w:rsidRPr="005B1E0B">
              <w:rPr>
                <w:color w:val="000000"/>
                <w:sz w:val="24"/>
              </w:rPr>
              <w:t>资产支持证券</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tcPr>
          <w:p w:rsidR="001C36D8" w:rsidRPr="005B1E0B" w:rsidRDefault="001C36D8" w:rsidP="001A09F9">
            <w:pPr>
              <w:spacing w:before="29" w:line="360" w:lineRule="auto"/>
              <w:ind w:left="17"/>
              <w:jc w:val="center"/>
              <w:rPr>
                <w:color w:val="000000"/>
                <w:sz w:val="24"/>
              </w:rPr>
            </w:pPr>
            <w:r w:rsidRPr="005B1E0B">
              <w:rPr>
                <w:color w:val="000000"/>
                <w:sz w:val="24"/>
              </w:rPr>
              <w:t>3</w:t>
            </w:r>
          </w:p>
        </w:tc>
        <w:tc>
          <w:tcPr>
            <w:tcW w:w="3283" w:type="dxa"/>
          </w:tcPr>
          <w:p w:rsidR="001C36D8" w:rsidRPr="005B1E0B" w:rsidRDefault="001C36D8" w:rsidP="0015779C">
            <w:pPr>
              <w:spacing w:before="29" w:line="360" w:lineRule="auto"/>
              <w:ind w:leftChars="50" w:left="105"/>
              <w:rPr>
                <w:color w:val="000000"/>
                <w:sz w:val="24"/>
              </w:rPr>
            </w:pPr>
            <w:r w:rsidRPr="005B1E0B">
              <w:rPr>
                <w:color w:val="000000"/>
                <w:sz w:val="24"/>
              </w:rPr>
              <w:t>贵金属投资</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4</w:t>
            </w:r>
          </w:p>
        </w:tc>
        <w:tc>
          <w:tcPr>
            <w:tcW w:w="3283" w:type="dxa"/>
            <w:vAlign w:val="center"/>
          </w:tcPr>
          <w:p w:rsidR="001C36D8" w:rsidRPr="005B1E0B" w:rsidRDefault="001C36D8" w:rsidP="001A09F9">
            <w:pPr>
              <w:spacing w:before="29" w:line="360" w:lineRule="auto"/>
              <w:ind w:left="17"/>
              <w:jc w:val="left"/>
              <w:rPr>
                <w:color w:val="000000"/>
                <w:sz w:val="24"/>
              </w:rPr>
            </w:pPr>
            <w:r w:rsidRPr="005B1E0B">
              <w:rPr>
                <w:color w:val="000000"/>
                <w:sz w:val="24"/>
              </w:rPr>
              <w:t>金融衍生品投资</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5</w:t>
            </w: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买入返售金融资产</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其中：买断式回购的买入返售金融资产</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6</w:t>
            </w: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银行存款和结算备付金合计</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46,094,598.25</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5.63</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7</w:t>
            </w:r>
          </w:p>
        </w:tc>
        <w:tc>
          <w:tcPr>
            <w:tcW w:w="3283" w:type="dxa"/>
            <w:vAlign w:val="center"/>
          </w:tcPr>
          <w:p w:rsidR="001C36D8" w:rsidRPr="005B1E0B" w:rsidRDefault="001C36D8" w:rsidP="001A09F9">
            <w:pPr>
              <w:jc w:val="left"/>
              <w:rPr>
                <w:sz w:val="24"/>
              </w:rPr>
            </w:pPr>
            <w:r w:rsidRPr="005B1E0B">
              <w:rPr>
                <w:color w:val="000000"/>
                <w:sz w:val="24"/>
              </w:rPr>
              <w:t>其他资产</w:t>
            </w:r>
          </w:p>
        </w:tc>
        <w:tc>
          <w:tcPr>
            <w:tcW w:w="2977" w:type="dxa"/>
            <w:vAlign w:val="center"/>
          </w:tcPr>
          <w:p w:rsidR="001C36D8" w:rsidRPr="005B1E0B" w:rsidRDefault="001C36D8" w:rsidP="001A09F9">
            <w:pPr>
              <w:jc w:val="right"/>
              <w:rPr>
                <w:color w:val="000000"/>
                <w:sz w:val="24"/>
              </w:rPr>
            </w:pPr>
            <w:r w:rsidRPr="005B1E0B">
              <w:rPr>
                <w:color w:val="000000"/>
                <w:sz w:val="24"/>
              </w:rPr>
              <w:t>5,571,455.72</w:t>
            </w:r>
          </w:p>
        </w:tc>
        <w:tc>
          <w:tcPr>
            <w:tcW w:w="1843" w:type="dxa"/>
            <w:vAlign w:val="center"/>
          </w:tcPr>
          <w:p w:rsidR="001C36D8" w:rsidRPr="005B1E0B" w:rsidRDefault="001C36D8" w:rsidP="001A09F9">
            <w:pPr>
              <w:jc w:val="right"/>
              <w:rPr>
                <w:color w:val="000000"/>
                <w:sz w:val="24"/>
              </w:rPr>
            </w:pPr>
            <w:r w:rsidRPr="005B1E0B">
              <w:rPr>
                <w:color w:val="000000"/>
                <w:sz w:val="24"/>
              </w:rPr>
              <w:t>0.68</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8</w:t>
            </w:r>
          </w:p>
        </w:tc>
        <w:tc>
          <w:tcPr>
            <w:tcW w:w="3283" w:type="dxa"/>
            <w:vAlign w:val="center"/>
          </w:tcPr>
          <w:p w:rsidR="001C36D8" w:rsidRPr="005B1E0B" w:rsidRDefault="001C36D8" w:rsidP="001A09F9">
            <w:pPr>
              <w:jc w:val="left"/>
              <w:rPr>
                <w:sz w:val="24"/>
              </w:rPr>
            </w:pPr>
            <w:r w:rsidRPr="005B1E0B">
              <w:rPr>
                <w:color w:val="000000"/>
                <w:sz w:val="24"/>
              </w:rPr>
              <w:t>合计</w:t>
            </w:r>
          </w:p>
        </w:tc>
        <w:tc>
          <w:tcPr>
            <w:tcW w:w="2977" w:type="dxa"/>
            <w:vAlign w:val="center"/>
          </w:tcPr>
          <w:p w:rsidR="001C36D8" w:rsidRPr="005B1E0B" w:rsidRDefault="001C36D8" w:rsidP="001A09F9">
            <w:pPr>
              <w:jc w:val="right"/>
              <w:rPr>
                <w:color w:val="000000"/>
                <w:sz w:val="24"/>
              </w:rPr>
            </w:pPr>
            <w:r w:rsidRPr="005B1E0B">
              <w:rPr>
                <w:color w:val="000000"/>
                <w:sz w:val="24"/>
              </w:rPr>
              <w:t>818,018,952.47</w:t>
            </w:r>
          </w:p>
        </w:tc>
        <w:tc>
          <w:tcPr>
            <w:tcW w:w="1843" w:type="dxa"/>
            <w:vAlign w:val="center"/>
          </w:tcPr>
          <w:p w:rsidR="001C36D8" w:rsidRPr="005B1E0B" w:rsidRDefault="001C36D8" w:rsidP="001A09F9">
            <w:pPr>
              <w:jc w:val="right"/>
              <w:rPr>
                <w:color w:val="000000"/>
                <w:sz w:val="24"/>
              </w:rPr>
            </w:pPr>
            <w:r w:rsidRPr="005B1E0B">
              <w:rPr>
                <w:color w:val="000000"/>
                <w:sz w:val="24"/>
              </w:rPr>
              <w:t>100.00</w:t>
            </w:r>
          </w:p>
        </w:tc>
      </w:tr>
    </w:tbl>
    <w:p w:rsidR="00737AB0" w:rsidRPr="00220C32" w:rsidRDefault="00737AB0" w:rsidP="00737AB0">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0C32">
        <w:rPr>
          <w:rFonts w:asciiTheme="minorEastAsia" w:eastAsiaTheme="minorEastAsia" w:hAnsiTheme="minorEastAsia"/>
          <w:b/>
          <w:bCs/>
          <w:color w:val="000000" w:themeColor="text1"/>
          <w:kern w:val="0"/>
          <w:sz w:val="24"/>
        </w:rPr>
        <w:t xml:space="preserve">5.2 </w:t>
      </w:r>
      <w:r w:rsidRPr="00220C32">
        <w:rPr>
          <w:rFonts w:asciiTheme="minorEastAsia" w:eastAsiaTheme="minorEastAsia" w:hAnsiTheme="minorEastAsia" w:hint="eastAsia"/>
          <w:b/>
          <w:bCs/>
          <w:color w:val="000000" w:themeColor="text1"/>
          <w:kern w:val="0"/>
          <w:sz w:val="24"/>
        </w:rPr>
        <w:t>报告期末按行业分类的股票投资组合</w:t>
      </w:r>
    </w:p>
    <w:p w:rsidR="00737AB0" w:rsidRPr="000D7474" w:rsidRDefault="00737AB0" w:rsidP="00737AB0">
      <w:pPr>
        <w:rPr>
          <w:rFonts w:asciiTheme="minorEastAsia" w:eastAsiaTheme="minorEastAsia" w:hAnsiTheme="minorEastAsia"/>
          <w:b/>
          <w:bCs/>
          <w:color w:val="000000" w:themeColor="text1"/>
          <w:kern w:val="0"/>
          <w:sz w:val="24"/>
        </w:rPr>
      </w:pPr>
      <w:r w:rsidRPr="000D7474">
        <w:rPr>
          <w:rFonts w:asciiTheme="minorEastAsia" w:eastAsiaTheme="minorEastAsia" w:hAnsiTheme="minorEastAsia" w:hint="eastAsia"/>
          <w:b/>
          <w:bCs/>
          <w:color w:val="000000" w:themeColor="text1"/>
          <w:kern w:val="0"/>
          <w:sz w:val="24"/>
        </w:rPr>
        <w:t>5.2.1报告期末按行业分类的境内股票投资组合</w:t>
      </w:r>
    </w:p>
    <w:tbl>
      <w:tblPr>
        <w:tblW w:w="897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5"/>
        <w:gridCol w:w="3691"/>
        <w:gridCol w:w="2852"/>
        <w:gridCol w:w="1648"/>
      </w:tblGrid>
      <w:tr w:rsidR="00737AB0" w:rsidRPr="008C2A4F" w:rsidTr="00737AB0">
        <w:trPr>
          <w:trHeight w:val="390"/>
        </w:trPr>
        <w:tc>
          <w:tcPr>
            <w:tcW w:w="785" w:type="dxa"/>
            <w:tcBorders>
              <w:top w:val="single" w:sz="4" w:space="0" w:color="000000"/>
              <w:left w:val="single" w:sz="4" w:space="0" w:color="000000"/>
              <w:bottom w:val="single" w:sz="4" w:space="0" w:color="000000"/>
              <w:right w:val="single" w:sz="4" w:space="0" w:color="000000"/>
            </w:tcBorders>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占基金资产净值比例（％）</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autoSpaceDE w:val="0"/>
              <w:autoSpaceDN w:val="0"/>
              <w:adjustRightInd w:val="0"/>
              <w:spacing w:before="29" w:line="360" w:lineRule="auto"/>
              <w:ind w:left="15"/>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utoSpaceDE w:val="0"/>
              <w:autoSpaceDN w:val="0"/>
              <w:adjustRightInd w:val="0"/>
              <w:spacing w:before="29" w:line="360" w:lineRule="auto"/>
              <w:ind w:left="15"/>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p w:rsidR="00737AB0" w:rsidRPr="008C2A4F" w:rsidRDefault="00737AB0" w:rsidP="00D94F96">
            <w:pPr>
              <w:jc w:val="right"/>
              <w:rPr>
                <w:rFonts w:eastAsiaTheme="minorEastAsia"/>
                <w:color w:val="000000" w:themeColor="text1"/>
                <w:kern w:val="0"/>
                <w:sz w:val="24"/>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p w:rsidR="00737AB0" w:rsidRPr="008C2A4F" w:rsidRDefault="00737AB0" w:rsidP="00D94F96">
            <w:pPr>
              <w:jc w:val="right"/>
              <w:rPr>
                <w:rFonts w:eastAsiaTheme="minorEastAsia"/>
                <w:color w:val="000000" w:themeColor="text1"/>
                <w:kern w:val="0"/>
                <w:sz w:val="24"/>
              </w:rPr>
            </w:pP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852,221.32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0.11</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1,987,241.74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0.25</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2,260,803.13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0.28</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760,370,068.50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94.03</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6,578.04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0.00</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765,476,912.73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94.66</w:t>
            </w:r>
          </w:p>
        </w:tc>
      </w:tr>
    </w:tbl>
    <w:p w:rsidR="000F2837" w:rsidRPr="000F2837" w:rsidRDefault="001C36D8" w:rsidP="000F2837">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5.3</w:t>
      </w:r>
      <w:r w:rsidR="00291A74" w:rsidRPr="00291A74">
        <w:rPr>
          <w:rFonts w:ascii="宋体" w:hAnsi="宋体" w:cs="Arial" w:hint="eastAsia"/>
          <w:b/>
          <w:color w:val="000000"/>
          <w:kern w:val="0"/>
          <w:sz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0F2837" w:rsidRPr="00264E55" w:rsidTr="002406DE">
        <w:tc>
          <w:tcPr>
            <w:tcW w:w="851"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序号</w:t>
            </w:r>
          </w:p>
        </w:tc>
        <w:tc>
          <w:tcPr>
            <w:tcW w:w="1276"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股票代码</w:t>
            </w:r>
          </w:p>
        </w:tc>
        <w:tc>
          <w:tcPr>
            <w:tcW w:w="1418"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股票名称</w:t>
            </w:r>
          </w:p>
        </w:tc>
        <w:tc>
          <w:tcPr>
            <w:tcW w:w="1701"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数量（股）</w:t>
            </w:r>
          </w:p>
        </w:tc>
        <w:tc>
          <w:tcPr>
            <w:tcW w:w="1984" w:type="dxa"/>
            <w:vAlign w:val="center"/>
          </w:tcPr>
          <w:p w:rsidR="000F2837" w:rsidRPr="00232B03" w:rsidRDefault="000F2837" w:rsidP="002406DE">
            <w:pPr>
              <w:autoSpaceDE w:val="0"/>
              <w:autoSpaceDN w:val="0"/>
              <w:adjustRightInd w:val="0"/>
              <w:spacing w:before="29" w:line="360" w:lineRule="auto"/>
              <w:ind w:left="17"/>
              <w:jc w:val="center"/>
              <w:rPr>
                <w:color w:val="000000"/>
                <w:kern w:val="0"/>
                <w:sz w:val="24"/>
              </w:rPr>
            </w:pPr>
            <w:r w:rsidRPr="00232B03">
              <w:rPr>
                <w:color w:val="000000"/>
                <w:kern w:val="0"/>
                <w:sz w:val="24"/>
              </w:rPr>
              <w:t>公允价值（元）</w:t>
            </w:r>
          </w:p>
        </w:tc>
        <w:tc>
          <w:tcPr>
            <w:tcW w:w="1559"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占基金资产净值比例（％）</w:t>
            </w:r>
          </w:p>
        </w:tc>
      </w:tr>
      <w:tr w:rsidR="00F126DA">
        <w:tc>
          <w:tcPr>
            <w:tcW w:w="0" w:type="auto"/>
            <w:vAlign w:val="center"/>
          </w:tcPr>
          <w:p w:rsidR="00F126DA" w:rsidRDefault="00650633">
            <w:pPr>
              <w:jc w:val="center"/>
            </w:pPr>
            <w:r>
              <w:rPr>
                <w:color w:val="000000"/>
                <w:kern w:val="0"/>
                <w:sz w:val="24"/>
              </w:rPr>
              <w:t>1</w:t>
            </w:r>
          </w:p>
        </w:tc>
        <w:tc>
          <w:tcPr>
            <w:tcW w:w="0" w:type="auto"/>
            <w:vAlign w:val="center"/>
          </w:tcPr>
          <w:p w:rsidR="00F126DA" w:rsidRDefault="00650633">
            <w:pPr>
              <w:jc w:val="center"/>
            </w:pPr>
            <w:r>
              <w:rPr>
                <w:color w:val="000000"/>
                <w:kern w:val="0"/>
                <w:sz w:val="24"/>
              </w:rPr>
              <w:t>600030</w:t>
            </w:r>
          </w:p>
        </w:tc>
        <w:tc>
          <w:tcPr>
            <w:tcW w:w="0" w:type="auto"/>
            <w:vAlign w:val="center"/>
          </w:tcPr>
          <w:p w:rsidR="00F126DA" w:rsidRDefault="00650633">
            <w:pPr>
              <w:jc w:val="center"/>
            </w:pPr>
            <w:r>
              <w:rPr>
                <w:color w:val="000000"/>
                <w:kern w:val="0"/>
                <w:sz w:val="24"/>
              </w:rPr>
              <w:t>中信证券</w:t>
            </w:r>
          </w:p>
        </w:tc>
        <w:tc>
          <w:tcPr>
            <w:tcW w:w="0" w:type="auto"/>
            <w:vAlign w:val="center"/>
          </w:tcPr>
          <w:p w:rsidR="00F126DA" w:rsidRDefault="00650633">
            <w:pPr>
              <w:jc w:val="right"/>
            </w:pPr>
            <w:r>
              <w:rPr>
                <w:color w:val="000000"/>
                <w:kern w:val="0"/>
                <w:sz w:val="24"/>
              </w:rPr>
              <w:t>4,957,361</w:t>
            </w:r>
          </w:p>
        </w:tc>
        <w:tc>
          <w:tcPr>
            <w:tcW w:w="0" w:type="auto"/>
            <w:vAlign w:val="center"/>
          </w:tcPr>
          <w:p w:rsidR="00F126DA" w:rsidRDefault="00650633">
            <w:pPr>
              <w:jc w:val="right"/>
            </w:pPr>
            <w:r>
              <w:rPr>
                <w:color w:val="000000"/>
                <w:kern w:val="0"/>
                <w:sz w:val="24"/>
              </w:rPr>
              <w:t>125,421,233.30</w:t>
            </w:r>
          </w:p>
        </w:tc>
        <w:tc>
          <w:tcPr>
            <w:tcW w:w="0" w:type="auto"/>
            <w:vAlign w:val="center"/>
          </w:tcPr>
          <w:p w:rsidR="00F126DA" w:rsidRDefault="00650633">
            <w:pPr>
              <w:jc w:val="right"/>
            </w:pPr>
            <w:r>
              <w:rPr>
                <w:color w:val="000000"/>
                <w:kern w:val="0"/>
                <w:sz w:val="24"/>
              </w:rPr>
              <w:t>15.51</w:t>
            </w:r>
          </w:p>
        </w:tc>
      </w:tr>
      <w:tr w:rsidR="00F126DA">
        <w:tc>
          <w:tcPr>
            <w:tcW w:w="0" w:type="auto"/>
            <w:vAlign w:val="center"/>
          </w:tcPr>
          <w:p w:rsidR="00F126DA" w:rsidRDefault="00650633">
            <w:pPr>
              <w:jc w:val="center"/>
            </w:pPr>
            <w:r>
              <w:rPr>
                <w:color w:val="000000"/>
                <w:kern w:val="0"/>
                <w:sz w:val="24"/>
              </w:rPr>
              <w:t>2</w:t>
            </w:r>
          </w:p>
        </w:tc>
        <w:tc>
          <w:tcPr>
            <w:tcW w:w="0" w:type="auto"/>
            <w:vAlign w:val="center"/>
          </w:tcPr>
          <w:p w:rsidR="00F126DA" w:rsidRDefault="00650633">
            <w:pPr>
              <w:jc w:val="center"/>
            </w:pPr>
            <w:r>
              <w:rPr>
                <w:color w:val="000000"/>
                <w:kern w:val="0"/>
                <w:sz w:val="24"/>
              </w:rPr>
              <w:t>600837</w:t>
            </w:r>
          </w:p>
        </w:tc>
        <w:tc>
          <w:tcPr>
            <w:tcW w:w="0" w:type="auto"/>
            <w:vAlign w:val="center"/>
          </w:tcPr>
          <w:p w:rsidR="00F126DA" w:rsidRDefault="00650633">
            <w:pPr>
              <w:jc w:val="center"/>
            </w:pPr>
            <w:r>
              <w:rPr>
                <w:color w:val="000000"/>
                <w:kern w:val="0"/>
                <w:sz w:val="24"/>
              </w:rPr>
              <w:t>海通证券</w:t>
            </w:r>
          </w:p>
        </w:tc>
        <w:tc>
          <w:tcPr>
            <w:tcW w:w="0" w:type="auto"/>
            <w:vAlign w:val="center"/>
          </w:tcPr>
          <w:p w:rsidR="00F126DA" w:rsidRDefault="00650633">
            <w:pPr>
              <w:jc w:val="right"/>
            </w:pPr>
            <w:r>
              <w:rPr>
                <w:color w:val="000000"/>
                <w:kern w:val="0"/>
                <w:sz w:val="24"/>
              </w:rPr>
              <w:t>4,582,826</w:t>
            </w:r>
          </w:p>
        </w:tc>
        <w:tc>
          <w:tcPr>
            <w:tcW w:w="0" w:type="auto"/>
            <w:vAlign w:val="center"/>
          </w:tcPr>
          <w:p w:rsidR="00F126DA" w:rsidRDefault="00650633">
            <w:pPr>
              <w:jc w:val="right"/>
            </w:pPr>
            <w:r>
              <w:rPr>
                <w:color w:val="000000"/>
                <w:kern w:val="0"/>
                <w:sz w:val="24"/>
              </w:rPr>
              <w:t>70,850,489.96</w:t>
            </w:r>
          </w:p>
        </w:tc>
        <w:tc>
          <w:tcPr>
            <w:tcW w:w="0" w:type="auto"/>
            <w:vAlign w:val="center"/>
          </w:tcPr>
          <w:p w:rsidR="00F126DA" w:rsidRDefault="00650633">
            <w:pPr>
              <w:jc w:val="right"/>
            </w:pPr>
            <w:r>
              <w:rPr>
                <w:color w:val="000000"/>
                <w:kern w:val="0"/>
                <w:sz w:val="24"/>
              </w:rPr>
              <w:t>8.76</w:t>
            </w:r>
          </w:p>
        </w:tc>
      </w:tr>
      <w:tr w:rsidR="00F126DA">
        <w:tc>
          <w:tcPr>
            <w:tcW w:w="0" w:type="auto"/>
            <w:vAlign w:val="center"/>
          </w:tcPr>
          <w:p w:rsidR="00F126DA" w:rsidRDefault="00650633">
            <w:pPr>
              <w:jc w:val="center"/>
            </w:pPr>
            <w:r>
              <w:rPr>
                <w:color w:val="000000"/>
                <w:kern w:val="0"/>
                <w:sz w:val="24"/>
              </w:rPr>
              <w:t>3</w:t>
            </w:r>
          </w:p>
        </w:tc>
        <w:tc>
          <w:tcPr>
            <w:tcW w:w="0" w:type="auto"/>
            <w:vAlign w:val="center"/>
          </w:tcPr>
          <w:p w:rsidR="00F126DA" w:rsidRDefault="00650633">
            <w:pPr>
              <w:jc w:val="center"/>
            </w:pPr>
            <w:r>
              <w:rPr>
                <w:color w:val="000000"/>
                <w:kern w:val="0"/>
                <w:sz w:val="24"/>
              </w:rPr>
              <w:t>601688</w:t>
            </w:r>
          </w:p>
        </w:tc>
        <w:tc>
          <w:tcPr>
            <w:tcW w:w="0" w:type="auto"/>
            <w:vAlign w:val="center"/>
          </w:tcPr>
          <w:p w:rsidR="00F126DA" w:rsidRDefault="00650633">
            <w:pPr>
              <w:jc w:val="center"/>
            </w:pPr>
            <w:r>
              <w:rPr>
                <w:color w:val="000000"/>
                <w:kern w:val="0"/>
                <w:sz w:val="24"/>
              </w:rPr>
              <w:t>华泰证券</w:t>
            </w:r>
          </w:p>
        </w:tc>
        <w:tc>
          <w:tcPr>
            <w:tcW w:w="0" w:type="auto"/>
            <w:vAlign w:val="center"/>
          </w:tcPr>
          <w:p w:rsidR="00F126DA" w:rsidRDefault="00650633">
            <w:pPr>
              <w:jc w:val="right"/>
            </w:pPr>
            <w:r>
              <w:rPr>
                <w:color w:val="000000"/>
                <w:kern w:val="0"/>
                <w:sz w:val="24"/>
              </w:rPr>
              <w:t>2,500,108</w:t>
            </w:r>
          </w:p>
        </w:tc>
        <w:tc>
          <w:tcPr>
            <w:tcW w:w="0" w:type="auto"/>
            <w:vAlign w:val="center"/>
          </w:tcPr>
          <w:p w:rsidR="00F126DA" w:rsidRDefault="00650633">
            <w:pPr>
              <w:jc w:val="right"/>
            </w:pPr>
            <w:r>
              <w:rPr>
                <w:color w:val="000000"/>
                <w:kern w:val="0"/>
                <w:sz w:val="24"/>
              </w:rPr>
              <w:t>50,777,193.48</w:t>
            </w:r>
          </w:p>
        </w:tc>
        <w:tc>
          <w:tcPr>
            <w:tcW w:w="0" w:type="auto"/>
            <w:vAlign w:val="center"/>
          </w:tcPr>
          <w:p w:rsidR="00F126DA" w:rsidRDefault="00650633">
            <w:pPr>
              <w:jc w:val="right"/>
            </w:pPr>
            <w:r>
              <w:rPr>
                <w:color w:val="000000"/>
                <w:kern w:val="0"/>
                <w:sz w:val="24"/>
              </w:rPr>
              <w:t>6.28</w:t>
            </w:r>
          </w:p>
        </w:tc>
      </w:tr>
      <w:tr w:rsidR="00F126DA">
        <w:tc>
          <w:tcPr>
            <w:tcW w:w="0" w:type="auto"/>
            <w:vAlign w:val="center"/>
          </w:tcPr>
          <w:p w:rsidR="00F126DA" w:rsidRDefault="00650633">
            <w:pPr>
              <w:jc w:val="center"/>
            </w:pPr>
            <w:r>
              <w:rPr>
                <w:color w:val="000000"/>
                <w:kern w:val="0"/>
                <w:sz w:val="24"/>
              </w:rPr>
              <w:t>4</w:t>
            </w:r>
          </w:p>
        </w:tc>
        <w:tc>
          <w:tcPr>
            <w:tcW w:w="0" w:type="auto"/>
            <w:vAlign w:val="center"/>
          </w:tcPr>
          <w:p w:rsidR="00F126DA" w:rsidRDefault="00650633">
            <w:pPr>
              <w:jc w:val="center"/>
            </w:pPr>
            <w:r>
              <w:rPr>
                <w:color w:val="000000"/>
                <w:kern w:val="0"/>
                <w:sz w:val="24"/>
              </w:rPr>
              <w:t>300059</w:t>
            </w:r>
          </w:p>
        </w:tc>
        <w:tc>
          <w:tcPr>
            <w:tcW w:w="0" w:type="auto"/>
            <w:vAlign w:val="center"/>
          </w:tcPr>
          <w:p w:rsidR="00F126DA" w:rsidRDefault="00650633">
            <w:pPr>
              <w:jc w:val="center"/>
            </w:pPr>
            <w:r>
              <w:rPr>
                <w:color w:val="000000"/>
                <w:kern w:val="0"/>
                <w:sz w:val="24"/>
              </w:rPr>
              <w:t>东方财富</w:t>
            </w:r>
          </w:p>
        </w:tc>
        <w:tc>
          <w:tcPr>
            <w:tcW w:w="0" w:type="auto"/>
            <w:vAlign w:val="center"/>
          </w:tcPr>
          <w:p w:rsidR="00F126DA" w:rsidRDefault="00650633">
            <w:pPr>
              <w:jc w:val="right"/>
            </w:pPr>
            <w:r>
              <w:rPr>
                <w:color w:val="000000"/>
                <w:kern w:val="0"/>
                <w:sz w:val="24"/>
              </w:rPr>
              <w:t>3,042,620</w:t>
            </w:r>
          </w:p>
        </w:tc>
        <w:tc>
          <w:tcPr>
            <w:tcW w:w="0" w:type="auto"/>
            <w:vAlign w:val="center"/>
          </w:tcPr>
          <w:p w:rsidR="00F126DA" w:rsidRDefault="00650633">
            <w:pPr>
              <w:jc w:val="right"/>
            </w:pPr>
            <w:r>
              <w:rPr>
                <w:color w:val="000000"/>
                <w:kern w:val="0"/>
                <w:sz w:val="24"/>
              </w:rPr>
              <w:t>47,982,117.40</w:t>
            </w:r>
          </w:p>
        </w:tc>
        <w:tc>
          <w:tcPr>
            <w:tcW w:w="0" w:type="auto"/>
            <w:vAlign w:val="center"/>
          </w:tcPr>
          <w:p w:rsidR="00F126DA" w:rsidRDefault="00650633">
            <w:pPr>
              <w:jc w:val="right"/>
            </w:pPr>
            <w:r>
              <w:rPr>
                <w:color w:val="000000"/>
                <w:kern w:val="0"/>
                <w:sz w:val="24"/>
              </w:rPr>
              <w:t>5.93</w:t>
            </w:r>
          </w:p>
        </w:tc>
      </w:tr>
      <w:tr w:rsidR="00F126DA">
        <w:tc>
          <w:tcPr>
            <w:tcW w:w="0" w:type="auto"/>
            <w:vAlign w:val="center"/>
          </w:tcPr>
          <w:p w:rsidR="00F126DA" w:rsidRDefault="00650633">
            <w:pPr>
              <w:jc w:val="center"/>
            </w:pPr>
            <w:r>
              <w:rPr>
                <w:color w:val="000000"/>
                <w:kern w:val="0"/>
                <w:sz w:val="24"/>
              </w:rPr>
              <w:t>5</w:t>
            </w:r>
          </w:p>
        </w:tc>
        <w:tc>
          <w:tcPr>
            <w:tcW w:w="0" w:type="auto"/>
            <w:vAlign w:val="center"/>
          </w:tcPr>
          <w:p w:rsidR="00F126DA" w:rsidRDefault="00650633">
            <w:pPr>
              <w:jc w:val="center"/>
            </w:pPr>
            <w:r>
              <w:rPr>
                <w:color w:val="000000"/>
                <w:kern w:val="0"/>
                <w:sz w:val="24"/>
              </w:rPr>
              <w:t>601211</w:t>
            </w:r>
          </w:p>
        </w:tc>
        <w:tc>
          <w:tcPr>
            <w:tcW w:w="0" w:type="auto"/>
            <w:vAlign w:val="center"/>
          </w:tcPr>
          <w:p w:rsidR="00F126DA" w:rsidRDefault="00650633">
            <w:pPr>
              <w:jc w:val="center"/>
            </w:pPr>
            <w:r>
              <w:rPr>
                <w:color w:val="000000"/>
                <w:kern w:val="0"/>
                <w:sz w:val="24"/>
              </w:rPr>
              <w:t>国泰君安</w:t>
            </w:r>
          </w:p>
        </w:tc>
        <w:tc>
          <w:tcPr>
            <w:tcW w:w="0" w:type="auto"/>
            <w:vAlign w:val="center"/>
          </w:tcPr>
          <w:p w:rsidR="00F126DA" w:rsidRDefault="00650633">
            <w:pPr>
              <w:jc w:val="right"/>
            </w:pPr>
            <w:r>
              <w:rPr>
                <w:color w:val="000000"/>
                <w:kern w:val="0"/>
                <w:sz w:val="24"/>
              </w:rPr>
              <w:t>2,553,987</w:t>
            </w:r>
          </w:p>
        </w:tc>
        <w:tc>
          <w:tcPr>
            <w:tcW w:w="0" w:type="auto"/>
            <w:vAlign w:val="center"/>
          </w:tcPr>
          <w:p w:rsidR="00F126DA" w:rsidRDefault="00650633">
            <w:pPr>
              <w:jc w:val="right"/>
            </w:pPr>
            <w:r>
              <w:rPr>
                <w:color w:val="000000"/>
                <w:kern w:val="0"/>
                <w:sz w:val="24"/>
              </w:rPr>
              <w:t>47,223,219.63</w:t>
            </w:r>
          </w:p>
        </w:tc>
        <w:tc>
          <w:tcPr>
            <w:tcW w:w="0" w:type="auto"/>
            <w:vAlign w:val="center"/>
          </w:tcPr>
          <w:p w:rsidR="00F126DA" w:rsidRDefault="00650633">
            <w:pPr>
              <w:jc w:val="right"/>
            </w:pPr>
            <w:r>
              <w:rPr>
                <w:color w:val="000000"/>
                <w:kern w:val="0"/>
                <w:sz w:val="24"/>
              </w:rPr>
              <w:t>5.84</w:t>
            </w:r>
          </w:p>
        </w:tc>
      </w:tr>
      <w:tr w:rsidR="00F126DA">
        <w:tc>
          <w:tcPr>
            <w:tcW w:w="0" w:type="auto"/>
            <w:vAlign w:val="center"/>
          </w:tcPr>
          <w:p w:rsidR="00F126DA" w:rsidRDefault="00650633">
            <w:pPr>
              <w:jc w:val="center"/>
            </w:pPr>
            <w:r>
              <w:rPr>
                <w:color w:val="000000"/>
                <w:kern w:val="0"/>
                <w:sz w:val="24"/>
              </w:rPr>
              <w:t>6</w:t>
            </w:r>
          </w:p>
        </w:tc>
        <w:tc>
          <w:tcPr>
            <w:tcW w:w="0" w:type="auto"/>
            <w:vAlign w:val="center"/>
          </w:tcPr>
          <w:p w:rsidR="00F126DA" w:rsidRDefault="00650633">
            <w:pPr>
              <w:jc w:val="center"/>
            </w:pPr>
            <w:r>
              <w:rPr>
                <w:color w:val="000000"/>
                <w:kern w:val="0"/>
                <w:sz w:val="24"/>
              </w:rPr>
              <w:t>600999</w:t>
            </w:r>
          </w:p>
        </w:tc>
        <w:tc>
          <w:tcPr>
            <w:tcW w:w="0" w:type="auto"/>
            <w:vAlign w:val="center"/>
          </w:tcPr>
          <w:p w:rsidR="00F126DA" w:rsidRDefault="00650633">
            <w:pPr>
              <w:jc w:val="center"/>
            </w:pPr>
            <w:r>
              <w:rPr>
                <w:color w:val="000000"/>
                <w:kern w:val="0"/>
                <w:sz w:val="24"/>
              </w:rPr>
              <w:t>招商证券</w:t>
            </w:r>
          </w:p>
        </w:tc>
        <w:tc>
          <w:tcPr>
            <w:tcW w:w="0" w:type="auto"/>
            <w:vAlign w:val="center"/>
          </w:tcPr>
          <w:p w:rsidR="00F126DA" w:rsidRDefault="00650633">
            <w:pPr>
              <w:jc w:val="right"/>
            </w:pPr>
            <w:r>
              <w:rPr>
                <w:color w:val="000000"/>
                <w:kern w:val="0"/>
                <w:sz w:val="24"/>
              </w:rPr>
              <w:t>1,619,447</w:t>
            </w:r>
          </w:p>
        </w:tc>
        <w:tc>
          <w:tcPr>
            <w:tcW w:w="0" w:type="auto"/>
            <w:vAlign w:val="center"/>
          </w:tcPr>
          <w:p w:rsidR="00F126DA" w:rsidRDefault="00650633">
            <w:pPr>
              <w:jc w:val="right"/>
            </w:pPr>
            <w:r>
              <w:rPr>
                <w:color w:val="000000"/>
                <w:kern w:val="0"/>
                <w:sz w:val="24"/>
              </w:rPr>
              <w:t>29,619,685.63</w:t>
            </w:r>
          </w:p>
        </w:tc>
        <w:tc>
          <w:tcPr>
            <w:tcW w:w="0" w:type="auto"/>
            <w:vAlign w:val="center"/>
          </w:tcPr>
          <w:p w:rsidR="00F126DA" w:rsidRDefault="00650633">
            <w:pPr>
              <w:jc w:val="right"/>
            </w:pPr>
            <w:r>
              <w:rPr>
                <w:color w:val="000000"/>
                <w:kern w:val="0"/>
                <w:sz w:val="24"/>
              </w:rPr>
              <w:t>3.66</w:t>
            </w:r>
          </w:p>
        </w:tc>
      </w:tr>
      <w:tr w:rsidR="00F126DA">
        <w:tc>
          <w:tcPr>
            <w:tcW w:w="0" w:type="auto"/>
            <w:vAlign w:val="center"/>
          </w:tcPr>
          <w:p w:rsidR="00F126DA" w:rsidRDefault="00650633">
            <w:pPr>
              <w:jc w:val="center"/>
            </w:pPr>
            <w:r>
              <w:rPr>
                <w:color w:val="000000"/>
                <w:kern w:val="0"/>
                <w:sz w:val="24"/>
              </w:rPr>
              <w:t>7</w:t>
            </w:r>
          </w:p>
        </w:tc>
        <w:tc>
          <w:tcPr>
            <w:tcW w:w="0" w:type="auto"/>
            <w:vAlign w:val="center"/>
          </w:tcPr>
          <w:p w:rsidR="00F126DA" w:rsidRDefault="00650633">
            <w:pPr>
              <w:jc w:val="center"/>
            </w:pPr>
            <w:r>
              <w:rPr>
                <w:color w:val="000000"/>
                <w:kern w:val="0"/>
                <w:sz w:val="24"/>
              </w:rPr>
              <w:t>000166</w:t>
            </w:r>
          </w:p>
        </w:tc>
        <w:tc>
          <w:tcPr>
            <w:tcW w:w="0" w:type="auto"/>
            <w:vAlign w:val="center"/>
          </w:tcPr>
          <w:p w:rsidR="00F126DA" w:rsidRDefault="00650633">
            <w:pPr>
              <w:jc w:val="center"/>
            </w:pPr>
            <w:r>
              <w:rPr>
                <w:color w:val="000000"/>
                <w:kern w:val="0"/>
                <w:sz w:val="24"/>
              </w:rPr>
              <w:t>申万宏源</w:t>
            </w:r>
          </w:p>
        </w:tc>
        <w:tc>
          <w:tcPr>
            <w:tcW w:w="0" w:type="auto"/>
            <w:vAlign w:val="center"/>
          </w:tcPr>
          <w:p w:rsidR="00F126DA" w:rsidRDefault="00650633">
            <w:pPr>
              <w:jc w:val="right"/>
            </w:pPr>
            <w:r>
              <w:rPr>
                <w:color w:val="000000"/>
                <w:kern w:val="0"/>
                <w:sz w:val="24"/>
              </w:rPr>
              <w:t>5,105,173</w:t>
            </w:r>
          </w:p>
        </w:tc>
        <w:tc>
          <w:tcPr>
            <w:tcW w:w="0" w:type="auto"/>
            <w:vAlign w:val="center"/>
          </w:tcPr>
          <w:p w:rsidR="00F126DA" w:rsidRDefault="00650633">
            <w:pPr>
              <w:jc w:val="right"/>
            </w:pPr>
            <w:r>
              <w:rPr>
                <w:color w:val="000000"/>
                <w:kern w:val="0"/>
                <w:sz w:val="24"/>
              </w:rPr>
              <w:t>26,138,485.76</w:t>
            </w:r>
          </w:p>
        </w:tc>
        <w:tc>
          <w:tcPr>
            <w:tcW w:w="0" w:type="auto"/>
            <w:vAlign w:val="center"/>
          </w:tcPr>
          <w:p w:rsidR="00F126DA" w:rsidRDefault="00650633">
            <w:pPr>
              <w:jc w:val="right"/>
            </w:pPr>
            <w:r>
              <w:rPr>
                <w:color w:val="000000"/>
                <w:kern w:val="0"/>
                <w:sz w:val="24"/>
              </w:rPr>
              <w:t>3.23</w:t>
            </w:r>
          </w:p>
        </w:tc>
      </w:tr>
      <w:tr w:rsidR="00F126DA">
        <w:tc>
          <w:tcPr>
            <w:tcW w:w="0" w:type="auto"/>
            <w:vAlign w:val="center"/>
          </w:tcPr>
          <w:p w:rsidR="00F126DA" w:rsidRDefault="00650633">
            <w:pPr>
              <w:jc w:val="center"/>
            </w:pPr>
            <w:r>
              <w:rPr>
                <w:color w:val="000000"/>
                <w:kern w:val="0"/>
                <w:sz w:val="24"/>
              </w:rPr>
              <w:t>8</w:t>
            </w:r>
          </w:p>
        </w:tc>
        <w:tc>
          <w:tcPr>
            <w:tcW w:w="0" w:type="auto"/>
            <w:vAlign w:val="center"/>
          </w:tcPr>
          <w:p w:rsidR="00F126DA" w:rsidRDefault="00650633">
            <w:pPr>
              <w:jc w:val="center"/>
            </w:pPr>
            <w:r>
              <w:rPr>
                <w:color w:val="000000"/>
                <w:kern w:val="0"/>
                <w:sz w:val="24"/>
              </w:rPr>
              <w:t>600958</w:t>
            </w:r>
          </w:p>
        </w:tc>
        <w:tc>
          <w:tcPr>
            <w:tcW w:w="0" w:type="auto"/>
            <w:vAlign w:val="center"/>
          </w:tcPr>
          <w:p w:rsidR="00F126DA" w:rsidRDefault="00650633">
            <w:pPr>
              <w:jc w:val="center"/>
            </w:pPr>
            <w:r>
              <w:rPr>
                <w:color w:val="000000"/>
                <w:kern w:val="0"/>
                <w:sz w:val="24"/>
              </w:rPr>
              <w:t>东方证券</w:t>
            </w:r>
          </w:p>
        </w:tc>
        <w:tc>
          <w:tcPr>
            <w:tcW w:w="0" w:type="auto"/>
            <w:vAlign w:val="center"/>
          </w:tcPr>
          <w:p w:rsidR="00F126DA" w:rsidRDefault="00650633">
            <w:pPr>
              <w:jc w:val="right"/>
            </w:pPr>
            <w:r>
              <w:rPr>
                <w:color w:val="000000"/>
                <w:kern w:val="0"/>
                <w:sz w:val="24"/>
              </w:rPr>
              <w:t>2,027,463</w:t>
            </w:r>
          </w:p>
        </w:tc>
        <w:tc>
          <w:tcPr>
            <w:tcW w:w="0" w:type="auto"/>
            <w:vAlign w:val="center"/>
          </w:tcPr>
          <w:p w:rsidR="00F126DA" w:rsidRDefault="00650633">
            <w:pPr>
              <w:jc w:val="right"/>
            </w:pPr>
            <w:r>
              <w:rPr>
                <w:color w:val="000000"/>
                <w:kern w:val="0"/>
                <w:sz w:val="24"/>
              </w:rPr>
              <w:t>21,815,501.88</w:t>
            </w:r>
          </w:p>
        </w:tc>
        <w:tc>
          <w:tcPr>
            <w:tcW w:w="0" w:type="auto"/>
            <w:vAlign w:val="center"/>
          </w:tcPr>
          <w:p w:rsidR="00F126DA" w:rsidRDefault="00650633">
            <w:pPr>
              <w:jc w:val="right"/>
            </w:pPr>
            <w:r>
              <w:rPr>
                <w:color w:val="000000"/>
                <w:kern w:val="0"/>
                <w:sz w:val="24"/>
              </w:rPr>
              <w:t>2.70</w:t>
            </w:r>
          </w:p>
        </w:tc>
      </w:tr>
      <w:tr w:rsidR="00F126DA">
        <w:tc>
          <w:tcPr>
            <w:tcW w:w="0" w:type="auto"/>
            <w:vAlign w:val="center"/>
          </w:tcPr>
          <w:p w:rsidR="00F126DA" w:rsidRDefault="00650633">
            <w:pPr>
              <w:jc w:val="center"/>
            </w:pPr>
            <w:r>
              <w:rPr>
                <w:color w:val="000000"/>
                <w:kern w:val="0"/>
                <w:sz w:val="24"/>
              </w:rPr>
              <w:t>9</w:t>
            </w:r>
          </w:p>
        </w:tc>
        <w:tc>
          <w:tcPr>
            <w:tcW w:w="0" w:type="auto"/>
            <w:vAlign w:val="center"/>
          </w:tcPr>
          <w:p w:rsidR="00F126DA" w:rsidRDefault="00650633">
            <w:pPr>
              <w:jc w:val="center"/>
            </w:pPr>
            <w:r>
              <w:rPr>
                <w:color w:val="000000"/>
                <w:kern w:val="0"/>
                <w:sz w:val="24"/>
              </w:rPr>
              <w:t>601901</w:t>
            </w:r>
          </w:p>
        </w:tc>
        <w:tc>
          <w:tcPr>
            <w:tcW w:w="0" w:type="auto"/>
            <w:vAlign w:val="center"/>
          </w:tcPr>
          <w:p w:rsidR="00F126DA" w:rsidRDefault="00650633">
            <w:pPr>
              <w:jc w:val="center"/>
            </w:pPr>
            <w:r>
              <w:rPr>
                <w:color w:val="000000"/>
                <w:kern w:val="0"/>
                <w:sz w:val="24"/>
              </w:rPr>
              <w:t>方正证券</w:t>
            </w:r>
          </w:p>
        </w:tc>
        <w:tc>
          <w:tcPr>
            <w:tcW w:w="0" w:type="auto"/>
            <w:vAlign w:val="center"/>
          </w:tcPr>
          <w:p w:rsidR="00F126DA" w:rsidRDefault="00650633">
            <w:pPr>
              <w:jc w:val="right"/>
            </w:pPr>
            <w:r>
              <w:rPr>
                <w:color w:val="000000"/>
                <w:kern w:val="0"/>
                <w:sz w:val="24"/>
              </w:rPr>
              <w:t>2,331,050</w:t>
            </w:r>
          </w:p>
        </w:tc>
        <w:tc>
          <w:tcPr>
            <w:tcW w:w="0" w:type="auto"/>
            <w:vAlign w:val="center"/>
          </w:tcPr>
          <w:p w:rsidR="00F126DA" w:rsidRDefault="00650633">
            <w:pPr>
              <w:jc w:val="right"/>
            </w:pPr>
            <w:r>
              <w:rPr>
                <w:color w:val="000000"/>
                <w:kern w:val="0"/>
                <w:sz w:val="24"/>
              </w:rPr>
              <w:t>20,210,203.50</w:t>
            </w:r>
          </w:p>
        </w:tc>
        <w:tc>
          <w:tcPr>
            <w:tcW w:w="0" w:type="auto"/>
            <w:vAlign w:val="center"/>
          </w:tcPr>
          <w:p w:rsidR="00F126DA" w:rsidRDefault="00650633">
            <w:pPr>
              <w:jc w:val="right"/>
            </w:pPr>
            <w:r>
              <w:rPr>
                <w:color w:val="000000"/>
                <w:kern w:val="0"/>
                <w:sz w:val="24"/>
              </w:rPr>
              <w:t>2.50</w:t>
            </w:r>
          </w:p>
        </w:tc>
      </w:tr>
      <w:tr w:rsidR="00F126DA">
        <w:tc>
          <w:tcPr>
            <w:tcW w:w="0" w:type="auto"/>
            <w:vAlign w:val="center"/>
          </w:tcPr>
          <w:p w:rsidR="00F126DA" w:rsidRDefault="00650633">
            <w:pPr>
              <w:jc w:val="center"/>
            </w:pPr>
            <w:r>
              <w:rPr>
                <w:color w:val="000000"/>
                <w:kern w:val="0"/>
                <w:sz w:val="24"/>
              </w:rPr>
              <w:t>10</w:t>
            </w:r>
          </w:p>
        </w:tc>
        <w:tc>
          <w:tcPr>
            <w:tcW w:w="0" w:type="auto"/>
            <w:vAlign w:val="center"/>
          </w:tcPr>
          <w:p w:rsidR="00F126DA" w:rsidRDefault="00650633">
            <w:pPr>
              <w:jc w:val="center"/>
            </w:pPr>
            <w:r>
              <w:rPr>
                <w:color w:val="000000"/>
                <w:kern w:val="0"/>
                <w:sz w:val="24"/>
              </w:rPr>
              <w:t>601377</w:t>
            </w:r>
          </w:p>
        </w:tc>
        <w:tc>
          <w:tcPr>
            <w:tcW w:w="0" w:type="auto"/>
            <w:vAlign w:val="center"/>
          </w:tcPr>
          <w:p w:rsidR="00F126DA" w:rsidRDefault="00650633">
            <w:pPr>
              <w:jc w:val="center"/>
            </w:pPr>
            <w:r>
              <w:rPr>
                <w:color w:val="000000"/>
                <w:kern w:val="0"/>
                <w:sz w:val="24"/>
              </w:rPr>
              <w:t>兴业证券</w:t>
            </w:r>
          </w:p>
        </w:tc>
        <w:tc>
          <w:tcPr>
            <w:tcW w:w="0" w:type="auto"/>
            <w:vAlign w:val="center"/>
          </w:tcPr>
          <w:p w:rsidR="00F126DA" w:rsidRDefault="00650633">
            <w:pPr>
              <w:jc w:val="right"/>
            </w:pPr>
            <w:r>
              <w:rPr>
                <w:color w:val="000000"/>
                <w:kern w:val="0"/>
                <w:sz w:val="24"/>
              </w:rPr>
              <w:t>2,654,762</w:t>
            </w:r>
          </w:p>
        </w:tc>
        <w:tc>
          <w:tcPr>
            <w:tcW w:w="0" w:type="auto"/>
            <w:vAlign w:val="center"/>
          </w:tcPr>
          <w:p w:rsidR="00F126DA" w:rsidRDefault="00650633">
            <w:pPr>
              <w:jc w:val="right"/>
            </w:pPr>
            <w:r>
              <w:rPr>
                <w:color w:val="000000"/>
                <w:kern w:val="0"/>
                <w:sz w:val="24"/>
              </w:rPr>
              <w:t>18,795,714.96</w:t>
            </w:r>
          </w:p>
        </w:tc>
        <w:tc>
          <w:tcPr>
            <w:tcW w:w="0" w:type="auto"/>
            <w:vAlign w:val="center"/>
          </w:tcPr>
          <w:p w:rsidR="00F126DA" w:rsidRDefault="00650633">
            <w:pPr>
              <w:jc w:val="right"/>
            </w:pPr>
            <w:r>
              <w:rPr>
                <w:color w:val="000000"/>
                <w:kern w:val="0"/>
                <w:sz w:val="24"/>
              </w:rPr>
              <w:t>2.32</w:t>
            </w:r>
          </w:p>
        </w:tc>
      </w:tr>
    </w:tbl>
    <w:p w:rsidR="00653BAC" w:rsidRPr="00653BAC" w:rsidRDefault="001C36D8" w:rsidP="00653BAC">
      <w:pPr>
        <w:autoSpaceDE w:val="0"/>
        <w:autoSpaceDN w:val="0"/>
        <w:adjustRightInd w:val="0"/>
        <w:spacing w:line="360" w:lineRule="auto"/>
        <w:jc w:val="left"/>
        <w:rPr>
          <w:rFonts w:eastAsiaTheme="minorEastAsia"/>
          <w:b/>
          <w:color w:val="000000" w:themeColor="text1"/>
          <w:kern w:val="0"/>
          <w:sz w:val="24"/>
        </w:rPr>
      </w:pPr>
      <w:r w:rsidRPr="00272E0C">
        <w:rPr>
          <w:rFonts w:ascii="宋体" w:hAnsi="宋体" w:cs="Arial"/>
          <w:b/>
          <w:color w:val="000000"/>
          <w:kern w:val="0"/>
          <w:sz w:val="24"/>
        </w:rPr>
        <w:t xml:space="preserve">5.4 </w:t>
      </w:r>
      <w:r w:rsidRPr="00272E0C">
        <w:rPr>
          <w:rFonts w:ascii="宋体" w:hAnsi="宋体" w:cs="Arial" w:hint="eastAsia"/>
          <w:b/>
          <w:color w:val="000000"/>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序号</w:t>
            </w:r>
          </w:p>
        </w:tc>
        <w:tc>
          <w:tcPr>
            <w:tcW w:w="3260"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债券品种</w:t>
            </w:r>
          </w:p>
        </w:tc>
        <w:tc>
          <w:tcPr>
            <w:tcW w:w="2835"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公允价值</w:t>
            </w:r>
            <w:r w:rsidRPr="00653BAC">
              <w:rPr>
                <w:rFonts w:eastAsiaTheme="minorEastAsia"/>
                <w:color w:val="000000" w:themeColor="text1"/>
                <w:sz w:val="24"/>
              </w:rPr>
              <w:t>(</w:t>
            </w:r>
            <w:r w:rsidRPr="00653BAC">
              <w:rPr>
                <w:rFonts w:eastAsiaTheme="minorEastAsia"/>
                <w:color w:val="000000" w:themeColor="text1"/>
                <w:sz w:val="24"/>
              </w:rPr>
              <w:t>元</w:t>
            </w: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占基金资产净值比例</w:t>
            </w:r>
            <w:r w:rsidRPr="00653BAC">
              <w:rPr>
                <w:rFonts w:eastAsiaTheme="minorEastAsia"/>
                <w:color w:val="000000" w:themeColor="text1"/>
                <w:sz w:val="24"/>
              </w:rPr>
              <w:t>(</w:t>
            </w:r>
            <w:r w:rsidRPr="00653BAC">
              <w:rPr>
                <w:rFonts w:eastAsiaTheme="minorEastAsia"/>
                <w:color w:val="000000" w:themeColor="text1"/>
                <w:sz w:val="24"/>
              </w:rPr>
              <w:t>％</w:t>
            </w: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1</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国家债券</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2</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央行票据</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3</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金融债券</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其中：政策性金融债</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4</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企业债券</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5</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企业短期融资券</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6</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中期票据</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7</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可转债</w:t>
            </w:r>
            <w:r w:rsidR="00C77034" w:rsidRPr="00C77034">
              <w:rPr>
                <w:rFonts w:eastAsiaTheme="minorEastAsia" w:hint="eastAsia"/>
                <w:color w:val="000000" w:themeColor="text1"/>
                <w:sz w:val="24"/>
              </w:rPr>
              <w:t>（可交换债）</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875,985.77</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0.11</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8</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同业存单</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9</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其他</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10</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合计</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875,985.77</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0.11</w:t>
            </w:r>
          </w:p>
        </w:tc>
      </w:tr>
    </w:tbl>
    <w:p w:rsidR="001C36D8" w:rsidRPr="00272E0C" w:rsidRDefault="001C36D8" w:rsidP="00576862">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5.5 </w:t>
      </w:r>
      <w:r w:rsidRPr="00272E0C">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272E0C">
        <w:rPr>
          <w:rFonts w:ascii="宋体" w:hAnsi="宋体" w:cs="Arial" w:hint="eastAsia"/>
          <w:b/>
          <w:color w:val="000000"/>
          <w:kern w:val="0"/>
          <w:sz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418"/>
        <w:gridCol w:w="1701"/>
        <w:gridCol w:w="1559"/>
        <w:gridCol w:w="1843"/>
        <w:gridCol w:w="1190"/>
      </w:tblGrid>
      <w:tr w:rsidR="001C36D8" w:rsidRPr="00272E0C" w:rsidTr="003A20AA">
        <w:tc>
          <w:tcPr>
            <w:tcW w:w="817" w:type="dxa"/>
            <w:vAlign w:val="center"/>
          </w:tcPr>
          <w:p w:rsidR="001C36D8" w:rsidRPr="005B1E0B" w:rsidRDefault="001C36D8" w:rsidP="007A6BEA">
            <w:pPr>
              <w:spacing w:before="29" w:line="360" w:lineRule="auto"/>
              <w:ind w:left="17"/>
              <w:jc w:val="center"/>
              <w:rPr>
                <w:color w:val="000000"/>
                <w:sz w:val="24"/>
              </w:rPr>
            </w:pPr>
            <w:r w:rsidRPr="005B1E0B">
              <w:rPr>
                <w:color w:val="000000"/>
                <w:sz w:val="24"/>
              </w:rPr>
              <w:t>序号</w:t>
            </w:r>
          </w:p>
        </w:tc>
        <w:tc>
          <w:tcPr>
            <w:tcW w:w="1418" w:type="dxa"/>
            <w:vAlign w:val="center"/>
          </w:tcPr>
          <w:p w:rsidR="001C36D8" w:rsidRPr="005B1E0B" w:rsidRDefault="001C36D8" w:rsidP="007A6BEA">
            <w:pPr>
              <w:spacing w:before="29" w:line="360" w:lineRule="auto"/>
              <w:ind w:left="17"/>
              <w:jc w:val="center"/>
              <w:rPr>
                <w:color w:val="000000"/>
                <w:sz w:val="24"/>
              </w:rPr>
            </w:pPr>
            <w:r w:rsidRPr="005B1E0B">
              <w:rPr>
                <w:color w:val="000000"/>
                <w:sz w:val="24"/>
              </w:rPr>
              <w:t>债券代码</w:t>
            </w:r>
          </w:p>
        </w:tc>
        <w:tc>
          <w:tcPr>
            <w:tcW w:w="1701" w:type="dxa"/>
            <w:vAlign w:val="center"/>
          </w:tcPr>
          <w:p w:rsidR="001C36D8" w:rsidRPr="005B1E0B" w:rsidRDefault="001C36D8" w:rsidP="007A6BEA">
            <w:pPr>
              <w:spacing w:before="29" w:line="360" w:lineRule="auto"/>
              <w:ind w:left="17"/>
              <w:jc w:val="center"/>
              <w:rPr>
                <w:color w:val="000000"/>
                <w:sz w:val="24"/>
              </w:rPr>
            </w:pPr>
            <w:r w:rsidRPr="005B1E0B">
              <w:rPr>
                <w:color w:val="000000"/>
                <w:sz w:val="24"/>
              </w:rPr>
              <w:t>债券名称</w:t>
            </w:r>
          </w:p>
        </w:tc>
        <w:tc>
          <w:tcPr>
            <w:tcW w:w="1559" w:type="dxa"/>
            <w:vAlign w:val="center"/>
          </w:tcPr>
          <w:p w:rsidR="001C36D8" w:rsidRPr="005B1E0B" w:rsidRDefault="001C36D8" w:rsidP="0015779C">
            <w:pPr>
              <w:spacing w:before="29" w:line="360" w:lineRule="auto"/>
              <w:ind w:left="17"/>
              <w:jc w:val="center"/>
              <w:rPr>
                <w:color w:val="000000"/>
                <w:sz w:val="24"/>
              </w:rPr>
            </w:pPr>
            <w:r w:rsidRPr="005B1E0B">
              <w:rPr>
                <w:color w:val="000000"/>
                <w:sz w:val="24"/>
              </w:rPr>
              <w:t>数量</w:t>
            </w:r>
            <w:r w:rsidR="0015779C" w:rsidRPr="005B1E0B">
              <w:rPr>
                <w:color w:val="000000"/>
                <w:sz w:val="24"/>
              </w:rPr>
              <w:t>（张）</w:t>
            </w:r>
          </w:p>
        </w:tc>
        <w:tc>
          <w:tcPr>
            <w:tcW w:w="1843" w:type="dxa"/>
            <w:vAlign w:val="center"/>
          </w:tcPr>
          <w:p w:rsidR="001C36D8" w:rsidRPr="005B1E0B" w:rsidRDefault="001C36D8" w:rsidP="0015779C">
            <w:pPr>
              <w:spacing w:before="29" w:line="360" w:lineRule="auto"/>
              <w:ind w:left="17"/>
              <w:jc w:val="center"/>
              <w:rPr>
                <w:color w:val="000000"/>
                <w:sz w:val="24"/>
              </w:rPr>
            </w:pPr>
            <w:r w:rsidRPr="005B1E0B">
              <w:rPr>
                <w:color w:val="000000"/>
                <w:sz w:val="24"/>
              </w:rPr>
              <w:t>公允价值</w:t>
            </w:r>
            <w:r w:rsidR="0015779C" w:rsidRPr="005B1E0B">
              <w:rPr>
                <w:color w:val="000000"/>
                <w:sz w:val="24"/>
              </w:rPr>
              <w:t>（元）</w:t>
            </w:r>
          </w:p>
        </w:tc>
        <w:tc>
          <w:tcPr>
            <w:tcW w:w="1190" w:type="dxa"/>
            <w:vAlign w:val="center"/>
          </w:tcPr>
          <w:p w:rsidR="001C36D8" w:rsidRPr="005B1E0B" w:rsidRDefault="001C36D8" w:rsidP="0015779C">
            <w:pPr>
              <w:spacing w:before="29" w:line="360" w:lineRule="auto"/>
              <w:ind w:left="17"/>
              <w:jc w:val="center"/>
              <w:rPr>
                <w:color w:val="000000"/>
                <w:sz w:val="24"/>
              </w:rPr>
            </w:pPr>
            <w:r w:rsidRPr="005B1E0B">
              <w:rPr>
                <w:color w:val="000000"/>
                <w:sz w:val="24"/>
              </w:rPr>
              <w:t>占基金资产净值比例</w:t>
            </w:r>
            <w:r w:rsidR="0015779C" w:rsidRPr="005B1E0B">
              <w:rPr>
                <w:color w:val="000000"/>
                <w:sz w:val="24"/>
              </w:rPr>
              <w:t>（％）</w:t>
            </w:r>
          </w:p>
        </w:tc>
      </w:tr>
      <w:tr w:rsidR="00F126DA">
        <w:tc>
          <w:tcPr>
            <w:tcW w:w="0" w:type="auto"/>
            <w:vAlign w:val="center"/>
          </w:tcPr>
          <w:p w:rsidR="00F126DA" w:rsidRDefault="00650633">
            <w:pPr>
              <w:jc w:val="center"/>
            </w:pPr>
            <w:r>
              <w:rPr>
                <w:color w:val="000000"/>
                <w:sz w:val="24"/>
              </w:rPr>
              <w:t>1</w:t>
            </w:r>
          </w:p>
        </w:tc>
        <w:tc>
          <w:tcPr>
            <w:tcW w:w="0" w:type="auto"/>
            <w:vAlign w:val="center"/>
          </w:tcPr>
          <w:p w:rsidR="00F126DA" w:rsidRDefault="00650633">
            <w:pPr>
              <w:jc w:val="center"/>
            </w:pPr>
            <w:r>
              <w:rPr>
                <w:color w:val="000000"/>
                <w:sz w:val="24"/>
              </w:rPr>
              <w:t>128085</w:t>
            </w:r>
          </w:p>
        </w:tc>
        <w:tc>
          <w:tcPr>
            <w:tcW w:w="0" w:type="auto"/>
            <w:vAlign w:val="center"/>
          </w:tcPr>
          <w:p w:rsidR="00F126DA" w:rsidRDefault="00650633">
            <w:pPr>
              <w:jc w:val="center"/>
            </w:pPr>
            <w:r>
              <w:rPr>
                <w:color w:val="000000"/>
                <w:sz w:val="24"/>
              </w:rPr>
              <w:t>鸿达转债</w:t>
            </w:r>
          </w:p>
        </w:tc>
        <w:tc>
          <w:tcPr>
            <w:tcW w:w="0" w:type="auto"/>
            <w:vAlign w:val="center"/>
          </w:tcPr>
          <w:p w:rsidR="00F126DA" w:rsidRDefault="00650633">
            <w:pPr>
              <w:jc w:val="right"/>
            </w:pPr>
            <w:r>
              <w:rPr>
                <w:color w:val="000000"/>
                <w:sz w:val="24"/>
              </w:rPr>
              <w:t>2,210</w:t>
            </w:r>
          </w:p>
        </w:tc>
        <w:tc>
          <w:tcPr>
            <w:tcW w:w="0" w:type="auto"/>
            <w:vAlign w:val="center"/>
          </w:tcPr>
          <w:p w:rsidR="00F126DA" w:rsidRDefault="00650633">
            <w:pPr>
              <w:jc w:val="right"/>
            </w:pPr>
            <w:r>
              <w:rPr>
                <w:color w:val="000000"/>
                <w:sz w:val="24"/>
              </w:rPr>
              <w:t>220,996.12</w:t>
            </w:r>
          </w:p>
        </w:tc>
        <w:tc>
          <w:tcPr>
            <w:tcW w:w="0" w:type="auto"/>
            <w:vAlign w:val="center"/>
          </w:tcPr>
          <w:p w:rsidR="00F126DA" w:rsidRDefault="00650633">
            <w:pPr>
              <w:jc w:val="right"/>
            </w:pPr>
            <w:r>
              <w:rPr>
                <w:color w:val="000000"/>
                <w:sz w:val="24"/>
              </w:rPr>
              <w:t>0.03</w:t>
            </w:r>
          </w:p>
        </w:tc>
      </w:tr>
      <w:tr w:rsidR="00F126DA">
        <w:tc>
          <w:tcPr>
            <w:tcW w:w="0" w:type="auto"/>
            <w:vAlign w:val="center"/>
          </w:tcPr>
          <w:p w:rsidR="00F126DA" w:rsidRDefault="00650633">
            <w:pPr>
              <w:jc w:val="center"/>
            </w:pPr>
            <w:r>
              <w:rPr>
                <w:color w:val="000000"/>
                <w:sz w:val="24"/>
              </w:rPr>
              <w:t>2</w:t>
            </w:r>
          </w:p>
        </w:tc>
        <w:tc>
          <w:tcPr>
            <w:tcW w:w="0" w:type="auto"/>
            <w:vAlign w:val="center"/>
          </w:tcPr>
          <w:p w:rsidR="00F126DA" w:rsidRDefault="00650633">
            <w:pPr>
              <w:jc w:val="center"/>
            </w:pPr>
            <w:r>
              <w:rPr>
                <w:color w:val="000000"/>
                <w:sz w:val="24"/>
              </w:rPr>
              <w:t>113029</w:t>
            </w:r>
          </w:p>
        </w:tc>
        <w:tc>
          <w:tcPr>
            <w:tcW w:w="0" w:type="auto"/>
            <w:vAlign w:val="center"/>
          </w:tcPr>
          <w:p w:rsidR="00F126DA" w:rsidRDefault="00650633">
            <w:pPr>
              <w:jc w:val="center"/>
            </w:pPr>
            <w:r>
              <w:rPr>
                <w:color w:val="000000"/>
                <w:sz w:val="24"/>
              </w:rPr>
              <w:t>明阳转债</w:t>
            </w:r>
          </w:p>
        </w:tc>
        <w:tc>
          <w:tcPr>
            <w:tcW w:w="0" w:type="auto"/>
            <w:vAlign w:val="center"/>
          </w:tcPr>
          <w:p w:rsidR="00F126DA" w:rsidRDefault="00650633">
            <w:pPr>
              <w:jc w:val="right"/>
            </w:pPr>
            <w:r>
              <w:rPr>
                <w:color w:val="000000"/>
                <w:sz w:val="24"/>
              </w:rPr>
              <w:t>1,890</w:t>
            </w:r>
          </w:p>
        </w:tc>
        <w:tc>
          <w:tcPr>
            <w:tcW w:w="0" w:type="auto"/>
            <w:vAlign w:val="center"/>
          </w:tcPr>
          <w:p w:rsidR="00F126DA" w:rsidRDefault="00650633">
            <w:pPr>
              <w:jc w:val="right"/>
            </w:pPr>
            <w:r>
              <w:rPr>
                <w:color w:val="000000"/>
                <w:sz w:val="24"/>
              </w:rPr>
              <w:t>188,996.69</w:t>
            </w:r>
          </w:p>
        </w:tc>
        <w:tc>
          <w:tcPr>
            <w:tcW w:w="0" w:type="auto"/>
            <w:vAlign w:val="center"/>
          </w:tcPr>
          <w:p w:rsidR="00F126DA" w:rsidRDefault="00650633">
            <w:pPr>
              <w:jc w:val="right"/>
            </w:pPr>
            <w:r>
              <w:rPr>
                <w:color w:val="000000"/>
                <w:sz w:val="24"/>
              </w:rPr>
              <w:t>0.02</w:t>
            </w:r>
          </w:p>
        </w:tc>
      </w:tr>
      <w:tr w:rsidR="00F126DA">
        <w:tc>
          <w:tcPr>
            <w:tcW w:w="0" w:type="auto"/>
            <w:vAlign w:val="center"/>
          </w:tcPr>
          <w:p w:rsidR="00F126DA" w:rsidRDefault="00650633">
            <w:pPr>
              <w:jc w:val="center"/>
            </w:pPr>
            <w:r>
              <w:rPr>
                <w:color w:val="000000"/>
                <w:sz w:val="24"/>
              </w:rPr>
              <w:t>3</w:t>
            </w:r>
          </w:p>
        </w:tc>
        <w:tc>
          <w:tcPr>
            <w:tcW w:w="0" w:type="auto"/>
            <w:vAlign w:val="center"/>
          </w:tcPr>
          <w:p w:rsidR="00F126DA" w:rsidRDefault="00650633">
            <w:pPr>
              <w:jc w:val="center"/>
            </w:pPr>
            <w:r>
              <w:rPr>
                <w:color w:val="000000"/>
                <w:sz w:val="24"/>
              </w:rPr>
              <w:t>128084</w:t>
            </w:r>
          </w:p>
        </w:tc>
        <w:tc>
          <w:tcPr>
            <w:tcW w:w="0" w:type="auto"/>
            <w:vAlign w:val="center"/>
          </w:tcPr>
          <w:p w:rsidR="00F126DA" w:rsidRDefault="00650633">
            <w:pPr>
              <w:jc w:val="center"/>
            </w:pPr>
            <w:r>
              <w:rPr>
                <w:color w:val="000000"/>
                <w:sz w:val="24"/>
              </w:rPr>
              <w:t>木森转债</w:t>
            </w:r>
          </w:p>
        </w:tc>
        <w:tc>
          <w:tcPr>
            <w:tcW w:w="0" w:type="auto"/>
            <w:vAlign w:val="center"/>
          </w:tcPr>
          <w:p w:rsidR="00F126DA" w:rsidRDefault="00650633">
            <w:pPr>
              <w:jc w:val="right"/>
            </w:pPr>
            <w:r>
              <w:rPr>
                <w:color w:val="000000"/>
                <w:sz w:val="24"/>
              </w:rPr>
              <w:t>1,720</w:t>
            </w:r>
          </w:p>
        </w:tc>
        <w:tc>
          <w:tcPr>
            <w:tcW w:w="0" w:type="auto"/>
            <w:vAlign w:val="center"/>
          </w:tcPr>
          <w:p w:rsidR="00F126DA" w:rsidRDefault="00650633">
            <w:pPr>
              <w:jc w:val="right"/>
            </w:pPr>
            <w:r>
              <w:rPr>
                <w:color w:val="000000"/>
                <w:sz w:val="24"/>
              </w:rPr>
              <w:t>171,996.98</w:t>
            </w:r>
          </w:p>
        </w:tc>
        <w:tc>
          <w:tcPr>
            <w:tcW w:w="0" w:type="auto"/>
            <w:vAlign w:val="center"/>
          </w:tcPr>
          <w:p w:rsidR="00F126DA" w:rsidRDefault="00650633">
            <w:pPr>
              <w:jc w:val="right"/>
            </w:pPr>
            <w:r>
              <w:rPr>
                <w:color w:val="000000"/>
                <w:sz w:val="24"/>
              </w:rPr>
              <w:t>0.02</w:t>
            </w:r>
          </w:p>
        </w:tc>
      </w:tr>
      <w:tr w:rsidR="00F126DA">
        <w:tc>
          <w:tcPr>
            <w:tcW w:w="0" w:type="auto"/>
            <w:vAlign w:val="center"/>
          </w:tcPr>
          <w:p w:rsidR="00F126DA" w:rsidRDefault="00650633">
            <w:pPr>
              <w:jc w:val="center"/>
            </w:pPr>
            <w:r>
              <w:rPr>
                <w:color w:val="000000"/>
                <w:sz w:val="24"/>
              </w:rPr>
              <w:t>4</w:t>
            </w:r>
          </w:p>
        </w:tc>
        <w:tc>
          <w:tcPr>
            <w:tcW w:w="0" w:type="auto"/>
            <w:vAlign w:val="center"/>
          </w:tcPr>
          <w:p w:rsidR="00F126DA" w:rsidRDefault="00650633">
            <w:pPr>
              <w:jc w:val="center"/>
            </w:pPr>
            <w:r>
              <w:rPr>
                <w:color w:val="000000"/>
                <w:sz w:val="24"/>
              </w:rPr>
              <w:t>128086</w:t>
            </w:r>
          </w:p>
        </w:tc>
        <w:tc>
          <w:tcPr>
            <w:tcW w:w="0" w:type="auto"/>
            <w:vAlign w:val="center"/>
          </w:tcPr>
          <w:p w:rsidR="00F126DA" w:rsidRDefault="00650633">
            <w:pPr>
              <w:jc w:val="center"/>
            </w:pPr>
            <w:r>
              <w:rPr>
                <w:color w:val="000000"/>
                <w:sz w:val="24"/>
              </w:rPr>
              <w:t>国轩转债</w:t>
            </w:r>
          </w:p>
        </w:tc>
        <w:tc>
          <w:tcPr>
            <w:tcW w:w="0" w:type="auto"/>
            <w:vAlign w:val="center"/>
          </w:tcPr>
          <w:p w:rsidR="00F126DA" w:rsidRDefault="00650633">
            <w:pPr>
              <w:jc w:val="right"/>
            </w:pPr>
            <w:r>
              <w:rPr>
                <w:color w:val="000000"/>
                <w:sz w:val="24"/>
              </w:rPr>
              <w:t>1,370</w:t>
            </w:r>
          </w:p>
        </w:tc>
        <w:tc>
          <w:tcPr>
            <w:tcW w:w="0" w:type="auto"/>
            <w:vAlign w:val="center"/>
          </w:tcPr>
          <w:p w:rsidR="00F126DA" w:rsidRDefault="00650633">
            <w:pPr>
              <w:jc w:val="right"/>
            </w:pPr>
            <w:r>
              <w:rPr>
                <w:color w:val="000000"/>
                <w:sz w:val="24"/>
              </w:rPr>
              <w:t>136,997.60</w:t>
            </w:r>
          </w:p>
        </w:tc>
        <w:tc>
          <w:tcPr>
            <w:tcW w:w="0" w:type="auto"/>
            <w:vAlign w:val="center"/>
          </w:tcPr>
          <w:p w:rsidR="00F126DA" w:rsidRDefault="00650633">
            <w:pPr>
              <w:jc w:val="right"/>
            </w:pPr>
            <w:r>
              <w:rPr>
                <w:color w:val="000000"/>
                <w:sz w:val="24"/>
              </w:rPr>
              <w:t>0.02</w:t>
            </w:r>
          </w:p>
        </w:tc>
      </w:tr>
      <w:tr w:rsidR="00F126DA">
        <w:tc>
          <w:tcPr>
            <w:tcW w:w="0" w:type="auto"/>
            <w:vAlign w:val="center"/>
          </w:tcPr>
          <w:p w:rsidR="00F126DA" w:rsidRDefault="00650633">
            <w:pPr>
              <w:jc w:val="center"/>
            </w:pPr>
            <w:r>
              <w:rPr>
                <w:color w:val="000000"/>
                <w:sz w:val="24"/>
              </w:rPr>
              <w:t>5</w:t>
            </w:r>
          </w:p>
        </w:tc>
        <w:tc>
          <w:tcPr>
            <w:tcW w:w="0" w:type="auto"/>
            <w:vAlign w:val="center"/>
          </w:tcPr>
          <w:p w:rsidR="00F126DA" w:rsidRDefault="00650633">
            <w:pPr>
              <w:jc w:val="center"/>
            </w:pPr>
            <w:r>
              <w:rPr>
                <w:color w:val="000000"/>
                <w:sz w:val="24"/>
              </w:rPr>
              <w:t>110065</w:t>
            </w:r>
          </w:p>
        </w:tc>
        <w:tc>
          <w:tcPr>
            <w:tcW w:w="0" w:type="auto"/>
            <w:vAlign w:val="center"/>
          </w:tcPr>
          <w:p w:rsidR="00F126DA" w:rsidRDefault="00650633">
            <w:pPr>
              <w:jc w:val="center"/>
            </w:pPr>
            <w:r>
              <w:rPr>
                <w:color w:val="000000"/>
                <w:sz w:val="24"/>
              </w:rPr>
              <w:t>淮矿转债</w:t>
            </w:r>
          </w:p>
        </w:tc>
        <w:tc>
          <w:tcPr>
            <w:tcW w:w="0" w:type="auto"/>
            <w:vAlign w:val="center"/>
          </w:tcPr>
          <w:p w:rsidR="00F126DA" w:rsidRDefault="00650633">
            <w:pPr>
              <w:jc w:val="right"/>
            </w:pPr>
            <w:r>
              <w:rPr>
                <w:color w:val="000000"/>
                <w:sz w:val="24"/>
              </w:rPr>
              <w:t>1,290</w:t>
            </w:r>
          </w:p>
        </w:tc>
        <w:tc>
          <w:tcPr>
            <w:tcW w:w="0" w:type="auto"/>
            <w:vAlign w:val="center"/>
          </w:tcPr>
          <w:p w:rsidR="00F126DA" w:rsidRDefault="00650633">
            <w:pPr>
              <w:jc w:val="right"/>
            </w:pPr>
            <w:r>
              <w:rPr>
                <w:color w:val="000000"/>
                <w:sz w:val="24"/>
              </w:rPr>
              <w:t>128,998.87</w:t>
            </w:r>
          </w:p>
        </w:tc>
        <w:tc>
          <w:tcPr>
            <w:tcW w:w="0" w:type="auto"/>
            <w:vAlign w:val="center"/>
          </w:tcPr>
          <w:p w:rsidR="00F126DA" w:rsidRDefault="00650633">
            <w:pPr>
              <w:jc w:val="right"/>
            </w:pPr>
            <w:r>
              <w:rPr>
                <w:color w:val="000000"/>
                <w:sz w:val="24"/>
              </w:rPr>
              <w:t>0.02</w:t>
            </w:r>
          </w:p>
        </w:tc>
      </w:tr>
    </w:tbl>
    <w:p w:rsidR="001C36D8" w:rsidRPr="00272E0C" w:rsidRDefault="001C36D8" w:rsidP="00576862">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5.6</w:t>
      </w:r>
      <w:r w:rsidRPr="00272E0C">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272E0C">
        <w:rPr>
          <w:rFonts w:ascii="宋体" w:hAnsi="宋体" w:cs="Arial" w:hint="eastAsia"/>
          <w:b/>
          <w:color w:val="000000"/>
          <w:kern w:val="0"/>
          <w:sz w:val="24"/>
        </w:rPr>
        <w:t>的前十名资产支持证券投资明细</w:t>
      </w:r>
    </w:p>
    <w:p w:rsidR="001C36D8" w:rsidRPr="005B1E0B" w:rsidRDefault="001C36D8" w:rsidP="005B1E0B">
      <w:pPr>
        <w:spacing w:line="360" w:lineRule="auto"/>
        <w:ind w:firstLineChars="200" w:firstLine="480"/>
        <w:rPr>
          <w:color w:val="000000"/>
          <w:sz w:val="24"/>
        </w:rPr>
      </w:pPr>
      <w:r w:rsidRPr="003D22BD">
        <w:rPr>
          <w:color w:val="000000"/>
          <w:sz w:val="24"/>
        </w:rPr>
        <w:t>本基金本报告期末未持有资产支持证券。</w:t>
      </w:r>
    </w:p>
    <w:p w:rsidR="001C36D8" w:rsidRPr="001D63BB" w:rsidRDefault="001C36D8" w:rsidP="001C123E">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1C36D8" w:rsidRPr="005B1E0B" w:rsidRDefault="001C36D8" w:rsidP="005B1E0B">
      <w:pPr>
        <w:spacing w:line="360" w:lineRule="auto"/>
        <w:ind w:firstLineChars="200" w:firstLine="480"/>
        <w:rPr>
          <w:color w:val="000000"/>
          <w:sz w:val="24"/>
        </w:rPr>
      </w:pPr>
      <w:r w:rsidRPr="003D22BD">
        <w:rPr>
          <w:color w:val="000000"/>
          <w:sz w:val="24"/>
        </w:rPr>
        <w:t>本基金本报告期末未持有贵金属。</w:t>
      </w:r>
    </w:p>
    <w:p w:rsidR="001C36D8" w:rsidRPr="00272E0C" w:rsidRDefault="001C36D8" w:rsidP="00576862">
      <w:pPr>
        <w:autoSpaceDE w:val="0"/>
        <w:autoSpaceDN w:val="0"/>
        <w:adjustRightInd w:val="0"/>
        <w:spacing w:line="360" w:lineRule="auto"/>
        <w:jc w:val="left"/>
        <w:rPr>
          <w:rFonts w:ascii="宋体" w:cs="Arial"/>
          <w:b/>
          <w:color w:val="000000"/>
          <w:kern w:val="0"/>
          <w:sz w:val="24"/>
        </w:rPr>
      </w:pPr>
      <w:r w:rsidRPr="001B0A62">
        <w:rPr>
          <w:rFonts w:ascii="宋体"/>
          <w:b/>
          <w:bCs/>
          <w:color w:val="000000"/>
          <w:kern w:val="0"/>
          <w:sz w:val="24"/>
        </w:rPr>
        <w:t>5.8</w:t>
      </w:r>
      <w:r w:rsidRPr="00272E0C">
        <w:rPr>
          <w:rFonts w:ascii="宋体" w:hAnsi="宋体" w:hint="eastAsia"/>
          <w:b/>
          <w:bCs/>
          <w:color w:val="000000"/>
          <w:sz w:val="24"/>
        </w:rPr>
        <w:t>报告期末按公允价值占基金资产净值比例大小排</w:t>
      </w:r>
      <w:r>
        <w:rPr>
          <w:rFonts w:ascii="宋体" w:hAnsi="宋体" w:hint="eastAsia"/>
          <w:b/>
          <w:bCs/>
          <w:color w:val="000000"/>
          <w:sz w:val="24"/>
        </w:rPr>
        <w:t>序</w:t>
      </w:r>
      <w:r w:rsidRPr="00272E0C">
        <w:rPr>
          <w:rFonts w:ascii="宋体" w:hAnsi="宋体" w:hint="eastAsia"/>
          <w:b/>
          <w:bCs/>
          <w:color w:val="000000"/>
          <w:sz w:val="24"/>
        </w:rPr>
        <w:t>的前五名权证投资明细</w:t>
      </w:r>
    </w:p>
    <w:p w:rsidR="001C36D8" w:rsidRPr="005B1E0B" w:rsidRDefault="001C36D8" w:rsidP="005B1E0B">
      <w:pPr>
        <w:spacing w:line="360" w:lineRule="auto"/>
        <w:ind w:firstLineChars="200" w:firstLine="480"/>
        <w:rPr>
          <w:color w:val="000000"/>
          <w:sz w:val="24"/>
        </w:rPr>
      </w:pPr>
      <w:r w:rsidRPr="003D22BD">
        <w:rPr>
          <w:color w:val="000000"/>
          <w:sz w:val="24"/>
        </w:rPr>
        <w:t>本基金本报告期末未持有权证。</w:t>
      </w:r>
    </w:p>
    <w:p w:rsidR="001C36D8" w:rsidRPr="00E85E29" w:rsidRDefault="001C36D8" w:rsidP="00E57068">
      <w:pPr>
        <w:adjustRightInd w:val="0"/>
        <w:snapToGrid w:val="0"/>
        <w:spacing w:line="360" w:lineRule="auto"/>
        <w:rPr>
          <w:rFonts w:ascii="宋体"/>
          <w:b/>
          <w:sz w:val="24"/>
        </w:rPr>
      </w:pPr>
      <w:r w:rsidRPr="001B0A62">
        <w:rPr>
          <w:rFonts w:ascii="宋体"/>
          <w:b/>
          <w:bCs/>
          <w:color w:val="000000"/>
          <w:kern w:val="0"/>
          <w:sz w:val="24"/>
        </w:rPr>
        <w:t>5.9</w:t>
      </w:r>
      <w:r w:rsidRPr="00E85E29">
        <w:rPr>
          <w:rFonts w:ascii="宋体" w:hAnsi="宋体" w:hint="eastAsia"/>
          <w:b/>
          <w:sz w:val="24"/>
        </w:rPr>
        <w:t>报告期末本基金投资的股指期货交易情况说明</w:t>
      </w:r>
    </w:p>
    <w:p w:rsidR="003B3D0C" w:rsidRDefault="003B3D0C" w:rsidP="003B3D0C">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1C36D8" w:rsidRPr="00272E0C" w:rsidRDefault="001C36D8" w:rsidP="00576862">
      <w:pPr>
        <w:adjustRightInd w:val="0"/>
        <w:snapToGrid w:val="0"/>
        <w:spacing w:line="360" w:lineRule="auto"/>
        <w:rPr>
          <w:rFonts w:ascii="宋体"/>
          <w:b/>
          <w:sz w:val="24"/>
        </w:rPr>
      </w:pPr>
      <w:r>
        <w:rPr>
          <w:rFonts w:ascii="宋体" w:hAnsi="宋体"/>
          <w:b/>
          <w:sz w:val="24"/>
        </w:rPr>
        <w:t>5</w:t>
      </w:r>
      <w:r w:rsidRPr="00272E0C">
        <w:rPr>
          <w:rFonts w:ascii="宋体"/>
          <w:b/>
          <w:sz w:val="24"/>
        </w:rPr>
        <w:t>.</w:t>
      </w:r>
      <w:r>
        <w:rPr>
          <w:rFonts w:ascii="宋体" w:hAnsi="宋体"/>
          <w:b/>
          <w:sz w:val="24"/>
        </w:rPr>
        <w:t>10</w:t>
      </w:r>
      <w:r w:rsidRPr="00272E0C">
        <w:rPr>
          <w:rFonts w:ascii="宋体" w:hAnsi="宋体" w:hint="eastAsia"/>
          <w:b/>
          <w:sz w:val="24"/>
        </w:rPr>
        <w:t>报告期末本基金投资的国债期货交易情况说明</w:t>
      </w:r>
    </w:p>
    <w:p w:rsidR="000C44BD" w:rsidRDefault="000C44BD" w:rsidP="000C44BD">
      <w:pPr>
        <w:spacing w:line="360" w:lineRule="auto"/>
        <w:ind w:firstLineChars="200" w:firstLine="480"/>
      </w:pPr>
      <w:r>
        <w:rPr>
          <w:color w:val="000000"/>
          <w:sz w:val="24"/>
        </w:rPr>
        <w:t>本基金本报告期末未投资国债期货。</w:t>
      </w:r>
    </w:p>
    <w:p w:rsidR="001C36D8" w:rsidRPr="00272E0C" w:rsidRDefault="001C36D8" w:rsidP="00576862">
      <w:pPr>
        <w:autoSpaceDE w:val="0"/>
        <w:autoSpaceDN w:val="0"/>
        <w:adjustRightInd w:val="0"/>
        <w:spacing w:line="360" w:lineRule="auto"/>
        <w:jc w:val="left"/>
        <w:rPr>
          <w:rFonts w:ascii="宋体" w:cs="Arial"/>
          <w:b/>
          <w:color w:val="000000"/>
          <w:kern w:val="0"/>
          <w:sz w:val="24"/>
        </w:rPr>
      </w:pPr>
      <w:r>
        <w:rPr>
          <w:rFonts w:ascii="宋体" w:hAnsi="宋体" w:cs="Arial"/>
          <w:b/>
          <w:color w:val="000000"/>
          <w:kern w:val="0"/>
          <w:sz w:val="24"/>
        </w:rPr>
        <w:t>5</w:t>
      </w:r>
      <w:r w:rsidRPr="00272E0C">
        <w:rPr>
          <w:rFonts w:ascii="宋体" w:cs="Arial"/>
          <w:b/>
          <w:color w:val="000000"/>
          <w:kern w:val="0"/>
          <w:sz w:val="24"/>
        </w:rPr>
        <w:t>.</w:t>
      </w:r>
      <w:r>
        <w:rPr>
          <w:rFonts w:ascii="宋体" w:hAnsi="宋体" w:cs="Arial"/>
          <w:b/>
          <w:color w:val="000000"/>
          <w:kern w:val="0"/>
          <w:sz w:val="24"/>
        </w:rPr>
        <w:t>11</w:t>
      </w:r>
      <w:r w:rsidRPr="00272E0C">
        <w:rPr>
          <w:rFonts w:ascii="宋体" w:hAnsi="宋体" w:cs="Arial" w:hint="eastAsia"/>
          <w:b/>
          <w:color w:val="000000"/>
          <w:kern w:val="0"/>
          <w:sz w:val="24"/>
        </w:rPr>
        <w:t>投资组合报告附注</w:t>
      </w:r>
    </w:p>
    <w:p w:rsidR="001C36D8" w:rsidRPr="005B1E0B" w:rsidRDefault="001C36D8" w:rsidP="00576862">
      <w:pPr>
        <w:spacing w:line="360" w:lineRule="auto"/>
        <w:rPr>
          <w:color w:val="000000"/>
          <w:kern w:val="0"/>
          <w:sz w:val="24"/>
        </w:rPr>
      </w:pPr>
      <w:r w:rsidRPr="001C123E">
        <w:rPr>
          <w:rFonts w:ascii="宋体" w:hAnsi="宋体"/>
          <w:bCs/>
          <w:color w:val="000000"/>
          <w:kern w:val="0"/>
          <w:sz w:val="24"/>
        </w:rPr>
        <w:t>5.11.1</w:t>
      </w:r>
      <w:r w:rsidRPr="005B1E0B">
        <w:rPr>
          <w:color w:val="000000"/>
          <w:kern w:val="0"/>
          <w:sz w:val="24"/>
        </w:rPr>
        <w:t>本基金投资的前十名证券的发行主体本期没有出现被监管部门立案调查，或在报告编制日前一年内受到公开谴责、处罚的情形。</w:t>
      </w:r>
    </w:p>
    <w:p w:rsidR="001C36D8" w:rsidRPr="005B1E0B" w:rsidRDefault="001C36D8" w:rsidP="00576862">
      <w:pPr>
        <w:spacing w:line="360" w:lineRule="auto"/>
        <w:rPr>
          <w:color w:val="000000"/>
          <w:kern w:val="0"/>
          <w:sz w:val="24"/>
        </w:rPr>
      </w:pPr>
      <w:r w:rsidRPr="001C123E">
        <w:rPr>
          <w:rFonts w:ascii="宋体" w:hAnsi="宋体"/>
          <w:bCs/>
          <w:color w:val="000000"/>
          <w:kern w:val="0"/>
          <w:sz w:val="24"/>
        </w:rPr>
        <w:t>5.11.2</w:t>
      </w:r>
      <w:r w:rsidRPr="005B1E0B">
        <w:rPr>
          <w:color w:val="000000"/>
          <w:kern w:val="0"/>
          <w:sz w:val="24"/>
        </w:rPr>
        <w:t>本基金投资的前十名股票没有超出基金合同规定的备选股票库。</w:t>
      </w:r>
    </w:p>
    <w:p w:rsidR="001C36D8" w:rsidRPr="00717C29" w:rsidRDefault="001C36D8" w:rsidP="00576862">
      <w:pPr>
        <w:autoSpaceDE w:val="0"/>
        <w:autoSpaceDN w:val="0"/>
        <w:adjustRightInd w:val="0"/>
        <w:spacing w:line="360" w:lineRule="auto"/>
        <w:jc w:val="left"/>
        <w:rPr>
          <w:rFonts w:ascii="宋体" w:cs="Arial"/>
          <w:color w:val="000000"/>
          <w:kern w:val="0"/>
          <w:sz w:val="24"/>
        </w:rPr>
      </w:pPr>
      <w:r w:rsidRPr="00717C29">
        <w:rPr>
          <w:rFonts w:ascii="宋体" w:hAnsi="宋体"/>
          <w:bCs/>
          <w:color w:val="000000"/>
          <w:kern w:val="0"/>
          <w:sz w:val="24"/>
        </w:rPr>
        <w:t>5.11.3</w:t>
      </w:r>
      <w:r w:rsidRPr="00717C29">
        <w:rPr>
          <w:rFonts w:ascii="宋体" w:hAnsi="宋体" w:cs="Arial" w:hint="eastAsia"/>
          <w:color w:val="000000"/>
          <w:kern w:val="0"/>
          <w:sz w:val="24"/>
        </w:rPr>
        <w:t>其他各项资产构成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761"/>
        <w:gridCol w:w="4808"/>
      </w:tblGrid>
      <w:tr w:rsidR="001C36D8" w:rsidRPr="00272E0C" w:rsidTr="001A09F9">
        <w:tc>
          <w:tcPr>
            <w:tcW w:w="959" w:type="dxa"/>
          </w:tcPr>
          <w:p w:rsidR="001C36D8" w:rsidRPr="005B1E0B" w:rsidRDefault="001C36D8" w:rsidP="001A09F9">
            <w:pPr>
              <w:autoSpaceDE w:val="0"/>
              <w:autoSpaceDN w:val="0"/>
              <w:adjustRightInd w:val="0"/>
              <w:spacing w:line="360" w:lineRule="auto"/>
              <w:jc w:val="left"/>
              <w:rPr>
                <w:color w:val="000000"/>
                <w:sz w:val="24"/>
              </w:rPr>
            </w:pPr>
            <w:r w:rsidRPr="005B1E0B">
              <w:rPr>
                <w:color w:val="000000"/>
                <w:sz w:val="24"/>
              </w:rPr>
              <w:t>序号</w:t>
            </w:r>
          </w:p>
        </w:tc>
        <w:tc>
          <w:tcPr>
            <w:tcW w:w="2761" w:type="dxa"/>
          </w:tcPr>
          <w:p w:rsidR="001C36D8" w:rsidRPr="005B1E0B" w:rsidRDefault="001C36D8" w:rsidP="001A09F9">
            <w:pPr>
              <w:autoSpaceDE w:val="0"/>
              <w:autoSpaceDN w:val="0"/>
              <w:adjustRightInd w:val="0"/>
              <w:spacing w:line="360" w:lineRule="auto"/>
              <w:jc w:val="left"/>
              <w:rPr>
                <w:color w:val="000000"/>
                <w:sz w:val="24"/>
              </w:rPr>
            </w:pPr>
            <w:r w:rsidRPr="005B1E0B">
              <w:rPr>
                <w:color w:val="000000"/>
                <w:sz w:val="24"/>
              </w:rPr>
              <w:t>名称</w:t>
            </w:r>
          </w:p>
        </w:tc>
        <w:tc>
          <w:tcPr>
            <w:tcW w:w="4808" w:type="dxa"/>
          </w:tcPr>
          <w:p w:rsidR="001C36D8" w:rsidRPr="005B1E0B" w:rsidRDefault="001C36D8" w:rsidP="001A09F9">
            <w:pPr>
              <w:autoSpaceDE w:val="0"/>
              <w:autoSpaceDN w:val="0"/>
              <w:adjustRightInd w:val="0"/>
              <w:spacing w:line="360" w:lineRule="auto"/>
              <w:jc w:val="left"/>
              <w:rPr>
                <w:color w:val="000000"/>
                <w:sz w:val="24"/>
              </w:rPr>
            </w:pPr>
            <w:r w:rsidRPr="005B1E0B">
              <w:rPr>
                <w:color w:val="000000"/>
                <w:sz w:val="24"/>
              </w:rPr>
              <w:t>金额（元）</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kern w:val="0"/>
                <w:sz w:val="24"/>
              </w:rPr>
            </w:pPr>
            <w:r w:rsidRPr="005B1E0B">
              <w:rPr>
                <w:color w:val="000000"/>
                <w:sz w:val="24"/>
              </w:rPr>
              <w:t>1</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存出保证金</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29,794.51</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2</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应收证券清算款</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5,068,187.42</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3</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应收股利</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4</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应收利息</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8,889.66</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5</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应收申购款</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464,584.13</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6</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其他应收款</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w:t>
            </w:r>
          </w:p>
        </w:tc>
      </w:tr>
      <w:tr w:rsidR="001C36D8" w:rsidRPr="00272E0C" w:rsidTr="001A09F9">
        <w:tc>
          <w:tcPr>
            <w:tcW w:w="959" w:type="dxa"/>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7</w:t>
            </w:r>
          </w:p>
        </w:tc>
        <w:tc>
          <w:tcPr>
            <w:tcW w:w="2761" w:type="dxa"/>
          </w:tcPr>
          <w:p w:rsidR="001C36D8" w:rsidRPr="005B1E0B" w:rsidRDefault="001C36D8" w:rsidP="0015779C">
            <w:pPr>
              <w:autoSpaceDE w:val="0"/>
              <w:autoSpaceDN w:val="0"/>
              <w:adjustRightInd w:val="0"/>
              <w:spacing w:before="29" w:line="360" w:lineRule="auto"/>
              <w:ind w:leftChars="50" w:left="105"/>
              <w:rPr>
                <w:color w:val="000000"/>
                <w:sz w:val="24"/>
              </w:rPr>
            </w:pPr>
            <w:r w:rsidRPr="005B1E0B">
              <w:rPr>
                <w:color w:val="000000"/>
                <w:sz w:val="24"/>
              </w:rPr>
              <w:t>待摊费用</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sz w:val="24"/>
              </w:rPr>
            </w:pPr>
            <w:r w:rsidRPr="005B1E0B">
              <w:rPr>
                <w:color w:val="000000"/>
                <w:sz w:val="24"/>
              </w:rPr>
              <w:t>-</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8</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其他</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9</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合计</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5,571,455.72</w:t>
            </w:r>
          </w:p>
        </w:tc>
      </w:tr>
    </w:tbl>
    <w:p w:rsidR="001C36D8" w:rsidRPr="00717C29" w:rsidRDefault="001C36D8" w:rsidP="00576862">
      <w:pPr>
        <w:autoSpaceDE w:val="0"/>
        <w:autoSpaceDN w:val="0"/>
        <w:adjustRightInd w:val="0"/>
        <w:spacing w:line="360" w:lineRule="auto"/>
        <w:jc w:val="left"/>
        <w:rPr>
          <w:rFonts w:ascii="宋体" w:cs="Arial"/>
          <w:color w:val="000000"/>
          <w:kern w:val="0"/>
          <w:sz w:val="24"/>
        </w:rPr>
      </w:pPr>
      <w:r w:rsidRPr="00717C29">
        <w:rPr>
          <w:rFonts w:ascii="宋体" w:hAnsi="宋体"/>
          <w:bCs/>
          <w:color w:val="000000"/>
          <w:kern w:val="0"/>
          <w:sz w:val="24"/>
        </w:rPr>
        <w:t>5.11.4</w:t>
      </w:r>
      <w:r w:rsidRPr="00717C29">
        <w:rPr>
          <w:rFonts w:ascii="宋体" w:hAnsi="宋体" w:cs="Arial" w:hint="eastAsia"/>
          <w:color w:val="000000"/>
          <w:kern w:val="0"/>
          <w:sz w:val="24"/>
        </w:rPr>
        <w:t>报告期末持有的处于转股期的可转换债券明细</w:t>
      </w:r>
    </w:p>
    <w:p w:rsidR="001C36D8" w:rsidRPr="003D22BD" w:rsidRDefault="001C36D8" w:rsidP="003D22BD">
      <w:pPr>
        <w:spacing w:line="360" w:lineRule="auto"/>
        <w:ind w:firstLineChars="200" w:firstLine="480"/>
        <w:rPr>
          <w:color w:val="000000"/>
          <w:sz w:val="24"/>
        </w:rPr>
      </w:pPr>
      <w:r w:rsidRPr="003D22BD">
        <w:rPr>
          <w:color w:val="000000"/>
          <w:sz w:val="24"/>
        </w:rPr>
        <w:t>本基金本报告期末未持有处于转股期的可转换债券。</w:t>
      </w:r>
    </w:p>
    <w:p w:rsidR="00924A95" w:rsidRPr="001C7E00" w:rsidRDefault="00924A95" w:rsidP="00924A95">
      <w:pPr>
        <w:autoSpaceDE w:val="0"/>
        <w:autoSpaceDN w:val="0"/>
        <w:adjustRightInd w:val="0"/>
        <w:spacing w:line="360" w:lineRule="auto"/>
        <w:jc w:val="left"/>
        <w:rPr>
          <w:rFonts w:ascii="宋体"/>
          <w:bCs/>
          <w:color w:val="000000"/>
          <w:kern w:val="0"/>
          <w:sz w:val="24"/>
        </w:rPr>
      </w:pPr>
      <w:r w:rsidRPr="001C7E00">
        <w:rPr>
          <w:rFonts w:ascii="宋体" w:hAnsi="宋体"/>
          <w:bCs/>
          <w:color w:val="000000"/>
          <w:kern w:val="0"/>
          <w:sz w:val="24"/>
        </w:rPr>
        <w:t>5.11.5</w:t>
      </w:r>
      <w:r w:rsidRPr="001C7E00">
        <w:rPr>
          <w:rFonts w:ascii="宋体" w:hAnsi="宋体" w:hint="eastAsia"/>
          <w:bCs/>
          <w:color w:val="000000"/>
          <w:kern w:val="0"/>
          <w:sz w:val="24"/>
        </w:rPr>
        <w:t>报告期末前十名股票中存在流通受限情况的说明</w:t>
      </w:r>
    </w:p>
    <w:p w:rsidR="001C36D8" w:rsidRPr="005B1E0B" w:rsidRDefault="00924A95" w:rsidP="005B1E0B">
      <w:pPr>
        <w:spacing w:line="360" w:lineRule="auto"/>
        <w:ind w:firstLineChars="200" w:firstLine="480"/>
        <w:rPr>
          <w:color w:val="000000"/>
          <w:sz w:val="24"/>
        </w:rPr>
      </w:pPr>
      <w:r w:rsidRPr="006C56AA">
        <w:rPr>
          <w:color w:val="000000"/>
          <w:sz w:val="24"/>
        </w:rPr>
        <w:t>本基金本报告期末前十名股票中不存在流通受限情况。</w:t>
      </w: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Pr>
          <w:rFonts w:ascii="宋体" w:hAnsi="宋体" w:cs="Arial"/>
          <w:color w:val="000000"/>
          <w:kern w:val="0"/>
          <w:sz w:val="24"/>
          <w:szCs w:val="24"/>
        </w:rPr>
        <w:t>6</w:t>
      </w:r>
      <w:r w:rsidR="005D2CC7" w:rsidRPr="00272E0C">
        <w:rPr>
          <w:rFonts w:ascii="宋体" w:hAnsi="宋体" w:cs="Arial"/>
          <w:color w:val="000000"/>
          <w:kern w:val="0"/>
          <w:sz w:val="24"/>
          <w:szCs w:val="24"/>
        </w:rPr>
        <w:t xml:space="preserve">  </w:t>
      </w:r>
      <w:r w:rsidRPr="00272E0C">
        <w:rPr>
          <w:rFonts w:ascii="宋体" w:hAnsi="宋体" w:cs="Arial" w:hint="eastAsia"/>
          <w:color w:val="000000"/>
          <w:kern w:val="0"/>
          <w:sz w:val="24"/>
          <w:szCs w:val="24"/>
        </w:rPr>
        <w:t>开放式基金份额变动</w:t>
      </w:r>
    </w:p>
    <w:p w:rsidR="001C36D8" w:rsidRPr="00272E0C" w:rsidRDefault="001C36D8" w:rsidP="0019563C">
      <w:pPr>
        <w:autoSpaceDE w:val="0"/>
        <w:autoSpaceDN w:val="0"/>
        <w:adjustRightInd w:val="0"/>
        <w:spacing w:before="29" w:line="360" w:lineRule="auto"/>
        <w:ind w:left="15"/>
        <w:jc w:val="right"/>
        <w:rPr>
          <w:rFonts w:ascii="宋体" w:cs="Arial"/>
          <w:color w:val="000000"/>
          <w:kern w:val="0"/>
          <w:sz w:val="24"/>
        </w:rPr>
      </w:pPr>
      <w:r w:rsidRPr="00272E0C">
        <w:rPr>
          <w:rFonts w:ascii="宋体" w:hAnsi="宋体" w:cs="Arial" w:hint="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5B14F0">
            <w:pPr>
              <w:autoSpaceDE w:val="0"/>
              <w:autoSpaceDN w:val="0"/>
              <w:adjustRightInd w:val="0"/>
              <w:spacing w:before="29" w:line="360" w:lineRule="auto"/>
              <w:ind w:left="17"/>
              <w:jc w:val="right"/>
              <w:rPr>
                <w:sz w:val="24"/>
              </w:rPr>
            </w:pPr>
            <w:r w:rsidRPr="005B1E0B">
              <w:rPr>
                <w:sz w:val="24"/>
              </w:rPr>
              <w:t>易方达证券公司分级</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sz w:val="24"/>
              </w:rPr>
              <w:t>易方达证券公司分级</w:t>
            </w:r>
            <w:r w:rsidRPr="005B1E0B">
              <w:rPr>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易方达证券公司分级</w:t>
            </w:r>
            <w:r w:rsidRPr="005B1E0B">
              <w:rPr>
                <w:sz w:val="24"/>
              </w:rPr>
              <w:t>B</w:t>
            </w:r>
          </w:p>
        </w:tc>
      </w:tr>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507,539,844.85</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123,164,467.00</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123,164,467.00</w:t>
            </w:r>
          </w:p>
        </w:tc>
      </w:tr>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报告期基金总申购份额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45,484,434.92</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w:t>
            </w:r>
          </w:p>
        </w:tc>
      </w:tr>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减：报告期基金总赎回份额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71,089,513.08</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w:t>
            </w:r>
          </w:p>
        </w:tc>
      </w:tr>
      <w:tr w:rsidR="001C36D8" w:rsidRPr="00272E0C"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报告期基金拆分变动份额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88,200.00</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-44,100.00</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-44,100.00</w:t>
            </w:r>
          </w:p>
        </w:tc>
      </w:tr>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482,022,966.69</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123,120,367.00</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123,120,367.00</w:t>
            </w:r>
          </w:p>
        </w:tc>
      </w:tr>
    </w:tbl>
    <w:p w:rsidR="001C36D8" w:rsidRPr="003D22BD" w:rsidRDefault="001C36D8" w:rsidP="003D22BD">
      <w:pPr>
        <w:spacing w:line="360" w:lineRule="auto"/>
        <w:ind w:firstLineChars="200" w:firstLine="480"/>
        <w:rPr>
          <w:color w:val="000000"/>
          <w:sz w:val="24"/>
        </w:rPr>
      </w:pPr>
      <w:r w:rsidRPr="003D22BD">
        <w:rPr>
          <w:color w:val="000000"/>
          <w:sz w:val="24"/>
        </w:rPr>
        <w:t>注：拆分变动份额包括三类份额之间的配对转换份额。</w:t>
      </w:r>
    </w:p>
    <w:p w:rsidR="001C36D8" w:rsidRDefault="001C36D8" w:rsidP="005C6DF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1C36D8" w:rsidRDefault="001C36D8" w:rsidP="003D4E5A">
      <w:pPr>
        <w:spacing w:line="360" w:lineRule="auto"/>
        <w:jc w:val="left"/>
        <w:rPr>
          <w:sz w:val="24"/>
        </w:rPr>
      </w:pPr>
      <w:r>
        <w:rPr>
          <w:b/>
          <w:sz w:val="24"/>
        </w:rPr>
        <w:t xml:space="preserve">7.1 </w:t>
      </w:r>
      <w:r>
        <w:rPr>
          <w:rFonts w:hint="eastAsia"/>
          <w:b/>
          <w:sz w:val="24"/>
        </w:rPr>
        <w:t>基金管理人持有本基金份额变动情况</w:t>
      </w:r>
    </w:p>
    <w:p w:rsidR="001C36D8" w:rsidRPr="005B1E0B" w:rsidRDefault="00BF63AF" w:rsidP="005B1E0B">
      <w:pPr>
        <w:spacing w:line="360" w:lineRule="auto"/>
        <w:ind w:firstLineChars="200" w:firstLine="480"/>
        <w:rPr>
          <w:color w:val="000000"/>
          <w:sz w:val="24"/>
        </w:rPr>
      </w:pPr>
      <w:r w:rsidRPr="00510DAB">
        <w:rPr>
          <w:color w:val="000000"/>
          <w:sz w:val="24"/>
        </w:rPr>
        <w:t>本报告期内基金管理人未持有本基金份额。</w:t>
      </w:r>
    </w:p>
    <w:p w:rsidR="001C36D8" w:rsidRDefault="001C36D8" w:rsidP="003D4E5A">
      <w:pPr>
        <w:spacing w:line="360" w:lineRule="auto"/>
        <w:jc w:val="left"/>
        <w:rPr>
          <w:sz w:val="24"/>
        </w:rPr>
      </w:pPr>
      <w:r>
        <w:rPr>
          <w:b/>
          <w:sz w:val="24"/>
        </w:rPr>
        <w:t xml:space="preserve">7.2 </w:t>
      </w:r>
      <w:r>
        <w:rPr>
          <w:rFonts w:hint="eastAsia"/>
          <w:b/>
          <w:sz w:val="24"/>
        </w:rPr>
        <w:t>基金管理人运用固有资金投资本基金交易明细</w:t>
      </w:r>
    </w:p>
    <w:p w:rsidR="001C36D8" w:rsidRPr="003D22BD" w:rsidRDefault="001C36D8" w:rsidP="003D22BD">
      <w:pPr>
        <w:spacing w:line="360" w:lineRule="auto"/>
        <w:ind w:firstLineChars="200" w:firstLine="480"/>
        <w:rPr>
          <w:color w:val="000000"/>
          <w:sz w:val="24"/>
        </w:rPr>
      </w:pPr>
      <w:r w:rsidRPr="003D22BD">
        <w:rPr>
          <w:color w:val="000000"/>
          <w:sz w:val="24"/>
        </w:rPr>
        <w:t>本报告期内基金管理人未运用固有资金申购、赎回、买卖本基金份额。</w:t>
      </w:r>
    </w:p>
    <w:p w:rsidR="00A12EEF" w:rsidRPr="005D2CC7" w:rsidRDefault="00A12EEF" w:rsidP="00A12EEF">
      <w:pPr>
        <w:pStyle w:val="1"/>
        <w:spacing w:beforeLines="100" w:before="312" w:afterLines="100" w:after="312" w:line="360" w:lineRule="auto"/>
        <w:jc w:val="center"/>
        <w:rPr>
          <w:rFonts w:ascii="宋体" w:hAnsi="宋体" w:cs="Arial"/>
          <w:color w:val="000000"/>
          <w:kern w:val="0"/>
          <w:sz w:val="24"/>
          <w:szCs w:val="24"/>
        </w:rPr>
      </w:pPr>
      <w:r w:rsidRPr="005D2CC7">
        <w:rPr>
          <w:rFonts w:ascii="宋体" w:hAnsi="宋体" w:cs="Arial"/>
          <w:color w:val="000000"/>
          <w:kern w:val="0"/>
          <w:sz w:val="24"/>
          <w:szCs w:val="24"/>
        </w:rPr>
        <w:t>§8</w:t>
      </w:r>
      <w:r w:rsidR="005D2CC7" w:rsidRPr="00272E0C">
        <w:rPr>
          <w:rFonts w:ascii="宋体" w:hAnsi="宋体" w:cs="Arial"/>
          <w:color w:val="000000"/>
          <w:kern w:val="0"/>
          <w:sz w:val="24"/>
          <w:szCs w:val="24"/>
        </w:rPr>
        <w:t xml:space="preserve">  </w:t>
      </w:r>
      <w:r w:rsidRPr="005D2CC7">
        <w:rPr>
          <w:rFonts w:ascii="宋体" w:hAnsi="宋体" w:cs="Arial"/>
          <w:color w:val="000000"/>
          <w:kern w:val="0"/>
          <w:sz w:val="24"/>
          <w:szCs w:val="24"/>
        </w:rPr>
        <w:t>影响投资者决策的其他重要信息</w:t>
      </w:r>
    </w:p>
    <w:p w:rsidR="004B7CA0" w:rsidRPr="00654C5E" w:rsidRDefault="004B7CA0" w:rsidP="004B7CA0">
      <w:pPr>
        <w:autoSpaceDE w:val="0"/>
        <w:autoSpaceDN w:val="0"/>
        <w:adjustRightInd w:val="0"/>
        <w:spacing w:line="360" w:lineRule="auto"/>
        <w:jc w:val="left"/>
        <w:rPr>
          <w:rFonts w:ascii="宋体"/>
          <w:b/>
          <w:bCs/>
          <w:color w:val="000000"/>
          <w:kern w:val="0"/>
          <w:sz w:val="24"/>
        </w:rPr>
      </w:pPr>
      <w:r w:rsidRPr="00654C5E">
        <w:rPr>
          <w:rFonts w:ascii="宋体"/>
          <w:b/>
          <w:bCs/>
          <w:color w:val="000000"/>
          <w:kern w:val="0"/>
          <w:sz w:val="24"/>
        </w:rPr>
        <w:t>8.1 影响投资者决策的其他重要信息</w:t>
      </w:r>
    </w:p>
    <w:p w:rsidR="001C36D8" w:rsidRPr="003D22BD" w:rsidRDefault="004B7CA0" w:rsidP="004B7CA0">
      <w:pPr>
        <w:spacing w:line="360" w:lineRule="auto"/>
        <w:ind w:firstLineChars="200" w:firstLine="480"/>
        <w:rPr>
          <w:color w:val="000000"/>
          <w:sz w:val="24"/>
        </w:rPr>
      </w:pPr>
      <w:r w:rsidRPr="00FC0759">
        <w:rPr>
          <w:rFonts w:eastAsiaTheme="minorEastAsia"/>
          <w:color w:val="000000" w:themeColor="text1"/>
          <w:sz w:val="24"/>
        </w:rPr>
        <w:t>根据《关于规范金融机构资产管理业务的指导意见》（以下简称《资管新规》）要求，公募产品不得进行份额分级，应在《资管新规》规定的过渡期结束前（即</w:t>
      </w:r>
      <w:r w:rsidRPr="00FC0759">
        <w:rPr>
          <w:rFonts w:eastAsiaTheme="minorEastAsia"/>
          <w:color w:val="000000" w:themeColor="text1"/>
          <w:sz w:val="24"/>
        </w:rPr>
        <w:t>2020</w:t>
      </w:r>
      <w:r w:rsidRPr="00FC0759">
        <w:rPr>
          <w:rFonts w:eastAsiaTheme="minorEastAsia"/>
          <w:color w:val="000000" w:themeColor="text1"/>
          <w:sz w:val="24"/>
        </w:rPr>
        <w:t>年</w:t>
      </w:r>
      <w:r w:rsidRPr="00FC0759">
        <w:rPr>
          <w:rFonts w:eastAsiaTheme="minorEastAsia"/>
          <w:color w:val="000000" w:themeColor="text1"/>
          <w:sz w:val="24"/>
        </w:rPr>
        <w:t>12</w:t>
      </w:r>
      <w:r w:rsidRPr="00FC0759">
        <w:rPr>
          <w:rFonts w:eastAsiaTheme="minorEastAsia"/>
          <w:color w:val="000000" w:themeColor="text1"/>
          <w:sz w:val="24"/>
        </w:rPr>
        <w:t>月</w:t>
      </w:r>
      <w:r w:rsidRPr="00FC0759">
        <w:rPr>
          <w:rFonts w:eastAsiaTheme="minorEastAsia"/>
          <w:color w:val="000000" w:themeColor="text1"/>
          <w:sz w:val="24"/>
        </w:rPr>
        <w:t>31</w:t>
      </w:r>
      <w:r w:rsidRPr="00FC0759">
        <w:rPr>
          <w:rFonts w:eastAsiaTheme="minorEastAsia"/>
          <w:color w:val="000000" w:themeColor="text1"/>
          <w:sz w:val="24"/>
        </w:rPr>
        <w:t>日前）进行整改规范，请投资者关注相关风险以及基金管理人届时发布的相关公告。</w:t>
      </w: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9</w:t>
      </w:r>
      <w:r w:rsidR="005D2CC7" w:rsidRPr="00272E0C">
        <w:rPr>
          <w:rFonts w:ascii="宋体" w:hAnsi="宋体" w:cs="Arial"/>
          <w:color w:val="000000"/>
          <w:kern w:val="0"/>
          <w:sz w:val="24"/>
          <w:szCs w:val="24"/>
        </w:rPr>
        <w:t xml:space="preserve">  </w:t>
      </w:r>
      <w:r w:rsidRPr="00272E0C">
        <w:rPr>
          <w:rFonts w:ascii="宋体" w:hAnsi="宋体" w:cs="Arial" w:hint="eastAsia"/>
          <w:color w:val="000000"/>
          <w:kern w:val="0"/>
          <w:sz w:val="24"/>
          <w:szCs w:val="24"/>
        </w:rPr>
        <w:t>备查文件目录</w:t>
      </w:r>
    </w:p>
    <w:p w:rsidR="001C36D8" w:rsidRPr="00CE2DE4" w:rsidRDefault="001C36D8" w:rsidP="001078B6">
      <w:pPr>
        <w:spacing w:line="360" w:lineRule="auto"/>
        <w:rPr>
          <w:rFonts w:ascii="宋体"/>
          <w:b/>
          <w:color w:val="000000"/>
          <w:kern w:val="0"/>
          <w:sz w:val="24"/>
        </w:rPr>
      </w:pPr>
      <w:r w:rsidRPr="00CE2DE4">
        <w:rPr>
          <w:rFonts w:ascii="宋体" w:hAnsi="宋体"/>
          <w:b/>
          <w:color w:val="000000"/>
          <w:sz w:val="24"/>
        </w:rPr>
        <w:t xml:space="preserve">9.1 </w:t>
      </w:r>
      <w:r w:rsidRPr="00CE2DE4">
        <w:rPr>
          <w:rFonts w:ascii="宋体" w:hAnsi="宋体" w:hint="eastAsia"/>
          <w:b/>
          <w:color w:val="000000"/>
          <w:sz w:val="24"/>
        </w:rPr>
        <w:t>备查文件目录</w:t>
      </w:r>
    </w:p>
    <w:p w:rsidR="00F126DA" w:rsidRDefault="00650633">
      <w:pPr>
        <w:spacing w:line="360" w:lineRule="auto"/>
        <w:ind w:firstLineChars="200" w:firstLine="480"/>
        <w:rPr>
          <w:color w:val="000000"/>
          <w:sz w:val="24"/>
        </w:rPr>
      </w:pPr>
      <w:r>
        <w:rPr>
          <w:color w:val="000000"/>
          <w:sz w:val="24"/>
        </w:rPr>
        <w:t>1.</w:t>
      </w:r>
      <w:r>
        <w:rPr>
          <w:color w:val="000000"/>
          <w:sz w:val="24"/>
        </w:rPr>
        <w:t>中国证监会准予易方达证券公司指数分级证券投资基金募集注册的文件；</w:t>
      </w:r>
    </w:p>
    <w:p w:rsidR="00F126DA" w:rsidRDefault="00650633">
      <w:pPr>
        <w:spacing w:line="360" w:lineRule="auto"/>
        <w:ind w:firstLineChars="200" w:firstLine="480"/>
        <w:rPr>
          <w:color w:val="000000"/>
          <w:sz w:val="24"/>
        </w:rPr>
      </w:pPr>
      <w:r>
        <w:rPr>
          <w:color w:val="000000"/>
          <w:sz w:val="24"/>
        </w:rPr>
        <w:t>2.</w:t>
      </w:r>
      <w:r>
        <w:rPr>
          <w:color w:val="000000"/>
          <w:sz w:val="24"/>
        </w:rPr>
        <w:t>《易方达证券公司指数分级证券投资基金基金合同》；</w:t>
      </w:r>
    </w:p>
    <w:p w:rsidR="00F126DA" w:rsidRDefault="00650633">
      <w:pPr>
        <w:spacing w:line="360" w:lineRule="auto"/>
        <w:ind w:firstLineChars="200" w:firstLine="480"/>
        <w:rPr>
          <w:color w:val="000000"/>
          <w:sz w:val="24"/>
        </w:rPr>
      </w:pPr>
      <w:r>
        <w:rPr>
          <w:color w:val="000000"/>
          <w:sz w:val="24"/>
        </w:rPr>
        <w:t>3.</w:t>
      </w:r>
      <w:r>
        <w:rPr>
          <w:color w:val="000000"/>
          <w:sz w:val="24"/>
        </w:rPr>
        <w:t>《易方达证券公司指数分级证券投资基金托管协议》；</w:t>
      </w:r>
    </w:p>
    <w:p w:rsidR="001C36D8" w:rsidRPr="00E43B0B" w:rsidRDefault="001C36D8" w:rsidP="00E43B0B">
      <w:pPr>
        <w:spacing w:line="360" w:lineRule="auto"/>
        <w:ind w:firstLineChars="200" w:firstLine="480"/>
        <w:rPr>
          <w:color w:val="000000"/>
          <w:sz w:val="24"/>
        </w:rPr>
      </w:pPr>
      <w:r w:rsidRPr="003D22BD">
        <w:rPr>
          <w:color w:val="000000"/>
          <w:sz w:val="24"/>
        </w:rPr>
        <w:t>4.</w:t>
      </w:r>
      <w:r w:rsidRPr="003D22BD">
        <w:rPr>
          <w:color w:val="000000"/>
          <w:sz w:val="24"/>
        </w:rPr>
        <w:t>基金管理人业务资格批件和营业执照。</w:t>
      </w:r>
    </w:p>
    <w:p w:rsidR="001C36D8" w:rsidRPr="00CE2DE4" w:rsidRDefault="001C36D8" w:rsidP="001078B6">
      <w:pPr>
        <w:spacing w:line="360" w:lineRule="auto"/>
        <w:rPr>
          <w:rFonts w:ascii="宋体"/>
          <w:b/>
          <w:color w:val="000000"/>
          <w:sz w:val="24"/>
        </w:rPr>
      </w:pPr>
      <w:r w:rsidRPr="00CE2DE4">
        <w:rPr>
          <w:rFonts w:ascii="宋体" w:hAnsi="宋体"/>
          <w:b/>
          <w:color w:val="000000"/>
          <w:sz w:val="24"/>
        </w:rPr>
        <w:t xml:space="preserve">9.2 </w:t>
      </w:r>
      <w:r w:rsidRPr="00CE2DE4">
        <w:rPr>
          <w:rFonts w:ascii="宋体" w:hAnsi="宋体" w:hint="eastAsia"/>
          <w:b/>
          <w:color w:val="000000"/>
          <w:sz w:val="24"/>
        </w:rPr>
        <w:t>存放地点</w:t>
      </w:r>
    </w:p>
    <w:p w:rsidR="001C36D8" w:rsidRPr="00E43B0B" w:rsidRDefault="001C36D8" w:rsidP="00E43B0B">
      <w:pPr>
        <w:spacing w:line="360" w:lineRule="auto"/>
        <w:ind w:firstLineChars="200" w:firstLine="480"/>
        <w:rPr>
          <w:color w:val="000000"/>
          <w:sz w:val="24"/>
        </w:rPr>
      </w:pPr>
      <w:r w:rsidRPr="003D22BD">
        <w:rPr>
          <w:color w:val="000000"/>
          <w:sz w:val="24"/>
        </w:rPr>
        <w:t>广州市天河区珠江新城珠江东路</w:t>
      </w:r>
      <w:r w:rsidRPr="003D22BD">
        <w:rPr>
          <w:color w:val="000000"/>
          <w:sz w:val="24"/>
        </w:rPr>
        <w:t>30</w:t>
      </w:r>
      <w:r w:rsidRPr="003D22BD">
        <w:rPr>
          <w:color w:val="000000"/>
          <w:sz w:val="24"/>
        </w:rPr>
        <w:t>号广州银行大厦</w:t>
      </w:r>
      <w:r w:rsidRPr="003D22BD">
        <w:rPr>
          <w:color w:val="000000"/>
          <w:sz w:val="24"/>
        </w:rPr>
        <w:t>40-43</w:t>
      </w:r>
      <w:r w:rsidRPr="003D22BD">
        <w:rPr>
          <w:color w:val="000000"/>
          <w:sz w:val="24"/>
        </w:rPr>
        <w:t>楼。</w:t>
      </w:r>
    </w:p>
    <w:p w:rsidR="001C36D8" w:rsidRPr="00CE2DE4" w:rsidRDefault="001C36D8" w:rsidP="001078B6">
      <w:pPr>
        <w:spacing w:line="360" w:lineRule="auto"/>
        <w:rPr>
          <w:rFonts w:ascii="宋体"/>
          <w:b/>
          <w:color w:val="000000"/>
          <w:sz w:val="24"/>
        </w:rPr>
      </w:pPr>
      <w:r w:rsidRPr="00CE2DE4">
        <w:rPr>
          <w:rFonts w:ascii="宋体" w:hAnsi="宋体"/>
          <w:b/>
          <w:color w:val="000000"/>
          <w:sz w:val="24"/>
        </w:rPr>
        <w:t xml:space="preserve">9.3 </w:t>
      </w:r>
      <w:r w:rsidRPr="00CE2DE4">
        <w:rPr>
          <w:rFonts w:ascii="宋体" w:hAnsi="宋体" w:hint="eastAsia"/>
          <w:b/>
          <w:color w:val="000000"/>
          <w:sz w:val="24"/>
        </w:rPr>
        <w:t>查阅方式</w:t>
      </w:r>
    </w:p>
    <w:p w:rsidR="001C36D8" w:rsidRPr="003D22BD" w:rsidRDefault="001C36D8" w:rsidP="0015779C">
      <w:pPr>
        <w:spacing w:line="360" w:lineRule="auto"/>
        <w:ind w:firstLineChars="200" w:firstLine="480"/>
        <w:rPr>
          <w:color w:val="000000"/>
          <w:sz w:val="24"/>
        </w:rPr>
      </w:pPr>
      <w:r w:rsidRPr="003D22BD">
        <w:rPr>
          <w:color w:val="000000"/>
          <w:sz w:val="24"/>
        </w:rPr>
        <w:t>投资者可在营业时间免费查阅，也可按工本费购买复印件。</w:t>
      </w:r>
    </w:p>
    <w:p w:rsidR="001C36D8" w:rsidRPr="00272E0C" w:rsidRDefault="001C36D8" w:rsidP="0019563C">
      <w:pPr>
        <w:spacing w:line="360" w:lineRule="auto"/>
        <w:ind w:left="840"/>
        <w:jc w:val="right"/>
        <w:rPr>
          <w:rFonts w:ascii="宋体"/>
          <w:color w:val="000000"/>
          <w:sz w:val="24"/>
        </w:rPr>
      </w:pPr>
      <w:r w:rsidRPr="00272E0C">
        <w:rPr>
          <w:rFonts w:ascii="宋体"/>
          <w:color w:val="000000"/>
          <w:sz w:val="24"/>
        </w:rPr>
        <w:tab/>
      </w:r>
    </w:p>
    <w:p w:rsidR="001C36D8" w:rsidRDefault="001C36D8" w:rsidP="0019563C">
      <w:pPr>
        <w:spacing w:line="360" w:lineRule="auto"/>
        <w:ind w:left="840"/>
        <w:jc w:val="right"/>
        <w:rPr>
          <w:rFonts w:ascii="宋体"/>
          <w:color w:val="000000"/>
          <w:sz w:val="24"/>
        </w:rPr>
      </w:pPr>
    </w:p>
    <w:p w:rsidR="001C36D8" w:rsidRDefault="001C36D8" w:rsidP="0019563C">
      <w:pPr>
        <w:spacing w:line="360" w:lineRule="auto"/>
        <w:ind w:left="840"/>
        <w:jc w:val="right"/>
        <w:rPr>
          <w:rFonts w:ascii="宋体"/>
          <w:color w:val="000000"/>
          <w:sz w:val="24"/>
        </w:rPr>
      </w:pPr>
    </w:p>
    <w:p w:rsidR="001C36D8" w:rsidRDefault="001C36D8" w:rsidP="0019563C">
      <w:pPr>
        <w:spacing w:line="360" w:lineRule="auto"/>
        <w:ind w:left="840"/>
        <w:jc w:val="right"/>
        <w:rPr>
          <w:rFonts w:ascii="宋体"/>
          <w:color w:val="000000"/>
          <w:sz w:val="24"/>
        </w:rPr>
      </w:pPr>
    </w:p>
    <w:p w:rsidR="001C36D8" w:rsidRPr="00272E0C" w:rsidRDefault="001C36D8" w:rsidP="0019563C">
      <w:pPr>
        <w:spacing w:line="360" w:lineRule="auto"/>
        <w:ind w:left="840"/>
        <w:jc w:val="right"/>
        <w:rPr>
          <w:rFonts w:ascii="宋体"/>
          <w:color w:val="000000"/>
          <w:sz w:val="24"/>
        </w:rPr>
      </w:pPr>
    </w:p>
    <w:p w:rsidR="001C36D8" w:rsidRPr="00272E0C" w:rsidRDefault="001C36D8" w:rsidP="0019563C">
      <w:pPr>
        <w:spacing w:line="360" w:lineRule="auto"/>
        <w:ind w:left="840"/>
        <w:jc w:val="right"/>
        <w:rPr>
          <w:rFonts w:ascii="宋体"/>
          <w:color w:val="000000"/>
          <w:sz w:val="24"/>
        </w:rPr>
      </w:pPr>
    </w:p>
    <w:p w:rsidR="001C36D8" w:rsidRPr="00272E0C" w:rsidRDefault="001C36D8" w:rsidP="001078B6">
      <w:pPr>
        <w:spacing w:line="360" w:lineRule="auto"/>
        <w:jc w:val="right"/>
        <w:rPr>
          <w:rFonts w:ascii="宋体" w:hAnsi="宋体"/>
          <w:b/>
          <w:bCs/>
          <w:sz w:val="24"/>
        </w:rPr>
      </w:pPr>
      <w:r w:rsidRPr="00272E0C">
        <w:rPr>
          <w:rFonts w:ascii="宋体" w:hAnsi="宋体"/>
          <w:b/>
          <w:bCs/>
          <w:sz w:val="24"/>
        </w:rPr>
        <w:t>易方达基金管理有限公司</w:t>
      </w:r>
    </w:p>
    <w:p w:rsidR="001C36D8" w:rsidRPr="008C2A97" w:rsidRDefault="001C36D8" w:rsidP="008C2A97">
      <w:pPr>
        <w:spacing w:line="360" w:lineRule="auto"/>
        <w:jc w:val="right"/>
        <w:rPr>
          <w:rFonts w:ascii="宋体" w:hAnsi="宋体"/>
          <w:b/>
          <w:bCs/>
          <w:sz w:val="24"/>
        </w:rPr>
      </w:pPr>
      <w:r w:rsidRPr="00272E0C">
        <w:rPr>
          <w:rFonts w:ascii="宋体" w:hAnsi="宋体"/>
          <w:b/>
          <w:bCs/>
          <w:sz w:val="24"/>
        </w:rPr>
        <w:t>二〇二〇年一月十八日</w:t>
      </w:r>
    </w:p>
    <w:sectPr w:rsidR="001C36D8" w:rsidRPr="008C2A97"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232" w:rsidRDefault="00EF6232">
      <w:r>
        <w:separator/>
      </w:r>
    </w:p>
  </w:endnote>
  <w:endnote w:type="continuationSeparator" w:id="0">
    <w:p w:rsidR="00EF6232" w:rsidRDefault="00EF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0B" w:rsidRPr="001D0DB0" w:rsidRDefault="00E43B0B" w:rsidP="00230A66">
    <w:pPr>
      <w:pStyle w:val="a6"/>
      <w:jc w:val="center"/>
    </w:pPr>
    <w:r>
      <w:rPr>
        <w:rFonts w:hint="eastAsia"/>
        <w:kern w:val="0"/>
        <w:szCs w:val="21"/>
      </w:rPr>
      <w:t>第</w:t>
    </w:r>
    <w:r w:rsidR="0015021E">
      <w:rPr>
        <w:kern w:val="0"/>
        <w:szCs w:val="21"/>
      </w:rPr>
      <w:fldChar w:fldCharType="begin"/>
    </w:r>
    <w:r>
      <w:rPr>
        <w:kern w:val="0"/>
        <w:szCs w:val="21"/>
      </w:rPr>
      <w:instrText xml:space="preserve"> PAGE </w:instrText>
    </w:r>
    <w:r w:rsidR="0015021E">
      <w:rPr>
        <w:kern w:val="0"/>
        <w:szCs w:val="21"/>
      </w:rPr>
      <w:fldChar w:fldCharType="separate"/>
    </w:r>
    <w:r w:rsidR="00650633">
      <w:rPr>
        <w:noProof/>
        <w:kern w:val="0"/>
        <w:szCs w:val="21"/>
      </w:rPr>
      <w:t>1</w:t>
    </w:r>
    <w:r w:rsidR="0015021E">
      <w:rPr>
        <w:kern w:val="0"/>
        <w:szCs w:val="21"/>
      </w:rPr>
      <w:fldChar w:fldCharType="end"/>
    </w:r>
    <w:r>
      <w:rPr>
        <w:rFonts w:hint="eastAsia"/>
        <w:kern w:val="0"/>
        <w:szCs w:val="21"/>
      </w:rPr>
      <w:t>页共</w:t>
    </w:r>
    <w:r w:rsidR="0015021E">
      <w:rPr>
        <w:kern w:val="0"/>
        <w:szCs w:val="21"/>
      </w:rPr>
      <w:fldChar w:fldCharType="begin"/>
    </w:r>
    <w:r>
      <w:rPr>
        <w:kern w:val="0"/>
        <w:szCs w:val="21"/>
      </w:rPr>
      <w:instrText xml:space="preserve"> NUMPAGES </w:instrText>
    </w:r>
    <w:r w:rsidR="0015021E">
      <w:rPr>
        <w:kern w:val="0"/>
        <w:szCs w:val="21"/>
      </w:rPr>
      <w:fldChar w:fldCharType="separate"/>
    </w:r>
    <w:r w:rsidR="00650633">
      <w:rPr>
        <w:noProof/>
        <w:kern w:val="0"/>
        <w:szCs w:val="21"/>
      </w:rPr>
      <w:t>1</w:t>
    </w:r>
    <w:r w:rsidR="0015021E">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0B" w:rsidRDefault="0015021E">
    <w:pPr>
      <w:pStyle w:val="a6"/>
      <w:framePr w:wrap="around" w:vAnchor="text" w:hAnchor="margin" w:xAlign="center" w:y="1"/>
      <w:rPr>
        <w:rStyle w:val="a7"/>
      </w:rPr>
    </w:pPr>
    <w:r>
      <w:rPr>
        <w:rStyle w:val="a7"/>
      </w:rPr>
      <w:fldChar w:fldCharType="begin"/>
    </w:r>
    <w:r w:rsidR="00E43B0B">
      <w:rPr>
        <w:rStyle w:val="a7"/>
      </w:rPr>
      <w:instrText xml:space="preserve">PAGE  </w:instrText>
    </w:r>
    <w:r>
      <w:rPr>
        <w:rStyle w:val="a7"/>
      </w:rPr>
      <w:fldChar w:fldCharType="end"/>
    </w:r>
  </w:p>
  <w:p w:rsidR="00E43B0B" w:rsidRDefault="00E43B0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0B" w:rsidRDefault="0015021E">
    <w:pPr>
      <w:pStyle w:val="a6"/>
      <w:framePr w:wrap="around" w:vAnchor="text" w:hAnchor="margin" w:xAlign="center" w:y="1"/>
      <w:rPr>
        <w:rStyle w:val="a7"/>
      </w:rPr>
    </w:pPr>
    <w:r>
      <w:rPr>
        <w:rStyle w:val="a7"/>
      </w:rPr>
      <w:fldChar w:fldCharType="begin"/>
    </w:r>
    <w:r w:rsidR="00E43B0B">
      <w:rPr>
        <w:rStyle w:val="a7"/>
      </w:rPr>
      <w:instrText xml:space="preserve">PAGE  </w:instrText>
    </w:r>
    <w:r>
      <w:rPr>
        <w:rStyle w:val="a7"/>
      </w:rPr>
      <w:fldChar w:fldCharType="separate"/>
    </w:r>
    <w:r w:rsidR="00650633">
      <w:rPr>
        <w:rStyle w:val="a7"/>
        <w:noProof/>
      </w:rPr>
      <w:t>2</w:t>
    </w:r>
    <w:r>
      <w:rPr>
        <w:rStyle w:val="a7"/>
      </w:rPr>
      <w:fldChar w:fldCharType="end"/>
    </w:r>
  </w:p>
  <w:p w:rsidR="00E43B0B" w:rsidRDefault="00E43B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232" w:rsidRDefault="00EF6232">
      <w:r>
        <w:separator/>
      </w:r>
    </w:p>
  </w:footnote>
  <w:footnote w:type="continuationSeparator" w:id="0">
    <w:p w:rsidR="00EF6232" w:rsidRDefault="00EF6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0B" w:rsidRPr="00717C29" w:rsidRDefault="00E43B0B" w:rsidP="00FB572A">
    <w:pPr>
      <w:pStyle w:val="a9"/>
      <w:pBdr>
        <w:bottom w:val="single" w:sz="6" w:space="0" w:color="auto"/>
      </w:pBdr>
      <w:jc w:val="right"/>
      <w:rPr>
        <w:sz w:val="15"/>
      </w:rPr>
    </w:pPr>
    <w:r w:rsidRPr="00717C29">
      <w:rPr>
        <w:szCs w:val="21"/>
      </w:rPr>
      <w:t>易方达证券公司指数分级证券投资基金</w:t>
    </w:r>
    <w:r w:rsidRPr="00717C29">
      <w:rPr>
        <w:szCs w:val="21"/>
      </w:rPr>
      <w:t>2019</w:t>
    </w:r>
    <w:r w:rsidRPr="00717C29">
      <w:rPr>
        <w:szCs w:val="21"/>
      </w:rPr>
      <w:t>年第</w:t>
    </w:r>
    <w:r w:rsidRPr="00717C29">
      <w:rPr>
        <w:szCs w:val="21"/>
      </w:rPr>
      <w:t>4</w:t>
    </w:r>
    <w:r w:rsidRPr="00717C29">
      <w:rPr>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42A56"/>
    <w:rsid w:val="0000116E"/>
    <w:rsid w:val="0000403B"/>
    <w:rsid w:val="00005911"/>
    <w:rsid w:val="0000595B"/>
    <w:rsid w:val="00010A83"/>
    <w:rsid w:val="00010A8E"/>
    <w:rsid w:val="00010AC3"/>
    <w:rsid w:val="000118A9"/>
    <w:rsid w:val="00011EB5"/>
    <w:rsid w:val="0001280C"/>
    <w:rsid w:val="00013023"/>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5190"/>
    <w:rsid w:val="00055AF1"/>
    <w:rsid w:val="00056A75"/>
    <w:rsid w:val="00057DD3"/>
    <w:rsid w:val="000625A6"/>
    <w:rsid w:val="000627CD"/>
    <w:rsid w:val="00062BCE"/>
    <w:rsid w:val="00064AE3"/>
    <w:rsid w:val="00066524"/>
    <w:rsid w:val="00070CD1"/>
    <w:rsid w:val="0007171B"/>
    <w:rsid w:val="00074E9F"/>
    <w:rsid w:val="00081D05"/>
    <w:rsid w:val="0008378B"/>
    <w:rsid w:val="00085449"/>
    <w:rsid w:val="00087CF7"/>
    <w:rsid w:val="00090B0F"/>
    <w:rsid w:val="00090D91"/>
    <w:rsid w:val="00091214"/>
    <w:rsid w:val="00094876"/>
    <w:rsid w:val="00095912"/>
    <w:rsid w:val="00095CE0"/>
    <w:rsid w:val="00096933"/>
    <w:rsid w:val="00097230"/>
    <w:rsid w:val="0009778D"/>
    <w:rsid w:val="000A457E"/>
    <w:rsid w:val="000A53FD"/>
    <w:rsid w:val="000A549A"/>
    <w:rsid w:val="000A72F2"/>
    <w:rsid w:val="000B0C56"/>
    <w:rsid w:val="000B3E43"/>
    <w:rsid w:val="000B5974"/>
    <w:rsid w:val="000B5CC0"/>
    <w:rsid w:val="000C1038"/>
    <w:rsid w:val="000C1723"/>
    <w:rsid w:val="000C1B20"/>
    <w:rsid w:val="000C4107"/>
    <w:rsid w:val="000C44BD"/>
    <w:rsid w:val="000C45E7"/>
    <w:rsid w:val="000C57A8"/>
    <w:rsid w:val="000D0149"/>
    <w:rsid w:val="000D01F4"/>
    <w:rsid w:val="000D0D4E"/>
    <w:rsid w:val="000D1519"/>
    <w:rsid w:val="000E1618"/>
    <w:rsid w:val="000E4456"/>
    <w:rsid w:val="000F175F"/>
    <w:rsid w:val="000F17D1"/>
    <w:rsid w:val="000F2837"/>
    <w:rsid w:val="000F399F"/>
    <w:rsid w:val="000F60FF"/>
    <w:rsid w:val="000F635F"/>
    <w:rsid w:val="000F6C61"/>
    <w:rsid w:val="001008A1"/>
    <w:rsid w:val="00100C12"/>
    <w:rsid w:val="00102E56"/>
    <w:rsid w:val="001049B6"/>
    <w:rsid w:val="001051C6"/>
    <w:rsid w:val="001078B6"/>
    <w:rsid w:val="0011177A"/>
    <w:rsid w:val="00111D44"/>
    <w:rsid w:val="00116E31"/>
    <w:rsid w:val="00120BED"/>
    <w:rsid w:val="0012304E"/>
    <w:rsid w:val="001248EF"/>
    <w:rsid w:val="001257C7"/>
    <w:rsid w:val="00126DDF"/>
    <w:rsid w:val="001270BF"/>
    <w:rsid w:val="00127BAC"/>
    <w:rsid w:val="00134868"/>
    <w:rsid w:val="001366D4"/>
    <w:rsid w:val="00140FF8"/>
    <w:rsid w:val="00142A56"/>
    <w:rsid w:val="00144DF5"/>
    <w:rsid w:val="00145A97"/>
    <w:rsid w:val="00146485"/>
    <w:rsid w:val="00147338"/>
    <w:rsid w:val="0015021E"/>
    <w:rsid w:val="001506B4"/>
    <w:rsid w:val="00150A6E"/>
    <w:rsid w:val="00150AD6"/>
    <w:rsid w:val="00153B40"/>
    <w:rsid w:val="00154ADA"/>
    <w:rsid w:val="0015531A"/>
    <w:rsid w:val="00155953"/>
    <w:rsid w:val="0015779C"/>
    <w:rsid w:val="001600E8"/>
    <w:rsid w:val="00163B27"/>
    <w:rsid w:val="00165317"/>
    <w:rsid w:val="00170F80"/>
    <w:rsid w:val="00171BAD"/>
    <w:rsid w:val="001744B4"/>
    <w:rsid w:val="001756A1"/>
    <w:rsid w:val="001761EE"/>
    <w:rsid w:val="0017638D"/>
    <w:rsid w:val="00176EAA"/>
    <w:rsid w:val="0017725A"/>
    <w:rsid w:val="00177C4B"/>
    <w:rsid w:val="0018325A"/>
    <w:rsid w:val="00183C9E"/>
    <w:rsid w:val="00184556"/>
    <w:rsid w:val="00186199"/>
    <w:rsid w:val="001878B0"/>
    <w:rsid w:val="001928F7"/>
    <w:rsid w:val="00193F07"/>
    <w:rsid w:val="00194537"/>
    <w:rsid w:val="0019563C"/>
    <w:rsid w:val="001A09F9"/>
    <w:rsid w:val="001A14DB"/>
    <w:rsid w:val="001A21A9"/>
    <w:rsid w:val="001A363B"/>
    <w:rsid w:val="001A59D8"/>
    <w:rsid w:val="001A5FA6"/>
    <w:rsid w:val="001B0A62"/>
    <w:rsid w:val="001B2F0C"/>
    <w:rsid w:val="001B64E7"/>
    <w:rsid w:val="001C123E"/>
    <w:rsid w:val="001C36D8"/>
    <w:rsid w:val="001C37F6"/>
    <w:rsid w:val="001C4BEC"/>
    <w:rsid w:val="001C6288"/>
    <w:rsid w:val="001C7DE9"/>
    <w:rsid w:val="001D0DB0"/>
    <w:rsid w:val="001D0F6A"/>
    <w:rsid w:val="001D21BC"/>
    <w:rsid w:val="001D2FA5"/>
    <w:rsid w:val="001D35E0"/>
    <w:rsid w:val="001D5045"/>
    <w:rsid w:val="001D5387"/>
    <w:rsid w:val="001D5A44"/>
    <w:rsid w:val="001D63BB"/>
    <w:rsid w:val="001D724B"/>
    <w:rsid w:val="001E11D3"/>
    <w:rsid w:val="001E2A6A"/>
    <w:rsid w:val="001E3DC2"/>
    <w:rsid w:val="001E56FF"/>
    <w:rsid w:val="001E5C6B"/>
    <w:rsid w:val="001E6E4D"/>
    <w:rsid w:val="001F03E1"/>
    <w:rsid w:val="001F0DE2"/>
    <w:rsid w:val="001F218E"/>
    <w:rsid w:val="001F3CC6"/>
    <w:rsid w:val="001F40BA"/>
    <w:rsid w:val="001F4530"/>
    <w:rsid w:val="002010DE"/>
    <w:rsid w:val="00202968"/>
    <w:rsid w:val="00202A66"/>
    <w:rsid w:val="00202C32"/>
    <w:rsid w:val="00203AEF"/>
    <w:rsid w:val="00210344"/>
    <w:rsid w:val="00211A26"/>
    <w:rsid w:val="002125F7"/>
    <w:rsid w:val="00213171"/>
    <w:rsid w:val="00213917"/>
    <w:rsid w:val="00214463"/>
    <w:rsid w:val="00214756"/>
    <w:rsid w:val="00215CF2"/>
    <w:rsid w:val="00215E33"/>
    <w:rsid w:val="00216232"/>
    <w:rsid w:val="00220542"/>
    <w:rsid w:val="00220684"/>
    <w:rsid w:val="00221174"/>
    <w:rsid w:val="00225ADC"/>
    <w:rsid w:val="00230732"/>
    <w:rsid w:val="00230A66"/>
    <w:rsid w:val="00230EC2"/>
    <w:rsid w:val="002359EB"/>
    <w:rsid w:val="002363AB"/>
    <w:rsid w:val="00237FA3"/>
    <w:rsid w:val="0024172D"/>
    <w:rsid w:val="00241B12"/>
    <w:rsid w:val="0024260D"/>
    <w:rsid w:val="00243E40"/>
    <w:rsid w:val="00245012"/>
    <w:rsid w:val="0024504E"/>
    <w:rsid w:val="0024651F"/>
    <w:rsid w:val="002470BA"/>
    <w:rsid w:val="00250BE3"/>
    <w:rsid w:val="00251290"/>
    <w:rsid w:val="0025158D"/>
    <w:rsid w:val="00251D17"/>
    <w:rsid w:val="00251F3A"/>
    <w:rsid w:val="0025281A"/>
    <w:rsid w:val="00253D3C"/>
    <w:rsid w:val="0025435F"/>
    <w:rsid w:val="00255292"/>
    <w:rsid w:val="00260200"/>
    <w:rsid w:val="00263563"/>
    <w:rsid w:val="002648D8"/>
    <w:rsid w:val="00264E55"/>
    <w:rsid w:val="00270548"/>
    <w:rsid w:val="00272E0C"/>
    <w:rsid w:val="00273F86"/>
    <w:rsid w:val="002752B0"/>
    <w:rsid w:val="002774F0"/>
    <w:rsid w:val="0028459B"/>
    <w:rsid w:val="00284C5F"/>
    <w:rsid w:val="002873F0"/>
    <w:rsid w:val="00291A74"/>
    <w:rsid w:val="00292198"/>
    <w:rsid w:val="002964F9"/>
    <w:rsid w:val="00297EF3"/>
    <w:rsid w:val="002A1F14"/>
    <w:rsid w:val="002A2678"/>
    <w:rsid w:val="002A2E01"/>
    <w:rsid w:val="002A398F"/>
    <w:rsid w:val="002A44F9"/>
    <w:rsid w:val="002A5C6B"/>
    <w:rsid w:val="002A5D31"/>
    <w:rsid w:val="002A714F"/>
    <w:rsid w:val="002A74FB"/>
    <w:rsid w:val="002B1851"/>
    <w:rsid w:val="002B27FF"/>
    <w:rsid w:val="002B4429"/>
    <w:rsid w:val="002B6793"/>
    <w:rsid w:val="002C1726"/>
    <w:rsid w:val="002C1DF3"/>
    <w:rsid w:val="002C21A6"/>
    <w:rsid w:val="002C26D5"/>
    <w:rsid w:val="002C2DE0"/>
    <w:rsid w:val="002C5777"/>
    <w:rsid w:val="002C7FC3"/>
    <w:rsid w:val="002D1791"/>
    <w:rsid w:val="002D32E3"/>
    <w:rsid w:val="002D55E7"/>
    <w:rsid w:val="002E0FEB"/>
    <w:rsid w:val="002E1EBA"/>
    <w:rsid w:val="002F0F79"/>
    <w:rsid w:val="002F280E"/>
    <w:rsid w:val="002F3709"/>
    <w:rsid w:val="002F3A6C"/>
    <w:rsid w:val="002F3E9C"/>
    <w:rsid w:val="002F4296"/>
    <w:rsid w:val="00300951"/>
    <w:rsid w:val="003023C9"/>
    <w:rsid w:val="00302CA8"/>
    <w:rsid w:val="00302DE9"/>
    <w:rsid w:val="003041B1"/>
    <w:rsid w:val="00305084"/>
    <w:rsid w:val="003168E2"/>
    <w:rsid w:val="003204E9"/>
    <w:rsid w:val="00320DDA"/>
    <w:rsid w:val="00321E8C"/>
    <w:rsid w:val="00322A65"/>
    <w:rsid w:val="00322A86"/>
    <w:rsid w:val="00323AE8"/>
    <w:rsid w:val="00324548"/>
    <w:rsid w:val="003251F4"/>
    <w:rsid w:val="003303E3"/>
    <w:rsid w:val="00331FA4"/>
    <w:rsid w:val="003329EA"/>
    <w:rsid w:val="00332FDE"/>
    <w:rsid w:val="003407A5"/>
    <w:rsid w:val="00341188"/>
    <w:rsid w:val="0034147B"/>
    <w:rsid w:val="0034432A"/>
    <w:rsid w:val="00350238"/>
    <w:rsid w:val="0035109C"/>
    <w:rsid w:val="00351F0A"/>
    <w:rsid w:val="0035432B"/>
    <w:rsid w:val="00357EB5"/>
    <w:rsid w:val="00361E7E"/>
    <w:rsid w:val="003669EF"/>
    <w:rsid w:val="00370AA4"/>
    <w:rsid w:val="00371FF4"/>
    <w:rsid w:val="00373015"/>
    <w:rsid w:val="00375D24"/>
    <w:rsid w:val="00377520"/>
    <w:rsid w:val="00380D36"/>
    <w:rsid w:val="003822D3"/>
    <w:rsid w:val="0038409E"/>
    <w:rsid w:val="00384BC3"/>
    <w:rsid w:val="00386630"/>
    <w:rsid w:val="00390522"/>
    <w:rsid w:val="00390B25"/>
    <w:rsid w:val="00390C86"/>
    <w:rsid w:val="00397156"/>
    <w:rsid w:val="00397960"/>
    <w:rsid w:val="003A20AA"/>
    <w:rsid w:val="003A3BC4"/>
    <w:rsid w:val="003A458A"/>
    <w:rsid w:val="003A4DA3"/>
    <w:rsid w:val="003A768B"/>
    <w:rsid w:val="003B07C8"/>
    <w:rsid w:val="003B2082"/>
    <w:rsid w:val="003B2F13"/>
    <w:rsid w:val="003B3D0C"/>
    <w:rsid w:val="003B405E"/>
    <w:rsid w:val="003B57D3"/>
    <w:rsid w:val="003C1F58"/>
    <w:rsid w:val="003C792F"/>
    <w:rsid w:val="003D124B"/>
    <w:rsid w:val="003D18F3"/>
    <w:rsid w:val="003D22BD"/>
    <w:rsid w:val="003D4E5A"/>
    <w:rsid w:val="003D5951"/>
    <w:rsid w:val="003D74F2"/>
    <w:rsid w:val="003D78B5"/>
    <w:rsid w:val="003E1062"/>
    <w:rsid w:val="003E244F"/>
    <w:rsid w:val="003E3AE8"/>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6C10"/>
    <w:rsid w:val="004217C8"/>
    <w:rsid w:val="0042180E"/>
    <w:rsid w:val="004222C8"/>
    <w:rsid w:val="0042253F"/>
    <w:rsid w:val="00424726"/>
    <w:rsid w:val="00424EF3"/>
    <w:rsid w:val="004268BB"/>
    <w:rsid w:val="00431047"/>
    <w:rsid w:val="004318F0"/>
    <w:rsid w:val="00431B86"/>
    <w:rsid w:val="00431BC5"/>
    <w:rsid w:val="004344A5"/>
    <w:rsid w:val="004408EC"/>
    <w:rsid w:val="00441B38"/>
    <w:rsid w:val="00441D14"/>
    <w:rsid w:val="00441E6A"/>
    <w:rsid w:val="004432B9"/>
    <w:rsid w:val="00443C8F"/>
    <w:rsid w:val="00452481"/>
    <w:rsid w:val="00453E40"/>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68F"/>
    <w:rsid w:val="00491ABD"/>
    <w:rsid w:val="0049297D"/>
    <w:rsid w:val="004929F2"/>
    <w:rsid w:val="00495A03"/>
    <w:rsid w:val="00497079"/>
    <w:rsid w:val="004A1BBA"/>
    <w:rsid w:val="004A1E8A"/>
    <w:rsid w:val="004A3E3C"/>
    <w:rsid w:val="004A3F71"/>
    <w:rsid w:val="004B0E6D"/>
    <w:rsid w:val="004B16E8"/>
    <w:rsid w:val="004B2326"/>
    <w:rsid w:val="004B4D2D"/>
    <w:rsid w:val="004B6250"/>
    <w:rsid w:val="004B76B1"/>
    <w:rsid w:val="004B7CA0"/>
    <w:rsid w:val="004C0057"/>
    <w:rsid w:val="004C04AE"/>
    <w:rsid w:val="004C0541"/>
    <w:rsid w:val="004C2C46"/>
    <w:rsid w:val="004C6E88"/>
    <w:rsid w:val="004C7235"/>
    <w:rsid w:val="004C7955"/>
    <w:rsid w:val="004D047F"/>
    <w:rsid w:val="004D3D96"/>
    <w:rsid w:val="004D650F"/>
    <w:rsid w:val="004D67E0"/>
    <w:rsid w:val="004E12E1"/>
    <w:rsid w:val="004E2133"/>
    <w:rsid w:val="004E32E2"/>
    <w:rsid w:val="004E5AB9"/>
    <w:rsid w:val="004E60FB"/>
    <w:rsid w:val="004F779C"/>
    <w:rsid w:val="004F7846"/>
    <w:rsid w:val="005000D4"/>
    <w:rsid w:val="005015FA"/>
    <w:rsid w:val="00505411"/>
    <w:rsid w:val="00510CAF"/>
    <w:rsid w:val="00510DAB"/>
    <w:rsid w:val="005128C5"/>
    <w:rsid w:val="00514754"/>
    <w:rsid w:val="0051478B"/>
    <w:rsid w:val="0051566A"/>
    <w:rsid w:val="00515D7B"/>
    <w:rsid w:val="005166E9"/>
    <w:rsid w:val="0052009E"/>
    <w:rsid w:val="0052302C"/>
    <w:rsid w:val="00525E59"/>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61D7"/>
    <w:rsid w:val="00597057"/>
    <w:rsid w:val="00597D8B"/>
    <w:rsid w:val="005A1C30"/>
    <w:rsid w:val="005A229D"/>
    <w:rsid w:val="005A3295"/>
    <w:rsid w:val="005A46FF"/>
    <w:rsid w:val="005A5AE2"/>
    <w:rsid w:val="005B011E"/>
    <w:rsid w:val="005B14F0"/>
    <w:rsid w:val="005B1E0B"/>
    <w:rsid w:val="005B2E84"/>
    <w:rsid w:val="005B70C6"/>
    <w:rsid w:val="005B7B0E"/>
    <w:rsid w:val="005C526E"/>
    <w:rsid w:val="005C5409"/>
    <w:rsid w:val="005C69AC"/>
    <w:rsid w:val="005C6DCF"/>
    <w:rsid w:val="005C6DF3"/>
    <w:rsid w:val="005C722E"/>
    <w:rsid w:val="005D01A4"/>
    <w:rsid w:val="005D14DE"/>
    <w:rsid w:val="005D2CC7"/>
    <w:rsid w:val="005D44E4"/>
    <w:rsid w:val="005D45B3"/>
    <w:rsid w:val="005D4CEB"/>
    <w:rsid w:val="005D5F80"/>
    <w:rsid w:val="005E0C14"/>
    <w:rsid w:val="005E1D51"/>
    <w:rsid w:val="005F04E6"/>
    <w:rsid w:val="005F43B9"/>
    <w:rsid w:val="005F68CB"/>
    <w:rsid w:val="005F6A4A"/>
    <w:rsid w:val="006033E3"/>
    <w:rsid w:val="00603663"/>
    <w:rsid w:val="0061321C"/>
    <w:rsid w:val="006159E5"/>
    <w:rsid w:val="00620DB0"/>
    <w:rsid w:val="0062386E"/>
    <w:rsid w:val="00623D9A"/>
    <w:rsid w:val="00623F01"/>
    <w:rsid w:val="006242FB"/>
    <w:rsid w:val="00626E2D"/>
    <w:rsid w:val="00627D94"/>
    <w:rsid w:val="00630B42"/>
    <w:rsid w:val="00631DB3"/>
    <w:rsid w:val="00634900"/>
    <w:rsid w:val="00637BA7"/>
    <w:rsid w:val="00642072"/>
    <w:rsid w:val="006440ED"/>
    <w:rsid w:val="00645293"/>
    <w:rsid w:val="00650633"/>
    <w:rsid w:val="00651B78"/>
    <w:rsid w:val="00652263"/>
    <w:rsid w:val="00652881"/>
    <w:rsid w:val="00653BAC"/>
    <w:rsid w:val="00657CAF"/>
    <w:rsid w:val="00661974"/>
    <w:rsid w:val="00662F58"/>
    <w:rsid w:val="00664551"/>
    <w:rsid w:val="0066704D"/>
    <w:rsid w:val="006676A0"/>
    <w:rsid w:val="006706B6"/>
    <w:rsid w:val="00670857"/>
    <w:rsid w:val="00671124"/>
    <w:rsid w:val="006727B0"/>
    <w:rsid w:val="0067307E"/>
    <w:rsid w:val="006848C1"/>
    <w:rsid w:val="006868CD"/>
    <w:rsid w:val="00686EEA"/>
    <w:rsid w:val="00687AD5"/>
    <w:rsid w:val="00690EC4"/>
    <w:rsid w:val="00691D14"/>
    <w:rsid w:val="00695251"/>
    <w:rsid w:val="00695296"/>
    <w:rsid w:val="00695ADE"/>
    <w:rsid w:val="00695C0D"/>
    <w:rsid w:val="00696356"/>
    <w:rsid w:val="00696DDE"/>
    <w:rsid w:val="006A72C6"/>
    <w:rsid w:val="006B02DA"/>
    <w:rsid w:val="006B0806"/>
    <w:rsid w:val="006B10DA"/>
    <w:rsid w:val="006B2065"/>
    <w:rsid w:val="006B3940"/>
    <w:rsid w:val="006B5B3E"/>
    <w:rsid w:val="006C168D"/>
    <w:rsid w:val="006C4465"/>
    <w:rsid w:val="006C642C"/>
    <w:rsid w:val="006C6FC6"/>
    <w:rsid w:val="006D0E4F"/>
    <w:rsid w:val="006D676F"/>
    <w:rsid w:val="006D7693"/>
    <w:rsid w:val="006E231B"/>
    <w:rsid w:val="006E346E"/>
    <w:rsid w:val="006E34B7"/>
    <w:rsid w:val="006F103E"/>
    <w:rsid w:val="006F4C30"/>
    <w:rsid w:val="006F4CD8"/>
    <w:rsid w:val="006F53D9"/>
    <w:rsid w:val="007004DC"/>
    <w:rsid w:val="00701347"/>
    <w:rsid w:val="007027B6"/>
    <w:rsid w:val="00703E8A"/>
    <w:rsid w:val="00707FB8"/>
    <w:rsid w:val="0071006D"/>
    <w:rsid w:val="00711522"/>
    <w:rsid w:val="007124FE"/>
    <w:rsid w:val="007125A9"/>
    <w:rsid w:val="00713186"/>
    <w:rsid w:val="00713757"/>
    <w:rsid w:val="00716F79"/>
    <w:rsid w:val="00717772"/>
    <w:rsid w:val="00717C29"/>
    <w:rsid w:val="00721AF1"/>
    <w:rsid w:val="0072280F"/>
    <w:rsid w:val="00722B5E"/>
    <w:rsid w:val="0072708F"/>
    <w:rsid w:val="00727C6C"/>
    <w:rsid w:val="0073150B"/>
    <w:rsid w:val="00732D1D"/>
    <w:rsid w:val="00736034"/>
    <w:rsid w:val="0073681C"/>
    <w:rsid w:val="00737AB0"/>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91053"/>
    <w:rsid w:val="00791A3A"/>
    <w:rsid w:val="00794196"/>
    <w:rsid w:val="007941EA"/>
    <w:rsid w:val="007951F3"/>
    <w:rsid w:val="0079671E"/>
    <w:rsid w:val="00797637"/>
    <w:rsid w:val="007A0A57"/>
    <w:rsid w:val="007A3680"/>
    <w:rsid w:val="007A59B8"/>
    <w:rsid w:val="007A6BEA"/>
    <w:rsid w:val="007B2191"/>
    <w:rsid w:val="007B2862"/>
    <w:rsid w:val="007B3C32"/>
    <w:rsid w:val="007B505A"/>
    <w:rsid w:val="007B662A"/>
    <w:rsid w:val="007C2BCC"/>
    <w:rsid w:val="007C7E22"/>
    <w:rsid w:val="007D1C16"/>
    <w:rsid w:val="007D28C9"/>
    <w:rsid w:val="007D3CC8"/>
    <w:rsid w:val="007D62F9"/>
    <w:rsid w:val="007D63A4"/>
    <w:rsid w:val="007E008D"/>
    <w:rsid w:val="007E0F0C"/>
    <w:rsid w:val="007E1AA2"/>
    <w:rsid w:val="007E1AD0"/>
    <w:rsid w:val="007E4C1F"/>
    <w:rsid w:val="007E5EDC"/>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1C19"/>
    <w:rsid w:val="008174D4"/>
    <w:rsid w:val="00820FE6"/>
    <w:rsid w:val="00821985"/>
    <w:rsid w:val="00821A66"/>
    <w:rsid w:val="00822476"/>
    <w:rsid w:val="00822882"/>
    <w:rsid w:val="00823E6D"/>
    <w:rsid w:val="00824200"/>
    <w:rsid w:val="00825D22"/>
    <w:rsid w:val="00825F68"/>
    <w:rsid w:val="00827CB9"/>
    <w:rsid w:val="008305BF"/>
    <w:rsid w:val="00832748"/>
    <w:rsid w:val="00835408"/>
    <w:rsid w:val="008359DA"/>
    <w:rsid w:val="00836D2A"/>
    <w:rsid w:val="00837CEF"/>
    <w:rsid w:val="00840035"/>
    <w:rsid w:val="00840220"/>
    <w:rsid w:val="00840677"/>
    <w:rsid w:val="00840C20"/>
    <w:rsid w:val="008428A9"/>
    <w:rsid w:val="00844112"/>
    <w:rsid w:val="00844CBE"/>
    <w:rsid w:val="008456C9"/>
    <w:rsid w:val="0084611D"/>
    <w:rsid w:val="00850C62"/>
    <w:rsid w:val="00854463"/>
    <w:rsid w:val="00857643"/>
    <w:rsid w:val="00863011"/>
    <w:rsid w:val="0086312D"/>
    <w:rsid w:val="00863392"/>
    <w:rsid w:val="00865075"/>
    <w:rsid w:val="0086734C"/>
    <w:rsid w:val="0086748F"/>
    <w:rsid w:val="00872CE4"/>
    <w:rsid w:val="00874F4B"/>
    <w:rsid w:val="0087539B"/>
    <w:rsid w:val="00877B62"/>
    <w:rsid w:val="00880016"/>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2A97"/>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1C17"/>
    <w:rsid w:val="008F2477"/>
    <w:rsid w:val="00900DD1"/>
    <w:rsid w:val="009010F0"/>
    <w:rsid w:val="00901162"/>
    <w:rsid w:val="0090223A"/>
    <w:rsid w:val="009028E2"/>
    <w:rsid w:val="009055EC"/>
    <w:rsid w:val="009100C0"/>
    <w:rsid w:val="0091247B"/>
    <w:rsid w:val="0091320A"/>
    <w:rsid w:val="00914EAB"/>
    <w:rsid w:val="009150A1"/>
    <w:rsid w:val="00916808"/>
    <w:rsid w:val="00922D49"/>
    <w:rsid w:val="0092482C"/>
    <w:rsid w:val="00924A95"/>
    <w:rsid w:val="009259CF"/>
    <w:rsid w:val="00925E37"/>
    <w:rsid w:val="00925EDD"/>
    <w:rsid w:val="00927D0E"/>
    <w:rsid w:val="009309DA"/>
    <w:rsid w:val="00935771"/>
    <w:rsid w:val="00936688"/>
    <w:rsid w:val="00937CFA"/>
    <w:rsid w:val="009406B3"/>
    <w:rsid w:val="00945CF5"/>
    <w:rsid w:val="00946D66"/>
    <w:rsid w:val="009500A1"/>
    <w:rsid w:val="0095037E"/>
    <w:rsid w:val="00952AAD"/>
    <w:rsid w:val="00952F4F"/>
    <w:rsid w:val="00954567"/>
    <w:rsid w:val="009547A9"/>
    <w:rsid w:val="00957466"/>
    <w:rsid w:val="0096260B"/>
    <w:rsid w:val="00963F05"/>
    <w:rsid w:val="00965469"/>
    <w:rsid w:val="009664D5"/>
    <w:rsid w:val="00970C69"/>
    <w:rsid w:val="009716AF"/>
    <w:rsid w:val="00971F1C"/>
    <w:rsid w:val="0097211D"/>
    <w:rsid w:val="00972E10"/>
    <w:rsid w:val="0097328D"/>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2B7"/>
    <w:rsid w:val="009D0628"/>
    <w:rsid w:val="009D1EA4"/>
    <w:rsid w:val="009D27AA"/>
    <w:rsid w:val="009D2D8B"/>
    <w:rsid w:val="009D38BA"/>
    <w:rsid w:val="009D4991"/>
    <w:rsid w:val="009D5BB5"/>
    <w:rsid w:val="009D696D"/>
    <w:rsid w:val="009D6ED2"/>
    <w:rsid w:val="009E0D5D"/>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2EEF"/>
    <w:rsid w:val="00A14AE3"/>
    <w:rsid w:val="00A16675"/>
    <w:rsid w:val="00A22CD6"/>
    <w:rsid w:val="00A234EC"/>
    <w:rsid w:val="00A2417A"/>
    <w:rsid w:val="00A26668"/>
    <w:rsid w:val="00A27804"/>
    <w:rsid w:val="00A36822"/>
    <w:rsid w:val="00A36AB5"/>
    <w:rsid w:val="00A37A23"/>
    <w:rsid w:val="00A411D1"/>
    <w:rsid w:val="00A43389"/>
    <w:rsid w:val="00A43E71"/>
    <w:rsid w:val="00A45753"/>
    <w:rsid w:val="00A47B15"/>
    <w:rsid w:val="00A52F84"/>
    <w:rsid w:val="00A5533F"/>
    <w:rsid w:val="00A554CA"/>
    <w:rsid w:val="00A56B05"/>
    <w:rsid w:val="00A57678"/>
    <w:rsid w:val="00A60E2F"/>
    <w:rsid w:val="00A63284"/>
    <w:rsid w:val="00A64CB8"/>
    <w:rsid w:val="00A67018"/>
    <w:rsid w:val="00A672F3"/>
    <w:rsid w:val="00A673DC"/>
    <w:rsid w:val="00A67D40"/>
    <w:rsid w:val="00A7076E"/>
    <w:rsid w:val="00A709BE"/>
    <w:rsid w:val="00A7162E"/>
    <w:rsid w:val="00A7195A"/>
    <w:rsid w:val="00A72D71"/>
    <w:rsid w:val="00A7519C"/>
    <w:rsid w:val="00A75705"/>
    <w:rsid w:val="00A77C69"/>
    <w:rsid w:val="00A83953"/>
    <w:rsid w:val="00A83A77"/>
    <w:rsid w:val="00A85AF5"/>
    <w:rsid w:val="00A900E7"/>
    <w:rsid w:val="00A903B6"/>
    <w:rsid w:val="00A90F4F"/>
    <w:rsid w:val="00A92E44"/>
    <w:rsid w:val="00A9418A"/>
    <w:rsid w:val="00A947AA"/>
    <w:rsid w:val="00A9769C"/>
    <w:rsid w:val="00AA1B53"/>
    <w:rsid w:val="00AA3556"/>
    <w:rsid w:val="00AA35FD"/>
    <w:rsid w:val="00AA3DB7"/>
    <w:rsid w:val="00AB0340"/>
    <w:rsid w:val="00AB3012"/>
    <w:rsid w:val="00AB321C"/>
    <w:rsid w:val="00AB5B99"/>
    <w:rsid w:val="00AB688F"/>
    <w:rsid w:val="00AB75EA"/>
    <w:rsid w:val="00AB7AA2"/>
    <w:rsid w:val="00AB7BE2"/>
    <w:rsid w:val="00AC4BC1"/>
    <w:rsid w:val="00AD04BD"/>
    <w:rsid w:val="00AD1C72"/>
    <w:rsid w:val="00AD25F6"/>
    <w:rsid w:val="00AD46E6"/>
    <w:rsid w:val="00AD7214"/>
    <w:rsid w:val="00AE1066"/>
    <w:rsid w:val="00AE2AD2"/>
    <w:rsid w:val="00AE4518"/>
    <w:rsid w:val="00AE5D7F"/>
    <w:rsid w:val="00AE79F0"/>
    <w:rsid w:val="00AF2089"/>
    <w:rsid w:val="00AF3350"/>
    <w:rsid w:val="00AF4305"/>
    <w:rsid w:val="00AF5585"/>
    <w:rsid w:val="00AF561C"/>
    <w:rsid w:val="00AF6EC1"/>
    <w:rsid w:val="00B00331"/>
    <w:rsid w:val="00B01A80"/>
    <w:rsid w:val="00B02675"/>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2B4A"/>
    <w:rsid w:val="00B54370"/>
    <w:rsid w:val="00B55185"/>
    <w:rsid w:val="00B55281"/>
    <w:rsid w:val="00B60FD1"/>
    <w:rsid w:val="00B61923"/>
    <w:rsid w:val="00B621D6"/>
    <w:rsid w:val="00B63EF5"/>
    <w:rsid w:val="00B65D6F"/>
    <w:rsid w:val="00B67C23"/>
    <w:rsid w:val="00B70DC7"/>
    <w:rsid w:val="00B715FD"/>
    <w:rsid w:val="00B73042"/>
    <w:rsid w:val="00B74BB9"/>
    <w:rsid w:val="00B75283"/>
    <w:rsid w:val="00B75735"/>
    <w:rsid w:val="00B77142"/>
    <w:rsid w:val="00B807F5"/>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2FA"/>
    <w:rsid w:val="00BD3EB4"/>
    <w:rsid w:val="00BD5C65"/>
    <w:rsid w:val="00BD71EE"/>
    <w:rsid w:val="00BE6018"/>
    <w:rsid w:val="00BF1F57"/>
    <w:rsid w:val="00BF4086"/>
    <w:rsid w:val="00BF426C"/>
    <w:rsid w:val="00BF58D0"/>
    <w:rsid w:val="00BF63AF"/>
    <w:rsid w:val="00BF7D6A"/>
    <w:rsid w:val="00C013E1"/>
    <w:rsid w:val="00C01611"/>
    <w:rsid w:val="00C02D59"/>
    <w:rsid w:val="00C030B6"/>
    <w:rsid w:val="00C03284"/>
    <w:rsid w:val="00C050D7"/>
    <w:rsid w:val="00C05B5F"/>
    <w:rsid w:val="00C06911"/>
    <w:rsid w:val="00C104CC"/>
    <w:rsid w:val="00C12898"/>
    <w:rsid w:val="00C152FE"/>
    <w:rsid w:val="00C16739"/>
    <w:rsid w:val="00C22C7D"/>
    <w:rsid w:val="00C22CCE"/>
    <w:rsid w:val="00C231D6"/>
    <w:rsid w:val="00C23BA2"/>
    <w:rsid w:val="00C272C4"/>
    <w:rsid w:val="00C31C12"/>
    <w:rsid w:val="00C32AF2"/>
    <w:rsid w:val="00C33204"/>
    <w:rsid w:val="00C338EB"/>
    <w:rsid w:val="00C3465D"/>
    <w:rsid w:val="00C35643"/>
    <w:rsid w:val="00C379E9"/>
    <w:rsid w:val="00C439FB"/>
    <w:rsid w:val="00C43F23"/>
    <w:rsid w:val="00C50011"/>
    <w:rsid w:val="00C52CA1"/>
    <w:rsid w:val="00C5755E"/>
    <w:rsid w:val="00C6379C"/>
    <w:rsid w:val="00C645E6"/>
    <w:rsid w:val="00C64D82"/>
    <w:rsid w:val="00C64FBC"/>
    <w:rsid w:val="00C65A83"/>
    <w:rsid w:val="00C724F2"/>
    <w:rsid w:val="00C72C6F"/>
    <w:rsid w:val="00C75057"/>
    <w:rsid w:val="00C77034"/>
    <w:rsid w:val="00C80F23"/>
    <w:rsid w:val="00C81151"/>
    <w:rsid w:val="00C81EFA"/>
    <w:rsid w:val="00C82CC6"/>
    <w:rsid w:val="00C850A3"/>
    <w:rsid w:val="00C85C32"/>
    <w:rsid w:val="00C87568"/>
    <w:rsid w:val="00C90DB6"/>
    <w:rsid w:val="00C913B6"/>
    <w:rsid w:val="00C9394F"/>
    <w:rsid w:val="00C93B1A"/>
    <w:rsid w:val="00C96F5F"/>
    <w:rsid w:val="00CA4126"/>
    <w:rsid w:val="00CA4574"/>
    <w:rsid w:val="00CA5927"/>
    <w:rsid w:val="00CA79EC"/>
    <w:rsid w:val="00CB041A"/>
    <w:rsid w:val="00CB39C2"/>
    <w:rsid w:val="00CB4664"/>
    <w:rsid w:val="00CB4C8C"/>
    <w:rsid w:val="00CB6782"/>
    <w:rsid w:val="00CC080A"/>
    <w:rsid w:val="00CC0994"/>
    <w:rsid w:val="00CC0C03"/>
    <w:rsid w:val="00CD0AAD"/>
    <w:rsid w:val="00CD6177"/>
    <w:rsid w:val="00CE182E"/>
    <w:rsid w:val="00CE2DAB"/>
    <w:rsid w:val="00CE2DE4"/>
    <w:rsid w:val="00CE2E79"/>
    <w:rsid w:val="00CE5277"/>
    <w:rsid w:val="00CE6358"/>
    <w:rsid w:val="00CF2D54"/>
    <w:rsid w:val="00CF592C"/>
    <w:rsid w:val="00CF6992"/>
    <w:rsid w:val="00CF6AD7"/>
    <w:rsid w:val="00CF7B8C"/>
    <w:rsid w:val="00D03538"/>
    <w:rsid w:val="00D049B8"/>
    <w:rsid w:val="00D0516C"/>
    <w:rsid w:val="00D05EE7"/>
    <w:rsid w:val="00D068D0"/>
    <w:rsid w:val="00D078D1"/>
    <w:rsid w:val="00D129A8"/>
    <w:rsid w:val="00D12FB9"/>
    <w:rsid w:val="00D13FE2"/>
    <w:rsid w:val="00D200BD"/>
    <w:rsid w:val="00D22399"/>
    <w:rsid w:val="00D24B11"/>
    <w:rsid w:val="00D310BA"/>
    <w:rsid w:val="00D32C0A"/>
    <w:rsid w:val="00D33751"/>
    <w:rsid w:val="00D3382F"/>
    <w:rsid w:val="00D33924"/>
    <w:rsid w:val="00D34559"/>
    <w:rsid w:val="00D36F6E"/>
    <w:rsid w:val="00D3705B"/>
    <w:rsid w:val="00D37343"/>
    <w:rsid w:val="00D4205E"/>
    <w:rsid w:val="00D45DB6"/>
    <w:rsid w:val="00D5574C"/>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475D"/>
    <w:rsid w:val="00DA7146"/>
    <w:rsid w:val="00DA716A"/>
    <w:rsid w:val="00DB1F4F"/>
    <w:rsid w:val="00DB37EE"/>
    <w:rsid w:val="00DB4450"/>
    <w:rsid w:val="00DB7B69"/>
    <w:rsid w:val="00DC234A"/>
    <w:rsid w:val="00DC27AD"/>
    <w:rsid w:val="00DC41E4"/>
    <w:rsid w:val="00DC5116"/>
    <w:rsid w:val="00DC7C77"/>
    <w:rsid w:val="00DD074A"/>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6313"/>
    <w:rsid w:val="00E1738C"/>
    <w:rsid w:val="00E207A1"/>
    <w:rsid w:val="00E22D28"/>
    <w:rsid w:val="00E230E3"/>
    <w:rsid w:val="00E27A14"/>
    <w:rsid w:val="00E30EDF"/>
    <w:rsid w:val="00E30F3C"/>
    <w:rsid w:val="00E31EC2"/>
    <w:rsid w:val="00E31FBA"/>
    <w:rsid w:val="00E32CB6"/>
    <w:rsid w:val="00E34042"/>
    <w:rsid w:val="00E34CDF"/>
    <w:rsid w:val="00E36AAE"/>
    <w:rsid w:val="00E41773"/>
    <w:rsid w:val="00E428DD"/>
    <w:rsid w:val="00E43B0B"/>
    <w:rsid w:val="00E44A50"/>
    <w:rsid w:val="00E477F6"/>
    <w:rsid w:val="00E50841"/>
    <w:rsid w:val="00E513F6"/>
    <w:rsid w:val="00E52F3B"/>
    <w:rsid w:val="00E53A45"/>
    <w:rsid w:val="00E53D94"/>
    <w:rsid w:val="00E53DEA"/>
    <w:rsid w:val="00E548E9"/>
    <w:rsid w:val="00E553CC"/>
    <w:rsid w:val="00E55667"/>
    <w:rsid w:val="00E57068"/>
    <w:rsid w:val="00E57630"/>
    <w:rsid w:val="00E616DB"/>
    <w:rsid w:val="00E627A4"/>
    <w:rsid w:val="00E630ED"/>
    <w:rsid w:val="00E74EC5"/>
    <w:rsid w:val="00E75FDC"/>
    <w:rsid w:val="00E76B86"/>
    <w:rsid w:val="00E8342F"/>
    <w:rsid w:val="00E847A7"/>
    <w:rsid w:val="00E85E29"/>
    <w:rsid w:val="00E85F25"/>
    <w:rsid w:val="00E86E79"/>
    <w:rsid w:val="00E87313"/>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4874"/>
    <w:rsid w:val="00EE79A6"/>
    <w:rsid w:val="00EF6111"/>
    <w:rsid w:val="00EF6232"/>
    <w:rsid w:val="00EF698A"/>
    <w:rsid w:val="00F005A0"/>
    <w:rsid w:val="00F006CC"/>
    <w:rsid w:val="00F05EAD"/>
    <w:rsid w:val="00F06616"/>
    <w:rsid w:val="00F11352"/>
    <w:rsid w:val="00F126DA"/>
    <w:rsid w:val="00F1498D"/>
    <w:rsid w:val="00F14DDF"/>
    <w:rsid w:val="00F152AD"/>
    <w:rsid w:val="00F2285F"/>
    <w:rsid w:val="00F23155"/>
    <w:rsid w:val="00F24236"/>
    <w:rsid w:val="00F24E0E"/>
    <w:rsid w:val="00F26693"/>
    <w:rsid w:val="00F27C38"/>
    <w:rsid w:val="00F36130"/>
    <w:rsid w:val="00F40444"/>
    <w:rsid w:val="00F40868"/>
    <w:rsid w:val="00F423BD"/>
    <w:rsid w:val="00F4255D"/>
    <w:rsid w:val="00F432FF"/>
    <w:rsid w:val="00F46DF9"/>
    <w:rsid w:val="00F4715C"/>
    <w:rsid w:val="00F54869"/>
    <w:rsid w:val="00F556B2"/>
    <w:rsid w:val="00F57252"/>
    <w:rsid w:val="00F5754B"/>
    <w:rsid w:val="00F576DE"/>
    <w:rsid w:val="00F63BF7"/>
    <w:rsid w:val="00F64563"/>
    <w:rsid w:val="00F65617"/>
    <w:rsid w:val="00F65D71"/>
    <w:rsid w:val="00F70112"/>
    <w:rsid w:val="00F710BE"/>
    <w:rsid w:val="00F723B1"/>
    <w:rsid w:val="00F736D2"/>
    <w:rsid w:val="00F7564C"/>
    <w:rsid w:val="00F76220"/>
    <w:rsid w:val="00F769BE"/>
    <w:rsid w:val="00F81C33"/>
    <w:rsid w:val="00F82A1D"/>
    <w:rsid w:val="00F82E6B"/>
    <w:rsid w:val="00F91F6D"/>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C1CA5"/>
    <w:rsid w:val="00FC219C"/>
    <w:rsid w:val="00FC2979"/>
    <w:rsid w:val="00FD1C3C"/>
    <w:rsid w:val="00FD1E02"/>
    <w:rsid w:val="00FD38A8"/>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72DCF266-60FA-4E11-934F-6B947CDA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FD1E02"/>
    <w:rPr>
      <w:rFonts w:cs="Times New Roman"/>
      <w:b/>
      <w:bCs/>
      <w:kern w:val="44"/>
      <w:sz w:val="44"/>
      <w:szCs w:val="44"/>
    </w:rPr>
  </w:style>
  <w:style w:type="character" w:customStyle="1" w:styleId="2Char">
    <w:name w:val="标题 2 Char"/>
    <w:link w:val="2"/>
    <w:uiPriority w:val="99"/>
    <w:semiHidden/>
    <w:locked/>
    <w:rsid w:val="00140FF8"/>
    <w:rPr>
      <w:rFonts w:ascii="Cambria" w:eastAsia="宋体" w:hAnsi="Cambria" w:cs="Times New Roman"/>
      <w:b/>
      <w:bCs/>
      <w:sz w:val="32"/>
      <w:szCs w:val="32"/>
    </w:rPr>
  </w:style>
  <w:style w:type="paragraph" w:styleId="a0">
    <w:name w:val="Normal Indent"/>
    <w:basedOn w:val="a"/>
    <w:uiPriority w:val="99"/>
    <w:rsid w:val="00C12898"/>
    <w:pPr>
      <w:ind w:firstLineChars="200" w:firstLine="420"/>
    </w:pPr>
  </w:style>
  <w:style w:type="paragraph" w:styleId="a4">
    <w:name w:val="Body Text Indent"/>
    <w:basedOn w:val="a"/>
    <w:link w:val="Char"/>
    <w:uiPriority w:val="99"/>
    <w:rsid w:val="00C12898"/>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
    <w:name w:val="正文文本缩进 Char"/>
    <w:link w:val="a4"/>
    <w:uiPriority w:val="99"/>
    <w:semiHidden/>
    <w:locked/>
    <w:rsid w:val="00140FF8"/>
    <w:rPr>
      <w:rFonts w:cs="Times New Roman"/>
      <w:sz w:val="24"/>
      <w:szCs w:val="24"/>
    </w:rPr>
  </w:style>
  <w:style w:type="paragraph" w:styleId="a5">
    <w:name w:val="Plain Text"/>
    <w:basedOn w:val="a"/>
    <w:link w:val="Char0"/>
    <w:uiPriority w:val="99"/>
    <w:rsid w:val="00C12898"/>
    <w:rPr>
      <w:rFonts w:ascii="宋体" w:hAnsi="Courier New"/>
      <w:szCs w:val="21"/>
    </w:rPr>
  </w:style>
  <w:style w:type="character" w:customStyle="1" w:styleId="Char0">
    <w:name w:val="纯文本 Char"/>
    <w:link w:val="a5"/>
    <w:uiPriority w:val="99"/>
    <w:locked/>
    <w:rsid w:val="0042253F"/>
    <w:rPr>
      <w:rFonts w:ascii="宋体" w:hAnsi="Courier New" w:cs="Times New Roman"/>
      <w:kern w:val="2"/>
      <w:sz w:val="21"/>
    </w:rPr>
  </w:style>
  <w:style w:type="paragraph" w:styleId="20">
    <w:name w:val="Body Text Indent 2"/>
    <w:basedOn w:val="a"/>
    <w:link w:val="2Char0"/>
    <w:uiPriority w:val="99"/>
    <w:rsid w:val="00C12898"/>
    <w:pPr>
      <w:spacing w:line="560" w:lineRule="exact"/>
      <w:ind w:firstLineChars="200" w:firstLine="480"/>
    </w:pPr>
    <w:rPr>
      <w:rFonts w:ascii="宋体" w:hAnsi="宋体"/>
      <w:color w:val="FF0000"/>
      <w:sz w:val="24"/>
    </w:rPr>
  </w:style>
  <w:style w:type="character" w:customStyle="1" w:styleId="2Char0">
    <w:name w:val="正文文本缩进 2 Char"/>
    <w:link w:val="20"/>
    <w:uiPriority w:val="99"/>
    <w:semiHidden/>
    <w:locked/>
    <w:rsid w:val="00140FF8"/>
    <w:rPr>
      <w:rFonts w:cs="Times New Roman"/>
      <w:sz w:val="24"/>
      <w:szCs w:val="24"/>
    </w:rPr>
  </w:style>
  <w:style w:type="paragraph" w:styleId="a6">
    <w:name w:val="footer"/>
    <w:basedOn w:val="a"/>
    <w:link w:val="Char1"/>
    <w:uiPriority w:val="99"/>
    <w:rsid w:val="00C12898"/>
    <w:pPr>
      <w:tabs>
        <w:tab w:val="center" w:pos="4153"/>
        <w:tab w:val="right" w:pos="8306"/>
      </w:tabs>
      <w:snapToGrid w:val="0"/>
      <w:jc w:val="left"/>
    </w:pPr>
    <w:rPr>
      <w:sz w:val="18"/>
      <w:szCs w:val="18"/>
    </w:rPr>
  </w:style>
  <w:style w:type="character" w:customStyle="1" w:styleId="Char1">
    <w:name w:val="页脚 Char"/>
    <w:link w:val="a6"/>
    <w:uiPriority w:val="99"/>
    <w:semiHidden/>
    <w:locked/>
    <w:rsid w:val="00140FF8"/>
    <w:rPr>
      <w:rFonts w:cs="Times New Roman"/>
      <w:sz w:val="18"/>
      <w:szCs w:val="18"/>
    </w:rPr>
  </w:style>
  <w:style w:type="character" w:styleId="a7">
    <w:name w:val="page number"/>
    <w:uiPriority w:val="99"/>
    <w:rsid w:val="00C12898"/>
    <w:rPr>
      <w:rFonts w:cs="Times New Roman"/>
    </w:rPr>
  </w:style>
  <w:style w:type="character" w:styleId="a8">
    <w:name w:val="Hyperlink"/>
    <w:uiPriority w:val="99"/>
    <w:rsid w:val="00C12898"/>
    <w:rPr>
      <w:rFonts w:cs="Times New Roman"/>
      <w:color w:val="0000FF"/>
      <w:u w:val="single"/>
    </w:rPr>
  </w:style>
  <w:style w:type="paragraph" w:styleId="3">
    <w:name w:val="Body Text Indent 3"/>
    <w:basedOn w:val="a"/>
    <w:link w:val="3Char"/>
    <w:uiPriority w:val="99"/>
    <w:rsid w:val="00C12898"/>
    <w:pPr>
      <w:spacing w:line="560" w:lineRule="exact"/>
      <w:ind w:firstLineChars="200" w:firstLine="420"/>
    </w:pPr>
    <w:rPr>
      <w:rFonts w:ascii="Arial" w:hAnsi="Arial" w:cs="Arial"/>
      <w:color w:val="FF0000"/>
    </w:rPr>
  </w:style>
  <w:style w:type="character" w:customStyle="1" w:styleId="3Char">
    <w:name w:val="正文文本缩进 3 Char"/>
    <w:link w:val="3"/>
    <w:uiPriority w:val="99"/>
    <w:semiHidden/>
    <w:locked/>
    <w:rsid w:val="00140FF8"/>
    <w:rPr>
      <w:rFonts w:cs="Times New Roman"/>
      <w:sz w:val="16"/>
      <w:szCs w:val="16"/>
    </w:rPr>
  </w:style>
  <w:style w:type="paragraph" w:styleId="a9">
    <w:name w:val="header"/>
    <w:basedOn w:val="a"/>
    <w:link w:val="Char2"/>
    <w:uiPriority w:val="99"/>
    <w:rsid w:val="00C1289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FB572A"/>
    <w:rPr>
      <w:rFonts w:cs="Times New Roman"/>
      <w:kern w:val="2"/>
      <w:sz w:val="18"/>
      <w:szCs w:val="18"/>
    </w:rPr>
  </w:style>
  <w:style w:type="character" w:styleId="aa">
    <w:name w:val="FollowedHyperlink"/>
    <w:uiPriority w:val="99"/>
    <w:rsid w:val="00C12898"/>
    <w:rPr>
      <w:rFonts w:cs="Times New Roman"/>
      <w:color w:val="800080"/>
      <w:u w:val="single"/>
    </w:rPr>
  </w:style>
  <w:style w:type="paragraph" w:styleId="ab">
    <w:name w:val="List"/>
    <w:basedOn w:val="ac"/>
    <w:uiPriority w:val="99"/>
    <w:rsid w:val="00C12898"/>
    <w:pPr>
      <w:spacing w:after="220" w:line="220" w:lineRule="atLeast"/>
      <w:ind w:left="1440" w:hanging="360"/>
    </w:pPr>
    <w:rPr>
      <w:szCs w:val="20"/>
    </w:rPr>
  </w:style>
  <w:style w:type="paragraph" w:styleId="ac">
    <w:name w:val="Body Text"/>
    <w:basedOn w:val="a"/>
    <w:link w:val="Char3"/>
    <w:uiPriority w:val="99"/>
    <w:rsid w:val="00C12898"/>
    <w:pPr>
      <w:spacing w:after="120"/>
    </w:pPr>
  </w:style>
  <w:style w:type="character" w:customStyle="1" w:styleId="Char3">
    <w:name w:val="正文文本 Char"/>
    <w:link w:val="ac"/>
    <w:uiPriority w:val="99"/>
    <w:semiHidden/>
    <w:locked/>
    <w:rsid w:val="00140FF8"/>
    <w:rPr>
      <w:rFonts w:cs="Times New Roman"/>
      <w:sz w:val="24"/>
      <w:szCs w:val="24"/>
    </w:rPr>
  </w:style>
  <w:style w:type="paragraph" w:styleId="ad">
    <w:name w:val="Date"/>
    <w:basedOn w:val="a"/>
    <w:next w:val="a"/>
    <w:link w:val="Char4"/>
    <w:uiPriority w:val="99"/>
    <w:rsid w:val="00C12898"/>
    <w:rPr>
      <w:sz w:val="24"/>
      <w:szCs w:val="20"/>
    </w:rPr>
  </w:style>
  <w:style w:type="character" w:customStyle="1" w:styleId="Char4">
    <w:name w:val="日期 Char"/>
    <w:link w:val="ad"/>
    <w:uiPriority w:val="99"/>
    <w:locked/>
    <w:rsid w:val="00F27C38"/>
    <w:rPr>
      <w:rFonts w:cs="Times New Roman"/>
      <w:kern w:val="2"/>
      <w:sz w:val="24"/>
    </w:rPr>
  </w:style>
  <w:style w:type="character" w:customStyle="1" w:styleId="c1">
    <w:name w:val="c1"/>
    <w:uiPriority w:val="99"/>
    <w:rsid w:val="00C12898"/>
    <w:rPr>
      <w:rFonts w:cs="Times New Roman"/>
      <w:color w:val="000000"/>
      <w:sz w:val="18"/>
      <w:szCs w:val="18"/>
    </w:rPr>
  </w:style>
  <w:style w:type="paragraph" w:styleId="10">
    <w:name w:val="index 1"/>
    <w:basedOn w:val="a"/>
    <w:next w:val="a"/>
    <w:autoRedefine/>
    <w:uiPriority w:val="99"/>
    <w:semiHidden/>
    <w:rsid w:val="00C12898"/>
    <w:pPr>
      <w:jc w:val="right"/>
    </w:pPr>
    <w:rPr>
      <w:color w:val="008000"/>
    </w:rPr>
  </w:style>
  <w:style w:type="paragraph" w:customStyle="1" w:styleId="font5">
    <w:name w:val="font5"/>
    <w:basedOn w:val="a"/>
    <w:uiPriority w:val="99"/>
    <w:rsid w:val="00C12898"/>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C12898"/>
    <w:rPr>
      <w:sz w:val="18"/>
      <w:szCs w:val="18"/>
    </w:rPr>
  </w:style>
  <w:style w:type="character" w:customStyle="1" w:styleId="Char5">
    <w:name w:val="批注框文本 Char"/>
    <w:link w:val="ae"/>
    <w:uiPriority w:val="99"/>
    <w:semiHidden/>
    <w:locked/>
    <w:rsid w:val="00140FF8"/>
    <w:rPr>
      <w:rFonts w:cs="Times New Roman"/>
      <w:sz w:val="2"/>
    </w:rPr>
  </w:style>
  <w:style w:type="character" w:styleId="af">
    <w:name w:val="annotation reference"/>
    <w:uiPriority w:val="99"/>
    <w:semiHidden/>
    <w:rsid w:val="00C12898"/>
    <w:rPr>
      <w:rFonts w:cs="Times New Roman"/>
      <w:sz w:val="21"/>
      <w:szCs w:val="21"/>
    </w:rPr>
  </w:style>
  <w:style w:type="paragraph" w:styleId="af0">
    <w:name w:val="annotation text"/>
    <w:basedOn w:val="a"/>
    <w:link w:val="Char6"/>
    <w:uiPriority w:val="99"/>
    <w:semiHidden/>
    <w:rsid w:val="00C12898"/>
    <w:pPr>
      <w:jc w:val="left"/>
    </w:pPr>
  </w:style>
  <w:style w:type="character" w:customStyle="1" w:styleId="Char6">
    <w:name w:val="批注文字 Char"/>
    <w:link w:val="af0"/>
    <w:uiPriority w:val="99"/>
    <w:semiHidden/>
    <w:locked/>
    <w:rsid w:val="00140FF8"/>
    <w:rPr>
      <w:rFonts w:cs="Times New Roman"/>
      <w:sz w:val="24"/>
      <w:szCs w:val="24"/>
    </w:rPr>
  </w:style>
  <w:style w:type="paragraph" w:styleId="af1">
    <w:name w:val="annotation subject"/>
    <w:basedOn w:val="af0"/>
    <w:next w:val="af0"/>
    <w:link w:val="Char7"/>
    <w:uiPriority w:val="99"/>
    <w:semiHidden/>
    <w:rsid w:val="00C12898"/>
    <w:rPr>
      <w:b/>
      <w:bCs/>
    </w:rPr>
  </w:style>
  <w:style w:type="character" w:customStyle="1" w:styleId="Char7">
    <w:name w:val="批注主题 Char"/>
    <w:link w:val="af1"/>
    <w:uiPriority w:val="99"/>
    <w:semiHidden/>
    <w:locked/>
    <w:rsid w:val="00140FF8"/>
    <w:rPr>
      <w:rFonts w:cs="Times New Roman"/>
      <w:b/>
      <w:bCs/>
      <w:sz w:val="24"/>
      <w:szCs w:val="24"/>
    </w:rPr>
  </w:style>
  <w:style w:type="paragraph" w:customStyle="1" w:styleId="Char8">
    <w:name w:val="Char"/>
    <w:basedOn w:val="a"/>
    <w:uiPriority w:val="99"/>
    <w:rsid w:val="00C12898"/>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140FF8"/>
    <w:rPr>
      <w:rFonts w:cs="Times New Roman"/>
      <w:sz w:val="2"/>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140FF8"/>
    <w:rPr>
      <w:rFonts w:cs="Times New Roman"/>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695296"/>
    <w:pPr>
      <w:widowControl w:val="0"/>
      <w:autoSpaceDE w:val="0"/>
      <w:autoSpaceDN w:val="0"/>
      <w:adjustRightInd w:val="0"/>
    </w:pPr>
    <w:rPr>
      <w:rFonts w:ascii="FangSong" w:hAnsi="FangSong" w:cs="FangSong"/>
      <w:color w:val="000000"/>
      <w:sz w:val="24"/>
      <w:szCs w:val="24"/>
    </w:rPr>
  </w:style>
  <w:style w:type="paragraph" w:styleId="HTML">
    <w:name w:val="HTML Preformatted"/>
    <w:basedOn w:val="a"/>
    <w:link w:val="HTMLChar"/>
    <w:uiPriority w:val="99"/>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locked/>
    <w:rsid w:val="00634900"/>
    <w:rPr>
      <w:rFonts w:ascii="宋体" w:eastAsia="宋体" w:cs="宋体"/>
      <w:sz w:val="24"/>
      <w:szCs w:val="24"/>
    </w:rPr>
  </w:style>
  <w:style w:type="character" w:styleId="af8">
    <w:name w:val="Strong"/>
    <w:basedOn w:val="a1"/>
    <w:uiPriority w:val="22"/>
    <w:qFormat/>
    <w:locked/>
    <w:rsid w:val="00193F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413930">
      <w:bodyDiv w:val="1"/>
      <w:marLeft w:val="0"/>
      <w:marRight w:val="0"/>
      <w:marTop w:val="0"/>
      <w:marBottom w:val="0"/>
      <w:divBdr>
        <w:top w:val="none" w:sz="0" w:space="0" w:color="auto"/>
        <w:left w:val="none" w:sz="0" w:space="0" w:color="auto"/>
        <w:bottom w:val="none" w:sz="0" w:space="0" w:color="auto"/>
        <w:right w:val="none" w:sz="0" w:space="0" w:color="auto"/>
      </w:divBdr>
    </w:div>
    <w:div w:id="1077090524">
      <w:bodyDiv w:val="1"/>
      <w:marLeft w:val="0"/>
      <w:marRight w:val="0"/>
      <w:marTop w:val="0"/>
      <w:marBottom w:val="0"/>
      <w:divBdr>
        <w:top w:val="none" w:sz="0" w:space="0" w:color="auto"/>
        <w:left w:val="none" w:sz="0" w:space="0" w:color="auto"/>
        <w:bottom w:val="none" w:sz="0" w:space="0" w:color="auto"/>
        <w:right w:val="none" w:sz="0" w:space="0" w:color="auto"/>
      </w:divBdr>
    </w:div>
    <w:div w:id="1682857254">
      <w:marLeft w:val="0"/>
      <w:marRight w:val="0"/>
      <w:marTop w:val="0"/>
      <w:marBottom w:val="0"/>
      <w:divBdr>
        <w:top w:val="none" w:sz="0" w:space="0" w:color="auto"/>
        <w:left w:val="none" w:sz="0" w:space="0" w:color="auto"/>
        <w:bottom w:val="none" w:sz="0" w:space="0" w:color="auto"/>
        <w:right w:val="none" w:sz="0" w:space="0" w:color="auto"/>
      </w:divBdr>
    </w:div>
    <w:div w:id="1682857255">
      <w:marLeft w:val="0"/>
      <w:marRight w:val="0"/>
      <w:marTop w:val="0"/>
      <w:marBottom w:val="0"/>
      <w:divBdr>
        <w:top w:val="none" w:sz="0" w:space="0" w:color="auto"/>
        <w:left w:val="none" w:sz="0" w:space="0" w:color="auto"/>
        <w:bottom w:val="none" w:sz="0" w:space="0" w:color="auto"/>
        <w:right w:val="none" w:sz="0" w:space="0" w:color="auto"/>
      </w:divBdr>
    </w:div>
    <w:div w:id="1682857256">
      <w:marLeft w:val="0"/>
      <w:marRight w:val="0"/>
      <w:marTop w:val="0"/>
      <w:marBottom w:val="0"/>
      <w:divBdr>
        <w:top w:val="none" w:sz="0" w:space="0" w:color="auto"/>
        <w:left w:val="none" w:sz="0" w:space="0" w:color="auto"/>
        <w:bottom w:val="none" w:sz="0" w:space="0" w:color="auto"/>
        <w:right w:val="none" w:sz="0" w:space="0" w:color="auto"/>
      </w:divBdr>
    </w:div>
    <w:div w:id="1682857257">
      <w:marLeft w:val="0"/>
      <w:marRight w:val="0"/>
      <w:marTop w:val="0"/>
      <w:marBottom w:val="0"/>
      <w:divBdr>
        <w:top w:val="none" w:sz="0" w:space="0" w:color="auto"/>
        <w:left w:val="none" w:sz="0" w:space="0" w:color="auto"/>
        <w:bottom w:val="none" w:sz="0" w:space="0" w:color="auto"/>
        <w:right w:val="none" w:sz="0" w:space="0" w:color="auto"/>
      </w:divBdr>
    </w:div>
    <w:div w:id="1682857258">
      <w:marLeft w:val="0"/>
      <w:marRight w:val="0"/>
      <w:marTop w:val="0"/>
      <w:marBottom w:val="0"/>
      <w:divBdr>
        <w:top w:val="none" w:sz="0" w:space="0" w:color="auto"/>
        <w:left w:val="none" w:sz="0" w:space="0" w:color="auto"/>
        <w:bottom w:val="none" w:sz="0" w:space="0" w:color="auto"/>
        <w:right w:val="none" w:sz="0" w:space="0" w:color="auto"/>
      </w:divBdr>
    </w:div>
    <w:div w:id="1682857259">
      <w:marLeft w:val="0"/>
      <w:marRight w:val="0"/>
      <w:marTop w:val="0"/>
      <w:marBottom w:val="0"/>
      <w:divBdr>
        <w:top w:val="none" w:sz="0" w:space="0" w:color="auto"/>
        <w:left w:val="none" w:sz="0" w:space="0" w:color="auto"/>
        <w:bottom w:val="none" w:sz="0" w:space="0" w:color="auto"/>
        <w:right w:val="none" w:sz="0" w:space="0" w:color="auto"/>
      </w:divBdr>
    </w:div>
    <w:div w:id="1682857260">
      <w:marLeft w:val="0"/>
      <w:marRight w:val="0"/>
      <w:marTop w:val="0"/>
      <w:marBottom w:val="0"/>
      <w:divBdr>
        <w:top w:val="none" w:sz="0" w:space="0" w:color="auto"/>
        <w:left w:val="none" w:sz="0" w:space="0" w:color="auto"/>
        <w:bottom w:val="none" w:sz="0" w:space="0" w:color="auto"/>
        <w:right w:val="none" w:sz="0" w:space="0" w:color="auto"/>
      </w:divBdr>
    </w:div>
    <w:div w:id="1682857261">
      <w:marLeft w:val="0"/>
      <w:marRight w:val="0"/>
      <w:marTop w:val="0"/>
      <w:marBottom w:val="0"/>
      <w:divBdr>
        <w:top w:val="none" w:sz="0" w:space="0" w:color="auto"/>
        <w:left w:val="none" w:sz="0" w:space="0" w:color="auto"/>
        <w:bottom w:val="none" w:sz="0" w:space="0" w:color="auto"/>
        <w:right w:val="none" w:sz="0" w:space="0" w:color="auto"/>
      </w:divBdr>
    </w:div>
    <w:div w:id="1682857262">
      <w:marLeft w:val="0"/>
      <w:marRight w:val="0"/>
      <w:marTop w:val="0"/>
      <w:marBottom w:val="0"/>
      <w:divBdr>
        <w:top w:val="none" w:sz="0" w:space="0" w:color="auto"/>
        <w:left w:val="none" w:sz="0" w:space="0" w:color="auto"/>
        <w:bottom w:val="none" w:sz="0" w:space="0" w:color="auto"/>
        <w:right w:val="none" w:sz="0" w:space="0" w:color="auto"/>
      </w:divBdr>
    </w:div>
    <w:div w:id="1682857263">
      <w:marLeft w:val="0"/>
      <w:marRight w:val="0"/>
      <w:marTop w:val="0"/>
      <w:marBottom w:val="0"/>
      <w:divBdr>
        <w:top w:val="none" w:sz="0" w:space="0" w:color="auto"/>
        <w:left w:val="none" w:sz="0" w:space="0" w:color="auto"/>
        <w:bottom w:val="none" w:sz="0" w:space="0" w:color="auto"/>
        <w:right w:val="none" w:sz="0" w:space="0" w:color="auto"/>
      </w:divBdr>
    </w:div>
    <w:div w:id="1682857264">
      <w:marLeft w:val="0"/>
      <w:marRight w:val="0"/>
      <w:marTop w:val="0"/>
      <w:marBottom w:val="0"/>
      <w:divBdr>
        <w:top w:val="none" w:sz="0" w:space="0" w:color="auto"/>
        <w:left w:val="none" w:sz="0" w:space="0" w:color="auto"/>
        <w:bottom w:val="none" w:sz="0" w:space="0" w:color="auto"/>
        <w:right w:val="none" w:sz="0" w:space="0" w:color="auto"/>
      </w:divBdr>
    </w:div>
    <w:div w:id="16828572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1152</Words>
  <Characters>6572</Characters>
  <Application>Microsoft Office Word</Application>
  <DocSecurity>4</DocSecurity>
  <Lines>54</Lines>
  <Paragraphs>15</Paragraphs>
  <ScaleCrop>false</ScaleCrop>
  <Company>TRT. Ltd. Co.</Company>
  <LinksUpToDate>false</LinksUpToDate>
  <CharactersWithSpaces>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efunds</cp:lastModifiedBy>
  <cp:revision>2</cp:revision>
  <cp:lastPrinted>2007-07-19T00:46:00Z</cp:lastPrinted>
  <dcterms:created xsi:type="dcterms:W3CDTF">2020-01-13T02:43:00Z</dcterms:created>
  <dcterms:modified xsi:type="dcterms:W3CDTF">2020-01-13T02:43:00Z</dcterms:modified>
</cp:coreProperties>
</file>