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D48" w:rsidRPr="00264E55" w:rsidRDefault="00750D48" w:rsidP="004061AC">
      <w:pPr>
        <w:autoSpaceDE w:val="0"/>
        <w:autoSpaceDN w:val="0"/>
        <w:adjustRightInd w:val="0"/>
        <w:spacing w:line="360" w:lineRule="auto"/>
        <w:jc w:val="left"/>
        <w:rPr>
          <w:rFonts w:ascii="宋体"/>
          <w:color w:val="000000"/>
          <w:kern w:val="0"/>
          <w:sz w:val="24"/>
          <w:szCs w:val="24"/>
        </w:rPr>
      </w:pPr>
      <w:bookmarkStart w:id="0" w:name="_GoBack"/>
      <w:bookmarkEnd w:id="0"/>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易方达3年封闭运作战略配售灵活配置混合型证券投资基金（LOF）</w:t>
      </w: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2019年第4季度报告</w:t>
      </w:r>
    </w:p>
    <w:p w:rsidR="00750D48" w:rsidRPr="00093704" w:rsidRDefault="00750D48" w:rsidP="00542546">
      <w:pPr>
        <w:spacing w:line="360" w:lineRule="auto"/>
        <w:jc w:val="center"/>
        <w:rPr>
          <w:rFonts w:ascii="宋体" w:hAnsi="宋体"/>
          <w:b/>
          <w:sz w:val="24"/>
          <w:szCs w:val="24"/>
        </w:rPr>
      </w:pPr>
      <w:r w:rsidRPr="00093704">
        <w:rPr>
          <w:rFonts w:ascii="宋体" w:hAnsi="宋体"/>
          <w:b/>
          <w:sz w:val="24"/>
          <w:szCs w:val="24"/>
        </w:rPr>
        <w:t>2019年12月31日</w:t>
      </w: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rPr>
          <w:rFonts w:ascii="宋体"/>
          <w:b/>
          <w:bCs/>
          <w:color w:val="000000"/>
          <w:sz w:val="24"/>
          <w:szCs w:val="24"/>
        </w:rPr>
      </w:pP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hAnsi="宋体"/>
          <w:b/>
          <w:color w:val="000000"/>
          <w:sz w:val="24"/>
          <w:szCs w:val="24"/>
        </w:rPr>
        <w:t>易方达基金管理有限公司</w:t>
      </w: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hAnsi="宋体"/>
          <w:b/>
          <w:color w:val="000000"/>
          <w:sz w:val="24"/>
          <w:szCs w:val="24"/>
        </w:rPr>
        <w:t>中国建设银行股份有限公司</w:t>
      </w:r>
    </w:p>
    <w:p w:rsidR="00750D48" w:rsidRPr="00264E55" w:rsidRDefault="00750D48" w:rsidP="00EB572F">
      <w:pPr>
        <w:spacing w:line="360" w:lineRule="auto"/>
        <w:ind w:firstLineChars="900" w:firstLine="2168"/>
        <w:rPr>
          <w:rFonts w:ascii="宋体" w:hAnsi="宋体"/>
          <w:b/>
          <w:color w:val="000000"/>
          <w:sz w:val="24"/>
          <w:szCs w:val="24"/>
        </w:rPr>
        <w:sectPr w:rsidR="00750D48" w:rsidRPr="00264E55" w:rsidSect="00304A12">
          <w:headerReference w:type="default" r:id="rId8"/>
          <w:footerReference w:type="default" r:id="rId9"/>
          <w:pgSz w:w="11926" w:h="15840"/>
          <w:pgMar w:top="1418" w:right="1418" w:bottom="851" w:left="1418" w:header="851" w:footer="992" w:gutter="0"/>
          <w:cols w:space="720"/>
          <w:noEndnote/>
        </w:sectPr>
      </w:pPr>
      <w:r w:rsidRPr="00264E55">
        <w:rPr>
          <w:rFonts w:ascii="宋体" w:hAnsi="宋体" w:hint="eastAsia"/>
          <w:b/>
          <w:color w:val="000000"/>
          <w:sz w:val="24"/>
          <w:szCs w:val="24"/>
        </w:rPr>
        <w:t>报告送出日期：</w:t>
      </w:r>
      <w:r w:rsidRPr="00264E55">
        <w:rPr>
          <w:rFonts w:ascii="宋体" w:hAnsi="宋体"/>
          <w:b/>
          <w:color w:val="000000"/>
          <w:sz w:val="24"/>
          <w:szCs w:val="24"/>
        </w:rPr>
        <w:t>二〇二〇年一月十八日</w:t>
      </w:r>
    </w:p>
    <w:p w:rsidR="00750D48" w:rsidRPr="00264E55" w:rsidRDefault="00750D48" w:rsidP="004D28A3">
      <w:pPr>
        <w:pStyle w:val="1"/>
        <w:spacing w:beforeLines="100" w:before="312" w:afterLines="100" w:after="312"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rsidR="008A1327" w:rsidRDefault="00580060">
      <w:pPr>
        <w:spacing w:line="360"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8A1327" w:rsidRDefault="00580060">
      <w:pPr>
        <w:spacing w:line="360"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2020</w:t>
      </w:r>
      <w:r>
        <w:rPr>
          <w:color w:val="000000"/>
          <w:sz w:val="24"/>
          <w:szCs w:val="24"/>
        </w:rPr>
        <w:t>年</w:t>
      </w:r>
      <w:r>
        <w:rPr>
          <w:color w:val="000000"/>
          <w:sz w:val="24"/>
          <w:szCs w:val="24"/>
        </w:rPr>
        <w:t>1</w:t>
      </w:r>
      <w:r>
        <w:rPr>
          <w:color w:val="000000"/>
          <w:sz w:val="24"/>
          <w:szCs w:val="24"/>
        </w:rPr>
        <w:t>月</w:t>
      </w:r>
      <w:r>
        <w:rPr>
          <w:color w:val="000000"/>
          <w:sz w:val="24"/>
          <w:szCs w:val="24"/>
        </w:rPr>
        <w:t>16</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8A1327" w:rsidRDefault="00580060">
      <w:pPr>
        <w:spacing w:line="360" w:lineRule="auto"/>
        <w:ind w:firstLineChars="200" w:firstLine="480"/>
        <w:rPr>
          <w:color w:val="000000"/>
          <w:sz w:val="24"/>
          <w:szCs w:val="24"/>
        </w:rPr>
      </w:pPr>
      <w:r>
        <w:rPr>
          <w:color w:val="000000"/>
          <w:sz w:val="24"/>
          <w:szCs w:val="24"/>
        </w:rPr>
        <w:t>基金管</w:t>
      </w:r>
      <w:r>
        <w:rPr>
          <w:color w:val="000000"/>
          <w:sz w:val="24"/>
          <w:szCs w:val="24"/>
        </w:rPr>
        <w:t>理人承诺以诚实信用、勤勉尽责的原则管理和运用基金资产，但不保证基金一定盈利。</w:t>
      </w:r>
      <w:r>
        <w:rPr>
          <w:color w:val="000000"/>
          <w:sz w:val="24"/>
          <w:szCs w:val="24"/>
        </w:rPr>
        <w:t xml:space="preserve"> </w:t>
      </w:r>
    </w:p>
    <w:p w:rsidR="008A1327" w:rsidRDefault="00580060">
      <w:pPr>
        <w:spacing w:line="360"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8A1327" w:rsidRDefault="00580060">
      <w:pPr>
        <w:spacing w:line="360" w:lineRule="auto"/>
        <w:ind w:firstLineChars="200" w:firstLine="480"/>
        <w:rPr>
          <w:color w:val="000000"/>
          <w:sz w:val="24"/>
          <w:szCs w:val="24"/>
        </w:rPr>
      </w:pPr>
      <w:r>
        <w:rPr>
          <w:color w:val="000000"/>
          <w:sz w:val="24"/>
          <w:szCs w:val="24"/>
        </w:rPr>
        <w:t>本报告中财务资料未经审计。</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本报告期自</w:t>
      </w:r>
      <w:r w:rsidRPr="006C56AA">
        <w:rPr>
          <w:color w:val="000000"/>
          <w:sz w:val="24"/>
          <w:szCs w:val="24"/>
        </w:rPr>
        <w:t>2019</w:t>
      </w:r>
      <w:r w:rsidRPr="006C56AA">
        <w:rPr>
          <w:color w:val="000000"/>
          <w:sz w:val="24"/>
          <w:szCs w:val="24"/>
        </w:rPr>
        <w:t>年</w:t>
      </w:r>
      <w:r w:rsidRPr="006C56AA">
        <w:rPr>
          <w:color w:val="000000"/>
          <w:sz w:val="24"/>
          <w:szCs w:val="24"/>
        </w:rPr>
        <w:t>10</w:t>
      </w:r>
      <w:r w:rsidRPr="006C56AA">
        <w:rPr>
          <w:color w:val="000000"/>
          <w:sz w:val="24"/>
          <w:szCs w:val="24"/>
        </w:rPr>
        <w:t>月</w:t>
      </w:r>
      <w:r w:rsidRPr="006C56AA">
        <w:rPr>
          <w:color w:val="000000"/>
          <w:sz w:val="24"/>
          <w:szCs w:val="24"/>
        </w:rPr>
        <w:t>1</w:t>
      </w:r>
      <w:r w:rsidRPr="006C56AA">
        <w:rPr>
          <w:color w:val="000000"/>
          <w:sz w:val="24"/>
          <w:szCs w:val="24"/>
        </w:rPr>
        <w:t>日起至</w:t>
      </w:r>
      <w:r w:rsidRPr="006C56AA">
        <w:rPr>
          <w:color w:val="000000"/>
          <w:sz w:val="24"/>
          <w:szCs w:val="24"/>
        </w:rPr>
        <w:t>12</w:t>
      </w:r>
      <w:r w:rsidRPr="006C56AA">
        <w:rPr>
          <w:color w:val="000000"/>
          <w:sz w:val="24"/>
          <w:szCs w:val="24"/>
        </w:rPr>
        <w:t>月</w:t>
      </w:r>
      <w:r w:rsidRPr="006C56AA">
        <w:rPr>
          <w:color w:val="000000"/>
          <w:sz w:val="24"/>
          <w:szCs w:val="24"/>
        </w:rPr>
        <w:t>31</w:t>
      </w:r>
      <w:r w:rsidRPr="006C56AA">
        <w:rPr>
          <w:color w:val="000000"/>
          <w:sz w:val="24"/>
          <w:szCs w:val="24"/>
        </w:rPr>
        <w:t>日止。</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479"/>
      </w:tblGrid>
      <w:tr w:rsidR="00750D48" w:rsidRPr="00264E55" w:rsidTr="00500A03">
        <w:tc>
          <w:tcPr>
            <w:tcW w:w="2835" w:type="dxa"/>
          </w:tcPr>
          <w:p w:rsidR="00750D48" w:rsidRPr="00232B03" w:rsidRDefault="00750D48" w:rsidP="007B5AFB">
            <w:pPr>
              <w:adjustRightInd w:val="0"/>
              <w:spacing w:before="29" w:line="360" w:lineRule="auto"/>
              <w:ind w:left="17"/>
              <w:jc w:val="left"/>
              <w:rPr>
                <w:kern w:val="0"/>
                <w:sz w:val="24"/>
                <w:szCs w:val="24"/>
              </w:rPr>
            </w:pPr>
            <w:r w:rsidRPr="00232B03">
              <w:rPr>
                <w:kern w:val="0"/>
                <w:sz w:val="24"/>
                <w:szCs w:val="24"/>
              </w:rPr>
              <w:t>基金简称</w:t>
            </w:r>
          </w:p>
        </w:tc>
        <w:tc>
          <w:tcPr>
            <w:tcW w:w="5479" w:type="dxa"/>
          </w:tcPr>
          <w:p w:rsidR="00750D48" w:rsidRPr="00232B03" w:rsidRDefault="00750D48" w:rsidP="007B5AFB">
            <w:pPr>
              <w:adjustRightInd w:val="0"/>
              <w:spacing w:before="29" w:line="360" w:lineRule="auto"/>
              <w:ind w:left="17"/>
              <w:jc w:val="left"/>
              <w:rPr>
                <w:color w:val="000000"/>
                <w:kern w:val="0"/>
                <w:sz w:val="24"/>
                <w:szCs w:val="24"/>
              </w:rPr>
            </w:pPr>
            <w:r w:rsidRPr="00232B03">
              <w:rPr>
                <w:color w:val="000000"/>
                <w:kern w:val="0"/>
                <w:sz w:val="24"/>
                <w:szCs w:val="24"/>
              </w:rPr>
              <w:t>易方达</w:t>
            </w:r>
            <w:r w:rsidRPr="00232B03">
              <w:rPr>
                <w:color w:val="000000"/>
                <w:kern w:val="0"/>
                <w:sz w:val="24"/>
                <w:szCs w:val="24"/>
              </w:rPr>
              <w:t>3</w:t>
            </w:r>
            <w:r w:rsidRPr="00232B03">
              <w:rPr>
                <w:color w:val="000000"/>
                <w:kern w:val="0"/>
                <w:sz w:val="24"/>
                <w:szCs w:val="24"/>
              </w:rPr>
              <w:t>年封闭战略配售混合（</w:t>
            </w:r>
            <w:r w:rsidRPr="00232B03">
              <w:rPr>
                <w:color w:val="000000"/>
                <w:kern w:val="0"/>
                <w:sz w:val="24"/>
                <w:szCs w:val="24"/>
              </w:rPr>
              <w:t>LOF</w:t>
            </w:r>
            <w:r w:rsidRPr="00232B03">
              <w:rPr>
                <w:color w:val="000000"/>
                <w:kern w:val="0"/>
                <w:sz w:val="24"/>
                <w:szCs w:val="24"/>
              </w:rPr>
              <w:t>）</w:t>
            </w:r>
          </w:p>
        </w:tc>
      </w:tr>
      <w:tr w:rsidR="00815999" w:rsidRPr="00264E55" w:rsidTr="003328D9">
        <w:tc>
          <w:tcPr>
            <w:tcW w:w="2835" w:type="dxa"/>
            <w:vAlign w:val="center"/>
          </w:tcPr>
          <w:p w:rsidR="00815999" w:rsidRPr="00232B03" w:rsidRDefault="00815999" w:rsidP="00815999">
            <w:pPr>
              <w:adjustRightInd w:val="0"/>
              <w:spacing w:before="29" w:line="360" w:lineRule="auto"/>
              <w:ind w:left="17"/>
              <w:jc w:val="left"/>
              <w:rPr>
                <w:kern w:val="0"/>
                <w:sz w:val="24"/>
                <w:szCs w:val="24"/>
              </w:rPr>
            </w:pPr>
            <w:r w:rsidRPr="00232B03">
              <w:rPr>
                <w:kern w:val="0"/>
                <w:sz w:val="24"/>
                <w:szCs w:val="24"/>
              </w:rPr>
              <w:t>场内简称</w:t>
            </w:r>
          </w:p>
        </w:tc>
        <w:tc>
          <w:tcPr>
            <w:tcW w:w="5479" w:type="dxa"/>
            <w:vAlign w:val="center"/>
          </w:tcPr>
          <w:p w:rsidR="00815999" w:rsidRPr="00232B03" w:rsidRDefault="00815999" w:rsidP="00815999">
            <w:pPr>
              <w:adjustRightInd w:val="0"/>
              <w:spacing w:before="29" w:line="360" w:lineRule="auto"/>
              <w:ind w:left="17"/>
              <w:jc w:val="left"/>
              <w:rPr>
                <w:kern w:val="0"/>
                <w:sz w:val="24"/>
                <w:szCs w:val="24"/>
              </w:rPr>
            </w:pPr>
            <w:r w:rsidRPr="00232B03">
              <w:rPr>
                <w:kern w:val="0"/>
                <w:sz w:val="24"/>
                <w:szCs w:val="24"/>
              </w:rPr>
              <w:t>易基配售</w:t>
            </w:r>
          </w:p>
        </w:tc>
      </w:tr>
      <w:tr w:rsidR="00750D48" w:rsidRPr="00264E55" w:rsidTr="00D94B8D">
        <w:tc>
          <w:tcPr>
            <w:tcW w:w="2835" w:type="dxa"/>
          </w:tcPr>
          <w:p w:rsidR="00750D48" w:rsidRPr="00232B03" w:rsidRDefault="00750D48">
            <w:pPr>
              <w:adjustRightInd w:val="0"/>
              <w:spacing w:before="29" w:line="360" w:lineRule="auto"/>
              <w:ind w:left="17"/>
              <w:jc w:val="left"/>
              <w:rPr>
                <w:kern w:val="0"/>
                <w:sz w:val="24"/>
                <w:szCs w:val="24"/>
              </w:rPr>
            </w:pPr>
            <w:r w:rsidRPr="00232B03">
              <w:rPr>
                <w:kern w:val="0"/>
                <w:sz w:val="24"/>
                <w:szCs w:val="24"/>
              </w:rPr>
              <w:t>基金主代码</w:t>
            </w:r>
          </w:p>
        </w:tc>
        <w:tc>
          <w:tcPr>
            <w:tcW w:w="5479" w:type="dxa"/>
          </w:tcPr>
          <w:p w:rsidR="00750D48" w:rsidRPr="00232B03" w:rsidRDefault="00750D48">
            <w:pPr>
              <w:adjustRightInd w:val="0"/>
              <w:spacing w:before="29" w:line="360" w:lineRule="auto"/>
              <w:ind w:left="17"/>
              <w:jc w:val="left"/>
              <w:rPr>
                <w:color w:val="000000"/>
                <w:kern w:val="0"/>
                <w:sz w:val="24"/>
                <w:szCs w:val="24"/>
              </w:rPr>
            </w:pPr>
            <w:r w:rsidRPr="00232B03">
              <w:rPr>
                <w:color w:val="000000"/>
                <w:kern w:val="0"/>
                <w:sz w:val="24"/>
                <w:szCs w:val="24"/>
              </w:rPr>
              <w:t>161131</w:t>
            </w:r>
          </w:p>
        </w:tc>
      </w:tr>
      <w:tr w:rsidR="00750D48" w:rsidRPr="00264E55" w:rsidTr="00D94B8D">
        <w:tc>
          <w:tcPr>
            <w:tcW w:w="2835" w:type="dxa"/>
          </w:tcPr>
          <w:p w:rsidR="00750D48" w:rsidRPr="00232B03" w:rsidRDefault="00750D48" w:rsidP="00895A8A">
            <w:pPr>
              <w:adjustRightInd w:val="0"/>
              <w:spacing w:before="29" w:line="360" w:lineRule="auto"/>
              <w:ind w:left="17"/>
              <w:jc w:val="left"/>
              <w:rPr>
                <w:kern w:val="0"/>
                <w:sz w:val="24"/>
                <w:szCs w:val="24"/>
              </w:rPr>
            </w:pPr>
            <w:r w:rsidRPr="00232B03">
              <w:rPr>
                <w:kern w:val="0"/>
                <w:sz w:val="24"/>
                <w:szCs w:val="24"/>
              </w:rPr>
              <w:t>交易代码</w:t>
            </w:r>
          </w:p>
        </w:tc>
        <w:tc>
          <w:tcPr>
            <w:tcW w:w="5479" w:type="dxa"/>
          </w:tcPr>
          <w:p w:rsidR="00750D48" w:rsidRPr="00232B03" w:rsidRDefault="00750D48" w:rsidP="00895A8A">
            <w:pPr>
              <w:adjustRightInd w:val="0"/>
              <w:spacing w:before="29" w:line="360" w:lineRule="auto"/>
              <w:ind w:left="17"/>
              <w:jc w:val="left"/>
              <w:rPr>
                <w:color w:val="000000"/>
                <w:kern w:val="0"/>
                <w:sz w:val="24"/>
                <w:szCs w:val="24"/>
              </w:rPr>
            </w:pPr>
            <w:r w:rsidRPr="00232B03">
              <w:rPr>
                <w:kern w:val="0"/>
                <w:sz w:val="24"/>
              </w:rPr>
              <w:t>161131</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基金运作方式</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契约型开放式</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基金合同生效日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2018</w:t>
            </w:r>
            <w:r w:rsidRPr="00232B03">
              <w:rPr>
                <w:color w:val="000000"/>
                <w:kern w:val="0"/>
                <w:sz w:val="24"/>
                <w:szCs w:val="24"/>
              </w:rPr>
              <w:t>年</w:t>
            </w:r>
            <w:r w:rsidRPr="00232B03">
              <w:rPr>
                <w:color w:val="000000"/>
                <w:kern w:val="0"/>
                <w:sz w:val="24"/>
                <w:szCs w:val="24"/>
              </w:rPr>
              <w:t>7</w:t>
            </w:r>
            <w:r w:rsidRPr="00232B03">
              <w:rPr>
                <w:color w:val="000000"/>
                <w:kern w:val="0"/>
                <w:sz w:val="24"/>
                <w:szCs w:val="24"/>
              </w:rPr>
              <w:t>月</w:t>
            </w:r>
            <w:r w:rsidRPr="00232B03">
              <w:rPr>
                <w:color w:val="000000"/>
                <w:kern w:val="0"/>
                <w:sz w:val="24"/>
                <w:szCs w:val="24"/>
              </w:rPr>
              <w:t>5</w:t>
            </w:r>
            <w:r w:rsidRPr="00232B03">
              <w:rPr>
                <w:color w:val="000000"/>
                <w:kern w:val="0"/>
                <w:sz w:val="24"/>
                <w:szCs w:val="24"/>
              </w:rPr>
              <w:t>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报告期末基金份额总额</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24,455,755,153.17</w:t>
            </w:r>
            <w:r w:rsidRPr="00232B03">
              <w:rPr>
                <w:color w:val="000000"/>
                <w:kern w:val="0"/>
                <w:sz w:val="24"/>
                <w:szCs w:val="24"/>
              </w:rPr>
              <w:t>份</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投资目标</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在严格控制风险的前提下，追求超越业绩比较基准的投资回报，力争实现基金资产的长期稳健增值。</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投资策略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本基金在封闭运作期内主要采用战略配售和固定收益两种投资策略。基金将深入分析战略配售股票的投资机会，通过综合分析行业景气度、行业竞争格局、公司基本面、治理状况、估值水平、业务持</w:t>
            </w:r>
            <w:r w:rsidRPr="00232B03">
              <w:rPr>
                <w:color w:val="000000"/>
                <w:kern w:val="0"/>
                <w:sz w:val="24"/>
                <w:szCs w:val="24"/>
              </w:rPr>
              <w:lastRenderedPageBreak/>
              <w:t>续性和盈利确定性等多方面因素，结合市场未来走势等判断，精选战略配售个股，并在锁定期结束后选择适当的时机卖出。在债券投资方面主要通过类属配置与券种选择进行投资管理。类属配置方面，基金结合对宏观经济、市场利率、供求变化等因素的综合分析，定期对投资组合类属资产进行优化配置和调整；在券种选择上，基金以长期利率趋势分析为基础，结合经济变化趋势、货币政策及不同债券品种的收益率水平、流动性和信用风险等因素，实施积极主动的债券投资管理。本基金还将积极关注银行存款、同业存单的投资机会并进行合理配置。</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lastRenderedPageBreak/>
              <w:t>业绩比较基准</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沪深</w:t>
            </w:r>
            <w:r w:rsidRPr="00232B03">
              <w:rPr>
                <w:color w:val="000000"/>
                <w:kern w:val="0"/>
                <w:sz w:val="24"/>
                <w:szCs w:val="24"/>
              </w:rPr>
              <w:t>300</w:t>
            </w:r>
            <w:r w:rsidRPr="00232B03">
              <w:rPr>
                <w:color w:val="000000"/>
                <w:kern w:val="0"/>
                <w:sz w:val="24"/>
                <w:szCs w:val="24"/>
              </w:rPr>
              <w:t>指数收益率</w:t>
            </w:r>
            <w:r w:rsidRPr="00232B03">
              <w:rPr>
                <w:color w:val="000000"/>
                <w:kern w:val="0"/>
                <w:sz w:val="24"/>
                <w:szCs w:val="24"/>
              </w:rPr>
              <w:t>×60%+</w:t>
            </w:r>
            <w:r w:rsidRPr="00232B03">
              <w:rPr>
                <w:color w:val="000000"/>
                <w:kern w:val="0"/>
                <w:sz w:val="24"/>
                <w:szCs w:val="24"/>
              </w:rPr>
              <w:t>中债总指数收益率</w:t>
            </w:r>
            <w:r w:rsidRPr="00232B03">
              <w:rPr>
                <w:color w:val="000000"/>
                <w:kern w:val="0"/>
                <w:sz w:val="24"/>
                <w:szCs w:val="24"/>
              </w:rPr>
              <w:t>×40%</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风险收益特征</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本基金为混合型证券投资基金，其预期风险与预期收益水平低于股票型基金，高于债券型基金和货币市场基金。</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基金管理人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易方达基金管理有限公司</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基金托管人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中国建设银行股份有限公司</w:t>
            </w:r>
          </w:p>
        </w:tc>
      </w:tr>
    </w:tbl>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R="00392044" w:rsidRPr="006506EF" w:rsidRDefault="00392044" w:rsidP="00392044">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552"/>
        <w:gridCol w:w="2410"/>
      </w:tblGrid>
      <w:tr w:rsidR="00392044" w:rsidRPr="006506EF" w:rsidTr="00C3442A">
        <w:tc>
          <w:tcPr>
            <w:tcW w:w="3402" w:type="dxa"/>
            <w:vAlign w:val="center"/>
          </w:tcPr>
          <w:p w:rsidR="00392044" w:rsidRPr="006506EF" w:rsidRDefault="00392044" w:rsidP="00C3442A">
            <w:pPr>
              <w:adjustRightInd w:val="0"/>
              <w:spacing w:before="29" w:line="360" w:lineRule="auto"/>
              <w:ind w:left="17"/>
              <w:jc w:val="center"/>
              <w:rPr>
                <w:kern w:val="0"/>
                <w:sz w:val="24"/>
              </w:rPr>
            </w:pPr>
            <w:r w:rsidRPr="006506EF">
              <w:rPr>
                <w:kern w:val="0"/>
                <w:sz w:val="24"/>
              </w:rPr>
              <w:t>主要财务指标</w:t>
            </w:r>
          </w:p>
        </w:tc>
        <w:tc>
          <w:tcPr>
            <w:tcW w:w="4962" w:type="dxa"/>
            <w:hMerge w:val="restart"/>
            <w:vAlign w:val="center"/>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报告期</w:t>
            </w:r>
          </w:p>
          <w:p w:rsidR="00392044" w:rsidRPr="006506EF" w:rsidRDefault="00392044" w:rsidP="00C3442A">
            <w:pPr>
              <w:adjustRightInd w:val="0"/>
              <w:spacing w:before="29" w:line="360" w:lineRule="auto"/>
              <w:ind w:left="17"/>
              <w:jc w:val="center"/>
              <w:rPr>
                <w:color w:val="000000"/>
                <w:sz w:val="24"/>
              </w:rPr>
            </w:pPr>
            <w:r w:rsidRPr="006506EF">
              <w:rPr>
                <w:color w:val="000000"/>
                <w:sz w:val="24"/>
              </w:rPr>
              <w:t>(2019</w:t>
            </w:r>
            <w:r w:rsidRPr="006506EF">
              <w:rPr>
                <w:color w:val="000000"/>
                <w:sz w:val="24"/>
              </w:rPr>
              <w:t>年</w:t>
            </w:r>
            <w:r w:rsidRPr="006506EF">
              <w:rPr>
                <w:color w:val="000000"/>
                <w:sz w:val="24"/>
              </w:rPr>
              <w:t>10</w:t>
            </w:r>
            <w:r w:rsidRPr="006506EF">
              <w:rPr>
                <w:color w:val="000000"/>
                <w:sz w:val="24"/>
              </w:rPr>
              <w:t>月</w:t>
            </w:r>
            <w:r w:rsidRPr="006506EF">
              <w:rPr>
                <w:color w:val="000000"/>
                <w:sz w:val="24"/>
              </w:rPr>
              <w:t>1</w:t>
            </w:r>
            <w:r w:rsidRPr="006506EF">
              <w:rPr>
                <w:color w:val="000000"/>
                <w:sz w:val="24"/>
              </w:rPr>
              <w:t>日</w:t>
            </w:r>
            <w:r w:rsidRPr="006506EF">
              <w:rPr>
                <w:color w:val="000000"/>
                <w:sz w:val="24"/>
              </w:rPr>
              <w:t>-2019</w:t>
            </w:r>
            <w:r w:rsidRPr="006506EF">
              <w:rPr>
                <w:color w:val="000000"/>
                <w:sz w:val="24"/>
              </w:rPr>
              <w:t>年</w:t>
            </w:r>
            <w:r w:rsidRPr="006506EF">
              <w:rPr>
                <w:color w:val="000000"/>
                <w:sz w:val="24"/>
              </w:rPr>
              <w:t>12</w:t>
            </w:r>
            <w:r w:rsidRPr="006506EF">
              <w:rPr>
                <w:color w:val="000000"/>
                <w:sz w:val="24"/>
              </w:rPr>
              <w:t>月</w:t>
            </w:r>
            <w:r w:rsidRPr="006506EF">
              <w:rPr>
                <w:color w:val="000000"/>
                <w:sz w:val="24"/>
              </w:rPr>
              <w:t>31</w:t>
            </w:r>
            <w:r w:rsidRPr="006506EF">
              <w:rPr>
                <w:color w:val="000000"/>
                <w:sz w:val="24"/>
              </w:rPr>
              <w:t>日</w:t>
            </w:r>
            <w:r w:rsidRPr="006506EF">
              <w:rPr>
                <w:color w:val="000000"/>
                <w:sz w:val="24"/>
              </w:rPr>
              <w:t>)</w:t>
            </w:r>
          </w:p>
        </w:tc>
        <w:tc>
          <w:tcPr>
            <w:tcW w:w="2410" w:type="dxa"/>
            <w:hMerge/>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上期金额</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183,030,713.57</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2.</w:t>
            </w:r>
            <w:r w:rsidRPr="006506EF">
              <w:rPr>
                <w:kern w:val="0"/>
                <w:sz w:val="24"/>
              </w:rPr>
              <w:t>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-136,659,870.24</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-0.0056</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26,653,041,608.99</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rPr>
          <w:trHeight w:val="158"/>
        </w:trPr>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1.0898</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bl>
    <w:p w:rsidR="008A1327" w:rsidRDefault="00580060">
      <w:pPr>
        <w:spacing w:line="360" w:lineRule="auto"/>
        <w:ind w:firstLineChars="200" w:firstLine="480"/>
        <w:rPr>
          <w:color w:val="000000"/>
          <w:sz w:val="24"/>
          <w:szCs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750D48" w:rsidRPr="00232B03" w:rsidRDefault="00392044" w:rsidP="00232B03">
      <w:pPr>
        <w:spacing w:line="360" w:lineRule="auto"/>
        <w:ind w:firstLineChars="200" w:firstLine="480"/>
        <w:rPr>
          <w:color w:val="000000"/>
          <w:sz w:val="24"/>
          <w:szCs w:val="24"/>
        </w:rPr>
      </w:pPr>
      <w:r w:rsidRPr="006506EF">
        <w:rPr>
          <w:color w:val="000000"/>
          <w:sz w:val="24"/>
        </w:rPr>
        <w:t>2.</w:t>
      </w:r>
      <w:r w:rsidRPr="006506EF">
        <w:rPr>
          <w:color w:val="000000"/>
          <w:sz w:val="24"/>
        </w:rPr>
        <w:t>本期已实现收益指基金本期利息收入、投资收益、其他收入（不含公允价值变动收益）扣除相关费用后的余额，本期利润为本期已实现收益加上本期公允价值变动收益。</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R="00750D48" w:rsidRPr="00264E55" w:rsidRDefault="00750D48" w:rsidP="009E7C6A">
      <w:pPr>
        <w:autoSpaceDE w:val="0"/>
        <w:autoSpaceDN w:val="0"/>
        <w:adjustRightInd w:val="0"/>
        <w:spacing w:line="360" w:lineRule="auto"/>
        <w:jc w:val="left"/>
        <w:rPr>
          <w:rFonts w:ascii="宋体" w:cs="宋体"/>
          <w:b/>
          <w:bCs/>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b/>
            <w:bCs/>
            <w:color w:val="000000"/>
            <w:kern w:val="0"/>
            <w:sz w:val="24"/>
            <w:szCs w:val="24"/>
          </w:rPr>
          <w:t>3.2.1</w:t>
        </w:r>
      </w:smartTag>
      <w:r w:rsidRPr="00264E55">
        <w:rPr>
          <w:rFonts w:ascii="宋体" w:hAnsi="宋体" w:cs="宋体" w:hint="eastAsia"/>
          <w:b/>
          <w:bCs/>
          <w:color w:val="000000"/>
          <w:kern w:val="0"/>
          <w:sz w:val="24"/>
          <w:szCs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5"/>
        <w:gridCol w:w="1092"/>
        <w:gridCol w:w="1161"/>
        <w:gridCol w:w="1181"/>
        <w:gridCol w:w="1188"/>
        <w:gridCol w:w="1199"/>
        <w:gridCol w:w="1204"/>
      </w:tblGrid>
      <w:tr w:rsidR="00750D48" w:rsidRPr="00264E55" w:rsidTr="00B05049">
        <w:tc>
          <w:tcPr>
            <w:tcW w:w="1395"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p>
        </w:tc>
        <w:tc>
          <w:tcPr>
            <w:tcW w:w="1092"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hAnsi="宋体" w:cs="宋体" w:hint="eastAsia"/>
                <w:color w:val="000000"/>
                <w:kern w:val="0"/>
                <w:sz w:val="24"/>
                <w:szCs w:val="24"/>
              </w:rPr>
              <w:t>①</w:t>
            </w:r>
          </w:p>
        </w:tc>
        <w:tc>
          <w:tcPr>
            <w:tcW w:w="116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hAnsi="宋体" w:cs="宋体" w:hint="eastAsia"/>
                <w:color w:val="000000"/>
                <w:kern w:val="0"/>
                <w:sz w:val="24"/>
                <w:szCs w:val="24"/>
              </w:rPr>
              <w:t>②</w:t>
            </w:r>
          </w:p>
        </w:tc>
        <w:tc>
          <w:tcPr>
            <w:tcW w:w="118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hAnsi="宋体" w:cs="宋体" w:hint="eastAsia"/>
                <w:color w:val="000000"/>
                <w:kern w:val="0"/>
                <w:sz w:val="24"/>
                <w:szCs w:val="24"/>
              </w:rPr>
              <w:t>③</w:t>
            </w:r>
          </w:p>
        </w:tc>
        <w:tc>
          <w:tcPr>
            <w:tcW w:w="1188"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业绩比较基准收益率标准差</w:t>
            </w:r>
            <w:r w:rsidRPr="00232B03">
              <w:rPr>
                <w:rFonts w:ascii="宋体" w:hAnsi="宋体" w:cs="宋体" w:hint="eastAsia"/>
                <w:color w:val="000000"/>
                <w:kern w:val="0"/>
                <w:sz w:val="24"/>
                <w:szCs w:val="24"/>
              </w:rPr>
              <w:t>④</w:t>
            </w:r>
          </w:p>
        </w:tc>
        <w:tc>
          <w:tcPr>
            <w:tcW w:w="1199"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①</w:t>
            </w:r>
            <w:r w:rsidRPr="00232B03">
              <w:rPr>
                <w:color w:val="000000"/>
                <w:kern w:val="0"/>
                <w:sz w:val="24"/>
                <w:szCs w:val="24"/>
              </w:rPr>
              <w:t>-</w:t>
            </w:r>
            <w:r w:rsidRPr="00232B03">
              <w:rPr>
                <w:rFonts w:ascii="宋体" w:hAnsi="宋体" w:cs="宋体" w:hint="eastAsia"/>
                <w:color w:val="000000"/>
                <w:kern w:val="0"/>
                <w:sz w:val="24"/>
                <w:szCs w:val="24"/>
              </w:rPr>
              <w:t>③</w:t>
            </w:r>
          </w:p>
        </w:tc>
        <w:tc>
          <w:tcPr>
            <w:tcW w:w="1204"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②</w:t>
            </w:r>
            <w:r w:rsidRPr="00232B03">
              <w:rPr>
                <w:color w:val="000000"/>
                <w:kern w:val="0"/>
                <w:sz w:val="24"/>
                <w:szCs w:val="24"/>
              </w:rPr>
              <w:t>-</w:t>
            </w:r>
            <w:r w:rsidRPr="00232B03">
              <w:rPr>
                <w:rFonts w:ascii="宋体" w:hAnsi="宋体" w:cs="宋体" w:hint="eastAsia"/>
                <w:color w:val="000000"/>
                <w:kern w:val="0"/>
                <w:sz w:val="24"/>
                <w:szCs w:val="24"/>
              </w:rPr>
              <w:t>④</w:t>
            </w:r>
          </w:p>
        </w:tc>
      </w:tr>
      <w:tr w:rsidR="008A1327">
        <w:tc>
          <w:tcPr>
            <w:tcW w:w="0" w:type="auto"/>
            <w:vAlign w:val="center"/>
          </w:tcPr>
          <w:p w:rsidR="008A1327" w:rsidRDefault="00580060">
            <w:pPr>
              <w:jc w:val="left"/>
            </w:pPr>
            <w:r>
              <w:rPr>
                <w:color w:val="000000"/>
                <w:kern w:val="0"/>
                <w:sz w:val="24"/>
                <w:szCs w:val="24"/>
              </w:rPr>
              <w:t>过去三个月</w:t>
            </w:r>
          </w:p>
        </w:tc>
        <w:tc>
          <w:tcPr>
            <w:tcW w:w="0" w:type="auto"/>
            <w:vAlign w:val="center"/>
          </w:tcPr>
          <w:p w:rsidR="008A1327" w:rsidRDefault="00580060">
            <w:pPr>
              <w:jc w:val="center"/>
            </w:pPr>
            <w:r>
              <w:rPr>
                <w:color w:val="000000"/>
                <w:kern w:val="0"/>
                <w:sz w:val="24"/>
                <w:szCs w:val="24"/>
              </w:rPr>
              <w:t>-0.51%</w:t>
            </w:r>
          </w:p>
        </w:tc>
        <w:tc>
          <w:tcPr>
            <w:tcW w:w="0" w:type="auto"/>
            <w:vAlign w:val="center"/>
          </w:tcPr>
          <w:p w:rsidR="008A1327" w:rsidRDefault="00580060">
            <w:pPr>
              <w:jc w:val="center"/>
            </w:pPr>
            <w:r>
              <w:rPr>
                <w:color w:val="000000"/>
                <w:kern w:val="0"/>
                <w:sz w:val="24"/>
                <w:szCs w:val="24"/>
              </w:rPr>
              <w:t>0.16%</w:t>
            </w:r>
          </w:p>
        </w:tc>
        <w:tc>
          <w:tcPr>
            <w:tcW w:w="0" w:type="auto"/>
            <w:vAlign w:val="center"/>
          </w:tcPr>
          <w:p w:rsidR="008A1327" w:rsidRDefault="00580060">
            <w:pPr>
              <w:jc w:val="center"/>
            </w:pPr>
            <w:r>
              <w:rPr>
                <w:color w:val="000000"/>
                <w:kern w:val="0"/>
                <w:sz w:val="24"/>
                <w:szCs w:val="24"/>
              </w:rPr>
              <w:t>4.78%</w:t>
            </w:r>
          </w:p>
        </w:tc>
        <w:tc>
          <w:tcPr>
            <w:tcW w:w="0" w:type="auto"/>
            <w:vAlign w:val="center"/>
          </w:tcPr>
          <w:p w:rsidR="008A1327" w:rsidRDefault="00580060">
            <w:pPr>
              <w:jc w:val="center"/>
            </w:pPr>
            <w:r>
              <w:rPr>
                <w:color w:val="000000"/>
                <w:kern w:val="0"/>
                <w:sz w:val="24"/>
                <w:szCs w:val="24"/>
              </w:rPr>
              <w:t>0.44%</w:t>
            </w:r>
          </w:p>
        </w:tc>
        <w:tc>
          <w:tcPr>
            <w:tcW w:w="0" w:type="auto"/>
            <w:vAlign w:val="center"/>
          </w:tcPr>
          <w:p w:rsidR="008A1327" w:rsidRDefault="00580060">
            <w:pPr>
              <w:jc w:val="center"/>
            </w:pPr>
            <w:r>
              <w:rPr>
                <w:color w:val="000000"/>
                <w:kern w:val="0"/>
                <w:sz w:val="24"/>
                <w:szCs w:val="24"/>
              </w:rPr>
              <w:t>-5.29%</w:t>
            </w:r>
          </w:p>
        </w:tc>
        <w:tc>
          <w:tcPr>
            <w:tcW w:w="0" w:type="auto"/>
            <w:vAlign w:val="center"/>
          </w:tcPr>
          <w:p w:rsidR="008A1327" w:rsidRDefault="00580060">
            <w:pPr>
              <w:jc w:val="center"/>
            </w:pPr>
            <w:r>
              <w:rPr>
                <w:color w:val="000000"/>
                <w:kern w:val="0"/>
                <w:sz w:val="24"/>
                <w:szCs w:val="24"/>
              </w:rPr>
              <w:t>-0.28%</w:t>
            </w:r>
          </w:p>
        </w:tc>
      </w:tr>
    </w:tbl>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b/>
            <w:bCs/>
            <w:color w:val="000000"/>
            <w:kern w:val="0"/>
            <w:sz w:val="24"/>
            <w:szCs w:val="24"/>
          </w:rPr>
          <w:t>3.2.2</w:t>
        </w:r>
        <w:r w:rsidR="00D87469" w:rsidRPr="00370BEA">
          <w:rPr>
            <w:rStyle w:val="afb"/>
            <w:rFonts w:hint="eastAsia"/>
            <w:color w:val="000000"/>
            <w:sz w:val="24"/>
            <w:shd w:val="clear" w:color="auto" w:fill="FFFFFF"/>
          </w:rPr>
          <w:t>自基金合同生效以来</w:t>
        </w:r>
      </w:smartTag>
      <w:r w:rsidRPr="00264E55">
        <w:rPr>
          <w:rFonts w:ascii="宋体" w:hAnsi="宋体" w:hint="eastAsia"/>
          <w:b/>
          <w:bCs/>
          <w:color w:val="000000"/>
          <w:kern w:val="0"/>
          <w:sz w:val="24"/>
          <w:szCs w:val="24"/>
        </w:rPr>
        <w:t>基金累计净值增长率变动及其与同期业绩比较基准收益率变动的比较</w:t>
      </w:r>
    </w:p>
    <w:p w:rsidR="00750D48" w:rsidRPr="0074694E" w:rsidRDefault="00750D48" w:rsidP="009E7C6A">
      <w:pPr>
        <w:spacing w:line="360" w:lineRule="auto"/>
        <w:jc w:val="center"/>
        <w:rPr>
          <w:color w:val="000000"/>
          <w:sz w:val="24"/>
          <w:szCs w:val="24"/>
        </w:rPr>
      </w:pPr>
      <w:r w:rsidRPr="0074694E">
        <w:rPr>
          <w:color w:val="000000"/>
          <w:sz w:val="24"/>
          <w:szCs w:val="24"/>
        </w:rPr>
        <w:t>易方达</w:t>
      </w:r>
      <w:r w:rsidRPr="0074694E">
        <w:rPr>
          <w:color w:val="000000"/>
          <w:sz w:val="24"/>
          <w:szCs w:val="24"/>
        </w:rPr>
        <w:t>3</w:t>
      </w:r>
      <w:r w:rsidRPr="0074694E">
        <w:rPr>
          <w:color w:val="000000"/>
          <w:sz w:val="24"/>
          <w:szCs w:val="24"/>
        </w:rPr>
        <w:t>年封闭运作战略配售灵活配置混合型证券投资基金（</w:t>
      </w:r>
      <w:r w:rsidRPr="0074694E">
        <w:rPr>
          <w:color w:val="000000"/>
          <w:sz w:val="24"/>
          <w:szCs w:val="24"/>
        </w:rPr>
        <w:t>LOF</w:t>
      </w:r>
      <w:r w:rsidRPr="0074694E">
        <w:rPr>
          <w:color w:val="000000"/>
          <w:sz w:val="24"/>
          <w:szCs w:val="24"/>
        </w:rPr>
        <w:t>）</w:t>
      </w:r>
    </w:p>
    <w:p w:rsidR="00750D48" w:rsidRPr="0074694E" w:rsidRDefault="00750D48" w:rsidP="009E7C6A">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R="00750D48" w:rsidRPr="0074694E" w:rsidRDefault="005F7917" w:rsidP="009E7C6A">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2018</w:t>
      </w:r>
      <w:r w:rsidRPr="0074694E">
        <w:rPr>
          <w:rFonts w:ascii="Times New Roman" w:hAnsi="Times New Roman"/>
          <w:sz w:val="24"/>
          <w:szCs w:val="24"/>
        </w:rPr>
        <w:t>年</w:t>
      </w:r>
      <w:r w:rsidRPr="0074694E">
        <w:rPr>
          <w:rFonts w:ascii="Times New Roman" w:hAnsi="Times New Roman"/>
          <w:sz w:val="24"/>
          <w:szCs w:val="24"/>
        </w:rPr>
        <w:t>7</w:t>
      </w:r>
      <w:r w:rsidRPr="0074694E">
        <w:rPr>
          <w:rFonts w:ascii="Times New Roman" w:hAnsi="Times New Roman"/>
          <w:sz w:val="24"/>
          <w:szCs w:val="24"/>
        </w:rPr>
        <w:t>月</w:t>
      </w:r>
      <w:r w:rsidRPr="0074694E">
        <w:rPr>
          <w:rFonts w:ascii="Times New Roman" w:hAnsi="Times New Roman"/>
          <w:sz w:val="24"/>
          <w:szCs w:val="24"/>
        </w:rPr>
        <w:t>5</w:t>
      </w:r>
      <w:r w:rsidRPr="0074694E">
        <w:rPr>
          <w:rFonts w:ascii="Times New Roman" w:hAnsi="Times New Roman"/>
          <w:sz w:val="24"/>
          <w:szCs w:val="24"/>
        </w:rPr>
        <w:t>日至</w:t>
      </w:r>
      <w:r w:rsidRPr="0074694E">
        <w:rPr>
          <w:rFonts w:ascii="Times New Roman" w:hAnsi="Times New Roman"/>
          <w:sz w:val="24"/>
          <w:szCs w:val="24"/>
        </w:rPr>
        <w:t>2019</w:t>
      </w:r>
      <w:r w:rsidRPr="0074694E">
        <w:rPr>
          <w:rFonts w:ascii="Times New Roman" w:hAnsi="Times New Roman"/>
          <w:sz w:val="24"/>
          <w:szCs w:val="24"/>
        </w:rPr>
        <w:t>年</w:t>
      </w:r>
      <w:r w:rsidRPr="0074694E">
        <w:rPr>
          <w:rFonts w:ascii="Times New Roman" w:hAnsi="Times New Roman"/>
          <w:sz w:val="24"/>
          <w:szCs w:val="24"/>
        </w:rPr>
        <w:t>12</w:t>
      </w:r>
      <w:r w:rsidRPr="0074694E">
        <w:rPr>
          <w:rFonts w:ascii="Times New Roman" w:hAnsi="Times New Roman"/>
          <w:sz w:val="24"/>
          <w:szCs w:val="24"/>
        </w:rPr>
        <w:t>月</w:t>
      </w:r>
      <w:r w:rsidRPr="0074694E">
        <w:rPr>
          <w:rFonts w:ascii="Times New Roman" w:hAnsi="Times New Roman"/>
          <w:sz w:val="24"/>
          <w:szCs w:val="24"/>
        </w:rPr>
        <w:t>31</w:t>
      </w:r>
      <w:r w:rsidRPr="0074694E">
        <w:rPr>
          <w:rFonts w:ascii="Times New Roman" w:hAnsi="Times New Roman"/>
          <w:sz w:val="24"/>
          <w:szCs w:val="24"/>
        </w:rPr>
        <w:t>日）</w:t>
      </w:r>
    </w:p>
    <w:p w:rsidR="00750D48" w:rsidRPr="00264E55" w:rsidRDefault="00580060" w:rsidP="004061AC">
      <w:pPr>
        <w:pStyle w:val="a5"/>
        <w:snapToGrid w:val="0"/>
        <w:spacing w:before="120" w:line="360" w:lineRule="auto"/>
        <w:jc w:val="center"/>
        <w:rPr>
          <w:rFonts w:hAnsi="宋体"/>
          <w:color w:val="000000"/>
          <w:sz w:val="24"/>
          <w:szCs w:val="24"/>
        </w:rPr>
      </w:pPr>
      <w:r>
        <w:rPr>
          <w:rFonts w:hAnsi="宋体"/>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2.5pt;height:241.5pt;visibility:visible">
            <v:imagedata r:id="rId10" o:title=""/>
          </v:shape>
        </w:pict>
      </w:r>
    </w:p>
    <w:p w:rsidR="008A1327" w:rsidRDefault="00580060">
      <w:pPr>
        <w:spacing w:line="360" w:lineRule="auto"/>
        <w:ind w:firstLineChars="200" w:firstLine="480"/>
        <w:rPr>
          <w:color w:val="000000"/>
          <w:sz w:val="24"/>
          <w:szCs w:val="24"/>
        </w:rPr>
      </w:pPr>
      <w:r>
        <w:rPr>
          <w:color w:val="000000"/>
          <w:sz w:val="24"/>
          <w:szCs w:val="24"/>
        </w:rPr>
        <w:t>注：</w:t>
      </w:r>
      <w:r>
        <w:rPr>
          <w:color w:val="000000"/>
          <w:sz w:val="24"/>
          <w:szCs w:val="24"/>
        </w:rPr>
        <w:t>1.</w:t>
      </w:r>
      <w:r>
        <w:rPr>
          <w:color w:val="000000"/>
          <w:sz w:val="24"/>
          <w:szCs w:val="24"/>
        </w:rPr>
        <w:t>按基金合同和招募说明书的约定，本基金的建仓期为六个月，建仓期结束时各项资产配置比例符合基金合同（第十三部分二、投资范围，三、投资策略和四、投资限制）的有关约定。</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2.</w:t>
      </w:r>
      <w:r w:rsidRPr="006C56AA">
        <w:rPr>
          <w:color w:val="000000"/>
          <w:sz w:val="24"/>
          <w:szCs w:val="24"/>
        </w:rPr>
        <w:t>自基金合同生效至报告期末，基金份额净值增长率为</w:t>
      </w:r>
      <w:r w:rsidRPr="006C56AA">
        <w:rPr>
          <w:color w:val="000000"/>
          <w:sz w:val="24"/>
          <w:szCs w:val="24"/>
        </w:rPr>
        <w:t>8.98%</w:t>
      </w:r>
      <w:r w:rsidRPr="006C56AA">
        <w:rPr>
          <w:color w:val="000000"/>
          <w:sz w:val="24"/>
          <w:szCs w:val="24"/>
        </w:rPr>
        <w:t>，同期业绩比较基准收益率为</w:t>
      </w:r>
      <w:r w:rsidRPr="006C56AA">
        <w:rPr>
          <w:color w:val="000000"/>
          <w:sz w:val="24"/>
          <w:szCs w:val="24"/>
        </w:rPr>
        <w:t>14.69%</w:t>
      </w:r>
      <w:r w:rsidRPr="006C56AA">
        <w:rPr>
          <w:color w:val="000000"/>
          <w:sz w:val="24"/>
          <w:szCs w:val="24"/>
        </w:rPr>
        <w:t>。</w:t>
      </w:r>
    </w:p>
    <w:p w:rsidR="00750D48" w:rsidRPr="00232B03" w:rsidRDefault="00750D48" w:rsidP="00693843">
      <w:pPr>
        <w:tabs>
          <w:tab w:val="left" w:pos="1800"/>
        </w:tabs>
        <w:spacing w:line="288" w:lineRule="auto"/>
        <w:rPr>
          <w:color w:val="000000"/>
          <w:sz w:val="24"/>
          <w:szCs w:val="24"/>
        </w:rPr>
      </w:pP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R="004D28A3" w:rsidRPr="0078105B" w:rsidRDefault="00750D48" w:rsidP="004D28A3">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4D28A3" w:rsidRPr="0078105B" w:rsidTr="003328D9">
        <w:trPr>
          <w:cantSplit/>
        </w:trPr>
        <w:tc>
          <w:tcPr>
            <w:tcW w:w="56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w="56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835" w:type="dxa"/>
            <w:vMerge/>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851"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97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r>
      <w:tr w:rsidR="008A1327">
        <w:tc>
          <w:tcPr>
            <w:tcW w:w="0" w:type="auto"/>
            <w:vAlign w:val="center"/>
          </w:tcPr>
          <w:p w:rsidR="008A1327" w:rsidRDefault="00580060">
            <w:pPr>
              <w:jc w:val="center"/>
            </w:pPr>
            <w:r>
              <w:rPr>
                <w:color w:val="000000"/>
                <w:sz w:val="24"/>
              </w:rPr>
              <w:t>付浩</w:t>
            </w:r>
          </w:p>
        </w:tc>
        <w:tc>
          <w:tcPr>
            <w:tcW w:w="0" w:type="auto"/>
            <w:vAlign w:val="center"/>
          </w:tcPr>
          <w:p w:rsidR="008A1327" w:rsidRDefault="00580060">
            <w:pPr>
              <w:jc w:val="center"/>
            </w:pPr>
            <w:r>
              <w:rPr>
                <w:color w:val="000000"/>
                <w:sz w:val="24"/>
              </w:rPr>
              <w:t>本基金的基金经理、易方达科汇灵活配置混合型证券投资基金的基金经理（自</w:t>
            </w:r>
            <w:r>
              <w:rPr>
                <w:color w:val="000000"/>
                <w:sz w:val="24"/>
              </w:rPr>
              <w:t>2018</w:t>
            </w:r>
            <w:r>
              <w:rPr>
                <w:color w:val="000000"/>
                <w:sz w:val="24"/>
              </w:rPr>
              <w:t>年</w:t>
            </w:r>
            <w:r>
              <w:rPr>
                <w:color w:val="000000"/>
                <w:sz w:val="24"/>
              </w:rPr>
              <w:t>08</w:t>
            </w:r>
            <w:r>
              <w:rPr>
                <w:color w:val="000000"/>
                <w:sz w:val="24"/>
              </w:rPr>
              <w:t>月</w:t>
            </w:r>
            <w:r>
              <w:rPr>
                <w:color w:val="000000"/>
                <w:sz w:val="24"/>
              </w:rPr>
              <w:t>04</w:t>
            </w:r>
            <w:r>
              <w:rPr>
                <w:color w:val="000000"/>
                <w:sz w:val="24"/>
              </w:rPr>
              <w:t>日至</w:t>
            </w:r>
            <w:r>
              <w:rPr>
                <w:color w:val="000000"/>
                <w:sz w:val="24"/>
              </w:rPr>
              <w:t>2019</w:t>
            </w:r>
            <w:r>
              <w:rPr>
                <w:color w:val="000000"/>
                <w:sz w:val="24"/>
              </w:rPr>
              <w:t>年</w:t>
            </w:r>
            <w:r>
              <w:rPr>
                <w:color w:val="000000"/>
                <w:sz w:val="24"/>
              </w:rPr>
              <w:t>11</w:t>
            </w:r>
            <w:r>
              <w:rPr>
                <w:color w:val="000000"/>
                <w:sz w:val="24"/>
              </w:rPr>
              <w:t>月</w:t>
            </w:r>
            <w:r>
              <w:rPr>
                <w:color w:val="000000"/>
                <w:sz w:val="24"/>
              </w:rPr>
              <w:t>27</w:t>
            </w:r>
            <w:r>
              <w:rPr>
                <w:color w:val="000000"/>
                <w:sz w:val="24"/>
              </w:rPr>
              <w:t>日）、权益投资管理部总经理、投资经理</w:t>
            </w:r>
          </w:p>
        </w:tc>
        <w:tc>
          <w:tcPr>
            <w:tcW w:w="0" w:type="auto"/>
            <w:vAlign w:val="center"/>
          </w:tcPr>
          <w:p w:rsidR="008A1327" w:rsidRDefault="00580060">
            <w:pPr>
              <w:jc w:val="center"/>
            </w:pPr>
            <w:r>
              <w:rPr>
                <w:color w:val="000000"/>
                <w:sz w:val="24"/>
              </w:rPr>
              <w:t>2018-07-05</w:t>
            </w:r>
          </w:p>
        </w:tc>
        <w:tc>
          <w:tcPr>
            <w:tcW w:w="0" w:type="auto"/>
            <w:vAlign w:val="center"/>
          </w:tcPr>
          <w:p w:rsidR="008A1327" w:rsidRDefault="00580060">
            <w:pPr>
              <w:jc w:val="center"/>
            </w:pPr>
            <w:r>
              <w:rPr>
                <w:color w:val="000000"/>
                <w:sz w:val="24"/>
              </w:rPr>
              <w:t>-</w:t>
            </w:r>
          </w:p>
        </w:tc>
        <w:tc>
          <w:tcPr>
            <w:tcW w:w="0" w:type="auto"/>
            <w:vAlign w:val="center"/>
          </w:tcPr>
          <w:p w:rsidR="008A1327" w:rsidRDefault="00580060">
            <w:pPr>
              <w:jc w:val="center"/>
            </w:pPr>
            <w:r>
              <w:rPr>
                <w:color w:val="000000"/>
                <w:sz w:val="24"/>
              </w:rPr>
              <w:t>22</w:t>
            </w:r>
            <w:r>
              <w:rPr>
                <w:color w:val="000000"/>
                <w:sz w:val="24"/>
              </w:rPr>
              <w:t>年</w:t>
            </w:r>
          </w:p>
        </w:tc>
        <w:tc>
          <w:tcPr>
            <w:tcW w:w="0" w:type="auto"/>
            <w:vAlign w:val="center"/>
          </w:tcPr>
          <w:p w:rsidR="008A1327" w:rsidRDefault="00580060">
            <w:r>
              <w:rPr>
                <w:color w:val="000000"/>
                <w:sz w:val="24"/>
              </w:rPr>
              <w:t>硕士研究生，具有基金从业资格。曾任广东粤财信托投资有限公司国际金融部职员，深圳和君创业研究咨询有限公司管理咨询项目经理，湖南证券投资银行总部项目经理，融通基金管理有限公司研究策划部研究员，易方达基金管理有限公司权益投资总部副总经理、养老金与专户权益投资部副总经理、公募基金投资部总经理、基金经理助理、易方达策略成长证券投资基金基金经理、科瑞证券投资基金基金经理、易方达科翔股票型证券投资基金基金经理。</w:t>
            </w:r>
          </w:p>
        </w:tc>
      </w:tr>
      <w:tr w:rsidR="008A1327">
        <w:tc>
          <w:tcPr>
            <w:tcW w:w="0" w:type="auto"/>
            <w:vAlign w:val="center"/>
          </w:tcPr>
          <w:p w:rsidR="008A1327" w:rsidRDefault="00580060">
            <w:pPr>
              <w:jc w:val="center"/>
            </w:pPr>
            <w:r>
              <w:rPr>
                <w:color w:val="000000"/>
                <w:sz w:val="24"/>
              </w:rPr>
              <w:t>纪玲云</w:t>
            </w:r>
          </w:p>
        </w:tc>
        <w:tc>
          <w:tcPr>
            <w:tcW w:w="0" w:type="auto"/>
            <w:vAlign w:val="center"/>
          </w:tcPr>
          <w:p w:rsidR="008A1327" w:rsidRDefault="00580060">
            <w:pPr>
              <w:jc w:val="center"/>
            </w:pPr>
            <w:r>
              <w:rPr>
                <w:color w:val="000000"/>
                <w:sz w:val="24"/>
              </w:rPr>
              <w:t>本基金的基金经理、易方达信用债债券型证券投资基金的基金经理、易方达瑞财灵活配置混合型证券投资基金的基金经理、易方达恒盛</w:t>
            </w:r>
            <w:r>
              <w:rPr>
                <w:color w:val="000000"/>
                <w:sz w:val="24"/>
              </w:rPr>
              <w:t>3</w:t>
            </w:r>
            <w:r>
              <w:rPr>
                <w:color w:val="000000"/>
                <w:sz w:val="24"/>
              </w:rPr>
              <w:t>个月定期开放混合型发起式证券投资基金的基金经理、易方达恒利</w:t>
            </w:r>
            <w:r>
              <w:rPr>
                <w:color w:val="000000"/>
                <w:sz w:val="24"/>
              </w:rPr>
              <w:t>3</w:t>
            </w:r>
            <w:r>
              <w:rPr>
                <w:color w:val="000000"/>
                <w:sz w:val="24"/>
              </w:rPr>
              <w:t>个月定期开放债券型发起式证券投资基金的基金经理、易方达丰惠混合型证券投资基金的基金经理助理、易方达稳健收益债券型证券投资基金的基金经理助理、固定收益研究部总经理助理、投资经理</w:t>
            </w:r>
          </w:p>
        </w:tc>
        <w:tc>
          <w:tcPr>
            <w:tcW w:w="0" w:type="auto"/>
            <w:vAlign w:val="center"/>
          </w:tcPr>
          <w:p w:rsidR="008A1327" w:rsidRDefault="00580060">
            <w:pPr>
              <w:jc w:val="center"/>
            </w:pPr>
            <w:r>
              <w:rPr>
                <w:color w:val="000000"/>
                <w:sz w:val="24"/>
              </w:rPr>
              <w:t>2018-07-05</w:t>
            </w:r>
          </w:p>
        </w:tc>
        <w:tc>
          <w:tcPr>
            <w:tcW w:w="0" w:type="auto"/>
            <w:vAlign w:val="center"/>
          </w:tcPr>
          <w:p w:rsidR="008A1327" w:rsidRDefault="00580060">
            <w:pPr>
              <w:jc w:val="center"/>
            </w:pPr>
            <w:r>
              <w:rPr>
                <w:color w:val="000000"/>
                <w:sz w:val="24"/>
              </w:rPr>
              <w:t>-</w:t>
            </w:r>
          </w:p>
        </w:tc>
        <w:tc>
          <w:tcPr>
            <w:tcW w:w="0" w:type="auto"/>
            <w:vAlign w:val="center"/>
          </w:tcPr>
          <w:p w:rsidR="008A1327" w:rsidRDefault="00580060">
            <w:pPr>
              <w:jc w:val="center"/>
            </w:pPr>
            <w:r>
              <w:rPr>
                <w:color w:val="000000"/>
                <w:sz w:val="24"/>
              </w:rPr>
              <w:t>10</w:t>
            </w:r>
            <w:r>
              <w:rPr>
                <w:color w:val="000000"/>
                <w:sz w:val="24"/>
              </w:rPr>
              <w:t>年</w:t>
            </w:r>
          </w:p>
        </w:tc>
        <w:tc>
          <w:tcPr>
            <w:tcW w:w="0" w:type="auto"/>
            <w:vAlign w:val="center"/>
          </w:tcPr>
          <w:p w:rsidR="008A1327" w:rsidRDefault="00580060">
            <w:r>
              <w:rPr>
                <w:color w:val="000000"/>
                <w:sz w:val="24"/>
              </w:rPr>
              <w:t>硕士研究生，具有基金从业资格。曾任易方达基金管理有限公司固定收益研究员、投资经理助理兼固定收益研究员。</w:t>
            </w:r>
          </w:p>
        </w:tc>
      </w:tr>
      <w:tr w:rsidR="008A1327">
        <w:tc>
          <w:tcPr>
            <w:tcW w:w="0" w:type="auto"/>
            <w:vAlign w:val="center"/>
          </w:tcPr>
          <w:p w:rsidR="008A1327" w:rsidRDefault="00580060">
            <w:pPr>
              <w:jc w:val="center"/>
            </w:pPr>
            <w:r>
              <w:rPr>
                <w:color w:val="000000"/>
                <w:sz w:val="24"/>
              </w:rPr>
              <w:t>胡剑</w:t>
            </w:r>
          </w:p>
        </w:tc>
        <w:tc>
          <w:tcPr>
            <w:tcW w:w="0" w:type="auto"/>
            <w:vAlign w:val="center"/>
          </w:tcPr>
          <w:p w:rsidR="008A1327" w:rsidRDefault="00580060">
            <w:pPr>
              <w:jc w:val="center"/>
            </w:pPr>
            <w:r>
              <w:rPr>
                <w:color w:val="000000"/>
                <w:sz w:val="24"/>
              </w:rPr>
              <w:t>本基金的基金经理、易方达裕惠回报定期开放式混合型发起式证券投资基金的基金经理、易方达信用债债券型证券投资基金的基金经理、易方达稳健收益债券型证券投资基金的基金经理、易方达岁丰添利债券型证券投资基金的基金经理、易方达瑞祺灵活配置混合型证券投资基金的基金经理（自</w:t>
            </w:r>
            <w:r>
              <w:rPr>
                <w:color w:val="000000"/>
                <w:sz w:val="24"/>
              </w:rPr>
              <w:t>2018</w:t>
            </w:r>
            <w:r>
              <w:rPr>
                <w:color w:val="000000"/>
                <w:sz w:val="24"/>
              </w:rPr>
              <w:t>年</w:t>
            </w:r>
            <w:r>
              <w:rPr>
                <w:color w:val="000000"/>
                <w:sz w:val="24"/>
              </w:rPr>
              <w:t>01</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16</w:t>
            </w:r>
            <w:r>
              <w:rPr>
                <w:color w:val="000000"/>
                <w:sz w:val="24"/>
              </w:rPr>
              <w:t>日）、易方达瑞富灵活配置混合型证券投资基金的基金经理、易方达瑞财灵活配置混合型证券投资基金的基金经理（自</w:t>
            </w:r>
            <w:r>
              <w:rPr>
                <w:color w:val="000000"/>
                <w:sz w:val="24"/>
              </w:rPr>
              <w:t>2016</w:t>
            </w:r>
            <w:r>
              <w:rPr>
                <w:color w:val="000000"/>
                <w:sz w:val="24"/>
              </w:rPr>
              <w:t>年</w:t>
            </w:r>
            <w:r>
              <w:rPr>
                <w:color w:val="000000"/>
                <w:sz w:val="24"/>
              </w:rPr>
              <w:t>02</w:t>
            </w:r>
            <w:r>
              <w:rPr>
                <w:color w:val="000000"/>
                <w:sz w:val="24"/>
              </w:rPr>
              <w:t>月</w:t>
            </w:r>
            <w:r>
              <w:rPr>
                <w:color w:val="000000"/>
                <w:sz w:val="24"/>
              </w:rPr>
              <w:t>04</w:t>
            </w:r>
            <w:r>
              <w:rPr>
                <w:color w:val="000000"/>
                <w:sz w:val="24"/>
              </w:rPr>
              <w:t>日至</w:t>
            </w:r>
            <w:r>
              <w:rPr>
                <w:color w:val="000000"/>
                <w:sz w:val="24"/>
              </w:rPr>
              <w:t>2019</w:t>
            </w:r>
            <w:r>
              <w:rPr>
                <w:color w:val="000000"/>
                <w:sz w:val="24"/>
              </w:rPr>
              <w:t>年</w:t>
            </w:r>
            <w:r>
              <w:rPr>
                <w:color w:val="000000"/>
                <w:sz w:val="24"/>
              </w:rPr>
              <w:t>11</w:t>
            </w:r>
            <w:r>
              <w:rPr>
                <w:color w:val="000000"/>
                <w:sz w:val="24"/>
              </w:rPr>
              <w:t>月</w:t>
            </w:r>
            <w:r>
              <w:rPr>
                <w:color w:val="000000"/>
                <w:sz w:val="24"/>
              </w:rPr>
              <w:t>07</w:t>
            </w:r>
            <w:r>
              <w:rPr>
                <w:color w:val="000000"/>
                <w:sz w:val="24"/>
              </w:rPr>
              <w:t>日）、易方达恒益定期开放债券型发起式证券投资基金的基金经理、易</w:t>
            </w:r>
            <w:r>
              <w:rPr>
                <w:color w:val="000000"/>
                <w:sz w:val="24"/>
              </w:rPr>
              <w:t>方达恒盛</w:t>
            </w:r>
            <w:r>
              <w:rPr>
                <w:color w:val="000000"/>
                <w:sz w:val="24"/>
              </w:rPr>
              <w:t>3</w:t>
            </w:r>
            <w:r>
              <w:rPr>
                <w:color w:val="000000"/>
                <w:sz w:val="24"/>
              </w:rPr>
              <w:t>个月定期开放混合型发起式证券投资基金的基金经理、易方达恒利</w:t>
            </w:r>
            <w:r>
              <w:rPr>
                <w:color w:val="000000"/>
                <w:sz w:val="24"/>
              </w:rPr>
              <w:t>3</w:t>
            </w:r>
            <w:r>
              <w:rPr>
                <w:color w:val="000000"/>
                <w:sz w:val="24"/>
              </w:rPr>
              <w:t>个月定期开放债券型发起式证券投资基金的基金经理、易方达富惠纯债债券型证券投资基金的基金经理、易方达丰惠混合型证券投资基金的基金经理、固定收益研究部总经理、固定收益投资部总经理</w:t>
            </w:r>
          </w:p>
        </w:tc>
        <w:tc>
          <w:tcPr>
            <w:tcW w:w="0" w:type="auto"/>
            <w:vAlign w:val="center"/>
          </w:tcPr>
          <w:p w:rsidR="008A1327" w:rsidRDefault="00580060">
            <w:pPr>
              <w:jc w:val="center"/>
            </w:pPr>
            <w:r>
              <w:rPr>
                <w:color w:val="000000"/>
                <w:sz w:val="24"/>
              </w:rPr>
              <w:t>2018-07-05</w:t>
            </w:r>
          </w:p>
        </w:tc>
        <w:tc>
          <w:tcPr>
            <w:tcW w:w="0" w:type="auto"/>
            <w:vAlign w:val="center"/>
          </w:tcPr>
          <w:p w:rsidR="008A1327" w:rsidRDefault="00580060">
            <w:pPr>
              <w:jc w:val="center"/>
            </w:pPr>
            <w:r>
              <w:rPr>
                <w:color w:val="000000"/>
                <w:sz w:val="24"/>
              </w:rPr>
              <w:t>-</w:t>
            </w:r>
          </w:p>
        </w:tc>
        <w:tc>
          <w:tcPr>
            <w:tcW w:w="0" w:type="auto"/>
            <w:vAlign w:val="center"/>
          </w:tcPr>
          <w:p w:rsidR="008A1327" w:rsidRDefault="00580060">
            <w:pPr>
              <w:jc w:val="center"/>
            </w:pPr>
            <w:r>
              <w:rPr>
                <w:color w:val="000000"/>
                <w:sz w:val="24"/>
              </w:rPr>
              <w:t>13</w:t>
            </w:r>
            <w:r>
              <w:rPr>
                <w:color w:val="000000"/>
                <w:sz w:val="24"/>
              </w:rPr>
              <w:t>年</w:t>
            </w:r>
          </w:p>
        </w:tc>
        <w:tc>
          <w:tcPr>
            <w:tcW w:w="0" w:type="auto"/>
            <w:vAlign w:val="center"/>
          </w:tcPr>
          <w:p w:rsidR="008A1327" w:rsidRDefault="00580060">
            <w:r>
              <w:rPr>
                <w:color w:val="000000"/>
                <w:sz w:val="24"/>
              </w:rPr>
              <w:t>硕士研究生，具有基金从业资格。曾任易方达基金管理有限公司固定收益部债券研究员、基金经理助理兼债券研究员、固定收益研究部负责人、固定收益总部总经理助理、易方达中债新综合债券指数发起式证券投资基金（</w:t>
            </w:r>
            <w:r>
              <w:rPr>
                <w:color w:val="000000"/>
                <w:sz w:val="24"/>
              </w:rPr>
              <w:t>LOF</w:t>
            </w:r>
            <w:r>
              <w:rPr>
                <w:color w:val="000000"/>
                <w:sz w:val="24"/>
              </w:rPr>
              <w:t>）基金经理、易方达纯债债券型证券</w:t>
            </w:r>
            <w:r>
              <w:rPr>
                <w:color w:val="000000"/>
                <w:sz w:val="24"/>
              </w:rPr>
              <w:t>投资基金基金经理、易方达永旭添利定期开放债券型证券投资基金基金经理、易方达纯债</w:t>
            </w:r>
            <w:r>
              <w:rPr>
                <w:color w:val="000000"/>
                <w:sz w:val="24"/>
              </w:rPr>
              <w:t>1</w:t>
            </w:r>
            <w:r>
              <w:rPr>
                <w:color w:val="000000"/>
                <w:sz w:val="24"/>
              </w:rPr>
              <w:t>年定期开放债券型证券投资基金基金经理、易方达裕景添利</w:t>
            </w:r>
            <w:r>
              <w:rPr>
                <w:color w:val="000000"/>
                <w:sz w:val="24"/>
              </w:rPr>
              <w:t>6</w:t>
            </w:r>
            <w:r>
              <w:rPr>
                <w:color w:val="000000"/>
                <w:sz w:val="24"/>
              </w:rPr>
              <w:t>个月定期开放债券型证券投资基金基金经理、易方达瑞智灵活配置混合型证券投资基金基金经理、易方达瑞兴灵活配置混合型证券投资基金基金经理、易方达瑞祥灵活配置混合型证券投资基金基金经理、易方达高等级信用债债券型证券投资基金基金经理。</w:t>
            </w:r>
          </w:p>
        </w:tc>
      </w:tr>
    </w:tbl>
    <w:p w:rsidR="008A1327" w:rsidRDefault="00580060">
      <w:pPr>
        <w:spacing w:line="360" w:lineRule="auto"/>
        <w:ind w:firstLineChars="200" w:firstLine="480"/>
        <w:rPr>
          <w:color w:val="000000"/>
          <w:sz w:val="24"/>
          <w:szCs w:val="24"/>
        </w:rPr>
      </w:pPr>
      <w:r>
        <w:rPr>
          <w:color w:val="000000"/>
          <w:sz w:val="24"/>
          <w:szCs w:val="24"/>
        </w:rPr>
        <w:t>注：</w:t>
      </w:r>
      <w:r>
        <w:rPr>
          <w:color w:val="000000"/>
          <w:sz w:val="24"/>
          <w:szCs w:val="24"/>
        </w:rPr>
        <w:t>1.</w:t>
      </w:r>
      <w:r>
        <w:rPr>
          <w:color w:val="000000"/>
          <w:sz w:val="24"/>
          <w:szCs w:val="24"/>
        </w:rPr>
        <w:t>对基金的首任基金经理，其</w:t>
      </w:r>
      <w:r>
        <w:rPr>
          <w:color w:val="000000"/>
          <w:sz w:val="24"/>
          <w:szCs w:val="24"/>
        </w:rPr>
        <w:t>“</w:t>
      </w:r>
      <w:r>
        <w:rPr>
          <w:color w:val="000000"/>
          <w:sz w:val="24"/>
          <w:szCs w:val="24"/>
        </w:rPr>
        <w:t>任职日期</w:t>
      </w:r>
      <w:r>
        <w:rPr>
          <w:color w:val="000000"/>
          <w:sz w:val="24"/>
          <w:szCs w:val="24"/>
        </w:rPr>
        <w:t>”</w:t>
      </w:r>
      <w:r>
        <w:rPr>
          <w:color w:val="000000"/>
          <w:sz w:val="24"/>
          <w:szCs w:val="24"/>
        </w:rPr>
        <w:t>为基金合同生效日，</w:t>
      </w:r>
      <w:r>
        <w:rPr>
          <w:color w:val="000000"/>
          <w:sz w:val="24"/>
          <w:szCs w:val="24"/>
        </w:rPr>
        <w:t>“</w:t>
      </w:r>
      <w:r>
        <w:rPr>
          <w:color w:val="000000"/>
          <w:sz w:val="24"/>
          <w:szCs w:val="24"/>
        </w:rPr>
        <w:t>离任日期</w:t>
      </w:r>
      <w:r>
        <w:rPr>
          <w:color w:val="000000"/>
          <w:sz w:val="24"/>
          <w:szCs w:val="24"/>
        </w:rPr>
        <w:t>”</w:t>
      </w:r>
      <w:r>
        <w:rPr>
          <w:color w:val="000000"/>
          <w:sz w:val="24"/>
          <w:szCs w:val="24"/>
        </w:rPr>
        <w:t>为根据公司决定确定的解聘日期；对此后的非首任基金经理，</w:t>
      </w:r>
      <w:r>
        <w:rPr>
          <w:color w:val="000000"/>
          <w:sz w:val="24"/>
          <w:szCs w:val="24"/>
        </w:rPr>
        <w:t>“</w:t>
      </w:r>
      <w:r>
        <w:rPr>
          <w:color w:val="000000"/>
          <w:sz w:val="24"/>
          <w:szCs w:val="24"/>
        </w:rPr>
        <w:t>任职日期</w:t>
      </w:r>
      <w:r>
        <w:rPr>
          <w:color w:val="000000"/>
          <w:sz w:val="24"/>
          <w:szCs w:val="24"/>
        </w:rPr>
        <w:t>”</w:t>
      </w:r>
      <w:r>
        <w:rPr>
          <w:color w:val="000000"/>
          <w:sz w:val="24"/>
          <w:szCs w:val="24"/>
        </w:rPr>
        <w:t>和</w:t>
      </w:r>
      <w:r>
        <w:rPr>
          <w:color w:val="000000"/>
          <w:sz w:val="24"/>
          <w:szCs w:val="24"/>
        </w:rPr>
        <w:t>“</w:t>
      </w:r>
      <w:r>
        <w:rPr>
          <w:color w:val="000000"/>
          <w:sz w:val="24"/>
          <w:szCs w:val="24"/>
        </w:rPr>
        <w:t>离任日</w:t>
      </w:r>
      <w:r>
        <w:rPr>
          <w:color w:val="000000"/>
          <w:sz w:val="24"/>
          <w:szCs w:val="24"/>
        </w:rPr>
        <w:t>期</w:t>
      </w:r>
      <w:r>
        <w:rPr>
          <w:color w:val="000000"/>
          <w:sz w:val="24"/>
          <w:szCs w:val="24"/>
        </w:rPr>
        <w:t>”</w:t>
      </w:r>
      <w:r>
        <w:rPr>
          <w:color w:val="000000"/>
          <w:sz w:val="24"/>
          <w:szCs w:val="24"/>
        </w:rPr>
        <w:t>分别指根据公司决定确定的聘任日期和解聘日期。</w:t>
      </w:r>
    </w:p>
    <w:p w:rsidR="00750D48" w:rsidRPr="00232B03" w:rsidRDefault="004D28A3" w:rsidP="004D28A3">
      <w:pPr>
        <w:spacing w:line="360" w:lineRule="auto"/>
        <w:ind w:firstLineChars="200" w:firstLine="480"/>
        <w:rPr>
          <w:color w:val="000000"/>
          <w:sz w:val="24"/>
          <w:szCs w:val="24"/>
        </w:rPr>
      </w:pPr>
      <w:r w:rsidRPr="004D28A3">
        <w:rPr>
          <w:color w:val="000000"/>
          <w:sz w:val="24"/>
          <w:szCs w:val="24"/>
        </w:rPr>
        <w:t>2.</w:t>
      </w:r>
      <w:r w:rsidRPr="004D28A3">
        <w:rPr>
          <w:color w:val="000000"/>
          <w:sz w:val="24"/>
          <w:szCs w:val="24"/>
        </w:rPr>
        <w:t>证券从业的含义遵从《证券业从业人员资格管理办法》的相关规定。</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olor w:val="000000"/>
            <w:sz w:val="24"/>
            <w:szCs w:val="24"/>
          </w:rPr>
          <w:t>4.3.1</w:t>
        </w:r>
      </w:smartTag>
      <w:r w:rsidRPr="00264E55">
        <w:rPr>
          <w:rFonts w:ascii="宋体" w:hAnsi="宋体" w:hint="eastAsia"/>
          <w:color w:val="000000"/>
          <w:sz w:val="24"/>
          <w:szCs w:val="24"/>
        </w:rPr>
        <w:t>公平交易制度的执行情况</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6C56AA">
        <w:rPr>
          <w:color w:val="000000"/>
          <w:sz w:val="24"/>
          <w:szCs w:val="24"/>
        </w:rPr>
        <w:t>“</w:t>
      </w:r>
      <w:r w:rsidRPr="006C56AA">
        <w:rPr>
          <w:color w:val="000000"/>
          <w:sz w:val="24"/>
          <w:szCs w:val="24"/>
        </w:rPr>
        <w:t>时间优先、价格优先</w:t>
      </w:r>
      <w:r w:rsidRPr="006C56AA">
        <w:rPr>
          <w:color w:val="000000"/>
          <w:sz w:val="24"/>
          <w:szCs w:val="24"/>
        </w:rPr>
        <w:t>”</w:t>
      </w:r>
      <w:r w:rsidRPr="006C56AA">
        <w:rPr>
          <w:color w:val="000000"/>
          <w:sz w:val="24"/>
          <w:szCs w:val="24"/>
        </w:rPr>
        <w:t>作为执行指令的基本原则，通过投资交易系统中的公平交易模块，以尽可能确保公平对待各投资组合。本报告期内，公平交易制度总体执行情况良好。</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olor w:val="000000"/>
            <w:sz w:val="24"/>
            <w:szCs w:val="24"/>
          </w:rPr>
          <w:t>4.3.2</w:t>
        </w:r>
      </w:smartTag>
      <w:r w:rsidRPr="00264E55">
        <w:rPr>
          <w:rFonts w:ascii="宋体" w:hAnsi="宋体" w:hint="eastAsia"/>
          <w:color w:val="000000"/>
          <w:sz w:val="24"/>
          <w:szCs w:val="24"/>
        </w:rPr>
        <w:t>异常交易行为的专项说明</w:t>
      </w:r>
    </w:p>
    <w:p w:rsidR="008A1327" w:rsidRDefault="00580060">
      <w:pPr>
        <w:spacing w:line="360" w:lineRule="auto"/>
        <w:ind w:firstLineChars="200" w:firstLine="480"/>
        <w:rPr>
          <w:color w:val="000000"/>
          <w:sz w:val="24"/>
          <w:szCs w:val="24"/>
        </w:rPr>
      </w:pPr>
      <w:r>
        <w:rPr>
          <w:color w:val="000000"/>
          <w:sz w:val="24"/>
          <w:szCs w:val="24"/>
        </w:rPr>
        <w:t>本报告期内，公司旗下所有投资组合参与的交易所公开竞价交易中，同日反向交易成交较少的单边交易量超过该证券当日成交量的</w:t>
      </w:r>
      <w:r>
        <w:rPr>
          <w:color w:val="000000"/>
          <w:sz w:val="24"/>
          <w:szCs w:val="24"/>
        </w:rPr>
        <w:t>5%</w:t>
      </w:r>
      <w:r>
        <w:rPr>
          <w:color w:val="000000"/>
          <w:sz w:val="24"/>
          <w:szCs w:val="24"/>
        </w:rPr>
        <w:t>的交易共</w:t>
      </w:r>
      <w:r>
        <w:rPr>
          <w:color w:val="000000"/>
          <w:sz w:val="24"/>
          <w:szCs w:val="24"/>
        </w:rPr>
        <w:t>28</w:t>
      </w:r>
      <w:r>
        <w:rPr>
          <w:color w:val="000000"/>
          <w:sz w:val="24"/>
          <w:szCs w:val="24"/>
        </w:rPr>
        <w:t>次，其中</w:t>
      </w:r>
      <w:r>
        <w:rPr>
          <w:color w:val="000000"/>
          <w:sz w:val="24"/>
          <w:szCs w:val="24"/>
        </w:rPr>
        <w:t>27</w:t>
      </w:r>
      <w:r>
        <w:rPr>
          <w:color w:val="000000"/>
          <w:sz w:val="24"/>
          <w:szCs w:val="24"/>
        </w:rPr>
        <w:t>次为指数量化投资组合因投资策略需要和其他组合发生的反向交易，</w:t>
      </w:r>
      <w:r>
        <w:rPr>
          <w:color w:val="000000"/>
          <w:sz w:val="24"/>
          <w:szCs w:val="24"/>
        </w:rPr>
        <w:t>1</w:t>
      </w:r>
      <w:r>
        <w:rPr>
          <w:color w:val="000000"/>
          <w:sz w:val="24"/>
          <w:szCs w:val="24"/>
        </w:rPr>
        <w:t>次为不同基金经理管理的基金因投资策略不同而发生的反向交易，有关基金经理按规定履行了审批程序。</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本报告期内，未发现本基金有可能导致不公平交易和利益输送的异常交易。</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4.4 </w:t>
      </w:r>
      <w:r w:rsidRPr="00264E55">
        <w:rPr>
          <w:rFonts w:ascii="宋体" w:hAnsi="宋体" w:hint="eastAsia"/>
          <w:b/>
          <w:bCs/>
          <w:color w:val="000000"/>
          <w:kern w:val="0"/>
          <w:sz w:val="24"/>
          <w:szCs w:val="24"/>
        </w:rPr>
        <w:t>报告期内基金的投资策略和业绩表现说明</w:t>
      </w:r>
    </w:p>
    <w:p w:rsidR="00750D48" w:rsidRPr="00264E55" w:rsidRDefault="00750D48" w:rsidP="009E7C6A">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s="宋体"/>
            <w:sz w:val="24"/>
            <w:szCs w:val="24"/>
          </w:rPr>
          <w:t>4.4.1</w:t>
        </w:r>
      </w:smartTag>
      <w:r w:rsidRPr="00264E55">
        <w:rPr>
          <w:rFonts w:ascii="宋体" w:hAnsi="宋体" w:cs="宋体" w:hint="eastAsia"/>
          <w:sz w:val="24"/>
          <w:szCs w:val="24"/>
        </w:rPr>
        <w:t>报告期内基金投资策略和运作分析</w:t>
      </w:r>
    </w:p>
    <w:p w:rsidR="008A1327" w:rsidRDefault="00580060">
      <w:pPr>
        <w:spacing w:line="360" w:lineRule="auto"/>
        <w:ind w:firstLineChars="200" w:firstLine="480"/>
        <w:rPr>
          <w:color w:val="000000"/>
          <w:sz w:val="24"/>
          <w:szCs w:val="24"/>
        </w:rPr>
      </w:pPr>
      <w:r>
        <w:rPr>
          <w:color w:val="000000"/>
          <w:sz w:val="24"/>
          <w:szCs w:val="24"/>
        </w:rPr>
        <w:t>2019</w:t>
      </w:r>
      <w:r>
        <w:rPr>
          <w:color w:val="000000"/>
          <w:sz w:val="24"/>
          <w:szCs w:val="24"/>
        </w:rPr>
        <w:t>年四季度经济数据呈现明显的季节性特征，月度之间波动较大，整体依然偏弱。从结构上看，基建投资持续低位回升；制造业投资在</w:t>
      </w:r>
      <w:r>
        <w:rPr>
          <w:color w:val="000000"/>
          <w:sz w:val="24"/>
          <w:szCs w:val="24"/>
        </w:rPr>
        <w:t>9</w:t>
      </w:r>
      <w:r>
        <w:rPr>
          <w:color w:val="000000"/>
          <w:sz w:val="24"/>
          <w:szCs w:val="24"/>
        </w:rPr>
        <w:t>月出现明显回升后，</w:t>
      </w:r>
      <w:r>
        <w:rPr>
          <w:color w:val="000000"/>
          <w:sz w:val="24"/>
          <w:szCs w:val="24"/>
        </w:rPr>
        <w:t>10-11</w:t>
      </w:r>
      <w:r>
        <w:rPr>
          <w:color w:val="000000"/>
          <w:sz w:val="24"/>
          <w:szCs w:val="24"/>
        </w:rPr>
        <w:t>月份基本走平；房地产终端销售出现回落的迹象，不过幅度仍然不大，地产投资依然在高位。消费方面，汽车生产有小幅回升，但终端需求依然不强。社融数据在</w:t>
      </w:r>
      <w:r>
        <w:rPr>
          <w:color w:val="000000"/>
          <w:sz w:val="24"/>
          <w:szCs w:val="24"/>
        </w:rPr>
        <w:t>10</w:t>
      </w:r>
      <w:r>
        <w:rPr>
          <w:color w:val="000000"/>
          <w:sz w:val="24"/>
          <w:szCs w:val="24"/>
        </w:rPr>
        <w:t>月出现大幅下跌，但</w:t>
      </w:r>
      <w:r>
        <w:rPr>
          <w:color w:val="000000"/>
          <w:sz w:val="24"/>
          <w:szCs w:val="24"/>
        </w:rPr>
        <w:t>11</w:t>
      </w:r>
      <w:r>
        <w:rPr>
          <w:color w:val="000000"/>
          <w:sz w:val="24"/>
          <w:szCs w:val="24"/>
        </w:rPr>
        <w:t>月份有所恢复，后续变化值得关注。从通胀数据来看，</w:t>
      </w:r>
      <w:r>
        <w:rPr>
          <w:color w:val="000000"/>
          <w:sz w:val="24"/>
          <w:szCs w:val="24"/>
        </w:rPr>
        <w:t>CPI</w:t>
      </w:r>
      <w:r>
        <w:rPr>
          <w:color w:val="000000"/>
          <w:sz w:val="24"/>
          <w:szCs w:val="24"/>
        </w:rPr>
        <w:t>逐月走高，但市场担忧情绪随着央行货币政策转松而消除，食品价格目前对市场的影响有限。</w:t>
      </w:r>
    </w:p>
    <w:p w:rsidR="008A1327" w:rsidRDefault="00580060">
      <w:pPr>
        <w:spacing w:line="360" w:lineRule="auto"/>
        <w:ind w:firstLineChars="200" w:firstLine="480"/>
        <w:rPr>
          <w:color w:val="000000"/>
          <w:sz w:val="24"/>
          <w:szCs w:val="24"/>
        </w:rPr>
      </w:pPr>
      <w:r>
        <w:rPr>
          <w:color w:val="000000"/>
          <w:sz w:val="24"/>
          <w:szCs w:val="24"/>
        </w:rPr>
        <w:t>政策层面，四季度以来稳增长意图明显，</w:t>
      </w:r>
      <w:r>
        <w:rPr>
          <w:color w:val="000000"/>
          <w:sz w:val="24"/>
          <w:szCs w:val="24"/>
        </w:rPr>
        <w:t>2020</w:t>
      </w:r>
      <w:r>
        <w:rPr>
          <w:color w:val="000000"/>
          <w:sz w:val="24"/>
          <w:szCs w:val="24"/>
        </w:rPr>
        <w:t>年一季度</w:t>
      </w:r>
      <w:r>
        <w:rPr>
          <w:color w:val="000000"/>
          <w:sz w:val="24"/>
          <w:szCs w:val="24"/>
        </w:rPr>
        <w:t>的大量专项债发行以及随之而起的基建投资项目将较大概率推升短期基本面走势。另一方面货币政策对降低社会平均融资成本的诉求明显增强，货币政策稳健偏宽松，这使得债券市场短端投资机会确定性更高，而长端受制于基本面好转预期持续有压力，曲线有望陡峭化，整体利率中枢水平趋于振荡。</w:t>
      </w:r>
    </w:p>
    <w:p w:rsidR="008A1327" w:rsidRDefault="00580060">
      <w:pPr>
        <w:spacing w:line="360" w:lineRule="auto"/>
        <w:ind w:firstLineChars="200" w:firstLine="480"/>
        <w:rPr>
          <w:color w:val="000000"/>
          <w:sz w:val="24"/>
          <w:szCs w:val="24"/>
        </w:rPr>
      </w:pPr>
      <w:r>
        <w:rPr>
          <w:color w:val="000000"/>
          <w:sz w:val="24"/>
          <w:szCs w:val="24"/>
        </w:rPr>
        <w:t>债券市场方面，受通胀和央行货币政策收紧担忧影响，收益率有所上升，</w:t>
      </w:r>
      <w:r>
        <w:rPr>
          <w:color w:val="000000"/>
          <w:sz w:val="24"/>
          <w:szCs w:val="24"/>
        </w:rPr>
        <w:t>10</w:t>
      </w:r>
      <w:r>
        <w:rPr>
          <w:color w:val="000000"/>
          <w:sz w:val="24"/>
          <w:szCs w:val="24"/>
        </w:rPr>
        <w:t>年金融债从</w:t>
      </w:r>
      <w:r>
        <w:rPr>
          <w:color w:val="000000"/>
          <w:sz w:val="24"/>
          <w:szCs w:val="24"/>
        </w:rPr>
        <w:t>3.4%</w:t>
      </w:r>
      <w:r>
        <w:rPr>
          <w:color w:val="000000"/>
          <w:sz w:val="24"/>
          <w:szCs w:val="24"/>
        </w:rPr>
        <w:t>附近上升至</w:t>
      </w:r>
      <w:r>
        <w:rPr>
          <w:color w:val="000000"/>
          <w:sz w:val="24"/>
          <w:szCs w:val="24"/>
        </w:rPr>
        <w:t>3.75%</w:t>
      </w:r>
      <w:r>
        <w:rPr>
          <w:color w:val="000000"/>
          <w:sz w:val="24"/>
          <w:szCs w:val="24"/>
        </w:rPr>
        <w:t>附近，之后伴随</w:t>
      </w:r>
      <w:r>
        <w:rPr>
          <w:color w:val="000000"/>
          <w:sz w:val="24"/>
          <w:szCs w:val="24"/>
        </w:rPr>
        <w:t>11</w:t>
      </w:r>
      <w:r>
        <w:rPr>
          <w:color w:val="000000"/>
          <w:sz w:val="24"/>
          <w:szCs w:val="24"/>
        </w:rPr>
        <w:t>月初央行下调</w:t>
      </w:r>
      <w:r>
        <w:rPr>
          <w:color w:val="000000"/>
          <w:sz w:val="24"/>
          <w:szCs w:val="24"/>
        </w:rPr>
        <w:t>MLF</w:t>
      </w:r>
      <w:r>
        <w:rPr>
          <w:color w:val="000000"/>
          <w:sz w:val="24"/>
          <w:szCs w:val="24"/>
        </w:rPr>
        <w:t>和</w:t>
      </w:r>
      <w:r>
        <w:rPr>
          <w:color w:val="000000"/>
          <w:sz w:val="24"/>
          <w:szCs w:val="24"/>
        </w:rPr>
        <w:t>OMO</w:t>
      </w:r>
      <w:r>
        <w:rPr>
          <w:color w:val="000000"/>
          <w:sz w:val="24"/>
          <w:szCs w:val="24"/>
        </w:rPr>
        <w:t>利率重新下行，回落至</w:t>
      </w:r>
      <w:r>
        <w:rPr>
          <w:color w:val="000000"/>
          <w:sz w:val="24"/>
          <w:szCs w:val="24"/>
        </w:rPr>
        <w:t>3.6%</w:t>
      </w:r>
      <w:r>
        <w:rPr>
          <w:color w:val="000000"/>
          <w:sz w:val="24"/>
          <w:szCs w:val="24"/>
        </w:rPr>
        <w:t>附近。</w:t>
      </w:r>
    </w:p>
    <w:p w:rsidR="008A1327" w:rsidRDefault="00580060">
      <w:pPr>
        <w:spacing w:line="360" w:lineRule="auto"/>
        <w:ind w:firstLineChars="200" w:firstLine="480"/>
        <w:rPr>
          <w:color w:val="000000"/>
          <w:sz w:val="24"/>
          <w:szCs w:val="24"/>
        </w:rPr>
      </w:pPr>
      <w:r>
        <w:rPr>
          <w:color w:val="000000"/>
          <w:sz w:val="24"/>
          <w:szCs w:val="24"/>
        </w:rPr>
        <w:t>四季度权益市场</w:t>
      </w:r>
      <w:r>
        <w:rPr>
          <w:color w:val="000000"/>
          <w:sz w:val="24"/>
          <w:szCs w:val="24"/>
        </w:rPr>
        <w:t>10-11</w:t>
      </w:r>
      <w:r>
        <w:rPr>
          <w:color w:val="000000"/>
          <w:sz w:val="24"/>
          <w:szCs w:val="24"/>
        </w:rPr>
        <w:t>月份维持振荡行情，</w:t>
      </w:r>
      <w:r>
        <w:rPr>
          <w:color w:val="000000"/>
          <w:sz w:val="24"/>
          <w:szCs w:val="24"/>
        </w:rPr>
        <w:t>12</w:t>
      </w:r>
      <w:r>
        <w:rPr>
          <w:color w:val="000000"/>
          <w:sz w:val="24"/>
          <w:szCs w:val="24"/>
        </w:rPr>
        <w:t>月份之后显著回</w:t>
      </w:r>
      <w:r>
        <w:rPr>
          <w:color w:val="000000"/>
          <w:sz w:val="24"/>
          <w:szCs w:val="24"/>
        </w:rPr>
        <w:t>升。整体来看上证指数上涨</w:t>
      </w:r>
      <w:r>
        <w:rPr>
          <w:color w:val="000000"/>
          <w:sz w:val="24"/>
          <w:szCs w:val="24"/>
        </w:rPr>
        <w:t>4.02%</w:t>
      </w:r>
      <w:r>
        <w:rPr>
          <w:color w:val="000000"/>
          <w:sz w:val="24"/>
          <w:szCs w:val="24"/>
        </w:rPr>
        <w:t>，沪深</w:t>
      </w:r>
      <w:r>
        <w:rPr>
          <w:color w:val="000000"/>
          <w:sz w:val="24"/>
          <w:szCs w:val="24"/>
        </w:rPr>
        <w:t>300</w:t>
      </w:r>
      <w:r>
        <w:rPr>
          <w:color w:val="000000"/>
          <w:sz w:val="24"/>
          <w:szCs w:val="24"/>
        </w:rPr>
        <w:t>指数上涨</w:t>
      </w:r>
      <w:r>
        <w:rPr>
          <w:color w:val="000000"/>
          <w:sz w:val="24"/>
          <w:szCs w:val="24"/>
        </w:rPr>
        <w:t>6.33%</w:t>
      </w:r>
      <w:r>
        <w:rPr>
          <w:color w:val="000000"/>
          <w:sz w:val="24"/>
          <w:szCs w:val="24"/>
        </w:rPr>
        <w:t>，创业板指数上涨</w:t>
      </w:r>
      <w:r>
        <w:rPr>
          <w:color w:val="000000"/>
          <w:sz w:val="24"/>
          <w:szCs w:val="24"/>
        </w:rPr>
        <w:t>9.14%</w:t>
      </w:r>
      <w:r>
        <w:rPr>
          <w:color w:val="000000"/>
          <w:sz w:val="24"/>
          <w:szCs w:val="24"/>
        </w:rPr>
        <w:t>。转债市场表现较好，中证转债指数上涨</w:t>
      </w:r>
      <w:r>
        <w:rPr>
          <w:color w:val="000000"/>
          <w:sz w:val="24"/>
          <w:szCs w:val="24"/>
        </w:rPr>
        <w:t>6.47%</w:t>
      </w:r>
      <w:r>
        <w:rPr>
          <w:color w:val="000000"/>
          <w:sz w:val="24"/>
          <w:szCs w:val="24"/>
        </w:rPr>
        <w:t>。</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操作上，组合在债券方面维持了中短端、高流动性资产为主的配置思路，在给组合提供流动性的同时获取安全的票息收益。权益投资方面，不仅积极参与新股战略配售和网下申购，还以非常谨慎的心态参与二级市场主动投资，力争能为持有人获取相对稳健的收益。随着权益仓位的不断提高，组合净值受市场影响波动有所加大。</w:t>
      </w:r>
    </w:p>
    <w:p w:rsidR="00750D48" w:rsidRPr="00264E55" w:rsidRDefault="00750D48" w:rsidP="009E7C6A">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s="宋体"/>
            <w:sz w:val="24"/>
            <w:szCs w:val="24"/>
          </w:rPr>
          <w:t>4.4.2</w:t>
        </w:r>
      </w:smartTag>
      <w:r w:rsidRPr="00264E55">
        <w:rPr>
          <w:rFonts w:ascii="宋体" w:hAnsi="宋体" w:cs="宋体" w:hint="eastAsia"/>
          <w:sz w:val="24"/>
          <w:szCs w:val="24"/>
        </w:rPr>
        <w:t>报告期内基金的业绩表现</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截至报告期末，本基金份额净值为</w:t>
      </w:r>
      <w:r w:rsidRPr="006C56AA">
        <w:rPr>
          <w:color w:val="000000"/>
          <w:sz w:val="24"/>
          <w:szCs w:val="24"/>
        </w:rPr>
        <w:t>1.0898</w:t>
      </w:r>
      <w:r w:rsidRPr="006C56AA">
        <w:rPr>
          <w:color w:val="000000"/>
          <w:sz w:val="24"/>
          <w:szCs w:val="24"/>
        </w:rPr>
        <w:t>元，本报告期份额净值增长率为</w:t>
      </w:r>
      <w:r w:rsidRPr="006C56AA">
        <w:rPr>
          <w:color w:val="000000"/>
          <w:sz w:val="24"/>
          <w:szCs w:val="24"/>
        </w:rPr>
        <w:t>-0.51%</w:t>
      </w:r>
      <w:r w:rsidRPr="006C56AA">
        <w:rPr>
          <w:color w:val="000000"/>
          <w:sz w:val="24"/>
          <w:szCs w:val="24"/>
        </w:rPr>
        <w:t>，同期业绩比较基准收益率为</w:t>
      </w:r>
      <w:r w:rsidRPr="006C56AA">
        <w:rPr>
          <w:color w:val="000000"/>
          <w:sz w:val="24"/>
          <w:szCs w:val="24"/>
        </w:rPr>
        <w:t>4.78%</w:t>
      </w:r>
      <w:r w:rsidRPr="006C56AA">
        <w:rPr>
          <w:color w:val="000000"/>
          <w:sz w:val="24"/>
          <w:szCs w:val="24"/>
        </w:rPr>
        <w:t>。</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3357"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项目</w:t>
            </w:r>
          </w:p>
        </w:tc>
        <w:tc>
          <w:tcPr>
            <w:tcW w:w="2977"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w="1843"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1</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权益投资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5,663,137,570.55</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19.13</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其中：股票</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5,663,137,570.55</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19.13</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2</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固定收益投资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22,585,487,900.00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76.30</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其中：债券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22,585,487,900.00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76.30</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3</w:t>
            </w:r>
          </w:p>
        </w:tc>
        <w:tc>
          <w:tcPr>
            <w:tcW w:w="3357" w:type="dxa"/>
          </w:tcPr>
          <w:p w:rsidR="00750D48" w:rsidRPr="00232B03" w:rsidRDefault="00750D48" w:rsidP="00EB572F">
            <w:pPr>
              <w:spacing w:before="29" w:line="360" w:lineRule="auto"/>
              <w:ind w:leftChars="50" w:left="105"/>
              <w:rPr>
                <w:color w:val="000000"/>
                <w:kern w:val="0"/>
                <w:sz w:val="24"/>
                <w:szCs w:val="24"/>
              </w:rPr>
            </w:pPr>
            <w:r w:rsidRPr="00232B03">
              <w:rPr>
                <w:color w:val="000000"/>
                <w:kern w:val="0"/>
                <w:sz w:val="24"/>
                <w:szCs w:val="24"/>
              </w:rPr>
              <w:t>贵金属投资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4</w:t>
            </w:r>
          </w:p>
        </w:tc>
        <w:tc>
          <w:tcPr>
            <w:tcW w:w="3357" w:type="dxa"/>
            <w:vAlign w:val="center"/>
          </w:tcPr>
          <w:p w:rsidR="00750D48" w:rsidRPr="00232B03" w:rsidRDefault="00750D48" w:rsidP="00B05049">
            <w:pPr>
              <w:spacing w:before="29" w:line="360" w:lineRule="auto"/>
              <w:ind w:left="17"/>
              <w:jc w:val="left"/>
              <w:rPr>
                <w:color w:val="000000"/>
                <w:kern w:val="0"/>
                <w:sz w:val="24"/>
                <w:szCs w:val="24"/>
              </w:rPr>
            </w:pPr>
            <w:r w:rsidRPr="00232B03">
              <w:rPr>
                <w:color w:val="000000"/>
                <w:kern w:val="0"/>
                <w:sz w:val="24"/>
                <w:szCs w:val="24"/>
              </w:rPr>
              <w:t>金融衍生品投资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5</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299,970,769.95</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1.01</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6</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银行存款和结算备付金合计</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9,462,582.97</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0.03</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7</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其他资产</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1,041,717,851.33</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3.52</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8</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合计</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29,599,776,674.80</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100.00</w:t>
            </w:r>
          </w:p>
        </w:tc>
      </w:tr>
    </w:tbl>
    <w:p w:rsidR="008C2A4F" w:rsidRPr="00220C32" w:rsidRDefault="008C2A4F" w:rsidP="008C2A4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5.2 </w:t>
      </w:r>
      <w:r w:rsidRPr="00220C32">
        <w:rPr>
          <w:rFonts w:asciiTheme="minorEastAsia" w:eastAsiaTheme="minorEastAsia" w:hAnsiTheme="minorEastAsia" w:hint="eastAsia"/>
          <w:b/>
          <w:bCs/>
          <w:color w:val="000000" w:themeColor="text1"/>
          <w:kern w:val="0"/>
          <w:sz w:val="24"/>
          <w:szCs w:val="24"/>
        </w:rPr>
        <w:t>报告期末按行业分类的股票投资组合</w:t>
      </w:r>
    </w:p>
    <w:p w:rsidR="008C2A4F" w:rsidRPr="000D7474" w:rsidRDefault="008C2A4F" w:rsidP="008C2A4F">
      <w:pPr>
        <w:rPr>
          <w:rFonts w:asciiTheme="minorEastAsia" w:eastAsiaTheme="minorEastAsia" w:hAnsiTheme="minorEastAsia"/>
          <w:b/>
          <w:bCs/>
          <w:color w:val="000000" w:themeColor="text1"/>
          <w:kern w:val="0"/>
          <w:sz w:val="24"/>
          <w:szCs w:val="24"/>
        </w:rPr>
      </w:pPr>
      <w:r w:rsidRPr="000D7474">
        <w:rPr>
          <w:rFonts w:asciiTheme="minorEastAsia" w:eastAsiaTheme="minorEastAsia" w:hAnsiTheme="minorEastAsia" w:hint="eastAsia"/>
          <w:b/>
          <w:bCs/>
          <w:color w:val="000000" w:themeColor="text1"/>
          <w:kern w:val="0"/>
          <w:sz w:val="24"/>
          <w:szCs w:val="24"/>
        </w:rPr>
        <w:t>5.2.1报告期末按行业分类的境内股票投资组合</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3544"/>
        <w:gridCol w:w="2977"/>
        <w:gridCol w:w="1559"/>
      </w:tblGrid>
      <w:tr w:rsidR="008C2A4F" w:rsidRPr="008C2A4F" w:rsidTr="00501495">
        <w:trPr>
          <w:trHeight w:val="390"/>
        </w:trPr>
        <w:tc>
          <w:tcPr>
            <w:tcW w:w="709" w:type="dxa"/>
            <w:tcBorders>
              <w:top w:val="single" w:sz="4" w:space="0" w:color="000000"/>
              <w:left w:val="single" w:sz="4" w:space="0" w:color="000000"/>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行业类别</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公允价值（元）</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占基金资产净值比例（％）</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农、林、牧、渔业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7,428,960.00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0.03</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采矿业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p w:rsidR="008C2A4F" w:rsidRPr="008C2A4F" w:rsidRDefault="008C2A4F" w:rsidP="003328D9">
            <w:pPr>
              <w:jc w:val="right"/>
              <w:rPr>
                <w:rFonts w:eastAsiaTheme="minorEastAsia"/>
                <w:color w:val="000000" w:themeColor="text1"/>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p w:rsidR="008C2A4F" w:rsidRPr="008C2A4F" w:rsidRDefault="008C2A4F" w:rsidP="003328D9">
            <w:pPr>
              <w:jc w:val="right"/>
              <w:rPr>
                <w:rFonts w:eastAsiaTheme="minorEastAsia"/>
                <w:color w:val="000000" w:themeColor="text1"/>
                <w:kern w:val="0"/>
                <w:sz w:val="24"/>
                <w:szCs w:val="24"/>
              </w:rPr>
            </w:pP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制造业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434,158,488.05</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1.63</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电力、热力、燃气及水生产和供应业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1,845,760,168.56</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6.93</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建筑业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批发和零售业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交通运输、仓储和邮政业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7,875.00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住宿和餐饮业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信息传输、软件和信息技术服务业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593,337.72</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金融业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3,150,982,970.98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11.82</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房地产业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224,149,180.00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0.84</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租赁和商务服务业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科学研究和技术服务业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水利、环境和公共设施管理业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6,578.04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居民服务、修理和其他服务业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教育</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卫生和社会工作</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文化、体育和娱乐业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综合</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50,012.20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合计</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5,663,137,570.55</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21.25</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276"/>
        <w:gridCol w:w="1418"/>
        <w:gridCol w:w="1701"/>
        <w:gridCol w:w="1984"/>
        <w:gridCol w:w="1559"/>
      </w:tblGrid>
      <w:tr w:rsidR="00750D48" w:rsidRPr="00264E55" w:rsidTr="00191BDE">
        <w:tc>
          <w:tcPr>
            <w:tcW w:w="851"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股票代码</w:t>
            </w:r>
          </w:p>
        </w:tc>
        <w:tc>
          <w:tcPr>
            <w:tcW w:w="1418"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股票名称</w:t>
            </w:r>
          </w:p>
        </w:tc>
        <w:tc>
          <w:tcPr>
            <w:tcW w:w="1701"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w="1984" w:type="dxa"/>
            <w:vAlign w:val="center"/>
          </w:tcPr>
          <w:p w:rsidR="00750D48" w:rsidRPr="00232B03" w:rsidRDefault="00750D48" w:rsidP="005F7917">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559"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8A1327">
        <w:tc>
          <w:tcPr>
            <w:tcW w:w="0" w:type="auto"/>
            <w:vAlign w:val="center"/>
          </w:tcPr>
          <w:p w:rsidR="008A1327" w:rsidRDefault="00580060">
            <w:pPr>
              <w:jc w:val="center"/>
            </w:pPr>
            <w:r>
              <w:rPr>
                <w:color w:val="000000"/>
                <w:kern w:val="0"/>
                <w:sz w:val="24"/>
                <w:szCs w:val="24"/>
              </w:rPr>
              <w:t>1</w:t>
            </w:r>
          </w:p>
        </w:tc>
        <w:tc>
          <w:tcPr>
            <w:tcW w:w="0" w:type="auto"/>
            <w:vAlign w:val="center"/>
          </w:tcPr>
          <w:p w:rsidR="008A1327" w:rsidRDefault="00580060">
            <w:pPr>
              <w:jc w:val="center"/>
            </w:pPr>
            <w:r>
              <w:rPr>
                <w:color w:val="000000"/>
                <w:kern w:val="0"/>
                <w:sz w:val="24"/>
                <w:szCs w:val="24"/>
              </w:rPr>
              <w:t>601658</w:t>
            </w:r>
          </w:p>
        </w:tc>
        <w:tc>
          <w:tcPr>
            <w:tcW w:w="0" w:type="auto"/>
            <w:vAlign w:val="center"/>
          </w:tcPr>
          <w:p w:rsidR="008A1327" w:rsidRDefault="00580060">
            <w:pPr>
              <w:jc w:val="center"/>
            </w:pPr>
            <w:r>
              <w:rPr>
                <w:color w:val="000000"/>
                <w:kern w:val="0"/>
                <w:sz w:val="24"/>
                <w:szCs w:val="24"/>
              </w:rPr>
              <w:t>邮储银行</w:t>
            </w:r>
          </w:p>
        </w:tc>
        <w:tc>
          <w:tcPr>
            <w:tcW w:w="0" w:type="auto"/>
            <w:vAlign w:val="center"/>
          </w:tcPr>
          <w:p w:rsidR="008A1327" w:rsidRDefault="00580060">
            <w:pPr>
              <w:jc w:val="right"/>
            </w:pPr>
            <w:r>
              <w:rPr>
                <w:color w:val="000000"/>
                <w:kern w:val="0"/>
                <w:sz w:val="24"/>
                <w:szCs w:val="24"/>
              </w:rPr>
              <w:t>461,030,000</w:t>
            </w:r>
          </w:p>
        </w:tc>
        <w:tc>
          <w:tcPr>
            <w:tcW w:w="0" w:type="auto"/>
            <w:vAlign w:val="center"/>
          </w:tcPr>
          <w:p w:rsidR="008A1327" w:rsidRDefault="00580060">
            <w:pPr>
              <w:jc w:val="right"/>
            </w:pPr>
            <w:r>
              <w:rPr>
                <w:color w:val="000000"/>
                <w:kern w:val="0"/>
                <w:sz w:val="24"/>
                <w:szCs w:val="24"/>
              </w:rPr>
              <w:t>2,567,943,190.00</w:t>
            </w:r>
          </w:p>
        </w:tc>
        <w:tc>
          <w:tcPr>
            <w:tcW w:w="0" w:type="auto"/>
            <w:vAlign w:val="center"/>
          </w:tcPr>
          <w:p w:rsidR="008A1327" w:rsidRDefault="00580060">
            <w:pPr>
              <w:jc w:val="right"/>
            </w:pPr>
            <w:r>
              <w:rPr>
                <w:color w:val="000000"/>
                <w:kern w:val="0"/>
                <w:sz w:val="24"/>
                <w:szCs w:val="24"/>
              </w:rPr>
              <w:t>9.63</w:t>
            </w:r>
          </w:p>
        </w:tc>
      </w:tr>
      <w:tr w:rsidR="008A1327">
        <w:tc>
          <w:tcPr>
            <w:tcW w:w="0" w:type="auto"/>
            <w:vAlign w:val="center"/>
          </w:tcPr>
          <w:p w:rsidR="008A1327" w:rsidRDefault="00580060">
            <w:pPr>
              <w:jc w:val="center"/>
            </w:pPr>
            <w:r>
              <w:rPr>
                <w:color w:val="000000"/>
                <w:kern w:val="0"/>
                <w:sz w:val="24"/>
                <w:szCs w:val="24"/>
              </w:rPr>
              <w:t>2</w:t>
            </w:r>
          </w:p>
        </w:tc>
        <w:tc>
          <w:tcPr>
            <w:tcW w:w="0" w:type="auto"/>
            <w:vAlign w:val="center"/>
          </w:tcPr>
          <w:p w:rsidR="008A1327" w:rsidRDefault="00580060">
            <w:pPr>
              <w:jc w:val="center"/>
            </w:pPr>
            <w:r>
              <w:rPr>
                <w:color w:val="000000"/>
                <w:kern w:val="0"/>
                <w:sz w:val="24"/>
                <w:szCs w:val="24"/>
              </w:rPr>
              <w:t>003816</w:t>
            </w:r>
          </w:p>
        </w:tc>
        <w:tc>
          <w:tcPr>
            <w:tcW w:w="0" w:type="auto"/>
            <w:vAlign w:val="center"/>
          </w:tcPr>
          <w:p w:rsidR="008A1327" w:rsidRDefault="00580060">
            <w:pPr>
              <w:jc w:val="center"/>
            </w:pPr>
            <w:r>
              <w:rPr>
                <w:color w:val="000000"/>
                <w:kern w:val="0"/>
                <w:sz w:val="24"/>
                <w:szCs w:val="24"/>
              </w:rPr>
              <w:t>中国广核</w:t>
            </w:r>
          </w:p>
        </w:tc>
        <w:tc>
          <w:tcPr>
            <w:tcW w:w="0" w:type="auto"/>
            <w:vAlign w:val="center"/>
          </w:tcPr>
          <w:p w:rsidR="008A1327" w:rsidRDefault="00580060">
            <w:pPr>
              <w:jc w:val="right"/>
            </w:pPr>
            <w:r>
              <w:rPr>
                <w:color w:val="000000"/>
                <w:kern w:val="0"/>
                <w:sz w:val="24"/>
                <w:szCs w:val="24"/>
              </w:rPr>
              <w:t>555,485,000</w:t>
            </w:r>
          </w:p>
        </w:tc>
        <w:tc>
          <w:tcPr>
            <w:tcW w:w="0" w:type="auto"/>
            <w:vAlign w:val="center"/>
          </w:tcPr>
          <w:p w:rsidR="008A1327" w:rsidRDefault="00580060">
            <w:pPr>
              <w:jc w:val="right"/>
            </w:pPr>
            <w:r>
              <w:rPr>
                <w:color w:val="000000"/>
                <w:kern w:val="0"/>
                <w:sz w:val="24"/>
                <w:szCs w:val="24"/>
              </w:rPr>
              <w:t>1,805,326,250.00</w:t>
            </w:r>
          </w:p>
        </w:tc>
        <w:tc>
          <w:tcPr>
            <w:tcW w:w="0" w:type="auto"/>
            <w:vAlign w:val="center"/>
          </w:tcPr>
          <w:p w:rsidR="008A1327" w:rsidRDefault="00580060">
            <w:pPr>
              <w:jc w:val="right"/>
            </w:pPr>
            <w:r>
              <w:rPr>
                <w:color w:val="000000"/>
                <w:kern w:val="0"/>
                <w:sz w:val="24"/>
                <w:szCs w:val="24"/>
              </w:rPr>
              <w:t>6.77</w:t>
            </w:r>
          </w:p>
        </w:tc>
      </w:tr>
      <w:tr w:rsidR="008A1327">
        <w:tc>
          <w:tcPr>
            <w:tcW w:w="0" w:type="auto"/>
            <w:vAlign w:val="center"/>
          </w:tcPr>
          <w:p w:rsidR="008A1327" w:rsidRDefault="00580060">
            <w:pPr>
              <w:jc w:val="center"/>
            </w:pPr>
            <w:r>
              <w:rPr>
                <w:color w:val="000000"/>
                <w:kern w:val="0"/>
                <w:sz w:val="24"/>
                <w:szCs w:val="24"/>
              </w:rPr>
              <w:t>3</w:t>
            </w:r>
          </w:p>
        </w:tc>
        <w:tc>
          <w:tcPr>
            <w:tcW w:w="0" w:type="auto"/>
            <w:vAlign w:val="center"/>
          </w:tcPr>
          <w:p w:rsidR="008A1327" w:rsidRDefault="00580060">
            <w:pPr>
              <w:jc w:val="center"/>
            </w:pPr>
            <w:r>
              <w:rPr>
                <w:color w:val="000000"/>
                <w:kern w:val="0"/>
                <w:sz w:val="24"/>
                <w:szCs w:val="24"/>
              </w:rPr>
              <w:t>601319</w:t>
            </w:r>
          </w:p>
        </w:tc>
        <w:tc>
          <w:tcPr>
            <w:tcW w:w="0" w:type="auto"/>
            <w:vAlign w:val="center"/>
          </w:tcPr>
          <w:p w:rsidR="008A1327" w:rsidRDefault="00580060">
            <w:pPr>
              <w:jc w:val="center"/>
            </w:pPr>
            <w:r>
              <w:rPr>
                <w:color w:val="000000"/>
                <w:kern w:val="0"/>
                <w:sz w:val="24"/>
                <w:szCs w:val="24"/>
              </w:rPr>
              <w:t>中国人保</w:t>
            </w:r>
          </w:p>
        </w:tc>
        <w:tc>
          <w:tcPr>
            <w:tcW w:w="0" w:type="auto"/>
            <w:vAlign w:val="center"/>
          </w:tcPr>
          <w:p w:rsidR="008A1327" w:rsidRDefault="00580060">
            <w:pPr>
              <w:jc w:val="right"/>
            </w:pPr>
            <w:r>
              <w:rPr>
                <w:color w:val="000000"/>
                <w:kern w:val="0"/>
                <w:sz w:val="24"/>
                <w:szCs w:val="24"/>
              </w:rPr>
              <w:t>74,850,000</w:t>
            </w:r>
          </w:p>
        </w:tc>
        <w:tc>
          <w:tcPr>
            <w:tcW w:w="0" w:type="auto"/>
            <w:vAlign w:val="center"/>
          </w:tcPr>
          <w:p w:rsidR="008A1327" w:rsidRDefault="00580060">
            <w:pPr>
              <w:jc w:val="right"/>
            </w:pPr>
            <w:r>
              <w:rPr>
                <w:color w:val="000000"/>
                <w:kern w:val="0"/>
                <w:sz w:val="24"/>
                <w:szCs w:val="24"/>
              </w:rPr>
              <w:t>568,111,500.00</w:t>
            </w:r>
          </w:p>
        </w:tc>
        <w:tc>
          <w:tcPr>
            <w:tcW w:w="0" w:type="auto"/>
            <w:vAlign w:val="center"/>
          </w:tcPr>
          <w:p w:rsidR="008A1327" w:rsidRDefault="00580060">
            <w:pPr>
              <w:jc w:val="right"/>
            </w:pPr>
            <w:r>
              <w:rPr>
                <w:color w:val="000000"/>
                <w:kern w:val="0"/>
                <w:sz w:val="24"/>
                <w:szCs w:val="24"/>
              </w:rPr>
              <w:t>2.13</w:t>
            </w:r>
          </w:p>
        </w:tc>
      </w:tr>
      <w:tr w:rsidR="008A1327">
        <w:tc>
          <w:tcPr>
            <w:tcW w:w="0" w:type="auto"/>
            <w:vAlign w:val="center"/>
          </w:tcPr>
          <w:p w:rsidR="008A1327" w:rsidRDefault="00580060">
            <w:pPr>
              <w:jc w:val="center"/>
            </w:pPr>
            <w:r>
              <w:rPr>
                <w:color w:val="000000"/>
                <w:kern w:val="0"/>
                <w:sz w:val="24"/>
                <w:szCs w:val="24"/>
              </w:rPr>
              <w:t>4</w:t>
            </w:r>
          </w:p>
        </w:tc>
        <w:tc>
          <w:tcPr>
            <w:tcW w:w="0" w:type="auto"/>
            <w:vAlign w:val="center"/>
          </w:tcPr>
          <w:p w:rsidR="008A1327" w:rsidRDefault="00580060">
            <w:pPr>
              <w:jc w:val="center"/>
            </w:pPr>
            <w:r>
              <w:rPr>
                <w:color w:val="000000"/>
                <w:kern w:val="0"/>
                <w:sz w:val="24"/>
                <w:szCs w:val="24"/>
              </w:rPr>
              <w:t>600887</w:t>
            </w:r>
          </w:p>
        </w:tc>
        <w:tc>
          <w:tcPr>
            <w:tcW w:w="0" w:type="auto"/>
            <w:vAlign w:val="center"/>
          </w:tcPr>
          <w:p w:rsidR="008A1327" w:rsidRDefault="00580060">
            <w:pPr>
              <w:jc w:val="center"/>
            </w:pPr>
            <w:r>
              <w:rPr>
                <w:color w:val="000000"/>
                <w:kern w:val="0"/>
                <w:sz w:val="24"/>
                <w:szCs w:val="24"/>
              </w:rPr>
              <w:t>伊利股份</w:t>
            </w:r>
          </w:p>
        </w:tc>
        <w:tc>
          <w:tcPr>
            <w:tcW w:w="0" w:type="auto"/>
            <w:vAlign w:val="center"/>
          </w:tcPr>
          <w:p w:rsidR="008A1327" w:rsidRDefault="00580060">
            <w:pPr>
              <w:jc w:val="right"/>
            </w:pPr>
            <w:r>
              <w:rPr>
                <w:color w:val="000000"/>
                <w:kern w:val="0"/>
                <w:sz w:val="24"/>
                <w:szCs w:val="24"/>
              </w:rPr>
              <w:t>6,479,994</w:t>
            </w:r>
          </w:p>
        </w:tc>
        <w:tc>
          <w:tcPr>
            <w:tcW w:w="0" w:type="auto"/>
            <w:vAlign w:val="center"/>
          </w:tcPr>
          <w:p w:rsidR="008A1327" w:rsidRDefault="00580060">
            <w:pPr>
              <w:jc w:val="right"/>
            </w:pPr>
            <w:r>
              <w:rPr>
                <w:color w:val="000000"/>
                <w:kern w:val="0"/>
                <w:sz w:val="24"/>
                <w:szCs w:val="24"/>
              </w:rPr>
              <w:t>200,491,014.36</w:t>
            </w:r>
          </w:p>
        </w:tc>
        <w:tc>
          <w:tcPr>
            <w:tcW w:w="0" w:type="auto"/>
            <w:vAlign w:val="center"/>
          </w:tcPr>
          <w:p w:rsidR="008A1327" w:rsidRDefault="00580060">
            <w:pPr>
              <w:jc w:val="right"/>
            </w:pPr>
            <w:r>
              <w:rPr>
                <w:color w:val="000000"/>
                <w:kern w:val="0"/>
                <w:sz w:val="24"/>
                <w:szCs w:val="24"/>
              </w:rPr>
              <w:t>0.75</w:t>
            </w:r>
          </w:p>
        </w:tc>
      </w:tr>
      <w:tr w:rsidR="008A1327">
        <w:tc>
          <w:tcPr>
            <w:tcW w:w="0" w:type="auto"/>
            <w:vAlign w:val="center"/>
          </w:tcPr>
          <w:p w:rsidR="008A1327" w:rsidRDefault="00580060">
            <w:pPr>
              <w:jc w:val="center"/>
            </w:pPr>
            <w:r>
              <w:rPr>
                <w:color w:val="000000"/>
                <w:kern w:val="0"/>
                <w:sz w:val="24"/>
                <w:szCs w:val="24"/>
              </w:rPr>
              <w:t>5</w:t>
            </w:r>
          </w:p>
        </w:tc>
        <w:tc>
          <w:tcPr>
            <w:tcW w:w="0" w:type="auto"/>
            <w:vAlign w:val="center"/>
          </w:tcPr>
          <w:p w:rsidR="008A1327" w:rsidRDefault="00580060">
            <w:pPr>
              <w:jc w:val="center"/>
            </w:pPr>
            <w:r>
              <w:rPr>
                <w:color w:val="000000"/>
                <w:kern w:val="0"/>
                <w:sz w:val="24"/>
                <w:szCs w:val="24"/>
              </w:rPr>
              <w:t>000002</w:t>
            </w:r>
          </w:p>
        </w:tc>
        <w:tc>
          <w:tcPr>
            <w:tcW w:w="0" w:type="auto"/>
            <w:vAlign w:val="center"/>
          </w:tcPr>
          <w:p w:rsidR="008A1327" w:rsidRDefault="00580060">
            <w:pPr>
              <w:jc w:val="center"/>
            </w:pPr>
            <w:r>
              <w:rPr>
                <w:color w:val="000000"/>
                <w:kern w:val="0"/>
                <w:sz w:val="24"/>
                <w:szCs w:val="24"/>
              </w:rPr>
              <w:t>万科</w:t>
            </w:r>
            <w:r>
              <w:rPr>
                <w:color w:val="000000"/>
                <w:kern w:val="0"/>
                <w:sz w:val="24"/>
                <w:szCs w:val="24"/>
              </w:rPr>
              <w:t>A</w:t>
            </w:r>
          </w:p>
        </w:tc>
        <w:tc>
          <w:tcPr>
            <w:tcW w:w="0" w:type="auto"/>
            <w:vAlign w:val="center"/>
          </w:tcPr>
          <w:p w:rsidR="008A1327" w:rsidRDefault="00580060">
            <w:pPr>
              <w:jc w:val="right"/>
            </w:pPr>
            <w:r>
              <w:rPr>
                <w:color w:val="000000"/>
                <w:kern w:val="0"/>
                <w:sz w:val="24"/>
                <w:szCs w:val="24"/>
              </w:rPr>
              <w:t>4,452,000</w:t>
            </w:r>
          </w:p>
        </w:tc>
        <w:tc>
          <w:tcPr>
            <w:tcW w:w="0" w:type="auto"/>
            <w:vAlign w:val="center"/>
          </w:tcPr>
          <w:p w:rsidR="008A1327" w:rsidRDefault="00580060">
            <w:pPr>
              <w:jc w:val="right"/>
            </w:pPr>
            <w:r>
              <w:rPr>
                <w:color w:val="000000"/>
                <w:kern w:val="0"/>
                <w:sz w:val="24"/>
                <w:szCs w:val="24"/>
              </w:rPr>
              <w:t>143,265,360.00</w:t>
            </w:r>
          </w:p>
        </w:tc>
        <w:tc>
          <w:tcPr>
            <w:tcW w:w="0" w:type="auto"/>
            <w:vAlign w:val="center"/>
          </w:tcPr>
          <w:p w:rsidR="008A1327" w:rsidRDefault="00580060">
            <w:pPr>
              <w:jc w:val="right"/>
            </w:pPr>
            <w:r>
              <w:rPr>
                <w:color w:val="000000"/>
                <w:kern w:val="0"/>
                <w:sz w:val="24"/>
                <w:szCs w:val="24"/>
              </w:rPr>
              <w:t>0.54</w:t>
            </w:r>
          </w:p>
        </w:tc>
      </w:tr>
      <w:tr w:rsidR="008A1327">
        <w:tc>
          <w:tcPr>
            <w:tcW w:w="0" w:type="auto"/>
            <w:vAlign w:val="center"/>
          </w:tcPr>
          <w:p w:rsidR="008A1327" w:rsidRDefault="00580060">
            <w:pPr>
              <w:jc w:val="center"/>
            </w:pPr>
            <w:r>
              <w:rPr>
                <w:color w:val="000000"/>
                <w:kern w:val="0"/>
                <w:sz w:val="24"/>
                <w:szCs w:val="24"/>
              </w:rPr>
              <w:t>6</w:t>
            </w:r>
          </w:p>
        </w:tc>
        <w:tc>
          <w:tcPr>
            <w:tcW w:w="0" w:type="auto"/>
            <w:vAlign w:val="center"/>
          </w:tcPr>
          <w:p w:rsidR="008A1327" w:rsidRDefault="00580060">
            <w:pPr>
              <w:jc w:val="center"/>
            </w:pPr>
            <w:r>
              <w:rPr>
                <w:color w:val="000000"/>
                <w:kern w:val="0"/>
                <w:sz w:val="24"/>
                <w:szCs w:val="24"/>
              </w:rPr>
              <w:t>600048</w:t>
            </w:r>
          </w:p>
        </w:tc>
        <w:tc>
          <w:tcPr>
            <w:tcW w:w="0" w:type="auto"/>
            <w:vAlign w:val="center"/>
          </w:tcPr>
          <w:p w:rsidR="008A1327" w:rsidRDefault="00580060">
            <w:pPr>
              <w:jc w:val="center"/>
            </w:pPr>
            <w:r>
              <w:rPr>
                <w:color w:val="000000"/>
                <w:kern w:val="0"/>
                <w:sz w:val="24"/>
                <w:szCs w:val="24"/>
              </w:rPr>
              <w:t>保利地产</w:t>
            </w:r>
          </w:p>
        </w:tc>
        <w:tc>
          <w:tcPr>
            <w:tcW w:w="0" w:type="auto"/>
            <w:vAlign w:val="center"/>
          </w:tcPr>
          <w:p w:rsidR="008A1327" w:rsidRDefault="00580060">
            <w:pPr>
              <w:jc w:val="right"/>
            </w:pPr>
            <w:r>
              <w:rPr>
                <w:color w:val="000000"/>
                <w:kern w:val="0"/>
                <w:sz w:val="24"/>
                <w:szCs w:val="24"/>
              </w:rPr>
              <w:t>4,999,000</w:t>
            </w:r>
          </w:p>
        </w:tc>
        <w:tc>
          <w:tcPr>
            <w:tcW w:w="0" w:type="auto"/>
            <w:vAlign w:val="center"/>
          </w:tcPr>
          <w:p w:rsidR="008A1327" w:rsidRDefault="00580060">
            <w:pPr>
              <w:jc w:val="right"/>
            </w:pPr>
            <w:r>
              <w:rPr>
                <w:color w:val="000000"/>
                <w:kern w:val="0"/>
                <w:sz w:val="24"/>
                <w:szCs w:val="24"/>
              </w:rPr>
              <w:t>80,883,820.00</w:t>
            </w:r>
          </w:p>
        </w:tc>
        <w:tc>
          <w:tcPr>
            <w:tcW w:w="0" w:type="auto"/>
            <w:vAlign w:val="center"/>
          </w:tcPr>
          <w:p w:rsidR="008A1327" w:rsidRDefault="00580060">
            <w:pPr>
              <w:jc w:val="right"/>
            </w:pPr>
            <w:r>
              <w:rPr>
                <w:color w:val="000000"/>
                <w:kern w:val="0"/>
                <w:sz w:val="24"/>
                <w:szCs w:val="24"/>
              </w:rPr>
              <w:t>0.30</w:t>
            </w:r>
          </w:p>
        </w:tc>
      </w:tr>
      <w:tr w:rsidR="008A1327">
        <w:tc>
          <w:tcPr>
            <w:tcW w:w="0" w:type="auto"/>
            <w:vAlign w:val="center"/>
          </w:tcPr>
          <w:p w:rsidR="008A1327" w:rsidRDefault="00580060">
            <w:pPr>
              <w:jc w:val="center"/>
            </w:pPr>
            <w:r>
              <w:rPr>
                <w:color w:val="000000"/>
                <w:kern w:val="0"/>
                <w:sz w:val="24"/>
                <w:szCs w:val="24"/>
              </w:rPr>
              <w:t>7</w:t>
            </w:r>
          </w:p>
        </w:tc>
        <w:tc>
          <w:tcPr>
            <w:tcW w:w="0" w:type="auto"/>
            <w:vAlign w:val="center"/>
          </w:tcPr>
          <w:p w:rsidR="008A1327" w:rsidRDefault="00580060">
            <w:pPr>
              <w:jc w:val="center"/>
            </w:pPr>
            <w:r>
              <w:rPr>
                <w:color w:val="000000"/>
                <w:kern w:val="0"/>
                <w:sz w:val="24"/>
                <w:szCs w:val="24"/>
              </w:rPr>
              <w:t>000651</w:t>
            </w:r>
          </w:p>
        </w:tc>
        <w:tc>
          <w:tcPr>
            <w:tcW w:w="0" w:type="auto"/>
            <w:vAlign w:val="center"/>
          </w:tcPr>
          <w:p w:rsidR="008A1327" w:rsidRDefault="00580060">
            <w:pPr>
              <w:jc w:val="center"/>
            </w:pPr>
            <w:r>
              <w:rPr>
                <w:color w:val="000000"/>
                <w:kern w:val="0"/>
                <w:sz w:val="24"/>
                <w:szCs w:val="24"/>
              </w:rPr>
              <w:t>格力电器</w:t>
            </w:r>
          </w:p>
        </w:tc>
        <w:tc>
          <w:tcPr>
            <w:tcW w:w="0" w:type="auto"/>
            <w:vAlign w:val="center"/>
          </w:tcPr>
          <w:p w:rsidR="008A1327" w:rsidRDefault="00580060">
            <w:pPr>
              <w:jc w:val="right"/>
            </w:pPr>
            <w:r>
              <w:rPr>
                <w:color w:val="000000"/>
                <w:kern w:val="0"/>
                <w:sz w:val="24"/>
                <w:szCs w:val="24"/>
              </w:rPr>
              <w:t>1,225,743</w:t>
            </w:r>
          </w:p>
        </w:tc>
        <w:tc>
          <w:tcPr>
            <w:tcW w:w="0" w:type="auto"/>
            <w:vAlign w:val="center"/>
          </w:tcPr>
          <w:p w:rsidR="008A1327" w:rsidRDefault="00580060">
            <w:pPr>
              <w:jc w:val="right"/>
            </w:pPr>
            <w:r>
              <w:rPr>
                <w:color w:val="000000"/>
                <w:kern w:val="0"/>
                <w:sz w:val="24"/>
                <w:szCs w:val="24"/>
              </w:rPr>
              <w:t>80,384,225.94</w:t>
            </w:r>
          </w:p>
        </w:tc>
        <w:tc>
          <w:tcPr>
            <w:tcW w:w="0" w:type="auto"/>
            <w:vAlign w:val="center"/>
          </w:tcPr>
          <w:p w:rsidR="008A1327" w:rsidRDefault="00580060">
            <w:pPr>
              <w:jc w:val="right"/>
            </w:pPr>
            <w:r>
              <w:rPr>
                <w:color w:val="000000"/>
                <w:kern w:val="0"/>
                <w:sz w:val="24"/>
                <w:szCs w:val="24"/>
              </w:rPr>
              <w:t>0.30</w:t>
            </w:r>
          </w:p>
        </w:tc>
      </w:tr>
      <w:tr w:rsidR="008A1327">
        <w:tc>
          <w:tcPr>
            <w:tcW w:w="0" w:type="auto"/>
            <w:vAlign w:val="center"/>
          </w:tcPr>
          <w:p w:rsidR="008A1327" w:rsidRDefault="00580060">
            <w:pPr>
              <w:jc w:val="center"/>
            </w:pPr>
            <w:r>
              <w:rPr>
                <w:color w:val="000000"/>
                <w:kern w:val="0"/>
                <w:sz w:val="24"/>
                <w:szCs w:val="24"/>
              </w:rPr>
              <w:t>8</w:t>
            </w:r>
          </w:p>
        </w:tc>
        <w:tc>
          <w:tcPr>
            <w:tcW w:w="0" w:type="auto"/>
            <w:vAlign w:val="center"/>
          </w:tcPr>
          <w:p w:rsidR="008A1327" w:rsidRDefault="00580060">
            <w:pPr>
              <w:jc w:val="center"/>
            </w:pPr>
            <w:r>
              <w:rPr>
                <w:color w:val="000000"/>
                <w:kern w:val="0"/>
                <w:sz w:val="24"/>
                <w:szCs w:val="24"/>
              </w:rPr>
              <w:t>000423</w:t>
            </w:r>
          </w:p>
        </w:tc>
        <w:tc>
          <w:tcPr>
            <w:tcW w:w="0" w:type="auto"/>
            <w:vAlign w:val="center"/>
          </w:tcPr>
          <w:p w:rsidR="008A1327" w:rsidRDefault="00580060">
            <w:pPr>
              <w:jc w:val="center"/>
            </w:pPr>
            <w:r>
              <w:rPr>
                <w:color w:val="000000"/>
                <w:kern w:val="0"/>
                <w:sz w:val="24"/>
                <w:szCs w:val="24"/>
              </w:rPr>
              <w:t>东阿阿胶</w:t>
            </w:r>
          </w:p>
        </w:tc>
        <w:tc>
          <w:tcPr>
            <w:tcW w:w="0" w:type="auto"/>
            <w:vAlign w:val="center"/>
          </w:tcPr>
          <w:p w:rsidR="008A1327" w:rsidRDefault="00580060">
            <w:pPr>
              <w:jc w:val="right"/>
            </w:pPr>
            <w:r>
              <w:rPr>
                <w:color w:val="000000"/>
                <w:kern w:val="0"/>
                <w:sz w:val="24"/>
                <w:szCs w:val="24"/>
              </w:rPr>
              <w:t>1,893,730</w:t>
            </w:r>
          </w:p>
        </w:tc>
        <w:tc>
          <w:tcPr>
            <w:tcW w:w="0" w:type="auto"/>
            <w:vAlign w:val="center"/>
          </w:tcPr>
          <w:p w:rsidR="008A1327" w:rsidRDefault="00580060">
            <w:pPr>
              <w:jc w:val="right"/>
            </w:pPr>
            <w:r>
              <w:rPr>
                <w:color w:val="000000"/>
                <w:kern w:val="0"/>
                <w:sz w:val="24"/>
                <w:szCs w:val="24"/>
              </w:rPr>
              <w:t>66,981,230.10</w:t>
            </w:r>
          </w:p>
        </w:tc>
        <w:tc>
          <w:tcPr>
            <w:tcW w:w="0" w:type="auto"/>
            <w:vAlign w:val="center"/>
          </w:tcPr>
          <w:p w:rsidR="008A1327" w:rsidRDefault="00580060">
            <w:pPr>
              <w:jc w:val="right"/>
            </w:pPr>
            <w:r>
              <w:rPr>
                <w:color w:val="000000"/>
                <w:kern w:val="0"/>
                <w:sz w:val="24"/>
                <w:szCs w:val="24"/>
              </w:rPr>
              <w:t>0.25</w:t>
            </w:r>
          </w:p>
        </w:tc>
      </w:tr>
      <w:tr w:rsidR="008A1327">
        <w:tc>
          <w:tcPr>
            <w:tcW w:w="0" w:type="auto"/>
            <w:vAlign w:val="center"/>
          </w:tcPr>
          <w:p w:rsidR="008A1327" w:rsidRDefault="00580060">
            <w:pPr>
              <w:jc w:val="center"/>
            </w:pPr>
            <w:r>
              <w:rPr>
                <w:color w:val="000000"/>
                <w:kern w:val="0"/>
                <w:sz w:val="24"/>
                <w:szCs w:val="24"/>
              </w:rPr>
              <w:t>9</w:t>
            </w:r>
          </w:p>
        </w:tc>
        <w:tc>
          <w:tcPr>
            <w:tcW w:w="0" w:type="auto"/>
            <w:vAlign w:val="center"/>
          </w:tcPr>
          <w:p w:rsidR="008A1327" w:rsidRDefault="00580060">
            <w:pPr>
              <w:jc w:val="center"/>
            </w:pPr>
            <w:r>
              <w:rPr>
                <w:color w:val="000000"/>
                <w:kern w:val="0"/>
                <w:sz w:val="24"/>
                <w:szCs w:val="24"/>
              </w:rPr>
              <w:t>600486</w:t>
            </w:r>
          </w:p>
        </w:tc>
        <w:tc>
          <w:tcPr>
            <w:tcW w:w="0" w:type="auto"/>
            <w:vAlign w:val="center"/>
          </w:tcPr>
          <w:p w:rsidR="008A1327" w:rsidRDefault="00580060">
            <w:pPr>
              <w:jc w:val="center"/>
            </w:pPr>
            <w:r>
              <w:rPr>
                <w:color w:val="000000"/>
                <w:kern w:val="0"/>
                <w:sz w:val="24"/>
                <w:szCs w:val="24"/>
              </w:rPr>
              <w:t>扬农化工</w:t>
            </w:r>
          </w:p>
        </w:tc>
        <w:tc>
          <w:tcPr>
            <w:tcW w:w="0" w:type="auto"/>
            <w:vAlign w:val="center"/>
          </w:tcPr>
          <w:p w:rsidR="008A1327" w:rsidRDefault="00580060">
            <w:pPr>
              <w:jc w:val="right"/>
            </w:pPr>
            <w:r>
              <w:rPr>
                <w:color w:val="000000"/>
                <w:kern w:val="0"/>
                <w:sz w:val="24"/>
                <w:szCs w:val="24"/>
              </w:rPr>
              <w:t>805,039</w:t>
            </w:r>
          </w:p>
        </w:tc>
        <w:tc>
          <w:tcPr>
            <w:tcW w:w="0" w:type="auto"/>
            <w:vAlign w:val="center"/>
          </w:tcPr>
          <w:p w:rsidR="008A1327" w:rsidRDefault="00580060">
            <w:pPr>
              <w:jc w:val="right"/>
            </w:pPr>
            <w:r>
              <w:rPr>
                <w:color w:val="000000"/>
                <w:kern w:val="0"/>
                <w:sz w:val="24"/>
                <w:szCs w:val="24"/>
              </w:rPr>
              <w:t>55,249,826.57</w:t>
            </w:r>
          </w:p>
        </w:tc>
        <w:tc>
          <w:tcPr>
            <w:tcW w:w="0" w:type="auto"/>
            <w:vAlign w:val="center"/>
          </w:tcPr>
          <w:p w:rsidR="008A1327" w:rsidRDefault="00580060">
            <w:pPr>
              <w:jc w:val="right"/>
            </w:pPr>
            <w:r>
              <w:rPr>
                <w:color w:val="000000"/>
                <w:kern w:val="0"/>
                <w:sz w:val="24"/>
                <w:szCs w:val="24"/>
              </w:rPr>
              <w:t>0.21</w:t>
            </w:r>
          </w:p>
        </w:tc>
      </w:tr>
      <w:tr w:rsidR="008A1327">
        <w:tc>
          <w:tcPr>
            <w:tcW w:w="0" w:type="auto"/>
            <w:vAlign w:val="center"/>
          </w:tcPr>
          <w:p w:rsidR="008A1327" w:rsidRDefault="00580060">
            <w:pPr>
              <w:jc w:val="center"/>
            </w:pPr>
            <w:r>
              <w:rPr>
                <w:color w:val="000000"/>
                <w:kern w:val="0"/>
                <w:sz w:val="24"/>
                <w:szCs w:val="24"/>
              </w:rPr>
              <w:t>10</w:t>
            </w:r>
          </w:p>
        </w:tc>
        <w:tc>
          <w:tcPr>
            <w:tcW w:w="0" w:type="auto"/>
            <w:vAlign w:val="center"/>
          </w:tcPr>
          <w:p w:rsidR="008A1327" w:rsidRDefault="00580060">
            <w:pPr>
              <w:jc w:val="center"/>
            </w:pPr>
            <w:r>
              <w:rPr>
                <w:color w:val="000000"/>
                <w:kern w:val="0"/>
                <w:sz w:val="24"/>
                <w:szCs w:val="24"/>
              </w:rPr>
              <w:t>600886</w:t>
            </w:r>
          </w:p>
        </w:tc>
        <w:tc>
          <w:tcPr>
            <w:tcW w:w="0" w:type="auto"/>
            <w:vAlign w:val="center"/>
          </w:tcPr>
          <w:p w:rsidR="008A1327" w:rsidRDefault="00580060">
            <w:pPr>
              <w:jc w:val="center"/>
            </w:pPr>
            <w:r>
              <w:rPr>
                <w:color w:val="000000"/>
                <w:kern w:val="0"/>
                <w:sz w:val="24"/>
                <w:szCs w:val="24"/>
              </w:rPr>
              <w:t>国投电力</w:t>
            </w:r>
          </w:p>
        </w:tc>
        <w:tc>
          <w:tcPr>
            <w:tcW w:w="0" w:type="auto"/>
            <w:vAlign w:val="center"/>
          </w:tcPr>
          <w:p w:rsidR="008A1327" w:rsidRDefault="00580060">
            <w:pPr>
              <w:jc w:val="right"/>
            </w:pPr>
            <w:r>
              <w:rPr>
                <w:color w:val="000000"/>
                <w:kern w:val="0"/>
                <w:sz w:val="24"/>
                <w:szCs w:val="24"/>
              </w:rPr>
              <w:t>4,401,080</w:t>
            </w:r>
          </w:p>
        </w:tc>
        <w:tc>
          <w:tcPr>
            <w:tcW w:w="0" w:type="auto"/>
            <w:vAlign w:val="center"/>
          </w:tcPr>
          <w:p w:rsidR="008A1327" w:rsidRDefault="00580060">
            <w:pPr>
              <w:jc w:val="right"/>
            </w:pPr>
            <w:r>
              <w:rPr>
                <w:color w:val="000000"/>
                <w:kern w:val="0"/>
                <w:sz w:val="24"/>
                <w:szCs w:val="24"/>
              </w:rPr>
              <w:t>40,401,914.40</w:t>
            </w:r>
          </w:p>
        </w:tc>
        <w:tc>
          <w:tcPr>
            <w:tcW w:w="0" w:type="auto"/>
            <w:vAlign w:val="center"/>
          </w:tcPr>
          <w:p w:rsidR="008A1327" w:rsidRDefault="00580060">
            <w:pPr>
              <w:jc w:val="right"/>
            </w:pPr>
            <w:r>
              <w:rPr>
                <w:color w:val="000000"/>
                <w:kern w:val="0"/>
                <w:sz w:val="24"/>
                <w:szCs w:val="24"/>
              </w:rPr>
              <w:t>0.15</w:t>
            </w:r>
          </w:p>
        </w:tc>
      </w:tr>
    </w:tbl>
    <w:p w:rsidR="00CA4677" w:rsidRPr="00283CAD" w:rsidRDefault="00750D48" w:rsidP="00CA4677">
      <w:pPr>
        <w:autoSpaceDE w:val="0"/>
        <w:autoSpaceDN w:val="0"/>
        <w:adjustRightInd w:val="0"/>
        <w:spacing w:line="360" w:lineRule="auto"/>
        <w:jc w:val="left"/>
        <w:rPr>
          <w:rFonts w:eastAsiaTheme="minorEastAsia"/>
          <w:b/>
          <w:bCs/>
          <w:color w:val="000000" w:themeColor="text1"/>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tbl>
      <w:tblPr>
        <w:tblStyle w:val="af7"/>
        <w:tblW w:w="8755" w:type="dxa"/>
        <w:jc w:val="center"/>
        <w:tblLayout w:type="fixed"/>
        <w:tblLook w:val="04A0" w:firstRow="1" w:lastRow="0" w:firstColumn="1" w:lastColumn="0" w:noHBand="0" w:noVBand="1"/>
      </w:tblPr>
      <w:tblGrid>
        <w:gridCol w:w="817"/>
        <w:gridCol w:w="3260"/>
        <w:gridCol w:w="2949"/>
        <w:gridCol w:w="1729"/>
      </w:tblGrid>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序号</w:t>
            </w:r>
          </w:p>
        </w:tc>
        <w:tc>
          <w:tcPr>
            <w:tcW w:w="3260"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债券品种</w:t>
            </w:r>
          </w:p>
        </w:tc>
        <w:tc>
          <w:tcPr>
            <w:tcW w:w="294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公允价值</w:t>
            </w:r>
            <w:r w:rsidRPr="00283CAD">
              <w:rPr>
                <w:rFonts w:eastAsiaTheme="minorEastAsia"/>
                <w:color w:val="000000" w:themeColor="text1"/>
                <w:sz w:val="24"/>
                <w:szCs w:val="24"/>
              </w:rPr>
              <w:t>(</w:t>
            </w:r>
            <w:r w:rsidRPr="00283CAD">
              <w:rPr>
                <w:rFonts w:eastAsiaTheme="minorEastAsia"/>
                <w:color w:val="000000" w:themeColor="text1"/>
                <w:sz w:val="24"/>
                <w:szCs w:val="24"/>
              </w:rPr>
              <w:t>元</w:t>
            </w: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占基金资产净值比例</w:t>
            </w:r>
            <w:r w:rsidRPr="00283CAD">
              <w:rPr>
                <w:rFonts w:eastAsiaTheme="minorEastAsia"/>
                <w:color w:val="000000" w:themeColor="text1"/>
                <w:sz w:val="24"/>
                <w:szCs w:val="24"/>
              </w:rPr>
              <w:t>(</w:t>
            </w:r>
            <w:r w:rsidRPr="00283CAD">
              <w:rPr>
                <w:rFonts w:eastAsiaTheme="minorEastAsia"/>
                <w:color w:val="000000" w:themeColor="text1"/>
                <w:sz w:val="24"/>
                <w:szCs w:val="24"/>
              </w:rPr>
              <w:t>％</w:t>
            </w: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国家债券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2</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央行票据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3</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金融债券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2,857,608,000.00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10.72</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其中：政策性金融债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2,857,608,000.00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10.72</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4</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2,441,562,900.00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9.16</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5</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企业短期融资券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6</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中期票据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3,565,993,000.00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13.38</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7</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可转债</w:t>
            </w:r>
            <w:r w:rsidR="004B5343" w:rsidRPr="004B5343">
              <w:rPr>
                <w:rFonts w:eastAsiaTheme="minorEastAsia" w:hint="eastAsia"/>
                <w:color w:val="000000" w:themeColor="text1"/>
                <w:sz w:val="24"/>
                <w:szCs w:val="24"/>
              </w:rPr>
              <w:t>（可交换债）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8</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同业存单</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13,720,324,000.00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51.48</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9</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其他</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10</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合计</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22,585,487,900.00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84.74</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276"/>
        <w:gridCol w:w="1275"/>
        <w:gridCol w:w="1560"/>
        <w:gridCol w:w="1984"/>
        <w:gridCol w:w="1474"/>
      </w:tblGrid>
      <w:tr w:rsidR="00750D48" w:rsidRPr="00264E55" w:rsidTr="005602F3">
        <w:tc>
          <w:tcPr>
            <w:tcW w:w="959"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债券代码</w:t>
            </w:r>
          </w:p>
        </w:tc>
        <w:tc>
          <w:tcPr>
            <w:tcW w:w="1275"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债券名称</w:t>
            </w:r>
          </w:p>
        </w:tc>
        <w:tc>
          <w:tcPr>
            <w:tcW w:w="1560"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（张）</w:t>
            </w:r>
          </w:p>
        </w:tc>
        <w:tc>
          <w:tcPr>
            <w:tcW w:w="198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47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8A1327">
        <w:tc>
          <w:tcPr>
            <w:tcW w:w="0" w:type="auto"/>
            <w:vAlign w:val="center"/>
          </w:tcPr>
          <w:p w:rsidR="008A1327" w:rsidRDefault="00580060">
            <w:pPr>
              <w:jc w:val="center"/>
            </w:pPr>
            <w:r>
              <w:rPr>
                <w:color w:val="000000"/>
                <w:kern w:val="0"/>
                <w:sz w:val="24"/>
                <w:szCs w:val="24"/>
              </w:rPr>
              <w:t>1</w:t>
            </w:r>
          </w:p>
        </w:tc>
        <w:tc>
          <w:tcPr>
            <w:tcW w:w="0" w:type="auto"/>
            <w:vAlign w:val="center"/>
          </w:tcPr>
          <w:p w:rsidR="008A1327" w:rsidRDefault="00580060">
            <w:pPr>
              <w:jc w:val="center"/>
            </w:pPr>
            <w:r>
              <w:rPr>
                <w:color w:val="000000"/>
                <w:kern w:val="0"/>
                <w:sz w:val="24"/>
                <w:szCs w:val="24"/>
              </w:rPr>
              <w:t>111907049</w:t>
            </w:r>
          </w:p>
        </w:tc>
        <w:tc>
          <w:tcPr>
            <w:tcW w:w="0" w:type="auto"/>
            <w:vAlign w:val="center"/>
          </w:tcPr>
          <w:p w:rsidR="008A1327" w:rsidRDefault="00580060">
            <w:pPr>
              <w:jc w:val="center"/>
            </w:pPr>
            <w:r>
              <w:rPr>
                <w:color w:val="000000"/>
                <w:kern w:val="0"/>
                <w:sz w:val="24"/>
                <w:szCs w:val="24"/>
              </w:rPr>
              <w:t>19</w:t>
            </w:r>
            <w:r>
              <w:rPr>
                <w:color w:val="000000"/>
                <w:kern w:val="0"/>
                <w:sz w:val="24"/>
                <w:szCs w:val="24"/>
              </w:rPr>
              <w:t>招商银行</w:t>
            </w:r>
            <w:r>
              <w:rPr>
                <w:color w:val="000000"/>
                <w:kern w:val="0"/>
                <w:sz w:val="24"/>
                <w:szCs w:val="24"/>
              </w:rPr>
              <w:t>CD049</w:t>
            </w:r>
          </w:p>
        </w:tc>
        <w:tc>
          <w:tcPr>
            <w:tcW w:w="0" w:type="auto"/>
            <w:vAlign w:val="center"/>
          </w:tcPr>
          <w:p w:rsidR="008A1327" w:rsidRDefault="00580060">
            <w:pPr>
              <w:jc w:val="right"/>
            </w:pPr>
            <w:r>
              <w:rPr>
                <w:color w:val="000000"/>
                <w:kern w:val="0"/>
                <w:sz w:val="24"/>
                <w:szCs w:val="24"/>
              </w:rPr>
              <w:t>20,000,000</w:t>
            </w:r>
          </w:p>
        </w:tc>
        <w:tc>
          <w:tcPr>
            <w:tcW w:w="0" w:type="auto"/>
            <w:vAlign w:val="center"/>
          </w:tcPr>
          <w:p w:rsidR="008A1327" w:rsidRDefault="00580060">
            <w:pPr>
              <w:jc w:val="right"/>
            </w:pPr>
            <w:r>
              <w:rPr>
                <w:color w:val="000000"/>
                <w:kern w:val="0"/>
                <w:sz w:val="24"/>
                <w:szCs w:val="24"/>
              </w:rPr>
              <w:t>1,941,800,000.00</w:t>
            </w:r>
          </w:p>
        </w:tc>
        <w:tc>
          <w:tcPr>
            <w:tcW w:w="0" w:type="auto"/>
            <w:vAlign w:val="center"/>
          </w:tcPr>
          <w:p w:rsidR="008A1327" w:rsidRDefault="00580060">
            <w:pPr>
              <w:jc w:val="right"/>
            </w:pPr>
            <w:r>
              <w:rPr>
                <w:color w:val="000000"/>
                <w:kern w:val="0"/>
                <w:sz w:val="24"/>
                <w:szCs w:val="24"/>
              </w:rPr>
              <w:t>7.29</w:t>
            </w:r>
          </w:p>
        </w:tc>
      </w:tr>
      <w:tr w:rsidR="008A1327">
        <w:tc>
          <w:tcPr>
            <w:tcW w:w="0" w:type="auto"/>
            <w:vAlign w:val="center"/>
          </w:tcPr>
          <w:p w:rsidR="008A1327" w:rsidRDefault="00580060">
            <w:pPr>
              <w:jc w:val="center"/>
            </w:pPr>
            <w:r>
              <w:rPr>
                <w:color w:val="000000"/>
                <w:kern w:val="0"/>
                <w:sz w:val="24"/>
                <w:szCs w:val="24"/>
              </w:rPr>
              <w:t>2</w:t>
            </w:r>
          </w:p>
        </w:tc>
        <w:tc>
          <w:tcPr>
            <w:tcW w:w="0" w:type="auto"/>
            <w:vAlign w:val="center"/>
          </w:tcPr>
          <w:p w:rsidR="008A1327" w:rsidRDefault="00580060">
            <w:pPr>
              <w:jc w:val="center"/>
            </w:pPr>
            <w:r>
              <w:rPr>
                <w:color w:val="000000"/>
                <w:kern w:val="0"/>
                <w:sz w:val="24"/>
                <w:szCs w:val="24"/>
              </w:rPr>
              <w:t>180212</w:t>
            </w:r>
          </w:p>
        </w:tc>
        <w:tc>
          <w:tcPr>
            <w:tcW w:w="0" w:type="auto"/>
            <w:vAlign w:val="center"/>
          </w:tcPr>
          <w:p w:rsidR="008A1327" w:rsidRDefault="00580060">
            <w:pPr>
              <w:jc w:val="center"/>
            </w:pPr>
            <w:r>
              <w:rPr>
                <w:color w:val="000000"/>
                <w:kern w:val="0"/>
                <w:sz w:val="24"/>
                <w:szCs w:val="24"/>
              </w:rPr>
              <w:t>18</w:t>
            </w:r>
            <w:r>
              <w:rPr>
                <w:color w:val="000000"/>
                <w:kern w:val="0"/>
                <w:sz w:val="24"/>
                <w:szCs w:val="24"/>
              </w:rPr>
              <w:t>国开</w:t>
            </w:r>
            <w:r>
              <w:rPr>
                <w:color w:val="000000"/>
                <w:kern w:val="0"/>
                <w:sz w:val="24"/>
                <w:szCs w:val="24"/>
              </w:rPr>
              <w:t>12</w:t>
            </w:r>
          </w:p>
        </w:tc>
        <w:tc>
          <w:tcPr>
            <w:tcW w:w="0" w:type="auto"/>
            <w:vAlign w:val="center"/>
          </w:tcPr>
          <w:p w:rsidR="008A1327" w:rsidRDefault="00580060">
            <w:pPr>
              <w:jc w:val="right"/>
            </w:pPr>
            <w:r>
              <w:rPr>
                <w:color w:val="000000"/>
                <w:kern w:val="0"/>
                <w:sz w:val="24"/>
                <w:szCs w:val="24"/>
              </w:rPr>
              <w:t>18,600,000</w:t>
            </w:r>
          </w:p>
        </w:tc>
        <w:tc>
          <w:tcPr>
            <w:tcW w:w="0" w:type="auto"/>
            <w:vAlign w:val="center"/>
          </w:tcPr>
          <w:p w:rsidR="008A1327" w:rsidRDefault="00580060">
            <w:pPr>
              <w:jc w:val="right"/>
            </w:pPr>
            <w:r>
              <w:rPr>
                <w:color w:val="000000"/>
                <w:kern w:val="0"/>
                <w:sz w:val="24"/>
                <w:szCs w:val="24"/>
              </w:rPr>
              <w:t>1,888,458,000.00</w:t>
            </w:r>
          </w:p>
        </w:tc>
        <w:tc>
          <w:tcPr>
            <w:tcW w:w="0" w:type="auto"/>
            <w:vAlign w:val="center"/>
          </w:tcPr>
          <w:p w:rsidR="008A1327" w:rsidRDefault="00580060">
            <w:pPr>
              <w:jc w:val="right"/>
            </w:pPr>
            <w:r>
              <w:rPr>
                <w:color w:val="000000"/>
                <w:kern w:val="0"/>
                <w:sz w:val="24"/>
                <w:szCs w:val="24"/>
              </w:rPr>
              <w:t>7.09</w:t>
            </w:r>
          </w:p>
        </w:tc>
      </w:tr>
      <w:tr w:rsidR="008A1327">
        <w:tc>
          <w:tcPr>
            <w:tcW w:w="0" w:type="auto"/>
            <w:vAlign w:val="center"/>
          </w:tcPr>
          <w:p w:rsidR="008A1327" w:rsidRDefault="00580060">
            <w:pPr>
              <w:jc w:val="center"/>
            </w:pPr>
            <w:r>
              <w:rPr>
                <w:color w:val="000000"/>
                <w:kern w:val="0"/>
                <w:sz w:val="24"/>
                <w:szCs w:val="24"/>
              </w:rPr>
              <w:t>3</w:t>
            </w:r>
          </w:p>
        </w:tc>
        <w:tc>
          <w:tcPr>
            <w:tcW w:w="0" w:type="auto"/>
            <w:vAlign w:val="center"/>
          </w:tcPr>
          <w:p w:rsidR="008A1327" w:rsidRDefault="00580060">
            <w:pPr>
              <w:jc w:val="center"/>
            </w:pPr>
            <w:r>
              <w:rPr>
                <w:color w:val="000000"/>
                <w:kern w:val="0"/>
                <w:sz w:val="24"/>
                <w:szCs w:val="24"/>
              </w:rPr>
              <w:t>111906140</w:t>
            </w:r>
          </w:p>
        </w:tc>
        <w:tc>
          <w:tcPr>
            <w:tcW w:w="0" w:type="auto"/>
            <w:vAlign w:val="center"/>
          </w:tcPr>
          <w:p w:rsidR="008A1327" w:rsidRDefault="00580060">
            <w:pPr>
              <w:jc w:val="center"/>
            </w:pPr>
            <w:r>
              <w:rPr>
                <w:color w:val="000000"/>
                <w:kern w:val="0"/>
                <w:sz w:val="24"/>
                <w:szCs w:val="24"/>
              </w:rPr>
              <w:t>19</w:t>
            </w:r>
            <w:r>
              <w:rPr>
                <w:color w:val="000000"/>
                <w:kern w:val="0"/>
                <w:sz w:val="24"/>
                <w:szCs w:val="24"/>
              </w:rPr>
              <w:t>交通银行</w:t>
            </w:r>
            <w:r>
              <w:rPr>
                <w:color w:val="000000"/>
                <w:kern w:val="0"/>
                <w:sz w:val="24"/>
                <w:szCs w:val="24"/>
              </w:rPr>
              <w:t>CD140</w:t>
            </w:r>
          </w:p>
        </w:tc>
        <w:tc>
          <w:tcPr>
            <w:tcW w:w="0" w:type="auto"/>
            <w:vAlign w:val="center"/>
          </w:tcPr>
          <w:p w:rsidR="008A1327" w:rsidRDefault="00580060">
            <w:pPr>
              <w:jc w:val="right"/>
            </w:pPr>
            <w:r>
              <w:rPr>
                <w:color w:val="000000"/>
                <w:kern w:val="0"/>
                <w:sz w:val="24"/>
                <w:szCs w:val="24"/>
              </w:rPr>
              <w:t>10,000,000</w:t>
            </w:r>
          </w:p>
        </w:tc>
        <w:tc>
          <w:tcPr>
            <w:tcW w:w="0" w:type="auto"/>
            <w:vAlign w:val="center"/>
          </w:tcPr>
          <w:p w:rsidR="008A1327" w:rsidRDefault="00580060">
            <w:pPr>
              <w:jc w:val="right"/>
            </w:pPr>
            <w:r>
              <w:rPr>
                <w:color w:val="000000"/>
                <w:kern w:val="0"/>
                <w:sz w:val="24"/>
                <w:szCs w:val="24"/>
              </w:rPr>
              <w:t>969,900,000.00</w:t>
            </w:r>
          </w:p>
        </w:tc>
        <w:tc>
          <w:tcPr>
            <w:tcW w:w="0" w:type="auto"/>
            <w:vAlign w:val="center"/>
          </w:tcPr>
          <w:p w:rsidR="008A1327" w:rsidRDefault="00580060">
            <w:pPr>
              <w:jc w:val="right"/>
            </w:pPr>
            <w:r>
              <w:rPr>
                <w:color w:val="000000"/>
                <w:kern w:val="0"/>
                <w:sz w:val="24"/>
                <w:szCs w:val="24"/>
              </w:rPr>
              <w:t>3.64</w:t>
            </w:r>
          </w:p>
        </w:tc>
      </w:tr>
      <w:tr w:rsidR="008A1327">
        <w:tc>
          <w:tcPr>
            <w:tcW w:w="0" w:type="auto"/>
            <w:vAlign w:val="center"/>
          </w:tcPr>
          <w:p w:rsidR="008A1327" w:rsidRDefault="00580060">
            <w:pPr>
              <w:jc w:val="center"/>
            </w:pPr>
            <w:r>
              <w:rPr>
                <w:color w:val="000000"/>
                <w:kern w:val="0"/>
                <w:sz w:val="24"/>
                <w:szCs w:val="24"/>
              </w:rPr>
              <w:t>4</w:t>
            </w:r>
          </w:p>
        </w:tc>
        <w:tc>
          <w:tcPr>
            <w:tcW w:w="0" w:type="auto"/>
            <w:vAlign w:val="center"/>
          </w:tcPr>
          <w:p w:rsidR="008A1327" w:rsidRDefault="00580060">
            <w:pPr>
              <w:jc w:val="center"/>
            </w:pPr>
            <w:r>
              <w:rPr>
                <w:color w:val="000000"/>
                <w:kern w:val="0"/>
                <w:sz w:val="24"/>
                <w:szCs w:val="24"/>
              </w:rPr>
              <w:t>180409</w:t>
            </w:r>
          </w:p>
        </w:tc>
        <w:tc>
          <w:tcPr>
            <w:tcW w:w="0" w:type="auto"/>
            <w:vAlign w:val="center"/>
          </w:tcPr>
          <w:p w:rsidR="008A1327" w:rsidRDefault="00580060">
            <w:pPr>
              <w:jc w:val="center"/>
            </w:pPr>
            <w:r>
              <w:rPr>
                <w:color w:val="000000"/>
                <w:kern w:val="0"/>
                <w:sz w:val="24"/>
                <w:szCs w:val="24"/>
              </w:rPr>
              <w:t>18</w:t>
            </w:r>
            <w:r>
              <w:rPr>
                <w:color w:val="000000"/>
                <w:kern w:val="0"/>
                <w:sz w:val="24"/>
                <w:szCs w:val="24"/>
              </w:rPr>
              <w:t>农发</w:t>
            </w:r>
            <w:r>
              <w:rPr>
                <w:color w:val="000000"/>
                <w:kern w:val="0"/>
                <w:sz w:val="24"/>
                <w:szCs w:val="24"/>
              </w:rPr>
              <w:t>09</w:t>
            </w:r>
          </w:p>
        </w:tc>
        <w:tc>
          <w:tcPr>
            <w:tcW w:w="0" w:type="auto"/>
            <w:vAlign w:val="center"/>
          </w:tcPr>
          <w:p w:rsidR="008A1327" w:rsidRDefault="00580060">
            <w:pPr>
              <w:jc w:val="right"/>
            </w:pPr>
            <w:r>
              <w:rPr>
                <w:color w:val="000000"/>
                <w:kern w:val="0"/>
                <w:sz w:val="24"/>
                <w:szCs w:val="24"/>
              </w:rPr>
              <w:t>8,500,000</w:t>
            </w:r>
          </w:p>
        </w:tc>
        <w:tc>
          <w:tcPr>
            <w:tcW w:w="0" w:type="auto"/>
            <w:vAlign w:val="center"/>
          </w:tcPr>
          <w:p w:rsidR="008A1327" w:rsidRDefault="00580060">
            <w:pPr>
              <w:jc w:val="right"/>
            </w:pPr>
            <w:r>
              <w:rPr>
                <w:color w:val="000000"/>
                <w:kern w:val="0"/>
                <w:sz w:val="24"/>
                <w:szCs w:val="24"/>
              </w:rPr>
              <w:t>867,510,000.00</w:t>
            </w:r>
          </w:p>
        </w:tc>
        <w:tc>
          <w:tcPr>
            <w:tcW w:w="0" w:type="auto"/>
            <w:vAlign w:val="center"/>
          </w:tcPr>
          <w:p w:rsidR="008A1327" w:rsidRDefault="00580060">
            <w:pPr>
              <w:jc w:val="right"/>
            </w:pPr>
            <w:r>
              <w:rPr>
                <w:color w:val="000000"/>
                <w:kern w:val="0"/>
                <w:sz w:val="24"/>
                <w:szCs w:val="24"/>
              </w:rPr>
              <w:t>3.25</w:t>
            </w:r>
          </w:p>
        </w:tc>
      </w:tr>
      <w:tr w:rsidR="008A1327">
        <w:tc>
          <w:tcPr>
            <w:tcW w:w="0" w:type="auto"/>
            <w:vAlign w:val="center"/>
          </w:tcPr>
          <w:p w:rsidR="008A1327" w:rsidRDefault="00580060">
            <w:pPr>
              <w:jc w:val="center"/>
            </w:pPr>
            <w:r>
              <w:rPr>
                <w:color w:val="000000"/>
                <w:kern w:val="0"/>
                <w:sz w:val="24"/>
                <w:szCs w:val="24"/>
              </w:rPr>
              <w:t>5</w:t>
            </w:r>
          </w:p>
        </w:tc>
        <w:tc>
          <w:tcPr>
            <w:tcW w:w="0" w:type="auto"/>
            <w:vAlign w:val="center"/>
          </w:tcPr>
          <w:p w:rsidR="008A1327" w:rsidRDefault="00580060">
            <w:pPr>
              <w:jc w:val="center"/>
            </w:pPr>
            <w:r>
              <w:rPr>
                <w:color w:val="000000"/>
                <w:kern w:val="0"/>
                <w:sz w:val="24"/>
                <w:szCs w:val="24"/>
              </w:rPr>
              <w:t>111917054</w:t>
            </w:r>
          </w:p>
        </w:tc>
        <w:tc>
          <w:tcPr>
            <w:tcW w:w="0" w:type="auto"/>
            <w:vAlign w:val="center"/>
          </w:tcPr>
          <w:p w:rsidR="008A1327" w:rsidRDefault="00580060">
            <w:pPr>
              <w:jc w:val="center"/>
            </w:pPr>
            <w:r>
              <w:rPr>
                <w:color w:val="000000"/>
                <w:kern w:val="0"/>
                <w:sz w:val="24"/>
                <w:szCs w:val="24"/>
              </w:rPr>
              <w:t>19</w:t>
            </w:r>
            <w:r>
              <w:rPr>
                <w:color w:val="000000"/>
                <w:kern w:val="0"/>
                <w:sz w:val="24"/>
                <w:szCs w:val="24"/>
              </w:rPr>
              <w:t>光大银行</w:t>
            </w:r>
            <w:r>
              <w:rPr>
                <w:color w:val="000000"/>
                <w:kern w:val="0"/>
                <w:sz w:val="24"/>
                <w:szCs w:val="24"/>
              </w:rPr>
              <w:t>CD054</w:t>
            </w:r>
          </w:p>
        </w:tc>
        <w:tc>
          <w:tcPr>
            <w:tcW w:w="0" w:type="auto"/>
            <w:vAlign w:val="center"/>
          </w:tcPr>
          <w:p w:rsidR="008A1327" w:rsidRDefault="00580060">
            <w:pPr>
              <w:jc w:val="right"/>
            </w:pPr>
            <w:r>
              <w:rPr>
                <w:color w:val="000000"/>
                <w:kern w:val="0"/>
                <w:sz w:val="24"/>
                <w:szCs w:val="24"/>
              </w:rPr>
              <w:t>8,000,000</w:t>
            </w:r>
          </w:p>
        </w:tc>
        <w:tc>
          <w:tcPr>
            <w:tcW w:w="0" w:type="auto"/>
            <w:vAlign w:val="center"/>
          </w:tcPr>
          <w:p w:rsidR="008A1327" w:rsidRDefault="00580060">
            <w:pPr>
              <w:jc w:val="right"/>
            </w:pPr>
            <w:r>
              <w:rPr>
                <w:color w:val="000000"/>
                <w:kern w:val="0"/>
                <w:sz w:val="24"/>
                <w:szCs w:val="24"/>
              </w:rPr>
              <w:t>776,320,000.00</w:t>
            </w:r>
          </w:p>
        </w:tc>
        <w:tc>
          <w:tcPr>
            <w:tcW w:w="0" w:type="auto"/>
            <w:vAlign w:val="center"/>
          </w:tcPr>
          <w:p w:rsidR="008A1327" w:rsidRDefault="00580060">
            <w:pPr>
              <w:jc w:val="right"/>
            </w:pPr>
            <w:r>
              <w:rPr>
                <w:color w:val="000000"/>
                <w:kern w:val="0"/>
                <w:sz w:val="24"/>
                <w:szCs w:val="24"/>
              </w:rPr>
              <w:t>2.91</w:t>
            </w:r>
          </w:p>
        </w:tc>
      </w:tr>
      <w:tr w:rsidR="008A1327">
        <w:tc>
          <w:tcPr>
            <w:tcW w:w="0" w:type="auto"/>
            <w:vAlign w:val="center"/>
          </w:tcPr>
          <w:p w:rsidR="008A1327" w:rsidRDefault="00580060">
            <w:pPr>
              <w:jc w:val="center"/>
            </w:pPr>
            <w:r>
              <w:rPr>
                <w:color w:val="000000"/>
                <w:kern w:val="0"/>
                <w:sz w:val="24"/>
                <w:szCs w:val="24"/>
              </w:rPr>
              <w:t>5</w:t>
            </w:r>
          </w:p>
        </w:tc>
        <w:tc>
          <w:tcPr>
            <w:tcW w:w="0" w:type="auto"/>
            <w:vAlign w:val="center"/>
          </w:tcPr>
          <w:p w:rsidR="008A1327" w:rsidRDefault="00580060">
            <w:pPr>
              <w:jc w:val="center"/>
            </w:pPr>
            <w:r>
              <w:rPr>
                <w:color w:val="000000"/>
                <w:kern w:val="0"/>
                <w:sz w:val="24"/>
                <w:szCs w:val="24"/>
              </w:rPr>
              <w:t>111918250</w:t>
            </w:r>
          </w:p>
        </w:tc>
        <w:tc>
          <w:tcPr>
            <w:tcW w:w="0" w:type="auto"/>
            <w:vAlign w:val="center"/>
          </w:tcPr>
          <w:p w:rsidR="008A1327" w:rsidRDefault="00580060">
            <w:pPr>
              <w:jc w:val="center"/>
            </w:pPr>
            <w:r>
              <w:rPr>
                <w:color w:val="000000"/>
                <w:kern w:val="0"/>
                <w:sz w:val="24"/>
                <w:szCs w:val="24"/>
              </w:rPr>
              <w:t>19</w:t>
            </w:r>
            <w:r>
              <w:rPr>
                <w:color w:val="000000"/>
                <w:kern w:val="0"/>
                <w:sz w:val="24"/>
                <w:szCs w:val="24"/>
              </w:rPr>
              <w:t>华夏银行</w:t>
            </w:r>
            <w:r>
              <w:rPr>
                <w:color w:val="000000"/>
                <w:kern w:val="0"/>
                <w:sz w:val="24"/>
                <w:szCs w:val="24"/>
              </w:rPr>
              <w:t>CD250</w:t>
            </w:r>
          </w:p>
        </w:tc>
        <w:tc>
          <w:tcPr>
            <w:tcW w:w="0" w:type="auto"/>
            <w:vAlign w:val="center"/>
          </w:tcPr>
          <w:p w:rsidR="008A1327" w:rsidRDefault="00580060">
            <w:pPr>
              <w:jc w:val="right"/>
            </w:pPr>
            <w:r>
              <w:rPr>
                <w:color w:val="000000"/>
                <w:kern w:val="0"/>
                <w:sz w:val="24"/>
                <w:szCs w:val="24"/>
              </w:rPr>
              <w:t>8,000,000</w:t>
            </w:r>
          </w:p>
        </w:tc>
        <w:tc>
          <w:tcPr>
            <w:tcW w:w="0" w:type="auto"/>
            <w:vAlign w:val="center"/>
          </w:tcPr>
          <w:p w:rsidR="008A1327" w:rsidRDefault="00580060">
            <w:pPr>
              <w:jc w:val="right"/>
            </w:pPr>
            <w:r>
              <w:rPr>
                <w:color w:val="000000"/>
                <w:kern w:val="0"/>
                <w:sz w:val="24"/>
                <w:szCs w:val="24"/>
              </w:rPr>
              <w:t>776,320,000.00</w:t>
            </w:r>
          </w:p>
        </w:tc>
        <w:tc>
          <w:tcPr>
            <w:tcW w:w="0" w:type="auto"/>
            <w:vAlign w:val="center"/>
          </w:tcPr>
          <w:p w:rsidR="008A1327" w:rsidRDefault="00580060">
            <w:pPr>
              <w:jc w:val="right"/>
            </w:pPr>
            <w:r>
              <w:rPr>
                <w:color w:val="000000"/>
                <w:kern w:val="0"/>
                <w:sz w:val="24"/>
                <w:szCs w:val="24"/>
              </w:rPr>
              <w:t>2.91</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本基金本报告期末未持有资产支持证券。</w:t>
      </w:r>
    </w:p>
    <w:p w:rsidR="00750D48" w:rsidRPr="001D63BB" w:rsidRDefault="00750D48" w:rsidP="001D63BB">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sidRPr="001B0A62">
        <w:rPr>
          <w:rFonts w:ascii="宋体"/>
          <w:b/>
          <w:bCs/>
          <w:color w:val="000000"/>
          <w:kern w:val="0"/>
          <w:sz w:val="24"/>
          <w:szCs w:val="24"/>
        </w:rPr>
        <w:t>7</w:t>
      </w:r>
      <w:r w:rsidRPr="001D63BB">
        <w:rPr>
          <w:rFonts w:ascii="宋体" w:hAnsi="宋体" w:hint="eastAsia"/>
          <w:b/>
          <w:bCs/>
          <w:color w:val="000000"/>
          <w:kern w:val="0"/>
          <w:sz w:val="24"/>
          <w:szCs w:val="24"/>
        </w:rPr>
        <w:t>报告期末按公允价值占基金资产净值比例大小排序的前五名贵金属投资明细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本基金本报告期末未持有贵金属。</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5.8</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本基金本报告期末未持有权证。</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Pr>
          <w:rFonts w:ascii="宋体"/>
          <w:b/>
          <w:bCs/>
          <w:color w:val="000000"/>
          <w:kern w:val="0"/>
          <w:sz w:val="24"/>
          <w:szCs w:val="24"/>
        </w:rPr>
        <w:t>.</w:t>
      </w:r>
      <w:r w:rsidRPr="001B0A62">
        <w:rPr>
          <w:rFonts w:ascii="宋体"/>
          <w:b/>
          <w:bCs/>
          <w:color w:val="000000"/>
          <w:kern w:val="0"/>
          <w:sz w:val="24"/>
          <w:szCs w:val="24"/>
        </w:rPr>
        <w:t>9</w:t>
      </w:r>
      <w:r w:rsidRPr="001B0A62">
        <w:rPr>
          <w:rFonts w:ascii="宋体" w:hAnsi="宋体" w:hint="eastAsia"/>
          <w:b/>
          <w:bCs/>
          <w:color w:val="000000"/>
          <w:kern w:val="0"/>
          <w:sz w:val="24"/>
          <w:szCs w:val="24"/>
        </w:rPr>
        <w:t>报告期末本基金投资的股指期货交易情况说明</w:t>
      </w:r>
    </w:p>
    <w:p w:rsidR="00277FAE" w:rsidRDefault="00277FAE" w:rsidP="00277FAE">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5.10</w:t>
      </w:r>
      <w:r w:rsidRPr="001B0A62">
        <w:rPr>
          <w:rFonts w:ascii="宋体" w:hAnsi="宋体" w:hint="eastAsia"/>
          <w:b/>
          <w:bCs/>
          <w:color w:val="000000"/>
          <w:kern w:val="0"/>
          <w:sz w:val="24"/>
          <w:szCs w:val="24"/>
        </w:rPr>
        <w:t>报告期末本基金投资的国债期货交易情况说明</w:t>
      </w:r>
    </w:p>
    <w:p w:rsidR="00277FAE" w:rsidRDefault="00277FAE" w:rsidP="00277FAE">
      <w:pPr>
        <w:spacing w:line="360" w:lineRule="auto"/>
        <w:ind w:firstLineChars="200" w:firstLine="480"/>
      </w:pPr>
      <w:r>
        <w:rPr>
          <w:color w:val="000000"/>
          <w:sz w:val="24"/>
        </w:rPr>
        <w:t>本基金本报告期末未投资国债期货。</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5.11.119招商银行CD049（代码：111907049）是易方达3年封闭运作战略配售灵活配置混合型证券投资基金(LOF) 的前十大持仓证券。2019年7月8日，中国银行保险监督管理委员会上海监管局针对招商银行股份有限公司信用卡中心在为部分客户办理信用卡业务时未遵守总授信额度管理制度的行为，对招商银行股份有限公司处以责令改正，并处罚款20万元。</w:t>
      </w:r>
    </w:p>
    <w:p w:rsidR="008A1327" w:rsidRDefault="00580060">
      <w:pPr>
        <w:spacing w:line="360" w:lineRule="auto"/>
        <w:rPr>
          <w:rFonts w:ascii="宋体" w:hAnsi="宋体"/>
          <w:color w:val="000000"/>
          <w:sz w:val="24"/>
          <w:szCs w:val="24"/>
        </w:rPr>
      </w:pPr>
      <w:r>
        <w:rPr>
          <w:rFonts w:ascii="宋体" w:hAnsi="宋体"/>
          <w:color w:val="000000"/>
          <w:sz w:val="24"/>
          <w:szCs w:val="24"/>
        </w:rPr>
        <w:t>19</w:t>
      </w:r>
      <w:r>
        <w:rPr>
          <w:rFonts w:ascii="宋体" w:hAnsi="宋体"/>
          <w:color w:val="000000"/>
          <w:sz w:val="24"/>
          <w:szCs w:val="24"/>
        </w:rPr>
        <w:t>交通银行</w:t>
      </w:r>
      <w:r>
        <w:rPr>
          <w:rFonts w:ascii="宋体" w:hAnsi="宋体"/>
          <w:color w:val="000000"/>
          <w:sz w:val="24"/>
          <w:szCs w:val="24"/>
        </w:rPr>
        <w:t>CD140</w:t>
      </w:r>
      <w:r>
        <w:rPr>
          <w:rFonts w:ascii="宋体" w:hAnsi="宋体"/>
          <w:color w:val="000000"/>
          <w:sz w:val="24"/>
          <w:szCs w:val="24"/>
        </w:rPr>
        <w:t>（代码：</w:t>
      </w:r>
      <w:r>
        <w:rPr>
          <w:rFonts w:ascii="宋体" w:hAnsi="宋体"/>
          <w:color w:val="000000"/>
          <w:sz w:val="24"/>
          <w:szCs w:val="24"/>
        </w:rPr>
        <w:t>111906140</w:t>
      </w:r>
      <w:r>
        <w:rPr>
          <w:rFonts w:ascii="宋体" w:hAnsi="宋体"/>
          <w:color w:val="000000"/>
          <w:sz w:val="24"/>
          <w:szCs w:val="24"/>
        </w:rPr>
        <w:t>）是易方达</w:t>
      </w:r>
      <w:r>
        <w:rPr>
          <w:rFonts w:ascii="宋体" w:hAnsi="宋体"/>
          <w:color w:val="000000"/>
          <w:sz w:val="24"/>
          <w:szCs w:val="24"/>
        </w:rPr>
        <w:t>3</w:t>
      </w:r>
      <w:r>
        <w:rPr>
          <w:rFonts w:ascii="宋体" w:hAnsi="宋体"/>
          <w:color w:val="000000"/>
          <w:sz w:val="24"/>
          <w:szCs w:val="24"/>
        </w:rPr>
        <w:t>年封闭运作战略配售灵活配置混合型证券投资基金</w:t>
      </w:r>
      <w:r>
        <w:rPr>
          <w:rFonts w:ascii="宋体" w:hAnsi="宋体"/>
          <w:color w:val="000000"/>
          <w:sz w:val="24"/>
          <w:szCs w:val="24"/>
        </w:rPr>
        <w:t xml:space="preserve">(LOF) </w:t>
      </w:r>
      <w:r>
        <w:rPr>
          <w:rFonts w:ascii="宋体" w:hAnsi="宋体"/>
          <w:color w:val="000000"/>
          <w:sz w:val="24"/>
          <w:szCs w:val="24"/>
        </w:rPr>
        <w:t>的前十大持仓证券。</w:t>
      </w:r>
      <w:r>
        <w:rPr>
          <w:rFonts w:ascii="宋体" w:hAnsi="宋体"/>
          <w:color w:val="000000"/>
          <w:sz w:val="24"/>
          <w:szCs w:val="24"/>
        </w:rPr>
        <w:t>2019</w:t>
      </w:r>
      <w:r>
        <w:rPr>
          <w:rFonts w:ascii="宋体" w:hAnsi="宋体"/>
          <w:color w:val="000000"/>
          <w:sz w:val="24"/>
          <w:szCs w:val="24"/>
        </w:rPr>
        <w:t>年</w:t>
      </w:r>
      <w:r>
        <w:rPr>
          <w:rFonts w:ascii="宋体" w:hAnsi="宋体"/>
          <w:color w:val="000000"/>
          <w:sz w:val="24"/>
          <w:szCs w:val="24"/>
        </w:rPr>
        <w:t>7</w:t>
      </w:r>
      <w:r>
        <w:rPr>
          <w:rFonts w:ascii="宋体" w:hAnsi="宋体"/>
          <w:color w:val="000000"/>
          <w:sz w:val="24"/>
          <w:szCs w:val="24"/>
        </w:rPr>
        <w:t>月</w:t>
      </w:r>
      <w:r>
        <w:rPr>
          <w:rFonts w:ascii="宋体" w:hAnsi="宋体"/>
          <w:color w:val="000000"/>
          <w:sz w:val="24"/>
          <w:szCs w:val="24"/>
        </w:rPr>
        <w:t>25</w:t>
      </w:r>
      <w:r>
        <w:rPr>
          <w:rFonts w:ascii="宋体" w:hAnsi="宋体"/>
          <w:color w:val="000000"/>
          <w:sz w:val="24"/>
          <w:szCs w:val="24"/>
        </w:rPr>
        <w:t>日，中国银行保险监督管理委员会上海监管局对交通银行股份有限公司太平洋信用卡中心的如下违法违规行为作出</w:t>
      </w:r>
      <w:r>
        <w:rPr>
          <w:rFonts w:ascii="宋体" w:hAnsi="宋体"/>
          <w:color w:val="000000"/>
          <w:sz w:val="24"/>
          <w:szCs w:val="24"/>
        </w:rPr>
        <w:t>“</w:t>
      </w:r>
      <w:r>
        <w:rPr>
          <w:rFonts w:ascii="宋体" w:hAnsi="宋体"/>
          <w:color w:val="000000"/>
          <w:sz w:val="24"/>
          <w:szCs w:val="24"/>
        </w:rPr>
        <w:t>处以责令改正，并处罚款</w:t>
      </w:r>
      <w:r>
        <w:rPr>
          <w:rFonts w:ascii="宋体" w:hAnsi="宋体"/>
          <w:color w:val="000000"/>
          <w:sz w:val="24"/>
          <w:szCs w:val="24"/>
        </w:rPr>
        <w:t>40</w:t>
      </w:r>
      <w:r>
        <w:rPr>
          <w:rFonts w:ascii="宋体" w:hAnsi="宋体"/>
          <w:color w:val="000000"/>
          <w:sz w:val="24"/>
          <w:szCs w:val="24"/>
        </w:rPr>
        <w:t>万元</w:t>
      </w:r>
      <w:r>
        <w:rPr>
          <w:rFonts w:ascii="宋体" w:hAnsi="宋体"/>
          <w:color w:val="000000"/>
          <w:sz w:val="24"/>
          <w:szCs w:val="24"/>
        </w:rPr>
        <w:t>”</w:t>
      </w:r>
      <w:r>
        <w:rPr>
          <w:rFonts w:ascii="宋体" w:hAnsi="宋体"/>
          <w:color w:val="000000"/>
          <w:sz w:val="24"/>
          <w:szCs w:val="24"/>
        </w:rPr>
        <w:t>的</w:t>
      </w:r>
      <w:r>
        <w:rPr>
          <w:rFonts w:ascii="宋体" w:hAnsi="宋体"/>
          <w:color w:val="000000"/>
          <w:sz w:val="24"/>
          <w:szCs w:val="24"/>
        </w:rPr>
        <w:t>行政处罚决定：</w:t>
      </w:r>
      <w:r>
        <w:rPr>
          <w:rFonts w:ascii="宋体" w:hAnsi="宋体"/>
          <w:color w:val="000000"/>
          <w:sz w:val="24"/>
          <w:szCs w:val="24"/>
        </w:rPr>
        <w:t>2017</w:t>
      </w:r>
      <w:r>
        <w:rPr>
          <w:rFonts w:ascii="宋体" w:hAnsi="宋体"/>
          <w:color w:val="000000"/>
          <w:sz w:val="24"/>
          <w:szCs w:val="24"/>
        </w:rPr>
        <w:t>年</w:t>
      </w:r>
      <w:r>
        <w:rPr>
          <w:rFonts w:ascii="宋体" w:hAnsi="宋体"/>
          <w:color w:val="000000"/>
          <w:sz w:val="24"/>
          <w:szCs w:val="24"/>
        </w:rPr>
        <w:t>6</w:t>
      </w:r>
      <w:r>
        <w:rPr>
          <w:rFonts w:ascii="宋体" w:hAnsi="宋体"/>
          <w:color w:val="000000"/>
          <w:sz w:val="24"/>
          <w:szCs w:val="24"/>
        </w:rPr>
        <w:t>月至</w:t>
      </w:r>
      <w:r>
        <w:rPr>
          <w:rFonts w:ascii="宋体" w:hAnsi="宋体"/>
          <w:color w:val="000000"/>
          <w:sz w:val="24"/>
          <w:szCs w:val="24"/>
        </w:rPr>
        <w:t>10</w:t>
      </w:r>
      <w:r>
        <w:rPr>
          <w:rFonts w:ascii="宋体" w:hAnsi="宋体"/>
          <w:color w:val="000000"/>
          <w:sz w:val="24"/>
          <w:szCs w:val="24"/>
        </w:rPr>
        <w:t>月期间在办理部分客户信用卡业务时未遵守总授信额度管理制度。</w:t>
      </w:r>
      <w:r>
        <w:rPr>
          <w:rFonts w:ascii="宋体" w:hAnsi="宋体"/>
          <w:color w:val="000000"/>
          <w:sz w:val="24"/>
          <w:szCs w:val="24"/>
        </w:rPr>
        <w:t>2019</w:t>
      </w:r>
      <w:r>
        <w:rPr>
          <w:rFonts w:ascii="宋体" w:hAnsi="宋体"/>
          <w:color w:val="000000"/>
          <w:sz w:val="24"/>
          <w:szCs w:val="24"/>
        </w:rPr>
        <w:t>年</w:t>
      </w:r>
      <w:r>
        <w:rPr>
          <w:rFonts w:ascii="宋体" w:hAnsi="宋体"/>
          <w:color w:val="000000"/>
          <w:sz w:val="24"/>
          <w:szCs w:val="24"/>
        </w:rPr>
        <w:t>12</w:t>
      </w:r>
      <w:r>
        <w:rPr>
          <w:rFonts w:ascii="宋体" w:hAnsi="宋体"/>
          <w:color w:val="000000"/>
          <w:sz w:val="24"/>
          <w:szCs w:val="24"/>
        </w:rPr>
        <w:t>月</w:t>
      </w:r>
      <w:r>
        <w:rPr>
          <w:rFonts w:ascii="宋体" w:hAnsi="宋体"/>
          <w:color w:val="000000"/>
          <w:sz w:val="24"/>
          <w:szCs w:val="24"/>
        </w:rPr>
        <w:t>27</w:t>
      </w:r>
      <w:r>
        <w:rPr>
          <w:rFonts w:ascii="宋体" w:hAnsi="宋体"/>
          <w:color w:val="000000"/>
          <w:sz w:val="24"/>
          <w:szCs w:val="24"/>
        </w:rPr>
        <w:t>日，中国银行保险监督管理委员会对交通银行股份有限公司如下违法违规行为作出</w:t>
      </w:r>
      <w:r>
        <w:rPr>
          <w:rFonts w:ascii="宋体" w:hAnsi="宋体"/>
          <w:color w:val="000000"/>
          <w:sz w:val="24"/>
          <w:szCs w:val="24"/>
        </w:rPr>
        <w:t>“</w:t>
      </w:r>
      <w:r>
        <w:rPr>
          <w:rFonts w:ascii="宋体" w:hAnsi="宋体"/>
          <w:color w:val="000000"/>
          <w:sz w:val="24"/>
          <w:szCs w:val="24"/>
        </w:rPr>
        <w:t>罚款</w:t>
      </w:r>
      <w:r>
        <w:rPr>
          <w:rFonts w:ascii="宋体" w:hAnsi="宋体"/>
          <w:color w:val="000000"/>
          <w:sz w:val="24"/>
          <w:szCs w:val="24"/>
        </w:rPr>
        <w:t>150</w:t>
      </w:r>
      <w:r>
        <w:rPr>
          <w:rFonts w:ascii="宋体" w:hAnsi="宋体"/>
          <w:color w:val="000000"/>
          <w:sz w:val="24"/>
          <w:szCs w:val="24"/>
        </w:rPr>
        <w:t>万元</w:t>
      </w:r>
      <w:r>
        <w:rPr>
          <w:rFonts w:ascii="宋体" w:hAnsi="宋体"/>
          <w:color w:val="000000"/>
          <w:sz w:val="24"/>
          <w:szCs w:val="24"/>
        </w:rPr>
        <w:t>”</w:t>
      </w:r>
      <w:r>
        <w:rPr>
          <w:rFonts w:ascii="宋体" w:hAnsi="宋体"/>
          <w:color w:val="000000"/>
          <w:sz w:val="24"/>
          <w:szCs w:val="24"/>
        </w:rPr>
        <w:t>的行政处罚：</w:t>
      </w:r>
      <w:r>
        <w:rPr>
          <w:rFonts w:ascii="宋体" w:hAnsi="宋体"/>
          <w:color w:val="000000"/>
          <w:sz w:val="24"/>
          <w:szCs w:val="24"/>
        </w:rPr>
        <w:t>1</w:t>
      </w:r>
      <w:r>
        <w:rPr>
          <w:rFonts w:ascii="宋体" w:hAnsi="宋体"/>
          <w:color w:val="000000"/>
          <w:sz w:val="24"/>
          <w:szCs w:val="24"/>
        </w:rPr>
        <w:t>、授信审批不审慎；</w:t>
      </w:r>
      <w:r>
        <w:rPr>
          <w:rFonts w:ascii="宋体" w:hAnsi="宋体"/>
          <w:color w:val="000000"/>
          <w:sz w:val="24"/>
          <w:szCs w:val="24"/>
        </w:rPr>
        <w:t>2</w:t>
      </w:r>
      <w:r>
        <w:rPr>
          <w:rFonts w:ascii="宋体" w:hAnsi="宋体"/>
          <w:color w:val="000000"/>
          <w:sz w:val="24"/>
          <w:szCs w:val="24"/>
        </w:rPr>
        <w:t>、总行对分支机构管控不力承担管理责任。</w:t>
      </w:r>
    </w:p>
    <w:p w:rsidR="008A1327" w:rsidRDefault="00580060">
      <w:pPr>
        <w:spacing w:line="360" w:lineRule="auto"/>
        <w:rPr>
          <w:rFonts w:ascii="宋体" w:hAnsi="宋体"/>
          <w:color w:val="000000"/>
          <w:sz w:val="24"/>
          <w:szCs w:val="24"/>
        </w:rPr>
      </w:pPr>
      <w:r>
        <w:rPr>
          <w:rFonts w:ascii="宋体" w:hAnsi="宋体"/>
          <w:color w:val="000000"/>
          <w:sz w:val="24"/>
          <w:szCs w:val="24"/>
        </w:rPr>
        <w:t>19</w:t>
      </w:r>
      <w:r>
        <w:rPr>
          <w:rFonts w:ascii="宋体" w:hAnsi="宋体"/>
          <w:color w:val="000000"/>
          <w:sz w:val="24"/>
          <w:szCs w:val="24"/>
        </w:rPr>
        <w:t>华夏银行</w:t>
      </w:r>
      <w:r>
        <w:rPr>
          <w:rFonts w:ascii="宋体" w:hAnsi="宋体"/>
          <w:color w:val="000000"/>
          <w:sz w:val="24"/>
          <w:szCs w:val="24"/>
        </w:rPr>
        <w:t>CD250</w:t>
      </w:r>
      <w:r>
        <w:rPr>
          <w:rFonts w:ascii="宋体" w:hAnsi="宋体"/>
          <w:color w:val="000000"/>
          <w:sz w:val="24"/>
          <w:szCs w:val="24"/>
        </w:rPr>
        <w:t>（代码：</w:t>
      </w:r>
      <w:r>
        <w:rPr>
          <w:rFonts w:ascii="宋体" w:hAnsi="宋体"/>
          <w:color w:val="000000"/>
          <w:sz w:val="24"/>
          <w:szCs w:val="24"/>
        </w:rPr>
        <w:t>111918250</w:t>
      </w:r>
      <w:r>
        <w:rPr>
          <w:rFonts w:ascii="宋体" w:hAnsi="宋体"/>
          <w:color w:val="000000"/>
          <w:sz w:val="24"/>
          <w:szCs w:val="24"/>
        </w:rPr>
        <w:t>）、</w:t>
      </w:r>
      <w:r>
        <w:rPr>
          <w:rFonts w:ascii="宋体" w:hAnsi="宋体"/>
          <w:color w:val="000000"/>
          <w:sz w:val="24"/>
          <w:szCs w:val="24"/>
        </w:rPr>
        <w:t>19</w:t>
      </w:r>
      <w:r>
        <w:rPr>
          <w:rFonts w:ascii="宋体" w:hAnsi="宋体"/>
          <w:color w:val="000000"/>
          <w:sz w:val="24"/>
          <w:szCs w:val="24"/>
        </w:rPr>
        <w:t>华夏银行</w:t>
      </w:r>
      <w:r>
        <w:rPr>
          <w:rFonts w:ascii="宋体" w:hAnsi="宋体"/>
          <w:color w:val="000000"/>
          <w:sz w:val="24"/>
          <w:szCs w:val="24"/>
        </w:rPr>
        <w:t>CD249</w:t>
      </w:r>
      <w:r>
        <w:rPr>
          <w:rFonts w:ascii="宋体" w:hAnsi="宋体"/>
          <w:color w:val="000000"/>
          <w:sz w:val="24"/>
          <w:szCs w:val="24"/>
        </w:rPr>
        <w:t>（代码：</w:t>
      </w:r>
      <w:r>
        <w:rPr>
          <w:rFonts w:ascii="宋体" w:hAnsi="宋体"/>
          <w:color w:val="000000"/>
          <w:sz w:val="24"/>
          <w:szCs w:val="24"/>
        </w:rPr>
        <w:t>111918249</w:t>
      </w:r>
      <w:r>
        <w:rPr>
          <w:rFonts w:ascii="宋体" w:hAnsi="宋体"/>
          <w:color w:val="000000"/>
          <w:sz w:val="24"/>
          <w:szCs w:val="24"/>
        </w:rPr>
        <w:t>）是易方达</w:t>
      </w:r>
      <w:r>
        <w:rPr>
          <w:rFonts w:ascii="宋体" w:hAnsi="宋体"/>
          <w:color w:val="000000"/>
          <w:sz w:val="24"/>
          <w:szCs w:val="24"/>
        </w:rPr>
        <w:t>3</w:t>
      </w:r>
      <w:r>
        <w:rPr>
          <w:rFonts w:ascii="宋体" w:hAnsi="宋体"/>
          <w:color w:val="000000"/>
          <w:sz w:val="24"/>
          <w:szCs w:val="24"/>
        </w:rPr>
        <w:t>年封闭运作战略配售灵活配置混合型证券投资基金</w:t>
      </w:r>
      <w:r>
        <w:rPr>
          <w:rFonts w:ascii="宋体" w:hAnsi="宋体"/>
          <w:color w:val="000000"/>
          <w:sz w:val="24"/>
          <w:szCs w:val="24"/>
        </w:rPr>
        <w:t xml:space="preserve">(LOF) </w:t>
      </w:r>
      <w:r>
        <w:rPr>
          <w:rFonts w:ascii="宋体" w:hAnsi="宋体"/>
          <w:color w:val="000000"/>
          <w:sz w:val="24"/>
          <w:szCs w:val="24"/>
        </w:rPr>
        <w:t>的前十大持仓证券。</w:t>
      </w:r>
      <w:r>
        <w:rPr>
          <w:rFonts w:ascii="宋体" w:hAnsi="宋体"/>
          <w:color w:val="000000"/>
          <w:sz w:val="24"/>
          <w:szCs w:val="24"/>
        </w:rPr>
        <w:t>2019</w:t>
      </w:r>
      <w:r>
        <w:rPr>
          <w:rFonts w:ascii="宋体" w:hAnsi="宋体"/>
          <w:color w:val="000000"/>
          <w:sz w:val="24"/>
          <w:szCs w:val="24"/>
        </w:rPr>
        <w:t>年</w:t>
      </w:r>
      <w:r>
        <w:rPr>
          <w:rFonts w:ascii="宋体" w:hAnsi="宋体"/>
          <w:color w:val="000000"/>
          <w:sz w:val="24"/>
          <w:szCs w:val="24"/>
        </w:rPr>
        <w:t>6</w:t>
      </w:r>
      <w:r>
        <w:rPr>
          <w:rFonts w:ascii="宋体" w:hAnsi="宋体"/>
          <w:color w:val="000000"/>
          <w:sz w:val="24"/>
          <w:szCs w:val="24"/>
        </w:rPr>
        <w:t>月</w:t>
      </w:r>
      <w:r>
        <w:rPr>
          <w:rFonts w:ascii="宋体" w:hAnsi="宋体"/>
          <w:color w:val="000000"/>
          <w:sz w:val="24"/>
          <w:szCs w:val="24"/>
        </w:rPr>
        <w:t>28</w:t>
      </w:r>
      <w:r>
        <w:rPr>
          <w:rFonts w:ascii="宋体" w:hAnsi="宋体"/>
          <w:color w:val="000000"/>
          <w:sz w:val="24"/>
          <w:szCs w:val="24"/>
        </w:rPr>
        <w:t>日，宁波银保监局对华夏银行信用卡</w:t>
      </w:r>
      <w:r>
        <w:rPr>
          <w:rFonts w:ascii="宋体" w:hAnsi="宋体"/>
          <w:color w:val="000000"/>
          <w:sz w:val="24"/>
          <w:szCs w:val="24"/>
        </w:rPr>
        <w:t>中心宁波分中心信用卡业务管理严重不审慎的行为，罚款</w:t>
      </w:r>
      <w:r>
        <w:rPr>
          <w:rFonts w:ascii="宋体" w:hAnsi="宋体"/>
          <w:color w:val="000000"/>
          <w:sz w:val="24"/>
          <w:szCs w:val="24"/>
        </w:rPr>
        <w:t>30</w:t>
      </w:r>
      <w:r>
        <w:rPr>
          <w:rFonts w:ascii="宋体" w:hAnsi="宋体"/>
          <w:color w:val="000000"/>
          <w:sz w:val="24"/>
          <w:szCs w:val="24"/>
        </w:rPr>
        <w:t>万元。</w:t>
      </w:r>
    </w:p>
    <w:p w:rsidR="008A1327" w:rsidRDefault="00580060">
      <w:pPr>
        <w:spacing w:line="360" w:lineRule="auto"/>
        <w:rPr>
          <w:rFonts w:ascii="宋体" w:hAnsi="宋体"/>
          <w:color w:val="000000"/>
          <w:sz w:val="24"/>
          <w:szCs w:val="24"/>
        </w:rPr>
      </w:pPr>
      <w:r>
        <w:rPr>
          <w:rFonts w:ascii="宋体" w:hAnsi="宋体"/>
          <w:color w:val="000000"/>
          <w:sz w:val="24"/>
          <w:szCs w:val="24"/>
        </w:rPr>
        <w:t>19</w:t>
      </w:r>
      <w:r>
        <w:rPr>
          <w:rFonts w:ascii="宋体" w:hAnsi="宋体"/>
          <w:color w:val="000000"/>
          <w:sz w:val="24"/>
          <w:szCs w:val="24"/>
        </w:rPr>
        <w:t>浦发银行</w:t>
      </w:r>
      <w:r>
        <w:rPr>
          <w:rFonts w:ascii="宋体" w:hAnsi="宋体"/>
          <w:color w:val="000000"/>
          <w:sz w:val="24"/>
          <w:szCs w:val="24"/>
        </w:rPr>
        <w:t>CD245</w:t>
      </w:r>
      <w:r>
        <w:rPr>
          <w:rFonts w:ascii="宋体" w:hAnsi="宋体"/>
          <w:color w:val="000000"/>
          <w:sz w:val="24"/>
          <w:szCs w:val="24"/>
        </w:rPr>
        <w:t>（代码：</w:t>
      </w:r>
      <w:r>
        <w:rPr>
          <w:rFonts w:ascii="宋体" w:hAnsi="宋体"/>
          <w:color w:val="000000"/>
          <w:sz w:val="24"/>
          <w:szCs w:val="24"/>
        </w:rPr>
        <w:t>111909245</w:t>
      </w:r>
      <w:r>
        <w:rPr>
          <w:rFonts w:ascii="宋体" w:hAnsi="宋体"/>
          <w:color w:val="000000"/>
          <w:sz w:val="24"/>
          <w:szCs w:val="24"/>
        </w:rPr>
        <w:t>）是易方达</w:t>
      </w:r>
      <w:r>
        <w:rPr>
          <w:rFonts w:ascii="宋体" w:hAnsi="宋体"/>
          <w:color w:val="000000"/>
          <w:sz w:val="24"/>
          <w:szCs w:val="24"/>
        </w:rPr>
        <w:t>3</w:t>
      </w:r>
      <w:r>
        <w:rPr>
          <w:rFonts w:ascii="宋体" w:hAnsi="宋体"/>
          <w:color w:val="000000"/>
          <w:sz w:val="24"/>
          <w:szCs w:val="24"/>
        </w:rPr>
        <w:t>年封闭运作战略配售灵活配置混合型证券投资基金</w:t>
      </w:r>
      <w:r>
        <w:rPr>
          <w:rFonts w:ascii="宋体" w:hAnsi="宋体"/>
          <w:color w:val="000000"/>
          <w:sz w:val="24"/>
          <w:szCs w:val="24"/>
        </w:rPr>
        <w:t xml:space="preserve">(LOF) </w:t>
      </w:r>
      <w:r>
        <w:rPr>
          <w:rFonts w:ascii="宋体" w:hAnsi="宋体"/>
          <w:color w:val="000000"/>
          <w:sz w:val="24"/>
          <w:szCs w:val="24"/>
        </w:rPr>
        <w:t>的前十大持仓证券。</w:t>
      </w:r>
      <w:r>
        <w:rPr>
          <w:rFonts w:ascii="宋体" w:hAnsi="宋体"/>
          <w:color w:val="000000"/>
          <w:sz w:val="24"/>
          <w:szCs w:val="24"/>
        </w:rPr>
        <w:t>2019</w:t>
      </w:r>
      <w:r>
        <w:rPr>
          <w:rFonts w:ascii="宋体" w:hAnsi="宋体"/>
          <w:color w:val="000000"/>
          <w:sz w:val="24"/>
          <w:szCs w:val="24"/>
        </w:rPr>
        <w:t>年</w:t>
      </w:r>
      <w:r>
        <w:rPr>
          <w:rFonts w:ascii="宋体" w:hAnsi="宋体"/>
          <w:color w:val="000000"/>
          <w:sz w:val="24"/>
          <w:szCs w:val="24"/>
        </w:rPr>
        <w:t>6</w:t>
      </w:r>
      <w:r>
        <w:rPr>
          <w:rFonts w:ascii="宋体" w:hAnsi="宋体"/>
          <w:color w:val="000000"/>
          <w:sz w:val="24"/>
          <w:szCs w:val="24"/>
        </w:rPr>
        <w:t>月</w:t>
      </w:r>
      <w:r>
        <w:rPr>
          <w:rFonts w:ascii="宋体" w:hAnsi="宋体"/>
          <w:color w:val="000000"/>
          <w:sz w:val="24"/>
          <w:szCs w:val="24"/>
        </w:rPr>
        <w:t>24</w:t>
      </w:r>
      <w:r>
        <w:rPr>
          <w:rFonts w:ascii="宋体" w:hAnsi="宋体"/>
          <w:color w:val="000000"/>
          <w:sz w:val="24"/>
          <w:szCs w:val="24"/>
        </w:rPr>
        <w:t>日，中国银行保险监督管理委员会对上海浦东发展银行股份有限公司关于以下违法违规事实：（一）对成都分行授信业务及整改情况严重失察；（二）重大审计发现未向监管部门报告；（三）轮岗制度执行不力，处以罚款</w:t>
      </w:r>
      <w:r>
        <w:rPr>
          <w:rFonts w:ascii="宋体" w:hAnsi="宋体"/>
          <w:color w:val="000000"/>
          <w:sz w:val="24"/>
          <w:szCs w:val="24"/>
        </w:rPr>
        <w:t>130</w:t>
      </w:r>
      <w:r>
        <w:rPr>
          <w:rFonts w:ascii="宋体" w:hAnsi="宋体"/>
          <w:color w:val="000000"/>
          <w:sz w:val="24"/>
          <w:szCs w:val="24"/>
        </w:rPr>
        <w:t>万元人民币。</w:t>
      </w:r>
      <w:r>
        <w:rPr>
          <w:rFonts w:ascii="宋体" w:hAnsi="宋体"/>
          <w:color w:val="000000"/>
          <w:sz w:val="24"/>
          <w:szCs w:val="24"/>
        </w:rPr>
        <w:t>2019</w:t>
      </w:r>
      <w:r>
        <w:rPr>
          <w:rFonts w:ascii="宋体" w:hAnsi="宋体"/>
          <w:color w:val="000000"/>
          <w:sz w:val="24"/>
          <w:szCs w:val="24"/>
        </w:rPr>
        <w:t>年</w:t>
      </w:r>
      <w:r>
        <w:rPr>
          <w:rFonts w:ascii="宋体" w:hAnsi="宋体"/>
          <w:color w:val="000000"/>
          <w:sz w:val="24"/>
          <w:szCs w:val="24"/>
        </w:rPr>
        <w:t>7</w:t>
      </w:r>
      <w:r>
        <w:rPr>
          <w:rFonts w:ascii="宋体" w:hAnsi="宋体"/>
          <w:color w:val="000000"/>
          <w:sz w:val="24"/>
          <w:szCs w:val="24"/>
        </w:rPr>
        <w:t>月</w:t>
      </w:r>
      <w:r>
        <w:rPr>
          <w:rFonts w:ascii="宋体" w:hAnsi="宋体"/>
          <w:color w:val="000000"/>
          <w:sz w:val="24"/>
          <w:szCs w:val="24"/>
        </w:rPr>
        <w:t>8</w:t>
      </w:r>
      <w:r>
        <w:rPr>
          <w:rFonts w:ascii="宋体" w:hAnsi="宋体"/>
          <w:color w:val="000000"/>
          <w:sz w:val="24"/>
          <w:szCs w:val="24"/>
        </w:rPr>
        <w:t>日，中国银行保险监督管理委员会上海监管局对上海浦东发展银行股份有限公司信用卡中心的如下违法违规行为作出</w:t>
      </w:r>
      <w:r>
        <w:rPr>
          <w:rFonts w:ascii="宋体" w:hAnsi="宋体"/>
          <w:color w:val="000000"/>
          <w:sz w:val="24"/>
          <w:szCs w:val="24"/>
        </w:rPr>
        <w:t>“</w:t>
      </w:r>
      <w:r>
        <w:rPr>
          <w:rFonts w:ascii="宋体" w:hAnsi="宋体"/>
          <w:color w:val="000000"/>
          <w:sz w:val="24"/>
          <w:szCs w:val="24"/>
        </w:rPr>
        <w:t>责令改正，并处罚款</w:t>
      </w:r>
      <w:r>
        <w:rPr>
          <w:rFonts w:ascii="宋体" w:hAnsi="宋体"/>
          <w:color w:val="000000"/>
          <w:sz w:val="24"/>
          <w:szCs w:val="24"/>
        </w:rPr>
        <w:t>30</w:t>
      </w:r>
      <w:r>
        <w:rPr>
          <w:rFonts w:ascii="宋体" w:hAnsi="宋体"/>
          <w:color w:val="000000"/>
          <w:sz w:val="24"/>
          <w:szCs w:val="24"/>
        </w:rPr>
        <w:t>万元</w:t>
      </w:r>
      <w:r>
        <w:rPr>
          <w:rFonts w:ascii="宋体" w:hAnsi="宋体"/>
          <w:color w:val="000000"/>
          <w:sz w:val="24"/>
          <w:szCs w:val="24"/>
        </w:rPr>
        <w:t>”</w:t>
      </w:r>
      <w:r>
        <w:rPr>
          <w:rFonts w:ascii="宋体" w:hAnsi="宋体"/>
          <w:color w:val="000000"/>
          <w:sz w:val="24"/>
          <w:szCs w:val="24"/>
        </w:rPr>
        <w:t>的行政处罚决定：</w:t>
      </w:r>
      <w:r>
        <w:rPr>
          <w:rFonts w:ascii="宋体" w:hAnsi="宋体"/>
          <w:color w:val="000000"/>
          <w:sz w:val="24"/>
          <w:szCs w:val="24"/>
        </w:rPr>
        <w:t>2015</w:t>
      </w:r>
      <w:r>
        <w:rPr>
          <w:rFonts w:ascii="宋体" w:hAnsi="宋体"/>
          <w:color w:val="000000"/>
          <w:sz w:val="24"/>
          <w:szCs w:val="24"/>
        </w:rPr>
        <w:t>年至</w:t>
      </w:r>
      <w:r>
        <w:rPr>
          <w:rFonts w:ascii="宋体" w:hAnsi="宋体"/>
          <w:color w:val="000000"/>
          <w:sz w:val="24"/>
          <w:szCs w:val="24"/>
        </w:rPr>
        <w:t>2018</w:t>
      </w:r>
      <w:r>
        <w:rPr>
          <w:rFonts w:ascii="宋体" w:hAnsi="宋体"/>
          <w:color w:val="000000"/>
          <w:sz w:val="24"/>
          <w:szCs w:val="24"/>
        </w:rPr>
        <w:t>年</w:t>
      </w:r>
      <w:r>
        <w:rPr>
          <w:rFonts w:ascii="宋体" w:hAnsi="宋体"/>
          <w:color w:val="000000"/>
          <w:sz w:val="24"/>
          <w:szCs w:val="24"/>
        </w:rPr>
        <w:t>6</w:t>
      </w:r>
      <w:r>
        <w:rPr>
          <w:rFonts w:ascii="宋体" w:hAnsi="宋体"/>
          <w:color w:val="000000"/>
          <w:sz w:val="24"/>
          <w:szCs w:val="24"/>
        </w:rPr>
        <w:t>月，该中心在为部分客户办理信用卡业务时，对申请人收入核定严重不审慎。</w:t>
      </w:r>
      <w:r>
        <w:rPr>
          <w:rFonts w:ascii="宋体" w:hAnsi="宋体"/>
          <w:color w:val="000000"/>
          <w:sz w:val="24"/>
          <w:szCs w:val="24"/>
        </w:rPr>
        <w:t>2019</w:t>
      </w:r>
      <w:r>
        <w:rPr>
          <w:rFonts w:ascii="宋体" w:hAnsi="宋体"/>
          <w:color w:val="000000"/>
          <w:sz w:val="24"/>
          <w:szCs w:val="24"/>
        </w:rPr>
        <w:t>年</w:t>
      </w:r>
      <w:r>
        <w:rPr>
          <w:rFonts w:ascii="宋体" w:hAnsi="宋体"/>
          <w:color w:val="000000"/>
          <w:sz w:val="24"/>
          <w:szCs w:val="24"/>
        </w:rPr>
        <w:t>12</w:t>
      </w:r>
      <w:r>
        <w:rPr>
          <w:rFonts w:ascii="宋体" w:hAnsi="宋体"/>
          <w:color w:val="000000"/>
          <w:sz w:val="24"/>
          <w:szCs w:val="24"/>
        </w:rPr>
        <w:t>月</w:t>
      </w:r>
      <w:r>
        <w:rPr>
          <w:rFonts w:ascii="宋体" w:hAnsi="宋体"/>
          <w:color w:val="000000"/>
          <w:sz w:val="24"/>
          <w:szCs w:val="24"/>
        </w:rPr>
        <w:t>3</w:t>
      </w:r>
      <w:r>
        <w:rPr>
          <w:rFonts w:ascii="宋体" w:hAnsi="宋体"/>
          <w:color w:val="000000"/>
          <w:sz w:val="24"/>
          <w:szCs w:val="24"/>
        </w:rPr>
        <w:t>日中国银行保险监督管理委员会上海监管局对上海浦东发展银行股份有限公司信用卡中心</w:t>
      </w:r>
      <w:r>
        <w:rPr>
          <w:rFonts w:ascii="宋体" w:hAnsi="宋体"/>
          <w:color w:val="000000"/>
          <w:sz w:val="24"/>
          <w:szCs w:val="24"/>
        </w:rPr>
        <w:t>2019</w:t>
      </w:r>
      <w:r>
        <w:rPr>
          <w:rFonts w:ascii="宋体" w:hAnsi="宋体"/>
          <w:color w:val="000000"/>
          <w:sz w:val="24"/>
          <w:szCs w:val="24"/>
        </w:rPr>
        <w:t>年</w:t>
      </w:r>
      <w:r>
        <w:rPr>
          <w:rFonts w:ascii="宋体" w:hAnsi="宋体"/>
          <w:color w:val="000000"/>
          <w:sz w:val="24"/>
          <w:szCs w:val="24"/>
        </w:rPr>
        <w:t>1</w:t>
      </w:r>
      <w:r>
        <w:rPr>
          <w:rFonts w:ascii="宋体" w:hAnsi="宋体"/>
          <w:color w:val="000000"/>
          <w:sz w:val="24"/>
          <w:szCs w:val="24"/>
        </w:rPr>
        <w:t>月信用卡催收外包管理严重违反审慎经营规则的违法违规事实，作出</w:t>
      </w:r>
      <w:r>
        <w:rPr>
          <w:rFonts w:ascii="宋体" w:hAnsi="宋体"/>
          <w:color w:val="000000"/>
          <w:sz w:val="24"/>
          <w:szCs w:val="24"/>
        </w:rPr>
        <w:t>“</w:t>
      </w:r>
      <w:r>
        <w:rPr>
          <w:rFonts w:ascii="宋体" w:hAnsi="宋体"/>
          <w:color w:val="000000"/>
          <w:sz w:val="24"/>
          <w:szCs w:val="24"/>
        </w:rPr>
        <w:t>责令改正，并处罚款</w:t>
      </w:r>
      <w:r>
        <w:rPr>
          <w:rFonts w:ascii="宋体" w:hAnsi="宋体"/>
          <w:color w:val="000000"/>
          <w:sz w:val="24"/>
          <w:szCs w:val="24"/>
        </w:rPr>
        <w:t>50</w:t>
      </w:r>
      <w:r>
        <w:rPr>
          <w:rFonts w:ascii="宋体" w:hAnsi="宋体"/>
          <w:color w:val="000000"/>
          <w:sz w:val="24"/>
          <w:szCs w:val="24"/>
        </w:rPr>
        <w:t>万元</w:t>
      </w:r>
      <w:r>
        <w:rPr>
          <w:rFonts w:ascii="宋体" w:hAnsi="宋体"/>
          <w:color w:val="000000"/>
          <w:sz w:val="24"/>
          <w:szCs w:val="24"/>
        </w:rPr>
        <w:t>”</w:t>
      </w:r>
      <w:r>
        <w:rPr>
          <w:rFonts w:ascii="宋体" w:hAnsi="宋体"/>
          <w:color w:val="000000"/>
          <w:sz w:val="24"/>
          <w:szCs w:val="24"/>
        </w:rPr>
        <w:t>的行政处罚决定。</w:t>
      </w:r>
    </w:p>
    <w:p w:rsidR="008A1327" w:rsidRDefault="00580060">
      <w:pPr>
        <w:spacing w:line="360" w:lineRule="auto"/>
        <w:rPr>
          <w:rFonts w:ascii="宋体" w:hAnsi="宋体"/>
          <w:color w:val="000000"/>
          <w:sz w:val="24"/>
          <w:szCs w:val="24"/>
        </w:rPr>
      </w:pPr>
      <w:r>
        <w:rPr>
          <w:rFonts w:ascii="宋体" w:hAnsi="宋体"/>
          <w:color w:val="000000"/>
          <w:sz w:val="24"/>
          <w:szCs w:val="24"/>
        </w:rPr>
        <w:t>邮储银行（代码：</w:t>
      </w:r>
      <w:r>
        <w:rPr>
          <w:rFonts w:ascii="宋体" w:hAnsi="宋体"/>
          <w:color w:val="000000"/>
          <w:sz w:val="24"/>
          <w:szCs w:val="24"/>
        </w:rPr>
        <w:t>601658</w:t>
      </w:r>
      <w:r>
        <w:rPr>
          <w:rFonts w:ascii="宋体" w:hAnsi="宋体"/>
          <w:color w:val="000000"/>
          <w:sz w:val="24"/>
          <w:szCs w:val="24"/>
        </w:rPr>
        <w:t>）是易方达</w:t>
      </w:r>
      <w:r>
        <w:rPr>
          <w:rFonts w:ascii="宋体" w:hAnsi="宋体"/>
          <w:color w:val="000000"/>
          <w:sz w:val="24"/>
          <w:szCs w:val="24"/>
        </w:rPr>
        <w:t>3</w:t>
      </w:r>
      <w:r>
        <w:rPr>
          <w:rFonts w:ascii="宋体" w:hAnsi="宋体"/>
          <w:color w:val="000000"/>
          <w:sz w:val="24"/>
          <w:szCs w:val="24"/>
        </w:rPr>
        <w:t>年封闭运作战略配售灵活配置混合型证券投资基金</w:t>
      </w:r>
      <w:r>
        <w:rPr>
          <w:rFonts w:ascii="宋体" w:hAnsi="宋体"/>
          <w:color w:val="000000"/>
          <w:sz w:val="24"/>
          <w:szCs w:val="24"/>
        </w:rPr>
        <w:t>(LOF)</w:t>
      </w:r>
      <w:r>
        <w:rPr>
          <w:rFonts w:ascii="宋体" w:hAnsi="宋体"/>
          <w:color w:val="000000"/>
          <w:sz w:val="24"/>
          <w:szCs w:val="24"/>
        </w:rPr>
        <w:t>的前十大持仓证券。</w:t>
      </w:r>
      <w:r>
        <w:rPr>
          <w:rFonts w:ascii="宋体" w:hAnsi="宋体"/>
          <w:color w:val="000000"/>
          <w:sz w:val="24"/>
          <w:szCs w:val="24"/>
        </w:rPr>
        <w:t>2019</w:t>
      </w:r>
      <w:r>
        <w:rPr>
          <w:rFonts w:ascii="宋体" w:hAnsi="宋体"/>
          <w:color w:val="000000"/>
          <w:sz w:val="24"/>
          <w:szCs w:val="24"/>
        </w:rPr>
        <w:t>年</w:t>
      </w:r>
      <w:r>
        <w:rPr>
          <w:rFonts w:ascii="宋体" w:hAnsi="宋体"/>
          <w:color w:val="000000"/>
          <w:sz w:val="24"/>
          <w:szCs w:val="24"/>
        </w:rPr>
        <w:t>7</w:t>
      </w:r>
      <w:r>
        <w:rPr>
          <w:rFonts w:ascii="宋体" w:hAnsi="宋体"/>
          <w:color w:val="000000"/>
          <w:sz w:val="24"/>
          <w:szCs w:val="24"/>
        </w:rPr>
        <w:t>月</w:t>
      </w:r>
      <w:r>
        <w:rPr>
          <w:rFonts w:ascii="宋体" w:hAnsi="宋体"/>
          <w:color w:val="000000"/>
          <w:sz w:val="24"/>
          <w:szCs w:val="24"/>
        </w:rPr>
        <w:t>3</w:t>
      </w:r>
      <w:r>
        <w:rPr>
          <w:rFonts w:ascii="宋体" w:hAnsi="宋体"/>
          <w:color w:val="000000"/>
          <w:sz w:val="24"/>
          <w:szCs w:val="24"/>
        </w:rPr>
        <w:t>日，中国银行保险监督管理委员会对中国邮政储蓄银行股份有限公司的如下违法违规行为作出罚款</w:t>
      </w:r>
      <w:r>
        <w:rPr>
          <w:rFonts w:ascii="宋体" w:hAnsi="宋体"/>
          <w:color w:val="000000"/>
          <w:sz w:val="24"/>
          <w:szCs w:val="24"/>
        </w:rPr>
        <w:t>140</w:t>
      </w:r>
      <w:r>
        <w:rPr>
          <w:rFonts w:ascii="宋体" w:hAnsi="宋体"/>
          <w:color w:val="000000"/>
          <w:sz w:val="24"/>
          <w:szCs w:val="24"/>
        </w:rPr>
        <w:t>万元的决定：</w:t>
      </w:r>
      <w:r>
        <w:rPr>
          <w:rFonts w:ascii="宋体" w:hAnsi="宋体"/>
          <w:color w:val="000000"/>
          <w:sz w:val="24"/>
          <w:szCs w:val="24"/>
        </w:rPr>
        <w:t>1</w:t>
      </w:r>
      <w:r>
        <w:rPr>
          <w:rFonts w:ascii="宋体" w:hAnsi="宋体"/>
          <w:color w:val="000000"/>
          <w:sz w:val="24"/>
          <w:szCs w:val="24"/>
        </w:rPr>
        <w:t>、未按要求对代理营业机构进行考核；</w:t>
      </w:r>
      <w:r>
        <w:rPr>
          <w:rFonts w:ascii="宋体" w:hAnsi="宋体"/>
          <w:color w:val="000000"/>
          <w:sz w:val="24"/>
          <w:szCs w:val="24"/>
        </w:rPr>
        <w:t>2</w:t>
      </w:r>
      <w:r>
        <w:rPr>
          <w:rFonts w:ascii="宋体" w:hAnsi="宋体"/>
          <w:color w:val="000000"/>
          <w:sz w:val="24"/>
          <w:szCs w:val="24"/>
        </w:rPr>
        <w:t>、劳务派遣工违规担任综合柜员；</w:t>
      </w:r>
      <w:r>
        <w:rPr>
          <w:rFonts w:ascii="宋体" w:hAnsi="宋体"/>
          <w:color w:val="000000"/>
          <w:sz w:val="24"/>
          <w:szCs w:val="24"/>
        </w:rPr>
        <w:t>3</w:t>
      </w:r>
      <w:r>
        <w:rPr>
          <w:rFonts w:ascii="宋体" w:hAnsi="宋体"/>
          <w:color w:val="000000"/>
          <w:sz w:val="24"/>
          <w:szCs w:val="24"/>
        </w:rPr>
        <w:t>、</w:t>
      </w:r>
      <w:r>
        <w:rPr>
          <w:rFonts w:ascii="宋体" w:hAnsi="宋体"/>
          <w:color w:val="000000"/>
          <w:sz w:val="24"/>
          <w:szCs w:val="24"/>
        </w:rPr>
        <w:t>员工信息管理不到位；</w:t>
      </w:r>
      <w:r>
        <w:rPr>
          <w:rFonts w:ascii="宋体" w:hAnsi="宋体"/>
          <w:color w:val="000000"/>
          <w:sz w:val="24"/>
          <w:szCs w:val="24"/>
        </w:rPr>
        <w:t>4</w:t>
      </w:r>
      <w:r>
        <w:rPr>
          <w:rFonts w:ascii="宋体" w:hAnsi="宋体"/>
          <w:color w:val="000000"/>
          <w:sz w:val="24"/>
          <w:szCs w:val="24"/>
        </w:rPr>
        <w:t>、未按规定开展审计工作。</w:t>
      </w:r>
    </w:p>
    <w:p w:rsidR="008A1327" w:rsidRDefault="00580060">
      <w:pPr>
        <w:spacing w:line="360" w:lineRule="auto"/>
        <w:rPr>
          <w:rFonts w:ascii="宋体" w:hAnsi="宋体"/>
          <w:color w:val="000000"/>
          <w:sz w:val="24"/>
          <w:szCs w:val="24"/>
        </w:rPr>
      </w:pPr>
      <w:r>
        <w:rPr>
          <w:rFonts w:ascii="宋体" w:hAnsi="宋体"/>
          <w:color w:val="000000"/>
          <w:sz w:val="24"/>
          <w:szCs w:val="24"/>
        </w:rPr>
        <w:t>19</w:t>
      </w:r>
      <w:r>
        <w:rPr>
          <w:rFonts w:ascii="宋体" w:hAnsi="宋体"/>
          <w:color w:val="000000"/>
          <w:sz w:val="24"/>
          <w:szCs w:val="24"/>
        </w:rPr>
        <w:t>光大银行</w:t>
      </w:r>
      <w:r>
        <w:rPr>
          <w:rFonts w:ascii="宋体" w:hAnsi="宋体"/>
          <w:color w:val="000000"/>
          <w:sz w:val="24"/>
          <w:szCs w:val="24"/>
        </w:rPr>
        <w:t>CD054</w:t>
      </w:r>
      <w:r>
        <w:rPr>
          <w:rFonts w:ascii="宋体" w:hAnsi="宋体"/>
          <w:color w:val="000000"/>
          <w:sz w:val="24"/>
          <w:szCs w:val="24"/>
        </w:rPr>
        <w:t>（代码：</w:t>
      </w:r>
      <w:r>
        <w:rPr>
          <w:rFonts w:ascii="宋体" w:hAnsi="宋体"/>
          <w:color w:val="000000"/>
          <w:sz w:val="24"/>
          <w:szCs w:val="24"/>
        </w:rPr>
        <w:t>111917054</w:t>
      </w:r>
      <w:r>
        <w:rPr>
          <w:rFonts w:ascii="宋体" w:hAnsi="宋体"/>
          <w:color w:val="000000"/>
          <w:sz w:val="24"/>
          <w:szCs w:val="24"/>
        </w:rPr>
        <w:t>）是易方达</w:t>
      </w:r>
      <w:r>
        <w:rPr>
          <w:rFonts w:ascii="宋体" w:hAnsi="宋体"/>
          <w:color w:val="000000"/>
          <w:sz w:val="24"/>
          <w:szCs w:val="24"/>
        </w:rPr>
        <w:t>3</w:t>
      </w:r>
      <w:r>
        <w:rPr>
          <w:rFonts w:ascii="宋体" w:hAnsi="宋体"/>
          <w:color w:val="000000"/>
          <w:sz w:val="24"/>
          <w:szCs w:val="24"/>
        </w:rPr>
        <w:t>年封闭运作战略配售灵活配置混合型证券投资基金</w:t>
      </w:r>
      <w:r>
        <w:rPr>
          <w:rFonts w:ascii="宋体" w:hAnsi="宋体"/>
          <w:color w:val="000000"/>
          <w:sz w:val="24"/>
          <w:szCs w:val="24"/>
        </w:rPr>
        <w:t>(LOF)</w:t>
      </w:r>
      <w:r>
        <w:rPr>
          <w:rFonts w:ascii="宋体" w:hAnsi="宋体"/>
          <w:color w:val="000000"/>
          <w:sz w:val="24"/>
          <w:szCs w:val="24"/>
        </w:rPr>
        <w:t>的前十大持仓证券。</w:t>
      </w:r>
      <w:r>
        <w:rPr>
          <w:rFonts w:ascii="宋体" w:hAnsi="宋体"/>
          <w:color w:val="000000"/>
          <w:sz w:val="24"/>
          <w:szCs w:val="24"/>
        </w:rPr>
        <w:t>2019</w:t>
      </w:r>
      <w:r>
        <w:rPr>
          <w:rFonts w:ascii="宋体" w:hAnsi="宋体"/>
          <w:color w:val="000000"/>
          <w:sz w:val="24"/>
          <w:szCs w:val="24"/>
        </w:rPr>
        <w:t>年</w:t>
      </w:r>
      <w:r>
        <w:rPr>
          <w:rFonts w:ascii="宋体" w:hAnsi="宋体"/>
          <w:color w:val="000000"/>
          <w:sz w:val="24"/>
          <w:szCs w:val="24"/>
        </w:rPr>
        <w:t>12</w:t>
      </w:r>
      <w:r>
        <w:rPr>
          <w:rFonts w:ascii="宋体" w:hAnsi="宋体"/>
          <w:color w:val="000000"/>
          <w:sz w:val="24"/>
          <w:szCs w:val="24"/>
        </w:rPr>
        <w:t>月</w:t>
      </w:r>
      <w:r>
        <w:rPr>
          <w:rFonts w:ascii="宋体" w:hAnsi="宋体"/>
          <w:color w:val="000000"/>
          <w:sz w:val="24"/>
          <w:szCs w:val="24"/>
        </w:rPr>
        <w:t>27</w:t>
      </w:r>
      <w:r>
        <w:rPr>
          <w:rFonts w:ascii="宋体" w:hAnsi="宋体"/>
          <w:color w:val="000000"/>
          <w:sz w:val="24"/>
          <w:szCs w:val="24"/>
        </w:rPr>
        <w:t>日，中国银行保险监督管理委员会对中国光大银行股份有限公司的如下违法违规行为作出</w:t>
      </w:r>
      <w:r>
        <w:rPr>
          <w:rFonts w:ascii="宋体" w:hAnsi="宋体"/>
          <w:color w:val="000000"/>
          <w:sz w:val="24"/>
          <w:szCs w:val="24"/>
        </w:rPr>
        <w:t>“</w:t>
      </w:r>
      <w:r>
        <w:rPr>
          <w:rFonts w:ascii="宋体" w:hAnsi="宋体"/>
          <w:color w:val="000000"/>
          <w:sz w:val="24"/>
          <w:szCs w:val="24"/>
        </w:rPr>
        <w:t>罚款</w:t>
      </w:r>
      <w:r>
        <w:rPr>
          <w:rFonts w:ascii="宋体" w:hAnsi="宋体"/>
          <w:color w:val="000000"/>
          <w:sz w:val="24"/>
          <w:szCs w:val="24"/>
        </w:rPr>
        <w:t>180</w:t>
      </w:r>
      <w:r>
        <w:rPr>
          <w:rFonts w:ascii="宋体" w:hAnsi="宋体"/>
          <w:color w:val="000000"/>
          <w:sz w:val="24"/>
          <w:szCs w:val="24"/>
        </w:rPr>
        <w:t>万元</w:t>
      </w:r>
      <w:r>
        <w:rPr>
          <w:rFonts w:ascii="宋体" w:hAnsi="宋体"/>
          <w:color w:val="000000"/>
          <w:sz w:val="24"/>
          <w:szCs w:val="24"/>
        </w:rPr>
        <w:t>”</w:t>
      </w:r>
      <w:r>
        <w:rPr>
          <w:rFonts w:ascii="宋体" w:hAnsi="宋体"/>
          <w:color w:val="000000"/>
          <w:sz w:val="24"/>
          <w:szCs w:val="24"/>
        </w:rPr>
        <w:t>的行政处罚决定：</w:t>
      </w:r>
      <w:r>
        <w:rPr>
          <w:rFonts w:ascii="宋体" w:hAnsi="宋体"/>
          <w:color w:val="000000"/>
          <w:sz w:val="24"/>
          <w:szCs w:val="24"/>
        </w:rPr>
        <w:t>1</w:t>
      </w:r>
      <w:r>
        <w:rPr>
          <w:rFonts w:ascii="宋体" w:hAnsi="宋体"/>
          <w:color w:val="000000"/>
          <w:sz w:val="24"/>
          <w:szCs w:val="24"/>
        </w:rPr>
        <w:t>、授信审批不审慎；</w:t>
      </w:r>
      <w:r>
        <w:rPr>
          <w:rFonts w:ascii="宋体" w:hAnsi="宋体"/>
          <w:color w:val="000000"/>
          <w:sz w:val="24"/>
          <w:szCs w:val="24"/>
        </w:rPr>
        <w:t>2</w:t>
      </w:r>
      <w:r>
        <w:rPr>
          <w:rFonts w:ascii="宋体" w:hAnsi="宋体"/>
          <w:color w:val="000000"/>
          <w:sz w:val="24"/>
          <w:szCs w:val="24"/>
        </w:rPr>
        <w:t>、为还款来源不清晰的项目办理业务；</w:t>
      </w:r>
      <w:r>
        <w:rPr>
          <w:rFonts w:ascii="宋体" w:hAnsi="宋体"/>
          <w:color w:val="000000"/>
          <w:sz w:val="24"/>
          <w:szCs w:val="24"/>
        </w:rPr>
        <w:t>3</w:t>
      </w:r>
      <w:r>
        <w:rPr>
          <w:rFonts w:ascii="宋体" w:hAnsi="宋体"/>
          <w:color w:val="000000"/>
          <w:sz w:val="24"/>
          <w:szCs w:val="24"/>
        </w:rPr>
        <w:t>、总行对分支机构管控不力承担管理责任。</w:t>
      </w:r>
    </w:p>
    <w:p w:rsidR="008A1327" w:rsidRDefault="00580060">
      <w:pPr>
        <w:spacing w:line="360" w:lineRule="auto"/>
        <w:rPr>
          <w:rFonts w:ascii="宋体" w:hAnsi="宋体"/>
          <w:color w:val="000000"/>
          <w:sz w:val="24"/>
          <w:szCs w:val="24"/>
        </w:rPr>
      </w:pPr>
      <w:r>
        <w:rPr>
          <w:rFonts w:ascii="宋体" w:hAnsi="宋体"/>
          <w:color w:val="000000"/>
          <w:sz w:val="24"/>
          <w:szCs w:val="24"/>
        </w:rPr>
        <w:t>本基金投资</w:t>
      </w:r>
      <w:r>
        <w:rPr>
          <w:rFonts w:ascii="宋体" w:hAnsi="宋体"/>
          <w:color w:val="000000"/>
          <w:sz w:val="24"/>
          <w:szCs w:val="24"/>
        </w:rPr>
        <w:t>19</w:t>
      </w:r>
      <w:r>
        <w:rPr>
          <w:rFonts w:ascii="宋体" w:hAnsi="宋体"/>
          <w:color w:val="000000"/>
          <w:sz w:val="24"/>
          <w:szCs w:val="24"/>
        </w:rPr>
        <w:t>招商银行</w:t>
      </w:r>
      <w:r>
        <w:rPr>
          <w:rFonts w:ascii="宋体" w:hAnsi="宋体"/>
          <w:color w:val="000000"/>
          <w:sz w:val="24"/>
          <w:szCs w:val="24"/>
        </w:rPr>
        <w:t>CD049</w:t>
      </w:r>
      <w:r>
        <w:rPr>
          <w:rFonts w:ascii="宋体" w:hAnsi="宋体"/>
          <w:color w:val="000000"/>
          <w:sz w:val="24"/>
          <w:szCs w:val="24"/>
        </w:rPr>
        <w:t>、</w:t>
      </w:r>
      <w:r>
        <w:rPr>
          <w:rFonts w:ascii="宋体" w:hAnsi="宋体"/>
          <w:color w:val="000000"/>
          <w:sz w:val="24"/>
          <w:szCs w:val="24"/>
        </w:rPr>
        <w:t>19</w:t>
      </w:r>
      <w:r>
        <w:rPr>
          <w:rFonts w:ascii="宋体" w:hAnsi="宋体"/>
          <w:color w:val="000000"/>
          <w:sz w:val="24"/>
          <w:szCs w:val="24"/>
        </w:rPr>
        <w:t>交通银行</w:t>
      </w:r>
      <w:r>
        <w:rPr>
          <w:rFonts w:ascii="宋体" w:hAnsi="宋体"/>
          <w:color w:val="000000"/>
          <w:sz w:val="24"/>
          <w:szCs w:val="24"/>
        </w:rPr>
        <w:t>CD140</w:t>
      </w:r>
      <w:r>
        <w:rPr>
          <w:rFonts w:ascii="宋体" w:hAnsi="宋体"/>
          <w:color w:val="000000"/>
          <w:sz w:val="24"/>
          <w:szCs w:val="24"/>
        </w:rPr>
        <w:t>、</w:t>
      </w:r>
      <w:r>
        <w:rPr>
          <w:rFonts w:ascii="宋体" w:hAnsi="宋体"/>
          <w:color w:val="000000"/>
          <w:sz w:val="24"/>
          <w:szCs w:val="24"/>
        </w:rPr>
        <w:t>19</w:t>
      </w:r>
      <w:r>
        <w:rPr>
          <w:rFonts w:ascii="宋体" w:hAnsi="宋体"/>
          <w:color w:val="000000"/>
          <w:sz w:val="24"/>
          <w:szCs w:val="24"/>
        </w:rPr>
        <w:t>华夏银行</w:t>
      </w:r>
      <w:r>
        <w:rPr>
          <w:rFonts w:ascii="宋体" w:hAnsi="宋体"/>
          <w:color w:val="000000"/>
          <w:sz w:val="24"/>
          <w:szCs w:val="24"/>
        </w:rPr>
        <w:t>CD250</w:t>
      </w:r>
      <w:r>
        <w:rPr>
          <w:rFonts w:ascii="宋体" w:hAnsi="宋体"/>
          <w:color w:val="000000"/>
          <w:sz w:val="24"/>
          <w:szCs w:val="24"/>
        </w:rPr>
        <w:t>、</w:t>
      </w:r>
      <w:r>
        <w:rPr>
          <w:rFonts w:ascii="宋体" w:hAnsi="宋体"/>
          <w:color w:val="000000"/>
          <w:sz w:val="24"/>
          <w:szCs w:val="24"/>
        </w:rPr>
        <w:t>19</w:t>
      </w:r>
      <w:r>
        <w:rPr>
          <w:rFonts w:ascii="宋体" w:hAnsi="宋体"/>
          <w:color w:val="000000"/>
          <w:sz w:val="24"/>
          <w:szCs w:val="24"/>
        </w:rPr>
        <w:t>华夏银行</w:t>
      </w:r>
      <w:r>
        <w:rPr>
          <w:rFonts w:ascii="宋体" w:hAnsi="宋体"/>
          <w:color w:val="000000"/>
          <w:sz w:val="24"/>
          <w:szCs w:val="24"/>
        </w:rPr>
        <w:t>CD24</w:t>
      </w:r>
      <w:r>
        <w:rPr>
          <w:rFonts w:ascii="宋体" w:hAnsi="宋体"/>
          <w:color w:val="000000"/>
          <w:sz w:val="24"/>
          <w:szCs w:val="24"/>
        </w:rPr>
        <w:t>9</w:t>
      </w:r>
      <w:r>
        <w:rPr>
          <w:rFonts w:ascii="宋体" w:hAnsi="宋体"/>
          <w:color w:val="000000"/>
          <w:sz w:val="24"/>
          <w:szCs w:val="24"/>
        </w:rPr>
        <w:t>、</w:t>
      </w:r>
      <w:r>
        <w:rPr>
          <w:rFonts w:ascii="宋体" w:hAnsi="宋体"/>
          <w:color w:val="000000"/>
          <w:sz w:val="24"/>
          <w:szCs w:val="24"/>
        </w:rPr>
        <w:t>19</w:t>
      </w:r>
      <w:r>
        <w:rPr>
          <w:rFonts w:ascii="宋体" w:hAnsi="宋体"/>
          <w:color w:val="000000"/>
          <w:sz w:val="24"/>
          <w:szCs w:val="24"/>
        </w:rPr>
        <w:t>浦发银行</w:t>
      </w:r>
      <w:r>
        <w:rPr>
          <w:rFonts w:ascii="宋体" w:hAnsi="宋体"/>
          <w:color w:val="000000"/>
          <w:sz w:val="24"/>
          <w:szCs w:val="24"/>
        </w:rPr>
        <w:t>CD245</w:t>
      </w:r>
      <w:r>
        <w:rPr>
          <w:rFonts w:ascii="宋体" w:hAnsi="宋体"/>
          <w:color w:val="000000"/>
          <w:sz w:val="24"/>
          <w:szCs w:val="24"/>
        </w:rPr>
        <w:t>、邮储银行、</w:t>
      </w:r>
      <w:r>
        <w:rPr>
          <w:rFonts w:ascii="宋体" w:hAnsi="宋体"/>
          <w:color w:val="000000"/>
          <w:sz w:val="24"/>
          <w:szCs w:val="24"/>
        </w:rPr>
        <w:t>19</w:t>
      </w:r>
      <w:r>
        <w:rPr>
          <w:rFonts w:ascii="宋体" w:hAnsi="宋体"/>
          <w:color w:val="000000"/>
          <w:sz w:val="24"/>
          <w:szCs w:val="24"/>
        </w:rPr>
        <w:t>光大银行</w:t>
      </w:r>
      <w:r>
        <w:rPr>
          <w:rFonts w:ascii="宋体" w:hAnsi="宋体"/>
          <w:color w:val="000000"/>
          <w:sz w:val="24"/>
          <w:szCs w:val="24"/>
        </w:rPr>
        <w:t>CD054</w:t>
      </w:r>
      <w:r>
        <w:rPr>
          <w:rFonts w:ascii="宋体" w:hAnsi="宋体"/>
          <w:color w:val="000000"/>
          <w:sz w:val="24"/>
          <w:szCs w:val="24"/>
        </w:rPr>
        <w:t>的投资决策程序符合公司投资制度的规定。</w:t>
      </w:r>
    </w:p>
    <w:p w:rsidR="008A1327" w:rsidRDefault="00580060">
      <w:pPr>
        <w:spacing w:line="360" w:lineRule="auto"/>
        <w:rPr>
          <w:rFonts w:ascii="宋体" w:hAnsi="宋体"/>
          <w:color w:val="000000"/>
          <w:sz w:val="24"/>
          <w:szCs w:val="24"/>
        </w:rPr>
      </w:pPr>
      <w:r>
        <w:rPr>
          <w:rFonts w:ascii="宋体" w:hAnsi="宋体"/>
          <w:color w:val="000000"/>
          <w:sz w:val="24"/>
          <w:szCs w:val="24"/>
        </w:rPr>
        <w:t>除</w:t>
      </w:r>
      <w:r>
        <w:rPr>
          <w:rFonts w:ascii="宋体" w:hAnsi="宋体"/>
          <w:color w:val="000000"/>
          <w:sz w:val="24"/>
          <w:szCs w:val="24"/>
        </w:rPr>
        <w:t>19</w:t>
      </w:r>
      <w:r>
        <w:rPr>
          <w:rFonts w:ascii="宋体" w:hAnsi="宋体"/>
          <w:color w:val="000000"/>
          <w:sz w:val="24"/>
          <w:szCs w:val="24"/>
        </w:rPr>
        <w:t>招商银行</w:t>
      </w:r>
      <w:r>
        <w:rPr>
          <w:rFonts w:ascii="宋体" w:hAnsi="宋体"/>
          <w:color w:val="000000"/>
          <w:sz w:val="24"/>
          <w:szCs w:val="24"/>
        </w:rPr>
        <w:t>CD049</w:t>
      </w:r>
      <w:r>
        <w:rPr>
          <w:rFonts w:ascii="宋体" w:hAnsi="宋体"/>
          <w:color w:val="000000"/>
          <w:sz w:val="24"/>
          <w:szCs w:val="24"/>
        </w:rPr>
        <w:t>、</w:t>
      </w:r>
      <w:r>
        <w:rPr>
          <w:rFonts w:ascii="宋体" w:hAnsi="宋体"/>
          <w:color w:val="000000"/>
          <w:sz w:val="24"/>
          <w:szCs w:val="24"/>
        </w:rPr>
        <w:t>19</w:t>
      </w:r>
      <w:r>
        <w:rPr>
          <w:rFonts w:ascii="宋体" w:hAnsi="宋体"/>
          <w:color w:val="000000"/>
          <w:sz w:val="24"/>
          <w:szCs w:val="24"/>
        </w:rPr>
        <w:t>交通银行</w:t>
      </w:r>
      <w:r>
        <w:rPr>
          <w:rFonts w:ascii="宋体" w:hAnsi="宋体"/>
          <w:color w:val="000000"/>
          <w:sz w:val="24"/>
          <w:szCs w:val="24"/>
        </w:rPr>
        <w:t>CD140</w:t>
      </w:r>
      <w:r>
        <w:rPr>
          <w:rFonts w:ascii="宋体" w:hAnsi="宋体"/>
          <w:color w:val="000000"/>
          <w:sz w:val="24"/>
          <w:szCs w:val="24"/>
        </w:rPr>
        <w:t>、</w:t>
      </w:r>
      <w:r>
        <w:rPr>
          <w:rFonts w:ascii="宋体" w:hAnsi="宋体"/>
          <w:color w:val="000000"/>
          <w:sz w:val="24"/>
          <w:szCs w:val="24"/>
        </w:rPr>
        <w:t>19</w:t>
      </w:r>
      <w:r>
        <w:rPr>
          <w:rFonts w:ascii="宋体" w:hAnsi="宋体"/>
          <w:color w:val="000000"/>
          <w:sz w:val="24"/>
          <w:szCs w:val="24"/>
        </w:rPr>
        <w:t>华夏银行</w:t>
      </w:r>
      <w:r>
        <w:rPr>
          <w:rFonts w:ascii="宋体" w:hAnsi="宋体"/>
          <w:color w:val="000000"/>
          <w:sz w:val="24"/>
          <w:szCs w:val="24"/>
        </w:rPr>
        <w:t>CD250</w:t>
      </w:r>
      <w:r>
        <w:rPr>
          <w:rFonts w:ascii="宋体" w:hAnsi="宋体"/>
          <w:color w:val="000000"/>
          <w:sz w:val="24"/>
          <w:szCs w:val="24"/>
        </w:rPr>
        <w:t>、</w:t>
      </w:r>
      <w:r>
        <w:rPr>
          <w:rFonts w:ascii="宋体" w:hAnsi="宋体"/>
          <w:color w:val="000000"/>
          <w:sz w:val="24"/>
          <w:szCs w:val="24"/>
        </w:rPr>
        <w:t>19</w:t>
      </w:r>
      <w:r>
        <w:rPr>
          <w:rFonts w:ascii="宋体" w:hAnsi="宋体"/>
          <w:color w:val="000000"/>
          <w:sz w:val="24"/>
          <w:szCs w:val="24"/>
        </w:rPr>
        <w:t>华夏银行</w:t>
      </w:r>
      <w:r>
        <w:rPr>
          <w:rFonts w:ascii="宋体" w:hAnsi="宋体"/>
          <w:color w:val="000000"/>
          <w:sz w:val="24"/>
          <w:szCs w:val="24"/>
        </w:rPr>
        <w:t>CD249</w:t>
      </w:r>
      <w:r>
        <w:rPr>
          <w:rFonts w:ascii="宋体" w:hAnsi="宋体"/>
          <w:color w:val="000000"/>
          <w:sz w:val="24"/>
          <w:szCs w:val="24"/>
        </w:rPr>
        <w:t>、</w:t>
      </w:r>
      <w:r>
        <w:rPr>
          <w:rFonts w:ascii="宋体" w:hAnsi="宋体"/>
          <w:color w:val="000000"/>
          <w:sz w:val="24"/>
          <w:szCs w:val="24"/>
        </w:rPr>
        <w:t>19</w:t>
      </w:r>
      <w:r>
        <w:rPr>
          <w:rFonts w:ascii="宋体" w:hAnsi="宋体"/>
          <w:color w:val="000000"/>
          <w:sz w:val="24"/>
          <w:szCs w:val="24"/>
        </w:rPr>
        <w:t>浦发银行</w:t>
      </w:r>
      <w:r>
        <w:rPr>
          <w:rFonts w:ascii="宋体" w:hAnsi="宋体"/>
          <w:color w:val="000000"/>
          <w:sz w:val="24"/>
          <w:szCs w:val="24"/>
        </w:rPr>
        <w:t>CD245</w:t>
      </w:r>
      <w:r>
        <w:rPr>
          <w:rFonts w:ascii="宋体" w:hAnsi="宋体"/>
          <w:color w:val="000000"/>
          <w:sz w:val="24"/>
          <w:szCs w:val="24"/>
        </w:rPr>
        <w:t>、邮储银行、</w:t>
      </w:r>
      <w:r>
        <w:rPr>
          <w:rFonts w:ascii="宋体" w:hAnsi="宋体"/>
          <w:color w:val="000000"/>
          <w:sz w:val="24"/>
          <w:szCs w:val="24"/>
        </w:rPr>
        <w:t>19</w:t>
      </w:r>
      <w:r>
        <w:rPr>
          <w:rFonts w:ascii="宋体" w:hAnsi="宋体"/>
          <w:color w:val="000000"/>
          <w:sz w:val="24"/>
          <w:szCs w:val="24"/>
        </w:rPr>
        <w:t>光大银行</w:t>
      </w:r>
      <w:r>
        <w:rPr>
          <w:rFonts w:ascii="宋体" w:hAnsi="宋体"/>
          <w:color w:val="000000"/>
          <w:sz w:val="24"/>
          <w:szCs w:val="24"/>
        </w:rPr>
        <w:t>CD054</w:t>
      </w:r>
      <w:r>
        <w:rPr>
          <w:rFonts w:ascii="宋体" w:hAnsi="宋体"/>
          <w:color w:val="000000"/>
          <w:sz w:val="24"/>
          <w:szCs w:val="24"/>
        </w:rPr>
        <w:t>外，本基金投资的前十名证券的发行主体本期没有出现被监管部门立案调查，或在报告编制日前一年内受到公开谴责、处罚的情形。</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5.11.2本基金投资的前十名股票没有超出基金合同规定的备选股票库。</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 xml:space="preserve">5.11.3 </w:t>
      </w:r>
      <w:r w:rsidRPr="001C7E00">
        <w:rPr>
          <w:rFonts w:ascii="宋体" w:hAnsi="宋体" w:hint="eastAsia"/>
          <w:bCs/>
          <w:color w:val="000000"/>
          <w:kern w:val="0"/>
          <w:sz w:val="24"/>
          <w:szCs w:val="24"/>
        </w:rPr>
        <w:t>其他各项资产构成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470"/>
        <w:gridCol w:w="4808"/>
      </w:tblGrid>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w="2470"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w="4808" w:type="dxa"/>
            <w:vAlign w:val="center"/>
          </w:tcPr>
          <w:p w:rsidR="00750D48" w:rsidRPr="00B227EA" w:rsidRDefault="00750D48" w:rsidP="005F7917">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12,031.41</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627,692,416.14</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414,013,403.78</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1,041,717,851.33</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本基金本报告期末未持有处于转股期的可转换债券。</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302"/>
        <w:gridCol w:w="1301"/>
        <w:gridCol w:w="1805"/>
        <w:gridCol w:w="1655"/>
        <w:gridCol w:w="1367"/>
      </w:tblGrid>
      <w:tr w:rsidR="00750D48" w:rsidRPr="00264E55" w:rsidTr="00B05049">
        <w:tc>
          <w:tcPr>
            <w:tcW w:w="1083"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序号</w:t>
            </w:r>
          </w:p>
        </w:tc>
        <w:tc>
          <w:tcPr>
            <w:tcW w:w="1302"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股票代码</w:t>
            </w:r>
          </w:p>
        </w:tc>
        <w:tc>
          <w:tcPr>
            <w:tcW w:w="1301"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股票名称</w:t>
            </w:r>
          </w:p>
        </w:tc>
        <w:tc>
          <w:tcPr>
            <w:tcW w:w="1805"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流通受限部分的公允价值</w:t>
            </w:r>
            <w:r w:rsidR="005F7917" w:rsidRPr="00B227EA">
              <w:rPr>
                <w:color w:val="000000"/>
                <w:kern w:val="0"/>
                <w:sz w:val="24"/>
                <w:szCs w:val="24"/>
              </w:rPr>
              <w:t>（元）</w:t>
            </w:r>
          </w:p>
        </w:tc>
        <w:tc>
          <w:tcPr>
            <w:tcW w:w="1655"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占基金资产净值比例</w:t>
            </w:r>
            <w:r w:rsidR="005F7917" w:rsidRPr="00B227EA">
              <w:rPr>
                <w:color w:val="000000"/>
                <w:kern w:val="0"/>
                <w:sz w:val="24"/>
                <w:szCs w:val="24"/>
              </w:rPr>
              <w:t>（</w:t>
            </w:r>
            <w:r w:rsidR="005F7917" w:rsidRPr="00B227EA">
              <w:rPr>
                <w:color w:val="000000"/>
                <w:kern w:val="0"/>
                <w:sz w:val="24"/>
                <w:szCs w:val="24"/>
              </w:rPr>
              <w:t>%</w:t>
            </w:r>
            <w:r w:rsidR="005F7917" w:rsidRPr="00B227EA">
              <w:rPr>
                <w:color w:val="000000"/>
                <w:kern w:val="0"/>
                <w:sz w:val="24"/>
                <w:szCs w:val="24"/>
              </w:rPr>
              <w:t>）</w:t>
            </w:r>
          </w:p>
        </w:tc>
        <w:tc>
          <w:tcPr>
            <w:tcW w:w="1367"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流通受限情况说明</w:t>
            </w:r>
          </w:p>
        </w:tc>
      </w:tr>
      <w:tr w:rsidR="008A1327">
        <w:tc>
          <w:tcPr>
            <w:tcW w:w="0" w:type="auto"/>
            <w:vAlign w:val="center"/>
          </w:tcPr>
          <w:p w:rsidR="008A1327" w:rsidRDefault="00580060">
            <w:pPr>
              <w:jc w:val="center"/>
            </w:pPr>
            <w:r>
              <w:rPr>
                <w:color w:val="000000"/>
                <w:kern w:val="0"/>
                <w:sz w:val="24"/>
                <w:szCs w:val="24"/>
              </w:rPr>
              <w:t>1</w:t>
            </w:r>
          </w:p>
        </w:tc>
        <w:tc>
          <w:tcPr>
            <w:tcW w:w="0" w:type="auto"/>
            <w:vAlign w:val="center"/>
          </w:tcPr>
          <w:p w:rsidR="008A1327" w:rsidRDefault="00580060">
            <w:pPr>
              <w:jc w:val="center"/>
            </w:pPr>
            <w:r>
              <w:rPr>
                <w:color w:val="000000"/>
                <w:kern w:val="0"/>
                <w:sz w:val="24"/>
                <w:szCs w:val="24"/>
              </w:rPr>
              <w:t>601658</w:t>
            </w:r>
          </w:p>
        </w:tc>
        <w:tc>
          <w:tcPr>
            <w:tcW w:w="0" w:type="auto"/>
            <w:vAlign w:val="center"/>
          </w:tcPr>
          <w:p w:rsidR="008A1327" w:rsidRDefault="00580060">
            <w:pPr>
              <w:jc w:val="center"/>
            </w:pPr>
            <w:r>
              <w:rPr>
                <w:color w:val="000000"/>
                <w:kern w:val="0"/>
                <w:sz w:val="24"/>
                <w:szCs w:val="24"/>
              </w:rPr>
              <w:t>邮储银行</w:t>
            </w:r>
          </w:p>
        </w:tc>
        <w:tc>
          <w:tcPr>
            <w:tcW w:w="0" w:type="auto"/>
            <w:vAlign w:val="center"/>
          </w:tcPr>
          <w:p w:rsidR="008A1327" w:rsidRDefault="00580060">
            <w:pPr>
              <w:jc w:val="right"/>
            </w:pPr>
            <w:r>
              <w:rPr>
                <w:color w:val="000000"/>
                <w:kern w:val="0"/>
                <w:sz w:val="24"/>
                <w:szCs w:val="24"/>
              </w:rPr>
              <w:t>2,567,820,130.00</w:t>
            </w:r>
          </w:p>
        </w:tc>
        <w:tc>
          <w:tcPr>
            <w:tcW w:w="0" w:type="auto"/>
            <w:vAlign w:val="center"/>
          </w:tcPr>
          <w:p w:rsidR="008A1327" w:rsidRDefault="00580060">
            <w:pPr>
              <w:jc w:val="right"/>
            </w:pPr>
            <w:r>
              <w:rPr>
                <w:color w:val="000000"/>
                <w:kern w:val="0"/>
                <w:sz w:val="24"/>
                <w:szCs w:val="24"/>
              </w:rPr>
              <w:t>9.63</w:t>
            </w:r>
          </w:p>
        </w:tc>
        <w:tc>
          <w:tcPr>
            <w:tcW w:w="0" w:type="auto"/>
            <w:vAlign w:val="center"/>
          </w:tcPr>
          <w:p w:rsidR="008A1327" w:rsidRDefault="00580060">
            <w:pPr>
              <w:jc w:val="right"/>
            </w:pPr>
            <w:r>
              <w:rPr>
                <w:color w:val="000000"/>
                <w:kern w:val="0"/>
                <w:sz w:val="24"/>
                <w:szCs w:val="24"/>
              </w:rPr>
              <w:t>新股战略配售流通受限</w:t>
            </w:r>
          </w:p>
        </w:tc>
      </w:tr>
      <w:tr w:rsidR="008A1327">
        <w:tc>
          <w:tcPr>
            <w:tcW w:w="0" w:type="auto"/>
            <w:vAlign w:val="center"/>
          </w:tcPr>
          <w:p w:rsidR="008A1327" w:rsidRDefault="00580060">
            <w:pPr>
              <w:jc w:val="center"/>
            </w:pPr>
            <w:r>
              <w:rPr>
                <w:color w:val="000000"/>
                <w:kern w:val="0"/>
                <w:sz w:val="24"/>
                <w:szCs w:val="24"/>
              </w:rPr>
              <w:t>2</w:t>
            </w:r>
          </w:p>
        </w:tc>
        <w:tc>
          <w:tcPr>
            <w:tcW w:w="0" w:type="auto"/>
            <w:vAlign w:val="center"/>
          </w:tcPr>
          <w:p w:rsidR="008A1327" w:rsidRDefault="00580060">
            <w:pPr>
              <w:jc w:val="center"/>
            </w:pPr>
            <w:r>
              <w:rPr>
                <w:color w:val="000000"/>
                <w:kern w:val="0"/>
                <w:sz w:val="24"/>
                <w:szCs w:val="24"/>
              </w:rPr>
              <w:t>003816</w:t>
            </w:r>
          </w:p>
        </w:tc>
        <w:tc>
          <w:tcPr>
            <w:tcW w:w="0" w:type="auto"/>
            <w:vAlign w:val="center"/>
          </w:tcPr>
          <w:p w:rsidR="008A1327" w:rsidRDefault="00580060">
            <w:pPr>
              <w:jc w:val="center"/>
            </w:pPr>
            <w:r>
              <w:rPr>
                <w:color w:val="000000"/>
                <w:kern w:val="0"/>
                <w:sz w:val="24"/>
                <w:szCs w:val="24"/>
              </w:rPr>
              <w:t>中国广核</w:t>
            </w:r>
          </w:p>
        </w:tc>
        <w:tc>
          <w:tcPr>
            <w:tcW w:w="0" w:type="auto"/>
            <w:vAlign w:val="center"/>
          </w:tcPr>
          <w:p w:rsidR="008A1327" w:rsidRDefault="00580060">
            <w:pPr>
              <w:jc w:val="right"/>
            </w:pPr>
            <w:r>
              <w:rPr>
                <w:color w:val="000000"/>
                <w:kern w:val="0"/>
                <w:sz w:val="24"/>
                <w:szCs w:val="24"/>
              </w:rPr>
              <w:t>1,805,326,250.00</w:t>
            </w:r>
          </w:p>
        </w:tc>
        <w:tc>
          <w:tcPr>
            <w:tcW w:w="0" w:type="auto"/>
            <w:vAlign w:val="center"/>
          </w:tcPr>
          <w:p w:rsidR="008A1327" w:rsidRDefault="00580060">
            <w:pPr>
              <w:jc w:val="right"/>
            </w:pPr>
            <w:r>
              <w:rPr>
                <w:color w:val="000000"/>
                <w:kern w:val="0"/>
                <w:sz w:val="24"/>
                <w:szCs w:val="24"/>
              </w:rPr>
              <w:t>6.77</w:t>
            </w:r>
          </w:p>
        </w:tc>
        <w:tc>
          <w:tcPr>
            <w:tcW w:w="0" w:type="auto"/>
            <w:vAlign w:val="center"/>
          </w:tcPr>
          <w:p w:rsidR="008A1327" w:rsidRDefault="00580060">
            <w:pPr>
              <w:jc w:val="right"/>
            </w:pPr>
            <w:r>
              <w:rPr>
                <w:color w:val="000000"/>
                <w:kern w:val="0"/>
                <w:sz w:val="24"/>
                <w:szCs w:val="24"/>
              </w:rPr>
              <w:t>新股战略配售流通受限</w:t>
            </w:r>
          </w:p>
        </w:tc>
      </w:tr>
    </w:tbl>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R="00750D48" w:rsidRPr="00264E55" w:rsidRDefault="00750D48" w:rsidP="004061AC">
      <w:pPr>
        <w:autoSpaceDE w:val="0"/>
        <w:autoSpaceDN w:val="0"/>
        <w:adjustRightInd w:val="0"/>
        <w:spacing w:before="29" w:line="360" w:lineRule="auto"/>
        <w:ind w:left="15"/>
        <w:jc w:val="right"/>
        <w:rPr>
          <w:rFonts w:ascii="宋体"/>
          <w:color w:val="000000"/>
          <w:kern w:val="0"/>
          <w:sz w:val="24"/>
          <w:szCs w:val="24"/>
        </w:rPr>
      </w:pPr>
      <w:r w:rsidRPr="00264E55">
        <w:rPr>
          <w:rFonts w:ascii="宋体" w:hAnsi="宋体" w:cs="宋体" w:hint="eastAsia"/>
          <w:color w:val="000000"/>
          <w:kern w:val="0"/>
          <w:sz w:val="24"/>
          <w:szCs w:val="24"/>
        </w:rPr>
        <w:t>单位：份</w:t>
      </w:r>
    </w:p>
    <w:tbl>
      <w:tblPr>
        <w:tblW w:w="0" w:type="auto"/>
        <w:tblInd w:w="-106" w:type="dxa"/>
        <w:tblLayout w:type="fixed"/>
        <w:tblLook w:val="0000" w:firstRow="0" w:lastRow="0" w:firstColumn="0" w:lastColumn="0" w:noHBand="0" w:noVBand="0"/>
      </w:tblPr>
      <w:tblGrid>
        <w:gridCol w:w="4609"/>
        <w:gridCol w:w="4025"/>
      </w:tblGrid>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24,455,755,153.17</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减：报告期基金总赎回份额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0A2B53">
            <w:pPr>
              <w:autoSpaceDE w:val="0"/>
              <w:autoSpaceDN w:val="0"/>
              <w:adjustRightInd w:val="0"/>
              <w:spacing w:before="29" w:line="360" w:lineRule="auto"/>
              <w:ind w:left="17"/>
              <w:jc w:val="right"/>
              <w:rPr>
                <w:color w:val="000000"/>
                <w:sz w:val="24"/>
                <w:szCs w:val="24"/>
              </w:rPr>
            </w:pPr>
            <w:r w:rsidRPr="00B227EA">
              <w:rPr>
                <w:color w:val="000000"/>
                <w:sz w:val="24"/>
                <w:szCs w:val="24"/>
              </w:rPr>
              <w:t>24,455,755,153.17</w:t>
            </w:r>
          </w:p>
        </w:tc>
      </w:tr>
    </w:tbl>
    <w:p w:rsidR="00750D48" w:rsidRDefault="00750D48" w:rsidP="004D28A3">
      <w:pPr>
        <w:pStyle w:val="1"/>
        <w:tabs>
          <w:tab w:val="center" w:pos="4156"/>
          <w:tab w:val="right" w:pos="8312"/>
        </w:tabs>
        <w:spacing w:beforeLines="100" w:before="312" w:afterLines="100" w:after="312"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750D48" w:rsidRDefault="00750D48" w:rsidP="00EB374A">
      <w:pPr>
        <w:spacing w:line="360" w:lineRule="auto"/>
        <w:jc w:val="left"/>
        <w:rPr>
          <w:sz w:val="24"/>
          <w:szCs w:val="24"/>
        </w:rPr>
      </w:pPr>
      <w:r>
        <w:rPr>
          <w:b/>
          <w:sz w:val="24"/>
        </w:rPr>
        <w:t xml:space="preserve">7.1 </w:t>
      </w:r>
      <w:r>
        <w:rPr>
          <w:rFonts w:hint="eastAsia"/>
          <w:b/>
          <w:sz w:val="24"/>
        </w:rPr>
        <w:t>基金管理人持有本基金份额变动情况</w:t>
      </w:r>
    </w:p>
    <w:p w:rsidR="00750D48" w:rsidRPr="00232B03" w:rsidRDefault="00AC11B0" w:rsidP="00232B03">
      <w:pPr>
        <w:spacing w:line="360" w:lineRule="auto"/>
        <w:ind w:firstLineChars="200" w:firstLine="480"/>
        <w:rPr>
          <w:color w:val="000000"/>
          <w:sz w:val="24"/>
          <w:szCs w:val="24"/>
        </w:rPr>
      </w:pPr>
      <w:r w:rsidRPr="00403A06">
        <w:rPr>
          <w:color w:val="000000"/>
          <w:sz w:val="24"/>
          <w:szCs w:val="24"/>
        </w:rPr>
        <w:t>本报告期内基金管理人未持有本基金份额。</w:t>
      </w:r>
    </w:p>
    <w:p w:rsidR="00750D48" w:rsidRDefault="00750D48" w:rsidP="00EB374A">
      <w:pPr>
        <w:spacing w:line="360" w:lineRule="auto"/>
        <w:jc w:val="left"/>
        <w:rPr>
          <w:sz w:val="24"/>
        </w:rPr>
      </w:pPr>
      <w:r>
        <w:rPr>
          <w:b/>
          <w:sz w:val="24"/>
        </w:rPr>
        <w:t xml:space="preserve">7.2 </w:t>
      </w:r>
      <w:r>
        <w:rPr>
          <w:rFonts w:hint="eastAsia"/>
          <w:b/>
          <w:sz w:val="24"/>
        </w:rPr>
        <w:t>基金管理人运用固有资金投资本基金交易明细</w:t>
      </w:r>
    </w:p>
    <w:p w:rsidR="00750D48" w:rsidRPr="006C56AA" w:rsidRDefault="00750D48" w:rsidP="006C56AA">
      <w:pPr>
        <w:spacing w:line="360" w:lineRule="auto"/>
        <w:ind w:firstLineChars="200" w:firstLine="480"/>
        <w:rPr>
          <w:color w:val="000000"/>
          <w:sz w:val="24"/>
          <w:szCs w:val="24"/>
        </w:rPr>
      </w:pPr>
      <w:r w:rsidRPr="006C56AA">
        <w:rPr>
          <w:color w:val="000000"/>
          <w:sz w:val="24"/>
          <w:szCs w:val="24"/>
        </w:rPr>
        <w:t>本报告期内基金管理人未运用固有资金申购、赎回、买卖本基金份额。</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rsidR="008A1327" w:rsidRDefault="00580060">
      <w:pPr>
        <w:spacing w:line="360" w:lineRule="auto"/>
        <w:ind w:firstLineChars="200" w:firstLine="480"/>
        <w:rPr>
          <w:color w:val="000000"/>
          <w:sz w:val="24"/>
          <w:szCs w:val="24"/>
        </w:rPr>
      </w:pPr>
      <w:r>
        <w:rPr>
          <w:color w:val="000000"/>
          <w:sz w:val="24"/>
          <w:szCs w:val="24"/>
        </w:rPr>
        <w:t>1.</w:t>
      </w:r>
      <w:r>
        <w:rPr>
          <w:color w:val="000000"/>
          <w:sz w:val="24"/>
          <w:szCs w:val="24"/>
        </w:rPr>
        <w:t>中国证监会准予易方达</w:t>
      </w:r>
      <w:r>
        <w:rPr>
          <w:color w:val="000000"/>
          <w:sz w:val="24"/>
          <w:szCs w:val="24"/>
        </w:rPr>
        <w:t>3</w:t>
      </w:r>
      <w:r>
        <w:rPr>
          <w:color w:val="000000"/>
          <w:sz w:val="24"/>
          <w:szCs w:val="24"/>
        </w:rPr>
        <w:t>年封闭运作战略配售灵活配置混合型证券投资基金（</w:t>
      </w:r>
      <w:r>
        <w:rPr>
          <w:color w:val="000000"/>
          <w:sz w:val="24"/>
          <w:szCs w:val="24"/>
        </w:rPr>
        <w:t>LOF</w:t>
      </w:r>
      <w:r>
        <w:rPr>
          <w:color w:val="000000"/>
          <w:sz w:val="24"/>
          <w:szCs w:val="24"/>
        </w:rPr>
        <w:t>）注册的文件；</w:t>
      </w:r>
    </w:p>
    <w:p w:rsidR="008A1327" w:rsidRDefault="00580060">
      <w:pPr>
        <w:spacing w:line="360" w:lineRule="auto"/>
        <w:ind w:firstLineChars="200" w:firstLine="480"/>
        <w:rPr>
          <w:color w:val="000000"/>
          <w:sz w:val="24"/>
          <w:szCs w:val="24"/>
        </w:rPr>
      </w:pPr>
      <w:r>
        <w:rPr>
          <w:color w:val="000000"/>
          <w:sz w:val="24"/>
          <w:szCs w:val="24"/>
        </w:rPr>
        <w:t>2.</w:t>
      </w:r>
      <w:r>
        <w:rPr>
          <w:color w:val="000000"/>
          <w:sz w:val="24"/>
          <w:szCs w:val="24"/>
        </w:rPr>
        <w:t>《易方达</w:t>
      </w:r>
      <w:r>
        <w:rPr>
          <w:color w:val="000000"/>
          <w:sz w:val="24"/>
          <w:szCs w:val="24"/>
        </w:rPr>
        <w:t>3</w:t>
      </w:r>
      <w:r>
        <w:rPr>
          <w:color w:val="000000"/>
          <w:sz w:val="24"/>
          <w:szCs w:val="24"/>
        </w:rPr>
        <w:t>年封闭运作战略配售灵活配置混合型证券投资基金（</w:t>
      </w:r>
      <w:r>
        <w:rPr>
          <w:color w:val="000000"/>
          <w:sz w:val="24"/>
          <w:szCs w:val="24"/>
        </w:rPr>
        <w:t>LOF</w:t>
      </w:r>
      <w:r>
        <w:rPr>
          <w:color w:val="000000"/>
          <w:sz w:val="24"/>
          <w:szCs w:val="24"/>
        </w:rPr>
        <w:t>）基金合同》；</w:t>
      </w:r>
    </w:p>
    <w:p w:rsidR="008A1327" w:rsidRDefault="00580060">
      <w:pPr>
        <w:spacing w:line="360" w:lineRule="auto"/>
        <w:ind w:firstLineChars="200" w:firstLine="480"/>
        <w:rPr>
          <w:color w:val="000000"/>
          <w:sz w:val="24"/>
          <w:szCs w:val="24"/>
        </w:rPr>
      </w:pPr>
      <w:r>
        <w:rPr>
          <w:color w:val="000000"/>
          <w:sz w:val="24"/>
          <w:szCs w:val="24"/>
        </w:rPr>
        <w:t>3.</w:t>
      </w:r>
      <w:r>
        <w:rPr>
          <w:color w:val="000000"/>
          <w:sz w:val="24"/>
          <w:szCs w:val="24"/>
        </w:rPr>
        <w:t>《易方达</w:t>
      </w:r>
      <w:r>
        <w:rPr>
          <w:color w:val="000000"/>
          <w:sz w:val="24"/>
          <w:szCs w:val="24"/>
        </w:rPr>
        <w:t>3</w:t>
      </w:r>
      <w:r>
        <w:rPr>
          <w:color w:val="000000"/>
          <w:sz w:val="24"/>
          <w:szCs w:val="24"/>
        </w:rPr>
        <w:t>年封闭运作战略配售灵活配置混合型证券投资基金（</w:t>
      </w:r>
      <w:r>
        <w:rPr>
          <w:color w:val="000000"/>
          <w:sz w:val="24"/>
          <w:szCs w:val="24"/>
        </w:rPr>
        <w:t>LOF</w:t>
      </w:r>
      <w:r>
        <w:rPr>
          <w:color w:val="000000"/>
          <w:sz w:val="24"/>
          <w:szCs w:val="24"/>
        </w:rPr>
        <w:t>）托管协议》；</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4.</w:t>
      </w:r>
      <w:r w:rsidRPr="006C56AA">
        <w:rPr>
          <w:color w:val="000000"/>
          <w:sz w:val="24"/>
          <w:szCs w:val="24"/>
        </w:rPr>
        <w:t>基金管理人业务资格批件、营业执照。</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广州市天河区珠江新城珠江东路</w:t>
      </w:r>
      <w:r w:rsidRPr="006C56AA">
        <w:rPr>
          <w:color w:val="000000"/>
          <w:sz w:val="24"/>
          <w:szCs w:val="24"/>
        </w:rPr>
        <w:t>30</w:t>
      </w:r>
      <w:r w:rsidRPr="006C56AA">
        <w:rPr>
          <w:color w:val="000000"/>
          <w:sz w:val="24"/>
          <w:szCs w:val="24"/>
        </w:rPr>
        <w:t>号广州银行大厦</w:t>
      </w:r>
      <w:r w:rsidRPr="006C56AA">
        <w:rPr>
          <w:color w:val="000000"/>
          <w:sz w:val="24"/>
          <w:szCs w:val="24"/>
        </w:rPr>
        <w:t>40-43</w:t>
      </w:r>
      <w:r w:rsidRPr="006C56AA">
        <w:rPr>
          <w:color w:val="000000"/>
          <w:sz w:val="24"/>
          <w:szCs w:val="24"/>
        </w:rPr>
        <w:t>楼。</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投资者可在营业时间免费查阅，也可按工本费购买复印件。</w:t>
      </w: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C71497">
      <w:pPr>
        <w:spacing w:line="360" w:lineRule="auto"/>
        <w:jc w:val="right"/>
        <w:rPr>
          <w:rFonts w:ascii="宋体" w:hAnsi="宋体"/>
          <w:b/>
          <w:bCs/>
          <w:sz w:val="24"/>
          <w:szCs w:val="24"/>
        </w:rPr>
      </w:pPr>
      <w:r w:rsidRPr="00264E55">
        <w:rPr>
          <w:rFonts w:ascii="宋体" w:hAnsi="宋体"/>
          <w:b/>
          <w:bCs/>
          <w:sz w:val="24"/>
          <w:szCs w:val="24"/>
        </w:rPr>
        <w:t>易方达基金管理有限公司</w:t>
      </w:r>
    </w:p>
    <w:p w:rsidR="00750D48" w:rsidRPr="00191817" w:rsidRDefault="00750D48" w:rsidP="00191817">
      <w:pPr>
        <w:spacing w:line="360" w:lineRule="auto"/>
        <w:jc w:val="right"/>
        <w:rPr>
          <w:rFonts w:ascii="宋体" w:hAnsi="宋体"/>
          <w:b/>
          <w:bCs/>
          <w:sz w:val="24"/>
          <w:szCs w:val="24"/>
        </w:rPr>
      </w:pPr>
      <w:r w:rsidRPr="00264E55">
        <w:rPr>
          <w:rFonts w:ascii="宋体" w:hAnsi="宋体"/>
          <w:b/>
          <w:bCs/>
          <w:sz w:val="24"/>
          <w:szCs w:val="24"/>
        </w:rPr>
        <w:t>二〇二〇年一月十八日</w:t>
      </w:r>
    </w:p>
    <w:sectPr w:rsidR="00750D48" w:rsidRPr="00191817" w:rsidSect="00304A12">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0DE" w:rsidRDefault="009510DE" w:rsidP="00876D65">
      <w:r>
        <w:separator/>
      </w:r>
    </w:p>
  </w:endnote>
  <w:endnote w:type="continuationSeparator" w:id="0">
    <w:p w:rsidR="009510DE" w:rsidRDefault="009510DE"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rsidP="00EF56B5">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580060">
      <w:rPr>
        <w:rStyle w:val="a7"/>
        <w:noProof/>
      </w:rPr>
      <w:t>1</w:t>
    </w:r>
    <w:r>
      <w:rPr>
        <w:rStyle w:val="a7"/>
      </w:rPr>
      <w:fldChar w:fldCharType="end"/>
    </w:r>
    <w:r>
      <w:rPr>
        <w:rStyle w:val="a7"/>
        <w:rFonts w:hint="eastAsia"/>
      </w:rPr>
      <w:t>页共</w:t>
    </w:r>
    <w:r w:rsidR="00580060">
      <w:fldChar w:fldCharType="begin"/>
    </w:r>
    <w:r w:rsidR="00580060">
      <w:instrText xml:space="preserve"> NUMPAGES  \* Arabic  \* MERGEFORMAT </w:instrText>
    </w:r>
    <w:r w:rsidR="00580060">
      <w:fldChar w:fldCharType="separate"/>
    </w:r>
    <w:r w:rsidR="00580060" w:rsidRPr="00580060">
      <w:rPr>
        <w:rStyle w:val="a7"/>
        <w:noProof/>
      </w:rPr>
      <w:t>1</w:t>
    </w:r>
    <w:r w:rsidR="00580060">
      <w:rPr>
        <w:rStyle w:val="a7"/>
        <w:noProof/>
      </w:rPr>
      <w:fldChar w:fldCharType="end"/>
    </w:r>
    <w:r>
      <w:rPr>
        <w:rStyle w:val="a7"/>
        <w:rFonts w:hint="eastAsia"/>
      </w:rPr>
      <w:t>页</w:t>
    </w:r>
  </w:p>
  <w:p w:rsidR="003328D9" w:rsidRPr="00EF56B5" w:rsidRDefault="003328D9" w:rsidP="00EF56B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580060">
      <w:rPr>
        <w:rStyle w:val="a7"/>
        <w:noProof/>
      </w:rPr>
      <w:t>2</w:t>
    </w:r>
    <w:r>
      <w:rPr>
        <w:rStyle w:val="a7"/>
      </w:rPr>
      <w:fldChar w:fldCharType="end"/>
    </w:r>
    <w:r>
      <w:rPr>
        <w:rStyle w:val="a7"/>
        <w:rFonts w:hint="eastAsia"/>
      </w:rPr>
      <w:t>页共</w:t>
    </w:r>
    <w:fldSimple w:instr=" NUMPAGES  \* Arabic  \* MERGEFORMAT ">
      <w:r w:rsidR="00580060" w:rsidRPr="00580060">
        <w:rPr>
          <w:rStyle w:val="a7"/>
          <w:noProof/>
        </w:rPr>
        <w:t>2</w:t>
      </w:r>
    </w:fldSimple>
    <w:r>
      <w:rPr>
        <w:rStyle w:val="a7"/>
        <w:rFonts w:hint="eastAsia"/>
      </w:rPr>
      <w:t>页</w:t>
    </w:r>
  </w:p>
  <w:p w:rsidR="003328D9" w:rsidRDefault="003328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0DE" w:rsidRDefault="009510DE" w:rsidP="00876D65">
      <w:r>
        <w:separator/>
      </w:r>
    </w:p>
  </w:footnote>
  <w:footnote w:type="continuationSeparator" w:id="0">
    <w:p w:rsidR="009510DE" w:rsidRDefault="009510DE"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Pr="00093704" w:rsidRDefault="003328D9" w:rsidP="00090A26">
    <w:pPr>
      <w:pStyle w:val="a9"/>
      <w:pBdr>
        <w:bottom w:val="single" w:sz="6" w:space="0" w:color="auto"/>
      </w:pBdr>
      <w:jc w:val="right"/>
    </w:pPr>
    <w:r w:rsidRPr="00093704">
      <w:t>易方达</w:t>
    </w:r>
    <w:r w:rsidRPr="00093704">
      <w:t>3</w:t>
    </w:r>
    <w:r w:rsidRPr="00093704">
      <w:t>年封闭运作战略配售灵活配置混合型证券投资基金（</w:t>
    </w:r>
    <w:r w:rsidRPr="00093704">
      <w:t>LOF</w:t>
    </w:r>
    <w:r w:rsidRPr="00093704">
      <w:t>）</w:t>
    </w:r>
    <w:r w:rsidRPr="00093704">
      <w:t>2019</w:t>
    </w:r>
    <w:r w:rsidRPr="00093704">
      <w:t>年第</w:t>
    </w:r>
    <w:r w:rsidRPr="00093704">
      <w:t>4</w:t>
    </w:r>
    <w:r w:rsidRPr="00093704">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3">
      <w:start w:val="1"/>
      <w:numFmt w:val="bullet"/>
      <w:lvlText w:val=""/>
      <w:lvlJc w:val="left"/>
      <w:pPr>
        <w:tabs>
          <w:tab w:val="num" w:pos="3780"/>
        </w:tabs>
        <w:ind w:left="3780" w:hanging="420"/>
      </w:pPr>
      <w:rPr>
        <w:rFonts w:ascii="Wingdings" w:hAnsi="Wingdings" w:hint="default"/>
      </w:rPr>
    </w:lvl>
    <w:lvl w:ilvl="8" w:tplc="04090005">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szCs w:val="24"/>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bordersDoNotSurroundHeader/>
  <w:bordersDoNotSurroundFooter/>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13E6E"/>
    <w:rsid w:val="00014099"/>
    <w:rsid w:val="000160C5"/>
    <w:rsid w:val="000210E7"/>
    <w:rsid w:val="000212F7"/>
    <w:rsid w:val="00031EBB"/>
    <w:rsid w:val="00033B8D"/>
    <w:rsid w:val="00043852"/>
    <w:rsid w:val="000450DD"/>
    <w:rsid w:val="000463DE"/>
    <w:rsid w:val="000553BD"/>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3821"/>
    <w:rsid w:val="00217B92"/>
    <w:rsid w:val="002279D3"/>
    <w:rsid w:val="00232B03"/>
    <w:rsid w:val="00240248"/>
    <w:rsid w:val="0024363B"/>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960"/>
    <w:rsid w:val="002D6FB6"/>
    <w:rsid w:val="002E2255"/>
    <w:rsid w:val="002E3B09"/>
    <w:rsid w:val="002E4594"/>
    <w:rsid w:val="002E52B3"/>
    <w:rsid w:val="00303679"/>
    <w:rsid w:val="00304A12"/>
    <w:rsid w:val="00305636"/>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0060"/>
    <w:rsid w:val="00582D99"/>
    <w:rsid w:val="0058551C"/>
    <w:rsid w:val="00590656"/>
    <w:rsid w:val="0059076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25DB"/>
    <w:rsid w:val="00720D28"/>
    <w:rsid w:val="00722333"/>
    <w:rsid w:val="00722509"/>
    <w:rsid w:val="00727FCD"/>
    <w:rsid w:val="00733DDD"/>
    <w:rsid w:val="00744628"/>
    <w:rsid w:val="0074694E"/>
    <w:rsid w:val="00750CDF"/>
    <w:rsid w:val="00750D48"/>
    <w:rsid w:val="00752BA5"/>
    <w:rsid w:val="00755D86"/>
    <w:rsid w:val="00767C98"/>
    <w:rsid w:val="00770971"/>
    <w:rsid w:val="00780186"/>
    <w:rsid w:val="0078089C"/>
    <w:rsid w:val="00787D16"/>
    <w:rsid w:val="00796CA8"/>
    <w:rsid w:val="00797305"/>
    <w:rsid w:val="007B035B"/>
    <w:rsid w:val="007B4C04"/>
    <w:rsid w:val="007B5AFB"/>
    <w:rsid w:val="007C1B9B"/>
    <w:rsid w:val="007C54B1"/>
    <w:rsid w:val="007C5862"/>
    <w:rsid w:val="007F31E6"/>
    <w:rsid w:val="008014F9"/>
    <w:rsid w:val="0080358B"/>
    <w:rsid w:val="008059BD"/>
    <w:rsid w:val="00812D46"/>
    <w:rsid w:val="00815999"/>
    <w:rsid w:val="00815A38"/>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D65"/>
    <w:rsid w:val="00891261"/>
    <w:rsid w:val="00895A8A"/>
    <w:rsid w:val="008A09E5"/>
    <w:rsid w:val="008A1327"/>
    <w:rsid w:val="008A21B2"/>
    <w:rsid w:val="008B2FDD"/>
    <w:rsid w:val="008C2A4F"/>
    <w:rsid w:val="008C75E7"/>
    <w:rsid w:val="008C7CA8"/>
    <w:rsid w:val="008D09EC"/>
    <w:rsid w:val="008D799F"/>
    <w:rsid w:val="008E07EB"/>
    <w:rsid w:val="008E2DCB"/>
    <w:rsid w:val="008E326D"/>
    <w:rsid w:val="008F5A8D"/>
    <w:rsid w:val="008F5F67"/>
    <w:rsid w:val="008F60F2"/>
    <w:rsid w:val="0090217D"/>
    <w:rsid w:val="00904749"/>
    <w:rsid w:val="00905C5E"/>
    <w:rsid w:val="009078DC"/>
    <w:rsid w:val="00907B61"/>
    <w:rsid w:val="009161AF"/>
    <w:rsid w:val="00921AC7"/>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4012D"/>
    <w:rsid w:val="00B40F64"/>
    <w:rsid w:val="00B42A76"/>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C11A5E"/>
    <w:rsid w:val="00C21520"/>
    <w:rsid w:val="00C222B2"/>
    <w:rsid w:val="00C225FB"/>
    <w:rsid w:val="00C41870"/>
    <w:rsid w:val="00C46B88"/>
    <w:rsid w:val="00C5218C"/>
    <w:rsid w:val="00C52191"/>
    <w:rsid w:val="00C5642F"/>
    <w:rsid w:val="00C57A3E"/>
    <w:rsid w:val="00C63554"/>
    <w:rsid w:val="00C71497"/>
    <w:rsid w:val="00C72F5B"/>
    <w:rsid w:val="00C73619"/>
    <w:rsid w:val="00C73BCD"/>
    <w:rsid w:val="00C77AEF"/>
    <w:rsid w:val="00C77E37"/>
    <w:rsid w:val="00C86EB7"/>
    <w:rsid w:val="00C87129"/>
    <w:rsid w:val="00C91E1B"/>
    <w:rsid w:val="00CA2BD3"/>
    <w:rsid w:val="00CA4677"/>
    <w:rsid w:val="00CA5FD5"/>
    <w:rsid w:val="00CA7703"/>
    <w:rsid w:val="00CB0F92"/>
    <w:rsid w:val="00CD4E6D"/>
    <w:rsid w:val="00CD5707"/>
    <w:rsid w:val="00CD7702"/>
    <w:rsid w:val="00CD7FC9"/>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E06069"/>
    <w:rsid w:val="00E115C0"/>
    <w:rsid w:val="00E44E18"/>
    <w:rsid w:val="00E54301"/>
    <w:rsid w:val="00E5483F"/>
    <w:rsid w:val="00E55ABD"/>
    <w:rsid w:val="00E60817"/>
    <w:rsid w:val="00E6412C"/>
    <w:rsid w:val="00E645C0"/>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6A51"/>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D4DB4A09-ABA9-4DFA-A379-75FDB176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b/>
      <w:bCs/>
      <w:kern w:val="0"/>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4061AC"/>
    <w:rPr>
      <w:rFonts w:ascii="Times New Roman" w:eastAsia="宋体" w:hAnsi="Times New Roman" w:cs="Times New Roman"/>
      <w:b/>
      <w:bCs/>
      <w:kern w:val="44"/>
      <w:sz w:val="44"/>
      <w:szCs w:val="44"/>
    </w:rPr>
  </w:style>
  <w:style w:type="character" w:customStyle="1" w:styleId="2Char">
    <w:name w:val="标题 2 Char"/>
    <w:link w:val="2"/>
    <w:uiPriority w:val="99"/>
    <w:locked/>
    <w:rsid w:val="004061AC"/>
    <w:rPr>
      <w:rFonts w:ascii="Arial" w:eastAsia="宋体" w:hAnsi="Arial" w:cs="Arial"/>
      <w:b/>
      <w:bCs/>
      <w:sz w:val="24"/>
      <w:szCs w:val="24"/>
    </w:rPr>
  </w:style>
  <w:style w:type="character" w:customStyle="1" w:styleId="3Char">
    <w:name w:val="标题 3 Char"/>
    <w:link w:val="3"/>
    <w:uiPriority w:val="99"/>
    <w:locked/>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
    <w:name w:val="正文文本缩进 Char"/>
    <w:link w:val="a4"/>
    <w:uiPriority w:val="99"/>
    <w:locked/>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kern w:val="0"/>
    </w:rPr>
  </w:style>
  <w:style w:type="character" w:customStyle="1" w:styleId="Char0">
    <w:name w:val="纯文本 Char"/>
    <w:link w:val="a5"/>
    <w:uiPriority w:val="99"/>
    <w:locked/>
    <w:rsid w:val="004061AC"/>
    <w:rPr>
      <w:rFonts w:ascii="宋体" w:eastAsia="宋体" w:hAnsi="Courier New" w:cs="宋体"/>
      <w:sz w:val="21"/>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olor w:val="FF0000"/>
      <w:kern w:val="0"/>
      <w:sz w:val="24"/>
      <w:szCs w:val="24"/>
    </w:rPr>
  </w:style>
  <w:style w:type="character" w:customStyle="1" w:styleId="2Char0">
    <w:name w:val="正文文本缩进 2 Char"/>
    <w:link w:val="20"/>
    <w:uiPriority w:val="99"/>
    <w:locked/>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kern w:val="0"/>
      <w:sz w:val="18"/>
      <w:szCs w:val="18"/>
    </w:rPr>
  </w:style>
  <w:style w:type="character" w:customStyle="1" w:styleId="Char1">
    <w:name w:val="页脚 Char"/>
    <w:link w:val="a6"/>
    <w:uiPriority w:val="99"/>
    <w:locked/>
    <w:rsid w:val="004061AC"/>
    <w:rPr>
      <w:rFonts w:ascii="Times New Roman" w:eastAsia="宋体" w:hAnsi="Times New Roman" w:cs="Times New Roman"/>
      <w:sz w:val="18"/>
      <w:szCs w:val="18"/>
    </w:rPr>
  </w:style>
  <w:style w:type="character" w:styleId="a7">
    <w:name w:val="page number"/>
    <w:uiPriority w:val="99"/>
    <w:rsid w:val="004061AC"/>
    <w:rPr>
      <w:rFonts w:cs="Times New Roman"/>
    </w:rPr>
  </w:style>
  <w:style w:type="character" w:styleId="a8">
    <w:name w:val="Hyperlink"/>
    <w:uiPriority w:val="99"/>
    <w:rsid w:val="004061AC"/>
    <w:rPr>
      <w:rFonts w:cs="Times New Roman"/>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olor w:val="FF0000"/>
      <w:kern w:val="0"/>
    </w:rPr>
  </w:style>
  <w:style w:type="character" w:customStyle="1" w:styleId="3Char0">
    <w:name w:val="正文文本缩进 3 Char"/>
    <w:link w:val="30"/>
    <w:uiPriority w:val="99"/>
    <w:locked/>
    <w:rsid w:val="004061AC"/>
    <w:rPr>
      <w:rFonts w:ascii="Arial" w:eastAsia="宋体" w:hAnsi="Arial" w:cs="Arial"/>
      <w:color w:val="FF0000"/>
      <w:sz w:val="21"/>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9"/>
    <w:uiPriority w:val="99"/>
    <w:locked/>
    <w:rsid w:val="004061AC"/>
    <w:rPr>
      <w:rFonts w:ascii="Times New Roman" w:eastAsia="宋体" w:hAnsi="Times New Roman" w:cs="Times New Roman"/>
      <w:sz w:val="18"/>
      <w:szCs w:val="18"/>
    </w:rPr>
  </w:style>
  <w:style w:type="character" w:styleId="aa">
    <w:name w:val="FollowedHyperlink"/>
    <w:uiPriority w:val="99"/>
    <w:rsid w:val="004061AC"/>
    <w:rPr>
      <w:rFonts w:cs="Times New Roman"/>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rPr>
      <w:kern w:val="0"/>
    </w:rPr>
  </w:style>
  <w:style w:type="character" w:customStyle="1" w:styleId="Char3">
    <w:name w:val="正文文本 Char"/>
    <w:link w:val="ac"/>
    <w:uiPriority w:val="99"/>
    <w:locked/>
    <w:rsid w:val="004061AC"/>
    <w:rPr>
      <w:rFonts w:ascii="Times New Roman" w:eastAsia="宋体" w:hAnsi="Times New Roman" w:cs="Times New Roman"/>
      <w:sz w:val="21"/>
      <w:szCs w:val="21"/>
    </w:rPr>
  </w:style>
  <w:style w:type="paragraph" w:styleId="ad">
    <w:name w:val="Date"/>
    <w:basedOn w:val="a"/>
    <w:next w:val="a"/>
    <w:link w:val="Char4"/>
    <w:uiPriority w:val="99"/>
    <w:rsid w:val="004061AC"/>
    <w:rPr>
      <w:kern w:val="0"/>
      <w:sz w:val="24"/>
      <w:szCs w:val="24"/>
    </w:rPr>
  </w:style>
  <w:style w:type="character" w:customStyle="1" w:styleId="Char4">
    <w:name w:val="日期 Char"/>
    <w:link w:val="ad"/>
    <w:uiPriority w:val="99"/>
    <w:locked/>
    <w:rsid w:val="004061AC"/>
    <w:rPr>
      <w:rFonts w:ascii="Times New Roman" w:eastAsia="宋体" w:hAnsi="Times New Roman" w:cs="Times New Roman"/>
      <w:sz w:val="24"/>
      <w:szCs w:val="24"/>
    </w:rPr>
  </w:style>
  <w:style w:type="character" w:customStyle="1" w:styleId="c1">
    <w:name w:val="c1"/>
    <w:uiPriority w:val="99"/>
    <w:rsid w:val="004061AC"/>
    <w:rPr>
      <w:rFonts w:cs="Times New Roman"/>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kern w:val="0"/>
      <w:sz w:val="18"/>
      <w:szCs w:val="18"/>
    </w:rPr>
  </w:style>
  <w:style w:type="character" w:customStyle="1" w:styleId="Char5">
    <w:name w:val="批注框文本 Char"/>
    <w:link w:val="ae"/>
    <w:uiPriority w:val="99"/>
    <w:semiHidden/>
    <w:locked/>
    <w:rsid w:val="004061AC"/>
    <w:rPr>
      <w:rFonts w:ascii="Times New Roman" w:eastAsia="宋体" w:hAnsi="Times New Roman" w:cs="Times New Roman"/>
      <w:sz w:val="18"/>
      <w:szCs w:val="18"/>
    </w:rPr>
  </w:style>
  <w:style w:type="character" w:styleId="af">
    <w:name w:val="annotation reference"/>
    <w:uiPriority w:val="99"/>
    <w:semiHidden/>
    <w:rsid w:val="004061AC"/>
    <w:rPr>
      <w:rFonts w:cs="Times New Roman"/>
      <w:sz w:val="21"/>
      <w:szCs w:val="21"/>
    </w:rPr>
  </w:style>
  <w:style w:type="paragraph" w:styleId="af0">
    <w:name w:val="annotation text"/>
    <w:basedOn w:val="a"/>
    <w:link w:val="Char6"/>
    <w:uiPriority w:val="99"/>
    <w:semiHidden/>
    <w:rsid w:val="004061AC"/>
    <w:pPr>
      <w:jc w:val="left"/>
    </w:pPr>
    <w:rPr>
      <w:kern w:val="0"/>
    </w:rPr>
  </w:style>
  <w:style w:type="character" w:customStyle="1" w:styleId="Char6">
    <w:name w:val="批注文字 Char"/>
    <w:link w:val="af0"/>
    <w:uiPriority w:val="99"/>
    <w:semiHidden/>
    <w:locked/>
    <w:rsid w:val="004061AC"/>
    <w:rPr>
      <w:rFonts w:ascii="Times New Roman" w:eastAsia="宋体" w:hAnsi="Times New Roman" w:cs="Times New Roman"/>
      <w:sz w:val="21"/>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link w:val="af1"/>
    <w:uiPriority w:val="99"/>
    <w:semiHidden/>
    <w:locked/>
    <w:rsid w:val="004061AC"/>
    <w:rPr>
      <w:rFonts w:ascii="Times New Roman" w:eastAsia="宋体" w:hAnsi="Times New Roman" w:cs="Times New Roman"/>
      <w:b/>
      <w:bCs/>
      <w:sz w:val="21"/>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rPr>
      <w:kern w:val="0"/>
    </w:rPr>
  </w:style>
  <w:style w:type="character" w:customStyle="1" w:styleId="Char9">
    <w:name w:val="文档结构图 Char"/>
    <w:link w:val="af2"/>
    <w:uiPriority w:val="99"/>
    <w:semiHidden/>
    <w:locked/>
    <w:rsid w:val="004061AC"/>
    <w:rPr>
      <w:rFonts w:ascii="Times New Roman" w:eastAsia="宋体" w:hAnsi="Times New Roman" w:cs="Times New Roman"/>
      <w:sz w:val="21"/>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uiPriority w:val="99"/>
    <w:rsid w:val="004061AC"/>
    <w:pPr>
      <w:snapToGrid w:val="0"/>
      <w:jc w:val="left"/>
    </w:pPr>
    <w:rPr>
      <w:kern w:val="0"/>
      <w:sz w:val="18"/>
      <w:szCs w:val="18"/>
    </w:rPr>
  </w:style>
  <w:style w:type="character" w:customStyle="1" w:styleId="Chara">
    <w:name w:val="脚注文本 Char"/>
    <w:link w:val="af4"/>
    <w:uiPriority w:val="99"/>
    <w:locked/>
    <w:rsid w:val="004061AC"/>
    <w:rPr>
      <w:rFonts w:ascii="Times New Roman" w:eastAsia="宋体" w:hAnsi="Times New Roman" w:cs="Times New Roman"/>
      <w:sz w:val="18"/>
      <w:szCs w:val="18"/>
    </w:rPr>
  </w:style>
  <w:style w:type="character" w:styleId="af5">
    <w:name w:val="footnote reference"/>
    <w:uiPriority w:val="99"/>
    <w:rsid w:val="004061AC"/>
    <w:rPr>
      <w:rFonts w:cs="Times New Roman"/>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b/>
      <w:bCs/>
      <w:kern w:val="0"/>
      <w:sz w:val="32"/>
      <w:szCs w:val="32"/>
    </w:rPr>
  </w:style>
  <w:style w:type="character" w:customStyle="1" w:styleId="Charb">
    <w:name w:val="标题 Char"/>
    <w:link w:val="af8"/>
    <w:uiPriority w:val="99"/>
    <w:locked/>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99"/>
    <w:qFormat/>
    <w:rsid w:val="004061AC"/>
    <w:rPr>
      <w:rFonts w:cs="Calibri"/>
      <w:sz w:val="22"/>
      <w:szCs w:val="22"/>
    </w:rPr>
  </w:style>
  <w:style w:type="character" w:customStyle="1" w:styleId="Charc">
    <w:name w:val="无间隔 Char"/>
    <w:link w:val="af9"/>
    <w:uiPriority w:val="99"/>
    <w:locked/>
    <w:rsid w:val="004061AC"/>
    <w:rPr>
      <w:rFonts w:cs="Calibri"/>
      <w:sz w:val="22"/>
      <w:szCs w:val="22"/>
      <w:lang w:val="en-US" w:eastAsia="zh-CN" w:bidi="ar-SA"/>
    </w:rPr>
  </w:style>
  <w:style w:type="character" w:customStyle="1" w:styleId="t1">
    <w:name w:val="t1"/>
    <w:uiPriority w:val="99"/>
    <w:rsid w:val="004061AC"/>
    <w:rPr>
      <w:rFonts w:cs="Times New Roman"/>
      <w:color w:val="auto"/>
    </w:rPr>
  </w:style>
  <w:style w:type="paragraph" w:styleId="afa">
    <w:name w:val="List Paragraph"/>
    <w:basedOn w:val="a"/>
    <w:uiPriority w:val="99"/>
    <w:qFormat/>
    <w:rsid w:val="00154BE1"/>
    <w:pPr>
      <w:ind w:firstLineChars="200" w:firstLine="420"/>
    </w:pPr>
  </w:style>
  <w:style w:type="paragraph" w:customStyle="1" w:styleId="Default">
    <w:name w:val="Default"/>
    <w:uiPriority w:val="99"/>
    <w:rsid w:val="00275745"/>
    <w:pPr>
      <w:widowControl w:val="0"/>
      <w:autoSpaceDE w:val="0"/>
      <w:autoSpaceDN w:val="0"/>
      <w:adjustRightInd w:val="0"/>
    </w:pPr>
    <w:rPr>
      <w:rFonts w:ascii="FangSong" w:hAnsi="FangSong" w:cs="FangSong"/>
      <w:color w:val="000000"/>
      <w:sz w:val="24"/>
      <w:szCs w:val="24"/>
    </w:rPr>
  </w:style>
  <w:style w:type="character" w:styleId="afb">
    <w:name w:val="Strong"/>
    <w:uiPriority w:val="22"/>
    <w:qFormat/>
    <w:locked/>
    <w:rsid w:val="00D87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FF651-4B16-4A80-8297-7FFF15F75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1454</Words>
  <Characters>8289</Characters>
  <Application>Microsoft Office Word</Application>
  <DocSecurity>4</DocSecurity>
  <Lines>69</Lines>
  <Paragraphs>19</Paragraphs>
  <ScaleCrop>false</ScaleCrop>
  <Company/>
  <LinksUpToDate>false</LinksUpToDate>
  <CharactersWithSpaces>9724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efunds</cp:lastModifiedBy>
  <cp:revision>2</cp:revision>
  <dcterms:created xsi:type="dcterms:W3CDTF">2020-01-13T02:44:00Z</dcterms:created>
  <dcterms:modified xsi:type="dcterms:W3CDTF">2020-01-13T02:44:00Z</dcterms:modified>
</cp:coreProperties>
</file>