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DD" w:rsidRPr="0078105B" w:rsidRDefault="00F016DD" w:rsidP="009A2283">
      <w:pPr>
        <w:autoSpaceDE w:val="0"/>
        <w:autoSpaceDN w:val="0"/>
        <w:adjustRightInd w:val="0"/>
        <w:spacing w:line="360" w:lineRule="auto"/>
        <w:jc w:val="left"/>
        <w:rPr>
          <w:rFonts w:ascii="宋体" w:cs="Arial"/>
          <w:color w:val="000000"/>
          <w:kern w:val="0"/>
          <w:sz w:val="24"/>
        </w:rPr>
      </w:pPr>
      <w:bookmarkStart w:id="0" w:name="_GoBack"/>
      <w:bookmarkEnd w:id="0"/>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9A2283">
      <w:pPr>
        <w:autoSpaceDE w:val="0"/>
        <w:autoSpaceDN w:val="0"/>
        <w:adjustRightInd w:val="0"/>
        <w:spacing w:line="360" w:lineRule="auto"/>
        <w:jc w:val="left"/>
        <w:rPr>
          <w:rFonts w:ascii="宋体" w:cs="Arial"/>
          <w:color w:val="000000"/>
          <w:kern w:val="0"/>
          <w:sz w:val="24"/>
        </w:rPr>
      </w:pP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易方达双债增强债券型证券投资基金</w:t>
      </w:r>
    </w:p>
    <w:p w:rsidR="00F016DD" w:rsidRPr="0078105B" w:rsidRDefault="00F016DD" w:rsidP="00FC13C8">
      <w:pPr>
        <w:spacing w:line="360" w:lineRule="auto"/>
        <w:jc w:val="center"/>
        <w:rPr>
          <w:rFonts w:ascii="宋体" w:hAnsi="宋体"/>
          <w:b/>
          <w:sz w:val="36"/>
          <w:szCs w:val="36"/>
        </w:rPr>
      </w:pPr>
      <w:r w:rsidRPr="0078105B">
        <w:rPr>
          <w:rFonts w:ascii="宋体" w:hAnsi="宋体"/>
          <w:b/>
          <w:sz w:val="36"/>
          <w:szCs w:val="36"/>
        </w:rPr>
        <w:t>2019年第4季度报告</w:t>
      </w:r>
    </w:p>
    <w:p w:rsidR="00F016DD" w:rsidRPr="00DA451D" w:rsidRDefault="00F016DD" w:rsidP="00FC13C8">
      <w:pPr>
        <w:spacing w:line="360" w:lineRule="auto"/>
        <w:jc w:val="center"/>
        <w:rPr>
          <w:rFonts w:ascii="宋体" w:hAnsi="宋体"/>
          <w:b/>
          <w:sz w:val="24"/>
        </w:rPr>
      </w:pPr>
      <w:r w:rsidRPr="00DA451D">
        <w:rPr>
          <w:rFonts w:ascii="宋体" w:hAnsi="宋体"/>
          <w:b/>
          <w:sz w:val="24"/>
        </w:rPr>
        <w:t>2019年12月31日</w:t>
      </w: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E27360">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jc w:val="center"/>
        <w:rPr>
          <w:rFonts w:ascii="宋体"/>
          <w:b/>
          <w:color w:val="000000"/>
          <w:sz w:val="24"/>
        </w:rPr>
      </w:pPr>
    </w:p>
    <w:p w:rsidR="00F016DD" w:rsidRPr="0078105B" w:rsidRDefault="00F016DD" w:rsidP="009A2283">
      <w:pPr>
        <w:spacing w:line="360" w:lineRule="auto"/>
        <w:rPr>
          <w:rFonts w:ascii="宋体"/>
          <w:b/>
          <w:color w:val="000000"/>
          <w:sz w:val="24"/>
        </w:rPr>
      </w:pP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基金管理人：</w:t>
      </w:r>
      <w:r w:rsidRPr="0078105B">
        <w:rPr>
          <w:rFonts w:ascii="宋体" w:hAnsi="宋体"/>
          <w:b/>
          <w:color w:val="000000"/>
          <w:sz w:val="24"/>
        </w:rPr>
        <w:t>易方达基金管理有限公司</w:t>
      </w:r>
    </w:p>
    <w:p w:rsidR="00F016DD" w:rsidRPr="0078105B" w:rsidRDefault="00F016DD" w:rsidP="00174038">
      <w:pPr>
        <w:spacing w:line="360" w:lineRule="auto"/>
        <w:ind w:firstLineChars="900" w:firstLine="2168"/>
        <w:rPr>
          <w:rFonts w:ascii="宋体" w:hAnsi="宋体"/>
          <w:b/>
          <w:color w:val="000000"/>
          <w:sz w:val="24"/>
        </w:rPr>
      </w:pPr>
      <w:r w:rsidRPr="0078105B">
        <w:rPr>
          <w:rFonts w:ascii="宋体" w:hAnsi="宋体" w:hint="eastAsia"/>
          <w:b/>
          <w:color w:val="000000"/>
          <w:sz w:val="24"/>
        </w:rPr>
        <w:t>基金托管人：</w:t>
      </w:r>
      <w:r w:rsidRPr="0078105B">
        <w:rPr>
          <w:rFonts w:ascii="宋体" w:hAnsi="宋体"/>
          <w:b/>
          <w:color w:val="000000"/>
          <w:sz w:val="24"/>
        </w:rPr>
        <w:t>中国建设银行股份有限公司</w:t>
      </w:r>
    </w:p>
    <w:p w:rsidR="00F016DD" w:rsidRPr="0078105B" w:rsidRDefault="00F016DD" w:rsidP="00174038">
      <w:pPr>
        <w:spacing w:line="360" w:lineRule="auto"/>
        <w:ind w:firstLineChars="900" w:firstLine="2168"/>
        <w:rPr>
          <w:rFonts w:ascii="宋体"/>
          <w:sz w:val="24"/>
        </w:rPr>
        <w:sectPr w:rsidR="00F016DD" w:rsidRPr="0078105B" w:rsidSect="00F7094A">
          <w:headerReference w:type="default" r:id="rId7"/>
          <w:footerReference w:type="default" r:id="rId8"/>
          <w:pgSz w:w="11926" w:h="15840"/>
          <w:pgMar w:top="1418" w:right="1418" w:bottom="851" w:left="1418" w:header="851" w:footer="992" w:gutter="0"/>
          <w:cols w:space="720"/>
          <w:noEndnote/>
        </w:sectPr>
      </w:pPr>
      <w:r w:rsidRPr="0078105B">
        <w:rPr>
          <w:rFonts w:ascii="宋体" w:hAnsi="宋体" w:hint="eastAsia"/>
          <w:b/>
          <w:color w:val="000000"/>
          <w:sz w:val="24"/>
        </w:rPr>
        <w:t>报告送出日期：</w:t>
      </w:r>
      <w:r w:rsidRPr="0078105B">
        <w:rPr>
          <w:rFonts w:ascii="宋体" w:hAnsi="宋体"/>
          <w:b/>
          <w:color w:val="000000"/>
          <w:sz w:val="24"/>
        </w:rPr>
        <w:t>二〇二〇年一月十八日</w:t>
      </w:r>
    </w:p>
    <w:p w:rsidR="00F016DD" w:rsidRPr="0078105B" w:rsidRDefault="00F016DD" w:rsidP="00B54884">
      <w:pPr>
        <w:pStyle w:val="1"/>
        <w:spacing w:beforeLines="100" w:before="312" w:afterLines="100" w:after="312" w:line="360" w:lineRule="auto"/>
        <w:jc w:val="center"/>
        <w:rPr>
          <w:rFonts w:ascii="宋体" w:cs="Arial"/>
          <w:b w:val="0"/>
          <w:color w:val="000000"/>
          <w:kern w:val="0"/>
          <w:sz w:val="24"/>
          <w:szCs w:val="24"/>
        </w:rPr>
      </w:pPr>
      <w:r w:rsidRPr="0078105B">
        <w:rPr>
          <w:rFonts w:ascii="宋体" w:hAnsi="宋体" w:cs="Arial" w:hint="eastAsia"/>
          <w:color w:val="000000"/>
          <w:kern w:val="0"/>
          <w:sz w:val="24"/>
          <w:szCs w:val="24"/>
        </w:rPr>
        <w:lastRenderedPageBreak/>
        <w:t>§</w:t>
      </w:r>
      <w:r w:rsidRPr="0078105B">
        <w:rPr>
          <w:rFonts w:ascii="宋体" w:hAnsi="宋体" w:cs="Arial"/>
          <w:color w:val="000000"/>
          <w:kern w:val="0"/>
          <w:sz w:val="24"/>
          <w:szCs w:val="24"/>
        </w:rPr>
        <w:t xml:space="preserve">1  </w:t>
      </w:r>
      <w:r w:rsidRPr="0078105B">
        <w:rPr>
          <w:rFonts w:ascii="宋体" w:hAnsi="宋体" w:cs="Arial" w:hint="eastAsia"/>
          <w:color w:val="000000"/>
          <w:kern w:val="0"/>
          <w:sz w:val="24"/>
          <w:szCs w:val="24"/>
        </w:rPr>
        <w:t>重要提示</w:t>
      </w:r>
    </w:p>
    <w:p w:rsidR="00A826D6" w:rsidRDefault="00FE1310">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826D6" w:rsidRDefault="00FE1310">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826D6" w:rsidRDefault="00FE1310">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826D6" w:rsidRDefault="00FE1310">
      <w:pPr>
        <w:spacing w:line="360" w:lineRule="auto"/>
        <w:ind w:firstLineChars="200" w:firstLine="480"/>
        <w:rPr>
          <w:color w:val="000000"/>
          <w:sz w:val="24"/>
        </w:rPr>
      </w:pPr>
      <w:r>
        <w:rPr>
          <w:color w:val="000000"/>
          <w:sz w:val="24"/>
        </w:rPr>
        <w:t>基金的过往业绩并不代表其未来表现。投资有风险，投资者在作出投</w:t>
      </w:r>
      <w:r>
        <w:rPr>
          <w:color w:val="000000"/>
          <w:sz w:val="24"/>
        </w:rPr>
        <w:t>资决策前应仔细阅读本基金的招募说明书。</w:t>
      </w:r>
      <w:r>
        <w:rPr>
          <w:color w:val="000000"/>
          <w:sz w:val="24"/>
        </w:rPr>
        <w:t xml:space="preserve"> </w:t>
      </w:r>
    </w:p>
    <w:p w:rsidR="00A826D6" w:rsidRDefault="00FE1310">
      <w:pPr>
        <w:spacing w:line="360" w:lineRule="auto"/>
        <w:ind w:firstLineChars="200" w:firstLine="480"/>
        <w:rPr>
          <w:color w:val="000000"/>
          <w:sz w:val="24"/>
        </w:rPr>
      </w:pPr>
      <w:r>
        <w:rPr>
          <w:color w:val="000000"/>
          <w:sz w:val="24"/>
        </w:rPr>
        <w:t>本报告中财务资料未经审计。</w:t>
      </w:r>
    </w:p>
    <w:p w:rsidR="00F016DD" w:rsidRPr="00C30CFF" w:rsidRDefault="00F016DD" w:rsidP="00C30CFF">
      <w:pPr>
        <w:spacing w:line="360" w:lineRule="auto"/>
        <w:ind w:firstLineChars="200" w:firstLine="480"/>
        <w:rPr>
          <w:color w:val="000000"/>
          <w:sz w:val="24"/>
        </w:rPr>
      </w:pPr>
      <w:r w:rsidRPr="00C30CFF">
        <w:rPr>
          <w:color w:val="000000"/>
          <w:sz w:val="24"/>
        </w:rPr>
        <w:t>本报告期自</w:t>
      </w:r>
      <w:r w:rsidRPr="00C30CFF">
        <w:rPr>
          <w:color w:val="000000"/>
          <w:sz w:val="24"/>
        </w:rPr>
        <w:t>2019</w:t>
      </w:r>
      <w:r w:rsidRPr="00C30CFF">
        <w:rPr>
          <w:color w:val="000000"/>
          <w:sz w:val="24"/>
        </w:rPr>
        <w:t>年</w:t>
      </w:r>
      <w:r w:rsidRPr="00C30CFF">
        <w:rPr>
          <w:color w:val="000000"/>
          <w:sz w:val="24"/>
        </w:rPr>
        <w:t>10</w:t>
      </w:r>
      <w:r w:rsidRPr="00C30CFF">
        <w:rPr>
          <w:color w:val="000000"/>
          <w:sz w:val="24"/>
        </w:rPr>
        <w:t>月</w:t>
      </w:r>
      <w:r w:rsidRPr="00C30CFF">
        <w:rPr>
          <w:color w:val="000000"/>
          <w:sz w:val="24"/>
        </w:rPr>
        <w:t>1</w:t>
      </w:r>
      <w:r w:rsidRPr="00C30CFF">
        <w:rPr>
          <w:color w:val="000000"/>
          <w:sz w:val="24"/>
        </w:rPr>
        <w:t>日起至</w:t>
      </w:r>
      <w:r w:rsidRPr="00C30CFF">
        <w:rPr>
          <w:color w:val="000000"/>
          <w:sz w:val="24"/>
        </w:rPr>
        <w:t>12</w:t>
      </w:r>
      <w:r w:rsidRPr="00C30CFF">
        <w:rPr>
          <w:color w:val="000000"/>
          <w:sz w:val="24"/>
        </w:rPr>
        <w:t>月</w:t>
      </w:r>
      <w:r w:rsidRPr="00C30CFF">
        <w:rPr>
          <w:color w:val="000000"/>
          <w:sz w:val="24"/>
        </w:rPr>
        <w:t>31</w:t>
      </w:r>
      <w:r w:rsidRPr="00C30CFF">
        <w:rPr>
          <w:color w:val="000000"/>
          <w:sz w:val="24"/>
        </w:rPr>
        <w:t>日止。</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2  </w:t>
      </w:r>
      <w:r w:rsidRPr="0078105B">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90"/>
      </w:tblGrid>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基金简称</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易方达双债增强债券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kern w:val="0"/>
                <w:sz w:val="24"/>
              </w:rPr>
            </w:pPr>
            <w:r w:rsidRPr="00C30CFF">
              <w:rPr>
                <w:kern w:val="0"/>
                <w:sz w:val="24"/>
              </w:rPr>
              <w:t>基金主代码</w:t>
            </w:r>
          </w:p>
        </w:tc>
        <w:tc>
          <w:tcPr>
            <w:tcW w:w="5529" w:type="dxa"/>
            <w:gridSpan w:val="2"/>
          </w:tcPr>
          <w:p w:rsidR="00F016DD" w:rsidRPr="00C30CFF" w:rsidRDefault="00F016DD" w:rsidP="00E205AA">
            <w:pPr>
              <w:adjustRightInd w:val="0"/>
              <w:spacing w:before="29" w:line="360" w:lineRule="auto"/>
              <w:ind w:left="17"/>
              <w:jc w:val="left"/>
              <w:rPr>
                <w:color w:val="000000"/>
                <w:kern w:val="0"/>
                <w:sz w:val="24"/>
              </w:rPr>
            </w:pPr>
            <w:r w:rsidRPr="00C30CFF">
              <w:rPr>
                <w:color w:val="000000"/>
                <w:kern w:val="0"/>
                <w:sz w:val="24"/>
              </w:rPr>
              <w:t>110035</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基金运作方式</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契约型开放式</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基金合同生效日</w:t>
            </w:r>
          </w:p>
        </w:tc>
        <w:tc>
          <w:tcPr>
            <w:tcW w:w="5529" w:type="dxa"/>
            <w:gridSpan w:val="2"/>
          </w:tcPr>
          <w:p w:rsidR="00F016DD" w:rsidRPr="00C30CFF" w:rsidRDefault="00F016DD" w:rsidP="00121533">
            <w:pPr>
              <w:adjustRightInd w:val="0"/>
              <w:spacing w:before="29" w:line="360" w:lineRule="auto"/>
              <w:ind w:left="17"/>
              <w:jc w:val="left"/>
              <w:rPr>
                <w:color w:val="000000"/>
                <w:kern w:val="0"/>
                <w:sz w:val="24"/>
              </w:rPr>
            </w:pPr>
            <w:r w:rsidRPr="00C30CFF">
              <w:rPr>
                <w:color w:val="000000"/>
                <w:kern w:val="0"/>
                <w:sz w:val="24"/>
              </w:rPr>
              <w:t>2011</w:t>
            </w:r>
            <w:r w:rsidRPr="00C30CFF">
              <w:rPr>
                <w:color w:val="000000"/>
                <w:kern w:val="0"/>
                <w:sz w:val="24"/>
              </w:rPr>
              <w:t>年</w:t>
            </w:r>
            <w:r w:rsidRPr="00C30CFF">
              <w:rPr>
                <w:color w:val="000000"/>
                <w:kern w:val="0"/>
                <w:sz w:val="24"/>
              </w:rPr>
              <w:t>12</w:t>
            </w:r>
            <w:r w:rsidRPr="00C30CFF">
              <w:rPr>
                <w:color w:val="000000"/>
                <w:kern w:val="0"/>
                <w:sz w:val="24"/>
              </w:rPr>
              <w:t>月</w:t>
            </w:r>
            <w:r w:rsidRPr="00C30CFF">
              <w:rPr>
                <w:color w:val="000000"/>
                <w:kern w:val="0"/>
                <w:sz w:val="24"/>
              </w:rPr>
              <w:t>1</w:t>
            </w:r>
            <w:r w:rsidRPr="00C30CFF">
              <w:rPr>
                <w:color w:val="000000"/>
                <w:kern w:val="0"/>
                <w:sz w:val="24"/>
              </w:rPr>
              <w:t>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报告期末基金份额总额</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233,517,396.31</w:t>
            </w:r>
            <w:r w:rsidRPr="00C30CFF">
              <w:rPr>
                <w:color w:val="000000"/>
                <w:kern w:val="0"/>
                <w:sz w:val="24"/>
              </w:rPr>
              <w:t>份</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投资目标</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本基金主要投资于信用债、可转债等固定收益品种，通过积极主动的投资管理，力争为投资者提供持续稳定的回报。</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投资策略</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根据对基本面因素的分析，以及对不同资产的风险收益特征及相关关系进行研究，确定大类资产配置比例；通过对信贷水平、信用利差水平、信用债市场供求关系等因素进行分析，进行信用债投资；通过对转股溢价率、隐含波动率、对应正股的</w:t>
            </w:r>
            <w:r w:rsidRPr="00C30CFF">
              <w:rPr>
                <w:color w:val="000000"/>
                <w:kern w:val="0"/>
                <w:sz w:val="24"/>
              </w:rPr>
              <w:lastRenderedPageBreak/>
              <w:t>市场走势、供求关系等因素进行分析，投资可转债；综合考虑组合收益、利率风险以及流动性，投资于利率品种；综合考虑新股估值水平、中签率、上市后的平均涨幅等因素，决定新股申购投资。</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lastRenderedPageBreak/>
              <w:t>业绩比较基准</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中债企业债总全价指数收益率</w:t>
            </w:r>
            <w:r w:rsidRPr="00C30CFF">
              <w:rPr>
                <w:color w:val="000000"/>
                <w:kern w:val="0"/>
                <w:sz w:val="24"/>
              </w:rPr>
              <w:t>*40%+</w:t>
            </w:r>
            <w:r w:rsidRPr="00C30CFF">
              <w:rPr>
                <w:color w:val="000000"/>
                <w:kern w:val="0"/>
                <w:sz w:val="24"/>
              </w:rPr>
              <w:t>天相可转债指数收益率</w:t>
            </w:r>
            <w:r w:rsidRPr="00C30CFF">
              <w:rPr>
                <w:color w:val="000000"/>
                <w:kern w:val="0"/>
                <w:sz w:val="24"/>
              </w:rPr>
              <w:t>*40%+</w:t>
            </w:r>
            <w:r w:rsidRPr="00C30CFF">
              <w:rPr>
                <w:color w:val="000000"/>
                <w:kern w:val="0"/>
                <w:sz w:val="24"/>
              </w:rPr>
              <w:t>中债国债总全价指数收益率</w:t>
            </w:r>
            <w:r w:rsidRPr="00C30CFF">
              <w:rPr>
                <w:color w:val="000000"/>
                <w:kern w:val="0"/>
                <w:sz w:val="24"/>
              </w:rPr>
              <w:t>*20%</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风险收益特征</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基金管理人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易方达基金管理有限公司</w:t>
            </w:r>
          </w:p>
        </w:tc>
      </w:tr>
      <w:tr w:rsidR="00F016DD" w:rsidRPr="0078105B" w:rsidTr="00414367">
        <w:tc>
          <w:tcPr>
            <w:tcW w:w="2835" w:type="dxa"/>
          </w:tcPr>
          <w:p w:rsidR="00F016DD" w:rsidRPr="00C30CFF" w:rsidRDefault="00F016DD" w:rsidP="00E205AA">
            <w:pPr>
              <w:adjustRightInd w:val="0"/>
              <w:spacing w:before="29" w:line="360" w:lineRule="auto"/>
              <w:ind w:left="17"/>
              <w:jc w:val="left"/>
              <w:rPr>
                <w:sz w:val="24"/>
              </w:rPr>
            </w:pPr>
            <w:r w:rsidRPr="00C30CFF">
              <w:rPr>
                <w:kern w:val="0"/>
                <w:sz w:val="24"/>
              </w:rPr>
              <w:t>基金托管人</w:t>
            </w:r>
          </w:p>
        </w:tc>
        <w:tc>
          <w:tcPr>
            <w:tcW w:w="5529" w:type="dxa"/>
            <w:gridSpan w:val="2"/>
          </w:tcPr>
          <w:p w:rsidR="00F016DD" w:rsidRPr="00C30CFF" w:rsidRDefault="00F016DD" w:rsidP="00E205AA">
            <w:pPr>
              <w:adjustRightInd w:val="0"/>
              <w:spacing w:before="29" w:line="360" w:lineRule="auto"/>
              <w:ind w:left="17"/>
              <w:jc w:val="left"/>
              <w:rPr>
                <w:color w:val="000000"/>
                <w:sz w:val="24"/>
              </w:rPr>
            </w:pPr>
            <w:r w:rsidRPr="00C30CFF">
              <w:rPr>
                <w:color w:val="000000"/>
                <w:kern w:val="0"/>
                <w:sz w:val="24"/>
              </w:rPr>
              <w:t>中国建设银行股份有限公司</w:t>
            </w:r>
          </w:p>
        </w:tc>
      </w:tr>
      <w:tr w:rsidR="00F016DD" w:rsidRPr="0078105B" w:rsidTr="00414367">
        <w:tc>
          <w:tcPr>
            <w:tcW w:w="2835" w:type="dxa"/>
          </w:tcPr>
          <w:p w:rsidR="00F016DD" w:rsidRPr="00C30CFF" w:rsidRDefault="00F016DD" w:rsidP="003F13CD">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w="2739" w:type="dxa"/>
            <w:vAlign w:val="center"/>
          </w:tcPr>
          <w:p w:rsidR="00F016DD" w:rsidRPr="00C30CFF" w:rsidRDefault="00F016DD" w:rsidP="00950413">
            <w:pPr>
              <w:jc w:val="left"/>
              <w:rPr>
                <w:sz w:val="24"/>
              </w:rPr>
            </w:pPr>
            <w:r w:rsidRPr="00C30CFF">
              <w:rPr>
                <w:sz w:val="24"/>
              </w:rPr>
              <w:t>易方达双债增强债券</w:t>
            </w:r>
            <w:r w:rsidRPr="00C30CFF">
              <w:rPr>
                <w:sz w:val="24"/>
              </w:rPr>
              <w:t>A</w:t>
            </w:r>
          </w:p>
        </w:tc>
        <w:tc>
          <w:tcPr>
            <w:tcW w:w="2790" w:type="dxa"/>
            <w:vAlign w:val="center"/>
          </w:tcPr>
          <w:p w:rsidR="00F016DD" w:rsidRPr="00C30CFF" w:rsidRDefault="00F016DD" w:rsidP="00950413">
            <w:pPr>
              <w:jc w:val="left"/>
              <w:rPr>
                <w:sz w:val="24"/>
              </w:rPr>
            </w:pPr>
            <w:r w:rsidRPr="00C30CFF">
              <w:rPr>
                <w:sz w:val="24"/>
              </w:rPr>
              <w:t>易方达双债增强债券</w:t>
            </w:r>
            <w:r w:rsidRPr="00C30CFF">
              <w:rPr>
                <w:sz w:val="24"/>
              </w:rPr>
              <w:t>C</w:t>
            </w:r>
          </w:p>
        </w:tc>
      </w:tr>
      <w:tr w:rsidR="00F016DD" w:rsidRPr="004D29A9" w:rsidTr="00414367">
        <w:tc>
          <w:tcPr>
            <w:tcW w:w="2835" w:type="dxa"/>
          </w:tcPr>
          <w:p w:rsidR="00F016DD" w:rsidRPr="00C30CFF" w:rsidRDefault="00F016DD" w:rsidP="003F13CD">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级基金的交易代码</w:t>
            </w:r>
          </w:p>
        </w:tc>
        <w:tc>
          <w:tcPr>
            <w:tcW w:w="2739" w:type="dxa"/>
            <w:vAlign w:val="center"/>
          </w:tcPr>
          <w:p w:rsidR="00F016DD" w:rsidRPr="00C30CFF" w:rsidRDefault="00F016DD" w:rsidP="00950413">
            <w:pPr>
              <w:jc w:val="left"/>
              <w:rPr>
                <w:color w:val="000000"/>
                <w:sz w:val="24"/>
              </w:rPr>
            </w:pPr>
            <w:r w:rsidRPr="00C30CFF">
              <w:rPr>
                <w:color w:val="000000"/>
                <w:sz w:val="24"/>
              </w:rPr>
              <w:t>110035</w:t>
            </w:r>
          </w:p>
        </w:tc>
        <w:tc>
          <w:tcPr>
            <w:tcW w:w="2790" w:type="dxa"/>
            <w:vAlign w:val="center"/>
          </w:tcPr>
          <w:p w:rsidR="00F016DD" w:rsidRPr="00C30CFF" w:rsidRDefault="00F016DD" w:rsidP="00950413">
            <w:pPr>
              <w:jc w:val="left"/>
              <w:rPr>
                <w:color w:val="000000"/>
                <w:sz w:val="24"/>
              </w:rPr>
            </w:pPr>
            <w:r w:rsidRPr="00C30CFF">
              <w:rPr>
                <w:color w:val="000000"/>
                <w:sz w:val="24"/>
              </w:rPr>
              <w:t>110036</w:t>
            </w:r>
          </w:p>
        </w:tc>
      </w:tr>
      <w:tr w:rsidR="00F016DD" w:rsidRPr="0078105B" w:rsidTr="00414367">
        <w:tc>
          <w:tcPr>
            <w:tcW w:w="2835" w:type="dxa"/>
          </w:tcPr>
          <w:p w:rsidR="00F016DD" w:rsidRPr="00C30CFF" w:rsidRDefault="00F016DD" w:rsidP="00162D92">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w="2739" w:type="dxa"/>
            <w:vAlign w:val="center"/>
          </w:tcPr>
          <w:p w:rsidR="00F016DD" w:rsidRPr="00C30CFF" w:rsidRDefault="00F016DD" w:rsidP="00950413">
            <w:pPr>
              <w:jc w:val="left"/>
              <w:rPr>
                <w:sz w:val="24"/>
              </w:rPr>
            </w:pPr>
            <w:r w:rsidRPr="00C30CFF">
              <w:rPr>
                <w:sz w:val="24"/>
              </w:rPr>
              <w:t>116,082,803.93</w:t>
            </w:r>
            <w:r w:rsidRPr="00C30CFF">
              <w:rPr>
                <w:color w:val="000000"/>
                <w:kern w:val="0"/>
                <w:sz w:val="24"/>
              </w:rPr>
              <w:t>份</w:t>
            </w:r>
          </w:p>
        </w:tc>
        <w:tc>
          <w:tcPr>
            <w:tcW w:w="2790" w:type="dxa"/>
            <w:vAlign w:val="center"/>
          </w:tcPr>
          <w:p w:rsidR="00F016DD" w:rsidRPr="00C30CFF" w:rsidRDefault="00F016DD" w:rsidP="00950413">
            <w:pPr>
              <w:jc w:val="left"/>
              <w:rPr>
                <w:sz w:val="24"/>
              </w:rPr>
            </w:pPr>
            <w:r w:rsidRPr="00C30CFF">
              <w:rPr>
                <w:sz w:val="24"/>
              </w:rPr>
              <w:t>117,434,592.38</w:t>
            </w:r>
            <w:r w:rsidRPr="00C30CFF">
              <w:rPr>
                <w:color w:val="000000"/>
                <w:kern w:val="0"/>
                <w:sz w:val="24"/>
              </w:rPr>
              <w:t>份</w:t>
            </w:r>
          </w:p>
        </w:tc>
      </w:tr>
    </w:tbl>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3  </w:t>
      </w:r>
      <w:r w:rsidRPr="0078105B">
        <w:rPr>
          <w:rFonts w:ascii="宋体" w:hAnsi="宋体" w:cs="Arial" w:hint="eastAsia"/>
          <w:color w:val="000000"/>
          <w:kern w:val="0"/>
          <w:sz w:val="24"/>
          <w:szCs w:val="24"/>
        </w:rPr>
        <w:t>主要财务指标和基金净值表现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3.1 </w:t>
      </w:r>
      <w:r w:rsidRPr="0078105B">
        <w:rPr>
          <w:rFonts w:ascii="宋体" w:hAnsi="宋体" w:cs="Arial" w:hint="eastAsia"/>
          <w:b/>
          <w:color w:val="000000"/>
          <w:kern w:val="0"/>
          <w:sz w:val="24"/>
        </w:rPr>
        <w:t>主要财务指标</w:t>
      </w:r>
    </w:p>
    <w:p w:rsidR="00F016DD" w:rsidRPr="00FA472B" w:rsidRDefault="00F016DD" w:rsidP="00E27360">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F016DD" w:rsidRPr="00FA472B" w:rsidTr="008B5312">
        <w:tc>
          <w:tcPr>
            <w:tcW w:w="3402" w:type="dxa"/>
            <w:vMerge w:val="restart"/>
            <w:vAlign w:val="center"/>
          </w:tcPr>
          <w:p w:rsidR="00F016DD" w:rsidRPr="00FA472B" w:rsidRDefault="00F016DD" w:rsidP="00E205AA">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F016DD" w:rsidRPr="00FA472B" w:rsidRDefault="00F016DD" w:rsidP="00E205AA">
            <w:pPr>
              <w:adjustRightInd w:val="0"/>
              <w:spacing w:before="29" w:line="360" w:lineRule="auto"/>
              <w:ind w:left="17"/>
              <w:jc w:val="center"/>
              <w:rPr>
                <w:color w:val="000000"/>
                <w:sz w:val="24"/>
              </w:rPr>
            </w:pPr>
            <w:r w:rsidRPr="00FA472B">
              <w:rPr>
                <w:color w:val="000000"/>
                <w:sz w:val="24"/>
              </w:rPr>
              <w:t>报告期</w:t>
            </w:r>
          </w:p>
          <w:p w:rsidR="00F016DD" w:rsidRPr="00FA472B" w:rsidRDefault="00F016DD" w:rsidP="00E205AA">
            <w:pPr>
              <w:adjustRightInd w:val="0"/>
              <w:spacing w:before="29" w:line="360" w:lineRule="auto"/>
              <w:ind w:left="17"/>
              <w:jc w:val="center"/>
              <w:rPr>
                <w:color w:val="000000"/>
                <w:sz w:val="24"/>
              </w:rPr>
            </w:pPr>
            <w:r w:rsidRPr="00FA472B">
              <w:rPr>
                <w:color w:val="000000"/>
                <w:sz w:val="24"/>
              </w:rPr>
              <w:t>(2019</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-2019</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F016DD" w:rsidRPr="00FA472B" w:rsidTr="008B5312">
        <w:tc>
          <w:tcPr>
            <w:tcW w:w="3402" w:type="dxa"/>
            <w:vMerge/>
            <w:vAlign w:val="center"/>
          </w:tcPr>
          <w:p w:rsidR="00F016DD" w:rsidRPr="00FA472B" w:rsidRDefault="00F016DD" w:rsidP="00E205AA">
            <w:pPr>
              <w:adjustRightInd w:val="0"/>
              <w:spacing w:before="29" w:line="360" w:lineRule="auto"/>
              <w:ind w:left="17"/>
              <w:jc w:val="center"/>
              <w:rPr>
                <w:kern w:val="0"/>
                <w:sz w:val="24"/>
              </w:rPr>
            </w:pP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易方达双债增强债券</w:t>
            </w:r>
            <w:r w:rsidRPr="00FA472B">
              <w:rPr>
                <w:sz w:val="24"/>
              </w:rPr>
              <w:t>A</w:t>
            </w:r>
          </w:p>
        </w:tc>
        <w:tc>
          <w:tcPr>
            <w:tcW w:w="2481" w:type="dxa"/>
            <w:vAlign w:val="center"/>
          </w:tcPr>
          <w:p w:rsidR="00F016DD" w:rsidRPr="00FA472B" w:rsidRDefault="00F016DD" w:rsidP="00E205AA">
            <w:pPr>
              <w:adjustRightInd w:val="0"/>
              <w:spacing w:before="29" w:line="360" w:lineRule="auto"/>
              <w:ind w:left="17"/>
              <w:jc w:val="center"/>
              <w:rPr>
                <w:color w:val="000000"/>
                <w:sz w:val="24"/>
              </w:rPr>
            </w:pPr>
            <w:r w:rsidRPr="00FA472B">
              <w:rPr>
                <w:sz w:val="24"/>
              </w:rPr>
              <w:t>易方达双债增强债券</w:t>
            </w:r>
            <w:r w:rsidRPr="00FA472B">
              <w:rPr>
                <w:sz w:val="24"/>
              </w:rPr>
              <w:t>C</w:t>
            </w:r>
          </w:p>
        </w:tc>
      </w:tr>
      <w:tr w:rsidR="00F016DD" w:rsidRPr="00FA472B" w:rsidTr="00973B57">
        <w:tc>
          <w:tcPr>
            <w:tcW w:w="3402" w:type="dxa"/>
          </w:tcPr>
          <w:p w:rsidR="00F016DD" w:rsidRPr="00FA472B" w:rsidRDefault="00F016DD" w:rsidP="00973B57">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F016DD" w:rsidRPr="00FA472B" w:rsidRDefault="00F016DD" w:rsidP="00973B57">
            <w:pPr>
              <w:adjustRightInd w:val="0"/>
              <w:spacing w:before="29" w:line="360" w:lineRule="auto"/>
              <w:ind w:left="17"/>
              <w:jc w:val="right"/>
              <w:rPr>
                <w:color w:val="000000"/>
                <w:sz w:val="24"/>
              </w:rPr>
            </w:pPr>
            <w:r w:rsidRPr="00FA472B">
              <w:rPr>
                <w:color w:val="000000"/>
                <w:sz w:val="24"/>
              </w:rPr>
              <w:t>2,874,053.98</w:t>
            </w:r>
          </w:p>
        </w:tc>
        <w:tc>
          <w:tcPr>
            <w:tcW w:w="2481" w:type="dxa"/>
            <w:vAlign w:val="bottom"/>
          </w:tcPr>
          <w:p w:rsidR="00F016DD" w:rsidRPr="00FA472B" w:rsidRDefault="00F016DD" w:rsidP="0037768B">
            <w:pPr>
              <w:adjustRightInd w:val="0"/>
              <w:spacing w:before="29" w:line="360" w:lineRule="auto"/>
              <w:ind w:left="17"/>
              <w:jc w:val="right"/>
              <w:rPr>
                <w:color w:val="000000"/>
                <w:sz w:val="24"/>
              </w:rPr>
            </w:pPr>
            <w:r w:rsidRPr="00FA472B">
              <w:rPr>
                <w:color w:val="000000"/>
                <w:sz w:val="24"/>
              </w:rPr>
              <w:t>2,595,779.49</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10,385,804.57</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9,497,047.61</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0.1298</w:t>
            </w:r>
          </w:p>
        </w:tc>
        <w:tc>
          <w:tcPr>
            <w:tcW w:w="2481" w:type="dxa"/>
            <w:vAlign w:val="bottom"/>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0.1253</w:t>
            </w:r>
          </w:p>
        </w:tc>
      </w:tr>
      <w:tr w:rsidR="00F016DD" w:rsidRPr="00FA472B" w:rsidTr="009A5C1D">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178,746,277.82</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175,302,162.20</w:t>
            </w:r>
          </w:p>
        </w:tc>
      </w:tr>
      <w:tr w:rsidR="00F016DD" w:rsidRPr="00FA472B" w:rsidTr="009A5C1D">
        <w:trPr>
          <w:trHeight w:val="158"/>
        </w:trPr>
        <w:tc>
          <w:tcPr>
            <w:tcW w:w="3402" w:type="dxa"/>
          </w:tcPr>
          <w:p w:rsidR="00F016DD" w:rsidRPr="00FA472B" w:rsidRDefault="00F016DD" w:rsidP="00E205AA">
            <w:pPr>
              <w:adjustRightInd w:val="0"/>
              <w:spacing w:before="29" w:line="360" w:lineRule="auto"/>
              <w:ind w:left="17"/>
              <w:rPr>
                <w:kern w:val="0"/>
                <w:sz w:val="24"/>
              </w:rPr>
            </w:pPr>
            <w:r w:rsidRPr="00FA472B">
              <w:rPr>
                <w:kern w:val="0"/>
                <w:sz w:val="24"/>
              </w:rPr>
              <w:t>5.</w:t>
            </w:r>
            <w:r w:rsidRPr="00FA472B">
              <w:rPr>
                <w:kern w:val="0"/>
                <w:sz w:val="24"/>
              </w:rPr>
              <w:t>期末基金份额净值</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1.540</w:t>
            </w:r>
          </w:p>
        </w:tc>
        <w:tc>
          <w:tcPr>
            <w:tcW w:w="2481" w:type="dxa"/>
          </w:tcPr>
          <w:p w:rsidR="00F016DD" w:rsidRPr="00FA472B" w:rsidRDefault="00F016DD" w:rsidP="004A67B0">
            <w:pPr>
              <w:adjustRightInd w:val="0"/>
              <w:spacing w:before="29" w:line="360" w:lineRule="auto"/>
              <w:ind w:left="17"/>
              <w:jc w:val="right"/>
              <w:rPr>
                <w:color w:val="000000"/>
                <w:sz w:val="24"/>
              </w:rPr>
            </w:pPr>
            <w:r w:rsidRPr="00FA472B">
              <w:rPr>
                <w:color w:val="000000"/>
                <w:sz w:val="24"/>
              </w:rPr>
              <w:t>1.493</w:t>
            </w:r>
          </w:p>
        </w:tc>
      </w:tr>
    </w:tbl>
    <w:p w:rsidR="00A826D6" w:rsidRDefault="00FE1310">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F016DD" w:rsidRPr="00C30CFF" w:rsidRDefault="00F016DD" w:rsidP="00C30CFF">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3.2 </w:t>
      </w:r>
      <w:r w:rsidRPr="0078105B">
        <w:rPr>
          <w:rFonts w:ascii="宋体" w:hAnsi="宋体" w:cs="Arial" w:hint="eastAsia"/>
          <w:b/>
          <w:color w:val="000000"/>
          <w:kern w:val="0"/>
          <w:sz w:val="24"/>
        </w:rPr>
        <w:t>基金净值表现</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F016DD" w:rsidRPr="0078105B" w:rsidRDefault="00F016DD" w:rsidP="00174038">
      <w:pPr>
        <w:spacing w:line="360" w:lineRule="auto"/>
        <w:ind w:firstLineChars="150" w:firstLine="361"/>
        <w:rPr>
          <w:rFonts w:ascii="宋体"/>
          <w:b/>
          <w:sz w:val="24"/>
        </w:rPr>
      </w:pPr>
      <w:r w:rsidRPr="0078105B">
        <w:rPr>
          <w:rFonts w:ascii="宋体" w:hAnsi="宋体" w:cs="Arial"/>
          <w:b/>
          <w:color w:val="000000"/>
          <w:kern w:val="0"/>
          <w:sz w:val="24"/>
        </w:rPr>
        <w:t>易方达双债增强债券A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414367">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826D6">
        <w:tc>
          <w:tcPr>
            <w:tcW w:w="0" w:type="auto"/>
            <w:vAlign w:val="center"/>
          </w:tcPr>
          <w:p w:rsidR="00A826D6" w:rsidRDefault="00FE1310">
            <w:pPr>
              <w:jc w:val="left"/>
            </w:pPr>
            <w:r>
              <w:rPr>
                <w:color w:val="000000"/>
                <w:sz w:val="24"/>
              </w:rPr>
              <w:t>过去三个月</w:t>
            </w:r>
          </w:p>
        </w:tc>
        <w:tc>
          <w:tcPr>
            <w:tcW w:w="0" w:type="auto"/>
            <w:vAlign w:val="center"/>
          </w:tcPr>
          <w:p w:rsidR="00A826D6" w:rsidRDefault="00FE1310">
            <w:pPr>
              <w:jc w:val="center"/>
            </w:pPr>
            <w:r>
              <w:rPr>
                <w:color w:val="000000"/>
                <w:sz w:val="24"/>
              </w:rPr>
              <w:t>8.30%</w:t>
            </w:r>
          </w:p>
        </w:tc>
        <w:tc>
          <w:tcPr>
            <w:tcW w:w="0" w:type="auto"/>
            <w:vAlign w:val="center"/>
          </w:tcPr>
          <w:p w:rsidR="00A826D6" w:rsidRDefault="00FE1310">
            <w:pPr>
              <w:jc w:val="center"/>
            </w:pPr>
            <w:r>
              <w:rPr>
                <w:color w:val="000000"/>
                <w:sz w:val="24"/>
              </w:rPr>
              <w:t>0.44%</w:t>
            </w:r>
          </w:p>
        </w:tc>
        <w:tc>
          <w:tcPr>
            <w:tcW w:w="0" w:type="auto"/>
            <w:vAlign w:val="center"/>
          </w:tcPr>
          <w:p w:rsidR="00A826D6" w:rsidRDefault="00FE1310">
            <w:pPr>
              <w:jc w:val="center"/>
            </w:pPr>
            <w:r>
              <w:rPr>
                <w:color w:val="000000"/>
                <w:sz w:val="24"/>
              </w:rPr>
              <w:t>2.51%</w:t>
            </w:r>
          </w:p>
        </w:tc>
        <w:tc>
          <w:tcPr>
            <w:tcW w:w="0" w:type="auto"/>
            <w:vAlign w:val="center"/>
          </w:tcPr>
          <w:p w:rsidR="00A826D6" w:rsidRDefault="00FE1310">
            <w:pPr>
              <w:jc w:val="center"/>
            </w:pPr>
            <w:r>
              <w:rPr>
                <w:color w:val="000000"/>
                <w:sz w:val="24"/>
              </w:rPr>
              <w:t>0.13%</w:t>
            </w:r>
          </w:p>
        </w:tc>
        <w:tc>
          <w:tcPr>
            <w:tcW w:w="0" w:type="auto"/>
            <w:vAlign w:val="center"/>
          </w:tcPr>
          <w:p w:rsidR="00A826D6" w:rsidRDefault="00FE1310">
            <w:pPr>
              <w:jc w:val="center"/>
            </w:pPr>
            <w:r>
              <w:rPr>
                <w:color w:val="000000"/>
                <w:sz w:val="24"/>
              </w:rPr>
              <w:t>5.79%</w:t>
            </w:r>
          </w:p>
        </w:tc>
        <w:tc>
          <w:tcPr>
            <w:tcW w:w="0" w:type="auto"/>
            <w:vAlign w:val="center"/>
          </w:tcPr>
          <w:p w:rsidR="00A826D6" w:rsidRDefault="00FE1310">
            <w:pPr>
              <w:jc w:val="center"/>
            </w:pPr>
            <w:r>
              <w:rPr>
                <w:color w:val="000000"/>
                <w:sz w:val="24"/>
              </w:rPr>
              <w:t>0.31%</w:t>
            </w:r>
          </w:p>
        </w:tc>
      </w:tr>
    </w:tbl>
    <w:p w:rsidR="00F016DD" w:rsidRPr="0078105B" w:rsidRDefault="00F016DD" w:rsidP="00174038">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易方达双债增强债券C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F016DD" w:rsidRPr="0078105B" w:rsidTr="00F4518C">
        <w:tc>
          <w:tcPr>
            <w:tcW w:w="1290"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阶段</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F016DD" w:rsidRPr="00FA472B" w:rsidRDefault="00F016DD" w:rsidP="00F4518C">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F016DD" w:rsidRPr="00FA472B" w:rsidRDefault="00F016DD" w:rsidP="00F4518C">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826D6">
        <w:tc>
          <w:tcPr>
            <w:tcW w:w="0" w:type="auto"/>
            <w:vAlign w:val="center"/>
          </w:tcPr>
          <w:p w:rsidR="00A826D6" w:rsidRDefault="00FE1310">
            <w:pPr>
              <w:jc w:val="left"/>
            </w:pPr>
            <w:r>
              <w:rPr>
                <w:color w:val="000000"/>
                <w:sz w:val="24"/>
              </w:rPr>
              <w:t>过去三个月</w:t>
            </w:r>
          </w:p>
        </w:tc>
        <w:tc>
          <w:tcPr>
            <w:tcW w:w="0" w:type="auto"/>
            <w:vAlign w:val="center"/>
          </w:tcPr>
          <w:p w:rsidR="00A826D6" w:rsidRDefault="00FE1310">
            <w:pPr>
              <w:jc w:val="center"/>
            </w:pPr>
            <w:r>
              <w:rPr>
                <w:color w:val="000000"/>
                <w:sz w:val="24"/>
              </w:rPr>
              <w:t>8.19%</w:t>
            </w:r>
          </w:p>
        </w:tc>
        <w:tc>
          <w:tcPr>
            <w:tcW w:w="0" w:type="auto"/>
            <w:vAlign w:val="center"/>
          </w:tcPr>
          <w:p w:rsidR="00A826D6" w:rsidRDefault="00FE1310">
            <w:pPr>
              <w:jc w:val="center"/>
            </w:pPr>
            <w:r>
              <w:rPr>
                <w:color w:val="000000"/>
                <w:sz w:val="24"/>
              </w:rPr>
              <w:t>0.44%</w:t>
            </w:r>
          </w:p>
        </w:tc>
        <w:tc>
          <w:tcPr>
            <w:tcW w:w="0" w:type="auto"/>
            <w:vAlign w:val="center"/>
          </w:tcPr>
          <w:p w:rsidR="00A826D6" w:rsidRDefault="00FE1310">
            <w:pPr>
              <w:jc w:val="center"/>
            </w:pPr>
            <w:r>
              <w:rPr>
                <w:color w:val="000000"/>
                <w:sz w:val="24"/>
              </w:rPr>
              <w:t>2.51%</w:t>
            </w:r>
          </w:p>
        </w:tc>
        <w:tc>
          <w:tcPr>
            <w:tcW w:w="0" w:type="auto"/>
            <w:vAlign w:val="center"/>
          </w:tcPr>
          <w:p w:rsidR="00A826D6" w:rsidRDefault="00FE1310">
            <w:pPr>
              <w:jc w:val="center"/>
            </w:pPr>
            <w:r>
              <w:rPr>
                <w:color w:val="000000"/>
                <w:sz w:val="24"/>
              </w:rPr>
              <w:t>0.13%</w:t>
            </w:r>
          </w:p>
        </w:tc>
        <w:tc>
          <w:tcPr>
            <w:tcW w:w="0" w:type="auto"/>
            <w:vAlign w:val="center"/>
          </w:tcPr>
          <w:p w:rsidR="00A826D6" w:rsidRDefault="00FE1310">
            <w:pPr>
              <w:jc w:val="center"/>
            </w:pPr>
            <w:r>
              <w:rPr>
                <w:color w:val="000000"/>
                <w:sz w:val="24"/>
              </w:rPr>
              <w:t>5.68%</w:t>
            </w:r>
          </w:p>
        </w:tc>
        <w:tc>
          <w:tcPr>
            <w:tcW w:w="0" w:type="auto"/>
            <w:vAlign w:val="center"/>
          </w:tcPr>
          <w:p w:rsidR="00A826D6" w:rsidRDefault="00FE1310">
            <w:pPr>
              <w:jc w:val="center"/>
            </w:pPr>
            <w:r>
              <w:rPr>
                <w:color w:val="000000"/>
                <w:sz w:val="24"/>
              </w:rPr>
              <w:t>0.31%</w:t>
            </w:r>
          </w:p>
        </w:tc>
      </w:tr>
    </w:tbl>
    <w:p w:rsidR="00F016DD" w:rsidRPr="0078105B" w:rsidRDefault="00F016DD" w:rsidP="00FC13C8">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00AE2480" w:rsidRPr="00370BEA">
        <w:rPr>
          <w:rStyle w:val="af6"/>
          <w:rFonts w:hint="eastAsia"/>
          <w:color w:val="000000"/>
          <w:sz w:val="24"/>
          <w:shd w:val="clear" w:color="auto" w:fill="FFFFFF"/>
        </w:rPr>
        <w:t>自基金合同生效以来</w:t>
      </w:r>
      <w:r w:rsidRPr="0078105B">
        <w:rPr>
          <w:rFonts w:ascii="宋体" w:hAnsi="宋体" w:hint="eastAsia"/>
          <w:b/>
          <w:color w:val="000000"/>
          <w:sz w:val="24"/>
        </w:rPr>
        <w:t>基金累计净值增长率变动及其与同期业绩比较基准收益率变动的比较</w:t>
      </w:r>
    </w:p>
    <w:p w:rsidR="00F016DD" w:rsidRPr="00FA472B" w:rsidRDefault="00F016DD" w:rsidP="00FC13C8">
      <w:pPr>
        <w:spacing w:line="360" w:lineRule="auto"/>
        <w:jc w:val="center"/>
        <w:rPr>
          <w:color w:val="000000"/>
          <w:sz w:val="24"/>
        </w:rPr>
      </w:pPr>
      <w:r w:rsidRPr="00FA472B">
        <w:rPr>
          <w:color w:val="000000"/>
          <w:sz w:val="24"/>
        </w:rPr>
        <w:t>易方达双债增强债券型证券投资基金</w:t>
      </w:r>
    </w:p>
    <w:p w:rsidR="00526282" w:rsidRDefault="00F016DD" w:rsidP="00526282">
      <w:pPr>
        <w:pStyle w:val="a5"/>
        <w:snapToGrid w:val="0"/>
        <w:spacing w:line="360" w:lineRule="auto"/>
        <w:jc w:val="center"/>
        <w:rPr>
          <w:rFonts w:ascii="Times New Roman" w:eastAsiaTheme="minorEastAsia" w:hAnsi="Times New Roman"/>
          <w:color w:val="000000" w:themeColor="text1"/>
          <w:sz w:val="24"/>
          <w:szCs w:val="24"/>
        </w:rPr>
      </w:pPr>
      <w:r w:rsidRPr="00FA472B">
        <w:rPr>
          <w:rFonts w:ascii="Times New Roman" w:hAnsi="Times New Roman"/>
          <w:color w:val="000000"/>
          <w:sz w:val="24"/>
          <w:szCs w:val="24"/>
        </w:rPr>
        <w:t>累计净值增长率与业绩比较基准收益率的历史走势对比图</w:t>
      </w:r>
    </w:p>
    <w:p w:rsidR="00F016DD" w:rsidRPr="00FA472B" w:rsidRDefault="00526282" w:rsidP="00D477D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w:t>
      </w:r>
      <w:r w:rsidRPr="00526282">
        <w:rPr>
          <w:rFonts w:ascii="Times New Roman" w:hAnsi="Times New Roman"/>
          <w:sz w:val="24"/>
          <w:szCs w:val="24"/>
        </w:rPr>
        <w:t>2011</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1</w:t>
      </w:r>
      <w:r w:rsidRPr="00526282">
        <w:rPr>
          <w:rFonts w:ascii="Times New Roman" w:hAnsi="Times New Roman"/>
          <w:sz w:val="24"/>
          <w:szCs w:val="24"/>
        </w:rPr>
        <w:t>日至</w:t>
      </w:r>
      <w:r w:rsidRPr="00526282">
        <w:rPr>
          <w:rFonts w:ascii="Times New Roman" w:hAnsi="Times New Roman"/>
          <w:sz w:val="24"/>
          <w:szCs w:val="24"/>
        </w:rPr>
        <w:t>2019</w:t>
      </w:r>
      <w:r w:rsidRPr="00526282">
        <w:rPr>
          <w:rFonts w:ascii="Times New Roman" w:hAnsi="Times New Roman"/>
          <w:sz w:val="24"/>
          <w:szCs w:val="24"/>
        </w:rPr>
        <w:t>年</w:t>
      </w:r>
      <w:r w:rsidRPr="00526282">
        <w:rPr>
          <w:rFonts w:ascii="Times New Roman" w:hAnsi="Times New Roman"/>
          <w:sz w:val="24"/>
          <w:szCs w:val="24"/>
        </w:rPr>
        <w:t>12</w:t>
      </w:r>
      <w:r w:rsidRPr="00526282">
        <w:rPr>
          <w:rFonts w:ascii="Times New Roman" w:hAnsi="Times New Roman"/>
          <w:sz w:val="24"/>
          <w:szCs w:val="24"/>
        </w:rPr>
        <w:t>月</w:t>
      </w:r>
      <w:r w:rsidRPr="00526282">
        <w:rPr>
          <w:rFonts w:ascii="Times New Roman" w:hAnsi="Times New Roman"/>
          <w:sz w:val="24"/>
          <w:szCs w:val="24"/>
        </w:rPr>
        <w:t>31</w:t>
      </w:r>
      <w:r w:rsidRPr="00526282">
        <w:rPr>
          <w:rFonts w:ascii="Times New Roman" w:hAnsi="Times New Roman"/>
          <w:sz w:val="24"/>
          <w:szCs w:val="24"/>
        </w:rPr>
        <w:t>日）</w:t>
      </w:r>
    </w:p>
    <w:p w:rsidR="00526282" w:rsidRDefault="00F016DD" w:rsidP="00526282">
      <w:pPr>
        <w:snapToGrid w:val="0"/>
        <w:spacing w:line="360" w:lineRule="auto"/>
        <w:rPr>
          <w:rFonts w:eastAsiaTheme="minorEastAsia" w:hAnsiTheme="minorEastAsia"/>
          <w:color w:val="000000" w:themeColor="text1"/>
          <w:sz w:val="24"/>
        </w:rPr>
      </w:pPr>
      <w:r w:rsidRPr="00611CB2">
        <w:rPr>
          <w:color w:val="000000"/>
          <w:sz w:val="24"/>
        </w:rPr>
        <w:t>易方达双债增强债券</w:t>
      </w:r>
      <w:r w:rsidRPr="00611CB2">
        <w:rPr>
          <w:color w:val="000000"/>
          <w:sz w:val="24"/>
        </w:rPr>
        <w:t>A</w:t>
      </w:r>
    </w:p>
    <w:p w:rsidR="00F016DD" w:rsidRPr="0078105B" w:rsidRDefault="00FE1310" w:rsidP="00FC7F43">
      <w:pPr>
        <w:pStyle w:val="20"/>
        <w:spacing w:line="288" w:lineRule="auto"/>
        <w:ind w:firstLineChars="0" w:firstLine="0"/>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35.75pt;height:258pt;visibility:visible">
            <v:imagedata r:id="rId9" o:title=""/>
          </v:shape>
        </w:pict>
      </w:r>
    </w:p>
    <w:p w:rsidR="00526282" w:rsidRDefault="00F016DD" w:rsidP="00526282">
      <w:pPr>
        <w:snapToGrid w:val="0"/>
        <w:spacing w:beforeLines="100" w:before="312" w:line="360" w:lineRule="auto"/>
        <w:rPr>
          <w:rFonts w:eastAsiaTheme="minorEastAsia" w:hAnsiTheme="minorEastAsia"/>
          <w:color w:val="000000" w:themeColor="text1"/>
          <w:sz w:val="24"/>
        </w:rPr>
      </w:pPr>
      <w:r w:rsidRPr="00611CB2">
        <w:rPr>
          <w:color w:val="000000"/>
          <w:sz w:val="24"/>
        </w:rPr>
        <w:t>易方达双债增强债券</w:t>
      </w:r>
      <w:r w:rsidRPr="00611CB2">
        <w:rPr>
          <w:color w:val="000000"/>
          <w:sz w:val="24"/>
        </w:rPr>
        <w:t>C</w:t>
      </w:r>
    </w:p>
    <w:p w:rsidR="00F016DD" w:rsidRPr="0078105B" w:rsidRDefault="00FE1310" w:rsidP="00FC7F43">
      <w:pPr>
        <w:pStyle w:val="20"/>
        <w:spacing w:line="288" w:lineRule="auto"/>
        <w:ind w:firstLineChars="0" w:firstLine="0"/>
        <w:jc w:val="center"/>
        <w:rPr>
          <w:color w:val="000000"/>
        </w:rPr>
      </w:pPr>
      <w:r>
        <w:rPr>
          <w:noProof/>
          <w:color w:val="000000"/>
        </w:rPr>
        <w:pict>
          <v:shape id="图片 3" o:spid="_x0000_i1026" type="#_x0000_t75" style="width:435.75pt;height:258pt;visibility:visible">
            <v:imagedata r:id="rId10" o:title=""/>
          </v:shape>
        </w:pict>
      </w:r>
    </w:p>
    <w:p w:rsidR="00F016DD" w:rsidRPr="00DF18FE" w:rsidRDefault="00F016DD" w:rsidP="00DF18FE">
      <w:pPr>
        <w:spacing w:line="360" w:lineRule="auto"/>
        <w:ind w:firstLineChars="200" w:firstLine="480"/>
        <w:rPr>
          <w:color w:val="000000"/>
          <w:sz w:val="24"/>
        </w:rPr>
      </w:pPr>
      <w:r w:rsidRPr="00DF18FE">
        <w:rPr>
          <w:color w:val="000000"/>
          <w:sz w:val="24"/>
        </w:rPr>
        <w:t>注：自基金合同生效至报告期末，</w:t>
      </w:r>
      <w:r w:rsidRPr="00DF18FE">
        <w:rPr>
          <w:color w:val="000000"/>
          <w:sz w:val="24"/>
        </w:rPr>
        <w:t>A</w:t>
      </w:r>
      <w:r w:rsidRPr="00DF18FE">
        <w:rPr>
          <w:color w:val="000000"/>
          <w:sz w:val="24"/>
        </w:rPr>
        <w:t>类基金份额净值增长率为</w:t>
      </w:r>
      <w:r w:rsidRPr="00DF18FE">
        <w:rPr>
          <w:color w:val="000000"/>
          <w:sz w:val="24"/>
        </w:rPr>
        <w:t>75.73%</w:t>
      </w:r>
      <w:r w:rsidRPr="00DF18FE">
        <w:rPr>
          <w:color w:val="000000"/>
          <w:sz w:val="24"/>
        </w:rPr>
        <w:t>，</w:t>
      </w:r>
      <w:r w:rsidRPr="00DF18FE">
        <w:rPr>
          <w:color w:val="000000"/>
          <w:sz w:val="24"/>
        </w:rPr>
        <w:t>C</w:t>
      </w:r>
      <w:r w:rsidRPr="00DF18FE">
        <w:rPr>
          <w:color w:val="000000"/>
          <w:sz w:val="24"/>
        </w:rPr>
        <w:t>类基金份额净值增长率为</w:t>
      </w:r>
      <w:r w:rsidRPr="00DF18FE">
        <w:rPr>
          <w:color w:val="000000"/>
          <w:sz w:val="24"/>
        </w:rPr>
        <w:t>70.64%</w:t>
      </w:r>
      <w:r w:rsidRPr="00DF18FE">
        <w:rPr>
          <w:color w:val="000000"/>
          <w:sz w:val="24"/>
        </w:rPr>
        <w:t>，同期业绩比较基准收益率为</w:t>
      </w:r>
      <w:r w:rsidRPr="00DF18FE">
        <w:rPr>
          <w:color w:val="000000"/>
          <w:sz w:val="24"/>
        </w:rPr>
        <w:t>9.45%</w:t>
      </w:r>
      <w:r w:rsidRPr="00DF18FE">
        <w:rPr>
          <w:color w:val="000000"/>
          <w:sz w:val="24"/>
        </w:rPr>
        <w:t>。</w:t>
      </w:r>
    </w:p>
    <w:p w:rsidR="00F016DD" w:rsidRPr="00FA472B" w:rsidRDefault="00F016DD" w:rsidP="006C5BC9">
      <w:pPr>
        <w:tabs>
          <w:tab w:val="left" w:pos="1800"/>
        </w:tabs>
        <w:spacing w:line="288" w:lineRule="auto"/>
        <w:rPr>
          <w:color w:val="000000"/>
          <w:sz w:val="24"/>
        </w:rPr>
      </w:pP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4  </w:t>
      </w:r>
      <w:r w:rsidRPr="0078105B">
        <w:rPr>
          <w:rFonts w:ascii="宋体" w:hAnsi="宋体" w:cs="Arial" w:hint="eastAsia"/>
          <w:color w:val="000000"/>
          <w:kern w:val="0"/>
          <w:sz w:val="24"/>
          <w:szCs w:val="24"/>
        </w:rPr>
        <w:t>管理人报告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4.1 </w:t>
      </w:r>
      <w:r w:rsidRPr="0078105B">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F016DD" w:rsidRPr="0078105B" w:rsidTr="00B54884">
        <w:trPr>
          <w:cantSplit/>
        </w:trPr>
        <w:tc>
          <w:tcPr>
            <w:tcW w:w="56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w="56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835" w:type="dxa"/>
            <w:vMerge/>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851"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c>
          <w:tcPr>
            <w:tcW w:w="2977" w:type="dxa"/>
            <w:vMerge/>
            <w:vAlign w:val="center"/>
          </w:tcPr>
          <w:p w:rsidR="00F016DD" w:rsidRPr="00FA472B" w:rsidRDefault="00F016DD" w:rsidP="0058694E">
            <w:pPr>
              <w:autoSpaceDE w:val="0"/>
              <w:autoSpaceDN w:val="0"/>
              <w:adjustRightInd w:val="0"/>
              <w:spacing w:before="29" w:line="288" w:lineRule="auto"/>
              <w:ind w:left="15"/>
              <w:jc w:val="center"/>
              <w:rPr>
                <w:color w:val="000000"/>
                <w:kern w:val="0"/>
                <w:sz w:val="24"/>
              </w:rPr>
            </w:pPr>
          </w:p>
        </w:tc>
      </w:tr>
      <w:tr w:rsidR="00A826D6">
        <w:tc>
          <w:tcPr>
            <w:tcW w:w="0" w:type="auto"/>
            <w:vAlign w:val="center"/>
          </w:tcPr>
          <w:p w:rsidR="00A826D6" w:rsidRDefault="00FE1310">
            <w:pPr>
              <w:jc w:val="center"/>
            </w:pPr>
            <w:r>
              <w:rPr>
                <w:color w:val="000000"/>
                <w:sz w:val="24"/>
              </w:rPr>
              <w:t>王晓晨</w:t>
            </w:r>
          </w:p>
        </w:tc>
        <w:tc>
          <w:tcPr>
            <w:tcW w:w="0" w:type="auto"/>
            <w:vAlign w:val="center"/>
          </w:tcPr>
          <w:p w:rsidR="00A826D6" w:rsidRDefault="00FE1310">
            <w:pPr>
              <w:jc w:val="center"/>
            </w:pPr>
            <w:r>
              <w:rPr>
                <w:color w:val="000000"/>
                <w:sz w:val="24"/>
              </w:rPr>
              <w:t>本基金的基金经理、易方达中债新综合债券指数发起式证券投资基金（</w:t>
            </w:r>
            <w:r>
              <w:rPr>
                <w:color w:val="000000"/>
                <w:sz w:val="24"/>
              </w:rPr>
              <w:t>LOF</w:t>
            </w:r>
            <w:r>
              <w:rPr>
                <w:color w:val="000000"/>
                <w:sz w:val="24"/>
              </w:rPr>
              <w:t>）的基金经理、易方达中债</w:t>
            </w:r>
            <w:r>
              <w:rPr>
                <w:color w:val="000000"/>
                <w:sz w:val="24"/>
              </w:rPr>
              <w:t>7-10</w:t>
            </w:r>
            <w:r>
              <w:rPr>
                <w:color w:val="000000"/>
                <w:sz w:val="24"/>
              </w:rPr>
              <w:t>年期国开行债券指数证券投资基金的基金经理（自</w:t>
            </w:r>
            <w:r>
              <w:rPr>
                <w:color w:val="000000"/>
                <w:sz w:val="24"/>
              </w:rPr>
              <w:t>2017</w:t>
            </w:r>
            <w:r>
              <w:rPr>
                <w:color w:val="000000"/>
                <w:sz w:val="24"/>
              </w:rPr>
              <w:t>年</w:t>
            </w:r>
            <w:r>
              <w:rPr>
                <w:color w:val="000000"/>
                <w:sz w:val="24"/>
              </w:rPr>
              <w:t>02</w:t>
            </w:r>
            <w:r>
              <w:rPr>
                <w:color w:val="000000"/>
                <w:sz w:val="24"/>
              </w:rPr>
              <w:t>月</w:t>
            </w:r>
            <w:r>
              <w:rPr>
                <w:color w:val="000000"/>
                <w:sz w:val="24"/>
              </w:rPr>
              <w:t>15</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28</w:t>
            </w:r>
            <w:r>
              <w:rPr>
                <w:color w:val="000000"/>
                <w:sz w:val="24"/>
              </w:rPr>
              <w:t>日）、易方达中债</w:t>
            </w:r>
            <w:r>
              <w:rPr>
                <w:color w:val="000000"/>
                <w:sz w:val="24"/>
              </w:rPr>
              <w:t>3-5</w:t>
            </w:r>
            <w:r>
              <w:rPr>
                <w:color w:val="000000"/>
                <w:sz w:val="24"/>
              </w:rPr>
              <w:t>年政策性金融债指数证券投资基金的基金经理、易方达中债</w:t>
            </w:r>
            <w:r>
              <w:rPr>
                <w:color w:val="000000"/>
                <w:sz w:val="24"/>
              </w:rPr>
              <w:t>3-5</w:t>
            </w:r>
            <w:r>
              <w:rPr>
                <w:color w:val="000000"/>
                <w:sz w:val="24"/>
              </w:rPr>
              <w:t>年国开行债券指数证券投资基金的基金经理、易方达中债</w:t>
            </w:r>
            <w:r>
              <w:rPr>
                <w:color w:val="000000"/>
                <w:sz w:val="24"/>
              </w:rPr>
              <w:t>1-3</w:t>
            </w:r>
            <w:r>
              <w:rPr>
                <w:color w:val="000000"/>
                <w:sz w:val="24"/>
              </w:rPr>
              <w:t>年政策性金融债指数证券投资基金的基金经理、易方达中债</w:t>
            </w:r>
            <w:r>
              <w:rPr>
                <w:color w:val="000000"/>
                <w:sz w:val="24"/>
              </w:rPr>
              <w:t>1-3</w:t>
            </w:r>
            <w:r>
              <w:rPr>
                <w:color w:val="000000"/>
                <w:sz w:val="24"/>
              </w:rPr>
              <w:t>年国开行债券指数证券投资基金的基金经理、易方达增强回报债券型证券投资基金的基金经理、易方达投资级信用债债券型证券投资基金的基金经理</w:t>
            </w:r>
            <w:r>
              <w:rPr>
                <w:color w:val="000000"/>
                <w:sz w:val="24"/>
              </w:rPr>
              <w:t>、易方达恒兴</w:t>
            </w:r>
            <w:r>
              <w:rPr>
                <w:color w:val="000000"/>
                <w:sz w:val="24"/>
              </w:rPr>
              <w:t>3</w:t>
            </w:r>
            <w:r>
              <w:rPr>
                <w:color w:val="000000"/>
                <w:sz w:val="24"/>
              </w:rPr>
              <w:t>个月定期开放债券型发起式证券投资基金的基金经理、易方达恒安定期开放债券型发起式证券投资基金的基金经理、易方达富财纯债债券型证券投资基金的基金经理、易方达安瑞短债债券型证券投资基金的基金经理、固定收益投资部副总经理、易方达资产管理（香港）有限公司基金经理、就证券提供意见负责人员（</w:t>
            </w:r>
            <w:r>
              <w:rPr>
                <w:color w:val="000000"/>
                <w:sz w:val="24"/>
              </w:rPr>
              <w:t>RO</w:t>
            </w:r>
            <w:r>
              <w:rPr>
                <w:color w:val="000000"/>
                <w:sz w:val="24"/>
              </w:rPr>
              <w:t>）、提供资产管理负责人员（</w:t>
            </w:r>
            <w:r>
              <w:rPr>
                <w:color w:val="000000"/>
                <w:sz w:val="24"/>
              </w:rPr>
              <w:t>RO</w:t>
            </w:r>
            <w:r>
              <w:rPr>
                <w:color w:val="000000"/>
                <w:sz w:val="24"/>
              </w:rPr>
              <w:t>）、易方达资产管理（香港）有限公司固定收益投资决策委员会委员</w:t>
            </w:r>
          </w:p>
        </w:tc>
        <w:tc>
          <w:tcPr>
            <w:tcW w:w="0" w:type="auto"/>
            <w:vAlign w:val="center"/>
          </w:tcPr>
          <w:p w:rsidR="00A826D6" w:rsidRDefault="00FE1310">
            <w:pPr>
              <w:jc w:val="center"/>
            </w:pPr>
            <w:r>
              <w:rPr>
                <w:color w:val="000000"/>
                <w:sz w:val="24"/>
              </w:rPr>
              <w:t>2016-12-03</w:t>
            </w:r>
          </w:p>
        </w:tc>
        <w:tc>
          <w:tcPr>
            <w:tcW w:w="0" w:type="auto"/>
            <w:vAlign w:val="center"/>
          </w:tcPr>
          <w:p w:rsidR="00A826D6" w:rsidRDefault="00FE1310">
            <w:pPr>
              <w:jc w:val="center"/>
            </w:pPr>
            <w:r>
              <w:rPr>
                <w:color w:val="000000"/>
                <w:sz w:val="24"/>
              </w:rPr>
              <w:t>-</w:t>
            </w:r>
          </w:p>
        </w:tc>
        <w:tc>
          <w:tcPr>
            <w:tcW w:w="0" w:type="auto"/>
            <w:vAlign w:val="center"/>
          </w:tcPr>
          <w:p w:rsidR="00A826D6" w:rsidRDefault="00FE1310">
            <w:pPr>
              <w:jc w:val="center"/>
            </w:pPr>
            <w:r>
              <w:rPr>
                <w:color w:val="000000"/>
                <w:sz w:val="24"/>
              </w:rPr>
              <w:t>16</w:t>
            </w:r>
            <w:r>
              <w:rPr>
                <w:color w:val="000000"/>
                <w:sz w:val="24"/>
              </w:rPr>
              <w:t>年</w:t>
            </w:r>
          </w:p>
        </w:tc>
        <w:tc>
          <w:tcPr>
            <w:tcW w:w="0" w:type="auto"/>
            <w:vAlign w:val="center"/>
          </w:tcPr>
          <w:p w:rsidR="00A826D6" w:rsidRDefault="00FE1310">
            <w:r>
              <w:rPr>
                <w:color w:val="000000"/>
                <w:sz w:val="24"/>
              </w:rPr>
              <w:t>硕士研究生，具有基金从业资格。曾任易方达基金管理有限公司集中交易室债券交易员、债券交易主管</w:t>
            </w:r>
            <w:r>
              <w:rPr>
                <w:color w:val="000000"/>
                <w:sz w:val="24"/>
              </w:rPr>
              <w:t>、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Pr>
                <w:color w:val="000000"/>
                <w:sz w:val="24"/>
              </w:rPr>
              <w:t>3-5</w:t>
            </w:r>
            <w:r>
              <w:rPr>
                <w:color w:val="000000"/>
                <w:sz w:val="24"/>
              </w:rPr>
              <w:t>年期国债指数证券投资基金基金经理。</w:t>
            </w:r>
          </w:p>
        </w:tc>
      </w:tr>
    </w:tbl>
    <w:p w:rsidR="00A826D6" w:rsidRDefault="00FE1310">
      <w:pPr>
        <w:spacing w:line="360" w:lineRule="auto"/>
        <w:ind w:firstLineChars="200" w:firstLine="480"/>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A826D6" w:rsidRDefault="00FE1310">
      <w:pPr>
        <w:spacing w:line="360" w:lineRule="auto"/>
        <w:ind w:firstLineChars="200" w:firstLine="480"/>
        <w:rPr>
          <w:color w:val="000000"/>
          <w:sz w:val="24"/>
        </w:rPr>
      </w:pPr>
      <w:r>
        <w:rPr>
          <w:color w:val="000000"/>
          <w:sz w:val="24"/>
        </w:rPr>
        <w:t>2.</w:t>
      </w:r>
      <w:r>
        <w:rPr>
          <w:color w:val="000000"/>
          <w:sz w:val="24"/>
        </w:rPr>
        <w:t>证券从业的含义遵从《证券业从业人员资格管理办法》的相关规定。</w:t>
      </w:r>
    </w:p>
    <w:p w:rsidR="00F016DD" w:rsidRPr="00EA6415" w:rsidRDefault="00F016DD" w:rsidP="00DF18FE">
      <w:pPr>
        <w:spacing w:line="360" w:lineRule="auto"/>
        <w:ind w:firstLineChars="200" w:firstLine="480"/>
        <w:rPr>
          <w:color w:val="000000"/>
          <w:sz w:val="24"/>
        </w:rPr>
      </w:pPr>
      <w:r w:rsidRPr="00DF18FE">
        <w:rPr>
          <w:color w:val="000000"/>
          <w:sz w:val="24"/>
        </w:rPr>
        <w:t>3.</w:t>
      </w:r>
      <w:r w:rsidRPr="00DF18FE">
        <w:rPr>
          <w:color w:val="000000"/>
          <w:sz w:val="24"/>
        </w:rPr>
        <w:t>本基金基金经理王晓晨因休产假超过</w:t>
      </w:r>
      <w:r w:rsidRPr="00DF18FE">
        <w:rPr>
          <w:color w:val="000000"/>
          <w:sz w:val="24"/>
        </w:rPr>
        <w:t>30</w:t>
      </w:r>
      <w:r w:rsidRPr="00DF18FE">
        <w:rPr>
          <w:color w:val="000000"/>
          <w:sz w:val="24"/>
        </w:rPr>
        <w:t>日，在其休假期间，本基金暂由我公司基金经理纪玲云代为履行基金经理职责。该事项已于</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22</w:t>
      </w:r>
      <w:r w:rsidRPr="00DF18FE">
        <w:rPr>
          <w:color w:val="000000"/>
          <w:sz w:val="24"/>
        </w:rPr>
        <w:t>日在《上海证券报》、易方达基金管理有限公司网站（</w:t>
      </w:r>
      <w:r w:rsidRPr="00DF18FE">
        <w:rPr>
          <w:color w:val="000000"/>
          <w:sz w:val="24"/>
        </w:rPr>
        <w:t>http://www.efunds.com.cn</w:t>
      </w:r>
      <w:r w:rsidRPr="00DF18FE">
        <w:rPr>
          <w:color w:val="000000"/>
          <w:sz w:val="24"/>
        </w:rPr>
        <w:t>）和中国证监会基金电子披露网站（</w:t>
      </w:r>
      <w:r w:rsidRPr="00DF18FE">
        <w:rPr>
          <w:color w:val="000000"/>
          <w:sz w:val="24"/>
        </w:rPr>
        <w:t>http://eid.csrc.gov.cn/fund</w:t>
      </w:r>
      <w:r w:rsidRPr="00DF18FE">
        <w:rPr>
          <w:color w:val="000000"/>
          <w:sz w:val="24"/>
        </w:rPr>
        <w:t>）上进行了披露。</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R="00F016DD" w:rsidRPr="00DF18FE" w:rsidRDefault="00F016DD" w:rsidP="00DF18FE">
      <w:pPr>
        <w:spacing w:line="360" w:lineRule="auto"/>
        <w:ind w:firstLineChars="200" w:firstLine="480"/>
        <w:rPr>
          <w:color w:val="000000"/>
          <w:sz w:val="24"/>
        </w:rPr>
      </w:pPr>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4.3 </w:t>
      </w:r>
      <w:r w:rsidRPr="0078105B">
        <w:rPr>
          <w:rFonts w:ascii="宋体" w:hAnsi="宋体" w:cs="Arial" w:hint="eastAsia"/>
          <w:b/>
          <w:color w:val="000000"/>
          <w:kern w:val="0"/>
          <w:sz w:val="24"/>
        </w:rPr>
        <w:t>公平交易专项说明</w:t>
      </w:r>
    </w:p>
    <w:p w:rsidR="00F016DD" w:rsidRPr="00FA472B" w:rsidRDefault="00F016DD" w:rsidP="00FC13C8">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R="00F016DD" w:rsidRPr="00EA6415" w:rsidRDefault="00F016DD" w:rsidP="00DF18FE">
      <w:pPr>
        <w:spacing w:line="360" w:lineRule="auto"/>
        <w:ind w:firstLineChars="200" w:firstLine="480"/>
        <w:rPr>
          <w:color w:val="000000"/>
          <w:sz w:val="24"/>
        </w:rPr>
      </w:pPr>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DF18FE">
        <w:rPr>
          <w:color w:val="000000"/>
          <w:sz w:val="24"/>
        </w:rPr>
        <w:t>“</w:t>
      </w:r>
      <w:r w:rsidRPr="00DF18FE">
        <w:rPr>
          <w:color w:val="000000"/>
          <w:sz w:val="24"/>
        </w:rPr>
        <w:t>时间优先、价格优先</w:t>
      </w:r>
      <w:r w:rsidRPr="00DF18FE">
        <w:rPr>
          <w:color w:val="000000"/>
          <w:sz w:val="24"/>
        </w:rPr>
        <w:t>”</w:t>
      </w:r>
      <w:r w:rsidRPr="00DF18FE">
        <w:rPr>
          <w:color w:val="000000"/>
          <w:sz w:val="24"/>
        </w:rPr>
        <w:t>作为执行指令的基本原则，通过投资交易系统中的公平交易模块，以尽可能确保公平对待各投资组合。本报告期内，公平交易制度总体执行情况良好。</w:t>
      </w:r>
    </w:p>
    <w:p w:rsidR="00F016DD" w:rsidRPr="00FA472B" w:rsidRDefault="00F016DD" w:rsidP="00FC13C8">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rsidR="00A826D6" w:rsidRDefault="00FE1310">
      <w:pPr>
        <w:spacing w:line="360" w:lineRule="auto"/>
        <w:ind w:firstLineChars="200" w:firstLine="480"/>
        <w:rPr>
          <w:color w:val="000000"/>
          <w:sz w:val="24"/>
        </w:rPr>
      </w:pPr>
      <w:r>
        <w:rPr>
          <w:color w:val="000000"/>
          <w:sz w:val="24"/>
        </w:rPr>
        <w:t>本报告期内，公司旗下所有投资组合参与的交易所公</w:t>
      </w:r>
      <w:r>
        <w:rPr>
          <w:color w:val="000000"/>
          <w:sz w:val="24"/>
        </w:rPr>
        <w:t>开竞价交易中，同日反向交易成交较少的单边交易量超过该证券当日成交量的</w:t>
      </w:r>
      <w:r>
        <w:rPr>
          <w:color w:val="000000"/>
          <w:sz w:val="24"/>
        </w:rPr>
        <w:t>5%</w:t>
      </w:r>
      <w:r>
        <w:rPr>
          <w:color w:val="000000"/>
          <w:sz w:val="24"/>
        </w:rPr>
        <w:t>的交易共</w:t>
      </w:r>
      <w:r>
        <w:rPr>
          <w:color w:val="000000"/>
          <w:sz w:val="24"/>
        </w:rPr>
        <w:t>28</w:t>
      </w:r>
      <w:r>
        <w:rPr>
          <w:color w:val="000000"/>
          <w:sz w:val="24"/>
        </w:rPr>
        <w:t>次，其中</w:t>
      </w:r>
      <w:r>
        <w:rPr>
          <w:color w:val="000000"/>
          <w:sz w:val="24"/>
        </w:rPr>
        <w:t>27</w:t>
      </w:r>
      <w:r>
        <w:rPr>
          <w:color w:val="000000"/>
          <w:sz w:val="24"/>
        </w:rPr>
        <w:t>次为指数量化投资组合因投资策略需要和其他组合发生的反向交易，</w:t>
      </w:r>
      <w:r>
        <w:rPr>
          <w:color w:val="000000"/>
          <w:sz w:val="24"/>
        </w:rPr>
        <w:t>1</w:t>
      </w:r>
      <w:r>
        <w:rPr>
          <w:color w:val="000000"/>
          <w:sz w:val="24"/>
        </w:rPr>
        <w:t>次为不同基金经理管理的基金因投资策略不同而发生的反向交易，有关基金经理按规定履行了审批程序。</w:t>
      </w:r>
    </w:p>
    <w:p w:rsidR="00F016DD" w:rsidRPr="00DF18FE" w:rsidRDefault="00F016DD" w:rsidP="00DF18FE">
      <w:pPr>
        <w:spacing w:line="360" w:lineRule="auto"/>
        <w:ind w:firstLineChars="200" w:firstLine="480"/>
        <w:rPr>
          <w:color w:val="000000"/>
          <w:sz w:val="24"/>
        </w:rPr>
      </w:pPr>
      <w:r w:rsidRPr="00DF18FE">
        <w:rPr>
          <w:color w:val="000000"/>
          <w:sz w:val="24"/>
        </w:rPr>
        <w:t>本报告期内，未发现本基金有可能导致不公平交易和利益输送的异常交易。</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4.4 </w:t>
      </w:r>
      <w:r w:rsidRPr="0078105B">
        <w:rPr>
          <w:rFonts w:ascii="宋体" w:hAnsi="宋体" w:cs="Arial" w:hint="eastAsia"/>
          <w:b/>
          <w:color w:val="000000"/>
          <w:kern w:val="0"/>
          <w:sz w:val="24"/>
        </w:rPr>
        <w:t>报告期内基金的投资策略和业绩表现说明</w:t>
      </w:r>
    </w:p>
    <w:p w:rsidR="00F016DD" w:rsidRPr="0078105B" w:rsidRDefault="00F016DD" w:rsidP="00FC13C8">
      <w:pPr>
        <w:spacing w:line="360" w:lineRule="auto"/>
        <w:rPr>
          <w:rFonts w:ascii="宋体"/>
          <w:sz w:val="24"/>
        </w:rPr>
      </w:pPr>
      <w:r w:rsidRPr="0078105B">
        <w:rPr>
          <w:rFonts w:ascii="宋体" w:hAnsi="宋体"/>
          <w:sz w:val="24"/>
        </w:rPr>
        <w:t>4.4.1</w:t>
      </w:r>
      <w:r w:rsidRPr="0078105B">
        <w:rPr>
          <w:rFonts w:ascii="宋体" w:hAnsi="宋体" w:hint="eastAsia"/>
          <w:sz w:val="24"/>
        </w:rPr>
        <w:t>报告期内基金投资策略和运作分析</w:t>
      </w:r>
    </w:p>
    <w:p w:rsidR="00A826D6" w:rsidRDefault="00FE1310">
      <w:pPr>
        <w:spacing w:line="360" w:lineRule="auto"/>
        <w:ind w:firstLineChars="200" w:firstLine="480"/>
        <w:rPr>
          <w:color w:val="000000"/>
          <w:sz w:val="24"/>
        </w:rPr>
      </w:pPr>
      <w:r>
        <w:rPr>
          <w:color w:val="000000"/>
          <w:sz w:val="24"/>
        </w:rPr>
        <w:t>2019</w:t>
      </w:r>
      <w:r>
        <w:rPr>
          <w:color w:val="000000"/>
          <w:sz w:val="24"/>
        </w:rPr>
        <w:t>年四季度宏观经济数据总体较为平稳，</w:t>
      </w:r>
      <w:r>
        <w:rPr>
          <w:color w:val="000000"/>
          <w:sz w:val="24"/>
        </w:rPr>
        <w:t>10</w:t>
      </w:r>
      <w:r>
        <w:rPr>
          <w:color w:val="000000"/>
          <w:sz w:val="24"/>
        </w:rPr>
        <w:t>月工业增加值同比增长</w:t>
      </w:r>
      <w:r>
        <w:rPr>
          <w:color w:val="000000"/>
          <w:sz w:val="24"/>
        </w:rPr>
        <w:t>4.7%</w:t>
      </w:r>
      <w:r>
        <w:rPr>
          <w:color w:val="000000"/>
          <w:sz w:val="24"/>
        </w:rPr>
        <w:t>，</w:t>
      </w:r>
      <w:r>
        <w:rPr>
          <w:color w:val="000000"/>
          <w:sz w:val="24"/>
        </w:rPr>
        <w:t>11</w:t>
      </w:r>
      <w:r>
        <w:rPr>
          <w:color w:val="000000"/>
          <w:sz w:val="24"/>
        </w:rPr>
        <w:t>月工业增加值同比增长</w:t>
      </w:r>
      <w:r>
        <w:rPr>
          <w:color w:val="000000"/>
          <w:sz w:val="24"/>
        </w:rPr>
        <w:t>6.2%</w:t>
      </w:r>
      <w:r>
        <w:rPr>
          <w:color w:val="000000"/>
          <w:sz w:val="24"/>
        </w:rPr>
        <w:t>，虽然月度数据的波动较大，但是结合在一起来看基本符合预期。投资方面，</w:t>
      </w:r>
      <w:r>
        <w:rPr>
          <w:color w:val="000000"/>
          <w:sz w:val="24"/>
        </w:rPr>
        <w:t>2019</w:t>
      </w:r>
      <w:r>
        <w:rPr>
          <w:color w:val="000000"/>
          <w:sz w:val="24"/>
        </w:rPr>
        <w:t>年</w:t>
      </w:r>
      <w:r>
        <w:rPr>
          <w:color w:val="000000"/>
          <w:sz w:val="24"/>
        </w:rPr>
        <w:t>1-11</w:t>
      </w:r>
      <w:r>
        <w:rPr>
          <w:color w:val="000000"/>
          <w:sz w:val="24"/>
        </w:rPr>
        <w:t>月份全国固定资产投资同比增长</w:t>
      </w:r>
      <w:r>
        <w:rPr>
          <w:color w:val="000000"/>
          <w:sz w:val="24"/>
        </w:rPr>
        <w:t>5.2%</w:t>
      </w:r>
      <w:r>
        <w:rPr>
          <w:color w:val="000000"/>
          <w:sz w:val="24"/>
        </w:rPr>
        <w:t>，增速比</w:t>
      </w:r>
      <w:r>
        <w:rPr>
          <w:color w:val="000000"/>
          <w:sz w:val="24"/>
        </w:rPr>
        <w:t>1-9</w:t>
      </w:r>
      <w:r>
        <w:rPr>
          <w:color w:val="000000"/>
          <w:sz w:val="24"/>
        </w:rPr>
        <w:t>月份回落</w:t>
      </w:r>
      <w:r>
        <w:rPr>
          <w:color w:val="000000"/>
          <w:sz w:val="24"/>
        </w:rPr>
        <w:t>0.2</w:t>
      </w:r>
      <w:r>
        <w:rPr>
          <w:color w:val="000000"/>
          <w:sz w:val="24"/>
        </w:rPr>
        <w:t>个百分点，下滑幅度有所放缓，结构上制造业投资连续两个月保持平稳，基建和房地产投资相对较好。消费方面，</w:t>
      </w:r>
      <w:r>
        <w:rPr>
          <w:color w:val="000000"/>
          <w:sz w:val="24"/>
        </w:rPr>
        <w:t>10</w:t>
      </w:r>
      <w:r>
        <w:rPr>
          <w:color w:val="000000"/>
          <w:sz w:val="24"/>
        </w:rPr>
        <w:t>月和</w:t>
      </w:r>
      <w:r>
        <w:rPr>
          <w:color w:val="000000"/>
          <w:sz w:val="24"/>
        </w:rPr>
        <w:t>11</w:t>
      </w:r>
      <w:r>
        <w:rPr>
          <w:color w:val="000000"/>
          <w:sz w:val="24"/>
        </w:rPr>
        <w:t>月社会消费品零售总额同比增长分别为</w:t>
      </w:r>
      <w:r>
        <w:rPr>
          <w:color w:val="000000"/>
          <w:sz w:val="24"/>
        </w:rPr>
        <w:t>7.2%</w:t>
      </w:r>
      <w:r>
        <w:rPr>
          <w:color w:val="000000"/>
          <w:sz w:val="24"/>
        </w:rPr>
        <w:t>和</w:t>
      </w:r>
      <w:r>
        <w:rPr>
          <w:color w:val="000000"/>
          <w:sz w:val="24"/>
        </w:rPr>
        <w:t>8.0%</w:t>
      </w:r>
      <w:r>
        <w:rPr>
          <w:color w:val="000000"/>
          <w:sz w:val="24"/>
        </w:rPr>
        <w:t>，与工业数据一致，呈现季末大幅上升季初大幅回落的数据特征，总体来看较为平稳。通胀方面，</w:t>
      </w:r>
      <w:r>
        <w:rPr>
          <w:color w:val="000000"/>
          <w:sz w:val="24"/>
        </w:rPr>
        <w:t>10</w:t>
      </w:r>
      <w:r>
        <w:rPr>
          <w:color w:val="000000"/>
          <w:sz w:val="24"/>
        </w:rPr>
        <w:t>月和</w:t>
      </w:r>
      <w:r>
        <w:rPr>
          <w:color w:val="000000"/>
          <w:sz w:val="24"/>
        </w:rPr>
        <w:t>11</w:t>
      </w:r>
      <w:r>
        <w:rPr>
          <w:color w:val="000000"/>
          <w:sz w:val="24"/>
        </w:rPr>
        <w:t>月</w:t>
      </w:r>
      <w:r>
        <w:rPr>
          <w:color w:val="000000"/>
          <w:sz w:val="24"/>
        </w:rPr>
        <w:t>CPI</w:t>
      </w:r>
      <w:r>
        <w:rPr>
          <w:color w:val="000000"/>
          <w:sz w:val="24"/>
        </w:rPr>
        <w:t>同比分别上涨</w:t>
      </w:r>
      <w:r>
        <w:rPr>
          <w:color w:val="000000"/>
          <w:sz w:val="24"/>
        </w:rPr>
        <w:t>3.8%</w:t>
      </w:r>
      <w:r>
        <w:rPr>
          <w:color w:val="000000"/>
          <w:sz w:val="24"/>
        </w:rPr>
        <w:t>和</w:t>
      </w:r>
      <w:r>
        <w:rPr>
          <w:color w:val="000000"/>
          <w:sz w:val="24"/>
        </w:rPr>
        <w:t>4.5%</w:t>
      </w:r>
      <w:r>
        <w:rPr>
          <w:color w:val="000000"/>
          <w:sz w:val="24"/>
        </w:rPr>
        <w:t>，连续超市场预期，结构上，依然是食品高于预期，非食品略低于预期，结构分化比较明显。从通胀数据反映的情况来看，非食品、核心通胀的环比增速在</w:t>
      </w:r>
      <w:r>
        <w:rPr>
          <w:color w:val="000000"/>
          <w:sz w:val="24"/>
        </w:rPr>
        <w:t>10</w:t>
      </w:r>
      <w:r>
        <w:rPr>
          <w:color w:val="000000"/>
          <w:sz w:val="24"/>
        </w:rPr>
        <w:t>月有所反弹后转而下降，整体反映需求面仍然较为疲弱，从形成通胀预期这个角度来看，通胀压力仍然不大。金融数据方面，</w:t>
      </w:r>
      <w:r>
        <w:rPr>
          <w:color w:val="000000"/>
          <w:sz w:val="24"/>
        </w:rPr>
        <w:t>10</w:t>
      </w:r>
      <w:r>
        <w:rPr>
          <w:color w:val="000000"/>
          <w:sz w:val="24"/>
        </w:rPr>
        <w:t>月新增社会融资规模数据较差，</w:t>
      </w:r>
      <w:r>
        <w:rPr>
          <w:color w:val="000000"/>
          <w:sz w:val="24"/>
        </w:rPr>
        <w:t>11</w:t>
      </w:r>
      <w:r>
        <w:rPr>
          <w:color w:val="000000"/>
          <w:sz w:val="24"/>
        </w:rPr>
        <w:t>月数据较好，是否具有持续性仍有待观察，结构上，表内实体贷款中居民中长期贷款持续表现较好。</w:t>
      </w:r>
    </w:p>
    <w:p w:rsidR="00A826D6" w:rsidRDefault="00FE1310">
      <w:pPr>
        <w:spacing w:line="360" w:lineRule="auto"/>
        <w:ind w:firstLineChars="200" w:firstLine="480"/>
        <w:rPr>
          <w:color w:val="000000"/>
          <w:sz w:val="24"/>
        </w:rPr>
      </w:pPr>
      <w:r>
        <w:rPr>
          <w:color w:val="000000"/>
          <w:sz w:val="24"/>
        </w:rPr>
        <w:t>债券市场在四季度先跌后涨，延续震荡走势。</w:t>
      </w:r>
      <w:r>
        <w:rPr>
          <w:color w:val="000000"/>
          <w:sz w:val="24"/>
        </w:rPr>
        <w:t>10</w:t>
      </w:r>
      <w:r>
        <w:rPr>
          <w:color w:val="000000"/>
          <w:sz w:val="24"/>
        </w:rPr>
        <w:t>月，猪价大涨推升通胀预期、经济基本面边际改善、市场宽松预期多次落空，叠加贸易摩擦缓和、明年专项债提前发行引发担忧，</w:t>
      </w:r>
      <w:r>
        <w:rPr>
          <w:color w:val="000000"/>
          <w:sz w:val="24"/>
        </w:rPr>
        <w:t>10</w:t>
      </w:r>
      <w:r>
        <w:rPr>
          <w:color w:val="000000"/>
          <w:sz w:val="24"/>
        </w:rPr>
        <w:t>月债市持续调整。</w:t>
      </w:r>
      <w:r>
        <w:rPr>
          <w:color w:val="000000"/>
          <w:sz w:val="24"/>
        </w:rPr>
        <w:t>11</w:t>
      </w:r>
      <w:r>
        <w:rPr>
          <w:color w:val="000000"/>
          <w:sz w:val="24"/>
        </w:rPr>
        <w:t>月经济、社融数据超预期回落，猪价高位回落，同时央行下调</w:t>
      </w:r>
      <w:r>
        <w:rPr>
          <w:color w:val="000000"/>
          <w:sz w:val="24"/>
        </w:rPr>
        <w:t>MLF</w:t>
      </w:r>
      <w:r>
        <w:rPr>
          <w:color w:val="000000"/>
          <w:sz w:val="24"/>
        </w:rPr>
        <w:t>、</w:t>
      </w:r>
      <w:r>
        <w:rPr>
          <w:color w:val="000000"/>
          <w:sz w:val="24"/>
        </w:rPr>
        <w:t xml:space="preserve">OMO </w:t>
      </w:r>
      <w:r>
        <w:rPr>
          <w:color w:val="000000"/>
          <w:sz w:val="24"/>
        </w:rPr>
        <w:t>和</w:t>
      </w:r>
      <w:r>
        <w:rPr>
          <w:color w:val="000000"/>
          <w:sz w:val="24"/>
        </w:rPr>
        <w:t xml:space="preserve">LPR </w:t>
      </w:r>
      <w:r>
        <w:rPr>
          <w:color w:val="000000"/>
          <w:sz w:val="24"/>
        </w:rPr>
        <w:t>利率，带动中长端债券收益率大幅下行。</w:t>
      </w:r>
      <w:r>
        <w:rPr>
          <w:color w:val="000000"/>
          <w:sz w:val="24"/>
        </w:rPr>
        <w:t>12</w:t>
      </w:r>
      <w:r>
        <w:rPr>
          <w:color w:val="000000"/>
          <w:sz w:val="24"/>
        </w:rPr>
        <w:t>月央行公开市场大额净投放使得资金面异常宽松，机构资金配置需求较强，债券市场收益率继续下行。</w:t>
      </w:r>
    </w:p>
    <w:p w:rsidR="00A826D6" w:rsidRDefault="00FE1310">
      <w:pPr>
        <w:spacing w:line="360" w:lineRule="auto"/>
        <w:ind w:firstLineChars="200" w:firstLine="480"/>
        <w:rPr>
          <w:color w:val="000000"/>
          <w:sz w:val="24"/>
        </w:rPr>
      </w:pPr>
      <w:r>
        <w:rPr>
          <w:color w:val="000000"/>
          <w:sz w:val="24"/>
        </w:rPr>
        <w:t>股票市场方面，四季度整体上涨，创业板表现好于主板。全季看，上证综指上涨</w:t>
      </w:r>
      <w:r>
        <w:rPr>
          <w:color w:val="000000"/>
          <w:sz w:val="24"/>
        </w:rPr>
        <w:t>4.99%</w:t>
      </w:r>
      <w:r>
        <w:rPr>
          <w:color w:val="000000"/>
          <w:sz w:val="24"/>
        </w:rPr>
        <w:t>，上证</w:t>
      </w:r>
      <w:r>
        <w:rPr>
          <w:color w:val="000000"/>
          <w:sz w:val="24"/>
        </w:rPr>
        <w:t>50</w:t>
      </w:r>
      <w:r>
        <w:rPr>
          <w:color w:val="000000"/>
          <w:sz w:val="24"/>
        </w:rPr>
        <w:t>指数上涨</w:t>
      </w:r>
      <w:r>
        <w:rPr>
          <w:color w:val="000000"/>
          <w:sz w:val="24"/>
        </w:rPr>
        <w:t>5.71%</w:t>
      </w:r>
      <w:r>
        <w:rPr>
          <w:color w:val="000000"/>
          <w:sz w:val="24"/>
        </w:rPr>
        <w:t>，沪深</w:t>
      </w:r>
      <w:r>
        <w:rPr>
          <w:color w:val="000000"/>
          <w:sz w:val="24"/>
        </w:rPr>
        <w:t>30</w:t>
      </w:r>
      <w:r>
        <w:rPr>
          <w:color w:val="000000"/>
          <w:sz w:val="24"/>
        </w:rPr>
        <w:t>0</w:t>
      </w:r>
      <w:r>
        <w:rPr>
          <w:color w:val="000000"/>
          <w:sz w:val="24"/>
        </w:rPr>
        <w:t>指数上涨</w:t>
      </w:r>
      <w:r>
        <w:rPr>
          <w:color w:val="000000"/>
          <w:sz w:val="24"/>
        </w:rPr>
        <w:t>7.39%</w:t>
      </w:r>
      <w:r>
        <w:rPr>
          <w:color w:val="000000"/>
          <w:sz w:val="24"/>
        </w:rPr>
        <w:t>，，创业板指数上涨</w:t>
      </w:r>
      <w:r>
        <w:rPr>
          <w:color w:val="000000"/>
          <w:sz w:val="24"/>
        </w:rPr>
        <w:t>10.48%</w:t>
      </w:r>
      <w:r>
        <w:rPr>
          <w:color w:val="000000"/>
          <w:sz w:val="24"/>
        </w:rPr>
        <w:t>。</w:t>
      </w:r>
    </w:p>
    <w:p w:rsidR="00F016DD" w:rsidRPr="00DF18FE" w:rsidRDefault="00F016DD" w:rsidP="00DF18FE">
      <w:pPr>
        <w:spacing w:line="360" w:lineRule="auto"/>
        <w:ind w:firstLineChars="200" w:firstLine="480"/>
        <w:rPr>
          <w:color w:val="000000"/>
          <w:sz w:val="24"/>
        </w:rPr>
      </w:pPr>
      <w:r w:rsidRPr="00DF18FE">
        <w:rPr>
          <w:color w:val="000000"/>
          <w:sz w:val="24"/>
        </w:rPr>
        <w:t>报告期内本基金维持了中性的杠杆水平，债券方面，以中短期限的中高等级信用债为主；股票方面，保留的股票仓位旨在承受一定波动的前提下获得长期超过债券的回报；可转债方面，保持了较高的转债仓位。从各类资产的贡献度来看，转债资产对组合产生较大正贡献。</w:t>
      </w:r>
    </w:p>
    <w:p w:rsidR="00F016DD" w:rsidRPr="0078105B" w:rsidRDefault="00F016DD" w:rsidP="00FC13C8">
      <w:pPr>
        <w:spacing w:line="360" w:lineRule="auto"/>
        <w:rPr>
          <w:rFonts w:ascii="宋体"/>
          <w:sz w:val="24"/>
        </w:rPr>
      </w:pPr>
      <w:r w:rsidRPr="0078105B">
        <w:rPr>
          <w:rFonts w:ascii="宋体" w:hAnsi="宋体"/>
          <w:sz w:val="24"/>
        </w:rPr>
        <w:t>4.4.2</w:t>
      </w:r>
      <w:r w:rsidRPr="0078105B">
        <w:rPr>
          <w:rFonts w:ascii="宋体" w:hAnsi="宋体" w:hint="eastAsia"/>
          <w:sz w:val="24"/>
        </w:rPr>
        <w:t>报告期内基金的业绩表现</w:t>
      </w:r>
    </w:p>
    <w:p w:rsidR="00F016DD" w:rsidRPr="00DF18FE" w:rsidRDefault="00F016DD" w:rsidP="00DF18FE">
      <w:pPr>
        <w:spacing w:line="360" w:lineRule="auto"/>
        <w:ind w:firstLineChars="200" w:firstLine="480"/>
        <w:rPr>
          <w:color w:val="000000"/>
          <w:sz w:val="24"/>
        </w:rPr>
      </w:pPr>
      <w:r w:rsidRPr="00DF18FE">
        <w:rPr>
          <w:color w:val="000000"/>
          <w:sz w:val="24"/>
        </w:rPr>
        <w:t>截至报告期末，本基金</w:t>
      </w:r>
      <w:r w:rsidRPr="00DF18FE">
        <w:rPr>
          <w:color w:val="000000"/>
          <w:sz w:val="24"/>
        </w:rPr>
        <w:t>A</w:t>
      </w:r>
      <w:r w:rsidRPr="00DF18FE">
        <w:rPr>
          <w:color w:val="000000"/>
          <w:sz w:val="24"/>
        </w:rPr>
        <w:t>类基金份额净值为</w:t>
      </w:r>
      <w:r w:rsidRPr="00DF18FE">
        <w:rPr>
          <w:color w:val="000000"/>
          <w:sz w:val="24"/>
        </w:rPr>
        <w:t>1.540</w:t>
      </w:r>
      <w:r w:rsidRPr="00DF18FE">
        <w:rPr>
          <w:color w:val="000000"/>
          <w:sz w:val="24"/>
        </w:rPr>
        <w:t>元，本报告期份额净值增长率为</w:t>
      </w:r>
      <w:r w:rsidRPr="00DF18FE">
        <w:rPr>
          <w:color w:val="000000"/>
          <w:sz w:val="24"/>
        </w:rPr>
        <w:t>8.30%</w:t>
      </w:r>
      <w:r w:rsidRPr="00DF18FE">
        <w:rPr>
          <w:color w:val="000000"/>
          <w:sz w:val="24"/>
        </w:rPr>
        <w:t>；</w:t>
      </w:r>
      <w:r w:rsidRPr="00DF18FE">
        <w:rPr>
          <w:color w:val="000000"/>
          <w:sz w:val="24"/>
        </w:rPr>
        <w:t>C</w:t>
      </w:r>
      <w:r w:rsidRPr="00DF18FE">
        <w:rPr>
          <w:color w:val="000000"/>
          <w:sz w:val="24"/>
        </w:rPr>
        <w:t>类基金份额净值为</w:t>
      </w:r>
      <w:r w:rsidRPr="00DF18FE">
        <w:rPr>
          <w:color w:val="000000"/>
          <w:sz w:val="24"/>
        </w:rPr>
        <w:t>1.493</w:t>
      </w:r>
      <w:r w:rsidRPr="00DF18FE">
        <w:rPr>
          <w:color w:val="000000"/>
          <w:sz w:val="24"/>
        </w:rPr>
        <w:t>元，本报告期份额净值增长率为</w:t>
      </w:r>
      <w:r w:rsidRPr="00DF18FE">
        <w:rPr>
          <w:color w:val="000000"/>
          <w:sz w:val="24"/>
        </w:rPr>
        <w:t>8.19%</w:t>
      </w:r>
      <w:r w:rsidRPr="00DF18FE">
        <w:rPr>
          <w:color w:val="000000"/>
          <w:sz w:val="24"/>
        </w:rPr>
        <w:t>；同期业绩比较基准收益率为</w:t>
      </w:r>
      <w:r w:rsidRPr="00DF18FE">
        <w:rPr>
          <w:color w:val="000000"/>
          <w:sz w:val="24"/>
        </w:rPr>
        <w:t>2.51%</w:t>
      </w:r>
      <w:r w:rsidRPr="00DF18FE">
        <w:rPr>
          <w:color w:val="000000"/>
          <w:sz w:val="24"/>
        </w:rPr>
        <w:t>。</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5  </w:t>
      </w:r>
      <w:r w:rsidRPr="0078105B">
        <w:rPr>
          <w:rFonts w:ascii="宋体" w:hAnsi="宋体" w:cs="Arial" w:hint="eastAsia"/>
          <w:color w:val="000000"/>
          <w:kern w:val="0"/>
          <w:sz w:val="24"/>
          <w:szCs w:val="24"/>
        </w:rPr>
        <w:t>投资组合报告</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5.1 </w:t>
      </w:r>
      <w:r w:rsidRPr="0078105B">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序号</w:t>
            </w:r>
          </w:p>
        </w:tc>
        <w:tc>
          <w:tcPr>
            <w:tcW w:w="335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项目</w:t>
            </w:r>
          </w:p>
        </w:tc>
        <w:tc>
          <w:tcPr>
            <w:tcW w:w="2977"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w="1843"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1</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权益投资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6,029,043.93</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1.52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其中：股票</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6,029,043.93</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1.52</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2</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固定收益投资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361,595,112.09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91.04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其中：债券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361,595,112.09</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91.04</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tcPr>
          <w:p w:rsidR="00F016DD" w:rsidRPr="00FA472B" w:rsidRDefault="00F016DD" w:rsidP="00F4518C">
            <w:pPr>
              <w:spacing w:before="29" w:line="360" w:lineRule="auto"/>
              <w:ind w:left="17"/>
              <w:jc w:val="center"/>
              <w:rPr>
                <w:color w:val="000000"/>
                <w:sz w:val="24"/>
              </w:rPr>
            </w:pPr>
            <w:r w:rsidRPr="00FA472B">
              <w:rPr>
                <w:color w:val="000000"/>
                <w:sz w:val="24"/>
              </w:rPr>
              <w:t>3</w:t>
            </w:r>
          </w:p>
        </w:tc>
        <w:tc>
          <w:tcPr>
            <w:tcW w:w="3357" w:type="dxa"/>
          </w:tcPr>
          <w:p w:rsidR="00F016DD" w:rsidRPr="00FA472B" w:rsidRDefault="00F016DD" w:rsidP="00174038">
            <w:pPr>
              <w:spacing w:before="29" w:line="360" w:lineRule="auto"/>
              <w:ind w:leftChars="50" w:left="105"/>
              <w:rPr>
                <w:color w:val="000000"/>
                <w:sz w:val="24"/>
              </w:rPr>
            </w:pPr>
            <w:r w:rsidRPr="00FA472B">
              <w:rPr>
                <w:color w:val="000000"/>
                <w:sz w:val="24"/>
              </w:rPr>
              <w:t>贵金属投资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4</w:t>
            </w:r>
          </w:p>
        </w:tc>
        <w:tc>
          <w:tcPr>
            <w:tcW w:w="3357" w:type="dxa"/>
            <w:vAlign w:val="center"/>
          </w:tcPr>
          <w:p w:rsidR="00F016DD" w:rsidRPr="00FA472B" w:rsidRDefault="00F016DD" w:rsidP="00F4518C">
            <w:pPr>
              <w:spacing w:before="29" w:line="360" w:lineRule="auto"/>
              <w:ind w:left="17"/>
              <w:jc w:val="left"/>
              <w:rPr>
                <w:color w:val="000000"/>
                <w:sz w:val="24"/>
              </w:rPr>
            </w:pPr>
            <w:r w:rsidRPr="00FA472B">
              <w:rPr>
                <w:color w:val="000000"/>
                <w:sz w:val="24"/>
              </w:rPr>
              <w:t>金融衍生品投资</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5</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其中：买断式回购的买入返售金融资产</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6</w:t>
            </w:r>
          </w:p>
        </w:tc>
        <w:tc>
          <w:tcPr>
            <w:tcW w:w="3357" w:type="dxa"/>
            <w:vAlign w:val="center"/>
          </w:tcPr>
          <w:p w:rsidR="00F016DD" w:rsidRPr="00FA472B" w:rsidRDefault="00F016DD" w:rsidP="00F4518C">
            <w:pPr>
              <w:spacing w:before="29" w:line="360" w:lineRule="auto"/>
              <w:ind w:left="17"/>
              <w:jc w:val="left"/>
              <w:rPr>
                <w:sz w:val="24"/>
              </w:rPr>
            </w:pPr>
            <w:r w:rsidRPr="00FA472B">
              <w:rPr>
                <w:color w:val="000000"/>
                <w:sz w:val="24"/>
              </w:rPr>
              <w:t>银行存款和结算备付金合计</w:t>
            </w:r>
          </w:p>
        </w:tc>
        <w:tc>
          <w:tcPr>
            <w:tcW w:w="2977"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10,991,220.30</w:t>
            </w:r>
          </w:p>
        </w:tc>
        <w:tc>
          <w:tcPr>
            <w:tcW w:w="1843" w:type="dxa"/>
            <w:vAlign w:val="center"/>
          </w:tcPr>
          <w:p w:rsidR="00F016DD" w:rsidRPr="00FA472B" w:rsidRDefault="00F016DD" w:rsidP="00F4518C">
            <w:pPr>
              <w:spacing w:before="29" w:line="360" w:lineRule="auto"/>
              <w:ind w:left="17"/>
              <w:jc w:val="right"/>
              <w:rPr>
                <w:color w:val="000000"/>
                <w:sz w:val="24"/>
              </w:rPr>
            </w:pPr>
            <w:r w:rsidRPr="00FA472B">
              <w:rPr>
                <w:color w:val="000000"/>
                <w:sz w:val="24"/>
              </w:rPr>
              <w:t>2.77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7</w:t>
            </w:r>
          </w:p>
        </w:tc>
        <w:tc>
          <w:tcPr>
            <w:tcW w:w="3357" w:type="dxa"/>
            <w:vAlign w:val="center"/>
          </w:tcPr>
          <w:p w:rsidR="00F016DD" w:rsidRPr="00FA472B" w:rsidRDefault="00F016DD" w:rsidP="00F4518C">
            <w:pPr>
              <w:jc w:val="left"/>
              <w:rPr>
                <w:sz w:val="24"/>
              </w:rPr>
            </w:pPr>
            <w:r w:rsidRPr="00FA472B">
              <w:rPr>
                <w:color w:val="000000"/>
                <w:sz w:val="24"/>
              </w:rPr>
              <w:t>其他资产</w:t>
            </w:r>
          </w:p>
        </w:tc>
        <w:tc>
          <w:tcPr>
            <w:tcW w:w="2977" w:type="dxa"/>
            <w:vAlign w:val="center"/>
          </w:tcPr>
          <w:p w:rsidR="00F016DD" w:rsidRPr="00FA472B" w:rsidRDefault="00F016DD" w:rsidP="00F4518C">
            <w:pPr>
              <w:jc w:val="right"/>
              <w:rPr>
                <w:color w:val="000000"/>
                <w:sz w:val="24"/>
              </w:rPr>
            </w:pPr>
            <w:r w:rsidRPr="00FA472B">
              <w:rPr>
                <w:color w:val="000000"/>
                <w:sz w:val="24"/>
              </w:rPr>
              <w:t>18,561,945.87</w:t>
            </w:r>
          </w:p>
        </w:tc>
        <w:tc>
          <w:tcPr>
            <w:tcW w:w="1843" w:type="dxa"/>
            <w:vAlign w:val="center"/>
          </w:tcPr>
          <w:p w:rsidR="00F016DD" w:rsidRPr="00FA472B" w:rsidRDefault="00F016DD" w:rsidP="00F4518C">
            <w:pPr>
              <w:jc w:val="right"/>
              <w:rPr>
                <w:color w:val="000000"/>
                <w:sz w:val="24"/>
              </w:rPr>
            </w:pPr>
            <w:r w:rsidRPr="00FA472B">
              <w:rPr>
                <w:color w:val="000000"/>
                <w:sz w:val="24"/>
              </w:rPr>
              <w:t>4.67</w:t>
            </w:r>
          </w:p>
        </w:tc>
      </w:tr>
      <w:tr w:rsidR="00F016DD" w:rsidRPr="00264E55" w:rsidTr="00F4518C">
        <w:trPr>
          <w:jc w:val="center"/>
        </w:trPr>
        <w:tc>
          <w:tcPr>
            <w:tcW w:w="720" w:type="dxa"/>
            <w:vAlign w:val="center"/>
          </w:tcPr>
          <w:p w:rsidR="00F016DD" w:rsidRPr="00FA472B" w:rsidRDefault="00F016DD" w:rsidP="00F4518C">
            <w:pPr>
              <w:spacing w:before="29" w:line="360" w:lineRule="auto"/>
              <w:ind w:left="17"/>
              <w:jc w:val="center"/>
              <w:rPr>
                <w:color w:val="000000"/>
                <w:sz w:val="24"/>
              </w:rPr>
            </w:pPr>
            <w:r w:rsidRPr="00FA472B">
              <w:rPr>
                <w:color w:val="000000"/>
                <w:sz w:val="24"/>
              </w:rPr>
              <w:t>8</w:t>
            </w:r>
          </w:p>
        </w:tc>
        <w:tc>
          <w:tcPr>
            <w:tcW w:w="3357" w:type="dxa"/>
            <w:vAlign w:val="center"/>
          </w:tcPr>
          <w:p w:rsidR="00F016DD" w:rsidRPr="00FA472B" w:rsidRDefault="00F016DD" w:rsidP="00F4518C">
            <w:pPr>
              <w:jc w:val="left"/>
              <w:rPr>
                <w:sz w:val="24"/>
              </w:rPr>
            </w:pPr>
            <w:r w:rsidRPr="00FA472B">
              <w:rPr>
                <w:color w:val="000000"/>
                <w:sz w:val="24"/>
              </w:rPr>
              <w:t>合计</w:t>
            </w:r>
          </w:p>
        </w:tc>
        <w:tc>
          <w:tcPr>
            <w:tcW w:w="2977" w:type="dxa"/>
            <w:vAlign w:val="center"/>
          </w:tcPr>
          <w:p w:rsidR="00F016DD" w:rsidRPr="00FA472B" w:rsidRDefault="00F016DD" w:rsidP="00F4518C">
            <w:pPr>
              <w:jc w:val="right"/>
              <w:rPr>
                <w:color w:val="000000"/>
                <w:sz w:val="24"/>
              </w:rPr>
            </w:pPr>
            <w:r w:rsidRPr="00FA472B">
              <w:rPr>
                <w:color w:val="000000"/>
                <w:sz w:val="24"/>
              </w:rPr>
              <w:t>397,177,322.19</w:t>
            </w:r>
          </w:p>
        </w:tc>
        <w:tc>
          <w:tcPr>
            <w:tcW w:w="1843" w:type="dxa"/>
            <w:vAlign w:val="center"/>
          </w:tcPr>
          <w:p w:rsidR="00F016DD" w:rsidRPr="00FA472B" w:rsidRDefault="00F016DD" w:rsidP="00F4518C">
            <w:pPr>
              <w:jc w:val="right"/>
              <w:rPr>
                <w:color w:val="000000"/>
                <w:sz w:val="24"/>
              </w:rPr>
            </w:pPr>
            <w:r w:rsidRPr="00FA472B">
              <w:rPr>
                <w:color w:val="000000"/>
                <w:sz w:val="24"/>
              </w:rPr>
              <w:t>100.00</w:t>
            </w:r>
          </w:p>
        </w:tc>
      </w:tr>
    </w:tbl>
    <w:p w:rsidR="00874AA3" w:rsidRPr="00C70969" w:rsidRDefault="00874AA3" w:rsidP="00B54884">
      <w:pPr>
        <w:autoSpaceDE w:val="0"/>
        <w:autoSpaceDN w:val="0"/>
        <w:adjustRightInd w:val="0"/>
        <w:spacing w:beforeLines="100" w:before="312" w:line="360" w:lineRule="auto"/>
        <w:jc w:val="left"/>
        <w:rPr>
          <w:rFonts w:eastAsiaTheme="minorEastAsia"/>
          <w:b/>
          <w:color w:val="000000" w:themeColor="text1"/>
          <w:kern w:val="0"/>
          <w:sz w:val="24"/>
        </w:rPr>
      </w:pPr>
      <w:r w:rsidRPr="00C70969">
        <w:rPr>
          <w:rFonts w:eastAsiaTheme="minorEastAsia"/>
          <w:b/>
          <w:color w:val="000000" w:themeColor="text1"/>
          <w:kern w:val="0"/>
          <w:sz w:val="24"/>
        </w:rPr>
        <w:t xml:space="preserve">5.2 </w:t>
      </w:r>
      <w:r w:rsidRPr="00C70969">
        <w:rPr>
          <w:rFonts w:eastAsiaTheme="minorEastAsia"/>
          <w:b/>
          <w:color w:val="000000" w:themeColor="text1"/>
          <w:kern w:val="0"/>
          <w:sz w:val="24"/>
        </w:rPr>
        <w:t>报告期末按行业分类的股票投资组合</w:t>
      </w:r>
    </w:p>
    <w:p w:rsidR="00874AA3" w:rsidRPr="00C70969" w:rsidRDefault="00874AA3" w:rsidP="00874AA3">
      <w:pPr>
        <w:rPr>
          <w:b/>
          <w:sz w:val="24"/>
        </w:rPr>
      </w:pPr>
      <w:r w:rsidRPr="00C70969">
        <w:rPr>
          <w:b/>
          <w:sz w:val="24"/>
        </w:rPr>
        <w:t xml:space="preserve"> </w:t>
      </w:r>
      <w:r w:rsidRPr="00C70969">
        <w:rPr>
          <w:rFonts w:eastAsiaTheme="minorEastAsia"/>
          <w:b/>
          <w:color w:val="000000" w:themeColor="text1"/>
          <w:kern w:val="0"/>
          <w:sz w:val="24"/>
        </w:rPr>
        <w:t>5.2.1</w:t>
      </w:r>
      <w:r w:rsidRPr="00C70969">
        <w:rPr>
          <w:rFonts w:eastAsia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74AA3" w:rsidRPr="00C70969" w:rsidTr="0071134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占基金资产净值比例（％）</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utoSpaceDE w:val="0"/>
              <w:autoSpaceDN w:val="0"/>
              <w:adjustRightInd w:val="0"/>
              <w:spacing w:before="29" w:line="360" w:lineRule="auto"/>
              <w:ind w:left="15"/>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p w:rsidR="00874AA3" w:rsidRPr="00C70969" w:rsidRDefault="00874AA3" w:rsidP="0071134C">
            <w:pPr>
              <w:jc w:val="right"/>
              <w:rPr>
                <w:rFonts w:eastAsiaTheme="minorEastAsia"/>
                <w:color w:val="000000" w:themeColor="text1"/>
                <w:sz w:val="24"/>
              </w:rPr>
            </w:pP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3,200,153.88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0.90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2,828,890.05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0.80</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r w:rsidRPr="00C70969">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w:t>
            </w:r>
          </w:p>
        </w:tc>
      </w:tr>
      <w:tr w:rsidR="00874AA3" w:rsidRPr="00C70969" w:rsidTr="0071134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74AA3" w:rsidRPr="00C70969" w:rsidRDefault="00874AA3" w:rsidP="0071134C">
            <w:pPr>
              <w:adjustRightInd w:val="0"/>
              <w:snapToGrid w:val="0"/>
              <w:spacing w:line="400" w:lineRule="exact"/>
              <w:rPr>
                <w:rFonts w:eastAsiaTheme="minorEastAsia"/>
                <w:color w:val="000000" w:themeColor="text1"/>
                <w:sz w:val="24"/>
              </w:rPr>
            </w:pPr>
            <w:r w:rsidRPr="00C70969">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6,029,043.93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74AA3" w:rsidRPr="00C70969" w:rsidRDefault="00874AA3" w:rsidP="0071134C">
            <w:pPr>
              <w:jc w:val="right"/>
              <w:rPr>
                <w:rFonts w:eastAsiaTheme="minorEastAsia"/>
                <w:color w:val="000000" w:themeColor="text1"/>
                <w:sz w:val="24"/>
              </w:rPr>
            </w:pPr>
            <w:r w:rsidRPr="00C70969">
              <w:rPr>
                <w:rFonts w:eastAsiaTheme="minorEastAsia"/>
                <w:color w:val="000000" w:themeColor="text1"/>
                <w:sz w:val="24"/>
              </w:rPr>
              <w:t>1.70</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5.3 </w:t>
      </w:r>
      <w:r w:rsidRPr="0078105B">
        <w:rPr>
          <w:rFonts w:ascii="宋体" w:hAnsi="宋体" w:cs="Arial" w:hint="eastAsia"/>
          <w:b/>
          <w:color w:val="000000"/>
          <w:kern w:val="0"/>
          <w:sz w:val="24"/>
        </w:rPr>
        <w:t>报告期末按公允价值占基金资产净值比例大小排序的前十名股票投资明细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417"/>
        <w:gridCol w:w="1560"/>
        <w:gridCol w:w="2268"/>
        <w:gridCol w:w="1559"/>
      </w:tblGrid>
      <w:tr w:rsidR="00F016DD" w:rsidRPr="0078105B" w:rsidTr="00174038">
        <w:tc>
          <w:tcPr>
            <w:tcW w:w="8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序号</w:t>
            </w:r>
          </w:p>
        </w:tc>
        <w:tc>
          <w:tcPr>
            <w:tcW w:w="1276"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股票代码</w:t>
            </w:r>
          </w:p>
        </w:tc>
        <w:tc>
          <w:tcPr>
            <w:tcW w:w="1417"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股票名称</w:t>
            </w:r>
          </w:p>
        </w:tc>
        <w:tc>
          <w:tcPr>
            <w:tcW w:w="1560"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w="2268" w:type="dxa"/>
            <w:vAlign w:val="center"/>
          </w:tcPr>
          <w:p w:rsidR="00F016DD" w:rsidRPr="00FA472B" w:rsidRDefault="00F016DD" w:rsidP="000871D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w="1559" w:type="dxa"/>
            <w:vAlign w:val="center"/>
          </w:tcPr>
          <w:p w:rsidR="00F016DD" w:rsidRPr="00FA472B" w:rsidRDefault="00F016DD" w:rsidP="000871D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rsidR="00A826D6">
        <w:tc>
          <w:tcPr>
            <w:tcW w:w="0" w:type="auto"/>
            <w:vAlign w:val="center"/>
          </w:tcPr>
          <w:p w:rsidR="00A826D6" w:rsidRDefault="00FE1310">
            <w:pPr>
              <w:jc w:val="center"/>
            </w:pPr>
            <w:r>
              <w:rPr>
                <w:color w:val="000000"/>
                <w:sz w:val="24"/>
              </w:rPr>
              <w:t>1</w:t>
            </w:r>
          </w:p>
        </w:tc>
        <w:tc>
          <w:tcPr>
            <w:tcW w:w="0" w:type="auto"/>
            <w:vAlign w:val="center"/>
          </w:tcPr>
          <w:p w:rsidR="00A826D6" w:rsidRDefault="00FE1310">
            <w:pPr>
              <w:jc w:val="center"/>
            </w:pPr>
            <w:r>
              <w:rPr>
                <w:color w:val="000000"/>
                <w:sz w:val="24"/>
              </w:rPr>
              <w:t>000001</w:t>
            </w:r>
          </w:p>
        </w:tc>
        <w:tc>
          <w:tcPr>
            <w:tcW w:w="0" w:type="auto"/>
            <w:vAlign w:val="center"/>
          </w:tcPr>
          <w:p w:rsidR="00A826D6" w:rsidRDefault="00FE1310">
            <w:pPr>
              <w:jc w:val="center"/>
            </w:pPr>
            <w:r>
              <w:rPr>
                <w:color w:val="000000"/>
                <w:sz w:val="24"/>
              </w:rPr>
              <w:t>平安银行</w:t>
            </w:r>
          </w:p>
        </w:tc>
        <w:tc>
          <w:tcPr>
            <w:tcW w:w="0" w:type="auto"/>
            <w:vAlign w:val="center"/>
          </w:tcPr>
          <w:p w:rsidR="00A826D6" w:rsidRDefault="00FE1310">
            <w:pPr>
              <w:jc w:val="right"/>
            </w:pPr>
            <w:r>
              <w:rPr>
                <w:color w:val="000000"/>
                <w:sz w:val="24"/>
              </w:rPr>
              <w:t>171,969</w:t>
            </w:r>
          </w:p>
        </w:tc>
        <w:tc>
          <w:tcPr>
            <w:tcW w:w="0" w:type="auto"/>
            <w:vAlign w:val="center"/>
          </w:tcPr>
          <w:p w:rsidR="00A826D6" w:rsidRDefault="00FE1310">
            <w:pPr>
              <w:jc w:val="right"/>
            </w:pPr>
            <w:r>
              <w:rPr>
                <w:color w:val="000000"/>
                <w:sz w:val="24"/>
              </w:rPr>
              <w:t>2,828,890.05</w:t>
            </w:r>
          </w:p>
        </w:tc>
        <w:tc>
          <w:tcPr>
            <w:tcW w:w="0" w:type="auto"/>
            <w:vAlign w:val="center"/>
          </w:tcPr>
          <w:p w:rsidR="00A826D6" w:rsidRDefault="00FE1310">
            <w:pPr>
              <w:jc w:val="right"/>
            </w:pPr>
            <w:r>
              <w:rPr>
                <w:color w:val="000000"/>
                <w:sz w:val="24"/>
              </w:rPr>
              <w:t>0.80</w:t>
            </w:r>
          </w:p>
        </w:tc>
      </w:tr>
      <w:tr w:rsidR="00A826D6">
        <w:tc>
          <w:tcPr>
            <w:tcW w:w="0" w:type="auto"/>
            <w:vAlign w:val="center"/>
          </w:tcPr>
          <w:p w:rsidR="00A826D6" w:rsidRDefault="00FE1310">
            <w:pPr>
              <w:jc w:val="center"/>
            </w:pPr>
            <w:r>
              <w:rPr>
                <w:color w:val="000000"/>
                <w:sz w:val="24"/>
              </w:rPr>
              <w:t>2</w:t>
            </w:r>
          </w:p>
        </w:tc>
        <w:tc>
          <w:tcPr>
            <w:tcW w:w="0" w:type="auto"/>
            <w:vAlign w:val="center"/>
          </w:tcPr>
          <w:p w:rsidR="00A826D6" w:rsidRDefault="00FE1310">
            <w:pPr>
              <w:jc w:val="center"/>
            </w:pPr>
            <w:r>
              <w:rPr>
                <w:color w:val="000000"/>
                <w:sz w:val="24"/>
              </w:rPr>
              <w:t>603338</w:t>
            </w:r>
          </w:p>
        </w:tc>
        <w:tc>
          <w:tcPr>
            <w:tcW w:w="0" w:type="auto"/>
            <w:vAlign w:val="center"/>
          </w:tcPr>
          <w:p w:rsidR="00A826D6" w:rsidRDefault="00FE1310">
            <w:pPr>
              <w:jc w:val="center"/>
            </w:pPr>
            <w:r>
              <w:rPr>
                <w:color w:val="000000"/>
                <w:sz w:val="24"/>
              </w:rPr>
              <w:t>浙江鼎力</w:t>
            </w:r>
          </w:p>
        </w:tc>
        <w:tc>
          <w:tcPr>
            <w:tcW w:w="0" w:type="auto"/>
            <w:vAlign w:val="center"/>
          </w:tcPr>
          <w:p w:rsidR="00A826D6" w:rsidRDefault="00FE1310">
            <w:pPr>
              <w:jc w:val="right"/>
            </w:pPr>
            <w:r>
              <w:rPr>
                <w:color w:val="000000"/>
                <w:sz w:val="24"/>
              </w:rPr>
              <w:t>32,130</w:t>
            </w:r>
          </w:p>
        </w:tc>
        <w:tc>
          <w:tcPr>
            <w:tcW w:w="0" w:type="auto"/>
            <w:vAlign w:val="center"/>
          </w:tcPr>
          <w:p w:rsidR="00A826D6" w:rsidRDefault="00FE1310">
            <w:pPr>
              <w:jc w:val="right"/>
            </w:pPr>
            <w:r>
              <w:rPr>
                <w:color w:val="000000"/>
                <w:sz w:val="24"/>
              </w:rPr>
              <w:t>2,297,295.00</w:t>
            </w:r>
          </w:p>
        </w:tc>
        <w:tc>
          <w:tcPr>
            <w:tcW w:w="0" w:type="auto"/>
            <w:vAlign w:val="center"/>
          </w:tcPr>
          <w:p w:rsidR="00A826D6" w:rsidRDefault="00FE1310">
            <w:pPr>
              <w:jc w:val="right"/>
            </w:pPr>
            <w:r>
              <w:rPr>
                <w:color w:val="000000"/>
                <w:sz w:val="24"/>
              </w:rPr>
              <w:t>0.65</w:t>
            </w:r>
          </w:p>
        </w:tc>
      </w:tr>
      <w:tr w:rsidR="00A826D6">
        <w:tc>
          <w:tcPr>
            <w:tcW w:w="0" w:type="auto"/>
            <w:vAlign w:val="center"/>
          </w:tcPr>
          <w:p w:rsidR="00A826D6" w:rsidRDefault="00FE1310">
            <w:pPr>
              <w:jc w:val="center"/>
            </w:pPr>
            <w:r>
              <w:rPr>
                <w:color w:val="000000"/>
                <w:sz w:val="24"/>
              </w:rPr>
              <w:t>3</w:t>
            </w:r>
          </w:p>
        </w:tc>
        <w:tc>
          <w:tcPr>
            <w:tcW w:w="0" w:type="auto"/>
            <w:vAlign w:val="center"/>
          </w:tcPr>
          <w:p w:rsidR="00A826D6" w:rsidRDefault="00FE1310">
            <w:pPr>
              <w:jc w:val="center"/>
            </w:pPr>
            <w:r>
              <w:rPr>
                <w:color w:val="000000"/>
                <w:sz w:val="24"/>
              </w:rPr>
              <w:t>000568</w:t>
            </w:r>
          </w:p>
        </w:tc>
        <w:tc>
          <w:tcPr>
            <w:tcW w:w="0" w:type="auto"/>
            <w:vAlign w:val="center"/>
          </w:tcPr>
          <w:p w:rsidR="00A826D6" w:rsidRDefault="00FE1310">
            <w:pPr>
              <w:jc w:val="center"/>
            </w:pPr>
            <w:r>
              <w:rPr>
                <w:color w:val="000000"/>
                <w:sz w:val="24"/>
              </w:rPr>
              <w:t>泸州老窖</w:t>
            </w:r>
          </w:p>
        </w:tc>
        <w:tc>
          <w:tcPr>
            <w:tcW w:w="0" w:type="auto"/>
            <w:vAlign w:val="center"/>
          </w:tcPr>
          <w:p w:rsidR="00A826D6" w:rsidRDefault="00FE1310">
            <w:pPr>
              <w:jc w:val="right"/>
            </w:pPr>
            <w:r>
              <w:rPr>
                <w:color w:val="000000"/>
                <w:sz w:val="24"/>
              </w:rPr>
              <w:t>10,416</w:t>
            </w:r>
          </w:p>
        </w:tc>
        <w:tc>
          <w:tcPr>
            <w:tcW w:w="0" w:type="auto"/>
            <w:vAlign w:val="center"/>
          </w:tcPr>
          <w:p w:rsidR="00A826D6" w:rsidRDefault="00FE1310">
            <w:pPr>
              <w:jc w:val="right"/>
            </w:pPr>
            <w:r>
              <w:rPr>
                <w:color w:val="000000"/>
                <w:sz w:val="24"/>
              </w:rPr>
              <w:t>902,858.88</w:t>
            </w:r>
          </w:p>
        </w:tc>
        <w:tc>
          <w:tcPr>
            <w:tcW w:w="0" w:type="auto"/>
            <w:vAlign w:val="center"/>
          </w:tcPr>
          <w:p w:rsidR="00A826D6" w:rsidRDefault="00FE1310">
            <w:pPr>
              <w:jc w:val="right"/>
            </w:pPr>
            <w:r>
              <w:rPr>
                <w:color w:val="000000"/>
                <w:sz w:val="24"/>
              </w:rPr>
              <w:t>0.26</w:t>
            </w:r>
          </w:p>
        </w:tc>
      </w:tr>
    </w:tbl>
    <w:p w:rsidR="006A1153" w:rsidRPr="006A1153" w:rsidRDefault="00F016DD" w:rsidP="00B54884">
      <w:pPr>
        <w:autoSpaceDE w:val="0"/>
        <w:autoSpaceDN w:val="0"/>
        <w:adjustRightInd w:val="0"/>
        <w:spacing w:beforeLines="100" w:before="312" w:line="360" w:lineRule="auto"/>
        <w:jc w:val="left"/>
        <w:rPr>
          <w:rFonts w:eastAsiaTheme="minorEastAsia"/>
          <w:b/>
          <w:color w:val="000000" w:themeColor="text1"/>
          <w:kern w:val="0"/>
          <w:sz w:val="24"/>
        </w:rPr>
      </w:pPr>
      <w:r w:rsidRPr="0078105B">
        <w:rPr>
          <w:rFonts w:ascii="宋体" w:hAnsi="宋体" w:cs="Arial"/>
          <w:b/>
          <w:color w:val="000000"/>
          <w:kern w:val="0"/>
          <w:sz w:val="24"/>
        </w:rPr>
        <w:t xml:space="preserve">5.4 </w:t>
      </w:r>
      <w:r w:rsidRPr="0078105B">
        <w:rPr>
          <w:rFonts w:ascii="宋体" w:hAnsi="宋体" w:cs="Arial" w:hint="eastAsia"/>
          <w:b/>
          <w:color w:val="000000"/>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序号</w:t>
            </w:r>
          </w:p>
        </w:tc>
        <w:tc>
          <w:tcPr>
            <w:tcW w:w="3260"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债券品种</w:t>
            </w:r>
          </w:p>
        </w:tc>
        <w:tc>
          <w:tcPr>
            <w:tcW w:w="2835"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公允价值</w:t>
            </w:r>
            <w:r w:rsidRPr="006A1153">
              <w:rPr>
                <w:rFonts w:eastAsiaTheme="minorEastAsia"/>
                <w:color w:val="000000" w:themeColor="text1"/>
                <w:sz w:val="24"/>
              </w:rPr>
              <w:t>(</w:t>
            </w:r>
            <w:r w:rsidRPr="006A1153">
              <w:rPr>
                <w:rFonts w:eastAsiaTheme="minorEastAsia"/>
                <w:color w:val="000000" w:themeColor="text1"/>
                <w:sz w:val="24"/>
              </w:rPr>
              <w:t>元</w:t>
            </w: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占基金资产净值比例</w:t>
            </w:r>
            <w:r w:rsidRPr="006A1153">
              <w:rPr>
                <w:rFonts w:eastAsiaTheme="minorEastAsia"/>
                <w:color w:val="000000" w:themeColor="text1"/>
                <w:sz w:val="24"/>
              </w:rPr>
              <w:t>(</w:t>
            </w:r>
            <w:r w:rsidRPr="006A1153">
              <w:rPr>
                <w:rFonts w:eastAsiaTheme="minorEastAsia"/>
                <w:color w:val="000000" w:themeColor="text1"/>
                <w:sz w:val="24"/>
              </w:rPr>
              <w:t>％</w:t>
            </w: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国家债券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2</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央行票据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3</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金融债券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18,129,900.00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5.12</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其中：政策性金融债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18,129,900.00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5.12</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4</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企业债券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60,171,900.00</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17.00</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5</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企业短期融资券</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6</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中期票据</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7</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可转债</w:t>
            </w:r>
            <w:r w:rsidR="00524368" w:rsidRPr="00524368">
              <w:rPr>
                <w:rFonts w:eastAsiaTheme="minorEastAsia" w:hint="eastAsia"/>
                <w:color w:val="000000" w:themeColor="text1"/>
                <w:sz w:val="24"/>
              </w:rPr>
              <w:t>（可交换债）</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283,293,312.09</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80.02</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8</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同业存单</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9</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其他</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w:t>
            </w:r>
          </w:p>
        </w:tc>
      </w:tr>
      <w:tr w:rsidR="006A1153" w:rsidRPr="006A1153" w:rsidTr="00D024C6">
        <w:tc>
          <w:tcPr>
            <w:tcW w:w="817" w:type="dxa"/>
            <w:vAlign w:val="center"/>
          </w:tcPr>
          <w:p w:rsidR="006A1153" w:rsidRPr="006A1153" w:rsidRDefault="006A1153" w:rsidP="00D024C6">
            <w:pPr>
              <w:spacing w:before="29" w:line="360" w:lineRule="auto"/>
              <w:ind w:left="17"/>
              <w:jc w:val="center"/>
              <w:rPr>
                <w:rFonts w:eastAsiaTheme="minorEastAsia"/>
                <w:color w:val="000000" w:themeColor="text1"/>
                <w:sz w:val="24"/>
              </w:rPr>
            </w:pPr>
            <w:r w:rsidRPr="006A1153">
              <w:rPr>
                <w:rFonts w:eastAsiaTheme="minorEastAsia"/>
                <w:color w:val="000000" w:themeColor="text1"/>
                <w:sz w:val="24"/>
              </w:rPr>
              <w:t>10</w:t>
            </w:r>
          </w:p>
        </w:tc>
        <w:tc>
          <w:tcPr>
            <w:tcW w:w="3260" w:type="dxa"/>
            <w:vAlign w:val="center"/>
          </w:tcPr>
          <w:p w:rsidR="006A1153" w:rsidRPr="006A1153" w:rsidRDefault="006A1153" w:rsidP="00D024C6">
            <w:pPr>
              <w:spacing w:before="29" w:line="360" w:lineRule="auto"/>
              <w:ind w:left="17"/>
              <w:jc w:val="left"/>
              <w:rPr>
                <w:rFonts w:eastAsiaTheme="minorEastAsia"/>
                <w:color w:val="000000" w:themeColor="text1"/>
                <w:sz w:val="24"/>
              </w:rPr>
            </w:pPr>
            <w:r w:rsidRPr="006A1153">
              <w:rPr>
                <w:rFonts w:eastAsiaTheme="minorEastAsia"/>
                <w:color w:val="000000" w:themeColor="text1"/>
                <w:sz w:val="24"/>
              </w:rPr>
              <w:t>合计</w:t>
            </w:r>
          </w:p>
        </w:tc>
        <w:tc>
          <w:tcPr>
            <w:tcW w:w="2835"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361,595,112.09</w:t>
            </w:r>
          </w:p>
        </w:tc>
        <w:tc>
          <w:tcPr>
            <w:tcW w:w="1616" w:type="dxa"/>
            <w:vAlign w:val="center"/>
          </w:tcPr>
          <w:p w:rsidR="006A1153" w:rsidRPr="006A1153" w:rsidRDefault="006A1153" w:rsidP="00D024C6">
            <w:pPr>
              <w:spacing w:before="29" w:line="360" w:lineRule="auto"/>
              <w:ind w:left="17"/>
              <w:jc w:val="right"/>
              <w:rPr>
                <w:rFonts w:eastAsiaTheme="minorEastAsia"/>
                <w:color w:val="000000" w:themeColor="text1"/>
                <w:sz w:val="24"/>
              </w:rPr>
            </w:pPr>
            <w:r w:rsidRPr="006A1153">
              <w:rPr>
                <w:rFonts w:eastAsiaTheme="minorEastAsia"/>
                <w:color w:val="000000" w:themeColor="text1"/>
                <w:sz w:val="24"/>
              </w:rPr>
              <w:t>102.13</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 xml:space="preserve">5.5 </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559"/>
        <w:gridCol w:w="1985"/>
        <w:gridCol w:w="1559"/>
        <w:gridCol w:w="2126"/>
        <w:gridCol w:w="990"/>
      </w:tblGrid>
      <w:tr w:rsidR="00F016DD" w:rsidRPr="0078105B" w:rsidTr="00CA7FF7">
        <w:tc>
          <w:tcPr>
            <w:tcW w:w="802"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w="1985"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w="1559"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w="2126"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w="990" w:type="dxa"/>
            <w:vAlign w:val="center"/>
          </w:tcPr>
          <w:p w:rsidR="00F016DD" w:rsidRPr="00FA472B" w:rsidRDefault="00F016DD" w:rsidP="00F4518C">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rsidR="00A826D6">
        <w:tc>
          <w:tcPr>
            <w:tcW w:w="0" w:type="auto"/>
            <w:vAlign w:val="center"/>
          </w:tcPr>
          <w:p w:rsidR="00A826D6" w:rsidRDefault="00FE1310">
            <w:pPr>
              <w:jc w:val="center"/>
            </w:pPr>
            <w:r>
              <w:rPr>
                <w:color w:val="000000"/>
                <w:sz w:val="24"/>
              </w:rPr>
              <w:t>1</w:t>
            </w:r>
          </w:p>
        </w:tc>
        <w:tc>
          <w:tcPr>
            <w:tcW w:w="0" w:type="auto"/>
            <w:vAlign w:val="center"/>
          </w:tcPr>
          <w:p w:rsidR="00A826D6" w:rsidRDefault="00FE1310">
            <w:pPr>
              <w:jc w:val="center"/>
            </w:pPr>
            <w:r>
              <w:rPr>
                <w:color w:val="000000"/>
                <w:sz w:val="24"/>
              </w:rPr>
              <w:t>110059</w:t>
            </w:r>
          </w:p>
        </w:tc>
        <w:tc>
          <w:tcPr>
            <w:tcW w:w="0" w:type="auto"/>
            <w:vAlign w:val="center"/>
          </w:tcPr>
          <w:p w:rsidR="00A826D6" w:rsidRDefault="00FE1310">
            <w:pPr>
              <w:jc w:val="center"/>
            </w:pPr>
            <w:r>
              <w:rPr>
                <w:color w:val="000000"/>
                <w:sz w:val="24"/>
              </w:rPr>
              <w:t>浦发转债</w:t>
            </w:r>
          </w:p>
        </w:tc>
        <w:tc>
          <w:tcPr>
            <w:tcW w:w="0" w:type="auto"/>
            <w:vAlign w:val="center"/>
          </w:tcPr>
          <w:p w:rsidR="00A826D6" w:rsidRDefault="00FE1310">
            <w:pPr>
              <w:jc w:val="right"/>
            </w:pPr>
            <w:r>
              <w:rPr>
                <w:color w:val="000000"/>
                <w:sz w:val="24"/>
              </w:rPr>
              <w:t>180,680</w:t>
            </w:r>
          </w:p>
        </w:tc>
        <w:tc>
          <w:tcPr>
            <w:tcW w:w="0" w:type="auto"/>
            <w:vAlign w:val="center"/>
          </w:tcPr>
          <w:p w:rsidR="00A826D6" w:rsidRDefault="00FE1310">
            <w:pPr>
              <w:jc w:val="right"/>
            </w:pPr>
            <w:r>
              <w:rPr>
                <w:color w:val="000000"/>
                <w:sz w:val="24"/>
              </w:rPr>
              <w:t>19,737,483.20</w:t>
            </w:r>
          </w:p>
        </w:tc>
        <w:tc>
          <w:tcPr>
            <w:tcW w:w="0" w:type="auto"/>
            <w:vAlign w:val="center"/>
          </w:tcPr>
          <w:p w:rsidR="00A826D6" w:rsidRDefault="00FE1310">
            <w:pPr>
              <w:jc w:val="right"/>
            </w:pPr>
            <w:r>
              <w:rPr>
                <w:color w:val="000000"/>
                <w:sz w:val="24"/>
              </w:rPr>
              <w:t>5.57</w:t>
            </w:r>
          </w:p>
        </w:tc>
      </w:tr>
      <w:tr w:rsidR="00A826D6">
        <w:tc>
          <w:tcPr>
            <w:tcW w:w="0" w:type="auto"/>
            <w:vAlign w:val="center"/>
          </w:tcPr>
          <w:p w:rsidR="00A826D6" w:rsidRDefault="00FE1310">
            <w:pPr>
              <w:jc w:val="center"/>
            </w:pPr>
            <w:r>
              <w:rPr>
                <w:color w:val="000000"/>
                <w:sz w:val="24"/>
              </w:rPr>
              <w:t>2</w:t>
            </w:r>
          </w:p>
        </w:tc>
        <w:tc>
          <w:tcPr>
            <w:tcW w:w="0" w:type="auto"/>
            <w:vAlign w:val="center"/>
          </w:tcPr>
          <w:p w:rsidR="00A826D6" w:rsidRDefault="00FE1310">
            <w:pPr>
              <w:jc w:val="center"/>
            </w:pPr>
            <w:r>
              <w:rPr>
                <w:color w:val="000000"/>
                <w:sz w:val="24"/>
              </w:rPr>
              <w:t>132004</w:t>
            </w:r>
          </w:p>
        </w:tc>
        <w:tc>
          <w:tcPr>
            <w:tcW w:w="0" w:type="auto"/>
            <w:vAlign w:val="center"/>
          </w:tcPr>
          <w:p w:rsidR="00A826D6" w:rsidRDefault="00FE1310">
            <w:pPr>
              <w:jc w:val="center"/>
            </w:pPr>
            <w:r>
              <w:rPr>
                <w:color w:val="000000"/>
                <w:sz w:val="24"/>
              </w:rPr>
              <w:t>15</w:t>
            </w:r>
            <w:r>
              <w:rPr>
                <w:color w:val="000000"/>
                <w:sz w:val="24"/>
              </w:rPr>
              <w:t>国盛</w:t>
            </w:r>
            <w:r>
              <w:rPr>
                <w:color w:val="000000"/>
                <w:sz w:val="24"/>
              </w:rPr>
              <w:t>EB</w:t>
            </w:r>
          </w:p>
        </w:tc>
        <w:tc>
          <w:tcPr>
            <w:tcW w:w="0" w:type="auto"/>
            <w:vAlign w:val="center"/>
          </w:tcPr>
          <w:p w:rsidR="00A826D6" w:rsidRDefault="00FE1310">
            <w:pPr>
              <w:jc w:val="right"/>
            </w:pPr>
            <w:r>
              <w:rPr>
                <w:color w:val="000000"/>
                <w:sz w:val="24"/>
              </w:rPr>
              <w:t>186,000</w:t>
            </w:r>
          </w:p>
        </w:tc>
        <w:tc>
          <w:tcPr>
            <w:tcW w:w="0" w:type="auto"/>
            <w:vAlign w:val="center"/>
          </w:tcPr>
          <w:p w:rsidR="00A826D6" w:rsidRDefault="00FE1310">
            <w:pPr>
              <w:jc w:val="right"/>
            </w:pPr>
            <w:r>
              <w:rPr>
                <w:color w:val="000000"/>
                <w:sz w:val="24"/>
              </w:rPr>
              <w:t>18,490,260.00</w:t>
            </w:r>
          </w:p>
        </w:tc>
        <w:tc>
          <w:tcPr>
            <w:tcW w:w="0" w:type="auto"/>
            <w:vAlign w:val="center"/>
          </w:tcPr>
          <w:p w:rsidR="00A826D6" w:rsidRDefault="00FE1310">
            <w:pPr>
              <w:jc w:val="right"/>
            </w:pPr>
            <w:r>
              <w:rPr>
                <w:color w:val="000000"/>
                <w:sz w:val="24"/>
              </w:rPr>
              <w:t>5.22</w:t>
            </w:r>
          </w:p>
        </w:tc>
      </w:tr>
      <w:tr w:rsidR="00A826D6">
        <w:tc>
          <w:tcPr>
            <w:tcW w:w="0" w:type="auto"/>
            <w:vAlign w:val="center"/>
          </w:tcPr>
          <w:p w:rsidR="00A826D6" w:rsidRDefault="00FE1310">
            <w:pPr>
              <w:jc w:val="center"/>
            </w:pPr>
            <w:r>
              <w:rPr>
                <w:color w:val="000000"/>
                <w:sz w:val="24"/>
              </w:rPr>
              <w:t>3</w:t>
            </w:r>
          </w:p>
        </w:tc>
        <w:tc>
          <w:tcPr>
            <w:tcW w:w="0" w:type="auto"/>
            <w:vAlign w:val="center"/>
          </w:tcPr>
          <w:p w:rsidR="00A826D6" w:rsidRDefault="00FE1310">
            <w:pPr>
              <w:jc w:val="center"/>
            </w:pPr>
            <w:r>
              <w:rPr>
                <w:color w:val="000000"/>
                <w:sz w:val="24"/>
              </w:rPr>
              <w:t>112546</w:t>
            </w:r>
          </w:p>
        </w:tc>
        <w:tc>
          <w:tcPr>
            <w:tcW w:w="0" w:type="auto"/>
            <w:vAlign w:val="center"/>
          </w:tcPr>
          <w:p w:rsidR="00A826D6" w:rsidRDefault="00FE1310">
            <w:pPr>
              <w:jc w:val="center"/>
            </w:pPr>
            <w:r>
              <w:rPr>
                <w:color w:val="000000"/>
                <w:sz w:val="24"/>
              </w:rPr>
              <w:t>17</w:t>
            </w:r>
            <w:r>
              <w:rPr>
                <w:color w:val="000000"/>
                <w:sz w:val="24"/>
              </w:rPr>
              <w:t>万科</w:t>
            </w:r>
            <w:r>
              <w:rPr>
                <w:color w:val="000000"/>
                <w:sz w:val="24"/>
              </w:rPr>
              <w:t>01</w:t>
            </w:r>
          </w:p>
        </w:tc>
        <w:tc>
          <w:tcPr>
            <w:tcW w:w="0" w:type="auto"/>
            <w:vAlign w:val="center"/>
          </w:tcPr>
          <w:p w:rsidR="00A826D6" w:rsidRDefault="00FE1310">
            <w:pPr>
              <w:jc w:val="right"/>
            </w:pPr>
            <w:r>
              <w:rPr>
                <w:color w:val="000000"/>
                <w:sz w:val="24"/>
              </w:rPr>
              <w:t>150,000</w:t>
            </w:r>
          </w:p>
        </w:tc>
        <w:tc>
          <w:tcPr>
            <w:tcW w:w="0" w:type="auto"/>
            <w:vAlign w:val="center"/>
          </w:tcPr>
          <w:p w:rsidR="00A826D6" w:rsidRDefault="00FE1310">
            <w:pPr>
              <w:jc w:val="right"/>
            </w:pPr>
            <w:r>
              <w:rPr>
                <w:color w:val="000000"/>
                <w:sz w:val="24"/>
              </w:rPr>
              <w:t>15,121,500.00</w:t>
            </w:r>
          </w:p>
        </w:tc>
        <w:tc>
          <w:tcPr>
            <w:tcW w:w="0" w:type="auto"/>
            <w:vAlign w:val="center"/>
          </w:tcPr>
          <w:p w:rsidR="00A826D6" w:rsidRDefault="00FE1310">
            <w:pPr>
              <w:jc w:val="right"/>
            </w:pPr>
            <w:r>
              <w:rPr>
                <w:color w:val="000000"/>
                <w:sz w:val="24"/>
              </w:rPr>
              <w:t>4.27</w:t>
            </w:r>
          </w:p>
        </w:tc>
      </w:tr>
      <w:tr w:rsidR="00A826D6">
        <w:tc>
          <w:tcPr>
            <w:tcW w:w="0" w:type="auto"/>
            <w:vAlign w:val="center"/>
          </w:tcPr>
          <w:p w:rsidR="00A826D6" w:rsidRDefault="00FE1310">
            <w:pPr>
              <w:jc w:val="center"/>
            </w:pPr>
            <w:r>
              <w:rPr>
                <w:color w:val="000000"/>
                <w:sz w:val="24"/>
              </w:rPr>
              <w:t>4</w:t>
            </w:r>
          </w:p>
        </w:tc>
        <w:tc>
          <w:tcPr>
            <w:tcW w:w="0" w:type="auto"/>
            <w:vAlign w:val="center"/>
          </w:tcPr>
          <w:p w:rsidR="00A826D6" w:rsidRDefault="00FE1310">
            <w:pPr>
              <w:jc w:val="center"/>
            </w:pPr>
            <w:r>
              <w:rPr>
                <w:color w:val="000000"/>
                <w:sz w:val="24"/>
              </w:rPr>
              <w:t>018007</w:t>
            </w:r>
          </w:p>
        </w:tc>
        <w:tc>
          <w:tcPr>
            <w:tcW w:w="0" w:type="auto"/>
            <w:vAlign w:val="center"/>
          </w:tcPr>
          <w:p w:rsidR="00A826D6" w:rsidRDefault="00FE1310">
            <w:pPr>
              <w:jc w:val="center"/>
            </w:pPr>
            <w:r>
              <w:rPr>
                <w:color w:val="000000"/>
                <w:sz w:val="24"/>
              </w:rPr>
              <w:t>国开</w:t>
            </w:r>
            <w:r>
              <w:rPr>
                <w:color w:val="000000"/>
                <w:sz w:val="24"/>
              </w:rPr>
              <w:t>1801</w:t>
            </w:r>
          </w:p>
        </w:tc>
        <w:tc>
          <w:tcPr>
            <w:tcW w:w="0" w:type="auto"/>
            <w:vAlign w:val="center"/>
          </w:tcPr>
          <w:p w:rsidR="00A826D6" w:rsidRDefault="00FE1310">
            <w:pPr>
              <w:jc w:val="right"/>
            </w:pPr>
            <w:r>
              <w:rPr>
                <w:color w:val="000000"/>
                <w:sz w:val="24"/>
              </w:rPr>
              <w:t>150,000</w:t>
            </w:r>
          </w:p>
        </w:tc>
        <w:tc>
          <w:tcPr>
            <w:tcW w:w="0" w:type="auto"/>
            <w:vAlign w:val="center"/>
          </w:tcPr>
          <w:p w:rsidR="00A826D6" w:rsidRDefault="00FE1310">
            <w:pPr>
              <w:jc w:val="right"/>
            </w:pPr>
            <w:r>
              <w:rPr>
                <w:color w:val="000000"/>
                <w:sz w:val="24"/>
              </w:rPr>
              <w:t>15,112,500.00</w:t>
            </w:r>
          </w:p>
        </w:tc>
        <w:tc>
          <w:tcPr>
            <w:tcW w:w="0" w:type="auto"/>
            <w:vAlign w:val="center"/>
          </w:tcPr>
          <w:p w:rsidR="00A826D6" w:rsidRDefault="00FE1310">
            <w:pPr>
              <w:jc w:val="right"/>
            </w:pPr>
            <w:r>
              <w:rPr>
                <w:color w:val="000000"/>
                <w:sz w:val="24"/>
              </w:rPr>
              <w:t>4.27</w:t>
            </w:r>
          </w:p>
        </w:tc>
      </w:tr>
      <w:tr w:rsidR="00A826D6">
        <w:tc>
          <w:tcPr>
            <w:tcW w:w="0" w:type="auto"/>
            <w:vAlign w:val="center"/>
          </w:tcPr>
          <w:p w:rsidR="00A826D6" w:rsidRDefault="00FE1310">
            <w:pPr>
              <w:jc w:val="center"/>
            </w:pPr>
            <w:r>
              <w:rPr>
                <w:color w:val="000000"/>
                <w:sz w:val="24"/>
              </w:rPr>
              <w:t>5</w:t>
            </w:r>
          </w:p>
        </w:tc>
        <w:tc>
          <w:tcPr>
            <w:tcW w:w="0" w:type="auto"/>
            <w:vAlign w:val="center"/>
          </w:tcPr>
          <w:p w:rsidR="00A826D6" w:rsidRDefault="00FE1310">
            <w:pPr>
              <w:jc w:val="center"/>
            </w:pPr>
            <w:r>
              <w:rPr>
                <w:color w:val="000000"/>
                <w:sz w:val="24"/>
              </w:rPr>
              <w:t>136977</w:t>
            </w:r>
          </w:p>
        </w:tc>
        <w:tc>
          <w:tcPr>
            <w:tcW w:w="0" w:type="auto"/>
            <w:vAlign w:val="center"/>
          </w:tcPr>
          <w:p w:rsidR="00A826D6" w:rsidRDefault="00FE1310">
            <w:pPr>
              <w:jc w:val="center"/>
            </w:pPr>
            <w:r>
              <w:rPr>
                <w:color w:val="000000"/>
                <w:sz w:val="24"/>
              </w:rPr>
              <w:t>17</w:t>
            </w:r>
            <w:r>
              <w:rPr>
                <w:color w:val="000000"/>
                <w:sz w:val="24"/>
              </w:rPr>
              <w:t>中材</w:t>
            </w:r>
            <w:r>
              <w:rPr>
                <w:color w:val="000000"/>
                <w:sz w:val="24"/>
              </w:rPr>
              <w:t>02</w:t>
            </w:r>
          </w:p>
        </w:tc>
        <w:tc>
          <w:tcPr>
            <w:tcW w:w="0" w:type="auto"/>
            <w:vAlign w:val="center"/>
          </w:tcPr>
          <w:p w:rsidR="00A826D6" w:rsidRDefault="00FE1310">
            <w:pPr>
              <w:jc w:val="right"/>
            </w:pPr>
            <w:r>
              <w:rPr>
                <w:color w:val="000000"/>
                <w:sz w:val="24"/>
              </w:rPr>
              <w:t>140,000</w:t>
            </w:r>
          </w:p>
        </w:tc>
        <w:tc>
          <w:tcPr>
            <w:tcW w:w="0" w:type="auto"/>
            <w:vAlign w:val="center"/>
          </w:tcPr>
          <w:p w:rsidR="00A826D6" w:rsidRDefault="00FE1310">
            <w:pPr>
              <w:jc w:val="right"/>
            </w:pPr>
            <w:r>
              <w:rPr>
                <w:color w:val="000000"/>
                <w:sz w:val="24"/>
              </w:rPr>
              <w:t>14,058,800.00</w:t>
            </w:r>
          </w:p>
        </w:tc>
        <w:tc>
          <w:tcPr>
            <w:tcW w:w="0" w:type="auto"/>
            <w:vAlign w:val="center"/>
          </w:tcPr>
          <w:p w:rsidR="00A826D6" w:rsidRDefault="00FE1310">
            <w:pPr>
              <w:jc w:val="right"/>
            </w:pPr>
            <w:r>
              <w:rPr>
                <w:color w:val="000000"/>
                <w:sz w:val="24"/>
              </w:rPr>
              <w:t>3.97</w:t>
            </w:r>
          </w:p>
        </w:tc>
      </w:tr>
    </w:tbl>
    <w:p w:rsidR="00F016DD" w:rsidRPr="0078105B" w:rsidRDefault="00F016DD" w:rsidP="00FC13C8">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5.6</w:t>
      </w:r>
      <w:r w:rsidRPr="0078105B">
        <w:rPr>
          <w:rFonts w:ascii="宋体" w:hAnsi="宋体" w:cs="Arial" w:hint="eastAsia"/>
          <w:b/>
          <w:color w:val="000000"/>
          <w:kern w:val="0"/>
          <w:sz w:val="24"/>
        </w:rPr>
        <w:t xml:space="preserve">　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的前十名资产支持证券投资明细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本基金本报告期末未持有资产支持证券。</w:t>
      </w:r>
    </w:p>
    <w:p w:rsidR="00F016DD" w:rsidRPr="001D63BB" w:rsidRDefault="00F016DD" w:rsidP="006D462B">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本基金本报告期末未持有贵金属。</w:t>
      </w:r>
    </w:p>
    <w:p w:rsidR="00F016DD" w:rsidRPr="0078105B" w:rsidRDefault="00F016DD" w:rsidP="00FC13C8">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78105B">
        <w:rPr>
          <w:rFonts w:ascii="宋体" w:cs="Arial"/>
          <w:b/>
          <w:color w:val="000000"/>
          <w:kern w:val="0"/>
          <w:sz w:val="24"/>
        </w:rPr>
        <w:t>.</w:t>
      </w:r>
      <w:r>
        <w:rPr>
          <w:rFonts w:ascii="宋体" w:hAnsi="宋体" w:cs="Arial"/>
          <w:b/>
          <w:color w:val="000000"/>
          <w:kern w:val="0"/>
          <w:sz w:val="24"/>
        </w:rPr>
        <w:t>8</w:t>
      </w:r>
      <w:r w:rsidRPr="0078105B">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78105B">
        <w:rPr>
          <w:rFonts w:ascii="宋体" w:hAnsi="宋体" w:cs="Arial" w:hint="eastAsia"/>
          <w:b/>
          <w:color w:val="000000"/>
          <w:kern w:val="0"/>
          <w:sz w:val="24"/>
        </w:rPr>
        <w:t>的前五名权证投资明细</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本基金本报告期末未持有权证。</w:t>
      </w:r>
    </w:p>
    <w:p w:rsidR="00F016DD" w:rsidRPr="00E85E29" w:rsidRDefault="00F016DD" w:rsidP="001D5CD0">
      <w:pPr>
        <w:adjustRightInd w:val="0"/>
        <w:snapToGrid w:val="0"/>
        <w:spacing w:line="360" w:lineRule="auto"/>
        <w:rPr>
          <w:rFonts w:ascii="宋体"/>
          <w:b/>
          <w:sz w:val="24"/>
        </w:rPr>
      </w:pPr>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R="001F60E9" w:rsidRDefault="001F60E9" w:rsidP="001F60E9">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F016DD" w:rsidRPr="00E85E29" w:rsidRDefault="00F016DD" w:rsidP="001D5CD0">
      <w:pPr>
        <w:adjustRightInd w:val="0"/>
        <w:snapToGrid w:val="0"/>
        <w:spacing w:line="360" w:lineRule="auto"/>
        <w:rPr>
          <w:rFonts w:ascii="宋体"/>
          <w:b/>
          <w:sz w:val="24"/>
        </w:rPr>
      </w:pPr>
      <w:r w:rsidRPr="00E85E29">
        <w:rPr>
          <w:rFonts w:ascii="宋体" w:hAnsi="宋体"/>
          <w:b/>
          <w:sz w:val="24"/>
        </w:rPr>
        <w:t>5.10</w:t>
      </w:r>
      <w:r w:rsidRPr="00E85E29">
        <w:rPr>
          <w:rFonts w:ascii="宋体" w:hAnsi="宋体" w:hint="eastAsia"/>
          <w:b/>
          <w:sz w:val="24"/>
        </w:rPr>
        <w:t>报告期末本基金投资的国债期货交易情况说明</w:t>
      </w:r>
    </w:p>
    <w:p w:rsidR="00B249C0" w:rsidRDefault="00B249C0" w:rsidP="00B249C0">
      <w:pPr>
        <w:spacing w:line="360" w:lineRule="auto"/>
        <w:ind w:firstLineChars="200" w:firstLine="480"/>
      </w:pPr>
      <w:r>
        <w:rPr>
          <w:color w:val="000000"/>
          <w:sz w:val="24"/>
        </w:rPr>
        <w:t>本基金本报告期末未投资国债期货。</w:t>
      </w:r>
    </w:p>
    <w:p w:rsidR="00F016DD" w:rsidRPr="00E85E29" w:rsidRDefault="00F016DD" w:rsidP="001D5CD0">
      <w:pPr>
        <w:autoSpaceDE w:val="0"/>
        <w:autoSpaceDN w:val="0"/>
        <w:adjustRightInd w:val="0"/>
        <w:spacing w:line="360" w:lineRule="auto"/>
        <w:jc w:val="left"/>
        <w:rPr>
          <w:rFonts w:ascii="宋体" w:cs="Arial"/>
          <w:b/>
          <w:kern w:val="0"/>
          <w:sz w:val="24"/>
        </w:rPr>
      </w:pPr>
      <w:r w:rsidRPr="00E85E29">
        <w:rPr>
          <w:rFonts w:ascii="宋体" w:hAnsi="宋体" w:cs="Arial"/>
          <w:b/>
          <w:kern w:val="0"/>
          <w:sz w:val="24"/>
        </w:rPr>
        <w:t>5.11</w:t>
      </w:r>
      <w:r w:rsidRPr="00E85E29">
        <w:rPr>
          <w:rFonts w:ascii="宋体" w:hAnsi="宋体" w:cs="Arial" w:hint="eastAsia"/>
          <w:b/>
          <w:kern w:val="0"/>
          <w:sz w:val="24"/>
        </w:rPr>
        <w:t>投资组合报告附注</w:t>
      </w:r>
    </w:p>
    <w:p w:rsidR="00F016DD" w:rsidRPr="00414367" w:rsidRDefault="00F016DD" w:rsidP="006456D3">
      <w:pPr>
        <w:widowControl/>
        <w:spacing w:line="360" w:lineRule="auto"/>
        <w:rPr>
          <w:color w:val="000000"/>
          <w:sz w:val="24"/>
        </w:rPr>
      </w:pPr>
      <w:r w:rsidRPr="00414367">
        <w:rPr>
          <w:color w:val="000000"/>
          <w:sz w:val="24"/>
        </w:rPr>
        <w:t>5.11.1</w:t>
      </w:r>
      <w:r w:rsidRPr="00414367">
        <w:rPr>
          <w:color w:val="000000"/>
          <w:sz w:val="24"/>
        </w:rPr>
        <w:t>浦发转债（代码：</w:t>
      </w:r>
      <w:r w:rsidRPr="00414367">
        <w:rPr>
          <w:color w:val="000000"/>
          <w:sz w:val="24"/>
        </w:rPr>
        <w:t>110059</w:t>
      </w:r>
      <w:r w:rsidRPr="00414367">
        <w:rPr>
          <w:color w:val="000000"/>
          <w:sz w:val="24"/>
        </w:rPr>
        <w:t>）是易方达双债增强债券型证券投资基金</w:t>
      </w:r>
      <w:r w:rsidRPr="00414367">
        <w:rPr>
          <w:color w:val="000000"/>
          <w:sz w:val="24"/>
        </w:rPr>
        <w:t xml:space="preserve"> </w:t>
      </w:r>
      <w:r w:rsidRPr="00414367">
        <w:rPr>
          <w:color w:val="000000"/>
          <w:sz w:val="24"/>
        </w:rPr>
        <w:t>的前十大持仓证券。</w:t>
      </w:r>
      <w:r w:rsidRPr="00414367">
        <w:rPr>
          <w:color w:val="000000"/>
          <w:sz w:val="24"/>
        </w:rPr>
        <w:t>2019</w:t>
      </w:r>
      <w:r w:rsidRPr="00414367">
        <w:rPr>
          <w:color w:val="000000"/>
          <w:sz w:val="24"/>
        </w:rPr>
        <w:t>年</w:t>
      </w:r>
      <w:r w:rsidRPr="00414367">
        <w:rPr>
          <w:color w:val="000000"/>
          <w:sz w:val="24"/>
        </w:rPr>
        <w:t>6</w:t>
      </w:r>
      <w:r w:rsidRPr="00414367">
        <w:rPr>
          <w:color w:val="000000"/>
          <w:sz w:val="24"/>
        </w:rPr>
        <w:t>月</w:t>
      </w:r>
      <w:r w:rsidRPr="00414367">
        <w:rPr>
          <w:color w:val="000000"/>
          <w:sz w:val="24"/>
        </w:rPr>
        <w:t>24</w:t>
      </w:r>
      <w:r w:rsidRPr="00414367">
        <w:rPr>
          <w:color w:val="000000"/>
          <w:sz w:val="24"/>
        </w:rPr>
        <w:t>日，中国银行保险监督管理委员会对上海浦东发展银行股份有限公司关于以下违法违规事实：（一）对成都分行授信业务及整改情况严重失察；（二）重大审计发现未向监管部门报告；（三）轮岗制度执行不力，处以罚款</w:t>
      </w:r>
      <w:r w:rsidRPr="00414367">
        <w:rPr>
          <w:color w:val="000000"/>
          <w:sz w:val="24"/>
        </w:rPr>
        <w:t>130</w:t>
      </w:r>
      <w:r w:rsidRPr="00414367">
        <w:rPr>
          <w:color w:val="000000"/>
          <w:sz w:val="24"/>
        </w:rPr>
        <w:t>万元人民币。</w:t>
      </w:r>
      <w:r w:rsidRPr="00414367">
        <w:rPr>
          <w:color w:val="000000"/>
          <w:sz w:val="24"/>
        </w:rPr>
        <w:t>2019</w:t>
      </w:r>
      <w:r w:rsidRPr="00414367">
        <w:rPr>
          <w:color w:val="000000"/>
          <w:sz w:val="24"/>
        </w:rPr>
        <w:t>年</w:t>
      </w:r>
      <w:r w:rsidRPr="00414367">
        <w:rPr>
          <w:color w:val="000000"/>
          <w:sz w:val="24"/>
        </w:rPr>
        <w:t>7</w:t>
      </w:r>
      <w:r w:rsidRPr="00414367">
        <w:rPr>
          <w:color w:val="000000"/>
          <w:sz w:val="24"/>
        </w:rPr>
        <w:t>月</w:t>
      </w:r>
      <w:r w:rsidRPr="00414367">
        <w:rPr>
          <w:color w:val="000000"/>
          <w:sz w:val="24"/>
        </w:rPr>
        <w:t>8</w:t>
      </w:r>
      <w:r w:rsidRPr="00414367">
        <w:rPr>
          <w:color w:val="000000"/>
          <w:sz w:val="24"/>
        </w:rPr>
        <w:t>日，中国银行保险监督管理委员会上海监管局对上海浦东发展银行股份有限公司信用卡中心的如下违法违规行为作出</w:t>
      </w:r>
      <w:r w:rsidRPr="00414367">
        <w:rPr>
          <w:color w:val="000000"/>
          <w:sz w:val="24"/>
        </w:rPr>
        <w:t>“</w:t>
      </w:r>
      <w:r w:rsidRPr="00414367">
        <w:rPr>
          <w:color w:val="000000"/>
          <w:sz w:val="24"/>
        </w:rPr>
        <w:t>责令改正，并处罚款</w:t>
      </w:r>
      <w:r w:rsidRPr="00414367">
        <w:rPr>
          <w:color w:val="000000"/>
          <w:sz w:val="24"/>
        </w:rPr>
        <w:t>30</w:t>
      </w:r>
      <w:r w:rsidRPr="00414367">
        <w:rPr>
          <w:color w:val="000000"/>
          <w:sz w:val="24"/>
        </w:rPr>
        <w:t>万元</w:t>
      </w:r>
      <w:r w:rsidRPr="00414367">
        <w:rPr>
          <w:color w:val="000000"/>
          <w:sz w:val="24"/>
        </w:rPr>
        <w:t>”</w:t>
      </w:r>
      <w:r w:rsidRPr="00414367">
        <w:rPr>
          <w:color w:val="000000"/>
          <w:sz w:val="24"/>
        </w:rPr>
        <w:t>的行政处罚决定：</w:t>
      </w:r>
      <w:r w:rsidRPr="00414367">
        <w:rPr>
          <w:color w:val="000000"/>
          <w:sz w:val="24"/>
        </w:rPr>
        <w:t>2015</w:t>
      </w:r>
      <w:r w:rsidRPr="00414367">
        <w:rPr>
          <w:color w:val="000000"/>
          <w:sz w:val="24"/>
        </w:rPr>
        <w:t>年至</w:t>
      </w:r>
      <w:r w:rsidRPr="00414367">
        <w:rPr>
          <w:color w:val="000000"/>
          <w:sz w:val="24"/>
        </w:rPr>
        <w:t>2018</w:t>
      </w:r>
      <w:r w:rsidRPr="00414367">
        <w:rPr>
          <w:color w:val="000000"/>
          <w:sz w:val="24"/>
        </w:rPr>
        <w:t>年</w:t>
      </w:r>
      <w:r w:rsidRPr="00414367">
        <w:rPr>
          <w:color w:val="000000"/>
          <w:sz w:val="24"/>
        </w:rPr>
        <w:t>6</w:t>
      </w:r>
      <w:r w:rsidRPr="00414367">
        <w:rPr>
          <w:color w:val="000000"/>
          <w:sz w:val="24"/>
        </w:rPr>
        <w:t>月，该中心在为部分客户办理信用卡业务时，对申请人收入核定严重不审慎。</w:t>
      </w:r>
      <w:r w:rsidRPr="00414367">
        <w:rPr>
          <w:color w:val="000000"/>
          <w:sz w:val="24"/>
        </w:rPr>
        <w:t>2019</w:t>
      </w:r>
      <w:r w:rsidRPr="00414367">
        <w:rPr>
          <w:color w:val="000000"/>
          <w:sz w:val="24"/>
        </w:rPr>
        <w:t>年</w:t>
      </w:r>
      <w:r w:rsidRPr="00414367">
        <w:rPr>
          <w:color w:val="000000"/>
          <w:sz w:val="24"/>
        </w:rPr>
        <w:t>12</w:t>
      </w:r>
      <w:r w:rsidRPr="00414367">
        <w:rPr>
          <w:color w:val="000000"/>
          <w:sz w:val="24"/>
        </w:rPr>
        <w:t>月</w:t>
      </w:r>
      <w:r w:rsidRPr="00414367">
        <w:rPr>
          <w:color w:val="000000"/>
          <w:sz w:val="24"/>
        </w:rPr>
        <w:t>3</w:t>
      </w:r>
      <w:r w:rsidRPr="00414367">
        <w:rPr>
          <w:color w:val="000000"/>
          <w:sz w:val="24"/>
        </w:rPr>
        <w:t>日中国银行保险监督管理委员会上海监管局对上海浦东发展银行股份有限公司信用卡中心</w:t>
      </w:r>
      <w:r w:rsidRPr="00414367">
        <w:rPr>
          <w:color w:val="000000"/>
          <w:sz w:val="24"/>
        </w:rPr>
        <w:t>2019</w:t>
      </w:r>
      <w:r w:rsidRPr="00414367">
        <w:rPr>
          <w:color w:val="000000"/>
          <w:sz w:val="24"/>
        </w:rPr>
        <w:t>年</w:t>
      </w:r>
      <w:r w:rsidRPr="00414367">
        <w:rPr>
          <w:color w:val="000000"/>
          <w:sz w:val="24"/>
        </w:rPr>
        <w:t>1</w:t>
      </w:r>
      <w:r w:rsidRPr="00414367">
        <w:rPr>
          <w:color w:val="000000"/>
          <w:sz w:val="24"/>
        </w:rPr>
        <w:t>月信用卡催收外包管理严重违反审慎经营规则的违法违规事实，作出</w:t>
      </w:r>
      <w:r w:rsidRPr="00414367">
        <w:rPr>
          <w:color w:val="000000"/>
          <w:sz w:val="24"/>
        </w:rPr>
        <w:t>“</w:t>
      </w:r>
      <w:r w:rsidRPr="00414367">
        <w:rPr>
          <w:color w:val="000000"/>
          <w:sz w:val="24"/>
        </w:rPr>
        <w:t>责令改正，并处罚款</w:t>
      </w:r>
      <w:r w:rsidRPr="00414367">
        <w:rPr>
          <w:color w:val="000000"/>
          <w:sz w:val="24"/>
        </w:rPr>
        <w:t>50</w:t>
      </w:r>
      <w:r w:rsidRPr="00414367">
        <w:rPr>
          <w:color w:val="000000"/>
          <w:sz w:val="24"/>
        </w:rPr>
        <w:t>万元</w:t>
      </w:r>
      <w:r w:rsidRPr="00414367">
        <w:rPr>
          <w:color w:val="000000"/>
          <w:sz w:val="24"/>
        </w:rPr>
        <w:t>”</w:t>
      </w:r>
      <w:r w:rsidRPr="00414367">
        <w:rPr>
          <w:color w:val="000000"/>
          <w:sz w:val="24"/>
        </w:rPr>
        <w:t>的行政处罚决定。</w:t>
      </w:r>
    </w:p>
    <w:p w:rsidR="00A826D6" w:rsidRDefault="00FE1310">
      <w:pPr>
        <w:widowControl/>
        <w:spacing w:line="360" w:lineRule="auto"/>
        <w:rPr>
          <w:color w:val="000000"/>
          <w:sz w:val="24"/>
        </w:rPr>
      </w:pPr>
      <w:r>
        <w:rPr>
          <w:color w:val="000000"/>
          <w:sz w:val="24"/>
        </w:rPr>
        <w:t>17</w:t>
      </w:r>
      <w:r>
        <w:rPr>
          <w:color w:val="000000"/>
          <w:sz w:val="24"/>
        </w:rPr>
        <w:t>万科</w:t>
      </w:r>
      <w:r>
        <w:rPr>
          <w:color w:val="000000"/>
          <w:sz w:val="24"/>
        </w:rPr>
        <w:t>01</w:t>
      </w:r>
      <w:r>
        <w:rPr>
          <w:color w:val="000000"/>
          <w:sz w:val="24"/>
        </w:rPr>
        <w:t>（代码：</w:t>
      </w:r>
      <w:r>
        <w:rPr>
          <w:color w:val="000000"/>
          <w:sz w:val="24"/>
        </w:rPr>
        <w:t>112546</w:t>
      </w:r>
      <w:r>
        <w:rPr>
          <w:color w:val="000000"/>
          <w:sz w:val="24"/>
        </w:rPr>
        <w:t>）是易方达双债增强债券型证券投资基金的前十大持仓证券。</w:t>
      </w:r>
      <w:r>
        <w:rPr>
          <w:color w:val="000000"/>
          <w:sz w:val="24"/>
        </w:rPr>
        <w:t>2019</w:t>
      </w:r>
      <w:r>
        <w:rPr>
          <w:color w:val="000000"/>
          <w:sz w:val="24"/>
        </w:rPr>
        <w:t>年</w:t>
      </w:r>
      <w:r>
        <w:rPr>
          <w:color w:val="000000"/>
          <w:sz w:val="24"/>
        </w:rPr>
        <w:t>6</w:t>
      </w:r>
      <w:r>
        <w:rPr>
          <w:color w:val="000000"/>
          <w:sz w:val="24"/>
        </w:rPr>
        <w:t>月</w:t>
      </w:r>
      <w:r>
        <w:rPr>
          <w:color w:val="000000"/>
          <w:sz w:val="24"/>
        </w:rPr>
        <w:t>26</w:t>
      </w:r>
      <w:r>
        <w:rPr>
          <w:color w:val="000000"/>
          <w:sz w:val="24"/>
        </w:rPr>
        <w:t>日，国家外汇管理局深圳市分局对万科企业股份有限公司违反外汇登记管理规定的行为，作出警告并罚款</w:t>
      </w:r>
      <w:r>
        <w:rPr>
          <w:color w:val="000000"/>
          <w:sz w:val="24"/>
        </w:rPr>
        <w:t>5</w:t>
      </w:r>
      <w:r>
        <w:rPr>
          <w:color w:val="000000"/>
          <w:sz w:val="24"/>
        </w:rPr>
        <w:t>万元的处罚</w:t>
      </w:r>
      <w:r>
        <w:rPr>
          <w:color w:val="000000"/>
          <w:sz w:val="24"/>
        </w:rPr>
        <w:t>决定。</w:t>
      </w:r>
    </w:p>
    <w:p w:rsidR="00A826D6" w:rsidRDefault="00FE1310">
      <w:pPr>
        <w:widowControl/>
        <w:spacing w:line="360" w:lineRule="auto"/>
        <w:rPr>
          <w:color w:val="000000"/>
          <w:sz w:val="24"/>
        </w:rPr>
      </w:pPr>
      <w:r>
        <w:rPr>
          <w:color w:val="000000"/>
          <w:sz w:val="24"/>
        </w:rPr>
        <w:t>光大转债（代码：</w:t>
      </w:r>
      <w:r>
        <w:rPr>
          <w:color w:val="000000"/>
          <w:sz w:val="24"/>
        </w:rPr>
        <w:t>113011</w:t>
      </w:r>
      <w:r>
        <w:rPr>
          <w:color w:val="000000"/>
          <w:sz w:val="24"/>
        </w:rPr>
        <w:t>）是易方达双债增强债券型证券投资基金的前十大持仓证券。</w:t>
      </w:r>
      <w:r>
        <w:rPr>
          <w:color w:val="000000"/>
          <w:sz w:val="24"/>
        </w:rPr>
        <w:t>2019</w:t>
      </w:r>
      <w:r>
        <w:rPr>
          <w:color w:val="000000"/>
          <w:sz w:val="24"/>
        </w:rPr>
        <w:t>年</w:t>
      </w:r>
      <w:r>
        <w:rPr>
          <w:color w:val="000000"/>
          <w:sz w:val="24"/>
        </w:rPr>
        <w:t>12</w:t>
      </w:r>
      <w:r>
        <w:rPr>
          <w:color w:val="000000"/>
          <w:sz w:val="24"/>
        </w:rPr>
        <w:t>月</w:t>
      </w:r>
      <w:r>
        <w:rPr>
          <w:color w:val="000000"/>
          <w:sz w:val="24"/>
        </w:rPr>
        <w:t>27</w:t>
      </w:r>
      <w:r>
        <w:rPr>
          <w:color w:val="000000"/>
          <w:sz w:val="24"/>
        </w:rPr>
        <w:t>日，中国银行保险监督管理委员会对中国光大银行股份有限公司的如下违法违规行为作出</w:t>
      </w:r>
      <w:r>
        <w:rPr>
          <w:color w:val="000000"/>
          <w:sz w:val="24"/>
        </w:rPr>
        <w:t>“</w:t>
      </w:r>
      <w:r>
        <w:rPr>
          <w:color w:val="000000"/>
          <w:sz w:val="24"/>
        </w:rPr>
        <w:t>罚款</w:t>
      </w:r>
      <w:r>
        <w:rPr>
          <w:color w:val="000000"/>
          <w:sz w:val="24"/>
        </w:rPr>
        <w:t>180</w:t>
      </w:r>
      <w:r>
        <w:rPr>
          <w:color w:val="000000"/>
          <w:sz w:val="24"/>
        </w:rPr>
        <w:t>万元</w:t>
      </w:r>
      <w:r>
        <w:rPr>
          <w:color w:val="000000"/>
          <w:sz w:val="24"/>
        </w:rPr>
        <w:t>”</w:t>
      </w:r>
      <w:r>
        <w:rPr>
          <w:color w:val="000000"/>
          <w:sz w:val="24"/>
        </w:rPr>
        <w:t>的行政处罚决定：</w:t>
      </w:r>
      <w:r>
        <w:rPr>
          <w:color w:val="000000"/>
          <w:sz w:val="24"/>
        </w:rPr>
        <w:t>1</w:t>
      </w:r>
      <w:r>
        <w:rPr>
          <w:color w:val="000000"/>
          <w:sz w:val="24"/>
        </w:rPr>
        <w:t>、授信审批不审慎；</w:t>
      </w:r>
      <w:r>
        <w:rPr>
          <w:color w:val="000000"/>
          <w:sz w:val="24"/>
        </w:rPr>
        <w:t>2</w:t>
      </w:r>
      <w:r>
        <w:rPr>
          <w:color w:val="000000"/>
          <w:sz w:val="24"/>
        </w:rPr>
        <w:t>、为还款来源不清晰的项目办理业务；</w:t>
      </w:r>
      <w:r>
        <w:rPr>
          <w:color w:val="000000"/>
          <w:sz w:val="24"/>
        </w:rPr>
        <w:t>3</w:t>
      </w:r>
      <w:r>
        <w:rPr>
          <w:color w:val="000000"/>
          <w:sz w:val="24"/>
        </w:rPr>
        <w:t>、总行对分支机构管控不力承担管理责任。</w:t>
      </w:r>
    </w:p>
    <w:p w:rsidR="00A826D6" w:rsidRDefault="00FE1310">
      <w:pPr>
        <w:widowControl/>
        <w:spacing w:line="360" w:lineRule="auto"/>
        <w:rPr>
          <w:color w:val="000000"/>
          <w:sz w:val="24"/>
        </w:rPr>
      </w:pPr>
      <w:r>
        <w:rPr>
          <w:color w:val="000000"/>
          <w:sz w:val="24"/>
        </w:rPr>
        <w:t>本基金投资浦发转债、</w:t>
      </w:r>
      <w:r>
        <w:rPr>
          <w:color w:val="000000"/>
          <w:sz w:val="24"/>
        </w:rPr>
        <w:t>17</w:t>
      </w:r>
      <w:r>
        <w:rPr>
          <w:color w:val="000000"/>
          <w:sz w:val="24"/>
        </w:rPr>
        <w:t>万科</w:t>
      </w:r>
      <w:r>
        <w:rPr>
          <w:color w:val="000000"/>
          <w:sz w:val="24"/>
        </w:rPr>
        <w:t>01</w:t>
      </w:r>
      <w:r>
        <w:rPr>
          <w:color w:val="000000"/>
          <w:sz w:val="24"/>
        </w:rPr>
        <w:t>、光大转债的投资决策程序符合公司投资制度的规定。</w:t>
      </w:r>
    </w:p>
    <w:p w:rsidR="00A826D6" w:rsidRDefault="00FE1310">
      <w:pPr>
        <w:widowControl/>
        <w:spacing w:line="360" w:lineRule="auto"/>
        <w:rPr>
          <w:color w:val="000000"/>
          <w:sz w:val="24"/>
        </w:rPr>
      </w:pPr>
      <w:r>
        <w:rPr>
          <w:color w:val="000000"/>
          <w:sz w:val="24"/>
        </w:rPr>
        <w:t>除浦发转债、</w:t>
      </w:r>
      <w:r>
        <w:rPr>
          <w:color w:val="000000"/>
          <w:sz w:val="24"/>
        </w:rPr>
        <w:t>17</w:t>
      </w:r>
      <w:r>
        <w:rPr>
          <w:color w:val="000000"/>
          <w:sz w:val="24"/>
        </w:rPr>
        <w:t>万科</w:t>
      </w:r>
      <w:r>
        <w:rPr>
          <w:color w:val="000000"/>
          <w:sz w:val="24"/>
        </w:rPr>
        <w:t>01</w:t>
      </w:r>
      <w:r>
        <w:rPr>
          <w:color w:val="000000"/>
          <w:sz w:val="24"/>
        </w:rPr>
        <w:t>、光大转债外，本基金投资的前十名证券的发行主体本期没有出现被监管部门立案调查，或在报告</w:t>
      </w:r>
      <w:r>
        <w:rPr>
          <w:color w:val="000000"/>
          <w:sz w:val="24"/>
        </w:rPr>
        <w:t>编制日前一年内受到公开谴责、处罚的情形。</w:t>
      </w:r>
    </w:p>
    <w:p w:rsidR="00F016DD" w:rsidRPr="00414367" w:rsidRDefault="00F016DD" w:rsidP="006456D3">
      <w:pPr>
        <w:widowControl/>
        <w:spacing w:line="360" w:lineRule="auto"/>
        <w:rPr>
          <w:color w:val="000000"/>
          <w:sz w:val="24"/>
        </w:rPr>
      </w:pPr>
      <w:r w:rsidRPr="00414367">
        <w:rPr>
          <w:color w:val="000000"/>
          <w:sz w:val="24"/>
        </w:rPr>
        <w:t>5.11.2</w:t>
      </w:r>
      <w:r w:rsidRPr="00414367">
        <w:rPr>
          <w:color w:val="000000"/>
          <w:sz w:val="24"/>
        </w:rPr>
        <w:t>本基金投资的前十名股票没有超出基金合同规定的备选股票库。</w:t>
      </w:r>
    </w:p>
    <w:p w:rsidR="00F016DD" w:rsidRPr="00414367" w:rsidRDefault="00F016DD" w:rsidP="001D5CD0">
      <w:pPr>
        <w:autoSpaceDE w:val="0"/>
        <w:autoSpaceDN w:val="0"/>
        <w:adjustRightInd w:val="0"/>
        <w:spacing w:line="360" w:lineRule="auto"/>
        <w:rPr>
          <w:kern w:val="0"/>
          <w:sz w:val="24"/>
        </w:rPr>
      </w:pPr>
      <w:r w:rsidRPr="00414367">
        <w:rPr>
          <w:kern w:val="0"/>
          <w:sz w:val="24"/>
        </w:rPr>
        <w:t>5.11.3</w:t>
      </w:r>
      <w:r w:rsidRPr="00414367">
        <w:rPr>
          <w:kern w:val="0"/>
          <w:sz w:val="24"/>
        </w:rP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761"/>
        <w:gridCol w:w="4808"/>
      </w:tblGrid>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w="2761"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w="4808" w:type="dxa"/>
            <w:vAlign w:val="center"/>
          </w:tcPr>
          <w:p w:rsidR="00F016DD" w:rsidRPr="00FA472B" w:rsidRDefault="00F016DD" w:rsidP="00F4518C">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13,441.87</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2</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748,498.12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3</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4</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1,838,664.62</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5</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15,961,341.26</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6</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7</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sz w:val="24"/>
              </w:rPr>
            </w:pPr>
            <w:r w:rsidRPr="00FA472B">
              <w:rPr>
                <w:color w:val="00000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8</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w:t>
            </w:r>
          </w:p>
        </w:tc>
      </w:tr>
      <w:tr w:rsidR="00F016DD" w:rsidRPr="00E85E29" w:rsidTr="00F4518C">
        <w:tc>
          <w:tcPr>
            <w:tcW w:w="944" w:type="dxa"/>
            <w:vAlign w:val="center"/>
          </w:tcPr>
          <w:p w:rsidR="00F016DD" w:rsidRPr="00FA472B" w:rsidRDefault="00F016DD" w:rsidP="00F4518C">
            <w:pPr>
              <w:autoSpaceDE w:val="0"/>
              <w:autoSpaceDN w:val="0"/>
              <w:adjustRightInd w:val="0"/>
              <w:spacing w:before="29" w:line="360" w:lineRule="auto"/>
              <w:ind w:left="15"/>
              <w:jc w:val="center"/>
              <w:rPr>
                <w:color w:val="000000"/>
                <w:sz w:val="24"/>
              </w:rPr>
            </w:pPr>
            <w:r w:rsidRPr="00FA472B">
              <w:rPr>
                <w:color w:val="000000"/>
                <w:sz w:val="24"/>
              </w:rPr>
              <w:t>9</w:t>
            </w:r>
          </w:p>
        </w:tc>
        <w:tc>
          <w:tcPr>
            <w:tcW w:w="2761" w:type="dxa"/>
            <w:vAlign w:val="center"/>
          </w:tcPr>
          <w:p w:rsidR="00F016DD" w:rsidRPr="00FA472B" w:rsidRDefault="00F016DD" w:rsidP="00F4518C">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w="4808" w:type="dxa"/>
            <w:vAlign w:val="center"/>
          </w:tcPr>
          <w:p w:rsidR="00F016DD" w:rsidRPr="00FA472B" w:rsidRDefault="00F016DD" w:rsidP="00F4518C">
            <w:pPr>
              <w:autoSpaceDE w:val="0"/>
              <w:autoSpaceDN w:val="0"/>
              <w:adjustRightInd w:val="0"/>
              <w:spacing w:before="29" w:line="360" w:lineRule="auto"/>
              <w:ind w:left="15"/>
              <w:jc w:val="right"/>
              <w:rPr>
                <w:color w:val="000000"/>
                <w:kern w:val="0"/>
                <w:sz w:val="24"/>
              </w:rPr>
            </w:pPr>
            <w:r w:rsidRPr="00FA472B">
              <w:rPr>
                <w:color w:val="000000"/>
                <w:kern w:val="0"/>
                <w:sz w:val="24"/>
              </w:rPr>
              <w:t>18,561,945.87</w:t>
            </w:r>
          </w:p>
        </w:tc>
      </w:tr>
    </w:tbl>
    <w:p w:rsidR="00F016DD" w:rsidRPr="00E7356F" w:rsidRDefault="00F016DD" w:rsidP="001D5CD0">
      <w:pPr>
        <w:autoSpaceDE w:val="0"/>
        <w:autoSpaceDN w:val="0"/>
        <w:adjustRightInd w:val="0"/>
        <w:spacing w:line="360" w:lineRule="auto"/>
        <w:jc w:val="left"/>
        <w:rPr>
          <w:rFonts w:ascii="宋体" w:cs="Arial"/>
          <w:kern w:val="0"/>
          <w:sz w:val="24"/>
        </w:rPr>
      </w:pPr>
      <w:r w:rsidRPr="00E7356F">
        <w:rPr>
          <w:rFonts w:ascii="宋体" w:hAnsi="宋体" w:cs="Arial"/>
          <w:kern w:val="0"/>
          <w:sz w:val="24"/>
        </w:rPr>
        <w:t>5.11.4</w:t>
      </w:r>
      <w:r w:rsidRPr="00E7356F">
        <w:rPr>
          <w:rFonts w:ascii="宋体" w:hAnsi="宋体" w:cs="Arial" w:hint="eastAsia"/>
          <w:kern w:val="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2624"/>
        <w:gridCol w:w="1766"/>
        <w:gridCol w:w="1832"/>
        <w:gridCol w:w="1719"/>
      </w:tblGrid>
      <w:tr w:rsidR="00F016DD" w:rsidRPr="00E85E29" w:rsidTr="00F4518C">
        <w:tc>
          <w:tcPr>
            <w:tcW w:w="944"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序号</w:t>
            </w:r>
          </w:p>
        </w:tc>
        <w:tc>
          <w:tcPr>
            <w:tcW w:w="2568"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债券代码</w:t>
            </w:r>
          </w:p>
        </w:tc>
        <w:tc>
          <w:tcPr>
            <w:tcW w:w="1665"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债券名称</w:t>
            </w:r>
          </w:p>
        </w:tc>
        <w:tc>
          <w:tcPr>
            <w:tcW w:w="1727"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w="1609" w:type="dxa"/>
            <w:vAlign w:val="center"/>
          </w:tcPr>
          <w:p w:rsidR="00F016DD" w:rsidRPr="00414367" w:rsidRDefault="00F016DD" w:rsidP="00F4518C">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rsidR="00A826D6">
        <w:tc>
          <w:tcPr>
            <w:tcW w:w="0" w:type="auto"/>
            <w:vAlign w:val="center"/>
          </w:tcPr>
          <w:p w:rsidR="00A826D6" w:rsidRDefault="00FE1310">
            <w:pPr>
              <w:jc w:val="center"/>
            </w:pPr>
            <w:r>
              <w:rPr>
                <w:color w:val="000000"/>
                <w:sz w:val="24"/>
              </w:rPr>
              <w:t>1</w:t>
            </w:r>
          </w:p>
        </w:tc>
        <w:tc>
          <w:tcPr>
            <w:tcW w:w="0" w:type="auto"/>
            <w:vAlign w:val="center"/>
          </w:tcPr>
          <w:p w:rsidR="00A826D6" w:rsidRDefault="00FE1310">
            <w:pPr>
              <w:jc w:val="center"/>
            </w:pPr>
            <w:r>
              <w:rPr>
                <w:color w:val="000000"/>
                <w:sz w:val="24"/>
              </w:rPr>
              <w:t>132004</w:t>
            </w:r>
          </w:p>
        </w:tc>
        <w:tc>
          <w:tcPr>
            <w:tcW w:w="0" w:type="auto"/>
            <w:vAlign w:val="center"/>
          </w:tcPr>
          <w:p w:rsidR="00A826D6" w:rsidRDefault="00FE1310">
            <w:pPr>
              <w:jc w:val="center"/>
            </w:pPr>
            <w:r>
              <w:rPr>
                <w:color w:val="000000"/>
                <w:sz w:val="24"/>
              </w:rPr>
              <w:t>15</w:t>
            </w:r>
            <w:r>
              <w:rPr>
                <w:color w:val="000000"/>
                <w:sz w:val="24"/>
              </w:rPr>
              <w:t>国盛</w:t>
            </w:r>
            <w:r>
              <w:rPr>
                <w:color w:val="000000"/>
                <w:sz w:val="24"/>
              </w:rPr>
              <w:t>EB</w:t>
            </w:r>
          </w:p>
        </w:tc>
        <w:tc>
          <w:tcPr>
            <w:tcW w:w="0" w:type="auto"/>
            <w:vAlign w:val="center"/>
          </w:tcPr>
          <w:p w:rsidR="00A826D6" w:rsidRDefault="00FE1310">
            <w:pPr>
              <w:jc w:val="right"/>
            </w:pPr>
            <w:r>
              <w:rPr>
                <w:color w:val="000000"/>
                <w:sz w:val="24"/>
              </w:rPr>
              <w:t>18,490,260.00</w:t>
            </w:r>
          </w:p>
        </w:tc>
        <w:tc>
          <w:tcPr>
            <w:tcW w:w="0" w:type="auto"/>
            <w:vAlign w:val="center"/>
          </w:tcPr>
          <w:p w:rsidR="00A826D6" w:rsidRDefault="00FE1310">
            <w:pPr>
              <w:jc w:val="right"/>
            </w:pPr>
            <w:r>
              <w:rPr>
                <w:color w:val="000000"/>
                <w:sz w:val="24"/>
              </w:rPr>
              <w:t>5.22</w:t>
            </w:r>
          </w:p>
        </w:tc>
      </w:tr>
      <w:tr w:rsidR="00A826D6">
        <w:tc>
          <w:tcPr>
            <w:tcW w:w="0" w:type="auto"/>
            <w:vAlign w:val="center"/>
          </w:tcPr>
          <w:p w:rsidR="00A826D6" w:rsidRDefault="00FE1310">
            <w:pPr>
              <w:jc w:val="center"/>
            </w:pPr>
            <w:r>
              <w:rPr>
                <w:color w:val="000000"/>
                <w:sz w:val="24"/>
              </w:rPr>
              <w:t>2</w:t>
            </w:r>
          </w:p>
        </w:tc>
        <w:tc>
          <w:tcPr>
            <w:tcW w:w="0" w:type="auto"/>
            <w:vAlign w:val="center"/>
          </w:tcPr>
          <w:p w:rsidR="00A826D6" w:rsidRDefault="00FE1310">
            <w:pPr>
              <w:jc w:val="center"/>
            </w:pPr>
            <w:r>
              <w:rPr>
                <w:color w:val="000000"/>
                <w:sz w:val="24"/>
              </w:rPr>
              <w:t>113011</w:t>
            </w:r>
          </w:p>
        </w:tc>
        <w:tc>
          <w:tcPr>
            <w:tcW w:w="0" w:type="auto"/>
            <w:vAlign w:val="center"/>
          </w:tcPr>
          <w:p w:rsidR="00A826D6" w:rsidRDefault="00FE1310">
            <w:pPr>
              <w:jc w:val="center"/>
            </w:pPr>
            <w:r>
              <w:rPr>
                <w:color w:val="000000"/>
                <w:sz w:val="24"/>
              </w:rPr>
              <w:t>光大转债</w:t>
            </w:r>
          </w:p>
        </w:tc>
        <w:tc>
          <w:tcPr>
            <w:tcW w:w="0" w:type="auto"/>
            <w:vAlign w:val="center"/>
          </w:tcPr>
          <w:p w:rsidR="00A826D6" w:rsidRDefault="00FE1310">
            <w:pPr>
              <w:jc w:val="right"/>
            </w:pPr>
            <w:r>
              <w:rPr>
                <w:color w:val="000000"/>
                <w:sz w:val="24"/>
              </w:rPr>
              <w:t>12,811,308.20</w:t>
            </w:r>
          </w:p>
        </w:tc>
        <w:tc>
          <w:tcPr>
            <w:tcW w:w="0" w:type="auto"/>
            <w:vAlign w:val="center"/>
          </w:tcPr>
          <w:p w:rsidR="00A826D6" w:rsidRDefault="00FE1310">
            <w:pPr>
              <w:jc w:val="right"/>
            </w:pPr>
            <w:r>
              <w:rPr>
                <w:color w:val="000000"/>
                <w:sz w:val="24"/>
              </w:rPr>
              <w:t>3.62</w:t>
            </w:r>
          </w:p>
        </w:tc>
      </w:tr>
      <w:tr w:rsidR="00A826D6">
        <w:tc>
          <w:tcPr>
            <w:tcW w:w="0" w:type="auto"/>
            <w:vAlign w:val="center"/>
          </w:tcPr>
          <w:p w:rsidR="00A826D6" w:rsidRDefault="00FE1310">
            <w:pPr>
              <w:jc w:val="center"/>
            </w:pPr>
            <w:r>
              <w:rPr>
                <w:color w:val="000000"/>
                <w:sz w:val="24"/>
              </w:rPr>
              <w:t>3</w:t>
            </w:r>
          </w:p>
        </w:tc>
        <w:tc>
          <w:tcPr>
            <w:tcW w:w="0" w:type="auto"/>
            <w:vAlign w:val="center"/>
          </w:tcPr>
          <w:p w:rsidR="00A826D6" w:rsidRDefault="00FE1310">
            <w:pPr>
              <w:jc w:val="center"/>
            </w:pPr>
            <w:r>
              <w:rPr>
                <w:color w:val="000000"/>
                <w:sz w:val="24"/>
              </w:rPr>
              <w:t>123019</w:t>
            </w:r>
          </w:p>
        </w:tc>
        <w:tc>
          <w:tcPr>
            <w:tcW w:w="0" w:type="auto"/>
            <w:vAlign w:val="center"/>
          </w:tcPr>
          <w:p w:rsidR="00A826D6" w:rsidRDefault="00FE1310">
            <w:pPr>
              <w:jc w:val="center"/>
            </w:pPr>
            <w:r>
              <w:rPr>
                <w:color w:val="000000"/>
                <w:sz w:val="24"/>
              </w:rPr>
              <w:t>中来转债</w:t>
            </w:r>
          </w:p>
        </w:tc>
        <w:tc>
          <w:tcPr>
            <w:tcW w:w="0" w:type="auto"/>
            <w:vAlign w:val="center"/>
          </w:tcPr>
          <w:p w:rsidR="00A826D6" w:rsidRDefault="00FE1310">
            <w:pPr>
              <w:jc w:val="right"/>
            </w:pPr>
            <w:r>
              <w:rPr>
                <w:color w:val="000000"/>
                <w:sz w:val="24"/>
              </w:rPr>
              <w:t>12,717,465.87</w:t>
            </w:r>
          </w:p>
        </w:tc>
        <w:tc>
          <w:tcPr>
            <w:tcW w:w="0" w:type="auto"/>
            <w:vAlign w:val="center"/>
          </w:tcPr>
          <w:p w:rsidR="00A826D6" w:rsidRDefault="00FE1310">
            <w:pPr>
              <w:jc w:val="right"/>
            </w:pPr>
            <w:r>
              <w:rPr>
                <w:color w:val="000000"/>
                <w:sz w:val="24"/>
              </w:rPr>
              <w:t>3.59</w:t>
            </w:r>
          </w:p>
        </w:tc>
      </w:tr>
      <w:tr w:rsidR="00A826D6">
        <w:tc>
          <w:tcPr>
            <w:tcW w:w="0" w:type="auto"/>
            <w:vAlign w:val="center"/>
          </w:tcPr>
          <w:p w:rsidR="00A826D6" w:rsidRDefault="00FE1310">
            <w:pPr>
              <w:jc w:val="center"/>
            </w:pPr>
            <w:r>
              <w:rPr>
                <w:color w:val="000000"/>
                <w:sz w:val="24"/>
              </w:rPr>
              <w:t>4</w:t>
            </w:r>
          </w:p>
        </w:tc>
        <w:tc>
          <w:tcPr>
            <w:tcW w:w="0" w:type="auto"/>
            <w:vAlign w:val="center"/>
          </w:tcPr>
          <w:p w:rsidR="00A826D6" w:rsidRDefault="00FE1310">
            <w:pPr>
              <w:jc w:val="center"/>
            </w:pPr>
            <w:r>
              <w:rPr>
                <w:color w:val="000000"/>
                <w:sz w:val="24"/>
              </w:rPr>
              <w:t>110031</w:t>
            </w:r>
          </w:p>
        </w:tc>
        <w:tc>
          <w:tcPr>
            <w:tcW w:w="0" w:type="auto"/>
            <w:vAlign w:val="center"/>
          </w:tcPr>
          <w:p w:rsidR="00A826D6" w:rsidRDefault="00FE1310">
            <w:pPr>
              <w:jc w:val="center"/>
            </w:pPr>
            <w:r>
              <w:rPr>
                <w:color w:val="000000"/>
                <w:sz w:val="24"/>
              </w:rPr>
              <w:t>航信转债</w:t>
            </w:r>
          </w:p>
        </w:tc>
        <w:tc>
          <w:tcPr>
            <w:tcW w:w="0" w:type="auto"/>
            <w:vAlign w:val="center"/>
          </w:tcPr>
          <w:p w:rsidR="00A826D6" w:rsidRDefault="00FE1310">
            <w:pPr>
              <w:jc w:val="right"/>
            </w:pPr>
            <w:r>
              <w:rPr>
                <w:color w:val="000000"/>
                <w:sz w:val="24"/>
              </w:rPr>
              <w:t>11,698,447.80</w:t>
            </w:r>
          </w:p>
        </w:tc>
        <w:tc>
          <w:tcPr>
            <w:tcW w:w="0" w:type="auto"/>
            <w:vAlign w:val="center"/>
          </w:tcPr>
          <w:p w:rsidR="00A826D6" w:rsidRDefault="00FE1310">
            <w:pPr>
              <w:jc w:val="right"/>
            </w:pPr>
            <w:r>
              <w:rPr>
                <w:color w:val="000000"/>
                <w:sz w:val="24"/>
              </w:rPr>
              <w:t>3.30</w:t>
            </w:r>
          </w:p>
        </w:tc>
      </w:tr>
      <w:tr w:rsidR="00A826D6">
        <w:tc>
          <w:tcPr>
            <w:tcW w:w="0" w:type="auto"/>
            <w:vAlign w:val="center"/>
          </w:tcPr>
          <w:p w:rsidR="00A826D6" w:rsidRDefault="00FE1310">
            <w:pPr>
              <w:jc w:val="center"/>
            </w:pPr>
            <w:r>
              <w:rPr>
                <w:color w:val="000000"/>
                <w:sz w:val="24"/>
              </w:rPr>
              <w:t>5</w:t>
            </w:r>
          </w:p>
        </w:tc>
        <w:tc>
          <w:tcPr>
            <w:tcW w:w="0" w:type="auto"/>
            <w:vAlign w:val="center"/>
          </w:tcPr>
          <w:p w:rsidR="00A826D6" w:rsidRDefault="00FE1310">
            <w:pPr>
              <w:jc w:val="center"/>
            </w:pPr>
            <w:r>
              <w:rPr>
                <w:color w:val="000000"/>
                <w:sz w:val="24"/>
              </w:rPr>
              <w:t>123021</w:t>
            </w:r>
          </w:p>
        </w:tc>
        <w:tc>
          <w:tcPr>
            <w:tcW w:w="0" w:type="auto"/>
            <w:vAlign w:val="center"/>
          </w:tcPr>
          <w:p w:rsidR="00A826D6" w:rsidRDefault="00FE1310">
            <w:pPr>
              <w:jc w:val="center"/>
            </w:pPr>
            <w:r>
              <w:rPr>
                <w:color w:val="000000"/>
                <w:sz w:val="24"/>
              </w:rPr>
              <w:t>万信转</w:t>
            </w:r>
            <w:r>
              <w:rPr>
                <w:color w:val="000000"/>
                <w:sz w:val="24"/>
              </w:rPr>
              <w:t>2</w:t>
            </w:r>
          </w:p>
        </w:tc>
        <w:tc>
          <w:tcPr>
            <w:tcW w:w="0" w:type="auto"/>
            <w:vAlign w:val="center"/>
          </w:tcPr>
          <w:p w:rsidR="00A826D6" w:rsidRDefault="00FE1310">
            <w:pPr>
              <w:jc w:val="right"/>
            </w:pPr>
            <w:r>
              <w:rPr>
                <w:color w:val="000000"/>
                <w:sz w:val="24"/>
              </w:rPr>
              <w:t>10,826,105.85</w:t>
            </w:r>
          </w:p>
        </w:tc>
        <w:tc>
          <w:tcPr>
            <w:tcW w:w="0" w:type="auto"/>
            <w:vAlign w:val="center"/>
          </w:tcPr>
          <w:p w:rsidR="00A826D6" w:rsidRDefault="00FE1310">
            <w:pPr>
              <w:jc w:val="right"/>
            </w:pPr>
            <w:r>
              <w:rPr>
                <w:color w:val="000000"/>
                <w:sz w:val="24"/>
              </w:rPr>
              <w:t>3.06</w:t>
            </w:r>
          </w:p>
        </w:tc>
      </w:tr>
      <w:tr w:rsidR="00A826D6">
        <w:tc>
          <w:tcPr>
            <w:tcW w:w="0" w:type="auto"/>
            <w:vAlign w:val="center"/>
          </w:tcPr>
          <w:p w:rsidR="00A826D6" w:rsidRDefault="00FE1310">
            <w:pPr>
              <w:jc w:val="center"/>
            </w:pPr>
            <w:r>
              <w:rPr>
                <w:color w:val="000000"/>
                <w:sz w:val="24"/>
              </w:rPr>
              <w:t>6</w:t>
            </w:r>
          </w:p>
        </w:tc>
        <w:tc>
          <w:tcPr>
            <w:tcW w:w="0" w:type="auto"/>
            <w:vAlign w:val="center"/>
          </w:tcPr>
          <w:p w:rsidR="00A826D6" w:rsidRDefault="00FE1310">
            <w:pPr>
              <w:jc w:val="center"/>
            </w:pPr>
            <w:r>
              <w:rPr>
                <w:color w:val="000000"/>
                <w:sz w:val="24"/>
              </w:rPr>
              <w:t>123009</w:t>
            </w:r>
          </w:p>
        </w:tc>
        <w:tc>
          <w:tcPr>
            <w:tcW w:w="0" w:type="auto"/>
            <w:vAlign w:val="center"/>
          </w:tcPr>
          <w:p w:rsidR="00A826D6" w:rsidRDefault="00FE1310">
            <w:pPr>
              <w:jc w:val="center"/>
            </w:pPr>
            <w:r>
              <w:rPr>
                <w:color w:val="000000"/>
                <w:sz w:val="24"/>
              </w:rPr>
              <w:t>星源转债</w:t>
            </w:r>
          </w:p>
        </w:tc>
        <w:tc>
          <w:tcPr>
            <w:tcW w:w="0" w:type="auto"/>
            <w:vAlign w:val="center"/>
          </w:tcPr>
          <w:p w:rsidR="00A826D6" w:rsidRDefault="00FE1310">
            <w:pPr>
              <w:jc w:val="right"/>
            </w:pPr>
            <w:r>
              <w:rPr>
                <w:color w:val="000000"/>
                <w:sz w:val="24"/>
              </w:rPr>
              <w:t>9,667,876.20</w:t>
            </w:r>
          </w:p>
        </w:tc>
        <w:tc>
          <w:tcPr>
            <w:tcW w:w="0" w:type="auto"/>
            <w:vAlign w:val="center"/>
          </w:tcPr>
          <w:p w:rsidR="00A826D6" w:rsidRDefault="00FE1310">
            <w:pPr>
              <w:jc w:val="right"/>
            </w:pPr>
            <w:r>
              <w:rPr>
                <w:color w:val="000000"/>
                <w:sz w:val="24"/>
              </w:rPr>
              <w:t>2.73</w:t>
            </w:r>
          </w:p>
        </w:tc>
      </w:tr>
      <w:tr w:rsidR="00A826D6">
        <w:tc>
          <w:tcPr>
            <w:tcW w:w="0" w:type="auto"/>
            <w:vAlign w:val="center"/>
          </w:tcPr>
          <w:p w:rsidR="00A826D6" w:rsidRDefault="00FE1310">
            <w:pPr>
              <w:jc w:val="center"/>
            </w:pPr>
            <w:r>
              <w:rPr>
                <w:color w:val="000000"/>
                <w:sz w:val="24"/>
              </w:rPr>
              <w:t>7</w:t>
            </w:r>
          </w:p>
        </w:tc>
        <w:tc>
          <w:tcPr>
            <w:tcW w:w="0" w:type="auto"/>
            <w:vAlign w:val="center"/>
          </w:tcPr>
          <w:p w:rsidR="00A826D6" w:rsidRDefault="00FE1310">
            <w:pPr>
              <w:jc w:val="center"/>
            </w:pPr>
            <w:r>
              <w:rPr>
                <w:color w:val="000000"/>
                <w:sz w:val="24"/>
              </w:rPr>
              <w:t>123023</w:t>
            </w:r>
          </w:p>
        </w:tc>
        <w:tc>
          <w:tcPr>
            <w:tcW w:w="0" w:type="auto"/>
            <w:vAlign w:val="center"/>
          </w:tcPr>
          <w:p w:rsidR="00A826D6" w:rsidRDefault="00FE1310">
            <w:pPr>
              <w:jc w:val="center"/>
            </w:pPr>
            <w:r>
              <w:rPr>
                <w:color w:val="000000"/>
                <w:sz w:val="24"/>
              </w:rPr>
              <w:t>迪森转债</w:t>
            </w:r>
          </w:p>
        </w:tc>
        <w:tc>
          <w:tcPr>
            <w:tcW w:w="0" w:type="auto"/>
            <w:vAlign w:val="center"/>
          </w:tcPr>
          <w:p w:rsidR="00A826D6" w:rsidRDefault="00FE1310">
            <w:pPr>
              <w:jc w:val="right"/>
            </w:pPr>
            <w:r>
              <w:rPr>
                <w:color w:val="000000"/>
                <w:sz w:val="24"/>
              </w:rPr>
              <w:t>9,104,706.05</w:t>
            </w:r>
          </w:p>
        </w:tc>
        <w:tc>
          <w:tcPr>
            <w:tcW w:w="0" w:type="auto"/>
            <w:vAlign w:val="center"/>
          </w:tcPr>
          <w:p w:rsidR="00A826D6" w:rsidRDefault="00FE1310">
            <w:pPr>
              <w:jc w:val="right"/>
            </w:pPr>
            <w:r>
              <w:rPr>
                <w:color w:val="000000"/>
                <w:sz w:val="24"/>
              </w:rPr>
              <w:t>2.57</w:t>
            </w:r>
          </w:p>
        </w:tc>
      </w:tr>
      <w:tr w:rsidR="00A826D6">
        <w:tc>
          <w:tcPr>
            <w:tcW w:w="0" w:type="auto"/>
            <w:vAlign w:val="center"/>
          </w:tcPr>
          <w:p w:rsidR="00A826D6" w:rsidRDefault="00FE1310">
            <w:pPr>
              <w:jc w:val="center"/>
            </w:pPr>
            <w:r>
              <w:rPr>
                <w:color w:val="000000"/>
                <w:sz w:val="24"/>
              </w:rPr>
              <w:t>8</w:t>
            </w:r>
          </w:p>
        </w:tc>
        <w:tc>
          <w:tcPr>
            <w:tcW w:w="0" w:type="auto"/>
            <w:vAlign w:val="center"/>
          </w:tcPr>
          <w:p w:rsidR="00A826D6" w:rsidRDefault="00FE1310">
            <w:pPr>
              <w:jc w:val="center"/>
            </w:pPr>
            <w:r>
              <w:rPr>
                <w:color w:val="000000"/>
                <w:sz w:val="24"/>
              </w:rPr>
              <w:t>123007</w:t>
            </w:r>
          </w:p>
        </w:tc>
        <w:tc>
          <w:tcPr>
            <w:tcW w:w="0" w:type="auto"/>
            <w:vAlign w:val="center"/>
          </w:tcPr>
          <w:p w:rsidR="00A826D6" w:rsidRDefault="00FE1310">
            <w:pPr>
              <w:jc w:val="center"/>
            </w:pPr>
            <w:r>
              <w:rPr>
                <w:color w:val="000000"/>
                <w:sz w:val="24"/>
              </w:rPr>
              <w:t>道氏转债</w:t>
            </w:r>
          </w:p>
        </w:tc>
        <w:tc>
          <w:tcPr>
            <w:tcW w:w="0" w:type="auto"/>
            <w:vAlign w:val="center"/>
          </w:tcPr>
          <w:p w:rsidR="00A826D6" w:rsidRDefault="00FE1310">
            <w:pPr>
              <w:jc w:val="right"/>
            </w:pPr>
            <w:r>
              <w:rPr>
                <w:color w:val="000000"/>
                <w:sz w:val="24"/>
              </w:rPr>
              <w:t>7,978,252.80</w:t>
            </w:r>
          </w:p>
        </w:tc>
        <w:tc>
          <w:tcPr>
            <w:tcW w:w="0" w:type="auto"/>
            <w:vAlign w:val="center"/>
          </w:tcPr>
          <w:p w:rsidR="00A826D6" w:rsidRDefault="00FE1310">
            <w:pPr>
              <w:jc w:val="right"/>
            </w:pPr>
            <w:r>
              <w:rPr>
                <w:color w:val="000000"/>
                <w:sz w:val="24"/>
              </w:rPr>
              <w:t>2.25</w:t>
            </w:r>
          </w:p>
        </w:tc>
      </w:tr>
      <w:tr w:rsidR="00A826D6">
        <w:tc>
          <w:tcPr>
            <w:tcW w:w="0" w:type="auto"/>
            <w:vAlign w:val="center"/>
          </w:tcPr>
          <w:p w:rsidR="00A826D6" w:rsidRDefault="00FE1310">
            <w:pPr>
              <w:jc w:val="center"/>
            </w:pPr>
            <w:r>
              <w:rPr>
                <w:color w:val="000000"/>
                <w:sz w:val="24"/>
              </w:rPr>
              <w:t>9</w:t>
            </w:r>
          </w:p>
        </w:tc>
        <w:tc>
          <w:tcPr>
            <w:tcW w:w="0" w:type="auto"/>
            <w:vAlign w:val="center"/>
          </w:tcPr>
          <w:p w:rsidR="00A826D6" w:rsidRDefault="00FE1310">
            <w:pPr>
              <w:jc w:val="center"/>
            </w:pPr>
            <w:r>
              <w:rPr>
                <w:color w:val="000000"/>
                <w:sz w:val="24"/>
              </w:rPr>
              <w:t>123028</w:t>
            </w:r>
          </w:p>
        </w:tc>
        <w:tc>
          <w:tcPr>
            <w:tcW w:w="0" w:type="auto"/>
            <w:vAlign w:val="center"/>
          </w:tcPr>
          <w:p w:rsidR="00A826D6" w:rsidRDefault="00FE1310">
            <w:pPr>
              <w:jc w:val="center"/>
            </w:pPr>
            <w:r>
              <w:rPr>
                <w:color w:val="000000"/>
                <w:sz w:val="24"/>
              </w:rPr>
              <w:t>清水转债</w:t>
            </w:r>
          </w:p>
        </w:tc>
        <w:tc>
          <w:tcPr>
            <w:tcW w:w="0" w:type="auto"/>
            <w:vAlign w:val="center"/>
          </w:tcPr>
          <w:p w:rsidR="00A826D6" w:rsidRDefault="00FE1310">
            <w:pPr>
              <w:jc w:val="right"/>
            </w:pPr>
            <w:r>
              <w:rPr>
                <w:color w:val="000000"/>
                <w:sz w:val="24"/>
              </w:rPr>
              <w:t>7,374,006.60</w:t>
            </w:r>
          </w:p>
        </w:tc>
        <w:tc>
          <w:tcPr>
            <w:tcW w:w="0" w:type="auto"/>
            <w:vAlign w:val="center"/>
          </w:tcPr>
          <w:p w:rsidR="00A826D6" w:rsidRDefault="00FE1310">
            <w:pPr>
              <w:jc w:val="right"/>
            </w:pPr>
            <w:r>
              <w:rPr>
                <w:color w:val="000000"/>
                <w:sz w:val="24"/>
              </w:rPr>
              <w:t>2.08</w:t>
            </w:r>
          </w:p>
        </w:tc>
      </w:tr>
      <w:tr w:rsidR="00A826D6">
        <w:tc>
          <w:tcPr>
            <w:tcW w:w="0" w:type="auto"/>
            <w:vAlign w:val="center"/>
          </w:tcPr>
          <w:p w:rsidR="00A826D6" w:rsidRDefault="00FE1310">
            <w:pPr>
              <w:jc w:val="center"/>
            </w:pPr>
            <w:r>
              <w:rPr>
                <w:color w:val="000000"/>
                <w:sz w:val="24"/>
              </w:rPr>
              <w:t>10</w:t>
            </w:r>
          </w:p>
        </w:tc>
        <w:tc>
          <w:tcPr>
            <w:tcW w:w="0" w:type="auto"/>
            <w:vAlign w:val="center"/>
          </w:tcPr>
          <w:p w:rsidR="00A826D6" w:rsidRDefault="00FE1310">
            <w:pPr>
              <w:jc w:val="center"/>
            </w:pPr>
            <w:r>
              <w:rPr>
                <w:color w:val="000000"/>
                <w:sz w:val="24"/>
              </w:rPr>
              <w:t>113527</w:t>
            </w:r>
          </w:p>
        </w:tc>
        <w:tc>
          <w:tcPr>
            <w:tcW w:w="0" w:type="auto"/>
            <w:vAlign w:val="center"/>
          </w:tcPr>
          <w:p w:rsidR="00A826D6" w:rsidRDefault="00FE1310">
            <w:pPr>
              <w:jc w:val="center"/>
            </w:pPr>
            <w:r>
              <w:rPr>
                <w:color w:val="000000"/>
                <w:sz w:val="24"/>
              </w:rPr>
              <w:t>维格转债</w:t>
            </w:r>
          </w:p>
        </w:tc>
        <w:tc>
          <w:tcPr>
            <w:tcW w:w="0" w:type="auto"/>
            <w:vAlign w:val="center"/>
          </w:tcPr>
          <w:p w:rsidR="00A826D6" w:rsidRDefault="00FE1310">
            <w:pPr>
              <w:jc w:val="right"/>
            </w:pPr>
            <w:r>
              <w:rPr>
                <w:color w:val="000000"/>
                <w:sz w:val="24"/>
              </w:rPr>
              <w:t>7,350,842.40</w:t>
            </w:r>
          </w:p>
        </w:tc>
        <w:tc>
          <w:tcPr>
            <w:tcW w:w="0" w:type="auto"/>
            <w:vAlign w:val="center"/>
          </w:tcPr>
          <w:p w:rsidR="00A826D6" w:rsidRDefault="00FE1310">
            <w:pPr>
              <w:jc w:val="right"/>
            </w:pPr>
            <w:r>
              <w:rPr>
                <w:color w:val="000000"/>
                <w:sz w:val="24"/>
              </w:rPr>
              <w:t>2.08</w:t>
            </w:r>
          </w:p>
        </w:tc>
      </w:tr>
      <w:tr w:rsidR="00A826D6">
        <w:tc>
          <w:tcPr>
            <w:tcW w:w="0" w:type="auto"/>
            <w:vAlign w:val="center"/>
          </w:tcPr>
          <w:p w:rsidR="00A826D6" w:rsidRDefault="00FE1310">
            <w:pPr>
              <w:jc w:val="center"/>
            </w:pPr>
            <w:r>
              <w:rPr>
                <w:color w:val="000000"/>
                <w:sz w:val="24"/>
              </w:rPr>
              <w:t>11</w:t>
            </w:r>
          </w:p>
        </w:tc>
        <w:tc>
          <w:tcPr>
            <w:tcW w:w="0" w:type="auto"/>
            <w:vAlign w:val="center"/>
          </w:tcPr>
          <w:p w:rsidR="00A826D6" w:rsidRDefault="00FE1310">
            <w:pPr>
              <w:jc w:val="center"/>
            </w:pPr>
            <w:r>
              <w:rPr>
                <w:color w:val="000000"/>
                <w:sz w:val="24"/>
              </w:rPr>
              <w:t>123014</w:t>
            </w:r>
          </w:p>
        </w:tc>
        <w:tc>
          <w:tcPr>
            <w:tcW w:w="0" w:type="auto"/>
            <w:vAlign w:val="center"/>
          </w:tcPr>
          <w:p w:rsidR="00A826D6" w:rsidRDefault="00FE1310">
            <w:pPr>
              <w:jc w:val="center"/>
            </w:pPr>
            <w:r>
              <w:rPr>
                <w:color w:val="000000"/>
                <w:sz w:val="24"/>
              </w:rPr>
              <w:t>凯发转债</w:t>
            </w:r>
          </w:p>
        </w:tc>
        <w:tc>
          <w:tcPr>
            <w:tcW w:w="0" w:type="auto"/>
            <w:vAlign w:val="center"/>
          </w:tcPr>
          <w:p w:rsidR="00A826D6" w:rsidRDefault="00FE1310">
            <w:pPr>
              <w:jc w:val="right"/>
            </w:pPr>
            <w:r>
              <w:rPr>
                <w:color w:val="000000"/>
                <w:sz w:val="24"/>
              </w:rPr>
              <w:t>7,129,789.20</w:t>
            </w:r>
          </w:p>
        </w:tc>
        <w:tc>
          <w:tcPr>
            <w:tcW w:w="0" w:type="auto"/>
            <w:vAlign w:val="center"/>
          </w:tcPr>
          <w:p w:rsidR="00A826D6" w:rsidRDefault="00FE1310">
            <w:pPr>
              <w:jc w:val="right"/>
            </w:pPr>
            <w:r>
              <w:rPr>
                <w:color w:val="000000"/>
                <w:sz w:val="24"/>
              </w:rPr>
              <w:t>2.01</w:t>
            </w:r>
          </w:p>
        </w:tc>
      </w:tr>
      <w:tr w:rsidR="00A826D6">
        <w:tc>
          <w:tcPr>
            <w:tcW w:w="0" w:type="auto"/>
            <w:vAlign w:val="center"/>
          </w:tcPr>
          <w:p w:rsidR="00A826D6" w:rsidRDefault="00FE1310">
            <w:pPr>
              <w:jc w:val="center"/>
            </w:pPr>
            <w:r>
              <w:rPr>
                <w:color w:val="000000"/>
                <w:sz w:val="24"/>
              </w:rPr>
              <w:t>12</w:t>
            </w:r>
          </w:p>
        </w:tc>
        <w:tc>
          <w:tcPr>
            <w:tcW w:w="0" w:type="auto"/>
            <w:vAlign w:val="center"/>
          </w:tcPr>
          <w:p w:rsidR="00A826D6" w:rsidRDefault="00FE1310">
            <w:pPr>
              <w:jc w:val="center"/>
            </w:pPr>
            <w:r>
              <w:rPr>
                <w:color w:val="000000"/>
                <w:sz w:val="24"/>
              </w:rPr>
              <w:t>128018</w:t>
            </w:r>
          </w:p>
        </w:tc>
        <w:tc>
          <w:tcPr>
            <w:tcW w:w="0" w:type="auto"/>
            <w:vAlign w:val="center"/>
          </w:tcPr>
          <w:p w:rsidR="00A826D6" w:rsidRDefault="00FE1310">
            <w:pPr>
              <w:jc w:val="center"/>
            </w:pPr>
            <w:r>
              <w:rPr>
                <w:color w:val="000000"/>
                <w:sz w:val="24"/>
              </w:rPr>
              <w:t>时达转债</w:t>
            </w:r>
          </w:p>
        </w:tc>
        <w:tc>
          <w:tcPr>
            <w:tcW w:w="0" w:type="auto"/>
            <w:vAlign w:val="center"/>
          </w:tcPr>
          <w:p w:rsidR="00A826D6" w:rsidRDefault="00FE1310">
            <w:pPr>
              <w:jc w:val="right"/>
            </w:pPr>
            <w:r>
              <w:rPr>
                <w:color w:val="000000"/>
                <w:sz w:val="24"/>
              </w:rPr>
              <w:t>6,786,980.00</w:t>
            </w:r>
          </w:p>
        </w:tc>
        <w:tc>
          <w:tcPr>
            <w:tcW w:w="0" w:type="auto"/>
            <w:vAlign w:val="center"/>
          </w:tcPr>
          <w:p w:rsidR="00A826D6" w:rsidRDefault="00FE1310">
            <w:pPr>
              <w:jc w:val="right"/>
            </w:pPr>
            <w:r>
              <w:rPr>
                <w:color w:val="000000"/>
                <w:sz w:val="24"/>
              </w:rPr>
              <w:t>1.92</w:t>
            </w:r>
          </w:p>
        </w:tc>
      </w:tr>
      <w:tr w:rsidR="00A826D6">
        <w:tc>
          <w:tcPr>
            <w:tcW w:w="0" w:type="auto"/>
            <w:vAlign w:val="center"/>
          </w:tcPr>
          <w:p w:rsidR="00A826D6" w:rsidRDefault="00FE1310">
            <w:pPr>
              <w:jc w:val="center"/>
            </w:pPr>
            <w:r>
              <w:rPr>
                <w:color w:val="000000"/>
                <w:sz w:val="24"/>
              </w:rPr>
              <w:t>13</w:t>
            </w:r>
          </w:p>
        </w:tc>
        <w:tc>
          <w:tcPr>
            <w:tcW w:w="0" w:type="auto"/>
            <w:vAlign w:val="center"/>
          </w:tcPr>
          <w:p w:rsidR="00A826D6" w:rsidRDefault="00FE1310">
            <w:pPr>
              <w:jc w:val="center"/>
            </w:pPr>
            <w:r>
              <w:rPr>
                <w:color w:val="000000"/>
                <w:sz w:val="24"/>
              </w:rPr>
              <w:t>110057</w:t>
            </w:r>
          </w:p>
        </w:tc>
        <w:tc>
          <w:tcPr>
            <w:tcW w:w="0" w:type="auto"/>
            <w:vAlign w:val="center"/>
          </w:tcPr>
          <w:p w:rsidR="00A826D6" w:rsidRDefault="00FE1310">
            <w:pPr>
              <w:jc w:val="center"/>
            </w:pPr>
            <w:r>
              <w:rPr>
                <w:color w:val="000000"/>
                <w:sz w:val="24"/>
              </w:rPr>
              <w:t>现代转债</w:t>
            </w:r>
          </w:p>
        </w:tc>
        <w:tc>
          <w:tcPr>
            <w:tcW w:w="0" w:type="auto"/>
            <w:vAlign w:val="center"/>
          </w:tcPr>
          <w:p w:rsidR="00A826D6" w:rsidRDefault="00FE1310">
            <w:pPr>
              <w:jc w:val="right"/>
            </w:pPr>
            <w:r>
              <w:rPr>
                <w:color w:val="000000"/>
                <w:sz w:val="24"/>
              </w:rPr>
              <w:t>6,564,822.80</w:t>
            </w:r>
          </w:p>
        </w:tc>
        <w:tc>
          <w:tcPr>
            <w:tcW w:w="0" w:type="auto"/>
            <w:vAlign w:val="center"/>
          </w:tcPr>
          <w:p w:rsidR="00A826D6" w:rsidRDefault="00FE1310">
            <w:pPr>
              <w:jc w:val="right"/>
            </w:pPr>
            <w:r>
              <w:rPr>
                <w:color w:val="000000"/>
                <w:sz w:val="24"/>
              </w:rPr>
              <w:t>1.85</w:t>
            </w:r>
          </w:p>
        </w:tc>
      </w:tr>
      <w:tr w:rsidR="00A826D6">
        <w:tc>
          <w:tcPr>
            <w:tcW w:w="0" w:type="auto"/>
            <w:vAlign w:val="center"/>
          </w:tcPr>
          <w:p w:rsidR="00A826D6" w:rsidRDefault="00FE1310">
            <w:pPr>
              <w:jc w:val="center"/>
            </w:pPr>
            <w:r>
              <w:rPr>
                <w:color w:val="000000"/>
                <w:sz w:val="24"/>
              </w:rPr>
              <w:t>14</w:t>
            </w:r>
          </w:p>
        </w:tc>
        <w:tc>
          <w:tcPr>
            <w:tcW w:w="0" w:type="auto"/>
            <w:vAlign w:val="center"/>
          </w:tcPr>
          <w:p w:rsidR="00A826D6" w:rsidRDefault="00FE1310">
            <w:pPr>
              <w:jc w:val="center"/>
            </w:pPr>
            <w:r>
              <w:rPr>
                <w:color w:val="000000"/>
                <w:sz w:val="24"/>
              </w:rPr>
              <w:t>123020</w:t>
            </w:r>
          </w:p>
        </w:tc>
        <w:tc>
          <w:tcPr>
            <w:tcW w:w="0" w:type="auto"/>
            <w:vAlign w:val="center"/>
          </w:tcPr>
          <w:p w:rsidR="00A826D6" w:rsidRDefault="00FE1310">
            <w:pPr>
              <w:jc w:val="center"/>
            </w:pPr>
            <w:r>
              <w:rPr>
                <w:color w:val="000000"/>
                <w:sz w:val="24"/>
              </w:rPr>
              <w:t>富祥转债</w:t>
            </w:r>
          </w:p>
        </w:tc>
        <w:tc>
          <w:tcPr>
            <w:tcW w:w="0" w:type="auto"/>
            <w:vAlign w:val="center"/>
          </w:tcPr>
          <w:p w:rsidR="00A826D6" w:rsidRDefault="00FE1310">
            <w:pPr>
              <w:jc w:val="right"/>
            </w:pPr>
            <w:r>
              <w:rPr>
                <w:color w:val="000000"/>
                <w:sz w:val="24"/>
              </w:rPr>
              <w:t>6,399,302.00</w:t>
            </w:r>
          </w:p>
        </w:tc>
        <w:tc>
          <w:tcPr>
            <w:tcW w:w="0" w:type="auto"/>
            <w:vAlign w:val="center"/>
          </w:tcPr>
          <w:p w:rsidR="00A826D6" w:rsidRDefault="00FE1310">
            <w:pPr>
              <w:jc w:val="right"/>
            </w:pPr>
            <w:r>
              <w:rPr>
                <w:color w:val="000000"/>
                <w:sz w:val="24"/>
              </w:rPr>
              <w:t>1.81</w:t>
            </w:r>
          </w:p>
        </w:tc>
      </w:tr>
      <w:tr w:rsidR="00A826D6">
        <w:tc>
          <w:tcPr>
            <w:tcW w:w="0" w:type="auto"/>
            <w:vAlign w:val="center"/>
          </w:tcPr>
          <w:p w:rsidR="00A826D6" w:rsidRDefault="00FE1310">
            <w:pPr>
              <w:jc w:val="center"/>
            </w:pPr>
            <w:r>
              <w:rPr>
                <w:color w:val="000000"/>
                <w:sz w:val="24"/>
              </w:rPr>
              <w:t>15</w:t>
            </w:r>
          </w:p>
        </w:tc>
        <w:tc>
          <w:tcPr>
            <w:tcW w:w="0" w:type="auto"/>
            <w:vAlign w:val="center"/>
          </w:tcPr>
          <w:p w:rsidR="00A826D6" w:rsidRDefault="00FE1310">
            <w:pPr>
              <w:jc w:val="center"/>
            </w:pPr>
            <w:r>
              <w:rPr>
                <w:color w:val="000000"/>
                <w:sz w:val="24"/>
              </w:rPr>
              <w:t>128051</w:t>
            </w:r>
          </w:p>
        </w:tc>
        <w:tc>
          <w:tcPr>
            <w:tcW w:w="0" w:type="auto"/>
            <w:vAlign w:val="center"/>
          </w:tcPr>
          <w:p w:rsidR="00A826D6" w:rsidRDefault="00FE1310">
            <w:pPr>
              <w:jc w:val="center"/>
            </w:pPr>
            <w:r>
              <w:rPr>
                <w:color w:val="000000"/>
                <w:sz w:val="24"/>
              </w:rPr>
              <w:t>光华转债</w:t>
            </w:r>
          </w:p>
        </w:tc>
        <w:tc>
          <w:tcPr>
            <w:tcW w:w="0" w:type="auto"/>
            <w:vAlign w:val="center"/>
          </w:tcPr>
          <w:p w:rsidR="00A826D6" w:rsidRDefault="00FE1310">
            <w:pPr>
              <w:jc w:val="right"/>
            </w:pPr>
            <w:r>
              <w:rPr>
                <w:color w:val="000000"/>
                <w:sz w:val="24"/>
              </w:rPr>
              <w:t>6,271,482.07</w:t>
            </w:r>
          </w:p>
        </w:tc>
        <w:tc>
          <w:tcPr>
            <w:tcW w:w="0" w:type="auto"/>
            <w:vAlign w:val="center"/>
          </w:tcPr>
          <w:p w:rsidR="00A826D6" w:rsidRDefault="00FE1310">
            <w:pPr>
              <w:jc w:val="right"/>
            </w:pPr>
            <w:r>
              <w:rPr>
                <w:color w:val="000000"/>
                <w:sz w:val="24"/>
              </w:rPr>
              <w:t>1.77</w:t>
            </w:r>
          </w:p>
        </w:tc>
      </w:tr>
      <w:tr w:rsidR="00A826D6">
        <w:tc>
          <w:tcPr>
            <w:tcW w:w="0" w:type="auto"/>
            <w:vAlign w:val="center"/>
          </w:tcPr>
          <w:p w:rsidR="00A826D6" w:rsidRDefault="00FE1310">
            <w:pPr>
              <w:jc w:val="center"/>
            </w:pPr>
            <w:r>
              <w:rPr>
                <w:color w:val="000000"/>
                <w:sz w:val="24"/>
              </w:rPr>
              <w:t>16</w:t>
            </w:r>
          </w:p>
        </w:tc>
        <w:tc>
          <w:tcPr>
            <w:tcW w:w="0" w:type="auto"/>
            <w:vAlign w:val="center"/>
          </w:tcPr>
          <w:p w:rsidR="00A826D6" w:rsidRDefault="00FE1310">
            <w:pPr>
              <w:jc w:val="center"/>
            </w:pPr>
            <w:r>
              <w:rPr>
                <w:color w:val="000000"/>
                <w:sz w:val="24"/>
              </w:rPr>
              <w:t>127013</w:t>
            </w:r>
          </w:p>
        </w:tc>
        <w:tc>
          <w:tcPr>
            <w:tcW w:w="0" w:type="auto"/>
            <w:vAlign w:val="center"/>
          </w:tcPr>
          <w:p w:rsidR="00A826D6" w:rsidRDefault="00FE1310">
            <w:pPr>
              <w:jc w:val="center"/>
            </w:pPr>
            <w:r>
              <w:rPr>
                <w:color w:val="000000"/>
                <w:sz w:val="24"/>
              </w:rPr>
              <w:t>创维转债</w:t>
            </w:r>
          </w:p>
        </w:tc>
        <w:tc>
          <w:tcPr>
            <w:tcW w:w="0" w:type="auto"/>
            <w:vAlign w:val="center"/>
          </w:tcPr>
          <w:p w:rsidR="00A826D6" w:rsidRDefault="00FE1310">
            <w:pPr>
              <w:jc w:val="right"/>
            </w:pPr>
            <w:r>
              <w:rPr>
                <w:color w:val="000000"/>
                <w:sz w:val="24"/>
              </w:rPr>
              <w:t>5,904,866.29</w:t>
            </w:r>
          </w:p>
        </w:tc>
        <w:tc>
          <w:tcPr>
            <w:tcW w:w="0" w:type="auto"/>
            <w:vAlign w:val="center"/>
          </w:tcPr>
          <w:p w:rsidR="00A826D6" w:rsidRDefault="00FE1310">
            <w:pPr>
              <w:jc w:val="right"/>
            </w:pPr>
            <w:r>
              <w:rPr>
                <w:color w:val="000000"/>
                <w:sz w:val="24"/>
              </w:rPr>
              <w:t>1.67</w:t>
            </w:r>
          </w:p>
        </w:tc>
      </w:tr>
      <w:tr w:rsidR="00A826D6">
        <w:tc>
          <w:tcPr>
            <w:tcW w:w="0" w:type="auto"/>
            <w:vAlign w:val="center"/>
          </w:tcPr>
          <w:p w:rsidR="00A826D6" w:rsidRDefault="00FE1310">
            <w:pPr>
              <w:jc w:val="center"/>
            </w:pPr>
            <w:r>
              <w:rPr>
                <w:color w:val="000000"/>
                <w:sz w:val="24"/>
              </w:rPr>
              <w:t>17</w:t>
            </w:r>
          </w:p>
        </w:tc>
        <w:tc>
          <w:tcPr>
            <w:tcW w:w="0" w:type="auto"/>
            <w:vAlign w:val="center"/>
          </w:tcPr>
          <w:p w:rsidR="00A826D6" w:rsidRDefault="00FE1310">
            <w:pPr>
              <w:jc w:val="center"/>
            </w:pPr>
            <w:r>
              <w:rPr>
                <w:color w:val="000000"/>
                <w:sz w:val="24"/>
              </w:rPr>
              <w:t>128058</w:t>
            </w:r>
          </w:p>
        </w:tc>
        <w:tc>
          <w:tcPr>
            <w:tcW w:w="0" w:type="auto"/>
            <w:vAlign w:val="center"/>
          </w:tcPr>
          <w:p w:rsidR="00A826D6" w:rsidRDefault="00FE1310">
            <w:pPr>
              <w:jc w:val="center"/>
            </w:pPr>
            <w:r>
              <w:rPr>
                <w:color w:val="000000"/>
                <w:sz w:val="24"/>
              </w:rPr>
              <w:t>拓邦转债</w:t>
            </w:r>
          </w:p>
        </w:tc>
        <w:tc>
          <w:tcPr>
            <w:tcW w:w="0" w:type="auto"/>
            <w:vAlign w:val="center"/>
          </w:tcPr>
          <w:p w:rsidR="00A826D6" w:rsidRDefault="00FE1310">
            <w:pPr>
              <w:jc w:val="right"/>
            </w:pPr>
            <w:r>
              <w:rPr>
                <w:color w:val="000000"/>
                <w:sz w:val="24"/>
              </w:rPr>
              <w:t>5,735,111.42</w:t>
            </w:r>
          </w:p>
        </w:tc>
        <w:tc>
          <w:tcPr>
            <w:tcW w:w="0" w:type="auto"/>
            <w:vAlign w:val="center"/>
          </w:tcPr>
          <w:p w:rsidR="00A826D6" w:rsidRDefault="00FE1310">
            <w:pPr>
              <w:jc w:val="right"/>
            </w:pPr>
            <w:r>
              <w:rPr>
                <w:color w:val="000000"/>
                <w:sz w:val="24"/>
              </w:rPr>
              <w:t>1.62</w:t>
            </w:r>
          </w:p>
        </w:tc>
      </w:tr>
      <w:tr w:rsidR="00A826D6">
        <w:tc>
          <w:tcPr>
            <w:tcW w:w="0" w:type="auto"/>
            <w:vAlign w:val="center"/>
          </w:tcPr>
          <w:p w:rsidR="00A826D6" w:rsidRDefault="00FE1310">
            <w:pPr>
              <w:jc w:val="center"/>
            </w:pPr>
            <w:r>
              <w:rPr>
                <w:color w:val="000000"/>
                <w:sz w:val="24"/>
              </w:rPr>
              <w:t>18</w:t>
            </w:r>
          </w:p>
        </w:tc>
        <w:tc>
          <w:tcPr>
            <w:tcW w:w="0" w:type="auto"/>
            <w:vAlign w:val="center"/>
          </w:tcPr>
          <w:p w:rsidR="00A826D6" w:rsidRDefault="00FE1310">
            <w:pPr>
              <w:jc w:val="center"/>
            </w:pPr>
            <w:r>
              <w:rPr>
                <w:color w:val="000000"/>
                <w:sz w:val="24"/>
              </w:rPr>
              <w:t>128063</w:t>
            </w:r>
          </w:p>
        </w:tc>
        <w:tc>
          <w:tcPr>
            <w:tcW w:w="0" w:type="auto"/>
            <w:vAlign w:val="center"/>
          </w:tcPr>
          <w:p w:rsidR="00A826D6" w:rsidRDefault="00FE1310">
            <w:pPr>
              <w:jc w:val="center"/>
            </w:pPr>
            <w:r>
              <w:rPr>
                <w:color w:val="000000"/>
                <w:sz w:val="24"/>
              </w:rPr>
              <w:t>未来转债</w:t>
            </w:r>
          </w:p>
        </w:tc>
        <w:tc>
          <w:tcPr>
            <w:tcW w:w="0" w:type="auto"/>
            <w:vAlign w:val="center"/>
          </w:tcPr>
          <w:p w:rsidR="00A826D6" w:rsidRDefault="00FE1310">
            <w:pPr>
              <w:jc w:val="right"/>
            </w:pPr>
            <w:r>
              <w:rPr>
                <w:color w:val="000000"/>
                <w:sz w:val="24"/>
              </w:rPr>
              <w:t>5,539,138.12</w:t>
            </w:r>
          </w:p>
        </w:tc>
        <w:tc>
          <w:tcPr>
            <w:tcW w:w="0" w:type="auto"/>
            <w:vAlign w:val="center"/>
          </w:tcPr>
          <w:p w:rsidR="00A826D6" w:rsidRDefault="00FE1310">
            <w:pPr>
              <w:jc w:val="right"/>
            </w:pPr>
            <w:r>
              <w:rPr>
                <w:color w:val="000000"/>
                <w:sz w:val="24"/>
              </w:rPr>
              <w:t>1.56</w:t>
            </w:r>
          </w:p>
        </w:tc>
      </w:tr>
      <w:tr w:rsidR="00A826D6">
        <w:tc>
          <w:tcPr>
            <w:tcW w:w="0" w:type="auto"/>
            <w:vAlign w:val="center"/>
          </w:tcPr>
          <w:p w:rsidR="00A826D6" w:rsidRDefault="00FE1310">
            <w:pPr>
              <w:jc w:val="center"/>
            </w:pPr>
            <w:r>
              <w:rPr>
                <w:color w:val="000000"/>
                <w:sz w:val="24"/>
              </w:rPr>
              <w:t>19</w:t>
            </w:r>
          </w:p>
        </w:tc>
        <w:tc>
          <w:tcPr>
            <w:tcW w:w="0" w:type="auto"/>
            <w:vAlign w:val="center"/>
          </w:tcPr>
          <w:p w:rsidR="00A826D6" w:rsidRDefault="00FE1310">
            <w:pPr>
              <w:jc w:val="center"/>
            </w:pPr>
            <w:r>
              <w:rPr>
                <w:color w:val="000000"/>
                <w:sz w:val="24"/>
              </w:rPr>
              <w:t>113517</w:t>
            </w:r>
          </w:p>
        </w:tc>
        <w:tc>
          <w:tcPr>
            <w:tcW w:w="0" w:type="auto"/>
            <w:vAlign w:val="center"/>
          </w:tcPr>
          <w:p w:rsidR="00A826D6" w:rsidRDefault="00FE1310">
            <w:pPr>
              <w:jc w:val="center"/>
            </w:pPr>
            <w:r>
              <w:rPr>
                <w:color w:val="000000"/>
                <w:sz w:val="24"/>
              </w:rPr>
              <w:t>曙光转债</w:t>
            </w:r>
          </w:p>
        </w:tc>
        <w:tc>
          <w:tcPr>
            <w:tcW w:w="0" w:type="auto"/>
            <w:vAlign w:val="center"/>
          </w:tcPr>
          <w:p w:rsidR="00A826D6" w:rsidRDefault="00FE1310">
            <w:pPr>
              <w:jc w:val="right"/>
            </w:pPr>
            <w:r>
              <w:rPr>
                <w:color w:val="000000"/>
                <w:sz w:val="24"/>
              </w:rPr>
              <w:t>5,305,902.60</w:t>
            </w:r>
          </w:p>
        </w:tc>
        <w:tc>
          <w:tcPr>
            <w:tcW w:w="0" w:type="auto"/>
            <w:vAlign w:val="center"/>
          </w:tcPr>
          <w:p w:rsidR="00A826D6" w:rsidRDefault="00FE1310">
            <w:pPr>
              <w:jc w:val="right"/>
            </w:pPr>
            <w:r>
              <w:rPr>
                <w:color w:val="000000"/>
                <w:sz w:val="24"/>
              </w:rPr>
              <w:t>1.50</w:t>
            </w:r>
          </w:p>
        </w:tc>
      </w:tr>
      <w:tr w:rsidR="00A826D6">
        <w:tc>
          <w:tcPr>
            <w:tcW w:w="0" w:type="auto"/>
            <w:vAlign w:val="center"/>
          </w:tcPr>
          <w:p w:rsidR="00A826D6" w:rsidRDefault="00FE1310">
            <w:pPr>
              <w:jc w:val="center"/>
            </w:pPr>
            <w:r>
              <w:rPr>
                <w:color w:val="000000"/>
                <w:sz w:val="24"/>
              </w:rPr>
              <w:t>20</w:t>
            </w:r>
          </w:p>
        </w:tc>
        <w:tc>
          <w:tcPr>
            <w:tcW w:w="0" w:type="auto"/>
            <w:vAlign w:val="center"/>
          </w:tcPr>
          <w:p w:rsidR="00A826D6" w:rsidRDefault="00FE1310">
            <w:pPr>
              <w:jc w:val="center"/>
            </w:pPr>
            <w:r>
              <w:rPr>
                <w:color w:val="000000"/>
                <w:sz w:val="24"/>
              </w:rPr>
              <w:t>123003</w:t>
            </w:r>
          </w:p>
        </w:tc>
        <w:tc>
          <w:tcPr>
            <w:tcW w:w="0" w:type="auto"/>
            <w:vAlign w:val="center"/>
          </w:tcPr>
          <w:p w:rsidR="00A826D6" w:rsidRDefault="00FE1310">
            <w:pPr>
              <w:jc w:val="center"/>
            </w:pPr>
            <w:r>
              <w:rPr>
                <w:color w:val="000000"/>
                <w:sz w:val="24"/>
              </w:rPr>
              <w:t>蓝思转债</w:t>
            </w:r>
          </w:p>
        </w:tc>
        <w:tc>
          <w:tcPr>
            <w:tcW w:w="0" w:type="auto"/>
            <w:vAlign w:val="center"/>
          </w:tcPr>
          <w:p w:rsidR="00A826D6" w:rsidRDefault="00FE1310">
            <w:pPr>
              <w:jc w:val="right"/>
            </w:pPr>
            <w:r>
              <w:rPr>
                <w:color w:val="000000"/>
                <w:sz w:val="24"/>
              </w:rPr>
              <w:t>5,283,381.88</w:t>
            </w:r>
          </w:p>
        </w:tc>
        <w:tc>
          <w:tcPr>
            <w:tcW w:w="0" w:type="auto"/>
            <w:vAlign w:val="center"/>
          </w:tcPr>
          <w:p w:rsidR="00A826D6" w:rsidRDefault="00FE1310">
            <w:pPr>
              <w:jc w:val="right"/>
            </w:pPr>
            <w:r>
              <w:rPr>
                <w:color w:val="000000"/>
                <w:sz w:val="24"/>
              </w:rPr>
              <w:t>1.49</w:t>
            </w:r>
          </w:p>
        </w:tc>
      </w:tr>
      <w:tr w:rsidR="00A826D6">
        <w:tc>
          <w:tcPr>
            <w:tcW w:w="0" w:type="auto"/>
            <w:vAlign w:val="center"/>
          </w:tcPr>
          <w:p w:rsidR="00A826D6" w:rsidRDefault="00FE1310">
            <w:pPr>
              <w:jc w:val="center"/>
            </w:pPr>
            <w:r>
              <w:rPr>
                <w:color w:val="000000"/>
                <w:sz w:val="24"/>
              </w:rPr>
              <w:t>21</w:t>
            </w:r>
          </w:p>
        </w:tc>
        <w:tc>
          <w:tcPr>
            <w:tcW w:w="0" w:type="auto"/>
            <w:vAlign w:val="center"/>
          </w:tcPr>
          <w:p w:rsidR="00A826D6" w:rsidRDefault="00FE1310">
            <w:pPr>
              <w:jc w:val="center"/>
            </w:pPr>
            <w:r>
              <w:rPr>
                <w:color w:val="000000"/>
                <w:sz w:val="24"/>
              </w:rPr>
              <w:t>110043</w:t>
            </w:r>
          </w:p>
        </w:tc>
        <w:tc>
          <w:tcPr>
            <w:tcW w:w="0" w:type="auto"/>
            <w:vAlign w:val="center"/>
          </w:tcPr>
          <w:p w:rsidR="00A826D6" w:rsidRDefault="00FE1310">
            <w:pPr>
              <w:jc w:val="center"/>
            </w:pPr>
            <w:r>
              <w:rPr>
                <w:color w:val="000000"/>
                <w:sz w:val="24"/>
              </w:rPr>
              <w:t>无锡转债</w:t>
            </w:r>
          </w:p>
        </w:tc>
        <w:tc>
          <w:tcPr>
            <w:tcW w:w="0" w:type="auto"/>
            <w:vAlign w:val="center"/>
          </w:tcPr>
          <w:p w:rsidR="00A826D6" w:rsidRDefault="00FE1310">
            <w:pPr>
              <w:jc w:val="right"/>
            </w:pPr>
            <w:r>
              <w:rPr>
                <w:color w:val="000000"/>
                <w:sz w:val="24"/>
              </w:rPr>
              <w:t>3,629,770.30</w:t>
            </w:r>
          </w:p>
        </w:tc>
        <w:tc>
          <w:tcPr>
            <w:tcW w:w="0" w:type="auto"/>
            <w:vAlign w:val="center"/>
          </w:tcPr>
          <w:p w:rsidR="00A826D6" w:rsidRDefault="00FE1310">
            <w:pPr>
              <w:jc w:val="right"/>
            </w:pPr>
            <w:r>
              <w:rPr>
                <w:color w:val="000000"/>
                <w:sz w:val="24"/>
              </w:rPr>
              <w:t>1.03</w:t>
            </w:r>
          </w:p>
        </w:tc>
      </w:tr>
      <w:tr w:rsidR="00A826D6">
        <w:tc>
          <w:tcPr>
            <w:tcW w:w="0" w:type="auto"/>
            <w:vAlign w:val="center"/>
          </w:tcPr>
          <w:p w:rsidR="00A826D6" w:rsidRDefault="00FE1310">
            <w:pPr>
              <w:jc w:val="center"/>
            </w:pPr>
            <w:r>
              <w:rPr>
                <w:color w:val="000000"/>
                <w:sz w:val="24"/>
              </w:rPr>
              <w:t>22</w:t>
            </w:r>
          </w:p>
        </w:tc>
        <w:tc>
          <w:tcPr>
            <w:tcW w:w="0" w:type="auto"/>
            <w:vAlign w:val="center"/>
          </w:tcPr>
          <w:p w:rsidR="00A826D6" w:rsidRDefault="00FE1310">
            <w:pPr>
              <w:jc w:val="center"/>
            </w:pPr>
            <w:r>
              <w:rPr>
                <w:color w:val="000000"/>
                <w:sz w:val="24"/>
              </w:rPr>
              <w:t>113535</w:t>
            </w:r>
          </w:p>
        </w:tc>
        <w:tc>
          <w:tcPr>
            <w:tcW w:w="0" w:type="auto"/>
            <w:vAlign w:val="center"/>
          </w:tcPr>
          <w:p w:rsidR="00A826D6" w:rsidRDefault="00FE1310">
            <w:pPr>
              <w:jc w:val="center"/>
            </w:pPr>
            <w:r>
              <w:rPr>
                <w:color w:val="000000"/>
                <w:sz w:val="24"/>
              </w:rPr>
              <w:t>大业转债</w:t>
            </w:r>
          </w:p>
        </w:tc>
        <w:tc>
          <w:tcPr>
            <w:tcW w:w="0" w:type="auto"/>
            <w:vAlign w:val="center"/>
          </w:tcPr>
          <w:p w:rsidR="00A826D6" w:rsidRDefault="00FE1310">
            <w:pPr>
              <w:jc w:val="right"/>
            </w:pPr>
            <w:r>
              <w:rPr>
                <w:color w:val="000000"/>
                <w:sz w:val="24"/>
              </w:rPr>
              <w:t>3,109,846.50</w:t>
            </w:r>
          </w:p>
        </w:tc>
        <w:tc>
          <w:tcPr>
            <w:tcW w:w="0" w:type="auto"/>
            <w:vAlign w:val="center"/>
          </w:tcPr>
          <w:p w:rsidR="00A826D6" w:rsidRDefault="00FE1310">
            <w:pPr>
              <w:jc w:val="right"/>
            </w:pPr>
            <w:r>
              <w:rPr>
                <w:color w:val="000000"/>
                <w:sz w:val="24"/>
              </w:rPr>
              <w:t>0.88</w:t>
            </w:r>
          </w:p>
        </w:tc>
      </w:tr>
      <w:tr w:rsidR="00A826D6">
        <w:tc>
          <w:tcPr>
            <w:tcW w:w="0" w:type="auto"/>
            <w:vAlign w:val="center"/>
          </w:tcPr>
          <w:p w:rsidR="00A826D6" w:rsidRDefault="00FE1310">
            <w:pPr>
              <w:jc w:val="center"/>
            </w:pPr>
            <w:r>
              <w:rPr>
                <w:color w:val="000000"/>
                <w:sz w:val="24"/>
              </w:rPr>
              <w:t>23</w:t>
            </w:r>
          </w:p>
        </w:tc>
        <w:tc>
          <w:tcPr>
            <w:tcW w:w="0" w:type="auto"/>
            <w:vAlign w:val="center"/>
          </w:tcPr>
          <w:p w:rsidR="00A826D6" w:rsidRDefault="00FE1310">
            <w:pPr>
              <w:jc w:val="center"/>
            </w:pPr>
            <w:r>
              <w:rPr>
                <w:color w:val="000000"/>
                <w:sz w:val="24"/>
              </w:rPr>
              <w:t>128044</w:t>
            </w:r>
          </w:p>
        </w:tc>
        <w:tc>
          <w:tcPr>
            <w:tcW w:w="0" w:type="auto"/>
            <w:vAlign w:val="center"/>
          </w:tcPr>
          <w:p w:rsidR="00A826D6" w:rsidRDefault="00FE1310">
            <w:pPr>
              <w:jc w:val="center"/>
            </w:pPr>
            <w:r>
              <w:rPr>
                <w:color w:val="000000"/>
                <w:sz w:val="24"/>
              </w:rPr>
              <w:t>岭南转债</w:t>
            </w:r>
          </w:p>
        </w:tc>
        <w:tc>
          <w:tcPr>
            <w:tcW w:w="0" w:type="auto"/>
            <w:vAlign w:val="center"/>
          </w:tcPr>
          <w:p w:rsidR="00A826D6" w:rsidRDefault="00FE1310">
            <w:pPr>
              <w:jc w:val="right"/>
            </w:pPr>
            <w:r>
              <w:rPr>
                <w:color w:val="000000"/>
                <w:sz w:val="24"/>
              </w:rPr>
              <w:t>3,076,500.00</w:t>
            </w:r>
          </w:p>
        </w:tc>
        <w:tc>
          <w:tcPr>
            <w:tcW w:w="0" w:type="auto"/>
            <w:vAlign w:val="center"/>
          </w:tcPr>
          <w:p w:rsidR="00A826D6" w:rsidRDefault="00FE1310">
            <w:pPr>
              <w:jc w:val="right"/>
            </w:pPr>
            <w:r>
              <w:rPr>
                <w:color w:val="000000"/>
                <w:sz w:val="24"/>
              </w:rPr>
              <w:t>0.87</w:t>
            </w:r>
          </w:p>
        </w:tc>
      </w:tr>
      <w:tr w:rsidR="00A826D6">
        <w:tc>
          <w:tcPr>
            <w:tcW w:w="0" w:type="auto"/>
            <w:vAlign w:val="center"/>
          </w:tcPr>
          <w:p w:rsidR="00A826D6" w:rsidRDefault="00FE1310">
            <w:pPr>
              <w:jc w:val="center"/>
            </w:pPr>
            <w:r>
              <w:rPr>
                <w:color w:val="000000"/>
                <w:sz w:val="24"/>
              </w:rPr>
              <w:t>24</w:t>
            </w:r>
          </w:p>
        </w:tc>
        <w:tc>
          <w:tcPr>
            <w:tcW w:w="0" w:type="auto"/>
            <w:vAlign w:val="center"/>
          </w:tcPr>
          <w:p w:rsidR="00A826D6" w:rsidRDefault="00FE1310">
            <w:pPr>
              <w:jc w:val="center"/>
            </w:pPr>
            <w:r>
              <w:rPr>
                <w:color w:val="000000"/>
                <w:sz w:val="24"/>
              </w:rPr>
              <w:t>128056</w:t>
            </w:r>
          </w:p>
        </w:tc>
        <w:tc>
          <w:tcPr>
            <w:tcW w:w="0" w:type="auto"/>
            <w:vAlign w:val="center"/>
          </w:tcPr>
          <w:p w:rsidR="00A826D6" w:rsidRDefault="00FE1310">
            <w:pPr>
              <w:jc w:val="center"/>
            </w:pPr>
            <w:r>
              <w:rPr>
                <w:color w:val="000000"/>
                <w:sz w:val="24"/>
              </w:rPr>
              <w:t>今飞转债</w:t>
            </w:r>
          </w:p>
        </w:tc>
        <w:tc>
          <w:tcPr>
            <w:tcW w:w="0" w:type="auto"/>
            <w:vAlign w:val="center"/>
          </w:tcPr>
          <w:p w:rsidR="00A826D6" w:rsidRDefault="00FE1310">
            <w:pPr>
              <w:jc w:val="right"/>
            </w:pPr>
            <w:r>
              <w:rPr>
                <w:color w:val="000000"/>
                <w:sz w:val="24"/>
              </w:rPr>
              <w:t>2,927,725.56</w:t>
            </w:r>
          </w:p>
        </w:tc>
        <w:tc>
          <w:tcPr>
            <w:tcW w:w="0" w:type="auto"/>
            <w:vAlign w:val="center"/>
          </w:tcPr>
          <w:p w:rsidR="00A826D6" w:rsidRDefault="00FE1310">
            <w:pPr>
              <w:jc w:val="right"/>
            </w:pPr>
            <w:r>
              <w:rPr>
                <w:color w:val="000000"/>
                <w:sz w:val="24"/>
              </w:rPr>
              <w:t>0.83</w:t>
            </w:r>
          </w:p>
        </w:tc>
      </w:tr>
      <w:tr w:rsidR="00A826D6">
        <w:tc>
          <w:tcPr>
            <w:tcW w:w="0" w:type="auto"/>
            <w:vAlign w:val="center"/>
          </w:tcPr>
          <w:p w:rsidR="00A826D6" w:rsidRDefault="00FE1310">
            <w:pPr>
              <w:jc w:val="center"/>
            </w:pPr>
            <w:r>
              <w:rPr>
                <w:color w:val="000000"/>
                <w:sz w:val="24"/>
              </w:rPr>
              <w:t>25</w:t>
            </w:r>
          </w:p>
        </w:tc>
        <w:tc>
          <w:tcPr>
            <w:tcW w:w="0" w:type="auto"/>
            <w:vAlign w:val="center"/>
          </w:tcPr>
          <w:p w:rsidR="00A826D6" w:rsidRDefault="00FE1310">
            <w:pPr>
              <w:jc w:val="center"/>
            </w:pPr>
            <w:r>
              <w:rPr>
                <w:color w:val="000000"/>
                <w:sz w:val="24"/>
              </w:rPr>
              <w:t>128015</w:t>
            </w:r>
          </w:p>
        </w:tc>
        <w:tc>
          <w:tcPr>
            <w:tcW w:w="0" w:type="auto"/>
            <w:vAlign w:val="center"/>
          </w:tcPr>
          <w:p w:rsidR="00A826D6" w:rsidRDefault="00FE1310">
            <w:pPr>
              <w:jc w:val="center"/>
            </w:pPr>
            <w:r>
              <w:rPr>
                <w:color w:val="000000"/>
                <w:sz w:val="24"/>
              </w:rPr>
              <w:t>久其转债</w:t>
            </w:r>
          </w:p>
        </w:tc>
        <w:tc>
          <w:tcPr>
            <w:tcW w:w="0" w:type="auto"/>
            <w:vAlign w:val="center"/>
          </w:tcPr>
          <w:p w:rsidR="00A826D6" w:rsidRDefault="00FE1310">
            <w:pPr>
              <w:jc w:val="right"/>
            </w:pPr>
            <w:r>
              <w:rPr>
                <w:color w:val="000000"/>
                <w:sz w:val="24"/>
              </w:rPr>
              <w:t>1,982,567.86</w:t>
            </w:r>
          </w:p>
        </w:tc>
        <w:tc>
          <w:tcPr>
            <w:tcW w:w="0" w:type="auto"/>
            <w:vAlign w:val="center"/>
          </w:tcPr>
          <w:p w:rsidR="00A826D6" w:rsidRDefault="00FE1310">
            <w:pPr>
              <w:jc w:val="right"/>
            </w:pPr>
            <w:r>
              <w:rPr>
                <w:color w:val="000000"/>
                <w:sz w:val="24"/>
              </w:rPr>
              <w:t>0.56</w:t>
            </w:r>
          </w:p>
        </w:tc>
      </w:tr>
      <w:tr w:rsidR="00A826D6">
        <w:tc>
          <w:tcPr>
            <w:tcW w:w="0" w:type="auto"/>
            <w:vAlign w:val="center"/>
          </w:tcPr>
          <w:p w:rsidR="00A826D6" w:rsidRDefault="00FE1310">
            <w:pPr>
              <w:jc w:val="center"/>
            </w:pPr>
            <w:r>
              <w:rPr>
                <w:color w:val="000000"/>
                <w:sz w:val="24"/>
              </w:rPr>
              <w:t>26</w:t>
            </w:r>
          </w:p>
        </w:tc>
        <w:tc>
          <w:tcPr>
            <w:tcW w:w="0" w:type="auto"/>
            <w:vAlign w:val="center"/>
          </w:tcPr>
          <w:p w:rsidR="00A826D6" w:rsidRDefault="00FE1310">
            <w:pPr>
              <w:jc w:val="center"/>
            </w:pPr>
            <w:r>
              <w:rPr>
                <w:color w:val="000000"/>
                <w:sz w:val="24"/>
              </w:rPr>
              <w:t>128042</w:t>
            </w:r>
          </w:p>
        </w:tc>
        <w:tc>
          <w:tcPr>
            <w:tcW w:w="0" w:type="auto"/>
            <w:vAlign w:val="center"/>
          </w:tcPr>
          <w:p w:rsidR="00A826D6" w:rsidRDefault="00FE1310">
            <w:pPr>
              <w:jc w:val="center"/>
            </w:pPr>
            <w:r>
              <w:rPr>
                <w:color w:val="000000"/>
                <w:sz w:val="24"/>
              </w:rPr>
              <w:t>凯中转债</w:t>
            </w:r>
          </w:p>
        </w:tc>
        <w:tc>
          <w:tcPr>
            <w:tcW w:w="0" w:type="auto"/>
            <w:vAlign w:val="center"/>
          </w:tcPr>
          <w:p w:rsidR="00A826D6" w:rsidRDefault="00FE1310">
            <w:pPr>
              <w:jc w:val="right"/>
            </w:pPr>
            <w:r>
              <w:rPr>
                <w:color w:val="000000"/>
                <w:sz w:val="24"/>
              </w:rPr>
              <w:t>1,961,075.20</w:t>
            </w:r>
          </w:p>
        </w:tc>
        <w:tc>
          <w:tcPr>
            <w:tcW w:w="0" w:type="auto"/>
            <w:vAlign w:val="center"/>
          </w:tcPr>
          <w:p w:rsidR="00A826D6" w:rsidRDefault="00FE1310">
            <w:pPr>
              <w:jc w:val="right"/>
            </w:pPr>
            <w:r>
              <w:rPr>
                <w:color w:val="000000"/>
                <w:sz w:val="24"/>
              </w:rPr>
              <w:t>0.55</w:t>
            </w:r>
          </w:p>
        </w:tc>
      </w:tr>
    </w:tbl>
    <w:p w:rsidR="00F016DD" w:rsidRPr="00E7356F" w:rsidRDefault="00F016DD" w:rsidP="001D5CD0">
      <w:pPr>
        <w:autoSpaceDE w:val="0"/>
        <w:autoSpaceDN w:val="0"/>
        <w:adjustRightInd w:val="0"/>
        <w:spacing w:line="360" w:lineRule="auto"/>
        <w:jc w:val="left"/>
        <w:rPr>
          <w:rFonts w:ascii="宋体"/>
          <w:bCs/>
          <w:sz w:val="24"/>
        </w:rPr>
      </w:pPr>
      <w:r w:rsidRPr="00E7356F">
        <w:rPr>
          <w:rFonts w:ascii="宋体" w:hAnsi="宋体" w:cs="Arial"/>
          <w:kern w:val="0"/>
          <w:sz w:val="24"/>
        </w:rPr>
        <w:t>5.11.5</w:t>
      </w:r>
      <w:r w:rsidRPr="00E7356F">
        <w:rPr>
          <w:rFonts w:ascii="宋体" w:hAnsi="宋体" w:hint="eastAsia"/>
          <w:bCs/>
          <w:sz w:val="24"/>
        </w:rPr>
        <w:t>报告期末前十名股票中存在流通受限情况的说明</w:t>
      </w:r>
    </w:p>
    <w:p w:rsidR="00F016DD" w:rsidRPr="00DF18FE" w:rsidRDefault="00F016DD" w:rsidP="00DF18FE">
      <w:pPr>
        <w:spacing w:line="360" w:lineRule="auto"/>
        <w:ind w:firstLineChars="200" w:firstLine="480"/>
        <w:rPr>
          <w:color w:val="000000"/>
          <w:sz w:val="24"/>
        </w:rPr>
      </w:pPr>
      <w:r w:rsidRPr="00DF18FE">
        <w:rPr>
          <w:color w:val="000000"/>
          <w:sz w:val="24"/>
        </w:rPr>
        <w:t>本基金本报告期末前十名股票中不存在流通受限情况。</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 xml:space="preserve">6  </w:t>
      </w:r>
      <w:r w:rsidRPr="0078105B">
        <w:rPr>
          <w:rFonts w:ascii="宋体" w:hAnsi="宋体" w:cs="Arial" w:hint="eastAsia"/>
          <w:color w:val="000000"/>
          <w:kern w:val="0"/>
          <w:sz w:val="24"/>
          <w:szCs w:val="24"/>
        </w:rPr>
        <w:t>开放式基金份额变动</w:t>
      </w:r>
    </w:p>
    <w:p w:rsidR="00F016DD" w:rsidRPr="00FA472B" w:rsidRDefault="00F016DD" w:rsidP="00302187">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84643">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sz w:val="24"/>
              </w:rPr>
              <w:t>易方达双债增强债券</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sz w:val="24"/>
              </w:rPr>
              <w:t>易方达双债增强债券</w:t>
            </w:r>
            <w:r w:rsidRPr="00FA472B">
              <w:rPr>
                <w:sz w:val="24"/>
              </w:rPr>
              <w:t>C</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56,788,435.35</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50,746,867.67</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83,604,398.78</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98,793,585.87</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24,310,030.20</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32,105,861.16</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A1276C">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B57BCF">
            <w:pPr>
              <w:autoSpaceDE w:val="0"/>
              <w:autoSpaceDN w:val="0"/>
              <w:adjustRightInd w:val="0"/>
              <w:spacing w:before="29" w:line="360" w:lineRule="auto"/>
              <w:ind w:left="17"/>
              <w:jc w:val="right"/>
              <w:rPr>
                <w:color w:val="000000"/>
                <w:sz w:val="24"/>
              </w:rPr>
            </w:pPr>
            <w:r w:rsidRPr="00FA472B">
              <w:rPr>
                <w:color w:val="000000"/>
                <w:sz w:val="24"/>
              </w:rPr>
              <w:t>116,082,803.93</w:t>
            </w:r>
          </w:p>
        </w:tc>
        <w:tc>
          <w:tcPr>
            <w:tcW w:w="2367" w:type="dxa"/>
            <w:tcBorders>
              <w:top w:val="single" w:sz="8" w:space="0" w:color="000000"/>
              <w:left w:val="single" w:sz="8" w:space="0" w:color="000000"/>
              <w:bottom w:val="single" w:sz="8" w:space="0" w:color="000000"/>
              <w:right w:val="single" w:sz="8" w:space="0" w:color="000000"/>
            </w:tcBorders>
            <w:vAlign w:val="center"/>
          </w:tcPr>
          <w:p w:rsidR="00F016DD" w:rsidRPr="00FA472B" w:rsidRDefault="00F016DD" w:rsidP="00936D40">
            <w:pPr>
              <w:autoSpaceDE w:val="0"/>
              <w:autoSpaceDN w:val="0"/>
              <w:adjustRightInd w:val="0"/>
              <w:spacing w:before="29" w:line="360" w:lineRule="auto"/>
              <w:ind w:left="17"/>
              <w:jc w:val="right"/>
              <w:rPr>
                <w:color w:val="000000"/>
                <w:sz w:val="24"/>
              </w:rPr>
            </w:pPr>
            <w:r w:rsidRPr="00FA472B">
              <w:rPr>
                <w:color w:val="000000"/>
                <w:sz w:val="24"/>
              </w:rPr>
              <w:t>117,434,592.38</w:t>
            </w:r>
          </w:p>
        </w:tc>
      </w:tr>
    </w:tbl>
    <w:p w:rsidR="00F016DD" w:rsidRDefault="00F016DD" w:rsidP="00B54884">
      <w:pPr>
        <w:pStyle w:val="1"/>
        <w:tabs>
          <w:tab w:val="center" w:pos="4156"/>
          <w:tab w:val="right" w:pos="8312"/>
        </w:tabs>
        <w:spacing w:beforeLines="100" w:before="312" w:afterLines="100" w:after="312" w:line="360" w:lineRule="auto"/>
        <w:jc w:val="center"/>
        <w:rPr>
          <w:rFonts w:ascii="方正仿宋简体"/>
          <w:sz w:val="24"/>
          <w:szCs w:val="24"/>
        </w:rPr>
      </w:pPr>
      <w:r w:rsidRPr="00AB67DE">
        <w:rPr>
          <w:rFonts w:ascii="宋体" w:hAnsi="宋体" w:cs="Arial" w:hint="eastAsia"/>
          <w:color w:val="000000"/>
          <w:kern w:val="0"/>
          <w:sz w:val="24"/>
          <w:szCs w:val="24"/>
        </w:rPr>
        <w:t>§</w:t>
      </w:r>
      <w:r w:rsidRPr="00AB67DE">
        <w:rPr>
          <w:rFonts w:ascii="宋体" w:cs="Arial"/>
          <w:color w:val="000000"/>
          <w:kern w:val="0"/>
          <w:sz w:val="24"/>
          <w:szCs w:val="24"/>
        </w:rPr>
        <w:t>7</w:t>
      </w:r>
      <w:r w:rsidR="0066098B" w:rsidRPr="0078105B">
        <w:rPr>
          <w:rFonts w:ascii="宋体" w:hAnsi="宋体" w:cs="Arial"/>
          <w:color w:val="000000"/>
          <w:kern w:val="0"/>
          <w:sz w:val="24"/>
          <w:szCs w:val="24"/>
        </w:rPr>
        <w:t xml:space="preserve">  </w:t>
      </w:r>
      <w:r w:rsidRPr="0016464C">
        <w:rPr>
          <w:rFonts w:ascii="方正仿宋简体" w:hint="eastAsia"/>
          <w:sz w:val="24"/>
          <w:szCs w:val="24"/>
        </w:rPr>
        <w:t>基金管理人运用固有资金投资本基金情况</w:t>
      </w:r>
    </w:p>
    <w:p w:rsidR="00F016DD" w:rsidRPr="00B76BBB" w:rsidRDefault="00F016DD" w:rsidP="00935FB1">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CC78C7" w:rsidRPr="00266D4B" w:rsidRDefault="00CC78C7" w:rsidP="00CC78C7">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67"/>
        <w:gridCol w:w="2616"/>
        <w:gridCol w:w="2631"/>
      </w:tblGrid>
      <w:tr w:rsidR="00CC78C7" w:rsidRPr="00E90B39" w:rsidTr="00964538">
        <w:trPr>
          <w:trHeight w:val="248"/>
        </w:trPr>
        <w:tc>
          <w:tcPr>
            <w:tcW w:w="3167" w:type="dxa"/>
            <w:vAlign w:val="center"/>
          </w:tcPr>
          <w:p w:rsidR="00CC78C7" w:rsidRPr="00FA472B" w:rsidRDefault="00CC78C7" w:rsidP="00964538">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CC78C7" w:rsidRPr="00FA472B" w:rsidRDefault="00CC78C7" w:rsidP="00964538">
            <w:pPr>
              <w:jc w:val="center"/>
              <w:rPr>
                <w:sz w:val="24"/>
              </w:rPr>
            </w:pPr>
            <w:r w:rsidRPr="00FA472B">
              <w:rPr>
                <w:sz w:val="24"/>
              </w:rPr>
              <w:t>易方达双债增强债券</w:t>
            </w:r>
            <w:r w:rsidRPr="00FA472B">
              <w:rPr>
                <w:sz w:val="24"/>
              </w:rPr>
              <w:t>A</w:t>
            </w:r>
          </w:p>
        </w:tc>
        <w:tc>
          <w:tcPr>
            <w:tcW w:w="2631" w:type="dxa"/>
            <w:vAlign w:val="bottom"/>
          </w:tcPr>
          <w:p w:rsidR="00CC78C7" w:rsidRPr="00FA472B" w:rsidRDefault="00CC78C7" w:rsidP="00964538">
            <w:pPr>
              <w:jc w:val="center"/>
              <w:rPr>
                <w:sz w:val="24"/>
              </w:rPr>
            </w:pPr>
            <w:r w:rsidRPr="00FA472B">
              <w:rPr>
                <w:sz w:val="24"/>
              </w:rPr>
              <w:t>易方达双债增强债券</w:t>
            </w:r>
            <w:r w:rsidRPr="00FA472B">
              <w:rPr>
                <w:sz w:val="24"/>
              </w:rPr>
              <w:t>C</w:t>
            </w:r>
          </w:p>
        </w:tc>
      </w:tr>
      <w:tr w:rsidR="00CC78C7" w:rsidRPr="00E90B39" w:rsidTr="00964538">
        <w:trPr>
          <w:trHeight w:val="247"/>
        </w:trPr>
        <w:tc>
          <w:tcPr>
            <w:tcW w:w="3167" w:type="dxa"/>
            <w:vAlign w:val="center"/>
          </w:tcPr>
          <w:p w:rsidR="00CC78C7" w:rsidRPr="00FA472B" w:rsidRDefault="00CC78C7" w:rsidP="00964538">
            <w:pPr>
              <w:pStyle w:val="ac"/>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3,821,865.60</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3B42FF">
              <w:rPr>
                <w:rFonts w:eastAsiaTheme="minorEastAsia"/>
                <w:color w:val="000000" w:themeColor="text1"/>
                <w:kern w:val="0"/>
                <w:sz w:val="24"/>
              </w:rPr>
              <w:t>报告期</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CC78C7" w:rsidRPr="00FA472B" w:rsidRDefault="00CC78C7" w:rsidP="00964538">
            <w:pPr>
              <w:jc w:val="right"/>
              <w:rPr>
                <w:color w:val="000000"/>
                <w:kern w:val="0"/>
                <w:sz w:val="24"/>
              </w:rPr>
            </w:pPr>
            <w:r w:rsidRPr="00FA472B">
              <w:rPr>
                <w:color w:val="000000"/>
                <w:sz w:val="24"/>
              </w:rPr>
              <w:t>-</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CC78C7" w:rsidRPr="00FA472B" w:rsidRDefault="00CC78C7" w:rsidP="00964538">
            <w:pPr>
              <w:jc w:val="right"/>
              <w:rPr>
                <w:sz w:val="24"/>
              </w:rPr>
            </w:pPr>
            <w:r w:rsidRPr="00FA472B">
              <w:rPr>
                <w:color w:val="000000"/>
                <w:sz w:val="24"/>
              </w:rPr>
              <w:t>3,821,865.60</w:t>
            </w:r>
          </w:p>
        </w:tc>
        <w:tc>
          <w:tcPr>
            <w:tcW w:w="2631" w:type="dxa"/>
            <w:vAlign w:val="center"/>
          </w:tcPr>
          <w:p w:rsidR="00CC78C7" w:rsidRPr="00FA472B" w:rsidRDefault="00CC78C7" w:rsidP="00964538">
            <w:pPr>
              <w:jc w:val="right"/>
              <w:rPr>
                <w:sz w:val="24"/>
              </w:rPr>
            </w:pPr>
            <w:r w:rsidRPr="00FA472B">
              <w:rPr>
                <w:color w:val="000000"/>
                <w:sz w:val="24"/>
              </w:rPr>
              <w:t>-</w:t>
            </w:r>
          </w:p>
        </w:tc>
      </w:tr>
      <w:tr w:rsidR="00CC78C7" w:rsidRPr="00E90B39" w:rsidTr="00964538">
        <w:tc>
          <w:tcPr>
            <w:tcW w:w="3167" w:type="dxa"/>
            <w:vAlign w:val="center"/>
          </w:tcPr>
          <w:p w:rsidR="00CC78C7" w:rsidRPr="00FA472B" w:rsidRDefault="00CC78C7" w:rsidP="00964538">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CC78C7" w:rsidRPr="00FA472B" w:rsidRDefault="00CC78C7" w:rsidP="00964538">
            <w:pPr>
              <w:jc w:val="right"/>
              <w:rPr>
                <w:color w:val="000000"/>
                <w:kern w:val="0"/>
                <w:sz w:val="24"/>
              </w:rPr>
            </w:pPr>
            <w:r w:rsidRPr="00FA472B">
              <w:rPr>
                <w:color w:val="000000"/>
                <w:sz w:val="24"/>
              </w:rPr>
              <w:t>3.2924</w:t>
            </w:r>
          </w:p>
        </w:tc>
        <w:tc>
          <w:tcPr>
            <w:tcW w:w="2631" w:type="dxa"/>
            <w:vAlign w:val="center"/>
          </w:tcPr>
          <w:p w:rsidR="00CC78C7" w:rsidRPr="00FA472B" w:rsidRDefault="00CC78C7" w:rsidP="00964538">
            <w:pPr>
              <w:jc w:val="right"/>
              <w:rPr>
                <w:color w:val="000000"/>
                <w:kern w:val="0"/>
                <w:sz w:val="24"/>
              </w:rPr>
            </w:pPr>
            <w:r w:rsidRPr="00FA472B">
              <w:rPr>
                <w:color w:val="000000"/>
                <w:sz w:val="24"/>
              </w:rPr>
              <w:t>-</w:t>
            </w:r>
          </w:p>
        </w:tc>
      </w:tr>
    </w:tbl>
    <w:p w:rsidR="00F016DD" w:rsidRPr="00B76BBB" w:rsidRDefault="00F016DD" w:rsidP="00935FB1">
      <w:pPr>
        <w:spacing w:line="360" w:lineRule="auto"/>
        <w:jc w:val="left"/>
        <w:rPr>
          <w:sz w:val="24"/>
        </w:rPr>
      </w:pPr>
      <w:r>
        <w:rPr>
          <w:b/>
          <w:sz w:val="24"/>
        </w:rPr>
        <w:t xml:space="preserve">7.2 </w:t>
      </w:r>
      <w:r>
        <w:rPr>
          <w:rFonts w:hint="eastAsia"/>
          <w:b/>
          <w:sz w:val="24"/>
        </w:rPr>
        <w:t>基</w:t>
      </w:r>
      <w:r w:rsidRPr="00B404F1">
        <w:rPr>
          <w:rFonts w:hint="eastAsia"/>
          <w:b/>
          <w:sz w:val="24"/>
        </w:rPr>
        <w:t>金管理人运用固有资金投资本基金交易明细</w:t>
      </w:r>
    </w:p>
    <w:p w:rsidR="00F016DD" w:rsidRPr="00DF18FE" w:rsidRDefault="00F016DD" w:rsidP="00DF18FE">
      <w:pPr>
        <w:spacing w:line="360" w:lineRule="auto"/>
        <w:ind w:firstLineChars="200" w:firstLine="480"/>
        <w:rPr>
          <w:color w:val="000000"/>
          <w:sz w:val="24"/>
        </w:rPr>
      </w:pPr>
      <w:r w:rsidRPr="00DF18FE">
        <w:rPr>
          <w:color w:val="000000"/>
          <w:sz w:val="24"/>
        </w:rPr>
        <w:t>本报告期内基金管理人未运用固有资金申购、赎回、买卖本基金份额。</w:t>
      </w:r>
    </w:p>
    <w:p w:rsidR="00F016DD" w:rsidRPr="0078105B" w:rsidRDefault="00F016DD" w:rsidP="00B54884">
      <w:pPr>
        <w:pStyle w:val="1"/>
        <w:spacing w:beforeLines="100" w:before="312" w:afterLines="100" w:after="312" w:line="360" w:lineRule="auto"/>
        <w:jc w:val="center"/>
        <w:rPr>
          <w:rFonts w:ascii="宋体" w:cs="Arial"/>
          <w:color w:val="000000"/>
          <w:kern w:val="0"/>
          <w:sz w:val="24"/>
          <w:szCs w:val="24"/>
        </w:rPr>
      </w:pPr>
      <w:r w:rsidRPr="0078105B">
        <w:rPr>
          <w:rFonts w:ascii="宋体" w:hAnsi="宋体" w:cs="Arial" w:hint="eastAsia"/>
          <w:color w:val="000000"/>
          <w:kern w:val="0"/>
          <w:sz w:val="24"/>
          <w:szCs w:val="24"/>
        </w:rPr>
        <w:t>§</w:t>
      </w:r>
      <w:r w:rsidRPr="0078105B">
        <w:rPr>
          <w:rFonts w:ascii="宋体" w:hAnsi="宋体" w:cs="Arial"/>
          <w:color w:val="000000"/>
          <w:kern w:val="0"/>
          <w:sz w:val="24"/>
          <w:szCs w:val="24"/>
        </w:rPr>
        <w:t>8</w:t>
      </w:r>
      <w:r w:rsidR="0066098B" w:rsidRPr="0078105B">
        <w:rPr>
          <w:rFonts w:ascii="宋体" w:hAnsi="宋体" w:cs="Arial"/>
          <w:color w:val="000000"/>
          <w:kern w:val="0"/>
          <w:sz w:val="24"/>
          <w:szCs w:val="24"/>
        </w:rPr>
        <w:t xml:space="preserve">  </w:t>
      </w:r>
      <w:r w:rsidRPr="0078105B">
        <w:rPr>
          <w:rFonts w:ascii="宋体" w:hAnsi="宋体" w:cs="Arial" w:hint="eastAsia"/>
          <w:color w:val="000000"/>
          <w:kern w:val="0"/>
          <w:sz w:val="24"/>
          <w:szCs w:val="24"/>
        </w:rPr>
        <w:t>备查文件目录</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8.1</w:t>
      </w:r>
      <w:r w:rsidRPr="00E8153C">
        <w:rPr>
          <w:color w:val="000000"/>
          <w:kern w:val="0"/>
          <w:sz w:val="24"/>
        </w:rPr>
        <w:t>备查文件目录</w:t>
      </w:r>
    </w:p>
    <w:p w:rsidR="00A826D6" w:rsidRDefault="00FE1310">
      <w:pPr>
        <w:spacing w:line="360" w:lineRule="auto"/>
        <w:ind w:firstLineChars="200" w:firstLine="480"/>
        <w:rPr>
          <w:color w:val="000000"/>
          <w:sz w:val="24"/>
        </w:rPr>
      </w:pPr>
      <w:r>
        <w:rPr>
          <w:color w:val="000000"/>
          <w:sz w:val="24"/>
        </w:rPr>
        <w:t xml:space="preserve">1. </w:t>
      </w:r>
      <w:r>
        <w:rPr>
          <w:color w:val="000000"/>
          <w:sz w:val="24"/>
        </w:rPr>
        <w:t>中国证监会核准易方达双债增强债券型证券投资基金募集的文件；</w:t>
      </w:r>
    </w:p>
    <w:p w:rsidR="00A826D6" w:rsidRDefault="00FE1310">
      <w:pPr>
        <w:spacing w:line="360" w:lineRule="auto"/>
        <w:ind w:firstLineChars="200" w:firstLine="480"/>
        <w:rPr>
          <w:color w:val="000000"/>
          <w:sz w:val="24"/>
        </w:rPr>
      </w:pPr>
      <w:r>
        <w:rPr>
          <w:color w:val="000000"/>
          <w:sz w:val="24"/>
        </w:rPr>
        <w:t>2.</w:t>
      </w:r>
      <w:r>
        <w:rPr>
          <w:color w:val="000000"/>
          <w:sz w:val="24"/>
        </w:rPr>
        <w:t>《易方达双债增强债券型证券投资基金基金合同》；</w:t>
      </w:r>
    </w:p>
    <w:p w:rsidR="00A826D6" w:rsidRDefault="00FE1310">
      <w:pPr>
        <w:spacing w:line="360" w:lineRule="auto"/>
        <w:ind w:firstLineChars="200" w:firstLine="480"/>
        <w:rPr>
          <w:color w:val="000000"/>
          <w:sz w:val="24"/>
        </w:rPr>
      </w:pPr>
      <w:r>
        <w:rPr>
          <w:color w:val="000000"/>
          <w:sz w:val="24"/>
        </w:rPr>
        <w:t>3.</w:t>
      </w:r>
      <w:r>
        <w:rPr>
          <w:color w:val="000000"/>
          <w:sz w:val="24"/>
        </w:rPr>
        <w:t>《易方达双债增强债券型证券投资基金托管协议》；</w:t>
      </w:r>
    </w:p>
    <w:p w:rsidR="00A826D6" w:rsidRDefault="00FE1310">
      <w:pPr>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F016DD" w:rsidRPr="00E8153C" w:rsidRDefault="00F016DD" w:rsidP="00DF18FE">
      <w:pPr>
        <w:spacing w:line="360" w:lineRule="auto"/>
        <w:ind w:firstLineChars="200" w:firstLine="480"/>
        <w:rPr>
          <w:color w:val="000000"/>
          <w:sz w:val="24"/>
        </w:rPr>
      </w:pPr>
      <w:r w:rsidRPr="00E8153C">
        <w:rPr>
          <w:color w:val="000000"/>
          <w:sz w:val="24"/>
        </w:rPr>
        <w:t>5.</w:t>
      </w:r>
      <w:r w:rsidRPr="00E8153C">
        <w:rPr>
          <w:color w:val="000000"/>
          <w:sz w:val="24"/>
        </w:rPr>
        <w:t>基金管理人业务资格批件、营业执照。</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8.2</w:t>
      </w:r>
      <w:r w:rsidRPr="00E8153C">
        <w:rPr>
          <w:color w:val="000000"/>
          <w:kern w:val="0"/>
          <w:sz w:val="24"/>
        </w:rPr>
        <w:t>存放地点</w:t>
      </w:r>
    </w:p>
    <w:p w:rsidR="00F016DD" w:rsidRPr="00E8153C" w:rsidRDefault="00F016DD" w:rsidP="00DF18FE">
      <w:pPr>
        <w:spacing w:line="360" w:lineRule="auto"/>
        <w:ind w:firstLineChars="200" w:firstLine="480"/>
        <w:rPr>
          <w:color w:val="000000"/>
          <w:sz w:val="24"/>
        </w:rPr>
      </w:pPr>
      <w:r w:rsidRPr="00E8153C">
        <w:rPr>
          <w:color w:val="000000"/>
          <w:sz w:val="24"/>
        </w:rPr>
        <w:t>广州市天河区珠江新城珠江东路</w:t>
      </w:r>
      <w:r w:rsidRPr="00E8153C">
        <w:rPr>
          <w:color w:val="000000"/>
          <w:sz w:val="24"/>
        </w:rPr>
        <w:t>30</w:t>
      </w:r>
      <w:r w:rsidRPr="00E8153C">
        <w:rPr>
          <w:color w:val="000000"/>
          <w:sz w:val="24"/>
        </w:rPr>
        <w:t>号广州银行大厦</w:t>
      </w:r>
      <w:r w:rsidRPr="00E8153C">
        <w:rPr>
          <w:color w:val="000000"/>
          <w:sz w:val="24"/>
        </w:rPr>
        <w:t>40-43</w:t>
      </w:r>
      <w:r w:rsidRPr="00E8153C">
        <w:rPr>
          <w:color w:val="000000"/>
          <w:sz w:val="24"/>
        </w:rPr>
        <w:t>楼。</w:t>
      </w:r>
    </w:p>
    <w:p w:rsidR="00F016DD" w:rsidRPr="00E8153C" w:rsidRDefault="00F016DD" w:rsidP="00FC13C8">
      <w:pPr>
        <w:autoSpaceDE w:val="0"/>
        <w:autoSpaceDN w:val="0"/>
        <w:adjustRightInd w:val="0"/>
        <w:spacing w:line="360" w:lineRule="auto"/>
        <w:jc w:val="left"/>
        <w:rPr>
          <w:color w:val="000000"/>
          <w:kern w:val="0"/>
          <w:sz w:val="24"/>
        </w:rPr>
      </w:pPr>
      <w:r w:rsidRPr="00E8153C">
        <w:rPr>
          <w:color w:val="000000"/>
          <w:kern w:val="0"/>
          <w:sz w:val="24"/>
        </w:rPr>
        <w:t>8.3</w:t>
      </w:r>
      <w:r w:rsidRPr="00E8153C">
        <w:rPr>
          <w:color w:val="000000"/>
          <w:kern w:val="0"/>
          <w:sz w:val="24"/>
        </w:rPr>
        <w:t>查阅方式</w:t>
      </w:r>
    </w:p>
    <w:p w:rsidR="00F016DD" w:rsidRPr="00E8153C" w:rsidRDefault="00F016DD" w:rsidP="00DF18FE">
      <w:pPr>
        <w:spacing w:line="360" w:lineRule="auto"/>
        <w:ind w:firstLineChars="200" w:firstLine="480"/>
        <w:rPr>
          <w:color w:val="000000"/>
          <w:sz w:val="24"/>
        </w:rPr>
      </w:pPr>
      <w:r w:rsidRPr="00E8153C">
        <w:rPr>
          <w:color w:val="000000"/>
          <w:sz w:val="24"/>
        </w:rPr>
        <w:t>投资者可在营业时间免费查阅，也可按工本费购买复印件。</w:t>
      </w:r>
    </w:p>
    <w:p w:rsidR="00F016DD" w:rsidRPr="0078105B" w:rsidRDefault="00F016DD" w:rsidP="00FB3C94">
      <w:pPr>
        <w:spacing w:line="360" w:lineRule="auto"/>
        <w:ind w:left="840"/>
        <w:jc w:val="right"/>
        <w:rPr>
          <w:rFonts w:ascii="宋体"/>
          <w:color w:val="000000"/>
          <w:sz w:val="24"/>
        </w:rPr>
      </w:pPr>
    </w:p>
    <w:p w:rsidR="00F016DD" w:rsidRPr="0078105B" w:rsidRDefault="00F016DD" w:rsidP="00053FFD">
      <w:pPr>
        <w:spacing w:line="360" w:lineRule="auto"/>
        <w:ind w:left="840"/>
        <w:jc w:val="center"/>
        <w:rPr>
          <w:rFonts w:ascii="宋体"/>
          <w:b/>
          <w:color w:val="000000"/>
          <w:sz w:val="24"/>
        </w:rPr>
      </w:pP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易方达基金管理有限公司</w:t>
      </w:r>
    </w:p>
    <w:p w:rsidR="00F016DD" w:rsidRPr="0078105B" w:rsidRDefault="00F016DD" w:rsidP="00B1493B">
      <w:pPr>
        <w:spacing w:line="360" w:lineRule="auto"/>
        <w:jc w:val="right"/>
        <w:rPr>
          <w:rFonts w:ascii="宋体" w:hAnsi="宋体"/>
          <w:b/>
          <w:bCs/>
          <w:sz w:val="24"/>
        </w:rPr>
      </w:pPr>
      <w:r w:rsidRPr="0078105B">
        <w:rPr>
          <w:rFonts w:ascii="宋体" w:hAnsi="宋体"/>
          <w:b/>
          <w:bCs/>
          <w:sz w:val="24"/>
        </w:rPr>
        <w:t>二〇二〇年一月十八日</w:t>
      </w:r>
    </w:p>
    <w:sectPr w:rsidR="00F016DD" w:rsidRPr="0078105B" w:rsidSect="00A8324F">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C8" w:rsidRDefault="00041CC8">
      <w:r>
        <w:separator/>
      </w:r>
    </w:p>
  </w:endnote>
  <w:endnote w:type="continuationSeparator" w:id="0">
    <w:p w:rsidR="00041CC8" w:rsidRDefault="000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1D0DB0" w:rsidRDefault="00611CB2" w:rsidP="00F7094A">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FE1310">
      <w:rPr>
        <w:noProof/>
        <w:szCs w:val="21"/>
      </w:rPr>
      <w:t>1</w:t>
    </w:r>
    <w:r w:rsidR="00F85FCB">
      <w:rPr>
        <w:szCs w:val="21"/>
      </w:rPr>
      <w:fldChar w:fldCharType="end"/>
    </w:r>
    <w:r>
      <w:rPr>
        <w:rFonts w:hint="eastAsia"/>
        <w:szCs w:val="21"/>
      </w:rPr>
      <w:t>页共</w:t>
    </w:r>
    <w:r w:rsidR="00F85FCB">
      <w:rPr>
        <w:szCs w:val="21"/>
      </w:rPr>
      <w:fldChar w:fldCharType="begin"/>
    </w:r>
    <w:r>
      <w:rPr>
        <w:szCs w:val="21"/>
      </w:rPr>
      <w:instrText xml:space="preserve"> NUMPAGES </w:instrText>
    </w:r>
    <w:r w:rsidR="00F85FCB">
      <w:rPr>
        <w:szCs w:val="21"/>
      </w:rPr>
      <w:fldChar w:fldCharType="separate"/>
    </w:r>
    <w:r w:rsidR="00FE1310">
      <w:rPr>
        <w:noProof/>
        <w:szCs w:val="21"/>
      </w:rPr>
      <w:t>1</w:t>
    </w:r>
    <w:r w:rsidR="00F85FCB">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Default="00F85FCB">
    <w:pPr>
      <w:pStyle w:val="a6"/>
      <w:framePr w:wrap="around" w:vAnchor="text" w:hAnchor="margin" w:xAlign="center" w:y="1"/>
      <w:rPr>
        <w:rStyle w:val="a7"/>
      </w:rPr>
    </w:pPr>
    <w:r>
      <w:rPr>
        <w:rStyle w:val="a7"/>
      </w:rPr>
      <w:fldChar w:fldCharType="begin"/>
    </w:r>
    <w:r w:rsidR="00611CB2">
      <w:rPr>
        <w:rStyle w:val="a7"/>
      </w:rPr>
      <w:instrText xml:space="preserve">PAGE  </w:instrText>
    </w:r>
    <w:r>
      <w:rPr>
        <w:rStyle w:val="a7"/>
      </w:rPr>
      <w:fldChar w:fldCharType="separate"/>
    </w:r>
    <w:r w:rsidR="00FE1310">
      <w:rPr>
        <w:rStyle w:val="a7"/>
        <w:noProof/>
      </w:rPr>
      <w:t>2</w:t>
    </w:r>
    <w:r>
      <w:rPr>
        <w:rStyle w:val="a7"/>
      </w:rPr>
      <w:fldChar w:fldCharType="end"/>
    </w:r>
  </w:p>
  <w:p w:rsidR="00611CB2" w:rsidRDefault="00611C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C8" w:rsidRDefault="00041CC8">
      <w:r>
        <w:separator/>
      </w:r>
    </w:p>
  </w:footnote>
  <w:footnote w:type="continuationSeparator" w:id="0">
    <w:p w:rsidR="00041CC8" w:rsidRDefault="0004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B2" w:rsidRPr="00DA451D" w:rsidRDefault="00611CB2" w:rsidP="001207F2">
    <w:pPr>
      <w:pStyle w:val="a9"/>
      <w:pBdr>
        <w:bottom w:val="single" w:sz="6" w:space="0" w:color="auto"/>
      </w:pBdr>
      <w:jc w:val="right"/>
    </w:pPr>
    <w:r w:rsidRPr="00DA451D">
      <w:t>易方达双债增强债券型证券投资基金</w:t>
    </w:r>
    <w:r w:rsidRPr="00DA451D">
      <w:t>2019</w:t>
    </w:r>
    <w:r w:rsidRPr="00DA451D">
      <w:t>年第</w:t>
    </w:r>
    <w:r w:rsidRPr="00DA451D">
      <w:t>4</w:t>
    </w:r>
    <w:r w:rsidRPr="00DA451D">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lvlOverride w:ilvl="2">
      <w:lvl w:ilvl="2">
        <w:start w:val="1"/>
        <w:numFmt w:val="decimal"/>
        <w:lvlText w:val="%1.%2.%3"/>
        <w:lvlJc w:val="left"/>
        <w:pPr>
          <w:tabs>
            <w:tab w:val="num" w:pos="1418"/>
          </w:tabs>
          <w:ind w:left="1418" w:hanging="567"/>
        </w:pPr>
        <w:rPr>
          <w:rFonts w:cs="Times New Roman"/>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D1D"/>
    <w:rsid w:val="00734119"/>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6D6"/>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310"/>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7F53D0-CF46-4ED0-86F5-016774B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6A4828"/>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80952"/>
    <w:rPr>
      <w:b/>
      <w:kern w:val="44"/>
      <w:sz w:val="44"/>
    </w:rPr>
  </w:style>
  <w:style w:type="character" w:customStyle="1" w:styleId="2Char">
    <w:name w:val="标题 2 Char"/>
    <w:link w:val="2"/>
    <w:uiPriority w:val="99"/>
    <w:semiHidden/>
    <w:locked/>
    <w:rsid w:val="00AB1112"/>
    <w:rPr>
      <w:rFonts w:ascii="Cambria" w:eastAsia="宋体" w:hAnsi="Cambria"/>
      <w:b/>
      <w:sz w:val="32"/>
    </w:rPr>
  </w:style>
  <w:style w:type="paragraph" w:styleId="a0">
    <w:name w:val="Normal Indent"/>
    <w:basedOn w:val="a"/>
    <w:uiPriority w:val="99"/>
    <w:rsid w:val="006A4828"/>
    <w:pPr>
      <w:ind w:firstLineChars="200" w:firstLine="420"/>
    </w:pPr>
  </w:style>
  <w:style w:type="paragraph" w:styleId="a4">
    <w:name w:val="Body Text Indent"/>
    <w:basedOn w:val="a"/>
    <w:link w:val="Char"/>
    <w:uiPriority w:val="99"/>
    <w:rsid w:val="006A4828"/>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AB1112"/>
    <w:rPr>
      <w:sz w:val="24"/>
    </w:rPr>
  </w:style>
  <w:style w:type="paragraph" w:styleId="a5">
    <w:name w:val="Plain Text"/>
    <w:basedOn w:val="a"/>
    <w:link w:val="Char0"/>
    <w:uiPriority w:val="99"/>
    <w:rsid w:val="006A4828"/>
    <w:rPr>
      <w:rFonts w:ascii="宋体" w:hAnsi="Courier New"/>
      <w:szCs w:val="21"/>
    </w:rPr>
  </w:style>
  <w:style w:type="character" w:customStyle="1" w:styleId="Char0">
    <w:name w:val="纯文本 Char"/>
    <w:link w:val="a5"/>
    <w:uiPriority w:val="99"/>
    <w:locked/>
    <w:rsid w:val="009A045B"/>
    <w:rPr>
      <w:rFonts w:ascii="宋体" w:hAnsi="Courier New"/>
      <w:kern w:val="2"/>
      <w:sz w:val="21"/>
    </w:rPr>
  </w:style>
  <w:style w:type="paragraph" w:styleId="20">
    <w:name w:val="Body Text Indent 2"/>
    <w:basedOn w:val="a"/>
    <w:link w:val="2Char0"/>
    <w:uiPriority w:val="99"/>
    <w:rsid w:val="006A4828"/>
    <w:pPr>
      <w:spacing w:line="560" w:lineRule="exact"/>
      <w:ind w:firstLineChars="200" w:firstLine="480"/>
    </w:pPr>
    <w:rPr>
      <w:kern w:val="0"/>
      <w:sz w:val="24"/>
    </w:rPr>
  </w:style>
  <w:style w:type="character" w:customStyle="1" w:styleId="2Char0">
    <w:name w:val="正文文本缩进 2 Char"/>
    <w:link w:val="20"/>
    <w:uiPriority w:val="99"/>
    <w:semiHidden/>
    <w:locked/>
    <w:rsid w:val="00AB1112"/>
    <w:rPr>
      <w:sz w:val="24"/>
    </w:rPr>
  </w:style>
  <w:style w:type="paragraph" w:styleId="a6">
    <w:name w:val="footer"/>
    <w:basedOn w:val="a"/>
    <w:link w:val="Char1"/>
    <w:uiPriority w:val="99"/>
    <w:rsid w:val="006A4828"/>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AB1112"/>
    <w:rPr>
      <w:sz w:val="18"/>
    </w:rPr>
  </w:style>
  <w:style w:type="character" w:styleId="a7">
    <w:name w:val="page number"/>
    <w:uiPriority w:val="99"/>
    <w:rsid w:val="006A4828"/>
    <w:rPr>
      <w:rFonts w:cs="Times New Roman"/>
    </w:rPr>
  </w:style>
  <w:style w:type="character" w:styleId="a8">
    <w:name w:val="Hyperlink"/>
    <w:uiPriority w:val="99"/>
    <w:rsid w:val="006A4828"/>
    <w:rPr>
      <w:rFonts w:cs="Times New Roman"/>
      <w:color w:val="0000FF"/>
      <w:u w:val="single"/>
    </w:rPr>
  </w:style>
  <w:style w:type="paragraph" w:styleId="3">
    <w:name w:val="Body Text Indent 3"/>
    <w:basedOn w:val="a"/>
    <w:link w:val="3Char"/>
    <w:uiPriority w:val="99"/>
    <w:rsid w:val="006A4828"/>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AB1112"/>
    <w:rPr>
      <w:sz w:val="16"/>
    </w:rPr>
  </w:style>
  <w:style w:type="paragraph" w:styleId="a9">
    <w:name w:val="header"/>
    <w:basedOn w:val="a"/>
    <w:link w:val="Char2"/>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1207F2"/>
    <w:rPr>
      <w:kern w:val="2"/>
      <w:sz w:val="18"/>
    </w:rPr>
  </w:style>
  <w:style w:type="character" w:customStyle="1" w:styleId="10">
    <w:name w:val="已访问的超链接1"/>
    <w:uiPriority w:val="99"/>
    <w:rsid w:val="006A4828"/>
    <w:rPr>
      <w:color w:val="800080"/>
      <w:u w:val="single"/>
    </w:rPr>
  </w:style>
  <w:style w:type="paragraph" w:styleId="aa">
    <w:name w:val="List"/>
    <w:basedOn w:val="ab"/>
    <w:uiPriority w:val="99"/>
    <w:rsid w:val="006A4828"/>
    <w:pPr>
      <w:spacing w:after="220" w:line="220" w:lineRule="atLeast"/>
      <w:ind w:left="1440" w:hanging="360"/>
    </w:pPr>
    <w:rPr>
      <w:szCs w:val="20"/>
    </w:rPr>
  </w:style>
  <w:style w:type="paragraph" w:styleId="ab">
    <w:name w:val="Body Text"/>
    <w:basedOn w:val="a"/>
    <w:link w:val="Char3"/>
    <w:uiPriority w:val="99"/>
    <w:rsid w:val="006A4828"/>
    <w:pPr>
      <w:spacing w:after="120"/>
    </w:pPr>
    <w:rPr>
      <w:kern w:val="0"/>
      <w:sz w:val="24"/>
    </w:rPr>
  </w:style>
  <w:style w:type="character" w:customStyle="1" w:styleId="Char3">
    <w:name w:val="正文文本 Char"/>
    <w:link w:val="ab"/>
    <w:uiPriority w:val="99"/>
    <w:semiHidden/>
    <w:locked/>
    <w:rsid w:val="00AB1112"/>
    <w:rPr>
      <w:sz w:val="24"/>
    </w:rPr>
  </w:style>
  <w:style w:type="paragraph" w:styleId="ac">
    <w:name w:val="Date"/>
    <w:basedOn w:val="a"/>
    <w:next w:val="a"/>
    <w:link w:val="Char4"/>
    <w:uiPriority w:val="99"/>
    <w:rsid w:val="006A4828"/>
    <w:rPr>
      <w:sz w:val="24"/>
      <w:szCs w:val="20"/>
    </w:rPr>
  </w:style>
  <w:style w:type="character" w:customStyle="1" w:styleId="Char4">
    <w:name w:val="日期 Char"/>
    <w:link w:val="ac"/>
    <w:uiPriority w:val="99"/>
    <w:locked/>
    <w:rsid w:val="00D66685"/>
    <w:rPr>
      <w:kern w:val="2"/>
      <w:sz w:val="24"/>
    </w:rPr>
  </w:style>
  <w:style w:type="character" w:customStyle="1" w:styleId="c1">
    <w:name w:val="c1"/>
    <w:uiPriority w:val="99"/>
    <w:rsid w:val="006A4828"/>
    <w:rPr>
      <w:color w:val="000000"/>
      <w:sz w:val="18"/>
    </w:rPr>
  </w:style>
  <w:style w:type="paragraph" w:styleId="11">
    <w:name w:val="index 1"/>
    <w:basedOn w:val="a"/>
    <w:next w:val="a"/>
    <w:autoRedefine/>
    <w:uiPriority w:val="99"/>
    <w:semiHidden/>
    <w:rsid w:val="006A4828"/>
    <w:pPr>
      <w:jc w:val="right"/>
    </w:pPr>
    <w:rPr>
      <w:color w:val="008000"/>
    </w:rPr>
  </w:style>
  <w:style w:type="paragraph" w:customStyle="1" w:styleId="font5">
    <w:name w:val="font5"/>
    <w:basedOn w:val="a"/>
    <w:uiPriority w:val="99"/>
    <w:rsid w:val="006A482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uiPriority w:val="99"/>
    <w:semiHidden/>
    <w:rsid w:val="006A4828"/>
    <w:rPr>
      <w:kern w:val="0"/>
      <w:sz w:val="2"/>
      <w:szCs w:val="20"/>
    </w:rPr>
  </w:style>
  <w:style w:type="character" w:customStyle="1" w:styleId="Char5">
    <w:name w:val="批注框文本 Char"/>
    <w:link w:val="ad"/>
    <w:uiPriority w:val="99"/>
    <w:semiHidden/>
    <w:locked/>
    <w:rsid w:val="00AB1112"/>
    <w:rPr>
      <w:sz w:val="2"/>
    </w:rPr>
  </w:style>
  <w:style w:type="character" w:styleId="ae">
    <w:name w:val="annotation reference"/>
    <w:semiHidden/>
    <w:rsid w:val="006A4828"/>
    <w:rPr>
      <w:rFonts w:cs="Times New Roman"/>
      <w:sz w:val="21"/>
    </w:rPr>
  </w:style>
  <w:style w:type="paragraph" w:styleId="af">
    <w:name w:val="annotation text"/>
    <w:basedOn w:val="a"/>
    <w:link w:val="Char6"/>
    <w:semiHidden/>
    <w:rsid w:val="006A4828"/>
    <w:pPr>
      <w:jc w:val="left"/>
    </w:pPr>
    <w:rPr>
      <w:kern w:val="0"/>
      <w:sz w:val="24"/>
    </w:rPr>
  </w:style>
  <w:style w:type="character" w:customStyle="1" w:styleId="Char6">
    <w:name w:val="批注文字 Char"/>
    <w:link w:val="af"/>
    <w:uiPriority w:val="99"/>
    <w:semiHidden/>
    <w:locked/>
    <w:rsid w:val="00AB1112"/>
    <w:rPr>
      <w:sz w:val="24"/>
    </w:rPr>
  </w:style>
  <w:style w:type="paragraph" w:styleId="af0">
    <w:name w:val="annotation subject"/>
    <w:basedOn w:val="af"/>
    <w:next w:val="af"/>
    <w:link w:val="Char7"/>
    <w:uiPriority w:val="99"/>
    <w:semiHidden/>
    <w:rsid w:val="006A4828"/>
    <w:rPr>
      <w:b/>
      <w:bCs/>
    </w:rPr>
  </w:style>
  <w:style w:type="character" w:customStyle="1" w:styleId="Char7">
    <w:name w:val="批注主题 Char"/>
    <w:link w:val="af0"/>
    <w:uiPriority w:val="99"/>
    <w:semiHidden/>
    <w:locked/>
    <w:rsid w:val="00AB1112"/>
    <w:rPr>
      <w:b/>
      <w:sz w:val="24"/>
    </w:rPr>
  </w:style>
  <w:style w:type="paragraph" w:customStyle="1" w:styleId="Char8">
    <w:name w:val="Char"/>
    <w:basedOn w:val="a"/>
    <w:uiPriority w:val="99"/>
    <w:rsid w:val="006A4828"/>
  </w:style>
  <w:style w:type="paragraph" w:styleId="af1">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1"/>
    <w:uiPriority w:val="99"/>
    <w:semiHidden/>
    <w:locked/>
    <w:rsid w:val="00AB1112"/>
    <w:rPr>
      <w:sz w:val="2"/>
    </w:r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a"/>
    <w:uiPriority w:val="99"/>
    <w:rsid w:val="000B251E"/>
    <w:pPr>
      <w:snapToGrid w:val="0"/>
      <w:jc w:val="left"/>
    </w:pPr>
    <w:rPr>
      <w:sz w:val="18"/>
      <w:szCs w:val="18"/>
    </w:rPr>
  </w:style>
  <w:style w:type="character" w:customStyle="1" w:styleId="Chara">
    <w:name w:val="脚注文本 Char"/>
    <w:link w:val="af3"/>
    <w:uiPriority w:val="99"/>
    <w:locked/>
    <w:rsid w:val="00CB481C"/>
    <w:rPr>
      <w:kern w:val="2"/>
      <w:sz w:val="18"/>
    </w:rPr>
  </w:style>
  <w:style w:type="character" w:styleId="af4">
    <w:name w:val="footnote reference"/>
    <w:uiPriority w:val="99"/>
    <w:rsid w:val="000B251E"/>
    <w:rPr>
      <w:rFonts w:cs="Times New Roman"/>
      <w:vertAlign w:val="superscript"/>
    </w:rPr>
  </w:style>
  <w:style w:type="paragraph" w:styleId="af5">
    <w:name w:val="Normal (Web)"/>
    <w:basedOn w:val="a"/>
    <w:uiPriority w:val="99"/>
    <w:rsid w:val="00B25807"/>
    <w:pPr>
      <w:widowControl/>
      <w:spacing w:before="100" w:beforeAutospacing="1" w:after="100" w:afterAutospacing="1"/>
      <w:jc w:val="left"/>
    </w:pPr>
    <w:rPr>
      <w:rFonts w:ascii="宋体" w:hAnsi="宋体"/>
      <w:kern w:val="0"/>
      <w:sz w:val="24"/>
    </w:rPr>
  </w:style>
  <w:style w:type="paragraph" w:customStyle="1" w:styleId="Char10">
    <w:name w:val="Char1"/>
    <w:basedOn w:val="a"/>
    <w:uiPriority w:val="99"/>
    <w:rsid w:val="00D97213"/>
  </w:style>
  <w:style w:type="character" w:customStyle="1" w:styleId="t1">
    <w:name w:val="t1"/>
    <w:uiPriority w:val="99"/>
    <w:rsid w:val="002D2A00"/>
    <w:rPr>
      <w:color w:val="990000"/>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numbering" w:customStyle="1" w:styleId="5">
    <w:name w:val="样式5"/>
    <w:rsid w:val="00C00FED"/>
    <w:pPr>
      <w:numPr>
        <w:numId w:val="8"/>
      </w:numPr>
    </w:pPr>
  </w:style>
  <w:style w:type="character" w:styleId="af6">
    <w:name w:val="Strong"/>
    <w:uiPriority w:val="22"/>
    <w:qFormat/>
    <w:locked/>
    <w:rsid w:val="00AE2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Template>
  <TotalTime>0</TotalTime>
  <Pages>5</Pages>
  <Words>1366</Words>
  <Characters>7791</Characters>
  <Application>Microsoft Office Word</Application>
  <DocSecurity>4</DocSecurity>
  <Lines>64</Lines>
  <Paragraphs>18</Paragraphs>
  <ScaleCrop>false</ScaleCrop>
  <Company>TRT. Ltd. Co.</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2020-01-13T02:42:00Z</dcterms:created>
  <dcterms:modified xsi:type="dcterms:W3CDTF">2020-01-13T02:42:00Z</dcterms:modified>
</cp:coreProperties>
</file>