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51" w:rsidRPr="00820253" w:rsidRDefault="00F13451" w:rsidP="00397616">
      <w:pPr>
        <w:autoSpaceDE w:val="0"/>
        <w:autoSpaceDN w:val="0"/>
        <w:adjustRightInd w:val="0"/>
        <w:spacing w:line="360" w:lineRule="auto"/>
        <w:jc w:val="left"/>
        <w:rPr>
          <w:rFonts w:ascii="宋体" w:cs="Arial"/>
          <w:color w:val="000000"/>
          <w:kern w:val="0"/>
          <w:sz w:val="24"/>
        </w:rPr>
      </w:pPr>
      <w:bookmarkStart w:id="0" w:name="_GoBack"/>
      <w:bookmarkEnd w:id="0"/>
    </w:p>
    <w:p w:rsidR="00F13451" w:rsidRPr="00820253" w:rsidRDefault="00F13451" w:rsidP="00397616">
      <w:pPr>
        <w:autoSpaceDE w:val="0"/>
        <w:autoSpaceDN w:val="0"/>
        <w:adjustRightInd w:val="0"/>
        <w:spacing w:line="360" w:lineRule="auto"/>
        <w:jc w:val="left"/>
        <w:rPr>
          <w:rFonts w:ascii="宋体" w:cs="Arial"/>
          <w:color w:val="000000"/>
          <w:kern w:val="0"/>
          <w:sz w:val="24"/>
        </w:rPr>
      </w:pPr>
    </w:p>
    <w:p w:rsidR="00F13451" w:rsidRPr="00820253" w:rsidRDefault="00F13451" w:rsidP="00397616">
      <w:pPr>
        <w:autoSpaceDE w:val="0"/>
        <w:autoSpaceDN w:val="0"/>
        <w:adjustRightInd w:val="0"/>
        <w:spacing w:line="360" w:lineRule="auto"/>
        <w:jc w:val="left"/>
        <w:rPr>
          <w:rFonts w:ascii="宋体" w:cs="Arial"/>
          <w:color w:val="000000"/>
          <w:kern w:val="0"/>
          <w:sz w:val="24"/>
        </w:rPr>
      </w:pPr>
    </w:p>
    <w:p w:rsidR="00F13451" w:rsidRPr="00820253" w:rsidRDefault="00F13451" w:rsidP="00397616">
      <w:pPr>
        <w:autoSpaceDE w:val="0"/>
        <w:autoSpaceDN w:val="0"/>
        <w:adjustRightInd w:val="0"/>
        <w:spacing w:line="360" w:lineRule="auto"/>
        <w:jc w:val="left"/>
        <w:rPr>
          <w:rFonts w:ascii="宋体" w:cs="Arial"/>
          <w:color w:val="000000"/>
          <w:kern w:val="0"/>
          <w:sz w:val="24"/>
        </w:rPr>
      </w:pPr>
    </w:p>
    <w:p w:rsidR="00F13451" w:rsidRPr="00820253" w:rsidRDefault="00F13451" w:rsidP="004A355B">
      <w:pPr>
        <w:autoSpaceDE w:val="0"/>
        <w:autoSpaceDN w:val="0"/>
        <w:adjustRightInd w:val="0"/>
        <w:spacing w:line="360" w:lineRule="auto"/>
        <w:jc w:val="left"/>
        <w:rPr>
          <w:rFonts w:ascii="宋体" w:cs="Arial"/>
          <w:color w:val="000000"/>
          <w:kern w:val="0"/>
          <w:sz w:val="24"/>
        </w:rPr>
      </w:pPr>
    </w:p>
    <w:p w:rsidR="00F13451" w:rsidRPr="00820253" w:rsidRDefault="00F13451" w:rsidP="001A149A">
      <w:pPr>
        <w:spacing w:line="360" w:lineRule="auto"/>
        <w:jc w:val="center"/>
        <w:rPr>
          <w:rFonts w:ascii="宋体" w:hAnsi="宋体"/>
          <w:b/>
          <w:sz w:val="36"/>
          <w:szCs w:val="36"/>
        </w:rPr>
      </w:pPr>
      <w:r w:rsidRPr="00820253">
        <w:rPr>
          <w:rFonts w:ascii="宋体" w:hAnsi="宋体"/>
          <w:b/>
          <w:sz w:val="36"/>
          <w:szCs w:val="36"/>
        </w:rPr>
        <w:t>易方达标普信息科技指数证券投资基金（LOF）</w:t>
      </w:r>
    </w:p>
    <w:p w:rsidR="00F13451" w:rsidRPr="00820253" w:rsidRDefault="00F13451" w:rsidP="001A149A">
      <w:pPr>
        <w:spacing w:line="360" w:lineRule="auto"/>
        <w:jc w:val="center"/>
        <w:rPr>
          <w:rFonts w:ascii="宋体" w:hAnsi="宋体"/>
          <w:b/>
          <w:sz w:val="36"/>
          <w:szCs w:val="36"/>
        </w:rPr>
      </w:pPr>
      <w:r w:rsidRPr="00820253">
        <w:rPr>
          <w:rFonts w:ascii="宋体" w:hAnsi="宋体"/>
          <w:b/>
          <w:sz w:val="36"/>
          <w:szCs w:val="36"/>
        </w:rPr>
        <w:t>2019年第4季度报告</w:t>
      </w:r>
    </w:p>
    <w:p w:rsidR="00F13451" w:rsidRPr="005771AC" w:rsidRDefault="00F13451" w:rsidP="001A149A">
      <w:pPr>
        <w:spacing w:line="360" w:lineRule="auto"/>
        <w:jc w:val="center"/>
        <w:rPr>
          <w:rFonts w:ascii="宋体" w:hAnsi="宋体"/>
          <w:b/>
          <w:sz w:val="24"/>
          <w:szCs w:val="36"/>
        </w:rPr>
      </w:pPr>
      <w:r w:rsidRPr="005771AC">
        <w:rPr>
          <w:rFonts w:ascii="宋体" w:hAnsi="宋体"/>
          <w:b/>
          <w:sz w:val="24"/>
          <w:szCs w:val="36"/>
        </w:rPr>
        <w:t>2019年12月31日</w:t>
      </w: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jc w:val="center"/>
        <w:rPr>
          <w:rFonts w:ascii="宋体"/>
          <w:b/>
          <w:color w:val="000000"/>
          <w:sz w:val="24"/>
        </w:rPr>
      </w:pPr>
    </w:p>
    <w:p w:rsidR="00F13451" w:rsidRPr="00820253" w:rsidRDefault="00F13451" w:rsidP="00397616">
      <w:pPr>
        <w:spacing w:line="360" w:lineRule="auto"/>
        <w:rPr>
          <w:rFonts w:ascii="宋体"/>
          <w:b/>
          <w:color w:val="000000"/>
          <w:sz w:val="24"/>
        </w:rPr>
      </w:pPr>
    </w:p>
    <w:p w:rsidR="00F13451" w:rsidRPr="00820253" w:rsidRDefault="00F13451" w:rsidP="00476756">
      <w:pPr>
        <w:spacing w:line="360" w:lineRule="auto"/>
        <w:ind w:firstLineChars="900" w:firstLine="2168"/>
        <w:rPr>
          <w:rFonts w:ascii="宋体" w:hAnsi="宋体"/>
          <w:b/>
          <w:color w:val="000000"/>
          <w:sz w:val="24"/>
        </w:rPr>
      </w:pPr>
      <w:r w:rsidRPr="00820253">
        <w:rPr>
          <w:rFonts w:ascii="宋体" w:hAnsi="宋体" w:hint="eastAsia"/>
          <w:b/>
          <w:color w:val="000000"/>
          <w:sz w:val="24"/>
        </w:rPr>
        <w:t>基金管理人：</w:t>
      </w:r>
      <w:r w:rsidRPr="00820253">
        <w:rPr>
          <w:rFonts w:ascii="宋体" w:hAnsi="宋体"/>
          <w:b/>
          <w:color w:val="000000"/>
          <w:sz w:val="24"/>
        </w:rPr>
        <w:t>易方达基金管理有限公司</w:t>
      </w:r>
    </w:p>
    <w:p w:rsidR="00F13451" w:rsidRPr="00820253" w:rsidRDefault="00F13451" w:rsidP="00476756">
      <w:pPr>
        <w:spacing w:line="360" w:lineRule="auto"/>
        <w:ind w:firstLineChars="900" w:firstLine="2168"/>
        <w:rPr>
          <w:rFonts w:ascii="宋体" w:hAnsi="宋体"/>
          <w:b/>
          <w:color w:val="000000"/>
          <w:sz w:val="24"/>
        </w:rPr>
      </w:pPr>
      <w:r w:rsidRPr="00820253">
        <w:rPr>
          <w:rFonts w:ascii="宋体" w:hAnsi="宋体" w:hint="eastAsia"/>
          <w:b/>
          <w:color w:val="000000"/>
          <w:sz w:val="24"/>
        </w:rPr>
        <w:t>基金托管人：</w:t>
      </w:r>
      <w:r w:rsidRPr="00820253">
        <w:rPr>
          <w:rFonts w:ascii="宋体" w:hAnsi="宋体"/>
          <w:b/>
          <w:color w:val="000000"/>
          <w:sz w:val="24"/>
        </w:rPr>
        <w:t>中国建设银行股份有限公司</w:t>
      </w:r>
    </w:p>
    <w:p w:rsidR="00F13451" w:rsidRPr="00820253" w:rsidRDefault="00F13451" w:rsidP="00476756">
      <w:pPr>
        <w:spacing w:line="360" w:lineRule="auto"/>
        <w:ind w:firstLineChars="900" w:firstLine="2168"/>
        <w:rPr>
          <w:rFonts w:ascii="宋体" w:hAnsi="宋体"/>
          <w:b/>
          <w:color w:val="000000"/>
          <w:sz w:val="24"/>
        </w:rPr>
        <w:sectPr w:rsidR="00F13451" w:rsidRPr="00820253" w:rsidSect="00D6226F">
          <w:headerReference w:type="default" r:id="rId7"/>
          <w:footerReference w:type="default" r:id="rId8"/>
          <w:pgSz w:w="11926" w:h="15840"/>
          <w:pgMar w:top="1418" w:right="1418" w:bottom="851" w:left="1418" w:header="851" w:footer="992" w:gutter="0"/>
          <w:cols w:space="720"/>
          <w:noEndnote/>
        </w:sectPr>
      </w:pPr>
      <w:r w:rsidRPr="00820253">
        <w:rPr>
          <w:rFonts w:ascii="宋体" w:hAnsi="宋体" w:hint="eastAsia"/>
          <w:b/>
          <w:color w:val="000000"/>
          <w:sz w:val="24"/>
        </w:rPr>
        <w:t>报告送出日期：</w:t>
      </w:r>
      <w:r w:rsidRPr="00820253">
        <w:rPr>
          <w:rFonts w:ascii="宋体" w:hAnsi="宋体"/>
          <w:b/>
          <w:color w:val="000000"/>
          <w:sz w:val="24"/>
        </w:rPr>
        <w:t>二〇二〇年一月十八日</w:t>
      </w:r>
    </w:p>
    <w:p w:rsidR="00F13451" w:rsidRPr="00820253" w:rsidRDefault="00F13451" w:rsidP="008B041C">
      <w:pPr>
        <w:pStyle w:val="1"/>
        <w:spacing w:beforeLines="100" w:before="312" w:afterLines="100" w:after="312" w:line="360" w:lineRule="auto"/>
        <w:jc w:val="center"/>
        <w:rPr>
          <w:rFonts w:ascii="宋体" w:cs="Arial"/>
          <w:b w:val="0"/>
          <w:color w:val="000000"/>
          <w:kern w:val="0"/>
          <w:sz w:val="24"/>
          <w:szCs w:val="24"/>
        </w:rPr>
      </w:pPr>
      <w:r w:rsidRPr="00820253">
        <w:rPr>
          <w:rFonts w:ascii="宋体" w:hAnsi="宋体" w:cs="Arial" w:hint="eastAsia"/>
          <w:color w:val="000000"/>
          <w:kern w:val="0"/>
          <w:sz w:val="24"/>
          <w:szCs w:val="24"/>
        </w:rPr>
        <w:lastRenderedPageBreak/>
        <w:t>§</w:t>
      </w:r>
      <w:r w:rsidRPr="00820253">
        <w:rPr>
          <w:rFonts w:ascii="宋体" w:hAnsi="宋体" w:cs="Arial"/>
          <w:color w:val="000000"/>
          <w:kern w:val="0"/>
          <w:sz w:val="24"/>
          <w:szCs w:val="24"/>
        </w:rPr>
        <w:t xml:space="preserve">1  </w:t>
      </w:r>
      <w:r w:rsidRPr="00820253">
        <w:rPr>
          <w:rFonts w:ascii="宋体" w:hAnsi="宋体" w:cs="Arial" w:hint="eastAsia"/>
          <w:color w:val="000000"/>
          <w:kern w:val="0"/>
          <w:sz w:val="24"/>
          <w:szCs w:val="24"/>
        </w:rPr>
        <w:t>重要提示</w:t>
      </w:r>
    </w:p>
    <w:p w:rsidR="00E7395D" w:rsidRDefault="00E01C53">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7395D" w:rsidRDefault="00E01C53">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7395D" w:rsidRDefault="00E01C53">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7395D" w:rsidRDefault="00E01C53">
      <w:pPr>
        <w:spacing w:line="360" w:lineRule="auto"/>
        <w:ind w:firstLineChars="200" w:firstLine="480"/>
        <w:rPr>
          <w:color w:val="000000"/>
          <w:sz w:val="24"/>
        </w:rPr>
      </w:pPr>
      <w:r>
        <w:rPr>
          <w:color w:val="000000"/>
          <w:sz w:val="24"/>
        </w:rPr>
        <w:t>基金</w:t>
      </w:r>
      <w:r>
        <w:rPr>
          <w:color w:val="000000"/>
          <w:sz w:val="24"/>
        </w:rPr>
        <w:t>的过往业绩并不代表其未来表现。投资有风险，投资者在作出投资决策前应仔细阅读本基金的招募说明书。</w:t>
      </w:r>
      <w:r>
        <w:rPr>
          <w:color w:val="000000"/>
          <w:sz w:val="24"/>
        </w:rPr>
        <w:t xml:space="preserve"> </w:t>
      </w:r>
    </w:p>
    <w:p w:rsidR="00E7395D" w:rsidRDefault="00E01C53">
      <w:pPr>
        <w:spacing w:line="360" w:lineRule="auto"/>
        <w:ind w:firstLineChars="200" w:firstLine="480"/>
        <w:rPr>
          <w:color w:val="000000"/>
          <w:sz w:val="24"/>
        </w:rPr>
      </w:pPr>
      <w:r>
        <w:rPr>
          <w:color w:val="000000"/>
          <w:sz w:val="24"/>
        </w:rPr>
        <w:t>本报告中财务资料未经审计。</w:t>
      </w:r>
    </w:p>
    <w:p w:rsidR="00F13451" w:rsidRPr="0040658E" w:rsidRDefault="00F13451" w:rsidP="00476756">
      <w:pPr>
        <w:spacing w:line="360" w:lineRule="auto"/>
        <w:ind w:firstLineChars="200" w:firstLine="480"/>
        <w:rPr>
          <w:color w:val="000000"/>
          <w:sz w:val="24"/>
        </w:rPr>
      </w:pPr>
      <w:r w:rsidRPr="0040658E">
        <w:rPr>
          <w:color w:val="000000"/>
          <w:sz w:val="24"/>
        </w:rPr>
        <w:t>本报告期自</w:t>
      </w:r>
      <w:r w:rsidRPr="0040658E">
        <w:rPr>
          <w:color w:val="000000"/>
          <w:sz w:val="24"/>
        </w:rPr>
        <w:t>2019</w:t>
      </w:r>
      <w:r w:rsidRPr="0040658E">
        <w:rPr>
          <w:color w:val="000000"/>
          <w:sz w:val="24"/>
        </w:rPr>
        <w:t>年</w:t>
      </w:r>
      <w:r w:rsidRPr="0040658E">
        <w:rPr>
          <w:color w:val="000000"/>
          <w:sz w:val="24"/>
        </w:rPr>
        <w:t>10</w:t>
      </w:r>
      <w:r w:rsidRPr="0040658E">
        <w:rPr>
          <w:color w:val="000000"/>
          <w:sz w:val="24"/>
        </w:rPr>
        <w:t>月</w:t>
      </w:r>
      <w:r w:rsidRPr="0040658E">
        <w:rPr>
          <w:color w:val="000000"/>
          <w:sz w:val="24"/>
        </w:rPr>
        <w:t>1</w:t>
      </w:r>
      <w:r w:rsidRPr="0040658E">
        <w:rPr>
          <w:color w:val="000000"/>
          <w:sz w:val="24"/>
        </w:rPr>
        <w:t>日起至</w:t>
      </w:r>
      <w:r w:rsidRPr="0040658E">
        <w:rPr>
          <w:color w:val="000000"/>
          <w:sz w:val="24"/>
        </w:rPr>
        <w:t>12</w:t>
      </w:r>
      <w:r w:rsidRPr="0040658E">
        <w:rPr>
          <w:color w:val="000000"/>
          <w:sz w:val="24"/>
        </w:rPr>
        <w:t>月</w:t>
      </w:r>
      <w:r w:rsidRPr="0040658E">
        <w:rPr>
          <w:color w:val="000000"/>
          <w:sz w:val="24"/>
        </w:rPr>
        <w:t>31</w:t>
      </w:r>
      <w:r w:rsidRPr="0040658E">
        <w:rPr>
          <w:color w:val="000000"/>
          <w:sz w:val="24"/>
        </w:rPr>
        <w:t>日止。</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sidRPr="00820253">
        <w:rPr>
          <w:rFonts w:ascii="宋体" w:hAnsi="宋体" w:cs="Arial"/>
          <w:color w:val="000000"/>
          <w:kern w:val="0"/>
          <w:sz w:val="24"/>
          <w:szCs w:val="24"/>
        </w:rPr>
        <w:t xml:space="preserve">2  </w:t>
      </w:r>
      <w:r w:rsidRPr="00820253">
        <w:rPr>
          <w:rFonts w:ascii="宋体" w:hAnsi="宋体" w:cs="Arial" w:hint="eastAsia"/>
          <w:color w:val="000000"/>
          <w:kern w:val="0"/>
          <w:sz w:val="24"/>
          <w:szCs w:val="24"/>
        </w:rPr>
        <w:t>基金产品概况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387"/>
      </w:tblGrid>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kern w:val="0"/>
                <w:sz w:val="24"/>
              </w:rPr>
            </w:pPr>
            <w:r w:rsidRPr="0040658E">
              <w:rPr>
                <w:kern w:val="0"/>
                <w:sz w:val="24"/>
              </w:rPr>
              <w:t>基金简称</w:t>
            </w:r>
          </w:p>
        </w:tc>
        <w:tc>
          <w:tcPr>
            <w:tcW w:w="5387" w:type="dxa"/>
            <w:vAlign w:val="center"/>
          </w:tcPr>
          <w:p w:rsidR="00F13451" w:rsidRPr="0040658E" w:rsidRDefault="00F13451" w:rsidP="00CA3C4F">
            <w:pPr>
              <w:adjustRightInd w:val="0"/>
              <w:spacing w:before="29" w:line="360" w:lineRule="auto"/>
              <w:ind w:left="17"/>
              <w:jc w:val="left"/>
              <w:rPr>
                <w:color w:val="000000"/>
                <w:kern w:val="0"/>
                <w:sz w:val="24"/>
              </w:rPr>
            </w:pPr>
            <w:r w:rsidRPr="0040658E">
              <w:rPr>
                <w:color w:val="000000"/>
                <w:kern w:val="0"/>
                <w:sz w:val="24"/>
              </w:rPr>
              <w:t>易方达标普信息科技指数（</w:t>
            </w:r>
            <w:r w:rsidRPr="0040658E">
              <w:rPr>
                <w:color w:val="000000"/>
                <w:kern w:val="0"/>
                <w:sz w:val="24"/>
              </w:rPr>
              <w:t>QDII-LOF</w:t>
            </w:r>
            <w:r w:rsidRPr="0040658E">
              <w:rPr>
                <w:color w:val="000000"/>
                <w:kern w:val="0"/>
                <w:sz w:val="24"/>
              </w:rPr>
              <w:t>）</w:t>
            </w:r>
          </w:p>
        </w:tc>
      </w:tr>
      <w:tr w:rsidR="00C81A11" w:rsidRPr="00820253" w:rsidTr="0024781E">
        <w:tc>
          <w:tcPr>
            <w:tcW w:w="2977" w:type="dxa"/>
            <w:vAlign w:val="center"/>
          </w:tcPr>
          <w:p w:rsidR="00C81A11" w:rsidRPr="0040658E" w:rsidRDefault="00C81A11" w:rsidP="00AF756E">
            <w:pPr>
              <w:adjustRightInd w:val="0"/>
              <w:spacing w:before="29" w:line="360" w:lineRule="auto"/>
              <w:ind w:left="17"/>
              <w:jc w:val="left"/>
              <w:rPr>
                <w:kern w:val="0"/>
                <w:sz w:val="24"/>
              </w:rPr>
            </w:pPr>
            <w:r w:rsidRPr="0040658E">
              <w:rPr>
                <w:kern w:val="0"/>
                <w:sz w:val="24"/>
              </w:rPr>
              <w:t>场内简称</w:t>
            </w:r>
          </w:p>
        </w:tc>
        <w:tc>
          <w:tcPr>
            <w:tcW w:w="5387" w:type="dxa"/>
            <w:vAlign w:val="center"/>
          </w:tcPr>
          <w:p w:rsidR="00C81A11" w:rsidRPr="0040658E" w:rsidRDefault="00C81A11" w:rsidP="00AF756E">
            <w:pPr>
              <w:adjustRightInd w:val="0"/>
              <w:spacing w:before="29" w:line="360" w:lineRule="auto"/>
              <w:ind w:left="17"/>
              <w:jc w:val="left"/>
              <w:rPr>
                <w:kern w:val="0"/>
                <w:sz w:val="24"/>
              </w:rPr>
            </w:pPr>
            <w:r w:rsidRPr="0040658E">
              <w:rPr>
                <w:kern w:val="0"/>
                <w:sz w:val="24"/>
              </w:rPr>
              <w:t>标普科技</w:t>
            </w:r>
          </w:p>
        </w:tc>
      </w:tr>
      <w:tr w:rsidR="00F13451" w:rsidRPr="00820253" w:rsidTr="00780E33">
        <w:tc>
          <w:tcPr>
            <w:tcW w:w="2977" w:type="dxa"/>
          </w:tcPr>
          <w:p w:rsidR="00F13451" w:rsidRPr="0040658E" w:rsidRDefault="00F13451">
            <w:pPr>
              <w:adjustRightInd w:val="0"/>
              <w:spacing w:before="29" w:line="360" w:lineRule="auto"/>
              <w:ind w:left="17"/>
              <w:jc w:val="left"/>
              <w:rPr>
                <w:kern w:val="0"/>
                <w:sz w:val="24"/>
              </w:rPr>
            </w:pPr>
            <w:r w:rsidRPr="0040658E">
              <w:rPr>
                <w:kern w:val="0"/>
                <w:sz w:val="24"/>
              </w:rPr>
              <w:t>基金主代码</w:t>
            </w:r>
          </w:p>
        </w:tc>
        <w:tc>
          <w:tcPr>
            <w:tcW w:w="5387" w:type="dxa"/>
          </w:tcPr>
          <w:p w:rsidR="00F13451" w:rsidRPr="0040658E" w:rsidRDefault="00F13451">
            <w:pPr>
              <w:adjustRightInd w:val="0"/>
              <w:spacing w:before="29" w:line="360" w:lineRule="auto"/>
              <w:ind w:left="17"/>
              <w:jc w:val="left"/>
              <w:rPr>
                <w:color w:val="000000"/>
                <w:kern w:val="0"/>
                <w:sz w:val="24"/>
              </w:rPr>
            </w:pPr>
            <w:r w:rsidRPr="0040658E">
              <w:rPr>
                <w:color w:val="000000"/>
                <w:kern w:val="0"/>
                <w:sz w:val="24"/>
              </w:rPr>
              <w:t>161128</w:t>
            </w:r>
          </w:p>
        </w:tc>
      </w:tr>
      <w:tr w:rsidR="00F13451" w:rsidRPr="00820253" w:rsidTr="00780E33">
        <w:tc>
          <w:tcPr>
            <w:tcW w:w="2977" w:type="dxa"/>
          </w:tcPr>
          <w:p w:rsidR="00F13451" w:rsidRPr="0040658E" w:rsidRDefault="00F13451">
            <w:pPr>
              <w:adjustRightInd w:val="0"/>
              <w:spacing w:before="29" w:line="360" w:lineRule="auto"/>
              <w:ind w:left="17"/>
              <w:jc w:val="left"/>
              <w:rPr>
                <w:kern w:val="0"/>
                <w:sz w:val="24"/>
              </w:rPr>
            </w:pPr>
            <w:r w:rsidRPr="0040658E">
              <w:rPr>
                <w:kern w:val="0"/>
                <w:sz w:val="24"/>
              </w:rPr>
              <w:t>交易代码</w:t>
            </w:r>
          </w:p>
        </w:tc>
        <w:tc>
          <w:tcPr>
            <w:tcW w:w="5387" w:type="dxa"/>
          </w:tcPr>
          <w:p w:rsidR="00F13451" w:rsidRPr="0040658E" w:rsidRDefault="00F13451">
            <w:pPr>
              <w:adjustRightInd w:val="0"/>
              <w:spacing w:before="29" w:line="360" w:lineRule="auto"/>
              <w:ind w:left="17"/>
              <w:jc w:val="left"/>
              <w:rPr>
                <w:color w:val="000000"/>
                <w:kern w:val="0"/>
                <w:sz w:val="24"/>
              </w:rPr>
            </w:pPr>
            <w:r w:rsidRPr="0040658E">
              <w:rPr>
                <w:kern w:val="0"/>
                <w:sz w:val="24"/>
              </w:rPr>
              <w:t>161128</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基金运作方式</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契约型、上市开放式（</w:t>
            </w:r>
            <w:r w:rsidRPr="0040658E">
              <w:rPr>
                <w:color w:val="000000"/>
                <w:kern w:val="0"/>
                <w:sz w:val="24"/>
              </w:rPr>
              <w:t>LOF</w:t>
            </w:r>
            <w:r w:rsidRPr="0040658E">
              <w:rPr>
                <w:color w:val="000000"/>
                <w:kern w:val="0"/>
                <w:sz w:val="24"/>
              </w:rPr>
              <w:t>）</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基金合同生效日</w:t>
            </w:r>
          </w:p>
        </w:tc>
        <w:tc>
          <w:tcPr>
            <w:tcW w:w="5387" w:type="dxa"/>
            <w:vAlign w:val="center"/>
          </w:tcPr>
          <w:p w:rsidR="00F13451" w:rsidRPr="0040658E" w:rsidRDefault="00F13451" w:rsidP="00CA3C4F">
            <w:pPr>
              <w:adjustRightInd w:val="0"/>
              <w:spacing w:before="29" w:line="360" w:lineRule="auto"/>
              <w:ind w:left="17"/>
              <w:jc w:val="left"/>
              <w:rPr>
                <w:color w:val="000000"/>
                <w:kern w:val="0"/>
                <w:sz w:val="24"/>
              </w:rPr>
            </w:pPr>
            <w:r w:rsidRPr="0040658E">
              <w:rPr>
                <w:color w:val="000000"/>
                <w:kern w:val="0"/>
                <w:sz w:val="24"/>
              </w:rPr>
              <w:t>2016</w:t>
            </w:r>
            <w:r w:rsidRPr="0040658E">
              <w:rPr>
                <w:color w:val="000000"/>
                <w:kern w:val="0"/>
                <w:sz w:val="24"/>
              </w:rPr>
              <w:t>年</w:t>
            </w:r>
            <w:r w:rsidRPr="0040658E">
              <w:rPr>
                <w:color w:val="000000"/>
                <w:kern w:val="0"/>
                <w:sz w:val="24"/>
              </w:rPr>
              <w:t>12</w:t>
            </w:r>
            <w:r w:rsidRPr="0040658E">
              <w:rPr>
                <w:color w:val="000000"/>
                <w:kern w:val="0"/>
                <w:sz w:val="24"/>
              </w:rPr>
              <w:t>月</w:t>
            </w:r>
            <w:r w:rsidRPr="0040658E">
              <w:rPr>
                <w:color w:val="000000"/>
                <w:kern w:val="0"/>
                <w:sz w:val="24"/>
              </w:rPr>
              <w:t>13</w:t>
            </w:r>
            <w:r w:rsidRPr="0040658E">
              <w:rPr>
                <w:color w:val="000000"/>
                <w:kern w:val="0"/>
                <w:sz w:val="24"/>
              </w:rPr>
              <w:t>日</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报告期末基金份额总额</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130,423,626.17</w:t>
            </w:r>
            <w:r w:rsidRPr="0040658E">
              <w:rPr>
                <w:color w:val="000000"/>
                <w:kern w:val="0"/>
                <w:sz w:val="24"/>
              </w:rPr>
              <w:t>份</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投资目标</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紧密跟踪业绩比较基准，追求跟踪偏离度及跟踪误差的最小化。</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投资策略</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作为追踪标普信息指数的被动式海外指数基金，本基金采用完全复制法，力求追踪误差最小化。</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业绩比较基准</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标普</w:t>
            </w:r>
            <w:r w:rsidRPr="0040658E">
              <w:rPr>
                <w:color w:val="000000"/>
                <w:kern w:val="0"/>
                <w:sz w:val="24"/>
              </w:rPr>
              <w:t>500</w:t>
            </w:r>
            <w:r w:rsidRPr="0040658E">
              <w:rPr>
                <w:color w:val="000000"/>
                <w:kern w:val="0"/>
                <w:sz w:val="24"/>
              </w:rPr>
              <w:t>信息科技指数收益率（使用估值汇率折算）</w:t>
            </w:r>
            <w:r w:rsidRPr="0040658E">
              <w:rPr>
                <w:color w:val="000000"/>
                <w:kern w:val="0"/>
                <w:sz w:val="24"/>
              </w:rPr>
              <w:t>×95%+</w:t>
            </w:r>
            <w:r w:rsidRPr="0040658E">
              <w:rPr>
                <w:color w:val="000000"/>
                <w:kern w:val="0"/>
                <w:sz w:val="24"/>
              </w:rPr>
              <w:t>活期存款利率（税后）</w:t>
            </w:r>
            <w:r w:rsidRPr="0040658E">
              <w:rPr>
                <w:color w:val="000000"/>
                <w:kern w:val="0"/>
                <w:sz w:val="24"/>
              </w:rPr>
              <w:t>×5%</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lastRenderedPageBreak/>
              <w:t>风险收益特征</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本基金属股票指数基金，预期风险与收益水平高于混合基金、债券基金与货币市场基金。本基金主要采用组合复制策略和适当的替代性策略实现对标的指数的紧密跟踪，具有与标的指数相似的风险收益特征。</w:t>
            </w:r>
            <w:r w:rsidRPr="0040658E">
              <w:rPr>
                <w:color w:val="000000"/>
                <w:kern w:val="0"/>
                <w:sz w:val="24"/>
              </w:rPr>
              <w:t xml:space="preserve"> </w:t>
            </w:r>
            <w:r w:rsidRPr="0040658E">
              <w:rPr>
                <w:color w:val="000000"/>
                <w:kern w:val="0"/>
                <w:sz w:val="24"/>
              </w:rPr>
              <w:t>本基金主要投资美国证券市场，需承担汇率风险以及境外市场的风险。</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基金管理人</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易方达基金管理有限公司</w:t>
            </w:r>
          </w:p>
        </w:tc>
      </w:tr>
      <w:tr w:rsidR="00F13451" w:rsidRPr="00820253" w:rsidTr="00780E33">
        <w:tc>
          <w:tcPr>
            <w:tcW w:w="2977" w:type="dxa"/>
            <w:vAlign w:val="center"/>
          </w:tcPr>
          <w:p w:rsidR="00F13451" w:rsidRPr="0040658E" w:rsidRDefault="00F13451" w:rsidP="00CA3C4F">
            <w:pPr>
              <w:adjustRightInd w:val="0"/>
              <w:spacing w:before="29" w:line="360" w:lineRule="auto"/>
              <w:ind w:left="17"/>
              <w:jc w:val="left"/>
              <w:rPr>
                <w:sz w:val="24"/>
              </w:rPr>
            </w:pPr>
            <w:r w:rsidRPr="0040658E">
              <w:rPr>
                <w:kern w:val="0"/>
                <w:sz w:val="24"/>
              </w:rPr>
              <w:t>基金托管人</w:t>
            </w:r>
          </w:p>
        </w:tc>
        <w:tc>
          <w:tcPr>
            <w:tcW w:w="5387" w:type="dxa"/>
            <w:vAlign w:val="center"/>
          </w:tcPr>
          <w:p w:rsidR="00F13451" w:rsidRPr="0040658E" w:rsidRDefault="00F13451" w:rsidP="00CA3C4F">
            <w:pPr>
              <w:adjustRightInd w:val="0"/>
              <w:spacing w:before="29" w:line="360" w:lineRule="auto"/>
              <w:ind w:left="17"/>
              <w:jc w:val="left"/>
              <w:rPr>
                <w:color w:val="000000"/>
                <w:sz w:val="24"/>
              </w:rPr>
            </w:pPr>
            <w:r w:rsidRPr="0040658E">
              <w:rPr>
                <w:color w:val="000000"/>
                <w:kern w:val="0"/>
                <w:sz w:val="24"/>
              </w:rPr>
              <w:t>中国建设银行股份有限公司</w:t>
            </w:r>
          </w:p>
        </w:tc>
      </w:tr>
      <w:tr w:rsidR="00E83302" w:rsidRPr="00820253" w:rsidTr="00780E33">
        <w:tc>
          <w:tcPr>
            <w:tcW w:w="2977" w:type="dxa"/>
            <w:vMerge w:val="restart"/>
            <w:vAlign w:val="center"/>
          </w:tcPr>
          <w:p w:rsidR="00E83302" w:rsidRPr="0040658E" w:rsidRDefault="00E83302" w:rsidP="00510BB5">
            <w:pPr>
              <w:adjustRightInd w:val="0"/>
              <w:spacing w:before="29" w:line="360" w:lineRule="auto"/>
              <w:ind w:left="17"/>
              <w:jc w:val="left"/>
              <w:rPr>
                <w:kern w:val="0"/>
                <w:sz w:val="24"/>
              </w:rPr>
            </w:pPr>
            <w:r w:rsidRPr="0040658E">
              <w:rPr>
                <w:kern w:val="0"/>
                <w:sz w:val="24"/>
              </w:rPr>
              <w:t>境外投资顾问</w:t>
            </w:r>
          </w:p>
        </w:tc>
        <w:tc>
          <w:tcPr>
            <w:tcW w:w="5387" w:type="dxa"/>
            <w:vAlign w:val="center"/>
          </w:tcPr>
          <w:p w:rsidR="00E83302" w:rsidRPr="0040658E" w:rsidRDefault="00E83302" w:rsidP="000C6F3E">
            <w:pPr>
              <w:adjustRightInd w:val="0"/>
              <w:spacing w:before="29" w:line="360" w:lineRule="auto"/>
              <w:ind w:left="17"/>
              <w:jc w:val="left"/>
              <w:rPr>
                <w:kern w:val="0"/>
                <w:sz w:val="24"/>
              </w:rPr>
            </w:pPr>
            <w:r w:rsidRPr="0040658E">
              <w:rPr>
                <w:kern w:val="0"/>
                <w:sz w:val="24"/>
              </w:rPr>
              <w:t>英文名称</w:t>
            </w:r>
            <w:r>
              <w:rPr>
                <w:rFonts w:hint="eastAsia"/>
                <w:kern w:val="0"/>
                <w:sz w:val="24"/>
              </w:rPr>
              <w:t>：</w:t>
            </w:r>
            <w:r w:rsidRPr="0040658E">
              <w:rPr>
                <w:color w:val="000000"/>
                <w:kern w:val="0"/>
                <w:sz w:val="24"/>
              </w:rPr>
              <w:t>无</w:t>
            </w:r>
          </w:p>
        </w:tc>
      </w:tr>
      <w:tr w:rsidR="00E83302" w:rsidRPr="00820253" w:rsidTr="00780E33">
        <w:tc>
          <w:tcPr>
            <w:tcW w:w="2977" w:type="dxa"/>
            <w:vMerge/>
            <w:vAlign w:val="center"/>
          </w:tcPr>
          <w:p w:rsidR="00E83302" w:rsidRPr="0040658E" w:rsidRDefault="00E83302" w:rsidP="00510BB5">
            <w:pPr>
              <w:adjustRightInd w:val="0"/>
              <w:spacing w:before="29" w:line="360" w:lineRule="auto"/>
              <w:ind w:left="17"/>
              <w:jc w:val="left"/>
              <w:rPr>
                <w:kern w:val="0"/>
                <w:sz w:val="24"/>
              </w:rPr>
            </w:pPr>
          </w:p>
        </w:tc>
        <w:tc>
          <w:tcPr>
            <w:tcW w:w="5387" w:type="dxa"/>
            <w:vAlign w:val="center"/>
          </w:tcPr>
          <w:p w:rsidR="00E83302" w:rsidRPr="0040658E" w:rsidRDefault="00E83302" w:rsidP="000C6F3E">
            <w:pPr>
              <w:adjustRightInd w:val="0"/>
              <w:spacing w:before="29" w:line="360" w:lineRule="auto"/>
              <w:ind w:left="17"/>
              <w:jc w:val="left"/>
              <w:rPr>
                <w:kern w:val="0"/>
                <w:sz w:val="24"/>
              </w:rPr>
            </w:pPr>
            <w:r w:rsidRPr="0040658E">
              <w:rPr>
                <w:kern w:val="0"/>
                <w:sz w:val="24"/>
              </w:rPr>
              <w:t>中文名称</w:t>
            </w:r>
            <w:r>
              <w:rPr>
                <w:rFonts w:hint="eastAsia"/>
                <w:kern w:val="0"/>
                <w:sz w:val="24"/>
              </w:rPr>
              <w:t>：</w:t>
            </w:r>
            <w:r w:rsidRPr="0040658E">
              <w:rPr>
                <w:color w:val="000000"/>
                <w:kern w:val="0"/>
                <w:sz w:val="24"/>
              </w:rPr>
              <w:t>无</w:t>
            </w:r>
          </w:p>
        </w:tc>
      </w:tr>
      <w:tr w:rsidR="000C6F3E" w:rsidRPr="00820253" w:rsidTr="00780E33">
        <w:tc>
          <w:tcPr>
            <w:tcW w:w="2977" w:type="dxa"/>
            <w:vMerge w:val="restart"/>
            <w:vAlign w:val="center"/>
          </w:tcPr>
          <w:p w:rsidR="000C6F3E" w:rsidRPr="0040658E" w:rsidRDefault="000C6F3E" w:rsidP="00510BB5">
            <w:pPr>
              <w:adjustRightInd w:val="0"/>
              <w:spacing w:before="29" w:line="360" w:lineRule="auto"/>
              <w:ind w:left="17"/>
              <w:jc w:val="left"/>
              <w:rPr>
                <w:kern w:val="0"/>
                <w:sz w:val="24"/>
              </w:rPr>
            </w:pPr>
            <w:r w:rsidRPr="0040658E">
              <w:rPr>
                <w:kern w:val="0"/>
                <w:sz w:val="24"/>
              </w:rPr>
              <w:t>境外资产托管人</w:t>
            </w:r>
          </w:p>
        </w:tc>
        <w:tc>
          <w:tcPr>
            <w:tcW w:w="5387" w:type="dxa"/>
            <w:vAlign w:val="center"/>
          </w:tcPr>
          <w:p w:rsidR="000C6F3E" w:rsidRPr="0040658E" w:rsidRDefault="000C6F3E" w:rsidP="000C6F3E">
            <w:pPr>
              <w:adjustRightInd w:val="0"/>
              <w:spacing w:before="29" w:line="360" w:lineRule="auto"/>
              <w:ind w:left="17"/>
              <w:jc w:val="left"/>
              <w:rPr>
                <w:color w:val="000000"/>
                <w:kern w:val="0"/>
                <w:sz w:val="24"/>
              </w:rPr>
            </w:pPr>
            <w:r w:rsidRPr="0040658E">
              <w:rPr>
                <w:kern w:val="0"/>
                <w:sz w:val="24"/>
              </w:rPr>
              <w:t>英文名称</w:t>
            </w:r>
            <w:r>
              <w:rPr>
                <w:rFonts w:hint="eastAsia"/>
                <w:color w:val="000000"/>
                <w:kern w:val="0"/>
                <w:sz w:val="24"/>
              </w:rPr>
              <w:t>：</w:t>
            </w:r>
            <w:r w:rsidRPr="0040658E">
              <w:rPr>
                <w:color w:val="000000"/>
                <w:kern w:val="0"/>
                <w:sz w:val="24"/>
              </w:rPr>
              <w:t>State Street Bank and Trust Company</w:t>
            </w:r>
          </w:p>
        </w:tc>
      </w:tr>
      <w:tr w:rsidR="000C6F3E" w:rsidRPr="00820253" w:rsidTr="00780E33">
        <w:tc>
          <w:tcPr>
            <w:tcW w:w="2977" w:type="dxa"/>
            <w:vMerge/>
            <w:vAlign w:val="center"/>
          </w:tcPr>
          <w:p w:rsidR="000C6F3E" w:rsidRPr="0040658E" w:rsidRDefault="000C6F3E" w:rsidP="00CA3C4F">
            <w:pPr>
              <w:adjustRightInd w:val="0"/>
              <w:spacing w:before="29" w:line="360" w:lineRule="auto"/>
              <w:ind w:left="17"/>
              <w:jc w:val="left"/>
              <w:rPr>
                <w:kern w:val="0"/>
                <w:sz w:val="24"/>
              </w:rPr>
            </w:pPr>
          </w:p>
        </w:tc>
        <w:tc>
          <w:tcPr>
            <w:tcW w:w="5387" w:type="dxa"/>
            <w:vAlign w:val="center"/>
          </w:tcPr>
          <w:p w:rsidR="000C6F3E" w:rsidRPr="0040658E" w:rsidRDefault="000C6F3E" w:rsidP="000C6F3E">
            <w:pPr>
              <w:adjustRightInd w:val="0"/>
              <w:spacing w:before="29" w:line="360" w:lineRule="auto"/>
              <w:ind w:left="17"/>
              <w:jc w:val="left"/>
              <w:rPr>
                <w:color w:val="000000"/>
                <w:kern w:val="0"/>
                <w:sz w:val="24"/>
              </w:rPr>
            </w:pPr>
            <w:r w:rsidRPr="0040658E">
              <w:rPr>
                <w:kern w:val="0"/>
                <w:sz w:val="24"/>
              </w:rPr>
              <w:t>中文名称</w:t>
            </w:r>
            <w:r>
              <w:rPr>
                <w:rFonts w:hint="eastAsia"/>
                <w:kern w:val="0"/>
                <w:sz w:val="24"/>
              </w:rPr>
              <w:t>：</w:t>
            </w:r>
            <w:r w:rsidRPr="0040658E">
              <w:rPr>
                <w:color w:val="000000"/>
                <w:kern w:val="0"/>
                <w:sz w:val="24"/>
              </w:rPr>
              <w:t xml:space="preserve"> </w:t>
            </w:r>
            <w:r w:rsidRPr="0040658E">
              <w:rPr>
                <w:color w:val="000000"/>
                <w:kern w:val="0"/>
                <w:sz w:val="24"/>
              </w:rPr>
              <w:t>道富银行</w:t>
            </w:r>
          </w:p>
        </w:tc>
      </w:tr>
    </w:tbl>
    <w:p w:rsidR="00F13451" w:rsidRPr="0040658E" w:rsidRDefault="00F13451" w:rsidP="0040658E">
      <w:pPr>
        <w:spacing w:line="360" w:lineRule="auto"/>
        <w:ind w:firstLineChars="200" w:firstLine="480"/>
        <w:rPr>
          <w:color w:val="000000"/>
          <w:sz w:val="24"/>
        </w:rPr>
      </w:pPr>
      <w:r w:rsidRPr="0040658E">
        <w:rPr>
          <w:color w:val="000000"/>
          <w:sz w:val="24"/>
        </w:rPr>
        <w:t>注：易方达标普信息科技指数（</w:t>
      </w:r>
      <w:r w:rsidRPr="0040658E">
        <w:rPr>
          <w:color w:val="000000"/>
          <w:sz w:val="24"/>
        </w:rPr>
        <w:t>QDII-LOF</w:t>
      </w:r>
      <w:r w:rsidRPr="0040658E">
        <w:rPr>
          <w:color w:val="000000"/>
          <w:sz w:val="24"/>
        </w:rPr>
        <w:t>）含人民币份额（份额代码：</w:t>
      </w:r>
      <w:r w:rsidRPr="0040658E">
        <w:rPr>
          <w:color w:val="000000"/>
          <w:sz w:val="24"/>
        </w:rPr>
        <w:t>161128</w:t>
      </w:r>
      <w:r w:rsidRPr="0040658E">
        <w:rPr>
          <w:color w:val="000000"/>
          <w:sz w:val="24"/>
        </w:rPr>
        <w:t>）及美元现汇份额（份额代码：</w:t>
      </w:r>
      <w:r w:rsidRPr="0040658E">
        <w:rPr>
          <w:color w:val="000000"/>
          <w:sz w:val="24"/>
        </w:rPr>
        <w:t>003721</w:t>
      </w:r>
      <w:r w:rsidRPr="0040658E">
        <w:rPr>
          <w:color w:val="000000"/>
          <w:sz w:val="24"/>
        </w:rPr>
        <w:t>），交易代码仅列示人民币份额代码。</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sidRPr="00820253">
        <w:rPr>
          <w:rFonts w:ascii="宋体" w:hAnsi="宋体" w:cs="Arial"/>
          <w:color w:val="000000"/>
          <w:kern w:val="0"/>
          <w:sz w:val="24"/>
          <w:szCs w:val="24"/>
        </w:rPr>
        <w:t xml:space="preserve">3  </w:t>
      </w:r>
      <w:r w:rsidRPr="00820253">
        <w:rPr>
          <w:rFonts w:ascii="宋体" w:hAnsi="宋体" w:cs="Arial" w:hint="eastAsia"/>
          <w:color w:val="000000"/>
          <w:kern w:val="0"/>
          <w:sz w:val="24"/>
          <w:szCs w:val="24"/>
        </w:rPr>
        <w:t>主要财务指标和基金净值表现</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3.1 </w:t>
      </w:r>
      <w:r w:rsidRPr="00820253">
        <w:rPr>
          <w:rFonts w:ascii="宋体" w:hAnsi="宋体" w:cs="Arial" w:hint="eastAsia"/>
          <w:b/>
          <w:color w:val="000000"/>
          <w:kern w:val="0"/>
          <w:sz w:val="24"/>
        </w:rPr>
        <w:t>主要财务指标</w:t>
      </w:r>
    </w:p>
    <w:p w:rsidR="00B41C16" w:rsidRPr="006506EF" w:rsidRDefault="00B41C16" w:rsidP="00B41C16">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B41C16" w:rsidRPr="006506EF" w:rsidTr="00C3442A">
        <w:tc>
          <w:tcPr>
            <w:tcW w:w="3402" w:type="dxa"/>
            <w:vAlign w:val="center"/>
          </w:tcPr>
          <w:p w:rsidR="00B41C16" w:rsidRPr="006506EF" w:rsidRDefault="00B41C16"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B41C16" w:rsidRPr="006506EF" w:rsidRDefault="00B41C16" w:rsidP="00C3442A">
            <w:pPr>
              <w:adjustRightInd w:val="0"/>
              <w:spacing w:before="29" w:line="360" w:lineRule="auto"/>
              <w:ind w:left="17"/>
              <w:jc w:val="center"/>
              <w:rPr>
                <w:color w:val="000000"/>
                <w:sz w:val="24"/>
              </w:rPr>
            </w:pPr>
            <w:r w:rsidRPr="006506EF">
              <w:rPr>
                <w:color w:val="000000"/>
                <w:sz w:val="24"/>
              </w:rPr>
              <w:t>报告期</w:t>
            </w:r>
          </w:p>
          <w:p w:rsidR="00B41C16" w:rsidRPr="006506EF" w:rsidRDefault="00B41C16"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B41C16" w:rsidRPr="006506EF" w:rsidRDefault="00B41C16" w:rsidP="00C3442A">
            <w:pPr>
              <w:adjustRightInd w:val="0"/>
              <w:spacing w:before="29" w:line="360" w:lineRule="auto"/>
              <w:ind w:left="17"/>
              <w:jc w:val="center"/>
              <w:rPr>
                <w:color w:val="000000"/>
                <w:sz w:val="24"/>
              </w:rPr>
            </w:pPr>
            <w:r w:rsidRPr="006506EF">
              <w:rPr>
                <w:color w:val="000000"/>
                <w:sz w:val="24"/>
              </w:rPr>
              <w:t>上期金额</w:t>
            </w:r>
          </w:p>
        </w:tc>
      </w:tr>
      <w:tr w:rsidR="00B41C16" w:rsidRPr="006506EF" w:rsidTr="00C3442A">
        <w:tc>
          <w:tcPr>
            <w:tcW w:w="3402" w:type="dxa"/>
          </w:tcPr>
          <w:p w:rsidR="00B41C16" w:rsidRPr="006506EF" w:rsidRDefault="00B41C16"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415,587.78</w:t>
            </w:r>
          </w:p>
        </w:tc>
        <w:tc>
          <w:tcPr>
            <w:tcW w:w="2410" w:type="dxa"/>
            <w:hMerge/>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w:t>
            </w:r>
          </w:p>
        </w:tc>
      </w:tr>
      <w:tr w:rsidR="00B41C16" w:rsidRPr="006506EF" w:rsidTr="00C3442A">
        <w:tc>
          <w:tcPr>
            <w:tcW w:w="3402" w:type="dxa"/>
          </w:tcPr>
          <w:p w:rsidR="00B41C16" w:rsidRPr="006506EF" w:rsidRDefault="00B41C16"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18,259,370.34</w:t>
            </w:r>
          </w:p>
        </w:tc>
        <w:tc>
          <w:tcPr>
            <w:tcW w:w="2410" w:type="dxa"/>
            <w:hMerge/>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w:t>
            </w:r>
          </w:p>
        </w:tc>
      </w:tr>
      <w:tr w:rsidR="00B41C16" w:rsidRPr="006506EF" w:rsidTr="00C3442A">
        <w:tc>
          <w:tcPr>
            <w:tcW w:w="3402" w:type="dxa"/>
          </w:tcPr>
          <w:p w:rsidR="00B41C16" w:rsidRPr="006506EF" w:rsidRDefault="00B41C16"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0.1888</w:t>
            </w:r>
          </w:p>
        </w:tc>
        <w:tc>
          <w:tcPr>
            <w:tcW w:w="2410" w:type="dxa"/>
            <w:hMerge/>
            <w:vAlign w:val="bottom"/>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w:t>
            </w:r>
          </w:p>
        </w:tc>
      </w:tr>
      <w:tr w:rsidR="00B41C16" w:rsidRPr="006506EF" w:rsidTr="00C3442A">
        <w:tc>
          <w:tcPr>
            <w:tcW w:w="3402" w:type="dxa"/>
          </w:tcPr>
          <w:p w:rsidR="00B41C16" w:rsidRPr="006506EF" w:rsidRDefault="00B41C16"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239,650,159.01</w:t>
            </w:r>
          </w:p>
        </w:tc>
        <w:tc>
          <w:tcPr>
            <w:tcW w:w="2410" w:type="dxa"/>
            <w:hMerge/>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w:t>
            </w:r>
          </w:p>
        </w:tc>
      </w:tr>
      <w:tr w:rsidR="00B41C16" w:rsidRPr="006506EF" w:rsidTr="00C3442A">
        <w:trPr>
          <w:trHeight w:val="158"/>
        </w:trPr>
        <w:tc>
          <w:tcPr>
            <w:tcW w:w="3402" w:type="dxa"/>
          </w:tcPr>
          <w:p w:rsidR="00B41C16" w:rsidRPr="006506EF" w:rsidRDefault="00B41C16"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1.8375</w:t>
            </w:r>
          </w:p>
        </w:tc>
        <w:tc>
          <w:tcPr>
            <w:tcW w:w="2410" w:type="dxa"/>
            <w:hMerge/>
          </w:tcPr>
          <w:p w:rsidR="00B41C16" w:rsidRPr="006506EF" w:rsidRDefault="00B41C16" w:rsidP="00C3442A">
            <w:pPr>
              <w:adjustRightInd w:val="0"/>
              <w:spacing w:before="29" w:line="360" w:lineRule="auto"/>
              <w:ind w:left="17"/>
              <w:jc w:val="right"/>
              <w:rPr>
                <w:color w:val="000000"/>
                <w:sz w:val="24"/>
              </w:rPr>
            </w:pPr>
            <w:r w:rsidRPr="006506EF">
              <w:rPr>
                <w:color w:val="000000"/>
                <w:sz w:val="24"/>
              </w:rPr>
              <w:t>-</w:t>
            </w:r>
          </w:p>
        </w:tc>
      </w:tr>
    </w:tbl>
    <w:p w:rsidR="00E7395D" w:rsidRDefault="00E01C53">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13451" w:rsidRPr="008B041C" w:rsidRDefault="00B41C16" w:rsidP="008B041C">
      <w:pPr>
        <w:spacing w:line="360" w:lineRule="auto"/>
        <w:ind w:firstLineChars="200" w:firstLine="480"/>
        <w:rPr>
          <w:color w:val="000000"/>
          <w:sz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3.2 </w:t>
      </w:r>
      <w:r w:rsidRPr="00820253">
        <w:rPr>
          <w:rFonts w:ascii="宋体" w:hAnsi="宋体" w:cs="Arial" w:hint="eastAsia"/>
          <w:b/>
          <w:color w:val="000000"/>
          <w:kern w:val="0"/>
          <w:sz w:val="24"/>
        </w:rPr>
        <w:t>基金净值表现</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20253">
          <w:rPr>
            <w:rFonts w:ascii="宋体" w:hAnsi="宋体" w:cs="Arial"/>
            <w:b/>
            <w:color w:val="000000"/>
            <w:kern w:val="0"/>
            <w:sz w:val="24"/>
          </w:rPr>
          <w:t>3.2.1</w:t>
        </w:r>
      </w:smartTag>
      <w:r w:rsidRPr="00820253">
        <w:rPr>
          <w:rFonts w:ascii="宋体" w:hAnsi="宋体" w:cs="Arial" w:hint="eastAsia"/>
          <w:b/>
          <w:color w:val="000000"/>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F13451" w:rsidRPr="00820253" w:rsidTr="00E35496">
        <w:tc>
          <w:tcPr>
            <w:tcW w:w="1395"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color w:val="000000"/>
                <w:sz w:val="24"/>
              </w:rPr>
              <w:t>阶段</w:t>
            </w:r>
          </w:p>
        </w:tc>
        <w:tc>
          <w:tcPr>
            <w:tcW w:w="1092"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color w:val="000000"/>
                <w:sz w:val="24"/>
              </w:rPr>
              <w:t>净值增长率</w:t>
            </w:r>
            <w:r w:rsidRPr="00431EE1">
              <w:rPr>
                <w:rFonts w:ascii="宋体" w:hAnsi="宋体" w:cs="宋体" w:hint="eastAsia"/>
                <w:color w:val="000000"/>
                <w:sz w:val="24"/>
              </w:rPr>
              <w:t>①</w:t>
            </w:r>
          </w:p>
        </w:tc>
        <w:tc>
          <w:tcPr>
            <w:tcW w:w="1161"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color w:val="000000"/>
                <w:sz w:val="24"/>
              </w:rPr>
              <w:t>净值增长率标准差</w:t>
            </w:r>
            <w:r w:rsidRPr="00431EE1">
              <w:rPr>
                <w:rFonts w:ascii="宋体" w:hAnsi="宋体" w:cs="宋体" w:hint="eastAsia"/>
                <w:color w:val="000000"/>
                <w:sz w:val="24"/>
              </w:rPr>
              <w:t>②</w:t>
            </w:r>
          </w:p>
        </w:tc>
        <w:tc>
          <w:tcPr>
            <w:tcW w:w="1181"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color w:val="000000"/>
                <w:sz w:val="24"/>
              </w:rPr>
              <w:t>业绩比较基准收益率</w:t>
            </w:r>
            <w:r w:rsidRPr="00431EE1">
              <w:rPr>
                <w:rFonts w:ascii="宋体" w:hAnsi="宋体" w:cs="宋体" w:hint="eastAsia"/>
                <w:color w:val="000000"/>
                <w:sz w:val="24"/>
              </w:rPr>
              <w:t>③</w:t>
            </w:r>
          </w:p>
        </w:tc>
        <w:tc>
          <w:tcPr>
            <w:tcW w:w="1188"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color w:val="000000"/>
                <w:sz w:val="24"/>
              </w:rPr>
              <w:t>业绩比较基准收益率标准差</w:t>
            </w:r>
            <w:r w:rsidRPr="00431EE1">
              <w:rPr>
                <w:rFonts w:ascii="宋体" w:hAnsi="宋体" w:cs="宋体" w:hint="eastAsia"/>
                <w:color w:val="000000"/>
                <w:sz w:val="24"/>
              </w:rPr>
              <w:t>④</w:t>
            </w:r>
          </w:p>
        </w:tc>
        <w:tc>
          <w:tcPr>
            <w:tcW w:w="1199"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rFonts w:ascii="宋体" w:hAnsi="宋体" w:cs="宋体" w:hint="eastAsia"/>
                <w:color w:val="000000"/>
                <w:sz w:val="24"/>
              </w:rPr>
              <w:t>①</w:t>
            </w:r>
            <w:r w:rsidRPr="00431EE1">
              <w:rPr>
                <w:color w:val="000000"/>
                <w:sz w:val="24"/>
              </w:rPr>
              <w:t>-</w:t>
            </w:r>
            <w:r w:rsidRPr="00431EE1">
              <w:rPr>
                <w:rFonts w:ascii="宋体" w:hAnsi="宋体" w:cs="宋体" w:hint="eastAsia"/>
                <w:color w:val="000000"/>
                <w:sz w:val="24"/>
              </w:rPr>
              <w:t>③</w:t>
            </w:r>
          </w:p>
        </w:tc>
        <w:tc>
          <w:tcPr>
            <w:tcW w:w="1204" w:type="dxa"/>
            <w:vAlign w:val="center"/>
          </w:tcPr>
          <w:p w:rsidR="00F13451" w:rsidRPr="00431EE1" w:rsidRDefault="00F13451" w:rsidP="00E35496">
            <w:pPr>
              <w:autoSpaceDE w:val="0"/>
              <w:autoSpaceDN w:val="0"/>
              <w:adjustRightInd w:val="0"/>
              <w:spacing w:before="29" w:line="360" w:lineRule="auto"/>
              <w:ind w:left="17"/>
              <w:jc w:val="center"/>
              <w:rPr>
                <w:color w:val="000000"/>
                <w:sz w:val="24"/>
              </w:rPr>
            </w:pPr>
            <w:r w:rsidRPr="00431EE1">
              <w:rPr>
                <w:rFonts w:ascii="宋体" w:hAnsi="宋体" w:cs="宋体" w:hint="eastAsia"/>
                <w:color w:val="000000"/>
                <w:sz w:val="24"/>
              </w:rPr>
              <w:t>②</w:t>
            </w:r>
            <w:r w:rsidRPr="00431EE1">
              <w:rPr>
                <w:color w:val="000000"/>
                <w:sz w:val="24"/>
              </w:rPr>
              <w:t>-</w:t>
            </w:r>
            <w:r w:rsidRPr="00431EE1">
              <w:rPr>
                <w:rFonts w:ascii="宋体" w:hAnsi="宋体" w:cs="宋体" w:hint="eastAsia"/>
                <w:color w:val="000000"/>
                <w:sz w:val="24"/>
              </w:rPr>
              <w:t>④</w:t>
            </w:r>
          </w:p>
        </w:tc>
      </w:tr>
      <w:tr w:rsidR="00E7395D">
        <w:tc>
          <w:tcPr>
            <w:tcW w:w="0" w:type="auto"/>
            <w:vAlign w:val="center"/>
          </w:tcPr>
          <w:p w:rsidR="00E7395D" w:rsidRDefault="00E01C53">
            <w:pPr>
              <w:jc w:val="left"/>
            </w:pPr>
            <w:r>
              <w:rPr>
                <w:color w:val="000000"/>
                <w:sz w:val="24"/>
              </w:rPr>
              <w:t>过去三个月</w:t>
            </w:r>
          </w:p>
        </w:tc>
        <w:tc>
          <w:tcPr>
            <w:tcW w:w="0" w:type="auto"/>
            <w:vAlign w:val="center"/>
          </w:tcPr>
          <w:p w:rsidR="00E7395D" w:rsidRDefault="00E01C53">
            <w:pPr>
              <w:jc w:val="center"/>
            </w:pPr>
            <w:r>
              <w:rPr>
                <w:color w:val="000000"/>
                <w:sz w:val="24"/>
              </w:rPr>
              <w:t>11.61%</w:t>
            </w:r>
          </w:p>
        </w:tc>
        <w:tc>
          <w:tcPr>
            <w:tcW w:w="0" w:type="auto"/>
            <w:vAlign w:val="center"/>
          </w:tcPr>
          <w:p w:rsidR="00E7395D" w:rsidRDefault="00E01C53">
            <w:pPr>
              <w:jc w:val="center"/>
            </w:pPr>
            <w:r>
              <w:rPr>
                <w:color w:val="000000"/>
                <w:sz w:val="24"/>
              </w:rPr>
              <w:t>0.72%</w:t>
            </w:r>
          </w:p>
        </w:tc>
        <w:tc>
          <w:tcPr>
            <w:tcW w:w="0" w:type="auto"/>
            <w:vAlign w:val="center"/>
          </w:tcPr>
          <w:p w:rsidR="00E7395D" w:rsidRDefault="00E01C53">
            <w:pPr>
              <w:jc w:val="center"/>
            </w:pPr>
            <w:r>
              <w:rPr>
                <w:color w:val="000000"/>
                <w:sz w:val="24"/>
              </w:rPr>
              <w:t>11.79%</w:t>
            </w:r>
          </w:p>
        </w:tc>
        <w:tc>
          <w:tcPr>
            <w:tcW w:w="0" w:type="auto"/>
            <w:vAlign w:val="center"/>
          </w:tcPr>
          <w:p w:rsidR="00E7395D" w:rsidRDefault="00E01C53">
            <w:pPr>
              <w:jc w:val="center"/>
            </w:pPr>
            <w:r>
              <w:rPr>
                <w:color w:val="000000"/>
                <w:sz w:val="24"/>
              </w:rPr>
              <w:t>0.72%</w:t>
            </w:r>
          </w:p>
        </w:tc>
        <w:tc>
          <w:tcPr>
            <w:tcW w:w="0" w:type="auto"/>
            <w:vAlign w:val="center"/>
          </w:tcPr>
          <w:p w:rsidR="00E7395D" w:rsidRDefault="00E01C53">
            <w:pPr>
              <w:jc w:val="center"/>
            </w:pPr>
            <w:r>
              <w:rPr>
                <w:color w:val="000000"/>
                <w:sz w:val="24"/>
              </w:rPr>
              <w:t>-0.18%</w:t>
            </w:r>
          </w:p>
        </w:tc>
        <w:tc>
          <w:tcPr>
            <w:tcW w:w="0" w:type="auto"/>
            <w:vAlign w:val="center"/>
          </w:tcPr>
          <w:p w:rsidR="00E7395D" w:rsidRDefault="00E01C53">
            <w:pPr>
              <w:jc w:val="center"/>
            </w:pPr>
            <w:r>
              <w:rPr>
                <w:color w:val="000000"/>
                <w:sz w:val="24"/>
              </w:rPr>
              <w:t>0.00%</w:t>
            </w:r>
          </w:p>
        </w:tc>
      </w:tr>
    </w:tbl>
    <w:p w:rsidR="00F13451" w:rsidRPr="00820253" w:rsidRDefault="00F13451" w:rsidP="0029671E">
      <w:pPr>
        <w:autoSpaceDE w:val="0"/>
        <w:autoSpaceDN w:val="0"/>
        <w:adjustRightInd w:val="0"/>
        <w:spacing w:line="360" w:lineRule="auto"/>
        <w:jc w:val="left"/>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20253">
          <w:rPr>
            <w:rFonts w:ascii="宋体" w:hAnsi="宋体" w:cs="Arial"/>
            <w:b/>
            <w:color w:val="000000"/>
            <w:kern w:val="0"/>
            <w:sz w:val="24"/>
          </w:rPr>
          <w:t>3.2.2</w:t>
        </w:r>
        <w:r w:rsidRPr="00820253">
          <w:rPr>
            <w:rFonts w:ascii="宋体" w:hAnsi="宋体" w:cs="Arial" w:hint="eastAsia"/>
            <w:b/>
            <w:color w:val="000000"/>
            <w:kern w:val="0"/>
            <w:sz w:val="24"/>
          </w:rPr>
          <w:t xml:space="preserve">　</w:t>
        </w:r>
        <w:r w:rsidR="001A4814" w:rsidRPr="00370BEA">
          <w:rPr>
            <w:rStyle w:val="af8"/>
            <w:rFonts w:hint="eastAsia"/>
            <w:color w:val="000000"/>
            <w:sz w:val="24"/>
            <w:shd w:val="clear" w:color="auto" w:fill="FFFFFF"/>
          </w:rPr>
          <w:t>自基金合同生效以来</w:t>
        </w:r>
      </w:smartTag>
      <w:r w:rsidRPr="00820253">
        <w:rPr>
          <w:rFonts w:ascii="宋体" w:hAnsi="宋体" w:cs="Arial" w:hint="eastAsia"/>
          <w:b/>
          <w:color w:val="000000"/>
          <w:kern w:val="0"/>
          <w:sz w:val="24"/>
        </w:rPr>
        <w:t>基金累计</w:t>
      </w:r>
      <w:r w:rsidR="00CD5FBA" w:rsidRPr="00CD5FBA">
        <w:rPr>
          <w:rFonts w:ascii="宋体" w:hAnsi="宋体" w:cs="Arial" w:hint="eastAsia"/>
          <w:b/>
          <w:color w:val="000000"/>
          <w:kern w:val="0"/>
          <w:sz w:val="24"/>
        </w:rPr>
        <w:t>份额</w:t>
      </w:r>
      <w:r w:rsidRPr="00820253">
        <w:rPr>
          <w:rFonts w:ascii="宋体" w:hAnsi="宋体" w:cs="Arial" w:hint="eastAsia"/>
          <w:b/>
          <w:color w:val="000000"/>
          <w:kern w:val="0"/>
          <w:sz w:val="24"/>
        </w:rPr>
        <w:t>净值增长率变动及其与同期业绩比较基准收益率变动的比较</w:t>
      </w:r>
    </w:p>
    <w:p w:rsidR="00F13451" w:rsidRPr="00431EE1" w:rsidRDefault="00F13451" w:rsidP="0029671E">
      <w:pPr>
        <w:spacing w:line="360" w:lineRule="auto"/>
        <w:jc w:val="center"/>
        <w:rPr>
          <w:sz w:val="24"/>
        </w:rPr>
      </w:pPr>
      <w:r w:rsidRPr="00431EE1">
        <w:rPr>
          <w:sz w:val="24"/>
        </w:rPr>
        <w:t>易方达标普信息科技指数证券投资基金（</w:t>
      </w:r>
      <w:r w:rsidRPr="00431EE1">
        <w:rPr>
          <w:sz w:val="24"/>
        </w:rPr>
        <w:t>LOF</w:t>
      </w:r>
      <w:r w:rsidRPr="00431EE1">
        <w:rPr>
          <w:sz w:val="24"/>
        </w:rPr>
        <w:t>）</w:t>
      </w:r>
    </w:p>
    <w:p w:rsidR="00F13451" w:rsidRPr="00431EE1" w:rsidRDefault="00F13451" w:rsidP="0029671E">
      <w:pPr>
        <w:pStyle w:val="a5"/>
        <w:snapToGrid w:val="0"/>
        <w:spacing w:line="360" w:lineRule="auto"/>
        <w:jc w:val="center"/>
        <w:rPr>
          <w:rFonts w:ascii="Times New Roman" w:hAnsi="Times New Roman"/>
          <w:sz w:val="24"/>
          <w:szCs w:val="24"/>
        </w:rPr>
      </w:pPr>
      <w:r w:rsidRPr="00431EE1">
        <w:rPr>
          <w:rFonts w:ascii="Times New Roman" w:hAnsi="Times New Roman"/>
          <w:sz w:val="24"/>
          <w:szCs w:val="24"/>
        </w:rPr>
        <w:t>累计净值增长率与业绩比较基准收益率的历史走势对比图</w:t>
      </w:r>
    </w:p>
    <w:p w:rsidR="00F13451" w:rsidRPr="00431EE1" w:rsidRDefault="00F13451" w:rsidP="0029671E">
      <w:pPr>
        <w:spacing w:line="360" w:lineRule="auto"/>
        <w:jc w:val="center"/>
        <w:rPr>
          <w:sz w:val="24"/>
        </w:rPr>
      </w:pPr>
      <w:r w:rsidRPr="00431EE1">
        <w:rPr>
          <w:color w:val="000000"/>
          <w:kern w:val="0"/>
          <w:sz w:val="24"/>
        </w:rPr>
        <w:t xml:space="preserve"> (2016</w:t>
      </w:r>
      <w:r w:rsidRPr="00431EE1">
        <w:rPr>
          <w:color w:val="000000"/>
          <w:kern w:val="0"/>
          <w:sz w:val="24"/>
        </w:rPr>
        <w:t>年</w:t>
      </w:r>
      <w:r w:rsidRPr="00431EE1">
        <w:rPr>
          <w:color w:val="000000"/>
          <w:kern w:val="0"/>
          <w:sz w:val="24"/>
        </w:rPr>
        <w:t>12</w:t>
      </w:r>
      <w:r w:rsidRPr="00431EE1">
        <w:rPr>
          <w:color w:val="000000"/>
          <w:kern w:val="0"/>
          <w:sz w:val="24"/>
        </w:rPr>
        <w:t>月</w:t>
      </w:r>
      <w:r w:rsidRPr="00431EE1">
        <w:rPr>
          <w:color w:val="000000"/>
          <w:kern w:val="0"/>
          <w:sz w:val="24"/>
        </w:rPr>
        <w:t>13</w:t>
      </w:r>
      <w:r w:rsidRPr="00431EE1">
        <w:rPr>
          <w:color w:val="000000"/>
          <w:kern w:val="0"/>
          <w:sz w:val="24"/>
        </w:rPr>
        <w:t>日至</w:t>
      </w:r>
      <w:r w:rsidRPr="00431EE1">
        <w:rPr>
          <w:color w:val="000000"/>
          <w:kern w:val="0"/>
          <w:sz w:val="24"/>
        </w:rPr>
        <w:t>2019</w:t>
      </w:r>
      <w:r w:rsidRPr="00431EE1">
        <w:rPr>
          <w:color w:val="000000"/>
          <w:kern w:val="0"/>
          <w:sz w:val="24"/>
        </w:rPr>
        <w:t>年</w:t>
      </w:r>
      <w:r w:rsidRPr="00431EE1">
        <w:rPr>
          <w:color w:val="000000"/>
          <w:kern w:val="0"/>
          <w:sz w:val="24"/>
        </w:rPr>
        <w:t>12</w:t>
      </w:r>
      <w:r w:rsidRPr="00431EE1">
        <w:rPr>
          <w:color w:val="000000"/>
          <w:kern w:val="0"/>
          <w:sz w:val="24"/>
        </w:rPr>
        <w:t>月</w:t>
      </w:r>
      <w:r w:rsidRPr="00431EE1">
        <w:rPr>
          <w:color w:val="000000"/>
          <w:kern w:val="0"/>
          <w:sz w:val="24"/>
        </w:rPr>
        <w:t>31</w:t>
      </w:r>
      <w:r w:rsidRPr="00431EE1">
        <w:rPr>
          <w:color w:val="000000"/>
          <w:kern w:val="0"/>
          <w:sz w:val="24"/>
        </w:rPr>
        <w:t>日</w:t>
      </w:r>
      <w:r w:rsidRPr="00431EE1">
        <w:rPr>
          <w:color w:val="000000"/>
          <w:kern w:val="0"/>
          <w:sz w:val="24"/>
        </w:rPr>
        <w:t>)</w:t>
      </w:r>
    </w:p>
    <w:p w:rsidR="00F13451" w:rsidRPr="00820253" w:rsidRDefault="00E01C53" w:rsidP="00A726E0">
      <w:pPr>
        <w:tabs>
          <w:tab w:val="left" w:pos="180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11.75pt;height:241.5pt;visibility:visible">
            <v:imagedata r:id="rId9" o:title=""/>
          </v:shape>
        </w:pict>
      </w:r>
    </w:p>
    <w:p w:rsidR="00E7395D" w:rsidRDefault="00E01C53">
      <w:pPr>
        <w:spacing w:line="360" w:lineRule="auto"/>
        <w:ind w:firstLineChars="200" w:firstLine="480"/>
        <w:rPr>
          <w:color w:val="000000"/>
          <w:sz w:val="24"/>
        </w:rPr>
      </w:pPr>
      <w:r>
        <w:rPr>
          <w:color w:val="000000"/>
          <w:sz w:val="24"/>
        </w:rPr>
        <w:t>注：</w:t>
      </w:r>
      <w:r>
        <w:rPr>
          <w:color w:val="000000"/>
          <w:sz w:val="24"/>
        </w:rPr>
        <w:t>1.</w:t>
      </w:r>
      <w:r>
        <w:rPr>
          <w:color w:val="000000"/>
          <w:sz w:val="24"/>
        </w:rPr>
        <w:t>本基金的业绩比较基准已经转换为以人民币计价。</w:t>
      </w:r>
    </w:p>
    <w:p w:rsidR="00F13451" w:rsidRPr="0040658E" w:rsidRDefault="00F13451" w:rsidP="0040658E">
      <w:pPr>
        <w:spacing w:line="360" w:lineRule="auto"/>
        <w:ind w:firstLineChars="200" w:firstLine="480"/>
        <w:rPr>
          <w:color w:val="000000"/>
          <w:sz w:val="24"/>
        </w:rPr>
      </w:pPr>
      <w:r w:rsidRPr="0040658E">
        <w:rPr>
          <w:color w:val="000000"/>
          <w:sz w:val="24"/>
        </w:rPr>
        <w:t>2.</w:t>
      </w:r>
      <w:r w:rsidRPr="0040658E">
        <w:rPr>
          <w:color w:val="000000"/>
          <w:sz w:val="24"/>
        </w:rPr>
        <w:t>自基金合同生效至报告期末，基金份额净值增长率为</w:t>
      </w:r>
      <w:r w:rsidRPr="0040658E">
        <w:rPr>
          <w:color w:val="000000"/>
          <w:sz w:val="24"/>
        </w:rPr>
        <w:t>83.75%</w:t>
      </w:r>
      <w:r w:rsidRPr="0040658E">
        <w:rPr>
          <w:color w:val="000000"/>
          <w:sz w:val="24"/>
        </w:rPr>
        <w:t>，同期业绩比较基准收益率为</w:t>
      </w:r>
      <w:r w:rsidRPr="0040658E">
        <w:rPr>
          <w:color w:val="000000"/>
          <w:sz w:val="24"/>
        </w:rPr>
        <w:t>94.34%</w:t>
      </w:r>
      <w:r w:rsidRPr="0040658E">
        <w:rPr>
          <w:color w:val="000000"/>
          <w:sz w:val="24"/>
        </w:rPr>
        <w:t>。</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sidRPr="00820253">
        <w:rPr>
          <w:rFonts w:ascii="宋体" w:hAnsi="宋体" w:cs="Arial"/>
          <w:color w:val="000000"/>
          <w:kern w:val="0"/>
          <w:sz w:val="24"/>
          <w:szCs w:val="24"/>
        </w:rPr>
        <w:t xml:space="preserve">4  </w:t>
      </w:r>
      <w:r w:rsidRPr="00820253">
        <w:rPr>
          <w:rFonts w:ascii="宋体" w:hAnsi="宋体" w:cs="Arial" w:hint="eastAsia"/>
          <w:color w:val="000000"/>
          <w:kern w:val="0"/>
          <w:sz w:val="24"/>
          <w:szCs w:val="24"/>
        </w:rPr>
        <w:t>管理人报告</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4.</w:t>
      </w:r>
      <w:r>
        <w:rPr>
          <w:rFonts w:ascii="宋体" w:hAnsi="宋体" w:cs="Arial"/>
          <w:b/>
          <w:color w:val="000000"/>
          <w:kern w:val="0"/>
          <w:sz w:val="24"/>
        </w:rPr>
        <w:t>1</w:t>
      </w:r>
      <w:r w:rsidRPr="00820253">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260"/>
        <w:gridCol w:w="1276"/>
        <w:gridCol w:w="1276"/>
        <w:gridCol w:w="850"/>
        <w:gridCol w:w="1418"/>
      </w:tblGrid>
      <w:tr w:rsidR="00F13451" w:rsidRPr="00820253" w:rsidTr="009C3E98">
        <w:trPr>
          <w:cantSplit/>
          <w:trHeight w:val="292"/>
        </w:trPr>
        <w:tc>
          <w:tcPr>
            <w:tcW w:w="851" w:type="dxa"/>
            <w:vMerge w:val="restart"/>
            <w:vAlign w:val="center"/>
          </w:tcPr>
          <w:p w:rsidR="00F13451" w:rsidRPr="00431EE1" w:rsidRDefault="00F13451" w:rsidP="00CA3C4F">
            <w:pPr>
              <w:widowControl/>
              <w:spacing w:before="29" w:line="360" w:lineRule="auto"/>
              <w:ind w:left="17"/>
              <w:jc w:val="center"/>
              <w:rPr>
                <w:color w:val="000000"/>
                <w:kern w:val="0"/>
                <w:sz w:val="24"/>
              </w:rPr>
            </w:pPr>
            <w:r w:rsidRPr="00431EE1">
              <w:rPr>
                <w:color w:val="000000"/>
                <w:kern w:val="0"/>
                <w:sz w:val="24"/>
              </w:rPr>
              <w:t>姓名</w:t>
            </w:r>
          </w:p>
        </w:tc>
        <w:tc>
          <w:tcPr>
            <w:tcW w:w="3260" w:type="dxa"/>
            <w:vMerge w:val="restart"/>
            <w:vAlign w:val="center"/>
          </w:tcPr>
          <w:p w:rsidR="00F13451" w:rsidRPr="00431EE1" w:rsidRDefault="00F13451" w:rsidP="00CA3C4F">
            <w:pPr>
              <w:widowControl/>
              <w:spacing w:before="29" w:line="360" w:lineRule="auto"/>
              <w:ind w:left="17"/>
              <w:jc w:val="center"/>
              <w:rPr>
                <w:color w:val="000000"/>
                <w:kern w:val="0"/>
                <w:sz w:val="24"/>
              </w:rPr>
            </w:pPr>
            <w:r w:rsidRPr="00431EE1">
              <w:rPr>
                <w:color w:val="000000"/>
                <w:kern w:val="0"/>
                <w:sz w:val="24"/>
              </w:rPr>
              <w:t>职务</w:t>
            </w:r>
          </w:p>
        </w:tc>
        <w:tc>
          <w:tcPr>
            <w:tcW w:w="2552" w:type="dxa"/>
            <w:gridSpan w:val="2"/>
            <w:vAlign w:val="center"/>
          </w:tcPr>
          <w:p w:rsidR="00F13451" w:rsidRPr="00431EE1" w:rsidRDefault="00F13451" w:rsidP="00CA3C4F">
            <w:pPr>
              <w:autoSpaceDE w:val="0"/>
              <w:autoSpaceDN w:val="0"/>
              <w:adjustRightInd w:val="0"/>
              <w:spacing w:before="29" w:line="360" w:lineRule="auto"/>
              <w:ind w:left="17"/>
              <w:jc w:val="center"/>
              <w:rPr>
                <w:color w:val="000000"/>
                <w:kern w:val="0"/>
                <w:sz w:val="24"/>
              </w:rPr>
            </w:pPr>
            <w:r w:rsidRPr="00431EE1">
              <w:rPr>
                <w:color w:val="000000"/>
                <w:kern w:val="0"/>
                <w:sz w:val="24"/>
              </w:rPr>
              <w:t>任本基金的基金经理期限</w:t>
            </w:r>
          </w:p>
        </w:tc>
        <w:tc>
          <w:tcPr>
            <w:tcW w:w="850" w:type="dxa"/>
            <w:vMerge w:val="restart"/>
            <w:vAlign w:val="center"/>
          </w:tcPr>
          <w:p w:rsidR="00F13451" w:rsidRPr="00431EE1" w:rsidRDefault="00F13451" w:rsidP="00CA3C4F">
            <w:pPr>
              <w:autoSpaceDE w:val="0"/>
              <w:autoSpaceDN w:val="0"/>
              <w:adjustRightInd w:val="0"/>
              <w:spacing w:before="29" w:line="360" w:lineRule="auto"/>
              <w:ind w:left="17"/>
              <w:jc w:val="center"/>
              <w:rPr>
                <w:color w:val="000000"/>
                <w:kern w:val="0"/>
                <w:sz w:val="24"/>
              </w:rPr>
            </w:pPr>
            <w:r w:rsidRPr="00431EE1">
              <w:rPr>
                <w:color w:val="000000"/>
                <w:kern w:val="0"/>
                <w:sz w:val="24"/>
              </w:rPr>
              <w:t>证券从业年限</w:t>
            </w:r>
          </w:p>
        </w:tc>
        <w:tc>
          <w:tcPr>
            <w:tcW w:w="1418" w:type="dxa"/>
            <w:vMerge w:val="restart"/>
            <w:vAlign w:val="center"/>
          </w:tcPr>
          <w:p w:rsidR="00F13451" w:rsidRPr="00431EE1" w:rsidRDefault="00F13451" w:rsidP="00CA3C4F">
            <w:pPr>
              <w:widowControl/>
              <w:spacing w:before="29" w:line="360" w:lineRule="auto"/>
              <w:ind w:left="17"/>
              <w:jc w:val="center"/>
              <w:rPr>
                <w:color w:val="000000"/>
                <w:kern w:val="0"/>
                <w:sz w:val="24"/>
              </w:rPr>
            </w:pPr>
            <w:r w:rsidRPr="00431EE1">
              <w:rPr>
                <w:color w:val="000000"/>
                <w:kern w:val="0"/>
                <w:sz w:val="24"/>
              </w:rPr>
              <w:t>说明</w:t>
            </w:r>
          </w:p>
        </w:tc>
      </w:tr>
      <w:tr w:rsidR="00F13451" w:rsidRPr="00820253" w:rsidTr="009C3E98">
        <w:trPr>
          <w:cantSplit/>
        </w:trPr>
        <w:tc>
          <w:tcPr>
            <w:tcW w:w="851" w:type="dxa"/>
            <w:vMerge/>
            <w:vAlign w:val="center"/>
          </w:tcPr>
          <w:p w:rsidR="00F13451" w:rsidRPr="00431EE1" w:rsidRDefault="00F13451" w:rsidP="00CA3C4F">
            <w:pPr>
              <w:widowControl/>
              <w:spacing w:line="360" w:lineRule="auto"/>
              <w:jc w:val="left"/>
              <w:rPr>
                <w:color w:val="000000"/>
                <w:kern w:val="0"/>
                <w:sz w:val="24"/>
              </w:rPr>
            </w:pPr>
          </w:p>
        </w:tc>
        <w:tc>
          <w:tcPr>
            <w:tcW w:w="3260" w:type="dxa"/>
            <w:vMerge/>
            <w:vAlign w:val="center"/>
          </w:tcPr>
          <w:p w:rsidR="00F13451" w:rsidRPr="00431EE1" w:rsidRDefault="00F13451" w:rsidP="00CA3C4F">
            <w:pPr>
              <w:widowControl/>
              <w:spacing w:line="360" w:lineRule="auto"/>
              <w:jc w:val="left"/>
              <w:rPr>
                <w:color w:val="000000"/>
                <w:kern w:val="0"/>
                <w:sz w:val="24"/>
              </w:rPr>
            </w:pPr>
          </w:p>
        </w:tc>
        <w:tc>
          <w:tcPr>
            <w:tcW w:w="1276" w:type="dxa"/>
            <w:vAlign w:val="center"/>
          </w:tcPr>
          <w:p w:rsidR="00F13451" w:rsidRPr="00431EE1" w:rsidRDefault="00F13451" w:rsidP="00CA3C4F">
            <w:pPr>
              <w:autoSpaceDE w:val="0"/>
              <w:autoSpaceDN w:val="0"/>
              <w:adjustRightInd w:val="0"/>
              <w:spacing w:before="29" w:line="360" w:lineRule="auto"/>
              <w:ind w:left="17"/>
              <w:jc w:val="center"/>
              <w:rPr>
                <w:color w:val="000000"/>
                <w:kern w:val="0"/>
                <w:sz w:val="24"/>
              </w:rPr>
            </w:pPr>
            <w:r w:rsidRPr="00431EE1">
              <w:rPr>
                <w:color w:val="000000"/>
                <w:kern w:val="0"/>
                <w:sz w:val="24"/>
              </w:rPr>
              <w:t>任职日期</w:t>
            </w:r>
          </w:p>
        </w:tc>
        <w:tc>
          <w:tcPr>
            <w:tcW w:w="1276" w:type="dxa"/>
            <w:vAlign w:val="center"/>
          </w:tcPr>
          <w:p w:rsidR="00F13451" w:rsidRPr="00431EE1" w:rsidRDefault="00F13451" w:rsidP="00CA3C4F">
            <w:pPr>
              <w:autoSpaceDE w:val="0"/>
              <w:autoSpaceDN w:val="0"/>
              <w:adjustRightInd w:val="0"/>
              <w:spacing w:before="29" w:line="360" w:lineRule="auto"/>
              <w:ind w:left="17"/>
              <w:jc w:val="center"/>
              <w:rPr>
                <w:color w:val="000000"/>
                <w:kern w:val="0"/>
                <w:sz w:val="24"/>
              </w:rPr>
            </w:pPr>
            <w:r w:rsidRPr="00431EE1">
              <w:rPr>
                <w:color w:val="000000"/>
                <w:kern w:val="0"/>
                <w:sz w:val="24"/>
              </w:rPr>
              <w:t>离任日期</w:t>
            </w:r>
          </w:p>
        </w:tc>
        <w:tc>
          <w:tcPr>
            <w:tcW w:w="850" w:type="dxa"/>
            <w:vMerge/>
            <w:vAlign w:val="center"/>
          </w:tcPr>
          <w:p w:rsidR="00F13451" w:rsidRPr="00431EE1" w:rsidRDefault="00F13451" w:rsidP="00CA3C4F">
            <w:pPr>
              <w:widowControl/>
              <w:spacing w:line="360" w:lineRule="auto"/>
              <w:jc w:val="left"/>
              <w:rPr>
                <w:color w:val="000000"/>
                <w:kern w:val="0"/>
                <w:sz w:val="24"/>
              </w:rPr>
            </w:pPr>
          </w:p>
        </w:tc>
        <w:tc>
          <w:tcPr>
            <w:tcW w:w="1418" w:type="dxa"/>
            <w:vMerge/>
            <w:vAlign w:val="center"/>
          </w:tcPr>
          <w:p w:rsidR="00F13451" w:rsidRPr="00431EE1" w:rsidRDefault="00F13451" w:rsidP="00CA3C4F">
            <w:pPr>
              <w:widowControl/>
              <w:spacing w:line="360" w:lineRule="auto"/>
              <w:jc w:val="left"/>
              <w:rPr>
                <w:color w:val="000000"/>
                <w:kern w:val="0"/>
                <w:sz w:val="24"/>
              </w:rPr>
            </w:pPr>
          </w:p>
        </w:tc>
      </w:tr>
      <w:tr w:rsidR="00E7395D">
        <w:tc>
          <w:tcPr>
            <w:tcW w:w="0" w:type="auto"/>
            <w:vAlign w:val="center"/>
          </w:tcPr>
          <w:p w:rsidR="00E7395D" w:rsidRDefault="00E01C53">
            <w:pPr>
              <w:jc w:val="center"/>
            </w:pPr>
            <w:r>
              <w:rPr>
                <w:color w:val="000000"/>
                <w:sz w:val="24"/>
              </w:rPr>
              <w:t>FAN BING(</w:t>
            </w:r>
            <w:r>
              <w:rPr>
                <w:color w:val="000000"/>
                <w:sz w:val="24"/>
              </w:rPr>
              <w:t>范冰</w:t>
            </w:r>
            <w:r>
              <w:rPr>
                <w:color w:val="000000"/>
                <w:sz w:val="24"/>
              </w:rPr>
              <w:t>)</w:t>
            </w:r>
          </w:p>
        </w:tc>
        <w:tc>
          <w:tcPr>
            <w:tcW w:w="0" w:type="auto"/>
            <w:vAlign w:val="center"/>
          </w:tcPr>
          <w:p w:rsidR="00E7395D" w:rsidRDefault="00E01C53">
            <w:pPr>
              <w:jc w:val="center"/>
            </w:pPr>
            <w:r>
              <w:rPr>
                <w:color w:val="000000"/>
                <w:sz w:val="24"/>
              </w:rPr>
              <w:t>本基金的基金经理、易方达中证海外中国互联网</w:t>
            </w:r>
            <w:r>
              <w:rPr>
                <w:color w:val="000000"/>
                <w:sz w:val="24"/>
              </w:rPr>
              <w:t>50</w:t>
            </w:r>
            <w:r>
              <w:rPr>
                <w:color w:val="000000"/>
                <w:sz w:val="24"/>
              </w:rPr>
              <w:t>交易型开放式指数证券投资基金联接基金的基金经理、易方达中证海外中国互联网</w:t>
            </w:r>
            <w:r>
              <w:rPr>
                <w:color w:val="000000"/>
                <w:sz w:val="24"/>
              </w:rPr>
              <w:t>50</w:t>
            </w:r>
            <w:r>
              <w:rPr>
                <w:color w:val="000000"/>
                <w:sz w:val="24"/>
              </w:rPr>
              <w:t>交易型开放式指数证券投资基金的基金经理、易方达原油证券投资基金（</w:t>
            </w:r>
            <w:r>
              <w:rPr>
                <w:color w:val="000000"/>
                <w:sz w:val="24"/>
              </w:rPr>
              <w:t>QDII</w:t>
            </w:r>
            <w:r>
              <w:rPr>
                <w:color w:val="000000"/>
                <w:sz w:val="24"/>
              </w:rPr>
              <w:t>）的基金经理、易方达日兴资管日经</w:t>
            </w:r>
            <w:r>
              <w:rPr>
                <w:color w:val="000000"/>
                <w:sz w:val="24"/>
              </w:rPr>
              <w:t>225</w:t>
            </w:r>
            <w:r>
              <w:rPr>
                <w:color w:val="000000"/>
                <w:sz w:val="24"/>
              </w:rPr>
              <w:t>交易型开放式指数证券投资基金（</w:t>
            </w:r>
            <w:r>
              <w:rPr>
                <w:color w:val="000000"/>
                <w:sz w:val="24"/>
              </w:rPr>
              <w:t>QDII</w:t>
            </w:r>
            <w:r>
              <w:rPr>
                <w:color w:val="000000"/>
                <w:sz w:val="24"/>
              </w:rPr>
              <w:t>）的基金经理、易方达纳斯达克</w:t>
            </w:r>
            <w:r>
              <w:rPr>
                <w:color w:val="000000"/>
                <w:sz w:val="24"/>
              </w:rPr>
              <w:t>100</w:t>
            </w:r>
            <w:r>
              <w:rPr>
                <w:color w:val="000000"/>
                <w:sz w:val="24"/>
              </w:rPr>
              <w:t>指数证券投资基金（</w:t>
            </w:r>
            <w:r>
              <w:rPr>
                <w:color w:val="000000"/>
                <w:sz w:val="24"/>
              </w:rPr>
              <w:t>LOF</w:t>
            </w:r>
            <w:r>
              <w:rPr>
                <w:color w:val="000000"/>
                <w:sz w:val="24"/>
              </w:rPr>
              <w:t>）的基金经理、易方达黄金交易型开放式证券投资基金联接基金的基金经理、易方达黄金交易型开放式证券投资基金的基金经理、易方达标普医疗保健指数证券投资基金（</w:t>
            </w:r>
            <w:r>
              <w:rPr>
                <w:color w:val="000000"/>
                <w:sz w:val="24"/>
              </w:rPr>
              <w:t>LOF</w:t>
            </w:r>
            <w:r>
              <w:rPr>
                <w:color w:val="000000"/>
                <w:sz w:val="24"/>
              </w:rPr>
              <w:t>）的基金经理、易方达标普生物</w:t>
            </w:r>
            <w:r>
              <w:rPr>
                <w:color w:val="000000"/>
                <w:sz w:val="24"/>
              </w:rPr>
              <w:t>科技指数证券投资基金（</w:t>
            </w:r>
            <w:r>
              <w:rPr>
                <w:color w:val="000000"/>
                <w:sz w:val="24"/>
              </w:rPr>
              <w:t>LOF</w:t>
            </w:r>
            <w:r>
              <w:rPr>
                <w:color w:val="000000"/>
                <w:sz w:val="24"/>
              </w:rPr>
              <w:t>）的基金经理、易方达标普全球高端消费品指数增强型证券投资基金的基金经理、易方达标普</w:t>
            </w:r>
            <w:r>
              <w:rPr>
                <w:color w:val="000000"/>
                <w:sz w:val="24"/>
              </w:rPr>
              <w:t>500</w:t>
            </w:r>
            <w:r>
              <w:rPr>
                <w:color w:val="000000"/>
                <w:sz w:val="24"/>
              </w:rPr>
              <w:t>指数证券投资基金（</w:t>
            </w:r>
            <w:r>
              <w:rPr>
                <w:color w:val="000000"/>
                <w:sz w:val="24"/>
              </w:rPr>
              <w:t>LOF</w:t>
            </w:r>
            <w:r>
              <w:rPr>
                <w:color w:val="000000"/>
                <w:sz w:val="24"/>
              </w:rPr>
              <w:t>）的基金经理、易方达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股国际通交易型开放式指数证券投资基金发起式联接基金的基金经理、易方达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股国际通交易型开放式指数证券投资基金的基金经理</w:t>
            </w:r>
          </w:p>
        </w:tc>
        <w:tc>
          <w:tcPr>
            <w:tcW w:w="0" w:type="auto"/>
            <w:vAlign w:val="center"/>
          </w:tcPr>
          <w:p w:rsidR="00E7395D" w:rsidRDefault="00E01C53">
            <w:pPr>
              <w:jc w:val="center"/>
            </w:pPr>
            <w:r>
              <w:rPr>
                <w:color w:val="000000"/>
                <w:sz w:val="24"/>
              </w:rPr>
              <w:t>2017-03-25</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14</w:t>
            </w:r>
            <w:r>
              <w:rPr>
                <w:color w:val="000000"/>
                <w:sz w:val="24"/>
              </w:rPr>
              <w:t>年</w:t>
            </w:r>
          </w:p>
        </w:tc>
        <w:tc>
          <w:tcPr>
            <w:tcW w:w="0" w:type="auto"/>
            <w:vAlign w:val="center"/>
          </w:tcPr>
          <w:p w:rsidR="00E7395D" w:rsidRDefault="00E01C53">
            <w:r>
              <w:rPr>
                <w:color w:val="000000"/>
                <w:sz w:val="24"/>
              </w:rPr>
              <w:t>新加坡籍，硕士研究生，具有基金从业资格。曾任皇家加拿大银行托管部核算专员，美国道富集团</w:t>
            </w:r>
            <w:r>
              <w:rPr>
                <w:color w:val="000000"/>
                <w:sz w:val="24"/>
              </w:rPr>
              <w:t xml:space="preserve">Middle </w:t>
            </w:r>
            <w:r>
              <w:rPr>
                <w:color w:val="000000"/>
                <w:sz w:val="24"/>
              </w:rPr>
              <w:t>Office</w:t>
            </w:r>
            <w:r>
              <w:rPr>
                <w:color w:val="000000"/>
                <w:sz w:val="24"/>
              </w:rPr>
              <w:t>中台交易支持专员，巴克莱资产管理公司悉尼金融数据部高级金融数据分析员、悉尼金融数据部主管、新加坡金融数据部主管，贝莱德集团金融数据运营部部门经理、风险控制与咨询部客户经理、亚太股票指数基金部基金经理。</w:t>
            </w:r>
          </w:p>
        </w:tc>
      </w:tr>
      <w:tr w:rsidR="00E7395D">
        <w:tc>
          <w:tcPr>
            <w:tcW w:w="0" w:type="auto"/>
            <w:vAlign w:val="center"/>
          </w:tcPr>
          <w:p w:rsidR="00E7395D" w:rsidRDefault="00E01C53">
            <w:pPr>
              <w:jc w:val="center"/>
            </w:pPr>
            <w:r>
              <w:rPr>
                <w:color w:val="000000"/>
                <w:sz w:val="24"/>
              </w:rPr>
              <w:t>刘树荣</w:t>
            </w:r>
          </w:p>
        </w:tc>
        <w:tc>
          <w:tcPr>
            <w:tcW w:w="0" w:type="auto"/>
            <w:vAlign w:val="center"/>
          </w:tcPr>
          <w:p w:rsidR="00E7395D" w:rsidRDefault="00E01C53">
            <w:pPr>
              <w:jc w:val="center"/>
            </w:pPr>
            <w:r>
              <w:rPr>
                <w:color w:val="000000"/>
                <w:sz w:val="24"/>
              </w:rPr>
              <w:t>本基金的基金经理、易方达中证</w:t>
            </w:r>
            <w:r>
              <w:rPr>
                <w:color w:val="000000"/>
                <w:sz w:val="24"/>
              </w:rPr>
              <w:t>800</w:t>
            </w:r>
            <w:r>
              <w:rPr>
                <w:color w:val="000000"/>
                <w:sz w:val="24"/>
              </w:rPr>
              <w:t>交易型开放式指数证券投资基金发起式联接基金的基金经理、易方达中证</w:t>
            </w:r>
            <w:r>
              <w:rPr>
                <w:color w:val="000000"/>
                <w:sz w:val="24"/>
              </w:rPr>
              <w:t>800</w:t>
            </w:r>
            <w:r>
              <w:rPr>
                <w:color w:val="000000"/>
                <w:sz w:val="24"/>
              </w:rPr>
              <w:t>交易型开放式指数证券投资基金的基金经理、易方达中小板指数证券投资基金（</w:t>
            </w:r>
            <w:r>
              <w:rPr>
                <w:color w:val="000000"/>
                <w:sz w:val="24"/>
              </w:rPr>
              <w:t>LOF</w:t>
            </w:r>
            <w:r>
              <w:rPr>
                <w:color w:val="000000"/>
                <w:sz w:val="24"/>
              </w:rPr>
              <w:t>）（原易方达中小板指数分级证券投资基金）的基金经理、易方达银行指数分级证券投资基金的基金经理、易方达香港恒生</w:t>
            </w:r>
            <w:r>
              <w:rPr>
                <w:color w:val="000000"/>
                <w:sz w:val="24"/>
              </w:rPr>
              <w:t>综合小型股指数证券投资基金（</w:t>
            </w:r>
            <w:r>
              <w:rPr>
                <w:color w:val="000000"/>
                <w:sz w:val="24"/>
              </w:rPr>
              <w:t>LOF</w:t>
            </w:r>
            <w:r>
              <w:rPr>
                <w:color w:val="000000"/>
                <w:sz w:val="24"/>
              </w:rPr>
              <w:t>）的基金经理、易方达生物科技指数分级证券投资基金的基金经理、易方达深证</w:t>
            </w:r>
            <w:r>
              <w:rPr>
                <w:color w:val="000000"/>
                <w:sz w:val="24"/>
              </w:rPr>
              <w:t>100</w:t>
            </w:r>
            <w:r>
              <w:rPr>
                <w:color w:val="000000"/>
                <w:sz w:val="24"/>
              </w:rPr>
              <w:t>交易型开放式指数证券投资基金联接基金的基金经理、易方达深证</w:t>
            </w:r>
            <w:r>
              <w:rPr>
                <w:color w:val="000000"/>
                <w:sz w:val="24"/>
              </w:rPr>
              <w:t>100</w:t>
            </w:r>
            <w:r>
              <w:rPr>
                <w:color w:val="000000"/>
                <w:sz w:val="24"/>
              </w:rPr>
              <w:t>交易型开放式指数基金的基金经理、易方达上证中盘交易型开放式指数证券投资基金联接基金的基金经理、易方达上证中盘交易型开放式指数证券投资基金的基金经理、易方达创业板交易型开放式指数证券投资基金联接基金的基金经理、易方达创业板交易型开放式指数证券投资基金的基金经理、易方达并购重组指数分级证券投资基金的基金经理、易方达标普医疗保健指数证券投资基</w:t>
            </w:r>
            <w:r>
              <w:rPr>
                <w:color w:val="000000"/>
                <w:sz w:val="24"/>
              </w:rPr>
              <w:t>金（</w:t>
            </w:r>
            <w:r>
              <w:rPr>
                <w:color w:val="000000"/>
                <w:sz w:val="24"/>
              </w:rPr>
              <w:t>LOF</w:t>
            </w:r>
            <w:r>
              <w:rPr>
                <w:color w:val="000000"/>
                <w:sz w:val="24"/>
              </w:rPr>
              <w:t>）的基金经理、易方达标普生物科技指数证券投资基金（</w:t>
            </w:r>
            <w:r>
              <w:rPr>
                <w:color w:val="000000"/>
                <w:sz w:val="24"/>
              </w:rPr>
              <w:t>LOF</w:t>
            </w:r>
            <w:r>
              <w:rPr>
                <w:color w:val="000000"/>
                <w:sz w:val="24"/>
              </w:rPr>
              <w:t>）的基金经理、易方达标普</w:t>
            </w:r>
            <w:r>
              <w:rPr>
                <w:color w:val="000000"/>
                <w:sz w:val="24"/>
              </w:rPr>
              <w:t>500</w:t>
            </w:r>
            <w:r>
              <w:rPr>
                <w:color w:val="000000"/>
                <w:sz w:val="24"/>
              </w:rPr>
              <w:t>指数证券投资基金（</w:t>
            </w:r>
            <w:r>
              <w:rPr>
                <w:color w:val="000000"/>
                <w:sz w:val="24"/>
              </w:rPr>
              <w:t>LOF</w:t>
            </w:r>
            <w:r>
              <w:rPr>
                <w:color w:val="000000"/>
                <w:sz w:val="24"/>
              </w:rPr>
              <w:t>）的基金经理</w:t>
            </w:r>
          </w:p>
        </w:tc>
        <w:tc>
          <w:tcPr>
            <w:tcW w:w="0" w:type="auto"/>
            <w:vAlign w:val="center"/>
          </w:tcPr>
          <w:p w:rsidR="00E7395D" w:rsidRDefault="00E01C53">
            <w:pPr>
              <w:jc w:val="center"/>
            </w:pPr>
            <w:r>
              <w:rPr>
                <w:color w:val="000000"/>
                <w:sz w:val="24"/>
              </w:rPr>
              <w:t>2018-08-11</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12</w:t>
            </w:r>
            <w:r>
              <w:rPr>
                <w:color w:val="000000"/>
                <w:sz w:val="24"/>
              </w:rPr>
              <w:t>年</w:t>
            </w:r>
          </w:p>
        </w:tc>
        <w:tc>
          <w:tcPr>
            <w:tcW w:w="0" w:type="auto"/>
            <w:vAlign w:val="center"/>
          </w:tcPr>
          <w:p w:rsidR="00E7395D" w:rsidRDefault="00E01C53">
            <w:r>
              <w:rPr>
                <w:color w:val="000000"/>
                <w:sz w:val="24"/>
              </w:rPr>
              <w:t>硕士研究生，具有基金从业资格。曾任招商银行资产托管部基金会计，易方达基金管理有限公司核算部基金核算专员、指数与量化投资部运作支持专员、基金经理助理、易方达深证成指交易型开放式指数证券投资基金基金经理、易方达深证成指交易型开放式指数证券投资基金联接基金基金经理。</w:t>
            </w:r>
          </w:p>
        </w:tc>
      </w:tr>
    </w:tbl>
    <w:p w:rsidR="00E7395D" w:rsidRDefault="00E01C53">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w:t>
      </w:r>
      <w:r>
        <w:rPr>
          <w:color w:val="000000"/>
          <w:sz w:val="24"/>
        </w:rPr>
        <w:t>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F13451" w:rsidRPr="00431EE1" w:rsidRDefault="00F13451" w:rsidP="00431EE1">
      <w:pPr>
        <w:spacing w:line="360" w:lineRule="auto"/>
        <w:ind w:firstLineChars="200" w:firstLine="480"/>
        <w:rPr>
          <w:color w:val="000000"/>
          <w:sz w:val="24"/>
        </w:rPr>
      </w:pPr>
      <w:r w:rsidRPr="0040658E">
        <w:rPr>
          <w:color w:val="000000"/>
          <w:sz w:val="24"/>
        </w:rPr>
        <w:t>2.</w:t>
      </w:r>
      <w:r w:rsidRPr="0040658E">
        <w:rPr>
          <w:color w:val="000000"/>
          <w:sz w:val="24"/>
        </w:rPr>
        <w:t>证券从业的含义遵从《证券业从业人员资格管理办法》的相关规定。</w:t>
      </w:r>
    </w:p>
    <w:p w:rsidR="00F13451" w:rsidRPr="00820253" w:rsidRDefault="00F13451" w:rsidP="0029671E">
      <w:pPr>
        <w:adjustRightInd w:val="0"/>
        <w:snapToGrid w:val="0"/>
        <w:spacing w:line="360" w:lineRule="auto"/>
        <w:rPr>
          <w:rFonts w:ascii="宋体"/>
          <w:b/>
          <w:bCs/>
          <w:color w:val="000000"/>
          <w:sz w:val="24"/>
        </w:rPr>
      </w:pPr>
      <w:r w:rsidRPr="00820253">
        <w:rPr>
          <w:rFonts w:ascii="宋体" w:hAnsi="宋体"/>
          <w:b/>
          <w:bCs/>
          <w:color w:val="000000"/>
          <w:sz w:val="24"/>
        </w:rPr>
        <w:t>4.</w:t>
      </w:r>
      <w:r w:rsidRPr="00820253">
        <w:rPr>
          <w:rFonts w:ascii="宋体"/>
          <w:b/>
          <w:bCs/>
          <w:color w:val="000000"/>
          <w:sz w:val="24"/>
        </w:rPr>
        <w:t>2</w:t>
      </w:r>
      <w:r w:rsidRPr="00820253">
        <w:rPr>
          <w:rFonts w:ascii="宋体" w:hAnsi="宋体" w:hint="eastAsia"/>
          <w:b/>
          <w:bCs/>
          <w:color w:val="000000"/>
          <w:sz w:val="24"/>
        </w:rPr>
        <w:t>境外投资顾问为本基金提供投资建议的主要成员简介</w:t>
      </w:r>
    </w:p>
    <w:p w:rsidR="00F13451" w:rsidRPr="00431EE1" w:rsidRDefault="00F13451" w:rsidP="00431EE1">
      <w:pPr>
        <w:spacing w:line="360" w:lineRule="auto"/>
        <w:ind w:firstLineChars="200" w:firstLine="480"/>
        <w:rPr>
          <w:color w:val="000000"/>
          <w:sz w:val="24"/>
        </w:rPr>
      </w:pPr>
      <w:r w:rsidRPr="0040658E">
        <w:rPr>
          <w:color w:val="000000"/>
          <w:sz w:val="24"/>
        </w:rPr>
        <w:t>本基金未聘请境外投资顾问。</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4.3</w:t>
      </w:r>
      <w:r w:rsidRPr="00820253">
        <w:rPr>
          <w:rFonts w:ascii="宋体" w:hAnsi="宋体" w:cs="Arial" w:hint="eastAsia"/>
          <w:b/>
          <w:color w:val="000000"/>
          <w:kern w:val="0"/>
          <w:sz w:val="24"/>
        </w:rPr>
        <w:t>报告期内本基金运作遵规守信情况说明</w:t>
      </w:r>
    </w:p>
    <w:p w:rsidR="00F13451" w:rsidRPr="00431EE1" w:rsidRDefault="00F13451" w:rsidP="00431EE1">
      <w:pPr>
        <w:spacing w:line="360" w:lineRule="auto"/>
        <w:ind w:firstLineChars="200" w:firstLine="480"/>
        <w:rPr>
          <w:color w:val="000000"/>
          <w:sz w:val="24"/>
        </w:rPr>
      </w:pPr>
      <w:r w:rsidRPr="0040658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4.4</w:t>
      </w:r>
      <w:r w:rsidRPr="00820253">
        <w:rPr>
          <w:rFonts w:ascii="宋体" w:hAnsi="宋体" w:cs="Arial" w:hint="eastAsia"/>
          <w:b/>
          <w:color w:val="000000"/>
          <w:kern w:val="0"/>
          <w:sz w:val="24"/>
        </w:rPr>
        <w:t>公平交易专项说明</w:t>
      </w:r>
    </w:p>
    <w:p w:rsidR="00F13451" w:rsidRPr="00820253" w:rsidRDefault="00F13451" w:rsidP="0029671E">
      <w:pPr>
        <w:spacing w:line="360" w:lineRule="auto"/>
        <w:rPr>
          <w:rFonts w:ascii="宋体"/>
          <w:sz w:val="24"/>
        </w:rPr>
      </w:pPr>
      <w:r w:rsidRPr="00820253">
        <w:rPr>
          <w:rFonts w:ascii="宋体" w:hAnsi="宋体" w:cs="Arial"/>
          <w:b/>
          <w:color w:val="000000"/>
          <w:kern w:val="0"/>
          <w:sz w:val="24"/>
        </w:rPr>
        <w:t>4.4</w:t>
      </w:r>
      <w:r w:rsidRPr="00820253">
        <w:rPr>
          <w:rFonts w:ascii="宋体" w:hAnsi="宋体"/>
          <w:sz w:val="24"/>
        </w:rPr>
        <w:t>.</w:t>
      </w:r>
      <w:r w:rsidRPr="00820253">
        <w:rPr>
          <w:rFonts w:ascii="宋体" w:hAnsi="宋体" w:cs="Arial"/>
          <w:b/>
          <w:color w:val="000000"/>
          <w:kern w:val="0"/>
          <w:sz w:val="24"/>
        </w:rPr>
        <w:t>1</w:t>
      </w:r>
      <w:r w:rsidRPr="00820253">
        <w:rPr>
          <w:rFonts w:ascii="宋体" w:hAnsi="宋体" w:hint="eastAsia"/>
          <w:sz w:val="24"/>
        </w:rPr>
        <w:t>公平交易制度的执行情况</w:t>
      </w:r>
    </w:p>
    <w:p w:rsidR="00F13451" w:rsidRPr="0040658E" w:rsidRDefault="00F13451" w:rsidP="00476756">
      <w:pPr>
        <w:spacing w:line="360" w:lineRule="auto"/>
        <w:ind w:firstLineChars="200" w:firstLine="480"/>
        <w:rPr>
          <w:color w:val="000000"/>
          <w:sz w:val="24"/>
        </w:rPr>
      </w:pPr>
      <w:r w:rsidRPr="0040658E">
        <w:rPr>
          <w:color w:val="000000"/>
          <w:sz w:val="24"/>
        </w:rPr>
        <w:t>本基金管理人努力通过建立有纪律、规范化的投资研究和决策流程来确保公平对待不同投资组合，切实防范利益输送。本基金管理人制定了相应的投资权限管理制度、投资备选库管理制度和集中交易制度等，通过投资交易系统中的公平交易模块，同时依据境外市场的交易特点规范交易委托方式，以尽可能确保公平对待各投资组合。本报告期内，公平交易制度总体执行情况良好。</w:t>
      </w:r>
    </w:p>
    <w:p w:rsidR="00F13451" w:rsidRPr="00820253" w:rsidRDefault="00F13451" w:rsidP="0029671E">
      <w:pPr>
        <w:spacing w:line="360" w:lineRule="auto"/>
        <w:rPr>
          <w:rFonts w:ascii="宋体"/>
          <w:sz w:val="24"/>
        </w:rPr>
      </w:pPr>
      <w:r w:rsidRPr="00820253">
        <w:rPr>
          <w:rFonts w:ascii="宋体" w:hAnsi="宋体" w:cs="Arial"/>
          <w:b/>
          <w:color w:val="000000"/>
          <w:kern w:val="0"/>
          <w:sz w:val="24"/>
        </w:rPr>
        <w:t>4.4</w:t>
      </w:r>
      <w:r w:rsidRPr="00820253">
        <w:rPr>
          <w:rFonts w:ascii="宋体" w:hAnsi="宋体"/>
          <w:sz w:val="24"/>
        </w:rPr>
        <w:t>.</w:t>
      </w:r>
      <w:r w:rsidRPr="00820253">
        <w:rPr>
          <w:rFonts w:ascii="宋体" w:hAnsi="宋体" w:cs="Arial"/>
          <w:b/>
          <w:color w:val="000000"/>
          <w:kern w:val="0"/>
          <w:sz w:val="24"/>
        </w:rPr>
        <w:t>2</w:t>
      </w:r>
      <w:r w:rsidRPr="00820253">
        <w:rPr>
          <w:rFonts w:ascii="宋体" w:hAnsi="宋体" w:hint="eastAsia"/>
          <w:sz w:val="24"/>
        </w:rPr>
        <w:t>异常交易行为的专项说明</w:t>
      </w:r>
    </w:p>
    <w:p w:rsidR="00E7395D" w:rsidRDefault="00E01C53">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w:t>
      </w:r>
      <w:r>
        <w:rPr>
          <w:color w:val="000000"/>
          <w:sz w:val="24"/>
        </w:rPr>
        <w:t>规定履行了审批程序。</w:t>
      </w:r>
    </w:p>
    <w:p w:rsidR="00F13451" w:rsidRPr="00431EE1" w:rsidRDefault="00F13451" w:rsidP="00431EE1">
      <w:pPr>
        <w:spacing w:line="360" w:lineRule="auto"/>
        <w:ind w:firstLineChars="200" w:firstLine="480"/>
        <w:rPr>
          <w:color w:val="000000"/>
          <w:sz w:val="24"/>
        </w:rPr>
      </w:pPr>
      <w:r w:rsidRPr="0040658E">
        <w:rPr>
          <w:color w:val="000000"/>
          <w:sz w:val="24"/>
        </w:rPr>
        <w:t>本报告期内，未发现本基金有可能导致不公平交易和利益输送的异常交易。</w:t>
      </w:r>
    </w:p>
    <w:p w:rsidR="003E3A5C" w:rsidRDefault="00F13451" w:rsidP="003E3A5C">
      <w:pPr>
        <w:autoSpaceDE w:val="0"/>
        <w:autoSpaceDN w:val="0"/>
        <w:adjustRightInd w:val="0"/>
        <w:spacing w:line="360" w:lineRule="auto"/>
        <w:jc w:val="left"/>
        <w:rPr>
          <w:sz w:val="24"/>
        </w:rPr>
      </w:pPr>
      <w:r w:rsidRPr="00820253">
        <w:rPr>
          <w:rFonts w:ascii="宋体" w:hAnsi="宋体" w:cs="Arial"/>
          <w:b/>
          <w:color w:val="000000"/>
          <w:kern w:val="0"/>
          <w:sz w:val="24"/>
        </w:rPr>
        <w:t>4.5</w:t>
      </w:r>
      <w:r w:rsidR="003E3A5C">
        <w:rPr>
          <w:rFonts w:hint="eastAsia"/>
          <w:b/>
          <w:color w:val="000000"/>
          <w:kern w:val="0"/>
          <w:sz w:val="24"/>
        </w:rPr>
        <w:t>报告期内基金的投资策略和业绩表现说明</w:t>
      </w:r>
    </w:p>
    <w:p w:rsidR="00E7395D" w:rsidRDefault="00E01C53">
      <w:pPr>
        <w:spacing w:line="360" w:lineRule="auto"/>
        <w:ind w:firstLineChars="200" w:firstLine="480"/>
        <w:rPr>
          <w:color w:val="000000"/>
          <w:sz w:val="24"/>
        </w:rPr>
      </w:pPr>
      <w:r>
        <w:rPr>
          <w:color w:val="000000"/>
          <w:sz w:val="24"/>
        </w:rPr>
        <w:t>回顾</w:t>
      </w:r>
      <w:r>
        <w:rPr>
          <w:color w:val="000000"/>
          <w:sz w:val="24"/>
        </w:rPr>
        <w:t>2019</w:t>
      </w:r>
      <w:r>
        <w:rPr>
          <w:color w:val="000000"/>
          <w:sz w:val="24"/>
        </w:rPr>
        <w:t>年四季度，美国经济数据出现一些反复，</w:t>
      </w:r>
      <w:r>
        <w:rPr>
          <w:color w:val="000000"/>
          <w:sz w:val="24"/>
        </w:rPr>
        <w:t>11</w:t>
      </w:r>
      <w:r>
        <w:rPr>
          <w:color w:val="000000"/>
          <w:sz w:val="24"/>
        </w:rPr>
        <w:t>月份的消费数据超预期，失业率持续下降，但制造业和非制造业</w:t>
      </w:r>
      <w:r>
        <w:rPr>
          <w:color w:val="000000"/>
          <w:sz w:val="24"/>
        </w:rPr>
        <w:t>PMI</w:t>
      </w:r>
      <w:r>
        <w:rPr>
          <w:color w:val="000000"/>
          <w:sz w:val="24"/>
        </w:rPr>
        <w:t>继续放缓，降至荣枯线以下。</w:t>
      </w:r>
      <w:r>
        <w:rPr>
          <w:color w:val="000000"/>
          <w:sz w:val="24"/>
        </w:rPr>
        <w:t>10</w:t>
      </w:r>
      <w:r>
        <w:rPr>
          <w:color w:val="000000"/>
          <w:sz w:val="24"/>
        </w:rPr>
        <w:t>月份美联储再次降息</w:t>
      </w:r>
      <w:r>
        <w:rPr>
          <w:color w:val="000000"/>
          <w:sz w:val="24"/>
        </w:rPr>
        <w:t>25bps</w:t>
      </w:r>
      <w:r>
        <w:rPr>
          <w:color w:val="000000"/>
          <w:sz w:val="24"/>
        </w:rPr>
        <w:t>，并重启国债购买计划和日常性的回购操作。美国众议院通过特朗普弹劾条款，特朗普成为美国历史上第三位被弹劾的在任总统。中美贸易谈判取得一定进展，双方暂停原定于</w:t>
      </w:r>
      <w:r>
        <w:rPr>
          <w:color w:val="000000"/>
          <w:sz w:val="24"/>
        </w:rPr>
        <w:t>12</w:t>
      </w:r>
      <w:r>
        <w:rPr>
          <w:color w:val="000000"/>
          <w:sz w:val="24"/>
        </w:rPr>
        <w:t>月</w:t>
      </w:r>
      <w:r>
        <w:rPr>
          <w:color w:val="000000"/>
          <w:sz w:val="24"/>
        </w:rPr>
        <w:t>15</w:t>
      </w:r>
      <w:r>
        <w:rPr>
          <w:color w:val="000000"/>
          <w:sz w:val="24"/>
        </w:rPr>
        <w:t>日加征的关税；第一阶段谈判达成，并预计在</w:t>
      </w:r>
      <w:r>
        <w:rPr>
          <w:color w:val="000000"/>
          <w:sz w:val="24"/>
        </w:rPr>
        <w:t>2</w:t>
      </w:r>
      <w:r>
        <w:rPr>
          <w:color w:val="000000"/>
          <w:sz w:val="24"/>
        </w:rPr>
        <w:t>020</w:t>
      </w:r>
      <w:r>
        <w:rPr>
          <w:color w:val="000000"/>
          <w:sz w:val="24"/>
        </w:rPr>
        <w:t>年</w:t>
      </w:r>
      <w:r>
        <w:rPr>
          <w:color w:val="000000"/>
          <w:sz w:val="24"/>
        </w:rPr>
        <w:t>1</w:t>
      </w:r>
      <w:r>
        <w:rPr>
          <w:color w:val="000000"/>
          <w:sz w:val="24"/>
        </w:rPr>
        <w:t>月份正式签署。受中美贸易谈判利好刺激，美股在四季度走强，再创历史新高，其中信息科技板块的贡献最为显著。</w:t>
      </w:r>
    </w:p>
    <w:p w:rsidR="00E7395D" w:rsidRDefault="00E01C53">
      <w:pPr>
        <w:spacing w:line="360" w:lineRule="auto"/>
        <w:ind w:firstLineChars="200" w:firstLine="480"/>
        <w:rPr>
          <w:color w:val="000000"/>
          <w:sz w:val="24"/>
        </w:rPr>
      </w:pPr>
      <w:r>
        <w:rPr>
          <w:color w:val="000000"/>
          <w:sz w:val="24"/>
        </w:rPr>
        <w:t>作为追踪标普信息科技指数的被动式海外指数基金，本基金采用完全复制法，力求追踪误差最小化。</w:t>
      </w:r>
    </w:p>
    <w:p w:rsidR="00F13451" w:rsidRPr="00431EE1" w:rsidRDefault="003E3A5C" w:rsidP="00F95B9D">
      <w:pPr>
        <w:spacing w:line="360" w:lineRule="auto"/>
        <w:ind w:firstLineChars="200" w:firstLine="480"/>
        <w:rPr>
          <w:color w:val="000000"/>
          <w:sz w:val="24"/>
        </w:rPr>
      </w:pPr>
      <w:r>
        <w:rPr>
          <w:color w:val="000000"/>
          <w:sz w:val="24"/>
        </w:rPr>
        <w:t>截至报告期末，本基金份额净值为</w:t>
      </w:r>
      <w:r>
        <w:rPr>
          <w:color w:val="000000"/>
          <w:sz w:val="24"/>
        </w:rPr>
        <w:t>1.8375</w:t>
      </w:r>
      <w:r>
        <w:rPr>
          <w:color w:val="000000"/>
          <w:sz w:val="24"/>
        </w:rPr>
        <w:t>元，本报告期份额净值增长率为</w:t>
      </w:r>
      <w:r>
        <w:rPr>
          <w:color w:val="000000"/>
          <w:sz w:val="24"/>
        </w:rPr>
        <w:t>11.61%</w:t>
      </w:r>
      <w:r>
        <w:rPr>
          <w:color w:val="000000"/>
          <w:sz w:val="24"/>
        </w:rPr>
        <w:t>，同期业绩比较基准收益率为</w:t>
      </w:r>
      <w:r>
        <w:rPr>
          <w:color w:val="000000"/>
          <w:sz w:val="24"/>
        </w:rPr>
        <w:t>11.79%</w:t>
      </w:r>
      <w:r>
        <w:rPr>
          <w:color w:val="000000"/>
          <w:sz w:val="24"/>
        </w:rPr>
        <w:t>，年化跟踪误差</w:t>
      </w:r>
      <w:r>
        <w:rPr>
          <w:color w:val="000000"/>
          <w:sz w:val="24"/>
        </w:rPr>
        <w:t>0.240%</w:t>
      </w:r>
      <w:r>
        <w:rPr>
          <w:color w:val="000000"/>
          <w:sz w:val="24"/>
        </w:rPr>
        <w:t>，在合同规定的目标控制范围之内。</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sidRPr="00820253">
        <w:rPr>
          <w:rFonts w:ascii="宋体" w:hAnsi="宋体" w:cs="Arial"/>
          <w:color w:val="000000"/>
          <w:kern w:val="0"/>
          <w:sz w:val="24"/>
          <w:szCs w:val="24"/>
        </w:rPr>
        <w:t xml:space="preserve">5  </w:t>
      </w:r>
      <w:r w:rsidRPr="00820253">
        <w:rPr>
          <w:rFonts w:ascii="宋体" w:hAnsi="宋体" w:cs="Arial" w:hint="eastAsia"/>
          <w:color w:val="000000"/>
          <w:kern w:val="0"/>
          <w:sz w:val="24"/>
          <w:szCs w:val="24"/>
        </w:rPr>
        <w:t>投资组合报告</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5.1 </w:t>
      </w:r>
      <w:r w:rsidRPr="00820253">
        <w:rPr>
          <w:rFonts w:ascii="宋体" w:hAnsi="宋体" w:cs="Arial" w:hint="eastAsia"/>
          <w:b/>
          <w:color w:val="000000"/>
          <w:kern w:val="0"/>
          <w:sz w:val="24"/>
        </w:rPr>
        <w:t>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52"/>
        <w:gridCol w:w="3402"/>
        <w:gridCol w:w="1701"/>
      </w:tblGrid>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序号</w:t>
            </w:r>
          </w:p>
        </w:tc>
        <w:tc>
          <w:tcPr>
            <w:tcW w:w="2552"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项目</w:t>
            </w:r>
          </w:p>
        </w:tc>
        <w:tc>
          <w:tcPr>
            <w:tcW w:w="3402" w:type="dxa"/>
            <w:vAlign w:val="center"/>
          </w:tcPr>
          <w:p w:rsidR="00F13451" w:rsidRPr="00431EE1" w:rsidRDefault="00F13451" w:rsidP="00284EC5">
            <w:pPr>
              <w:spacing w:before="29" w:line="360" w:lineRule="auto"/>
              <w:ind w:left="17"/>
              <w:jc w:val="center"/>
              <w:rPr>
                <w:color w:val="000000"/>
                <w:sz w:val="24"/>
              </w:rPr>
            </w:pPr>
            <w:r w:rsidRPr="00431EE1">
              <w:rPr>
                <w:color w:val="000000"/>
                <w:sz w:val="24"/>
              </w:rPr>
              <w:t>金额</w:t>
            </w:r>
            <w:r w:rsidR="00284EC5" w:rsidRPr="00431EE1">
              <w:rPr>
                <w:color w:val="000000"/>
                <w:sz w:val="24"/>
              </w:rPr>
              <w:t>（</w:t>
            </w:r>
            <w:r w:rsidR="00284EC5" w:rsidRPr="00431EE1">
              <w:rPr>
                <w:color w:val="000000"/>
                <w:kern w:val="0"/>
                <w:sz w:val="24"/>
              </w:rPr>
              <w:t>人民币元</w:t>
            </w:r>
            <w:r w:rsidR="00284EC5" w:rsidRPr="00431EE1">
              <w:rPr>
                <w:color w:val="000000"/>
                <w:sz w:val="24"/>
              </w:rPr>
              <w:t>）</w:t>
            </w:r>
          </w:p>
        </w:tc>
        <w:tc>
          <w:tcPr>
            <w:tcW w:w="1701" w:type="dxa"/>
            <w:vAlign w:val="center"/>
          </w:tcPr>
          <w:p w:rsidR="00F13451" w:rsidRPr="00431EE1" w:rsidRDefault="00F13451" w:rsidP="00284EC5">
            <w:pPr>
              <w:spacing w:before="29" w:line="360" w:lineRule="auto"/>
              <w:ind w:left="17"/>
              <w:jc w:val="center"/>
              <w:rPr>
                <w:color w:val="000000"/>
                <w:sz w:val="24"/>
              </w:rPr>
            </w:pPr>
            <w:r w:rsidRPr="00431EE1">
              <w:rPr>
                <w:color w:val="000000"/>
                <w:sz w:val="24"/>
              </w:rPr>
              <w:t>占基金总资产的比例</w:t>
            </w:r>
            <w:r w:rsidR="00284EC5" w:rsidRPr="00431EE1">
              <w:rPr>
                <w:color w:val="000000"/>
                <w:sz w:val="24"/>
              </w:rPr>
              <w:t>（</w:t>
            </w:r>
            <w:r w:rsidR="00284EC5" w:rsidRPr="00431EE1">
              <w:rPr>
                <w:color w:val="000000"/>
                <w:sz w:val="24"/>
              </w:rPr>
              <w:t>%</w:t>
            </w:r>
            <w:r w:rsidR="00284EC5"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1</w:t>
            </w: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权益投资</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226,896,537.40</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89.85</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其中：普通股</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226,896,537.40</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89.85</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color w:val="000000"/>
                <w:sz w:val="24"/>
              </w:rPr>
            </w:pPr>
            <w:r w:rsidRPr="00431EE1">
              <w:rPr>
                <w:color w:val="000000"/>
                <w:sz w:val="24"/>
              </w:rPr>
              <w:t>存托凭证</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color w:val="000000"/>
                <w:sz w:val="24"/>
              </w:rPr>
            </w:pPr>
            <w:r w:rsidRPr="00431EE1">
              <w:rPr>
                <w:color w:val="000000"/>
                <w:sz w:val="24"/>
              </w:rPr>
              <w:t>优先股</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color w:val="000000"/>
                <w:sz w:val="24"/>
              </w:rPr>
            </w:pPr>
            <w:r w:rsidRPr="00431EE1">
              <w:rPr>
                <w:color w:val="000000"/>
                <w:sz w:val="24"/>
              </w:rPr>
              <w:t>房地产信托</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tcPr>
          <w:p w:rsidR="00F13451" w:rsidRPr="00431EE1" w:rsidRDefault="00F13451" w:rsidP="00780E33">
            <w:pPr>
              <w:adjustRightInd w:val="0"/>
              <w:snapToGrid w:val="0"/>
              <w:spacing w:line="400" w:lineRule="exact"/>
              <w:jc w:val="center"/>
              <w:rPr>
                <w:color w:val="000000"/>
                <w:sz w:val="24"/>
              </w:rPr>
            </w:pPr>
            <w:r w:rsidRPr="00431EE1">
              <w:rPr>
                <w:color w:val="000000"/>
                <w:sz w:val="24"/>
              </w:rPr>
              <w:t>2</w:t>
            </w:r>
          </w:p>
        </w:tc>
        <w:tc>
          <w:tcPr>
            <w:tcW w:w="2552" w:type="dxa"/>
          </w:tcPr>
          <w:p w:rsidR="00F13451" w:rsidRPr="00431EE1" w:rsidRDefault="00F13451" w:rsidP="00780E33">
            <w:pPr>
              <w:adjustRightInd w:val="0"/>
              <w:snapToGrid w:val="0"/>
              <w:spacing w:line="400" w:lineRule="exact"/>
              <w:rPr>
                <w:color w:val="000000"/>
                <w:sz w:val="24"/>
              </w:rPr>
            </w:pPr>
            <w:r w:rsidRPr="00431EE1">
              <w:rPr>
                <w:color w:val="000000"/>
                <w:sz w:val="24"/>
              </w:rPr>
              <w:t>基金投资</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3</w:t>
            </w: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固定收益投资</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其中：债券</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476756">
            <w:pPr>
              <w:autoSpaceDE w:val="0"/>
              <w:autoSpaceDN w:val="0"/>
              <w:adjustRightInd w:val="0"/>
              <w:spacing w:before="29" w:line="360" w:lineRule="auto"/>
              <w:ind w:left="17" w:firstLineChars="300" w:firstLine="720"/>
              <w:jc w:val="left"/>
              <w:rPr>
                <w:color w:val="000000"/>
                <w:sz w:val="24"/>
              </w:rPr>
            </w:pPr>
            <w:r w:rsidRPr="00431EE1">
              <w:rPr>
                <w:color w:val="000000"/>
                <w:sz w:val="24"/>
              </w:rPr>
              <w:t>资产支持证券</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4</w:t>
            </w: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金融衍生品投资</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tcPr>
          <w:p w:rsidR="00F13451" w:rsidRPr="00431EE1" w:rsidRDefault="00F13451" w:rsidP="00780E33">
            <w:pPr>
              <w:adjustRightInd w:val="0"/>
              <w:snapToGrid w:val="0"/>
              <w:spacing w:line="400" w:lineRule="exact"/>
              <w:rPr>
                <w:color w:val="000000"/>
                <w:sz w:val="24"/>
              </w:rPr>
            </w:pPr>
            <w:r w:rsidRPr="00431EE1">
              <w:rPr>
                <w:color w:val="000000"/>
                <w:sz w:val="24"/>
              </w:rPr>
              <w:t>其中：远期</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tcPr>
          <w:p w:rsidR="00F13451" w:rsidRPr="00431EE1" w:rsidDel="00455464" w:rsidRDefault="00F13451" w:rsidP="00476756">
            <w:pPr>
              <w:adjustRightInd w:val="0"/>
              <w:snapToGrid w:val="0"/>
              <w:spacing w:line="400" w:lineRule="exact"/>
              <w:ind w:firstLineChars="300" w:firstLine="720"/>
              <w:rPr>
                <w:color w:val="000000"/>
                <w:sz w:val="24"/>
              </w:rPr>
            </w:pPr>
            <w:r w:rsidRPr="00431EE1">
              <w:rPr>
                <w:color w:val="000000"/>
                <w:sz w:val="24"/>
              </w:rPr>
              <w:t>期货</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tcPr>
          <w:p w:rsidR="00F13451" w:rsidRPr="00431EE1" w:rsidRDefault="00F13451" w:rsidP="00476756">
            <w:pPr>
              <w:adjustRightInd w:val="0"/>
              <w:snapToGrid w:val="0"/>
              <w:spacing w:line="400" w:lineRule="exact"/>
              <w:ind w:firstLineChars="300" w:firstLine="720"/>
              <w:rPr>
                <w:color w:val="000000"/>
                <w:sz w:val="24"/>
              </w:rPr>
            </w:pPr>
            <w:r w:rsidRPr="00431EE1">
              <w:rPr>
                <w:color w:val="000000"/>
                <w:sz w:val="24"/>
              </w:rPr>
              <w:t>期权</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tcPr>
          <w:p w:rsidR="00F13451" w:rsidRPr="00431EE1" w:rsidRDefault="00F13451" w:rsidP="00476756">
            <w:pPr>
              <w:adjustRightInd w:val="0"/>
              <w:snapToGrid w:val="0"/>
              <w:spacing w:line="400" w:lineRule="exact"/>
              <w:ind w:firstLineChars="298" w:firstLine="715"/>
              <w:rPr>
                <w:color w:val="000000"/>
                <w:sz w:val="24"/>
              </w:rPr>
            </w:pPr>
            <w:r w:rsidRPr="00431EE1">
              <w:rPr>
                <w:color w:val="000000"/>
                <w:sz w:val="24"/>
              </w:rPr>
              <w:t>权证</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5</w:t>
            </w: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买入返售金融资产</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其中：买断式回购的买入返售金融资产</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tcPr>
          <w:p w:rsidR="00F13451" w:rsidRPr="00431EE1" w:rsidRDefault="00F13451" w:rsidP="00780E33">
            <w:pPr>
              <w:adjustRightInd w:val="0"/>
              <w:snapToGrid w:val="0"/>
              <w:spacing w:line="400" w:lineRule="exact"/>
              <w:jc w:val="center"/>
              <w:rPr>
                <w:color w:val="000000"/>
                <w:sz w:val="24"/>
              </w:rPr>
            </w:pPr>
            <w:r w:rsidRPr="00431EE1">
              <w:rPr>
                <w:color w:val="000000"/>
                <w:sz w:val="24"/>
              </w:rPr>
              <w:t>6</w:t>
            </w:r>
          </w:p>
        </w:tc>
        <w:tc>
          <w:tcPr>
            <w:tcW w:w="2552" w:type="dxa"/>
          </w:tcPr>
          <w:p w:rsidR="00F13451" w:rsidRPr="00431EE1" w:rsidRDefault="00F13451" w:rsidP="00780E33">
            <w:pPr>
              <w:adjustRightInd w:val="0"/>
              <w:snapToGrid w:val="0"/>
              <w:spacing w:line="400" w:lineRule="exact"/>
              <w:rPr>
                <w:color w:val="000000"/>
                <w:sz w:val="24"/>
              </w:rPr>
            </w:pPr>
            <w:r w:rsidRPr="00431EE1">
              <w:rPr>
                <w:color w:val="000000"/>
                <w:sz w:val="24"/>
              </w:rPr>
              <w:t>货币市场工具</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7</w:t>
            </w:r>
          </w:p>
        </w:tc>
        <w:tc>
          <w:tcPr>
            <w:tcW w:w="2552" w:type="dxa"/>
            <w:vAlign w:val="center"/>
          </w:tcPr>
          <w:p w:rsidR="00F13451" w:rsidRPr="00431EE1" w:rsidRDefault="00F13451" w:rsidP="00780E33">
            <w:pPr>
              <w:spacing w:before="29" w:line="360" w:lineRule="auto"/>
              <w:ind w:left="17"/>
              <w:jc w:val="left"/>
              <w:rPr>
                <w:sz w:val="24"/>
              </w:rPr>
            </w:pPr>
            <w:r w:rsidRPr="00431EE1">
              <w:rPr>
                <w:color w:val="000000"/>
                <w:sz w:val="24"/>
              </w:rPr>
              <w:t>银行存款和结算备付金合计</w:t>
            </w:r>
          </w:p>
        </w:tc>
        <w:tc>
          <w:tcPr>
            <w:tcW w:w="3402"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12,766,362.88</w:t>
            </w:r>
          </w:p>
        </w:tc>
        <w:tc>
          <w:tcPr>
            <w:tcW w:w="1701" w:type="dxa"/>
            <w:vAlign w:val="center"/>
          </w:tcPr>
          <w:p w:rsidR="00F13451" w:rsidRPr="00431EE1" w:rsidRDefault="00F13451" w:rsidP="00780E33">
            <w:pPr>
              <w:spacing w:before="29" w:line="360" w:lineRule="auto"/>
              <w:ind w:left="17"/>
              <w:jc w:val="right"/>
              <w:rPr>
                <w:color w:val="000000"/>
                <w:sz w:val="24"/>
              </w:rPr>
            </w:pPr>
            <w:r w:rsidRPr="00431EE1">
              <w:rPr>
                <w:color w:val="000000"/>
                <w:sz w:val="24"/>
              </w:rPr>
              <w:t>5.06</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8</w:t>
            </w:r>
          </w:p>
        </w:tc>
        <w:tc>
          <w:tcPr>
            <w:tcW w:w="2552" w:type="dxa"/>
            <w:vAlign w:val="center"/>
          </w:tcPr>
          <w:p w:rsidR="00F13451" w:rsidRPr="00431EE1" w:rsidRDefault="00F13451" w:rsidP="00780E33">
            <w:pPr>
              <w:jc w:val="left"/>
              <w:rPr>
                <w:sz w:val="24"/>
              </w:rPr>
            </w:pPr>
            <w:r w:rsidRPr="00431EE1">
              <w:rPr>
                <w:color w:val="000000"/>
                <w:sz w:val="24"/>
              </w:rPr>
              <w:t>其他资产</w:t>
            </w:r>
          </w:p>
        </w:tc>
        <w:tc>
          <w:tcPr>
            <w:tcW w:w="3402" w:type="dxa"/>
            <w:vAlign w:val="center"/>
          </w:tcPr>
          <w:p w:rsidR="00F13451" w:rsidRPr="00431EE1" w:rsidRDefault="00F13451" w:rsidP="00780E33">
            <w:pPr>
              <w:jc w:val="right"/>
              <w:rPr>
                <w:color w:val="000000"/>
                <w:sz w:val="24"/>
              </w:rPr>
            </w:pPr>
            <w:r w:rsidRPr="00431EE1">
              <w:rPr>
                <w:color w:val="000000"/>
                <w:sz w:val="24"/>
              </w:rPr>
              <w:t>12,864,365.79</w:t>
            </w:r>
          </w:p>
        </w:tc>
        <w:tc>
          <w:tcPr>
            <w:tcW w:w="1701" w:type="dxa"/>
            <w:vAlign w:val="center"/>
          </w:tcPr>
          <w:p w:rsidR="00F13451" w:rsidRPr="00431EE1" w:rsidRDefault="00F13451" w:rsidP="00780E33">
            <w:pPr>
              <w:jc w:val="right"/>
              <w:rPr>
                <w:color w:val="000000"/>
                <w:sz w:val="24"/>
              </w:rPr>
            </w:pPr>
            <w:r w:rsidRPr="00431EE1">
              <w:rPr>
                <w:color w:val="000000"/>
                <w:sz w:val="24"/>
              </w:rPr>
              <w:t>5.09</w:t>
            </w:r>
          </w:p>
        </w:tc>
      </w:tr>
      <w:tr w:rsidR="00F13451" w:rsidRPr="00820253" w:rsidTr="00AF41C5">
        <w:tc>
          <w:tcPr>
            <w:tcW w:w="851" w:type="dxa"/>
            <w:vAlign w:val="center"/>
          </w:tcPr>
          <w:p w:rsidR="00F13451" w:rsidRPr="00431EE1" w:rsidRDefault="00F13451" w:rsidP="00780E33">
            <w:pPr>
              <w:spacing w:before="29" w:line="360" w:lineRule="auto"/>
              <w:ind w:left="17"/>
              <w:jc w:val="center"/>
              <w:rPr>
                <w:color w:val="000000"/>
                <w:sz w:val="24"/>
              </w:rPr>
            </w:pPr>
            <w:r w:rsidRPr="00431EE1">
              <w:rPr>
                <w:color w:val="000000"/>
                <w:sz w:val="24"/>
              </w:rPr>
              <w:t>9</w:t>
            </w:r>
          </w:p>
        </w:tc>
        <w:tc>
          <w:tcPr>
            <w:tcW w:w="2552" w:type="dxa"/>
            <w:vAlign w:val="center"/>
          </w:tcPr>
          <w:p w:rsidR="00F13451" w:rsidRPr="00431EE1" w:rsidRDefault="00F13451" w:rsidP="00780E33">
            <w:pPr>
              <w:jc w:val="left"/>
              <w:rPr>
                <w:sz w:val="24"/>
              </w:rPr>
            </w:pPr>
            <w:r w:rsidRPr="00431EE1">
              <w:rPr>
                <w:color w:val="000000"/>
                <w:sz w:val="24"/>
              </w:rPr>
              <w:t>合计</w:t>
            </w:r>
          </w:p>
        </w:tc>
        <w:tc>
          <w:tcPr>
            <w:tcW w:w="3402" w:type="dxa"/>
            <w:vAlign w:val="center"/>
          </w:tcPr>
          <w:p w:rsidR="00F13451" w:rsidRPr="00431EE1" w:rsidRDefault="00F13451" w:rsidP="00780E33">
            <w:pPr>
              <w:jc w:val="right"/>
              <w:rPr>
                <w:color w:val="000000"/>
                <w:sz w:val="24"/>
              </w:rPr>
            </w:pPr>
            <w:r w:rsidRPr="00431EE1">
              <w:rPr>
                <w:color w:val="000000"/>
                <w:sz w:val="24"/>
              </w:rPr>
              <w:t>252,527,266.07</w:t>
            </w:r>
          </w:p>
        </w:tc>
        <w:tc>
          <w:tcPr>
            <w:tcW w:w="1701" w:type="dxa"/>
            <w:vAlign w:val="center"/>
          </w:tcPr>
          <w:p w:rsidR="00F13451" w:rsidRPr="00431EE1" w:rsidRDefault="00F13451" w:rsidP="00780E33">
            <w:pPr>
              <w:jc w:val="right"/>
              <w:rPr>
                <w:color w:val="000000"/>
                <w:sz w:val="24"/>
              </w:rPr>
            </w:pPr>
            <w:r w:rsidRPr="00431EE1">
              <w:rPr>
                <w:color w:val="000000"/>
                <w:sz w:val="24"/>
              </w:rPr>
              <w:t>100.00</w:t>
            </w:r>
          </w:p>
        </w:tc>
      </w:tr>
    </w:tbl>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5.2 </w:t>
      </w:r>
      <w:r w:rsidRPr="00820253">
        <w:rPr>
          <w:rFonts w:ascii="宋体" w:hAnsi="宋体" w:cs="Arial" w:hint="eastAsia"/>
          <w:b/>
          <w:color w:val="000000"/>
          <w:kern w:val="0"/>
          <w:sz w:val="24"/>
        </w:rPr>
        <w:t>报告期末在各个国家（地区）证券市场的股票及存托凭证投资分布</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118"/>
        <w:gridCol w:w="3076"/>
      </w:tblGrid>
      <w:tr w:rsidR="00F13451" w:rsidTr="00E35496">
        <w:trPr>
          <w:jc w:val="center"/>
        </w:trPr>
        <w:tc>
          <w:tcPr>
            <w:tcW w:w="2410" w:type="dxa"/>
            <w:vAlign w:val="center"/>
          </w:tcPr>
          <w:p w:rsidR="00F13451" w:rsidRPr="00431EE1" w:rsidRDefault="00F13451" w:rsidP="00E35496">
            <w:pPr>
              <w:autoSpaceDE w:val="0"/>
              <w:autoSpaceDN w:val="0"/>
              <w:adjustRightInd w:val="0"/>
              <w:spacing w:before="29" w:line="360" w:lineRule="auto"/>
              <w:ind w:left="15"/>
              <w:jc w:val="center"/>
              <w:rPr>
                <w:color w:val="000000"/>
                <w:kern w:val="0"/>
                <w:sz w:val="24"/>
              </w:rPr>
            </w:pPr>
            <w:r w:rsidRPr="00431EE1">
              <w:rPr>
                <w:color w:val="000000"/>
                <w:kern w:val="0"/>
                <w:sz w:val="24"/>
              </w:rPr>
              <w:t>国家（地区）</w:t>
            </w:r>
          </w:p>
        </w:tc>
        <w:tc>
          <w:tcPr>
            <w:tcW w:w="3118" w:type="dxa"/>
            <w:vAlign w:val="center"/>
          </w:tcPr>
          <w:p w:rsidR="00F13451" w:rsidRPr="00431EE1" w:rsidRDefault="00F13451" w:rsidP="00284EC5">
            <w:pPr>
              <w:autoSpaceDE w:val="0"/>
              <w:autoSpaceDN w:val="0"/>
              <w:adjustRightInd w:val="0"/>
              <w:spacing w:before="29" w:line="360" w:lineRule="auto"/>
              <w:ind w:left="15"/>
              <w:jc w:val="center"/>
              <w:rPr>
                <w:color w:val="000000"/>
                <w:kern w:val="0"/>
                <w:sz w:val="24"/>
              </w:rPr>
            </w:pPr>
            <w:r w:rsidRPr="00431EE1">
              <w:rPr>
                <w:color w:val="000000"/>
                <w:kern w:val="0"/>
                <w:sz w:val="24"/>
              </w:rPr>
              <w:t>公允价值</w:t>
            </w:r>
            <w:r w:rsidR="00284EC5" w:rsidRPr="00431EE1">
              <w:rPr>
                <w:color w:val="000000"/>
                <w:kern w:val="0"/>
                <w:sz w:val="24"/>
              </w:rPr>
              <w:t>（人民币元）</w:t>
            </w:r>
          </w:p>
        </w:tc>
        <w:tc>
          <w:tcPr>
            <w:tcW w:w="3076" w:type="dxa"/>
            <w:vAlign w:val="center"/>
          </w:tcPr>
          <w:p w:rsidR="00F13451" w:rsidRPr="00431EE1" w:rsidRDefault="00F13451" w:rsidP="00E35496">
            <w:pPr>
              <w:autoSpaceDE w:val="0"/>
              <w:autoSpaceDN w:val="0"/>
              <w:adjustRightInd w:val="0"/>
              <w:spacing w:before="29" w:line="360" w:lineRule="auto"/>
              <w:ind w:left="15"/>
              <w:jc w:val="center"/>
              <w:rPr>
                <w:color w:val="000000"/>
                <w:kern w:val="0"/>
                <w:sz w:val="24"/>
              </w:rPr>
            </w:pPr>
            <w:r w:rsidRPr="00431EE1">
              <w:rPr>
                <w:color w:val="000000"/>
                <w:kern w:val="0"/>
                <w:sz w:val="24"/>
              </w:rPr>
              <w:t>占基金资产净值比例（％）</w:t>
            </w:r>
          </w:p>
        </w:tc>
      </w:tr>
      <w:tr w:rsidR="00E7395D">
        <w:trPr>
          <w:jc w:val="center"/>
        </w:trPr>
        <w:tc>
          <w:tcPr>
            <w:tcW w:w="0" w:type="auto"/>
            <w:vAlign w:val="center"/>
          </w:tcPr>
          <w:p w:rsidR="00E7395D" w:rsidRDefault="00E01C53">
            <w:pPr>
              <w:jc w:val="left"/>
            </w:pPr>
            <w:r>
              <w:rPr>
                <w:color w:val="000000"/>
                <w:sz w:val="24"/>
              </w:rPr>
              <w:t>美国</w:t>
            </w:r>
          </w:p>
        </w:tc>
        <w:tc>
          <w:tcPr>
            <w:tcW w:w="0" w:type="auto"/>
            <w:vAlign w:val="center"/>
          </w:tcPr>
          <w:p w:rsidR="00E7395D" w:rsidRDefault="00E01C53">
            <w:pPr>
              <w:jc w:val="right"/>
            </w:pPr>
            <w:r>
              <w:rPr>
                <w:color w:val="000000"/>
                <w:sz w:val="24"/>
              </w:rPr>
              <w:t>226,896,537.40</w:t>
            </w:r>
          </w:p>
        </w:tc>
        <w:tc>
          <w:tcPr>
            <w:tcW w:w="0" w:type="auto"/>
            <w:vAlign w:val="center"/>
          </w:tcPr>
          <w:p w:rsidR="00E7395D" w:rsidRDefault="00E01C53">
            <w:pPr>
              <w:jc w:val="right"/>
            </w:pPr>
            <w:r>
              <w:rPr>
                <w:color w:val="000000"/>
                <w:sz w:val="24"/>
              </w:rPr>
              <w:t>94.68</w:t>
            </w:r>
          </w:p>
        </w:tc>
      </w:tr>
      <w:tr w:rsidR="00F13451" w:rsidTr="00E35496">
        <w:trPr>
          <w:jc w:val="center"/>
        </w:trPr>
        <w:tc>
          <w:tcPr>
            <w:tcW w:w="2410" w:type="dxa"/>
          </w:tcPr>
          <w:p w:rsidR="00F13451" w:rsidRPr="00431EE1" w:rsidRDefault="00F13451" w:rsidP="00E35496">
            <w:pPr>
              <w:autoSpaceDE w:val="0"/>
              <w:autoSpaceDN w:val="0"/>
              <w:adjustRightInd w:val="0"/>
              <w:spacing w:before="29" w:line="360" w:lineRule="auto"/>
              <w:jc w:val="center"/>
              <w:rPr>
                <w:color w:val="000000"/>
                <w:sz w:val="24"/>
              </w:rPr>
            </w:pPr>
            <w:r w:rsidRPr="00431EE1">
              <w:rPr>
                <w:color w:val="000000"/>
                <w:sz w:val="24"/>
              </w:rPr>
              <w:t>合计</w:t>
            </w:r>
          </w:p>
        </w:tc>
        <w:tc>
          <w:tcPr>
            <w:tcW w:w="3118" w:type="dxa"/>
          </w:tcPr>
          <w:p w:rsidR="00F13451" w:rsidRPr="00431EE1" w:rsidRDefault="00F13451" w:rsidP="00E35496">
            <w:pPr>
              <w:autoSpaceDE w:val="0"/>
              <w:autoSpaceDN w:val="0"/>
              <w:adjustRightInd w:val="0"/>
              <w:spacing w:before="29" w:line="360" w:lineRule="auto"/>
              <w:jc w:val="right"/>
              <w:rPr>
                <w:color w:val="000000"/>
                <w:sz w:val="24"/>
              </w:rPr>
            </w:pPr>
            <w:r w:rsidRPr="00431EE1">
              <w:rPr>
                <w:color w:val="000000"/>
                <w:sz w:val="24"/>
              </w:rPr>
              <w:t>226,896,537.40</w:t>
            </w:r>
          </w:p>
        </w:tc>
        <w:tc>
          <w:tcPr>
            <w:tcW w:w="3076" w:type="dxa"/>
          </w:tcPr>
          <w:p w:rsidR="00F13451" w:rsidRPr="00431EE1" w:rsidRDefault="00F13451" w:rsidP="00E35496">
            <w:pPr>
              <w:autoSpaceDE w:val="0"/>
              <w:autoSpaceDN w:val="0"/>
              <w:adjustRightInd w:val="0"/>
              <w:spacing w:before="29" w:line="360" w:lineRule="auto"/>
              <w:jc w:val="right"/>
              <w:rPr>
                <w:color w:val="000000"/>
                <w:sz w:val="24"/>
              </w:rPr>
            </w:pPr>
            <w:r w:rsidRPr="00431EE1">
              <w:rPr>
                <w:color w:val="000000"/>
                <w:sz w:val="24"/>
              </w:rPr>
              <w:t>94.68</w:t>
            </w:r>
          </w:p>
        </w:tc>
      </w:tr>
    </w:tbl>
    <w:p w:rsidR="00E7395D" w:rsidRDefault="00E01C53">
      <w:pPr>
        <w:spacing w:line="360" w:lineRule="auto"/>
        <w:ind w:firstLineChars="200" w:firstLine="480"/>
        <w:rPr>
          <w:color w:val="000000"/>
          <w:sz w:val="24"/>
        </w:rPr>
      </w:pPr>
      <w:r>
        <w:rPr>
          <w:color w:val="000000"/>
          <w:sz w:val="24"/>
        </w:rPr>
        <w:t>注：</w:t>
      </w:r>
      <w:r>
        <w:rPr>
          <w:color w:val="000000"/>
          <w:sz w:val="24"/>
        </w:rPr>
        <w:t>1.</w:t>
      </w:r>
      <w:r>
        <w:rPr>
          <w:color w:val="000000"/>
          <w:sz w:val="24"/>
        </w:rPr>
        <w:t>国家（地区）类别根据其所在的证券交易所确定。</w:t>
      </w:r>
    </w:p>
    <w:p w:rsidR="00F13451" w:rsidRPr="00431EE1" w:rsidRDefault="00F13451" w:rsidP="00431EE1">
      <w:pPr>
        <w:spacing w:line="360" w:lineRule="auto"/>
        <w:ind w:firstLineChars="200" w:firstLine="480"/>
        <w:rPr>
          <w:color w:val="000000"/>
          <w:sz w:val="24"/>
        </w:rPr>
      </w:pPr>
      <w:r w:rsidRPr="0040658E">
        <w:rPr>
          <w:color w:val="000000"/>
          <w:sz w:val="24"/>
        </w:rPr>
        <w:t>2.ADR</w:t>
      </w:r>
      <w:r w:rsidRPr="0040658E">
        <w:rPr>
          <w:color w:val="000000"/>
          <w:sz w:val="24"/>
        </w:rPr>
        <w:t>、</w:t>
      </w:r>
      <w:r w:rsidRPr="0040658E">
        <w:rPr>
          <w:color w:val="000000"/>
          <w:sz w:val="24"/>
        </w:rPr>
        <w:t>GDR</w:t>
      </w:r>
      <w:r w:rsidRPr="0040658E">
        <w:rPr>
          <w:color w:val="000000"/>
          <w:sz w:val="24"/>
        </w:rPr>
        <w:t>按照存托凭证本身挂牌的证券交易所确定。</w:t>
      </w:r>
    </w:p>
    <w:p w:rsidR="00F33530" w:rsidRPr="002149AE" w:rsidRDefault="00F33530" w:rsidP="00F33530">
      <w:pPr>
        <w:autoSpaceDE w:val="0"/>
        <w:autoSpaceDN w:val="0"/>
        <w:adjustRightInd w:val="0"/>
        <w:spacing w:line="360" w:lineRule="auto"/>
        <w:jc w:val="left"/>
        <w:rPr>
          <w:rFonts w:ascii="宋体" w:cs="Arial"/>
          <w:b/>
          <w:color w:val="000000"/>
          <w:kern w:val="0"/>
          <w:sz w:val="24"/>
        </w:rPr>
      </w:pPr>
      <w:r w:rsidRPr="002149AE">
        <w:rPr>
          <w:rFonts w:ascii="宋体" w:hAnsi="宋体" w:cs="Arial"/>
          <w:b/>
          <w:color w:val="000000"/>
          <w:kern w:val="0"/>
          <w:sz w:val="24"/>
        </w:rPr>
        <w:t xml:space="preserve">5.3 </w:t>
      </w:r>
      <w:r w:rsidRPr="002149AE">
        <w:rPr>
          <w:rFonts w:ascii="宋体" w:hAnsi="宋体" w:cs="Arial" w:hint="eastAsia"/>
          <w:b/>
          <w:color w:val="000000"/>
          <w:kern w:val="0"/>
          <w:sz w:val="24"/>
        </w:rPr>
        <w:t>报告期末按行业分类的股票及存托凭证投资组合</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7"/>
        <w:gridCol w:w="2551"/>
        <w:gridCol w:w="3175"/>
      </w:tblGrid>
      <w:tr w:rsidR="00F33530" w:rsidRPr="002149AE" w:rsidTr="006D780B">
        <w:tc>
          <w:tcPr>
            <w:tcW w:w="2787"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行业类别</w:t>
            </w:r>
          </w:p>
        </w:tc>
        <w:tc>
          <w:tcPr>
            <w:tcW w:w="2551"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公允价值（人民币元）</w:t>
            </w:r>
          </w:p>
        </w:tc>
        <w:tc>
          <w:tcPr>
            <w:tcW w:w="3175"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占基金资产净值比例（％）</w:t>
            </w:r>
          </w:p>
        </w:tc>
      </w:tr>
      <w:tr w:rsidR="00E7395D">
        <w:tc>
          <w:tcPr>
            <w:tcW w:w="0" w:type="auto"/>
            <w:vAlign w:val="center"/>
          </w:tcPr>
          <w:p w:rsidR="00E7395D" w:rsidRDefault="00E01C53">
            <w:pPr>
              <w:jc w:val="left"/>
            </w:pPr>
            <w:r>
              <w:rPr>
                <w:color w:val="000000"/>
                <w:sz w:val="24"/>
              </w:rPr>
              <w:t>能源</w:t>
            </w:r>
          </w:p>
        </w:tc>
        <w:tc>
          <w:tcPr>
            <w:tcW w:w="0" w:type="auto"/>
            <w:vAlign w:val="center"/>
          </w:tcPr>
          <w:p w:rsidR="00E7395D" w:rsidRDefault="00E01C53">
            <w:pPr>
              <w:jc w:val="right"/>
            </w:pPr>
            <w:r>
              <w:rPr>
                <w:color w:val="000000"/>
                <w:sz w:val="24"/>
              </w:rPr>
              <w:t>-</w:t>
            </w:r>
          </w:p>
        </w:tc>
        <w:tc>
          <w:tcPr>
            <w:tcW w:w="0" w:type="auto"/>
            <w:vAlign w:val="center"/>
          </w:tcPr>
          <w:p w:rsidR="00E7395D" w:rsidRDefault="00E01C53">
            <w:pPr>
              <w:jc w:val="right"/>
            </w:pPr>
            <w:r>
              <w:rPr>
                <w:color w:val="000000"/>
                <w:sz w:val="24"/>
              </w:rPr>
              <w:t>-</w:t>
            </w:r>
          </w:p>
        </w:tc>
      </w:tr>
      <w:tr w:rsidR="00E7395D">
        <w:tc>
          <w:tcPr>
            <w:tcW w:w="0" w:type="auto"/>
            <w:vAlign w:val="center"/>
          </w:tcPr>
          <w:p w:rsidR="00E7395D" w:rsidRDefault="00E01C53">
            <w:pPr>
              <w:jc w:val="left"/>
            </w:pPr>
            <w:r>
              <w:rPr>
                <w:color w:val="000000"/>
                <w:sz w:val="24"/>
              </w:rPr>
              <w:t>材料</w:t>
            </w:r>
          </w:p>
        </w:tc>
        <w:tc>
          <w:tcPr>
            <w:tcW w:w="0" w:type="auto"/>
            <w:vAlign w:val="center"/>
          </w:tcPr>
          <w:p w:rsidR="00E7395D" w:rsidRDefault="00E01C53">
            <w:pPr>
              <w:jc w:val="right"/>
            </w:pPr>
            <w:r>
              <w:rPr>
                <w:color w:val="000000"/>
                <w:sz w:val="24"/>
              </w:rPr>
              <w:t>-</w:t>
            </w:r>
          </w:p>
        </w:tc>
        <w:tc>
          <w:tcPr>
            <w:tcW w:w="0" w:type="auto"/>
            <w:vAlign w:val="center"/>
          </w:tcPr>
          <w:p w:rsidR="00E7395D" w:rsidRDefault="00E01C53">
            <w:pPr>
              <w:jc w:val="right"/>
            </w:pPr>
            <w:r>
              <w:rPr>
                <w:color w:val="000000"/>
                <w:sz w:val="24"/>
              </w:rPr>
              <w:t>-</w:t>
            </w:r>
          </w:p>
        </w:tc>
      </w:tr>
      <w:tr w:rsidR="00E7395D">
        <w:tc>
          <w:tcPr>
            <w:tcW w:w="0" w:type="auto"/>
            <w:vAlign w:val="center"/>
          </w:tcPr>
          <w:p w:rsidR="00E7395D" w:rsidRDefault="00E01C53">
            <w:pPr>
              <w:jc w:val="left"/>
            </w:pPr>
            <w:r>
              <w:rPr>
                <w:color w:val="000000"/>
                <w:sz w:val="24"/>
              </w:rPr>
              <w:t>工业</w:t>
            </w:r>
          </w:p>
        </w:tc>
        <w:tc>
          <w:tcPr>
            <w:tcW w:w="0" w:type="auto"/>
            <w:vAlign w:val="center"/>
          </w:tcPr>
          <w:p w:rsidR="00E7395D" w:rsidRDefault="00E01C53">
            <w:pPr>
              <w:jc w:val="right"/>
            </w:pPr>
            <w:r>
              <w:rPr>
                <w:color w:val="000000"/>
                <w:sz w:val="24"/>
              </w:rPr>
              <w:t>-</w:t>
            </w:r>
          </w:p>
        </w:tc>
        <w:tc>
          <w:tcPr>
            <w:tcW w:w="0" w:type="auto"/>
            <w:vAlign w:val="center"/>
          </w:tcPr>
          <w:p w:rsidR="00E7395D" w:rsidRDefault="00E01C53">
            <w:pPr>
              <w:jc w:val="right"/>
            </w:pPr>
            <w:r>
              <w:rPr>
                <w:color w:val="000000"/>
                <w:sz w:val="24"/>
              </w:rPr>
              <w:t>-</w:t>
            </w:r>
          </w:p>
        </w:tc>
      </w:tr>
      <w:tr w:rsidR="00E7395D">
        <w:tc>
          <w:tcPr>
            <w:tcW w:w="0" w:type="auto"/>
            <w:vAlign w:val="center"/>
          </w:tcPr>
          <w:p w:rsidR="00E7395D" w:rsidRDefault="00E01C53">
            <w:pPr>
              <w:jc w:val="left"/>
            </w:pPr>
            <w:r>
              <w:rPr>
                <w:color w:val="000000"/>
                <w:sz w:val="24"/>
              </w:rPr>
              <w:t>非必需消费品</w:t>
            </w:r>
          </w:p>
        </w:tc>
        <w:tc>
          <w:tcPr>
            <w:tcW w:w="0" w:type="auto"/>
            <w:vAlign w:val="center"/>
          </w:tcPr>
          <w:p w:rsidR="00E7395D" w:rsidRDefault="00E01C53">
            <w:pPr>
              <w:jc w:val="right"/>
            </w:pPr>
            <w:r>
              <w:rPr>
                <w:color w:val="000000"/>
                <w:sz w:val="24"/>
              </w:rPr>
              <w:t>-</w:t>
            </w:r>
          </w:p>
        </w:tc>
        <w:tc>
          <w:tcPr>
            <w:tcW w:w="0" w:type="auto"/>
            <w:vAlign w:val="center"/>
          </w:tcPr>
          <w:p w:rsidR="00E7395D" w:rsidRDefault="00E01C53">
            <w:pPr>
              <w:jc w:val="right"/>
            </w:pPr>
            <w:r>
              <w:rPr>
                <w:color w:val="000000"/>
                <w:sz w:val="24"/>
              </w:rPr>
              <w:t>-</w:t>
            </w:r>
          </w:p>
        </w:tc>
      </w:tr>
      <w:tr w:rsidR="00E7395D">
        <w:tc>
          <w:tcPr>
            <w:tcW w:w="0" w:type="auto"/>
            <w:vAlign w:val="center"/>
          </w:tcPr>
          <w:p w:rsidR="00E7395D" w:rsidRDefault="00E01C53">
            <w:pPr>
              <w:jc w:val="left"/>
            </w:pPr>
            <w:r>
              <w:rPr>
                <w:color w:val="000000"/>
                <w:sz w:val="24"/>
              </w:rPr>
              <w:t>必需消费品</w:t>
            </w:r>
          </w:p>
        </w:tc>
        <w:tc>
          <w:tcPr>
            <w:tcW w:w="0" w:type="auto"/>
            <w:vAlign w:val="center"/>
          </w:tcPr>
          <w:p w:rsidR="00E7395D" w:rsidRDefault="00E01C53">
            <w:pPr>
              <w:jc w:val="right"/>
            </w:pPr>
            <w:r>
              <w:rPr>
                <w:color w:val="000000"/>
                <w:sz w:val="24"/>
              </w:rPr>
              <w:t>-</w:t>
            </w:r>
          </w:p>
        </w:tc>
        <w:tc>
          <w:tcPr>
            <w:tcW w:w="0" w:type="auto"/>
            <w:vAlign w:val="center"/>
          </w:tcPr>
          <w:p w:rsidR="00E7395D" w:rsidRDefault="00E01C53">
            <w:pPr>
              <w:jc w:val="right"/>
            </w:pPr>
            <w:r>
              <w:rPr>
                <w:color w:val="000000"/>
                <w:sz w:val="24"/>
              </w:rPr>
              <w:t>-</w:t>
            </w:r>
          </w:p>
        </w:tc>
      </w:tr>
      <w:tr w:rsidR="00E7395D">
        <w:tc>
          <w:tcPr>
            <w:tcW w:w="0" w:type="auto"/>
            <w:vAlign w:val="center"/>
          </w:tcPr>
          <w:p w:rsidR="00E7395D" w:rsidRDefault="00E01C53">
            <w:pPr>
              <w:jc w:val="left"/>
            </w:pPr>
            <w:r>
              <w:rPr>
                <w:color w:val="000000"/>
                <w:sz w:val="24"/>
              </w:rPr>
              <w:t>保健</w:t>
            </w:r>
          </w:p>
        </w:tc>
        <w:tc>
          <w:tcPr>
            <w:tcW w:w="0" w:type="auto"/>
            <w:vAlign w:val="center"/>
          </w:tcPr>
          <w:p w:rsidR="00E7395D" w:rsidRDefault="00E01C53">
            <w:pPr>
              <w:jc w:val="right"/>
            </w:pPr>
            <w:r>
              <w:rPr>
                <w:color w:val="000000"/>
                <w:sz w:val="24"/>
              </w:rPr>
              <w:t>-</w:t>
            </w:r>
          </w:p>
        </w:tc>
        <w:tc>
          <w:tcPr>
            <w:tcW w:w="0" w:type="auto"/>
            <w:vAlign w:val="center"/>
          </w:tcPr>
          <w:p w:rsidR="00E7395D" w:rsidRDefault="00E01C53">
            <w:pPr>
              <w:jc w:val="right"/>
            </w:pPr>
            <w:r>
              <w:rPr>
                <w:color w:val="000000"/>
                <w:sz w:val="24"/>
              </w:rPr>
              <w:t>-</w:t>
            </w:r>
          </w:p>
        </w:tc>
      </w:tr>
      <w:tr w:rsidR="00E7395D">
        <w:tc>
          <w:tcPr>
            <w:tcW w:w="0" w:type="auto"/>
            <w:vAlign w:val="center"/>
          </w:tcPr>
          <w:p w:rsidR="00E7395D" w:rsidRDefault="00E01C53">
            <w:pPr>
              <w:jc w:val="left"/>
            </w:pPr>
            <w:r>
              <w:rPr>
                <w:color w:val="000000"/>
                <w:sz w:val="24"/>
              </w:rPr>
              <w:t>金融</w:t>
            </w:r>
          </w:p>
        </w:tc>
        <w:tc>
          <w:tcPr>
            <w:tcW w:w="0" w:type="auto"/>
            <w:vAlign w:val="center"/>
          </w:tcPr>
          <w:p w:rsidR="00E7395D" w:rsidRDefault="00E01C53">
            <w:pPr>
              <w:jc w:val="right"/>
            </w:pPr>
            <w:r>
              <w:rPr>
                <w:color w:val="000000"/>
                <w:sz w:val="24"/>
              </w:rPr>
              <w:t>-</w:t>
            </w:r>
          </w:p>
        </w:tc>
        <w:tc>
          <w:tcPr>
            <w:tcW w:w="0" w:type="auto"/>
            <w:vAlign w:val="center"/>
          </w:tcPr>
          <w:p w:rsidR="00E7395D" w:rsidRDefault="00E01C53">
            <w:pPr>
              <w:jc w:val="right"/>
            </w:pPr>
            <w:r>
              <w:rPr>
                <w:color w:val="000000"/>
                <w:sz w:val="24"/>
              </w:rPr>
              <w:t>-</w:t>
            </w:r>
          </w:p>
        </w:tc>
      </w:tr>
      <w:tr w:rsidR="00E7395D">
        <w:tc>
          <w:tcPr>
            <w:tcW w:w="0" w:type="auto"/>
            <w:vAlign w:val="center"/>
          </w:tcPr>
          <w:p w:rsidR="00E7395D" w:rsidRDefault="00E01C53">
            <w:pPr>
              <w:jc w:val="left"/>
            </w:pPr>
            <w:r>
              <w:rPr>
                <w:color w:val="000000"/>
                <w:sz w:val="24"/>
              </w:rPr>
              <w:t>信息技术</w:t>
            </w:r>
          </w:p>
        </w:tc>
        <w:tc>
          <w:tcPr>
            <w:tcW w:w="0" w:type="auto"/>
            <w:vAlign w:val="center"/>
          </w:tcPr>
          <w:p w:rsidR="00E7395D" w:rsidRDefault="00E01C53">
            <w:pPr>
              <w:jc w:val="right"/>
            </w:pPr>
            <w:r>
              <w:rPr>
                <w:color w:val="000000"/>
                <w:sz w:val="24"/>
              </w:rPr>
              <w:t>226,896,537.40</w:t>
            </w:r>
          </w:p>
        </w:tc>
        <w:tc>
          <w:tcPr>
            <w:tcW w:w="0" w:type="auto"/>
            <w:vAlign w:val="center"/>
          </w:tcPr>
          <w:p w:rsidR="00E7395D" w:rsidRDefault="00E01C53">
            <w:pPr>
              <w:jc w:val="right"/>
            </w:pPr>
            <w:r>
              <w:rPr>
                <w:color w:val="000000"/>
                <w:sz w:val="24"/>
              </w:rPr>
              <w:t>94.68</w:t>
            </w:r>
          </w:p>
        </w:tc>
      </w:tr>
      <w:tr w:rsidR="00E7395D">
        <w:tc>
          <w:tcPr>
            <w:tcW w:w="0" w:type="auto"/>
            <w:vAlign w:val="center"/>
          </w:tcPr>
          <w:p w:rsidR="00E7395D" w:rsidRDefault="00E01C53">
            <w:pPr>
              <w:jc w:val="left"/>
            </w:pPr>
            <w:r>
              <w:rPr>
                <w:color w:val="000000"/>
                <w:sz w:val="24"/>
              </w:rPr>
              <w:t>电信服务</w:t>
            </w:r>
          </w:p>
        </w:tc>
        <w:tc>
          <w:tcPr>
            <w:tcW w:w="0" w:type="auto"/>
            <w:vAlign w:val="center"/>
          </w:tcPr>
          <w:p w:rsidR="00E7395D" w:rsidRDefault="00E01C53">
            <w:pPr>
              <w:jc w:val="right"/>
            </w:pPr>
            <w:r>
              <w:rPr>
                <w:color w:val="000000"/>
                <w:sz w:val="24"/>
              </w:rPr>
              <w:t>-</w:t>
            </w:r>
          </w:p>
        </w:tc>
        <w:tc>
          <w:tcPr>
            <w:tcW w:w="0" w:type="auto"/>
            <w:vAlign w:val="center"/>
          </w:tcPr>
          <w:p w:rsidR="00E7395D" w:rsidRDefault="00E01C53">
            <w:pPr>
              <w:jc w:val="right"/>
            </w:pPr>
            <w:r>
              <w:rPr>
                <w:color w:val="000000"/>
                <w:sz w:val="24"/>
              </w:rPr>
              <w:t>-</w:t>
            </w:r>
          </w:p>
        </w:tc>
      </w:tr>
      <w:tr w:rsidR="00E7395D">
        <w:tc>
          <w:tcPr>
            <w:tcW w:w="0" w:type="auto"/>
            <w:vAlign w:val="center"/>
          </w:tcPr>
          <w:p w:rsidR="00E7395D" w:rsidRDefault="00E01C53">
            <w:pPr>
              <w:jc w:val="left"/>
            </w:pPr>
            <w:r>
              <w:rPr>
                <w:color w:val="000000"/>
                <w:sz w:val="24"/>
              </w:rPr>
              <w:t>公用事业</w:t>
            </w:r>
          </w:p>
        </w:tc>
        <w:tc>
          <w:tcPr>
            <w:tcW w:w="0" w:type="auto"/>
            <w:vAlign w:val="center"/>
          </w:tcPr>
          <w:p w:rsidR="00E7395D" w:rsidRDefault="00E01C53">
            <w:pPr>
              <w:jc w:val="right"/>
            </w:pPr>
            <w:r>
              <w:rPr>
                <w:color w:val="000000"/>
                <w:sz w:val="24"/>
              </w:rPr>
              <w:t>-</w:t>
            </w:r>
          </w:p>
        </w:tc>
        <w:tc>
          <w:tcPr>
            <w:tcW w:w="0" w:type="auto"/>
            <w:vAlign w:val="center"/>
          </w:tcPr>
          <w:p w:rsidR="00E7395D" w:rsidRDefault="00E01C53">
            <w:pPr>
              <w:jc w:val="right"/>
            </w:pPr>
            <w:r>
              <w:rPr>
                <w:color w:val="000000"/>
                <w:sz w:val="24"/>
              </w:rPr>
              <w:t>-</w:t>
            </w:r>
          </w:p>
        </w:tc>
      </w:tr>
      <w:tr w:rsidR="00E7395D">
        <w:tc>
          <w:tcPr>
            <w:tcW w:w="0" w:type="auto"/>
            <w:vAlign w:val="center"/>
          </w:tcPr>
          <w:p w:rsidR="00E7395D" w:rsidRDefault="00E01C53">
            <w:pPr>
              <w:jc w:val="left"/>
            </w:pPr>
            <w:r>
              <w:rPr>
                <w:color w:val="000000"/>
                <w:sz w:val="24"/>
              </w:rPr>
              <w:t>房地产</w:t>
            </w:r>
          </w:p>
        </w:tc>
        <w:tc>
          <w:tcPr>
            <w:tcW w:w="0" w:type="auto"/>
            <w:vAlign w:val="center"/>
          </w:tcPr>
          <w:p w:rsidR="00E7395D" w:rsidRDefault="00E01C53">
            <w:pPr>
              <w:jc w:val="right"/>
            </w:pPr>
            <w:r>
              <w:rPr>
                <w:color w:val="000000"/>
                <w:sz w:val="24"/>
              </w:rPr>
              <w:t>-</w:t>
            </w:r>
          </w:p>
        </w:tc>
        <w:tc>
          <w:tcPr>
            <w:tcW w:w="0" w:type="auto"/>
            <w:vAlign w:val="center"/>
          </w:tcPr>
          <w:p w:rsidR="00E7395D" w:rsidRDefault="00E01C53">
            <w:pPr>
              <w:jc w:val="right"/>
            </w:pPr>
            <w:r>
              <w:rPr>
                <w:color w:val="000000"/>
                <w:sz w:val="24"/>
              </w:rPr>
              <w:t>-</w:t>
            </w:r>
          </w:p>
        </w:tc>
      </w:tr>
      <w:tr w:rsidR="00F33530" w:rsidRPr="002149AE" w:rsidTr="006D780B">
        <w:tc>
          <w:tcPr>
            <w:tcW w:w="2787" w:type="dxa"/>
            <w:vAlign w:val="center"/>
          </w:tcPr>
          <w:p w:rsidR="00F33530" w:rsidRPr="00A70EAB" w:rsidRDefault="00F33530" w:rsidP="006D780B">
            <w:pPr>
              <w:autoSpaceDE w:val="0"/>
              <w:autoSpaceDN w:val="0"/>
              <w:adjustRightInd w:val="0"/>
              <w:spacing w:before="29" w:line="360" w:lineRule="auto"/>
              <w:ind w:left="15"/>
              <w:jc w:val="center"/>
              <w:rPr>
                <w:color w:val="000000"/>
                <w:sz w:val="24"/>
              </w:rPr>
            </w:pPr>
            <w:r w:rsidRPr="00A70EAB">
              <w:rPr>
                <w:color w:val="000000"/>
                <w:sz w:val="24"/>
              </w:rPr>
              <w:t>合计</w:t>
            </w:r>
          </w:p>
        </w:tc>
        <w:tc>
          <w:tcPr>
            <w:tcW w:w="2551" w:type="dxa"/>
            <w:vAlign w:val="center"/>
          </w:tcPr>
          <w:p w:rsidR="00F33530" w:rsidRPr="00A70EAB" w:rsidRDefault="00F33530" w:rsidP="006D780B">
            <w:pPr>
              <w:autoSpaceDE w:val="0"/>
              <w:autoSpaceDN w:val="0"/>
              <w:adjustRightInd w:val="0"/>
              <w:spacing w:before="29" w:line="360" w:lineRule="auto"/>
              <w:ind w:left="15"/>
              <w:jc w:val="right"/>
              <w:rPr>
                <w:color w:val="000000"/>
                <w:sz w:val="24"/>
              </w:rPr>
            </w:pPr>
            <w:r w:rsidRPr="00A70EAB">
              <w:rPr>
                <w:color w:val="000000"/>
                <w:sz w:val="24"/>
              </w:rPr>
              <w:t>226,896,537.40</w:t>
            </w:r>
          </w:p>
        </w:tc>
        <w:tc>
          <w:tcPr>
            <w:tcW w:w="3175" w:type="dxa"/>
            <w:vAlign w:val="center"/>
          </w:tcPr>
          <w:p w:rsidR="00F33530" w:rsidRPr="00A70EAB" w:rsidRDefault="00F33530" w:rsidP="006D780B">
            <w:pPr>
              <w:autoSpaceDE w:val="0"/>
              <w:autoSpaceDN w:val="0"/>
              <w:adjustRightInd w:val="0"/>
              <w:spacing w:before="29" w:line="360" w:lineRule="auto"/>
              <w:ind w:left="15"/>
              <w:jc w:val="right"/>
              <w:rPr>
                <w:color w:val="000000"/>
                <w:sz w:val="24"/>
              </w:rPr>
            </w:pPr>
            <w:r w:rsidRPr="00A70EAB">
              <w:rPr>
                <w:color w:val="000000"/>
                <w:sz w:val="24"/>
              </w:rPr>
              <w:t>94.68</w:t>
            </w:r>
          </w:p>
        </w:tc>
      </w:tr>
    </w:tbl>
    <w:p w:rsidR="00F33530" w:rsidRPr="00A70EAB" w:rsidRDefault="00F33530" w:rsidP="00F33530">
      <w:pPr>
        <w:spacing w:line="360" w:lineRule="auto"/>
        <w:ind w:firstLineChars="200" w:firstLine="480"/>
        <w:rPr>
          <w:color w:val="000000"/>
          <w:sz w:val="24"/>
        </w:rPr>
      </w:pPr>
      <w:r w:rsidRPr="00DB3360">
        <w:rPr>
          <w:color w:val="000000"/>
          <w:sz w:val="24"/>
        </w:rPr>
        <w:t>注：以上分类采用全球行业分类标准（</w:t>
      </w:r>
      <w:r w:rsidRPr="00DB3360">
        <w:rPr>
          <w:color w:val="000000"/>
          <w:sz w:val="24"/>
        </w:rPr>
        <w:t>GICS</w:t>
      </w:r>
      <w:r w:rsidRPr="00DB3360">
        <w:rPr>
          <w:color w:val="000000"/>
          <w:sz w:val="24"/>
        </w:rPr>
        <w:t>）。</w:t>
      </w:r>
    </w:p>
    <w:p w:rsidR="00F33530" w:rsidRPr="002149AE" w:rsidRDefault="00F33530" w:rsidP="00F33530">
      <w:pPr>
        <w:autoSpaceDE w:val="0"/>
        <w:autoSpaceDN w:val="0"/>
        <w:adjustRightInd w:val="0"/>
        <w:spacing w:line="360" w:lineRule="auto"/>
        <w:jc w:val="left"/>
        <w:rPr>
          <w:rFonts w:ascii="宋体" w:cs="Arial"/>
          <w:b/>
          <w:color w:val="000000"/>
          <w:kern w:val="0"/>
          <w:sz w:val="24"/>
        </w:rPr>
      </w:pPr>
      <w:r w:rsidRPr="002149AE">
        <w:rPr>
          <w:rFonts w:ascii="宋体" w:hAnsi="宋体" w:cs="Arial"/>
          <w:b/>
          <w:color w:val="000000"/>
          <w:kern w:val="0"/>
          <w:sz w:val="24"/>
        </w:rPr>
        <w:t xml:space="preserve">5.4 </w:t>
      </w:r>
      <w:r w:rsidRPr="002149AE">
        <w:rPr>
          <w:rFonts w:ascii="宋体" w:hAnsi="宋体" w:cs="Arial" w:hint="eastAsia"/>
          <w:b/>
          <w:color w:val="000000"/>
          <w:kern w:val="0"/>
          <w:sz w:val="24"/>
        </w:rPr>
        <w:t>报告期末按公允价值占基金资产净值比例大小排序的前十名股票及存托凭证投资明细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1"/>
        <w:gridCol w:w="967"/>
        <w:gridCol w:w="984"/>
        <w:gridCol w:w="716"/>
        <w:gridCol w:w="760"/>
        <w:gridCol w:w="974"/>
        <w:gridCol w:w="1188"/>
        <w:gridCol w:w="974"/>
        <w:gridCol w:w="1189"/>
      </w:tblGrid>
      <w:tr w:rsidR="00F33530" w:rsidRPr="002149AE" w:rsidTr="006D780B">
        <w:tc>
          <w:tcPr>
            <w:tcW w:w="794"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序号</w:t>
            </w:r>
          </w:p>
        </w:tc>
        <w:tc>
          <w:tcPr>
            <w:tcW w:w="974" w:type="dxa"/>
            <w:vAlign w:val="center"/>
          </w:tcPr>
          <w:p w:rsidR="00F33530" w:rsidRPr="00A70EAB" w:rsidRDefault="00F33530" w:rsidP="006D780B">
            <w:pPr>
              <w:adjustRightInd w:val="0"/>
              <w:snapToGrid w:val="0"/>
              <w:spacing w:line="400" w:lineRule="exact"/>
              <w:jc w:val="center"/>
              <w:rPr>
                <w:color w:val="000000"/>
                <w:kern w:val="0"/>
                <w:sz w:val="24"/>
              </w:rPr>
            </w:pPr>
            <w:r w:rsidRPr="00A70EAB">
              <w:rPr>
                <w:color w:val="000000"/>
                <w:kern w:val="0"/>
                <w:sz w:val="24"/>
              </w:rPr>
              <w:t>公司名称（英文）</w:t>
            </w:r>
          </w:p>
        </w:tc>
        <w:tc>
          <w:tcPr>
            <w:tcW w:w="1019" w:type="dxa"/>
            <w:vAlign w:val="center"/>
          </w:tcPr>
          <w:p w:rsidR="00F33530" w:rsidRPr="00A70EAB" w:rsidRDefault="00F33530" w:rsidP="006D780B">
            <w:pPr>
              <w:adjustRightInd w:val="0"/>
              <w:snapToGrid w:val="0"/>
              <w:spacing w:line="400" w:lineRule="exact"/>
              <w:jc w:val="center"/>
              <w:rPr>
                <w:color w:val="000000"/>
                <w:kern w:val="0"/>
                <w:sz w:val="24"/>
              </w:rPr>
            </w:pPr>
            <w:r w:rsidRPr="00A70EAB">
              <w:rPr>
                <w:color w:val="000000"/>
                <w:kern w:val="0"/>
                <w:sz w:val="24"/>
              </w:rPr>
              <w:t>公司名称（中文）</w:t>
            </w:r>
          </w:p>
        </w:tc>
        <w:tc>
          <w:tcPr>
            <w:tcW w:w="703" w:type="dxa"/>
            <w:vAlign w:val="center"/>
          </w:tcPr>
          <w:p w:rsidR="00F33530" w:rsidRPr="00A70EAB" w:rsidRDefault="00F33530" w:rsidP="006D780B">
            <w:pPr>
              <w:adjustRightInd w:val="0"/>
              <w:snapToGrid w:val="0"/>
              <w:spacing w:line="400" w:lineRule="exact"/>
              <w:jc w:val="center"/>
              <w:rPr>
                <w:color w:val="000000"/>
                <w:kern w:val="0"/>
                <w:sz w:val="24"/>
              </w:rPr>
            </w:pPr>
            <w:r w:rsidRPr="00A70EAB">
              <w:rPr>
                <w:color w:val="000000"/>
                <w:kern w:val="0"/>
                <w:sz w:val="24"/>
              </w:rPr>
              <w:t>证券代码</w:t>
            </w:r>
          </w:p>
        </w:tc>
        <w:tc>
          <w:tcPr>
            <w:tcW w:w="793"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所在证</w:t>
            </w:r>
          </w:p>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券市场</w:t>
            </w:r>
          </w:p>
        </w:tc>
        <w:tc>
          <w:tcPr>
            <w:tcW w:w="969"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所属国家</w:t>
            </w:r>
          </w:p>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（地区</w:t>
            </w:r>
            <w:r w:rsidRPr="00A70EAB">
              <w:rPr>
                <w:color w:val="000000"/>
                <w:kern w:val="0"/>
                <w:sz w:val="24"/>
              </w:rPr>
              <w:t>)</w:t>
            </w:r>
          </w:p>
        </w:tc>
        <w:tc>
          <w:tcPr>
            <w:tcW w:w="1146"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数量</w:t>
            </w:r>
          </w:p>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（股）</w:t>
            </w:r>
          </w:p>
        </w:tc>
        <w:tc>
          <w:tcPr>
            <w:tcW w:w="969"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公允价值（人民币元）</w:t>
            </w:r>
          </w:p>
        </w:tc>
        <w:tc>
          <w:tcPr>
            <w:tcW w:w="1146" w:type="dxa"/>
            <w:vAlign w:val="center"/>
          </w:tcPr>
          <w:p w:rsidR="00F33530" w:rsidRPr="00A70EAB" w:rsidRDefault="00F33530" w:rsidP="006D780B">
            <w:pPr>
              <w:autoSpaceDE w:val="0"/>
              <w:autoSpaceDN w:val="0"/>
              <w:adjustRightInd w:val="0"/>
              <w:spacing w:before="29" w:line="360" w:lineRule="auto"/>
              <w:ind w:left="15"/>
              <w:jc w:val="center"/>
              <w:rPr>
                <w:color w:val="000000"/>
                <w:kern w:val="0"/>
                <w:sz w:val="24"/>
              </w:rPr>
            </w:pPr>
            <w:r w:rsidRPr="00A70EAB">
              <w:rPr>
                <w:color w:val="000000"/>
                <w:kern w:val="0"/>
                <w:sz w:val="24"/>
              </w:rPr>
              <w:t>占基金资产净值比例（％）</w:t>
            </w:r>
          </w:p>
        </w:tc>
      </w:tr>
      <w:tr w:rsidR="00E7395D">
        <w:tc>
          <w:tcPr>
            <w:tcW w:w="0" w:type="auto"/>
            <w:vAlign w:val="center"/>
          </w:tcPr>
          <w:p w:rsidR="00E7395D" w:rsidRDefault="00E01C53">
            <w:pPr>
              <w:jc w:val="center"/>
            </w:pPr>
            <w:r>
              <w:rPr>
                <w:color w:val="000000"/>
                <w:sz w:val="24"/>
              </w:rPr>
              <w:t>1</w:t>
            </w:r>
          </w:p>
        </w:tc>
        <w:tc>
          <w:tcPr>
            <w:tcW w:w="0" w:type="auto"/>
            <w:vAlign w:val="center"/>
          </w:tcPr>
          <w:p w:rsidR="00E7395D" w:rsidRDefault="00E01C53">
            <w:pPr>
              <w:jc w:val="center"/>
            </w:pPr>
            <w:r>
              <w:rPr>
                <w:color w:val="000000"/>
                <w:sz w:val="24"/>
              </w:rPr>
              <w:t>Apple Inc</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AAPL US</w:t>
            </w:r>
          </w:p>
        </w:tc>
        <w:tc>
          <w:tcPr>
            <w:tcW w:w="0" w:type="auto"/>
            <w:vAlign w:val="center"/>
          </w:tcPr>
          <w:p w:rsidR="00E7395D" w:rsidRDefault="00E01C53">
            <w:pPr>
              <w:jc w:val="center"/>
            </w:pPr>
            <w:r>
              <w:rPr>
                <w:color w:val="000000"/>
                <w:sz w:val="24"/>
              </w:rPr>
              <w:t>纳斯达克证券交易所</w:t>
            </w:r>
          </w:p>
        </w:tc>
        <w:tc>
          <w:tcPr>
            <w:tcW w:w="0" w:type="auto"/>
            <w:vAlign w:val="center"/>
          </w:tcPr>
          <w:p w:rsidR="00E7395D" w:rsidRDefault="00E01C53">
            <w:pPr>
              <w:jc w:val="center"/>
            </w:pPr>
            <w:r>
              <w:rPr>
                <w:color w:val="000000"/>
                <w:sz w:val="24"/>
              </w:rPr>
              <w:t>美国</w:t>
            </w:r>
          </w:p>
        </w:tc>
        <w:tc>
          <w:tcPr>
            <w:tcW w:w="0" w:type="auto"/>
            <w:vAlign w:val="center"/>
          </w:tcPr>
          <w:p w:rsidR="00E7395D" w:rsidRDefault="00E01C53">
            <w:pPr>
              <w:jc w:val="right"/>
            </w:pPr>
            <w:r>
              <w:rPr>
                <w:color w:val="000000"/>
                <w:sz w:val="24"/>
              </w:rPr>
              <w:t>21,659</w:t>
            </w:r>
          </w:p>
        </w:tc>
        <w:tc>
          <w:tcPr>
            <w:tcW w:w="0" w:type="auto"/>
            <w:vAlign w:val="center"/>
          </w:tcPr>
          <w:p w:rsidR="00E7395D" w:rsidRDefault="00E01C53">
            <w:pPr>
              <w:jc w:val="right"/>
            </w:pPr>
            <w:r>
              <w:rPr>
                <w:color w:val="000000"/>
                <w:sz w:val="24"/>
              </w:rPr>
              <w:t>44,369,785.51</w:t>
            </w:r>
          </w:p>
        </w:tc>
        <w:tc>
          <w:tcPr>
            <w:tcW w:w="0" w:type="auto"/>
            <w:vAlign w:val="center"/>
          </w:tcPr>
          <w:p w:rsidR="00E7395D" w:rsidRDefault="00E01C53">
            <w:pPr>
              <w:jc w:val="right"/>
            </w:pPr>
            <w:r>
              <w:rPr>
                <w:color w:val="000000"/>
                <w:sz w:val="24"/>
              </w:rPr>
              <w:t>18.51</w:t>
            </w:r>
          </w:p>
        </w:tc>
      </w:tr>
      <w:tr w:rsidR="00E7395D">
        <w:tc>
          <w:tcPr>
            <w:tcW w:w="0" w:type="auto"/>
            <w:vAlign w:val="center"/>
          </w:tcPr>
          <w:p w:rsidR="00E7395D" w:rsidRDefault="00E01C53">
            <w:pPr>
              <w:jc w:val="center"/>
            </w:pPr>
            <w:r>
              <w:rPr>
                <w:color w:val="000000"/>
                <w:sz w:val="24"/>
              </w:rPr>
              <w:t>2</w:t>
            </w:r>
          </w:p>
        </w:tc>
        <w:tc>
          <w:tcPr>
            <w:tcW w:w="0" w:type="auto"/>
            <w:vAlign w:val="center"/>
          </w:tcPr>
          <w:p w:rsidR="00E7395D" w:rsidRDefault="00E01C53">
            <w:pPr>
              <w:jc w:val="center"/>
            </w:pPr>
            <w:r>
              <w:rPr>
                <w:color w:val="000000"/>
                <w:sz w:val="24"/>
              </w:rPr>
              <w:t>Microsoft Corp</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MSFT US</w:t>
            </w:r>
          </w:p>
        </w:tc>
        <w:tc>
          <w:tcPr>
            <w:tcW w:w="0" w:type="auto"/>
            <w:vAlign w:val="center"/>
          </w:tcPr>
          <w:p w:rsidR="00E7395D" w:rsidRDefault="00E01C53">
            <w:pPr>
              <w:jc w:val="center"/>
            </w:pPr>
            <w:r>
              <w:rPr>
                <w:color w:val="000000"/>
                <w:sz w:val="24"/>
              </w:rPr>
              <w:t>纳斯达克证券交易所</w:t>
            </w:r>
          </w:p>
        </w:tc>
        <w:tc>
          <w:tcPr>
            <w:tcW w:w="0" w:type="auto"/>
            <w:vAlign w:val="center"/>
          </w:tcPr>
          <w:p w:rsidR="00E7395D" w:rsidRDefault="00E01C53">
            <w:pPr>
              <w:jc w:val="center"/>
            </w:pPr>
            <w:r>
              <w:rPr>
                <w:color w:val="000000"/>
                <w:sz w:val="24"/>
              </w:rPr>
              <w:t>美国</w:t>
            </w:r>
          </w:p>
        </w:tc>
        <w:tc>
          <w:tcPr>
            <w:tcW w:w="0" w:type="auto"/>
            <w:vAlign w:val="center"/>
          </w:tcPr>
          <w:p w:rsidR="00E7395D" w:rsidRDefault="00E01C53">
            <w:pPr>
              <w:jc w:val="right"/>
            </w:pPr>
            <w:r>
              <w:rPr>
                <w:color w:val="000000"/>
                <w:sz w:val="24"/>
              </w:rPr>
              <w:t>40,054</w:t>
            </w:r>
          </w:p>
        </w:tc>
        <w:tc>
          <w:tcPr>
            <w:tcW w:w="0" w:type="auto"/>
            <w:vAlign w:val="center"/>
          </w:tcPr>
          <w:p w:rsidR="00E7395D" w:rsidRDefault="00E01C53">
            <w:pPr>
              <w:jc w:val="right"/>
            </w:pPr>
            <w:r>
              <w:rPr>
                <w:color w:val="000000"/>
                <w:sz w:val="24"/>
              </w:rPr>
              <w:t>44,065,277.52</w:t>
            </w:r>
          </w:p>
        </w:tc>
        <w:tc>
          <w:tcPr>
            <w:tcW w:w="0" w:type="auto"/>
            <w:vAlign w:val="center"/>
          </w:tcPr>
          <w:p w:rsidR="00E7395D" w:rsidRDefault="00E01C53">
            <w:pPr>
              <w:jc w:val="right"/>
            </w:pPr>
            <w:r>
              <w:rPr>
                <w:color w:val="000000"/>
                <w:sz w:val="24"/>
              </w:rPr>
              <w:t>18.39</w:t>
            </w:r>
          </w:p>
        </w:tc>
      </w:tr>
      <w:tr w:rsidR="00E7395D">
        <w:tc>
          <w:tcPr>
            <w:tcW w:w="0" w:type="auto"/>
            <w:vAlign w:val="center"/>
          </w:tcPr>
          <w:p w:rsidR="00E7395D" w:rsidRDefault="00E01C53">
            <w:pPr>
              <w:jc w:val="center"/>
            </w:pPr>
            <w:r>
              <w:rPr>
                <w:color w:val="000000"/>
                <w:sz w:val="24"/>
              </w:rPr>
              <w:t>3</w:t>
            </w:r>
          </w:p>
        </w:tc>
        <w:tc>
          <w:tcPr>
            <w:tcW w:w="0" w:type="auto"/>
            <w:vAlign w:val="center"/>
          </w:tcPr>
          <w:p w:rsidR="00E7395D" w:rsidRDefault="00E01C53">
            <w:pPr>
              <w:jc w:val="center"/>
            </w:pPr>
            <w:r>
              <w:rPr>
                <w:color w:val="000000"/>
                <w:sz w:val="24"/>
              </w:rPr>
              <w:t xml:space="preserve">Visa </w:t>
            </w:r>
            <w:r>
              <w:rPr>
                <w:color w:val="000000"/>
                <w:sz w:val="24"/>
              </w:rPr>
              <w:t>Inc</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V US</w:t>
            </w:r>
          </w:p>
        </w:tc>
        <w:tc>
          <w:tcPr>
            <w:tcW w:w="0" w:type="auto"/>
            <w:vAlign w:val="center"/>
          </w:tcPr>
          <w:p w:rsidR="00E7395D" w:rsidRDefault="00E01C53">
            <w:pPr>
              <w:jc w:val="center"/>
            </w:pPr>
            <w:r>
              <w:rPr>
                <w:color w:val="000000"/>
                <w:sz w:val="24"/>
              </w:rPr>
              <w:t>纽约证券交易所</w:t>
            </w:r>
          </w:p>
        </w:tc>
        <w:tc>
          <w:tcPr>
            <w:tcW w:w="0" w:type="auto"/>
            <w:vAlign w:val="center"/>
          </w:tcPr>
          <w:p w:rsidR="00E7395D" w:rsidRDefault="00E01C53">
            <w:pPr>
              <w:jc w:val="center"/>
            </w:pPr>
            <w:r>
              <w:rPr>
                <w:color w:val="000000"/>
                <w:sz w:val="24"/>
              </w:rPr>
              <w:t>美国</w:t>
            </w:r>
          </w:p>
        </w:tc>
        <w:tc>
          <w:tcPr>
            <w:tcW w:w="0" w:type="auto"/>
            <w:vAlign w:val="center"/>
          </w:tcPr>
          <w:p w:rsidR="00E7395D" w:rsidRDefault="00E01C53">
            <w:pPr>
              <w:jc w:val="right"/>
            </w:pPr>
            <w:r>
              <w:rPr>
                <w:color w:val="000000"/>
                <w:sz w:val="24"/>
              </w:rPr>
              <w:t>8,989</w:t>
            </w:r>
          </w:p>
        </w:tc>
        <w:tc>
          <w:tcPr>
            <w:tcW w:w="0" w:type="auto"/>
            <w:vAlign w:val="center"/>
          </w:tcPr>
          <w:p w:rsidR="00E7395D" w:rsidRDefault="00E01C53">
            <w:pPr>
              <w:jc w:val="right"/>
            </w:pPr>
            <w:r>
              <w:rPr>
                <w:color w:val="000000"/>
                <w:sz w:val="24"/>
              </w:rPr>
              <w:t>11,783,032.71</w:t>
            </w:r>
          </w:p>
        </w:tc>
        <w:tc>
          <w:tcPr>
            <w:tcW w:w="0" w:type="auto"/>
            <w:vAlign w:val="center"/>
          </w:tcPr>
          <w:p w:rsidR="00E7395D" w:rsidRDefault="00E01C53">
            <w:pPr>
              <w:jc w:val="right"/>
            </w:pPr>
            <w:r>
              <w:rPr>
                <w:color w:val="000000"/>
                <w:sz w:val="24"/>
              </w:rPr>
              <w:t>4.92</w:t>
            </w:r>
          </w:p>
        </w:tc>
      </w:tr>
      <w:tr w:rsidR="00E7395D">
        <w:tc>
          <w:tcPr>
            <w:tcW w:w="0" w:type="auto"/>
            <w:vAlign w:val="center"/>
          </w:tcPr>
          <w:p w:rsidR="00E7395D" w:rsidRDefault="00E01C53">
            <w:pPr>
              <w:jc w:val="center"/>
            </w:pPr>
            <w:r>
              <w:rPr>
                <w:color w:val="000000"/>
                <w:sz w:val="24"/>
              </w:rPr>
              <w:t>4</w:t>
            </w:r>
          </w:p>
        </w:tc>
        <w:tc>
          <w:tcPr>
            <w:tcW w:w="0" w:type="auto"/>
            <w:vAlign w:val="center"/>
          </w:tcPr>
          <w:p w:rsidR="00E7395D" w:rsidRDefault="00E01C53">
            <w:pPr>
              <w:jc w:val="center"/>
            </w:pPr>
            <w:r>
              <w:rPr>
                <w:color w:val="000000"/>
                <w:sz w:val="24"/>
              </w:rPr>
              <w:t>Mastercard Inc</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MA US</w:t>
            </w:r>
          </w:p>
        </w:tc>
        <w:tc>
          <w:tcPr>
            <w:tcW w:w="0" w:type="auto"/>
            <w:vAlign w:val="center"/>
          </w:tcPr>
          <w:p w:rsidR="00E7395D" w:rsidRDefault="00E01C53">
            <w:pPr>
              <w:jc w:val="center"/>
            </w:pPr>
            <w:r>
              <w:rPr>
                <w:color w:val="000000"/>
                <w:sz w:val="24"/>
              </w:rPr>
              <w:t>纽约证券交易所</w:t>
            </w:r>
          </w:p>
        </w:tc>
        <w:tc>
          <w:tcPr>
            <w:tcW w:w="0" w:type="auto"/>
            <w:vAlign w:val="center"/>
          </w:tcPr>
          <w:p w:rsidR="00E7395D" w:rsidRDefault="00E01C53">
            <w:pPr>
              <w:jc w:val="center"/>
            </w:pPr>
            <w:r>
              <w:rPr>
                <w:color w:val="000000"/>
                <w:sz w:val="24"/>
              </w:rPr>
              <w:t>美国</w:t>
            </w:r>
          </w:p>
        </w:tc>
        <w:tc>
          <w:tcPr>
            <w:tcW w:w="0" w:type="auto"/>
            <w:vAlign w:val="center"/>
          </w:tcPr>
          <w:p w:rsidR="00E7395D" w:rsidRDefault="00E01C53">
            <w:pPr>
              <w:jc w:val="right"/>
            </w:pPr>
            <w:r>
              <w:rPr>
                <w:color w:val="000000"/>
                <w:sz w:val="24"/>
              </w:rPr>
              <w:t>4,652</w:t>
            </w:r>
          </w:p>
        </w:tc>
        <w:tc>
          <w:tcPr>
            <w:tcW w:w="0" w:type="auto"/>
            <w:vAlign w:val="center"/>
          </w:tcPr>
          <w:p w:rsidR="00E7395D" w:rsidRDefault="00E01C53">
            <w:pPr>
              <w:jc w:val="right"/>
            </w:pPr>
            <w:r>
              <w:rPr>
                <w:color w:val="000000"/>
                <w:sz w:val="24"/>
              </w:rPr>
              <w:t>9,690,225.59</w:t>
            </w:r>
          </w:p>
        </w:tc>
        <w:tc>
          <w:tcPr>
            <w:tcW w:w="0" w:type="auto"/>
            <w:vAlign w:val="center"/>
          </w:tcPr>
          <w:p w:rsidR="00E7395D" w:rsidRDefault="00E01C53">
            <w:pPr>
              <w:jc w:val="right"/>
            </w:pPr>
            <w:r>
              <w:rPr>
                <w:color w:val="000000"/>
                <w:sz w:val="24"/>
              </w:rPr>
              <w:t>4.04</w:t>
            </w:r>
          </w:p>
        </w:tc>
      </w:tr>
      <w:tr w:rsidR="00E7395D">
        <w:tc>
          <w:tcPr>
            <w:tcW w:w="0" w:type="auto"/>
            <w:vAlign w:val="center"/>
          </w:tcPr>
          <w:p w:rsidR="00E7395D" w:rsidRDefault="00E01C53">
            <w:pPr>
              <w:jc w:val="center"/>
            </w:pPr>
            <w:r>
              <w:rPr>
                <w:color w:val="000000"/>
                <w:sz w:val="24"/>
              </w:rPr>
              <w:t>5</w:t>
            </w:r>
          </w:p>
        </w:tc>
        <w:tc>
          <w:tcPr>
            <w:tcW w:w="0" w:type="auto"/>
            <w:vAlign w:val="center"/>
          </w:tcPr>
          <w:p w:rsidR="00E7395D" w:rsidRDefault="00E01C53">
            <w:pPr>
              <w:jc w:val="center"/>
            </w:pPr>
            <w:r>
              <w:rPr>
                <w:color w:val="000000"/>
                <w:sz w:val="24"/>
              </w:rPr>
              <w:t>Intel Corp</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INTC US</w:t>
            </w:r>
          </w:p>
        </w:tc>
        <w:tc>
          <w:tcPr>
            <w:tcW w:w="0" w:type="auto"/>
            <w:vAlign w:val="center"/>
          </w:tcPr>
          <w:p w:rsidR="00E7395D" w:rsidRDefault="00E01C53">
            <w:pPr>
              <w:jc w:val="center"/>
            </w:pPr>
            <w:r>
              <w:rPr>
                <w:color w:val="000000"/>
                <w:sz w:val="24"/>
              </w:rPr>
              <w:t>纳斯达克证券交易所</w:t>
            </w:r>
          </w:p>
        </w:tc>
        <w:tc>
          <w:tcPr>
            <w:tcW w:w="0" w:type="auto"/>
            <w:vAlign w:val="center"/>
          </w:tcPr>
          <w:p w:rsidR="00E7395D" w:rsidRDefault="00E01C53">
            <w:pPr>
              <w:jc w:val="center"/>
            </w:pPr>
            <w:r>
              <w:rPr>
                <w:color w:val="000000"/>
                <w:sz w:val="24"/>
              </w:rPr>
              <w:t>美国</w:t>
            </w:r>
          </w:p>
        </w:tc>
        <w:tc>
          <w:tcPr>
            <w:tcW w:w="0" w:type="auto"/>
            <w:vAlign w:val="center"/>
          </w:tcPr>
          <w:p w:rsidR="00E7395D" w:rsidRDefault="00E01C53">
            <w:pPr>
              <w:jc w:val="right"/>
            </w:pPr>
            <w:r>
              <w:rPr>
                <w:color w:val="000000"/>
                <w:sz w:val="24"/>
              </w:rPr>
              <w:t>22,759</w:t>
            </w:r>
          </w:p>
        </w:tc>
        <w:tc>
          <w:tcPr>
            <w:tcW w:w="0" w:type="auto"/>
            <w:vAlign w:val="center"/>
          </w:tcPr>
          <w:p w:rsidR="00E7395D" w:rsidRDefault="00E01C53">
            <w:pPr>
              <w:jc w:val="right"/>
            </w:pPr>
            <w:r>
              <w:rPr>
                <w:color w:val="000000"/>
                <w:sz w:val="24"/>
              </w:rPr>
              <w:t>9,502,464.45</w:t>
            </w:r>
          </w:p>
        </w:tc>
        <w:tc>
          <w:tcPr>
            <w:tcW w:w="0" w:type="auto"/>
            <w:vAlign w:val="center"/>
          </w:tcPr>
          <w:p w:rsidR="00E7395D" w:rsidRDefault="00E01C53">
            <w:pPr>
              <w:jc w:val="right"/>
            </w:pPr>
            <w:r>
              <w:rPr>
                <w:color w:val="000000"/>
                <w:sz w:val="24"/>
              </w:rPr>
              <w:t>3.97</w:t>
            </w:r>
          </w:p>
        </w:tc>
      </w:tr>
      <w:tr w:rsidR="00E7395D">
        <w:tc>
          <w:tcPr>
            <w:tcW w:w="0" w:type="auto"/>
            <w:vAlign w:val="center"/>
          </w:tcPr>
          <w:p w:rsidR="00E7395D" w:rsidRDefault="00E01C53">
            <w:pPr>
              <w:jc w:val="center"/>
            </w:pPr>
            <w:r>
              <w:rPr>
                <w:color w:val="000000"/>
                <w:sz w:val="24"/>
              </w:rPr>
              <w:t>6</w:t>
            </w:r>
          </w:p>
        </w:tc>
        <w:tc>
          <w:tcPr>
            <w:tcW w:w="0" w:type="auto"/>
            <w:vAlign w:val="center"/>
          </w:tcPr>
          <w:p w:rsidR="00E7395D" w:rsidRDefault="00E01C53">
            <w:pPr>
              <w:jc w:val="center"/>
            </w:pPr>
            <w:r>
              <w:rPr>
                <w:color w:val="000000"/>
                <w:sz w:val="24"/>
              </w:rPr>
              <w:t>Cisco Systems Inc</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CSCO US</w:t>
            </w:r>
          </w:p>
        </w:tc>
        <w:tc>
          <w:tcPr>
            <w:tcW w:w="0" w:type="auto"/>
            <w:vAlign w:val="center"/>
          </w:tcPr>
          <w:p w:rsidR="00E7395D" w:rsidRDefault="00E01C53">
            <w:pPr>
              <w:jc w:val="center"/>
            </w:pPr>
            <w:r>
              <w:rPr>
                <w:color w:val="000000"/>
                <w:sz w:val="24"/>
              </w:rPr>
              <w:t>纳斯达克证券交易所</w:t>
            </w:r>
          </w:p>
        </w:tc>
        <w:tc>
          <w:tcPr>
            <w:tcW w:w="0" w:type="auto"/>
            <w:vAlign w:val="center"/>
          </w:tcPr>
          <w:p w:rsidR="00E7395D" w:rsidRDefault="00E01C53">
            <w:pPr>
              <w:jc w:val="center"/>
            </w:pPr>
            <w:r>
              <w:rPr>
                <w:color w:val="000000"/>
                <w:sz w:val="24"/>
              </w:rPr>
              <w:t>美国</w:t>
            </w:r>
          </w:p>
        </w:tc>
        <w:tc>
          <w:tcPr>
            <w:tcW w:w="0" w:type="auto"/>
            <w:vAlign w:val="center"/>
          </w:tcPr>
          <w:p w:rsidR="00E7395D" w:rsidRDefault="00E01C53">
            <w:pPr>
              <w:jc w:val="right"/>
            </w:pPr>
            <w:r>
              <w:rPr>
                <w:color w:val="000000"/>
                <w:sz w:val="24"/>
              </w:rPr>
              <w:t>22,242</w:t>
            </w:r>
          </w:p>
        </w:tc>
        <w:tc>
          <w:tcPr>
            <w:tcW w:w="0" w:type="auto"/>
            <w:vAlign w:val="center"/>
          </w:tcPr>
          <w:p w:rsidR="00E7395D" w:rsidRDefault="00E01C53">
            <w:pPr>
              <w:jc w:val="right"/>
            </w:pPr>
            <w:r>
              <w:rPr>
                <w:color w:val="000000"/>
                <w:sz w:val="24"/>
              </w:rPr>
              <w:t>7,441,696.15</w:t>
            </w:r>
          </w:p>
        </w:tc>
        <w:tc>
          <w:tcPr>
            <w:tcW w:w="0" w:type="auto"/>
            <w:vAlign w:val="center"/>
          </w:tcPr>
          <w:p w:rsidR="00E7395D" w:rsidRDefault="00E01C53">
            <w:pPr>
              <w:jc w:val="right"/>
            </w:pPr>
            <w:r>
              <w:rPr>
                <w:color w:val="000000"/>
                <w:sz w:val="24"/>
              </w:rPr>
              <w:t>3.11</w:t>
            </w:r>
          </w:p>
        </w:tc>
      </w:tr>
      <w:tr w:rsidR="00E7395D">
        <w:tc>
          <w:tcPr>
            <w:tcW w:w="0" w:type="auto"/>
            <w:vAlign w:val="center"/>
          </w:tcPr>
          <w:p w:rsidR="00E7395D" w:rsidRDefault="00E01C53">
            <w:pPr>
              <w:jc w:val="center"/>
            </w:pPr>
            <w:r>
              <w:rPr>
                <w:color w:val="000000"/>
                <w:sz w:val="24"/>
              </w:rPr>
              <w:t>7</w:t>
            </w:r>
          </w:p>
        </w:tc>
        <w:tc>
          <w:tcPr>
            <w:tcW w:w="0" w:type="auto"/>
            <w:vAlign w:val="center"/>
          </w:tcPr>
          <w:p w:rsidR="00E7395D" w:rsidRDefault="00E01C53">
            <w:pPr>
              <w:jc w:val="center"/>
            </w:pPr>
            <w:r>
              <w:rPr>
                <w:color w:val="000000"/>
                <w:sz w:val="24"/>
              </w:rPr>
              <w:t>Adobe Inc</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ADBE US</w:t>
            </w:r>
          </w:p>
        </w:tc>
        <w:tc>
          <w:tcPr>
            <w:tcW w:w="0" w:type="auto"/>
            <w:vAlign w:val="center"/>
          </w:tcPr>
          <w:p w:rsidR="00E7395D" w:rsidRDefault="00E01C53">
            <w:pPr>
              <w:jc w:val="center"/>
            </w:pPr>
            <w:r>
              <w:rPr>
                <w:color w:val="000000"/>
                <w:sz w:val="24"/>
              </w:rPr>
              <w:t>纳斯达克证券交易所</w:t>
            </w:r>
          </w:p>
        </w:tc>
        <w:tc>
          <w:tcPr>
            <w:tcW w:w="0" w:type="auto"/>
            <w:vAlign w:val="center"/>
          </w:tcPr>
          <w:p w:rsidR="00E7395D" w:rsidRDefault="00E01C53">
            <w:pPr>
              <w:jc w:val="center"/>
            </w:pPr>
            <w:r>
              <w:rPr>
                <w:color w:val="000000"/>
                <w:sz w:val="24"/>
              </w:rPr>
              <w:t>美国</w:t>
            </w:r>
          </w:p>
        </w:tc>
        <w:tc>
          <w:tcPr>
            <w:tcW w:w="0" w:type="auto"/>
            <w:vAlign w:val="center"/>
          </w:tcPr>
          <w:p w:rsidR="00E7395D" w:rsidRDefault="00E01C53">
            <w:pPr>
              <w:jc w:val="right"/>
            </w:pPr>
            <w:r>
              <w:rPr>
                <w:color w:val="000000"/>
                <w:sz w:val="24"/>
              </w:rPr>
              <w:t>2,546</w:t>
            </w:r>
          </w:p>
        </w:tc>
        <w:tc>
          <w:tcPr>
            <w:tcW w:w="0" w:type="auto"/>
            <w:vAlign w:val="center"/>
          </w:tcPr>
          <w:p w:rsidR="00E7395D" w:rsidRDefault="00E01C53">
            <w:pPr>
              <w:jc w:val="right"/>
            </w:pPr>
            <w:r>
              <w:rPr>
                <w:color w:val="000000"/>
                <w:sz w:val="24"/>
              </w:rPr>
              <w:t>5,857,889.05</w:t>
            </w:r>
          </w:p>
        </w:tc>
        <w:tc>
          <w:tcPr>
            <w:tcW w:w="0" w:type="auto"/>
            <w:vAlign w:val="center"/>
          </w:tcPr>
          <w:p w:rsidR="00E7395D" w:rsidRDefault="00E01C53">
            <w:pPr>
              <w:jc w:val="right"/>
            </w:pPr>
            <w:r>
              <w:rPr>
                <w:color w:val="000000"/>
                <w:sz w:val="24"/>
              </w:rPr>
              <w:t>2.44</w:t>
            </w:r>
          </w:p>
        </w:tc>
      </w:tr>
      <w:tr w:rsidR="00E7395D">
        <w:tc>
          <w:tcPr>
            <w:tcW w:w="0" w:type="auto"/>
            <w:vAlign w:val="center"/>
          </w:tcPr>
          <w:p w:rsidR="00E7395D" w:rsidRDefault="00E01C53">
            <w:pPr>
              <w:jc w:val="center"/>
            </w:pPr>
            <w:r>
              <w:rPr>
                <w:color w:val="000000"/>
                <w:sz w:val="24"/>
              </w:rPr>
              <w:t>8</w:t>
            </w:r>
          </w:p>
        </w:tc>
        <w:tc>
          <w:tcPr>
            <w:tcW w:w="0" w:type="auto"/>
            <w:vAlign w:val="center"/>
          </w:tcPr>
          <w:p w:rsidR="00E7395D" w:rsidRDefault="00E01C53">
            <w:pPr>
              <w:jc w:val="center"/>
            </w:pPr>
            <w:r>
              <w:rPr>
                <w:color w:val="000000"/>
                <w:sz w:val="24"/>
              </w:rPr>
              <w:t>NVIDIA Corp</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NVDA US</w:t>
            </w:r>
          </w:p>
        </w:tc>
        <w:tc>
          <w:tcPr>
            <w:tcW w:w="0" w:type="auto"/>
            <w:vAlign w:val="center"/>
          </w:tcPr>
          <w:p w:rsidR="00E7395D" w:rsidRDefault="00E01C53">
            <w:pPr>
              <w:jc w:val="center"/>
            </w:pPr>
            <w:r>
              <w:rPr>
                <w:color w:val="000000"/>
                <w:sz w:val="24"/>
              </w:rPr>
              <w:t>纳斯达克证券交易所</w:t>
            </w:r>
          </w:p>
        </w:tc>
        <w:tc>
          <w:tcPr>
            <w:tcW w:w="0" w:type="auto"/>
            <w:vAlign w:val="center"/>
          </w:tcPr>
          <w:p w:rsidR="00E7395D" w:rsidRDefault="00E01C53">
            <w:pPr>
              <w:jc w:val="center"/>
            </w:pPr>
            <w:r>
              <w:rPr>
                <w:color w:val="000000"/>
                <w:sz w:val="24"/>
              </w:rPr>
              <w:t>美国</w:t>
            </w:r>
          </w:p>
        </w:tc>
        <w:tc>
          <w:tcPr>
            <w:tcW w:w="0" w:type="auto"/>
            <w:vAlign w:val="center"/>
          </w:tcPr>
          <w:p w:rsidR="00E7395D" w:rsidRDefault="00E01C53">
            <w:pPr>
              <w:jc w:val="right"/>
            </w:pPr>
            <w:r>
              <w:rPr>
                <w:color w:val="000000"/>
                <w:sz w:val="24"/>
              </w:rPr>
              <w:t>3,285</w:t>
            </w:r>
          </w:p>
        </w:tc>
        <w:tc>
          <w:tcPr>
            <w:tcW w:w="0" w:type="auto"/>
            <w:vAlign w:val="center"/>
          </w:tcPr>
          <w:p w:rsidR="00E7395D" w:rsidRDefault="00E01C53">
            <w:pPr>
              <w:jc w:val="right"/>
            </w:pPr>
            <w:r>
              <w:rPr>
                <w:color w:val="000000"/>
                <w:sz w:val="24"/>
              </w:rPr>
              <w:t>5,392,327.04</w:t>
            </w:r>
          </w:p>
        </w:tc>
        <w:tc>
          <w:tcPr>
            <w:tcW w:w="0" w:type="auto"/>
            <w:vAlign w:val="center"/>
          </w:tcPr>
          <w:p w:rsidR="00E7395D" w:rsidRDefault="00E01C53">
            <w:pPr>
              <w:jc w:val="right"/>
            </w:pPr>
            <w:r>
              <w:rPr>
                <w:color w:val="000000"/>
                <w:sz w:val="24"/>
              </w:rPr>
              <w:t>2.25</w:t>
            </w:r>
          </w:p>
        </w:tc>
      </w:tr>
      <w:tr w:rsidR="00E7395D">
        <w:tc>
          <w:tcPr>
            <w:tcW w:w="0" w:type="auto"/>
            <w:vAlign w:val="center"/>
          </w:tcPr>
          <w:p w:rsidR="00E7395D" w:rsidRDefault="00E01C53">
            <w:pPr>
              <w:jc w:val="center"/>
            </w:pPr>
            <w:r>
              <w:rPr>
                <w:color w:val="000000"/>
                <w:sz w:val="24"/>
              </w:rPr>
              <w:t>9</w:t>
            </w:r>
          </w:p>
        </w:tc>
        <w:tc>
          <w:tcPr>
            <w:tcW w:w="0" w:type="auto"/>
            <w:vAlign w:val="center"/>
          </w:tcPr>
          <w:p w:rsidR="00E7395D" w:rsidRDefault="00E01C53">
            <w:pPr>
              <w:jc w:val="center"/>
            </w:pPr>
            <w:r>
              <w:rPr>
                <w:color w:val="000000"/>
                <w:sz w:val="24"/>
              </w:rPr>
              <w:t>salesforce.com Inc</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CRM US</w:t>
            </w:r>
          </w:p>
        </w:tc>
        <w:tc>
          <w:tcPr>
            <w:tcW w:w="0" w:type="auto"/>
            <w:vAlign w:val="center"/>
          </w:tcPr>
          <w:p w:rsidR="00E7395D" w:rsidRDefault="00E01C53">
            <w:pPr>
              <w:jc w:val="center"/>
            </w:pPr>
            <w:r>
              <w:rPr>
                <w:color w:val="000000"/>
                <w:sz w:val="24"/>
              </w:rPr>
              <w:t>纽约证券交易所</w:t>
            </w:r>
          </w:p>
        </w:tc>
        <w:tc>
          <w:tcPr>
            <w:tcW w:w="0" w:type="auto"/>
            <w:vAlign w:val="center"/>
          </w:tcPr>
          <w:p w:rsidR="00E7395D" w:rsidRDefault="00E01C53">
            <w:pPr>
              <w:jc w:val="center"/>
            </w:pPr>
            <w:r>
              <w:rPr>
                <w:color w:val="000000"/>
                <w:sz w:val="24"/>
              </w:rPr>
              <w:t>美国</w:t>
            </w:r>
          </w:p>
        </w:tc>
        <w:tc>
          <w:tcPr>
            <w:tcW w:w="0" w:type="auto"/>
            <w:vAlign w:val="center"/>
          </w:tcPr>
          <w:p w:rsidR="00E7395D" w:rsidRDefault="00E01C53">
            <w:pPr>
              <w:jc w:val="right"/>
            </w:pPr>
            <w:r>
              <w:rPr>
                <w:color w:val="000000"/>
                <w:sz w:val="24"/>
              </w:rPr>
              <w:t>4,684</w:t>
            </w:r>
          </w:p>
        </w:tc>
        <w:tc>
          <w:tcPr>
            <w:tcW w:w="0" w:type="auto"/>
            <w:vAlign w:val="center"/>
          </w:tcPr>
          <w:p w:rsidR="00E7395D" w:rsidRDefault="00E01C53">
            <w:pPr>
              <w:jc w:val="right"/>
            </w:pPr>
            <w:r>
              <w:rPr>
                <w:color w:val="000000"/>
                <w:sz w:val="24"/>
              </w:rPr>
              <w:t>5,314,509.34</w:t>
            </w:r>
          </w:p>
        </w:tc>
        <w:tc>
          <w:tcPr>
            <w:tcW w:w="0" w:type="auto"/>
            <w:vAlign w:val="center"/>
          </w:tcPr>
          <w:p w:rsidR="00E7395D" w:rsidRDefault="00E01C53">
            <w:pPr>
              <w:jc w:val="right"/>
            </w:pPr>
            <w:r>
              <w:rPr>
                <w:color w:val="000000"/>
                <w:sz w:val="24"/>
              </w:rPr>
              <w:t>2.22</w:t>
            </w:r>
          </w:p>
        </w:tc>
      </w:tr>
      <w:tr w:rsidR="00E7395D">
        <w:tc>
          <w:tcPr>
            <w:tcW w:w="0" w:type="auto"/>
            <w:vAlign w:val="center"/>
          </w:tcPr>
          <w:p w:rsidR="00E7395D" w:rsidRDefault="00E01C53">
            <w:pPr>
              <w:jc w:val="center"/>
            </w:pPr>
            <w:r>
              <w:rPr>
                <w:color w:val="000000"/>
                <w:sz w:val="24"/>
              </w:rPr>
              <w:t>10</w:t>
            </w:r>
          </w:p>
        </w:tc>
        <w:tc>
          <w:tcPr>
            <w:tcW w:w="0" w:type="auto"/>
            <w:vAlign w:val="center"/>
          </w:tcPr>
          <w:p w:rsidR="00E7395D" w:rsidRDefault="00E01C53">
            <w:pPr>
              <w:jc w:val="center"/>
            </w:pPr>
            <w:r>
              <w:rPr>
                <w:color w:val="000000"/>
                <w:sz w:val="24"/>
              </w:rPr>
              <w:t>Accenture PLC</w:t>
            </w:r>
          </w:p>
        </w:tc>
        <w:tc>
          <w:tcPr>
            <w:tcW w:w="0" w:type="auto"/>
            <w:vAlign w:val="center"/>
          </w:tcPr>
          <w:p w:rsidR="00E7395D" w:rsidRDefault="00E01C53">
            <w:pPr>
              <w:jc w:val="center"/>
            </w:pPr>
            <w:r>
              <w:rPr>
                <w:color w:val="000000"/>
                <w:sz w:val="24"/>
              </w:rPr>
              <w:t>-</w:t>
            </w:r>
          </w:p>
        </w:tc>
        <w:tc>
          <w:tcPr>
            <w:tcW w:w="0" w:type="auto"/>
            <w:vAlign w:val="center"/>
          </w:tcPr>
          <w:p w:rsidR="00E7395D" w:rsidRDefault="00E01C53">
            <w:pPr>
              <w:jc w:val="center"/>
            </w:pPr>
            <w:r>
              <w:rPr>
                <w:color w:val="000000"/>
                <w:sz w:val="24"/>
              </w:rPr>
              <w:t>ACN US</w:t>
            </w:r>
          </w:p>
        </w:tc>
        <w:tc>
          <w:tcPr>
            <w:tcW w:w="0" w:type="auto"/>
            <w:vAlign w:val="center"/>
          </w:tcPr>
          <w:p w:rsidR="00E7395D" w:rsidRDefault="00E01C53">
            <w:pPr>
              <w:jc w:val="center"/>
            </w:pPr>
            <w:r>
              <w:rPr>
                <w:color w:val="000000"/>
                <w:sz w:val="24"/>
              </w:rPr>
              <w:t>纽约证券交易所</w:t>
            </w:r>
          </w:p>
        </w:tc>
        <w:tc>
          <w:tcPr>
            <w:tcW w:w="0" w:type="auto"/>
            <w:vAlign w:val="center"/>
          </w:tcPr>
          <w:p w:rsidR="00E7395D" w:rsidRDefault="00E01C53">
            <w:pPr>
              <w:jc w:val="center"/>
            </w:pPr>
            <w:r>
              <w:rPr>
                <w:color w:val="000000"/>
                <w:sz w:val="24"/>
              </w:rPr>
              <w:t>美国</w:t>
            </w:r>
          </w:p>
        </w:tc>
        <w:tc>
          <w:tcPr>
            <w:tcW w:w="0" w:type="auto"/>
            <w:vAlign w:val="center"/>
          </w:tcPr>
          <w:p w:rsidR="00E7395D" w:rsidRDefault="00E01C53">
            <w:pPr>
              <w:jc w:val="right"/>
            </w:pPr>
            <w:r>
              <w:rPr>
                <w:color w:val="000000"/>
                <w:sz w:val="24"/>
              </w:rPr>
              <w:t>3,333</w:t>
            </w:r>
          </w:p>
        </w:tc>
        <w:tc>
          <w:tcPr>
            <w:tcW w:w="0" w:type="auto"/>
            <w:vAlign w:val="center"/>
          </w:tcPr>
          <w:p w:rsidR="00E7395D" w:rsidRDefault="00E01C53">
            <w:pPr>
              <w:jc w:val="right"/>
            </w:pPr>
            <w:r>
              <w:rPr>
                <w:color w:val="000000"/>
                <w:sz w:val="24"/>
              </w:rPr>
              <w:t>4,896,105.12</w:t>
            </w:r>
          </w:p>
        </w:tc>
        <w:tc>
          <w:tcPr>
            <w:tcW w:w="0" w:type="auto"/>
            <w:vAlign w:val="center"/>
          </w:tcPr>
          <w:p w:rsidR="00E7395D" w:rsidRDefault="00E01C53">
            <w:pPr>
              <w:jc w:val="right"/>
            </w:pPr>
            <w:r>
              <w:rPr>
                <w:color w:val="000000"/>
                <w:sz w:val="24"/>
              </w:rPr>
              <w:t>2.04</w:t>
            </w:r>
          </w:p>
        </w:tc>
      </w:tr>
    </w:tbl>
    <w:p w:rsidR="00F13451" w:rsidRPr="0040658E" w:rsidRDefault="00F33530" w:rsidP="0040658E">
      <w:pPr>
        <w:spacing w:line="360" w:lineRule="auto"/>
        <w:ind w:firstLineChars="200" w:firstLine="480"/>
        <w:rPr>
          <w:color w:val="000000"/>
          <w:sz w:val="24"/>
        </w:rPr>
      </w:pPr>
      <w:r w:rsidRPr="00DB3360">
        <w:rPr>
          <w:color w:val="000000"/>
          <w:sz w:val="24"/>
        </w:rPr>
        <w:t>注：此处所用证券代码的类别是当地市场代码。</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5.5 </w:t>
      </w:r>
      <w:r w:rsidRPr="00820253">
        <w:rPr>
          <w:rFonts w:ascii="宋体" w:hAnsi="宋体" w:cs="Arial" w:hint="eastAsia"/>
          <w:b/>
          <w:color w:val="000000"/>
          <w:kern w:val="0"/>
          <w:sz w:val="24"/>
        </w:rPr>
        <w:t>报告期末按债券信用等级分类的债券投资组合</w:t>
      </w:r>
    </w:p>
    <w:p w:rsidR="00F13451" w:rsidRPr="00431EE1" w:rsidRDefault="00F13451" w:rsidP="00431EE1">
      <w:pPr>
        <w:spacing w:line="360" w:lineRule="auto"/>
        <w:ind w:firstLineChars="200" w:firstLine="480"/>
        <w:rPr>
          <w:color w:val="000000"/>
          <w:sz w:val="24"/>
        </w:rPr>
      </w:pPr>
      <w:r w:rsidRPr="0040658E">
        <w:rPr>
          <w:color w:val="000000"/>
          <w:sz w:val="24"/>
        </w:rPr>
        <w:t>本基金本报告期末未持有债券。</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5.6</w:t>
      </w:r>
      <w:r w:rsidR="00476756">
        <w:rPr>
          <w:rFonts w:ascii="宋体" w:hAnsi="宋体" w:cs="Arial" w:hint="eastAsia"/>
          <w:b/>
          <w:color w:val="000000"/>
          <w:kern w:val="0"/>
          <w:sz w:val="24"/>
        </w:rPr>
        <w:t>报告期末按公允价值占基金资产净值比例大小排序</w:t>
      </w:r>
      <w:r w:rsidRPr="00820253">
        <w:rPr>
          <w:rFonts w:ascii="宋体" w:hAnsi="宋体" w:cs="Arial" w:hint="eastAsia"/>
          <w:b/>
          <w:color w:val="000000"/>
          <w:kern w:val="0"/>
          <w:sz w:val="24"/>
        </w:rPr>
        <w:t>的前五名债券投资明细</w:t>
      </w:r>
    </w:p>
    <w:p w:rsidR="00F13451" w:rsidRPr="008B041C" w:rsidRDefault="00F13451" w:rsidP="00431EE1">
      <w:pPr>
        <w:spacing w:line="360" w:lineRule="auto"/>
        <w:ind w:firstLineChars="200" w:firstLine="480"/>
        <w:rPr>
          <w:color w:val="000000"/>
          <w:sz w:val="24"/>
        </w:rPr>
      </w:pPr>
      <w:r w:rsidRPr="0040658E">
        <w:rPr>
          <w:color w:val="000000"/>
          <w:sz w:val="24"/>
        </w:rPr>
        <w:t>本基金本报告期末未持有债券。</w:t>
      </w:r>
    </w:p>
    <w:p w:rsidR="00F13451" w:rsidRPr="0029671E"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5.7</w:t>
      </w:r>
      <w:r w:rsidR="00476756">
        <w:rPr>
          <w:rFonts w:ascii="宋体" w:hAnsi="宋体" w:cs="Arial" w:hint="eastAsia"/>
          <w:b/>
          <w:color w:val="000000"/>
          <w:kern w:val="0"/>
          <w:sz w:val="24"/>
        </w:rPr>
        <w:t>报告期末按公允价值占基金资产净值比例大小排序</w:t>
      </w:r>
      <w:r w:rsidRPr="0029671E">
        <w:rPr>
          <w:rFonts w:ascii="宋体" w:hAnsi="宋体" w:cs="Arial" w:hint="eastAsia"/>
          <w:b/>
          <w:color w:val="000000"/>
          <w:kern w:val="0"/>
          <w:sz w:val="24"/>
        </w:rPr>
        <w:t>的前十名资产支持证券投资明细</w:t>
      </w:r>
    </w:p>
    <w:p w:rsidR="00F13451" w:rsidRPr="00431EE1" w:rsidRDefault="00F13451" w:rsidP="00431EE1">
      <w:pPr>
        <w:spacing w:line="360" w:lineRule="auto"/>
        <w:ind w:firstLineChars="200" w:firstLine="480"/>
        <w:rPr>
          <w:color w:val="000000"/>
          <w:sz w:val="24"/>
        </w:rPr>
      </w:pPr>
      <w:r w:rsidRPr="0040658E">
        <w:rPr>
          <w:color w:val="000000"/>
          <w:sz w:val="24"/>
        </w:rPr>
        <w:t>本基金本报告期末未持有资产支持证券。</w:t>
      </w:r>
    </w:p>
    <w:p w:rsidR="00F13451" w:rsidRPr="00820253"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5.8 </w:t>
      </w:r>
      <w:r w:rsidR="00476756">
        <w:rPr>
          <w:rFonts w:ascii="宋体" w:hAnsi="宋体" w:cs="Arial" w:hint="eastAsia"/>
          <w:b/>
          <w:color w:val="000000"/>
          <w:kern w:val="0"/>
          <w:sz w:val="24"/>
        </w:rPr>
        <w:t>报告期末按公允价值占基金资产净值比例大小排序</w:t>
      </w:r>
      <w:r w:rsidRPr="00820253">
        <w:rPr>
          <w:rFonts w:ascii="宋体" w:hAnsi="宋体" w:cs="Arial" w:hint="eastAsia"/>
          <w:b/>
          <w:color w:val="000000"/>
          <w:kern w:val="0"/>
          <w:sz w:val="24"/>
        </w:rPr>
        <w:t>的前五名金融衍生品投资明细</w:t>
      </w:r>
    </w:p>
    <w:p w:rsidR="00F13451" w:rsidRPr="00431EE1" w:rsidRDefault="00F13451" w:rsidP="00431EE1">
      <w:pPr>
        <w:spacing w:line="360" w:lineRule="auto"/>
        <w:ind w:firstLineChars="200" w:firstLine="480"/>
        <w:rPr>
          <w:color w:val="000000"/>
          <w:sz w:val="24"/>
        </w:rPr>
      </w:pPr>
      <w:r w:rsidRPr="0040658E">
        <w:rPr>
          <w:color w:val="000000"/>
          <w:sz w:val="24"/>
        </w:rPr>
        <w:t>本基金本报告期末未持有金融衍生品。</w:t>
      </w:r>
    </w:p>
    <w:p w:rsidR="00F13451" w:rsidRPr="0029671E" w:rsidRDefault="00F13451" w:rsidP="0029671E">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5.9</w:t>
      </w:r>
      <w:r w:rsidRPr="0029671E">
        <w:rPr>
          <w:rFonts w:ascii="宋体" w:hAnsi="宋体" w:cs="Arial" w:hint="eastAsia"/>
          <w:b/>
          <w:color w:val="000000"/>
          <w:kern w:val="0"/>
          <w:sz w:val="24"/>
        </w:rPr>
        <w:t>报告期末按公允价值占基金资产净值比例大小排序的前十名基金投资明细</w:t>
      </w:r>
    </w:p>
    <w:p w:rsidR="00F13451" w:rsidRPr="00431EE1" w:rsidRDefault="00F13451" w:rsidP="00431EE1">
      <w:pPr>
        <w:spacing w:line="360" w:lineRule="auto"/>
        <w:ind w:firstLineChars="200" w:firstLine="480"/>
        <w:rPr>
          <w:color w:val="000000"/>
          <w:sz w:val="24"/>
        </w:rPr>
      </w:pPr>
      <w:r w:rsidRPr="0040658E">
        <w:rPr>
          <w:color w:val="000000"/>
          <w:sz w:val="24"/>
        </w:rPr>
        <w:t>本基金本报告期末未持有基金。</w:t>
      </w:r>
    </w:p>
    <w:p w:rsidR="00F13451" w:rsidRPr="00820253" w:rsidRDefault="00F13451" w:rsidP="00A33DF2">
      <w:pPr>
        <w:autoSpaceDE w:val="0"/>
        <w:autoSpaceDN w:val="0"/>
        <w:adjustRightInd w:val="0"/>
        <w:spacing w:line="360" w:lineRule="auto"/>
        <w:jc w:val="left"/>
        <w:rPr>
          <w:rFonts w:ascii="宋体" w:cs="Arial"/>
          <w:b/>
          <w:color w:val="000000"/>
          <w:kern w:val="0"/>
          <w:sz w:val="24"/>
        </w:rPr>
      </w:pPr>
      <w:r w:rsidRPr="00820253">
        <w:rPr>
          <w:rFonts w:ascii="宋体" w:hAnsi="宋体" w:cs="Arial"/>
          <w:b/>
          <w:color w:val="000000"/>
          <w:kern w:val="0"/>
          <w:sz w:val="24"/>
        </w:rPr>
        <w:t xml:space="preserve">5.10 </w:t>
      </w:r>
      <w:r w:rsidRPr="00820253">
        <w:rPr>
          <w:rFonts w:ascii="宋体" w:hAnsi="宋体" w:cs="Arial" w:hint="eastAsia"/>
          <w:b/>
          <w:color w:val="000000"/>
          <w:kern w:val="0"/>
          <w:sz w:val="24"/>
        </w:rPr>
        <w:t>投资组合报告附注</w:t>
      </w:r>
    </w:p>
    <w:p w:rsidR="00F13451" w:rsidRPr="00820253" w:rsidRDefault="00F13451" w:rsidP="00A33DF2">
      <w:pPr>
        <w:spacing w:line="360" w:lineRule="auto"/>
        <w:rPr>
          <w:rFonts w:ascii="宋体" w:hAnsi="宋体"/>
          <w:color w:val="000000"/>
          <w:sz w:val="24"/>
        </w:rPr>
      </w:pPr>
      <w:r w:rsidRPr="00820253">
        <w:rPr>
          <w:rFonts w:ascii="宋体" w:hAnsi="宋体"/>
          <w:color w:val="000000"/>
          <w:sz w:val="24"/>
        </w:rPr>
        <w:t>5.10.1</w:t>
      </w:r>
      <w:r w:rsidRPr="00431EE1">
        <w:rPr>
          <w:color w:val="000000"/>
          <w:sz w:val="24"/>
        </w:rPr>
        <w:t>2019</w:t>
      </w:r>
      <w:r w:rsidRPr="00431EE1">
        <w:rPr>
          <w:color w:val="000000"/>
          <w:sz w:val="24"/>
        </w:rPr>
        <w:t>年</w:t>
      </w:r>
      <w:r w:rsidRPr="00431EE1">
        <w:rPr>
          <w:color w:val="000000"/>
          <w:sz w:val="24"/>
        </w:rPr>
        <w:t>1</w:t>
      </w:r>
      <w:r w:rsidRPr="00431EE1">
        <w:rPr>
          <w:color w:val="000000"/>
          <w:sz w:val="24"/>
        </w:rPr>
        <w:t>月</w:t>
      </w:r>
      <w:r w:rsidRPr="00431EE1">
        <w:rPr>
          <w:color w:val="000000"/>
          <w:sz w:val="24"/>
        </w:rPr>
        <w:t>22</w:t>
      </w:r>
      <w:r w:rsidRPr="00431EE1">
        <w:rPr>
          <w:color w:val="000000"/>
          <w:sz w:val="24"/>
        </w:rPr>
        <w:t>日，欧洲反垄断机构欧盟委员会因限制银行业竞争对万事达卡罚款</w:t>
      </w:r>
      <w:r w:rsidRPr="00431EE1">
        <w:rPr>
          <w:color w:val="000000"/>
          <w:sz w:val="24"/>
        </w:rPr>
        <w:t>5.7</w:t>
      </w:r>
      <w:r w:rsidRPr="00431EE1">
        <w:rPr>
          <w:color w:val="000000"/>
          <w:sz w:val="24"/>
        </w:rPr>
        <w:t>亿欧元。</w:t>
      </w:r>
    </w:p>
    <w:p w:rsidR="00E7395D" w:rsidRDefault="00E01C53">
      <w:pPr>
        <w:spacing w:line="360" w:lineRule="auto"/>
        <w:rPr>
          <w:rFonts w:ascii="宋体" w:hAnsi="宋体"/>
          <w:color w:val="000000"/>
          <w:sz w:val="24"/>
        </w:rPr>
      </w:pPr>
      <w:r>
        <w:rPr>
          <w:color w:val="000000"/>
          <w:sz w:val="24"/>
        </w:rPr>
        <w:t>2019</w:t>
      </w:r>
      <w:r>
        <w:rPr>
          <w:color w:val="000000"/>
          <w:sz w:val="24"/>
        </w:rPr>
        <w:t>年</w:t>
      </w:r>
      <w:r>
        <w:rPr>
          <w:color w:val="000000"/>
          <w:sz w:val="24"/>
        </w:rPr>
        <w:t>11</w:t>
      </w:r>
      <w:r>
        <w:rPr>
          <w:color w:val="000000"/>
          <w:sz w:val="24"/>
        </w:rPr>
        <w:t>月</w:t>
      </w:r>
      <w:r>
        <w:rPr>
          <w:color w:val="000000"/>
          <w:sz w:val="24"/>
        </w:rPr>
        <w:t>25</w:t>
      </w:r>
      <w:r>
        <w:rPr>
          <w:color w:val="000000"/>
          <w:sz w:val="24"/>
        </w:rPr>
        <w:t>日，苹果公司由于违反美国制裁法规，被处以</w:t>
      </w:r>
      <w:r>
        <w:rPr>
          <w:color w:val="000000"/>
          <w:sz w:val="24"/>
        </w:rPr>
        <w:t>46.7</w:t>
      </w:r>
      <w:r>
        <w:rPr>
          <w:color w:val="000000"/>
          <w:sz w:val="24"/>
        </w:rPr>
        <w:t>万美元的罚款。</w:t>
      </w:r>
    </w:p>
    <w:p w:rsidR="00E7395D" w:rsidRDefault="00E01C53">
      <w:pPr>
        <w:spacing w:line="360" w:lineRule="auto"/>
        <w:rPr>
          <w:rFonts w:ascii="宋体" w:hAnsi="宋体"/>
          <w:color w:val="000000"/>
          <w:sz w:val="24"/>
        </w:rPr>
      </w:pPr>
      <w:r>
        <w:rPr>
          <w:color w:val="000000"/>
          <w:sz w:val="24"/>
        </w:rPr>
        <w:t>本基金为指数型基金，上述股票系标的指数成份股，上述股票的投资决策程序符合公司投资制度的规定。除万事达卡、苹果外，本基金投资的其他前十名证券的发行主体本期没有出现被监管部门立案调查，或在报告编制日前一年内受到公开谴责、处罚的情形。</w:t>
      </w:r>
    </w:p>
    <w:p w:rsidR="00F13451" w:rsidRPr="00431EE1" w:rsidRDefault="00F13451" w:rsidP="00A33DF2">
      <w:pPr>
        <w:spacing w:line="360" w:lineRule="auto"/>
        <w:rPr>
          <w:rFonts w:ascii="Verdana" w:hAnsi="Verdana"/>
          <w:color w:val="000000"/>
          <w:sz w:val="24"/>
        </w:rPr>
      </w:pPr>
      <w:r w:rsidRPr="00820253">
        <w:rPr>
          <w:rFonts w:ascii="宋体" w:hAnsi="宋体"/>
          <w:color w:val="000000"/>
          <w:sz w:val="24"/>
        </w:rPr>
        <w:t>5.10.2</w:t>
      </w:r>
      <w:r w:rsidRPr="00431EE1">
        <w:rPr>
          <w:color w:val="000000"/>
          <w:sz w:val="24"/>
        </w:rPr>
        <w:t>本基金投资的前十名股票没有超出基金合同规定的备选股票库。</w:t>
      </w:r>
    </w:p>
    <w:p w:rsidR="00F13451" w:rsidRPr="005771AC" w:rsidRDefault="00F13451" w:rsidP="00A33DF2">
      <w:pPr>
        <w:autoSpaceDE w:val="0"/>
        <w:autoSpaceDN w:val="0"/>
        <w:adjustRightInd w:val="0"/>
        <w:spacing w:line="360" w:lineRule="auto"/>
        <w:jc w:val="left"/>
        <w:rPr>
          <w:rFonts w:ascii="宋体" w:cs="Arial"/>
          <w:color w:val="000000"/>
          <w:kern w:val="0"/>
          <w:sz w:val="24"/>
        </w:rPr>
      </w:pPr>
      <w:r w:rsidRPr="005771AC">
        <w:rPr>
          <w:rFonts w:ascii="宋体" w:hAnsi="宋体" w:cs="Arial"/>
          <w:color w:val="000000"/>
          <w:kern w:val="0"/>
          <w:sz w:val="24"/>
        </w:rPr>
        <w:t>5.10.3</w:t>
      </w:r>
      <w:r w:rsidRPr="005771AC">
        <w:rPr>
          <w:rFonts w:ascii="宋体" w:hAnsi="宋体" w:cs="Arial" w:hint="eastAsia"/>
          <w:color w:val="000000"/>
          <w:kern w:val="0"/>
          <w:sz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2903"/>
        <w:gridCol w:w="4808"/>
      </w:tblGrid>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7"/>
              <w:jc w:val="center"/>
              <w:rPr>
                <w:color w:val="000000"/>
                <w:kern w:val="0"/>
                <w:sz w:val="24"/>
              </w:rPr>
            </w:pPr>
            <w:r w:rsidRPr="00431EE1">
              <w:rPr>
                <w:color w:val="000000"/>
                <w:kern w:val="0"/>
                <w:sz w:val="24"/>
              </w:rPr>
              <w:t>序号</w:t>
            </w:r>
          </w:p>
        </w:tc>
        <w:tc>
          <w:tcPr>
            <w:tcW w:w="2903" w:type="dxa"/>
            <w:vAlign w:val="center"/>
          </w:tcPr>
          <w:p w:rsidR="00AA7BBE" w:rsidRPr="00431EE1" w:rsidRDefault="00AA7BBE" w:rsidP="00870C27">
            <w:pPr>
              <w:autoSpaceDE w:val="0"/>
              <w:autoSpaceDN w:val="0"/>
              <w:adjustRightInd w:val="0"/>
              <w:spacing w:before="29" w:line="360" w:lineRule="auto"/>
              <w:ind w:left="17"/>
              <w:jc w:val="center"/>
              <w:rPr>
                <w:color w:val="000000"/>
                <w:kern w:val="0"/>
                <w:sz w:val="24"/>
              </w:rPr>
            </w:pPr>
            <w:r w:rsidRPr="00431EE1">
              <w:rPr>
                <w:color w:val="000000"/>
                <w:kern w:val="0"/>
                <w:sz w:val="24"/>
              </w:rPr>
              <w:t>名称</w:t>
            </w:r>
          </w:p>
        </w:tc>
        <w:tc>
          <w:tcPr>
            <w:tcW w:w="4808" w:type="dxa"/>
            <w:vAlign w:val="center"/>
          </w:tcPr>
          <w:p w:rsidR="00AA7BBE" w:rsidRPr="00431EE1" w:rsidRDefault="00AA7BBE" w:rsidP="00870C27">
            <w:pPr>
              <w:autoSpaceDE w:val="0"/>
              <w:autoSpaceDN w:val="0"/>
              <w:adjustRightInd w:val="0"/>
              <w:spacing w:before="29" w:line="360" w:lineRule="auto"/>
              <w:ind w:left="17"/>
              <w:jc w:val="center"/>
              <w:rPr>
                <w:color w:val="000000"/>
                <w:kern w:val="0"/>
                <w:sz w:val="24"/>
              </w:rPr>
            </w:pPr>
            <w:r w:rsidRPr="00431EE1">
              <w:rPr>
                <w:color w:val="000000"/>
                <w:kern w:val="0"/>
                <w:sz w:val="24"/>
              </w:rPr>
              <w:t>金额</w:t>
            </w:r>
            <w:r w:rsidRPr="00431EE1">
              <w:rPr>
                <w:color w:val="000000"/>
                <w:kern w:val="0"/>
                <w:sz w:val="24"/>
              </w:rPr>
              <w:t>(</w:t>
            </w:r>
            <w:r w:rsidRPr="00431EE1">
              <w:rPr>
                <w:color w:val="000000"/>
                <w:kern w:val="0"/>
                <w:sz w:val="24"/>
              </w:rPr>
              <w:t>人民币元</w:t>
            </w:r>
            <w:r w:rsidRPr="00431EE1">
              <w:rPr>
                <w:color w:val="000000"/>
                <w:kern w:val="0"/>
                <w:sz w:val="24"/>
              </w:rPr>
              <w:t>)</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kern w:val="0"/>
                <w:sz w:val="24"/>
              </w:rPr>
            </w:pPr>
            <w:r w:rsidRPr="00431EE1">
              <w:rPr>
                <w:color w:val="000000"/>
                <w:sz w:val="24"/>
              </w:rPr>
              <w:t>1</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存出保证金</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2</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应收证券清算款</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3</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应收股利</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38,738.49</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4</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应收利息</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1,847.97</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5</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应收申购款</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11,777,349.33</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6</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其他应收款</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1,046,430.00</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7</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sz w:val="24"/>
              </w:rPr>
            </w:pPr>
            <w:r w:rsidRPr="00431EE1">
              <w:rPr>
                <w:color w:val="000000"/>
                <w:sz w:val="24"/>
              </w:rPr>
              <w:t>待摊费用</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sz w:val="24"/>
              </w:rPr>
            </w:pPr>
            <w:r w:rsidRPr="00431EE1">
              <w:rPr>
                <w:color w:val="000000"/>
                <w:sz w:val="24"/>
              </w:rPr>
              <w:t>-</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8</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其他</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w:t>
            </w:r>
          </w:p>
        </w:tc>
      </w:tr>
      <w:tr w:rsidR="00AA7BBE" w:rsidRPr="002149AE" w:rsidTr="00870C27">
        <w:tc>
          <w:tcPr>
            <w:tcW w:w="802" w:type="dxa"/>
            <w:vAlign w:val="center"/>
          </w:tcPr>
          <w:p w:rsidR="00AA7BBE" w:rsidRPr="00431EE1" w:rsidRDefault="00AA7BBE" w:rsidP="00870C27">
            <w:pPr>
              <w:autoSpaceDE w:val="0"/>
              <w:autoSpaceDN w:val="0"/>
              <w:adjustRightInd w:val="0"/>
              <w:spacing w:before="29" w:line="360" w:lineRule="auto"/>
              <w:ind w:left="15"/>
              <w:jc w:val="center"/>
              <w:rPr>
                <w:color w:val="000000"/>
                <w:sz w:val="24"/>
              </w:rPr>
            </w:pPr>
            <w:r w:rsidRPr="00431EE1">
              <w:rPr>
                <w:color w:val="000000"/>
                <w:sz w:val="24"/>
              </w:rPr>
              <w:t>9</w:t>
            </w:r>
          </w:p>
        </w:tc>
        <w:tc>
          <w:tcPr>
            <w:tcW w:w="2903" w:type="dxa"/>
            <w:vAlign w:val="center"/>
          </w:tcPr>
          <w:p w:rsidR="00AA7BBE" w:rsidRPr="00431EE1" w:rsidRDefault="00AA7BBE" w:rsidP="00870C27">
            <w:pPr>
              <w:autoSpaceDE w:val="0"/>
              <w:autoSpaceDN w:val="0"/>
              <w:adjustRightInd w:val="0"/>
              <w:spacing w:before="29" w:line="360" w:lineRule="auto"/>
              <w:ind w:left="15"/>
              <w:jc w:val="left"/>
              <w:rPr>
                <w:color w:val="000000"/>
                <w:kern w:val="0"/>
                <w:sz w:val="24"/>
              </w:rPr>
            </w:pPr>
            <w:r w:rsidRPr="00431EE1">
              <w:rPr>
                <w:color w:val="000000"/>
                <w:kern w:val="0"/>
                <w:sz w:val="24"/>
              </w:rPr>
              <w:t>合计</w:t>
            </w:r>
          </w:p>
        </w:tc>
        <w:tc>
          <w:tcPr>
            <w:tcW w:w="4808" w:type="dxa"/>
            <w:vAlign w:val="center"/>
          </w:tcPr>
          <w:p w:rsidR="00AA7BBE" w:rsidRPr="00431EE1" w:rsidRDefault="00AA7BBE" w:rsidP="00870C27">
            <w:pPr>
              <w:autoSpaceDE w:val="0"/>
              <w:autoSpaceDN w:val="0"/>
              <w:adjustRightInd w:val="0"/>
              <w:spacing w:before="29" w:line="360" w:lineRule="auto"/>
              <w:ind w:left="15"/>
              <w:jc w:val="right"/>
              <w:rPr>
                <w:color w:val="000000"/>
                <w:kern w:val="0"/>
                <w:sz w:val="24"/>
              </w:rPr>
            </w:pPr>
            <w:r w:rsidRPr="00431EE1">
              <w:rPr>
                <w:color w:val="000000"/>
                <w:kern w:val="0"/>
                <w:sz w:val="24"/>
              </w:rPr>
              <w:t>12,864,365.79</w:t>
            </w:r>
          </w:p>
        </w:tc>
      </w:tr>
    </w:tbl>
    <w:p w:rsidR="00F13451" w:rsidRPr="005771AC" w:rsidRDefault="00F13451" w:rsidP="00A33DF2">
      <w:pPr>
        <w:autoSpaceDE w:val="0"/>
        <w:autoSpaceDN w:val="0"/>
        <w:adjustRightInd w:val="0"/>
        <w:spacing w:line="360" w:lineRule="auto"/>
        <w:rPr>
          <w:rFonts w:ascii="宋体" w:cs="Arial"/>
          <w:color w:val="000000"/>
          <w:kern w:val="0"/>
          <w:sz w:val="24"/>
        </w:rPr>
      </w:pPr>
      <w:r w:rsidRPr="005771AC">
        <w:rPr>
          <w:rFonts w:ascii="宋体" w:hAnsi="宋体" w:cs="Arial"/>
          <w:color w:val="000000"/>
          <w:kern w:val="0"/>
          <w:sz w:val="24"/>
        </w:rPr>
        <w:t>5.10.4</w:t>
      </w:r>
      <w:r w:rsidRPr="005771AC">
        <w:rPr>
          <w:rFonts w:ascii="宋体" w:hAnsi="宋体" w:hint="eastAsia"/>
          <w:bCs/>
          <w:sz w:val="24"/>
        </w:rPr>
        <w:t>报告期末持有的处于转股期的可转换债券明细</w:t>
      </w:r>
    </w:p>
    <w:p w:rsidR="00F13451" w:rsidRPr="0040658E" w:rsidRDefault="00F13451" w:rsidP="0040658E">
      <w:pPr>
        <w:spacing w:line="360" w:lineRule="auto"/>
        <w:ind w:firstLineChars="200" w:firstLine="480"/>
        <w:rPr>
          <w:color w:val="000000"/>
          <w:sz w:val="24"/>
        </w:rPr>
      </w:pPr>
      <w:r w:rsidRPr="0040658E">
        <w:rPr>
          <w:color w:val="000000"/>
          <w:sz w:val="24"/>
        </w:rPr>
        <w:t>本基金本报告期末未持有处于转股期的可转换债券。</w:t>
      </w:r>
    </w:p>
    <w:p w:rsidR="00F33530" w:rsidRPr="00CA4176" w:rsidRDefault="00F13451" w:rsidP="00F33530">
      <w:pPr>
        <w:autoSpaceDE w:val="0"/>
        <w:autoSpaceDN w:val="0"/>
        <w:adjustRightInd w:val="0"/>
        <w:spacing w:line="360" w:lineRule="auto"/>
        <w:jc w:val="left"/>
        <w:rPr>
          <w:rFonts w:ascii="宋体" w:cs="Arial"/>
          <w:color w:val="000000"/>
          <w:kern w:val="0"/>
          <w:sz w:val="24"/>
        </w:rPr>
      </w:pPr>
      <w:r w:rsidRPr="005771AC">
        <w:rPr>
          <w:rFonts w:ascii="宋体" w:hAnsi="宋体" w:cs="Arial"/>
          <w:color w:val="000000"/>
          <w:kern w:val="0"/>
          <w:sz w:val="24"/>
        </w:rPr>
        <w:t>5.10.5</w:t>
      </w:r>
      <w:r w:rsidR="00F33530" w:rsidRPr="00CA4176">
        <w:rPr>
          <w:rFonts w:ascii="宋体" w:hAnsi="宋体" w:cs="Arial" w:hint="eastAsia"/>
          <w:color w:val="000000"/>
          <w:kern w:val="0"/>
          <w:sz w:val="24"/>
        </w:rPr>
        <w:t>报告期末前十名股票中存在流通受限情况的说明</w:t>
      </w:r>
    </w:p>
    <w:p w:rsidR="00F13451" w:rsidRPr="00F33530" w:rsidRDefault="00F33530" w:rsidP="00F33530">
      <w:pPr>
        <w:spacing w:line="360" w:lineRule="auto"/>
        <w:ind w:firstLineChars="200" w:firstLine="480"/>
        <w:rPr>
          <w:color w:val="000000"/>
          <w:sz w:val="24"/>
        </w:rPr>
      </w:pPr>
      <w:r w:rsidRPr="00DB3360">
        <w:rPr>
          <w:color w:val="000000"/>
          <w:sz w:val="24"/>
        </w:rPr>
        <w:t>本基金本报告期末前十名股票中不存在流通受限情况。</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Pr>
          <w:rFonts w:ascii="宋体" w:hAnsi="宋体" w:cs="Arial"/>
          <w:color w:val="000000"/>
          <w:kern w:val="0"/>
          <w:sz w:val="24"/>
          <w:szCs w:val="24"/>
        </w:rPr>
        <w:t>6</w:t>
      </w:r>
      <w:r w:rsidR="00FD0A58" w:rsidRPr="00820253">
        <w:rPr>
          <w:rFonts w:ascii="宋体" w:hAnsi="宋体" w:cs="Arial"/>
          <w:color w:val="000000"/>
          <w:kern w:val="0"/>
          <w:sz w:val="24"/>
          <w:szCs w:val="24"/>
        </w:rPr>
        <w:t xml:space="preserve">  </w:t>
      </w:r>
      <w:r w:rsidRPr="00820253">
        <w:rPr>
          <w:rFonts w:ascii="宋体" w:hAnsi="宋体" w:cs="Arial" w:hint="eastAsia"/>
          <w:color w:val="000000"/>
          <w:kern w:val="0"/>
          <w:sz w:val="24"/>
          <w:szCs w:val="24"/>
        </w:rPr>
        <w:t>开放式基金份额变动</w:t>
      </w:r>
    </w:p>
    <w:p w:rsidR="00F13451" w:rsidRPr="00820253" w:rsidRDefault="00F13451" w:rsidP="008B6A4A">
      <w:pPr>
        <w:autoSpaceDE w:val="0"/>
        <w:autoSpaceDN w:val="0"/>
        <w:adjustRightInd w:val="0"/>
        <w:spacing w:before="29" w:line="360" w:lineRule="auto"/>
        <w:ind w:left="15"/>
        <w:jc w:val="right"/>
        <w:rPr>
          <w:rFonts w:ascii="宋体" w:cs="Arial"/>
          <w:color w:val="000000"/>
          <w:kern w:val="0"/>
          <w:sz w:val="24"/>
        </w:rPr>
      </w:pPr>
      <w:r w:rsidRPr="00820253">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4609"/>
        <w:gridCol w:w="4025"/>
      </w:tblGrid>
      <w:tr w:rsidR="00F13451" w:rsidRPr="00820253"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left"/>
              <w:rPr>
                <w:color w:val="000000"/>
                <w:kern w:val="0"/>
                <w:sz w:val="24"/>
              </w:rPr>
            </w:pPr>
            <w:r w:rsidRPr="00431EE1">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right"/>
              <w:rPr>
                <w:color w:val="000000"/>
                <w:sz w:val="24"/>
              </w:rPr>
            </w:pPr>
            <w:r w:rsidRPr="00431EE1">
              <w:rPr>
                <w:color w:val="000000"/>
                <w:sz w:val="24"/>
              </w:rPr>
              <w:t>86,219,054.11</w:t>
            </w:r>
          </w:p>
        </w:tc>
      </w:tr>
      <w:tr w:rsidR="00F13451" w:rsidRPr="00820253"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left"/>
              <w:rPr>
                <w:color w:val="000000"/>
                <w:kern w:val="0"/>
                <w:sz w:val="24"/>
              </w:rPr>
            </w:pPr>
            <w:r w:rsidRPr="00431EE1">
              <w:rPr>
                <w:color w:val="000000"/>
                <w:kern w:val="0"/>
                <w:sz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right"/>
              <w:rPr>
                <w:color w:val="000000"/>
                <w:sz w:val="24"/>
              </w:rPr>
            </w:pPr>
            <w:r w:rsidRPr="00431EE1">
              <w:rPr>
                <w:color w:val="000000"/>
                <w:sz w:val="24"/>
              </w:rPr>
              <w:t>62,710,161.59</w:t>
            </w:r>
          </w:p>
        </w:tc>
      </w:tr>
      <w:tr w:rsidR="00F13451" w:rsidRPr="00820253"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left"/>
              <w:rPr>
                <w:color w:val="000000"/>
                <w:kern w:val="0"/>
                <w:sz w:val="24"/>
              </w:rPr>
            </w:pPr>
            <w:r w:rsidRPr="00431EE1">
              <w:rPr>
                <w:color w:val="000000"/>
                <w:kern w:val="0"/>
                <w:sz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right"/>
              <w:rPr>
                <w:color w:val="000000"/>
                <w:sz w:val="24"/>
              </w:rPr>
            </w:pPr>
            <w:r w:rsidRPr="00431EE1">
              <w:rPr>
                <w:color w:val="000000"/>
                <w:sz w:val="24"/>
              </w:rPr>
              <w:t>18,505,589.53</w:t>
            </w:r>
          </w:p>
        </w:tc>
      </w:tr>
      <w:tr w:rsidR="00F13451" w:rsidRPr="00820253"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left"/>
              <w:rPr>
                <w:color w:val="000000"/>
                <w:kern w:val="0"/>
                <w:sz w:val="24"/>
              </w:rPr>
            </w:pPr>
            <w:r w:rsidRPr="00431EE1">
              <w:rPr>
                <w:color w:val="000000"/>
                <w:kern w:val="0"/>
                <w:sz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right"/>
              <w:rPr>
                <w:color w:val="000000"/>
                <w:sz w:val="24"/>
              </w:rPr>
            </w:pPr>
            <w:r w:rsidRPr="00431EE1">
              <w:rPr>
                <w:color w:val="000000"/>
                <w:sz w:val="24"/>
              </w:rPr>
              <w:t>-</w:t>
            </w:r>
          </w:p>
        </w:tc>
      </w:tr>
      <w:tr w:rsidR="00F13451" w:rsidRPr="00820253"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left"/>
              <w:rPr>
                <w:color w:val="000000"/>
                <w:kern w:val="0"/>
                <w:sz w:val="24"/>
              </w:rPr>
            </w:pPr>
            <w:r w:rsidRPr="00431EE1">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F13451" w:rsidRPr="00431EE1" w:rsidRDefault="00F13451" w:rsidP="00CA3C4F">
            <w:pPr>
              <w:autoSpaceDE w:val="0"/>
              <w:autoSpaceDN w:val="0"/>
              <w:adjustRightInd w:val="0"/>
              <w:spacing w:before="29" w:line="360" w:lineRule="auto"/>
              <w:ind w:left="17"/>
              <w:jc w:val="right"/>
              <w:rPr>
                <w:color w:val="000000"/>
                <w:sz w:val="24"/>
              </w:rPr>
            </w:pPr>
            <w:r w:rsidRPr="00431EE1">
              <w:rPr>
                <w:color w:val="000000"/>
                <w:sz w:val="24"/>
              </w:rPr>
              <w:t>130,423,626.17</w:t>
            </w:r>
          </w:p>
        </w:tc>
      </w:tr>
    </w:tbl>
    <w:p w:rsidR="00F13451" w:rsidRPr="0040658E" w:rsidRDefault="00F13451" w:rsidP="0040658E">
      <w:pPr>
        <w:spacing w:line="360" w:lineRule="auto"/>
        <w:ind w:firstLineChars="200" w:firstLine="480"/>
        <w:rPr>
          <w:color w:val="000000"/>
          <w:sz w:val="24"/>
        </w:rPr>
      </w:pPr>
      <w:r w:rsidRPr="0040658E">
        <w:rPr>
          <w:color w:val="000000"/>
          <w:sz w:val="24"/>
        </w:rPr>
        <w:t>注：本基金份额变动含易方达标普信息科技指数（</w:t>
      </w:r>
      <w:r w:rsidRPr="0040658E">
        <w:rPr>
          <w:color w:val="000000"/>
          <w:sz w:val="24"/>
        </w:rPr>
        <w:t>QDII-LOF</w:t>
      </w:r>
      <w:r w:rsidRPr="0040658E">
        <w:rPr>
          <w:color w:val="000000"/>
          <w:sz w:val="24"/>
        </w:rPr>
        <w:t>）人民币份额及美元现汇份额。</w:t>
      </w:r>
    </w:p>
    <w:p w:rsidR="00F13451" w:rsidRPr="00264E55" w:rsidRDefault="00F13451" w:rsidP="008B041C">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7</w:t>
      </w:r>
      <w:r w:rsidR="00FD0A58" w:rsidRPr="00820253">
        <w:rPr>
          <w:rFonts w:ascii="宋体" w:hAnsi="宋体" w:cs="Arial"/>
          <w:color w:val="000000"/>
          <w:kern w:val="0"/>
          <w:sz w:val="24"/>
          <w:szCs w:val="24"/>
        </w:rPr>
        <w:t xml:space="preserve">  </w:t>
      </w:r>
      <w:r w:rsidRPr="005C2541">
        <w:rPr>
          <w:rFonts w:ascii="宋体" w:hAnsi="宋体" w:hint="eastAsia"/>
          <w:color w:val="000000"/>
          <w:kern w:val="0"/>
          <w:sz w:val="24"/>
          <w:szCs w:val="24"/>
        </w:rPr>
        <w:t>基金管理人运用固有资金投资本基金交易明细</w:t>
      </w:r>
    </w:p>
    <w:p w:rsidR="00F13451" w:rsidRPr="0040658E" w:rsidRDefault="00F13451" w:rsidP="0040658E">
      <w:pPr>
        <w:spacing w:line="360" w:lineRule="auto"/>
        <w:ind w:firstLineChars="200" w:firstLine="480"/>
        <w:rPr>
          <w:color w:val="000000"/>
          <w:sz w:val="24"/>
        </w:rPr>
      </w:pPr>
      <w:r w:rsidRPr="0040658E">
        <w:rPr>
          <w:color w:val="000000"/>
          <w:sz w:val="24"/>
        </w:rPr>
        <w:t>本报告期内基金管理人未运用固有资金申购、赎回、买卖本基金份额。</w:t>
      </w:r>
    </w:p>
    <w:p w:rsidR="00F13451" w:rsidRPr="00820253" w:rsidRDefault="00F13451" w:rsidP="008B041C">
      <w:pPr>
        <w:pStyle w:val="1"/>
        <w:spacing w:beforeLines="100" w:before="312" w:afterLines="100" w:after="312" w:line="360" w:lineRule="auto"/>
        <w:jc w:val="center"/>
        <w:rPr>
          <w:rFonts w:ascii="宋体" w:cs="Arial"/>
          <w:color w:val="000000"/>
          <w:kern w:val="0"/>
          <w:sz w:val="24"/>
          <w:szCs w:val="24"/>
        </w:rPr>
      </w:pPr>
      <w:r w:rsidRPr="00820253">
        <w:rPr>
          <w:rFonts w:ascii="宋体" w:hAnsi="宋体" w:cs="Arial" w:hint="eastAsia"/>
          <w:color w:val="000000"/>
          <w:kern w:val="0"/>
          <w:sz w:val="24"/>
          <w:szCs w:val="24"/>
        </w:rPr>
        <w:t>§</w:t>
      </w:r>
      <w:r w:rsidRPr="00820253">
        <w:rPr>
          <w:rFonts w:ascii="宋体" w:hAnsi="宋体" w:cs="Arial"/>
          <w:color w:val="000000"/>
          <w:kern w:val="0"/>
          <w:sz w:val="24"/>
          <w:szCs w:val="24"/>
        </w:rPr>
        <w:t>8</w:t>
      </w:r>
      <w:r w:rsidR="00FD0A58" w:rsidRPr="00820253">
        <w:rPr>
          <w:rFonts w:ascii="宋体" w:hAnsi="宋体" w:cs="Arial"/>
          <w:color w:val="000000"/>
          <w:kern w:val="0"/>
          <w:sz w:val="24"/>
          <w:szCs w:val="24"/>
        </w:rPr>
        <w:t xml:space="preserve">  </w:t>
      </w:r>
      <w:r w:rsidRPr="00820253">
        <w:rPr>
          <w:rFonts w:ascii="宋体" w:hAnsi="宋体" w:cs="Arial" w:hint="eastAsia"/>
          <w:color w:val="000000"/>
          <w:kern w:val="0"/>
          <w:sz w:val="24"/>
          <w:szCs w:val="24"/>
        </w:rPr>
        <w:t>备查文件目录</w:t>
      </w:r>
    </w:p>
    <w:p w:rsidR="00F13451" w:rsidRPr="00D67E63" w:rsidRDefault="00F13451" w:rsidP="00CF2C2A">
      <w:pPr>
        <w:spacing w:line="360" w:lineRule="auto"/>
        <w:rPr>
          <w:rFonts w:ascii="宋体"/>
          <w:b/>
          <w:sz w:val="24"/>
        </w:rPr>
      </w:pPr>
      <w:r w:rsidRPr="00D67E63">
        <w:rPr>
          <w:rFonts w:ascii="宋体" w:hAnsi="宋体"/>
          <w:b/>
          <w:sz w:val="24"/>
        </w:rPr>
        <w:t xml:space="preserve">8.1 </w:t>
      </w:r>
      <w:r w:rsidRPr="00D67E63">
        <w:rPr>
          <w:rFonts w:ascii="宋体" w:hAnsi="宋体" w:hint="eastAsia"/>
          <w:b/>
          <w:sz w:val="24"/>
        </w:rPr>
        <w:t>备查文件目录</w:t>
      </w:r>
    </w:p>
    <w:p w:rsidR="00E7395D" w:rsidRDefault="00E01C53">
      <w:pPr>
        <w:spacing w:line="360" w:lineRule="auto"/>
        <w:ind w:firstLineChars="200" w:firstLine="480"/>
        <w:rPr>
          <w:color w:val="000000"/>
          <w:sz w:val="24"/>
        </w:rPr>
      </w:pPr>
      <w:r>
        <w:rPr>
          <w:color w:val="000000"/>
          <w:sz w:val="24"/>
        </w:rPr>
        <w:t>1.</w:t>
      </w:r>
      <w:r>
        <w:rPr>
          <w:color w:val="000000"/>
          <w:sz w:val="24"/>
        </w:rPr>
        <w:t>中国证监会准予易方达标普信息科技指数证券投资基金（</w:t>
      </w:r>
      <w:r>
        <w:rPr>
          <w:color w:val="000000"/>
          <w:sz w:val="24"/>
        </w:rPr>
        <w:t>LOF</w:t>
      </w:r>
      <w:r>
        <w:rPr>
          <w:color w:val="000000"/>
          <w:sz w:val="24"/>
        </w:rPr>
        <w:t>）注册的文件；</w:t>
      </w:r>
    </w:p>
    <w:p w:rsidR="00E7395D" w:rsidRDefault="00E01C53">
      <w:pPr>
        <w:spacing w:line="360" w:lineRule="auto"/>
        <w:ind w:firstLineChars="200" w:firstLine="480"/>
        <w:rPr>
          <w:color w:val="000000"/>
          <w:sz w:val="24"/>
        </w:rPr>
      </w:pPr>
      <w:r>
        <w:rPr>
          <w:color w:val="000000"/>
          <w:sz w:val="24"/>
        </w:rPr>
        <w:t>2.</w:t>
      </w:r>
      <w:r>
        <w:rPr>
          <w:color w:val="000000"/>
          <w:sz w:val="24"/>
        </w:rPr>
        <w:t>《易方达标普信息科技指数证券投资基金（</w:t>
      </w:r>
      <w:r>
        <w:rPr>
          <w:color w:val="000000"/>
          <w:sz w:val="24"/>
        </w:rPr>
        <w:t>LOF</w:t>
      </w:r>
      <w:r>
        <w:rPr>
          <w:color w:val="000000"/>
          <w:sz w:val="24"/>
        </w:rPr>
        <w:t>）基金合同》；</w:t>
      </w:r>
    </w:p>
    <w:p w:rsidR="00E7395D" w:rsidRDefault="00E01C53">
      <w:pPr>
        <w:spacing w:line="360" w:lineRule="auto"/>
        <w:ind w:firstLineChars="200" w:firstLine="480"/>
        <w:rPr>
          <w:color w:val="000000"/>
          <w:sz w:val="24"/>
        </w:rPr>
      </w:pPr>
      <w:r>
        <w:rPr>
          <w:color w:val="000000"/>
          <w:sz w:val="24"/>
        </w:rPr>
        <w:t>3.</w:t>
      </w:r>
      <w:r>
        <w:rPr>
          <w:color w:val="000000"/>
          <w:sz w:val="24"/>
        </w:rPr>
        <w:t>《易方达标普信息科技指数证券投资基金（</w:t>
      </w:r>
      <w:r>
        <w:rPr>
          <w:color w:val="000000"/>
          <w:sz w:val="24"/>
        </w:rPr>
        <w:t>LOF</w:t>
      </w:r>
      <w:r>
        <w:rPr>
          <w:color w:val="000000"/>
          <w:sz w:val="24"/>
        </w:rPr>
        <w:t>）托管协议》；</w:t>
      </w:r>
    </w:p>
    <w:p w:rsidR="00F13451" w:rsidRPr="00431EE1" w:rsidRDefault="00F13451" w:rsidP="00431EE1">
      <w:pPr>
        <w:spacing w:line="360" w:lineRule="auto"/>
        <w:ind w:firstLineChars="200" w:firstLine="480"/>
        <w:rPr>
          <w:color w:val="000000"/>
          <w:sz w:val="24"/>
        </w:rPr>
      </w:pPr>
      <w:r w:rsidRPr="0040658E">
        <w:rPr>
          <w:color w:val="000000"/>
          <w:sz w:val="24"/>
        </w:rPr>
        <w:t>4.</w:t>
      </w:r>
      <w:r w:rsidRPr="0040658E">
        <w:rPr>
          <w:color w:val="000000"/>
          <w:sz w:val="24"/>
        </w:rPr>
        <w:t>基金管理人业务资格批件和营业执照。</w:t>
      </w:r>
    </w:p>
    <w:p w:rsidR="00F13451" w:rsidRPr="00D67E63" w:rsidRDefault="00F13451" w:rsidP="00CF2C2A">
      <w:pPr>
        <w:spacing w:line="360" w:lineRule="auto"/>
        <w:rPr>
          <w:rFonts w:ascii="宋体"/>
          <w:b/>
          <w:sz w:val="24"/>
        </w:rPr>
      </w:pPr>
      <w:r w:rsidRPr="00D67E63">
        <w:rPr>
          <w:rFonts w:ascii="宋体" w:hAnsi="宋体"/>
          <w:b/>
          <w:sz w:val="24"/>
        </w:rPr>
        <w:t xml:space="preserve">8.2 </w:t>
      </w:r>
      <w:r w:rsidRPr="00D67E63">
        <w:rPr>
          <w:rFonts w:ascii="宋体" w:hAnsi="宋体" w:hint="eastAsia"/>
          <w:b/>
          <w:sz w:val="24"/>
        </w:rPr>
        <w:t>存放地点</w:t>
      </w:r>
    </w:p>
    <w:p w:rsidR="00F13451" w:rsidRPr="00431EE1" w:rsidRDefault="00F13451" w:rsidP="00431EE1">
      <w:pPr>
        <w:spacing w:line="360" w:lineRule="auto"/>
        <w:ind w:firstLineChars="200" w:firstLine="480"/>
        <w:rPr>
          <w:color w:val="000000"/>
          <w:sz w:val="24"/>
        </w:rPr>
      </w:pPr>
      <w:r w:rsidRPr="0040658E">
        <w:rPr>
          <w:color w:val="000000"/>
          <w:sz w:val="24"/>
        </w:rPr>
        <w:t>广州市天河区珠江新城珠江东路</w:t>
      </w:r>
      <w:r w:rsidRPr="0040658E">
        <w:rPr>
          <w:color w:val="000000"/>
          <w:sz w:val="24"/>
        </w:rPr>
        <w:t>30</w:t>
      </w:r>
      <w:r w:rsidRPr="0040658E">
        <w:rPr>
          <w:color w:val="000000"/>
          <w:sz w:val="24"/>
        </w:rPr>
        <w:t>号广州银行大厦</w:t>
      </w:r>
      <w:r w:rsidRPr="0040658E">
        <w:rPr>
          <w:color w:val="000000"/>
          <w:sz w:val="24"/>
        </w:rPr>
        <w:t>40-43</w:t>
      </w:r>
      <w:r w:rsidRPr="0040658E">
        <w:rPr>
          <w:color w:val="000000"/>
          <w:sz w:val="24"/>
        </w:rPr>
        <w:t>楼。</w:t>
      </w:r>
    </w:p>
    <w:p w:rsidR="00F13451" w:rsidRPr="00D67E63" w:rsidRDefault="00F13451" w:rsidP="00CF2C2A">
      <w:pPr>
        <w:spacing w:line="360" w:lineRule="auto"/>
        <w:rPr>
          <w:rFonts w:ascii="宋体"/>
          <w:b/>
          <w:sz w:val="24"/>
        </w:rPr>
      </w:pPr>
      <w:r w:rsidRPr="00D67E63">
        <w:rPr>
          <w:rFonts w:ascii="宋体" w:hAnsi="宋体"/>
          <w:b/>
          <w:sz w:val="24"/>
        </w:rPr>
        <w:t xml:space="preserve">8.3 </w:t>
      </w:r>
      <w:r w:rsidRPr="00D67E63">
        <w:rPr>
          <w:rFonts w:ascii="宋体" w:hAnsi="宋体" w:hint="eastAsia"/>
          <w:b/>
          <w:sz w:val="24"/>
        </w:rPr>
        <w:t>查阅方式</w:t>
      </w:r>
    </w:p>
    <w:p w:rsidR="00F13451" w:rsidRPr="0040658E" w:rsidRDefault="00F13451" w:rsidP="00476756">
      <w:pPr>
        <w:spacing w:line="360" w:lineRule="auto"/>
        <w:ind w:firstLineChars="200" w:firstLine="480"/>
        <w:rPr>
          <w:color w:val="000000"/>
          <w:sz w:val="24"/>
        </w:rPr>
      </w:pPr>
      <w:r w:rsidRPr="0040658E">
        <w:rPr>
          <w:color w:val="000000"/>
          <w:sz w:val="24"/>
        </w:rPr>
        <w:t>投资者可在营业时间免费查阅，也可按工本费购买复印件。</w:t>
      </w:r>
    </w:p>
    <w:p w:rsidR="00F13451" w:rsidRPr="00820253" w:rsidRDefault="00F13451" w:rsidP="00476756">
      <w:pPr>
        <w:spacing w:line="360" w:lineRule="auto"/>
        <w:ind w:firstLineChars="200" w:firstLine="480"/>
        <w:rPr>
          <w:rFonts w:ascii="宋体" w:hAnsi="宋体"/>
          <w:color w:val="000000"/>
          <w:sz w:val="24"/>
        </w:rPr>
      </w:pPr>
    </w:p>
    <w:p w:rsidR="00F13451" w:rsidRDefault="00F13451" w:rsidP="00476756">
      <w:pPr>
        <w:spacing w:line="360" w:lineRule="auto"/>
        <w:ind w:firstLineChars="200" w:firstLine="480"/>
        <w:rPr>
          <w:rFonts w:ascii="宋体"/>
          <w:color w:val="000000"/>
          <w:sz w:val="24"/>
        </w:rPr>
      </w:pPr>
    </w:p>
    <w:p w:rsidR="00F13451" w:rsidRDefault="00F13451" w:rsidP="00476756">
      <w:pPr>
        <w:spacing w:line="360" w:lineRule="auto"/>
        <w:ind w:firstLineChars="200" w:firstLine="480"/>
        <w:rPr>
          <w:rFonts w:ascii="宋体"/>
          <w:color w:val="000000"/>
          <w:sz w:val="24"/>
        </w:rPr>
      </w:pPr>
    </w:p>
    <w:p w:rsidR="00F13451" w:rsidRDefault="00F13451" w:rsidP="00476756">
      <w:pPr>
        <w:spacing w:line="360" w:lineRule="auto"/>
        <w:ind w:firstLineChars="200" w:firstLine="480"/>
        <w:rPr>
          <w:rFonts w:ascii="宋体"/>
          <w:color w:val="000000"/>
          <w:sz w:val="24"/>
        </w:rPr>
      </w:pPr>
    </w:p>
    <w:p w:rsidR="00F13451" w:rsidRDefault="00F13451" w:rsidP="00476756">
      <w:pPr>
        <w:spacing w:line="360" w:lineRule="auto"/>
        <w:ind w:firstLineChars="200" w:firstLine="480"/>
        <w:rPr>
          <w:rFonts w:ascii="宋体"/>
          <w:color w:val="000000"/>
          <w:sz w:val="24"/>
        </w:rPr>
      </w:pPr>
    </w:p>
    <w:p w:rsidR="00F13451" w:rsidRDefault="00F13451" w:rsidP="00476756">
      <w:pPr>
        <w:spacing w:line="360" w:lineRule="auto"/>
        <w:ind w:firstLineChars="200" w:firstLine="480"/>
        <w:rPr>
          <w:rFonts w:ascii="宋体"/>
          <w:color w:val="000000"/>
          <w:sz w:val="24"/>
        </w:rPr>
      </w:pPr>
    </w:p>
    <w:p w:rsidR="00F13451" w:rsidRPr="00820253" w:rsidRDefault="00F13451" w:rsidP="00476756">
      <w:pPr>
        <w:spacing w:line="360" w:lineRule="auto"/>
        <w:ind w:firstLineChars="200" w:firstLine="480"/>
        <w:rPr>
          <w:rFonts w:ascii="宋体"/>
          <w:color w:val="000000"/>
          <w:sz w:val="24"/>
        </w:rPr>
      </w:pPr>
    </w:p>
    <w:p w:rsidR="00F13451" w:rsidRPr="00820253" w:rsidRDefault="00F13451" w:rsidP="00CF2C2A">
      <w:pPr>
        <w:spacing w:line="360" w:lineRule="auto"/>
        <w:jc w:val="right"/>
        <w:rPr>
          <w:rFonts w:ascii="宋体" w:hAnsi="宋体"/>
          <w:b/>
          <w:bCs/>
          <w:sz w:val="24"/>
        </w:rPr>
      </w:pPr>
      <w:r w:rsidRPr="00820253">
        <w:rPr>
          <w:rFonts w:ascii="宋体" w:hAnsi="宋体"/>
          <w:b/>
          <w:bCs/>
          <w:sz w:val="24"/>
        </w:rPr>
        <w:t>易方达基金管理有限公司</w:t>
      </w:r>
    </w:p>
    <w:p w:rsidR="00F13451" w:rsidRPr="00820253" w:rsidRDefault="00F13451" w:rsidP="00CF2C2A">
      <w:pPr>
        <w:spacing w:line="360" w:lineRule="auto"/>
        <w:jc w:val="right"/>
        <w:rPr>
          <w:rFonts w:ascii="宋体" w:hAnsi="宋体"/>
          <w:b/>
          <w:bCs/>
          <w:sz w:val="24"/>
        </w:rPr>
      </w:pPr>
      <w:r w:rsidRPr="00820253">
        <w:rPr>
          <w:rFonts w:ascii="宋体" w:hAnsi="宋体"/>
          <w:b/>
          <w:bCs/>
          <w:sz w:val="24"/>
        </w:rPr>
        <w:t>二〇二〇年一月十八日</w:t>
      </w:r>
    </w:p>
    <w:sectPr w:rsidR="00F13451" w:rsidRPr="00820253"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0F" w:rsidRDefault="000B270F">
      <w:r>
        <w:separator/>
      </w:r>
    </w:p>
  </w:endnote>
  <w:endnote w:type="continuationSeparator" w:id="0">
    <w:p w:rsidR="000B270F" w:rsidRDefault="000B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Pr="001D0DB0" w:rsidRDefault="00F13451" w:rsidP="00D6226F">
    <w:pPr>
      <w:pStyle w:val="a6"/>
      <w:jc w:val="center"/>
    </w:pPr>
    <w:r>
      <w:rPr>
        <w:rFonts w:hint="eastAsia"/>
        <w:szCs w:val="21"/>
      </w:rPr>
      <w:t>第</w:t>
    </w:r>
    <w:r w:rsidR="00D12F5B">
      <w:rPr>
        <w:szCs w:val="21"/>
      </w:rPr>
      <w:fldChar w:fldCharType="begin"/>
    </w:r>
    <w:r>
      <w:rPr>
        <w:szCs w:val="21"/>
      </w:rPr>
      <w:instrText xml:space="preserve"> PAGE </w:instrText>
    </w:r>
    <w:r w:rsidR="00D12F5B">
      <w:rPr>
        <w:szCs w:val="21"/>
      </w:rPr>
      <w:fldChar w:fldCharType="separate"/>
    </w:r>
    <w:r w:rsidR="00E01C53">
      <w:rPr>
        <w:noProof/>
        <w:szCs w:val="21"/>
      </w:rPr>
      <w:t>1</w:t>
    </w:r>
    <w:r w:rsidR="00D12F5B">
      <w:rPr>
        <w:szCs w:val="21"/>
      </w:rPr>
      <w:fldChar w:fldCharType="end"/>
    </w:r>
    <w:r>
      <w:rPr>
        <w:rFonts w:hint="eastAsia"/>
        <w:szCs w:val="21"/>
      </w:rPr>
      <w:t>页共</w:t>
    </w:r>
    <w:r w:rsidR="00D12F5B">
      <w:rPr>
        <w:szCs w:val="21"/>
      </w:rPr>
      <w:fldChar w:fldCharType="begin"/>
    </w:r>
    <w:r>
      <w:rPr>
        <w:szCs w:val="21"/>
      </w:rPr>
      <w:instrText xml:space="preserve"> NUMPAGES </w:instrText>
    </w:r>
    <w:r w:rsidR="00D12F5B">
      <w:rPr>
        <w:szCs w:val="21"/>
      </w:rPr>
      <w:fldChar w:fldCharType="separate"/>
    </w:r>
    <w:r w:rsidR="00E01C53">
      <w:rPr>
        <w:noProof/>
        <w:szCs w:val="21"/>
      </w:rPr>
      <w:t>1</w:t>
    </w:r>
    <w:r w:rsidR="00D12F5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Default="00D12F5B">
    <w:pPr>
      <w:pStyle w:val="a6"/>
      <w:framePr w:wrap="around" w:vAnchor="text" w:hAnchor="margin" w:xAlign="center" w:y="1"/>
      <w:rPr>
        <w:rStyle w:val="a7"/>
      </w:rPr>
    </w:pPr>
    <w:r>
      <w:rPr>
        <w:rStyle w:val="a7"/>
      </w:rPr>
      <w:fldChar w:fldCharType="begin"/>
    </w:r>
    <w:r w:rsidR="00F13451">
      <w:rPr>
        <w:rStyle w:val="a7"/>
      </w:rPr>
      <w:instrText xml:space="preserve">PAGE  </w:instrText>
    </w:r>
    <w:r>
      <w:rPr>
        <w:rStyle w:val="a7"/>
      </w:rPr>
      <w:fldChar w:fldCharType="end"/>
    </w:r>
  </w:p>
  <w:p w:rsidR="00F13451" w:rsidRDefault="00F1345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Default="00D12F5B">
    <w:pPr>
      <w:pStyle w:val="a6"/>
      <w:framePr w:wrap="around" w:vAnchor="text" w:hAnchor="margin" w:xAlign="center" w:y="1"/>
      <w:rPr>
        <w:rStyle w:val="a7"/>
      </w:rPr>
    </w:pPr>
    <w:r>
      <w:rPr>
        <w:rStyle w:val="a7"/>
      </w:rPr>
      <w:fldChar w:fldCharType="begin"/>
    </w:r>
    <w:r w:rsidR="00F13451">
      <w:rPr>
        <w:rStyle w:val="a7"/>
      </w:rPr>
      <w:instrText xml:space="preserve">PAGE  </w:instrText>
    </w:r>
    <w:r>
      <w:rPr>
        <w:rStyle w:val="a7"/>
      </w:rPr>
      <w:fldChar w:fldCharType="separate"/>
    </w:r>
    <w:r w:rsidR="00E01C53">
      <w:rPr>
        <w:rStyle w:val="a7"/>
        <w:noProof/>
      </w:rPr>
      <w:t>2</w:t>
    </w:r>
    <w:r>
      <w:rPr>
        <w:rStyle w:val="a7"/>
      </w:rPr>
      <w:fldChar w:fldCharType="end"/>
    </w:r>
  </w:p>
  <w:p w:rsidR="00F13451" w:rsidRDefault="00F1345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Default="00F134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0F" w:rsidRDefault="000B270F">
      <w:r>
        <w:separator/>
      </w:r>
    </w:p>
  </w:footnote>
  <w:footnote w:type="continuationSeparator" w:id="0">
    <w:p w:rsidR="000B270F" w:rsidRDefault="000B2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Pr="005771AC" w:rsidRDefault="00F13451" w:rsidP="004E30FB">
    <w:pPr>
      <w:pStyle w:val="a9"/>
      <w:pBdr>
        <w:bottom w:val="single" w:sz="6" w:space="0" w:color="auto"/>
      </w:pBdr>
      <w:jc w:val="right"/>
      <w:rPr>
        <w:sz w:val="15"/>
      </w:rPr>
    </w:pPr>
    <w:r w:rsidRPr="005771AC">
      <w:rPr>
        <w:szCs w:val="21"/>
      </w:rPr>
      <w:t>易方达标普信息科技指数证券投资基金（</w:t>
    </w:r>
    <w:r w:rsidRPr="005771AC">
      <w:rPr>
        <w:szCs w:val="21"/>
      </w:rPr>
      <w:t>LOF</w:t>
    </w:r>
    <w:r w:rsidRPr="005771AC">
      <w:rPr>
        <w:szCs w:val="21"/>
      </w:rPr>
      <w:t>）</w:t>
    </w:r>
    <w:r w:rsidRPr="005771AC">
      <w:rPr>
        <w:szCs w:val="21"/>
      </w:rPr>
      <w:t>2019</w:t>
    </w:r>
    <w:r w:rsidRPr="005771AC">
      <w:rPr>
        <w:szCs w:val="21"/>
      </w:rPr>
      <w:t>年第</w:t>
    </w:r>
    <w:r w:rsidRPr="005771AC">
      <w:rPr>
        <w:szCs w:val="21"/>
      </w:rPr>
      <w:t>4</w:t>
    </w:r>
    <w:r w:rsidRPr="005771AC">
      <w:rPr>
        <w:szCs w:val="21"/>
      </w:rPr>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Default="00F1345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51" w:rsidRDefault="00F134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4EC2"/>
    <w:rsid w:val="00055AF1"/>
    <w:rsid w:val="00055B0F"/>
    <w:rsid w:val="00057A02"/>
    <w:rsid w:val="00062875"/>
    <w:rsid w:val="00063A8D"/>
    <w:rsid w:val="00064AE3"/>
    <w:rsid w:val="00066524"/>
    <w:rsid w:val="0006691E"/>
    <w:rsid w:val="00067332"/>
    <w:rsid w:val="00070CD1"/>
    <w:rsid w:val="0007171B"/>
    <w:rsid w:val="00081D05"/>
    <w:rsid w:val="00087CF7"/>
    <w:rsid w:val="00094876"/>
    <w:rsid w:val="00094F45"/>
    <w:rsid w:val="00095912"/>
    <w:rsid w:val="00095CE0"/>
    <w:rsid w:val="00096933"/>
    <w:rsid w:val="00097230"/>
    <w:rsid w:val="000A19F3"/>
    <w:rsid w:val="000A457E"/>
    <w:rsid w:val="000A549A"/>
    <w:rsid w:val="000A72F2"/>
    <w:rsid w:val="000B0C56"/>
    <w:rsid w:val="000B22B8"/>
    <w:rsid w:val="000B270F"/>
    <w:rsid w:val="000B3274"/>
    <w:rsid w:val="000B3E43"/>
    <w:rsid w:val="000B69EF"/>
    <w:rsid w:val="000C1723"/>
    <w:rsid w:val="000C1B20"/>
    <w:rsid w:val="000C1B73"/>
    <w:rsid w:val="000C21D1"/>
    <w:rsid w:val="000C4107"/>
    <w:rsid w:val="000C4586"/>
    <w:rsid w:val="000C45E7"/>
    <w:rsid w:val="000C4E2D"/>
    <w:rsid w:val="000C6C23"/>
    <w:rsid w:val="000C6F3E"/>
    <w:rsid w:val="000D01F4"/>
    <w:rsid w:val="000D0BF3"/>
    <w:rsid w:val="000D121F"/>
    <w:rsid w:val="000D1519"/>
    <w:rsid w:val="000E237B"/>
    <w:rsid w:val="000E4456"/>
    <w:rsid w:val="000E5D28"/>
    <w:rsid w:val="000E6DC4"/>
    <w:rsid w:val="000F161C"/>
    <w:rsid w:val="000F175F"/>
    <w:rsid w:val="000F17D1"/>
    <w:rsid w:val="000F268E"/>
    <w:rsid w:val="000F5F24"/>
    <w:rsid w:val="000F60FF"/>
    <w:rsid w:val="000F635F"/>
    <w:rsid w:val="000F6C61"/>
    <w:rsid w:val="000F6EE9"/>
    <w:rsid w:val="00100C12"/>
    <w:rsid w:val="00100C16"/>
    <w:rsid w:val="00104514"/>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40E80"/>
    <w:rsid w:val="00142A56"/>
    <w:rsid w:val="00143B45"/>
    <w:rsid w:val="00144DF5"/>
    <w:rsid w:val="00145630"/>
    <w:rsid w:val="00145A97"/>
    <w:rsid w:val="00146485"/>
    <w:rsid w:val="00150AD6"/>
    <w:rsid w:val="001522EE"/>
    <w:rsid w:val="00154ADA"/>
    <w:rsid w:val="0015531A"/>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78B0"/>
    <w:rsid w:val="001928F7"/>
    <w:rsid w:val="00194537"/>
    <w:rsid w:val="00194F40"/>
    <w:rsid w:val="001A149A"/>
    <w:rsid w:val="001A21A9"/>
    <w:rsid w:val="001A4814"/>
    <w:rsid w:val="001A59D8"/>
    <w:rsid w:val="001A5FA6"/>
    <w:rsid w:val="001B2F0C"/>
    <w:rsid w:val="001B2FB1"/>
    <w:rsid w:val="001B63AB"/>
    <w:rsid w:val="001B7820"/>
    <w:rsid w:val="001B7E94"/>
    <w:rsid w:val="001C1984"/>
    <w:rsid w:val="001C37F6"/>
    <w:rsid w:val="001C6288"/>
    <w:rsid w:val="001C7614"/>
    <w:rsid w:val="001D0DB0"/>
    <w:rsid w:val="001D0F6A"/>
    <w:rsid w:val="001D161E"/>
    <w:rsid w:val="001D21BC"/>
    <w:rsid w:val="001D2FA5"/>
    <w:rsid w:val="001D35E0"/>
    <w:rsid w:val="001D5045"/>
    <w:rsid w:val="001D5A44"/>
    <w:rsid w:val="001D724B"/>
    <w:rsid w:val="001D7693"/>
    <w:rsid w:val="001D79D5"/>
    <w:rsid w:val="001E04A5"/>
    <w:rsid w:val="001E11D3"/>
    <w:rsid w:val="001E2A6A"/>
    <w:rsid w:val="001E3DC2"/>
    <w:rsid w:val="001E52F8"/>
    <w:rsid w:val="001E56FF"/>
    <w:rsid w:val="001E5C6B"/>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267F8"/>
    <w:rsid w:val="002328FE"/>
    <w:rsid w:val="002359EB"/>
    <w:rsid w:val="002363AB"/>
    <w:rsid w:val="0024260D"/>
    <w:rsid w:val="00245012"/>
    <w:rsid w:val="0024504E"/>
    <w:rsid w:val="0024651F"/>
    <w:rsid w:val="0025007C"/>
    <w:rsid w:val="0025158D"/>
    <w:rsid w:val="0025281A"/>
    <w:rsid w:val="00253D3C"/>
    <w:rsid w:val="00254F37"/>
    <w:rsid w:val="00255292"/>
    <w:rsid w:val="00256097"/>
    <w:rsid w:val="00257D2B"/>
    <w:rsid w:val="00260200"/>
    <w:rsid w:val="00263405"/>
    <w:rsid w:val="002648D8"/>
    <w:rsid w:val="00264E55"/>
    <w:rsid w:val="00265865"/>
    <w:rsid w:val="00273C7E"/>
    <w:rsid w:val="00273F86"/>
    <w:rsid w:val="0027678D"/>
    <w:rsid w:val="002774F0"/>
    <w:rsid w:val="0028017D"/>
    <w:rsid w:val="0028459B"/>
    <w:rsid w:val="00284C5F"/>
    <w:rsid w:val="00284EC5"/>
    <w:rsid w:val="002873F0"/>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777"/>
    <w:rsid w:val="002D31BB"/>
    <w:rsid w:val="002D32E3"/>
    <w:rsid w:val="002E09F5"/>
    <w:rsid w:val="002E0FEB"/>
    <w:rsid w:val="002E26F5"/>
    <w:rsid w:val="002E5FE7"/>
    <w:rsid w:val="002F0F79"/>
    <w:rsid w:val="002F2234"/>
    <w:rsid w:val="002F235F"/>
    <w:rsid w:val="002F2713"/>
    <w:rsid w:val="002F280E"/>
    <w:rsid w:val="002F3709"/>
    <w:rsid w:val="002F3A6C"/>
    <w:rsid w:val="002F4296"/>
    <w:rsid w:val="002F5D32"/>
    <w:rsid w:val="002F7F82"/>
    <w:rsid w:val="00300951"/>
    <w:rsid w:val="00300E97"/>
    <w:rsid w:val="003019A8"/>
    <w:rsid w:val="00302CA8"/>
    <w:rsid w:val="00302DE9"/>
    <w:rsid w:val="00305084"/>
    <w:rsid w:val="00311094"/>
    <w:rsid w:val="0031598C"/>
    <w:rsid w:val="0031668C"/>
    <w:rsid w:val="003204E9"/>
    <w:rsid w:val="00321E8C"/>
    <w:rsid w:val="00322A86"/>
    <w:rsid w:val="00323AE8"/>
    <w:rsid w:val="00324548"/>
    <w:rsid w:val="0032500D"/>
    <w:rsid w:val="003251F4"/>
    <w:rsid w:val="003303E3"/>
    <w:rsid w:val="003329EA"/>
    <w:rsid w:val="003370F8"/>
    <w:rsid w:val="00340499"/>
    <w:rsid w:val="003407A5"/>
    <w:rsid w:val="00341188"/>
    <w:rsid w:val="0034147B"/>
    <w:rsid w:val="00350238"/>
    <w:rsid w:val="0035109C"/>
    <w:rsid w:val="00351F0A"/>
    <w:rsid w:val="0035432B"/>
    <w:rsid w:val="0035691D"/>
    <w:rsid w:val="00361E7E"/>
    <w:rsid w:val="00366726"/>
    <w:rsid w:val="00367057"/>
    <w:rsid w:val="00370AA4"/>
    <w:rsid w:val="00371FF4"/>
    <w:rsid w:val="003745DA"/>
    <w:rsid w:val="00377520"/>
    <w:rsid w:val="00380D36"/>
    <w:rsid w:val="003812A5"/>
    <w:rsid w:val="003822D3"/>
    <w:rsid w:val="0038257F"/>
    <w:rsid w:val="00385AB9"/>
    <w:rsid w:val="00385E16"/>
    <w:rsid w:val="00386630"/>
    <w:rsid w:val="00390B25"/>
    <w:rsid w:val="00397156"/>
    <w:rsid w:val="00397616"/>
    <w:rsid w:val="00397960"/>
    <w:rsid w:val="003A152F"/>
    <w:rsid w:val="003A3BC4"/>
    <w:rsid w:val="003A458A"/>
    <w:rsid w:val="003B2F13"/>
    <w:rsid w:val="003B405E"/>
    <w:rsid w:val="003B57D3"/>
    <w:rsid w:val="003C09A4"/>
    <w:rsid w:val="003C1F58"/>
    <w:rsid w:val="003C49AA"/>
    <w:rsid w:val="003C6DC5"/>
    <w:rsid w:val="003C792F"/>
    <w:rsid w:val="003D124B"/>
    <w:rsid w:val="003D18F3"/>
    <w:rsid w:val="003D2093"/>
    <w:rsid w:val="003D78B5"/>
    <w:rsid w:val="003E0588"/>
    <w:rsid w:val="003E244F"/>
    <w:rsid w:val="003E379B"/>
    <w:rsid w:val="003E3A5C"/>
    <w:rsid w:val="003E6203"/>
    <w:rsid w:val="003E62A6"/>
    <w:rsid w:val="003E695F"/>
    <w:rsid w:val="003E6C9B"/>
    <w:rsid w:val="003E709C"/>
    <w:rsid w:val="003E7B89"/>
    <w:rsid w:val="003F0275"/>
    <w:rsid w:val="003F4241"/>
    <w:rsid w:val="003F7C45"/>
    <w:rsid w:val="003F7D50"/>
    <w:rsid w:val="00400946"/>
    <w:rsid w:val="004009A4"/>
    <w:rsid w:val="0040132C"/>
    <w:rsid w:val="00403886"/>
    <w:rsid w:val="00405085"/>
    <w:rsid w:val="0040658E"/>
    <w:rsid w:val="004066FC"/>
    <w:rsid w:val="00407C10"/>
    <w:rsid w:val="004113B4"/>
    <w:rsid w:val="00414827"/>
    <w:rsid w:val="00416C10"/>
    <w:rsid w:val="00416D9D"/>
    <w:rsid w:val="00416F85"/>
    <w:rsid w:val="00424EF3"/>
    <w:rsid w:val="004268BB"/>
    <w:rsid w:val="00431047"/>
    <w:rsid w:val="00431B86"/>
    <w:rsid w:val="00431EE1"/>
    <w:rsid w:val="004408EC"/>
    <w:rsid w:val="004417A4"/>
    <w:rsid w:val="00441E6A"/>
    <w:rsid w:val="00443C8F"/>
    <w:rsid w:val="00452481"/>
    <w:rsid w:val="004553AF"/>
    <w:rsid w:val="00455464"/>
    <w:rsid w:val="00455D24"/>
    <w:rsid w:val="004567C5"/>
    <w:rsid w:val="00457804"/>
    <w:rsid w:val="00462B61"/>
    <w:rsid w:val="00464283"/>
    <w:rsid w:val="004646BF"/>
    <w:rsid w:val="00464744"/>
    <w:rsid w:val="004665E3"/>
    <w:rsid w:val="00467BA5"/>
    <w:rsid w:val="004710DD"/>
    <w:rsid w:val="004731F1"/>
    <w:rsid w:val="00476756"/>
    <w:rsid w:val="00477724"/>
    <w:rsid w:val="0047798A"/>
    <w:rsid w:val="00480BC8"/>
    <w:rsid w:val="00481265"/>
    <w:rsid w:val="004814BF"/>
    <w:rsid w:val="00482956"/>
    <w:rsid w:val="0048587E"/>
    <w:rsid w:val="00486D15"/>
    <w:rsid w:val="00487C2B"/>
    <w:rsid w:val="0049297D"/>
    <w:rsid w:val="004929F2"/>
    <w:rsid w:val="00493023"/>
    <w:rsid w:val="00493D46"/>
    <w:rsid w:val="00495A03"/>
    <w:rsid w:val="004968E3"/>
    <w:rsid w:val="00497079"/>
    <w:rsid w:val="004A1BBA"/>
    <w:rsid w:val="004A270C"/>
    <w:rsid w:val="004A3039"/>
    <w:rsid w:val="004A3251"/>
    <w:rsid w:val="004A355B"/>
    <w:rsid w:val="004A3625"/>
    <w:rsid w:val="004A3E3C"/>
    <w:rsid w:val="004A5FA4"/>
    <w:rsid w:val="004A791A"/>
    <w:rsid w:val="004B0E6D"/>
    <w:rsid w:val="004B16E8"/>
    <w:rsid w:val="004B6250"/>
    <w:rsid w:val="004B76B1"/>
    <w:rsid w:val="004C0057"/>
    <w:rsid w:val="004C0541"/>
    <w:rsid w:val="004C2C46"/>
    <w:rsid w:val="004C52A1"/>
    <w:rsid w:val="004C7235"/>
    <w:rsid w:val="004C7955"/>
    <w:rsid w:val="004D047F"/>
    <w:rsid w:val="004D3971"/>
    <w:rsid w:val="004D3D96"/>
    <w:rsid w:val="004D6239"/>
    <w:rsid w:val="004D650F"/>
    <w:rsid w:val="004D6D54"/>
    <w:rsid w:val="004E2133"/>
    <w:rsid w:val="004E30FB"/>
    <w:rsid w:val="004E4941"/>
    <w:rsid w:val="004E5CB8"/>
    <w:rsid w:val="004E5DDD"/>
    <w:rsid w:val="004E60FB"/>
    <w:rsid w:val="004E7AF6"/>
    <w:rsid w:val="004F4B2A"/>
    <w:rsid w:val="004F779C"/>
    <w:rsid w:val="004F7846"/>
    <w:rsid w:val="005000D4"/>
    <w:rsid w:val="00500A6E"/>
    <w:rsid w:val="00510BB5"/>
    <w:rsid w:val="00510CAF"/>
    <w:rsid w:val="005128C5"/>
    <w:rsid w:val="0051478B"/>
    <w:rsid w:val="0051566A"/>
    <w:rsid w:val="00515D7B"/>
    <w:rsid w:val="005161B7"/>
    <w:rsid w:val="005166E9"/>
    <w:rsid w:val="0052009E"/>
    <w:rsid w:val="00525E59"/>
    <w:rsid w:val="005318CC"/>
    <w:rsid w:val="005346F1"/>
    <w:rsid w:val="005349B1"/>
    <w:rsid w:val="005374BC"/>
    <w:rsid w:val="00540522"/>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771AC"/>
    <w:rsid w:val="005800A9"/>
    <w:rsid w:val="00580488"/>
    <w:rsid w:val="0058074D"/>
    <w:rsid w:val="00582FAD"/>
    <w:rsid w:val="00583489"/>
    <w:rsid w:val="00590FE4"/>
    <w:rsid w:val="00591D9C"/>
    <w:rsid w:val="00592483"/>
    <w:rsid w:val="005931C4"/>
    <w:rsid w:val="005948AF"/>
    <w:rsid w:val="00596191"/>
    <w:rsid w:val="00597057"/>
    <w:rsid w:val="00597D8B"/>
    <w:rsid w:val="005A1C30"/>
    <w:rsid w:val="005A2757"/>
    <w:rsid w:val="005A3295"/>
    <w:rsid w:val="005A4302"/>
    <w:rsid w:val="005A46FF"/>
    <w:rsid w:val="005A704A"/>
    <w:rsid w:val="005A7449"/>
    <w:rsid w:val="005B011E"/>
    <w:rsid w:val="005B1542"/>
    <w:rsid w:val="005B2E84"/>
    <w:rsid w:val="005B3103"/>
    <w:rsid w:val="005B37EE"/>
    <w:rsid w:val="005B4D29"/>
    <w:rsid w:val="005B6CA6"/>
    <w:rsid w:val="005B700A"/>
    <w:rsid w:val="005B7B0E"/>
    <w:rsid w:val="005C07DC"/>
    <w:rsid w:val="005C2541"/>
    <w:rsid w:val="005C25C8"/>
    <w:rsid w:val="005C5409"/>
    <w:rsid w:val="005C69AC"/>
    <w:rsid w:val="005C722E"/>
    <w:rsid w:val="005D01A4"/>
    <w:rsid w:val="005D29D4"/>
    <w:rsid w:val="005D4452"/>
    <w:rsid w:val="005D45B3"/>
    <w:rsid w:val="005D4CEB"/>
    <w:rsid w:val="005E2501"/>
    <w:rsid w:val="005E5B01"/>
    <w:rsid w:val="005E5CC1"/>
    <w:rsid w:val="005E7793"/>
    <w:rsid w:val="005F04E6"/>
    <w:rsid w:val="005F43B9"/>
    <w:rsid w:val="005F68CB"/>
    <w:rsid w:val="005F7085"/>
    <w:rsid w:val="006033E3"/>
    <w:rsid w:val="00605748"/>
    <w:rsid w:val="00610C82"/>
    <w:rsid w:val="0061321C"/>
    <w:rsid w:val="00615063"/>
    <w:rsid w:val="0061761F"/>
    <w:rsid w:val="00620C6C"/>
    <w:rsid w:val="0062145B"/>
    <w:rsid w:val="0062386E"/>
    <w:rsid w:val="00623F01"/>
    <w:rsid w:val="006258FD"/>
    <w:rsid w:val="00626E2D"/>
    <w:rsid w:val="00627D94"/>
    <w:rsid w:val="00630B42"/>
    <w:rsid w:val="00631425"/>
    <w:rsid w:val="00642072"/>
    <w:rsid w:val="006440ED"/>
    <w:rsid w:val="00645293"/>
    <w:rsid w:val="006504D0"/>
    <w:rsid w:val="00651B78"/>
    <w:rsid w:val="00652263"/>
    <w:rsid w:val="00652881"/>
    <w:rsid w:val="00655B94"/>
    <w:rsid w:val="006563E4"/>
    <w:rsid w:val="00661974"/>
    <w:rsid w:val="006636D6"/>
    <w:rsid w:val="00664551"/>
    <w:rsid w:val="006676A0"/>
    <w:rsid w:val="00670857"/>
    <w:rsid w:val="00671124"/>
    <w:rsid w:val="006727B0"/>
    <w:rsid w:val="0067307E"/>
    <w:rsid w:val="006746C7"/>
    <w:rsid w:val="006829BB"/>
    <w:rsid w:val="00687AD5"/>
    <w:rsid w:val="00691153"/>
    <w:rsid w:val="006950A3"/>
    <w:rsid w:val="006951C0"/>
    <w:rsid w:val="00695251"/>
    <w:rsid w:val="00695ADE"/>
    <w:rsid w:val="00695C0D"/>
    <w:rsid w:val="00696356"/>
    <w:rsid w:val="006A72C6"/>
    <w:rsid w:val="006B02DA"/>
    <w:rsid w:val="006B1FD1"/>
    <w:rsid w:val="006B2065"/>
    <w:rsid w:val="006B2F2B"/>
    <w:rsid w:val="006B3940"/>
    <w:rsid w:val="006C099C"/>
    <w:rsid w:val="006C168D"/>
    <w:rsid w:val="006C1F15"/>
    <w:rsid w:val="006C5E36"/>
    <w:rsid w:val="006C642C"/>
    <w:rsid w:val="006C6FC6"/>
    <w:rsid w:val="006D00D5"/>
    <w:rsid w:val="006D11D3"/>
    <w:rsid w:val="006D5BA5"/>
    <w:rsid w:val="006D775F"/>
    <w:rsid w:val="006D7A88"/>
    <w:rsid w:val="006E34B7"/>
    <w:rsid w:val="006E5BB0"/>
    <w:rsid w:val="006F01CF"/>
    <w:rsid w:val="006F115E"/>
    <w:rsid w:val="006F2AA6"/>
    <w:rsid w:val="006F39B6"/>
    <w:rsid w:val="006F4CD8"/>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37E9B"/>
    <w:rsid w:val="00741EBE"/>
    <w:rsid w:val="00741F94"/>
    <w:rsid w:val="00746130"/>
    <w:rsid w:val="00746554"/>
    <w:rsid w:val="00746A40"/>
    <w:rsid w:val="00747125"/>
    <w:rsid w:val="00750358"/>
    <w:rsid w:val="007513AC"/>
    <w:rsid w:val="007537F4"/>
    <w:rsid w:val="00755CDF"/>
    <w:rsid w:val="00757A4C"/>
    <w:rsid w:val="007616EE"/>
    <w:rsid w:val="00763A8D"/>
    <w:rsid w:val="00764A94"/>
    <w:rsid w:val="0076518F"/>
    <w:rsid w:val="007651E5"/>
    <w:rsid w:val="007670DC"/>
    <w:rsid w:val="0077111A"/>
    <w:rsid w:val="00772721"/>
    <w:rsid w:val="007756ED"/>
    <w:rsid w:val="00780C47"/>
    <w:rsid w:val="00780E33"/>
    <w:rsid w:val="0078105B"/>
    <w:rsid w:val="00781847"/>
    <w:rsid w:val="0078378A"/>
    <w:rsid w:val="00786CFC"/>
    <w:rsid w:val="007870FC"/>
    <w:rsid w:val="00787919"/>
    <w:rsid w:val="00787CD0"/>
    <w:rsid w:val="00791053"/>
    <w:rsid w:val="00791A3A"/>
    <w:rsid w:val="00791BB9"/>
    <w:rsid w:val="00794196"/>
    <w:rsid w:val="00796EC9"/>
    <w:rsid w:val="00797637"/>
    <w:rsid w:val="007A2630"/>
    <w:rsid w:val="007A3680"/>
    <w:rsid w:val="007A59B8"/>
    <w:rsid w:val="007A6F38"/>
    <w:rsid w:val="007A75F5"/>
    <w:rsid w:val="007B2862"/>
    <w:rsid w:val="007B2A23"/>
    <w:rsid w:val="007B51EE"/>
    <w:rsid w:val="007B662A"/>
    <w:rsid w:val="007B75D4"/>
    <w:rsid w:val="007C1771"/>
    <w:rsid w:val="007C4496"/>
    <w:rsid w:val="007D0E9D"/>
    <w:rsid w:val="007D28C9"/>
    <w:rsid w:val="007D2A39"/>
    <w:rsid w:val="007D3CC8"/>
    <w:rsid w:val="007D62F9"/>
    <w:rsid w:val="007D63A4"/>
    <w:rsid w:val="007D6458"/>
    <w:rsid w:val="007E0B0A"/>
    <w:rsid w:val="007E1AA2"/>
    <w:rsid w:val="007E303C"/>
    <w:rsid w:val="007E4C1F"/>
    <w:rsid w:val="007E4DEE"/>
    <w:rsid w:val="007E5978"/>
    <w:rsid w:val="007F0759"/>
    <w:rsid w:val="007F25C0"/>
    <w:rsid w:val="007F26D5"/>
    <w:rsid w:val="007F5F52"/>
    <w:rsid w:val="007F77C6"/>
    <w:rsid w:val="008003A1"/>
    <w:rsid w:val="008006B7"/>
    <w:rsid w:val="00800FDB"/>
    <w:rsid w:val="00802081"/>
    <w:rsid w:val="00806461"/>
    <w:rsid w:val="0081096D"/>
    <w:rsid w:val="00810EAD"/>
    <w:rsid w:val="00811833"/>
    <w:rsid w:val="00816670"/>
    <w:rsid w:val="008174D4"/>
    <w:rsid w:val="00820253"/>
    <w:rsid w:val="00820FE6"/>
    <w:rsid w:val="00821A66"/>
    <w:rsid w:val="00822476"/>
    <w:rsid w:val="00822882"/>
    <w:rsid w:val="008232BB"/>
    <w:rsid w:val="00825029"/>
    <w:rsid w:val="008257F3"/>
    <w:rsid w:val="00825F68"/>
    <w:rsid w:val="00835408"/>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06D2"/>
    <w:rsid w:val="00881015"/>
    <w:rsid w:val="008810B0"/>
    <w:rsid w:val="008819B6"/>
    <w:rsid w:val="00881AAC"/>
    <w:rsid w:val="008836B7"/>
    <w:rsid w:val="008841D3"/>
    <w:rsid w:val="00887DE6"/>
    <w:rsid w:val="00890172"/>
    <w:rsid w:val="00893048"/>
    <w:rsid w:val="00894C2A"/>
    <w:rsid w:val="00896AAD"/>
    <w:rsid w:val="00897708"/>
    <w:rsid w:val="00897D88"/>
    <w:rsid w:val="008A115D"/>
    <w:rsid w:val="008A2F16"/>
    <w:rsid w:val="008A6D69"/>
    <w:rsid w:val="008B041C"/>
    <w:rsid w:val="008B1823"/>
    <w:rsid w:val="008B6A4A"/>
    <w:rsid w:val="008B6E16"/>
    <w:rsid w:val="008B7110"/>
    <w:rsid w:val="008C2029"/>
    <w:rsid w:val="008C61D6"/>
    <w:rsid w:val="008C64F1"/>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74F"/>
    <w:rsid w:val="009028E2"/>
    <w:rsid w:val="0090450C"/>
    <w:rsid w:val="009102E4"/>
    <w:rsid w:val="009147F7"/>
    <w:rsid w:val="00914EAB"/>
    <w:rsid w:val="00922D49"/>
    <w:rsid w:val="009239C7"/>
    <w:rsid w:val="0092502E"/>
    <w:rsid w:val="00925E37"/>
    <w:rsid w:val="00925EDD"/>
    <w:rsid w:val="00927D0E"/>
    <w:rsid w:val="009309DA"/>
    <w:rsid w:val="0093260B"/>
    <w:rsid w:val="00936688"/>
    <w:rsid w:val="00937CFA"/>
    <w:rsid w:val="009406B3"/>
    <w:rsid w:val="00943A0D"/>
    <w:rsid w:val="00943C27"/>
    <w:rsid w:val="00945CF5"/>
    <w:rsid w:val="009467E9"/>
    <w:rsid w:val="00950057"/>
    <w:rsid w:val="009500A1"/>
    <w:rsid w:val="0095037E"/>
    <w:rsid w:val="00952AAD"/>
    <w:rsid w:val="00954567"/>
    <w:rsid w:val="00955D4E"/>
    <w:rsid w:val="00957466"/>
    <w:rsid w:val="00961FCD"/>
    <w:rsid w:val="0096260B"/>
    <w:rsid w:val="00962E87"/>
    <w:rsid w:val="009664D5"/>
    <w:rsid w:val="00966865"/>
    <w:rsid w:val="00967903"/>
    <w:rsid w:val="009700DA"/>
    <w:rsid w:val="00970C69"/>
    <w:rsid w:val="00971F1C"/>
    <w:rsid w:val="0097211D"/>
    <w:rsid w:val="00972E10"/>
    <w:rsid w:val="009746CA"/>
    <w:rsid w:val="009760F0"/>
    <w:rsid w:val="00981963"/>
    <w:rsid w:val="00983B7F"/>
    <w:rsid w:val="00983C82"/>
    <w:rsid w:val="00984520"/>
    <w:rsid w:val="0098545C"/>
    <w:rsid w:val="00986D1E"/>
    <w:rsid w:val="00990071"/>
    <w:rsid w:val="00991EA9"/>
    <w:rsid w:val="00992BA2"/>
    <w:rsid w:val="00992F83"/>
    <w:rsid w:val="0099508A"/>
    <w:rsid w:val="00995DDE"/>
    <w:rsid w:val="009974EB"/>
    <w:rsid w:val="009A06E4"/>
    <w:rsid w:val="009A1126"/>
    <w:rsid w:val="009A2020"/>
    <w:rsid w:val="009A2133"/>
    <w:rsid w:val="009A7930"/>
    <w:rsid w:val="009B1584"/>
    <w:rsid w:val="009B1DFD"/>
    <w:rsid w:val="009B21CA"/>
    <w:rsid w:val="009B2648"/>
    <w:rsid w:val="009B7E4A"/>
    <w:rsid w:val="009C03E5"/>
    <w:rsid w:val="009C3730"/>
    <w:rsid w:val="009C37BD"/>
    <w:rsid w:val="009C3AAC"/>
    <w:rsid w:val="009C3E98"/>
    <w:rsid w:val="009C4721"/>
    <w:rsid w:val="009C4D19"/>
    <w:rsid w:val="009C5FDB"/>
    <w:rsid w:val="009C693E"/>
    <w:rsid w:val="009C6C40"/>
    <w:rsid w:val="009C70CB"/>
    <w:rsid w:val="009D1EA4"/>
    <w:rsid w:val="009D27AA"/>
    <w:rsid w:val="009D4991"/>
    <w:rsid w:val="009D5544"/>
    <w:rsid w:val="009D5BB5"/>
    <w:rsid w:val="009D696D"/>
    <w:rsid w:val="009D6ED2"/>
    <w:rsid w:val="009D7A3C"/>
    <w:rsid w:val="009E0F1A"/>
    <w:rsid w:val="009E140D"/>
    <w:rsid w:val="009E1E55"/>
    <w:rsid w:val="009E4465"/>
    <w:rsid w:val="009E6401"/>
    <w:rsid w:val="009E6C54"/>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4296"/>
    <w:rsid w:val="00A36AB5"/>
    <w:rsid w:val="00A37398"/>
    <w:rsid w:val="00A37603"/>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7076E"/>
    <w:rsid w:val="00A709BE"/>
    <w:rsid w:val="00A7162E"/>
    <w:rsid w:val="00A726E0"/>
    <w:rsid w:val="00A72D71"/>
    <w:rsid w:val="00A75705"/>
    <w:rsid w:val="00A77C69"/>
    <w:rsid w:val="00A83201"/>
    <w:rsid w:val="00A83953"/>
    <w:rsid w:val="00A840C5"/>
    <w:rsid w:val="00A86B47"/>
    <w:rsid w:val="00A86C94"/>
    <w:rsid w:val="00A903B6"/>
    <w:rsid w:val="00A90F4F"/>
    <w:rsid w:val="00A947AA"/>
    <w:rsid w:val="00A95C1D"/>
    <w:rsid w:val="00AA1B53"/>
    <w:rsid w:val="00AA3556"/>
    <w:rsid w:val="00AA35FD"/>
    <w:rsid w:val="00AA3DB7"/>
    <w:rsid w:val="00AA4B91"/>
    <w:rsid w:val="00AA7BBE"/>
    <w:rsid w:val="00AB0EFF"/>
    <w:rsid w:val="00AB1CE3"/>
    <w:rsid w:val="00AB3012"/>
    <w:rsid w:val="00AB321C"/>
    <w:rsid w:val="00AB42E2"/>
    <w:rsid w:val="00AB67DE"/>
    <w:rsid w:val="00AB688F"/>
    <w:rsid w:val="00AB75EA"/>
    <w:rsid w:val="00AB7AA2"/>
    <w:rsid w:val="00AC4BC1"/>
    <w:rsid w:val="00AC703D"/>
    <w:rsid w:val="00AD04BD"/>
    <w:rsid w:val="00AD0914"/>
    <w:rsid w:val="00AD691E"/>
    <w:rsid w:val="00AD708F"/>
    <w:rsid w:val="00AD7214"/>
    <w:rsid w:val="00AD7540"/>
    <w:rsid w:val="00AE1066"/>
    <w:rsid w:val="00AE19D8"/>
    <w:rsid w:val="00AE4518"/>
    <w:rsid w:val="00AE5D7F"/>
    <w:rsid w:val="00AE630A"/>
    <w:rsid w:val="00AE79F0"/>
    <w:rsid w:val="00AF0C1A"/>
    <w:rsid w:val="00AF41C5"/>
    <w:rsid w:val="00AF616B"/>
    <w:rsid w:val="00AF6EC1"/>
    <w:rsid w:val="00AF7CF5"/>
    <w:rsid w:val="00B00331"/>
    <w:rsid w:val="00B01A80"/>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1C16"/>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6BBB"/>
    <w:rsid w:val="00B77142"/>
    <w:rsid w:val="00B801C4"/>
    <w:rsid w:val="00B80A2C"/>
    <w:rsid w:val="00B814D9"/>
    <w:rsid w:val="00B81F60"/>
    <w:rsid w:val="00B841AC"/>
    <w:rsid w:val="00B8572D"/>
    <w:rsid w:val="00B865B0"/>
    <w:rsid w:val="00B90780"/>
    <w:rsid w:val="00B9240D"/>
    <w:rsid w:val="00B94BB8"/>
    <w:rsid w:val="00B9644D"/>
    <w:rsid w:val="00B97278"/>
    <w:rsid w:val="00BA22A8"/>
    <w:rsid w:val="00BA3E48"/>
    <w:rsid w:val="00BB07ED"/>
    <w:rsid w:val="00BB1EB3"/>
    <w:rsid w:val="00BB2678"/>
    <w:rsid w:val="00BC2343"/>
    <w:rsid w:val="00BC74DE"/>
    <w:rsid w:val="00BD2DC7"/>
    <w:rsid w:val="00BD30C8"/>
    <w:rsid w:val="00BD3EB4"/>
    <w:rsid w:val="00BD55D9"/>
    <w:rsid w:val="00BD5C65"/>
    <w:rsid w:val="00BE01CA"/>
    <w:rsid w:val="00BE099D"/>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CCE"/>
    <w:rsid w:val="00C23BA2"/>
    <w:rsid w:val="00C24CA0"/>
    <w:rsid w:val="00C32AF2"/>
    <w:rsid w:val="00C33204"/>
    <w:rsid w:val="00C338EB"/>
    <w:rsid w:val="00C3465D"/>
    <w:rsid w:val="00C379E9"/>
    <w:rsid w:val="00C40F7A"/>
    <w:rsid w:val="00C439FB"/>
    <w:rsid w:val="00C43F23"/>
    <w:rsid w:val="00C50011"/>
    <w:rsid w:val="00C56DA4"/>
    <w:rsid w:val="00C64041"/>
    <w:rsid w:val="00C645E6"/>
    <w:rsid w:val="00C64D82"/>
    <w:rsid w:val="00C64FBC"/>
    <w:rsid w:val="00C65A83"/>
    <w:rsid w:val="00C737EE"/>
    <w:rsid w:val="00C80F23"/>
    <w:rsid w:val="00C81151"/>
    <w:rsid w:val="00C81A11"/>
    <w:rsid w:val="00C828B6"/>
    <w:rsid w:val="00C82CC6"/>
    <w:rsid w:val="00C850A3"/>
    <w:rsid w:val="00C85C32"/>
    <w:rsid w:val="00C87568"/>
    <w:rsid w:val="00C9072B"/>
    <w:rsid w:val="00C90DB6"/>
    <w:rsid w:val="00C9394F"/>
    <w:rsid w:val="00C93B1A"/>
    <w:rsid w:val="00C96F5F"/>
    <w:rsid w:val="00CA3C4F"/>
    <w:rsid w:val="00CA5927"/>
    <w:rsid w:val="00CA79EC"/>
    <w:rsid w:val="00CB2D37"/>
    <w:rsid w:val="00CB39C2"/>
    <w:rsid w:val="00CB4C8C"/>
    <w:rsid w:val="00CB6782"/>
    <w:rsid w:val="00CC080A"/>
    <w:rsid w:val="00CC1D4D"/>
    <w:rsid w:val="00CC1F82"/>
    <w:rsid w:val="00CC3C04"/>
    <w:rsid w:val="00CD151F"/>
    <w:rsid w:val="00CD5FBA"/>
    <w:rsid w:val="00CE26E5"/>
    <w:rsid w:val="00CE46DB"/>
    <w:rsid w:val="00CE5277"/>
    <w:rsid w:val="00CE6358"/>
    <w:rsid w:val="00CF0C6C"/>
    <w:rsid w:val="00CF2116"/>
    <w:rsid w:val="00CF2C2A"/>
    <w:rsid w:val="00CF2D54"/>
    <w:rsid w:val="00D01324"/>
    <w:rsid w:val="00D02BA5"/>
    <w:rsid w:val="00D03538"/>
    <w:rsid w:val="00D049B8"/>
    <w:rsid w:val="00D04C0E"/>
    <w:rsid w:val="00D0516C"/>
    <w:rsid w:val="00D05EE7"/>
    <w:rsid w:val="00D06394"/>
    <w:rsid w:val="00D068D0"/>
    <w:rsid w:val="00D0722C"/>
    <w:rsid w:val="00D078D1"/>
    <w:rsid w:val="00D129A8"/>
    <w:rsid w:val="00D12F5B"/>
    <w:rsid w:val="00D12FB9"/>
    <w:rsid w:val="00D200BD"/>
    <w:rsid w:val="00D22399"/>
    <w:rsid w:val="00D33751"/>
    <w:rsid w:val="00D36F6E"/>
    <w:rsid w:val="00D37343"/>
    <w:rsid w:val="00D40397"/>
    <w:rsid w:val="00D4205E"/>
    <w:rsid w:val="00D43CCE"/>
    <w:rsid w:val="00D51F57"/>
    <w:rsid w:val="00D52744"/>
    <w:rsid w:val="00D52DC6"/>
    <w:rsid w:val="00D565EC"/>
    <w:rsid w:val="00D600AB"/>
    <w:rsid w:val="00D61982"/>
    <w:rsid w:val="00D6226F"/>
    <w:rsid w:val="00D6267A"/>
    <w:rsid w:val="00D6596A"/>
    <w:rsid w:val="00D674CF"/>
    <w:rsid w:val="00D67A47"/>
    <w:rsid w:val="00D67D12"/>
    <w:rsid w:val="00D67E63"/>
    <w:rsid w:val="00D70923"/>
    <w:rsid w:val="00D73805"/>
    <w:rsid w:val="00D74F09"/>
    <w:rsid w:val="00D7585A"/>
    <w:rsid w:val="00D77C49"/>
    <w:rsid w:val="00D80618"/>
    <w:rsid w:val="00D82494"/>
    <w:rsid w:val="00D83CF5"/>
    <w:rsid w:val="00D84A4B"/>
    <w:rsid w:val="00D92168"/>
    <w:rsid w:val="00D940B5"/>
    <w:rsid w:val="00D95CB0"/>
    <w:rsid w:val="00D95E12"/>
    <w:rsid w:val="00D977C0"/>
    <w:rsid w:val="00DA00A3"/>
    <w:rsid w:val="00DA11B1"/>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8E0"/>
    <w:rsid w:val="00DD7EA2"/>
    <w:rsid w:val="00DE00F2"/>
    <w:rsid w:val="00DE117F"/>
    <w:rsid w:val="00DE144D"/>
    <w:rsid w:val="00DE401C"/>
    <w:rsid w:val="00DE4304"/>
    <w:rsid w:val="00DF0726"/>
    <w:rsid w:val="00DF347B"/>
    <w:rsid w:val="00DF63FA"/>
    <w:rsid w:val="00E012CC"/>
    <w:rsid w:val="00E01C53"/>
    <w:rsid w:val="00E02B71"/>
    <w:rsid w:val="00E02DEB"/>
    <w:rsid w:val="00E042A1"/>
    <w:rsid w:val="00E04671"/>
    <w:rsid w:val="00E05F9D"/>
    <w:rsid w:val="00E07951"/>
    <w:rsid w:val="00E104FA"/>
    <w:rsid w:val="00E1082A"/>
    <w:rsid w:val="00E11166"/>
    <w:rsid w:val="00E13182"/>
    <w:rsid w:val="00E15383"/>
    <w:rsid w:val="00E1738C"/>
    <w:rsid w:val="00E22D28"/>
    <w:rsid w:val="00E230E3"/>
    <w:rsid w:val="00E230ED"/>
    <w:rsid w:val="00E30EDF"/>
    <w:rsid w:val="00E31FBA"/>
    <w:rsid w:val="00E35496"/>
    <w:rsid w:val="00E36AAE"/>
    <w:rsid w:val="00E41773"/>
    <w:rsid w:val="00E41CF1"/>
    <w:rsid w:val="00E505A3"/>
    <w:rsid w:val="00E513F6"/>
    <w:rsid w:val="00E52F3B"/>
    <w:rsid w:val="00E538AB"/>
    <w:rsid w:val="00E53D94"/>
    <w:rsid w:val="00E53DEA"/>
    <w:rsid w:val="00E55986"/>
    <w:rsid w:val="00E57F40"/>
    <w:rsid w:val="00E616DB"/>
    <w:rsid w:val="00E618DD"/>
    <w:rsid w:val="00E627A4"/>
    <w:rsid w:val="00E630ED"/>
    <w:rsid w:val="00E64C1D"/>
    <w:rsid w:val="00E7357D"/>
    <w:rsid w:val="00E7395D"/>
    <w:rsid w:val="00E74EC5"/>
    <w:rsid w:val="00E76B86"/>
    <w:rsid w:val="00E80A21"/>
    <w:rsid w:val="00E80E16"/>
    <w:rsid w:val="00E83302"/>
    <w:rsid w:val="00E8342F"/>
    <w:rsid w:val="00E847A7"/>
    <w:rsid w:val="00E85415"/>
    <w:rsid w:val="00E86783"/>
    <w:rsid w:val="00E906B4"/>
    <w:rsid w:val="00E9095B"/>
    <w:rsid w:val="00E92EE0"/>
    <w:rsid w:val="00E9399B"/>
    <w:rsid w:val="00E94008"/>
    <w:rsid w:val="00E94762"/>
    <w:rsid w:val="00E96B52"/>
    <w:rsid w:val="00EA2244"/>
    <w:rsid w:val="00EA6563"/>
    <w:rsid w:val="00EA6FA7"/>
    <w:rsid w:val="00EB067F"/>
    <w:rsid w:val="00EB1F02"/>
    <w:rsid w:val="00EB230B"/>
    <w:rsid w:val="00EB5BC5"/>
    <w:rsid w:val="00EC086C"/>
    <w:rsid w:val="00EC42D0"/>
    <w:rsid w:val="00EC638F"/>
    <w:rsid w:val="00EC7583"/>
    <w:rsid w:val="00ED2713"/>
    <w:rsid w:val="00ED5D6F"/>
    <w:rsid w:val="00EE2061"/>
    <w:rsid w:val="00EE2ACE"/>
    <w:rsid w:val="00EE4874"/>
    <w:rsid w:val="00EE5829"/>
    <w:rsid w:val="00EE79A6"/>
    <w:rsid w:val="00EF0D86"/>
    <w:rsid w:val="00F005A0"/>
    <w:rsid w:val="00F106D2"/>
    <w:rsid w:val="00F11352"/>
    <w:rsid w:val="00F13451"/>
    <w:rsid w:val="00F1498D"/>
    <w:rsid w:val="00F14DDF"/>
    <w:rsid w:val="00F152AD"/>
    <w:rsid w:val="00F20BE9"/>
    <w:rsid w:val="00F2285F"/>
    <w:rsid w:val="00F23155"/>
    <w:rsid w:val="00F24E0E"/>
    <w:rsid w:val="00F2526E"/>
    <w:rsid w:val="00F26693"/>
    <w:rsid w:val="00F31DE4"/>
    <w:rsid w:val="00F33530"/>
    <w:rsid w:val="00F36130"/>
    <w:rsid w:val="00F36A6E"/>
    <w:rsid w:val="00F36FE3"/>
    <w:rsid w:val="00F40444"/>
    <w:rsid w:val="00F40868"/>
    <w:rsid w:val="00F4087A"/>
    <w:rsid w:val="00F423BD"/>
    <w:rsid w:val="00F432FF"/>
    <w:rsid w:val="00F46A39"/>
    <w:rsid w:val="00F46F26"/>
    <w:rsid w:val="00F4715C"/>
    <w:rsid w:val="00F50707"/>
    <w:rsid w:val="00F51C03"/>
    <w:rsid w:val="00F54869"/>
    <w:rsid w:val="00F556B2"/>
    <w:rsid w:val="00F55A5C"/>
    <w:rsid w:val="00F57187"/>
    <w:rsid w:val="00F574E5"/>
    <w:rsid w:val="00F5754B"/>
    <w:rsid w:val="00F576DE"/>
    <w:rsid w:val="00F63BF7"/>
    <w:rsid w:val="00F65617"/>
    <w:rsid w:val="00F710BE"/>
    <w:rsid w:val="00F718C1"/>
    <w:rsid w:val="00F736D2"/>
    <w:rsid w:val="00F7564C"/>
    <w:rsid w:val="00F76220"/>
    <w:rsid w:val="00F769BE"/>
    <w:rsid w:val="00F77D7A"/>
    <w:rsid w:val="00F82E6B"/>
    <w:rsid w:val="00F87CA3"/>
    <w:rsid w:val="00F95B9D"/>
    <w:rsid w:val="00F97B71"/>
    <w:rsid w:val="00FA1925"/>
    <w:rsid w:val="00FA2DDA"/>
    <w:rsid w:val="00FA34CA"/>
    <w:rsid w:val="00FA3CC8"/>
    <w:rsid w:val="00FA4A55"/>
    <w:rsid w:val="00FA4D4F"/>
    <w:rsid w:val="00FA54E8"/>
    <w:rsid w:val="00FB2D17"/>
    <w:rsid w:val="00FB2F69"/>
    <w:rsid w:val="00FB3BCA"/>
    <w:rsid w:val="00FB45FF"/>
    <w:rsid w:val="00FB47E0"/>
    <w:rsid w:val="00FB5D97"/>
    <w:rsid w:val="00FC1991"/>
    <w:rsid w:val="00FC1CA5"/>
    <w:rsid w:val="00FC2979"/>
    <w:rsid w:val="00FC45F4"/>
    <w:rsid w:val="00FC5E83"/>
    <w:rsid w:val="00FD0A58"/>
    <w:rsid w:val="00FD1C3C"/>
    <w:rsid w:val="00FD38A8"/>
    <w:rsid w:val="00FD3B9A"/>
    <w:rsid w:val="00FD6AC8"/>
    <w:rsid w:val="00FD7153"/>
    <w:rsid w:val="00FD7298"/>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0B4FFACB-40C0-42F5-8109-F2B2FEA4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5D44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1B63AB"/>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5D4452"/>
    <w:rPr>
      <w:rFonts w:cs="Times New Roman"/>
      <w:b/>
      <w:bCs/>
      <w:kern w:val="44"/>
      <w:sz w:val="44"/>
      <w:szCs w:val="44"/>
    </w:rPr>
  </w:style>
  <w:style w:type="character" w:customStyle="1" w:styleId="2Char">
    <w:name w:val="标题 2 Char"/>
    <w:link w:val="2"/>
    <w:uiPriority w:val="9"/>
    <w:semiHidden/>
    <w:rsid w:val="00D85A42"/>
    <w:rPr>
      <w:rFonts w:ascii="Cambria" w:eastAsia="宋体" w:hAnsi="Cambria" w:cs="Times New Roman"/>
      <w:b/>
      <w:bCs/>
      <w:sz w:val="32"/>
      <w:szCs w:val="32"/>
    </w:rPr>
  </w:style>
  <w:style w:type="paragraph" w:styleId="a0">
    <w:name w:val="Normal Indent"/>
    <w:basedOn w:val="a"/>
    <w:uiPriority w:val="99"/>
    <w:rsid w:val="001B63AB"/>
    <w:pPr>
      <w:ind w:firstLineChars="200" w:firstLine="420"/>
    </w:pPr>
  </w:style>
  <w:style w:type="paragraph" w:styleId="a4">
    <w:name w:val="Body Text Indent"/>
    <w:basedOn w:val="a"/>
    <w:link w:val="Char"/>
    <w:uiPriority w:val="99"/>
    <w:rsid w:val="001B63AB"/>
    <w:pPr>
      <w:widowControl/>
      <w:spacing w:before="100" w:beforeAutospacing="1" w:after="100" w:afterAutospacing="1"/>
      <w:jc w:val="left"/>
    </w:pPr>
    <w:rPr>
      <w:kern w:val="0"/>
      <w:sz w:val="20"/>
    </w:rPr>
  </w:style>
  <w:style w:type="character" w:customStyle="1" w:styleId="Char">
    <w:name w:val="正文文本缩进 Char"/>
    <w:link w:val="a4"/>
    <w:uiPriority w:val="99"/>
    <w:semiHidden/>
    <w:rsid w:val="00D85A42"/>
    <w:rPr>
      <w:szCs w:val="24"/>
    </w:rPr>
  </w:style>
  <w:style w:type="paragraph" w:styleId="a5">
    <w:name w:val="Plain Text"/>
    <w:basedOn w:val="a"/>
    <w:link w:val="Char0"/>
    <w:uiPriority w:val="99"/>
    <w:rsid w:val="001B63AB"/>
    <w:rPr>
      <w:rFonts w:ascii="宋体" w:hAnsi="Courier New"/>
      <w:szCs w:val="20"/>
    </w:rPr>
  </w:style>
  <w:style w:type="character" w:customStyle="1" w:styleId="Char0">
    <w:name w:val="纯文本 Char"/>
    <w:link w:val="a5"/>
    <w:uiPriority w:val="99"/>
    <w:locked/>
    <w:rsid w:val="00A726E0"/>
    <w:rPr>
      <w:rFonts w:ascii="宋体" w:hAnsi="Courier New"/>
      <w:kern w:val="2"/>
      <w:sz w:val="21"/>
    </w:rPr>
  </w:style>
  <w:style w:type="paragraph" w:styleId="20">
    <w:name w:val="Body Text Indent 2"/>
    <w:basedOn w:val="a"/>
    <w:link w:val="2Char0"/>
    <w:uiPriority w:val="99"/>
    <w:rsid w:val="001B63AB"/>
    <w:pPr>
      <w:spacing w:line="560" w:lineRule="exact"/>
      <w:ind w:firstLineChars="200" w:firstLine="480"/>
    </w:pPr>
    <w:rPr>
      <w:kern w:val="0"/>
      <w:sz w:val="20"/>
    </w:rPr>
  </w:style>
  <w:style w:type="character" w:customStyle="1" w:styleId="2Char0">
    <w:name w:val="正文文本缩进 2 Char"/>
    <w:link w:val="20"/>
    <w:uiPriority w:val="99"/>
    <w:semiHidden/>
    <w:rsid w:val="00D85A42"/>
    <w:rPr>
      <w:szCs w:val="24"/>
    </w:rPr>
  </w:style>
  <w:style w:type="paragraph" w:styleId="a6">
    <w:name w:val="footer"/>
    <w:basedOn w:val="a"/>
    <w:link w:val="Char1"/>
    <w:uiPriority w:val="99"/>
    <w:rsid w:val="001B63AB"/>
    <w:pPr>
      <w:tabs>
        <w:tab w:val="center" w:pos="4153"/>
        <w:tab w:val="right" w:pos="8306"/>
      </w:tabs>
      <w:snapToGrid w:val="0"/>
      <w:jc w:val="left"/>
    </w:pPr>
    <w:rPr>
      <w:kern w:val="0"/>
      <w:sz w:val="18"/>
      <w:szCs w:val="18"/>
    </w:rPr>
  </w:style>
  <w:style w:type="character" w:customStyle="1" w:styleId="Char1">
    <w:name w:val="页脚 Char"/>
    <w:link w:val="a6"/>
    <w:uiPriority w:val="99"/>
    <w:semiHidden/>
    <w:rsid w:val="00D85A42"/>
    <w:rPr>
      <w:sz w:val="18"/>
      <w:szCs w:val="18"/>
    </w:rPr>
  </w:style>
  <w:style w:type="character" w:styleId="a7">
    <w:name w:val="page number"/>
    <w:uiPriority w:val="99"/>
    <w:rsid w:val="001B63AB"/>
    <w:rPr>
      <w:rFonts w:cs="Times New Roman"/>
    </w:rPr>
  </w:style>
  <w:style w:type="character" w:styleId="a8">
    <w:name w:val="Hyperlink"/>
    <w:uiPriority w:val="99"/>
    <w:rsid w:val="001B63AB"/>
    <w:rPr>
      <w:rFonts w:cs="Times New Roman"/>
      <w:color w:val="0000FF"/>
      <w:u w:val="single"/>
    </w:rPr>
  </w:style>
  <w:style w:type="paragraph" w:styleId="3">
    <w:name w:val="Body Text Indent 3"/>
    <w:basedOn w:val="a"/>
    <w:link w:val="3Char"/>
    <w:uiPriority w:val="99"/>
    <w:rsid w:val="001B63AB"/>
    <w:pPr>
      <w:spacing w:line="560" w:lineRule="exact"/>
      <w:ind w:firstLineChars="200" w:firstLine="420"/>
    </w:pPr>
    <w:rPr>
      <w:kern w:val="0"/>
      <w:sz w:val="16"/>
      <w:szCs w:val="16"/>
    </w:rPr>
  </w:style>
  <w:style w:type="character" w:customStyle="1" w:styleId="3Char">
    <w:name w:val="正文文本缩进 3 Char"/>
    <w:link w:val="3"/>
    <w:uiPriority w:val="99"/>
    <w:semiHidden/>
    <w:rsid w:val="00D85A42"/>
    <w:rPr>
      <w:sz w:val="16"/>
      <w:szCs w:val="16"/>
    </w:rPr>
  </w:style>
  <w:style w:type="paragraph" w:styleId="a9">
    <w:name w:val="header"/>
    <w:basedOn w:val="a"/>
    <w:link w:val="Char2"/>
    <w:uiPriority w:val="99"/>
    <w:rsid w:val="001B63A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4E30FB"/>
    <w:rPr>
      <w:rFonts w:cs="Times New Roman"/>
      <w:kern w:val="2"/>
      <w:sz w:val="18"/>
      <w:szCs w:val="18"/>
    </w:rPr>
  </w:style>
  <w:style w:type="character" w:styleId="aa">
    <w:name w:val="FollowedHyperlink"/>
    <w:uiPriority w:val="99"/>
    <w:rsid w:val="001B63AB"/>
    <w:rPr>
      <w:rFonts w:cs="Times New Roman"/>
      <w:color w:val="800080"/>
      <w:u w:val="single"/>
    </w:rPr>
  </w:style>
  <w:style w:type="paragraph" w:styleId="ab">
    <w:name w:val="List"/>
    <w:basedOn w:val="ac"/>
    <w:uiPriority w:val="99"/>
    <w:rsid w:val="001B63AB"/>
    <w:pPr>
      <w:spacing w:after="220" w:line="220" w:lineRule="atLeast"/>
      <w:ind w:left="1440" w:hanging="360"/>
    </w:pPr>
    <w:rPr>
      <w:szCs w:val="20"/>
    </w:rPr>
  </w:style>
  <w:style w:type="paragraph" w:styleId="ac">
    <w:name w:val="Body Text"/>
    <w:basedOn w:val="a"/>
    <w:link w:val="Char3"/>
    <w:uiPriority w:val="99"/>
    <w:rsid w:val="001B63AB"/>
    <w:pPr>
      <w:spacing w:after="120"/>
    </w:pPr>
    <w:rPr>
      <w:kern w:val="0"/>
      <w:sz w:val="20"/>
    </w:rPr>
  </w:style>
  <w:style w:type="character" w:customStyle="1" w:styleId="Char3">
    <w:name w:val="正文文本 Char"/>
    <w:link w:val="ac"/>
    <w:uiPriority w:val="99"/>
    <w:semiHidden/>
    <w:rsid w:val="00D85A42"/>
    <w:rPr>
      <w:szCs w:val="24"/>
    </w:rPr>
  </w:style>
  <w:style w:type="paragraph" w:styleId="ad">
    <w:name w:val="Date"/>
    <w:basedOn w:val="a"/>
    <w:next w:val="a"/>
    <w:link w:val="Char4"/>
    <w:uiPriority w:val="99"/>
    <w:rsid w:val="001B63AB"/>
    <w:rPr>
      <w:sz w:val="24"/>
      <w:szCs w:val="20"/>
    </w:rPr>
  </w:style>
  <w:style w:type="character" w:customStyle="1" w:styleId="Char4">
    <w:name w:val="日期 Char"/>
    <w:link w:val="ad"/>
    <w:uiPriority w:val="99"/>
    <w:locked/>
    <w:rsid w:val="005E5CC1"/>
    <w:rPr>
      <w:rFonts w:cs="Times New Roman"/>
      <w:kern w:val="2"/>
      <w:sz w:val="24"/>
    </w:rPr>
  </w:style>
  <w:style w:type="character" w:customStyle="1" w:styleId="c1">
    <w:name w:val="c1"/>
    <w:uiPriority w:val="99"/>
    <w:rsid w:val="001B63AB"/>
    <w:rPr>
      <w:rFonts w:cs="Times New Roman"/>
      <w:color w:val="000000"/>
      <w:sz w:val="18"/>
      <w:szCs w:val="18"/>
    </w:rPr>
  </w:style>
  <w:style w:type="paragraph" w:styleId="10">
    <w:name w:val="index 1"/>
    <w:basedOn w:val="a"/>
    <w:next w:val="a"/>
    <w:autoRedefine/>
    <w:uiPriority w:val="99"/>
    <w:semiHidden/>
    <w:rsid w:val="001B63AB"/>
    <w:pPr>
      <w:jc w:val="right"/>
    </w:pPr>
    <w:rPr>
      <w:color w:val="008000"/>
    </w:rPr>
  </w:style>
  <w:style w:type="paragraph" w:customStyle="1" w:styleId="font5">
    <w:name w:val="font5"/>
    <w:basedOn w:val="a"/>
    <w:uiPriority w:val="99"/>
    <w:rsid w:val="001B63AB"/>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1B63A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1B63AB"/>
    <w:rPr>
      <w:kern w:val="0"/>
      <w:sz w:val="0"/>
      <w:szCs w:val="0"/>
    </w:rPr>
  </w:style>
  <w:style w:type="character" w:customStyle="1" w:styleId="Char5">
    <w:name w:val="批注框文本 Char"/>
    <w:link w:val="ae"/>
    <w:uiPriority w:val="99"/>
    <w:semiHidden/>
    <w:rsid w:val="00D85A42"/>
    <w:rPr>
      <w:sz w:val="0"/>
      <w:szCs w:val="0"/>
    </w:rPr>
  </w:style>
  <w:style w:type="character" w:styleId="af">
    <w:name w:val="annotation reference"/>
    <w:uiPriority w:val="99"/>
    <w:semiHidden/>
    <w:rsid w:val="001B63AB"/>
    <w:rPr>
      <w:rFonts w:cs="Times New Roman"/>
      <w:sz w:val="21"/>
      <w:szCs w:val="21"/>
    </w:rPr>
  </w:style>
  <w:style w:type="paragraph" w:styleId="af0">
    <w:name w:val="annotation text"/>
    <w:basedOn w:val="a"/>
    <w:link w:val="Char6"/>
    <w:uiPriority w:val="99"/>
    <w:semiHidden/>
    <w:rsid w:val="001B63AB"/>
    <w:pPr>
      <w:jc w:val="left"/>
    </w:pPr>
    <w:rPr>
      <w:kern w:val="0"/>
      <w:sz w:val="20"/>
    </w:rPr>
  </w:style>
  <w:style w:type="character" w:customStyle="1" w:styleId="Char6">
    <w:name w:val="批注文字 Char"/>
    <w:link w:val="af0"/>
    <w:uiPriority w:val="99"/>
    <w:semiHidden/>
    <w:rsid w:val="00D85A42"/>
    <w:rPr>
      <w:szCs w:val="24"/>
    </w:rPr>
  </w:style>
  <w:style w:type="paragraph" w:styleId="af1">
    <w:name w:val="annotation subject"/>
    <w:basedOn w:val="af0"/>
    <w:next w:val="af0"/>
    <w:link w:val="Char7"/>
    <w:uiPriority w:val="99"/>
    <w:semiHidden/>
    <w:rsid w:val="001B63AB"/>
    <w:rPr>
      <w:b/>
      <w:bCs/>
    </w:rPr>
  </w:style>
  <w:style w:type="character" w:customStyle="1" w:styleId="Char7">
    <w:name w:val="批注主题 Char"/>
    <w:link w:val="af1"/>
    <w:uiPriority w:val="99"/>
    <w:semiHidden/>
    <w:rsid w:val="00D85A42"/>
    <w:rPr>
      <w:b/>
      <w:bCs/>
      <w:szCs w:val="24"/>
    </w:rPr>
  </w:style>
  <w:style w:type="paragraph" w:customStyle="1" w:styleId="Char8">
    <w:name w:val="Char"/>
    <w:basedOn w:val="a"/>
    <w:uiPriority w:val="99"/>
    <w:rsid w:val="001B63AB"/>
  </w:style>
  <w:style w:type="paragraph" w:styleId="af2">
    <w:name w:val="Document Map"/>
    <w:basedOn w:val="a"/>
    <w:link w:val="Char9"/>
    <w:uiPriority w:val="99"/>
    <w:semiHidden/>
    <w:rsid w:val="000A549A"/>
    <w:pPr>
      <w:shd w:val="clear" w:color="auto" w:fill="000080"/>
    </w:pPr>
    <w:rPr>
      <w:kern w:val="0"/>
      <w:sz w:val="0"/>
      <w:szCs w:val="0"/>
    </w:rPr>
  </w:style>
  <w:style w:type="character" w:customStyle="1" w:styleId="Char9">
    <w:name w:val="文档结构图 Char"/>
    <w:link w:val="af2"/>
    <w:uiPriority w:val="99"/>
    <w:semiHidden/>
    <w:rsid w:val="00D85A42"/>
    <w:rPr>
      <w:sz w:val="0"/>
      <w:szCs w:val="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kern w:val="0"/>
      <w:sz w:val="18"/>
      <w:szCs w:val="18"/>
    </w:rPr>
  </w:style>
  <w:style w:type="character" w:customStyle="1" w:styleId="Chara">
    <w:name w:val="脚注文本 Char"/>
    <w:link w:val="af4"/>
    <w:uiPriority w:val="99"/>
    <w:semiHidden/>
    <w:rsid w:val="00D85A42"/>
    <w:rPr>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character" w:customStyle="1" w:styleId="t1">
    <w:name w:val="t1"/>
    <w:uiPriority w:val="99"/>
    <w:rsid w:val="00C40F7A"/>
    <w:rPr>
      <w:rFonts w:cs="Times New Roman"/>
      <w:color w:val="990000"/>
    </w:rPr>
  </w:style>
  <w:style w:type="character" w:styleId="af8">
    <w:name w:val="Strong"/>
    <w:uiPriority w:val="22"/>
    <w:qFormat/>
    <w:locked/>
    <w:rsid w:val="001A4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04092">
      <w:bodyDiv w:val="1"/>
      <w:marLeft w:val="0"/>
      <w:marRight w:val="0"/>
      <w:marTop w:val="0"/>
      <w:marBottom w:val="0"/>
      <w:divBdr>
        <w:top w:val="none" w:sz="0" w:space="0" w:color="auto"/>
        <w:left w:val="none" w:sz="0" w:space="0" w:color="auto"/>
        <w:bottom w:val="none" w:sz="0" w:space="0" w:color="auto"/>
        <w:right w:val="none" w:sz="0" w:space="0" w:color="auto"/>
      </w:divBdr>
    </w:div>
    <w:div w:id="1833837360">
      <w:marLeft w:val="0"/>
      <w:marRight w:val="0"/>
      <w:marTop w:val="0"/>
      <w:marBottom w:val="0"/>
      <w:divBdr>
        <w:top w:val="none" w:sz="0" w:space="0" w:color="auto"/>
        <w:left w:val="none" w:sz="0" w:space="0" w:color="auto"/>
        <w:bottom w:val="none" w:sz="0" w:space="0" w:color="auto"/>
        <w:right w:val="none" w:sz="0" w:space="0" w:color="auto"/>
      </w:divBdr>
    </w:div>
    <w:div w:id="1833837361">
      <w:marLeft w:val="0"/>
      <w:marRight w:val="0"/>
      <w:marTop w:val="0"/>
      <w:marBottom w:val="0"/>
      <w:divBdr>
        <w:top w:val="none" w:sz="0" w:space="0" w:color="auto"/>
        <w:left w:val="none" w:sz="0" w:space="0" w:color="auto"/>
        <w:bottom w:val="none" w:sz="0" w:space="0" w:color="auto"/>
        <w:right w:val="none" w:sz="0" w:space="0" w:color="auto"/>
      </w:divBdr>
    </w:div>
    <w:div w:id="1833837362">
      <w:marLeft w:val="0"/>
      <w:marRight w:val="0"/>
      <w:marTop w:val="0"/>
      <w:marBottom w:val="0"/>
      <w:divBdr>
        <w:top w:val="none" w:sz="0" w:space="0" w:color="auto"/>
        <w:left w:val="none" w:sz="0" w:space="0" w:color="auto"/>
        <w:bottom w:val="none" w:sz="0" w:space="0" w:color="auto"/>
        <w:right w:val="none" w:sz="0" w:space="0" w:color="auto"/>
      </w:divBdr>
    </w:div>
    <w:div w:id="1833837363">
      <w:marLeft w:val="0"/>
      <w:marRight w:val="0"/>
      <w:marTop w:val="0"/>
      <w:marBottom w:val="0"/>
      <w:divBdr>
        <w:top w:val="none" w:sz="0" w:space="0" w:color="auto"/>
        <w:left w:val="none" w:sz="0" w:space="0" w:color="auto"/>
        <w:bottom w:val="none" w:sz="0" w:space="0" w:color="auto"/>
        <w:right w:val="none" w:sz="0" w:space="0" w:color="auto"/>
      </w:divBdr>
    </w:div>
    <w:div w:id="1833837364">
      <w:marLeft w:val="0"/>
      <w:marRight w:val="0"/>
      <w:marTop w:val="0"/>
      <w:marBottom w:val="0"/>
      <w:divBdr>
        <w:top w:val="none" w:sz="0" w:space="0" w:color="auto"/>
        <w:left w:val="none" w:sz="0" w:space="0" w:color="auto"/>
        <w:bottom w:val="none" w:sz="0" w:space="0" w:color="auto"/>
        <w:right w:val="none" w:sz="0" w:space="0" w:color="auto"/>
      </w:divBdr>
    </w:div>
    <w:div w:id="1833837365">
      <w:marLeft w:val="0"/>
      <w:marRight w:val="0"/>
      <w:marTop w:val="0"/>
      <w:marBottom w:val="0"/>
      <w:divBdr>
        <w:top w:val="none" w:sz="0" w:space="0" w:color="auto"/>
        <w:left w:val="none" w:sz="0" w:space="0" w:color="auto"/>
        <w:bottom w:val="none" w:sz="0" w:space="0" w:color="auto"/>
        <w:right w:val="none" w:sz="0" w:space="0" w:color="auto"/>
      </w:divBdr>
    </w:div>
    <w:div w:id="1833837366">
      <w:marLeft w:val="0"/>
      <w:marRight w:val="0"/>
      <w:marTop w:val="0"/>
      <w:marBottom w:val="0"/>
      <w:divBdr>
        <w:top w:val="none" w:sz="0" w:space="0" w:color="auto"/>
        <w:left w:val="none" w:sz="0" w:space="0" w:color="auto"/>
        <w:bottom w:val="none" w:sz="0" w:space="0" w:color="auto"/>
        <w:right w:val="none" w:sz="0" w:space="0" w:color="auto"/>
      </w:divBdr>
    </w:div>
    <w:div w:id="1833837367">
      <w:marLeft w:val="0"/>
      <w:marRight w:val="0"/>
      <w:marTop w:val="0"/>
      <w:marBottom w:val="0"/>
      <w:divBdr>
        <w:top w:val="none" w:sz="0" w:space="0" w:color="auto"/>
        <w:left w:val="none" w:sz="0" w:space="0" w:color="auto"/>
        <w:bottom w:val="none" w:sz="0" w:space="0" w:color="auto"/>
        <w:right w:val="none" w:sz="0" w:space="0" w:color="auto"/>
      </w:divBdr>
    </w:div>
    <w:div w:id="1833837368">
      <w:marLeft w:val="0"/>
      <w:marRight w:val="0"/>
      <w:marTop w:val="0"/>
      <w:marBottom w:val="0"/>
      <w:divBdr>
        <w:top w:val="none" w:sz="0" w:space="0" w:color="auto"/>
        <w:left w:val="none" w:sz="0" w:space="0" w:color="auto"/>
        <w:bottom w:val="none" w:sz="0" w:space="0" w:color="auto"/>
        <w:right w:val="none" w:sz="0" w:space="0" w:color="auto"/>
      </w:divBdr>
    </w:div>
    <w:div w:id="1833837369">
      <w:marLeft w:val="0"/>
      <w:marRight w:val="0"/>
      <w:marTop w:val="0"/>
      <w:marBottom w:val="0"/>
      <w:divBdr>
        <w:top w:val="none" w:sz="0" w:space="0" w:color="auto"/>
        <w:left w:val="none" w:sz="0" w:space="0" w:color="auto"/>
        <w:bottom w:val="none" w:sz="0" w:space="0" w:color="auto"/>
        <w:right w:val="none" w:sz="0" w:space="0" w:color="auto"/>
      </w:divBdr>
    </w:div>
    <w:div w:id="1833837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5978</Characters>
  <Application>Microsoft Office Word</Application>
  <DocSecurity>4</DocSecurity>
  <Lines>49</Lines>
  <Paragraphs>14</Paragraphs>
  <ScaleCrop>false</ScaleCrop>
  <Company>TRT. Ltd. Co.</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2020-01-13T02:45:00Z</dcterms:created>
  <dcterms:modified xsi:type="dcterms:W3CDTF">2020-01-13T02:45:00Z</dcterms:modified>
</cp:coreProperties>
</file>