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6D8" w:rsidRPr="00272E0C" w:rsidRDefault="001C36D8" w:rsidP="00074E9F">
      <w:pPr>
        <w:autoSpaceDE w:val="0"/>
        <w:autoSpaceDN w:val="0"/>
        <w:adjustRightInd w:val="0"/>
        <w:spacing w:line="360" w:lineRule="auto"/>
        <w:jc w:val="left"/>
        <w:rPr>
          <w:rFonts w:ascii="宋体" w:cs="Arial"/>
          <w:color w:val="000000"/>
          <w:kern w:val="0"/>
          <w:sz w:val="24"/>
        </w:rPr>
      </w:pPr>
      <w:bookmarkStart w:id="0" w:name="_GoBack"/>
      <w:bookmarkEnd w:id="0"/>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7951F3">
      <w:pPr>
        <w:spacing w:line="360" w:lineRule="auto"/>
        <w:jc w:val="center"/>
        <w:rPr>
          <w:rFonts w:ascii="宋体" w:hAnsi="宋体"/>
          <w:b/>
          <w:sz w:val="36"/>
          <w:szCs w:val="36"/>
        </w:rPr>
      </w:pPr>
      <w:r w:rsidRPr="00272E0C">
        <w:rPr>
          <w:rFonts w:ascii="宋体" w:hAnsi="宋体"/>
          <w:b/>
          <w:sz w:val="36"/>
          <w:szCs w:val="36"/>
        </w:rPr>
        <w:t>易方达生物科技指数分级证券投资基金</w:t>
      </w:r>
    </w:p>
    <w:p w:rsidR="001C36D8" w:rsidRPr="00272E0C" w:rsidRDefault="001C36D8" w:rsidP="007951F3">
      <w:pPr>
        <w:spacing w:line="360" w:lineRule="auto"/>
        <w:jc w:val="center"/>
        <w:rPr>
          <w:rFonts w:ascii="宋体" w:hAnsi="宋体"/>
          <w:b/>
          <w:sz w:val="36"/>
          <w:szCs w:val="36"/>
        </w:rPr>
      </w:pPr>
      <w:r w:rsidRPr="00272E0C">
        <w:rPr>
          <w:rFonts w:ascii="宋体" w:hAnsi="宋体"/>
          <w:b/>
          <w:sz w:val="36"/>
          <w:szCs w:val="36"/>
        </w:rPr>
        <w:t>2019年第4季度报告</w:t>
      </w:r>
    </w:p>
    <w:p w:rsidR="001C36D8" w:rsidRPr="00717C29" w:rsidRDefault="001C36D8" w:rsidP="007951F3">
      <w:pPr>
        <w:spacing w:line="360" w:lineRule="auto"/>
        <w:jc w:val="center"/>
        <w:rPr>
          <w:rFonts w:ascii="宋体" w:hAnsi="宋体"/>
          <w:b/>
          <w:sz w:val="24"/>
          <w:szCs w:val="36"/>
        </w:rPr>
      </w:pPr>
      <w:r w:rsidRPr="00717C29">
        <w:rPr>
          <w:rFonts w:ascii="宋体" w:hAnsi="宋体"/>
          <w:b/>
          <w:sz w:val="24"/>
          <w:szCs w:val="36"/>
        </w:rPr>
        <w:t>2019年12月31日</w:t>
      </w: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rPr>
          <w:rFonts w:ascii="宋体"/>
          <w:b/>
          <w:color w:val="000000"/>
          <w:sz w:val="24"/>
        </w:rPr>
      </w:pPr>
    </w:p>
    <w:p w:rsidR="001C36D8" w:rsidRPr="00272E0C" w:rsidRDefault="001C36D8" w:rsidP="0015779C">
      <w:pPr>
        <w:spacing w:line="360" w:lineRule="auto"/>
        <w:ind w:firstLineChars="900" w:firstLine="2168"/>
        <w:rPr>
          <w:rFonts w:ascii="宋体" w:hAnsi="宋体"/>
          <w:b/>
          <w:color w:val="000000"/>
          <w:sz w:val="24"/>
        </w:rPr>
      </w:pPr>
      <w:r w:rsidRPr="00272E0C">
        <w:rPr>
          <w:rFonts w:ascii="宋体" w:hAnsi="宋体" w:hint="eastAsia"/>
          <w:b/>
          <w:color w:val="000000"/>
          <w:sz w:val="24"/>
        </w:rPr>
        <w:t>基金管理人：</w:t>
      </w:r>
      <w:r w:rsidRPr="00272E0C">
        <w:rPr>
          <w:rFonts w:ascii="宋体" w:hAnsi="宋体"/>
          <w:b/>
          <w:color w:val="000000"/>
          <w:sz w:val="24"/>
        </w:rPr>
        <w:t>易方达基金管理有限公司</w:t>
      </w:r>
    </w:p>
    <w:p w:rsidR="001C36D8" w:rsidRPr="00272E0C" w:rsidRDefault="001C36D8" w:rsidP="0015779C">
      <w:pPr>
        <w:spacing w:line="360" w:lineRule="auto"/>
        <w:ind w:firstLineChars="900" w:firstLine="2168"/>
        <w:rPr>
          <w:rFonts w:ascii="宋体" w:hAnsi="宋体"/>
          <w:b/>
          <w:color w:val="000000"/>
          <w:sz w:val="24"/>
        </w:rPr>
      </w:pPr>
      <w:r w:rsidRPr="00272E0C">
        <w:rPr>
          <w:rFonts w:ascii="宋体" w:hAnsi="宋体" w:hint="eastAsia"/>
          <w:b/>
          <w:color w:val="000000"/>
          <w:sz w:val="24"/>
        </w:rPr>
        <w:t>基金托管人：</w:t>
      </w:r>
      <w:r w:rsidRPr="00272E0C">
        <w:rPr>
          <w:rFonts w:ascii="宋体" w:hAnsi="宋体"/>
          <w:b/>
          <w:color w:val="000000"/>
          <w:sz w:val="24"/>
        </w:rPr>
        <w:t>中国建设银行股份有限公司</w:t>
      </w:r>
    </w:p>
    <w:p w:rsidR="001C36D8" w:rsidRPr="00272E0C" w:rsidRDefault="001C36D8" w:rsidP="0015779C">
      <w:pPr>
        <w:spacing w:line="360" w:lineRule="auto"/>
        <w:ind w:firstLineChars="900" w:firstLine="2168"/>
        <w:rPr>
          <w:rFonts w:ascii="宋体" w:hAnsi="宋体"/>
          <w:b/>
          <w:color w:val="000000"/>
          <w:sz w:val="24"/>
        </w:rPr>
        <w:sectPr w:rsidR="001C36D8" w:rsidRPr="00272E0C" w:rsidSect="00230A66">
          <w:headerReference w:type="default" r:id="rId7"/>
          <w:footerReference w:type="default" r:id="rId8"/>
          <w:pgSz w:w="11926" w:h="15840"/>
          <w:pgMar w:top="1418" w:right="1418" w:bottom="851" w:left="1418" w:header="851" w:footer="992" w:gutter="0"/>
          <w:cols w:space="720"/>
          <w:noEndnote/>
        </w:sectPr>
      </w:pPr>
      <w:r w:rsidRPr="00272E0C">
        <w:rPr>
          <w:rFonts w:ascii="宋体" w:hAnsi="宋体" w:hint="eastAsia"/>
          <w:b/>
          <w:color w:val="000000"/>
          <w:sz w:val="24"/>
        </w:rPr>
        <w:t>报告送出日期：</w:t>
      </w:r>
      <w:r w:rsidRPr="00272E0C">
        <w:rPr>
          <w:rFonts w:ascii="宋体" w:hAnsi="宋体"/>
          <w:b/>
          <w:color w:val="000000"/>
          <w:sz w:val="24"/>
        </w:rPr>
        <w:t>二〇二〇年一月十八日</w:t>
      </w:r>
    </w:p>
    <w:p w:rsidR="001C36D8" w:rsidRPr="00272E0C" w:rsidRDefault="001C36D8" w:rsidP="005C6DF3">
      <w:pPr>
        <w:pStyle w:val="1"/>
        <w:spacing w:beforeLines="100" w:before="312" w:afterLines="100" w:after="312" w:line="360" w:lineRule="auto"/>
        <w:jc w:val="center"/>
        <w:rPr>
          <w:rFonts w:ascii="宋体" w:cs="Arial"/>
          <w:b w:val="0"/>
          <w:color w:val="000000"/>
          <w:kern w:val="0"/>
          <w:sz w:val="24"/>
          <w:szCs w:val="24"/>
        </w:rPr>
      </w:pPr>
      <w:r w:rsidRPr="00272E0C">
        <w:rPr>
          <w:rFonts w:ascii="宋体" w:hAnsi="宋体" w:cs="Arial" w:hint="eastAsia"/>
          <w:color w:val="000000"/>
          <w:kern w:val="0"/>
          <w:sz w:val="24"/>
          <w:szCs w:val="24"/>
        </w:rPr>
        <w:lastRenderedPageBreak/>
        <w:t>§</w:t>
      </w:r>
      <w:r w:rsidRPr="00272E0C">
        <w:rPr>
          <w:rFonts w:ascii="宋体" w:hAnsi="宋体" w:cs="Arial"/>
          <w:color w:val="000000"/>
          <w:kern w:val="0"/>
          <w:sz w:val="24"/>
          <w:szCs w:val="24"/>
        </w:rPr>
        <w:t xml:space="preserve">1  </w:t>
      </w:r>
      <w:r w:rsidRPr="00272E0C">
        <w:rPr>
          <w:rFonts w:ascii="宋体" w:hAnsi="宋体" w:cs="Arial" w:hint="eastAsia"/>
          <w:color w:val="000000"/>
          <w:kern w:val="0"/>
          <w:sz w:val="24"/>
          <w:szCs w:val="24"/>
        </w:rPr>
        <w:t>重要提示</w:t>
      </w:r>
    </w:p>
    <w:p w:rsidR="00C63C53" w:rsidRDefault="001479EF">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63C53" w:rsidRDefault="001479EF">
      <w:pPr>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63C53" w:rsidRDefault="001479EF">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63C53" w:rsidRDefault="001479EF">
      <w:pPr>
        <w:spacing w:line="360" w:lineRule="auto"/>
        <w:ind w:firstLineChars="200" w:firstLine="480"/>
        <w:rPr>
          <w:color w:val="000000"/>
          <w:sz w:val="24"/>
        </w:rPr>
      </w:pPr>
      <w:r>
        <w:rPr>
          <w:color w:val="000000"/>
          <w:sz w:val="24"/>
        </w:rPr>
        <w:t>基金的过往业绩并不代表其未来表现。投资有风险，投资者在作出投</w:t>
      </w:r>
      <w:r>
        <w:rPr>
          <w:color w:val="000000"/>
          <w:sz w:val="24"/>
        </w:rPr>
        <w:t>资决策前应仔细阅读本基金的招募说明书。</w:t>
      </w:r>
      <w:r>
        <w:rPr>
          <w:color w:val="000000"/>
          <w:sz w:val="24"/>
        </w:rPr>
        <w:t xml:space="preserve"> </w:t>
      </w:r>
    </w:p>
    <w:p w:rsidR="00C63C53" w:rsidRDefault="001479EF">
      <w:pPr>
        <w:spacing w:line="360" w:lineRule="auto"/>
        <w:ind w:firstLineChars="200" w:firstLine="480"/>
        <w:rPr>
          <w:color w:val="000000"/>
          <w:sz w:val="24"/>
        </w:rPr>
      </w:pPr>
      <w:r>
        <w:rPr>
          <w:color w:val="000000"/>
          <w:sz w:val="24"/>
        </w:rPr>
        <w:t>本报告中财务资料未经审计。</w:t>
      </w:r>
    </w:p>
    <w:p w:rsidR="001C36D8" w:rsidRPr="00CC0C03" w:rsidRDefault="001C36D8" w:rsidP="00CC0C03">
      <w:pPr>
        <w:spacing w:line="360" w:lineRule="auto"/>
        <w:ind w:firstLineChars="200" w:firstLine="480"/>
        <w:rPr>
          <w:color w:val="000000"/>
          <w:sz w:val="24"/>
        </w:rPr>
      </w:pPr>
      <w:r w:rsidRPr="00CC0C03">
        <w:rPr>
          <w:color w:val="000000"/>
          <w:sz w:val="24"/>
        </w:rPr>
        <w:t>本报告期自</w:t>
      </w:r>
      <w:r w:rsidRPr="00CC0C03">
        <w:rPr>
          <w:color w:val="000000"/>
          <w:sz w:val="24"/>
        </w:rPr>
        <w:t>2019</w:t>
      </w:r>
      <w:r w:rsidRPr="00CC0C03">
        <w:rPr>
          <w:color w:val="000000"/>
          <w:sz w:val="24"/>
        </w:rPr>
        <w:t>年</w:t>
      </w:r>
      <w:r w:rsidRPr="00CC0C03">
        <w:rPr>
          <w:color w:val="000000"/>
          <w:sz w:val="24"/>
        </w:rPr>
        <w:t>10</w:t>
      </w:r>
      <w:r w:rsidRPr="00CC0C03">
        <w:rPr>
          <w:color w:val="000000"/>
          <w:sz w:val="24"/>
        </w:rPr>
        <w:t>月</w:t>
      </w:r>
      <w:r w:rsidRPr="00CC0C03">
        <w:rPr>
          <w:color w:val="000000"/>
          <w:sz w:val="24"/>
        </w:rPr>
        <w:t>1</w:t>
      </w:r>
      <w:r w:rsidRPr="00CC0C03">
        <w:rPr>
          <w:color w:val="000000"/>
          <w:sz w:val="24"/>
        </w:rPr>
        <w:t>日起至</w:t>
      </w:r>
      <w:r w:rsidRPr="00CC0C03">
        <w:rPr>
          <w:color w:val="000000"/>
          <w:sz w:val="24"/>
        </w:rPr>
        <w:t>12</w:t>
      </w:r>
      <w:r w:rsidRPr="00CC0C03">
        <w:rPr>
          <w:color w:val="000000"/>
          <w:sz w:val="24"/>
        </w:rPr>
        <w:t>月</w:t>
      </w:r>
      <w:r w:rsidRPr="00CC0C03">
        <w:rPr>
          <w:color w:val="000000"/>
          <w:sz w:val="24"/>
        </w:rPr>
        <w:t>31</w:t>
      </w:r>
      <w:r w:rsidRPr="00CC0C03">
        <w:rPr>
          <w:color w:val="000000"/>
          <w:sz w:val="24"/>
        </w:rPr>
        <w:t>日止。</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2  </w:t>
      </w:r>
      <w:r w:rsidRPr="00272E0C">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1C36D8" w:rsidRPr="00272E0C" w:rsidTr="007A6BEA">
        <w:tc>
          <w:tcPr>
            <w:tcW w:w="2835" w:type="dxa"/>
          </w:tcPr>
          <w:p w:rsidR="001C36D8" w:rsidRPr="004C6E88" w:rsidRDefault="001C36D8" w:rsidP="007A6BEA">
            <w:pPr>
              <w:adjustRightInd w:val="0"/>
              <w:spacing w:before="29" w:line="360" w:lineRule="auto"/>
              <w:ind w:left="17"/>
              <w:jc w:val="left"/>
              <w:rPr>
                <w:rFonts w:eastAsiaTheme="minorEastAsia"/>
                <w:kern w:val="0"/>
                <w:sz w:val="24"/>
              </w:rPr>
            </w:pPr>
            <w:r w:rsidRPr="004C6E88">
              <w:rPr>
                <w:rFonts w:eastAsiaTheme="minorEastAsia"/>
                <w:kern w:val="0"/>
                <w:sz w:val="24"/>
              </w:rPr>
              <w:t>基金简称</w:t>
            </w:r>
          </w:p>
        </w:tc>
        <w:tc>
          <w:tcPr>
            <w:tcW w:w="5479" w:type="dxa"/>
            <w:gridSpan w:val="3"/>
          </w:tcPr>
          <w:p w:rsidR="001C36D8" w:rsidRPr="004C6E88" w:rsidRDefault="001C36D8" w:rsidP="007A6BEA">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易方达生物分级</w:t>
            </w:r>
          </w:p>
        </w:tc>
      </w:tr>
      <w:tr w:rsidR="001C36D8" w:rsidRPr="00272E0C" w:rsidTr="002A44F9">
        <w:tc>
          <w:tcPr>
            <w:tcW w:w="2835" w:type="dxa"/>
          </w:tcPr>
          <w:p w:rsidR="001C36D8" w:rsidRPr="004C6E88" w:rsidRDefault="001C36D8">
            <w:pPr>
              <w:adjustRightInd w:val="0"/>
              <w:spacing w:before="29" w:line="360" w:lineRule="auto"/>
              <w:ind w:left="17"/>
              <w:jc w:val="left"/>
              <w:rPr>
                <w:rFonts w:eastAsiaTheme="minorEastAsia"/>
                <w:kern w:val="0"/>
                <w:sz w:val="24"/>
              </w:rPr>
            </w:pPr>
            <w:r w:rsidRPr="004C6E88">
              <w:rPr>
                <w:rFonts w:eastAsiaTheme="minorEastAsia"/>
                <w:kern w:val="0"/>
                <w:sz w:val="24"/>
              </w:rPr>
              <w:t>基金主代码</w:t>
            </w:r>
          </w:p>
        </w:tc>
        <w:tc>
          <w:tcPr>
            <w:tcW w:w="5479" w:type="dxa"/>
            <w:gridSpan w:val="3"/>
          </w:tcPr>
          <w:p w:rsidR="001C36D8" w:rsidRPr="004C6E88" w:rsidRDefault="001C36D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161122</w:t>
            </w:r>
          </w:p>
        </w:tc>
      </w:tr>
      <w:tr w:rsidR="003A768B" w:rsidRPr="00272E0C" w:rsidTr="002A44F9">
        <w:tc>
          <w:tcPr>
            <w:tcW w:w="2835" w:type="dxa"/>
          </w:tcPr>
          <w:p w:rsidR="003A768B" w:rsidRPr="004C6E88" w:rsidRDefault="003A768B" w:rsidP="00E43B0B">
            <w:pPr>
              <w:adjustRightInd w:val="0"/>
              <w:spacing w:before="29" w:line="360" w:lineRule="auto"/>
              <w:ind w:left="17"/>
              <w:jc w:val="left"/>
              <w:rPr>
                <w:rFonts w:eastAsiaTheme="minorEastAsia"/>
                <w:kern w:val="0"/>
                <w:sz w:val="24"/>
              </w:rPr>
            </w:pPr>
            <w:r w:rsidRPr="004C6E88">
              <w:rPr>
                <w:rFonts w:eastAsiaTheme="minorEastAsia"/>
                <w:kern w:val="0"/>
                <w:sz w:val="24"/>
              </w:rPr>
              <w:t>交易代码</w:t>
            </w:r>
          </w:p>
        </w:tc>
        <w:tc>
          <w:tcPr>
            <w:tcW w:w="5479" w:type="dxa"/>
            <w:gridSpan w:val="3"/>
          </w:tcPr>
          <w:p w:rsidR="003A768B" w:rsidRPr="004C6E88" w:rsidRDefault="003A768B" w:rsidP="00E43B0B">
            <w:pPr>
              <w:adjustRightInd w:val="0"/>
              <w:spacing w:before="29" w:line="360" w:lineRule="auto"/>
              <w:ind w:left="17"/>
              <w:jc w:val="left"/>
              <w:rPr>
                <w:rFonts w:eastAsiaTheme="minorEastAsia"/>
                <w:color w:val="000000"/>
                <w:kern w:val="0"/>
                <w:sz w:val="24"/>
              </w:rPr>
            </w:pPr>
            <w:r w:rsidRPr="004C6E88">
              <w:rPr>
                <w:rFonts w:eastAsiaTheme="minorEastAsia"/>
                <w:kern w:val="0"/>
                <w:sz w:val="24"/>
              </w:rPr>
              <w:t>161122</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基金运作方式</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契约型开放式、分级基金</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基金合同生效日</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2015</w:t>
            </w:r>
            <w:r w:rsidRPr="004C6E88">
              <w:rPr>
                <w:rFonts w:eastAsiaTheme="minorEastAsia"/>
                <w:color w:val="000000"/>
                <w:kern w:val="0"/>
                <w:sz w:val="24"/>
              </w:rPr>
              <w:t>年</w:t>
            </w:r>
            <w:r w:rsidRPr="004C6E88">
              <w:rPr>
                <w:rFonts w:eastAsiaTheme="minorEastAsia"/>
                <w:color w:val="000000"/>
                <w:kern w:val="0"/>
                <w:sz w:val="24"/>
              </w:rPr>
              <w:t>6</w:t>
            </w:r>
            <w:r w:rsidRPr="004C6E88">
              <w:rPr>
                <w:rFonts w:eastAsiaTheme="minorEastAsia"/>
                <w:color w:val="000000"/>
                <w:kern w:val="0"/>
                <w:sz w:val="24"/>
              </w:rPr>
              <w:t>月</w:t>
            </w:r>
            <w:r w:rsidRPr="004C6E88">
              <w:rPr>
                <w:rFonts w:eastAsiaTheme="minorEastAsia"/>
                <w:color w:val="000000"/>
                <w:kern w:val="0"/>
                <w:sz w:val="24"/>
              </w:rPr>
              <w:t>3</w:t>
            </w:r>
            <w:r w:rsidRPr="004C6E88">
              <w:rPr>
                <w:rFonts w:eastAsiaTheme="minorEastAsia"/>
                <w:color w:val="000000"/>
                <w:kern w:val="0"/>
                <w:sz w:val="24"/>
              </w:rPr>
              <w:t>日</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报告期末基金份额总额</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142,915,357.90</w:t>
            </w:r>
            <w:r w:rsidRPr="004C6E88">
              <w:rPr>
                <w:rFonts w:eastAsiaTheme="minorEastAsia"/>
                <w:color w:val="000000"/>
                <w:kern w:val="0"/>
                <w:sz w:val="24"/>
              </w:rPr>
              <w:t>份</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投资目标</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紧密追踪业绩比较基准，追求跟踪偏离度与跟踪误差的最小化。</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投资策略</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本基金主要采取完全复制法，即完全按照标的指数的成份股组成及其权重构建基金股票投资组合，并根据标的指数成份股及其权重的变动进行相应调整。但在因特殊情形导致基金无法完全投资于标的指数成份股时，基金管理人可采取其他指数投资技</w:t>
            </w:r>
            <w:r w:rsidRPr="004C6E88">
              <w:rPr>
                <w:rFonts w:eastAsiaTheme="minorEastAsia"/>
                <w:color w:val="000000"/>
                <w:kern w:val="0"/>
                <w:sz w:val="24"/>
              </w:rPr>
              <w:lastRenderedPageBreak/>
              <w:t>术适当调整基金投资组合，以达到紧密跟踪标的指数的目的。</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lastRenderedPageBreak/>
              <w:t>业绩比较基准</w:t>
            </w:r>
          </w:p>
        </w:tc>
        <w:tc>
          <w:tcPr>
            <w:tcW w:w="5479" w:type="dxa"/>
            <w:gridSpan w:val="3"/>
          </w:tcPr>
          <w:p w:rsidR="003A768B" w:rsidRPr="004C6E88" w:rsidRDefault="003A768B" w:rsidP="00CD0AAD">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中证万得生物科技指数收益率</w:t>
            </w:r>
            <w:r w:rsidRPr="004C6E88">
              <w:rPr>
                <w:rFonts w:eastAsiaTheme="minorEastAsia"/>
                <w:color w:val="000000"/>
                <w:kern w:val="0"/>
                <w:sz w:val="24"/>
              </w:rPr>
              <w:t>×95%+</w:t>
            </w:r>
            <w:r w:rsidRPr="004C6E88">
              <w:rPr>
                <w:rFonts w:eastAsiaTheme="minorEastAsia"/>
                <w:color w:val="000000"/>
                <w:kern w:val="0"/>
                <w:sz w:val="24"/>
              </w:rPr>
              <w:t>活期存款利率（税后）</w:t>
            </w:r>
            <w:r w:rsidRPr="004C6E88">
              <w:rPr>
                <w:rFonts w:eastAsiaTheme="minorEastAsia"/>
                <w:color w:val="000000"/>
                <w:kern w:val="0"/>
                <w:sz w:val="24"/>
              </w:rPr>
              <w:t>×5%</w:t>
            </w:r>
          </w:p>
        </w:tc>
      </w:tr>
      <w:tr w:rsidR="003A768B" w:rsidRPr="00272E0C" w:rsidTr="00A008DA">
        <w:tc>
          <w:tcPr>
            <w:tcW w:w="2835" w:type="dxa"/>
          </w:tcPr>
          <w:p w:rsidR="003A768B" w:rsidRPr="004C6E88" w:rsidRDefault="003A768B" w:rsidP="00A008DA">
            <w:pPr>
              <w:adjustRightInd w:val="0"/>
              <w:spacing w:before="29" w:line="360" w:lineRule="auto"/>
              <w:ind w:left="17"/>
              <w:jc w:val="left"/>
              <w:rPr>
                <w:rFonts w:eastAsiaTheme="minorEastAsia"/>
                <w:sz w:val="24"/>
              </w:rPr>
            </w:pPr>
            <w:r w:rsidRPr="004C6E88">
              <w:rPr>
                <w:rFonts w:eastAsiaTheme="minorEastAsia"/>
                <w:kern w:val="0"/>
                <w:sz w:val="24"/>
              </w:rPr>
              <w:t>风险收益特征</w:t>
            </w:r>
          </w:p>
        </w:tc>
        <w:tc>
          <w:tcPr>
            <w:tcW w:w="5479" w:type="dxa"/>
            <w:gridSpan w:val="3"/>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本基金为股票型基金，主要采用完全复制策略跟踪标的指数的表现，其风险收益特征与标的指数相似。长期而言，其风险收益水平高于混合型基金、债券型基金和货币市场基金；</w:t>
            </w:r>
            <w:r w:rsidRPr="004C6E88">
              <w:rPr>
                <w:rFonts w:eastAsiaTheme="minorEastAsia"/>
                <w:color w:val="000000"/>
                <w:kern w:val="0"/>
                <w:sz w:val="24"/>
              </w:rPr>
              <w:t>A</w:t>
            </w:r>
            <w:r w:rsidRPr="004C6E88">
              <w:rPr>
                <w:rFonts w:eastAsiaTheme="minorEastAsia"/>
                <w:color w:val="000000"/>
                <w:kern w:val="0"/>
                <w:sz w:val="24"/>
              </w:rPr>
              <w:t>类份额具有预期风险、收益较低的特征；</w:t>
            </w:r>
            <w:r w:rsidRPr="004C6E88">
              <w:rPr>
                <w:rFonts w:eastAsiaTheme="minorEastAsia"/>
                <w:color w:val="000000"/>
                <w:kern w:val="0"/>
                <w:sz w:val="24"/>
              </w:rPr>
              <w:t>B</w:t>
            </w:r>
            <w:r w:rsidRPr="004C6E88">
              <w:rPr>
                <w:rFonts w:eastAsiaTheme="minorEastAsia"/>
                <w:color w:val="000000"/>
                <w:kern w:val="0"/>
                <w:sz w:val="24"/>
              </w:rPr>
              <w:t>类份额具有预期风险、收益较高的特征。</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基金管理人</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易方达基金管理有限公司</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基金托管人</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中国建设银行股份有限公司</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kern w:val="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级基金的基金简称</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易方达生物分级</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易方达生物分级</w:t>
            </w:r>
            <w:r w:rsidRPr="004C6E88">
              <w:rPr>
                <w:rFonts w:eastAsiaTheme="minorEastAsia"/>
                <w:sz w:val="24"/>
              </w:rPr>
              <w:t>A</w:t>
            </w:r>
          </w:p>
        </w:tc>
        <w:tc>
          <w:tcPr>
            <w:tcW w:w="1827" w:type="dxa"/>
            <w:vAlign w:val="center"/>
          </w:tcPr>
          <w:p w:rsidR="003A768B" w:rsidRPr="004C6E88" w:rsidRDefault="003A768B" w:rsidP="007A6BEA">
            <w:pPr>
              <w:jc w:val="left"/>
              <w:rPr>
                <w:rFonts w:eastAsiaTheme="minorEastAsia"/>
                <w:sz w:val="24"/>
              </w:rPr>
            </w:pPr>
            <w:r w:rsidRPr="004C6E88">
              <w:rPr>
                <w:rFonts w:eastAsiaTheme="minorEastAsia"/>
                <w:sz w:val="24"/>
              </w:rPr>
              <w:t>易方达生物分级</w:t>
            </w:r>
            <w:r w:rsidRPr="004C6E88">
              <w:rPr>
                <w:rFonts w:eastAsiaTheme="minorEastAsia"/>
                <w:sz w:val="24"/>
              </w:rPr>
              <w:t>B</w:t>
            </w:r>
          </w:p>
        </w:tc>
      </w:tr>
      <w:tr w:rsidR="002C2DE0" w:rsidRPr="00272E0C" w:rsidTr="00EB3E72">
        <w:tc>
          <w:tcPr>
            <w:tcW w:w="2835" w:type="dxa"/>
          </w:tcPr>
          <w:p w:rsidR="002C2DE0" w:rsidRPr="004C6E88" w:rsidRDefault="002C2DE0"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003168E2">
              <w:rPr>
                <w:rFonts w:eastAsiaTheme="minorEastAsia"/>
                <w:color w:val="000000"/>
                <w:sz w:val="24"/>
              </w:rPr>
              <w:t>级基金</w:t>
            </w:r>
            <w:r w:rsidRPr="004C6E88">
              <w:rPr>
                <w:rFonts w:eastAsiaTheme="minorEastAsia"/>
                <w:color w:val="000000"/>
                <w:sz w:val="24"/>
              </w:rPr>
              <w:t>场内简称</w:t>
            </w:r>
          </w:p>
        </w:tc>
        <w:tc>
          <w:tcPr>
            <w:tcW w:w="1826"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生物分级</w:t>
            </w:r>
          </w:p>
        </w:tc>
        <w:tc>
          <w:tcPr>
            <w:tcW w:w="1826"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生物</w:t>
            </w:r>
            <w:r w:rsidRPr="004C6E88">
              <w:rPr>
                <w:rFonts w:eastAsiaTheme="minorEastAsia"/>
                <w:sz w:val="24"/>
              </w:rPr>
              <w:t>A</w:t>
            </w:r>
          </w:p>
        </w:tc>
        <w:tc>
          <w:tcPr>
            <w:tcW w:w="1827"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生物</w:t>
            </w:r>
            <w:r w:rsidRPr="004C6E88">
              <w:rPr>
                <w:rFonts w:eastAsiaTheme="minorEastAsia"/>
                <w:sz w:val="24"/>
              </w:rPr>
              <w:t>B</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级基金的交易代码</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161122</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150257</w:t>
            </w:r>
          </w:p>
        </w:tc>
        <w:tc>
          <w:tcPr>
            <w:tcW w:w="1827" w:type="dxa"/>
            <w:vAlign w:val="center"/>
          </w:tcPr>
          <w:p w:rsidR="003A768B" w:rsidRPr="004C6E88" w:rsidRDefault="003A768B" w:rsidP="007A6BEA">
            <w:pPr>
              <w:jc w:val="left"/>
              <w:rPr>
                <w:rFonts w:eastAsiaTheme="minorEastAsia"/>
                <w:sz w:val="24"/>
              </w:rPr>
            </w:pPr>
            <w:r w:rsidRPr="004C6E88">
              <w:rPr>
                <w:rFonts w:eastAsiaTheme="minorEastAsia"/>
                <w:sz w:val="24"/>
              </w:rPr>
              <w:t>150258</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报告期末下属</w:t>
            </w:r>
            <w:r w:rsidR="004C6E88" w:rsidRPr="004C6E88">
              <w:rPr>
                <w:rFonts w:eastAsiaTheme="minorEastAsia"/>
                <w:color w:val="000000"/>
                <w:sz w:val="24"/>
              </w:rPr>
              <w:t>分</w:t>
            </w:r>
            <w:r w:rsidRPr="004C6E88">
              <w:rPr>
                <w:rFonts w:eastAsiaTheme="minorEastAsia"/>
                <w:color w:val="000000"/>
                <w:sz w:val="24"/>
              </w:rPr>
              <w:t>级基金的份额总额</w:t>
            </w:r>
          </w:p>
        </w:tc>
        <w:tc>
          <w:tcPr>
            <w:tcW w:w="1826" w:type="dxa"/>
            <w:vAlign w:val="center"/>
          </w:tcPr>
          <w:p w:rsidR="003A768B" w:rsidRPr="004C6E88" w:rsidRDefault="003A768B" w:rsidP="00057DD3">
            <w:pPr>
              <w:jc w:val="left"/>
              <w:rPr>
                <w:rFonts w:eastAsiaTheme="minorEastAsia"/>
                <w:sz w:val="24"/>
              </w:rPr>
            </w:pPr>
            <w:r w:rsidRPr="004C6E88">
              <w:rPr>
                <w:rFonts w:eastAsiaTheme="minorEastAsia"/>
                <w:sz w:val="24"/>
              </w:rPr>
              <w:t>132,110,431.90</w:t>
            </w:r>
            <w:r w:rsidRPr="004C6E88">
              <w:rPr>
                <w:rFonts w:eastAsiaTheme="minorEastAsia"/>
                <w:color w:val="000000"/>
                <w:kern w:val="0"/>
                <w:sz w:val="24"/>
              </w:rPr>
              <w:t>份</w:t>
            </w:r>
          </w:p>
        </w:tc>
        <w:tc>
          <w:tcPr>
            <w:tcW w:w="1826" w:type="dxa"/>
            <w:vAlign w:val="center"/>
          </w:tcPr>
          <w:p w:rsidR="003A768B" w:rsidRPr="004C6E88" w:rsidRDefault="003A768B" w:rsidP="00057DD3">
            <w:pPr>
              <w:jc w:val="left"/>
              <w:rPr>
                <w:rFonts w:eastAsiaTheme="minorEastAsia"/>
                <w:sz w:val="24"/>
              </w:rPr>
            </w:pPr>
            <w:r w:rsidRPr="004C6E88">
              <w:rPr>
                <w:rFonts w:eastAsiaTheme="minorEastAsia"/>
                <w:sz w:val="24"/>
              </w:rPr>
              <w:t>5,402,463.00</w:t>
            </w:r>
            <w:r w:rsidRPr="004C6E88">
              <w:rPr>
                <w:rFonts w:eastAsiaTheme="minorEastAsia"/>
                <w:color w:val="000000"/>
                <w:kern w:val="0"/>
                <w:sz w:val="24"/>
              </w:rPr>
              <w:t>份</w:t>
            </w:r>
          </w:p>
        </w:tc>
        <w:tc>
          <w:tcPr>
            <w:tcW w:w="1827" w:type="dxa"/>
            <w:vAlign w:val="center"/>
          </w:tcPr>
          <w:p w:rsidR="003A768B" w:rsidRPr="004C6E88" w:rsidRDefault="003A768B" w:rsidP="00057DD3">
            <w:pPr>
              <w:jc w:val="left"/>
              <w:rPr>
                <w:rFonts w:eastAsiaTheme="minorEastAsia"/>
                <w:sz w:val="24"/>
              </w:rPr>
            </w:pPr>
            <w:r w:rsidRPr="004C6E88">
              <w:rPr>
                <w:rFonts w:eastAsiaTheme="minorEastAsia"/>
                <w:sz w:val="24"/>
              </w:rPr>
              <w:t>5,402,463.00</w:t>
            </w:r>
            <w:r w:rsidRPr="004C6E88">
              <w:rPr>
                <w:rFonts w:eastAsiaTheme="minorEastAsia"/>
                <w:color w:val="000000"/>
                <w:kern w:val="0"/>
                <w:sz w:val="24"/>
              </w:rPr>
              <w:t>份</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sz w:val="24"/>
              </w:rPr>
            </w:pPr>
            <w:r w:rsidRPr="004C6E88">
              <w:rPr>
                <w:rFonts w:eastAsiaTheme="minorEastAsia"/>
                <w:color w:val="000000"/>
                <w:kern w:val="0"/>
                <w:sz w:val="24"/>
              </w:rPr>
              <w:t>下属</w:t>
            </w:r>
            <w:r w:rsidR="004C6E88" w:rsidRPr="004C6E88">
              <w:rPr>
                <w:rFonts w:eastAsiaTheme="minorEastAsia"/>
                <w:color w:val="000000"/>
                <w:kern w:val="0"/>
                <w:sz w:val="24"/>
              </w:rPr>
              <w:t>分</w:t>
            </w:r>
            <w:r w:rsidRPr="004C6E88">
              <w:rPr>
                <w:rFonts w:eastAsiaTheme="minorEastAsia"/>
                <w:color w:val="000000"/>
                <w:kern w:val="0"/>
                <w:sz w:val="24"/>
              </w:rPr>
              <w:t>级基金的</w:t>
            </w:r>
            <w:r w:rsidRPr="004C6E88">
              <w:rPr>
                <w:rFonts w:eastAsiaTheme="minorEastAsia"/>
                <w:kern w:val="0"/>
                <w:sz w:val="24"/>
              </w:rPr>
              <w:t>风险收益特征</w:t>
            </w:r>
          </w:p>
        </w:tc>
        <w:tc>
          <w:tcPr>
            <w:tcW w:w="1826"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基础份额为股票型基金，其风险收益水平高于混合型基金、债券型基金和货币市场基金。</w:t>
            </w:r>
          </w:p>
        </w:tc>
        <w:tc>
          <w:tcPr>
            <w:tcW w:w="1826"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与基础份额相比，</w:t>
            </w:r>
            <w:r w:rsidRPr="004C6E88">
              <w:rPr>
                <w:rFonts w:eastAsiaTheme="minorEastAsia"/>
                <w:color w:val="000000"/>
                <w:kern w:val="0"/>
                <w:sz w:val="24"/>
              </w:rPr>
              <w:t>A</w:t>
            </w:r>
            <w:r w:rsidRPr="004C6E88">
              <w:rPr>
                <w:rFonts w:eastAsiaTheme="minorEastAsia"/>
                <w:color w:val="000000"/>
                <w:kern w:val="0"/>
                <w:sz w:val="24"/>
              </w:rPr>
              <w:t>类份额的预期收益和预期风险低于基础份额。</w:t>
            </w:r>
          </w:p>
        </w:tc>
        <w:tc>
          <w:tcPr>
            <w:tcW w:w="1827"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与基础份额相比，</w:t>
            </w:r>
            <w:r w:rsidRPr="004C6E88">
              <w:rPr>
                <w:rFonts w:eastAsiaTheme="minorEastAsia"/>
                <w:color w:val="000000"/>
                <w:kern w:val="0"/>
                <w:sz w:val="24"/>
              </w:rPr>
              <w:t>B</w:t>
            </w:r>
            <w:r w:rsidRPr="004C6E88">
              <w:rPr>
                <w:rFonts w:eastAsiaTheme="minorEastAsia"/>
                <w:color w:val="000000"/>
                <w:kern w:val="0"/>
                <w:sz w:val="24"/>
              </w:rPr>
              <w:t>类份额的预期收益和预期风险高于基础份额。</w:t>
            </w:r>
          </w:p>
        </w:tc>
      </w:tr>
    </w:tbl>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3  </w:t>
      </w:r>
      <w:r w:rsidRPr="00272E0C">
        <w:rPr>
          <w:rFonts w:ascii="宋体" w:hAnsi="宋体" w:cs="Arial" w:hint="eastAsia"/>
          <w:color w:val="000000"/>
          <w:kern w:val="0"/>
          <w:sz w:val="24"/>
          <w:szCs w:val="24"/>
        </w:rPr>
        <w:t>主要财务指标和基金净值表现</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3.1 </w:t>
      </w:r>
      <w:r w:rsidRPr="00272E0C">
        <w:rPr>
          <w:rFonts w:ascii="宋体" w:hAnsi="宋体" w:cs="Arial" w:hint="eastAsia"/>
          <w:b/>
          <w:color w:val="000000"/>
          <w:kern w:val="0"/>
          <w:sz w:val="24"/>
        </w:rPr>
        <w:t>主要财务指标</w:t>
      </w:r>
    </w:p>
    <w:p w:rsidR="0008378B" w:rsidRPr="006506EF" w:rsidRDefault="0008378B" w:rsidP="0008378B">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08378B" w:rsidRPr="006506EF" w:rsidTr="005D3A22">
        <w:tc>
          <w:tcPr>
            <w:tcW w:w="3402" w:type="dxa"/>
            <w:vAlign w:val="center"/>
          </w:tcPr>
          <w:p w:rsidR="0008378B" w:rsidRPr="006506EF" w:rsidRDefault="0008378B" w:rsidP="005D3A22">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08378B" w:rsidRPr="006506EF" w:rsidRDefault="0008378B" w:rsidP="005D3A22">
            <w:pPr>
              <w:adjustRightInd w:val="0"/>
              <w:spacing w:before="29" w:line="360" w:lineRule="auto"/>
              <w:ind w:left="17"/>
              <w:jc w:val="center"/>
              <w:rPr>
                <w:color w:val="000000"/>
                <w:sz w:val="24"/>
              </w:rPr>
            </w:pPr>
            <w:r w:rsidRPr="006506EF">
              <w:rPr>
                <w:color w:val="000000"/>
                <w:sz w:val="24"/>
              </w:rPr>
              <w:t>报告期</w:t>
            </w:r>
          </w:p>
          <w:p w:rsidR="0008378B" w:rsidRPr="006506EF" w:rsidRDefault="0008378B" w:rsidP="005D3A22">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08378B" w:rsidRPr="006506EF" w:rsidRDefault="0008378B" w:rsidP="005D3A22">
            <w:pPr>
              <w:adjustRightInd w:val="0"/>
              <w:spacing w:before="29" w:line="360" w:lineRule="auto"/>
              <w:ind w:left="17"/>
              <w:jc w:val="center"/>
              <w:rPr>
                <w:color w:val="000000"/>
                <w:sz w:val="24"/>
              </w:rPr>
            </w:pPr>
            <w:r w:rsidRPr="006506EF">
              <w:rPr>
                <w:color w:val="000000"/>
                <w:sz w:val="24"/>
              </w:rPr>
              <w:t>上期金额</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3,768,196.82</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7,547,246.87</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0.0513</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170,103,587.64</w:t>
            </w:r>
          </w:p>
        </w:tc>
        <w:tc>
          <w:tcPr>
            <w:tcW w:w="2410" w:type="dxa"/>
            <w:hMerge/>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rPr>
          <w:trHeight w:val="158"/>
        </w:trPr>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1.1902</w:t>
            </w:r>
          </w:p>
        </w:tc>
        <w:tc>
          <w:tcPr>
            <w:tcW w:w="2410" w:type="dxa"/>
            <w:hMerge/>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bl>
    <w:p w:rsidR="00C63C53" w:rsidRDefault="001479EF">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1C36D8" w:rsidRPr="00E43B0B" w:rsidRDefault="0008378B" w:rsidP="00E43B0B">
      <w:pPr>
        <w:spacing w:line="360" w:lineRule="auto"/>
        <w:ind w:firstLineChars="200" w:firstLine="480"/>
        <w:rPr>
          <w:color w:val="000000"/>
          <w:sz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3.2 </w:t>
      </w:r>
      <w:r w:rsidRPr="00272E0C">
        <w:rPr>
          <w:rFonts w:ascii="宋体" w:hAnsi="宋体" w:cs="Arial" w:hint="eastAsia"/>
          <w:b/>
          <w:color w:val="000000"/>
          <w:kern w:val="0"/>
          <w:sz w:val="24"/>
        </w:rPr>
        <w:t>基金净值表现</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cs="Arial"/>
            <w:b/>
            <w:color w:val="000000"/>
            <w:kern w:val="0"/>
            <w:sz w:val="24"/>
          </w:rPr>
          <w:t>3.2.1</w:t>
        </w:r>
      </w:smartTag>
      <w:r w:rsidRPr="00272E0C">
        <w:rPr>
          <w:rFonts w:ascii="宋体" w:hAnsi="宋体" w:cs="Arial" w:hint="eastAsia"/>
          <w:b/>
          <w:color w:val="000000"/>
          <w:kern w:val="0"/>
          <w:sz w:val="24"/>
        </w:rPr>
        <w:t>本报告期基金份额净值增长率及其与同期业绩比较基准收益率的比较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5"/>
        <w:gridCol w:w="1216"/>
        <w:gridCol w:w="1216"/>
        <w:gridCol w:w="1216"/>
        <w:gridCol w:w="1216"/>
        <w:gridCol w:w="1217"/>
        <w:gridCol w:w="1217"/>
      </w:tblGrid>
      <w:tr w:rsidR="001C36D8" w:rsidRPr="00272E0C" w:rsidTr="001A09F9">
        <w:tc>
          <w:tcPr>
            <w:tcW w:w="1215"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阶段</w:t>
            </w:r>
          </w:p>
        </w:tc>
        <w:tc>
          <w:tcPr>
            <w:tcW w:w="1216" w:type="dxa"/>
            <w:vAlign w:val="center"/>
          </w:tcPr>
          <w:p w:rsidR="001C36D8" w:rsidRPr="00E43B0B" w:rsidRDefault="001C36D8" w:rsidP="001A09F9">
            <w:pPr>
              <w:snapToGrid w:val="0"/>
              <w:spacing w:line="288" w:lineRule="auto"/>
              <w:jc w:val="center"/>
              <w:rPr>
                <w:color w:val="000000"/>
                <w:sz w:val="24"/>
                <w:highlight w:val="green"/>
              </w:rPr>
            </w:pPr>
            <w:r w:rsidRPr="00E43B0B">
              <w:rPr>
                <w:color w:val="000000"/>
                <w:sz w:val="24"/>
              </w:rPr>
              <w:t>净值增长率</w:t>
            </w:r>
            <w:r w:rsidRPr="00E43B0B">
              <w:rPr>
                <w:rFonts w:ascii="宋体" w:hAnsi="宋体" w:cs="宋体" w:hint="eastAsia"/>
                <w:color w:val="000000"/>
                <w:sz w:val="24"/>
              </w:rPr>
              <w:t>①</w:t>
            </w:r>
          </w:p>
        </w:tc>
        <w:tc>
          <w:tcPr>
            <w:tcW w:w="1216" w:type="dxa"/>
            <w:vAlign w:val="center"/>
          </w:tcPr>
          <w:p w:rsidR="001C36D8" w:rsidRPr="00E43B0B" w:rsidRDefault="001C36D8" w:rsidP="001A09F9">
            <w:pPr>
              <w:snapToGrid w:val="0"/>
              <w:spacing w:line="288" w:lineRule="auto"/>
              <w:jc w:val="center"/>
              <w:rPr>
                <w:color w:val="000000"/>
                <w:sz w:val="24"/>
                <w:highlight w:val="green"/>
              </w:rPr>
            </w:pPr>
            <w:r w:rsidRPr="00E43B0B">
              <w:rPr>
                <w:color w:val="000000"/>
                <w:sz w:val="24"/>
              </w:rPr>
              <w:t>净值增长率标准差</w:t>
            </w:r>
            <w:r w:rsidRPr="00E43B0B">
              <w:rPr>
                <w:rFonts w:ascii="宋体" w:hAnsi="宋体" w:cs="宋体" w:hint="eastAsia"/>
                <w:color w:val="000000"/>
                <w:sz w:val="24"/>
              </w:rPr>
              <w:t>②</w:t>
            </w:r>
          </w:p>
        </w:tc>
        <w:tc>
          <w:tcPr>
            <w:tcW w:w="1216"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业绩比较基准收益率</w:t>
            </w:r>
            <w:r w:rsidRPr="00E43B0B">
              <w:rPr>
                <w:rFonts w:ascii="宋体" w:hAnsi="宋体" w:cs="宋体" w:hint="eastAsia"/>
                <w:color w:val="000000"/>
                <w:sz w:val="24"/>
              </w:rPr>
              <w:t>③</w:t>
            </w:r>
          </w:p>
        </w:tc>
        <w:tc>
          <w:tcPr>
            <w:tcW w:w="1216"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业绩比较基准收益率标准差</w:t>
            </w:r>
            <w:r w:rsidRPr="00E43B0B">
              <w:rPr>
                <w:rFonts w:ascii="宋体" w:hAnsi="宋体" w:cs="宋体" w:hint="eastAsia"/>
                <w:color w:val="000000"/>
                <w:sz w:val="24"/>
              </w:rPr>
              <w:t>④</w:t>
            </w:r>
          </w:p>
        </w:tc>
        <w:tc>
          <w:tcPr>
            <w:tcW w:w="1217" w:type="dxa"/>
            <w:vAlign w:val="center"/>
          </w:tcPr>
          <w:p w:rsidR="001C36D8" w:rsidRPr="00E43B0B" w:rsidRDefault="001C36D8" w:rsidP="001A09F9">
            <w:pPr>
              <w:snapToGrid w:val="0"/>
              <w:spacing w:line="288" w:lineRule="auto"/>
              <w:jc w:val="center"/>
              <w:rPr>
                <w:color w:val="000000"/>
                <w:sz w:val="24"/>
              </w:rPr>
            </w:pPr>
            <w:r w:rsidRPr="00E43B0B">
              <w:rPr>
                <w:rFonts w:ascii="宋体" w:hAnsi="宋体" w:cs="宋体" w:hint="eastAsia"/>
                <w:color w:val="000000"/>
                <w:sz w:val="24"/>
              </w:rPr>
              <w:t>①</w:t>
            </w:r>
            <w:r w:rsidRPr="00E43B0B">
              <w:rPr>
                <w:color w:val="000000"/>
                <w:sz w:val="24"/>
              </w:rPr>
              <w:t>－</w:t>
            </w:r>
            <w:r w:rsidRPr="00E43B0B">
              <w:rPr>
                <w:rFonts w:ascii="宋体" w:hAnsi="宋体" w:cs="宋体" w:hint="eastAsia"/>
                <w:color w:val="000000"/>
                <w:sz w:val="24"/>
              </w:rPr>
              <w:t>③</w:t>
            </w:r>
          </w:p>
        </w:tc>
        <w:tc>
          <w:tcPr>
            <w:tcW w:w="1217" w:type="dxa"/>
            <w:vAlign w:val="center"/>
          </w:tcPr>
          <w:p w:rsidR="001C36D8" w:rsidRPr="00E43B0B" w:rsidRDefault="001C36D8" w:rsidP="001A09F9">
            <w:pPr>
              <w:snapToGrid w:val="0"/>
              <w:spacing w:line="288" w:lineRule="auto"/>
              <w:jc w:val="center"/>
              <w:rPr>
                <w:color w:val="000000"/>
                <w:sz w:val="24"/>
              </w:rPr>
            </w:pPr>
            <w:r w:rsidRPr="00E43B0B">
              <w:rPr>
                <w:rFonts w:ascii="宋体" w:hAnsi="宋体" w:cs="宋体" w:hint="eastAsia"/>
                <w:color w:val="000000"/>
                <w:sz w:val="24"/>
              </w:rPr>
              <w:t>②</w:t>
            </w:r>
            <w:r w:rsidRPr="00E43B0B">
              <w:rPr>
                <w:color w:val="000000"/>
                <w:sz w:val="24"/>
              </w:rPr>
              <w:t>－</w:t>
            </w:r>
            <w:r w:rsidRPr="00E43B0B">
              <w:rPr>
                <w:rFonts w:ascii="宋体" w:hAnsi="宋体" w:cs="宋体" w:hint="eastAsia"/>
                <w:color w:val="000000"/>
                <w:sz w:val="24"/>
              </w:rPr>
              <w:t>④</w:t>
            </w:r>
          </w:p>
        </w:tc>
      </w:tr>
      <w:tr w:rsidR="00C63C53">
        <w:tc>
          <w:tcPr>
            <w:tcW w:w="0" w:type="auto"/>
            <w:vAlign w:val="center"/>
          </w:tcPr>
          <w:p w:rsidR="00C63C53" w:rsidRDefault="001479EF">
            <w:pPr>
              <w:jc w:val="left"/>
            </w:pPr>
            <w:r>
              <w:rPr>
                <w:color w:val="000000"/>
                <w:sz w:val="24"/>
              </w:rPr>
              <w:t>过去三个月</w:t>
            </w:r>
          </w:p>
        </w:tc>
        <w:tc>
          <w:tcPr>
            <w:tcW w:w="0" w:type="auto"/>
            <w:vAlign w:val="center"/>
          </w:tcPr>
          <w:p w:rsidR="00C63C53" w:rsidRDefault="001479EF">
            <w:pPr>
              <w:jc w:val="center"/>
            </w:pPr>
            <w:r>
              <w:rPr>
                <w:color w:val="000000"/>
                <w:sz w:val="24"/>
              </w:rPr>
              <w:t>4.35%</w:t>
            </w:r>
          </w:p>
        </w:tc>
        <w:tc>
          <w:tcPr>
            <w:tcW w:w="0" w:type="auto"/>
            <w:vAlign w:val="center"/>
          </w:tcPr>
          <w:p w:rsidR="00C63C53" w:rsidRDefault="001479EF">
            <w:pPr>
              <w:jc w:val="center"/>
            </w:pPr>
            <w:r>
              <w:rPr>
                <w:color w:val="000000"/>
                <w:sz w:val="24"/>
              </w:rPr>
              <w:t>1.36%</w:t>
            </w:r>
          </w:p>
        </w:tc>
        <w:tc>
          <w:tcPr>
            <w:tcW w:w="0" w:type="auto"/>
            <w:vAlign w:val="center"/>
          </w:tcPr>
          <w:p w:rsidR="00C63C53" w:rsidRDefault="001479EF">
            <w:pPr>
              <w:jc w:val="center"/>
            </w:pPr>
            <w:r>
              <w:rPr>
                <w:color w:val="000000"/>
                <w:sz w:val="24"/>
              </w:rPr>
              <w:t>4.61%</w:t>
            </w:r>
          </w:p>
        </w:tc>
        <w:tc>
          <w:tcPr>
            <w:tcW w:w="0" w:type="auto"/>
            <w:vAlign w:val="center"/>
          </w:tcPr>
          <w:p w:rsidR="00C63C53" w:rsidRDefault="001479EF">
            <w:pPr>
              <w:jc w:val="center"/>
            </w:pPr>
            <w:r>
              <w:rPr>
                <w:color w:val="000000"/>
                <w:sz w:val="24"/>
              </w:rPr>
              <w:t>1.37%</w:t>
            </w:r>
          </w:p>
        </w:tc>
        <w:tc>
          <w:tcPr>
            <w:tcW w:w="0" w:type="auto"/>
            <w:vAlign w:val="center"/>
          </w:tcPr>
          <w:p w:rsidR="00C63C53" w:rsidRDefault="001479EF">
            <w:pPr>
              <w:jc w:val="center"/>
            </w:pPr>
            <w:r>
              <w:rPr>
                <w:color w:val="000000"/>
                <w:sz w:val="24"/>
              </w:rPr>
              <w:t>-0.26%</w:t>
            </w:r>
          </w:p>
        </w:tc>
        <w:tc>
          <w:tcPr>
            <w:tcW w:w="0" w:type="auto"/>
            <w:vAlign w:val="center"/>
          </w:tcPr>
          <w:p w:rsidR="00C63C53" w:rsidRDefault="001479EF">
            <w:pPr>
              <w:jc w:val="center"/>
            </w:pPr>
            <w:r>
              <w:rPr>
                <w:color w:val="000000"/>
                <w:sz w:val="24"/>
              </w:rPr>
              <w:t>-0.01%</w:t>
            </w:r>
          </w:p>
        </w:tc>
      </w:tr>
    </w:tbl>
    <w:p w:rsidR="001C36D8" w:rsidRPr="00272E0C" w:rsidRDefault="001C36D8" w:rsidP="003A4DA3">
      <w:pPr>
        <w:spacing w:line="360" w:lineRule="auto"/>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cs="Arial"/>
            <w:b/>
            <w:color w:val="000000"/>
            <w:kern w:val="0"/>
            <w:sz w:val="24"/>
          </w:rPr>
          <w:t>3.2.2</w:t>
        </w:r>
        <w:r w:rsidR="00193F07" w:rsidRPr="00370BEA">
          <w:rPr>
            <w:rStyle w:val="af8"/>
            <w:rFonts w:hint="eastAsia"/>
            <w:color w:val="000000"/>
            <w:sz w:val="24"/>
            <w:shd w:val="clear" w:color="auto" w:fill="FFFFFF"/>
          </w:rPr>
          <w:t>自基金合同生效以来</w:t>
        </w:r>
      </w:smartTag>
      <w:r w:rsidRPr="00272E0C">
        <w:rPr>
          <w:rFonts w:ascii="宋体" w:hAnsi="宋体" w:hint="eastAsia"/>
          <w:b/>
          <w:bCs/>
          <w:color w:val="000000"/>
          <w:sz w:val="24"/>
        </w:rPr>
        <w:t>基金累计净值增长率变动及其与同期业绩比较基准收益率变动的比较</w:t>
      </w:r>
    </w:p>
    <w:p w:rsidR="001C36D8" w:rsidRPr="00E43B0B" w:rsidRDefault="001C36D8" w:rsidP="003A4DA3">
      <w:pPr>
        <w:spacing w:line="360" w:lineRule="auto"/>
        <w:jc w:val="center"/>
        <w:rPr>
          <w:sz w:val="24"/>
        </w:rPr>
      </w:pPr>
      <w:r w:rsidRPr="00E43B0B">
        <w:rPr>
          <w:sz w:val="24"/>
        </w:rPr>
        <w:t>易方达生物科技指数分级证券投资基金</w:t>
      </w:r>
    </w:p>
    <w:p w:rsidR="001C36D8" w:rsidRPr="00E43B0B" w:rsidRDefault="006F4C30" w:rsidP="003A4DA3">
      <w:pPr>
        <w:pStyle w:val="a5"/>
        <w:snapToGrid w:val="0"/>
        <w:spacing w:line="360" w:lineRule="auto"/>
        <w:jc w:val="center"/>
        <w:rPr>
          <w:rFonts w:ascii="Times New Roman" w:hAnsi="Times New Roman"/>
          <w:color w:val="000000"/>
          <w:sz w:val="24"/>
          <w:szCs w:val="24"/>
        </w:rPr>
      </w:pPr>
      <w:r w:rsidRPr="00E43B0B">
        <w:rPr>
          <w:rFonts w:ascii="Times New Roman" w:hAnsi="Times New Roman"/>
          <w:color w:val="000000"/>
          <w:sz w:val="24"/>
          <w:szCs w:val="24"/>
        </w:rPr>
        <w:t>累计</w:t>
      </w:r>
      <w:r w:rsidR="001C36D8" w:rsidRPr="00E43B0B">
        <w:rPr>
          <w:rFonts w:ascii="Times New Roman" w:hAnsi="Times New Roman"/>
          <w:color w:val="000000"/>
          <w:sz w:val="24"/>
          <w:szCs w:val="24"/>
        </w:rPr>
        <w:t>净值增长率与业绩比较基准收益率历史走势对比图</w:t>
      </w:r>
    </w:p>
    <w:p w:rsidR="001C36D8" w:rsidRPr="00E43B0B" w:rsidRDefault="001C36D8" w:rsidP="003A4DA3">
      <w:pPr>
        <w:spacing w:line="360" w:lineRule="auto"/>
        <w:jc w:val="center"/>
        <w:rPr>
          <w:sz w:val="24"/>
        </w:rPr>
      </w:pPr>
      <w:r w:rsidRPr="00E43B0B">
        <w:rPr>
          <w:color w:val="000000"/>
          <w:kern w:val="0"/>
          <w:sz w:val="24"/>
        </w:rPr>
        <w:t>（</w:t>
      </w:r>
      <w:r w:rsidRPr="00E43B0B">
        <w:rPr>
          <w:color w:val="000000"/>
          <w:kern w:val="0"/>
          <w:sz w:val="24"/>
        </w:rPr>
        <w:t>2015</w:t>
      </w:r>
      <w:r w:rsidRPr="00E43B0B">
        <w:rPr>
          <w:color w:val="000000"/>
          <w:kern w:val="0"/>
          <w:sz w:val="24"/>
        </w:rPr>
        <w:t>年</w:t>
      </w:r>
      <w:r w:rsidRPr="00E43B0B">
        <w:rPr>
          <w:color w:val="000000"/>
          <w:kern w:val="0"/>
          <w:sz w:val="24"/>
        </w:rPr>
        <w:t>6</w:t>
      </w:r>
      <w:r w:rsidRPr="00E43B0B">
        <w:rPr>
          <w:color w:val="000000"/>
          <w:kern w:val="0"/>
          <w:sz w:val="24"/>
        </w:rPr>
        <w:t>月</w:t>
      </w:r>
      <w:r w:rsidRPr="00E43B0B">
        <w:rPr>
          <w:color w:val="000000"/>
          <w:kern w:val="0"/>
          <w:sz w:val="24"/>
        </w:rPr>
        <w:t>3</w:t>
      </w:r>
      <w:r w:rsidRPr="00E43B0B">
        <w:rPr>
          <w:color w:val="000000"/>
          <w:kern w:val="0"/>
          <w:sz w:val="24"/>
        </w:rPr>
        <w:t>日至</w:t>
      </w:r>
      <w:r w:rsidRPr="00E43B0B">
        <w:rPr>
          <w:color w:val="000000"/>
          <w:kern w:val="0"/>
          <w:sz w:val="24"/>
        </w:rPr>
        <w:t>2019</w:t>
      </w:r>
      <w:r w:rsidRPr="00E43B0B">
        <w:rPr>
          <w:color w:val="000000"/>
          <w:kern w:val="0"/>
          <w:sz w:val="24"/>
        </w:rPr>
        <w:t>年</w:t>
      </w:r>
      <w:r w:rsidRPr="00E43B0B">
        <w:rPr>
          <w:color w:val="000000"/>
          <w:kern w:val="0"/>
          <w:sz w:val="24"/>
        </w:rPr>
        <w:t>12</w:t>
      </w:r>
      <w:r w:rsidRPr="00E43B0B">
        <w:rPr>
          <w:color w:val="000000"/>
          <w:kern w:val="0"/>
          <w:sz w:val="24"/>
        </w:rPr>
        <w:t>月</w:t>
      </w:r>
      <w:r w:rsidRPr="00E43B0B">
        <w:rPr>
          <w:color w:val="000000"/>
          <w:kern w:val="0"/>
          <w:sz w:val="24"/>
        </w:rPr>
        <w:t>31</w:t>
      </w:r>
      <w:r w:rsidRPr="00E43B0B">
        <w:rPr>
          <w:color w:val="000000"/>
          <w:kern w:val="0"/>
          <w:sz w:val="24"/>
        </w:rPr>
        <w:t>日）</w:t>
      </w:r>
    </w:p>
    <w:p w:rsidR="001C36D8" w:rsidRPr="00272E0C" w:rsidRDefault="001479EF" w:rsidP="0042253F">
      <w:pPr>
        <w:tabs>
          <w:tab w:val="left" w:pos="180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1.75pt;height:241.5pt;visibility:visible">
            <v:imagedata r:id="rId9" o:title=""/>
          </v:shape>
        </w:pict>
      </w:r>
    </w:p>
    <w:p w:rsidR="001C36D8" w:rsidRPr="00E43B0B" w:rsidRDefault="001C36D8" w:rsidP="00E43B0B">
      <w:pPr>
        <w:spacing w:line="360" w:lineRule="auto"/>
        <w:ind w:firstLineChars="200" w:firstLine="480"/>
        <w:rPr>
          <w:color w:val="000000"/>
          <w:sz w:val="24"/>
        </w:rPr>
      </w:pPr>
      <w:r w:rsidRPr="003D22BD">
        <w:rPr>
          <w:color w:val="000000"/>
          <w:sz w:val="24"/>
        </w:rPr>
        <w:t>注：自基金合同生效至报告期末，基金份额净值增长率为</w:t>
      </w:r>
      <w:r w:rsidRPr="003D22BD">
        <w:rPr>
          <w:color w:val="000000"/>
          <w:sz w:val="24"/>
        </w:rPr>
        <w:t>-17.94%</w:t>
      </w:r>
      <w:r w:rsidRPr="003D22BD">
        <w:rPr>
          <w:color w:val="000000"/>
          <w:sz w:val="24"/>
        </w:rPr>
        <w:t>，同期业绩比较基准收益率为</w:t>
      </w:r>
      <w:r w:rsidRPr="003D22BD">
        <w:rPr>
          <w:color w:val="000000"/>
          <w:sz w:val="24"/>
        </w:rPr>
        <w:t>-20.18%</w:t>
      </w:r>
      <w:r w:rsidRPr="003D22BD">
        <w:rPr>
          <w:color w:val="000000"/>
          <w:sz w:val="24"/>
        </w:rPr>
        <w:t>。</w:t>
      </w:r>
    </w:p>
    <w:p w:rsidR="001C36D8" w:rsidRPr="00E43B0B" w:rsidRDefault="001C36D8" w:rsidP="00D3705B">
      <w:pPr>
        <w:tabs>
          <w:tab w:val="left" w:pos="1800"/>
        </w:tabs>
        <w:spacing w:line="288" w:lineRule="auto"/>
        <w:rPr>
          <w:color w:val="000000"/>
          <w:sz w:val="24"/>
        </w:rPr>
      </w:pP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4  </w:t>
      </w:r>
      <w:r w:rsidRPr="00272E0C">
        <w:rPr>
          <w:rFonts w:ascii="宋体" w:hAnsi="宋体" w:cs="Arial" w:hint="eastAsia"/>
          <w:color w:val="000000"/>
          <w:kern w:val="0"/>
          <w:sz w:val="24"/>
          <w:szCs w:val="24"/>
        </w:rPr>
        <w:t>管理人报告</w:t>
      </w:r>
    </w:p>
    <w:p w:rsidR="005C6DF3" w:rsidRPr="0078105B" w:rsidRDefault="001C36D8" w:rsidP="005C6DF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4.1 </w:t>
      </w:r>
      <w:r w:rsidRPr="00272E0C">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5C6DF3" w:rsidRPr="0078105B" w:rsidTr="00B7074C">
        <w:trPr>
          <w:cantSplit/>
        </w:trPr>
        <w:tc>
          <w:tcPr>
            <w:tcW w:w="567"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5C6DF3" w:rsidRPr="0078105B" w:rsidTr="00B7074C">
        <w:trPr>
          <w:cantSplit/>
        </w:trPr>
        <w:tc>
          <w:tcPr>
            <w:tcW w:w="567"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2835" w:type="dxa"/>
            <w:vMerge/>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851" w:type="dxa"/>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2977"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r>
      <w:tr w:rsidR="00C63C53">
        <w:tc>
          <w:tcPr>
            <w:tcW w:w="0" w:type="auto"/>
            <w:vAlign w:val="center"/>
          </w:tcPr>
          <w:p w:rsidR="00C63C53" w:rsidRDefault="001479EF">
            <w:pPr>
              <w:jc w:val="center"/>
            </w:pPr>
            <w:r>
              <w:rPr>
                <w:color w:val="000000"/>
                <w:sz w:val="24"/>
              </w:rPr>
              <w:t>成曦</w:t>
            </w:r>
          </w:p>
        </w:tc>
        <w:tc>
          <w:tcPr>
            <w:tcW w:w="0" w:type="auto"/>
            <w:vAlign w:val="center"/>
          </w:tcPr>
          <w:p w:rsidR="00C63C53" w:rsidRDefault="001479EF">
            <w:pPr>
              <w:jc w:val="center"/>
            </w:pPr>
            <w:r>
              <w:rPr>
                <w:color w:val="000000"/>
                <w:sz w:val="24"/>
              </w:rPr>
              <w:t>本基金的基金经理、易方达中小板指数证券投资基金（</w:t>
            </w:r>
            <w:r>
              <w:rPr>
                <w:color w:val="000000"/>
                <w:sz w:val="24"/>
              </w:rPr>
              <w:t>LOF</w:t>
            </w:r>
            <w:r>
              <w:rPr>
                <w:color w:val="000000"/>
                <w:sz w:val="24"/>
              </w:rPr>
              <w:t>）（原易方达中小板指数分级证券投资基金）的基金经理、易方达原油证券投资基金（</w:t>
            </w:r>
            <w:r>
              <w:rPr>
                <w:color w:val="000000"/>
                <w:sz w:val="24"/>
              </w:rPr>
              <w:t>QDII</w:t>
            </w:r>
            <w:r>
              <w:rPr>
                <w:color w:val="000000"/>
                <w:sz w:val="24"/>
              </w:rPr>
              <w:t>）的基金经理、易方达银行指数分级证券投资基金的基金经理、易方达深证</w:t>
            </w:r>
            <w:r>
              <w:rPr>
                <w:color w:val="000000"/>
                <w:sz w:val="24"/>
              </w:rPr>
              <w:t>100</w:t>
            </w:r>
            <w:r>
              <w:rPr>
                <w:color w:val="000000"/>
                <w:sz w:val="24"/>
              </w:rPr>
              <w:t>交易型开放式指数证券投资基金联接基金的基金经理、易方达深证</w:t>
            </w:r>
            <w:r>
              <w:rPr>
                <w:color w:val="000000"/>
                <w:sz w:val="24"/>
              </w:rPr>
              <w:t>100</w:t>
            </w:r>
            <w:r>
              <w:rPr>
                <w:color w:val="000000"/>
                <w:sz w:val="24"/>
              </w:rPr>
              <w:t>交易型开放式指数基金的基金经理、易方达上证</w:t>
            </w:r>
            <w:r>
              <w:rPr>
                <w:color w:val="000000"/>
                <w:sz w:val="24"/>
              </w:rPr>
              <w:t>50</w:t>
            </w:r>
            <w:r>
              <w:rPr>
                <w:color w:val="000000"/>
                <w:sz w:val="24"/>
              </w:rPr>
              <w:t>交易型开放式指数证券投资基金发起式联接基金的基金经理、易方达上证</w:t>
            </w:r>
            <w:r>
              <w:rPr>
                <w:color w:val="000000"/>
                <w:sz w:val="24"/>
              </w:rPr>
              <w:t>50</w:t>
            </w:r>
            <w:r>
              <w:rPr>
                <w:color w:val="000000"/>
                <w:sz w:val="24"/>
              </w:rPr>
              <w:t>交易型开放式指数证券投资基金的基金经理、易方达纳斯达克</w:t>
            </w:r>
            <w:r>
              <w:rPr>
                <w:color w:val="000000"/>
                <w:sz w:val="24"/>
              </w:rPr>
              <w:t>100</w:t>
            </w:r>
            <w:r>
              <w:rPr>
                <w:color w:val="000000"/>
                <w:sz w:val="24"/>
              </w:rPr>
              <w:t>指数证券投资基金（</w:t>
            </w:r>
            <w:r>
              <w:rPr>
                <w:color w:val="000000"/>
                <w:sz w:val="24"/>
              </w:rPr>
              <w:t>LOF</w:t>
            </w:r>
            <w:r>
              <w:rPr>
                <w:color w:val="000000"/>
                <w:sz w:val="24"/>
              </w:rPr>
              <w:t>）的基金经理、易方达恒生中国企业交易型开</w:t>
            </w:r>
            <w:r>
              <w:rPr>
                <w:color w:val="000000"/>
                <w:sz w:val="24"/>
              </w:rPr>
              <w:t>放式指数证券投资基金联接基金的基金经理、易方达恒生中国企业交易型开放式指数证券投资基金的基金经理、易方达创业板交易型开放式指数证券投资基金联接基金的基金经理、易方达创业板交易型开放式指数证券投资基金的基金经理、易方达并购重组指数分级证券投资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股国际通交易型开放式指数证券投资基金发起式联接基金的基金经理、易方达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股国际通交易型开放式指数证券投资基金的基金经理</w:t>
            </w:r>
          </w:p>
        </w:tc>
        <w:tc>
          <w:tcPr>
            <w:tcW w:w="0" w:type="auto"/>
            <w:vAlign w:val="center"/>
          </w:tcPr>
          <w:p w:rsidR="00C63C53" w:rsidRDefault="001479EF">
            <w:pPr>
              <w:jc w:val="center"/>
            </w:pPr>
            <w:r>
              <w:rPr>
                <w:color w:val="000000"/>
                <w:sz w:val="24"/>
              </w:rPr>
              <w:t>2016-05-07</w:t>
            </w:r>
          </w:p>
        </w:tc>
        <w:tc>
          <w:tcPr>
            <w:tcW w:w="0" w:type="auto"/>
            <w:vAlign w:val="center"/>
          </w:tcPr>
          <w:p w:rsidR="00C63C53" w:rsidRDefault="001479EF">
            <w:pPr>
              <w:jc w:val="center"/>
            </w:pPr>
            <w:r>
              <w:rPr>
                <w:color w:val="000000"/>
                <w:sz w:val="24"/>
              </w:rPr>
              <w:t>-</w:t>
            </w:r>
          </w:p>
        </w:tc>
        <w:tc>
          <w:tcPr>
            <w:tcW w:w="0" w:type="auto"/>
            <w:vAlign w:val="center"/>
          </w:tcPr>
          <w:p w:rsidR="00C63C53" w:rsidRDefault="001479EF">
            <w:pPr>
              <w:jc w:val="center"/>
            </w:pPr>
            <w:r>
              <w:rPr>
                <w:color w:val="000000"/>
                <w:sz w:val="24"/>
              </w:rPr>
              <w:t>11</w:t>
            </w:r>
            <w:r>
              <w:rPr>
                <w:color w:val="000000"/>
                <w:sz w:val="24"/>
              </w:rPr>
              <w:t>年</w:t>
            </w:r>
          </w:p>
        </w:tc>
        <w:tc>
          <w:tcPr>
            <w:tcW w:w="0" w:type="auto"/>
            <w:vAlign w:val="center"/>
          </w:tcPr>
          <w:p w:rsidR="00C63C53" w:rsidRDefault="001479EF">
            <w:r>
              <w:rPr>
                <w:color w:val="000000"/>
                <w:sz w:val="24"/>
              </w:rPr>
              <w:t>硕士研究生，具有基金从业资格。曾任华泰联合证券资产管理部研究员，易方达基</w:t>
            </w:r>
            <w:r>
              <w:rPr>
                <w:color w:val="000000"/>
                <w:sz w:val="24"/>
              </w:rPr>
              <w:t>金管理有限公司集中交易室交易员、指数与量化投资部指数基金运作专员、基金经理助理、易方达深证成指交易型开放式指数证券投资基金基金经理、易方达深证成指交易型开放式指数证券投资基金联接基金基金经理。</w:t>
            </w:r>
          </w:p>
        </w:tc>
      </w:tr>
      <w:tr w:rsidR="00C63C53">
        <w:tc>
          <w:tcPr>
            <w:tcW w:w="0" w:type="auto"/>
            <w:vAlign w:val="center"/>
          </w:tcPr>
          <w:p w:rsidR="00C63C53" w:rsidRDefault="001479EF">
            <w:pPr>
              <w:jc w:val="center"/>
            </w:pPr>
            <w:r>
              <w:rPr>
                <w:color w:val="000000"/>
                <w:sz w:val="24"/>
              </w:rPr>
              <w:t>刘树荣</w:t>
            </w:r>
          </w:p>
        </w:tc>
        <w:tc>
          <w:tcPr>
            <w:tcW w:w="0" w:type="auto"/>
            <w:vAlign w:val="center"/>
          </w:tcPr>
          <w:p w:rsidR="00C63C53" w:rsidRDefault="001479EF">
            <w:pPr>
              <w:jc w:val="center"/>
            </w:pPr>
            <w:r>
              <w:rPr>
                <w:color w:val="000000"/>
                <w:sz w:val="24"/>
              </w:rPr>
              <w:t>本基金的基金经理、易方达中证</w:t>
            </w:r>
            <w:r>
              <w:rPr>
                <w:color w:val="000000"/>
                <w:sz w:val="24"/>
              </w:rPr>
              <w:t>800</w:t>
            </w:r>
            <w:r>
              <w:rPr>
                <w:color w:val="000000"/>
                <w:sz w:val="24"/>
              </w:rPr>
              <w:t>交易型开放式指数证券投资基金发起式联接基金的基金经理、易方达中证</w:t>
            </w:r>
            <w:r>
              <w:rPr>
                <w:color w:val="000000"/>
                <w:sz w:val="24"/>
              </w:rPr>
              <w:t>800</w:t>
            </w:r>
            <w:r>
              <w:rPr>
                <w:color w:val="000000"/>
                <w:sz w:val="24"/>
              </w:rPr>
              <w:t>交易型开放式指数证券投资基金的基金经理、易方达中小板指数证券投资基金（</w:t>
            </w:r>
            <w:r>
              <w:rPr>
                <w:color w:val="000000"/>
                <w:sz w:val="24"/>
              </w:rPr>
              <w:t>LOF</w:t>
            </w:r>
            <w:r>
              <w:rPr>
                <w:color w:val="000000"/>
                <w:sz w:val="24"/>
              </w:rPr>
              <w:t>）（原易方达中小板指数分级证券投资基金）的基金经理、易方达银行指数分级证券投资基金的基金经理、易方达香港恒生综合小型股指数证券投资基金（</w:t>
            </w:r>
            <w:r>
              <w:rPr>
                <w:color w:val="000000"/>
                <w:sz w:val="24"/>
              </w:rPr>
              <w:t>LOF</w:t>
            </w:r>
            <w:r>
              <w:rPr>
                <w:color w:val="000000"/>
                <w:sz w:val="24"/>
              </w:rPr>
              <w:t>）的基金经理、易方达深证</w:t>
            </w:r>
            <w:r>
              <w:rPr>
                <w:color w:val="000000"/>
                <w:sz w:val="24"/>
              </w:rPr>
              <w:t>100</w:t>
            </w:r>
            <w:r>
              <w:rPr>
                <w:color w:val="000000"/>
                <w:sz w:val="24"/>
              </w:rPr>
              <w:t>交易型开放式指数证券投资基金联接基金的基金经理、易方达深证</w:t>
            </w:r>
            <w:r>
              <w:rPr>
                <w:color w:val="000000"/>
                <w:sz w:val="24"/>
              </w:rPr>
              <w:t>100</w:t>
            </w:r>
            <w:r>
              <w:rPr>
                <w:color w:val="000000"/>
                <w:sz w:val="24"/>
              </w:rPr>
              <w:t>交易型开放式指数基金的基金经理、易方达上证中盘交易型开放式指数证券投资基金联接基金的基金经理、易</w:t>
            </w:r>
            <w:r>
              <w:rPr>
                <w:color w:val="000000"/>
                <w:sz w:val="24"/>
              </w:rPr>
              <w:t>方达上证中盘交易型开放式指数证券投资基金的基金经理、易方达创业板交易型开放式指数证券投资基金联接基金的基金经理、易方达创业板交易型开放式指数证券投资基金的基金经理、易方达并购重组指数分级证券投资基金的基金经理、易方达标普医疗保健指数证券投资基金（</w:t>
            </w:r>
            <w:r>
              <w:rPr>
                <w:color w:val="000000"/>
                <w:sz w:val="24"/>
              </w:rPr>
              <w:t>LOF</w:t>
            </w:r>
            <w:r>
              <w:rPr>
                <w:color w:val="000000"/>
                <w:sz w:val="24"/>
              </w:rPr>
              <w:t>）的基金经理、易方达标普信息科技指数证券投资基金（</w:t>
            </w:r>
            <w:r>
              <w:rPr>
                <w:color w:val="000000"/>
                <w:sz w:val="24"/>
              </w:rPr>
              <w:t>LOF</w:t>
            </w:r>
            <w:r>
              <w:rPr>
                <w:color w:val="000000"/>
                <w:sz w:val="24"/>
              </w:rPr>
              <w:t>）的基金经理、易方达标普生物科技指数证券投资基金（</w:t>
            </w:r>
            <w:r>
              <w:rPr>
                <w:color w:val="000000"/>
                <w:sz w:val="24"/>
              </w:rPr>
              <w:t>LOF</w:t>
            </w:r>
            <w:r>
              <w:rPr>
                <w:color w:val="000000"/>
                <w:sz w:val="24"/>
              </w:rPr>
              <w:t>）的基金经理、易方达标普</w:t>
            </w:r>
            <w:r>
              <w:rPr>
                <w:color w:val="000000"/>
                <w:sz w:val="24"/>
              </w:rPr>
              <w:t>500</w:t>
            </w:r>
            <w:r>
              <w:rPr>
                <w:color w:val="000000"/>
                <w:sz w:val="24"/>
              </w:rPr>
              <w:t>指数证券投资基金（</w:t>
            </w:r>
            <w:r>
              <w:rPr>
                <w:color w:val="000000"/>
                <w:sz w:val="24"/>
              </w:rPr>
              <w:t>LOF</w:t>
            </w:r>
            <w:r>
              <w:rPr>
                <w:color w:val="000000"/>
                <w:sz w:val="24"/>
              </w:rPr>
              <w:t>）的基金经理</w:t>
            </w:r>
          </w:p>
        </w:tc>
        <w:tc>
          <w:tcPr>
            <w:tcW w:w="0" w:type="auto"/>
            <w:vAlign w:val="center"/>
          </w:tcPr>
          <w:p w:rsidR="00C63C53" w:rsidRDefault="001479EF">
            <w:pPr>
              <w:jc w:val="center"/>
            </w:pPr>
            <w:r>
              <w:rPr>
                <w:color w:val="000000"/>
                <w:sz w:val="24"/>
              </w:rPr>
              <w:t>2017-07-18</w:t>
            </w:r>
          </w:p>
        </w:tc>
        <w:tc>
          <w:tcPr>
            <w:tcW w:w="0" w:type="auto"/>
            <w:vAlign w:val="center"/>
          </w:tcPr>
          <w:p w:rsidR="00C63C53" w:rsidRDefault="001479EF">
            <w:pPr>
              <w:jc w:val="center"/>
            </w:pPr>
            <w:r>
              <w:rPr>
                <w:color w:val="000000"/>
                <w:sz w:val="24"/>
              </w:rPr>
              <w:t>-</w:t>
            </w:r>
          </w:p>
        </w:tc>
        <w:tc>
          <w:tcPr>
            <w:tcW w:w="0" w:type="auto"/>
            <w:vAlign w:val="center"/>
          </w:tcPr>
          <w:p w:rsidR="00C63C53" w:rsidRDefault="001479EF">
            <w:pPr>
              <w:jc w:val="center"/>
            </w:pPr>
            <w:r>
              <w:rPr>
                <w:color w:val="000000"/>
                <w:sz w:val="24"/>
              </w:rPr>
              <w:t>12</w:t>
            </w:r>
            <w:r>
              <w:rPr>
                <w:color w:val="000000"/>
                <w:sz w:val="24"/>
              </w:rPr>
              <w:t>年</w:t>
            </w:r>
          </w:p>
        </w:tc>
        <w:tc>
          <w:tcPr>
            <w:tcW w:w="0" w:type="auto"/>
            <w:vAlign w:val="center"/>
          </w:tcPr>
          <w:p w:rsidR="00C63C53" w:rsidRDefault="001479EF">
            <w:r>
              <w:rPr>
                <w:color w:val="000000"/>
                <w:sz w:val="24"/>
              </w:rPr>
              <w:t>硕士研究生，具有基金从业资格。曾任招商银行资产</w:t>
            </w:r>
            <w:r>
              <w:rPr>
                <w:color w:val="000000"/>
                <w:sz w:val="24"/>
              </w:rPr>
              <w:t>托管部基金会计，易方达基金管理有限公司核算部基金核算专员、指数与量化投资部运作支持专员、基金经理助理、易方达深证成指交易型开放式指数证券投资基金基金经理、易方达深证成指交易型开放式指数证券投资基金联接基金基金经理。</w:t>
            </w:r>
          </w:p>
        </w:tc>
      </w:tr>
    </w:tbl>
    <w:p w:rsidR="00C63C53" w:rsidRDefault="001479EF">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CB041A" w:rsidRPr="00232B03" w:rsidRDefault="005C6DF3" w:rsidP="005C6DF3">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1C36D8" w:rsidRPr="00272E0C" w:rsidRDefault="001C36D8" w:rsidP="00CB041A">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4.2</w:t>
      </w:r>
      <w:r w:rsidRPr="00272E0C">
        <w:rPr>
          <w:rFonts w:ascii="宋体" w:hAnsi="宋体" w:hint="eastAsia"/>
          <w:b/>
          <w:bCs/>
          <w:color w:val="000000"/>
          <w:sz w:val="24"/>
        </w:rPr>
        <w:t>管理人对报告期内本基金运作遵规守信情况的说明</w:t>
      </w:r>
    </w:p>
    <w:p w:rsidR="001C36D8" w:rsidRPr="00E43B0B" w:rsidRDefault="001C36D8" w:rsidP="00E43B0B">
      <w:pPr>
        <w:spacing w:line="360" w:lineRule="auto"/>
        <w:ind w:firstLineChars="200" w:firstLine="480"/>
        <w:rPr>
          <w:color w:val="000000"/>
          <w:sz w:val="24"/>
        </w:rPr>
      </w:pPr>
      <w:r w:rsidRPr="003D22BD">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4.3 </w:t>
      </w:r>
      <w:r w:rsidRPr="00272E0C">
        <w:rPr>
          <w:rFonts w:ascii="宋体" w:hAnsi="宋体" w:cs="Arial" w:hint="eastAsia"/>
          <w:b/>
          <w:color w:val="000000"/>
          <w:kern w:val="0"/>
          <w:sz w:val="24"/>
        </w:rPr>
        <w:t>公平交易专项说明</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4.3.1</w:t>
        </w:r>
      </w:smartTag>
      <w:r w:rsidRPr="00272E0C">
        <w:rPr>
          <w:rFonts w:ascii="宋体" w:hAnsi="宋体" w:hint="eastAsia"/>
          <w:sz w:val="24"/>
        </w:rPr>
        <w:t>公平交易制度的执行情况</w:t>
      </w:r>
    </w:p>
    <w:p w:rsidR="001C36D8" w:rsidRPr="003D22BD" w:rsidRDefault="001C36D8" w:rsidP="0015779C">
      <w:pPr>
        <w:spacing w:line="360" w:lineRule="auto"/>
        <w:ind w:firstLineChars="200" w:firstLine="480"/>
        <w:rPr>
          <w:color w:val="000000"/>
          <w:sz w:val="24"/>
        </w:rPr>
      </w:pPr>
      <w:r w:rsidRPr="003D22BD">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3D22BD">
        <w:rPr>
          <w:color w:val="000000"/>
          <w:sz w:val="24"/>
        </w:rPr>
        <w:t>“</w:t>
      </w:r>
      <w:r w:rsidRPr="003D22BD">
        <w:rPr>
          <w:color w:val="000000"/>
          <w:sz w:val="24"/>
        </w:rPr>
        <w:t>时间优先、价格优先</w:t>
      </w:r>
      <w:r w:rsidRPr="003D22BD">
        <w:rPr>
          <w:color w:val="000000"/>
          <w:sz w:val="24"/>
        </w:rPr>
        <w:t>”</w:t>
      </w:r>
      <w:r w:rsidRPr="003D22BD">
        <w:rPr>
          <w:color w:val="000000"/>
          <w:sz w:val="24"/>
        </w:rPr>
        <w:t>作为执行指令的基本原则，通过投资交易系统中的公平交易模块，以尽可能确保公平对待各投资组合。本报告期内，公平交易制度总体执行情况良好。</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4.3.2</w:t>
        </w:r>
      </w:smartTag>
      <w:r w:rsidRPr="00272E0C">
        <w:rPr>
          <w:rFonts w:ascii="宋体" w:hAnsi="宋体" w:hint="eastAsia"/>
          <w:sz w:val="24"/>
        </w:rPr>
        <w:t>异常交易行为的专项说明</w:t>
      </w:r>
    </w:p>
    <w:p w:rsidR="00C63C53" w:rsidRDefault="001479EF">
      <w:pPr>
        <w:spacing w:line="360" w:lineRule="auto"/>
        <w:ind w:firstLineChars="200" w:firstLine="480"/>
        <w:rPr>
          <w:color w:val="000000"/>
          <w:sz w:val="24"/>
        </w:rPr>
      </w:pPr>
      <w:r>
        <w:rPr>
          <w:color w:val="000000"/>
          <w:sz w:val="24"/>
        </w:rPr>
        <w:t>本报告期内，公司旗下所有投资组合参与的交易所公开竞价交易中，同日反向交易</w:t>
      </w:r>
      <w:r>
        <w:rPr>
          <w:color w:val="000000"/>
          <w:sz w:val="24"/>
        </w:rPr>
        <w:t>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1C36D8" w:rsidRPr="00E43B0B" w:rsidRDefault="001C36D8" w:rsidP="00E43B0B">
      <w:pPr>
        <w:spacing w:line="360" w:lineRule="auto"/>
        <w:ind w:firstLineChars="200" w:firstLine="480"/>
        <w:rPr>
          <w:color w:val="000000"/>
          <w:sz w:val="24"/>
        </w:rPr>
      </w:pPr>
      <w:r w:rsidRPr="003D22BD">
        <w:rPr>
          <w:color w:val="000000"/>
          <w:sz w:val="24"/>
        </w:rPr>
        <w:t>本报告期内，未发现本基金有可能导致不公平交易和利益输送的异常交易。</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4.4 </w:t>
      </w:r>
      <w:r w:rsidRPr="00272E0C">
        <w:rPr>
          <w:rFonts w:ascii="宋体" w:hAnsi="宋体" w:cs="Arial" w:hint="eastAsia"/>
          <w:b/>
          <w:color w:val="000000"/>
          <w:kern w:val="0"/>
          <w:sz w:val="24"/>
        </w:rPr>
        <w:t>报告期内基金的投资策略和业绩表现说明</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4.4.1</w:t>
        </w:r>
      </w:smartTag>
      <w:r w:rsidRPr="00272E0C">
        <w:rPr>
          <w:rFonts w:ascii="宋体" w:hAnsi="宋体" w:hint="eastAsia"/>
          <w:sz w:val="24"/>
        </w:rPr>
        <w:t>报告期内基金投资策略和运作分析</w:t>
      </w:r>
    </w:p>
    <w:p w:rsidR="00C63C53" w:rsidRDefault="001479EF">
      <w:pPr>
        <w:spacing w:line="360" w:lineRule="auto"/>
        <w:ind w:firstLineChars="200" w:firstLine="480"/>
        <w:rPr>
          <w:color w:val="000000"/>
          <w:sz w:val="24"/>
        </w:rPr>
      </w:pPr>
      <w:r>
        <w:rPr>
          <w:color w:val="000000"/>
          <w:sz w:val="24"/>
        </w:rPr>
        <w:t>本基金跟踪的标的指数为中证万得生物科技指数，中证万得生物科技指数选取与生物科技相关业务关系密切的最具代表性的上市企业组成，属于新兴</w:t>
      </w:r>
      <w:r>
        <w:rPr>
          <w:color w:val="000000"/>
          <w:sz w:val="24"/>
        </w:rPr>
        <w:t>行业的代表指数之一。报告期内，本基金主要采取完全复制法的投资策略，即完全按照标的指数的成份股组成及其权重构建基金股票投资组合，并根据标的指数成份股及其权重的变动而进行相应调整。</w:t>
      </w:r>
    </w:p>
    <w:p w:rsidR="00C63C53" w:rsidRDefault="001479EF">
      <w:pPr>
        <w:spacing w:line="360" w:lineRule="auto"/>
        <w:ind w:firstLineChars="200" w:firstLine="480"/>
        <w:rPr>
          <w:color w:val="000000"/>
          <w:sz w:val="24"/>
        </w:rPr>
      </w:pPr>
      <w:r>
        <w:rPr>
          <w:color w:val="000000"/>
          <w:sz w:val="24"/>
        </w:rPr>
        <w:t>生物科技板块弹性较大，板块表现受医药、科技类政策及市场情绪影响较大。生物科技板块</w:t>
      </w:r>
      <w:r>
        <w:rPr>
          <w:color w:val="000000"/>
          <w:sz w:val="24"/>
        </w:rPr>
        <w:t>2019</w:t>
      </w:r>
      <w:r>
        <w:rPr>
          <w:color w:val="000000"/>
          <w:sz w:val="24"/>
        </w:rPr>
        <w:t>年行情表现强于市场主要指数。四季度初至</w:t>
      </w:r>
      <w:r>
        <w:rPr>
          <w:color w:val="000000"/>
          <w:sz w:val="24"/>
        </w:rPr>
        <w:t>11</w:t>
      </w:r>
      <w:r>
        <w:rPr>
          <w:color w:val="000000"/>
          <w:sz w:val="24"/>
        </w:rPr>
        <w:t>月中，生物科技指数延续了三季度的强势表现创下年内新高，</w:t>
      </w:r>
      <w:r>
        <w:rPr>
          <w:color w:val="000000"/>
          <w:sz w:val="24"/>
        </w:rPr>
        <w:t>11</w:t>
      </w:r>
      <w:r>
        <w:rPr>
          <w:color w:val="000000"/>
          <w:sz w:val="24"/>
        </w:rPr>
        <w:t>月底受医保谈判结果药价大幅下降等的因素影响下，生物科技板块与医药板块的二级市场走势震荡下行。本报告期内，中证万得生物科技指数上涨</w:t>
      </w:r>
      <w:r>
        <w:rPr>
          <w:color w:val="000000"/>
          <w:sz w:val="24"/>
        </w:rPr>
        <w:t>4.8%</w:t>
      </w:r>
      <w:r>
        <w:rPr>
          <w:color w:val="000000"/>
          <w:sz w:val="24"/>
        </w:rPr>
        <w:t>。</w:t>
      </w:r>
    </w:p>
    <w:p w:rsidR="001C36D8" w:rsidRPr="003D22BD" w:rsidRDefault="001C36D8" w:rsidP="0015779C">
      <w:pPr>
        <w:spacing w:line="360" w:lineRule="auto"/>
        <w:ind w:firstLineChars="200" w:firstLine="480"/>
        <w:rPr>
          <w:color w:val="000000"/>
          <w:sz w:val="24"/>
        </w:rPr>
      </w:pPr>
      <w:r w:rsidRPr="003D22BD">
        <w:rPr>
          <w:color w:val="000000"/>
          <w:sz w:val="24"/>
        </w:rPr>
        <w:t>基金运作层面，报告期内，本基金严守基金合同认真对待投资者申购、赎回以及成分股调整事项，保障基金的正常运作，基金跟踪误差以及日均偏离度等指标控制在合同规定范围之内。</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4.4.2</w:t>
        </w:r>
      </w:smartTag>
      <w:r w:rsidRPr="00272E0C">
        <w:rPr>
          <w:rFonts w:ascii="宋体" w:hAnsi="宋体" w:hint="eastAsia"/>
          <w:sz w:val="24"/>
        </w:rPr>
        <w:t>报告期内基金的业绩表现</w:t>
      </w:r>
    </w:p>
    <w:p w:rsidR="001C36D8" w:rsidRPr="00E43B0B" w:rsidRDefault="001C36D8" w:rsidP="00E43B0B">
      <w:pPr>
        <w:spacing w:line="360" w:lineRule="auto"/>
        <w:ind w:firstLineChars="200" w:firstLine="480"/>
        <w:rPr>
          <w:color w:val="000000"/>
          <w:sz w:val="24"/>
        </w:rPr>
      </w:pPr>
      <w:r w:rsidRPr="003D22BD">
        <w:rPr>
          <w:color w:val="000000"/>
          <w:sz w:val="24"/>
        </w:rPr>
        <w:t>截至报告期末，本基金份额净值为</w:t>
      </w:r>
      <w:r w:rsidRPr="003D22BD">
        <w:rPr>
          <w:color w:val="000000"/>
          <w:sz w:val="24"/>
        </w:rPr>
        <w:t>1.1902</w:t>
      </w:r>
      <w:r w:rsidRPr="003D22BD">
        <w:rPr>
          <w:color w:val="000000"/>
          <w:sz w:val="24"/>
        </w:rPr>
        <w:t>元，本报告期份额净值增长率为</w:t>
      </w:r>
      <w:r w:rsidRPr="003D22BD">
        <w:rPr>
          <w:color w:val="000000"/>
          <w:sz w:val="24"/>
        </w:rPr>
        <w:t>4.35%</w:t>
      </w:r>
      <w:r w:rsidRPr="003D22BD">
        <w:rPr>
          <w:color w:val="000000"/>
          <w:sz w:val="24"/>
        </w:rPr>
        <w:t>，同期业绩比较基准收益率为</w:t>
      </w:r>
      <w:r w:rsidRPr="003D22BD">
        <w:rPr>
          <w:color w:val="000000"/>
          <w:sz w:val="24"/>
        </w:rPr>
        <w:t>4.61%</w:t>
      </w:r>
      <w:r w:rsidRPr="003D22BD">
        <w:rPr>
          <w:color w:val="000000"/>
          <w:sz w:val="24"/>
        </w:rPr>
        <w:t>，日跟踪偏离度的均值为</w:t>
      </w:r>
      <w:r w:rsidRPr="003D22BD">
        <w:rPr>
          <w:color w:val="000000"/>
          <w:sz w:val="24"/>
        </w:rPr>
        <w:t>0.01%</w:t>
      </w:r>
      <w:r w:rsidRPr="003D22BD">
        <w:rPr>
          <w:color w:val="000000"/>
          <w:sz w:val="24"/>
        </w:rPr>
        <w:t>，年化跟踪误差</w:t>
      </w:r>
      <w:r w:rsidRPr="003D22BD">
        <w:rPr>
          <w:color w:val="000000"/>
          <w:sz w:val="24"/>
        </w:rPr>
        <w:t>0.34%</w:t>
      </w:r>
      <w:r w:rsidRPr="003D22BD">
        <w:rPr>
          <w:color w:val="000000"/>
          <w:sz w:val="24"/>
        </w:rPr>
        <w:t>，在合同规定的目标控制范围之内。</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5  </w:t>
      </w:r>
      <w:r w:rsidRPr="00272E0C">
        <w:rPr>
          <w:rFonts w:ascii="宋体" w:hAnsi="宋体" w:cs="Arial" w:hint="eastAsia"/>
          <w:color w:val="000000"/>
          <w:kern w:val="0"/>
          <w:sz w:val="24"/>
          <w:szCs w:val="24"/>
        </w:rPr>
        <w:t>投资组合报告</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5.1 </w:t>
      </w:r>
      <w:r w:rsidRPr="00272E0C">
        <w:rPr>
          <w:rFonts w:ascii="宋体" w:hAnsi="宋体" w:cs="Arial" w:hint="eastAsia"/>
          <w:b/>
          <w:color w:val="000000"/>
          <w:kern w:val="0"/>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3283"/>
        <w:gridCol w:w="2977"/>
        <w:gridCol w:w="1843"/>
      </w:tblGrid>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序号</w:t>
            </w:r>
          </w:p>
        </w:tc>
        <w:tc>
          <w:tcPr>
            <w:tcW w:w="328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项目</w:t>
            </w:r>
          </w:p>
        </w:tc>
        <w:tc>
          <w:tcPr>
            <w:tcW w:w="2977"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金额</w:t>
            </w:r>
            <w:r w:rsidR="0015779C" w:rsidRPr="005B1E0B">
              <w:rPr>
                <w:color w:val="000000"/>
                <w:sz w:val="24"/>
              </w:rPr>
              <w:t>（元）</w:t>
            </w:r>
          </w:p>
        </w:tc>
        <w:tc>
          <w:tcPr>
            <w:tcW w:w="1843"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占基金总资产的比例</w:t>
            </w:r>
            <w:r w:rsidR="0015779C" w:rsidRPr="005B1E0B">
              <w:rPr>
                <w:color w:val="000000"/>
                <w:sz w:val="24"/>
              </w:rPr>
              <w:t>（</w:t>
            </w:r>
            <w:r w:rsidR="0015779C" w:rsidRPr="005B1E0B">
              <w:rPr>
                <w:color w:val="000000"/>
                <w:sz w:val="24"/>
              </w:rPr>
              <w:t>%</w:t>
            </w:r>
            <w:r w:rsidR="0015779C"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1</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权益投资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160,873,232.90</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94.10</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其中：股票</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160,873,232.90</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94.10</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2</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固定收益投资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207,996.35</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0.12</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其中：债券</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207,996.35</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0.12</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autoSpaceDE w:val="0"/>
              <w:autoSpaceDN w:val="0"/>
              <w:adjustRightInd w:val="0"/>
              <w:spacing w:before="29" w:line="360" w:lineRule="auto"/>
              <w:ind w:left="17"/>
              <w:jc w:val="left"/>
              <w:rPr>
                <w:color w:val="000000"/>
                <w:sz w:val="24"/>
              </w:rPr>
            </w:pPr>
            <w:r w:rsidRPr="005B1E0B">
              <w:rPr>
                <w:color w:val="000000"/>
                <w:sz w:val="24"/>
              </w:rPr>
              <w:t>资产支持证券</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tcPr>
          <w:p w:rsidR="001C36D8" w:rsidRPr="005B1E0B" w:rsidRDefault="001C36D8" w:rsidP="001A09F9">
            <w:pPr>
              <w:spacing w:before="29" w:line="360" w:lineRule="auto"/>
              <w:ind w:left="17"/>
              <w:jc w:val="center"/>
              <w:rPr>
                <w:color w:val="000000"/>
                <w:sz w:val="24"/>
              </w:rPr>
            </w:pPr>
            <w:r w:rsidRPr="005B1E0B">
              <w:rPr>
                <w:color w:val="000000"/>
                <w:sz w:val="24"/>
              </w:rPr>
              <w:t>3</w:t>
            </w:r>
          </w:p>
        </w:tc>
        <w:tc>
          <w:tcPr>
            <w:tcW w:w="3283" w:type="dxa"/>
          </w:tcPr>
          <w:p w:rsidR="001C36D8" w:rsidRPr="005B1E0B" w:rsidRDefault="001C36D8" w:rsidP="0015779C">
            <w:pPr>
              <w:spacing w:before="29" w:line="360" w:lineRule="auto"/>
              <w:ind w:leftChars="50" w:left="105"/>
              <w:rPr>
                <w:color w:val="000000"/>
                <w:sz w:val="24"/>
              </w:rPr>
            </w:pPr>
            <w:r w:rsidRPr="005B1E0B">
              <w:rPr>
                <w:color w:val="000000"/>
                <w:sz w:val="24"/>
              </w:rPr>
              <w:t>贵金属投资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4</w:t>
            </w:r>
          </w:p>
        </w:tc>
        <w:tc>
          <w:tcPr>
            <w:tcW w:w="3283" w:type="dxa"/>
            <w:vAlign w:val="center"/>
          </w:tcPr>
          <w:p w:rsidR="001C36D8" w:rsidRPr="005B1E0B" w:rsidRDefault="001C36D8" w:rsidP="001A09F9">
            <w:pPr>
              <w:spacing w:before="29" w:line="360" w:lineRule="auto"/>
              <w:ind w:left="17"/>
              <w:jc w:val="left"/>
              <w:rPr>
                <w:color w:val="000000"/>
                <w:sz w:val="24"/>
              </w:rPr>
            </w:pPr>
            <w:r w:rsidRPr="005B1E0B">
              <w:rPr>
                <w:color w:val="000000"/>
                <w:sz w:val="24"/>
              </w:rPr>
              <w:t>金融衍生品投资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5</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买入返售金融资产</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其中：买断式回购的买入返售金融资产</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6</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银行存款和结算备付金合计</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9,735,734.08</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5.70</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7</w:t>
            </w:r>
          </w:p>
        </w:tc>
        <w:tc>
          <w:tcPr>
            <w:tcW w:w="3283" w:type="dxa"/>
            <w:vAlign w:val="center"/>
          </w:tcPr>
          <w:p w:rsidR="001C36D8" w:rsidRPr="005B1E0B" w:rsidRDefault="001C36D8" w:rsidP="001A09F9">
            <w:pPr>
              <w:jc w:val="left"/>
              <w:rPr>
                <w:sz w:val="24"/>
              </w:rPr>
            </w:pPr>
            <w:r w:rsidRPr="005B1E0B">
              <w:rPr>
                <w:color w:val="000000"/>
                <w:sz w:val="24"/>
              </w:rPr>
              <w:t>其他资产</w:t>
            </w:r>
          </w:p>
        </w:tc>
        <w:tc>
          <w:tcPr>
            <w:tcW w:w="2977" w:type="dxa"/>
            <w:vAlign w:val="center"/>
          </w:tcPr>
          <w:p w:rsidR="001C36D8" w:rsidRPr="005B1E0B" w:rsidRDefault="001C36D8" w:rsidP="001A09F9">
            <w:pPr>
              <w:jc w:val="right"/>
              <w:rPr>
                <w:color w:val="000000"/>
                <w:sz w:val="24"/>
              </w:rPr>
            </w:pPr>
            <w:r w:rsidRPr="005B1E0B">
              <w:rPr>
                <w:color w:val="000000"/>
                <w:sz w:val="24"/>
              </w:rPr>
              <w:t>133,973.70</w:t>
            </w:r>
          </w:p>
        </w:tc>
        <w:tc>
          <w:tcPr>
            <w:tcW w:w="1843" w:type="dxa"/>
            <w:vAlign w:val="center"/>
          </w:tcPr>
          <w:p w:rsidR="001C36D8" w:rsidRPr="005B1E0B" w:rsidRDefault="001C36D8" w:rsidP="001A09F9">
            <w:pPr>
              <w:jc w:val="right"/>
              <w:rPr>
                <w:color w:val="000000"/>
                <w:sz w:val="24"/>
              </w:rPr>
            </w:pPr>
            <w:r w:rsidRPr="005B1E0B">
              <w:rPr>
                <w:color w:val="000000"/>
                <w:sz w:val="24"/>
              </w:rPr>
              <w:t>0.08</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8</w:t>
            </w:r>
          </w:p>
        </w:tc>
        <w:tc>
          <w:tcPr>
            <w:tcW w:w="3283" w:type="dxa"/>
            <w:vAlign w:val="center"/>
          </w:tcPr>
          <w:p w:rsidR="001C36D8" w:rsidRPr="005B1E0B" w:rsidRDefault="001C36D8" w:rsidP="001A09F9">
            <w:pPr>
              <w:jc w:val="left"/>
              <w:rPr>
                <w:sz w:val="24"/>
              </w:rPr>
            </w:pPr>
            <w:r w:rsidRPr="005B1E0B">
              <w:rPr>
                <w:color w:val="000000"/>
                <w:sz w:val="24"/>
              </w:rPr>
              <w:t>合计</w:t>
            </w:r>
          </w:p>
        </w:tc>
        <w:tc>
          <w:tcPr>
            <w:tcW w:w="2977" w:type="dxa"/>
            <w:vAlign w:val="center"/>
          </w:tcPr>
          <w:p w:rsidR="001C36D8" w:rsidRPr="005B1E0B" w:rsidRDefault="001C36D8" w:rsidP="001A09F9">
            <w:pPr>
              <w:jc w:val="right"/>
              <w:rPr>
                <w:color w:val="000000"/>
                <w:sz w:val="24"/>
              </w:rPr>
            </w:pPr>
            <w:r w:rsidRPr="005B1E0B">
              <w:rPr>
                <w:color w:val="000000"/>
                <w:sz w:val="24"/>
              </w:rPr>
              <w:t>170,950,937.03</w:t>
            </w:r>
          </w:p>
        </w:tc>
        <w:tc>
          <w:tcPr>
            <w:tcW w:w="1843" w:type="dxa"/>
            <w:vAlign w:val="center"/>
          </w:tcPr>
          <w:p w:rsidR="001C36D8" w:rsidRPr="005B1E0B" w:rsidRDefault="001C36D8" w:rsidP="001A09F9">
            <w:pPr>
              <w:jc w:val="right"/>
              <w:rPr>
                <w:color w:val="000000"/>
                <w:sz w:val="24"/>
              </w:rPr>
            </w:pPr>
            <w:r w:rsidRPr="005B1E0B">
              <w:rPr>
                <w:color w:val="000000"/>
                <w:sz w:val="24"/>
              </w:rPr>
              <w:t>100.00</w:t>
            </w:r>
          </w:p>
        </w:tc>
      </w:tr>
    </w:tbl>
    <w:p w:rsidR="00737AB0" w:rsidRPr="00220C32" w:rsidRDefault="00737AB0" w:rsidP="00737AB0">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0C32">
        <w:rPr>
          <w:rFonts w:asciiTheme="minorEastAsia" w:eastAsiaTheme="minorEastAsia" w:hAnsiTheme="minorEastAsia"/>
          <w:b/>
          <w:bCs/>
          <w:color w:val="000000" w:themeColor="text1"/>
          <w:kern w:val="0"/>
          <w:sz w:val="24"/>
        </w:rPr>
        <w:t xml:space="preserve">5.2 </w:t>
      </w:r>
      <w:r w:rsidRPr="00220C32">
        <w:rPr>
          <w:rFonts w:asciiTheme="minorEastAsia" w:eastAsiaTheme="minorEastAsia" w:hAnsiTheme="minorEastAsia" w:hint="eastAsia"/>
          <w:b/>
          <w:bCs/>
          <w:color w:val="000000" w:themeColor="text1"/>
          <w:kern w:val="0"/>
          <w:sz w:val="24"/>
        </w:rPr>
        <w:t>报告期末按行业分类的股票投资组合</w:t>
      </w:r>
    </w:p>
    <w:p w:rsidR="00737AB0" w:rsidRPr="000D7474" w:rsidRDefault="00737AB0" w:rsidP="00737AB0">
      <w:pPr>
        <w:rPr>
          <w:rFonts w:asciiTheme="minorEastAsia" w:eastAsiaTheme="minorEastAsia" w:hAnsiTheme="minorEastAsia"/>
          <w:b/>
          <w:bCs/>
          <w:color w:val="000000" w:themeColor="text1"/>
          <w:kern w:val="0"/>
          <w:sz w:val="24"/>
        </w:rPr>
      </w:pPr>
      <w:r w:rsidRPr="000D7474">
        <w:rPr>
          <w:rFonts w:asciiTheme="minorEastAsia" w:eastAsiaTheme="minorEastAsia" w:hAnsiTheme="minorEastAsia" w:hint="eastAsia"/>
          <w:b/>
          <w:bCs/>
          <w:color w:val="000000" w:themeColor="text1"/>
          <w:kern w:val="0"/>
          <w:sz w:val="24"/>
        </w:rPr>
        <w:t>5.2.1报告期末按行业分类的境内股票投资组合</w:t>
      </w:r>
    </w:p>
    <w:tbl>
      <w:tblPr>
        <w:tblW w:w="89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5"/>
        <w:gridCol w:w="3691"/>
        <w:gridCol w:w="2852"/>
        <w:gridCol w:w="1648"/>
      </w:tblGrid>
      <w:tr w:rsidR="00737AB0" w:rsidRPr="008C2A4F" w:rsidTr="00737AB0">
        <w:trPr>
          <w:trHeight w:val="390"/>
        </w:trPr>
        <w:tc>
          <w:tcPr>
            <w:tcW w:w="785" w:type="dxa"/>
            <w:tcBorders>
              <w:top w:val="single" w:sz="4" w:space="0" w:color="000000"/>
              <w:left w:val="single" w:sz="4" w:space="0" w:color="000000"/>
              <w:bottom w:val="single" w:sz="4" w:space="0" w:color="000000"/>
              <w:right w:val="single" w:sz="4" w:space="0" w:color="000000"/>
            </w:tcBorders>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占基金资产净值比例（％）</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autoSpaceDE w:val="0"/>
              <w:autoSpaceDN w:val="0"/>
              <w:adjustRightInd w:val="0"/>
              <w:spacing w:before="29" w:line="360" w:lineRule="auto"/>
              <w:ind w:left="15"/>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utoSpaceDE w:val="0"/>
              <w:autoSpaceDN w:val="0"/>
              <w:adjustRightInd w:val="0"/>
              <w:spacing w:before="29" w:line="360" w:lineRule="auto"/>
              <w:ind w:left="15"/>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p w:rsidR="00737AB0" w:rsidRPr="008C2A4F" w:rsidRDefault="00737AB0" w:rsidP="00D94F96">
            <w:pPr>
              <w:jc w:val="right"/>
              <w:rPr>
                <w:rFonts w:eastAsiaTheme="minorEastAsia"/>
                <w:color w:val="000000" w:themeColor="text1"/>
                <w:kern w:val="0"/>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p w:rsidR="00737AB0" w:rsidRPr="008C2A4F" w:rsidRDefault="00737AB0" w:rsidP="00D94F96">
            <w:pPr>
              <w:jc w:val="right"/>
              <w:rPr>
                <w:rFonts w:eastAsiaTheme="minorEastAsia"/>
                <w:color w:val="000000" w:themeColor="text1"/>
                <w:kern w:val="0"/>
                <w:sz w:val="24"/>
              </w:rPr>
            </w:pP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120,974,568.66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71.12</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23,965,630.20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14.09</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6,578.04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0.00</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15,926,456.00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9.36</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160,873,232.90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94.57</w:t>
            </w:r>
          </w:p>
        </w:tc>
      </w:tr>
    </w:tbl>
    <w:p w:rsidR="000F2837" w:rsidRPr="000F2837" w:rsidRDefault="001C36D8" w:rsidP="000F2837">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5.3</w:t>
      </w:r>
      <w:r w:rsidR="00291A74" w:rsidRPr="00291A74">
        <w:rPr>
          <w:rFonts w:ascii="宋体" w:hAnsi="宋体" w:cs="Arial" w:hint="eastAsia"/>
          <w:b/>
          <w:color w:val="000000"/>
          <w:kern w:val="0"/>
          <w:sz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0F2837" w:rsidRPr="00264E55" w:rsidTr="002406DE">
        <w:tc>
          <w:tcPr>
            <w:tcW w:w="851"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序号</w:t>
            </w:r>
          </w:p>
        </w:tc>
        <w:tc>
          <w:tcPr>
            <w:tcW w:w="1276"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股票代码</w:t>
            </w:r>
          </w:p>
        </w:tc>
        <w:tc>
          <w:tcPr>
            <w:tcW w:w="1418"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股票名称</w:t>
            </w:r>
          </w:p>
        </w:tc>
        <w:tc>
          <w:tcPr>
            <w:tcW w:w="1701"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数量（股）</w:t>
            </w:r>
          </w:p>
        </w:tc>
        <w:tc>
          <w:tcPr>
            <w:tcW w:w="1984" w:type="dxa"/>
            <w:vAlign w:val="center"/>
          </w:tcPr>
          <w:p w:rsidR="000F2837" w:rsidRPr="00232B03" w:rsidRDefault="000F2837" w:rsidP="002406DE">
            <w:pPr>
              <w:autoSpaceDE w:val="0"/>
              <w:autoSpaceDN w:val="0"/>
              <w:adjustRightInd w:val="0"/>
              <w:spacing w:before="29" w:line="360" w:lineRule="auto"/>
              <w:ind w:left="17"/>
              <w:jc w:val="center"/>
              <w:rPr>
                <w:color w:val="000000"/>
                <w:kern w:val="0"/>
                <w:sz w:val="24"/>
              </w:rPr>
            </w:pPr>
            <w:r w:rsidRPr="00232B03">
              <w:rPr>
                <w:color w:val="000000"/>
                <w:kern w:val="0"/>
                <w:sz w:val="24"/>
              </w:rPr>
              <w:t>公允价值（元）</w:t>
            </w:r>
          </w:p>
        </w:tc>
        <w:tc>
          <w:tcPr>
            <w:tcW w:w="1559"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占基金资产净值比例（％）</w:t>
            </w:r>
          </w:p>
        </w:tc>
      </w:tr>
      <w:tr w:rsidR="00C63C53">
        <w:tc>
          <w:tcPr>
            <w:tcW w:w="0" w:type="auto"/>
            <w:vAlign w:val="center"/>
          </w:tcPr>
          <w:p w:rsidR="00C63C53" w:rsidRDefault="001479EF">
            <w:pPr>
              <w:jc w:val="center"/>
            </w:pPr>
            <w:r>
              <w:rPr>
                <w:color w:val="000000"/>
                <w:kern w:val="0"/>
                <w:sz w:val="24"/>
              </w:rPr>
              <w:t>1</w:t>
            </w:r>
          </w:p>
        </w:tc>
        <w:tc>
          <w:tcPr>
            <w:tcW w:w="0" w:type="auto"/>
            <w:vAlign w:val="center"/>
          </w:tcPr>
          <w:p w:rsidR="00C63C53" w:rsidRDefault="001479EF">
            <w:pPr>
              <w:jc w:val="center"/>
            </w:pPr>
            <w:r>
              <w:rPr>
                <w:color w:val="000000"/>
                <w:kern w:val="0"/>
                <w:sz w:val="24"/>
              </w:rPr>
              <w:t>000661</w:t>
            </w:r>
          </w:p>
        </w:tc>
        <w:tc>
          <w:tcPr>
            <w:tcW w:w="0" w:type="auto"/>
            <w:vAlign w:val="center"/>
          </w:tcPr>
          <w:p w:rsidR="00C63C53" w:rsidRDefault="001479EF">
            <w:pPr>
              <w:jc w:val="center"/>
            </w:pPr>
            <w:r>
              <w:rPr>
                <w:color w:val="000000"/>
                <w:kern w:val="0"/>
                <w:sz w:val="24"/>
              </w:rPr>
              <w:t>长春高新</w:t>
            </w:r>
          </w:p>
        </w:tc>
        <w:tc>
          <w:tcPr>
            <w:tcW w:w="0" w:type="auto"/>
            <w:vAlign w:val="center"/>
          </w:tcPr>
          <w:p w:rsidR="00C63C53" w:rsidRDefault="001479EF">
            <w:pPr>
              <w:jc w:val="right"/>
            </w:pPr>
            <w:r>
              <w:rPr>
                <w:color w:val="000000"/>
                <w:kern w:val="0"/>
                <w:sz w:val="24"/>
              </w:rPr>
              <w:t>36,906</w:t>
            </w:r>
          </w:p>
        </w:tc>
        <w:tc>
          <w:tcPr>
            <w:tcW w:w="0" w:type="auto"/>
            <w:vAlign w:val="center"/>
          </w:tcPr>
          <w:p w:rsidR="00C63C53" w:rsidRDefault="001479EF">
            <w:pPr>
              <w:jc w:val="right"/>
            </w:pPr>
            <w:r>
              <w:rPr>
                <w:color w:val="000000"/>
                <w:kern w:val="0"/>
                <w:sz w:val="24"/>
              </w:rPr>
              <w:t>16,496,982.00</w:t>
            </w:r>
          </w:p>
        </w:tc>
        <w:tc>
          <w:tcPr>
            <w:tcW w:w="0" w:type="auto"/>
            <w:vAlign w:val="center"/>
          </w:tcPr>
          <w:p w:rsidR="00C63C53" w:rsidRDefault="001479EF">
            <w:pPr>
              <w:jc w:val="right"/>
            </w:pPr>
            <w:r>
              <w:rPr>
                <w:color w:val="000000"/>
                <w:kern w:val="0"/>
                <w:sz w:val="24"/>
              </w:rPr>
              <w:t>9.70</w:t>
            </w:r>
          </w:p>
        </w:tc>
      </w:tr>
      <w:tr w:rsidR="00C63C53">
        <w:tc>
          <w:tcPr>
            <w:tcW w:w="0" w:type="auto"/>
            <w:vAlign w:val="center"/>
          </w:tcPr>
          <w:p w:rsidR="00C63C53" w:rsidRDefault="001479EF">
            <w:pPr>
              <w:jc w:val="center"/>
            </w:pPr>
            <w:r>
              <w:rPr>
                <w:color w:val="000000"/>
                <w:kern w:val="0"/>
                <w:sz w:val="24"/>
              </w:rPr>
              <w:t>2</w:t>
            </w:r>
          </w:p>
        </w:tc>
        <w:tc>
          <w:tcPr>
            <w:tcW w:w="0" w:type="auto"/>
            <w:vAlign w:val="center"/>
          </w:tcPr>
          <w:p w:rsidR="00C63C53" w:rsidRDefault="001479EF">
            <w:pPr>
              <w:jc w:val="center"/>
            </w:pPr>
            <w:r>
              <w:rPr>
                <w:color w:val="000000"/>
                <w:kern w:val="0"/>
                <w:sz w:val="24"/>
              </w:rPr>
              <w:t>603259</w:t>
            </w:r>
          </w:p>
        </w:tc>
        <w:tc>
          <w:tcPr>
            <w:tcW w:w="0" w:type="auto"/>
            <w:vAlign w:val="center"/>
          </w:tcPr>
          <w:p w:rsidR="00C63C53" w:rsidRDefault="001479EF">
            <w:pPr>
              <w:jc w:val="center"/>
            </w:pPr>
            <w:r>
              <w:rPr>
                <w:color w:val="000000"/>
                <w:kern w:val="0"/>
                <w:sz w:val="24"/>
              </w:rPr>
              <w:t>药明康德</w:t>
            </w:r>
          </w:p>
        </w:tc>
        <w:tc>
          <w:tcPr>
            <w:tcW w:w="0" w:type="auto"/>
            <w:vAlign w:val="center"/>
          </w:tcPr>
          <w:p w:rsidR="00C63C53" w:rsidRDefault="001479EF">
            <w:pPr>
              <w:jc w:val="right"/>
            </w:pPr>
            <w:r>
              <w:rPr>
                <w:color w:val="000000"/>
                <w:kern w:val="0"/>
                <w:sz w:val="24"/>
              </w:rPr>
              <w:t>169,860</w:t>
            </w:r>
          </w:p>
        </w:tc>
        <w:tc>
          <w:tcPr>
            <w:tcW w:w="0" w:type="auto"/>
            <w:vAlign w:val="center"/>
          </w:tcPr>
          <w:p w:rsidR="00C63C53" w:rsidRDefault="001479EF">
            <w:pPr>
              <w:jc w:val="right"/>
            </w:pPr>
            <w:r>
              <w:rPr>
                <w:color w:val="000000"/>
                <w:kern w:val="0"/>
                <w:sz w:val="24"/>
              </w:rPr>
              <w:t>15,647,503.20</w:t>
            </w:r>
          </w:p>
        </w:tc>
        <w:tc>
          <w:tcPr>
            <w:tcW w:w="0" w:type="auto"/>
            <w:vAlign w:val="center"/>
          </w:tcPr>
          <w:p w:rsidR="00C63C53" w:rsidRDefault="001479EF">
            <w:pPr>
              <w:jc w:val="right"/>
            </w:pPr>
            <w:r>
              <w:rPr>
                <w:color w:val="000000"/>
                <w:kern w:val="0"/>
                <w:sz w:val="24"/>
              </w:rPr>
              <w:t>9.20</w:t>
            </w:r>
          </w:p>
        </w:tc>
      </w:tr>
      <w:tr w:rsidR="00C63C53">
        <w:tc>
          <w:tcPr>
            <w:tcW w:w="0" w:type="auto"/>
            <w:vAlign w:val="center"/>
          </w:tcPr>
          <w:p w:rsidR="00C63C53" w:rsidRDefault="001479EF">
            <w:pPr>
              <w:jc w:val="center"/>
            </w:pPr>
            <w:r>
              <w:rPr>
                <w:color w:val="000000"/>
                <w:kern w:val="0"/>
                <w:sz w:val="24"/>
              </w:rPr>
              <w:t>3</w:t>
            </w:r>
          </w:p>
        </w:tc>
        <w:tc>
          <w:tcPr>
            <w:tcW w:w="0" w:type="auto"/>
            <w:vAlign w:val="center"/>
          </w:tcPr>
          <w:p w:rsidR="00C63C53" w:rsidRDefault="001479EF">
            <w:pPr>
              <w:jc w:val="center"/>
            </w:pPr>
            <w:r>
              <w:rPr>
                <w:color w:val="000000"/>
                <w:kern w:val="0"/>
                <w:sz w:val="24"/>
              </w:rPr>
              <w:t>300142</w:t>
            </w:r>
          </w:p>
        </w:tc>
        <w:tc>
          <w:tcPr>
            <w:tcW w:w="0" w:type="auto"/>
            <w:vAlign w:val="center"/>
          </w:tcPr>
          <w:p w:rsidR="00C63C53" w:rsidRDefault="001479EF">
            <w:pPr>
              <w:jc w:val="center"/>
            </w:pPr>
            <w:r>
              <w:rPr>
                <w:color w:val="000000"/>
                <w:kern w:val="0"/>
                <w:sz w:val="24"/>
              </w:rPr>
              <w:t>沃森生物</w:t>
            </w:r>
          </w:p>
        </w:tc>
        <w:tc>
          <w:tcPr>
            <w:tcW w:w="0" w:type="auto"/>
            <w:vAlign w:val="center"/>
          </w:tcPr>
          <w:p w:rsidR="00C63C53" w:rsidRDefault="001479EF">
            <w:pPr>
              <w:jc w:val="right"/>
            </w:pPr>
            <w:r>
              <w:rPr>
                <w:color w:val="000000"/>
                <w:kern w:val="0"/>
                <w:sz w:val="24"/>
              </w:rPr>
              <w:t>460,567</w:t>
            </w:r>
          </w:p>
        </w:tc>
        <w:tc>
          <w:tcPr>
            <w:tcW w:w="0" w:type="auto"/>
            <w:vAlign w:val="center"/>
          </w:tcPr>
          <w:p w:rsidR="00C63C53" w:rsidRDefault="001479EF">
            <w:pPr>
              <w:jc w:val="right"/>
            </w:pPr>
            <w:r>
              <w:rPr>
                <w:color w:val="000000"/>
                <w:kern w:val="0"/>
                <w:sz w:val="24"/>
              </w:rPr>
              <w:t>14,940,793.48</w:t>
            </w:r>
          </w:p>
        </w:tc>
        <w:tc>
          <w:tcPr>
            <w:tcW w:w="0" w:type="auto"/>
            <w:vAlign w:val="center"/>
          </w:tcPr>
          <w:p w:rsidR="00C63C53" w:rsidRDefault="001479EF">
            <w:pPr>
              <w:jc w:val="right"/>
            </w:pPr>
            <w:r>
              <w:rPr>
                <w:color w:val="000000"/>
                <w:kern w:val="0"/>
                <w:sz w:val="24"/>
              </w:rPr>
              <w:t>8.78</w:t>
            </w:r>
          </w:p>
        </w:tc>
      </w:tr>
      <w:tr w:rsidR="00C63C53">
        <w:tc>
          <w:tcPr>
            <w:tcW w:w="0" w:type="auto"/>
            <w:vAlign w:val="center"/>
          </w:tcPr>
          <w:p w:rsidR="00C63C53" w:rsidRDefault="001479EF">
            <w:pPr>
              <w:jc w:val="center"/>
            </w:pPr>
            <w:r>
              <w:rPr>
                <w:color w:val="000000"/>
                <w:kern w:val="0"/>
                <w:sz w:val="24"/>
              </w:rPr>
              <w:t>4</w:t>
            </w:r>
          </w:p>
        </w:tc>
        <w:tc>
          <w:tcPr>
            <w:tcW w:w="0" w:type="auto"/>
            <w:vAlign w:val="center"/>
          </w:tcPr>
          <w:p w:rsidR="00C63C53" w:rsidRDefault="001479EF">
            <w:pPr>
              <w:jc w:val="center"/>
            </w:pPr>
            <w:r>
              <w:rPr>
                <w:color w:val="000000"/>
                <w:kern w:val="0"/>
                <w:sz w:val="24"/>
              </w:rPr>
              <w:t>300347</w:t>
            </w:r>
          </w:p>
        </w:tc>
        <w:tc>
          <w:tcPr>
            <w:tcW w:w="0" w:type="auto"/>
            <w:vAlign w:val="center"/>
          </w:tcPr>
          <w:p w:rsidR="00C63C53" w:rsidRDefault="001479EF">
            <w:pPr>
              <w:jc w:val="center"/>
            </w:pPr>
            <w:r>
              <w:rPr>
                <w:color w:val="000000"/>
                <w:kern w:val="0"/>
                <w:sz w:val="24"/>
              </w:rPr>
              <w:t>泰格医药</w:t>
            </w:r>
          </w:p>
        </w:tc>
        <w:tc>
          <w:tcPr>
            <w:tcW w:w="0" w:type="auto"/>
            <w:vAlign w:val="center"/>
          </w:tcPr>
          <w:p w:rsidR="00C63C53" w:rsidRDefault="001479EF">
            <w:pPr>
              <w:jc w:val="right"/>
            </w:pPr>
            <w:r>
              <w:rPr>
                <w:color w:val="000000"/>
                <w:kern w:val="0"/>
                <w:sz w:val="24"/>
              </w:rPr>
              <w:t>196,560</w:t>
            </w:r>
          </w:p>
        </w:tc>
        <w:tc>
          <w:tcPr>
            <w:tcW w:w="0" w:type="auto"/>
            <w:vAlign w:val="center"/>
          </w:tcPr>
          <w:p w:rsidR="00C63C53" w:rsidRDefault="001479EF">
            <w:pPr>
              <w:jc w:val="right"/>
            </w:pPr>
            <w:r>
              <w:rPr>
                <w:color w:val="000000"/>
                <w:kern w:val="0"/>
                <w:sz w:val="24"/>
              </w:rPr>
              <w:t>12,412,764.00</w:t>
            </w:r>
          </w:p>
        </w:tc>
        <w:tc>
          <w:tcPr>
            <w:tcW w:w="0" w:type="auto"/>
            <w:vAlign w:val="center"/>
          </w:tcPr>
          <w:p w:rsidR="00C63C53" w:rsidRDefault="001479EF">
            <w:pPr>
              <w:jc w:val="right"/>
            </w:pPr>
            <w:r>
              <w:rPr>
                <w:color w:val="000000"/>
                <w:kern w:val="0"/>
                <w:sz w:val="24"/>
              </w:rPr>
              <w:t>7.30</w:t>
            </w:r>
          </w:p>
        </w:tc>
      </w:tr>
      <w:tr w:rsidR="00C63C53">
        <w:tc>
          <w:tcPr>
            <w:tcW w:w="0" w:type="auto"/>
            <w:vAlign w:val="center"/>
          </w:tcPr>
          <w:p w:rsidR="00C63C53" w:rsidRDefault="001479EF">
            <w:pPr>
              <w:jc w:val="center"/>
            </w:pPr>
            <w:r>
              <w:rPr>
                <w:color w:val="000000"/>
                <w:kern w:val="0"/>
                <w:sz w:val="24"/>
              </w:rPr>
              <w:t>5</w:t>
            </w:r>
          </w:p>
        </w:tc>
        <w:tc>
          <w:tcPr>
            <w:tcW w:w="0" w:type="auto"/>
            <w:vAlign w:val="center"/>
          </w:tcPr>
          <w:p w:rsidR="00C63C53" w:rsidRDefault="001479EF">
            <w:pPr>
              <w:jc w:val="center"/>
            </w:pPr>
            <w:r>
              <w:rPr>
                <w:color w:val="000000"/>
                <w:kern w:val="0"/>
                <w:sz w:val="24"/>
              </w:rPr>
              <w:t>002007</w:t>
            </w:r>
          </w:p>
        </w:tc>
        <w:tc>
          <w:tcPr>
            <w:tcW w:w="0" w:type="auto"/>
            <w:vAlign w:val="center"/>
          </w:tcPr>
          <w:p w:rsidR="00C63C53" w:rsidRDefault="001479EF">
            <w:pPr>
              <w:jc w:val="center"/>
            </w:pPr>
            <w:r>
              <w:rPr>
                <w:color w:val="000000"/>
                <w:kern w:val="0"/>
                <w:sz w:val="24"/>
              </w:rPr>
              <w:t>华兰生物</w:t>
            </w:r>
          </w:p>
        </w:tc>
        <w:tc>
          <w:tcPr>
            <w:tcW w:w="0" w:type="auto"/>
            <w:vAlign w:val="center"/>
          </w:tcPr>
          <w:p w:rsidR="00C63C53" w:rsidRDefault="001479EF">
            <w:pPr>
              <w:jc w:val="right"/>
            </w:pPr>
            <w:r>
              <w:rPr>
                <w:color w:val="000000"/>
                <w:kern w:val="0"/>
                <w:sz w:val="24"/>
              </w:rPr>
              <w:t>315,280</w:t>
            </w:r>
          </w:p>
        </w:tc>
        <w:tc>
          <w:tcPr>
            <w:tcW w:w="0" w:type="auto"/>
            <w:vAlign w:val="center"/>
          </w:tcPr>
          <w:p w:rsidR="00C63C53" w:rsidRDefault="001479EF">
            <w:pPr>
              <w:jc w:val="right"/>
            </w:pPr>
            <w:r>
              <w:rPr>
                <w:color w:val="000000"/>
                <w:kern w:val="0"/>
                <w:sz w:val="24"/>
              </w:rPr>
              <w:t>11,082,092.00</w:t>
            </w:r>
          </w:p>
        </w:tc>
        <w:tc>
          <w:tcPr>
            <w:tcW w:w="0" w:type="auto"/>
            <w:vAlign w:val="center"/>
          </w:tcPr>
          <w:p w:rsidR="00C63C53" w:rsidRDefault="001479EF">
            <w:pPr>
              <w:jc w:val="right"/>
            </w:pPr>
            <w:r>
              <w:rPr>
                <w:color w:val="000000"/>
                <w:kern w:val="0"/>
                <w:sz w:val="24"/>
              </w:rPr>
              <w:t>6.51</w:t>
            </w:r>
          </w:p>
        </w:tc>
      </w:tr>
      <w:tr w:rsidR="00C63C53">
        <w:tc>
          <w:tcPr>
            <w:tcW w:w="0" w:type="auto"/>
            <w:vAlign w:val="center"/>
          </w:tcPr>
          <w:p w:rsidR="00C63C53" w:rsidRDefault="001479EF">
            <w:pPr>
              <w:jc w:val="center"/>
            </w:pPr>
            <w:r>
              <w:rPr>
                <w:color w:val="000000"/>
                <w:kern w:val="0"/>
                <w:sz w:val="24"/>
              </w:rPr>
              <w:t>6</w:t>
            </w:r>
          </w:p>
        </w:tc>
        <w:tc>
          <w:tcPr>
            <w:tcW w:w="0" w:type="auto"/>
            <w:vAlign w:val="center"/>
          </w:tcPr>
          <w:p w:rsidR="00C63C53" w:rsidRDefault="001479EF">
            <w:pPr>
              <w:jc w:val="center"/>
            </w:pPr>
            <w:r>
              <w:rPr>
                <w:color w:val="000000"/>
                <w:kern w:val="0"/>
                <w:sz w:val="24"/>
              </w:rPr>
              <w:t>300601</w:t>
            </w:r>
          </w:p>
        </w:tc>
        <w:tc>
          <w:tcPr>
            <w:tcW w:w="0" w:type="auto"/>
            <w:vAlign w:val="center"/>
          </w:tcPr>
          <w:p w:rsidR="00C63C53" w:rsidRDefault="001479EF">
            <w:pPr>
              <w:jc w:val="center"/>
            </w:pPr>
            <w:r>
              <w:rPr>
                <w:color w:val="000000"/>
                <w:kern w:val="0"/>
                <w:sz w:val="24"/>
              </w:rPr>
              <w:t>康泰生物</w:t>
            </w:r>
          </w:p>
        </w:tc>
        <w:tc>
          <w:tcPr>
            <w:tcW w:w="0" w:type="auto"/>
            <w:vAlign w:val="center"/>
          </w:tcPr>
          <w:p w:rsidR="00C63C53" w:rsidRDefault="001479EF">
            <w:pPr>
              <w:jc w:val="right"/>
            </w:pPr>
            <w:r>
              <w:rPr>
                <w:color w:val="000000"/>
                <w:kern w:val="0"/>
                <w:sz w:val="24"/>
              </w:rPr>
              <w:t>120,840</w:t>
            </w:r>
          </w:p>
        </w:tc>
        <w:tc>
          <w:tcPr>
            <w:tcW w:w="0" w:type="auto"/>
            <w:vAlign w:val="center"/>
          </w:tcPr>
          <w:p w:rsidR="00C63C53" w:rsidRDefault="001479EF">
            <w:pPr>
              <w:jc w:val="right"/>
            </w:pPr>
            <w:r>
              <w:rPr>
                <w:color w:val="000000"/>
                <w:kern w:val="0"/>
                <w:sz w:val="24"/>
              </w:rPr>
              <w:t>10,608,543.60</w:t>
            </w:r>
          </w:p>
        </w:tc>
        <w:tc>
          <w:tcPr>
            <w:tcW w:w="0" w:type="auto"/>
            <w:vAlign w:val="center"/>
          </w:tcPr>
          <w:p w:rsidR="00C63C53" w:rsidRDefault="001479EF">
            <w:pPr>
              <w:jc w:val="right"/>
            </w:pPr>
            <w:r>
              <w:rPr>
                <w:color w:val="000000"/>
                <w:kern w:val="0"/>
                <w:sz w:val="24"/>
              </w:rPr>
              <w:t>6.24</w:t>
            </w:r>
          </w:p>
        </w:tc>
      </w:tr>
      <w:tr w:rsidR="00C63C53">
        <w:tc>
          <w:tcPr>
            <w:tcW w:w="0" w:type="auto"/>
            <w:vAlign w:val="center"/>
          </w:tcPr>
          <w:p w:rsidR="00C63C53" w:rsidRDefault="001479EF">
            <w:pPr>
              <w:jc w:val="center"/>
            </w:pPr>
            <w:r>
              <w:rPr>
                <w:color w:val="000000"/>
                <w:kern w:val="0"/>
                <w:sz w:val="24"/>
              </w:rPr>
              <w:t>7</w:t>
            </w:r>
          </w:p>
        </w:tc>
        <w:tc>
          <w:tcPr>
            <w:tcW w:w="0" w:type="auto"/>
            <w:vAlign w:val="center"/>
          </w:tcPr>
          <w:p w:rsidR="00C63C53" w:rsidRDefault="001479EF">
            <w:pPr>
              <w:jc w:val="center"/>
            </w:pPr>
            <w:r>
              <w:rPr>
                <w:color w:val="000000"/>
                <w:kern w:val="0"/>
                <w:sz w:val="24"/>
              </w:rPr>
              <w:t>300122</w:t>
            </w:r>
          </w:p>
        </w:tc>
        <w:tc>
          <w:tcPr>
            <w:tcW w:w="0" w:type="auto"/>
            <w:vAlign w:val="center"/>
          </w:tcPr>
          <w:p w:rsidR="00C63C53" w:rsidRDefault="001479EF">
            <w:pPr>
              <w:jc w:val="center"/>
            </w:pPr>
            <w:r>
              <w:rPr>
                <w:color w:val="000000"/>
                <w:kern w:val="0"/>
                <w:sz w:val="24"/>
              </w:rPr>
              <w:t>智飞生物</w:t>
            </w:r>
          </w:p>
        </w:tc>
        <w:tc>
          <w:tcPr>
            <w:tcW w:w="0" w:type="auto"/>
            <w:vAlign w:val="center"/>
          </w:tcPr>
          <w:p w:rsidR="00C63C53" w:rsidRDefault="001479EF">
            <w:pPr>
              <w:jc w:val="right"/>
            </w:pPr>
            <w:r>
              <w:rPr>
                <w:color w:val="000000"/>
                <w:kern w:val="0"/>
                <w:sz w:val="24"/>
              </w:rPr>
              <w:t>179,754</w:t>
            </w:r>
          </w:p>
        </w:tc>
        <w:tc>
          <w:tcPr>
            <w:tcW w:w="0" w:type="auto"/>
            <w:vAlign w:val="center"/>
          </w:tcPr>
          <w:p w:rsidR="00C63C53" w:rsidRDefault="001479EF">
            <w:pPr>
              <w:jc w:val="right"/>
            </w:pPr>
            <w:r>
              <w:rPr>
                <w:color w:val="000000"/>
                <w:kern w:val="0"/>
                <w:sz w:val="24"/>
              </w:rPr>
              <w:t>8,926,583.64</w:t>
            </w:r>
          </w:p>
        </w:tc>
        <w:tc>
          <w:tcPr>
            <w:tcW w:w="0" w:type="auto"/>
            <w:vAlign w:val="center"/>
          </w:tcPr>
          <w:p w:rsidR="00C63C53" w:rsidRDefault="001479EF">
            <w:pPr>
              <w:jc w:val="right"/>
            </w:pPr>
            <w:r>
              <w:rPr>
                <w:color w:val="000000"/>
                <w:kern w:val="0"/>
                <w:sz w:val="24"/>
              </w:rPr>
              <w:t>5.25</w:t>
            </w:r>
          </w:p>
        </w:tc>
      </w:tr>
      <w:tr w:rsidR="00C63C53">
        <w:tc>
          <w:tcPr>
            <w:tcW w:w="0" w:type="auto"/>
            <w:vAlign w:val="center"/>
          </w:tcPr>
          <w:p w:rsidR="00C63C53" w:rsidRDefault="001479EF">
            <w:pPr>
              <w:jc w:val="center"/>
            </w:pPr>
            <w:r>
              <w:rPr>
                <w:color w:val="000000"/>
                <w:kern w:val="0"/>
                <w:sz w:val="24"/>
              </w:rPr>
              <w:t>8</w:t>
            </w:r>
          </w:p>
        </w:tc>
        <w:tc>
          <w:tcPr>
            <w:tcW w:w="0" w:type="auto"/>
            <w:vAlign w:val="center"/>
          </w:tcPr>
          <w:p w:rsidR="00C63C53" w:rsidRDefault="001479EF">
            <w:pPr>
              <w:jc w:val="center"/>
            </w:pPr>
            <w:r>
              <w:rPr>
                <w:color w:val="000000"/>
                <w:kern w:val="0"/>
                <w:sz w:val="24"/>
              </w:rPr>
              <w:t>600867</w:t>
            </w:r>
          </w:p>
        </w:tc>
        <w:tc>
          <w:tcPr>
            <w:tcW w:w="0" w:type="auto"/>
            <w:vAlign w:val="center"/>
          </w:tcPr>
          <w:p w:rsidR="00C63C53" w:rsidRDefault="001479EF">
            <w:pPr>
              <w:jc w:val="center"/>
            </w:pPr>
            <w:r>
              <w:rPr>
                <w:color w:val="000000"/>
                <w:kern w:val="0"/>
                <w:sz w:val="24"/>
              </w:rPr>
              <w:t>通化东宝</w:t>
            </w:r>
          </w:p>
        </w:tc>
        <w:tc>
          <w:tcPr>
            <w:tcW w:w="0" w:type="auto"/>
            <w:vAlign w:val="center"/>
          </w:tcPr>
          <w:p w:rsidR="00C63C53" w:rsidRDefault="001479EF">
            <w:pPr>
              <w:jc w:val="right"/>
            </w:pPr>
            <w:r>
              <w:rPr>
                <w:color w:val="000000"/>
                <w:kern w:val="0"/>
                <w:sz w:val="24"/>
              </w:rPr>
              <w:t>533,127</w:t>
            </w:r>
          </w:p>
        </w:tc>
        <w:tc>
          <w:tcPr>
            <w:tcW w:w="0" w:type="auto"/>
            <w:vAlign w:val="center"/>
          </w:tcPr>
          <w:p w:rsidR="00C63C53" w:rsidRDefault="001479EF">
            <w:pPr>
              <w:jc w:val="right"/>
            </w:pPr>
            <w:r>
              <w:rPr>
                <w:color w:val="000000"/>
                <w:kern w:val="0"/>
                <w:sz w:val="24"/>
              </w:rPr>
              <w:t>6,744,056.55</w:t>
            </w:r>
          </w:p>
        </w:tc>
        <w:tc>
          <w:tcPr>
            <w:tcW w:w="0" w:type="auto"/>
            <w:vAlign w:val="center"/>
          </w:tcPr>
          <w:p w:rsidR="00C63C53" w:rsidRDefault="001479EF">
            <w:pPr>
              <w:jc w:val="right"/>
            </w:pPr>
            <w:r>
              <w:rPr>
                <w:color w:val="000000"/>
                <w:kern w:val="0"/>
                <w:sz w:val="24"/>
              </w:rPr>
              <w:t>3.96</w:t>
            </w:r>
          </w:p>
        </w:tc>
      </w:tr>
      <w:tr w:rsidR="00C63C53">
        <w:tc>
          <w:tcPr>
            <w:tcW w:w="0" w:type="auto"/>
            <w:vAlign w:val="center"/>
          </w:tcPr>
          <w:p w:rsidR="00C63C53" w:rsidRDefault="001479EF">
            <w:pPr>
              <w:jc w:val="center"/>
            </w:pPr>
            <w:r>
              <w:rPr>
                <w:color w:val="000000"/>
                <w:kern w:val="0"/>
                <w:sz w:val="24"/>
              </w:rPr>
              <w:t>9</w:t>
            </w:r>
          </w:p>
        </w:tc>
        <w:tc>
          <w:tcPr>
            <w:tcW w:w="0" w:type="auto"/>
            <w:vAlign w:val="center"/>
          </w:tcPr>
          <w:p w:rsidR="00C63C53" w:rsidRDefault="001479EF">
            <w:pPr>
              <w:jc w:val="center"/>
            </w:pPr>
            <w:r>
              <w:rPr>
                <w:color w:val="000000"/>
                <w:kern w:val="0"/>
                <w:sz w:val="24"/>
              </w:rPr>
              <w:t>600161</w:t>
            </w:r>
          </w:p>
        </w:tc>
        <w:tc>
          <w:tcPr>
            <w:tcW w:w="0" w:type="auto"/>
            <w:vAlign w:val="center"/>
          </w:tcPr>
          <w:p w:rsidR="00C63C53" w:rsidRDefault="001479EF">
            <w:pPr>
              <w:jc w:val="center"/>
            </w:pPr>
            <w:r>
              <w:rPr>
                <w:color w:val="000000"/>
                <w:kern w:val="0"/>
                <w:sz w:val="24"/>
              </w:rPr>
              <w:t>天坛生物</w:t>
            </w:r>
          </w:p>
        </w:tc>
        <w:tc>
          <w:tcPr>
            <w:tcW w:w="0" w:type="auto"/>
            <w:vAlign w:val="center"/>
          </w:tcPr>
          <w:p w:rsidR="00C63C53" w:rsidRDefault="001479EF">
            <w:pPr>
              <w:jc w:val="right"/>
            </w:pPr>
            <w:r>
              <w:rPr>
                <w:color w:val="000000"/>
                <w:kern w:val="0"/>
                <w:sz w:val="24"/>
              </w:rPr>
              <w:t>195,790</w:t>
            </w:r>
          </w:p>
        </w:tc>
        <w:tc>
          <w:tcPr>
            <w:tcW w:w="0" w:type="auto"/>
            <w:vAlign w:val="center"/>
          </w:tcPr>
          <w:p w:rsidR="00C63C53" w:rsidRDefault="001479EF">
            <w:pPr>
              <w:jc w:val="right"/>
            </w:pPr>
            <w:r>
              <w:rPr>
                <w:color w:val="000000"/>
                <w:kern w:val="0"/>
                <w:sz w:val="24"/>
              </w:rPr>
              <w:t>5,470,372.60</w:t>
            </w:r>
          </w:p>
        </w:tc>
        <w:tc>
          <w:tcPr>
            <w:tcW w:w="0" w:type="auto"/>
            <w:vAlign w:val="center"/>
          </w:tcPr>
          <w:p w:rsidR="00C63C53" w:rsidRDefault="001479EF">
            <w:pPr>
              <w:jc w:val="right"/>
            </w:pPr>
            <w:r>
              <w:rPr>
                <w:color w:val="000000"/>
                <w:kern w:val="0"/>
                <w:sz w:val="24"/>
              </w:rPr>
              <w:t>3.22</w:t>
            </w:r>
          </w:p>
        </w:tc>
      </w:tr>
      <w:tr w:rsidR="00C63C53">
        <w:tc>
          <w:tcPr>
            <w:tcW w:w="0" w:type="auto"/>
            <w:vAlign w:val="center"/>
          </w:tcPr>
          <w:p w:rsidR="00C63C53" w:rsidRDefault="001479EF">
            <w:pPr>
              <w:jc w:val="center"/>
            </w:pPr>
            <w:r>
              <w:rPr>
                <w:color w:val="000000"/>
                <w:kern w:val="0"/>
                <w:sz w:val="24"/>
              </w:rPr>
              <w:t>10</w:t>
            </w:r>
          </w:p>
        </w:tc>
        <w:tc>
          <w:tcPr>
            <w:tcW w:w="0" w:type="auto"/>
            <w:vAlign w:val="center"/>
          </w:tcPr>
          <w:p w:rsidR="00C63C53" w:rsidRDefault="001479EF">
            <w:pPr>
              <w:jc w:val="center"/>
            </w:pPr>
            <w:r>
              <w:rPr>
                <w:color w:val="000000"/>
                <w:kern w:val="0"/>
                <w:sz w:val="24"/>
              </w:rPr>
              <w:t>300676</w:t>
            </w:r>
          </w:p>
        </w:tc>
        <w:tc>
          <w:tcPr>
            <w:tcW w:w="0" w:type="auto"/>
            <w:vAlign w:val="center"/>
          </w:tcPr>
          <w:p w:rsidR="00C63C53" w:rsidRDefault="001479EF">
            <w:pPr>
              <w:jc w:val="center"/>
            </w:pPr>
            <w:r>
              <w:rPr>
                <w:color w:val="000000"/>
                <w:kern w:val="0"/>
                <w:sz w:val="24"/>
              </w:rPr>
              <w:t>华大基因</w:t>
            </w:r>
          </w:p>
        </w:tc>
        <w:tc>
          <w:tcPr>
            <w:tcW w:w="0" w:type="auto"/>
            <w:vAlign w:val="center"/>
          </w:tcPr>
          <w:p w:rsidR="00C63C53" w:rsidRDefault="001479EF">
            <w:pPr>
              <w:jc w:val="right"/>
            </w:pPr>
            <w:r>
              <w:rPr>
                <w:color w:val="000000"/>
                <w:kern w:val="0"/>
                <w:sz w:val="24"/>
              </w:rPr>
              <w:t>60,000</w:t>
            </w:r>
          </w:p>
        </w:tc>
        <w:tc>
          <w:tcPr>
            <w:tcW w:w="0" w:type="auto"/>
            <w:vAlign w:val="center"/>
          </w:tcPr>
          <w:p w:rsidR="00C63C53" w:rsidRDefault="001479EF">
            <w:pPr>
              <w:jc w:val="right"/>
            </w:pPr>
            <w:r>
              <w:rPr>
                <w:color w:val="000000"/>
                <w:kern w:val="0"/>
                <w:sz w:val="24"/>
              </w:rPr>
              <w:t>4,122,000.00</w:t>
            </w:r>
          </w:p>
        </w:tc>
        <w:tc>
          <w:tcPr>
            <w:tcW w:w="0" w:type="auto"/>
            <w:vAlign w:val="center"/>
          </w:tcPr>
          <w:p w:rsidR="00C63C53" w:rsidRDefault="001479EF">
            <w:pPr>
              <w:jc w:val="right"/>
            </w:pPr>
            <w:r>
              <w:rPr>
                <w:color w:val="000000"/>
                <w:kern w:val="0"/>
                <w:sz w:val="24"/>
              </w:rPr>
              <w:t>2.42</w:t>
            </w:r>
          </w:p>
        </w:tc>
      </w:tr>
    </w:tbl>
    <w:p w:rsidR="00653BAC" w:rsidRPr="00653BAC" w:rsidRDefault="001C36D8" w:rsidP="00653BAC">
      <w:pPr>
        <w:autoSpaceDE w:val="0"/>
        <w:autoSpaceDN w:val="0"/>
        <w:adjustRightInd w:val="0"/>
        <w:spacing w:line="360" w:lineRule="auto"/>
        <w:jc w:val="left"/>
        <w:rPr>
          <w:rFonts w:eastAsiaTheme="minorEastAsia"/>
          <w:b/>
          <w:color w:val="000000" w:themeColor="text1"/>
          <w:kern w:val="0"/>
          <w:sz w:val="24"/>
        </w:rPr>
      </w:pPr>
      <w:r w:rsidRPr="00272E0C">
        <w:rPr>
          <w:rFonts w:ascii="宋体" w:hAnsi="宋体" w:cs="Arial"/>
          <w:b/>
          <w:color w:val="000000"/>
          <w:kern w:val="0"/>
          <w:sz w:val="24"/>
        </w:rPr>
        <w:t xml:space="preserve">5.4 </w:t>
      </w:r>
      <w:r w:rsidRPr="00272E0C">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序号</w:t>
            </w:r>
          </w:p>
        </w:tc>
        <w:tc>
          <w:tcPr>
            <w:tcW w:w="3260"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债券品种</w:t>
            </w:r>
          </w:p>
        </w:tc>
        <w:tc>
          <w:tcPr>
            <w:tcW w:w="2835"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公允价值</w:t>
            </w:r>
            <w:r w:rsidRPr="00653BAC">
              <w:rPr>
                <w:rFonts w:eastAsiaTheme="minorEastAsia"/>
                <w:color w:val="000000" w:themeColor="text1"/>
                <w:sz w:val="24"/>
              </w:rPr>
              <w:t>(</w:t>
            </w:r>
            <w:r w:rsidRPr="00653BAC">
              <w:rPr>
                <w:rFonts w:eastAsiaTheme="minorEastAsia"/>
                <w:color w:val="000000" w:themeColor="text1"/>
                <w:sz w:val="24"/>
              </w:rPr>
              <w:t>元</w:t>
            </w: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占基金资产净值比例</w:t>
            </w:r>
            <w:r w:rsidRPr="00653BAC">
              <w:rPr>
                <w:rFonts w:eastAsiaTheme="minorEastAsia"/>
                <w:color w:val="000000" w:themeColor="text1"/>
                <w:sz w:val="24"/>
              </w:rPr>
              <w:t>(</w:t>
            </w:r>
            <w:r w:rsidRPr="00653BAC">
              <w:rPr>
                <w:rFonts w:eastAsiaTheme="minorEastAsia"/>
                <w:color w:val="000000" w:themeColor="text1"/>
                <w:sz w:val="24"/>
              </w:rPr>
              <w:t>％</w:t>
            </w: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1</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国家债券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2</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央行票据</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3</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金融债券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其中：政策性金融债</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4</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企业债券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5</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企业短期融资券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6</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中期票据</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7</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可转债</w:t>
            </w:r>
            <w:r w:rsidR="00C77034" w:rsidRPr="00C77034">
              <w:rPr>
                <w:rFonts w:eastAsiaTheme="minorEastAsia" w:hint="eastAsia"/>
                <w:color w:val="000000" w:themeColor="text1"/>
                <w:sz w:val="24"/>
              </w:rPr>
              <w:t>（可交换债）</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207,996.35</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0.12</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8</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同业存单</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9</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其他</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10</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合计</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207,996.35</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0.12</w:t>
            </w:r>
          </w:p>
        </w:tc>
      </w:tr>
    </w:tbl>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5.5 </w:t>
      </w:r>
      <w:r w:rsidRPr="00272E0C">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272E0C">
        <w:rPr>
          <w:rFonts w:ascii="宋体" w:hAnsi="宋体" w:cs="Arial" w:hint="eastAsia"/>
          <w:b/>
          <w:color w:val="000000"/>
          <w:kern w:val="0"/>
          <w:sz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1701"/>
        <w:gridCol w:w="1559"/>
        <w:gridCol w:w="1843"/>
        <w:gridCol w:w="1190"/>
      </w:tblGrid>
      <w:tr w:rsidR="001C36D8" w:rsidRPr="00272E0C" w:rsidTr="003A20AA">
        <w:tc>
          <w:tcPr>
            <w:tcW w:w="817" w:type="dxa"/>
            <w:vAlign w:val="center"/>
          </w:tcPr>
          <w:p w:rsidR="001C36D8" w:rsidRPr="005B1E0B" w:rsidRDefault="001C36D8" w:rsidP="007A6BEA">
            <w:pPr>
              <w:spacing w:before="29" w:line="360" w:lineRule="auto"/>
              <w:ind w:left="17"/>
              <w:jc w:val="center"/>
              <w:rPr>
                <w:color w:val="000000"/>
                <w:sz w:val="24"/>
              </w:rPr>
            </w:pPr>
            <w:r w:rsidRPr="005B1E0B">
              <w:rPr>
                <w:color w:val="000000"/>
                <w:sz w:val="24"/>
              </w:rPr>
              <w:t>序号</w:t>
            </w:r>
          </w:p>
        </w:tc>
        <w:tc>
          <w:tcPr>
            <w:tcW w:w="1418" w:type="dxa"/>
            <w:vAlign w:val="center"/>
          </w:tcPr>
          <w:p w:rsidR="001C36D8" w:rsidRPr="005B1E0B" w:rsidRDefault="001C36D8" w:rsidP="007A6BEA">
            <w:pPr>
              <w:spacing w:before="29" w:line="360" w:lineRule="auto"/>
              <w:ind w:left="17"/>
              <w:jc w:val="center"/>
              <w:rPr>
                <w:color w:val="000000"/>
                <w:sz w:val="24"/>
              </w:rPr>
            </w:pPr>
            <w:r w:rsidRPr="005B1E0B">
              <w:rPr>
                <w:color w:val="000000"/>
                <w:sz w:val="24"/>
              </w:rPr>
              <w:t>债券代码</w:t>
            </w:r>
          </w:p>
        </w:tc>
        <w:tc>
          <w:tcPr>
            <w:tcW w:w="1701" w:type="dxa"/>
            <w:vAlign w:val="center"/>
          </w:tcPr>
          <w:p w:rsidR="001C36D8" w:rsidRPr="005B1E0B" w:rsidRDefault="001C36D8" w:rsidP="007A6BEA">
            <w:pPr>
              <w:spacing w:before="29" w:line="360" w:lineRule="auto"/>
              <w:ind w:left="17"/>
              <w:jc w:val="center"/>
              <w:rPr>
                <w:color w:val="000000"/>
                <w:sz w:val="24"/>
              </w:rPr>
            </w:pPr>
            <w:r w:rsidRPr="005B1E0B">
              <w:rPr>
                <w:color w:val="000000"/>
                <w:sz w:val="24"/>
              </w:rPr>
              <w:t>债券名称</w:t>
            </w:r>
          </w:p>
        </w:tc>
        <w:tc>
          <w:tcPr>
            <w:tcW w:w="1559"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数量</w:t>
            </w:r>
            <w:r w:rsidR="0015779C" w:rsidRPr="005B1E0B">
              <w:rPr>
                <w:color w:val="000000"/>
                <w:sz w:val="24"/>
              </w:rPr>
              <w:t>（张）</w:t>
            </w:r>
          </w:p>
        </w:tc>
        <w:tc>
          <w:tcPr>
            <w:tcW w:w="1843"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公允价值</w:t>
            </w:r>
            <w:r w:rsidR="0015779C" w:rsidRPr="005B1E0B">
              <w:rPr>
                <w:color w:val="000000"/>
                <w:sz w:val="24"/>
              </w:rPr>
              <w:t>（元）</w:t>
            </w:r>
          </w:p>
        </w:tc>
        <w:tc>
          <w:tcPr>
            <w:tcW w:w="1190"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占基金资产净值比例</w:t>
            </w:r>
            <w:r w:rsidR="0015779C" w:rsidRPr="005B1E0B">
              <w:rPr>
                <w:color w:val="000000"/>
                <w:sz w:val="24"/>
              </w:rPr>
              <w:t>（％）</w:t>
            </w:r>
          </w:p>
        </w:tc>
      </w:tr>
      <w:tr w:rsidR="00C63C53">
        <w:tc>
          <w:tcPr>
            <w:tcW w:w="0" w:type="auto"/>
            <w:vAlign w:val="center"/>
          </w:tcPr>
          <w:p w:rsidR="00C63C53" w:rsidRDefault="001479EF">
            <w:pPr>
              <w:jc w:val="center"/>
            </w:pPr>
            <w:r>
              <w:rPr>
                <w:color w:val="000000"/>
                <w:sz w:val="24"/>
              </w:rPr>
              <w:t>1</w:t>
            </w:r>
          </w:p>
        </w:tc>
        <w:tc>
          <w:tcPr>
            <w:tcW w:w="0" w:type="auto"/>
            <w:vAlign w:val="center"/>
          </w:tcPr>
          <w:p w:rsidR="00C63C53" w:rsidRDefault="001479EF">
            <w:pPr>
              <w:jc w:val="center"/>
            </w:pPr>
            <w:r>
              <w:rPr>
                <w:color w:val="000000"/>
                <w:sz w:val="24"/>
              </w:rPr>
              <w:t>113029</w:t>
            </w:r>
          </w:p>
        </w:tc>
        <w:tc>
          <w:tcPr>
            <w:tcW w:w="0" w:type="auto"/>
            <w:vAlign w:val="center"/>
          </w:tcPr>
          <w:p w:rsidR="00C63C53" w:rsidRDefault="001479EF">
            <w:pPr>
              <w:jc w:val="center"/>
            </w:pPr>
            <w:r>
              <w:rPr>
                <w:color w:val="000000"/>
                <w:sz w:val="24"/>
              </w:rPr>
              <w:t>明阳转债</w:t>
            </w:r>
          </w:p>
        </w:tc>
        <w:tc>
          <w:tcPr>
            <w:tcW w:w="0" w:type="auto"/>
            <w:vAlign w:val="center"/>
          </w:tcPr>
          <w:p w:rsidR="00C63C53" w:rsidRDefault="001479EF">
            <w:pPr>
              <w:jc w:val="right"/>
            </w:pPr>
            <w:r>
              <w:rPr>
                <w:color w:val="000000"/>
                <w:sz w:val="24"/>
              </w:rPr>
              <w:t>760</w:t>
            </w:r>
          </w:p>
        </w:tc>
        <w:tc>
          <w:tcPr>
            <w:tcW w:w="0" w:type="auto"/>
            <w:vAlign w:val="center"/>
          </w:tcPr>
          <w:p w:rsidR="00C63C53" w:rsidRDefault="001479EF">
            <w:pPr>
              <w:jc w:val="right"/>
            </w:pPr>
            <w:r>
              <w:rPr>
                <w:color w:val="000000"/>
                <w:sz w:val="24"/>
              </w:rPr>
              <w:t>75,998.67</w:t>
            </w:r>
          </w:p>
        </w:tc>
        <w:tc>
          <w:tcPr>
            <w:tcW w:w="0" w:type="auto"/>
            <w:vAlign w:val="center"/>
          </w:tcPr>
          <w:p w:rsidR="00C63C53" w:rsidRDefault="001479EF">
            <w:pPr>
              <w:jc w:val="right"/>
            </w:pPr>
            <w:r>
              <w:rPr>
                <w:color w:val="000000"/>
                <w:sz w:val="24"/>
              </w:rPr>
              <w:t>0.04</w:t>
            </w:r>
          </w:p>
        </w:tc>
      </w:tr>
      <w:tr w:rsidR="00C63C53">
        <w:tc>
          <w:tcPr>
            <w:tcW w:w="0" w:type="auto"/>
            <w:vAlign w:val="center"/>
          </w:tcPr>
          <w:p w:rsidR="00C63C53" w:rsidRDefault="001479EF">
            <w:pPr>
              <w:jc w:val="center"/>
            </w:pPr>
            <w:r>
              <w:rPr>
                <w:color w:val="000000"/>
                <w:sz w:val="24"/>
              </w:rPr>
              <w:t>2</w:t>
            </w:r>
          </w:p>
        </w:tc>
        <w:tc>
          <w:tcPr>
            <w:tcW w:w="0" w:type="auto"/>
            <w:vAlign w:val="center"/>
          </w:tcPr>
          <w:p w:rsidR="00C63C53" w:rsidRDefault="001479EF">
            <w:pPr>
              <w:jc w:val="center"/>
            </w:pPr>
            <w:r>
              <w:rPr>
                <w:color w:val="000000"/>
                <w:sz w:val="24"/>
              </w:rPr>
              <w:t>128085</w:t>
            </w:r>
          </w:p>
        </w:tc>
        <w:tc>
          <w:tcPr>
            <w:tcW w:w="0" w:type="auto"/>
            <w:vAlign w:val="center"/>
          </w:tcPr>
          <w:p w:rsidR="00C63C53" w:rsidRDefault="001479EF">
            <w:pPr>
              <w:jc w:val="center"/>
            </w:pPr>
            <w:r>
              <w:rPr>
                <w:color w:val="000000"/>
                <w:sz w:val="24"/>
              </w:rPr>
              <w:t>鸿达转债</w:t>
            </w:r>
          </w:p>
        </w:tc>
        <w:tc>
          <w:tcPr>
            <w:tcW w:w="0" w:type="auto"/>
            <w:vAlign w:val="center"/>
          </w:tcPr>
          <w:p w:rsidR="00C63C53" w:rsidRDefault="001479EF">
            <w:pPr>
              <w:jc w:val="right"/>
            </w:pPr>
            <w:r>
              <w:rPr>
                <w:color w:val="000000"/>
                <w:sz w:val="24"/>
              </w:rPr>
              <w:t>480</w:t>
            </w:r>
          </w:p>
        </w:tc>
        <w:tc>
          <w:tcPr>
            <w:tcW w:w="0" w:type="auto"/>
            <w:vAlign w:val="center"/>
          </w:tcPr>
          <w:p w:rsidR="00C63C53" w:rsidRDefault="001479EF">
            <w:pPr>
              <w:jc w:val="right"/>
            </w:pPr>
            <w:r>
              <w:rPr>
                <w:color w:val="000000"/>
                <w:sz w:val="24"/>
              </w:rPr>
              <w:t>47,999.16</w:t>
            </w:r>
          </w:p>
        </w:tc>
        <w:tc>
          <w:tcPr>
            <w:tcW w:w="0" w:type="auto"/>
            <w:vAlign w:val="center"/>
          </w:tcPr>
          <w:p w:rsidR="00C63C53" w:rsidRDefault="001479EF">
            <w:pPr>
              <w:jc w:val="right"/>
            </w:pPr>
            <w:r>
              <w:rPr>
                <w:color w:val="000000"/>
                <w:sz w:val="24"/>
              </w:rPr>
              <w:t>0.03</w:t>
            </w:r>
          </w:p>
        </w:tc>
      </w:tr>
      <w:tr w:rsidR="00C63C53">
        <w:tc>
          <w:tcPr>
            <w:tcW w:w="0" w:type="auto"/>
            <w:vAlign w:val="center"/>
          </w:tcPr>
          <w:p w:rsidR="00C63C53" w:rsidRDefault="001479EF">
            <w:pPr>
              <w:jc w:val="center"/>
            </w:pPr>
            <w:r>
              <w:rPr>
                <w:color w:val="000000"/>
                <w:sz w:val="24"/>
              </w:rPr>
              <w:t>3</w:t>
            </w:r>
          </w:p>
        </w:tc>
        <w:tc>
          <w:tcPr>
            <w:tcW w:w="0" w:type="auto"/>
            <w:vAlign w:val="center"/>
          </w:tcPr>
          <w:p w:rsidR="00C63C53" w:rsidRDefault="001479EF">
            <w:pPr>
              <w:jc w:val="center"/>
            </w:pPr>
            <w:r>
              <w:rPr>
                <w:color w:val="000000"/>
                <w:sz w:val="24"/>
              </w:rPr>
              <w:t>128084</w:t>
            </w:r>
          </w:p>
        </w:tc>
        <w:tc>
          <w:tcPr>
            <w:tcW w:w="0" w:type="auto"/>
            <w:vAlign w:val="center"/>
          </w:tcPr>
          <w:p w:rsidR="00C63C53" w:rsidRDefault="001479EF">
            <w:pPr>
              <w:jc w:val="center"/>
            </w:pPr>
            <w:r>
              <w:rPr>
                <w:color w:val="000000"/>
                <w:sz w:val="24"/>
              </w:rPr>
              <w:t>木森转债</w:t>
            </w:r>
          </w:p>
        </w:tc>
        <w:tc>
          <w:tcPr>
            <w:tcW w:w="0" w:type="auto"/>
            <w:vAlign w:val="center"/>
          </w:tcPr>
          <w:p w:rsidR="00C63C53" w:rsidRDefault="001479EF">
            <w:pPr>
              <w:jc w:val="right"/>
            </w:pPr>
            <w:r>
              <w:rPr>
                <w:color w:val="000000"/>
                <w:sz w:val="24"/>
              </w:rPr>
              <w:t>380</w:t>
            </w:r>
          </w:p>
        </w:tc>
        <w:tc>
          <w:tcPr>
            <w:tcW w:w="0" w:type="auto"/>
            <w:vAlign w:val="center"/>
          </w:tcPr>
          <w:p w:rsidR="00C63C53" w:rsidRDefault="001479EF">
            <w:pPr>
              <w:jc w:val="right"/>
            </w:pPr>
            <w:r>
              <w:rPr>
                <w:color w:val="000000"/>
                <w:sz w:val="24"/>
              </w:rPr>
              <w:t>37,999.33</w:t>
            </w:r>
          </w:p>
        </w:tc>
        <w:tc>
          <w:tcPr>
            <w:tcW w:w="0" w:type="auto"/>
            <w:vAlign w:val="center"/>
          </w:tcPr>
          <w:p w:rsidR="00C63C53" w:rsidRDefault="001479EF">
            <w:pPr>
              <w:jc w:val="right"/>
            </w:pPr>
            <w:r>
              <w:rPr>
                <w:color w:val="000000"/>
                <w:sz w:val="24"/>
              </w:rPr>
              <w:t>0.02</w:t>
            </w:r>
          </w:p>
        </w:tc>
      </w:tr>
      <w:tr w:rsidR="00C63C53">
        <w:tc>
          <w:tcPr>
            <w:tcW w:w="0" w:type="auto"/>
            <w:vAlign w:val="center"/>
          </w:tcPr>
          <w:p w:rsidR="00C63C53" w:rsidRDefault="001479EF">
            <w:pPr>
              <w:jc w:val="center"/>
            </w:pPr>
            <w:r>
              <w:rPr>
                <w:color w:val="000000"/>
                <w:sz w:val="24"/>
              </w:rPr>
              <w:t>4</w:t>
            </w:r>
          </w:p>
        </w:tc>
        <w:tc>
          <w:tcPr>
            <w:tcW w:w="0" w:type="auto"/>
            <w:vAlign w:val="center"/>
          </w:tcPr>
          <w:p w:rsidR="00C63C53" w:rsidRDefault="001479EF">
            <w:pPr>
              <w:jc w:val="center"/>
            </w:pPr>
            <w:r>
              <w:rPr>
                <w:color w:val="000000"/>
                <w:sz w:val="24"/>
              </w:rPr>
              <w:t>128086</w:t>
            </w:r>
          </w:p>
        </w:tc>
        <w:tc>
          <w:tcPr>
            <w:tcW w:w="0" w:type="auto"/>
            <w:vAlign w:val="center"/>
          </w:tcPr>
          <w:p w:rsidR="00C63C53" w:rsidRDefault="001479EF">
            <w:pPr>
              <w:jc w:val="center"/>
            </w:pPr>
            <w:r>
              <w:rPr>
                <w:color w:val="000000"/>
                <w:sz w:val="24"/>
              </w:rPr>
              <w:t>国轩转债</w:t>
            </w:r>
          </w:p>
        </w:tc>
        <w:tc>
          <w:tcPr>
            <w:tcW w:w="0" w:type="auto"/>
            <w:vAlign w:val="center"/>
          </w:tcPr>
          <w:p w:rsidR="00C63C53" w:rsidRDefault="001479EF">
            <w:pPr>
              <w:jc w:val="right"/>
            </w:pPr>
            <w:r>
              <w:rPr>
                <w:color w:val="000000"/>
                <w:sz w:val="24"/>
              </w:rPr>
              <w:t>290</w:t>
            </w:r>
          </w:p>
        </w:tc>
        <w:tc>
          <w:tcPr>
            <w:tcW w:w="0" w:type="auto"/>
            <w:vAlign w:val="center"/>
          </w:tcPr>
          <w:p w:rsidR="00C63C53" w:rsidRDefault="001479EF">
            <w:pPr>
              <w:jc w:val="right"/>
            </w:pPr>
            <w:r>
              <w:rPr>
                <w:color w:val="000000"/>
                <w:sz w:val="24"/>
              </w:rPr>
              <w:t>28,999.49</w:t>
            </w:r>
          </w:p>
        </w:tc>
        <w:tc>
          <w:tcPr>
            <w:tcW w:w="0" w:type="auto"/>
            <w:vAlign w:val="center"/>
          </w:tcPr>
          <w:p w:rsidR="00C63C53" w:rsidRDefault="001479EF">
            <w:pPr>
              <w:jc w:val="right"/>
            </w:pPr>
            <w:r>
              <w:rPr>
                <w:color w:val="000000"/>
                <w:sz w:val="24"/>
              </w:rPr>
              <w:t>0.02</w:t>
            </w:r>
          </w:p>
        </w:tc>
      </w:tr>
      <w:tr w:rsidR="00C63C53">
        <w:tc>
          <w:tcPr>
            <w:tcW w:w="0" w:type="auto"/>
            <w:vAlign w:val="center"/>
          </w:tcPr>
          <w:p w:rsidR="00C63C53" w:rsidRDefault="001479EF">
            <w:pPr>
              <w:jc w:val="center"/>
            </w:pPr>
            <w:r>
              <w:rPr>
                <w:color w:val="000000"/>
                <w:sz w:val="24"/>
              </w:rPr>
              <w:t>5</w:t>
            </w:r>
          </w:p>
        </w:tc>
        <w:tc>
          <w:tcPr>
            <w:tcW w:w="0" w:type="auto"/>
            <w:vAlign w:val="center"/>
          </w:tcPr>
          <w:p w:rsidR="00C63C53" w:rsidRDefault="001479EF">
            <w:pPr>
              <w:jc w:val="center"/>
            </w:pPr>
            <w:r>
              <w:rPr>
                <w:color w:val="000000"/>
                <w:sz w:val="24"/>
              </w:rPr>
              <w:t>113030</w:t>
            </w:r>
          </w:p>
        </w:tc>
        <w:tc>
          <w:tcPr>
            <w:tcW w:w="0" w:type="auto"/>
            <w:vAlign w:val="center"/>
          </w:tcPr>
          <w:p w:rsidR="00C63C53" w:rsidRDefault="001479EF">
            <w:pPr>
              <w:jc w:val="center"/>
            </w:pPr>
            <w:r>
              <w:rPr>
                <w:color w:val="000000"/>
                <w:sz w:val="24"/>
              </w:rPr>
              <w:t>东风转债</w:t>
            </w:r>
          </w:p>
        </w:tc>
        <w:tc>
          <w:tcPr>
            <w:tcW w:w="0" w:type="auto"/>
            <w:vAlign w:val="center"/>
          </w:tcPr>
          <w:p w:rsidR="00C63C53" w:rsidRDefault="001479EF">
            <w:pPr>
              <w:jc w:val="right"/>
            </w:pPr>
            <w:r>
              <w:rPr>
                <w:color w:val="000000"/>
                <w:sz w:val="24"/>
              </w:rPr>
              <w:t>170</w:t>
            </w:r>
          </w:p>
        </w:tc>
        <w:tc>
          <w:tcPr>
            <w:tcW w:w="0" w:type="auto"/>
            <w:vAlign w:val="center"/>
          </w:tcPr>
          <w:p w:rsidR="00C63C53" w:rsidRDefault="001479EF">
            <w:pPr>
              <w:jc w:val="right"/>
            </w:pPr>
            <w:r>
              <w:rPr>
                <w:color w:val="000000"/>
                <w:sz w:val="24"/>
              </w:rPr>
              <w:t>16,999.70</w:t>
            </w:r>
          </w:p>
        </w:tc>
        <w:tc>
          <w:tcPr>
            <w:tcW w:w="0" w:type="auto"/>
            <w:vAlign w:val="center"/>
          </w:tcPr>
          <w:p w:rsidR="00C63C53" w:rsidRDefault="001479EF">
            <w:pPr>
              <w:jc w:val="right"/>
            </w:pPr>
            <w:r>
              <w:rPr>
                <w:color w:val="000000"/>
                <w:sz w:val="24"/>
              </w:rPr>
              <w:t>0.01</w:t>
            </w:r>
          </w:p>
        </w:tc>
      </w:tr>
    </w:tbl>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5.6</w:t>
      </w:r>
      <w:r w:rsidRPr="00272E0C">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272E0C">
        <w:rPr>
          <w:rFonts w:ascii="宋体" w:hAnsi="宋体" w:cs="Arial" w:hint="eastAsia"/>
          <w:b/>
          <w:color w:val="000000"/>
          <w:kern w:val="0"/>
          <w:sz w:val="24"/>
        </w:rPr>
        <w:t>的前十名资产支持证券投资明细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本基金本报告期末未持有资产支持证券。</w:t>
      </w:r>
    </w:p>
    <w:p w:rsidR="001C36D8" w:rsidRPr="001D63BB" w:rsidRDefault="001C36D8" w:rsidP="001C123E">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本基金本报告期末未持有贵金属。</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1B0A62">
        <w:rPr>
          <w:rFonts w:ascii="宋体"/>
          <w:b/>
          <w:bCs/>
          <w:color w:val="000000"/>
          <w:kern w:val="0"/>
          <w:sz w:val="24"/>
        </w:rPr>
        <w:t>5.8</w:t>
      </w:r>
      <w:r w:rsidRPr="00272E0C">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272E0C">
        <w:rPr>
          <w:rFonts w:ascii="宋体" w:hAnsi="宋体" w:hint="eastAsia"/>
          <w:b/>
          <w:bCs/>
          <w:color w:val="000000"/>
          <w:sz w:val="24"/>
        </w:rPr>
        <w:t>的前五名权证投资明细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本基金本报告期末未持有权证。</w:t>
      </w:r>
    </w:p>
    <w:p w:rsidR="001C36D8" w:rsidRPr="00E85E29" w:rsidRDefault="001C36D8" w:rsidP="00E57068">
      <w:pPr>
        <w:adjustRightInd w:val="0"/>
        <w:snapToGrid w:val="0"/>
        <w:spacing w:line="360" w:lineRule="auto"/>
        <w:rPr>
          <w:rFonts w:ascii="宋体"/>
          <w:b/>
          <w:sz w:val="24"/>
        </w:rPr>
      </w:pPr>
      <w:r w:rsidRPr="001B0A62">
        <w:rPr>
          <w:rFonts w:ascii="宋体"/>
          <w:b/>
          <w:bCs/>
          <w:color w:val="000000"/>
          <w:kern w:val="0"/>
          <w:sz w:val="24"/>
        </w:rPr>
        <w:t>5.9</w:t>
      </w:r>
      <w:r w:rsidRPr="00E85E29">
        <w:rPr>
          <w:rFonts w:ascii="宋体" w:hAnsi="宋体" w:hint="eastAsia"/>
          <w:b/>
          <w:sz w:val="24"/>
        </w:rPr>
        <w:t>报告期末本基金投资的股指期货交易情况说明</w:t>
      </w:r>
    </w:p>
    <w:p w:rsidR="003B3D0C" w:rsidRDefault="003B3D0C" w:rsidP="003B3D0C">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1C36D8" w:rsidRPr="00272E0C" w:rsidRDefault="001C36D8" w:rsidP="00576862">
      <w:pPr>
        <w:adjustRightInd w:val="0"/>
        <w:snapToGrid w:val="0"/>
        <w:spacing w:line="360" w:lineRule="auto"/>
        <w:rPr>
          <w:rFonts w:ascii="宋体"/>
          <w:b/>
          <w:sz w:val="24"/>
        </w:rPr>
      </w:pPr>
      <w:r>
        <w:rPr>
          <w:rFonts w:ascii="宋体" w:hAnsi="宋体"/>
          <w:b/>
          <w:sz w:val="24"/>
        </w:rPr>
        <w:t>5</w:t>
      </w:r>
      <w:r w:rsidRPr="00272E0C">
        <w:rPr>
          <w:rFonts w:ascii="宋体"/>
          <w:b/>
          <w:sz w:val="24"/>
        </w:rPr>
        <w:t>.</w:t>
      </w:r>
      <w:r>
        <w:rPr>
          <w:rFonts w:ascii="宋体" w:hAnsi="宋体"/>
          <w:b/>
          <w:sz w:val="24"/>
        </w:rPr>
        <w:t>10</w:t>
      </w:r>
      <w:r w:rsidRPr="00272E0C">
        <w:rPr>
          <w:rFonts w:ascii="宋体" w:hAnsi="宋体" w:hint="eastAsia"/>
          <w:b/>
          <w:sz w:val="24"/>
        </w:rPr>
        <w:t>报告期末本基金投资的国债期货交易情况说明</w:t>
      </w:r>
    </w:p>
    <w:p w:rsidR="000C44BD" w:rsidRDefault="000C44BD" w:rsidP="000C44BD">
      <w:pPr>
        <w:spacing w:line="360" w:lineRule="auto"/>
        <w:ind w:firstLineChars="200" w:firstLine="480"/>
      </w:pPr>
      <w:r>
        <w:rPr>
          <w:color w:val="000000"/>
          <w:sz w:val="24"/>
        </w:rPr>
        <w:t>本基金本报告期末未投资国债期货。</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272E0C">
        <w:rPr>
          <w:rFonts w:ascii="宋体" w:cs="Arial"/>
          <w:b/>
          <w:color w:val="000000"/>
          <w:kern w:val="0"/>
          <w:sz w:val="24"/>
        </w:rPr>
        <w:t>.</w:t>
      </w:r>
      <w:r>
        <w:rPr>
          <w:rFonts w:ascii="宋体" w:hAnsi="宋体" w:cs="Arial"/>
          <w:b/>
          <w:color w:val="000000"/>
          <w:kern w:val="0"/>
          <w:sz w:val="24"/>
        </w:rPr>
        <w:t>11</w:t>
      </w:r>
      <w:r w:rsidRPr="00272E0C">
        <w:rPr>
          <w:rFonts w:ascii="宋体" w:hAnsi="宋体" w:cs="Arial" w:hint="eastAsia"/>
          <w:b/>
          <w:color w:val="000000"/>
          <w:kern w:val="0"/>
          <w:sz w:val="24"/>
        </w:rPr>
        <w:t>投资组合报告附注</w:t>
      </w:r>
    </w:p>
    <w:p w:rsidR="001C36D8" w:rsidRPr="005B1E0B" w:rsidRDefault="001C36D8" w:rsidP="00576862">
      <w:pPr>
        <w:spacing w:line="360" w:lineRule="auto"/>
        <w:rPr>
          <w:color w:val="000000"/>
          <w:kern w:val="0"/>
          <w:sz w:val="24"/>
        </w:rPr>
      </w:pPr>
      <w:r w:rsidRPr="001C123E">
        <w:rPr>
          <w:rFonts w:ascii="宋体" w:hAnsi="宋体"/>
          <w:bCs/>
          <w:color w:val="000000"/>
          <w:kern w:val="0"/>
          <w:sz w:val="24"/>
        </w:rPr>
        <w:t>5.11.1</w:t>
      </w:r>
      <w:r w:rsidRPr="005B1E0B">
        <w:rPr>
          <w:color w:val="000000"/>
          <w:kern w:val="0"/>
          <w:sz w:val="24"/>
        </w:rPr>
        <w:t>本基金投资的前十名证券的发行主体本期没有出现被监管部门立案调查，或在报告编制日前一年内受到公开谴责、处罚的情形。</w:t>
      </w:r>
    </w:p>
    <w:p w:rsidR="001C36D8" w:rsidRPr="005B1E0B" w:rsidRDefault="001C36D8" w:rsidP="00576862">
      <w:pPr>
        <w:spacing w:line="360" w:lineRule="auto"/>
        <w:rPr>
          <w:color w:val="000000"/>
          <w:kern w:val="0"/>
          <w:sz w:val="24"/>
        </w:rPr>
      </w:pPr>
      <w:r w:rsidRPr="001C123E">
        <w:rPr>
          <w:rFonts w:ascii="宋体" w:hAnsi="宋体"/>
          <w:bCs/>
          <w:color w:val="000000"/>
          <w:kern w:val="0"/>
          <w:sz w:val="24"/>
        </w:rPr>
        <w:t>5.11.2</w:t>
      </w:r>
      <w:r w:rsidRPr="005B1E0B">
        <w:rPr>
          <w:color w:val="000000"/>
          <w:kern w:val="0"/>
          <w:sz w:val="24"/>
        </w:rPr>
        <w:t>本基金投资的前十名股票没有超出基金合同规定的备选股票库。</w:t>
      </w:r>
    </w:p>
    <w:p w:rsidR="001C36D8" w:rsidRPr="00717C29" w:rsidRDefault="001C36D8" w:rsidP="00576862">
      <w:pPr>
        <w:autoSpaceDE w:val="0"/>
        <w:autoSpaceDN w:val="0"/>
        <w:adjustRightInd w:val="0"/>
        <w:spacing w:line="360" w:lineRule="auto"/>
        <w:jc w:val="left"/>
        <w:rPr>
          <w:rFonts w:ascii="宋体" w:cs="Arial"/>
          <w:color w:val="000000"/>
          <w:kern w:val="0"/>
          <w:sz w:val="24"/>
        </w:rPr>
      </w:pPr>
      <w:r w:rsidRPr="00717C29">
        <w:rPr>
          <w:rFonts w:ascii="宋体" w:hAnsi="宋体"/>
          <w:bCs/>
          <w:color w:val="000000"/>
          <w:kern w:val="0"/>
          <w:sz w:val="24"/>
        </w:rPr>
        <w:t>5.11.3</w:t>
      </w:r>
      <w:r w:rsidRPr="00717C29">
        <w:rPr>
          <w:rFonts w:ascii="宋体" w:hAnsi="宋体" w:cs="Arial" w:hint="eastAsia"/>
          <w:color w:val="000000"/>
          <w:kern w:val="0"/>
          <w:sz w:val="24"/>
        </w:rPr>
        <w:t>其他各项资产构成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761"/>
        <w:gridCol w:w="4808"/>
      </w:tblGrid>
      <w:tr w:rsidR="001C36D8" w:rsidRPr="00272E0C" w:rsidTr="001A09F9">
        <w:tc>
          <w:tcPr>
            <w:tcW w:w="959"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序号</w:t>
            </w:r>
          </w:p>
        </w:tc>
        <w:tc>
          <w:tcPr>
            <w:tcW w:w="2761"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名称</w:t>
            </w:r>
          </w:p>
        </w:tc>
        <w:tc>
          <w:tcPr>
            <w:tcW w:w="4808"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金额（元）</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kern w:val="0"/>
                <w:sz w:val="24"/>
              </w:rPr>
            </w:pPr>
            <w:r w:rsidRPr="005B1E0B">
              <w:rPr>
                <w:color w:val="000000"/>
                <w:sz w:val="24"/>
              </w:rPr>
              <w:t>1</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存出保证金</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8,156.66</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2</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应收证券清算款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3</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应收股利</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4</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应收利息</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2,026.54</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5</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应收申购款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123,790.50</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6</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其他应收款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7</w:t>
            </w:r>
          </w:p>
        </w:tc>
        <w:tc>
          <w:tcPr>
            <w:tcW w:w="2761" w:type="dxa"/>
          </w:tcPr>
          <w:p w:rsidR="001C36D8" w:rsidRPr="005B1E0B" w:rsidRDefault="001C36D8" w:rsidP="0015779C">
            <w:pPr>
              <w:autoSpaceDE w:val="0"/>
              <w:autoSpaceDN w:val="0"/>
              <w:adjustRightInd w:val="0"/>
              <w:spacing w:before="29" w:line="360" w:lineRule="auto"/>
              <w:ind w:leftChars="50" w:left="105"/>
              <w:rPr>
                <w:color w:val="000000"/>
                <w:sz w:val="24"/>
              </w:rPr>
            </w:pPr>
            <w:r w:rsidRPr="005B1E0B">
              <w:rPr>
                <w:color w:val="000000"/>
                <w:sz w:val="24"/>
              </w:rPr>
              <w:t>待摊费用</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sz w:val="24"/>
              </w:rPr>
            </w:pPr>
            <w:r w:rsidRPr="005B1E0B">
              <w:rPr>
                <w:color w:val="00000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8</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其他</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9</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合计</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133,973.70</w:t>
            </w:r>
          </w:p>
        </w:tc>
      </w:tr>
    </w:tbl>
    <w:p w:rsidR="001C36D8" w:rsidRPr="00717C29" w:rsidRDefault="001C36D8" w:rsidP="00576862">
      <w:pPr>
        <w:autoSpaceDE w:val="0"/>
        <w:autoSpaceDN w:val="0"/>
        <w:adjustRightInd w:val="0"/>
        <w:spacing w:line="360" w:lineRule="auto"/>
        <w:jc w:val="left"/>
        <w:rPr>
          <w:rFonts w:ascii="宋体" w:cs="Arial"/>
          <w:color w:val="000000"/>
          <w:kern w:val="0"/>
          <w:sz w:val="24"/>
        </w:rPr>
      </w:pPr>
      <w:r w:rsidRPr="00717C29">
        <w:rPr>
          <w:rFonts w:ascii="宋体" w:hAnsi="宋体"/>
          <w:bCs/>
          <w:color w:val="000000"/>
          <w:kern w:val="0"/>
          <w:sz w:val="24"/>
        </w:rPr>
        <w:t>5.11.4</w:t>
      </w:r>
      <w:r w:rsidRPr="00717C29">
        <w:rPr>
          <w:rFonts w:ascii="宋体" w:hAnsi="宋体" w:cs="Arial" w:hint="eastAsia"/>
          <w:color w:val="000000"/>
          <w:kern w:val="0"/>
          <w:sz w:val="24"/>
        </w:rPr>
        <w:t>报告期末持有的处于转股期的可转换债券明细</w:t>
      </w:r>
    </w:p>
    <w:p w:rsidR="001C36D8" w:rsidRPr="003D22BD" w:rsidRDefault="001C36D8" w:rsidP="003D22BD">
      <w:pPr>
        <w:spacing w:line="360" w:lineRule="auto"/>
        <w:ind w:firstLineChars="200" w:firstLine="480"/>
        <w:rPr>
          <w:color w:val="000000"/>
          <w:sz w:val="24"/>
        </w:rPr>
      </w:pPr>
      <w:r w:rsidRPr="003D22BD">
        <w:rPr>
          <w:color w:val="000000"/>
          <w:sz w:val="24"/>
        </w:rPr>
        <w:t>本基金本报告期末未持有处于转股期的可转换债券。</w:t>
      </w:r>
    </w:p>
    <w:p w:rsidR="00924A95" w:rsidRPr="001C7E00" w:rsidRDefault="00924A95" w:rsidP="00924A95">
      <w:pPr>
        <w:autoSpaceDE w:val="0"/>
        <w:autoSpaceDN w:val="0"/>
        <w:adjustRightInd w:val="0"/>
        <w:spacing w:line="360" w:lineRule="auto"/>
        <w:jc w:val="left"/>
        <w:rPr>
          <w:rFonts w:ascii="宋体"/>
          <w:bCs/>
          <w:color w:val="000000"/>
          <w:kern w:val="0"/>
          <w:sz w:val="24"/>
        </w:rPr>
      </w:pPr>
      <w:r w:rsidRPr="001C7E00">
        <w:rPr>
          <w:rFonts w:ascii="宋体" w:hAnsi="宋体"/>
          <w:bCs/>
          <w:color w:val="000000"/>
          <w:kern w:val="0"/>
          <w:sz w:val="24"/>
        </w:rPr>
        <w:t>5.11.5</w:t>
      </w:r>
      <w:r w:rsidRPr="001C7E00">
        <w:rPr>
          <w:rFonts w:ascii="宋体" w:hAnsi="宋体" w:hint="eastAsia"/>
          <w:bCs/>
          <w:color w:val="000000"/>
          <w:kern w:val="0"/>
          <w:sz w:val="24"/>
        </w:rPr>
        <w:t>报告期末前十名股票中存在流通受限情况的说明</w:t>
      </w:r>
    </w:p>
    <w:p w:rsidR="001C36D8" w:rsidRPr="005B1E0B" w:rsidRDefault="00924A95" w:rsidP="005B1E0B">
      <w:pPr>
        <w:spacing w:line="360" w:lineRule="auto"/>
        <w:ind w:firstLineChars="200" w:firstLine="480"/>
        <w:rPr>
          <w:color w:val="000000"/>
          <w:sz w:val="24"/>
        </w:rPr>
      </w:pPr>
      <w:r w:rsidRPr="006C56AA">
        <w:rPr>
          <w:color w:val="000000"/>
          <w:sz w:val="24"/>
        </w:rPr>
        <w:t>本基金本报告期末前十名股票中不存在流通受限情况。</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Pr>
          <w:rFonts w:ascii="宋体" w:hAnsi="宋体" w:cs="Arial"/>
          <w:color w:val="000000"/>
          <w:kern w:val="0"/>
          <w:sz w:val="24"/>
          <w:szCs w:val="24"/>
        </w:rPr>
        <w:t>6</w:t>
      </w:r>
      <w:r w:rsidR="005D2CC7" w:rsidRPr="00272E0C">
        <w:rPr>
          <w:rFonts w:ascii="宋体" w:hAnsi="宋体" w:cs="Arial"/>
          <w:color w:val="000000"/>
          <w:kern w:val="0"/>
          <w:sz w:val="24"/>
          <w:szCs w:val="24"/>
        </w:rPr>
        <w:t xml:space="preserve">  </w:t>
      </w:r>
      <w:r w:rsidRPr="00272E0C">
        <w:rPr>
          <w:rFonts w:ascii="宋体" w:hAnsi="宋体" w:cs="Arial" w:hint="eastAsia"/>
          <w:color w:val="000000"/>
          <w:kern w:val="0"/>
          <w:sz w:val="24"/>
          <w:szCs w:val="24"/>
        </w:rPr>
        <w:t>开放式基金份额变动</w:t>
      </w:r>
    </w:p>
    <w:p w:rsidR="001C36D8" w:rsidRPr="00272E0C" w:rsidRDefault="001C36D8" w:rsidP="0019563C">
      <w:pPr>
        <w:autoSpaceDE w:val="0"/>
        <w:autoSpaceDN w:val="0"/>
        <w:adjustRightInd w:val="0"/>
        <w:spacing w:before="29" w:line="360" w:lineRule="auto"/>
        <w:ind w:left="15"/>
        <w:jc w:val="right"/>
        <w:rPr>
          <w:rFonts w:ascii="宋体" w:cs="Arial"/>
          <w:color w:val="000000"/>
          <w:kern w:val="0"/>
          <w:sz w:val="24"/>
        </w:rPr>
      </w:pPr>
      <w:r w:rsidRPr="00272E0C">
        <w:rPr>
          <w:rFonts w:ascii="宋体" w:hAnsi="宋体" w:cs="Arial" w:hint="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5B14F0">
            <w:pPr>
              <w:autoSpaceDE w:val="0"/>
              <w:autoSpaceDN w:val="0"/>
              <w:adjustRightInd w:val="0"/>
              <w:spacing w:before="29" w:line="360" w:lineRule="auto"/>
              <w:ind w:left="17"/>
              <w:jc w:val="right"/>
              <w:rPr>
                <w:sz w:val="24"/>
              </w:rPr>
            </w:pPr>
            <w:r w:rsidRPr="005B1E0B">
              <w:rPr>
                <w:sz w:val="24"/>
              </w:rPr>
              <w:t>易方达生物分级</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sz w:val="24"/>
              </w:rPr>
              <w:t>易方达生物分级</w:t>
            </w:r>
            <w:r w:rsidRPr="005B1E0B">
              <w:rPr>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易方达生物分级</w:t>
            </w:r>
            <w:r w:rsidRPr="005B1E0B">
              <w:rPr>
                <w:sz w:val="24"/>
              </w:rPr>
              <w:t>B</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139,952,065.76</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5,641,991.00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5,641,991.00</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5,768,397.13</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减：报告期基金总赎回份额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14,089,086.99</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w:t>
            </w:r>
          </w:p>
        </w:tc>
      </w:tr>
      <w:tr w:rsidR="001C36D8" w:rsidRPr="00272E0C"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479,056.00</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-239,528.00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-239,528.00</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132,110,431.90</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5,402,463.00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5,402,463.00</w:t>
            </w:r>
          </w:p>
        </w:tc>
      </w:tr>
    </w:tbl>
    <w:p w:rsidR="001C36D8" w:rsidRPr="003D22BD" w:rsidRDefault="001C36D8" w:rsidP="003D22BD">
      <w:pPr>
        <w:spacing w:line="360" w:lineRule="auto"/>
        <w:ind w:firstLineChars="200" w:firstLine="480"/>
        <w:rPr>
          <w:color w:val="000000"/>
          <w:sz w:val="24"/>
        </w:rPr>
      </w:pPr>
      <w:r w:rsidRPr="003D22BD">
        <w:rPr>
          <w:color w:val="000000"/>
          <w:sz w:val="24"/>
        </w:rPr>
        <w:t>注：拆分变动份额包括三类份额之间的配对转换份额。</w:t>
      </w:r>
    </w:p>
    <w:p w:rsidR="001C36D8" w:rsidRDefault="001C36D8" w:rsidP="005C6DF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1C36D8" w:rsidRDefault="001C36D8" w:rsidP="003D4E5A">
      <w:pPr>
        <w:spacing w:line="360" w:lineRule="auto"/>
        <w:jc w:val="left"/>
        <w:rPr>
          <w:sz w:val="24"/>
        </w:rPr>
      </w:pPr>
      <w:r>
        <w:rPr>
          <w:b/>
          <w:sz w:val="24"/>
        </w:rPr>
        <w:t xml:space="preserve">7.1 </w:t>
      </w:r>
      <w:r>
        <w:rPr>
          <w:rFonts w:hint="eastAsia"/>
          <w:b/>
          <w:sz w:val="24"/>
        </w:rPr>
        <w:t>基金管理人持有本基金份额变动情况</w:t>
      </w:r>
    </w:p>
    <w:p w:rsidR="001C36D8" w:rsidRPr="005B1E0B" w:rsidRDefault="00BF63AF" w:rsidP="005B1E0B">
      <w:pPr>
        <w:spacing w:line="360" w:lineRule="auto"/>
        <w:ind w:firstLineChars="200" w:firstLine="480"/>
        <w:rPr>
          <w:color w:val="000000"/>
          <w:sz w:val="24"/>
        </w:rPr>
      </w:pPr>
      <w:r w:rsidRPr="00510DAB">
        <w:rPr>
          <w:color w:val="000000"/>
          <w:sz w:val="24"/>
        </w:rPr>
        <w:t>本报告期内基金管理人未持有本基金份额。</w:t>
      </w:r>
    </w:p>
    <w:p w:rsidR="001C36D8" w:rsidRDefault="001C36D8" w:rsidP="003D4E5A">
      <w:pPr>
        <w:spacing w:line="360" w:lineRule="auto"/>
        <w:jc w:val="left"/>
        <w:rPr>
          <w:sz w:val="24"/>
        </w:rPr>
      </w:pPr>
      <w:r>
        <w:rPr>
          <w:b/>
          <w:sz w:val="24"/>
        </w:rPr>
        <w:t xml:space="preserve">7.2 </w:t>
      </w:r>
      <w:r>
        <w:rPr>
          <w:rFonts w:hint="eastAsia"/>
          <w:b/>
          <w:sz w:val="24"/>
        </w:rPr>
        <w:t>基金管理人运用固有资金投资本基金交易明细</w:t>
      </w:r>
    </w:p>
    <w:p w:rsidR="001C36D8" w:rsidRPr="003D22BD" w:rsidRDefault="001C36D8" w:rsidP="003D22BD">
      <w:pPr>
        <w:spacing w:line="360" w:lineRule="auto"/>
        <w:ind w:firstLineChars="200" w:firstLine="480"/>
        <w:rPr>
          <w:color w:val="000000"/>
          <w:sz w:val="24"/>
        </w:rPr>
      </w:pPr>
      <w:r w:rsidRPr="003D22BD">
        <w:rPr>
          <w:color w:val="000000"/>
          <w:sz w:val="24"/>
        </w:rPr>
        <w:t>本报告期内基金管理人未运用固有资金申购、赎回、买卖本基金份额。</w:t>
      </w:r>
    </w:p>
    <w:p w:rsidR="00A12EEF" w:rsidRPr="005D2CC7" w:rsidRDefault="00A12EEF" w:rsidP="00A12EEF">
      <w:pPr>
        <w:pStyle w:val="1"/>
        <w:spacing w:beforeLines="100" w:before="312" w:afterLines="100" w:after="312" w:line="360" w:lineRule="auto"/>
        <w:jc w:val="center"/>
        <w:rPr>
          <w:rFonts w:ascii="宋体" w:hAnsi="宋体" w:cs="Arial"/>
          <w:color w:val="000000"/>
          <w:kern w:val="0"/>
          <w:sz w:val="24"/>
          <w:szCs w:val="24"/>
        </w:rPr>
      </w:pPr>
      <w:r w:rsidRPr="005D2CC7">
        <w:rPr>
          <w:rFonts w:ascii="宋体" w:hAnsi="宋体" w:cs="Arial"/>
          <w:color w:val="000000"/>
          <w:kern w:val="0"/>
          <w:sz w:val="24"/>
          <w:szCs w:val="24"/>
        </w:rPr>
        <w:t>§8</w:t>
      </w:r>
      <w:r w:rsidR="005D2CC7" w:rsidRPr="00272E0C">
        <w:rPr>
          <w:rFonts w:ascii="宋体" w:hAnsi="宋体" w:cs="Arial"/>
          <w:color w:val="000000"/>
          <w:kern w:val="0"/>
          <w:sz w:val="24"/>
          <w:szCs w:val="24"/>
        </w:rPr>
        <w:t xml:space="preserve">  </w:t>
      </w:r>
      <w:r w:rsidRPr="005D2CC7">
        <w:rPr>
          <w:rFonts w:ascii="宋体" w:hAnsi="宋体" w:cs="Arial"/>
          <w:color w:val="000000"/>
          <w:kern w:val="0"/>
          <w:sz w:val="24"/>
          <w:szCs w:val="24"/>
        </w:rPr>
        <w:t>影响投资者决策的其他重要信息</w:t>
      </w:r>
    </w:p>
    <w:p w:rsidR="004B7CA0" w:rsidRPr="00654C5E" w:rsidRDefault="004B7CA0" w:rsidP="004B7CA0">
      <w:pPr>
        <w:autoSpaceDE w:val="0"/>
        <w:autoSpaceDN w:val="0"/>
        <w:adjustRightInd w:val="0"/>
        <w:spacing w:line="360" w:lineRule="auto"/>
        <w:jc w:val="left"/>
        <w:rPr>
          <w:rFonts w:ascii="宋体"/>
          <w:b/>
          <w:bCs/>
          <w:color w:val="000000"/>
          <w:kern w:val="0"/>
          <w:sz w:val="24"/>
        </w:rPr>
      </w:pPr>
      <w:r w:rsidRPr="00654C5E">
        <w:rPr>
          <w:rFonts w:ascii="宋体"/>
          <w:b/>
          <w:bCs/>
          <w:color w:val="000000"/>
          <w:kern w:val="0"/>
          <w:sz w:val="24"/>
        </w:rPr>
        <w:t>8.1 影响投资者决策的其他重要信息</w:t>
      </w:r>
    </w:p>
    <w:p w:rsidR="001C36D8" w:rsidRPr="003D22BD" w:rsidRDefault="004B7CA0" w:rsidP="004B7CA0">
      <w:pPr>
        <w:spacing w:line="360" w:lineRule="auto"/>
        <w:ind w:firstLineChars="200" w:firstLine="480"/>
        <w:rPr>
          <w:color w:val="000000"/>
          <w:sz w:val="24"/>
        </w:rPr>
      </w:pPr>
      <w:r w:rsidRPr="00FC0759">
        <w:rPr>
          <w:rFonts w:eastAsiaTheme="minorEastAsia"/>
          <w:color w:val="000000" w:themeColor="text1"/>
          <w:sz w:val="24"/>
        </w:rPr>
        <w:t>根据《关于规范金融机构资产管理业务的指导意见》（以下简称《资管新规》）要求，公募产品不得进行份额分级，应在《资管新规》规定的过渡期结束前（即</w:t>
      </w:r>
      <w:r w:rsidRPr="00FC0759">
        <w:rPr>
          <w:rFonts w:eastAsiaTheme="minorEastAsia"/>
          <w:color w:val="000000" w:themeColor="text1"/>
          <w:sz w:val="24"/>
        </w:rPr>
        <w:t>2020</w:t>
      </w:r>
      <w:r w:rsidRPr="00FC0759">
        <w:rPr>
          <w:rFonts w:eastAsiaTheme="minorEastAsia"/>
          <w:color w:val="000000" w:themeColor="text1"/>
          <w:sz w:val="24"/>
        </w:rPr>
        <w:t>年</w:t>
      </w:r>
      <w:r w:rsidRPr="00FC0759">
        <w:rPr>
          <w:rFonts w:eastAsiaTheme="minorEastAsia"/>
          <w:color w:val="000000" w:themeColor="text1"/>
          <w:sz w:val="24"/>
        </w:rPr>
        <w:t>12</w:t>
      </w:r>
      <w:r w:rsidRPr="00FC0759">
        <w:rPr>
          <w:rFonts w:eastAsiaTheme="minorEastAsia"/>
          <w:color w:val="000000" w:themeColor="text1"/>
          <w:sz w:val="24"/>
        </w:rPr>
        <w:t>月</w:t>
      </w:r>
      <w:r w:rsidRPr="00FC0759">
        <w:rPr>
          <w:rFonts w:eastAsiaTheme="minorEastAsia"/>
          <w:color w:val="000000" w:themeColor="text1"/>
          <w:sz w:val="24"/>
        </w:rPr>
        <w:t>31</w:t>
      </w:r>
      <w:r w:rsidRPr="00FC0759">
        <w:rPr>
          <w:rFonts w:eastAsiaTheme="minorEastAsia"/>
          <w:color w:val="000000" w:themeColor="text1"/>
          <w:sz w:val="24"/>
        </w:rPr>
        <w:t>日前）进行整改规范，请投资者关注相关风险以及基金管理人届时发布的相关公告。</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9</w:t>
      </w:r>
      <w:r w:rsidR="005D2CC7" w:rsidRPr="00272E0C">
        <w:rPr>
          <w:rFonts w:ascii="宋体" w:hAnsi="宋体" w:cs="Arial"/>
          <w:color w:val="000000"/>
          <w:kern w:val="0"/>
          <w:sz w:val="24"/>
          <w:szCs w:val="24"/>
        </w:rPr>
        <w:t xml:space="preserve">  </w:t>
      </w:r>
      <w:r w:rsidRPr="00272E0C">
        <w:rPr>
          <w:rFonts w:ascii="宋体" w:hAnsi="宋体" w:cs="Arial" w:hint="eastAsia"/>
          <w:color w:val="000000"/>
          <w:kern w:val="0"/>
          <w:sz w:val="24"/>
          <w:szCs w:val="24"/>
        </w:rPr>
        <w:t>备查文件目录</w:t>
      </w:r>
    </w:p>
    <w:p w:rsidR="001C36D8" w:rsidRPr="00CE2DE4" w:rsidRDefault="001C36D8" w:rsidP="001078B6">
      <w:pPr>
        <w:spacing w:line="360" w:lineRule="auto"/>
        <w:rPr>
          <w:rFonts w:ascii="宋体"/>
          <w:b/>
          <w:color w:val="000000"/>
          <w:kern w:val="0"/>
          <w:sz w:val="24"/>
        </w:rPr>
      </w:pPr>
      <w:r w:rsidRPr="00CE2DE4">
        <w:rPr>
          <w:rFonts w:ascii="宋体" w:hAnsi="宋体"/>
          <w:b/>
          <w:color w:val="000000"/>
          <w:sz w:val="24"/>
        </w:rPr>
        <w:t xml:space="preserve">9.1 </w:t>
      </w:r>
      <w:r w:rsidRPr="00CE2DE4">
        <w:rPr>
          <w:rFonts w:ascii="宋体" w:hAnsi="宋体" w:hint="eastAsia"/>
          <w:b/>
          <w:color w:val="000000"/>
          <w:sz w:val="24"/>
        </w:rPr>
        <w:t>备查文件目录</w:t>
      </w:r>
    </w:p>
    <w:p w:rsidR="00C63C53" w:rsidRDefault="001479EF">
      <w:pPr>
        <w:spacing w:line="360" w:lineRule="auto"/>
        <w:ind w:firstLineChars="200" w:firstLine="480"/>
        <w:rPr>
          <w:color w:val="000000"/>
          <w:sz w:val="24"/>
        </w:rPr>
      </w:pPr>
      <w:r>
        <w:rPr>
          <w:color w:val="000000"/>
          <w:sz w:val="24"/>
        </w:rPr>
        <w:t>1.</w:t>
      </w:r>
      <w:r>
        <w:rPr>
          <w:color w:val="000000"/>
          <w:sz w:val="24"/>
        </w:rPr>
        <w:t>中国证监会准予易方达生物科技指数分级证券投资基金募集注册的文件；</w:t>
      </w:r>
    </w:p>
    <w:p w:rsidR="00C63C53" w:rsidRDefault="001479EF">
      <w:pPr>
        <w:spacing w:line="360" w:lineRule="auto"/>
        <w:ind w:firstLineChars="200" w:firstLine="480"/>
        <w:rPr>
          <w:color w:val="000000"/>
          <w:sz w:val="24"/>
        </w:rPr>
      </w:pPr>
      <w:r>
        <w:rPr>
          <w:color w:val="000000"/>
          <w:sz w:val="24"/>
        </w:rPr>
        <w:t>2.</w:t>
      </w:r>
      <w:r>
        <w:rPr>
          <w:color w:val="000000"/>
          <w:sz w:val="24"/>
        </w:rPr>
        <w:t>《易方达生物科技指数分级证券投资基金基金合同》；</w:t>
      </w:r>
    </w:p>
    <w:p w:rsidR="00C63C53" w:rsidRDefault="001479EF">
      <w:pPr>
        <w:spacing w:line="360" w:lineRule="auto"/>
        <w:ind w:firstLineChars="200" w:firstLine="480"/>
        <w:rPr>
          <w:color w:val="000000"/>
          <w:sz w:val="24"/>
        </w:rPr>
      </w:pPr>
      <w:r>
        <w:rPr>
          <w:color w:val="000000"/>
          <w:sz w:val="24"/>
        </w:rPr>
        <w:t>3.</w:t>
      </w:r>
      <w:r>
        <w:rPr>
          <w:color w:val="000000"/>
          <w:sz w:val="24"/>
        </w:rPr>
        <w:t>《易方达生物科技指数分级证券投资基金托管协议》；</w:t>
      </w:r>
    </w:p>
    <w:p w:rsidR="001C36D8" w:rsidRPr="00E43B0B" w:rsidRDefault="001C36D8" w:rsidP="00E43B0B">
      <w:pPr>
        <w:spacing w:line="360" w:lineRule="auto"/>
        <w:ind w:firstLineChars="200" w:firstLine="480"/>
        <w:rPr>
          <w:color w:val="000000"/>
          <w:sz w:val="24"/>
        </w:rPr>
      </w:pPr>
      <w:r w:rsidRPr="003D22BD">
        <w:rPr>
          <w:color w:val="000000"/>
          <w:sz w:val="24"/>
        </w:rPr>
        <w:t>4.</w:t>
      </w:r>
      <w:r w:rsidRPr="003D22BD">
        <w:rPr>
          <w:color w:val="000000"/>
          <w:sz w:val="24"/>
        </w:rPr>
        <w:t>基金管理人业务资格批件和营业执照。</w:t>
      </w:r>
    </w:p>
    <w:p w:rsidR="001C36D8" w:rsidRPr="00CE2DE4" w:rsidRDefault="001C36D8" w:rsidP="001078B6">
      <w:pPr>
        <w:spacing w:line="360" w:lineRule="auto"/>
        <w:rPr>
          <w:rFonts w:ascii="宋体"/>
          <w:b/>
          <w:color w:val="000000"/>
          <w:sz w:val="24"/>
        </w:rPr>
      </w:pPr>
      <w:r w:rsidRPr="00CE2DE4">
        <w:rPr>
          <w:rFonts w:ascii="宋体" w:hAnsi="宋体"/>
          <w:b/>
          <w:color w:val="000000"/>
          <w:sz w:val="24"/>
        </w:rPr>
        <w:t xml:space="preserve">9.2 </w:t>
      </w:r>
      <w:r w:rsidRPr="00CE2DE4">
        <w:rPr>
          <w:rFonts w:ascii="宋体" w:hAnsi="宋体" w:hint="eastAsia"/>
          <w:b/>
          <w:color w:val="000000"/>
          <w:sz w:val="24"/>
        </w:rPr>
        <w:t>存放地点</w:t>
      </w:r>
    </w:p>
    <w:p w:rsidR="001C36D8" w:rsidRPr="00E43B0B" w:rsidRDefault="001C36D8" w:rsidP="00E43B0B">
      <w:pPr>
        <w:spacing w:line="360" w:lineRule="auto"/>
        <w:ind w:firstLineChars="200" w:firstLine="480"/>
        <w:rPr>
          <w:color w:val="000000"/>
          <w:sz w:val="24"/>
        </w:rPr>
      </w:pPr>
      <w:r w:rsidRPr="003D22BD">
        <w:rPr>
          <w:color w:val="000000"/>
          <w:sz w:val="24"/>
        </w:rPr>
        <w:t>广州市天河区珠江新城珠江东路</w:t>
      </w:r>
      <w:r w:rsidRPr="003D22BD">
        <w:rPr>
          <w:color w:val="000000"/>
          <w:sz w:val="24"/>
        </w:rPr>
        <w:t>30</w:t>
      </w:r>
      <w:r w:rsidRPr="003D22BD">
        <w:rPr>
          <w:color w:val="000000"/>
          <w:sz w:val="24"/>
        </w:rPr>
        <w:t>号广州银行大厦</w:t>
      </w:r>
      <w:r w:rsidRPr="003D22BD">
        <w:rPr>
          <w:color w:val="000000"/>
          <w:sz w:val="24"/>
        </w:rPr>
        <w:t>40-43</w:t>
      </w:r>
      <w:r w:rsidRPr="003D22BD">
        <w:rPr>
          <w:color w:val="000000"/>
          <w:sz w:val="24"/>
        </w:rPr>
        <w:t>楼。</w:t>
      </w:r>
    </w:p>
    <w:p w:rsidR="001C36D8" w:rsidRPr="00CE2DE4" w:rsidRDefault="001C36D8" w:rsidP="001078B6">
      <w:pPr>
        <w:spacing w:line="360" w:lineRule="auto"/>
        <w:rPr>
          <w:rFonts w:ascii="宋体"/>
          <w:b/>
          <w:color w:val="000000"/>
          <w:sz w:val="24"/>
        </w:rPr>
      </w:pPr>
      <w:r w:rsidRPr="00CE2DE4">
        <w:rPr>
          <w:rFonts w:ascii="宋体" w:hAnsi="宋体"/>
          <w:b/>
          <w:color w:val="000000"/>
          <w:sz w:val="24"/>
        </w:rPr>
        <w:t xml:space="preserve">9.3 </w:t>
      </w:r>
      <w:r w:rsidRPr="00CE2DE4">
        <w:rPr>
          <w:rFonts w:ascii="宋体" w:hAnsi="宋体" w:hint="eastAsia"/>
          <w:b/>
          <w:color w:val="000000"/>
          <w:sz w:val="24"/>
        </w:rPr>
        <w:t>查阅方式</w:t>
      </w:r>
    </w:p>
    <w:p w:rsidR="001C36D8" w:rsidRPr="003D22BD" w:rsidRDefault="001C36D8" w:rsidP="0015779C">
      <w:pPr>
        <w:spacing w:line="360" w:lineRule="auto"/>
        <w:ind w:firstLineChars="200" w:firstLine="480"/>
        <w:rPr>
          <w:color w:val="000000"/>
          <w:sz w:val="24"/>
        </w:rPr>
      </w:pPr>
      <w:r w:rsidRPr="003D22BD">
        <w:rPr>
          <w:color w:val="000000"/>
          <w:sz w:val="24"/>
        </w:rPr>
        <w:t>投资者可在营业时间免费查阅，也可按工本费购买复印件。</w:t>
      </w:r>
    </w:p>
    <w:p w:rsidR="001C36D8" w:rsidRPr="00272E0C" w:rsidRDefault="001C36D8" w:rsidP="0019563C">
      <w:pPr>
        <w:spacing w:line="360" w:lineRule="auto"/>
        <w:ind w:left="840"/>
        <w:jc w:val="right"/>
        <w:rPr>
          <w:rFonts w:ascii="宋体"/>
          <w:color w:val="000000"/>
          <w:sz w:val="24"/>
        </w:rPr>
      </w:pPr>
      <w:r w:rsidRPr="00272E0C">
        <w:rPr>
          <w:rFonts w:ascii="宋体"/>
          <w:color w:val="000000"/>
          <w:sz w:val="24"/>
        </w:rPr>
        <w:tab/>
      </w:r>
    </w:p>
    <w:p w:rsidR="001C36D8" w:rsidRDefault="001C36D8" w:rsidP="0019563C">
      <w:pPr>
        <w:spacing w:line="360" w:lineRule="auto"/>
        <w:ind w:left="840"/>
        <w:jc w:val="right"/>
        <w:rPr>
          <w:rFonts w:ascii="宋体"/>
          <w:color w:val="000000"/>
          <w:sz w:val="24"/>
        </w:rPr>
      </w:pPr>
    </w:p>
    <w:p w:rsidR="001C36D8" w:rsidRDefault="001C36D8" w:rsidP="0019563C">
      <w:pPr>
        <w:spacing w:line="360" w:lineRule="auto"/>
        <w:ind w:left="840"/>
        <w:jc w:val="right"/>
        <w:rPr>
          <w:rFonts w:ascii="宋体"/>
          <w:color w:val="000000"/>
          <w:sz w:val="24"/>
        </w:rPr>
      </w:pPr>
    </w:p>
    <w:p w:rsidR="001C36D8" w:rsidRDefault="001C36D8" w:rsidP="0019563C">
      <w:pPr>
        <w:spacing w:line="360" w:lineRule="auto"/>
        <w:ind w:left="840"/>
        <w:jc w:val="right"/>
        <w:rPr>
          <w:rFonts w:ascii="宋体"/>
          <w:color w:val="000000"/>
          <w:sz w:val="24"/>
        </w:rPr>
      </w:pPr>
    </w:p>
    <w:p w:rsidR="001C36D8" w:rsidRPr="00272E0C" w:rsidRDefault="001C36D8" w:rsidP="0019563C">
      <w:pPr>
        <w:spacing w:line="360" w:lineRule="auto"/>
        <w:ind w:left="840"/>
        <w:jc w:val="right"/>
        <w:rPr>
          <w:rFonts w:ascii="宋体"/>
          <w:color w:val="000000"/>
          <w:sz w:val="24"/>
        </w:rPr>
      </w:pPr>
    </w:p>
    <w:p w:rsidR="001C36D8" w:rsidRPr="00272E0C" w:rsidRDefault="001C36D8" w:rsidP="0019563C">
      <w:pPr>
        <w:spacing w:line="360" w:lineRule="auto"/>
        <w:ind w:left="840"/>
        <w:jc w:val="right"/>
        <w:rPr>
          <w:rFonts w:ascii="宋体"/>
          <w:color w:val="000000"/>
          <w:sz w:val="24"/>
        </w:rPr>
      </w:pPr>
    </w:p>
    <w:p w:rsidR="001C36D8" w:rsidRPr="00272E0C" w:rsidRDefault="001C36D8" w:rsidP="001078B6">
      <w:pPr>
        <w:spacing w:line="360" w:lineRule="auto"/>
        <w:jc w:val="right"/>
        <w:rPr>
          <w:rFonts w:ascii="宋体" w:hAnsi="宋体"/>
          <w:b/>
          <w:bCs/>
          <w:sz w:val="24"/>
        </w:rPr>
      </w:pPr>
      <w:r w:rsidRPr="00272E0C">
        <w:rPr>
          <w:rFonts w:ascii="宋体" w:hAnsi="宋体"/>
          <w:b/>
          <w:bCs/>
          <w:sz w:val="24"/>
        </w:rPr>
        <w:t>易方达基金管理有限公司</w:t>
      </w:r>
    </w:p>
    <w:p w:rsidR="001C36D8" w:rsidRPr="008C2A97" w:rsidRDefault="001C36D8" w:rsidP="008C2A97">
      <w:pPr>
        <w:spacing w:line="360" w:lineRule="auto"/>
        <w:jc w:val="right"/>
        <w:rPr>
          <w:rFonts w:ascii="宋体" w:hAnsi="宋体"/>
          <w:b/>
          <w:bCs/>
          <w:sz w:val="24"/>
        </w:rPr>
      </w:pPr>
      <w:r w:rsidRPr="00272E0C">
        <w:rPr>
          <w:rFonts w:ascii="宋体" w:hAnsi="宋体"/>
          <w:b/>
          <w:bCs/>
          <w:sz w:val="24"/>
        </w:rPr>
        <w:t>二〇二〇年一月十八日</w:t>
      </w:r>
    </w:p>
    <w:sectPr w:rsidR="001C36D8" w:rsidRPr="008C2A97"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232" w:rsidRDefault="00EF6232">
      <w:r>
        <w:separator/>
      </w:r>
    </w:p>
  </w:endnote>
  <w:endnote w:type="continuationSeparator" w:id="0">
    <w:p w:rsidR="00EF6232" w:rsidRDefault="00EF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Pr="001D0DB0" w:rsidRDefault="00E43B0B" w:rsidP="00230A66">
    <w:pPr>
      <w:pStyle w:val="a6"/>
      <w:jc w:val="center"/>
    </w:pPr>
    <w:r>
      <w:rPr>
        <w:rFonts w:hint="eastAsia"/>
        <w:kern w:val="0"/>
        <w:szCs w:val="21"/>
      </w:rPr>
      <w:t>第</w:t>
    </w:r>
    <w:r w:rsidR="0015021E">
      <w:rPr>
        <w:kern w:val="0"/>
        <w:szCs w:val="21"/>
      </w:rPr>
      <w:fldChar w:fldCharType="begin"/>
    </w:r>
    <w:r>
      <w:rPr>
        <w:kern w:val="0"/>
        <w:szCs w:val="21"/>
      </w:rPr>
      <w:instrText xml:space="preserve"> PAGE </w:instrText>
    </w:r>
    <w:r w:rsidR="0015021E">
      <w:rPr>
        <w:kern w:val="0"/>
        <w:szCs w:val="21"/>
      </w:rPr>
      <w:fldChar w:fldCharType="separate"/>
    </w:r>
    <w:r w:rsidR="001479EF">
      <w:rPr>
        <w:noProof/>
        <w:kern w:val="0"/>
        <w:szCs w:val="21"/>
      </w:rPr>
      <w:t>1</w:t>
    </w:r>
    <w:r w:rsidR="0015021E">
      <w:rPr>
        <w:kern w:val="0"/>
        <w:szCs w:val="21"/>
      </w:rPr>
      <w:fldChar w:fldCharType="end"/>
    </w:r>
    <w:r>
      <w:rPr>
        <w:rFonts w:hint="eastAsia"/>
        <w:kern w:val="0"/>
        <w:szCs w:val="21"/>
      </w:rPr>
      <w:t>页共</w:t>
    </w:r>
    <w:r w:rsidR="0015021E">
      <w:rPr>
        <w:kern w:val="0"/>
        <w:szCs w:val="21"/>
      </w:rPr>
      <w:fldChar w:fldCharType="begin"/>
    </w:r>
    <w:r>
      <w:rPr>
        <w:kern w:val="0"/>
        <w:szCs w:val="21"/>
      </w:rPr>
      <w:instrText xml:space="preserve"> NUMPAGES </w:instrText>
    </w:r>
    <w:r w:rsidR="0015021E">
      <w:rPr>
        <w:kern w:val="0"/>
        <w:szCs w:val="21"/>
      </w:rPr>
      <w:fldChar w:fldCharType="separate"/>
    </w:r>
    <w:r w:rsidR="001479EF">
      <w:rPr>
        <w:noProof/>
        <w:kern w:val="0"/>
        <w:szCs w:val="21"/>
      </w:rPr>
      <w:t>1</w:t>
    </w:r>
    <w:r w:rsidR="0015021E">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Default="0015021E">
    <w:pPr>
      <w:pStyle w:val="a6"/>
      <w:framePr w:wrap="around" w:vAnchor="text" w:hAnchor="margin" w:xAlign="center" w:y="1"/>
      <w:rPr>
        <w:rStyle w:val="a7"/>
      </w:rPr>
    </w:pPr>
    <w:r>
      <w:rPr>
        <w:rStyle w:val="a7"/>
      </w:rPr>
      <w:fldChar w:fldCharType="begin"/>
    </w:r>
    <w:r w:rsidR="00E43B0B">
      <w:rPr>
        <w:rStyle w:val="a7"/>
      </w:rPr>
      <w:instrText xml:space="preserve">PAGE  </w:instrText>
    </w:r>
    <w:r>
      <w:rPr>
        <w:rStyle w:val="a7"/>
      </w:rPr>
      <w:fldChar w:fldCharType="end"/>
    </w:r>
  </w:p>
  <w:p w:rsidR="00E43B0B" w:rsidRDefault="00E43B0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Default="0015021E">
    <w:pPr>
      <w:pStyle w:val="a6"/>
      <w:framePr w:wrap="around" w:vAnchor="text" w:hAnchor="margin" w:xAlign="center" w:y="1"/>
      <w:rPr>
        <w:rStyle w:val="a7"/>
      </w:rPr>
    </w:pPr>
    <w:r>
      <w:rPr>
        <w:rStyle w:val="a7"/>
      </w:rPr>
      <w:fldChar w:fldCharType="begin"/>
    </w:r>
    <w:r w:rsidR="00E43B0B">
      <w:rPr>
        <w:rStyle w:val="a7"/>
      </w:rPr>
      <w:instrText xml:space="preserve">PAGE  </w:instrText>
    </w:r>
    <w:r>
      <w:rPr>
        <w:rStyle w:val="a7"/>
      </w:rPr>
      <w:fldChar w:fldCharType="separate"/>
    </w:r>
    <w:r w:rsidR="001479EF">
      <w:rPr>
        <w:rStyle w:val="a7"/>
        <w:noProof/>
      </w:rPr>
      <w:t>2</w:t>
    </w:r>
    <w:r>
      <w:rPr>
        <w:rStyle w:val="a7"/>
      </w:rPr>
      <w:fldChar w:fldCharType="end"/>
    </w:r>
  </w:p>
  <w:p w:rsidR="00E43B0B" w:rsidRDefault="00E43B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232" w:rsidRDefault="00EF6232">
      <w:r>
        <w:separator/>
      </w:r>
    </w:p>
  </w:footnote>
  <w:footnote w:type="continuationSeparator" w:id="0">
    <w:p w:rsidR="00EF6232" w:rsidRDefault="00EF6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Pr="00717C29" w:rsidRDefault="00E43B0B" w:rsidP="00FB572A">
    <w:pPr>
      <w:pStyle w:val="a9"/>
      <w:pBdr>
        <w:bottom w:val="single" w:sz="6" w:space="0" w:color="auto"/>
      </w:pBdr>
      <w:jc w:val="right"/>
      <w:rPr>
        <w:sz w:val="15"/>
      </w:rPr>
    </w:pPr>
    <w:r w:rsidRPr="00717C29">
      <w:rPr>
        <w:szCs w:val="21"/>
      </w:rPr>
      <w:t>易方达生物科技指数分级证券投资基金</w:t>
    </w:r>
    <w:r w:rsidRPr="00717C29">
      <w:rPr>
        <w:szCs w:val="21"/>
      </w:rPr>
      <w:t>2019</w:t>
    </w:r>
    <w:r w:rsidRPr="00717C29">
      <w:rPr>
        <w:szCs w:val="21"/>
      </w:rPr>
      <w:t>年第</w:t>
    </w:r>
    <w:r w:rsidRPr="00717C29">
      <w:rPr>
        <w:szCs w:val="21"/>
      </w:rPr>
      <w:t>4</w:t>
    </w:r>
    <w:r w:rsidRPr="00717C29">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116E"/>
    <w:rsid w:val="0000403B"/>
    <w:rsid w:val="00005911"/>
    <w:rsid w:val="0000595B"/>
    <w:rsid w:val="00010A83"/>
    <w:rsid w:val="00010A8E"/>
    <w:rsid w:val="00010AC3"/>
    <w:rsid w:val="000118A9"/>
    <w:rsid w:val="00011EB5"/>
    <w:rsid w:val="0001280C"/>
    <w:rsid w:val="00013023"/>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5190"/>
    <w:rsid w:val="00055AF1"/>
    <w:rsid w:val="00056A75"/>
    <w:rsid w:val="00057DD3"/>
    <w:rsid w:val="000625A6"/>
    <w:rsid w:val="000627CD"/>
    <w:rsid w:val="00062BCE"/>
    <w:rsid w:val="00064AE3"/>
    <w:rsid w:val="00066524"/>
    <w:rsid w:val="00070CD1"/>
    <w:rsid w:val="0007171B"/>
    <w:rsid w:val="00074E9F"/>
    <w:rsid w:val="00081D05"/>
    <w:rsid w:val="0008378B"/>
    <w:rsid w:val="00085449"/>
    <w:rsid w:val="00087CF7"/>
    <w:rsid w:val="00090B0F"/>
    <w:rsid w:val="00090D91"/>
    <w:rsid w:val="00091214"/>
    <w:rsid w:val="00094876"/>
    <w:rsid w:val="00095912"/>
    <w:rsid w:val="00095CE0"/>
    <w:rsid w:val="00096933"/>
    <w:rsid w:val="00097230"/>
    <w:rsid w:val="0009778D"/>
    <w:rsid w:val="000A457E"/>
    <w:rsid w:val="000A53FD"/>
    <w:rsid w:val="000A549A"/>
    <w:rsid w:val="000A72F2"/>
    <w:rsid w:val="000B0C56"/>
    <w:rsid w:val="000B3E43"/>
    <w:rsid w:val="000B5974"/>
    <w:rsid w:val="000B5CC0"/>
    <w:rsid w:val="000C1038"/>
    <w:rsid w:val="000C1723"/>
    <w:rsid w:val="000C1B20"/>
    <w:rsid w:val="000C4107"/>
    <w:rsid w:val="000C44BD"/>
    <w:rsid w:val="000C45E7"/>
    <w:rsid w:val="000C57A8"/>
    <w:rsid w:val="000D0149"/>
    <w:rsid w:val="000D01F4"/>
    <w:rsid w:val="000D0D4E"/>
    <w:rsid w:val="000D1519"/>
    <w:rsid w:val="000E1618"/>
    <w:rsid w:val="000E4456"/>
    <w:rsid w:val="000F175F"/>
    <w:rsid w:val="000F17D1"/>
    <w:rsid w:val="000F2837"/>
    <w:rsid w:val="000F399F"/>
    <w:rsid w:val="000F60FF"/>
    <w:rsid w:val="000F635F"/>
    <w:rsid w:val="000F6C61"/>
    <w:rsid w:val="001008A1"/>
    <w:rsid w:val="00100C12"/>
    <w:rsid w:val="00102E56"/>
    <w:rsid w:val="001049B6"/>
    <w:rsid w:val="001051C6"/>
    <w:rsid w:val="001078B6"/>
    <w:rsid w:val="0011177A"/>
    <w:rsid w:val="00111D44"/>
    <w:rsid w:val="00116E31"/>
    <w:rsid w:val="00120BED"/>
    <w:rsid w:val="0012304E"/>
    <w:rsid w:val="001248EF"/>
    <w:rsid w:val="001257C7"/>
    <w:rsid w:val="00126DDF"/>
    <w:rsid w:val="001270BF"/>
    <w:rsid w:val="00127BAC"/>
    <w:rsid w:val="00134868"/>
    <w:rsid w:val="001366D4"/>
    <w:rsid w:val="00140FF8"/>
    <w:rsid w:val="00142A56"/>
    <w:rsid w:val="00144DF5"/>
    <w:rsid w:val="00145A97"/>
    <w:rsid w:val="00146485"/>
    <w:rsid w:val="00147338"/>
    <w:rsid w:val="001479EF"/>
    <w:rsid w:val="0015021E"/>
    <w:rsid w:val="001506B4"/>
    <w:rsid w:val="00150A6E"/>
    <w:rsid w:val="00150AD6"/>
    <w:rsid w:val="00153B40"/>
    <w:rsid w:val="00154ADA"/>
    <w:rsid w:val="0015531A"/>
    <w:rsid w:val="00155953"/>
    <w:rsid w:val="0015779C"/>
    <w:rsid w:val="001600E8"/>
    <w:rsid w:val="00163B27"/>
    <w:rsid w:val="00165317"/>
    <w:rsid w:val="00170F80"/>
    <w:rsid w:val="00171BAD"/>
    <w:rsid w:val="001744B4"/>
    <w:rsid w:val="001756A1"/>
    <w:rsid w:val="001761EE"/>
    <w:rsid w:val="0017638D"/>
    <w:rsid w:val="00176EAA"/>
    <w:rsid w:val="0017725A"/>
    <w:rsid w:val="00177C4B"/>
    <w:rsid w:val="0018325A"/>
    <w:rsid w:val="00183C9E"/>
    <w:rsid w:val="00184556"/>
    <w:rsid w:val="00186199"/>
    <w:rsid w:val="001878B0"/>
    <w:rsid w:val="001928F7"/>
    <w:rsid w:val="00193F07"/>
    <w:rsid w:val="00194537"/>
    <w:rsid w:val="0019563C"/>
    <w:rsid w:val="001A09F9"/>
    <w:rsid w:val="001A14DB"/>
    <w:rsid w:val="001A21A9"/>
    <w:rsid w:val="001A363B"/>
    <w:rsid w:val="001A59D8"/>
    <w:rsid w:val="001A5FA6"/>
    <w:rsid w:val="001B0A62"/>
    <w:rsid w:val="001B2F0C"/>
    <w:rsid w:val="001B64E7"/>
    <w:rsid w:val="001C123E"/>
    <w:rsid w:val="001C36D8"/>
    <w:rsid w:val="001C37F6"/>
    <w:rsid w:val="001C4BEC"/>
    <w:rsid w:val="001C6288"/>
    <w:rsid w:val="001C7DE9"/>
    <w:rsid w:val="001D0DB0"/>
    <w:rsid w:val="001D0F6A"/>
    <w:rsid w:val="001D21BC"/>
    <w:rsid w:val="001D2FA5"/>
    <w:rsid w:val="001D35E0"/>
    <w:rsid w:val="001D5045"/>
    <w:rsid w:val="001D5387"/>
    <w:rsid w:val="001D5A44"/>
    <w:rsid w:val="001D63BB"/>
    <w:rsid w:val="001D724B"/>
    <w:rsid w:val="001E11D3"/>
    <w:rsid w:val="001E2A6A"/>
    <w:rsid w:val="001E3DC2"/>
    <w:rsid w:val="001E56FF"/>
    <w:rsid w:val="001E5C6B"/>
    <w:rsid w:val="001E6E4D"/>
    <w:rsid w:val="001F03E1"/>
    <w:rsid w:val="001F0DE2"/>
    <w:rsid w:val="001F218E"/>
    <w:rsid w:val="001F3CC6"/>
    <w:rsid w:val="001F40BA"/>
    <w:rsid w:val="001F4530"/>
    <w:rsid w:val="002010DE"/>
    <w:rsid w:val="00202968"/>
    <w:rsid w:val="00202A66"/>
    <w:rsid w:val="00202C32"/>
    <w:rsid w:val="00203AEF"/>
    <w:rsid w:val="00210344"/>
    <w:rsid w:val="00211A26"/>
    <w:rsid w:val="002125F7"/>
    <w:rsid w:val="00213171"/>
    <w:rsid w:val="00213917"/>
    <w:rsid w:val="00214463"/>
    <w:rsid w:val="00214756"/>
    <w:rsid w:val="00215CF2"/>
    <w:rsid w:val="00215E33"/>
    <w:rsid w:val="00216232"/>
    <w:rsid w:val="00220542"/>
    <w:rsid w:val="00220684"/>
    <w:rsid w:val="00221174"/>
    <w:rsid w:val="00225ADC"/>
    <w:rsid w:val="00230732"/>
    <w:rsid w:val="00230A66"/>
    <w:rsid w:val="00230EC2"/>
    <w:rsid w:val="002359EB"/>
    <w:rsid w:val="002363AB"/>
    <w:rsid w:val="00237FA3"/>
    <w:rsid w:val="0024172D"/>
    <w:rsid w:val="00241B12"/>
    <w:rsid w:val="0024260D"/>
    <w:rsid w:val="00243E40"/>
    <w:rsid w:val="00245012"/>
    <w:rsid w:val="0024504E"/>
    <w:rsid w:val="0024651F"/>
    <w:rsid w:val="002470BA"/>
    <w:rsid w:val="00250BE3"/>
    <w:rsid w:val="00251290"/>
    <w:rsid w:val="0025158D"/>
    <w:rsid w:val="00251D17"/>
    <w:rsid w:val="00251F3A"/>
    <w:rsid w:val="0025281A"/>
    <w:rsid w:val="00253D3C"/>
    <w:rsid w:val="0025435F"/>
    <w:rsid w:val="00255292"/>
    <w:rsid w:val="00260200"/>
    <w:rsid w:val="00263563"/>
    <w:rsid w:val="002648D8"/>
    <w:rsid w:val="00264E55"/>
    <w:rsid w:val="00270548"/>
    <w:rsid w:val="00272E0C"/>
    <w:rsid w:val="00273F86"/>
    <w:rsid w:val="002752B0"/>
    <w:rsid w:val="002774F0"/>
    <w:rsid w:val="0028459B"/>
    <w:rsid w:val="00284C5F"/>
    <w:rsid w:val="002873F0"/>
    <w:rsid w:val="00291A74"/>
    <w:rsid w:val="00292198"/>
    <w:rsid w:val="002964F9"/>
    <w:rsid w:val="00297EF3"/>
    <w:rsid w:val="002A1F14"/>
    <w:rsid w:val="002A2678"/>
    <w:rsid w:val="002A2E01"/>
    <w:rsid w:val="002A398F"/>
    <w:rsid w:val="002A44F9"/>
    <w:rsid w:val="002A5C6B"/>
    <w:rsid w:val="002A5D31"/>
    <w:rsid w:val="002A714F"/>
    <w:rsid w:val="002A74FB"/>
    <w:rsid w:val="002B1851"/>
    <w:rsid w:val="002B27FF"/>
    <w:rsid w:val="002B4429"/>
    <w:rsid w:val="002B6793"/>
    <w:rsid w:val="002C1726"/>
    <w:rsid w:val="002C1DF3"/>
    <w:rsid w:val="002C21A6"/>
    <w:rsid w:val="002C26D5"/>
    <w:rsid w:val="002C2DE0"/>
    <w:rsid w:val="002C5777"/>
    <w:rsid w:val="002C7FC3"/>
    <w:rsid w:val="002D1791"/>
    <w:rsid w:val="002D32E3"/>
    <w:rsid w:val="002D55E7"/>
    <w:rsid w:val="002E0FEB"/>
    <w:rsid w:val="002E1EBA"/>
    <w:rsid w:val="002F0F79"/>
    <w:rsid w:val="002F280E"/>
    <w:rsid w:val="002F3709"/>
    <w:rsid w:val="002F3A6C"/>
    <w:rsid w:val="002F3E9C"/>
    <w:rsid w:val="002F4296"/>
    <w:rsid w:val="00300951"/>
    <w:rsid w:val="003023C9"/>
    <w:rsid w:val="00302CA8"/>
    <w:rsid w:val="00302DE9"/>
    <w:rsid w:val="003041B1"/>
    <w:rsid w:val="00305084"/>
    <w:rsid w:val="003168E2"/>
    <w:rsid w:val="003204E9"/>
    <w:rsid w:val="00320DDA"/>
    <w:rsid w:val="00321E8C"/>
    <w:rsid w:val="00322A65"/>
    <w:rsid w:val="00322A86"/>
    <w:rsid w:val="00323AE8"/>
    <w:rsid w:val="00324548"/>
    <w:rsid w:val="003251F4"/>
    <w:rsid w:val="003303E3"/>
    <w:rsid w:val="00331FA4"/>
    <w:rsid w:val="003329EA"/>
    <w:rsid w:val="00332FDE"/>
    <w:rsid w:val="003407A5"/>
    <w:rsid w:val="00341188"/>
    <w:rsid w:val="0034147B"/>
    <w:rsid w:val="0034432A"/>
    <w:rsid w:val="00350238"/>
    <w:rsid w:val="0035109C"/>
    <w:rsid w:val="00351F0A"/>
    <w:rsid w:val="0035432B"/>
    <w:rsid w:val="00357EB5"/>
    <w:rsid w:val="00361E7E"/>
    <w:rsid w:val="003669EF"/>
    <w:rsid w:val="00370AA4"/>
    <w:rsid w:val="00371FF4"/>
    <w:rsid w:val="00373015"/>
    <w:rsid w:val="00375D24"/>
    <w:rsid w:val="00377520"/>
    <w:rsid w:val="00380D36"/>
    <w:rsid w:val="003822D3"/>
    <w:rsid w:val="0038409E"/>
    <w:rsid w:val="00384BC3"/>
    <w:rsid w:val="00386630"/>
    <w:rsid w:val="00390522"/>
    <w:rsid w:val="00390B25"/>
    <w:rsid w:val="00390C86"/>
    <w:rsid w:val="00397156"/>
    <w:rsid w:val="00397960"/>
    <w:rsid w:val="003A20AA"/>
    <w:rsid w:val="003A3BC4"/>
    <w:rsid w:val="003A458A"/>
    <w:rsid w:val="003A4DA3"/>
    <w:rsid w:val="003A768B"/>
    <w:rsid w:val="003B07C8"/>
    <w:rsid w:val="003B2082"/>
    <w:rsid w:val="003B2F13"/>
    <w:rsid w:val="003B3D0C"/>
    <w:rsid w:val="003B405E"/>
    <w:rsid w:val="003B57D3"/>
    <w:rsid w:val="003C1F58"/>
    <w:rsid w:val="003C792F"/>
    <w:rsid w:val="003D124B"/>
    <w:rsid w:val="003D18F3"/>
    <w:rsid w:val="003D22BD"/>
    <w:rsid w:val="003D4E5A"/>
    <w:rsid w:val="003D5951"/>
    <w:rsid w:val="003D74F2"/>
    <w:rsid w:val="003D78B5"/>
    <w:rsid w:val="003E1062"/>
    <w:rsid w:val="003E244F"/>
    <w:rsid w:val="003E3AE8"/>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6C10"/>
    <w:rsid w:val="004217C8"/>
    <w:rsid w:val="0042180E"/>
    <w:rsid w:val="004222C8"/>
    <w:rsid w:val="0042253F"/>
    <w:rsid w:val="00424726"/>
    <w:rsid w:val="00424EF3"/>
    <w:rsid w:val="004268BB"/>
    <w:rsid w:val="00431047"/>
    <w:rsid w:val="004318F0"/>
    <w:rsid w:val="00431B86"/>
    <w:rsid w:val="00431BC5"/>
    <w:rsid w:val="004344A5"/>
    <w:rsid w:val="004408EC"/>
    <w:rsid w:val="00441B38"/>
    <w:rsid w:val="00441D14"/>
    <w:rsid w:val="00441E6A"/>
    <w:rsid w:val="004432B9"/>
    <w:rsid w:val="00443C8F"/>
    <w:rsid w:val="00452481"/>
    <w:rsid w:val="00453E40"/>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68F"/>
    <w:rsid w:val="00491ABD"/>
    <w:rsid w:val="0049297D"/>
    <w:rsid w:val="004929F2"/>
    <w:rsid w:val="00495A03"/>
    <w:rsid w:val="00497079"/>
    <w:rsid w:val="004A1BBA"/>
    <w:rsid w:val="004A1E8A"/>
    <w:rsid w:val="004A3E3C"/>
    <w:rsid w:val="004A3F71"/>
    <w:rsid w:val="004B0E6D"/>
    <w:rsid w:val="004B16E8"/>
    <w:rsid w:val="004B2326"/>
    <w:rsid w:val="004B4D2D"/>
    <w:rsid w:val="004B6250"/>
    <w:rsid w:val="004B76B1"/>
    <w:rsid w:val="004B7CA0"/>
    <w:rsid w:val="004C0057"/>
    <w:rsid w:val="004C04AE"/>
    <w:rsid w:val="004C0541"/>
    <w:rsid w:val="004C2C46"/>
    <w:rsid w:val="004C6E88"/>
    <w:rsid w:val="004C7235"/>
    <w:rsid w:val="004C7955"/>
    <w:rsid w:val="004D047F"/>
    <w:rsid w:val="004D3D96"/>
    <w:rsid w:val="004D650F"/>
    <w:rsid w:val="004D67E0"/>
    <w:rsid w:val="004E12E1"/>
    <w:rsid w:val="004E2133"/>
    <w:rsid w:val="004E32E2"/>
    <w:rsid w:val="004E5AB9"/>
    <w:rsid w:val="004E60FB"/>
    <w:rsid w:val="004F779C"/>
    <w:rsid w:val="004F7846"/>
    <w:rsid w:val="005000D4"/>
    <w:rsid w:val="005015FA"/>
    <w:rsid w:val="00505411"/>
    <w:rsid w:val="00510CAF"/>
    <w:rsid w:val="00510DAB"/>
    <w:rsid w:val="005128C5"/>
    <w:rsid w:val="00514754"/>
    <w:rsid w:val="0051478B"/>
    <w:rsid w:val="0051566A"/>
    <w:rsid w:val="00515D7B"/>
    <w:rsid w:val="005166E9"/>
    <w:rsid w:val="0052009E"/>
    <w:rsid w:val="0052302C"/>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61D7"/>
    <w:rsid w:val="00597057"/>
    <w:rsid w:val="00597D8B"/>
    <w:rsid w:val="005A1C30"/>
    <w:rsid w:val="005A229D"/>
    <w:rsid w:val="005A3295"/>
    <w:rsid w:val="005A46FF"/>
    <w:rsid w:val="005A5AE2"/>
    <w:rsid w:val="005B011E"/>
    <w:rsid w:val="005B14F0"/>
    <w:rsid w:val="005B1E0B"/>
    <w:rsid w:val="005B2E84"/>
    <w:rsid w:val="005B70C6"/>
    <w:rsid w:val="005B7B0E"/>
    <w:rsid w:val="005C526E"/>
    <w:rsid w:val="005C5409"/>
    <w:rsid w:val="005C69AC"/>
    <w:rsid w:val="005C6DCF"/>
    <w:rsid w:val="005C6DF3"/>
    <w:rsid w:val="005C722E"/>
    <w:rsid w:val="005D01A4"/>
    <w:rsid w:val="005D14DE"/>
    <w:rsid w:val="005D2CC7"/>
    <w:rsid w:val="005D44E4"/>
    <w:rsid w:val="005D45B3"/>
    <w:rsid w:val="005D4CEB"/>
    <w:rsid w:val="005D5F80"/>
    <w:rsid w:val="005E0C14"/>
    <w:rsid w:val="005E1D51"/>
    <w:rsid w:val="005F04E6"/>
    <w:rsid w:val="005F43B9"/>
    <w:rsid w:val="005F68CB"/>
    <w:rsid w:val="005F6A4A"/>
    <w:rsid w:val="006033E3"/>
    <w:rsid w:val="00603663"/>
    <w:rsid w:val="0061321C"/>
    <w:rsid w:val="006159E5"/>
    <w:rsid w:val="00620DB0"/>
    <w:rsid w:val="0062386E"/>
    <w:rsid w:val="00623D9A"/>
    <w:rsid w:val="00623F01"/>
    <w:rsid w:val="006242FB"/>
    <w:rsid w:val="00626E2D"/>
    <w:rsid w:val="00627D94"/>
    <w:rsid w:val="00630B42"/>
    <w:rsid w:val="00631DB3"/>
    <w:rsid w:val="00634900"/>
    <w:rsid w:val="00637BA7"/>
    <w:rsid w:val="00642072"/>
    <w:rsid w:val="006440ED"/>
    <w:rsid w:val="00645293"/>
    <w:rsid w:val="00651B78"/>
    <w:rsid w:val="00652263"/>
    <w:rsid w:val="00652881"/>
    <w:rsid w:val="00653BAC"/>
    <w:rsid w:val="00657CAF"/>
    <w:rsid w:val="00661974"/>
    <w:rsid w:val="00662F58"/>
    <w:rsid w:val="00664551"/>
    <w:rsid w:val="0066704D"/>
    <w:rsid w:val="006676A0"/>
    <w:rsid w:val="006706B6"/>
    <w:rsid w:val="00670857"/>
    <w:rsid w:val="00671124"/>
    <w:rsid w:val="006727B0"/>
    <w:rsid w:val="0067307E"/>
    <w:rsid w:val="006848C1"/>
    <w:rsid w:val="006868CD"/>
    <w:rsid w:val="00686EEA"/>
    <w:rsid w:val="00687AD5"/>
    <w:rsid w:val="00690EC4"/>
    <w:rsid w:val="00691D14"/>
    <w:rsid w:val="00695251"/>
    <w:rsid w:val="00695296"/>
    <w:rsid w:val="00695ADE"/>
    <w:rsid w:val="00695C0D"/>
    <w:rsid w:val="00696356"/>
    <w:rsid w:val="00696DDE"/>
    <w:rsid w:val="006A72C6"/>
    <w:rsid w:val="006B02DA"/>
    <w:rsid w:val="006B0806"/>
    <w:rsid w:val="006B10DA"/>
    <w:rsid w:val="006B2065"/>
    <w:rsid w:val="006B3940"/>
    <w:rsid w:val="006B5B3E"/>
    <w:rsid w:val="006C168D"/>
    <w:rsid w:val="006C4465"/>
    <w:rsid w:val="006C642C"/>
    <w:rsid w:val="006C6FC6"/>
    <w:rsid w:val="006D0E4F"/>
    <w:rsid w:val="006D676F"/>
    <w:rsid w:val="006D7693"/>
    <w:rsid w:val="006E231B"/>
    <w:rsid w:val="006E346E"/>
    <w:rsid w:val="006E34B7"/>
    <w:rsid w:val="006F103E"/>
    <w:rsid w:val="006F4C30"/>
    <w:rsid w:val="006F4CD8"/>
    <w:rsid w:val="006F53D9"/>
    <w:rsid w:val="007004DC"/>
    <w:rsid w:val="00701347"/>
    <w:rsid w:val="007027B6"/>
    <w:rsid w:val="00703E8A"/>
    <w:rsid w:val="00707FB8"/>
    <w:rsid w:val="0071006D"/>
    <w:rsid w:val="00711522"/>
    <w:rsid w:val="007124FE"/>
    <w:rsid w:val="007125A9"/>
    <w:rsid w:val="00713186"/>
    <w:rsid w:val="00713757"/>
    <w:rsid w:val="00716F79"/>
    <w:rsid w:val="00717772"/>
    <w:rsid w:val="00717C29"/>
    <w:rsid w:val="00721AF1"/>
    <w:rsid w:val="0072280F"/>
    <w:rsid w:val="00722B5E"/>
    <w:rsid w:val="0072708F"/>
    <w:rsid w:val="00727C6C"/>
    <w:rsid w:val="0073150B"/>
    <w:rsid w:val="00732D1D"/>
    <w:rsid w:val="00736034"/>
    <w:rsid w:val="0073681C"/>
    <w:rsid w:val="00737AB0"/>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91053"/>
    <w:rsid w:val="00791A3A"/>
    <w:rsid w:val="00794196"/>
    <w:rsid w:val="007941EA"/>
    <w:rsid w:val="007951F3"/>
    <w:rsid w:val="0079671E"/>
    <w:rsid w:val="00797637"/>
    <w:rsid w:val="007A0A57"/>
    <w:rsid w:val="007A3680"/>
    <w:rsid w:val="007A59B8"/>
    <w:rsid w:val="007A6BEA"/>
    <w:rsid w:val="007B2191"/>
    <w:rsid w:val="007B2862"/>
    <w:rsid w:val="007B3C32"/>
    <w:rsid w:val="007B505A"/>
    <w:rsid w:val="007B662A"/>
    <w:rsid w:val="007C2BCC"/>
    <w:rsid w:val="007C7E22"/>
    <w:rsid w:val="007D1C16"/>
    <w:rsid w:val="007D28C9"/>
    <w:rsid w:val="007D3CC8"/>
    <w:rsid w:val="007D62F9"/>
    <w:rsid w:val="007D63A4"/>
    <w:rsid w:val="007E008D"/>
    <w:rsid w:val="007E0F0C"/>
    <w:rsid w:val="007E1AA2"/>
    <w:rsid w:val="007E1AD0"/>
    <w:rsid w:val="007E4C1F"/>
    <w:rsid w:val="007E5EDC"/>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1C19"/>
    <w:rsid w:val="008174D4"/>
    <w:rsid w:val="00820FE6"/>
    <w:rsid w:val="00821985"/>
    <w:rsid w:val="00821A66"/>
    <w:rsid w:val="00822476"/>
    <w:rsid w:val="00822882"/>
    <w:rsid w:val="00823E6D"/>
    <w:rsid w:val="00824200"/>
    <w:rsid w:val="00825D22"/>
    <w:rsid w:val="00825F68"/>
    <w:rsid w:val="00827CB9"/>
    <w:rsid w:val="008305BF"/>
    <w:rsid w:val="00832748"/>
    <w:rsid w:val="00835408"/>
    <w:rsid w:val="008359DA"/>
    <w:rsid w:val="00836D2A"/>
    <w:rsid w:val="00837CEF"/>
    <w:rsid w:val="00840035"/>
    <w:rsid w:val="00840220"/>
    <w:rsid w:val="00840677"/>
    <w:rsid w:val="00840C20"/>
    <w:rsid w:val="008428A9"/>
    <w:rsid w:val="00844112"/>
    <w:rsid w:val="00844CBE"/>
    <w:rsid w:val="008456C9"/>
    <w:rsid w:val="0084611D"/>
    <w:rsid w:val="00850C62"/>
    <w:rsid w:val="00854463"/>
    <w:rsid w:val="00857643"/>
    <w:rsid w:val="00863011"/>
    <w:rsid w:val="0086312D"/>
    <w:rsid w:val="00863392"/>
    <w:rsid w:val="00865075"/>
    <w:rsid w:val="0086734C"/>
    <w:rsid w:val="0086748F"/>
    <w:rsid w:val="00872CE4"/>
    <w:rsid w:val="00874F4B"/>
    <w:rsid w:val="0087539B"/>
    <w:rsid w:val="00877B62"/>
    <w:rsid w:val="00880016"/>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2A97"/>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1C17"/>
    <w:rsid w:val="008F2477"/>
    <w:rsid w:val="00900DD1"/>
    <w:rsid w:val="009010F0"/>
    <w:rsid w:val="00901162"/>
    <w:rsid w:val="0090223A"/>
    <w:rsid w:val="009028E2"/>
    <w:rsid w:val="009055EC"/>
    <w:rsid w:val="009100C0"/>
    <w:rsid w:val="0091247B"/>
    <w:rsid w:val="0091320A"/>
    <w:rsid w:val="00914EAB"/>
    <w:rsid w:val="009150A1"/>
    <w:rsid w:val="00916808"/>
    <w:rsid w:val="00922D49"/>
    <w:rsid w:val="0092482C"/>
    <w:rsid w:val="00924A95"/>
    <w:rsid w:val="009259CF"/>
    <w:rsid w:val="00925E37"/>
    <w:rsid w:val="00925EDD"/>
    <w:rsid w:val="00927D0E"/>
    <w:rsid w:val="009309DA"/>
    <w:rsid w:val="00935771"/>
    <w:rsid w:val="00936688"/>
    <w:rsid w:val="00937CFA"/>
    <w:rsid w:val="009406B3"/>
    <w:rsid w:val="00945CF5"/>
    <w:rsid w:val="00946D66"/>
    <w:rsid w:val="009500A1"/>
    <w:rsid w:val="0095037E"/>
    <w:rsid w:val="00952AAD"/>
    <w:rsid w:val="00952F4F"/>
    <w:rsid w:val="00954567"/>
    <w:rsid w:val="009547A9"/>
    <w:rsid w:val="00957466"/>
    <w:rsid w:val="0096260B"/>
    <w:rsid w:val="00963F05"/>
    <w:rsid w:val="00965469"/>
    <w:rsid w:val="009664D5"/>
    <w:rsid w:val="00970C69"/>
    <w:rsid w:val="009716AF"/>
    <w:rsid w:val="00971F1C"/>
    <w:rsid w:val="0097211D"/>
    <w:rsid w:val="00972E10"/>
    <w:rsid w:val="0097328D"/>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2B7"/>
    <w:rsid w:val="009D0628"/>
    <w:rsid w:val="009D1EA4"/>
    <w:rsid w:val="009D27AA"/>
    <w:rsid w:val="009D2D8B"/>
    <w:rsid w:val="009D38BA"/>
    <w:rsid w:val="009D4991"/>
    <w:rsid w:val="009D5BB5"/>
    <w:rsid w:val="009D696D"/>
    <w:rsid w:val="009D6ED2"/>
    <w:rsid w:val="009E0D5D"/>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2EEF"/>
    <w:rsid w:val="00A14AE3"/>
    <w:rsid w:val="00A16675"/>
    <w:rsid w:val="00A22CD6"/>
    <w:rsid w:val="00A234EC"/>
    <w:rsid w:val="00A2417A"/>
    <w:rsid w:val="00A26668"/>
    <w:rsid w:val="00A27804"/>
    <w:rsid w:val="00A36822"/>
    <w:rsid w:val="00A36AB5"/>
    <w:rsid w:val="00A37A23"/>
    <w:rsid w:val="00A411D1"/>
    <w:rsid w:val="00A43389"/>
    <w:rsid w:val="00A43E71"/>
    <w:rsid w:val="00A45753"/>
    <w:rsid w:val="00A47B15"/>
    <w:rsid w:val="00A52F84"/>
    <w:rsid w:val="00A5533F"/>
    <w:rsid w:val="00A554CA"/>
    <w:rsid w:val="00A56B05"/>
    <w:rsid w:val="00A57678"/>
    <w:rsid w:val="00A60E2F"/>
    <w:rsid w:val="00A63284"/>
    <w:rsid w:val="00A64CB8"/>
    <w:rsid w:val="00A67018"/>
    <w:rsid w:val="00A672F3"/>
    <w:rsid w:val="00A673DC"/>
    <w:rsid w:val="00A67D40"/>
    <w:rsid w:val="00A7076E"/>
    <w:rsid w:val="00A709BE"/>
    <w:rsid w:val="00A7162E"/>
    <w:rsid w:val="00A7195A"/>
    <w:rsid w:val="00A72D71"/>
    <w:rsid w:val="00A7519C"/>
    <w:rsid w:val="00A75705"/>
    <w:rsid w:val="00A77C69"/>
    <w:rsid w:val="00A83953"/>
    <w:rsid w:val="00A83A77"/>
    <w:rsid w:val="00A85AF5"/>
    <w:rsid w:val="00A900E7"/>
    <w:rsid w:val="00A903B6"/>
    <w:rsid w:val="00A90F4F"/>
    <w:rsid w:val="00A92E44"/>
    <w:rsid w:val="00A9418A"/>
    <w:rsid w:val="00A947AA"/>
    <w:rsid w:val="00A9769C"/>
    <w:rsid w:val="00AA1B53"/>
    <w:rsid w:val="00AA3556"/>
    <w:rsid w:val="00AA35FD"/>
    <w:rsid w:val="00AA3DB7"/>
    <w:rsid w:val="00AB0340"/>
    <w:rsid w:val="00AB3012"/>
    <w:rsid w:val="00AB321C"/>
    <w:rsid w:val="00AB5B99"/>
    <w:rsid w:val="00AB688F"/>
    <w:rsid w:val="00AB75EA"/>
    <w:rsid w:val="00AB7AA2"/>
    <w:rsid w:val="00AB7BE2"/>
    <w:rsid w:val="00AC4BC1"/>
    <w:rsid w:val="00AD04BD"/>
    <w:rsid w:val="00AD1C72"/>
    <w:rsid w:val="00AD25F6"/>
    <w:rsid w:val="00AD46E6"/>
    <w:rsid w:val="00AD7214"/>
    <w:rsid w:val="00AE1066"/>
    <w:rsid w:val="00AE2AD2"/>
    <w:rsid w:val="00AE4518"/>
    <w:rsid w:val="00AE5D7F"/>
    <w:rsid w:val="00AE79F0"/>
    <w:rsid w:val="00AF2089"/>
    <w:rsid w:val="00AF3350"/>
    <w:rsid w:val="00AF4305"/>
    <w:rsid w:val="00AF5585"/>
    <w:rsid w:val="00AF561C"/>
    <w:rsid w:val="00AF6EC1"/>
    <w:rsid w:val="00B00331"/>
    <w:rsid w:val="00B01A80"/>
    <w:rsid w:val="00B02675"/>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2B4A"/>
    <w:rsid w:val="00B54370"/>
    <w:rsid w:val="00B55185"/>
    <w:rsid w:val="00B55281"/>
    <w:rsid w:val="00B60FD1"/>
    <w:rsid w:val="00B61923"/>
    <w:rsid w:val="00B621D6"/>
    <w:rsid w:val="00B63EF5"/>
    <w:rsid w:val="00B65D6F"/>
    <w:rsid w:val="00B67C23"/>
    <w:rsid w:val="00B70DC7"/>
    <w:rsid w:val="00B715FD"/>
    <w:rsid w:val="00B73042"/>
    <w:rsid w:val="00B74BB9"/>
    <w:rsid w:val="00B75283"/>
    <w:rsid w:val="00B75735"/>
    <w:rsid w:val="00B77142"/>
    <w:rsid w:val="00B807F5"/>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2FA"/>
    <w:rsid w:val="00BD3EB4"/>
    <w:rsid w:val="00BD5C65"/>
    <w:rsid w:val="00BD71EE"/>
    <w:rsid w:val="00BE6018"/>
    <w:rsid w:val="00BF1F57"/>
    <w:rsid w:val="00BF4086"/>
    <w:rsid w:val="00BF426C"/>
    <w:rsid w:val="00BF58D0"/>
    <w:rsid w:val="00BF63AF"/>
    <w:rsid w:val="00BF7D6A"/>
    <w:rsid w:val="00C013E1"/>
    <w:rsid w:val="00C01611"/>
    <w:rsid w:val="00C02D59"/>
    <w:rsid w:val="00C030B6"/>
    <w:rsid w:val="00C03284"/>
    <w:rsid w:val="00C050D7"/>
    <w:rsid w:val="00C05B5F"/>
    <w:rsid w:val="00C06911"/>
    <w:rsid w:val="00C104CC"/>
    <w:rsid w:val="00C12898"/>
    <w:rsid w:val="00C152FE"/>
    <w:rsid w:val="00C16739"/>
    <w:rsid w:val="00C22C7D"/>
    <w:rsid w:val="00C22CCE"/>
    <w:rsid w:val="00C231D6"/>
    <w:rsid w:val="00C23BA2"/>
    <w:rsid w:val="00C272C4"/>
    <w:rsid w:val="00C31C12"/>
    <w:rsid w:val="00C32AF2"/>
    <w:rsid w:val="00C33204"/>
    <w:rsid w:val="00C338EB"/>
    <w:rsid w:val="00C3465D"/>
    <w:rsid w:val="00C35643"/>
    <w:rsid w:val="00C379E9"/>
    <w:rsid w:val="00C439FB"/>
    <w:rsid w:val="00C43F23"/>
    <w:rsid w:val="00C50011"/>
    <w:rsid w:val="00C52CA1"/>
    <w:rsid w:val="00C5755E"/>
    <w:rsid w:val="00C6379C"/>
    <w:rsid w:val="00C63C53"/>
    <w:rsid w:val="00C645E6"/>
    <w:rsid w:val="00C64D82"/>
    <w:rsid w:val="00C64FBC"/>
    <w:rsid w:val="00C65A83"/>
    <w:rsid w:val="00C724F2"/>
    <w:rsid w:val="00C72C6F"/>
    <w:rsid w:val="00C75057"/>
    <w:rsid w:val="00C77034"/>
    <w:rsid w:val="00C80F23"/>
    <w:rsid w:val="00C81151"/>
    <w:rsid w:val="00C81EFA"/>
    <w:rsid w:val="00C82CC6"/>
    <w:rsid w:val="00C850A3"/>
    <w:rsid w:val="00C85C32"/>
    <w:rsid w:val="00C87568"/>
    <w:rsid w:val="00C90DB6"/>
    <w:rsid w:val="00C913B6"/>
    <w:rsid w:val="00C9394F"/>
    <w:rsid w:val="00C93B1A"/>
    <w:rsid w:val="00C96F5F"/>
    <w:rsid w:val="00CA4126"/>
    <w:rsid w:val="00CA4574"/>
    <w:rsid w:val="00CA5927"/>
    <w:rsid w:val="00CA79EC"/>
    <w:rsid w:val="00CB041A"/>
    <w:rsid w:val="00CB39C2"/>
    <w:rsid w:val="00CB4664"/>
    <w:rsid w:val="00CB4C8C"/>
    <w:rsid w:val="00CB6782"/>
    <w:rsid w:val="00CC080A"/>
    <w:rsid w:val="00CC0994"/>
    <w:rsid w:val="00CC0C03"/>
    <w:rsid w:val="00CD0AAD"/>
    <w:rsid w:val="00CD6177"/>
    <w:rsid w:val="00CE182E"/>
    <w:rsid w:val="00CE2DAB"/>
    <w:rsid w:val="00CE2DE4"/>
    <w:rsid w:val="00CE2E79"/>
    <w:rsid w:val="00CE5277"/>
    <w:rsid w:val="00CE6358"/>
    <w:rsid w:val="00CF2D54"/>
    <w:rsid w:val="00CF592C"/>
    <w:rsid w:val="00CF6992"/>
    <w:rsid w:val="00CF6AD7"/>
    <w:rsid w:val="00CF7B8C"/>
    <w:rsid w:val="00D03538"/>
    <w:rsid w:val="00D049B8"/>
    <w:rsid w:val="00D0516C"/>
    <w:rsid w:val="00D05EE7"/>
    <w:rsid w:val="00D068D0"/>
    <w:rsid w:val="00D078D1"/>
    <w:rsid w:val="00D129A8"/>
    <w:rsid w:val="00D12FB9"/>
    <w:rsid w:val="00D13FE2"/>
    <w:rsid w:val="00D200BD"/>
    <w:rsid w:val="00D22399"/>
    <w:rsid w:val="00D24B11"/>
    <w:rsid w:val="00D310BA"/>
    <w:rsid w:val="00D32C0A"/>
    <w:rsid w:val="00D33751"/>
    <w:rsid w:val="00D3382F"/>
    <w:rsid w:val="00D33924"/>
    <w:rsid w:val="00D34559"/>
    <w:rsid w:val="00D36F6E"/>
    <w:rsid w:val="00D3705B"/>
    <w:rsid w:val="00D37343"/>
    <w:rsid w:val="00D4205E"/>
    <w:rsid w:val="00D45DB6"/>
    <w:rsid w:val="00D5574C"/>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475D"/>
    <w:rsid w:val="00DA7146"/>
    <w:rsid w:val="00DA716A"/>
    <w:rsid w:val="00DB1F4F"/>
    <w:rsid w:val="00DB37EE"/>
    <w:rsid w:val="00DB4450"/>
    <w:rsid w:val="00DB7B69"/>
    <w:rsid w:val="00DC234A"/>
    <w:rsid w:val="00DC27AD"/>
    <w:rsid w:val="00DC41E4"/>
    <w:rsid w:val="00DC5116"/>
    <w:rsid w:val="00DC7C77"/>
    <w:rsid w:val="00DD074A"/>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6313"/>
    <w:rsid w:val="00E1738C"/>
    <w:rsid w:val="00E207A1"/>
    <w:rsid w:val="00E22D28"/>
    <w:rsid w:val="00E230E3"/>
    <w:rsid w:val="00E27A14"/>
    <w:rsid w:val="00E30EDF"/>
    <w:rsid w:val="00E30F3C"/>
    <w:rsid w:val="00E31EC2"/>
    <w:rsid w:val="00E31FBA"/>
    <w:rsid w:val="00E32CB6"/>
    <w:rsid w:val="00E34042"/>
    <w:rsid w:val="00E34CDF"/>
    <w:rsid w:val="00E36AAE"/>
    <w:rsid w:val="00E41773"/>
    <w:rsid w:val="00E428DD"/>
    <w:rsid w:val="00E43B0B"/>
    <w:rsid w:val="00E44A50"/>
    <w:rsid w:val="00E477F6"/>
    <w:rsid w:val="00E50841"/>
    <w:rsid w:val="00E513F6"/>
    <w:rsid w:val="00E52F3B"/>
    <w:rsid w:val="00E53A45"/>
    <w:rsid w:val="00E53D94"/>
    <w:rsid w:val="00E53DEA"/>
    <w:rsid w:val="00E548E9"/>
    <w:rsid w:val="00E553CC"/>
    <w:rsid w:val="00E55667"/>
    <w:rsid w:val="00E57068"/>
    <w:rsid w:val="00E57630"/>
    <w:rsid w:val="00E616DB"/>
    <w:rsid w:val="00E627A4"/>
    <w:rsid w:val="00E630ED"/>
    <w:rsid w:val="00E74EC5"/>
    <w:rsid w:val="00E75FDC"/>
    <w:rsid w:val="00E76B86"/>
    <w:rsid w:val="00E8342F"/>
    <w:rsid w:val="00E847A7"/>
    <w:rsid w:val="00E85E29"/>
    <w:rsid w:val="00E85F25"/>
    <w:rsid w:val="00E86E79"/>
    <w:rsid w:val="00E87313"/>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4874"/>
    <w:rsid w:val="00EE79A6"/>
    <w:rsid w:val="00EF6111"/>
    <w:rsid w:val="00EF6232"/>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0868"/>
    <w:rsid w:val="00F423BD"/>
    <w:rsid w:val="00F4255D"/>
    <w:rsid w:val="00F432FF"/>
    <w:rsid w:val="00F46DF9"/>
    <w:rsid w:val="00F4715C"/>
    <w:rsid w:val="00F54869"/>
    <w:rsid w:val="00F556B2"/>
    <w:rsid w:val="00F57252"/>
    <w:rsid w:val="00F5754B"/>
    <w:rsid w:val="00F576DE"/>
    <w:rsid w:val="00F63BF7"/>
    <w:rsid w:val="00F64563"/>
    <w:rsid w:val="00F65617"/>
    <w:rsid w:val="00F65D71"/>
    <w:rsid w:val="00F70112"/>
    <w:rsid w:val="00F710BE"/>
    <w:rsid w:val="00F723B1"/>
    <w:rsid w:val="00F736D2"/>
    <w:rsid w:val="00F7564C"/>
    <w:rsid w:val="00F76220"/>
    <w:rsid w:val="00F769BE"/>
    <w:rsid w:val="00F81C33"/>
    <w:rsid w:val="00F82A1D"/>
    <w:rsid w:val="00F82E6B"/>
    <w:rsid w:val="00F91F6D"/>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C1CA5"/>
    <w:rsid w:val="00FC219C"/>
    <w:rsid w:val="00FC2979"/>
    <w:rsid w:val="00FD1C3C"/>
    <w:rsid w:val="00FD1E02"/>
    <w:rsid w:val="00FD38A8"/>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72DCF266-60FA-4E11-934F-6B947CDA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FD1E02"/>
    <w:rPr>
      <w:rFonts w:cs="Times New Roman"/>
      <w:b/>
      <w:bCs/>
      <w:kern w:val="44"/>
      <w:sz w:val="44"/>
      <w:szCs w:val="44"/>
    </w:rPr>
  </w:style>
  <w:style w:type="character" w:customStyle="1" w:styleId="2Char">
    <w:name w:val="标题 2 Char"/>
    <w:link w:val="2"/>
    <w:uiPriority w:val="99"/>
    <w:semiHidden/>
    <w:locked/>
    <w:rsid w:val="00140FF8"/>
    <w:rPr>
      <w:rFonts w:ascii="Cambria" w:eastAsia="宋体" w:hAnsi="Cambria" w:cs="Times New Roman"/>
      <w:b/>
      <w:bCs/>
      <w:sz w:val="32"/>
      <w:szCs w:val="32"/>
    </w:rPr>
  </w:style>
  <w:style w:type="paragraph" w:styleId="a0">
    <w:name w:val="Normal Indent"/>
    <w:basedOn w:val="a"/>
    <w:uiPriority w:val="99"/>
    <w:rsid w:val="00C12898"/>
    <w:pPr>
      <w:ind w:firstLineChars="200" w:firstLine="420"/>
    </w:pPr>
  </w:style>
  <w:style w:type="paragraph" w:styleId="a4">
    <w:name w:val="Body Text Indent"/>
    <w:basedOn w:val="a"/>
    <w:link w:val="Char"/>
    <w:uiPriority w:val="99"/>
    <w:rsid w:val="00C1289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
    <w:name w:val="正文文本缩进 Char"/>
    <w:link w:val="a4"/>
    <w:uiPriority w:val="99"/>
    <w:semiHidden/>
    <w:locked/>
    <w:rsid w:val="00140FF8"/>
    <w:rPr>
      <w:rFonts w:cs="Times New Roman"/>
      <w:sz w:val="24"/>
      <w:szCs w:val="24"/>
    </w:rPr>
  </w:style>
  <w:style w:type="paragraph" w:styleId="a5">
    <w:name w:val="Plain Text"/>
    <w:basedOn w:val="a"/>
    <w:link w:val="Char0"/>
    <w:uiPriority w:val="99"/>
    <w:rsid w:val="00C12898"/>
    <w:rPr>
      <w:rFonts w:ascii="宋体" w:hAnsi="Courier New"/>
      <w:szCs w:val="21"/>
    </w:rPr>
  </w:style>
  <w:style w:type="character" w:customStyle="1" w:styleId="Char0">
    <w:name w:val="纯文本 Char"/>
    <w:link w:val="a5"/>
    <w:uiPriority w:val="99"/>
    <w:locked/>
    <w:rsid w:val="0042253F"/>
    <w:rPr>
      <w:rFonts w:ascii="宋体" w:hAnsi="Courier New" w:cs="Times New Roman"/>
      <w:kern w:val="2"/>
      <w:sz w:val="21"/>
    </w:rPr>
  </w:style>
  <w:style w:type="paragraph" w:styleId="20">
    <w:name w:val="Body Text Indent 2"/>
    <w:basedOn w:val="a"/>
    <w:link w:val="2Char0"/>
    <w:uiPriority w:val="99"/>
    <w:rsid w:val="00C12898"/>
    <w:pPr>
      <w:spacing w:line="560" w:lineRule="exact"/>
      <w:ind w:firstLineChars="200" w:firstLine="480"/>
    </w:pPr>
    <w:rPr>
      <w:rFonts w:ascii="宋体" w:hAnsi="宋体"/>
      <w:color w:val="FF0000"/>
      <w:sz w:val="24"/>
    </w:rPr>
  </w:style>
  <w:style w:type="character" w:customStyle="1" w:styleId="2Char0">
    <w:name w:val="正文文本缩进 2 Char"/>
    <w:link w:val="20"/>
    <w:uiPriority w:val="99"/>
    <w:semiHidden/>
    <w:locked/>
    <w:rsid w:val="00140FF8"/>
    <w:rPr>
      <w:rFonts w:cs="Times New Roman"/>
      <w:sz w:val="24"/>
      <w:szCs w:val="24"/>
    </w:rPr>
  </w:style>
  <w:style w:type="paragraph" w:styleId="a6">
    <w:name w:val="footer"/>
    <w:basedOn w:val="a"/>
    <w:link w:val="Char1"/>
    <w:uiPriority w:val="99"/>
    <w:rsid w:val="00C12898"/>
    <w:pPr>
      <w:tabs>
        <w:tab w:val="center" w:pos="4153"/>
        <w:tab w:val="right" w:pos="8306"/>
      </w:tabs>
      <w:snapToGrid w:val="0"/>
      <w:jc w:val="left"/>
    </w:pPr>
    <w:rPr>
      <w:sz w:val="18"/>
      <w:szCs w:val="18"/>
    </w:rPr>
  </w:style>
  <w:style w:type="character" w:customStyle="1" w:styleId="Char1">
    <w:name w:val="页脚 Char"/>
    <w:link w:val="a6"/>
    <w:uiPriority w:val="99"/>
    <w:semiHidden/>
    <w:locked/>
    <w:rsid w:val="00140FF8"/>
    <w:rPr>
      <w:rFonts w:cs="Times New Roman"/>
      <w:sz w:val="18"/>
      <w:szCs w:val="18"/>
    </w:rPr>
  </w:style>
  <w:style w:type="character" w:styleId="a7">
    <w:name w:val="page number"/>
    <w:uiPriority w:val="99"/>
    <w:rsid w:val="00C12898"/>
    <w:rPr>
      <w:rFonts w:cs="Times New Roman"/>
    </w:rPr>
  </w:style>
  <w:style w:type="character" w:styleId="a8">
    <w:name w:val="Hyperlink"/>
    <w:uiPriority w:val="99"/>
    <w:rsid w:val="00C12898"/>
    <w:rPr>
      <w:rFonts w:cs="Times New Roman"/>
      <w:color w:val="0000FF"/>
      <w:u w:val="single"/>
    </w:rPr>
  </w:style>
  <w:style w:type="paragraph" w:styleId="3">
    <w:name w:val="Body Text Indent 3"/>
    <w:basedOn w:val="a"/>
    <w:link w:val="3Char"/>
    <w:uiPriority w:val="99"/>
    <w:rsid w:val="00C12898"/>
    <w:pPr>
      <w:spacing w:line="560" w:lineRule="exact"/>
      <w:ind w:firstLineChars="200" w:firstLine="420"/>
    </w:pPr>
    <w:rPr>
      <w:rFonts w:ascii="Arial" w:hAnsi="Arial" w:cs="Arial"/>
      <w:color w:val="FF0000"/>
    </w:rPr>
  </w:style>
  <w:style w:type="character" w:customStyle="1" w:styleId="3Char">
    <w:name w:val="正文文本缩进 3 Char"/>
    <w:link w:val="3"/>
    <w:uiPriority w:val="99"/>
    <w:semiHidden/>
    <w:locked/>
    <w:rsid w:val="00140FF8"/>
    <w:rPr>
      <w:rFonts w:cs="Times New Roman"/>
      <w:sz w:val="16"/>
      <w:szCs w:val="16"/>
    </w:rPr>
  </w:style>
  <w:style w:type="paragraph" w:styleId="a9">
    <w:name w:val="header"/>
    <w:basedOn w:val="a"/>
    <w:link w:val="Char2"/>
    <w:uiPriority w:val="99"/>
    <w:rsid w:val="00C1289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FB572A"/>
    <w:rPr>
      <w:rFonts w:cs="Times New Roman"/>
      <w:kern w:val="2"/>
      <w:sz w:val="18"/>
      <w:szCs w:val="18"/>
    </w:rPr>
  </w:style>
  <w:style w:type="character" w:styleId="aa">
    <w:name w:val="FollowedHyperlink"/>
    <w:uiPriority w:val="99"/>
    <w:rsid w:val="00C12898"/>
    <w:rPr>
      <w:rFonts w:cs="Times New Roman"/>
      <w:color w:val="800080"/>
      <w:u w:val="single"/>
    </w:rPr>
  </w:style>
  <w:style w:type="paragraph" w:styleId="ab">
    <w:name w:val="List"/>
    <w:basedOn w:val="ac"/>
    <w:uiPriority w:val="99"/>
    <w:rsid w:val="00C12898"/>
    <w:pPr>
      <w:spacing w:after="220" w:line="220" w:lineRule="atLeast"/>
      <w:ind w:left="1440" w:hanging="360"/>
    </w:pPr>
    <w:rPr>
      <w:szCs w:val="20"/>
    </w:rPr>
  </w:style>
  <w:style w:type="paragraph" w:styleId="ac">
    <w:name w:val="Body Text"/>
    <w:basedOn w:val="a"/>
    <w:link w:val="Char3"/>
    <w:uiPriority w:val="99"/>
    <w:rsid w:val="00C12898"/>
    <w:pPr>
      <w:spacing w:after="120"/>
    </w:pPr>
  </w:style>
  <w:style w:type="character" w:customStyle="1" w:styleId="Char3">
    <w:name w:val="正文文本 Char"/>
    <w:link w:val="ac"/>
    <w:uiPriority w:val="99"/>
    <w:semiHidden/>
    <w:locked/>
    <w:rsid w:val="00140FF8"/>
    <w:rPr>
      <w:rFonts w:cs="Times New Roman"/>
      <w:sz w:val="24"/>
      <w:szCs w:val="24"/>
    </w:rPr>
  </w:style>
  <w:style w:type="paragraph" w:styleId="ad">
    <w:name w:val="Date"/>
    <w:basedOn w:val="a"/>
    <w:next w:val="a"/>
    <w:link w:val="Char4"/>
    <w:uiPriority w:val="99"/>
    <w:rsid w:val="00C12898"/>
    <w:rPr>
      <w:sz w:val="24"/>
      <w:szCs w:val="20"/>
    </w:rPr>
  </w:style>
  <w:style w:type="character" w:customStyle="1" w:styleId="Char4">
    <w:name w:val="日期 Char"/>
    <w:link w:val="ad"/>
    <w:uiPriority w:val="99"/>
    <w:locked/>
    <w:rsid w:val="00F27C38"/>
    <w:rPr>
      <w:rFonts w:cs="Times New Roman"/>
      <w:kern w:val="2"/>
      <w:sz w:val="24"/>
    </w:rPr>
  </w:style>
  <w:style w:type="character" w:customStyle="1" w:styleId="c1">
    <w:name w:val="c1"/>
    <w:uiPriority w:val="99"/>
    <w:rsid w:val="00C12898"/>
    <w:rPr>
      <w:rFonts w:cs="Times New Roman"/>
      <w:color w:val="000000"/>
      <w:sz w:val="18"/>
      <w:szCs w:val="18"/>
    </w:rPr>
  </w:style>
  <w:style w:type="paragraph" w:styleId="10">
    <w:name w:val="index 1"/>
    <w:basedOn w:val="a"/>
    <w:next w:val="a"/>
    <w:autoRedefine/>
    <w:uiPriority w:val="99"/>
    <w:semiHidden/>
    <w:rsid w:val="00C12898"/>
    <w:pPr>
      <w:jc w:val="right"/>
    </w:pPr>
    <w:rPr>
      <w:color w:val="008000"/>
    </w:rPr>
  </w:style>
  <w:style w:type="paragraph" w:customStyle="1" w:styleId="font5">
    <w:name w:val="font5"/>
    <w:basedOn w:val="a"/>
    <w:uiPriority w:val="99"/>
    <w:rsid w:val="00C1289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C12898"/>
    <w:rPr>
      <w:sz w:val="18"/>
      <w:szCs w:val="18"/>
    </w:rPr>
  </w:style>
  <w:style w:type="character" w:customStyle="1" w:styleId="Char5">
    <w:name w:val="批注框文本 Char"/>
    <w:link w:val="ae"/>
    <w:uiPriority w:val="99"/>
    <w:semiHidden/>
    <w:locked/>
    <w:rsid w:val="00140FF8"/>
    <w:rPr>
      <w:rFonts w:cs="Times New Roman"/>
      <w:sz w:val="2"/>
    </w:rPr>
  </w:style>
  <w:style w:type="character" w:styleId="af">
    <w:name w:val="annotation reference"/>
    <w:uiPriority w:val="99"/>
    <w:semiHidden/>
    <w:rsid w:val="00C12898"/>
    <w:rPr>
      <w:rFonts w:cs="Times New Roman"/>
      <w:sz w:val="21"/>
      <w:szCs w:val="21"/>
    </w:rPr>
  </w:style>
  <w:style w:type="paragraph" w:styleId="af0">
    <w:name w:val="annotation text"/>
    <w:basedOn w:val="a"/>
    <w:link w:val="Char6"/>
    <w:uiPriority w:val="99"/>
    <w:semiHidden/>
    <w:rsid w:val="00C12898"/>
    <w:pPr>
      <w:jc w:val="left"/>
    </w:pPr>
  </w:style>
  <w:style w:type="character" w:customStyle="1" w:styleId="Char6">
    <w:name w:val="批注文字 Char"/>
    <w:link w:val="af0"/>
    <w:uiPriority w:val="99"/>
    <w:semiHidden/>
    <w:locked/>
    <w:rsid w:val="00140FF8"/>
    <w:rPr>
      <w:rFonts w:cs="Times New Roman"/>
      <w:sz w:val="24"/>
      <w:szCs w:val="24"/>
    </w:rPr>
  </w:style>
  <w:style w:type="paragraph" w:styleId="af1">
    <w:name w:val="annotation subject"/>
    <w:basedOn w:val="af0"/>
    <w:next w:val="af0"/>
    <w:link w:val="Char7"/>
    <w:uiPriority w:val="99"/>
    <w:semiHidden/>
    <w:rsid w:val="00C12898"/>
    <w:rPr>
      <w:b/>
      <w:bCs/>
    </w:rPr>
  </w:style>
  <w:style w:type="character" w:customStyle="1" w:styleId="Char7">
    <w:name w:val="批注主题 Char"/>
    <w:link w:val="af1"/>
    <w:uiPriority w:val="99"/>
    <w:semiHidden/>
    <w:locked/>
    <w:rsid w:val="00140FF8"/>
    <w:rPr>
      <w:rFonts w:cs="Times New Roman"/>
      <w:b/>
      <w:bCs/>
      <w:sz w:val="24"/>
      <w:szCs w:val="24"/>
    </w:rPr>
  </w:style>
  <w:style w:type="paragraph" w:customStyle="1" w:styleId="Char8">
    <w:name w:val="Char"/>
    <w:basedOn w:val="a"/>
    <w:uiPriority w:val="99"/>
    <w:rsid w:val="00C12898"/>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140FF8"/>
    <w:rPr>
      <w:rFonts w:cs="Times New Roman"/>
      <w:sz w:val="2"/>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140FF8"/>
    <w:rPr>
      <w:rFonts w:cs="Times New Roman"/>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695296"/>
    <w:pPr>
      <w:widowControl w:val="0"/>
      <w:autoSpaceDE w:val="0"/>
      <w:autoSpaceDN w:val="0"/>
      <w:adjustRightInd w:val="0"/>
    </w:pPr>
    <w:rPr>
      <w:rFonts w:ascii="FangSong" w:hAnsi="FangSong" w:cs="FangSong"/>
      <w:color w:val="000000"/>
      <w:sz w:val="24"/>
      <w:szCs w:val="24"/>
    </w:rPr>
  </w:style>
  <w:style w:type="paragraph" w:styleId="HTML">
    <w:name w:val="HTML Preformatted"/>
    <w:basedOn w:val="a"/>
    <w:link w:val="HTMLChar"/>
    <w:uiPriority w:val="99"/>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locked/>
    <w:rsid w:val="00634900"/>
    <w:rPr>
      <w:rFonts w:ascii="宋体" w:eastAsia="宋体" w:cs="宋体"/>
      <w:sz w:val="24"/>
      <w:szCs w:val="24"/>
    </w:rPr>
  </w:style>
  <w:style w:type="character" w:styleId="af8">
    <w:name w:val="Strong"/>
    <w:basedOn w:val="a1"/>
    <w:uiPriority w:val="22"/>
    <w:qFormat/>
    <w:locked/>
    <w:rsid w:val="00193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13930">
      <w:bodyDiv w:val="1"/>
      <w:marLeft w:val="0"/>
      <w:marRight w:val="0"/>
      <w:marTop w:val="0"/>
      <w:marBottom w:val="0"/>
      <w:divBdr>
        <w:top w:val="none" w:sz="0" w:space="0" w:color="auto"/>
        <w:left w:val="none" w:sz="0" w:space="0" w:color="auto"/>
        <w:bottom w:val="none" w:sz="0" w:space="0" w:color="auto"/>
        <w:right w:val="none" w:sz="0" w:space="0" w:color="auto"/>
      </w:divBdr>
    </w:div>
    <w:div w:id="1077090524">
      <w:bodyDiv w:val="1"/>
      <w:marLeft w:val="0"/>
      <w:marRight w:val="0"/>
      <w:marTop w:val="0"/>
      <w:marBottom w:val="0"/>
      <w:divBdr>
        <w:top w:val="none" w:sz="0" w:space="0" w:color="auto"/>
        <w:left w:val="none" w:sz="0" w:space="0" w:color="auto"/>
        <w:bottom w:val="none" w:sz="0" w:space="0" w:color="auto"/>
        <w:right w:val="none" w:sz="0" w:space="0" w:color="auto"/>
      </w:divBdr>
    </w:div>
    <w:div w:id="1682857254">
      <w:marLeft w:val="0"/>
      <w:marRight w:val="0"/>
      <w:marTop w:val="0"/>
      <w:marBottom w:val="0"/>
      <w:divBdr>
        <w:top w:val="none" w:sz="0" w:space="0" w:color="auto"/>
        <w:left w:val="none" w:sz="0" w:space="0" w:color="auto"/>
        <w:bottom w:val="none" w:sz="0" w:space="0" w:color="auto"/>
        <w:right w:val="none" w:sz="0" w:space="0" w:color="auto"/>
      </w:divBdr>
    </w:div>
    <w:div w:id="1682857255">
      <w:marLeft w:val="0"/>
      <w:marRight w:val="0"/>
      <w:marTop w:val="0"/>
      <w:marBottom w:val="0"/>
      <w:divBdr>
        <w:top w:val="none" w:sz="0" w:space="0" w:color="auto"/>
        <w:left w:val="none" w:sz="0" w:space="0" w:color="auto"/>
        <w:bottom w:val="none" w:sz="0" w:space="0" w:color="auto"/>
        <w:right w:val="none" w:sz="0" w:space="0" w:color="auto"/>
      </w:divBdr>
    </w:div>
    <w:div w:id="1682857256">
      <w:marLeft w:val="0"/>
      <w:marRight w:val="0"/>
      <w:marTop w:val="0"/>
      <w:marBottom w:val="0"/>
      <w:divBdr>
        <w:top w:val="none" w:sz="0" w:space="0" w:color="auto"/>
        <w:left w:val="none" w:sz="0" w:space="0" w:color="auto"/>
        <w:bottom w:val="none" w:sz="0" w:space="0" w:color="auto"/>
        <w:right w:val="none" w:sz="0" w:space="0" w:color="auto"/>
      </w:divBdr>
    </w:div>
    <w:div w:id="1682857257">
      <w:marLeft w:val="0"/>
      <w:marRight w:val="0"/>
      <w:marTop w:val="0"/>
      <w:marBottom w:val="0"/>
      <w:divBdr>
        <w:top w:val="none" w:sz="0" w:space="0" w:color="auto"/>
        <w:left w:val="none" w:sz="0" w:space="0" w:color="auto"/>
        <w:bottom w:val="none" w:sz="0" w:space="0" w:color="auto"/>
        <w:right w:val="none" w:sz="0" w:space="0" w:color="auto"/>
      </w:divBdr>
    </w:div>
    <w:div w:id="1682857258">
      <w:marLeft w:val="0"/>
      <w:marRight w:val="0"/>
      <w:marTop w:val="0"/>
      <w:marBottom w:val="0"/>
      <w:divBdr>
        <w:top w:val="none" w:sz="0" w:space="0" w:color="auto"/>
        <w:left w:val="none" w:sz="0" w:space="0" w:color="auto"/>
        <w:bottom w:val="none" w:sz="0" w:space="0" w:color="auto"/>
        <w:right w:val="none" w:sz="0" w:space="0" w:color="auto"/>
      </w:divBdr>
    </w:div>
    <w:div w:id="1682857259">
      <w:marLeft w:val="0"/>
      <w:marRight w:val="0"/>
      <w:marTop w:val="0"/>
      <w:marBottom w:val="0"/>
      <w:divBdr>
        <w:top w:val="none" w:sz="0" w:space="0" w:color="auto"/>
        <w:left w:val="none" w:sz="0" w:space="0" w:color="auto"/>
        <w:bottom w:val="none" w:sz="0" w:space="0" w:color="auto"/>
        <w:right w:val="none" w:sz="0" w:space="0" w:color="auto"/>
      </w:divBdr>
    </w:div>
    <w:div w:id="1682857260">
      <w:marLeft w:val="0"/>
      <w:marRight w:val="0"/>
      <w:marTop w:val="0"/>
      <w:marBottom w:val="0"/>
      <w:divBdr>
        <w:top w:val="none" w:sz="0" w:space="0" w:color="auto"/>
        <w:left w:val="none" w:sz="0" w:space="0" w:color="auto"/>
        <w:bottom w:val="none" w:sz="0" w:space="0" w:color="auto"/>
        <w:right w:val="none" w:sz="0" w:space="0" w:color="auto"/>
      </w:divBdr>
    </w:div>
    <w:div w:id="1682857261">
      <w:marLeft w:val="0"/>
      <w:marRight w:val="0"/>
      <w:marTop w:val="0"/>
      <w:marBottom w:val="0"/>
      <w:divBdr>
        <w:top w:val="none" w:sz="0" w:space="0" w:color="auto"/>
        <w:left w:val="none" w:sz="0" w:space="0" w:color="auto"/>
        <w:bottom w:val="none" w:sz="0" w:space="0" w:color="auto"/>
        <w:right w:val="none" w:sz="0" w:space="0" w:color="auto"/>
      </w:divBdr>
    </w:div>
    <w:div w:id="1682857262">
      <w:marLeft w:val="0"/>
      <w:marRight w:val="0"/>
      <w:marTop w:val="0"/>
      <w:marBottom w:val="0"/>
      <w:divBdr>
        <w:top w:val="none" w:sz="0" w:space="0" w:color="auto"/>
        <w:left w:val="none" w:sz="0" w:space="0" w:color="auto"/>
        <w:bottom w:val="none" w:sz="0" w:space="0" w:color="auto"/>
        <w:right w:val="none" w:sz="0" w:space="0" w:color="auto"/>
      </w:divBdr>
    </w:div>
    <w:div w:id="1682857263">
      <w:marLeft w:val="0"/>
      <w:marRight w:val="0"/>
      <w:marTop w:val="0"/>
      <w:marBottom w:val="0"/>
      <w:divBdr>
        <w:top w:val="none" w:sz="0" w:space="0" w:color="auto"/>
        <w:left w:val="none" w:sz="0" w:space="0" w:color="auto"/>
        <w:bottom w:val="none" w:sz="0" w:space="0" w:color="auto"/>
        <w:right w:val="none" w:sz="0" w:space="0" w:color="auto"/>
      </w:divBdr>
    </w:div>
    <w:div w:id="1682857264">
      <w:marLeft w:val="0"/>
      <w:marRight w:val="0"/>
      <w:marTop w:val="0"/>
      <w:marBottom w:val="0"/>
      <w:divBdr>
        <w:top w:val="none" w:sz="0" w:space="0" w:color="auto"/>
        <w:left w:val="none" w:sz="0" w:space="0" w:color="auto"/>
        <w:bottom w:val="none" w:sz="0" w:space="0" w:color="auto"/>
        <w:right w:val="none" w:sz="0" w:space="0" w:color="auto"/>
      </w:divBdr>
    </w:div>
    <w:div w:id="1682857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6493</Characters>
  <Application>Microsoft Office Word</Application>
  <DocSecurity>4</DocSecurity>
  <Lines>54</Lines>
  <Paragraphs>15</Paragraphs>
  <ScaleCrop>false</ScaleCrop>
  <Company>TRT. Ltd. Co.</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cp:lastPrinted>2007-07-19T00:46:00Z</cp:lastPrinted>
  <dcterms:created xsi:type="dcterms:W3CDTF">2020-01-13T02:42:00Z</dcterms:created>
  <dcterms:modified xsi:type="dcterms:W3CDTF">2020-01-13T02:42:00Z</dcterms:modified>
</cp:coreProperties>
</file>