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易方达资源行业混合型证券投资基金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2C42F5" w:rsidRDefault="00F336E9">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C42F5" w:rsidRDefault="00F336E9">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C42F5" w:rsidRDefault="00F336E9">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C42F5" w:rsidRDefault="00F336E9">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C42F5" w:rsidRDefault="00F336E9">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易方达资源行业混合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110025</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2011</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16</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562,339,785.71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本基金主要投资资源行业股票，在严格控制风险的前提下，追求超越业绩比较基准的投资回报。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根据对资源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w:t>
            </w:r>
            <w:r w:rsidRPr="00232B03">
              <w:rPr>
                <w:color w:val="000000"/>
                <w:kern w:val="0"/>
                <w:sz w:val="24"/>
                <w:szCs w:val="24"/>
              </w:rPr>
              <w:lastRenderedPageBreak/>
              <w:t>化时，本基金将对股票组合适时进行调整。</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中证内地资源主题指数收益率</w:t>
            </w:r>
            <w:r w:rsidRPr="00232B03">
              <w:rPr>
                <w:color w:val="000000"/>
                <w:kern w:val="0"/>
                <w:sz w:val="24"/>
                <w:szCs w:val="24"/>
              </w:rPr>
              <w:t>×80%+</w:t>
            </w:r>
            <w:r w:rsidRPr="00232B03">
              <w:rPr>
                <w:color w:val="000000"/>
                <w:kern w:val="0"/>
                <w:sz w:val="24"/>
                <w:szCs w:val="24"/>
              </w:rPr>
              <w:t>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本基金为混合基金，理论上其风险收益水平高于债券基金和货币市场基金，低于股票基金。同时，本基金为行业基金，在享受资源行业收益的同时，也必须承担影响资源行业的因素带来的风险。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-1,922,243.27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42,084,608.01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0.0698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481,668,721.32</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0.857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2C42F5" w:rsidRDefault="00F336E9">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2C42F5">
        <w:tc>
          <w:tcPr>
            <w:tcW w:w="0" w:type="auto"/>
            <w:vAlign w:val="center"/>
          </w:tcPr>
          <w:p w:rsidR="002C42F5" w:rsidRDefault="00F336E9">
            <w:pPr>
              <w:jc w:val="left"/>
            </w:pPr>
            <w:r>
              <w:rPr>
                <w:color w:val="000000"/>
                <w:kern w:val="0"/>
                <w:sz w:val="24"/>
                <w:szCs w:val="24"/>
              </w:rPr>
              <w:t>过去三个月</w:t>
            </w:r>
          </w:p>
        </w:tc>
        <w:tc>
          <w:tcPr>
            <w:tcW w:w="0" w:type="auto"/>
            <w:vAlign w:val="center"/>
          </w:tcPr>
          <w:p w:rsidR="002C42F5" w:rsidRDefault="00F336E9">
            <w:pPr>
              <w:jc w:val="center"/>
            </w:pPr>
            <w:r>
              <w:rPr>
                <w:color w:val="000000"/>
                <w:kern w:val="0"/>
                <w:sz w:val="24"/>
                <w:szCs w:val="24"/>
              </w:rPr>
              <w:t>9.03%</w:t>
            </w:r>
          </w:p>
        </w:tc>
        <w:tc>
          <w:tcPr>
            <w:tcW w:w="0" w:type="auto"/>
            <w:vAlign w:val="center"/>
          </w:tcPr>
          <w:p w:rsidR="002C42F5" w:rsidRDefault="00F336E9">
            <w:pPr>
              <w:jc w:val="center"/>
            </w:pPr>
            <w:r>
              <w:rPr>
                <w:color w:val="000000"/>
                <w:kern w:val="0"/>
                <w:sz w:val="24"/>
                <w:szCs w:val="24"/>
              </w:rPr>
              <w:t>0.93%</w:t>
            </w:r>
          </w:p>
        </w:tc>
        <w:tc>
          <w:tcPr>
            <w:tcW w:w="0" w:type="auto"/>
            <w:vAlign w:val="center"/>
          </w:tcPr>
          <w:p w:rsidR="002C42F5" w:rsidRDefault="00F336E9">
            <w:pPr>
              <w:jc w:val="center"/>
            </w:pPr>
            <w:r>
              <w:rPr>
                <w:color w:val="000000"/>
                <w:kern w:val="0"/>
                <w:sz w:val="24"/>
                <w:szCs w:val="24"/>
              </w:rPr>
              <w:t>6.57%</w:t>
            </w:r>
          </w:p>
        </w:tc>
        <w:tc>
          <w:tcPr>
            <w:tcW w:w="0" w:type="auto"/>
            <w:vAlign w:val="center"/>
          </w:tcPr>
          <w:p w:rsidR="002C42F5" w:rsidRDefault="00F336E9">
            <w:pPr>
              <w:jc w:val="center"/>
            </w:pPr>
            <w:r>
              <w:rPr>
                <w:color w:val="000000"/>
                <w:kern w:val="0"/>
                <w:sz w:val="24"/>
                <w:szCs w:val="24"/>
              </w:rPr>
              <w:t>0.73%</w:t>
            </w:r>
          </w:p>
        </w:tc>
        <w:tc>
          <w:tcPr>
            <w:tcW w:w="0" w:type="auto"/>
            <w:vAlign w:val="center"/>
          </w:tcPr>
          <w:p w:rsidR="002C42F5" w:rsidRDefault="00F336E9">
            <w:pPr>
              <w:jc w:val="center"/>
            </w:pPr>
            <w:r>
              <w:rPr>
                <w:color w:val="000000"/>
                <w:kern w:val="0"/>
                <w:sz w:val="24"/>
                <w:szCs w:val="24"/>
              </w:rPr>
              <w:t>2.46%</w:t>
            </w:r>
          </w:p>
        </w:tc>
        <w:tc>
          <w:tcPr>
            <w:tcW w:w="0" w:type="auto"/>
            <w:vAlign w:val="center"/>
          </w:tcPr>
          <w:p w:rsidR="002C42F5" w:rsidRDefault="00F336E9">
            <w:pPr>
              <w:jc w:val="center"/>
            </w:pPr>
            <w:r>
              <w:rPr>
                <w:color w:val="000000"/>
                <w:kern w:val="0"/>
                <w:sz w:val="24"/>
                <w:szCs w:val="24"/>
              </w:rPr>
              <w:t>0.20%</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易方达资源行业混合型证券投资基金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2011</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16</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F336E9"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-14.30%</w:t>
      </w:r>
      <w:r w:rsidRPr="006C56AA">
        <w:rPr>
          <w:color w:val="000000"/>
          <w:sz w:val="24"/>
          <w:szCs w:val="24"/>
        </w:rPr>
        <w:t>，同期业绩比较基准收益率为</w:t>
      </w:r>
      <w:r w:rsidRPr="006C56AA">
        <w:rPr>
          <w:color w:val="000000"/>
          <w:sz w:val="24"/>
          <w:szCs w:val="24"/>
        </w:rPr>
        <w:t>-41.72%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2C42F5">
        <w:tc>
          <w:tcPr>
            <w:tcW w:w="0" w:type="auto"/>
            <w:vAlign w:val="center"/>
          </w:tcPr>
          <w:p w:rsidR="002C42F5" w:rsidRDefault="00F336E9">
            <w:pPr>
              <w:jc w:val="center"/>
            </w:pPr>
            <w:r>
              <w:rPr>
                <w:color w:val="000000"/>
                <w:sz w:val="24"/>
              </w:rPr>
              <w:t>兰传杰</w:t>
            </w:r>
          </w:p>
        </w:tc>
        <w:tc>
          <w:tcPr>
            <w:tcW w:w="0" w:type="auto"/>
            <w:vAlign w:val="center"/>
          </w:tcPr>
          <w:p w:rsidR="002C42F5" w:rsidRDefault="00F336E9">
            <w:pPr>
              <w:jc w:val="center"/>
            </w:pPr>
            <w:r>
              <w:rPr>
                <w:color w:val="000000"/>
                <w:sz w:val="24"/>
              </w:rPr>
              <w:t>本基金的基金经理、易方达供给改革灵活配置混合型证券投资基金的基金经理、宏观策略研究员</w:t>
            </w:r>
          </w:p>
        </w:tc>
        <w:tc>
          <w:tcPr>
            <w:tcW w:w="0" w:type="auto"/>
            <w:vAlign w:val="center"/>
          </w:tcPr>
          <w:p w:rsidR="002C42F5" w:rsidRDefault="00F336E9">
            <w:pPr>
              <w:jc w:val="center"/>
            </w:pPr>
            <w:r>
              <w:rPr>
                <w:color w:val="000000"/>
                <w:sz w:val="24"/>
              </w:rPr>
              <w:t>2018-12-26</w:t>
            </w:r>
          </w:p>
        </w:tc>
        <w:tc>
          <w:tcPr>
            <w:tcW w:w="0" w:type="auto"/>
            <w:vAlign w:val="center"/>
          </w:tcPr>
          <w:p w:rsidR="002C42F5" w:rsidRDefault="00F336E9">
            <w:pPr>
              <w:jc w:val="center"/>
            </w:pPr>
            <w:r>
              <w:rPr>
                <w:color w:val="000000"/>
                <w:sz w:val="24"/>
              </w:rPr>
              <w:t>-</w:t>
            </w:r>
          </w:p>
        </w:tc>
        <w:tc>
          <w:tcPr>
            <w:tcW w:w="0" w:type="auto"/>
            <w:vAlign w:val="center"/>
          </w:tcPr>
          <w:p w:rsidR="002C42F5" w:rsidRDefault="00F336E9">
            <w:pPr>
              <w:jc w:val="center"/>
            </w:pPr>
            <w:r>
              <w:rPr>
                <w:color w:val="000000"/>
                <w:sz w:val="24"/>
              </w:rPr>
              <w:t>6</w:t>
            </w:r>
            <w:r>
              <w:rPr>
                <w:color w:val="000000"/>
                <w:sz w:val="24"/>
              </w:rPr>
              <w:t>年</w:t>
            </w:r>
          </w:p>
        </w:tc>
        <w:tc>
          <w:tcPr>
            <w:tcW w:w="0" w:type="auto"/>
            <w:vAlign w:val="center"/>
          </w:tcPr>
          <w:p w:rsidR="002C42F5" w:rsidRDefault="00F336E9">
            <w:r>
              <w:rPr>
                <w:color w:val="000000"/>
                <w:sz w:val="24"/>
              </w:rPr>
              <w:t>硕士研究生，具有基金从业资格。曾任北京市星石投资管理有限公司周期投资部研究员。</w:t>
            </w:r>
          </w:p>
        </w:tc>
      </w:tr>
    </w:tbl>
    <w:p w:rsidR="002C42F5" w:rsidRDefault="00F336E9">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2C42F5" w:rsidRDefault="00F336E9">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2C42F5" w:rsidRDefault="00F336E9">
      <w:pPr>
        <w:spacing w:line="360" w:lineRule="auto"/>
        <w:ind w:firstLineChars="200" w:firstLine="480"/>
        <w:rPr>
          <w:color w:val="000000"/>
          <w:sz w:val="24"/>
          <w:szCs w:val="24"/>
        </w:rPr>
      </w:pPr>
      <w:r>
        <w:rPr>
          <w:color w:val="000000"/>
          <w:sz w:val="24"/>
          <w:szCs w:val="24"/>
        </w:rPr>
        <w:t>2019</w:t>
      </w:r>
      <w:r>
        <w:rPr>
          <w:color w:val="000000"/>
          <w:sz w:val="24"/>
          <w:szCs w:val="24"/>
        </w:rPr>
        <w:t>年四季度，市场震荡上涨，上证指数上涨</w:t>
      </w:r>
      <w:r>
        <w:rPr>
          <w:color w:val="000000"/>
          <w:sz w:val="24"/>
          <w:szCs w:val="24"/>
        </w:rPr>
        <w:t>4.99%</w:t>
      </w:r>
      <w:r>
        <w:rPr>
          <w:color w:val="000000"/>
          <w:sz w:val="24"/>
          <w:szCs w:val="24"/>
        </w:rPr>
        <w:t>，深证成指上涨</w:t>
      </w:r>
      <w:r>
        <w:rPr>
          <w:color w:val="000000"/>
          <w:sz w:val="24"/>
          <w:szCs w:val="24"/>
        </w:rPr>
        <w:t xml:space="preserve"> 10.42%</w:t>
      </w:r>
      <w:r>
        <w:rPr>
          <w:color w:val="000000"/>
          <w:sz w:val="24"/>
          <w:szCs w:val="24"/>
        </w:rPr>
        <w:t>，中小板指上涨</w:t>
      </w:r>
      <w:r>
        <w:rPr>
          <w:color w:val="000000"/>
          <w:sz w:val="24"/>
          <w:szCs w:val="24"/>
        </w:rPr>
        <w:t xml:space="preserve"> 10.59%</w:t>
      </w:r>
      <w:r>
        <w:rPr>
          <w:color w:val="000000"/>
          <w:sz w:val="24"/>
          <w:szCs w:val="24"/>
        </w:rPr>
        <w:t>，创业板指数上涨</w:t>
      </w:r>
      <w:r>
        <w:rPr>
          <w:color w:val="000000"/>
          <w:sz w:val="24"/>
          <w:szCs w:val="24"/>
        </w:rPr>
        <w:t xml:space="preserve"> 10.48%</w:t>
      </w:r>
      <w:r>
        <w:rPr>
          <w:color w:val="000000"/>
          <w:sz w:val="24"/>
          <w:szCs w:val="24"/>
        </w:rPr>
        <w:t>。受益于前期国内外货币和财政的宽松政策，以及中美贸易摩擦的阶段性缓和，四季度国内经济出现企稳回升迹象，宏观和中观指标都出现不同程度的好转。受此影响，股票市场也有所回暖，周期股在估值处于较低水平以及经济企稳的背景下而有较好的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四季度本基金略降低了黄金股的仓位，增加了工业金属以及小金属行业的仓位。同时，本基金进一步聚焦，自下而上增配了估值合理、质地优良的资源股。</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0.857</w:t>
      </w:r>
      <w:r w:rsidRPr="006C56AA">
        <w:rPr>
          <w:color w:val="000000"/>
          <w:sz w:val="24"/>
          <w:szCs w:val="24"/>
        </w:rPr>
        <w:t>元，本报告期份额净值增长率为</w:t>
      </w:r>
      <w:r w:rsidRPr="006C56AA">
        <w:rPr>
          <w:color w:val="000000"/>
          <w:sz w:val="24"/>
          <w:szCs w:val="24"/>
        </w:rPr>
        <w:t>9.03%</w:t>
      </w:r>
      <w:r w:rsidRPr="006C56AA">
        <w:rPr>
          <w:color w:val="000000"/>
          <w:sz w:val="24"/>
          <w:szCs w:val="24"/>
        </w:rPr>
        <w:t>，同期业绩比较基准收益率为</w:t>
      </w:r>
      <w:r w:rsidRPr="006C56AA">
        <w:rPr>
          <w:color w:val="000000"/>
          <w:sz w:val="24"/>
          <w:szCs w:val="24"/>
        </w:rPr>
        <w:t>6.57%</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408,419,155.76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83.04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408,419,155.76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83.04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72,080,735.37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14.65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11,357,396.62</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491,857,287.75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244,256,956.83</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50.71</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132,968,084.59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27.61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17,901,955.00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3.72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5,675,197.10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123,060.00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7,487,324.20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408,419,155.76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84.79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2C42F5">
        <w:tc>
          <w:tcPr>
            <w:tcW w:w="0" w:type="auto"/>
            <w:vAlign w:val="center"/>
          </w:tcPr>
          <w:p w:rsidR="002C42F5" w:rsidRDefault="00F336E9">
            <w:pPr>
              <w:jc w:val="center"/>
            </w:pPr>
            <w:r>
              <w:rPr>
                <w:color w:val="000000"/>
                <w:kern w:val="0"/>
                <w:sz w:val="24"/>
                <w:szCs w:val="24"/>
              </w:rPr>
              <w:t>1</w:t>
            </w:r>
          </w:p>
        </w:tc>
        <w:tc>
          <w:tcPr>
            <w:tcW w:w="0" w:type="auto"/>
            <w:vAlign w:val="center"/>
          </w:tcPr>
          <w:p w:rsidR="002C42F5" w:rsidRDefault="00F336E9">
            <w:pPr>
              <w:jc w:val="center"/>
            </w:pPr>
            <w:r>
              <w:rPr>
                <w:color w:val="000000"/>
                <w:kern w:val="0"/>
                <w:sz w:val="24"/>
                <w:szCs w:val="24"/>
              </w:rPr>
              <w:t>601088</w:t>
            </w:r>
          </w:p>
        </w:tc>
        <w:tc>
          <w:tcPr>
            <w:tcW w:w="0" w:type="auto"/>
            <w:vAlign w:val="center"/>
          </w:tcPr>
          <w:p w:rsidR="002C42F5" w:rsidRDefault="00F336E9">
            <w:pPr>
              <w:jc w:val="center"/>
            </w:pPr>
            <w:r>
              <w:rPr>
                <w:color w:val="000000"/>
                <w:kern w:val="0"/>
                <w:sz w:val="24"/>
                <w:szCs w:val="24"/>
              </w:rPr>
              <w:t>中国神华</w:t>
            </w:r>
          </w:p>
        </w:tc>
        <w:tc>
          <w:tcPr>
            <w:tcW w:w="0" w:type="auto"/>
            <w:vAlign w:val="center"/>
          </w:tcPr>
          <w:p w:rsidR="002C42F5" w:rsidRDefault="00F336E9">
            <w:pPr>
              <w:jc w:val="right"/>
            </w:pPr>
            <w:r>
              <w:rPr>
                <w:color w:val="000000"/>
                <w:kern w:val="0"/>
                <w:sz w:val="24"/>
                <w:szCs w:val="24"/>
              </w:rPr>
              <w:t>2,417,100</w:t>
            </w:r>
          </w:p>
        </w:tc>
        <w:tc>
          <w:tcPr>
            <w:tcW w:w="0" w:type="auto"/>
            <w:vAlign w:val="center"/>
          </w:tcPr>
          <w:p w:rsidR="002C42F5" w:rsidRDefault="00F336E9">
            <w:pPr>
              <w:jc w:val="right"/>
            </w:pPr>
            <w:r>
              <w:rPr>
                <w:color w:val="000000"/>
                <w:kern w:val="0"/>
                <w:sz w:val="24"/>
                <w:szCs w:val="24"/>
              </w:rPr>
              <w:t>44,112,075.00</w:t>
            </w:r>
          </w:p>
        </w:tc>
        <w:tc>
          <w:tcPr>
            <w:tcW w:w="0" w:type="auto"/>
            <w:vAlign w:val="center"/>
          </w:tcPr>
          <w:p w:rsidR="002C42F5" w:rsidRDefault="00F336E9">
            <w:pPr>
              <w:jc w:val="right"/>
            </w:pPr>
            <w:r>
              <w:rPr>
                <w:color w:val="000000"/>
                <w:kern w:val="0"/>
                <w:sz w:val="24"/>
                <w:szCs w:val="24"/>
              </w:rPr>
              <w:t>9.16</w:t>
            </w:r>
          </w:p>
        </w:tc>
      </w:tr>
      <w:tr w:rsidR="002C42F5">
        <w:tc>
          <w:tcPr>
            <w:tcW w:w="0" w:type="auto"/>
            <w:vAlign w:val="center"/>
          </w:tcPr>
          <w:p w:rsidR="002C42F5" w:rsidRDefault="00F336E9">
            <w:pPr>
              <w:jc w:val="center"/>
            </w:pPr>
            <w:r>
              <w:rPr>
                <w:color w:val="000000"/>
                <w:kern w:val="0"/>
                <w:sz w:val="24"/>
                <w:szCs w:val="24"/>
              </w:rPr>
              <w:t>2</w:t>
            </w:r>
          </w:p>
        </w:tc>
        <w:tc>
          <w:tcPr>
            <w:tcW w:w="0" w:type="auto"/>
            <w:vAlign w:val="center"/>
          </w:tcPr>
          <w:p w:rsidR="002C42F5" w:rsidRDefault="00F336E9">
            <w:pPr>
              <w:jc w:val="center"/>
            </w:pPr>
            <w:r>
              <w:rPr>
                <w:color w:val="000000"/>
                <w:kern w:val="0"/>
                <w:sz w:val="24"/>
                <w:szCs w:val="24"/>
              </w:rPr>
              <w:t>600028</w:t>
            </w:r>
          </w:p>
        </w:tc>
        <w:tc>
          <w:tcPr>
            <w:tcW w:w="0" w:type="auto"/>
            <w:vAlign w:val="center"/>
          </w:tcPr>
          <w:p w:rsidR="002C42F5" w:rsidRDefault="00F336E9">
            <w:pPr>
              <w:jc w:val="center"/>
            </w:pPr>
            <w:r>
              <w:rPr>
                <w:color w:val="000000"/>
                <w:kern w:val="0"/>
                <w:sz w:val="24"/>
                <w:szCs w:val="24"/>
              </w:rPr>
              <w:t>中国石化</w:t>
            </w:r>
          </w:p>
        </w:tc>
        <w:tc>
          <w:tcPr>
            <w:tcW w:w="0" w:type="auto"/>
            <w:vAlign w:val="center"/>
          </w:tcPr>
          <w:p w:rsidR="002C42F5" w:rsidRDefault="00F336E9">
            <w:pPr>
              <w:jc w:val="right"/>
            </w:pPr>
            <w:r>
              <w:rPr>
                <w:color w:val="000000"/>
                <w:kern w:val="0"/>
                <w:sz w:val="24"/>
                <w:szCs w:val="24"/>
              </w:rPr>
              <w:t>8,012,950</w:t>
            </w:r>
          </w:p>
        </w:tc>
        <w:tc>
          <w:tcPr>
            <w:tcW w:w="0" w:type="auto"/>
            <w:vAlign w:val="center"/>
          </w:tcPr>
          <w:p w:rsidR="002C42F5" w:rsidRDefault="00F336E9">
            <w:pPr>
              <w:jc w:val="right"/>
            </w:pPr>
            <w:r>
              <w:rPr>
                <w:color w:val="000000"/>
                <w:kern w:val="0"/>
                <w:sz w:val="24"/>
                <w:szCs w:val="24"/>
              </w:rPr>
              <w:t>40,946,174.50</w:t>
            </w:r>
          </w:p>
        </w:tc>
        <w:tc>
          <w:tcPr>
            <w:tcW w:w="0" w:type="auto"/>
            <w:vAlign w:val="center"/>
          </w:tcPr>
          <w:p w:rsidR="002C42F5" w:rsidRDefault="00F336E9">
            <w:pPr>
              <w:jc w:val="right"/>
            </w:pPr>
            <w:r>
              <w:rPr>
                <w:color w:val="000000"/>
                <w:kern w:val="0"/>
                <w:sz w:val="24"/>
                <w:szCs w:val="24"/>
              </w:rPr>
              <w:t>8.50</w:t>
            </w:r>
          </w:p>
        </w:tc>
      </w:tr>
      <w:tr w:rsidR="002C42F5">
        <w:tc>
          <w:tcPr>
            <w:tcW w:w="0" w:type="auto"/>
            <w:vAlign w:val="center"/>
          </w:tcPr>
          <w:p w:rsidR="002C42F5" w:rsidRDefault="00F336E9">
            <w:pPr>
              <w:jc w:val="center"/>
            </w:pPr>
            <w:r>
              <w:rPr>
                <w:color w:val="000000"/>
                <w:kern w:val="0"/>
                <w:sz w:val="24"/>
                <w:szCs w:val="24"/>
              </w:rPr>
              <w:t>3</w:t>
            </w:r>
          </w:p>
        </w:tc>
        <w:tc>
          <w:tcPr>
            <w:tcW w:w="0" w:type="auto"/>
            <w:vAlign w:val="center"/>
          </w:tcPr>
          <w:p w:rsidR="002C42F5" w:rsidRDefault="00F336E9">
            <w:pPr>
              <w:jc w:val="center"/>
            </w:pPr>
            <w:r>
              <w:rPr>
                <w:color w:val="000000"/>
                <w:kern w:val="0"/>
                <w:sz w:val="24"/>
                <w:szCs w:val="24"/>
              </w:rPr>
              <w:t>601899</w:t>
            </w:r>
          </w:p>
        </w:tc>
        <w:tc>
          <w:tcPr>
            <w:tcW w:w="0" w:type="auto"/>
            <w:vAlign w:val="center"/>
          </w:tcPr>
          <w:p w:rsidR="002C42F5" w:rsidRDefault="00F336E9">
            <w:pPr>
              <w:jc w:val="center"/>
            </w:pPr>
            <w:r>
              <w:rPr>
                <w:color w:val="000000"/>
                <w:kern w:val="0"/>
                <w:sz w:val="24"/>
                <w:szCs w:val="24"/>
              </w:rPr>
              <w:t>紫金矿业</w:t>
            </w:r>
          </w:p>
        </w:tc>
        <w:tc>
          <w:tcPr>
            <w:tcW w:w="0" w:type="auto"/>
            <w:vAlign w:val="center"/>
          </w:tcPr>
          <w:p w:rsidR="002C42F5" w:rsidRDefault="00F336E9">
            <w:pPr>
              <w:jc w:val="right"/>
            </w:pPr>
            <w:r>
              <w:rPr>
                <w:color w:val="000000"/>
                <w:kern w:val="0"/>
                <w:sz w:val="24"/>
                <w:szCs w:val="24"/>
              </w:rPr>
              <w:t>7,945,700</w:t>
            </w:r>
          </w:p>
        </w:tc>
        <w:tc>
          <w:tcPr>
            <w:tcW w:w="0" w:type="auto"/>
            <w:vAlign w:val="center"/>
          </w:tcPr>
          <w:p w:rsidR="002C42F5" w:rsidRDefault="00F336E9">
            <w:pPr>
              <w:jc w:val="right"/>
            </w:pPr>
            <w:r>
              <w:rPr>
                <w:color w:val="000000"/>
                <w:kern w:val="0"/>
                <w:sz w:val="24"/>
                <w:szCs w:val="24"/>
              </w:rPr>
              <w:t>36,470,763.00</w:t>
            </w:r>
          </w:p>
        </w:tc>
        <w:tc>
          <w:tcPr>
            <w:tcW w:w="0" w:type="auto"/>
            <w:vAlign w:val="center"/>
          </w:tcPr>
          <w:p w:rsidR="002C42F5" w:rsidRDefault="00F336E9">
            <w:pPr>
              <w:jc w:val="right"/>
            </w:pPr>
            <w:r>
              <w:rPr>
                <w:color w:val="000000"/>
                <w:kern w:val="0"/>
                <w:sz w:val="24"/>
                <w:szCs w:val="24"/>
              </w:rPr>
              <w:t>7.57</w:t>
            </w:r>
          </w:p>
        </w:tc>
      </w:tr>
      <w:tr w:rsidR="002C42F5">
        <w:tc>
          <w:tcPr>
            <w:tcW w:w="0" w:type="auto"/>
            <w:vAlign w:val="center"/>
          </w:tcPr>
          <w:p w:rsidR="002C42F5" w:rsidRDefault="00F336E9">
            <w:pPr>
              <w:jc w:val="center"/>
            </w:pPr>
            <w:r>
              <w:rPr>
                <w:color w:val="000000"/>
                <w:kern w:val="0"/>
                <w:sz w:val="24"/>
                <w:szCs w:val="24"/>
              </w:rPr>
              <w:t>4</w:t>
            </w:r>
          </w:p>
        </w:tc>
        <w:tc>
          <w:tcPr>
            <w:tcW w:w="0" w:type="auto"/>
            <w:vAlign w:val="center"/>
          </w:tcPr>
          <w:p w:rsidR="002C42F5" w:rsidRDefault="00F336E9">
            <w:pPr>
              <w:jc w:val="center"/>
            </w:pPr>
            <w:r>
              <w:rPr>
                <w:color w:val="000000"/>
                <w:kern w:val="0"/>
                <w:sz w:val="24"/>
                <w:szCs w:val="24"/>
              </w:rPr>
              <w:t>600547</w:t>
            </w:r>
          </w:p>
        </w:tc>
        <w:tc>
          <w:tcPr>
            <w:tcW w:w="0" w:type="auto"/>
            <w:vAlign w:val="center"/>
          </w:tcPr>
          <w:p w:rsidR="002C42F5" w:rsidRDefault="00F336E9">
            <w:pPr>
              <w:jc w:val="center"/>
            </w:pPr>
            <w:r>
              <w:rPr>
                <w:color w:val="000000"/>
                <w:kern w:val="0"/>
                <w:sz w:val="24"/>
                <w:szCs w:val="24"/>
              </w:rPr>
              <w:t>山东黄金</w:t>
            </w:r>
          </w:p>
        </w:tc>
        <w:tc>
          <w:tcPr>
            <w:tcW w:w="0" w:type="auto"/>
            <w:vAlign w:val="center"/>
          </w:tcPr>
          <w:p w:rsidR="002C42F5" w:rsidRDefault="00F336E9">
            <w:pPr>
              <w:jc w:val="right"/>
            </w:pPr>
            <w:r>
              <w:rPr>
                <w:color w:val="000000"/>
                <w:kern w:val="0"/>
                <w:sz w:val="24"/>
                <w:szCs w:val="24"/>
              </w:rPr>
              <w:t>1,114,900</w:t>
            </w:r>
          </w:p>
        </w:tc>
        <w:tc>
          <w:tcPr>
            <w:tcW w:w="0" w:type="auto"/>
            <w:vAlign w:val="center"/>
          </w:tcPr>
          <w:p w:rsidR="002C42F5" w:rsidRDefault="00F336E9">
            <w:pPr>
              <w:jc w:val="right"/>
            </w:pPr>
            <w:r>
              <w:rPr>
                <w:color w:val="000000"/>
                <w:kern w:val="0"/>
                <w:sz w:val="24"/>
                <w:szCs w:val="24"/>
              </w:rPr>
              <w:t>36,368,038.00</w:t>
            </w:r>
          </w:p>
        </w:tc>
        <w:tc>
          <w:tcPr>
            <w:tcW w:w="0" w:type="auto"/>
            <w:vAlign w:val="center"/>
          </w:tcPr>
          <w:p w:rsidR="002C42F5" w:rsidRDefault="00F336E9">
            <w:pPr>
              <w:jc w:val="right"/>
            </w:pPr>
            <w:r>
              <w:rPr>
                <w:color w:val="000000"/>
                <w:kern w:val="0"/>
                <w:sz w:val="24"/>
                <w:szCs w:val="24"/>
              </w:rPr>
              <w:t>7.55</w:t>
            </w:r>
          </w:p>
        </w:tc>
      </w:tr>
      <w:tr w:rsidR="002C42F5">
        <w:tc>
          <w:tcPr>
            <w:tcW w:w="0" w:type="auto"/>
            <w:vAlign w:val="center"/>
          </w:tcPr>
          <w:p w:rsidR="002C42F5" w:rsidRDefault="00F336E9">
            <w:pPr>
              <w:jc w:val="center"/>
            </w:pPr>
            <w:r>
              <w:rPr>
                <w:color w:val="000000"/>
                <w:kern w:val="0"/>
                <w:sz w:val="24"/>
                <w:szCs w:val="24"/>
              </w:rPr>
              <w:t>5</w:t>
            </w:r>
          </w:p>
        </w:tc>
        <w:tc>
          <w:tcPr>
            <w:tcW w:w="0" w:type="auto"/>
            <w:vAlign w:val="center"/>
          </w:tcPr>
          <w:p w:rsidR="002C42F5" w:rsidRDefault="00F336E9">
            <w:pPr>
              <w:jc w:val="center"/>
            </w:pPr>
            <w:r>
              <w:rPr>
                <w:color w:val="000000"/>
                <w:kern w:val="0"/>
                <w:sz w:val="24"/>
                <w:szCs w:val="24"/>
              </w:rPr>
              <w:t>002008</w:t>
            </w:r>
          </w:p>
        </w:tc>
        <w:tc>
          <w:tcPr>
            <w:tcW w:w="0" w:type="auto"/>
            <w:vAlign w:val="center"/>
          </w:tcPr>
          <w:p w:rsidR="002C42F5" w:rsidRDefault="00F336E9">
            <w:pPr>
              <w:jc w:val="center"/>
            </w:pPr>
            <w:r>
              <w:rPr>
                <w:color w:val="000000"/>
                <w:kern w:val="0"/>
                <w:sz w:val="24"/>
                <w:szCs w:val="24"/>
              </w:rPr>
              <w:t>大族激光</w:t>
            </w:r>
          </w:p>
        </w:tc>
        <w:tc>
          <w:tcPr>
            <w:tcW w:w="0" w:type="auto"/>
            <w:vAlign w:val="center"/>
          </w:tcPr>
          <w:p w:rsidR="002C42F5" w:rsidRDefault="00F336E9">
            <w:pPr>
              <w:jc w:val="right"/>
            </w:pPr>
            <w:r>
              <w:rPr>
                <w:color w:val="000000"/>
                <w:kern w:val="0"/>
                <w:sz w:val="24"/>
                <w:szCs w:val="24"/>
              </w:rPr>
              <w:t>737,500</w:t>
            </w:r>
          </w:p>
        </w:tc>
        <w:tc>
          <w:tcPr>
            <w:tcW w:w="0" w:type="auto"/>
            <w:vAlign w:val="center"/>
          </w:tcPr>
          <w:p w:rsidR="002C42F5" w:rsidRDefault="00F336E9">
            <w:pPr>
              <w:jc w:val="right"/>
            </w:pPr>
            <w:r>
              <w:rPr>
                <w:color w:val="000000"/>
                <w:kern w:val="0"/>
                <w:sz w:val="24"/>
                <w:szCs w:val="24"/>
              </w:rPr>
              <w:t>29,500,000.00</w:t>
            </w:r>
          </w:p>
        </w:tc>
        <w:tc>
          <w:tcPr>
            <w:tcW w:w="0" w:type="auto"/>
            <w:vAlign w:val="center"/>
          </w:tcPr>
          <w:p w:rsidR="002C42F5" w:rsidRDefault="00F336E9">
            <w:pPr>
              <w:jc w:val="right"/>
            </w:pPr>
            <w:r>
              <w:rPr>
                <w:color w:val="000000"/>
                <w:kern w:val="0"/>
                <w:sz w:val="24"/>
                <w:szCs w:val="24"/>
              </w:rPr>
              <w:t>6.12</w:t>
            </w:r>
          </w:p>
        </w:tc>
      </w:tr>
      <w:tr w:rsidR="002C42F5">
        <w:tc>
          <w:tcPr>
            <w:tcW w:w="0" w:type="auto"/>
            <w:vAlign w:val="center"/>
          </w:tcPr>
          <w:p w:rsidR="002C42F5" w:rsidRDefault="00F336E9">
            <w:pPr>
              <w:jc w:val="center"/>
            </w:pPr>
            <w:r>
              <w:rPr>
                <w:color w:val="000000"/>
                <w:kern w:val="0"/>
                <w:sz w:val="24"/>
                <w:szCs w:val="24"/>
              </w:rPr>
              <w:t>6</w:t>
            </w:r>
          </w:p>
        </w:tc>
        <w:tc>
          <w:tcPr>
            <w:tcW w:w="0" w:type="auto"/>
            <w:vAlign w:val="center"/>
          </w:tcPr>
          <w:p w:rsidR="002C42F5" w:rsidRDefault="00F336E9">
            <w:pPr>
              <w:jc w:val="center"/>
            </w:pPr>
            <w:r>
              <w:rPr>
                <w:color w:val="000000"/>
                <w:kern w:val="0"/>
                <w:sz w:val="24"/>
                <w:szCs w:val="24"/>
              </w:rPr>
              <w:t>603688</w:t>
            </w:r>
          </w:p>
        </w:tc>
        <w:tc>
          <w:tcPr>
            <w:tcW w:w="0" w:type="auto"/>
            <w:vAlign w:val="center"/>
          </w:tcPr>
          <w:p w:rsidR="002C42F5" w:rsidRDefault="00F336E9">
            <w:pPr>
              <w:jc w:val="center"/>
            </w:pPr>
            <w:r>
              <w:rPr>
                <w:color w:val="000000"/>
                <w:kern w:val="0"/>
                <w:sz w:val="24"/>
                <w:szCs w:val="24"/>
              </w:rPr>
              <w:t>石英股份</w:t>
            </w:r>
          </w:p>
        </w:tc>
        <w:tc>
          <w:tcPr>
            <w:tcW w:w="0" w:type="auto"/>
            <w:vAlign w:val="center"/>
          </w:tcPr>
          <w:p w:rsidR="002C42F5" w:rsidRDefault="00F336E9">
            <w:pPr>
              <w:jc w:val="right"/>
            </w:pPr>
            <w:r>
              <w:rPr>
                <w:color w:val="000000"/>
                <w:kern w:val="0"/>
                <w:sz w:val="24"/>
                <w:szCs w:val="24"/>
              </w:rPr>
              <w:t>1,247,300</w:t>
            </w:r>
          </w:p>
        </w:tc>
        <w:tc>
          <w:tcPr>
            <w:tcW w:w="0" w:type="auto"/>
            <w:vAlign w:val="center"/>
          </w:tcPr>
          <w:p w:rsidR="002C42F5" w:rsidRDefault="00F336E9">
            <w:pPr>
              <w:jc w:val="right"/>
            </w:pPr>
            <w:r>
              <w:rPr>
                <w:color w:val="000000"/>
                <w:kern w:val="0"/>
                <w:sz w:val="24"/>
                <w:szCs w:val="24"/>
              </w:rPr>
              <w:t>23,449,240.00</w:t>
            </w:r>
          </w:p>
        </w:tc>
        <w:tc>
          <w:tcPr>
            <w:tcW w:w="0" w:type="auto"/>
            <w:vAlign w:val="center"/>
          </w:tcPr>
          <w:p w:rsidR="002C42F5" w:rsidRDefault="00F336E9">
            <w:pPr>
              <w:jc w:val="right"/>
            </w:pPr>
            <w:r>
              <w:rPr>
                <w:color w:val="000000"/>
                <w:kern w:val="0"/>
                <w:sz w:val="24"/>
                <w:szCs w:val="24"/>
              </w:rPr>
              <w:t>4.87</w:t>
            </w:r>
          </w:p>
        </w:tc>
      </w:tr>
      <w:tr w:rsidR="002C42F5">
        <w:tc>
          <w:tcPr>
            <w:tcW w:w="0" w:type="auto"/>
            <w:vAlign w:val="center"/>
          </w:tcPr>
          <w:p w:rsidR="002C42F5" w:rsidRDefault="00F336E9">
            <w:pPr>
              <w:jc w:val="center"/>
            </w:pPr>
            <w:r>
              <w:rPr>
                <w:color w:val="000000"/>
                <w:kern w:val="0"/>
                <w:sz w:val="24"/>
                <w:szCs w:val="24"/>
              </w:rPr>
              <w:t>7</w:t>
            </w:r>
          </w:p>
        </w:tc>
        <w:tc>
          <w:tcPr>
            <w:tcW w:w="0" w:type="auto"/>
            <w:vAlign w:val="center"/>
          </w:tcPr>
          <w:p w:rsidR="002C42F5" w:rsidRDefault="00F336E9">
            <w:pPr>
              <w:jc w:val="center"/>
            </w:pPr>
            <w:r>
              <w:rPr>
                <w:color w:val="000000"/>
                <w:kern w:val="0"/>
                <w:sz w:val="24"/>
                <w:szCs w:val="24"/>
              </w:rPr>
              <w:t>000975</w:t>
            </w:r>
          </w:p>
        </w:tc>
        <w:tc>
          <w:tcPr>
            <w:tcW w:w="0" w:type="auto"/>
            <w:vAlign w:val="center"/>
          </w:tcPr>
          <w:p w:rsidR="002C42F5" w:rsidRDefault="00F336E9">
            <w:pPr>
              <w:jc w:val="center"/>
            </w:pPr>
            <w:r>
              <w:rPr>
                <w:color w:val="000000"/>
                <w:kern w:val="0"/>
                <w:sz w:val="24"/>
                <w:szCs w:val="24"/>
              </w:rPr>
              <w:t>银泰黄金</w:t>
            </w:r>
          </w:p>
        </w:tc>
        <w:tc>
          <w:tcPr>
            <w:tcW w:w="0" w:type="auto"/>
            <w:vAlign w:val="center"/>
          </w:tcPr>
          <w:p w:rsidR="002C42F5" w:rsidRDefault="00F336E9">
            <w:pPr>
              <w:jc w:val="right"/>
            </w:pPr>
            <w:r>
              <w:rPr>
                <w:color w:val="000000"/>
                <w:kern w:val="0"/>
                <w:sz w:val="24"/>
                <w:szCs w:val="24"/>
              </w:rPr>
              <w:t>1,671,700</w:t>
            </w:r>
          </w:p>
        </w:tc>
        <w:tc>
          <w:tcPr>
            <w:tcW w:w="0" w:type="auto"/>
            <w:vAlign w:val="center"/>
          </w:tcPr>
          <w:p w:rsidR="002C42F5" w:rsidRDefault="00F336E9">
            <w:pPr>
              <w:jc w:val="right"/>
            </w:pPr>
            <w:r>
              <w:rPr>
                <w:color w:val="000000"/>
                <w:kern w:val="0"/>
                <w:sz w:val="24"/>
                <w:szCs w:val="24"/>
              </w:rPr>
              <w:t>22,751,837.00</w:t>
            </w:r>
          </w:p>
        </w:tc>
        <w:tc>
          <w:tcPr>
            <w:tcW w:w="0" w:type="auto"/>
            <w:vAlign w:val="center"/>
          </w:tcPr>
          <w:p w:rsidR="002C42F5" w:rsidRDefault="00F336E9">
            <w:pPr>
              <w:jc w:val="right"/>
            </w:pPr>
            <w:r>
              <w:rPr>
                <w:color w:val="000000"/>
                <w:kern w:val="0"/>
                <w:sz w:val="24"/>
                <w:szCs w:val="24"/>
              </w:rPr>
              <w:t>4.72</w:t>
            </w:r>
          </w:p>
        </w:tc>
      </w:tr>
      <w:tr w:rsidR="002C42F5">
        <w:tc>
          <w:tcPr>
            <w:tcW w:w="0" w:type="auto"/>
            <w:vAlign w:val="center"/>
          </w:tcPr>
          <w:p w:rsidR="002C42F5" w:rsidRDefault="00F336E9">
            <w:pPr>
              <w:jc w:val="center"/>
            </w:pPr>
            <w:r>
              <w:rPr>
                <w:color w:val="000000"/>
                <w:kern w:val="0"/>
                <w:sz w:val="24"/>
                <w:szCs w:val="24"/>
              </w:rPr>
              <w:t>8</w:t>
            </w:r>
          </w:p>
        </w:tc>
        <w:tc>
          <w:tcPr>
            <w:tcW w:w="0" w:type="auto"/>
            <w:vAlign w:val="center"/>
          </w:tcPr>
          <w:p w:rsidR="002C42F5" w:rsidRDefault="00F336E9">
            <w:pPr>
              <w:jc w:val="center"/>
            </w:pPr>
            <w:r>
              <w:rPr>
                <w:color w:val="000000"/>
                <w:kern w:val="0"/>
                <w:sz w:val="24"/>
                <w:szCs w:val="24"/>
              </w:rPr>
              <w:t>601137</w:t>
            </w:r>
          </w:p>
        </w:tc>
        <w:tc>
          <w:tcPr>
            <w:tcW w:w="0" w:type="auto"/>
            <w:vAlign w:val="center"/>
          </w:tcPr>
          <w:p w:rsidR="002C42F5" w:rsidRDefault="00F336E9">
            <w:pPr>
              <w:jc w:val="center"/>
            </w:pPr>
            <w:r>
              <w:rPr>
                <w:color w:val="000000"/>
                <w:kern w:val="0"/>
                <w:sz w:val="24"/>
                <w:szCs w:val="24"/>
              </w:rPr>
              <w:t>博威合金</w:t>
            </w:r>
          </w:p>
        </w:tc>
        <w:tc>
          <w:tcPr>
            <w:tcW w:w="0" w:type="auto"/>
            <w:vAlign w:val="center"/>
          </w:tcPr>
          <w:p w:rsidR="002C42F5" w:rsidRDefault="00F336E9">
            <w:pPr>
              <w:jc w:val="right"/>
            </w:pPr>
            <w:r>
              <w:rPr>
                <w:color w:val="000000"/>
                <w:kern w:val="0"/>
                <w:sz w:val="24"/>
                <w:szCs w:val="24"/>
              </w:rPr>
              <w:t>1,993,300</w:t>
            </w:r>
          </w:p>
        </w:tc>
        <w:tc>
          <w:tcPr>
            <w:tcW w:w="0" w:type="auto"/>
            <w:vAlign w:val="center"/>
          </w:tcPr>
          <w:p w:rsidR="002C42F5" w:rsidRDefault="00F336E9">
            <w:pPr>
              <w:jc w:val="right"/>
            </w:pPr>
            <w:r>
              <w:rPr>
                <w:color w:val="000000"/>
                <w:kern w:val="0"/>
                <w:sz w:val="24"/>
                <w:szCs w:val="24"/>
              </w:rPr>
              <w:t>22,444,558.00</w:t>
            </w:r>
          </w:p>
        </w:tc>
        <w:tc>
          <w:tcPr>
            <w:tcW w:w="0" w:type="auto"/>
            <w:vAlign w:val="center"/>
          </w:tcPr>
          <w:p w:rsidR="002C42F5" w:rsidRDefault="00F336E9">
            <w:pPr>
              <w:jc w:val="right"/>
            </w:pPr>
            <w:r>
              <w:rPr>
                <w:color w:val="000000"/>
                <w:kern w:val="0"/>
                <w:sz w:val="24"/>
                <w:szCs w:val="24"/>
              </w:rPr>
              <w:t>4.66</w:t>
            </w:r>
          </w:p>
        </w:tc>
      </w:tr>
      <w:tr w:rsidR="002C42F5">
        <w:tc>
          <w:tcPr>
            <w:tcW w:w="0" w:type="auto"/>
            <w:vAlign w:val="center"/>
          </w:tcPr>
          <w:p w:rsidR="002C42F5" w:rsidRDefault="00F336E9">
            <w:pPr>
              <w:jc w:val="center"/>
            </w:pPr>
            <w:r>
              <w:rPr>
                <w:color w:val="000000"/>
                <w:kern w:val="0"/>
                <w:sz w:val="24"/>
                <w:szCs w:val="24"/>
              </w:rPr>
              <w:t>9</w:t>
            </w:r>
          </w:p>
        </w:tc>
        <w:tc>
          <w:tcPr>
            <w:tcW w:w="0" w:type="auto"/>
            <w:vAlign w:val="center"/>
          </w:tcPr>
          <w:p w:rsidR="002C42F5" w:rsidRDefault="00F336E9">
            <w:pPr>
              <w:jc w:val="center"/>
            </w:pPr>
            <w:r>
              <w:rPr>
                <w:color w:val="000000"/>
                <w:kern w:val="0"/>
                <w:sz w:val="24"/>
                <w:szCs w:val="24"/>
              </w:rPr>
              <w:t>000603</w:t>
            </w:r>
          </w:p>
        </w:tc>
        <w:tc>
          <w:tcPr>
            <w:tcW w:w="0" w:type="auto"/>
            <w:vAlign w:val="center"/>
          </w:tcPr>
          <w:p w:rsidR="002C42F5" w:rsidRDefault="00F336E9">
            <w:pPr>
              <w:jc w:val="center"/>
            </w:pPr>
            <w:r>
              <w:rPr>
                <w:color w:val="000000"/>
                <w:kern w:val="0"/>
                <w:sz w:val="24"/>
                <w:szCs w:val="24"/>
              </w:rPr>
              <w:t>盛达资源</w:t>
            </w:r>
          </w:p>
        </w:tc>
        <w:tc>
          <w:tcPr>
            <w:tcW w:w="0" w:type="auto"/>
            <w:vAlign w:val="center"/>
          </w:tcPr>
          <w:p w:rsidR="002C42F5" w:rsidRDefault="00F336E9">
            <w:pPr>
              <w:jc w:val="right"/>
            </w:pPr>
            <w:r>
              <w:rPr>
                <w:color w:val="000000"/>
                <w:kern w:val="0"/>
                <w:sz w:val="24"/>
                <w:szCs w:val="24"/>
              </w:rPr>
              <w:t>1,337,453</w:t>
            </w:r>
          </w:p>
        </w:tc>
        <w:tc>
          <w:tcPr>
            <w:tcW w:w="0" w:type="auto"/>
            <w:vAlign w:val="center"/>
          </w:tcPr>
          <w:p w:rsidR="002C42F5" w:rsidRDefault="00F336E9">
            <w:pPr>
              <w:jc w:val="right"/>
            </w:pPr>
            <w:r>
              <w:rPr>
                <w:color w:val="000000"/>
                <w:kern w:val="0"/>
                <w:sz w:val="24"/>
                <w:szCs w:val="24"/>
              </w:rPr>
              <w:t>20,048,420.47</w:t>
            </w:r>
          </w:p>
        </w:tc>
        <w:tc>
          <w:tcPr>
            <w:tcW w:w="0" w:type="auto"/>
            <w:vAlign w:val="center"/>
          </w:tcPr>
          <w:p w:rsidR="002C42F5" w:rsidRDefault="00F336E9">
            <w:pPr>
              <w:jc w:val="right"/>
            </w:pPr>
            <w:r>
              <w:rPr>
                <w:color w:val="000000"/>
                <w:kern w:val="0"/>
                <w:sz w:val="24"/>
                <w:szCs w:val="24"/>
              </w:rPr>
              <w:t>4.16</w:t>
            </w:r>
          </w:p>
        </w:tc>
      </w:tr>
      <w:tr w:rsidR="002C42F5">
        <w:tc>
          <w:tcPr>
            <w:tcW w:w="0" w:type="auto"/>
            <w:vAlign w:val="center"/>
          </w:tcPr>
          <w:p w:rsidR="002C42F5" w:rsidRDefault="00F336E9">
            <w:pPr>
              <w:jc w:val="center"/>
            </w:pPr>
            <w:r>
              <w:rPr>
                <w:color w:val="000000"/>
                <w:kern w:val="0"/>
                <w:sz w:val="24"/>
                <w:szCs w:val="24"/>
              </w:rPr>
              <w:t>10</w:t>
            </w:r>
          </w:p>
        </w:tc>
        <w:tc>
          <w:tcPr>
            <w:tcW w:w="0" w:type="auto"/>
            <w:vAlign w:val="center"/>
          </w:tcPr>
          <w:p w:rsidR="002C42F5" w:rsidRDefault="00F336E9">
            <w:pPr>
              <w:jc w:val="center"/>
            </w:pPr>
            <w:r>
              <w:rPr>
                <w:color w:val="000000"/>
                <w:kern w:val="0"/>
                <w:sz w:val="24"/>
                <w:szCs w:val="24"/>
              </w:rPr>
              <w:t>002182</w:t>
            </w:r>
          </w:p>
        </w:tc>
        <w:tc>
          <w:tcPr>
            <w:tcW w:w="0" w:type="auto"/>
            <w:vAlign w:val="center"/>
          </w:tcPr>
          <w:p w:rsidR="002C42F5" w:rsidRDefault="00F336E9">
            <w:pPr>
              <w:jc w:val="center"/>
            </w:pPr>
            <w:r>
              <w:rPr>
                <w:color w:val="000000"/>
                <w:kern w:val="0"/>
                <w:sz w:val="24"/>
                <w:szCs w:val="24"/>
              </w:rPr>
              <w:t>云海金属</w:t>
            </w:r>
          </w:p>
        </w:tc>
        <w:tc>
          <w:tcPr>
            <w:tcW w:w="0" w:type="auto"/>
            <w:vAlign w:val="center"/>
          </w:tcPr>
          <w:p w:rsidR="002C42F5" w:rsidRDefault="00F336E9">
            <w:pPr>
              <w:jc w:val="right"/>
            </w:pPr>
            <w:r>
              <w:rPr>
                <w:color w:val="000000"/>
                <w:kern w:val="0"/>
                <w:sz w:val="24"/>
                <w:szCs w:val="24"/>
              </w:rPr>
              <w:t>2,159,109</w:t>
            </w:r>
          </w:p>
        </w:tc>
        <w:tc>
          <w:tcPr>
            <w:tcW w:w="0" w:type="auto"/>
            <w:vAlign w:val="center"/>
          </w:tcPr>
          <w:p w:rsidR="002C42F5" w:rsidRDefault="00F336E9">
            <w:pPr>
              <w:jc w:val="right"/>
            </w:pPr>
            <w:r>
              <w:rPr>
                <w:color w:val="000000"/>
                <w:kern w:val="0"/>
                <w:sz w:val="24"/>
                <w:szCs w:val="24"/>
              </w:rPr>
              <w:t>19,971,758.25</w:t>
            </w:r>
          </w:p>
        </w:tc>
        <w:tc>
          <w:tcPr>
            <w:tcW w:w="0" w:type="auto"/>
            <w:vAlign w:val="center"/>
          </w:tcPr>
          <w:p w:rsidR="002C42F5" w:rsidRDefault="00F336E9">
            <w:pPr>
              <w:jc w:val="right"/>
            </w:pPr>
            <w:r>
              <w:rPr>
                <w:color w:val="000000"/>
                <w:kern w:val="0"/>
                <w:sz w:val="24"/>
                <w:szCs w:val="24"/>
              </w:rPr>
              <w:t>4.15</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136,258.65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16,039.44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11,205,098.53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11,357,396.62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552,808,941.84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201,163,167.25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191,632,323.38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562,339,785.71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2C42F5" w:rsidRDefault="00F336E9">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中国证监会核准易方达资源行业股票型证券投资基金募集的文件；</w:t>
      </w:r>
    </w:p>
    <w:p w:rsidR="002C42F5" w:rsidRDefault="00F336E9">
      <w:pPr>
        <w:spacing w:line="360" w:lineRule="auto"/>
        <w:ind w:firstLineChars="200" w:firstLine="480"/>
        <w:rPr>
          <w:color w:val="000000"/>
          <w:sz w:val="24"/>
          <w:szCs w:val="24"/>
        </w:rPr>
      </w:pPr>
      <w:r>
        <w:rPr>
          <w:color w:val="000000"/>
          <w:sz w:val="24"/>
          <w:szCs w:val="24"/>
        </w:rPr>
        <w:t>2.</w:t>
      </w:r>
      <w:r>
        <w:rPr>
          <w:color w:val="000000"/>
          <w:sz w:val="24"/>
          <w:szCs w:val="24"/>
        </w:rPr>
        <w:t>易方达基金管理有限公司关于旗下部分开放式基金更名及修改基金合同、托管协议的公告</w:t>
      </w:r>
    </w:p>
    <w:p w:rsidR="002C42F5" w:rsidRDefault="00F336E9">
      <w:pPr>
        <w:spacing w:line="360" w:lineRule="auto"/>
        <w:ind w:firstLineChars="200" w:firstLine="480"/>
        <w:rPr>
          <w:color w:val="000000"/>
          <w:sz w:val="24"/>
          <w:szCs w:val="24"/>
        </w:rPr>
      </w:pPr>
      <w:r>
        <w:rPr>
          <w:color w:val="000000"/>
          <w:sz w:val="24"/>
          <w:szCs w:val="24"/>
        </w:rPr>
        <w:t>3.</w:t>
      </w:r>
      <w:r>
        <w:rPr>
          <w:color w:val="000000"/>
          <w:sz w:val="24"/>
          <w:szCs w:val="24"/>
        </w:rPr>
        <w:t>《易方达资源行业混合型证券投资基金基金合同》；</w:t>
      </w:r>
    </w:p>
    <w:p w:rsidR="002C42F5" w:rsidRDefault="00F336E9">
      <w:pPr>
        <w:spacing w:line="360" w:lineRule="auto"/>
        <w:ind w:firstLineChars="200" w:firstLine="480"/>
        <w:rPr>
          <w:color w:val="000000"/>
          <w:sz w:val="24"/>
          <w:szCs w:val="24"/>
        </w:rPr>
      </w:pPr>
      <w:r>
        <w:rPr>
          <w:color w:val="000000"/>
          <w:sz w:val="24"/>
          <w:szCs w:val="24"/>
        </w:rPr>
        <w:t>4.</w:t>
      </w:r>
      <w:r>
        <w:rPr>
          <w:color w:val="000000"/>
          <w:sz w:val="24"/>
          <w:szCs w:val="24"/>
        </w:rPr>
        <w:t>《易方达资源行业混合型证券投资基金托管协议》；</w:t>
      </w:r>
    </w:p>
    <w:p w:rsidR="002C42F5" w:rsidRDefault="00F336E9">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336E9">
      <w:rPr>
        <w:rStyle w:val="a7"/>
        <w:noProof/>
      </w:rPr>
      <w:t>1</w:t>
    </w:r>
    <w:r>
      <w:rPr>
        <w:rStyle w:val="a7"/>
      </w:rPr>
      <w:fldChar w:fldCharType="end"/>
    </w:r>
    <w:r>
      <w:rPr>
        <w:rStyle w:val="a7"/>
        <w:rFonts w:hint="eastAsia"/>
      </w:rPr>
      <w:t>页共</w:t>
    </w:r>
    <w:r w:rsidR="00F336E9">
      <w:fldChar w:fldCharType="begin"/>
    </w:r>
    <w:r w:rsidR="00F336E9">
      <w:instrText xml:space="preserve"> NUMPAGES  \* Arabic  \* MERGEFORMAT </w:instrText>
    </w:r>
    <w:r w:rsidR="00F336E9">
      <w:fldChar w:fldCharType="separate"/>
    </w:r>
    <w:r w:rsidR="00F336E9" w:rsidRPr="00F336E9">
      <w:rPr>
        <w:rStyle w:val="a7"/>
        <w:noProof/>
      </w:rPr>
      <w:t>1</w:t>
    </w:r>
    <w:r w:rsidR="00F336E9">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336E9">
      <w:rPr>
        <w:rStyle w:val="a7"/>
        <w:noProof/>
      </w:rPr>
      <w:t>2</w:t>
    </w:r>
    <w:r>
      <w:rPr>
        <w:rStyle w:val="a7"/>
      </w:rPr>
      <w:fldChar w:fldCharType="end"/>
    </w:r>
    <w:r>
      <w:rPr>
        <w:rStyle w:val="a7"/>
        <w:rFonts w:hint="eastAsia"/>
      </w:rPr>
      <w:t>页共</w:t>
    </w:r>
    <w:fldSimple w:instr=" NUMPAGES  \* Arabic  \* MERGEFORMAT ">
      <w:r w:rsidR="00F336E9" w:rsidRPr="00F336E9">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易方达资源行业混合型证券投资基金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42F5"/>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6E9"/>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1321-B3CA-4292-90A1-57897765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4633</Characters>
  <Application>Microsoft Office Word</Application>
  <DocSecurity>4</DocSecurity>
  <Lines>38</Lines>
  <Paragraphs>10</Paragraphs>
  <ScaleCrop>false</ScaleCrop>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2020-01-13T02:42:00Z</dcterms:created>
  <dcterms:modified xsi:type="dcterms:W3CDTF">2020-01-13T02:42:00Z</dcterms:modified>
</cp:coreProperties>
</file>